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D4E15" w14:textId="77777777" w:rsidR="00552D85" w:rsidRPr="008401AD" w:rsidRDefault="00552D85" w:rsidP="00552D85">
      <w:pPr>
        <w:rPr>
          <w:rStyle w:val="BookTitle"/>
          <w:szCs w:val="24"/>
          <w:lang w:val="en-GB"/>
        </w:rPr>
      </w:pPr>
    </w:p>
    <w:p w14:paraId="65D5A094" w14:textId="1ABD0803" w:rsidR="00552D85" w:rsidRPr="008401AD" w:rsidRDefault="003D550D" w:rsidP="00552D85">
      <w:pPr>
        <w:pStyle w:val="Title"/>
        <w:rPr>
          <w:sz w:val="24"/>
          <w:szCs w:val="24"/>
          <w:lang w:val="en-GB"/>
        </w:rPr>
      </w:pPr>
      <w:bookmarkStart w:id="0" w:name="_Toc469580924"/>
      <w:bookmarkStart w:id="1" w:name="_GoBack"/>
      <w:bookmarkEnd w:id="1"/>
      <w:r w:rsidRPr="008401AD">
        <w:rPr>
          <w:sz w:val="24"/>
          <w:szCs w:val="24"/>
          <w:lang w:val="en-GB"/>
        </w:rPr>
        <w:t>&lt;CN&gt;</w:t>
      </w:r>
      <w:r w:rsidR="00552D85" w:rsidRPr="008401AD">
        <w:rPr>
          <w:sz w:val="24"/>
          <w:szCs w:val="24"/>
          <w:lang w:val="en-GB"/>
        </w:rPr>
        <w:t>Chapter 1</w:t>
      </w:r>
      <w:r w:rsidRPr="008401AD">
        <w:rPr>
          <w:sz w:val="24"/>
          <w:szCs w:val="24"/>
          <w:lang w:val="en-GB"/>
        </w:rPr>
        <w:t>&lt;/CN&gt;</w:t>
      </w:r>
      <w:r w:rsidR="00552D85" w:rsidRPr="008401AD">
        <w:rPr>
          <w:sz w:val="24"/>
          <w:szCs w:val="24"/>
          <w:lang w:val="en-GB"/>
        </w:rPr>
        <w:t xml:space="preserve"> </w:t>
      </w:r>
      <w:r w:rsidRPr="008401AD">
        <w:rPr>
          <w:rFonts w:ascii="Gill Sans SemiBold" w:hAnsi="Gill Sans SemiBold"/>
          <w:sz w:val="24"/>
          <w:szCs w:val="22"/>
          <w:lang w:val="en-GB"/>
        </w:rPr>
        <w:t>&lt;CT&gt;</w:t>
      </w:r>
      <w:r w:rsidR="00552D85" w:rsidRPr="008401AD">
        <w:rPr>
          <w:sz w:val="24"/>
          <w:szCs w:val="24"/>
          <w:lang w:val="en-GB"/>
        </w:rPr>
        <w:t>Introduction</w:t>
      </w:r>
      <w:bookmarkEnd w:id="0"/>
      <w:r w:rsidRPr="008401AD">
        <w:rPr>
          <w:rFonts w:ascii="Gill Sans SemiBold" w:hAnsi="Gill Sans SemiBold"/>
          <w:sz w:val="24"/>
          <w:szCs w:val="22"/>
          <w:lang w:val="en-GB"/>
        </w:rPr>
        <w:t>&lt;/CT&gt;</w:t>
      </w:r>
    </w:p>
    <w:p w14:paraId="4F7E32FE" w14:textId="77777777" w:rsidR="00552D85" w:rsidRPr="008401AD" w:rsidRDefault="00552D85" w:rsidP="00552D85">
      <w:pPr>
        <w:rPr>
          <w:szCs w:val="24"/>
          <w:lang w:val="en-GB"/>
        </w:rPr>
      </w:pPr>
    </w:p>
    <w:p w14:paraId="37772353" w14:textId="77777777" w:rsidR="00552D85" w:rsidRPr="001E2D3F" w:rsidRDefault="003D550D" w:rsidP="00552D85">
      <w:pPr>
        <w:pStyle w:val="Subtitle"/>
        <w:rPr>
          <w:sz w:val="24"/>
          <w:szCs w:val="24"/>
          <w:lang w:val="en-GB"/>
        </w:rPr>
      </w:pPr>
      <w:r w:rsidRPr="008401AD">
        <w:rPr>
          <w:rFonts w:ascii="Gill Sans SemiBold" w:hAnsi="Gill Sans SemiBold"/>
          <w:sz w:val="24"/>
          <w:szCs w:val="22"/>
          <w:lang w:val="en-GB"/>
        </w:rPr>
        <w:t>&lt;AU&gt;</w:t>
      </w:r>
      <w:r w:rsidR="00552D85" w:rsidRPr="001E2D3F">
        <w:rPr>
          <w:sz w:val="24"/>
          <w:szCs w:val="24"/>
          <w:lang w:val="en-GB"/>
        </w:rPr>
        <w:t xml:space="preserve">Eva </w:t>
      </w:r>
      <w:proofErr w:type="spellStart"/>
      <w:r w:rsidR="00552D85" w:rsidRPr="001E2D3F">
        <w:rPr>
          <w:sz w:val="24"/>
          <w:szCs w:val="24"/>
          <w:lang w:val="en-GB"/>
        </w:rPr>
        <w:t>Bakøy</w:t>
      </w:r>
      <w:proofErr w:type="spellEnd"/>
      <w:r w:rsidR="00552D85" w:rsidRPr="001E2D3F">
        <w:rPr>
          <w:sz w:val="24"/>
          <w:szCs w:val="24"/>
          <w:lang w:val="en-GB"/>
        </w:rPr>
        <w:t xml:space="preserve">, </w:t>
      </w:r>
      <w:proofErr w:type="spellStart"/>
      <w:r w:rsidR="00552D85" w:rsidRPr="001E2D3F">
        <w:rPr>
          <w:sz w:val="24"/>
          <w:szCs w:val="24"/>
          <w:lang w:val="en-GB"/>
        </w:rPr>
        <w:t>Roel</w:t>
      </w:r>
      <w:proofErr w:type="spellEnd"/>
      <w:r w:rsidR="00552D85" w:rsidRPr="001E2D3F">
        <w:rPr>
          <w:sz w:val="24"/>
          <w:szCs w:val="24"/>
          <w:lang w:val="en-GB"/>
        </w:rPr>
        <w:t xml:space="preserve"> </w:t>
      </w:r>
      <w:proofErr w:type="spellStart"/>
      <w:r w:rsidR="00552D85" w:rsidRPr="001E2D3F">
        <w:rPr>
          <w:sz w:val="24"/>
          <w:szCs w:val="24"/>
          <w:lang w:val="en-GB"/>
        </w:rPr>
        <w:t>Puijk</w:t>
      </w:r>
      <w:proofErr w:type="spellEnd"/>
      <w:r w:rsidR="00552D85" w:rsidRPr="001E2D3F">
        <w:rPr>
          <w:sz w:val="24"/>
          <w:szCs w:val="24"/>
          <w:lang w:val="en-GB"/>
        </w:rPr>
        <w:t xml:space="preserve"> and Andrew Spicer</w:t>
      </w:r>
      <w:r w:rsidRPr="008401AD">
        <w:rPr>
          <w:sz w:val="24"/>
          <w:szCs w:val="24"/>
          <w:lang w:val="en-GB"/>
        </w:rPr>
        <w:t>&lt;/AU&gt;</w:t>
      </w:r>
    </w:p>
    <w:p w14:paraId="7092F3F4" w14:textId="77777777" w:rsidR="00552D85" w:rsidRPr="008401AD" w:rsidRDefault="00552D85" w:rsidP="00552D85">
      <w:pPr>
        <w:rPr>
          <w:szCs w:val="24"/>
          <w:lang w:val="en-GB"/>
        </w:rPr>
      </w:pPr>
    </w:p>
    <w:p w14:paraId="50A5B873" w14:textId="5B1C6E9B" w:rsidR="00552D85" w:rsidRPr="008401AD" w:rsidRDefault="003D550D" w:rsidP="00552D85">
      <w:pPr>
        <w:rPr>
          <w:szCs w:val="24"/>
          <w:lang w:val="en-GB"/>
        </w:rPr>
      </w:pPr>
      <w:r w:rsidRPr="001E2D3F">
        <w:rPr>
          <w:rFonts w:ascii="Gill Sans Light" w:hAnsi="Gill Sans Light" w:cs="Gill Sans Light"/>
          <w:sz w:val="22"/>
          <w:lang w:val="en-GB"/>
        </w:rPr>
        <w:t>&lt;NP&gt;</w:t>
      </w:r>
      <w:r w:rsidR="00552D85" w:rsidRPr="008401AD">
        <w:rPr>
          <w:szCs w:val="24"/>
          <w:lang w:val="en-GB"/>
        </w:rPr>
        <w:t>This collection is based on a three-year research project, Success in the Film and Television Industries (</w:t>
      </w:r>
      <w:proofErr w:type="spellStart"/>
      <w:r w:rsidR="00552D85" w:rsidRPr="008401AD">
        <w:rPr>
          <w:szCs w:val="24"/>
          <w:lang w:val="en-GB"/>
        </w:rPr>
        <w:t>SiFTI</w:t>
      </w:r>
      <w:proofErr w:type="spellEnd"/>
      <w:r w:rsidR="00552D85" w:rsidRPr="008401AD">
        <w:rPr>
          <w:szCs w:val="24"/>
          <w:lang w:val="en-GB"/>
        </w:rPr>
        <w:t>) funded by the Norwegian Research Council. The project had two basic purposes: 1) To illuminate the operations of sustainable and successful film and television companies in Norway, Denmark, the Netherlands and the United Kingdom</w:t>
      </w:r>
      <w:r w:rsidR="002B0759" w:rsidRPr="008401AD">
        <w:rPr>
          <w:szCs w:val="24"/>
          <w:lang w:val="en-GB"/>
        </w:rPr>
        <w:t xml:space="preserve">; </w:t>
      </w:r>
      <w:r w:rsidR="00552D85" w:rsidRPr="008401AD">
        <w:rPr>
          <w:szCs w:val="24"/>
          <w:lang w:val="en-GB"/>
        </w:rPr>
        <w:t>investigating their histories and evolution, the particular challenges they face and how they deal with them, the people who work for them and the men and women who run them; 2) To compare and contrast these companies in order to find out if there were common elements in how they conduct their business that might explain why they had been able to survive and also thrive. In contradistinction to the conventional focus on media conglomerates (</w:t>
      </w:r>
      <w:r w:rsidR="00552D85" w:rsidRPr="001E2D3F">
        <w:rPr>
          <w:szCs w:val="24"/>
          <w:lang w:val="en-GB"/>
        </w:rPr>
        <w:t>Chan 2005</w:t>
      </w:r>
      <w:r w:rsidR="00552D85" w:rsidRPr="008401AD">
        <w:rPr>
          <w:szCs w:val="24"/>
          <w:lang w:val="en-GB"/>
        </w:rPr>
        <w:t>; Fi</w:t>
      </w:r>
      <w:r w:rsidR="00552D85" w:rsidRPr="001E2D3F">
        <w:rPr>
          <w:szCs w:val="24"/>
          <w:lang w:val="en-GB"/>
        </w:rPr>
        <w:t>tzgerald</w:t>
      </w:r>
      <w:r w:rsidR="00552D85" w:rsidRPr="008401AD">
        <w:rPr>
          <w:szCs w:val="24"/>
          <w:lang w:val="en-GB"/>
        </w:rPr>
        <w:t xml:space="preserve"> 2012; Kunz 2007) or large-scale institutions such as Hollywood studios (</w:t>
      </w:r>
      <w:proofErr w:type="spellStart"/>
      <w:r w:rsidR="00552D85" w:rsidRPr="008401AD">
        <w:rPr>
          <w:szCs w:val="24"/>
          <w:lang w:val="en-GB"/>
        </w:rPr>
        <w:t>Bordwell</w:t>
      </w:r>
      <w:proofErr w:type="spellEnd"/>
      <w:r w:rsidR="00552D85" w:rsidRPr="008401AD">
        <w:rPr>
          <w:szCs w:val="24"/>
          <w:lang w:val="en-GB"/>
        </w:rPr>
        <w:t xml:space="preserve"> et al. 1985; Caldwell 2008; </w:t>
      </w:r>
      <w:proofErr w:type="spellStart"/>
      <w:r w:rsidR="00552D85" w:rsidRPr="008401AD">
        <w:rPr>
          <w:szCs w:val="24"/>
          <w:lang w:val="en-GB"/>
        </w:rPr>
        <w:t>Dangcil</w:t>
      </w:r>
      <w:proofErr w:type="spellEnd"/>
      <w:r w:rsidR="00552D85" w:rsidRPr="008401AD">
        <w:rPr>
          <w:szCs w:val="24"/>
          <w:lang w:val="en-GB"/>
        </w:rPr>
        <w:t xml:space="preserve"> 2007) or public service broadcasters such as the BBC (Bloomfield 2008; Born 2004; Davies 2001; </w:t>
      </w:r>
      <w:proofErr w:type="spellStart"/>
      <w:r w:rsidR="00552D85" w:rsidRPr="008401AD">
        <w:rPr>
          <w:szCs w:val="24"/>
          <w:lang w:val="en-GB"/>
        </w:rPr>
        <w:t>Küng-Shankleman</w:t>
      </w:r>
      <w:proofErr w:type="spellEnd"/>
      <w:r w:rsidR="00552D85" w:rsidRPr="008401AD">
        <w:rPr>
          <w:szCs w:val="24"/>
          <w:lang w:val="en-GB"/>
        </w:rPr>
        <w:t xml:space="preserve"> 2000), the focus of this collection is on micro-, small- and medium-sized companies (MSMEs), which the European Commission (2015: 3) calls the ‘engine of the European economy’.</w:t>
      </w:r>
      <w:r w:rsidR="00552D85" w:rsidRPr="008401AD">
        <w:rPr>
          <w:rStyle w:val="EndnoteReference"/>
          <w:rFonts w:ascii="Times New Roman" w:hAnsi="Times New Roman" w:cs="Times New Roman"/>
          <w:szCs w:val="24"/>
          <w:lang w:val="en-GB"/>
        </w:rPr>
        <w:endnoteReference w:id="1"/>
      </w:r>
      <w:r w:rsidR="00552D85" w:rsidRPr="008401AD">
        <w:rPr>
          <w:szCs w:val="24"/>
          <w:lang w:val="en-GB"/>
        </w:rPr>
        <w:t xml:space="preserve"> The collection’s focus on European companies is also a departure from the main trajectory of media industry studies that have usually analysed American businesses (e.g. </w:t>
      </w:r>
      <w:proofErr w:type="spellStart"/>
      <w:r w:rsidR="00552D85" w:rsidRPr="008401AD">
        <w:rPr>
          <w:szCs w:val="24"/>
          <w:lang w:val="en-GB"/>
        </w:rPr>
        <w:t>Gitlin</w:t>
      </w:r>
      <w:proofErr w:type="spellEnd"/>
      <w:r w:rsidR="00552D85" w:rsidRPr="008401AD">
        <w:rPr>
          <w:szCs w:val="24"/>
          <w:lang w:val="en-GB"/>
        </w:rPr>
        <w:t xml:space="preserve"> 1983). It is therefore a contribution to the increasing academic attention that is now being given to European media production (see for instance, </w:t>
      </w:r>
      <w:proofErr w:type="spellStart"/>
      <w:r w:rsidR="00552D85" w:rsidRPr="008401AD">
        <w:rPr>
          <w:szCs w:val="24"/>
          <w:lang w:val="en-GB"/>
        </w:rPr>
        <w:t>Bondebjerg</w:t>
      </w:r>
      <w:proofErr w:type="spellEnd"/>
      <w:r w:rsidR="00552D85" w:rsidRPr="008401AD">
        <w:rPr>
          <w:szCs w:val="24"/>
          <w:lang w:val="en-GB"/>
        </w:rPr>
        <w:t xml:space="preserve"> et al. 2015; Meir 2016; </w:t>
      </w:r>
      <w:proofErr w:type="spellStart"/>
      <w:r w:rsidR="00552D85" w:rsidRPr="008401AD">
        <w:rPr>
          <w:szCs w:val="24"/>
          <w:lang w:val="en-GB"/>
        </w:rPr>
        <w:t>Szczepanik</w:t>
      </w:r>
      <w:proofErr w:type="spellEnd"/>
      <w:r w:rsidR="00552D85" w:rsidRPr="008401AD">
        <w:rPr>
          <w:szCs w:val="24"/>
          <w:lang w:val="en-GB"/>
        </w:rPr>
        <w:t xml:space="preserve"> and </w:t>
      </w:r>
      <w:proofErr w:type="spellStart"/>
      <w:r w:rsidR="00552D85" w:rsidRPr="008401AD">
        <w:rPr>
          <w:szCs w:val="24"/>
          <w:lang w:val="en-GB"/>
        </w:rPr>
        <w:t>Vonderau</w:t>
      </w:r>
      <w:proofErr w:type="spellEnd"/>
      <w:r w:rsidR="00552D85" w:rsidRPr="008401AD">
        <w:rPr>
          <w:szCs w:val="24"/>
          <w:lang w:val="en-GB"/>
        </w:rPr>
        <w:t xml:space="preserve"> 2013).</w:t>
      </w:r>
      <w:r w:rsidR="00552D85" w:rsidRPr="008401AD">
        <w:rPr>
          <w:rStyle w:val="EndnoteReference"/>
          <w:rFonts w:ascii="Times New Roman" w:hAnsi="Times New Roman" w:cs="Times New Roman"/>
          <w:szCs w:val="24"/>
          <w:lang w:val="en-GB"/>
        </w:rPr>
        <w:endnoteReference w:id="2"/>
      </w:r>
      <w:r w:rsidR="00552D85" w:rsidRPr="008401AD">
        <w:rPr>
          <w:szCs w:val="24"/>
          <w:lang w:val="en-GB"/>
        </w:rPr>
        <w:t xml:space="preserve"> However, even within studies of European media, this volume’s comparative, cross-national approach makes it distinctive from the bulk of cultural/creative industries studies.</w:t>
      </w:r>
      <w:r w:rsidR="00B61C53" w:rsidRPr="001E2D3F">
        <w:rPr>
          <w:rFonts w:ascii="Gill Sans Light" w:hAnsi="Gill Sans Light" w:cs="Gill Sans Light"/>
          <w:sz w:val="22"/>
          <w:lang w:val="en-GB"/>
        </w:rPr>
        <w:t>&lt;/NP&gt;</w:t>
      </w:r>
    </w:p>
    <w:p w14:paraId="00A1E155" w14:textId="15AB4935" w:rsidR="00552D85" w:rsidRPr="008401AD" w:rsidRDefault="00B61C53" w:rsidP="00552D85">
      <w:pPr>
        <w:rPr>
          <w:szCs w:val="24"/>
          <w:lang w:val="en-GB"/>
        </w:rPr>
      </w:pPr>
      <w:r w:rsidRPr="008401AD">
        <w:rPr>
          <w:szCs w:val="24"/>
          <w:lang w:val="en-GB"/>
        </w:rPr>
        <w:t>&lt;TEXT&gt;</w:t>
      </w:r>
      <w:r w:rsidR="00552D85" w:rsidRPr="008401AD">
        <w:rPr>
          <w:szCs w:val="24"/>
          <w:lang w:val="en-GB"/>
        </w:rPr>
        <w:t xml:space="preserve"> MSMEs </w:t>
      </w:r>
      <w:r w:rsidR="002B0759" w:rsidRPr="008401AD">
        <w:rPr>
          <w:szCs w:val="24"/>
          <w:lang w:val="en-GB"/>
        </w:rPr>
        <w:t xml:space="preserve">are not only </w:t>
      </w:r>
      <w:r w:rsidR="00552D85" w:rsidRPr="008401AD">
        <w:rPr>
          <w:szCs w:val="24"/>
          <w:lang w:val="en-GB"/>
        </w:rPr>
        <w:t xml:space="preserve">economically important, but also culturally significant. They are thought by cultural policy advisers to counteract media imperialism by providing a crucial contribution to democracy through enabling a multitude of different voices to be heard (see </w:t>
      </w:r>
      <w:r w:rsidR="00552D85" w:rsidRPr="008401AD">
        <w:rPr>
          <w:szCs w:val="24"/>
          <w:lang w:val="en-GB"/>
        </w:rPr>
        <w:lastRenderedPageBreak/>
        <w:t xml:space="preserve">Curran 2011; Paterson et al. 2015). Often regarded by </w:t>
      </w:r>
      <w:r w:rsidR="00C806D7">
        <w:rPr>
          <w:szCs w:val="24"/>
          <w:lang w:val="en-GB"/>
        </w:rPr>
        <w:t>policy</w:t>
      </w:r>
      <w:r w:rsidR="00552D85" w:rsidRPr="008401AD">
        <w:rPr>
          <w:szCs w:val="24"/>
          <w:lang w:val="en-GB"/>
        </w:rPr>
        <w:t xml:space="preserve">makers as more flexible, creative and innovative than their larger counterparts, MSMEs are perceived as a viable economic model in the shift from the </w:t>
      </w:r>
      <w:proofErr w:type="spellStart"/>
      <w:r w:rsidR="00552D85" w:rsidRPr="008401AD">
        <w:rPr>
          <w:szCs w:val="24"/>
          <w:lang w:val="en-GB"/>
        </w:rPr>
        <w:t>Fordist</w:t>
      </w:r>
      <w:proofErr w:type="spellEnd"/>
      <w:r w:rsidR="00552D85" w:rsidRPr="008401AD">
        <w:rPr>
          <w:szCs w:val="24"/>
          <w:lang w:val="en-GB"/>
        </w:rPr>
        <w:t xml:space="preserve"> period of mass production to a post-</w:t>
      </w:r>
      <w:proofErr w:type="spellStart"/>
      <w:r w:rsidR="00552D85" w:rsidRPr="008401AD">
        <w:rPr>
          <w:szCs w:val="24"/>
          <w:lang w:val="en-GB"/>
        </w:rPr>
        <w:t>Fordist</w:t>
      </w:r>
      <w:proofErr w:type="spellEnd"/>
      <w:r w:rsidR="00552D85" w:rsidRPr="008401AD">
        <w:rPr>
          <w:szCs w:val="24"/>
          <w:lang w:val="en-GB"/>
        </w:rPr>
        <w:t xml:space="preserve"> one in which niche markets are targeted and profits can accumulate through the ‘long tail’ (Anderson 2009). When MSMEs are concentrated in one locality – as part of ‘creative clusters’ or ‘cultural hubs’ – they have been seen as important to regional and urban development as potential replacements for dying industries (e.g. Florida 2004).</w:t>
      </w:r>
      <w:r w:rsidR="00552D85" w:rsidRPr="008401AD">
        <w:rPr>
          <w:rStyle w:val="EndnoteReference"/>
          <w:rFonts w:ascii="Times New Roman" w:hAnsi="Times New Roman" w:cs="Times New Roman"/>
          <w:szCs w:val="24"/>
          <w:lang w:val="en-GB"/>
        </w:rPr>
        <w:endnoteReference w:id="3"/>
      </w:r>
      <w:r w:rsidR="00552D85" w:rsidRPr="008401AD">
        <w:rPr>
          <w:szCs w:val="24"/>
          <w:lang w:val="en-GB"/>
        </w:rPr>
        <w:t xml:space="preserve"> Although our research is connected to these broader issues, it recognizes that the audio-visual industries are a special case and therefore that investigation and analysis need to attend to the particularities of film and television production. And, as the authors in this collection contend, despite the arguments about cultural ‘convergence’ and a ‘networking’ culture in which companies are increasingly interdependent, there remain clear differences between these two industries and therefore analysis </w:t>
      </w:r>
      <w:r w:rsidR="0040717B">
        <w:rPr>
          <w:szCs w:val="24"/>
          <w:lang w:val="en-GB"/>
        </w:rPr>
        <w:t xml:space="preserve">should focus on </w:t>
      </w:r>
      <w:r w:rsidR="00552D85" w:rsidRPr="008401AD">
        <w:rPr>
          <w:szCs w:val="24"/>
          <w:lang w:val="en-GB"/>
        </w:rPr>
        <w:t xml:space="preserve">the specific conditions of production that obtains within each, as well as their common challenges and interrelations. </w:t>
      </w:r>
    </w:p>
    <w:p w14:paraId="5D4E2D47" w14:textId="33FBA5C1" w:rsidR="00552D85" w:rsidRPr="008401AD" w:rsidRDefault="00552D85" w:rsidP="00552D85">
      <w:pPr>
        <w:rPr>
          <w:rFonts w:eastAsia="Times New Roman"/>
          <w:color w:val="000000"/>
          <w:szCs w:val="24"/>
          <w:shd w:val="clear" w:color="auto" w:fill="FFFFFF"/>
          <w:lang w:val="en-GB"/>
        </w:rPr>
      </w:pPr>
      <w:r w:rsidRPr="008401AD">
        <w:rPr>
          <w:rFonts w:eastAsia="Times New Roman"/>
          <w:color w:val="000000"/>
          <w:szCs w:val="24"/>
          <w:shd w:val="clear" w:color="auto" w:fill="FFFFFF"/>
          <w:lang w:val="en-GB"/>
        </w:rPr>
        <w:t xml:space="preserve">The companies discussed in this book were selected on the basis of two criteria for success: </w:t>
      </w:r>
      <w:r w:rsidR="002B0759" w:rsidRPr="008401AD">
        <w:rPr>
          <w:rFonts w:eastAsia="Times New Roman"/>
          <w:color w:val="000000"/>
          <w:szCs w:val="24"/>
          <w:shd w:val="clear" w:color="auto" w:fill="FFFFFF"/>
          <w:lang w:val="en-GB"/>
        </w:rPr>
        <w:t>they</w:t>
      </w:r>
      <w:r w:rsidR="00A66F20" w:rsidRPr="008401AD">
        <w:rPr>
          <w:rFonts w:eastAsia="Times New Roman"/>
          <w:color w:val="000000"/>
          <w:szCs w:val="24"/>
          <w:shd w:val="clear" w:color="auto" w:fill="FFFFFF"/>
          <w:lang w:val="en-GB"/>
        </w:rPr>
        <w:t xml:space="preserve"> </w:t>
      </w:r>
      <w:r w:rsidRPr="008401AD">
        <w:rPr>
          <w:rFonts w:eastAsia="Times New Roman"/>
          <w:color w:val="000000"/>
          <w:szCs w:val="24"/>
          <w:shd w:val="clear" w:color="auto" w:fill="FFFFFF"/>
          <w:lang w:val="en-GB"/>
        </w:rPr>
        <w:t>have survived for over five years, and they have produced film or television programmes that have received critical acclaim and/or been popular with audiences. This admittedly wide and basic definition of success includes two very common business criteria</w:t>
      </w:r>
      <w:r w:rsidR="0065492E" w:rsidRPr="008401AD">
        <w:rPr>
          <w:rFonts w:eastAsia="Times New Roman"/>
          <w:color w:val="000000"/>
          <w:szCs w:val="24"/>
          <w:shd w:val="clear" w:color="auto" w:fill="FFFFFF"/>
          <w:lang w:val="en-GB"/>
        </w:rPr>
        <w:t xml:space="preserve">; </w:t>
      </w:r>
      <w:r w:rsidRPr="008401AD">
        <w:rPr>
          <w:rFonts w:eastAsia="Times New Roman"/>
          <w:color w:val="000000"/>
          <w:szCs w:val="24"/>
          <w:shd w:val="clear" w:color="auto" w:fill="FFFFFF"/>
          <w:lang w:val="en-GB"/>
        </w:rPr>
        <w:t xml:space="preserve">profitability and the ability to remain economically viable over time. However, some of the companies have experienced periods of considerable financial uncertainty because of the project-based character of film and television production. The definition also implies customer satisfaction and cultural capital in the form of peer recognition and awards. </w:t>
      </w:r>
    </w:p>
    <w:p w14:paraId="1B2BEDDD" w14:textId="28AB0AB3" w:rsidR="00552D85" w:rsidRPr="008401AD" w:rsidRDefault="00552D85" w:rsidP="00552D85">
      <w:pPr>
        <w:rPr>
          <w:rFonts w:eastAsia="Times New Roman"/>
          <w:color w:val="000000"/>
          <w:szCs w:val="24"/>
          <w:shd w:val="clear" w:color="auto" w:fill="FFFFFF"/>
          <w:lang w:val="en-GB"/>
        </w:rPr>
      </w:pPr>
      <w:r w:rsidRPr="008401AD">
        <w:rPr>
          <w:rFonts w:eastAsia="Times New Roman"/>
          <w:color w:val="000000"/>
          <w:szCs w:val="24"/>
          <w:shd w:val="clear" w:color="auto" w:fill="FFFFFF"/>
          <w:lang w:val="en-GB"/>
        </w:rPr>
        <w:t>Success is a complex concept and other less tangible but equally significant measures come into play in media management. These can include keeping your employees happy and content, making a meaningful contribution to the community, campaigning for social or environmental issues and developing audio-visual media as artistic expressions. There are also what can be termed subjective or personal success criteria, which include making a living from doing something one loves, using one’s talents, achieving personal goals, meeting interesting people or simply being happy and content in one’s work. A recent study of over 150 Dutch SME owners showed that most placed personal satisfaction and good relationships above commercial criteria. It showed that success criteria varied and were derived from the values owners held, often evolved over time and differed according to the age and size of the firm (</w:t>
      </w:r>
      <w:proofErr w:type="spellStart"/>
      <w:r w:rsidRPr="008401AD">
        <w:rPr>
          <w:rFonts w:eastAsia="Times New Roman"/>
          <w:color w:val="000000"/>
          <w:szCs w:val="24"/>
          <w:shd w:val="clear" w:color="auto" w:fill="FFFFFF"/>
          <w:lang w:val="en-GB"/>
        </w:rPr>
        <w:t>Gorgievski</w:t>
      </w:r>
      <w:proofErr w:type="spellEnd"/>
      <w:r w:rsidRPr="008401AD">
        <w:rPr>
          <w:rFonts w:eastAsia="Times New Roman"/>
          <w:color w:val="000000"/>
          <w:szCs w:val="24"/>
          <w:shd w:val="clear" w:color="auto" w:fill="FFFFFF"/>
          <w:lang w:val="en-GB"/>
        </w:rPr>
        <w:t xml:space="preserve"> et al. 2011). </w:t>
      </w:r>
    </w:p>
    <w:p w14:paraId="7F50F9E5" w14:textId="76FDF5E1" w:rsidR="00552D85" w:rsidRPr="008401AD" w:rsidRDefault="00552D85" w:rsidP="00552D85">
      <w:pPr>
        <w:rPr>
          <w:rFonts w:eastAsia="Times New Roman"/>
          <w:color w:val="000000"/>
          <w:szCs w:val="24"/>
          <w:shd w:val="clear" w:color="auto" w:fill="FFFFFF"/>
          <w:lang w:val="en-GB"/>
        </w:rPr>
      </w:pPr>
      <w:r w:rsidRPr="008401AD">
        <w:rPr>
          <w:szCs w:val="24"/>
          <w:lang w:val="en-GB"/>
        </w:rPr>
        <w:t xml:space="preserve">Our focus on ‘success’ might be considered unduly celebratory and that we are </w:t>
      </w:r>
      <w:r w:rsidR="0065492E" w:rsidRPr="008401AD">
        <w:rPr>
          <w:szCs w:val="24"/>
          <w:lang w:val="en-GB"/>
        </w:rPr>
        <w:t>‘[</w:t>
      </w:r>
      <w:r w:rsidRPr="008401AD">
        <w:rPr>
          <w:szCs w:val="24"/>
          <w:lang w:val="en-GB"/>
        </w:rPr>
        <w:t>a]</w:t>
      </w:r>
      <w:proofErr w:type="spellStart"/>
      <w:r w:rsidRPr="008401AD">
        <w:rPr>
          <w:szCs w:val="24"/>
          <w:lang w:val="en-GB"/>
        </w:rPr>
        <w:t>cting</w:t>
      </w:r>
      <w:proofErr w:type="spellEnd"/>
      <w:r w:rsidRPr="008401AD">
        <w:rPr>
          <w:szCs w:val="24"/>
          <w:lang w:val="en-GB"/>
        </w:rPr>
        <w:t xml:space="preserve"> as temporary partisans of media organizations</w:t>
      </w:r>
      <w:r w:rsidR="0065492E" w:rsidRPr="008401AD">
        <w:rPr>
          <w:szCs w:val="24"/>
          <w:lang w:val="en-GB"/>
        </w:rPr>
        <w:t xml:space="preserve">’ </w:t>
      </w:r>
      <w:r w:rsidRPr="008401AD">
        <w:rPr>
          <w:szCs w:val="24"/>
          <w:lang w:val="en-GB"/>
        </w:rPr>
        <w:t>(</w:t>
      </w:r>
      <w:proofErr w:type="spellStart"/>
      <w:r w:rsidRPr="008401AD">
        <w:rPr>
          <w:szCs w:val="24"/>
          <w:lang w:val="en-GB"/>
        </w:rPr>
        <w:t>Hesmondhalgh</w:t>
      </w:r>
      <w:proofErr w:type="spellEnd"/>
      <w:r w:rsidRPr="008401AD">
        <w:rPr>
          <w:szCs w:val="24"/>
          <w:lang w:val="en-GB"/>
        </w:rPr>
        <w:t xml:space="preserve"> 2007: 48</w:t>
      </w:r>
      <w:r w:rsidR="004A21E6" w:rsidRPr="008401AD">
        <w:rPr>
          <w:szCs w:val="24"/>
          <w:lang w:val="en-GB"/>
        </w:rPr>
        <w:t xml:space="preserve">; </w:t>
      </w:r>
      <w:proofErr w:type="spellStart"/>
      <w:r w:rsidRPr="008401AD">
        <w:rPr>
          <w:szCs w:val="24"/>
          <w:lang w:val="en-GB"/>
        </w:rPr>
        <w:t>Hesmondhalgh</w:t>
      </w:r>
      <w:proofErr w:type="spellEnd"/>
      <w:r w:rsidRPr="008401AD">
        <w:rPr>
          <w:szCs w:val="24"/>
          <w:lang w:val="en-GB"/>
        </w:rPr>
        <w:t xml:space="preserve"> 2014). Our sympathetic attitude, while far from uncritical, is partly the result of the collection’s focus on MSMEs. The companies discussed in this volume can be collectively identified as struggling entrepreneurs that contribute to media diversity rather than being dominant or predatory players in the media marketplace</w:t>
      </w:r>
      <w:r w:rsidR="0065492E" w:rsidRPr="008401AD">
        <w:rPr>
          <w:szCs w:val="24"/>
          <w:lang w:val="en-GB"/>
        </w:rPr>
        <w:t>;</w:t>
      </w:r>
      <w:r w:rsidRPr="008401AD">
        <w:rPr>
          <w:szCs w:val="24"/>
          <w:lang w:val="en-GB"/>
        </w:rPr>
        <w:t xml:space="preserve"> their success contributes to the general cultural health of the media. </w:t>
      </w:r>
      <w:r w:rsidRPr="008401AD">
        <w:rPr>
          <w:rFonts w:eastAsia="Times New Roman"/>
          <w:color w:val="000000"/>
          <w:szCs w:val="24"/>
          <w:shd w:val="clear" w:color="auto" w:fill="FFFFFF"/>
          <w:lang w:val="en-GB"/>
        </w:rPr>
        <w:t xml:space="preserve">We will return to a discussion of the diverse meanings of success in our </w:t>
      </w:r>
      <w:r w:rsidRPr="008401AD">
        <w:rPr>
          <w:szCs w:val="24"/>
          <w:lang w:val="en-GB"/>
        </w:rPr>
        <w:t>concluding chapter, where the comparative dimension of our analysis is discussed at length.</w:t>
      </w:r>
      <w:r w:rsidRPr="008401AD">
        <w:rPr>
          <w:rFonts w:eastAsia="Times New Roman"/>
          <w:color w:val="000000"/>
          <w:szCs w:val="24"/>
          <w:shd w:val="clear" w:color="auto" w:fill="FFFFFF"/>
          <w:lang w:val="en-GB"/>
        </w:rPr>
        <w:t xml:space="preserve"> We </w:t>
      </w:r>
      <w:r w:rsidRPr="008401AD">
        <w:rPr>
          <w:szCs w:val="24"/>
          <w:lang w:val="en-GB"/>
        </w:rPr>
        <w:t>argue for a family resemblance between these successful companies. They are unique and different in many respects, but at the same time connected by several overlapping similarities.</w:t>
      </w:r>
    </w:p>
    <w:p w14:paraId="608FB263" w14:textId="1D160FDB" w:rsidR="00552D85" w:rsidRPr="008401AD" w:rsidRDefault="00552D85" w:rsidP="00552D85">
      <w:pPr>
        <w:rPr>
          <w:rFonts w:eastAsia="Times New Roman"/>
          <w:color w:val="000000"/>
          <w:szCs w:val="24"/>
          <w:shd w:val="clear" w:color="auto" w:fill="FFFFFF"/>
          <w:lang w:val="en-GB"/>
        </w:rPr>
      </w:pPr>
      <w:r w:rsidRPr="008401AD">
        <w:rPr>
          <w:rFonts w:eastAsia="Times New Roman"/>
          <w:color w:val="000000"/>
          <w:szCs w:val="24"/>
          <w:shd w:val="clear" w:color="auto" w:fill="FFFFFF"/>
          <w:lang w:val="en-GB"/>
        </w:rPr>
        <w:t>One common contextual factor, particularly for European media, is the range and importance of the various i</w:t>
      </w:r>
      <w:r w:rsidRPr="008401AD">
        <w:rPr>
          <w:szCs w:val="24"/>
          <w:lang w:val="en-GB"/>
        </w:rPr>
        <w:t xml:space="preserve">nternational collaborations, partnerships and co-productions in which media companies engage – see, </w:t>
      </w:r>
      <w:r w:rsidRPr="001E2D3F">
        <w:rPr>
          <w:szCs w:val="24"/>
          <w:lang w:val="en-GB"/>
        </w:rPr>
        <w:t>inter alia</w:t>
      </w:r>
      <w:r w:rsidRPr="008401AD">
        <w:rPr>
          <w:szCs w:val="24"/>
          <w:lang w:val="en-GB"/>
        </w:rPr>
        <w:t xml:space="preserve">, </w:t>
      </w:r>
      <w:proofErr w:type="spellStart"/>
      <w:r w:rsidRPr="008401AD">
        <w:rPr>
          <w:szCs w:val="24"/>
          <w:lang w:val="en-GB"/>
        </w:rPr>
        <w:t>Chalaby</w:t>
      </w:r>
      <w:proofErr w:type="spellEnd"/>
      <w:r w:rsidRPr="008401AD">
        <w:rPr>
          <w:szCs w:val="24"/>
          <w:lang w:val="en-GB"/>
        </w:rPr>
        <w:t xml:space="preserve"> (2016), Finney (2010), Fontaine and Kevin (2016), Goldsmith and </w:t>
      </w:r>
      <w:proofErr w:type="spellStart"/>
      <w:r w:rsidRPr="008401AD">
        <w:rPr>
          <w:szCs w:val="24"/>
          <w:lang w:val="en-GB"/>
        </w:rPr>
        <w:t>O’Regan</w:t>
      </w:r>
      <w:proofErr w:type="spellEnd"/>
      <w:r w:rsidRPr="008401AD">
        <w:rPr>
          <w:szCs w:val="24"/>
          <w:lang w:val="en-GB"/>
        </w:rPr>
        <w:t xml:space="preserve"> (2005), </w:t>
      </w:r>
      <w:proofErr w:type="spellStart"/>
      <w:r w:rsidRPr="008401AD">
        <w:rPr>
          <w:szCs w:val="24"/>
          <w:lang w:val="en-GB"/>
        </w:rPr>
        <w:t>Guback</w:t>
      </w:r>
      <w:proofErr w:type="spellEnd"/>
      <w:r w:rsidRPr="008401AD">
        <w:rPr>
          <w:szCs w:val="24"/>
          <w:lang w:val="en-GB"/>
        </w:rPr>
        <w:t xml:space="preserve"> (1969), </w:t>
      </w:r>
      <w:proofErr w:type="spellStart"/>
      <w:r w:rsidRPr="008401AD">
        <w:rPr>
          <w:szCs w:val="24"/>
          <w:lang w:val="en-GB"/>
        </w:rPr>
        <w:t>Hilmes</w:t>
      </w:r>
      <w:proofErr w:type="spellEnd"/>
      <w:r w:rsidRPr="008401AD">
        <w:rPr>
          <w:szCs w:val="24"/>
          <w:lang w:val="en-GB"/>
        </w:rPr>
        <w:t xml:space="preserve"> (2014), Moran (2013), </w:t>
      </w:r>
      <w:proofErr w:type="spellStart"/>
      <w:r w:rsidRPr="008401AD">
        <w:rPr>
          <w:szCs w:val="24"/>
          <w:lang w:val="en-GB"/>
        </w:rPr>
        <w:t>Morawetz</w:t>
      </w:r>
      <w:proofErr w:type="spellEnd"/>
      <w:r w:rsidRPr="008401AD">
        <w:rPr>
          <w:szCs w:val="24"/>
          <w:lang w:val="en-GB"/>
        </w:rPr>
        <w:t xml:space="preserve"> et al. (2007), </w:t>
      </w:r>
      <w:proofErr w:type="spellStart"/>
      <w:r w:rsidRPr="008401AD">
        <w:rPr>
          <w:szCs w:val="24"/>
          <w:lang w:val="en-GB"/>
        </w:rPr>
        <w:t>Steemers</w:t>
      </w:r>
      <w:proofErr w:type="spellEnd"/>
      <w:r w:rsidRPr="008401AD">
        <w:rPr>
          <w:szCs w:val="24"/>
          <w:lang w:val="en-GB"/>
        </w:rPr>
        <w:t xml:space="preserve"> (2014), Weismann (2012) and Wheeler (2004). However,</w:t>
      </w:r>
      <w:r w:rsidRPr="008401AD">
        <w:rPr>
          <w:rFonts w:eastAsia="Times New Roman"/>
          <w:color w:val="000000"/>
          <w:szCs w:val="24"/>
          <w:shd w:val="clear" w:color="auto" w:fill="FFFFFF"/>
          <w:lang w:val="en-GB"/>
        </w:rPr>
        <w:t xml:space="preserve"> we argue that operations of the smaller film and television companies in this study make most sense in relation to the </w:t>
      </w:r>
      <w:r w:rsidRPr="008401AD">
        <w:rPr>
          <w:rFonts w:eastAsia="Times New Roman"/>
          <w:i/>
          <w:color w:val="000000"/>
          <w:szCs w:val="24"/>
          <w:shd w:val="clear" w:color="auto" w:fill="FFFFFF"/>
          <w:lang w:val="en-GB"/>
        </w:rPr>
        <w:t>specific national contexts</w:t>
      </w:r>
      <w:r w:rsidRPr="008401AD">
        <w:rPr>
          <w:rFonts w:eastAsia="Times New Roman"/>
          <w:color w:val="000000"/>
          <w:szCs w:val="24"/>
          <w:shd w:val="clear" w:color="auto" w:fill="FFFFFF"/>
          <w:lang w:val="en-GB"/>
        </w:rPr>
        <w:t xml:space="preserve"> in which they are embedded. Hence this volume is </w:t>
      </w:r>
      <w:r w:rsidR="00A66F20" w:rsidRPr="008401AD">
        <w:rPr>
          <w:rFonts w:eastAsia="Times New Roman"/>
          <w:color w:val="000000"/>
          <w:szCs w:val="24"/>
          <w:shd w:val="clear" w:color="auto" w:fill="FFFFFF"/>
          <w:lang w:val="en-GB"/>
        </w:rPr>
        <w:t xml:space="preserve">organized </w:t>
      </w:r>
      <w:r w:rsidRPr="008401AD">
        <w:rPr>
          <w:rFonts w:eastAsia="Times New Roman"/>
          <w:color w:val="000000"/>
          <w:szCs w:val="24"/>
          <w:shd w:val="clear" w:color="auto" w:fill="FFFFFF"/>
          <w:lang w:val="en-GB"/>
        </w:rPr>
        <w:t xml:space="preserve">into separate sections about each of the four nations studied by the </w:t>
      </w:r>
      <w:proofErr w:type="spellStart"/>
      <w:r w:rsidRPr="008401AD">
        <w:rPr>
          <w:rFonts w:eastAsia="Times New Roman"/>
          <w:color w:val="000000"/>
          <w:szCs w:val="24"/>
          <w:shd w:val="clear" w:color="auto" w:fill="FFFFFF"/>
          <w:lang w:val="en-GB"/>
        </w:rPr>
        <w:t>SiFTI</w:t>
      </w:r>
      <w:proofErr w:type="spellEnd"/>
      <w:r w:rsidRPr="008401AD">
        <w:rPr>
          <w:rFonts w:eastAsia="Times New Roman"/>
          <w:color w:val="000000"/>
          <w:szCs w:val="24"/>
          <w:shd w:val="clear" w:color="auto" w:fill="FFFFFF"/>
          <w:lang w:val="en-GB"/>
        </w:rPr>
        <w:t xml:space="preserve"> project, all of which begin with an overview chapter that explains the general organization and characteristics of the film and television industries in each of the selected countries.</w:t>
      </w:r>
      <w:r w:rsidR="00B61C53" w:rsidRPr="008401AD">
        <w:rPr>
          <w:rFonts w:eastAsia="Times New Roman"/>
          <w:color w:val="000000"/>
          <w:szCs w:val="24"/>
          <w:shd w:val="clear" w:color="auto" w:fill="FFFFFF"/>
          <w:lang w:val="en-GB"/>
        </w:rPr>
        <w:t>&lt;/TEXT&gt;</w:t>
      </w:r>
      <w:r w:rsidRPr="008401AD">
        <w:rPr>
          <w:rFonts w:eastAsia="Times New Roman"/>
          <w:color w:val="000000"/>
          <w:szCs w:val="24"/>
          <w:shd w:val="clear" w:color="auto" w:fill="FFFFFF"/>
          <w:lang w:val="en-GB"/>
        </w:rPr>
        <w:t xml:space="preserve"> </w:t>
      </w:r>
    </w:p>
    <w:p w14:paraId="03BB64E6" w14:textId="77777777" w:rsidR="00552D85" w:rsidRPr="008401AD" w:rsidRDefault="00B61C53" w:rsidP="00552D85">
      <w:pPr>
        <w:pStyle w:val="Heading1"/>
        <w:rPr>
          <w:sz w:val="24"/>
          <w:szCs w:val="24"/>
          <w:lang w:val="en-GB"/>
        </w:rPr>
      </w:pPr>
      <w:bookmarkStart w:id="2" w:name="_Toc469423959"/>
      <w:r w:rsidRPr="008401AD">
        <w:rPr>
          <w:sz w:val="24"/>
          <w:szCs w:val="24"/>
          <w:lang w:val="en-GB"/>
        </w:rPr>
        <w:t>&lt;H1&gt;</w:t>
      </w:r>
      <w:r w:rsidR="00552D85" w:rsidRPr="008401AD">
        <w:rPr>
          <w:sz w:val="24"/>
          <w:szCs w:val="24"/>
          <w:lang w:val="en-GB"/>
        </w:rPr>
        <w:t>Theoretical approach</w:t>
      </w:r>
      <w:bookmarkEnd w:id="2"/>
      <w:r w:rsidRPr="008401AD">
        <w:rPr>
          <w:sz w:val="24"/>
          <w:szCs w:val="24"/>
          <w:lang w:val="en-GB"/>
        </w:rPr>
        <w:t>&lt;/H1&gt;</w:t>
      </w:r>
    </w:p>
    <w:p w14:paraId="471A725E" w14:textId="165DAE66" w:rsidR="00552D85" w:rsidRPr="008401AD" w:rsidRDefault="00B61C53" w:rsidP="00552D85">
      <w:pPr>
        <w:rPr>
          <w:szCs w:val="24"/>
          <w:lang w:val="en-GB"/>
        </w:rPr>
      </w:pPr>
      <w:r w:rsidRPr="008401AD">
        <w:rPr>
          <w:szCs w:val="24"/>
          <w:lang w:val="en-GB"/>
        </w:rPr>
        <w:t>&lt;NP&gt;</w:t>
      </w:r>
      <w:r w:rsidR="00552D85" w:rsidRPr="008401AD">
        <w:rPr>
          <w:szCs w:val="24"/>
          <w:lang w:val="en-GB"/>
        </w:rPr>
        <w:t>This collection is a contribution to the rapidly expanding field of media industry and media production studies (for overviews see Banks</w:t>
      </w:r>
      <w:r w:rsidR="00A9580E" w:rsidRPr="008401AD">
        <w:rPr>
          <w:szCs w:val="24"/>
          <w:lang w:val="en-GB"/>
        </w:rPr>
        <w:t xml:space="preserve"> et al.</w:t>
      </w:r>
      <w:r w:rsidR="00552D85" w:rsidRPr="008401AD">
        <w:rPr>
          <w:szCs w:val="24"/>
          <w:lang w:val="en-GB"/>
        </w:rPr>
        <w:t xml:space="preserve"> 2016</w:t>
      </w:r>
      <w:r w:rsidR="00A9580E" w:rsidRPr="008401AD">
        <w:rPr>
          <w:szCs w:val="24"/>
          <w:lang w:val="en-GB"/>
        </w:rPr>
        <w:t xml:space="preserve">; </w:t>
      </w:r>
      <w:proofErr w:type="spellStart"/>
      <w:r w:rsidR="00552D85" w:rsidRPr="008401AD">
        <w:rPr>
          <w:szCs w:val="24"/>
          <w:lang w:val="en-GB"/>
        </w:rPr>
        <w:t>Cottle</w:t>
      </w:r>
      <w:proofErr w:type="spellEnd"/>
      <w:r w:rsidR="00552D85" w:rsidRPr="008401AD">
        <w:rPr>
          <w:szCs w:val="24"/>
          <w:lang w:val="en-GB"/>
        </w:rPr>
        <w:t xml:space="preserve"> 2003</w:t>
      </w:r>
      <w:r w:rsidR="00A9580E" w:rsidRPr="008401AD">
        <w:rPr>
          <w:szCs w:val="24"/>
          <w:lang w:val="en-GB"/>
        </w:rPr>
        <w:t xml:space="preserve">; </w:t>
      </w:r>
      <w:r w:rsidR="00552D85" w:rsidRPr="008401AD">
        <w:rPr>
          <w:szCs w:val="24"/>
          <w:lang w:val="en-GB"/>
        </w:rPr>
        <w:t xml:space="preserve">Havens and </w:t>
      </w:r>
      <w:proofErr w:type="spellStart"/>
      <w:r w:rsidR="00552D85" w:rsidRPr="008401AD">
        <w:rPr>
          <w:szCs w:val="24"/>
          <w:lang w:val="en-GB"/>
        </w:rPr>
        <w:t>Lotz</w:t>
      </w:r>
      <w:proofErr w:type="spellEnd"/>
      <w:r w:rsidR="00552D85" w:rsidRPr="008401AD">
        <w:rPr>
          <w:szCs w:val="24"/>
          <w:lang w:val="en-GB"/>
        </w:rPr>
        <w:t xml:space="preserve"> 2011</w:t>
      </w:r>
      <w:r w:rsidR="00A9580E" w:rsidRPr="008401AD">
        <w:rPr>
          <w:szCs w:val="24"/>
          <w:lang w:val="en-GB"/>
        </w:rPr>
        <w:t xml:space="preserve">; </w:t>
      </w:r>
      <w:r w:rsidR="00552D85" w:rsidRPr="008401AD">
        <w:rPr>
          <w:szCs w:val="24"/>
          <w:lang w:val="en-GB"/>
        </w:rPr>
        <w:t xml:space="preserve">Holt and </w:t>
      </w:r>
      <w:proofErr w:type="spellStart"/>
      <w:r w:rsidR="00552D85" w:rsidRPr="008401AD">
        <w:rPr>
          <w:szCs w:val="24"/>
          <w:lang w:val="en-GB"/>
        </w:rPr>
        <w:t>Perren</w:t>
      </w:r>
      <w:proofErr w:type="spellEnd"/>
      <w:r w:rsidR="00552D85" w:rsidRPr="008401AD">
        <w:rPr>
          <w:szCs w:val="24"/>
          <w:lang w:val="en-GB"/>
        </w:rPr>
        <w:t xml:space="preserve"> 2009</w:t>
      </w:r>
      <w:r w:rsidR="00A9580E" w:rsidRPr="008401AD">
        <w:rPr>
          <w:szCs w:val="24"/>
          <w:lang w:val="en-GB"/>
        </w:rPr>
        <w:t xml:space="preserve">; </w:t>
      </w:r>
      <w:r w:rsidR="00552D85" w:rsidRPr="008401AD">
        <w:rPr>
          <w:szCs w:val="24"/>
          <w:lang w:val="en-GB"/>
        </w:rPr>
        <w:t>Mayer</w:t>
      </w:r>
      <w:r w:rsidR="00A9580E" w:rsidRPr="008401AD">
        <w:rPr>
          <w:szCs w:val="24"/>
          <w:lang w:val="en-GB"/>
        </w:rPr>
        <w:t xml:space="preserve"> et al.</w:t>
      </w:r>
      <w:r w:rsidR="00552D85" w:rsidRPr="008401AD">
        <w:rPr>
          <w:szCs w:val="24"/>
          <w:lang w:val="en-GB"/>
        </w:rPr>
        <w:t xml:space="preserve"> 2009</w:t>
      </w:r>
      <w:r w:rsidR="00A9580E" w:rsidRPr="008401AD">
        <w:rPr>
          <w:szCs w:val="24"/>
          <w:lang w:val="en-GB"/>
        </w:rPr>
        <w:t xml:space="preserve">; </w:t>
      </w:r>
      <w:r w:rsidR="00552D85" w:rsidRPr="008401AD">
        <w:rPr>
          <w:szCs w:val="24"/>
          <w:lang w:val="en-GB"/>
        </w:rPr>
        <w:t>McDonald 201</w:t>
      </w:r>
      <w:r w:rsidR="000419D1">
        <w:rPr>
          <w:szCs w:val="24"/>
          <w:lang w:val="en-GB"/>
        </w:rPr>
        <w:t>3</w:t>
      </w:r>
      <w:r w:rsidR="00BB5ACD" w:rsidRPr="008401AD">
        <w:rPr>
          <w:szCs w:val="24"/>
          <w:lang w:val="en-GB"/>
        </w:rPr>
        <w:t xml:space="preserve">; </w:t>
      </w:r>
      <w:r w:rsidR="00552D85" w:rsidRPr="008401AD">
        <w:rPr>
          <w:szCs w:val="24"/>
          <w:lang w:val="en-GB"/>
        </w:rPr>
        <w:t>Paterson et al. 2015).</w:t>
      </w:r>
      <w:r w:rsidR="00552D85" w:rsidRPr="008401AD">
        <w:rPr>
          <w:rStyle w:val="EndnoteReference"/>
          <w:rFonts w:ascii="Times New Roman" w:hAnsi="Times New Roman" w:cs="Times New Roman"/>
          <w:szCs w:val="24"/>
          <w:lang w:val="en-GB"/>
        </w:rPr>
        <w:endnoteReference w:id="4"/>
      </w:r>
      <w:r w:rsidR="00552D85" w:rsidRPr="008401AD">
        <w:rPr>
          <w:szCs w:val="24"/>
          <w:lang w:val="en-GB"/>
        </w:rPr>
        <w:t xml:space="preserve"> Studies of media industries/media production draw on a broad range of disciplines and analytical approaches (Freeman 2016</w:t>
      </w:r>
      <w:r w:rsidR="00BB5ACD" w:rsidRPr="008401AD">
        <w:rPr>
          <w:szCs w:val="24"/>
          <w:lang w:val="en-GB"/>
        </w:rPr>
        <w:t xml:space="preserve">; </w:t>
      </w:r>
      <w:proofErr w:type="spellStart"/>
      <w:r w:rsidR="00552D85" w:rsidRPr="008401AD">
        <w:rPr>
          <w:szCs w:val="24"/>
          <w:lang w:val="en-GB"/>
        </w:rPr>
        <w:t>Hesmondhalgh</w:t>
      </w:r>
      <w:proofErr w:type="spellEnd"/>
      <w:r w:rsidR="00552D85" w:rsidRPr="008401AD">
        <w:rPr>
          <w:szCs w:val="24"/>
          <w:lang w:val="en-GB"/>
        </w:rPr>
        <w:t xml:space="preserve"> 2009, 2010, 2013</w:t>
      </w:r>
      <w:r w:rsidR="00BB5ACD" w:rsidRPr="008401AD">
        <w:rPr>
          <w:szCs w:val="24"/>
          <w:lang w:val="en-GB"/>
        </w:rPr>
        <w:t xml:space="preserve">; </w:t>
      </w:r>
      <w:r w:rsidR="00552D85" w:rsidRPr="008401AD">
        <w:rPr>
          <w:szCs w:val="24"/>
          <w:lang w:val="en-GB"/>
        </w:rPr>
        <w:t xml:space="preserve">Paterson et al. 2015) and </w:t>
      </w:r>
      <w:r w:rsidR="00BB5ACD" w:rsidRPr="008401AD">
        <w:rPr>
          <w:szCs w:val="24"/>
          <w:lang w:val="en-GB"/>
        </w:rPr>
        <w:t xml:space="preserve">have </w:t>
      </w:r>
      <w:r w:rsidR="00552D85" w:rsidRPr="008401AD">
        <w:rPr>
          <w:szCs w:val="24"/>
          <w:lang w:val="en-GB"/>
        </w:rPr>
        <w:t>a long, if not always acknowledged, history (Mayer</w:t>
      </w:r>
      <w:r w:rsidR="00BB5ACD" w:rsidRPr="008401AD">
        <w:rPr>
          <w:szCs w:val="24"/>
          <w:lang w:val="en-GB"/>
        </w:rPr>
        <w:t xml:space="preserve"> et al.</w:t>
      </w:r>
      <w:r w:rsidR="00552D85" w:rsidRPr="008401AD">
        <w:rPr>
          <w:szCs w:val="24"/>
          <w:lang w:val="en-GB"/>
        </w:rPr>
        <w:t xml:space="preserve"> 2009</w:t>
      </w:r>
      <w:r w:rsidR="00BB5ACD" w:rsidRPr="008401AD">
        <w:rPr>
          <w:szCs w:val="24"/>
          <w:lang w:val="en-GB"/>
        </w:rPr>
        <w:t xml:space="preserve">; </w:t>
      </w:r>
      <w:proofErr w:type="spellStart"/>
      <w:r w:rsidR="00552D85" w:rsidRPr="008401AD">
        <w:rPr>
          <w:szCs w:val="24"/>
          <w:lang w:val="en-GB"/>
        </w:rPr>
        <w:t>Wasko</w:t>
      </w:r>
      <w:proofErr w:type="spellEnd"/>
      <w:r w:rsidR="00552D85" w:rsidRPr="008401AD">
        <w:rPr>
          <w:szCs w:val="24"/>
          <w:lang w:val="en-GB"/>
        </w:rPr>
        <w:t xml:space="preserve"> 2015). One of the most influential approaches has been political economy, defined as </w:t>
      </w:r>
      <w:r w:rsidR="00C56A9C" w:rsidRPr="008401AD">
        <w:rPr>
          <w:szCs w:val="24"/>
          <w:lang w:val="en-GB"/>
        </w:rPr>
        <w:t>‘</w:t>
      </w:r>
      <w:r w:rsidR="00552D85" w:rsidRPr="008401AD">
        <w:rPr>
          <w:szCs w:val="24"/>
          <w:lang w:val="en-GB"/>
        </w:rPr>
        <w:t>the study of the social relations, particularly the power relations that mutually constitute the production, distribution, and consumption of resources</w:t>
      </w:r>
      <w:r w:rsidR="00C56A9C" w:rsidRPr="008401AD">
        <w:rPr>
          <w:szCs w:val="24"/>
          <w:lang w:val="en-GB"/>
        </w:rPr>
        <w:t>’</w:t>
      </w:r>
      <w:r w:rsidR="00552D85" w:rsidRPr="008401AD">
        <w:rPr>
          <w:szCs w:val="24"/>
          <w:lang w:val="en-GB"/>
        </w:rPr>
        <w:t xml:space="preserve"> (Mosco 2009: 2) and which focuses on the </w:t>
      </w:r>
      <w:r w:rsidR="00C56A9C" w:rsidRPr="008401AD">
        <w:rPr>
          <w:szCs w:val="24"/>
          <w:lang w:val="en-GB"/>
        </w:rPr>
        <w:t>‘</w:t>
      </w:r>
      <w:r w:rsidR="00552D85" w:rsidRPr="008401AD">
        <w:rPr>
          <w:szCs w:val="24"/>
          <w:lang w:val="en-GB"/>
        </w:rPr>
        <w:t>fundamental forces and processes at work in the marketplace</w:t>
      </w:r>
      <w:r w:rsidR="00C56A9C" w:rsidRPr="008401AD">
        <w:rPr>
          <w:szCs w:val="24"/>
          <w:lang w:val="en-GB"/>
        </w:rPr>
        <w:t>’</w:t>
      </w:r>
      <w:r w:rsidR="00552D85" w:rsidRPr="008401AD">
        <w:rPr>
          <w:szCs w:val="24"/>
          <w:lang w:val="en-GB"/>
        </w:rPr>
        <w:t xml:space="preserve"> (2009: 24). This view informed Richard Caves’ </w:t>
      </w:r>
      <w:r w:rsidR="00552D85" w:rsidRPr="008401AD">
        <w:rPr>
          <w:i/>
          <w:szCs w:val="24"/>
          <w:lang w:val="en-GB"/>
        </w:rPr>
        <w:t xml:space="preserve">Creative Industries </w:t>
      </w:r>
      <w:r w:rsidR="00552D85" w:rsidRPr="008401AD">
        <w:rPr>
          <w:szCs w:val="24"/>
          <w:lang w:val="en-GB"/>
        </w:rPr>
        <w:t>(2000) and its persuasive concept of unstable and conflicted ‘contracts’ between art and commerce.</w:t>
      </w:r>
      <w:r w:rsidR="00552D85" w:rsidRPr="008401AD">
        <w:rPr>
          <w:rStyle w:val="EndnoteReference"/>
          <w:rFonts w:ascii="Times New Roman" w:hAnsi="Times New Roman" w:cs="Times New Roman"/>
          <w:szCs w:val="24"/>
          <w:lang w:val="en-GB"/>
        </w:rPr>
        <w:endnoteReference w:id="5"/>
      </w:r>
      <w:r w:rsidR="00552D85" w:rsidRPr="008401AD">
        <w:rPr>
          <w:szCs w:val="24"/>
          <w:lang w:val="en-GB"/>
        </w:rPr>
        <w:t xml:space="preserve"> With its interest in macro processes and underpinning structures, political economy has been described as the </w:t>
      </w:r>
      <w:r w:rsidR="0065492E" w:rsidRPr="008401AD">
        <w:rPr>
          <w:szCs w:val="24"/>
          <w:lang w:val="en-GB"/>
        </w:rPr>
        <w:t>‘</w:t>
      </w:r>
      <w:r w:rsidR="00552D85" w:rsidRPr="008401AD">
        <w:rPr>
          <w:szCs w:val="24"/>
          <w:lang w:val="en-GB"/>
        </w:rPr>
        <w:t>jet plane view</w:t>
      </w:r>
      <w:r w:rsidR="0065492E" w:rsidRPr="008401AD">
        <w:rPr>
          <w:szCs w:val="24"/>
          <w:lang w:val="en-GB"/>
        </w:rPr>
        <w:t>’</w:t>
      </w:r>
      <w:r w:rsidR="00552D85" w:rsidRPr="008401AD">
        <w:rPr>
          <w:szCs w:val="24"/>
          <w:lang w:val="en-GB"/>
        </w:rPr>
        <w:t xml:space="preserve"> of the media (Havens</w:t>
      </w:r>
      <w:r w:rsidR="00C56A9C" w:rsidRPr="008401AD">
        <w:rPr>
          <w:szCs w:val="24"/>
          <w:lang w:val="en-GB"/>
        </w:rPr>
        <w:t xml:space="preserve"> et al.</w:t>
      </w:r>
      <w:r w:rsidR="00552D85" w:rsidRPr="008401AD">
        <w:rPr>
          <w:szCs w:val="24"/>
          <w:lang w:val="en-GB"/>
        </w:rPr>
        <w:t xml:space="preserve"> 2009).</w:t>
      </w:r>
      <w:r w:rsidRPr="008401AD">
        <w:rPr>
          <w:szCs w:val="24"/>
          <w:lang w:val="en-GB"/>
        </w:rPr>
        <w:t>&lt;/NP&gt;</w:t>
      </w:r>
    </w:p>
    <w:p w14:paraId="5CA25D6F" w14:textId="6724320B" w:rsidR="00552D85" w:rsidRPr="008401AD" w:rsidRDefault="00B61C53" w:rsidP="00552D85">
      <w:pPr>
        <w:rPr>
          <w:szCs w:val="24"/>
          <w:lang w:val="en-GB"/>
        </w:rPr>
      </w:pPr>
      <w:r w:rsidRPr="008401AD">
        <w:rPr>
          <w:szCs w:val="24"/>
          <w:lang w:val="en-GB"/>
        </w:rPr>
        <w:t>&lt;TEXT&gt;</w:t>
      </w:r>
      <w:r w:rsidR="00552D85" w:rsidRPr="008401AD">
        <w:rPr>
          <w:szCs w:val="24"/>
          <w:lang w:val="en-GB"/>
        </w:rPr>
        <w:t>This collection is indebted to political economy studies in its emphasis on how the various national film and television industries are shaped by overarching political, economic, social and cultural factors</w:t>
      </w:r>
      <w:r w:rsidR="0065492E" w:rsidRPr="008401AD">
        <w:rPr>
          <w:szCs w:val="24"/>
          <w:lang w:val="en-GB"/>
        </w:rPr>
        <w:t>,</w:t>
      </w:r>
      <w:r w:rsidR="00552D85" w:rsidRPr="008401AD">
        <w:rPr>
          <w:szCs w:val="24"/>
          <w:lang w:val="en-GB"/>
        </w:rPr>
        <w:t xml:space="preserve"> including </w:t>
      </w:r>
      <w:r w:rsidR="00145F90" w:rsidRPr="008401AD">
        <w:rPr>
          <w:szCs w:val="24"/>
          <w:lang w:val="en-GB"/>
        </w:rPr>
        <w:t xml:space="preserve">how </w:t>
      </w:r>
      <w:r w:rsidR="00552D85" w:rsidRPr="008401AD">
        <w:rPr>
          <w:szCs w:val="24"/>
          <w:lang w:val="en-GB"/>
        </w:rPr>
        <w:t>national media regulations and policies influence the operations of the companies. However, in this approach the detailed characteristics of their actions remain unanalysed. In addressing this issue, this collection is indebted to work in cultural studies, which understand</w:t>
      </w:r>
      <w:r w:rsidR="0065492E" w:rsidRPr="008401AD">
        <w:rPr>
          <w:szCs w:val="24"/>
          <w:lang w:val="en-GB"/>
        </w:rPr>
        <w:t>s</w:t>
      </w:r>
      <w:r w:rsidR="00552D85" w:rsidRPr="008401AD">
        <w:rPr>
          <w:szCs w:val="24"/>
          <w:lang w:val="en-GB"/>
        </w:rPr>
        <w:t xml:space="preserve"> culture as a site of struggle, negotiations and attempts to achieve hegemony. Cultural studies provide a </w:t>
      </w:r>
      <w:r w:rsidR="00145F90" w:rsidRPr="008401AD">
        <w:rPr>
          <w:szCs w:val="24"/>
          <w:lang w:val="en-GB"/>
        </w:rPr>
        <w:t>‘</w:t>
      </w:r>
      <w:r w:rsidR="00552D85" w:rsidRPr="008401AD">
        <w:rPr>
          <w:szCs w:val="24"/>
          <w:lang w:val="en-GB"/>
        </w:rPr>
        <w:t>helicopter view</w:t>
      </w:r>
      <w:r w:rsidR="00145F90" w:rsidRPr="008401AD">
        <w:rPr>
          <w:szCs w:val="24"/>
          <w:lang w:val="en-GB"/>
        </w:rPr>
        <w:t>’</w:t>
      </w:r>
      <w:r w:rsidR="00552D85" w:rsidRPr="008401AD">
        <w:rPr>
          <w:szCs w:val="24"/>
          <w:lang w:val="en-GB"/>
        </w:rPr>
        <w:t xml:space="preserve"> that highlights the details and complexities not visible from the jet plane view of political economy (Havens</w:t>
      </w:r>
      <w:r w:rsidR="00C56A9C" w:rsidRPr="008401AD">
        <w:rPr>
          <w:szCs w:val="24"/>
          <w:lang w:val="en-GB"/>
        </w:rPr>
        <w:t xml:space="preserve"> et al.</w:t>
      </w:r>
      <w:r w:rsidR="00552D85" w:rsidRPr="008401AD">
        <w:rPr>
          <w:szCs w:val="24"/>
          <w:lang w:val="en-GB"/>
        </w:rPr>
        <w:t xml:space="preserve"> 2009: 239). In doing so, this approach </w:t>
      </w:r>
      <w:r w:rsidR="00040075" w:rsidRPr="008401AD">
        <w:rPr>
          <w:szCs w:val="24"/>
          <w:lang w:val="en-GB"/>
        </w:rPr>
        <w:t xml:space="preserve">challenges </w:t>
      </w:r>
      <w:r w:rsidR="00552D85" w:rsidRPr="008401AD">
        <w:rPr>
          <w:szCs w:val="24"/>
          <w:lang w:val="en-GB"/>
        </w:rPr>
        <w:t>a monolithic view of the media industries by foregrounding the role of individual agents within larger media structures, both high</w:t>
      </w:r>
      <w:r w:rsidR="00145F90" w:rsidRPr="008401AD">
        <w:rPr>
          <w:szCs w:val="24"/>
          <w:lang w:val="en-GB"/>
        </w:rPr>
        <w:t>-</w:t>
      </w:r>
      <w:r w:rsidR="00552D85" w:rsidRPr="008401AD">
        <w:rPr>
          <w:szCs w:val="24"/>
          <w:lang w:val="en-GB"/>
        </w:rPr>
        <w:t>placed managers and ‘below the line’ workers (Bennett and Strange 2015</w:t>
      </w:r>
      <w:r w:rsidR="00C56A9C" w:rsidRPr="008401AD">
        <w:rPr>
          <w:szCs w:val="24"/>
          <w:lang w:val="en-GB"/>
        </w:rPr>
        <w:t xml:space="preserve">; </w:t>
      </w:r>
      <w:r w:rsidR="00552D85" w:rsidRPr="008401AD">
        <w:rPr>
          <w:szCs w:val="24"/>
          <w:lang w:val="en-GB"/>
        </w:rPr>
        <w:t>Caldwell 2008</w:t>
      </w:r>
      <w:r w:rsidR="00C56A9C" w:rsidRPr="008401AD">
        <w:rPr>
          <w:szCs w:val="24"/>
          <w:lang w:val="en-GB"/>
        </w:rPr>
        <w:t xml:space="preserve">; </w:t>
      </w:r>
      <w:r w:rsidR="00552D85" w:rsidRPr="008401AD">
        <w:rPr>
          <w:szCs w:val="24"/>
          <w:lang w:val="en-GB"/>
        </w:rPr>
        <w:t>Havens</w:t>
      </w:r>
      <w:r w:rsidR="00C56A9C" w:rsidRPr="008401AD">
        <w:rPr>
          <w:szCs w:val="24"/>
          <w:lang w:val="en-GB"/>
        </w:rPr>
        <w:t xml:space="preserve"> et al. </w:t>
      </w:r>
      <w:r w:rsidR="00552D85" w:rsidRPr="008401AD">
        <w:rPr>
          <w:szCs w:val="24"/>
          <w:lang w:val="en-GB"/>
        </w:rPr>
        <w:t>2009</w:t>
      </w:r>
      <w:r w:rsidR="00145F90" w:rsidRPr="008401AD">
        <w:rPr>
          <w:szCs w:val="24"/>
          <w:lang w:val="en-GB"/>
        </w:rPr>
        <w:t xml:space="preserve">; </w:t>
      </w:r>
      <w:r w:rsidR="00552D85" w:rsidRPr="008401AD">
        <w:rPr>
          <w:szCs w:val="24"/>
          <w:lang w:val="en-GB"/>
        </w:rPr>
        <w:t xml:space="preserve">Holt and </w:t>
      </w:r>
      <w:proofErr w:type="spellStart"/>
      <w:r w:rsidR="00552D85" w:rsidRPr="008401AD">
        <w:rPr>
          <w:szCs w:val="24"/>
          <w:lang w:val="en-GB"/>
        </w:rPr>
        <w:t>Perren</w:t>
      </w:r>
      <w:proofErr w:type="spellEnd"/>
      <w:r w:rsidR="00552D85" w:rsidRPr="008401AD">
        <w:rPr>
          <w:szCs w:val="24"/>
          <w:lang w:val="en-GB"/>
        </w:rPr>
        <w:t xml:space="preserve"> 2009</w:t>
      </w:r>
      <w:r w:rsidR="00145F90" w:rsidRPr="008401AD">
        <w:rPr>
          <w:szCs w:val="24"/>
          <w:lang w:val="en-GB"/>
        </w:rPr>
        <w:t xml:space="preserve">; </w:t>
      </w:r>
      <w:r w:rsidR="00552D85" w:rsidRPr="008401AD">
        <w:rPr>
          <w:szCs w:val="24"/>
          <w:lang w:val="en-GB"/>
        </w:rPr>
        <w:t>Johnson</w:t>
      </w:r>
      <w:r w:rsidR="00145F90" w:rsidRPr="008401AD">
        <w:rPr>
          <w:szCs w:val="24"/>
          <w:lang w:val="en-GB"/>
        </w:rPr>
        <w:t xml:space="preserve"> et al.</w:t>
      </w:r>
      <w:r w:rsidR="00552D85" w:rsidRPr="008401AD">
        <w:rPr>
          <w:szCs w:val="24"/>
          <w:lang w:val="en-GB"/>
        </w:rPr>
        <w:t xml:space="preserve"> 2015</w:t>
      </w:r>
      <w:r w:rsidR="00145F90" w:rsidRPr="008401AD">
        <w:rPr>
          <w:szCs w:val="24"/>
          <w:lang w:val="en-GB"/>
        </w:rPr>
        <w:t xml:space="preserve">; </w:t>
      </w:r>
      <w:r w:rsidR="00552D85" w:rsidRPr="008401AD">
        <w:rPr>
          <w:szCs w:val="24"/>
          <w:lang w:val="en-GB"/>
        </w:rPr>
        <w:t xml:space="preserve">Mayer 2011). This collection employs </w:t>
      </w:r>
      <w:r w:rsidR="00ED2921">
        <w:rPr>
          <w:szCs w:val="24"/>
          <w:lang w:val="en-GB"/>
        </w:rPr>
        <w:t xml:space="preserve">a </w:t>
      </w:r>
      <w:r w:rsidR="00552D85" w:rsidRPr="008401AD">
        <w:rPr>
          <w:szCs w:val="24"/>
          <w:lang w:val="en-GB"/>
        </w:rPr>
        <w:t xml:space="preserve">granular attention to detail to give a concrete sense of the actual working practices of specific companies and to foreground the role played by particular agents in their organization. </w:t>
      </w:r>
    </w:p>
    <w:p w14:paraId="5BE74AA2" w14:textId="69B89018" w:rsidR="00552D85" w:rsidRPr="008401AD" w:rsidRDefault="00552D85" w:rsidP="00552D85">
      <w:pPr>
        <w:rPr>
          <w:szCs w:val="24"/>
          <w:lang w:val="en-GB"/>
        </w:rPr>
      </w:pPr>
      <w:r w:rsidRPr="008401AD">
        <w:rPr>
          <w:szCs w:val="24"/>
          <w:lang w:val="en-GB"/>
        </w:rPr>
        <w:t xml:space="preserve">However, the </w:t>
      </w:r>
      <w:proofErr w:type="spellStart"/>
      <w:r w:rsidRPr="008401AD">
        <w:rPr>
          <w:szCs w:val="24"/>
          <w:lang w:val="en-GB"/>
        </w:rPr>
        <w:t>SiFTI</w:t>
      </w:r>
      <w:proofErr w:type="spellEnd"/>
      <w:r w:rsidRPr="008401AD">
        <w:rPr>
          <w:szCs w:val="24"/>
          <w:lang w:val="en-GB"/>
        </w:rPr>
        <w:t xml:space="preserve"> project’s interest in company success and survival sets it apart from the cultural studies tradition with its basically Marxist concentration on the political dynamics of cultural life and its potentially subversive or suppressive practices. The </w:t>
      </w:r>
      <w:r w:rsidR="00040075" w:rsidRPr="008401AD">
        <w:rPr>
          <w:szCs w:val="24"/>
          <w:lang w:val="en-GB"/>
        </w:rPr>
        <w:t>research that</w:t>
      </w:r>
      <w:r w:rsidRPr="008401AD">
        <w:rPr>
          <w:szCs w:val="24"/>
          <w:lang w:val="en-GB"/>
        </w:rPr>
        <w:t xml:space="preserve"> this book </w:t>
      </w:r>
      <w:r w:rsidR="00145F90" w:rsidRPr="008401AD">
        <w:rPr>
          <w:szCs w:val="24"/>
          <w:lang w:val="en-GB"/>
        </w:rPr>
        <w:t xml:space="preserve">is </w:t>
      </w:r>
      <w:r w:rsidRPr="008401AD">
        <w:rPr>
          <w:szCs w:val="24"/>
          <w:lang w:val="en-GB"/>
        </w:rPr>
        <w:t>based upon has taken a more anthropological cast (Schlesinger 2015), characterized by close</w:t>
      </w:r>
      <w:r w:rsidR="00CF5F9A" w:rsidRPr="008401AD">
        <w:rPr>
          <w:szCs w:val="24"/>
          <w:lang w:val="en-GB"/>
        </w:rPr>
        <w:t>-</w:t>
      </w:r>
      <w:r w:rsidRPr="008401AD">
        <w:rPr>
          <w:szCs w:val="24"/>
          <w:lang w:val="en-GB"/>
        </w:rPr>
        <w:t xml:space="preserve">textured ‘thick descriptions’ (Geertz </w:t>
      </w:r>
      <w:r w:rsidR="007670DA" w:rsidRPr="008401AD">
        <w:rPr>
          <w:szCs w:val="24"/>
          <w:lang w:val="en-GB"/>
        </w:rPr>
        <w:t xml:space="preserve">[1973] </w:t>
      </w:r>
      <w:r w:rsidRPr="008401AD">
        <w:rPr>
          <w:szCs w:val="24"/>
          <w:lang w:val="en-GB"/>
        </w:rPr>
        <w:t>1993) of specific instances derived from detailed, qualitative interviews and observations. However, as Georgina Born has argued, this does not mean ‘going native’ and adopting the position of the informants</w:t>
      </w:r>
      <w:r w:rsidR="00040075" w:rsidRPr="008401AD">
        <w:rPr>
          <w:szCs w:val="24"/>
          <w:lang w:val="en-GB"/>
        </w:rPr>
        <w:t>,</w:t>
      </w:r>
      <w:r w:rsidRPr="008401AD">
        <w:rPr>
          <w:szCs w:val="24"/>
          <w:lang w:val="en-GB"/>
        </w:rPr>
        <w:t xml:space="preserve"> but maintaining a </w:t>
      </w:r>
      <w:r w:rsidR="00145F90" w:rsidRPr="008401AD">
        <w:rPr>
          <w:szCs w:val="24"/>
          <w:lang w:val="en-GB"/>
        </w:rPr>
        <w:t>‘</w:t>
      </w:r>
      <w:r w:rsidRPr="008401AD">
        <w:rPr>
          <w:szCs w:val="24"/>
          <w:lang w:val="en-GB"/>
        </w:rPr>
        <w:t>critical analytical distance</w:t>
      </w:r>
      <w:r w:rsidR="00145F90" w:rsidRPr="008401AD">
        <w:rPr>
          <w:szCs w:val="24"/>
          <w:lang w:val="en-GB"/>
        </w:rPr>
        <w:t>’</w:t>
      </w:r>
      <w:r w:rsidRPr="008401AD">
        <w:rPr>
          <w:szCs w:val="24"/>
          <w:lang w:val="en-GB"/>
        </w:rPr>
        <w:t xml:space="preserve">, achieving a </w:t>
      </w:r>
      <w:r w:rsidR="00145F90" w:rsidRPr="008401AD">
        <w:rPr>
          <w:szCs w:val="24"/>
          <w:lang w:val="en-GB"/>
        </w:rPr>
        <w:t>‘</w:t>
      </w:r>
      <w:r w:rsidRPr="008401AD">
        <w:rPr>
          <w:szCs w:val="24"/>
          <w:lang w:val="en-GB"/>
        </w:rPr>
        <w:t xml:space="preserve">kind of double consciousness – </w:t>
      </w:r>
      <w:r w:rsidRPr="008401AD">
        <w:rPr>
          <w:i/>
          <w:szCs w:val="24"/>
          <w:lang w:val="en-GB"/>
        </w:rPr>
        <w:t>both</w:t>
      </w:r>
      <w:r w:rsidRPr="008401AD">
        <w:rPr>
          <w:szCs w:val="24"/>
          <w:lang w:val="en-GB"/>
        </w:rPr>
        <w:t xml:space="preserve"> empathy</w:t>
      </w:r>
      <w:r w:rsidRPr="008401AD">
        <w:rPr>
          <w:i/>
          <w:szCs w:val="24"/>
          <w:lang w:val="en-GB"/>
        </w:rPr>
        <w:t xml:space="preserve"> and </w:t>
      </w:r>
      <w:r w:rsidRPr="008401AD">
        <w:rPr>
          <w:szCs w:val="24"/>
          <w:lang w:val="en-GB"/>
        </w:rPr>
        <w:t>distance</w:t>
      </w:r>
      <w:r w:rsidR="00145F90" w:rsidRPr="008401AD">
        <w:rPr>
          <w:szCs w:val="24"/>
          <w:lang w:val="en-GB"/>
        </w:rPr>
        <w:t>’</w:t>
      </w:r>
      <w:r w:rsidRPr="008401AD">
        <w:rPr>
          <w:szCs w:val="24"/>
          <w:lang w:val="en-GB"/>
        </w:rPr>
        <w:t xml:space="preserve"> that focuses on </w:t>
      </w:r>
      <w:r w:rsidR="00145F90" w:rsidRPr="008401AD">
        <w:rPr>
          <w:szCs w:val="24"/>
          <w:lang w:val="en-GB"/>
        </w:rPr>
        <w:t>‘</w:t>
      </w:r>
      <w:r w:rsidRPr="008401AD">
        <w:rPr>
          <w:szCs w:val="24"/>
          <w:lang w:val="en-GB"/>
        </w:rPr>
        <w:t>individual and collective agency</w:t>
      </w:r>
      <w:r w:rsidR="00145F90" w:rsidRPr="008401AD">
        <w:rPr>
          <w:szCs w:val="24"/>
          <w:lang w:val="en-GB"/>
        </w:rPr>
        <w:t>’</w:t>
      </w:r>
      <w:r w:rsidRPr="008401AD">
        <w:rPr>
          <w:szCs w:val="24"/>
          <w:lang w:val="en-GB"/>
        </w:rPr>
        <w:t xml:space="preserve">. She argues that such close-grained attention is </w:t>
      </w:r>
      <w:r w:rsidR="00145F90" w:rsidRPr="008401AD">
        <w:rPr>
          <w:szCs w:val="24"/>
          <w:lang w:val="en-GB"/>
        </w:rPr>
        <w:t>‘</w:t>
      </w:r>
      <w:r w:rsidRPr="008401AD">
        <w:rPr>
          <w:szCs w:val="24"/>
          <w:lang w:val="en-GB"/>
        </w:rPr>
        <w:t>a particularly good way of learning about the complexities of the object. It is also a good method for interrogating and reworking the structural readings of macro process that can be derived from political-economic analysis</w:t>
      </w:r>
      <w:r w:rsidR="006972C8" w:rsidRPr="008401AD">
        <w:rPr>
          <w:szCs w:val="24"/>
          <w:lang w:val="en-GB"/>
        </w:rPr>
        <w:t>’</w:t>
      </w:r>
      <w:r w:rsidRPr="008401AD">
        <w:rPr>
          <w:szCs w:val="24"/>
          <w:lang w:val="en-GB"/>
        </w:rPr>
        <w:t xml:space="preserve"> (Born 2000: 409</w:t>
      </w:r>
      <w:r w:rsidR="00022C3F" w:rsidRPr="008401AD">
        <w:rPr>
          <w:szCs w:val="24"/>
          <w:lang w:val="en-GB"/>
        </w:rPr>
        <w:t>,</w:t>
      </w:r>
      <w:r w:rsidRPr="008401AD">
        <w:rPr>
          <w:szCs w:val="24"/>
          <w:lang w:val="en-GB"/>
        </w:rPr>
        <w:t xml:space="preserve"> original emphasis). Contributors to this volume have attempted to achieve this ‘double consciousness’, a point that will be discussed further in the section on methodology.</w:t>
      </w:r>
      <w:r w:rsidR="00B61C53" w:rsidRPr="008401AD">
        <w:rPr>
          <w:szCs w:val="24"/>
          <w:lang w:val="en-GB"/>
        </w:rPr>
        <w:t>&lt;/TEXT&gt;</w:t>
      </w:r>
      <w:r w:rsidRPr="008401AD">
        <w:rPr>
          <w:szCs w:val="24"/>
          <w:lang w:val="en-GB"/>
        </w:rPr>
        <w:t xml:space="preserve"> </w:t>
      </w:r>
    </w:p>
    <w:p w14:paraId="5327047D" w14:textId="77777777" w:rsidR="00552D85" w:rsidRPr="008401AD" w:rsidRDefault="00552D85" w:rsidP="00552D85">
      <w:pPr>
        <w:rPr>
          <w:szCs w:val="24"/>
          <w:lang w:val="en-GB"/>
        </w:rPr>
      </w:pPr>
    </w:p>
    <w:p w14:paraId="1AE40EDF" w14:textId="687CDC55" w:rsidR="00552D85" w:rsidRPr="008401AD" w:rsidRDefault="00B61C53" w:rsidP="00552D85">
      <w:pPr>
        <w:pStyle w:val="Heading1"/>
        <w:rPr>
          <w:sz w:val="24"/>
          <w:szCs w:val="24"/>
          <w:lang w:val="en-GB"/>
        </w:rPr>
      </w:pPr>
      <w:bookmarkStart w:id="3" w:name="_Toc469423960"/>
      <w:r w:rsidRPr="008401AD">
        <w:rPr>
          <w:sz w:val="24"/>
          <w:szCs w:val="24"/>
          <w:lang w:val="en-GB"/>
        </w:rPr>
        <w:t>&lt;H1&gt;</w:t>
      </w:r>
      <w:r w:rsidR="006972C8" w:rsidRPr="008401AD">
        <w:rPr>
          <w:sz w:val="24"/>
          <w:szCs w:val="24"/>
          <w:lang w:val="en-GB"/>
        </w:rPr>
        <w:t xml:space="preserve">Analysing </w:t>
      </w:r>
      <w:r w:rsidR="00552D85" w:rsidRPr="008401AD">
        <w:rPr>
          <w:sz w:val="24"/>
          <w:szCs w:val="24"/>
          <w:lang w:val="en-GB"/>
        </w:rPr>
        <w:t>companies’ production/organization cultures</w:t>
      </w:r>
      <w:bookmarkEnd w:id="3"/>
      <w:r w:rsidRPr="008401AD">
        <w:rPr>
          <w:sz w:val="24"/>
          <w:szCs w:val="24"/>
          <w:lang w:val="en-GB"/>
        </w:rPr>
        <w:t>&lt;/H1&gt;</w:t>
      </w:r>
    </w:p>
    <w:p w14:paraId="3A1B4439" w14:textId="77777777" w:rsidR="00552D85" w:rsidRPr="008401AD" w:rsidRDefault="00B61C53" w:rsidP="00552D85">
      <w:pPr>
        <w:rPr>
          <w:szCs w:val="24"/>
          <w:lang w:val="en-GB"/>
        </w:rPr>
      </w:pPr>
      <w:r w:rsidRPr="008401AD">
        <w:rPr>
          <w:szCs w:val="24"/>
          <w:lang w:val="en-GB"/>
        </w:rPr>
        <w:t>&lt;NP&gt;</w:t>
      </w:r>
      <w:r w:rsidR="00552D85" w:rsidRPr="008401AD">
        <w:rPr>
          <w:szCs w:val="24"/>
          <w:lang w:val="en-GB"/>
        </w:rPr>
        <w:t>As already indicated, the particular focus of this collection is on analyses of micro-, small- and medium-sized film and television companies. Robert Picard argues persuasively for the importance of a close-grained study of individual media companies:</w:t>
      </w:r>
      <w:r w:rsidRPr="008401AD">
        <w:rPr>
          <w:szCs w:val="24"/>
          <w:lang w:val="en-GB"/>
        </w:rPr>
        <w:t>&lt;/NP&gt;</w:t>
      </w:r>
    </w:p>
    <w:p w14:paraId="431515EC" w14:textId="212EA4D7" w:rsidR="00552D85" w:rsidRPr="008401AD" w:rsidRDefault="00B61C53" w:rsidP="00552D85">
      <w:pPr>
        <w:rPr>
          <w:color w:val="FF0000"/>
          <w:szCs w:val="24"/>
          <w:lang w:val="en-GB"/>
        </w:rPr>
      </w:pPr>
      <w:r w:rsidRPr="008401AD">
        <w:rPr>
          <w:szCs w:val="24"/>
          <w:lang w:val="en-GB"/>
        </w:rPr>
        <w:t>&lt;EXT&gt;</w:t>
      </w:r>
      <w:r w:rsidR="00552D85" w:rsidRPr="008401AD">
        <w:rPr>
          <w:szCs w:val="24"/>
          <w:lang w:val="en-GB"/>
        </w:rPr>
        <w:t xml:space="preserve">A weak understanding of the theory of the firm has led numerous media observers who do not take a company perspective to make sweeping generalizations about how media companies operate, without discriminating between companies that make very different choices in pursuing profit and company values. These ignore many of the complexities of company organization and governance </w:t>
      </w:r>
      <w:r w:rsidR="0031232A" w:rsidRPr="008401AD">
        <w:rPr>
          <w:szCs w:val="24"/>
          <w:lang w:val="en-GB"/>
        </w:rPr>
        <w:t>[</w:t>
      </w:r>
      <w:r w:rsidR="0031232A" w:rsidRPr="008401AD">
        <w:rPr>
          <w:szCs w:val="24"/>
          <w:lang w:val="en-GB"/>
        </w:rPr>
        <w:sym w:font="Symbol" w:char="F0BC"/>
      </w:r>
      <w:r w:rsidR="0031232A" w:rsidRPr="008401AD">
        <w:rPr>
          <w:szCs w:val="24"/>
          <w:lang w:val="en-GB"/>
        </w:rPr>
        <w:t>]</w:t>
      </w:r>
      <w:r w:rsidR="00552D85" w:rsidRPr="008401AD">
        <w:rPr>
          <w:szCs w:val="24"/>
          <w:lang w:val="en-GB"/>
        </w:rPr>
        <w:t xml:space="preserve"> assume a simplistic firm structure, operation, and performance, and present a deterministic view of the ability of managers to fully control firms and their performance.</w:t>
      </w:r>
      <w:r w:rsidRPr="008401AD">
        <w:rPr>
          <w:szCs w:val="24"/>
          <w:lang w:val="en-GB"/>
        </w:rPr>
        <w:t>&lt;/EXT&gt; &lt;SRC&gt;</w:t>
      </w:r>
      <w:r w:rsidR="00552D85" w:rsidRPr="008401AD">
        <w:rPr>
          <w:szCs w:val="24"/>
          <w:lang w:val="en-GB"/>
        </w:rPr>
        <w:t xml:space="preserve"> (</w:t>
      </w:r>
      <w:r w:rsidR="00A01B68" w:rsidRPr="008401AD">
        <w:rPr>
          <w:szCs w:val="24"/>
          <w:lang w:val="en-GB"/>
        </w:rPr>
        <w:t xml:space="preserve">[2002] </w:t>
      </w:r>
      <w:r w:rsidR="00552D85" w:rsidRPr="008401AD">
        <w:rPr>
          <w:szCs w:val="24"/>
          <w:lang w:val="en-GB"/>
        </w:rPr>
        <w:t>2011: 2)</w:t>
      </w:r>
      <w:r w:rsidRPr="008401AD">
        <w:rPr>
          <w:szCs w:val="24"/>
          <w:lang w:val="en-GB"/>
        </w:rPr>
        <w:t>&lt;/SRC&gt;</w:t>
      </w:r>
      <w:r w:rsidR="00552D85" w:rsidRPr="008401AD">
        <w:rPr>
          <w:szCs w:val="24"/>
          <w:lang w:val="en-GB"/>
        </w:rPr>
        <w:t xml:space="preserve"> </w:t>
      </w:r>
    </w:p>
    <w:p w14:paraId="1AF6E90F" w14:textId="77777777" w:rsidR="00552D85" w:rsidRPr="008401AD" w:rsidRDefault="00B61C53" w:rsidP="00552D85">
      <w:pPr>
        <w:rPr>
          <w:szCs w:val="24"/>
          <w:lang w:val="en-GB"/>
        </w:rPr>
      </w:pPr>
      <w:r w:rsidRPr="008401AD">
        <w:rPr>
          <w:szCs w:val="24"/>
          <w:lang w:val="en-GB"/>
        </w:rPr>
        <w:t>&lt;NP&gt;</w:t>
      </w:r>
      <w:r w:rsidR="00552D85" w:rsidRPr="008401AD">
        <w:rPr>
          <w:szCs w:val="24"/>
          <w:lang w:val="en-GB"/>
        </w:rPr>
        <w:t xml:space="preserve">A key aspect in the understanding of how modern media firms operate in a more holistic and nuanced sense is the concept of </w:t>
      </w:r>
      <w:r w:rsidR="00552D85" w:rsidRPr="008401AD">
        <w:rPr>
          <w:i/>
          <w:szCs w:val="24"/>
          <w:lang w:val="en-GB"/>
        </w:rPr>
        <w:t>production cultures</w:t>
      </w:r>
      <w:r w:rsidR="00552D85" w:rsidRPr="008401AD">
        <w:rPr>
          <w:szCs w:val="24"/>
          <w:lang w:val="en-GB"/>
        </w:rPr>
        <w:t xml:space="preserve"> that has informed all the chapters in this collection. Contributors have been particularly influenced by John T. Caldwell’s analysis of the belief systems generated by the different occupational roles in the film and television industries in Los Angeles. Caldwell understands production cultures as an interpretive system informing self-reflexive processes:</w:t>
      </w:r>
      <w:r w:rsidRPr="008401AD">
        <w:rPr>
          <w:szCs w:val="24"/>
          <w:lang w:val="en-GB"/>
        </w:rPr>
        <w:t>&lt;/NP&gt;</w:t>
      </w:r>
    </w:p>
    <w:p w14:paraId="0D57B4A0" w14:textId="7CE5A9B1" w:rsidR="00552D85" w:rsidRPr="008401AD" w:rsidRDefault="00B61C53" w:rsidP="00552D85">
      <w:pPr>
        <w:rPr>
          <w:szCs w:val="24"/>
          <w:lang w:val="en-GB"/>
        </w:rPr>
      </w:pPr>
      <w:r w:rsidRPr="008401AD">
        <w:rPr>
          <w:szCs w:val="24"/>
          <w:lang w:val="en-GB"/>
        </w:rPr>
        <w:t>&lt;EXT&gt;</w:t>
      </w:r>
      <w:r w:rsidR="00552D85" w:rsidRPr="008401AD">
        <w:rPr>
          <w:szCs w:val="24"/>
          <w:lang w:val="en-GB"/>
        </w:rPr>
        <w:t xml:space="preserve">Film and television </w:t>
      </w:r>
      <w:r w:rsidR="000717DE" w:rsidRPr="008401AD">
        <w:rPr>
          <w:szCs w:val="24"/>
          <w:lang w:val="en-GB"/>
        </w:rPr>
        <w:t>[</w:t>
      </w:r>
      <w:r w:rsidR="000717DE" w:rsidRPr="008401AD">
        <w:rPr>
          <w:szCs w:val="24"/>
          <w:lang w:val="en-GB"/>
        </w:rPr>
        <w:sym w:font="Symbol" w:char="F0BC"/>
      </w:r>
      <w:r w:rsidR="000717DE" w:rsidRPr="008401AD">
        <w:rPr>
          <w:szCs w:val="24"/>
          <w:lang w:val="en-GB"/>
        </w:rPr>
        <w:t>]</w:t>
      </w:r>
      <w:r w:rsidR="00040075" w:rsidRPr="008401AD">
        <w:rPr>
          <w:szCs w:val="24"/>
          <w:lang w:val="en-GB"/>
        </w:rPr>
        <w:t xml:space="preserve"> </w:t>
      </w:r>
      <w:r w:rsidR="00552D85" w:rsidRPr="008401AD">
        <w:rPr>
          <w:szCs w:val="24"/>
          <w:lang w:val="en-GB"/>
        </w:rPr>
        <w:t xml:space="preserve">do not simply produce mass or popular culture </w:t>
      </w:r>
      <w:r w:rsidR="000717DE" w:rsidRPr="008401AD">
        <w:rPr>
          <w:szCs w:val="24"/>
          <w:lang w:val="en-GB"/>
        </w:rPr>
        <w:t>[</w:t>
      </w:r>
      <w:r w:rsidR="000717DE" w:rsidRPr="008401AD">
        <w:rPr>
          <w:szCs w:val="24"/>
          <w:lang w:val="en-GB"/>
        </w:rPr>
        <w:sym w:font="Symbol" w:char="F0BC"/>
      </w:r>
      <w:r w:rsidR="000717DE" w:rsidRPr="008401AD">
        <w:rPr>
          <w:szCs w:val="24"/>
          <w:lang w:val="en-GB"/>
        </w:rPr>
        <w:t xml:space="preserve">] </w:t>
      </w:r>
      <w:r w:rsidR="00552D85" w:rsidRPr="008401AD">
        <w:rPr>
          <w:szCs w:val="24"/>
          <w:lang w:val="en-GB"/>
        </w:rPr>
        <w:t xml:space="preserve">but rather film/TV production communities themselves are cultural expressions and entities involving all of the symbolic processes and collective practices that other cultures use: to gain and reinforce identity, to forge consensus and order, to perpetuate themselves and their interests, and to interpret the media </w:t>
      </w:r>
      <w:r w:rsidR="00552D85" w:rsidRPr="008401AD">
        <w:rPr>
          <w:i/>
          <w:szCs w:val="24"/>
          <w:lang w:val="en-GB"/>
        </w:rPr>
        <w:t>as</w:t>
      </w:r>
      <w:r w:rsidR="00552D85" w:rsidRPr="008401AD">
        <w:rPr>
          <w:szCs w:val="24"/>
          <w:lang w:val="en-GB"/>
        </w:rPr>
        <w:t xml:space="preserve"> audience members</w:t>
      </w:r>
      <w:proofErr w:type="gramStart"/>
      <w:r w:rsidR="00552D85" w:rsidRPr="008401AD">
        <w:rPr>
          <w:szCs w:val="24"/>
          <w:lang w:val="en-GB"/>
        </w:rPr>
        <w:t>.</w:t>
      </w:r>
      <w:r w:rsidRPr="008401AD">
        <w:rPr>
          <w:szCs w:val="24"/>
          <w:lang w:val="en-GB"/>
        </w:rPr>
        <w:t>&lt;</w:t>
      </w:r>
      <w:proofErr w:type="gramEnd"/>
      <w:r w:rsidRPr="008401AD">
        <w:rPr>
          <w:szCs w:val="24"/>
          <w:lang w:val="en-GB"/>
        </w:rPr>
        <w:t>/EXT&gt;</w:t>
      </w:r>
      <w:r w:rsidR="00552D85" w:rsidRPr="008401AD">
        <w:rPr>
          <w:szCs w:val="24"/>
          <w:lang w:val="en-GB"/>
        </w:rPr>
        <w:t xml:space="preserve"> </w:t>
      </w:r>
      <w:r w:rsidRPr="008401AD">
        <w:rPr>
          <w:szCs w:val="24"/>
          <w:lang w:val="en-GB"/>
        </w:rPr>
        <w:t>&lt;SRC&gt;</w:t>
      </w:r>
      <w:r w:rsidR="00552D85" w:rsidRPr="008401AD">
        <w:rPr>
          <w:szCs w:val="24"/>
          <w:lang w:val="en-GB"/>
        </w:rPr>
        <w:t>(2008: 2, original emphasis)</w:t>
      </w:r>
      <w:r w:rsidRPr="008401AD">
        <w:rPr>
          <w:szCs w:val="24"/>
          <w:lang w:val="en-GB"/>
        </w:rPr>
        <w:t>&lt;/SRC&gt;</w:t>
      </w:r>
    </w:p>
    <w:p w14:paraId="78B91F3C" w14:textId="77777777" w:rsidR="00552D85" w:rsidRPr="008401AD" w:rsidRDefault="00B61C53" w:rsidP="00552D85">
      <w:pPr>
        <w:rPr>
          <w:szCs w:val="24"/>
          <w:lang w:val="en-GB"/>
        </w:rPr>
      </w:pPr>
      <w:r w:rsidRPr="008401AD">
        <w:rPr>
          <w:szCs w:val="24"/>
          <w:lang w:val="en-GB"/>
        </w:rPr>
        <w:t>&lt;NP&gt;</w:t>
      </w:r>
      <w:r w:rsidR="00552D85" w:rsidRPr="008401AD">
        <w:rPr>
          <w:szCs w:val="24"/>
          <w:lang w:val="en-GB"/>
        </w:rPr>
        <w:t xml:space="preserve">Because Caldwell is not particularly interested in the operations of specific media companies, material drawn from organization, business and management studies has been equally important to contributors of this book. Edgar Schein’s </w:t>
      </w:r>
      <w:r w:rsidR="00552D85" w:rsidRPr="008401AD">
        <w:rPr>
          <w:i/>
          <w:szCs w:val="24"/>
          <w:lang w:val="en-GB"/>
        </w:rPr>
        <w:t xml:space="preserve">Organizational Culture and Leadership </w:t>
      </w:r>
      <w:r w:rsidR="00552D85" w:rsidRPr="008401AD">
        <w:rPr>
          <w:szCs w:val="24"/>
          <w:lang w:val="en-GB"/>
        </w:rPr>
        <w:t>(2004) informs several chapters in this collection. Schein defines culture as:</w:t>
      </w:r>
      <w:r w:rsidRPr="008401AD">
        <w:rPr>
          <w:szCs w:val="24"/>
          <w:lang w:val="en-GB"/>
        </w:rPr>
        <w:t>&lt;/NP&gt;</w:t>
      </w:r>
    </w:p>
    <w:p w14:paraId="70F03B14" w14:textId="77777777" w:rsidR="00552D85" w:rsidRPr="008401AD" w:rsidRDefault="00552D85" w:rsidP="00552D85">
      <w:pPr>
        <w:rPr>
          <w:szCs w:val="24"/>
          <w:lang w:val="en-GB"/>
        </w:rPr>
      </w:pPr>
    </w:p>
    <w:p w14:paraId="4B1758E3" w14:textId="5F2A0AE1" w:rsidR="00552D85" w:rsidRPr="008401AD" w:rsidRDefault="00552D85" w:rsidP="00552D85">
      <w:pPr>
        <w:rPr>
          <w:szCs w:val="24"/>
          <w:lang w:val="en-GB"/>
        </w:rPr>
      </w:pPr>
      <w:r w:rsidRPr="008401AD">
        <w:rPr>
          <w:szCs w:val="24"/>
          <w:lang w:val="en-GB"/>
        </w:rPr>
        <w:tab/>
      </w:r>
      <w:r w:rsidR="00B61C53" w:rsidRPr="001E2D3F">
        <w:rPr>
          <w:rFonts w:ascii="Gill Sans Light" w:hAnsi="Gill Sans Light" w:cs="Gill Sans Light"/>
          <w:sz w:val="22"/>
          <w:lang w:val="en-GB"/>
        </w:rPr>
        <w:t>&lt;EXT&gt;</w:t>
      </w:r>
      <w:r w:rsidRPr="008401AD">
        <w:rPr>
          <w:szCs w:val="24"/>
          <w:lang w:val="en-GB"/>
        </w:rPr>
        <w:t>a pattern of shared basic assumption that a group learned as it solved it</w:t>
      </w:r>
      <w:r w:rsidR="000717DE" w:rsidRPr="008401AD">
        <w:rPr>
          <w:szCs w:val="24"/>
          <w:lang w:val="en-GB"/>
        </w:rPr>
        <w:t>s</w:t>
      </w:r>
      <w:r w:rsidRPr="008401AD">
        <w:rPr>
          <w:szCs w:val="24"/>
          <w:lang w:val="en-GB"/>
        </w:rPr>
        <w:t xml:space="preserve"> problems of external adaptation and internal integration, that has worked well enough to be considered valid and, therefore, to be taught to new members as the correct way to perceive, think and feel in relations to those problems.</w:t>
      </w:r>
      <w:r w:rsidR="00B61C53" w:rsidRPr="001E2D3F">
        <w:rPr>
          <w:rFonts w:ascii="Gill Sans Light" w:hAnsi="Gill Sans Light" w:cs="Gill Sans Light"/>
          <w:sz w:val="22"/>
          <w:lang w:val="en-GB"/>
        </w:rPr>
        <w:t>&lt;/EXT&gt; &lt;SRC&gt;</w:t>
      </w:r>
      <w:r w:rsidRPr="008401AD">
        <w:rPr>
          <w:szCs w:val="24"/>
          <w:lang w:val="en-GB"/>
        </w:rPr>
        <w:t>(2004: 17)</w:t>
      </w:r>
      <w:r w:rsidR="00B61C53" w:rsidRPr="001E2D3F">
        <w:rPr>
          <w:rFonts w:ascii="Gill Sans Light" w:hAnsi="Gill Sans Light" w:cs="Gill Sans Light"/>
          <w:sz w:val="22"/>
          <w:lang w:val="en-GB"/>
        </w:rPr>
        <w:t>&lt;/SRC&gt;</w:t>
      </w:r>
    </w:p>
    <w:p w14:paraId="59B9E896" w14:textId="77777777" w:rsidR="00552D85" w:rsidRPr="008401AD" w:rsidRDefault="00552D85" w:rsidP="00552D85">
      <w:pPr>
        <w:rPr>
          <w:szCs w:val="24"/>
          <w:lang w:val="en-GB"/>
        </w:rPr>
      </w:pPr>
    </w:p>
    <w:p w14:paraId="4C1CA074" w14:textId="3716667C" w:rsidR="00552D85" w:rsidRPr="008401AD" w:rsidRDefault="00B61C53" w:rsidP="00552D85">
      <w:pPr>
        <w:rPr>
          <w:szCs w:val="24"/>
          <w:lang w:val="en-GB"/>
        </w:rPr>
      </w:pPr>
      <w:r w:rsidRPr="008401AD">
        <w:rPr>
          <w:szCs w:val="24"/>
          <w:lang w:val="en-GB"/>
        </w:rPr>
        <w:t>&lt;NP&gt;</w:t>
      </w:r>
      <w:r w:rsidR="00552D85" w:rsidRPr="008401AD">
        <w:rPr>
          <w:szCs w:val="24"/>
          <w:lang w:val="en-GB"/>
        </w:rPr>
        <w:t xml:space="preserve">Schein is interested in the underlying reasons </w:t>
      </w:r>
      <w:r w:rsidR="000717DE" w:rsidRPr="008401AD">
        <w:rPr>
          <w:szCs w:val="24"/>
          <w:lang w:val="en-GB"/>
        </w:rPr>
        <w:t xml:space="preserve">that </w:t>
      </w:r>
      <w:r w:rsidR="00552D85" w:rsidRPr="008401AD">
        <w:rPr>
          <w:szCs w:val="24"/>
          <w:lang w:val="en-GB"/>
        </w:rPr>
        <w:t>cause companies to pursue certain strategies</w:t>
      </w:r>
      <w:r w:rsidR="000717DE" w:rsidRPr="008401AD">
        <w:rPr>
          <w:szCs w:val="24"/>
          <w:lang w:val="en-GB"/>
        </w:rPr>
        <w:t>,</w:t>
      </w:r>
      <w:r w:rsidR="00552D85" w:rsidRPr="008401AD">
        <w:rPr>
          <w:szCs w:val="24"/>
          <w:lang w:val="en-GB"/>
        </w:rPr>
        <w:t xml:space="preserve"> and his concept of culture as a shared pattern of assumptions is similar to Caldwell’s concept of </w:t>
      </w:r>
      <w:r w:rsidR="000717DE" w:rsidRPr="008401AD">
        <w:rPr>
          <w:szCs w:val="24"/>
          <w:lang w:val="en-GB"/>
        </w:rPr>
        <w:t>‘</w:t>
      </w:r>
      <w:r w:rsidR="00552D85" w:rsidRPr="008401AD">
        <w:rPr>
          <w:szCs w:val="24"/>
          <w:lang w:val="en-GB"/>
        </w:rPr>
        <w:t>culture as an interpretive system</w:t>
      </w:r>
      <w:r w:rsidR="000717DE" w:rsidRPr="008401AD">
        <w:rPr>
          <w:szCs w:val="24"/>
          <w:lang w:val="en-GB"/>
        </w:rPr>
        <w:t>’</w:t>
      </w:r>
      <w:r w:rsidR="00552D85" w:rsidRPr="008401AD">
        <w:rPr>
          <w:szCs w:val="24"/>
          <w:lang w:val="en-GB"/>
        </w:rPr>
        <w:t>. Both definitions conceive culture as a set of learned ideas that form our perception of our surroundings. They also share the viewpoint that cultural analysis has to deploy a multiplicity of sources and methods (Drake 2014</w:t>
      </w:r>
      <w:r w:rsidR="000717DE" w:rsidRPr="008401AD">
        <w:rPr>
          <w:szCs w:val="24"/>
          <w:lang w:val="en-GB"/>
        </w:rPr>
        <w:t xml:space="preserve">; </w:t>
      </w:r>
      <w:r w:rsidR="00552D85" w:rsidRPr="008401AD">
        <w:rPr>
          <w:szCs w:val="24"/>
          <w:lang w:val="en-GB"/>
        </w:rPr>
        <w:t>Freeman 2016</w:t>
      </w:r>
      <w:r w:rsidR="000717DE" w:rsidRPr="008401AD">
        <w:rPr>
          <w:szCs w:val="24"/>
          <w:lang w:val="en-GB"/>
        </w:rPr>
        <w:t xml:space="preserve">; </w:t>
      </w:r>
      <w:proofErr w:type="spellStart"/>
      <w:r w:rsidR="00552D85" w:rsidRPr="008401AD">
        <w:rPr>
          <w:szCs w:val="24"/>
          <w:lang w:val="en-GB"/>
        </w:rPr>
        <w:t>Vonderau</w:t>
      </w:r>
      <w:proofErr w:type="spellEnd"/>
      <w:r w:rsidR="00552D85" w:rsidRPr="008401AD">
        <w:rPr>
          <w:szCs w:val="24"/>
          <w:lang w:val="en-GB"/>
        </w:rPr>
        <w:t xml:space="preserve"> 2013) and not just rely on interviews of the social group in question and without taking the statements of the organization members at face value. Another common thread that we have found helpful is the analytical distinction between internal integration and external adaptation conceiving companies as dynamic entities, constantly changing and adapting to internal pressures and external forces. Schein argues:</w:t>
      </w:r>
      <w:r w:rsidRPr="008401AD">
        <w:rPr>
          <w:szCs w:val="24"/>
          <w:lang w:val="en-GB"/>
        </w:rPr>
        <w:t>&lt;/NP&gt;</w:t>
      </w:r>
    </w:p>
    <w:p w14:paraId="01445371" w14:textId="024813DC" w:rsidR="00552D85" w:rsidRPr="008401AD" w:rsidRDefault="00B61C53" w:rsidP="00552D85">
      <w:pPr>
        <w:rPr>
          <w:szCs w:val="24"/>
          <w:lang w:val="en-GB"/>
        </w:rPr>
      </w:pPr>
      <w:r w:rsidRPr="008401AD">
        <w:rPr>
          <w:szCs w:val="24"/>
          <w:lang w:val="en-GB"/>
        </w:rPr>
        <w:t>&lt;EXT&gt;</w:t>
      </w:r>
      <w:r w:rsidR="00552D85" w:rsidRPr="008401AD">
        <w:rPr>
          <w:szCs w:val="24"/>
          <w:lang w:val="en-GB"/>
        </w:rPr>
        <w:t>All group and organizational theories distinguish two major set of problems that all groups, no matter what their size, must deal with: (1) survival, growth and adaptation to the environment; and (2) internal integration that permits daily functioning and the ability to adapt and learn. Both of these areas of group functioning will reflect that larger cultural context in which the group exists and from which are derived broader and deeper basic assumptions about the nature of reality, time, space, human nature, and human relationships</w:t>
      </w:r>
      <w:r w:rsidRPr="008401AD">
        <w:rPr>
          <w:szCs w:val="24"/>
          <w:lang w:val="en-GB"/>
        </w:rPr>
        <w:t>.</w:t>
      </w:r>
      <w:r w:rsidRPr="001E2D3F">
        <w:rPr>
          <w:rFonts w:ascii="Gill Sans Light" w:hAnsi="Gill Sans Light" w:cs="Gill Sans Light"/>
          <w:sz w:val="22"/>
          <w:lang w:val="en-GB"/>
        </w:rPr>
        <w:t xml:space="preserve"> &lt;/EXT&gt; &lt;SRC&gt;</w:t>
      </w:r>
      <w:r w:rsidR="00552D85" w:rsidRPr="008401AD">
        <w:rPr>
          <w:szCs w:val="24"/>
          <w:lang w:val="en-GB"/>
        </w:rPr>
        <w:t>(2004: 18)</w:t>
      </w:r>
      <w:r w:rsidRPr="008401AD">
        <w:rPr>
          <w:szCs w:val="24"/>
          <w:lang w:val="en-GB"/>
        </w:rPr>
        <w:t>&lt;/SRC&gt;</w:t>
      </w:r>
    </w:p>
    <w:p w14:paraId="3541CC99" w14:textId="6E03F820" w:rsidR="00552D85" w:rsidRPr="008401AD" w:rsidRDefault="00B61C53" w:rsidP="00552D85">
      <w:pPr>
        <w:rPr>
          <w:szCs w:val="24"/>
          <w:lang w:val="en-GB"/>
        </w:rPr>
      </w:pPr>
      <w:r w:rsidRPr="008401AD">
        <w:rPr>
          <w:szCs w:val="24"/>
          <w:lang w:val="en-GB"/>
        </w:rPr>
        <w:t>&lt;NP&gt;</w:t>
      </w:r>
      <w:r w:rsidR="00552D85" w:rsidRPr="008401AD">
        <w:rPr>
          <w:szCs w:val="24"/>
          <w:lang w:val="en-GB"/>
        </w:rPr>
        <w:t xml:space="preserve">The main difference between their approaches is that Schein’s goal is instrumental, aiming to improve a company’s efficiency, whereas Caldwell seeks to provide a critique of how such cultures operate. He is also more sceptical about the difficulties in </w:t>
      </w:r>
      <w:r w:rsidR="006E56FD" w:rsidRPr="008401AD">
        <w:rPr>
          <w:szCs w:val="24"/>
          <w:lang w:val="en-GB"/>
        </w:rPr>
        <w:t xml:space="preserve">analysing </w:t>
      </w:r>
      <w:r w:rsidR="00552D85" w:rsidRPr="008401AD">
        <w:rPr>
          <w:szCs w:val="24"/>
          <w:lang w:val="en-GB"/>
        </w:rPr>
        <w:t>company cultures and the film and television industries in general.</w:t>
      </w:r>
      <w:r w:rsidRPr="008401AD">
        <w:rPr>
          <w:szCs w:val="24"/>
          <w:lang w:val="en-GB"/>
        </w:rPr>
        <w:t>&lt;/NP&gt;</w:t>
      </w:r>
      <w:r w:rsidR="00552D85" w:rsidRPr="008401AD">
        <w:rPr>
          <w:szCs w:val="24"/>
          <w:lang w:val="en-GB"/>
        </w:rPr>
        <w:t xml:space="preserve"> </w:t>
      </w:r>
    </w:p>
    <w:p w14:paraId="3852EC6A" w14:textId="73A267BD" w:rsidR="00552D85" w:rsidRPr="008401AD" w:rsidRDefault="00B61C53" w:rsidP="00552D85">
      <w:pPr>
        <w:rPr>
          <w:szCs w:val="24"/>
          <w:lang w:val="en-GB"/>
        </w:rPr>
      </w:pPr>
      <w:r w:rsidRPr="008401AD">
        <w:rPr>
          <w:szCs w:val="24"/>
          <w:lang w:val="en-GB"/>
        </w:rPr>
        <w:t>&lt;TEXT&gt;</w:t>
      </w:r>
      <w:r w:rsidR="00552D85" w:rsidRPr="008401AD">
        <w:rPr>
          <w:szCs w:val="24"/>
          <w:lang w:val="en-GB"/>
        </w:rPr>
        <w:t>In order to get to grips with</w:t>
      </w:r>
      <w:r w:rsidR="00040075" w:rsidRPr="008401AD">
        <w:rPr>
          <w:szCs w:val="24"/>
          <w:lang w:val="en-GB"/>
        </w:rPr>
        <w:t xml:space="preserve"> the</w:t>
      </w:r>
      <w:r w:rsidR="00552D85" w:rsidRPr="008401AD">
        <w:rPr>
          <w:szCs w:val="24"/>
          <w:lang w:val="en-GB"/>
        </w:rPr>
        <w:t xml:space="preserve"> organization and operation of selected companies, the analyses in this collection also draw on studies of media management (</w:t>
      </w:r>
      <w:proofErr w:type="spellStart"/>
      <w:r w:rsidR="00552D85" w:rsidRPr="008401AD">
        <w:rPr>
          <w:szCs w:val="24"/>
          <w:lang w:val="en-GB"/>
        </w:rPr>
        <w:t>Aris</w:t>
      </w:r>
      <w:proofErr w:type="spellEnd"/>
      <w:r w:rsidR="00552D85" w:rsidRPr="008401AD">
        <w:rPr>
          <w:szCs w:val="24"/>
          <w:lang w:val="en-GB"/>
        </w:rPr>
        <w:t xml:space="preserve"> and </w:t>
      </w:r>
      <w:proofErr w:type="spellStart"/>
      <w:r w:rsidR="00552D85" w:rsidRPr="008401AD">
        <w:rPr>
          <w:szCs w:val="24"/>
          <w:lang w:val="en-GB"/>
        </w:rPr>
        <w:t>Bugin</w:t>
      </w:r>
      <w:proofErr w:type="spellEnd"/>
      <w:r w:rsidR="00552D85" w:rsidRPr="008401AD">
        <w:rPr>
          <w:szCs w:val="24"/>
          <w:lang w:val="en-GB"/>
        </w:rPr>
        <w:t xml:space="preserve"> 2009</w:t>
      </w:r>
      <w:r w:rsidR="006E56FD" w:rsidRPr="008401AD">
        <w:rPr>
          <w:szCs w:val="24"/>
          <w:lang w:val="en-GB"/>
        </w:rPr>
        <w:t xml:space="preserve">; </w:t>
      </w:r>
      <w:r w:rsidR="00552D85" w:rsidRPr="008401AD">
        <w:rPr>
          <w:szCs w:val="24"/>
          <w:lang w:val="en-GB"/>
        </w:rPr>
        <w:t xml:space="preserve">Dal </w:t>
      </w:r>
      <w:proofErr w:type="spellStart"/>
      <w:r w:rsidR="00552D85" w:rsidRPr="008401AD">
        <w:rPr>
          <w:szCs w:val="24"/>
          <w:lang w:val="en-GB"/>
        </w:rPr>
        <w:t>Zotto</w:t>
      </w:r>
      <w:proofErr w:type="spellEnd"/>
      <w:r w:rsidR="00552D85" w:rsidRPr="008401AD">
        <w:rPr>
          <w:szCs w:val="24"/>
          <w:lang w:val="en-GB"/>
        </w:rPr>
        <w:t xml:space="preserve"> and Van </w:t>
      </w:r>
      <w:proofErr w:type="spellStart"/>
      <w:r w:rsidR="00552D85" w:rsidRPr="008401AD">
        <w:rPr>
          <w:szCs w:val="24"/>
          <w:lang w:val="en-GB"/>
        </w:rPr>
        <w:t>Kranenburg</w:t>
      </w:r>
      <w:proofErr w:type="spellEnd"/>
      <w:r w:rsidR="00552D85" w:rsidRPr="008401AD">
        <w:rPr>
          <w:szCs w:val="24"/>
          <w:lang w:val="en-GB"/>
        </w:rPr>
        <w:t xml:space="preserve"> 2008</w:t>
      </w:r>
      <w:r w:rsidR="006E56FD" w:rsidRPr="008401AD">
        <w:rPr>
          <w:szCs w:val="24"/>
          <w:lang w:val="en-GB"/>
        </w:rPr>
        <w:t xml:space="preserve">; </w:t>
      </w:r>
      <w:r w:rsidR="00552D85" w:rsidRPr="008401AD">
        <w:rPr>
          <w:szCs w:val="24"/>
          <w:lang w:val="en-GB"/>
        </w:rPr>
        <w:t xml:space="preserve">Davis and </w:t>
      </w:r>
      <w:proofErr w:type="spellStart"/>
      <w:r w:rsidR="00552D85" w:rsidRPr="008401AD">
        <w:rPr>
          <w:szCs w:val="24"/>
          <w:lang w:val="en-GB"/>
        </w:rPr>
        <w:t>Scase</w:t>
      </w:r>
      <w:proofErr w:type="spellEnd"/>
      <w:r w:rsidR="00552D85" w:rsidRPr="008401AD">
        <w:rPr>
          <w:szCs w:val="24"/>
          <w:lang w:val="en-GB"/>
        </w:rPr>
        <w:t xml:space="preserve"> 2000</w:t>
      </w:r>
      <w:r w:rsidR="006E56FD" w:rsidRPr="008401AD">
        <w:rPr>
          <w:szCs w:val="24"/>
          <w:lang w:val="en-GB"/>
        </w:rPr>
        <w:t xml:space="preserve">; </w:t>
      </w:r>
      <w:proofErr w:type="spellStart"/>
      <w:r w:rsidR="00552D85" w:rsidRPr="008401AD">
        <w:rPr>
          <w:szCs w:val="24"/>
          <w:lang w:val="en-GB"/>
        </w:rPr>
        <w:t>Deuze</w:t>
      </w:r>
      <w:proofErr w:type="spellEnd"/>
      <w:r w:rsidR="00552D85" w:rsidRPr="008401AD">
        <w:rPr>
          <w:szCs w:val="24"/>
          <w:lang w:val="en-GB"/>
        </w:rPr>
        <w:t xml:space="preserve"> 2011</w:t>
      </w:r>
      <w:r w:rsidR="006E56FD" w:rsidRPr="008401AD">
        <w:rPr>
          <w:szCs w:val="24"/>
          <w:lang w:val="en-GB"/>
        </w:rPr>
        <w:t xml:space="preserve">; </w:t>
      </w:r>
      <w:proofErr w:type="spellStart"/>
      <w:r w:rsidR="00552D85" w:rsidRPr="008401AD">
        <w:rPr>
          <w:szCs w:val="24"/>
          <w:lang w:val="en-GB"/>
        </w:rPr>
        <w:t>Küng</w:t>
      </w:r>
      <w:proofErr w:type="spellEnd"/>
      <w:r w:rsidR="00552D85" w:rsidRPr="008401AD">
        <w:rPr>
          <w:szCs w:val="24"/>
          <w:lang w:val="en-GB"/>
        </w:rPr>
        <w:t xml:space="preserve"> 2017) and management in the creative industries (</w:t>
      </w:r>
      <w:proofErr w:type="spellStart"/>
      <w:r w:rsidR="00552D85" w:rsidRPr="008401AD">
        <w:rPr>
          <w:szCs w:val="24"/>
          <w:lang w:val="en-GB"/>
        </w:rPr>
        <w:t>Bilton</w:t>
      </w:r>
      <w:proofErr w:type="spellEnd"/>
      <w:r w:rsidR="00552D85" w:rsidRPr="008401AD">
        <w:rPr>
          <w:szCs w:val="24"/>
          <w:lang w:val="en-GB"/>
        </w:rPr>
        <w:t xml:space="preserve"> 2007</w:t>
      </w:r>
      <w:r w:rsidR="003A031C" w:rsidRPr="008401AD">
        <w:rPr>
          <w:szCs w:val="24"/>
          <w:lang w:val="en-GB"/>
        </w:rPr>
        <w:t>,</w:t>
      </w:r>
      <w:r w:rsidR="00552D85" w:rsidRPr="008401AD">
        <w:rPr>
          <w:szCs w:val="24"/>
          <w:lang w:val="en-GB"/>
        </w:rPr>
        <w:t xml:space="preserve"> 2008</w:t>
      </w:r>
      <w:r w:rsidR="006E56FD" w:rsidRPr="008401AD">
        <w:rPr>
          <w:szCs w:val="24"/>
          <w:lang w:val="en-GB"/>
        </w:rPr>
        <w:t xml:space="preserve">; </w:t>
      </w:r>
      <w:proofErr w:type="spellStart"/>
      <w:r w:rsidR="00552D85" w:rsidRPr="008401AD">
        <w:rPr>
          <w:szCs w:val="24"/>
          <w:lang w:val="en-GB"/>
        </w:rPr>
        <w:t>Bilton</w:t>
      </w:r>
      <w:proofErr w:type="spellEnd"/>
      <w:r w:rsidR="00552D85" w:rsidRPr="008401AD">
        <w:rPr>
          <w:szCs w:val="24"/>
          <w:lang w:val="en-GB"/>
        </w:rPr>
        <w:t xml:space="preserve"> and Cummings 2014). These authors discuss how companies differ in terms of their leadership, visions, strategies and other business decisions and, to different degrees, review how </w:t>
      </w:r>
      <w:r w:rsidR="002A0C18" w:rsidRPr="008401AD">
        <w:rPr>
          <w:szCs w:val="24"/>
          <w:lang w:val="en-GB"/>
        </w:rPr>
        <w:t>macro</w:t>
      </w:r>
      <w:r w:rsidR="00552D85" w:rsidRPr="008401AD">
        <w:rPr>
          <w:szCs w:val="24"/>
          <w:lang w:val="en-GB"/>
        </w:rPr>
        <w:t xml:space="preserve">economic and political factors affect the structures and operations of the firms. Contributors to this collection have also, on occasion, drawn on the extensive literature about cultural labour, which has focused on the specific pleasures, pressures and insecurities experienced by those working in the cultural industries and the growth of the ‘precariat’ (see, </w:t>
      </w:r>
      <w:r w:rsidR="00552D85" w:rsidRPr="00C806D7">
        <w:rPr>
          <w:szCs w:val="24"/>
          <w:lang w:val="en-GB"/>
        </w:rPr>
        <w:t>inter alia</w:t>
      </w:r>
      <w:r w:rsidR="00552D85" w:rsidRPr="008401AD">
        <w:rPr>
          <w:szCs w:val="24"/>
          <w:lang w:val="en-GB"/>
        </w:rPr>
        <w:t>, Banks 2007</w:t>
      </w:r>
      <w:r w:rsidR="002A0C18" w:rsidRPr="008401AD">
        <w:rPr>
          <w:szCs w:val="24"/>
          <w:lang w:val="en-GB"/>
        </w:rPr>
        <w:t xml:space="preserve">; </w:t>
      </w:r>
      <w:r w:rsidR="00552D85" w:rsidRPr="008401AD">
        <w:rPr>
          <w:szCs w:val="24"/>
          <w:lang w:val="en-GB"/>
        </w:rPr>
        <w:t>Banks</w:t>
      </w:r>
      <w:r w:rsidR="002A0C18" w:rsidRPr="008401AD">
        <w:rPr>
          <w:szCs w:val="24"/>
          <w:lang w:val="en-GB"/>
        </w:rPr>
        <w:t xml:space="preserve"> et al.</w:t>
      </w:r>
      <w:r w:rsidR="00552D85" w:rsidRPr="008401AD">
        <w:rPr>
          <w:szCs w:val="24"/>
          <w:lang w:val="en-GB"/>
        </w:rPr>
        <w:t xml:space="preserve"> 2013</w:t>
      </w:r>
      <w:r w:rsidR="002A0C18" w:rsidRPr="008401AD">
        <w:rPr>
          <w:szCs w:val="24"/>
          <w:lang w:val="en-GB"/>
        </w:rPr>
        <w:t xml:space="preserve">; </w:t>
      </w:r>
      <w:r w:rsidR="00552D85" w:rsidRPr="008401AD">
        <w:rPr>
          <w:szCs w:val="24"/>
          <w:lang w:val="en-GB"/>
        </w:rPr>
        <w:t>Gill and Pratt 2008</w:t>
      </w:r>
      <w:r w:rsidR="002A0C18" w:rsidRPr="008401AD">
        <w:rPr>
          <w:szCs w:val="24"/>
          <w:lang w:val="en-GB"/>
        </w:rPr>
        <w:t xml:space="preserve">; </w:t>
      </w:r>
      <w:proofErr w:type="spellStart"/>
      <w:r w:rsidR="00552D85" w:rsidRPr="008401AD">
        <w:rPr>
          <w:szCs w:val="24"/>
          <w:lang w:val="en-GB"/>
        </w:rPr>
        <w:t>Hesmondhalgh</w:t>
      </w:r>
      <w:proofErr w:type="spellEnd"/>
      <w:r w:rsidR="00552D85" w:rsidRPr="008401AD">
        <w:rPr>
          <w:szCs w:val="24"/>
          <w:lang w:val="en-GB"/>
        </w:rPr>
        <w:t xml:space="preserve"> and Baker 2011</w:t>
      </w:r>
      <w:r w:rsidR="002A0C18" w:rsidRPr="008401AD">
        <w:rPr>
          <w:szCs w:val="24"/>
          <w:lang w:val="en-GB"/>
        </w:rPr>
        <w:t xml:space="preserve">; </w:t>
      </w:r>
      <w:proofErr w:type="spellStart"/>
      <w:r w:rsidR="00552D85" w:rsidRPr="008401AD">
        <w:rPr>
          <w:szCs w:val="24"/>
          <w:lang w:val="en-GB"/>
        </w:rPr>
        <w:t>McKinlay</w:t>
      </w:r>
      <w:proofErr w:type="spellEnd"/>
      <w:r w:rsidR="00552D85" w:rsidRPr="008401AD">
        <w:rPr>
          <w:szCs w:val="24"/>
          <w:lang w:val="en-GB"/>
        </w:rPr>
        <w:t xml:space="preserve"> and Smith 2009</w:t>
      </w:r>
      <w:r w:rsidR="002A0C18" w:rsidRPr="008401AD">
        <w:rPr>
          <w:szCs w:val="24"/>
          <w:lang w:val="en-GB"/>
        </w:rPr>
        <w:t xml:space="preserve">; </w:t>
      </w:r>
      <w:proofErr w:type="spellStart"/>
      <w:r w:rsidR="00552D85" w:rsidRPr="008401AD">
        <w:rPr>
          <w:szCs w:val="24"/>
          <w:lang w:val="en-GB"/>
        </w:rPr>
        <w:t>McRobbie</w:t>
      </w:r>
      <w:proofErr w:type="spellEnd"/>
      <w:r w:rsidR="00552D85" w:rsidRPr="008401AD">
        <w:rPr>
          <w:szCs w:val="24"/>
          <w:lang w:val="en-GB"/>
        </w:rPr>
        <w:t xml:space="preserve"> 2015</w:t>
      </w:r>
      <w:r w:rsidR="002A0C18" w:rsidRPr="008401AD">
        <w:rPr>
          <w:szCs w:val="24"/>
          <w:lang w:val="en-GB"/>
        </w:rPr>
        <w:t xml:space="preserve">; </w:t>
      </w:r>
      <w:r w:rsidR="00552D85" w:rsidRPr="008401AD">
        <w:rPr>
          <w:szCs w:val="24"/>
          <w:lang w:val="en-GB"/>
        </w:rPr>
        <w:t>Ross 2009</w:t>
      </w:r>
      <w:r w:rsidR="00B25659" w:rsidRPr="008401AD">
        <w:rPr>
          <w:szCs w:val="24"/>
          <w:lang w:val="en-GB"/>
        </w:rPr>
        <w:t xml:space="preserve">; </w:t>
      </w:r>
      <w:r w:rsidR="00552D85" w:rsidRPr="008401AD">
        <w:rPr>
          <w:szCs w:val="24"/>
          <w:lang w:val="en-GB"/>
        </w:rPr>
        <w:t>Standing 2014). However, there is little in this literature that roots itself in the analysis of particular companies</w:t>
      </w:r>
      <w:r w:rsidR="00040075" w:rsidRPr="008401AD">
        <w:rPr>
          <w:szCs w:val="24"/>
          <w:lang w:val="en-GB"/>
        </w:rPr>
        <w:t>,</w:t>
      </w:r>
      <w:r w:rsidR="00552D85" w:rsidRPr="008401AD">
        <w:rPr>
          <w:szCs w:val="24"/>
          <w:lang w:val="en-GB"/>
        </w:rPr>
        <w:t xml:space="preserve"> which is at the heart of this collection.</w:t>
      </w:r>
      <w:r w:rsidRPr="008401AD">
        <w:rPr>
          <w:szCs w:val="24"/>
          <w:lang w:val="en-GB"/>
        </w:rPr>
        <w:t>&lt;/TEXT&gt;</w:t>
      </w:r>
      <w:r w:rsidR="00552D85" w:rsidRPr="008401AD">
        <w:rPr>
          <w:szCs w:val="24"/>
          <w:lang w:val="en-GB"/>
        </w:rPr>
        <w:t xml:space="preserve"> </w:t>
      </w:r>
    </w:p>
    <w:p w14:paraId="604473E3" w14:textId="77777777" w:rsidR="00552D85" w:rsidRPr="008401AD" w:rsidRDefault="00552D85" w:rsidP="00552D85">
      <w:pPr>
        <w:rPr>
          <w:szCs w:val="24"/>
          <w:lang w:val="en-GB"/>
        </w:rPr>
      </w:pPr>
    </w:p>
    <w:p w14:paraId="3D1EB7A9" w14:textId="77777777" w:rsidR="00552D85" w:rsidRPr="008401AD" w:rsidRDefault="00B61C53" w:rsidP="00552D85">
      <w:pPr>
        <w:pStyle w:val="Heading1"/>
        <w:rPr>
          <w:sz w:val="24"/>
          <w:szCs w:val="24"/>
          <w:lang w:val="en-GB"/>
        </w:rPr>
      </w:pPr>
      <w:bookmarkStart w:id="4" w:name="_Toc469423961"/>
      <w:r w:rsidRPr="008401AD">
        <w:rPr>
          <w:sz w:val="24"/>
          <w:szCs w:val="24"/>
          <w:lang w:val="en-GB"/>
        </w:rPr>
        <w:t>&lt;H1&gt;</w:t>
      </w:r>
      <w:r w:rsidR="00552D85" w:rsidRPr="008401AD">
        <w:rPr>
          <w:sz w:val="24"/>
          <w:szCs w:val="24"/>
          <w:lang w:val="en-GB"/>
        </w:rPr>
        <w:t>Methodology</w:t>
      </w:r>
      <w:bookmarkEnd w:id="4"/>
      <w:r w:rsidRPr="008401AD">
        <w:rPr>
          <w:sz w:val="24"/>
          <w:szCs w:val="24"/>
          <w:lang w:val="en-GB"/>
        </w:rPr>
        <w:t>&lt;H1&gt;</w:t>
      </w:r>
    </w:p>
    <w:p w14:paraId="5E78B352" w14:textId="77777777" w:rsidR="00552D85" w:rsidRPr="001E2D3F" w:rsidRDefault="00B61C53" w:rsidP="00552D85">
      <w:pPr>
        <w:pStyle w:val="Heading2"/>
        <w:rPr>
          <w:i w:val="0"/>
          <w:szCs w:val="24"/>
          <w:lang w:val="en-GB"/>
        </w:rPr>
      </w:pPr>
      <w:bookmarkStart w:id="5" w:name="_Toc469423962"/>
      <w:r w:rsidRPr="001E2D3F">
        <w:rPr>
          <w:i w:val="0"/>
          <w:szCs w:val="24"/>
          <w:lang w:val="en-GB"/>
        </w:rPr>
        <w:t>&lt;H2&gt;</w:t>
      </w:r>
      <w:r w:rsidR="00552D85" w:rsidRPr="008401AD">
        <w:rPr>
          <w:szCs w:val="24"/>
          <w:lang w:val="en-GB"/>
        </w:rPr>
        <w:t>The use of case studies</w:t>
      </w:r>
      <w:bookmarkEnd w:id="5"/>
      <w:r w:rsidRPr="008401AD">
        <w:rPr>
          <w:i w:val="0"/>
          <w:szCs w:val="24"/>
          <w:lang w:val="en-GB"/>
        </w:rPr>
        <w:t>&lt;/H2&gt;</w:t>
      </w:r>
    </w:p>
    <w:p w14:paraId="57844454" w14:textId="7C5AF2C8" w:rsidR="00552D85" w:rsidRPr="008401AD" w:rsidRDefault="00642E95" w:rsidP="00552D85">
      <w:pPr>
        <w:rPr>
          <w:szCs w:val="24"/>
          <w:lang w:val="en-GB"/>
        </w:rPr>
      </w:pPr>
      <w:r w:rsidRPr="008401AD">
        <w:rPr>
          <w:szCs w:val="24"/>
          <w:lang w:val="en-GB"/>
        </w:rPr>
        <w:t>&lt;NP&gt;</w:t>
      </w:r>
      <w:r w:rsidR="00552D85" w:rsidRPr="008401AD">
        <w:rPr>
          <w:szCs w:val="24"/>
          <w:lang w:val="en-GB"/>
        </w:rPr>
        <w:t xml:space="preserve">The overview chapters that survey the film and television industries in each of the four countries take a political economy approach that reviews the </w:t>
      </w:r>
      <w:r w:rsidR="0095224E" w:rsidRPr="008401AD">
        <w:rPr>
          <w:szCs w:val="24"/>
          <w:lang w:val="en-GB"/>
        </w:rPr>
        <w:t>‘</w:t>
      </w:r>
      <w:r w:rsidR="00552D85" w:rsidRPr="008401AD">
        <w:rPr>
          <w:szCs w:val="24"/>
          <w:lang w:val="en-GB"/>
        </w:rPr>
        <w:t>production, distribution and consumption of resources</w:t>
      </w:r>
      <w:r w:rsidR="0095224E" w:rsidRPr="008401AD">
        <w:rPr>
          <w:szCs w:val="24"/>
          <w:lang w:val="en-GB"/>
        </w:rPr>
        <w:t>’</w:t>
      </w:r>
      <w:r w:rsidR="00552D85" w:rsidRPr="008401AD">
        <w:rPr>
          <w:szCs w:val="24"/>
          <w:lang w:val="en-GB"/>
        </w:rPr>
        <w:t xml:space="preserve"> and the </w:t>
      </w:r>
      <w:r w:rsidR="0095224E" w:rsidRPr="008401AD">
        <w:rPr>
          <w:szCs w:val="24"/>
          <w:lang w:val="en-GB"/>
        </w:rPr>
        <w:t>‘</w:t>
      </w:r>
      <w:r w:rsidR="00552D85" w:rsidRPr="008401AD">
        <w:rPr>
          <w:szCs w:val="24"/>
          <w:lang w:val="en-GB"/>
        </w:rPr>
        <w:t>fundamental forces and processes at work in the marketplace</w:t>
      </w:r>
      <w:r w:rsidR="0095224E" w:rsidRPr="008401AD">
        <w:rPr>
          <w:szCs w:val="24"/>
          <w:lang w:val="en-GB"/>
        </w:rPr>
        <w:t>’</w:t>
      </w:r>
      <w:r w:rsidR="00552D85" w:rsidRPr="008401AD">
        <w:rPr>
          <w:szCs w:val="24"/>
          <w:lang w:val="en-GB"/>
        </w:rPr>
        <w:t xml:space="preserve"> that Mosco advocates. They are based on assembling quantitative data that is often difficult to locate and </w:t>
      </w:r>
      <w:r w:rsidR="000E4516" w:rsidRPr="008401AD">
        <w:rPr>
          <w:szCs w:val="24"/>
          <w:lang w:val="en-GB"/>
        </w:rPr>
        <w:t xml:space="preserve">is </w:t>
      </w:r>
      <w:r w:rsidR="00552D85" w:rsidRPr="008401AD">
        <w:rPr>
          <w:szCs w:val="24"/>
          <w:lang w:val="en-GB"/>
        </w:rPr>
        <w:t>derived from a range of sources. This material is placed within an interpretative framework that analyses how political, economic, social, cultural and historical factors have shaped the overall characteristics of these two industries in all four countries and provides an analysis of the general context in which the particular evolution and operation of individual companies may be understood.</w:t>
      </w:r>
      <w:r w:rsidRPr="008401AD">
        <w:rPr>
          <w:szCs w:val="24"/>
          <w:lang w:val="en-GB"/>
        </w:rPr>
        <w:t>&lt;/NP&gt;</w:t>
      </w:r>
      <w:r w:rsidR="00552D85" w:rsidRPr="008401AD">
        <w:rPr>
          <w:szCs w:val="24"/>
          <w:lang w:val="en-GB"/>
        </w:rPr>
        <w:t xml:space="preserve"> </w:t>
      </w:r>
    </w:p>
    <w:p w14:paraId="083E27CE" w14:textId="14C6ED19" w:rsidR="00552D85" w:rsidRPr="008401AD" w:rsidRDefault="00642E95" w:rsidP="00552D85">
      <w:pPr>
        <w:rPr>
          <w:szCs w:val="24"/>
          <w:lang w:val="en-GB"/>
        </w:rPr>
      </w:pPr>
      <w:r w:rsidRPr="008401AD">
        <w:rPr>
          <w:szCs w:val="24"/>
          <w:lang w:val="en-GB"/>
        </w:rPr>
        <w:t>&lt;TEXT&gt;</w:t>
      </w:r>
      <w:r w:rsidR="00552D85" w:rsidRPr="008401AD">
        <w:rPr>
          <w:szCs w:val="24"/>
          <w:lang w:val="en-GB"/>
        </w:rPr>
        <w:t xml:space="preserve">The individual case studies of specific film and television companies are based on a qualitative research methodology. The aim of the collection is not to produce general theories; rather, it is </w:t>
      </w:r>
      <w:r w:rsidR="00750A75" w:rsidRPr="008401AD">
        <w:rPr>
          <w:szCs w:val="24"/>
          <w:lang w:val="en-GB"/>
        </w:rPr>
        <w:t>‘</w:t>
      </w:r>
      <w:r w:rsidR="00552D85" w:rsidRPr="008401AD">
        <w:rPr>
          <w:szCs w:val="24"/>
          <w:lang w:val="en-GB"/>
        </w:rPr>
        <w:t>to create historically situated tales that include both highly focused portraits of what identifiable people in particular places at certain times are doing and a reasoned interpretation</w:t>
      </w:r>
      <w:r w:rsidR="00750A75" w:rsidRPr="008401AD">
        <w:rPr>
          <w:szCs w:val="24"/>
          <w:lang w:val="en-GB"/>
        </w:rPr>
        <w:t>’</w:t>
      </w:r>
      <w:r w:rsidR="00552D85" w:rsidRPr="008401AD">
        <w:rPr>
          <w:szCs w:val="24"/>
          <w:lang w:val="en-GB"/>
        </w:rPr>
        <w:t xml:space="preserve"> of their actions (Van </w:t>
      </w:r>
      <w:proofErr w:type="spellStart"/>
      <w:r w:rsidR="00552D85" w:rsidRPr="008401AD">
        <w:rPr>
          <w:szCs w:val="24"/>
          <w:lang w:val="en-GB"/>
        </w:rPr>
        <w:t>Maanen</w:t>
      </w:r>
      <w:proofErr w:type="spellEnd"/>
      <w:r w:rsidR="00552D85" w:rsidRPr="008401AD">
        <w:rPr>
          <w:szCs w:val="24"/>
          <w:lang w:val="en-GB"/>
        </w:rPr>
        <w:t xml:space="preserve"> 1999: xi</w:t>
      </w:r>
      <w:r w:rsidR="00CC2F49" w:rsidRPr="008401AD">
        <w:rPr>
          <w:rFonts w:cstheme="minorHAnsi"/>
          <w:szCs w:val="24"/>
          <w:lang w:val="en-GB"/>
        </w:rPr>
        <w:t>–</w:t>
      </w:r>
      <w:r w:rsidR="00552D85" w:rsidRPr="008401AD">
        <w:rPr>
          <w:szCs w:val="24"/>
          <w:lang w:val="en-GB"/>
        </w:rPr>
        <w:t xml:space="preserve">xii). This approach is as interested in exceptions as in typicality and its basic methodological framework is the detailed exploratory case study, understood as the best way through which to apprehend the rich specificity of the phenomena being </w:t>
      </w:r>
      <w:r w:rsidR="00A66F20" w:rsidRPr="008401AD">
        <w:rPr>
          <w:szCs w:val="24"/>
          <w:lang w:val="en-GB"/>
        </w:rPr>
        <w:t xml:space="preserve">analysed </w:t>
      </w:r>
      <w:r w:rsidR="00552D85" w:rsidRPr="008401AD">
        <w:rPr>
          <w:szCs w:val="24"/>
          <w:lang w:val="en-GB"/>
        </w:rPr>
        <w:t>(see Eisenhardt 1989</w:t>
      </w:r>
      <w:r w:rsidR="00750A75" w:rsidRPr="008401AD">
        <w:rPr>
          <w:szCs w:val="24"/>
          <w:lang w:val="en-GB"/>
        </w:rPr>
        <w:t xml:space="preserve">; </w:t>
      </w:r>
      <w:r w:rsidR="00552D85" w:rsidRPr="008401AD">
        <w:rPr>
          <w:szCs w:val="24"/>
          <w:lang w:val="en-GB"/>
        </w:rPr>
        <w:t>Yin 2013). As Havens et al. argue:</w:t>
      </w:r>
      <w:r w:rsidRPr="008401AD">
        <w:rPr>
          <w:szCs w:val="24"/>
          <w:lang w:val="en-GB"/>
        </w:rPr>
        <w:t>&lt;/TEXT&gt;</w:t>
      </w:r>
      <w:r w:rsidR="00552D85" w:rsidRPr="008401AD">
        <w:rPr>
          <w:szCs w:val="24"/>
          <w:lang w:val="en-GB"/>
        </w:rPr>
        <w:tab/>
      </w:r>
    </w:p>
    <w:p w14:paraId="5389C2C8" w14:textId="77777777" w:rsidR="00552D85" w:rsidRPr="008401AD" w:rsidRDefault="00552D85" w:rsidP="00552D85">
      <w:pPr>
        <w:rPr>
          <w:szCs w:val="24"/>
          <w:lang w:val="en-GB"/>
        </w:rPr>
      </w:pPr>
    </w:p>
    <w:p w14:paraId="67024E4B" w14:textId="4B0A6C1D" w:rsidR="00552D85" w:rsidRPr="008401AD" w:rsidRDefault="00642E95" w:rsidP="00552D85">
      <w:pPr>
        <w:ind w:left="708"/>
        <w:rPr>
          <w:szCs w:val="24"/>
          <w:lang w:val="en-GB"/>
        </w:rPr>
      </w:pPr>
      <w:r w:rsidRPr="001E2D3F">
        <w:rPr>
          <w:rFonts w:ascii="Gill Sans Light" w:hAnsi="Gill Sans Light" w:cs="Gill Sans Light"/>
          <w:sz w:val="22"/>
          <w:lang w:val="en-GB"/>
        </w:rPr>
        <w:t>&lt;EXT&gt;</w:t>
      </w:r>
      <w:r w:rsidR="00552D85" w:rsidRPr="008401AD">
        <w:rPr>
          <w:szCs w:val="24"/>
          <w:lang w:val="en-GB"/>
        </w:rPr>
        <w:t>The media are concrete entities with specific interests and, therefore, abstract philosophies or high theory does not bring us any closer to understanding their centrality as meaning-making institutions. This is not to minimize the significance of theory-building, but rather to stress the imperative of case study methods that shed light on the ways in which members of media industries define the conventions of production and distribution based on their assumptions of the prevailing cultural values and issues of the time</w:t>
      </w:r>
      <w:r w:rsidRPr="008401AD">
        <w:rPr>
          <w:szCs w:val="24"/>
          <w:lang w:val="en-GB"/>
        </w:rPr>
        <w:t>.</w:t>
      </w:r>
      <w:r w:rsidRPr="001E2D3F">
        <w:rPr>
          <w:rFonts w:ascii="Gill Sans Light" w:hAnsi="Gill Sans Light" w:cs="Gill Sans Light"/>
          <w:sz w:val="22"/>
          <w:lang w:val="en-GB"/>
        </w:rPr>
        <w:t>&lt;/EXT&gt; &lt;SRC&gt;</w:t>
      </w:r>
      <w:r w:rsidR="00552D85" w:rsidRPr="008401AD">
        <w:rPr>
          <w:szCs w:val="24"/>
          <w:lang w:val="en-GB"/>
        </w:rPr>
        <w:t>(2009: 249</w:t>
      </w:r>
      <w:r w:rsidR="00750A75" w:rsidRPr="008401AD">
        <w:rPr>
          <w:szCs w:val="24"/>
          <w:lang w:val="en-GB"/>
        </w:rPr>
        <w:sym w:font="Symbol" w:char="F02D"/>
      </w:r>
      <w:r w:rsidR="00552D85" w:rsidRPr="008401AD">
        <w:rPr>
          <w:szCs w:val="24"/>
          <w:lang w:val="en-GB"/>
        </w:rPr>
        <w:t>50)</w:t>
      </w:r>
      <w:r w:rsidRPr="008401AD">
        <w:rPr>
          <w:szCs w:val="24"/>
          <w:lang w:val="en-GB"/>
        </w:rPr>
        <w:t>&lt;/SRC&gt;</w:t>
      </w:r>
    </w:p>
    <w:p w14:paraId="5E8272B4" w14:textId="77777777" w:rsidR="00552D85" w:rsidRPr="008401AD" w:rsidRDefault="00552D85" w:rsidP="00552D85">
      <w:pPr>
        <w:ind w:left="708"/>
        <w:rPr>
          <w:szCs w:val="24"/>
          <w:lang w:val="en-GB"/>
        </w:rPr>
      </w:pPr>
    </w:p>
    <w:p w14:paraId="4D774CF7" w14:textId="69E26BD3" w:rsidR="00552D85" w:rsidRPr="008401AD" w:rsidRDefault="00943F51" w:rsidP="00552D85">
      <w:pPr>
        <w:rPr>
          <w:szCs w:val="24"/>
          <w:lang w:val="en-GB"/>
        </w:rPr>
      </w:pPr>
      <w:r w:rsidRPr="008401AD">
        <w:rPr>
          <w:szCs w:val="24"/>
          <w:lang w:val="en-GB"/>
        </w:rPr>
        <w:t>&lt;NP&gt;</w:t>
      </w:r>
      <w:r w:rsidR="00552D85" w:rsidRPr="008401AD">
        <w:rPr>
          <w:szCs w:val="24"/>
          <w:lang w:val="en-GB"/>
        </w:rPr>
        <w:t>The case studies in this collection are based on the usual protocols and procedures of qualitative, empirical research that locates and scrutinizes as wide a range of relevant material as possible. These include what Schein (2004: 25) refers to as ‘artefacts’</w:t>
      </w:r>
      <w:r w:rsidR="008401AD" w:rsidRPr="008401AD">
        <w:rPr>
          <w:szCs w:val="24"/>
          <w:lang w:val="en-GB"/>
        </w:rPr>
        <w:t xml:space="preserve">; </w:t>
      </w:r>
      <w:r w:rsidR="00552D85" w:rsidRPr="008401AD">
        <w:rPr>
          <w:szCs w:val="24"/>
          <w:lang w:val="en-GB"/>
        </w:rPr>
        <w:t xml:space="preserve">any visible manifestations of the organization under scrutiny, including logos, websites, promotional materials and press releases about the company or its products, accounts in the trade press or specialist journals, in newspaper articles, publicly available interviews with company personnel including chat shows and Q&amp;As at screenings. Analysis also encompasses aesthetic and cultural analysis of selected products for which the company is responsible, though there was little room in a book of this length for detailed interpretation. The case studies also argue for the importance of providing a </w:t>
      </w:r>
      <w:r w:rsidR="00552D85" w:rsidRPr="008401AD">
        <w:rPr>
          <w:i/>
          <w:szCs w:val="24"/>
          <w:lang w:val="en-GB"/>
        </w:rPr>
        <w:t>cultural history</w:t>
      </w:r>
      <w:r w:rsidR="00552D85" w:rsidRPr="008401AD">
        <w:rPr>
          <w:szCs w:val="24"/>
          <w:lang w:val="en-GB"/>
        </w:rPr>
        <w:t xml:space="preserve"> of the companies discussed without which it is often impossible to understand their priorities and underlying values.</w:t>
      </w:r>
      <w:r w:rsidRPr="008401AD">
        <w:rPr>
          <w:szCs w:val="24"/>
          <w:lang w:val="en-GB"/>
        </w:rPr>
        <w:t>&lt;/NP&gt;</w:t>
      </w:r>
      <w:r w:rsidR="00552D85" w:rsidRPr="008401AD">
        <w:rPr>
          <w:szCs w:val="24"/>
          <w:lang w:val="en-GB"/>
        </w:rPr>
        <w:t xml:space="preserve"> </w:t>
      </w:r>
    </w:p>
    <w:p w14:paraId="74D076F2" w14:textId="2E4F6EF2" w:rsidR="00552D85" w:rsidRPr="008401AD" w:rsidRDefault="00943F51" w:rsidP="00552D85">
      <w:pPr>
        <w:rPr>
          <w:szCs w:val="24"/>
          <w:lang w:val="en-GB"/>
        </w:rPr>
      </w:pPr>
      <w:r w:rsidRPr="008401AD">
        <w:rPr>
          <w:szCs w:val="24"/>
          <w:lang w:val="en-GB"/>
        </w:rPr>
        <w:t>&lt;TEXT&gt;</w:t>
      </w:r>
      <w:r w:rsidR="00552D85" w:rsidRPr="008401AD">
        <w:rPr>
          <w:szCs w:val="24"/>
          <w:lang w:val="en-GB"/>
        </w:rPr>
        <w:t xml:space="preserve">The </w:t>
      </w:r>
      <w:proofErr w:type="spellStart"/>
      <w:r w:rsidR="00552D85" w:rsidRPr="008401AD">
        <w:rPr>
          <w:szCs w:val="24"/>
          <w:lang w:val="en-GB"/>
        </w:rPr>
        <w:t>SiFTI</w:t>
      </w:r>
      <w:proofErr w:type="spellEnd"/>
      <w:r w:rsidR="00552D85" w:rsidRPr="008401AD">
        <w:rPr>
          <w:szCs w:val="24"/>
          <w:lang w:val="en-GB"/>
        </w:rPr>
        <w:t xml:space="preserve"> project did not have the resources to enable researchers to seek access to companies’ archives or records, or to organize longer-term ethnographic studies. However, although the opportunity was not available to spend extended periods with the companies in situ, the authors often made a number of site visits and were thus able to observe and </w:t>
      </w:r>
      <w:r w:rsidR="00A66F20" w:rsidRPr="008401AD">
        <w:rPr>
          <w:szCs w:val="24"/>
          <w:lang w:val="en-GB"/>
        </w:rPr>
        <w:t xml:space="preserve">analyse </w:t>
      </w:r>
      <w:r w:rsidR="00552D85" w:rsidRPr="008401AD">
        <w:rPr>
          <w:szCs w:val="24"/>
          <w:lang w:val="en-GB"/>
        </w:rPr>
        <w:t xml:space="preserve">another element, often neglected in organization studies, the nature of a company’s office spaces and its working environment. As several chapters show, this is not only an important component in the company’s internal organization of its workforce but </w:t>
      </w:r>
      <w:r w:rsidR="0032499C" w:rsidRPr="008401AD">
        <w:rPr>
          <w:szCs w:val="24"/>
          <w:lang w:val="en-GB"/>
        </w:rPr>
        <w:t xml:space="preserve">also </w:t>
      </w:r>
      <w:r w:rsidR="00552D85" w:rsidRPr="008401AD">
        <w:rPr>
          <w:szCs w:val="24"/>
          <w:lang w:val="en-GB"/>
        </w:rPr>
        <w:t>a significant aspect of its identity, a component in how the company projects its public image, its values and aspirations. This concern meshed with a focus on the importance of place. The significance for particular companies of either a metropolitan or a regional location comes through strongly in several chapters.</w:t>
      </w:r>
      <w:r w:rsidRPr="008401AD">
        <w:rPr>
          <w:szCs w:val="24"/>
          <w:lang w:val="en-GB"/>
        </w:rPr>
        <w:t>&lt;/TEXT&gt;</w:t>
      </w:r>
      <w:r w:rsidR="00552D85" w:rsidRPr="008401AD">
        <w:rPr>
          <w:szCs w:val="24"/>
          <w:lang w:val="en-GB"/>
        </w:rPr>
        <w:t xml:space="preserve"> </w:t>
      </w:r>
    </w:p>
    <w:p w14:paraId="7C700C3C" w14:textId="77777777" w:rsidR="00552D85" w:rsidRPr="008401AD" w:rsidRDefault="00552D85" w:rsidP="00552D85">
      <w:pPr>
        <w:rPr>
          <w:szCs w:val="24"/>
          <w:lang w:val="en-GB"/>
        </w:rPr>
      </w:pPr>
    </w:p>
    <w:p w14:paraId="71925068" w14:textId="77777777" w:rsidR="00552D85" w:rsidRPr="001E2D3F" w:rsidRDefault="00943F51" w:rsidP="00552D85">
      <w:pPr>
        <w:pStyle w:val="Heading2"/>
        <w:rPr>
          <w:i w:val="0"/>
          <w:szCs w:val="24"/>
          <w:lang w:val="en-GB"/>
        </w:rPr>
      </w:pPr>
      <w:bookmarkStart w:id="6" w:name="_Toc469423963"/>
      <w:r w:rsidRPr="001E2D3F">
        <w:rPr>
          <w:i w:val="0"/>
          <w:szCs w:val="24"/>
          <w:lang w:val="en-GB"/>
        </w:rPr>
        <w:t>&lt;H2&gt;</w:t>
      </w:r>
      <w:r w:rsidR="00552D85" w:rsidRPr="008401AD">
        <w:rPr>
          <w:szCs w:val="24"/>
          <w:lang w:val="en-GB"/>
        </w:rPr>
        <w:t>Using interviews</w:t>
      </w:r>
      <w:bookmarkEnd w:id="6"/>
      <w:r w:rsidRPr="008401AD">
        <w:rPr>
          <w:i w:val="0"/>
          <w:szCs w:val="24"/>
          <w:lang w:val="en-GB"/>
        </w:rPr>
        <w:t>&lt;/H2&gt;</w:t>
      </w:r>
    </w:p>
    <w:p w14:paraId="1523944E" w14:textId="017DE3F9" w:rsidR="00552D85" w:rsidRPr="008401AD" w:rsidRDefault="00943F51" w:rsidP="00552D85">
      <w:pPr>
        <w:rPr>
          <w:szCs w:val="24"/>
          <w:lang w:val="en-GB"/>
        </w:rPr>
      </w:pPr>
      <w:r w:rsidRPr="008401AD">
        <w:rPr>
          <w:szCs w:val="24"/>
          <w:lang w:val="en-GB"/>
        </w:rPr>
        <w:t>&lt;NP&gt;</w:t>
      </w:r>
      <w:r w:rsidR="00552D85" w:rsidRPr="008401AD">
        <w:rPr>
          <w:szCs w:val="24"/>
          <w:lang w:val="en-GB"/>
        </w:rPr>
        <w:t xml:space="preserve">A core component of the case studies is extended qualitative interviews with company personnel. They proved to be crucial to the detailed scrutiny we wished to provide and enabled us to probe values, attitudes and assumptions not available in other sources. Because of their importance, it is necessary to reflect here on the use of qualitative interviews – </w:t>
      </w:r>
      <w:r w:rsidR="00065E07" w:rsidRPr="008401AD">
        <w:rPr>
          <w:szCs w:val="24"/>
          <w:lang w:val="en-GB"/>
        </w:rPr>
        <w:t>that is,</w:t>
      </w:r>
      <w:r w:rsidR="00552D85" w:rsidRPr="008401AD">
        <w:rPr>
          <w:szCs w:val="24"/>
          <w:lang w:val="en-GB"/>
        </w:rPr>
        <w:t xml:space="preserve"> ones that had a series of open-ended questions – as a methodology. Certainly, the authors were clear that they were socially and historically situated discourses </w:t>
      </w:r>
      <w:r w:rsidR="008401AD" w:rsidRPr="008401AD">
        <w:rPr>
          <w:szCs w:val="24"/>
          <w:lang w:val="en-GB"/>
        </w:rPr>
        <w:t xml:space="preserve">that </w:t>
      </w:r>
      <w:r w:rsidR="00552D85" w:rsidRPr="008401AD">
        <w:rPr>
          <w:szCs w:val="24"/>
          <w:lang w:val="en-GB"/>
        </w:rPr>
        <w:t xml:space="preserve">had a strong element of what Caldwell calls </w:t>
      </w:r>
      <w:r w:rsidR="00065E07" w:rsidRPr="008401AD">
        <w:rPr>
          <w:szCs w:val="24"/>
          <w:lang w:val="en-GB"/>
        </w:rPr>
        <w:t>‘</w:t>
      </w:r>
      <w:r w:rsidR="00552D85" w:rsidRPr="008401AD">
        <w:rPr>
          <w:szCs w:val="24"/>
          <w:shd w:val="clear" w:color="auto" w:fill="FFFFFF"/>
          <w:lang w:val="en-GB"/>
        </w:rPr>
        <w:t>cultural self-performances</w:t>
      </w:r>
      <w:r w:rsidR="00065E07" w:rsidRPr="008401AD">
        <w:rPr>
          <w:szCs w:val="24"/>
          <w:shd w:val="clear" w:color="auto" w:fill="FFFFFF"/>
          <w:lang w:val="en-GB"/>
        </w:rPr>
        <w:t>’</w:t>
      </w:r>
      <w:r w:rsidR="00552D85" w:rsidRPr="008401AD">
        <w:rPr>
          <w:szCs w:val="24"/>
          <w:shd w:val="clear" w:color="auto" w:fill="FFFFFF"/>
          <w:lang w:val="en-GB"/>
        </w:rPr>
        <w:t xml:space="preserve"> that are carefully staged and managed (2008: 4</w:t>
      </w:r>
      <w:r w:rsidR="00065E07" w:rsidRPr="008401AD">
        <w:rPr>
          <w:szCs w:val="24"/>
          <w:shd w:val="clear" w:color="auto" w:fill="FFFFFF"/>
          <w:lang w:val="en-GB"/>
        </w:rPr>
        <w:sym w:font="Symbol" w:char="F02D"/>
      </w:r>
      <w:r w:rsidR="00552D85" w:rsidRPr="008401AD">
        <w:rPr>
          <w:szCs w:val="24"/>
          <w:shd w:val="clear" w:color="auto" w:fill="FFFFFF"/>
          <w:lang w:val="en-GB"/>
        </w:rPr>
        <w:t xml:space="preserve">7). </w:t>
      </w:r>
      <w:r w:rsidR="00552D85" w:rsidRPr="008401AD">
        <w:rPr>
          <w:szCs w:val="24"/>
          <w:lang w:val="en-GB"/>
        </w:rPr>
        <w:t xml:space="preserve">Media professionals are highly adept at giving interviews and often use these as the opportunity to present a version of themselves or events and a reconstruction of past happenings that create a particular view of the nature of their involvement and thus of their career trajectory. </w:t>
      </w:r>
      <w:r w:rsidR="008401AD" w:rsidRPr="008401AD">
        <w:rPr>
          <w:szCs w:val="24"/>
          <w:lang w:val="en-GB"/>
        </w:rPr>
        <w:t xml:space="preserve">This </w:t>
      </w:r>
      <w:r w:rsidR="00552D85" w:rsidRPr="008401AD">
        <w:rPr>
          <w:szCs w:val="24"/>
          <w:lang w:val="en-GB"/>
        </w:rPr>
        <w:t>may not be a deliberate act of misrepresentation but a version of events they have come to believe is true, usually placing themselves in a favo</w:t>
      </w:r>
      <w:r w:rsidR="00065E07" w:rsidRPr="008401AD">
        <w:rPr>
          <w:szCs w:val="24"/>
          <w:lang w:val="en-GB"/>
        </w:rPr>
        <w:t>u</w:t>
      </w:r>
      <w:r w:rsidR="00552D85" w:rsidRPr="008401AD">
        <w:rPr>
          <w:szCs w:val="24"/>
          <w:lang w:val="en-GB"/>
        </w:rPr>
        <w:t>rable position.</w:t>
      </w:r>
      <w:r w:rsidRPr="008401AD">
        <w:rPr>
          <w:szCs w:val="24"/>
          <w:lang w:val="en-GB"/>
        </w:rPr>
        <w:t>&lt;/NP&gt;</w:t>
      </w:r>
      <w:r w:rsidR="00552D85" w:rsidRPr="008401AD">
        <w:rPr>
          <w:szCs w:val="24"/>
          <w:lang w:val="en-GB"/>
        </w:rPr>
        <w:t xml:space="preserve"> </w:t>
      </w:r>
    </w:p>
    <w:p w14:paraId="10FD24D1" w14:textId="56FB0137" w:rsidR="00552D85" w:rsidRPr="008401AD" w:rsidRDefault="00943F51" w:rsidP="00552D85">
      <w:pPr>
        <w:rPr>
          <w:szCs w:val="24"/>
          <w:lang w:val="en-GB"/>
        </w:rPr>
      </w:pPr>
      <w:r w:rsidRPr="008401AD">
        <w:rPr>
          <w:szCs w:val="24"/>
          <w:lang w:val="en-GB"/>
        </w:rPr>
        <w:t>&lt;TEXT&gt;</w:t>
      </w:r>
      <w:r w:rsidR="00552D85" w:rsidRPr="008401AD">
        <w:rPr>
          <w:szCs w:val="24"/>
          <w:lang w:val="en-GB"/>
        </w:rPr>
        <w:t xml:space="preserve">Christine Cornea has identified an academic reluctance to engage in interviewing, </w:t>
      </w:r>
      <w:r w:rsidR="00116E33">
        <w:rPr>
          <w:szCs w:val="24"/>
          <w:lang w:val="en-GB"/>
        </w:rPr>
        <w:t xml:space="preserve">which is </w:t>
      </w:r>
      <w:r w:rsidR="00552D85" w:rsidRPr="008401AD">
        <w:rPr>
          <w:szCs w:val="24"/>
          <w:lang w:val="en-GB"/>
        </w:rPr>
        <w:t xml:space="preserve">judged the province of journalists. This is accompanied, she argues, by a </w:t>
      </w:r>
      <w:r w:rsidR="00065E07" w:rsidRPr="008401AD">
        <w:rPr>
          <w:szCs w:val="24"/>
          <w:lang w:val="en-GB"/>
        </w:rPr>
        <w:t>‘</w:t>
      </w:r>
      <w:r w:rsidR="00552D85" w:rsidRPr="008401AD">
        <w:rPr>
          <w:szCs w:val="24"/>
          <w:lang w:val="en-GB"/>
        </w:rPr>
        <w:t>fear of losing critical distance</w:t>
      </w:r>
      <w:r w:rsidR="00065E07" w:rsidRPr="008401AD">
        <w:rPr>
          <w:szCs w:val="24"/>
          <w:lang w:val="en-GB"/>
        </w:rPr>
        <w:t>’</w:t>
      </w:r>
      <w:r w:rsidR="00552D85" w:rsidRPr="008401AD">
        <w:rPr>
          <w:szCs w:val="24"/>
          <w:lang w:val="en-GB"/>
        </w:rPr>
        <w:t xml:space="preserve"> (2008: 118), of becoming too close to or too closely identified with the interviewee and thus not preserving the rigorous objectivity that should be a core component of disinterested research. However, Cornea articulates succinctly the value of interviews as a research methodology because</w:t>
      </w:r>
      <w:r w:rsidR="00116E33">
        <w:rPr>
          <w:szCs w:val="24"/>
          <w:lang w:val="en-GB"/>
        </w:rPr>
        <w:t>,</w:t>
      </w:r>
      <w:r w:rsidR="00552D85" w:rsidRPr="008401AD">
        <w:rPr>
          <w:szCs w:val="24"/>
          <w:lang w:val="en-GB"/>
        </w:rPr>
        <w:t xml:space="preserve"> although they </w:t>
      </w:r>
      <w:r w:rsidR="00065E07" w:rsidRPr="008401AD">
        <w:rPr>
          <w:szCs w:val="24"/>
          <w:lang w:val="en-GB"/>
        </w:rPr>
        <w:t>‘</w:t>
      </w:r>
      <w:r w:rsidR="00552D85" w:rsidRPr="008401AD">
        <w:rPr>
          <w:szCs w:val="24"/>
          <w:lang w:val="en-GB"/>
        </w:rPr>
        <w:t>generate material that is both true and false, skewed by memory or wish fulfilment</w:t>
      </w:r>
      <w:r w:rsidR="00065E07" w:rsidRPr="008401AD">
        <w:rPr>
          <w:szCs w:val="24"/>
          <w:lang w:val="en-GB"/>
        </w:rPr>
        <w:t>’,</w:t>
      </w:r>
      <w:r w:rsidR="00552D85" w:rsidRPr="008401AD">
        <w:rPr>
          <w:szCs w:val="24"/>
          <w:lang w:val="en-GB"/>
        </w:rPr>
        <w:t xml:space="preserve"> it is both </w:t>
      </w:r>
      <w:r w:rsidR="00065E07" w:rsidRPr="008401AD">
        <w:rPr>
          <w:szCs w:val="24"/>
          <w:lang w:val="en-GB"/>
        </w:rPr>
        <w:t>‘</w:t>
      </w:r>
      <w:r w:rsidR="00552D85" w:rsidRPr="008401AD">
        <w:rPr>
          <w:szCs w:val="24"/>
          <w:lang w:val="en-GB"/>
        </w:rPr>
        <w:t xml:space="preserve">interpretative and richly interpretable. This is why they can provide such resonant, irreplaceable materials for film and television studies, and why they need all our </w:t>
      </w:r>
      <w:r w:rsidR="008401AD" w:rsidRPr="008401AD">
        <w:rPr>
          <w:szCs w:val="24"/>
          <w:lang w:val="en-GB"/>
        </w:rPr>
        <w:t>scepticism</w:t>
      </w:r>
      <w:r w:rsidR="00552D85" w:rsidRPr="008401AD">
        <w:rPr>
          <w:szCs w:val="24"/>
          <w:lang w:val="en-GB"/>
        </w:rPr>
        <w:t xml:space="preserve"> and intelligence to make their way into an academic afterlife</w:t>
      </w:r>
      <w:r w:rsidR="00065E07" w:rsidRPr="008401AD">
        <w:rPr>
          <w:szCs w:val="24"/>
          <w:lang w:val="en-GB"/>
        </w:rPr>
        <w:t>’</w:t>
      </w:r>
      <w:r w:rsidR="00552D85" w:rsidRPr="008401AD">
        <w:rPr>
          <w:szCs w:val="24"/>
          <w:lang w:val="en-GB"/>
        </w:rPr>
        <w:t xml:space="preserve"> (2008: 134). As we found, interviews are often hard won and precious and become themselves an important historical record of the ideas and values held by industry practitioners at a moment in time. But their critical interpretation focuses attention on the reasons why those knowledges and opinions came into being and how they were constructed. </w:t>
      </w:r>
    </w:p>
    <w:p w14:paraId="5A7A2D68" w14:textId="72A0CE3F" w:rsidR="00552D85" w:rsidRPr="008401AD" w:rsidRDefault="00552D85" w:rsidP="00552D85">
      <w:pPr>
        <w:rPr>
          <w:szCs w:val="24"/>
          <w:lang w:val="en-GB"/>
        </w:rPr>
      </w:pPr>
      <w:r w:rsidRPr="008401AD">
        <w:rPr>
          <w:szCs w:val="24"/>
          <w:lang w:val="en-GB"/>
        </w:rPr>
        <w:t xml:space="preserve">In an illuminating recent discussion, specifically about the use of interviews in media production studies, </w:t>
      </w:r>
      <w:r w:rsidR="00301DA6" w:rsidRPr="008401AD">
        <w:rPr>
          <w:szCs w:val="24"/>
          <w:lang w:val="en-GB"/>
        </w:rPr>
        <w:t xml:space="preserve">Hanna </w:t>
      </w:r>
      <w:proofErr w:type="spellStart"/>
      <w:r w:rsidRPr="008401AD">
        <w:rPr>
          <w:szCs w:val="24"/>
          <w:lang w:val="en-GB"/>
        </w:rPr>
        <w:t>Bruun</w:t>
      </w:r>
      <w:proofErr w:type="spellEnd"/>
      <w:r w:rsidRPr="008401AD">
        <w:rPr>
          <w:szCs w:val="24"/>
          <w:lang w:val="en-GB"/>
        </w:rPr>
        <w:t xml:space="preserve"> argues that the interviewees are typically chosen </w:t>
      </w:r>
      <w:proofErr w:type="gramStart"/>
      <w:r w:rsidRPr="008401AD">
        <w:rPr>
          <w:szCs w:val="24"/>
          <w:lang w:val="en-GB"/>
        </w:rPr>
        <w:t>from an</w:t>
      </w:r>
      <w:proofErr w:type="gramEnd"/>
      <w:r w:rsidRPr="008401AD">
        <w:rPr>
          <w:szCs w:val="24"/>
          <w:lang w:val="en-GB"/>
        </w:rPr>
        <w:t xml:space="preserve"> elite deemed to possess the wide-ranging expert knowledge the researcher needs to validate the quality of her or his research and lend it both breadth and depth. This is because ‘elite interviewees’ are ones who have the power to make strategic decisions and thus exert a major influence over the companies they ‘represent’ (2015: 132</w:t>
      </w:r>
      <w:r w:rsidR="00301DA6" w:rsidRPr="008401AD">
        <w:rPr>
          <w:szCs w:val="24"/>
          <w:lang w:val="en-GB"/>
        </w:rPr>
        <w:sym w:font="Symbol" w:char="F02D"/>
      </w:r>
      <w:r w:rsidRPr="008401AD">
        <w:rPr>
          <w:szCs w:val="24"/>
          <w:lang w:val="en-GB"/>
        </w:rPr>
        <w:t xml:space="preserve">33; see also </w:t>
      </w:r>
      <w:proofErr w:type="spellStart"/>
      <w:r w:rsidR="00301DA6" w:rsidRPr="008401AD">
        <w:rPr>
          <w:szCs w:val="24"/>
          <w:lang w:val="en-GB"/>
        </w:rPr>
        <w:t>Bogner</w:t>
      </w:r>
      <w:proofErr w:type="spellEnd"/>
      <w:r w:rsidR="00301DA6" w:rsidRPr="008401AD">
        <w:rPr>
          <w:szCs w:val="24"/>
          <w:lang w:val="en-GB"/>
        </w:rPr>
        <w:t xml:space="preserve"> et al.</w:t>
      </w:r>
      <w:r w:rsidRPr="008401AD">
        <w:rPr>
          <w:szCs w:val="24"/>
          <w:lang w:val="en-GB"/>
        </w:rPr>
        <w:t xml:space="preserve"> 2009</w:t>
      </w:r>
      <w:r w:rsidR="00301DA6" w:rsidRPr="008401AD">
        <w:rPr>
          <w:szCs w:val="24"/>
          <w:lang w:val="en-GB"/>
        </w:rPr>
        <w:t xml:space="preserve">; </w:t>
      </w:r>
      <w:r w:rsidRPr="008401AD">
        <w:rPr>
          <w:szCs w:val="24"/>
          <w:lang w:val="en-GB"/>
        </w:rPr>
        <w:t>Herzog and Ali 2015</w:t>
      </w:r>
      <w:r w:rsidR="00301DA6" w:rsidRPr="008401AD">
        <w:rPr>
          <w:szCs w:val="24"/>
          <w:lang w:val="en-GB"/>
        </w:rPr>
        <w:t xml:space="preserve">; </w:t>
      </w:r>
      <w:proofErr w:type="spellStart"/>
      <w:r w:rsidRPr="008401AD">
        <w:rPr>
          <w:szCs w:val="24"/>
          <w:lang w:val="en-GB"/>
        </w:rPr>
        <w:t>Mikecz</w:t>
      </w:r>
      <w:proofErr w:type="spellEnd"/>
      <w:r w:rsidRPr="008401AD">
        <w:rPr>
          <w:szCs w:val="24"/>
          <w:lang w:val="en-GB"/>
        </w:rPr>
        <w:t xml:space="preserve"> 2012). </w:t>
      </w:r>
      <w:proofErr w:type="spellStart"/>
      <w:r w:rsidRPr="008401AD">
        <w:rPr>
          <w:szCs w:val="24"/>
          <w:lang w:val="en-GB"/>
        </w:rPr>
        <w:t>Bruun</w:t>
      </w:r>
      <w:proofErr w:type="spellEnd"/>
      <w:r w:rsidRPr="008401AD">
        <w:rPr>
          <w:szCs w:val="24"/>
          <w:lang w:val="en-GB"/>
        </w:rPr>
        <w:t xml:space="preserve"> prefers the term </w:t>
      </w:r>
      <w:r w:rsidR="00301DA6" w:rsidRPr="008401AD">
        <w:rPr>
          <w:szCs w:val="24"/>
          <w:lang w:val="en-GB"/>
        </w:rPr>
        <w:t>‘</w:t>
      </w:r>
      <w:r w:rsidRPr="008401AD">
        <w:rPr>
          <w:szCs w:val="24"/>
          <w:lang w:val="en-GB"/>
        </w:rPr>
        <w:t>exclusive informants</w:t>
      </w:r>
      <w:r w:rsidR="00301DA6" w:rsidRPr="008401AD">
        <w:rPr>
          <w:szCs w:val="24"/>
          <w:lang w:val="en-GB"/>
        </w:rPr>
        <w:t>’</w:t>
      </w:r>
      <w:r w:rsidRPr="008401AD">
        <w:rPr>
          <w:szCs w:val="24"/>
          <w:lang w:val="en-GB"/>
        </w:rPr>
        <w:t xml:space="preserve"> to describe this group of potential interviewees who possess </w:t>
      </w:r>
      <w:r w:rsidR="00301DA6" w:rsidRPr="008401AD">
        <w:rPr>
          <w:szCs w:val="24"/>
          <w:lang w:val="en-GB"/>
        </w:rPr>
        <w:t>‘</w:t>
      </w:r>
      <w:r w:rsidRPr="008401AD">
        <w:rPr>
          <w:szCs w:val="24"/>
          <w:lang w:val="en-GB"/>
        </w:rPr>
        <w:t>irreplaceable</w:t>
      </w:r>
      <w:r w:rsidR="00301DA6" w:rsidRPr="008401AD">
        <w:rPr>
          <w:szCs w:val="24"/>
          <w:lang w:val="en-GB"/>
        </w:rPr>
        <w:t>’</w:t>
      </w:r>
      <w:r w:rsidRPr="008401AD">
        <w:rPr>
          <w:szCs w:val="24"/>
          <w:lang w:val="en-GB"/>
        </w:rPr>
        <w:t xml:space="preserve"> knowledge that is not publicly available (</w:t>
      </w:r>
      <w:proofErr w:type="spellStart"/>
      <w:r w:rsidRPr="008401AD">
        <w:rPr>
          <w:szCs w:val="24"/>
          <w:lang w:val="en-GB"/>
        </w:rPr>
        <w:t>Bruun</w:t>
      </w:r>
      <w:proofErr w:type="spellEnd"/>
      <w:r w:rsidRPr="008401AD">
        <w:rPr>
          <w:szCs w:val="24"/>
          <w:lang w:val="en-GB"/>
        </w:rPr>
        <w:t xml:space="preserve"> 2015: 134</w:t>
      </w:r>
      <w:r w:rsidR="00301DA6" w:rsidRPr="008401AD">
        <w:rPr>
          <w:szCs w:val="24"/>
          <w:lang w:val="en-GB"/>
        </w:rPr>
        <w:sym w:font="Symbol" w:char="F02D"/>
      </w:r>
      <w:r w:rsidRPr="008401AD">
        <w:rPr>
          <w:szCs w:val="24"/>
          <w:lang w:val="en-GB"/>
        </w:rPr>
        <w:t xml:space="preserve">35). The key to conducting successful interviews, she contends, is to establish trust and mutual respect through posing critically astute questions based on extensive background knowledge. Such questions allow the interviewee to engage in a conversation very different from ones typically created by journalists (who want information or opinion) and which encompasses reflection on deeper issues. However, </w:t>
      </w:r>
      <w:proofErr w:type="spellStart"/>
      <w:r w:rsidRPr="008401AD">
        <w:rPr>
          <w:szCs w:val="24"/>
          <w:lang w:val="en-GB"/>
        </w:rPr>
        <w:t>Bruun</w:t>
      </w:r>
      <w:proofErr w:type="spellEnd"/>
      <w:r w:rsidRPr="008401AD">
        <w:rPr>
          <w:szCs w:val="24"/>
          <w:lang w:val="en-GB"/>
        </w:rPr>
        <w:t xml:space="preserve">, like Caldwell, cautions that researchers need to recognize that ‘exclusive informants’ have agendas and take these into account when making their interpretations of the interview material. Because our principal focus is on those in a position to provide an overview </w:t>
      </w:r>
      <w:r w:rsidR="00F561BC" w:rsidRPr="008401AD">
        <w:rPr>
          <w:szCs w:val="24"/>
          <w:lang w:val="en-GB"/>
        </w:rPr>
        <w:t xml:space="preserve">of </w:t>
      </w:r>
      <w:r w:rsidRPr="008401AD">
        <w:rPr>
          <w:szCs w:val="24"/>
          <w:lang w:val="en-GB"/>
        </w:rPr>
        <w:t xml:space="preserve">their company’s history and how its strategy has developed over time, our selection has concentrated on these ‘exclusive informants’, often company founders </w:t>
      </w:r>
      <w:proofErr w:type="gramStart"/>
      <w:r w:rsidR="00116E33">
        <w:rPr>
          <w:szCs w:val="24"/>
          <w:lang w:val="en-GB"/>
        </w:rPr>
        <w:t>which</w:t>
      </w:r>
      <w:proofErr w:type="gramEnd"/>
      <w:r w:rsidR="00116E33">
        <w:rPr>
          <w:szCs w:val="24"/>
          <w:lang w:val="en-GB"/>
        </w:rPr>
        <w:t xml:space="preserve"> is </w:t>
      </w:r>
      <w:r w:rsidRPr="008401AD">
        <w:rPr>
          <w:szCs w:val="24"/>
          <w:lang w:val="en-GB"/>
        </w:rPr>
        <w:t>sometimes referred to as ‘studying up’. What we seek is access to professional knowledge rather than the lifeworld of the interviewee, the characteristic focus of ‘studying down’ where the informants are often ‘below the line’ workers. However, we have also sought the voices of lower status employees or freelancers on occasions to provide a different perspective.</w:t>
      </w:r>
    </w:p>
    <w:p w14:paraId="1C2CD390" w14:textId="6C85F249" w:rsidR="00552D85" w:rsidRPr="008401AD" w:rsidRDefault="00552D85" w:rsidP="00552D85">
      <w:pPr>
        <w:rPr>
          <w:szCs w:val="24"/>
          <w:lang w:val="en-GB"/>
        </w:rPr>
      </w:pPr>
      <w:proofErr w:type="spellStart"/>
      <w:r w:rsidRPr="008401AD">
        <w:rPr>
          <w:szCs w:val="24"/>
          <w:lang w:val="en-GB"/>
        </w:rPr>
        <w:t>Bruun</w:t>
      </w:r>
      <w:proofErr w:type="spellEnd"/>
      <w:r w:rsidRPr="008401AD">
        <w:rPr>
          <w:szCs w:val="24"/>
          <w:lang w:val="en-GB"/>
        </w:rPr>
        <w:t xml:space="preserve"> also raises questions about confidentiality, anonymity and the interviewees’ rights over published material. As she notes, the world of elite media professionals is a small one and the testimony would be instantly recognizable even if the person </w:t>
      </w:r>
      <w:r w:rsidR="00FE7073" w:rsidRPr="008401AD">
        <w:rPr>
          <w:szCs w:val="24"/>
          <w:lang w:val="en-GB"/>
        </w:rPr>
        <w:t>were</w:t>
      </w:r>
      <w:r w:rsidRPr="008401AD">
        <w:rPr>
          <w:szCs w:val="24"/>
          <w:lang w:val="en-GB"/>
        </w:rPr>
        <w:t xml:space="preserve"> not named. Thus we have named our sources, who were happy for us to do so and to be quoted. Ethically, this entailed giving them the opportunity </w:t>
      </w:r>
      <w:r w:rsidR="00F561BC" w:rsidRPr="008401AD">
        <w:rPr>
          <w:szCs w:val="24"/>
          <w:lang w:val="en-GB"/>
        </w:rPr>
        <w:t xml:space="preserve">to </w:t>
      </w:r>
      <w:r w:rsidRPr="008401AD">
        <w:rPr>
          <w:szCs w:val="24"/>
          <w:lang w:val="en-GB"/>
        </w:rPr>
        <w:t>check the citations for accuracy. Some of the authors have given the interviewees</w:t>
      </w:r>
      <w:r w:rsidR="00F561BC" w:rsidRPr="008401AD">
        <w:rPr>
          <w:szCs w:val="24"/>
          <w:lang w:val="en-GB"/>
        </w:rPr>
        <w:t xml:space="preserve"> </w:t>
      </w:r>
      <w:r w:rsidRPr="008401AD">
        <w:rPr>
          <w:szCs w:val="24"/>
          <w:lang w:val="en-GB"/>
        </w:rPr>
        <w:t>access to their finished chapters to comment on what they perceive to be distortions or misrepresentations and to ask for any material they felt uncomfortable about to be removed. There is a gatekeeping element (Mills 2008) to this latter practice, and a possible compromise of the objectivity and validity of the research produced, but our experience has been of very minimal interventions or else a very positive post-interview dialogue that re-engages with the issues broached in the encounter.</w:t>
      </w:r>
      <w:r w:rsidR="00943F51" w:rsidRPr="008401AD">
        <w:rPr>
          <w:szCs w:val="24"/>
          <w:lang w:val="en-GB"/>
        </w:rPr>
        <w:t>&lt;/TEXT&gt;</w:t>
      </w:r>
      <w:r w:rsidRPr="008401AD">
        <w:rPr>
          <w:szCs w:val="24"/>
          <w:lang w:val="en-GB"/>
        </w:rPr>
        <w:t xml:space="preserve"> </w:t>
      </w:r>
    </w:p>
    <w:p w14:paraId="7EBCFA8C" w14:textId="77777777" w:rsidR="00552D85" w:rsidRPr="008401AD" w:rsidRDefault="00552D85" w:rsidP="00552D85">
      <w:pPr>
        <w:rPr>
          <w:szCs w:val="24"/>
          <w:lang w:val="en-GB"/>
        </w:rPr>
      </w:pPr>
    </w:p>
    <w:p w14:paraId="32E4D8C0" w14:textId="77777777" w:rsidR="00552D85" w:rsidRPr="008401AD" w:rsidRDefault="00943F51" w:rsidP="00552D85">
      <w:pPr>
        <w:pStyle w:val="Heading1"/>
        <w:rPr>
          <w:sz w:val="24"/>
          <w:szCs w:val="24"/>
          <w:lang w:val="en-GB"/>
        </w:rPr>
      </w:pPr>
      <w:bookmarkStart w:id="7" w:name="_Toc469423964"/>
      <w:r w:rsidRPr="008401AD">
        <w:rPr>
          <w:sz w:val="24"/>
          <w:szCs w:val="24"/>
          <w:lang w:val="en-GB"/>
        </w:rPr>
        <w:t>&lt;H1&gt;</w:t>
      </w:r>
      <w:r w:rsidR="00552D85" w:rsidRPr="008401AD">
        <w:rPr>
          <w:sz w:val="24"/>
          <w:szCs w:val="24"/>
          <w:lang w:val="en-GB"/>
        </w:rPr>
        <w:t>Undertaking qualitative cross-national research</w:t>
      </w:r>
      <w:bookmarkEnd w:id="7"/>
      <w:r w:rsidRPr="008401AD">
        <w:rPr>
          <w:sz w:val="24"/>
          <w:szCs w:val="24"/>
          <w:lang w:val="en-GB"/>
        </w:rPr>
        <w:t>&lt;/H1&gt;</w:t>
      </w:r>
    </w:p>
    <w:p w14:paraId="105C1C63" w14:textId="1E154990" w:rsidR="00552D85" w:rsidRPr="008401AD" w:rsidRDefault="00943F51" w:rsidP="00552D85">
      <w:pPr>
        <w:rPr>
          <w:rFonts w:eastAsia="Times New Roman"/>
          <w:color w:val="000000"/>
          <w:szCs w:val="24"/>
          <w:shd w:val="clear" w:color="auto" w:fill="FFFFFF"/>
          <w:lang w:val="en-GB"/>
        </w:rPr>
      </w:pPr>
      <w:r w:rsidRPr="008401AD">
        <w:rPr>
          <w:rFonts w:eastAsia="Times New Roman"/>
          <w:color w:val="000000"/>
          <w:szCs w:val="24"/>
          <w:shd w:val="clear" w:color="auto" w:fill="FFFFFF"/>
          <w:lang w:val="en-GB"/>
        </w:rPr>
        <w:t>&lt;NP&gt;</w:t>
      </w:r>
      <w:r w:rsidR="00552D85" w:rsidRPr="008401AD">
        <w:rPr>
          <w:rFonts w:eastAsia="Times New Roman"/>
          <w:color w:val="000000"/>
          <w:szCs w:val="24"/>
          <w:shd w:val="clear" w:color="auto" w:fill="FFFFFF"/>
          <w:lang w:val="en-GB"/>
        </w:rPr>
        <w:t xml:space="preserve">A crucial dimension of the </w:t>
      </w:r>
      <w:proofErr w:type="spellStart"/>
      <w:r w:rsidR="00552D85" w:rsidRPr="008401AD">
        <w:rPr>
          <w:rFonts w:eastAsia="Times New Roman"/>
          <w:color w:val="000000"/>
          <w:szCs w:val="24"/>
          <w:shd w:val="clear" w:color="auto" w:fill="FFFFFF"/>
          <w:lang w:val="en-GB"/>
        </w:rPr>
        <w:t>SiFTI</w:t>
      </w:r>
      <w:proofErr w:type="spellEnd"/>
      <w:r w:rsidR="00552D85" w:rsidRPr="008401AD">
        <w:rPr>
          <w:rFonts w:eastAsia="Times New Roman"/>
          <w:color w:val="000000"/>
          <w:szCs w:val="24"/>
          <w:shd w:val="clear" w:color="auto" w:fill="FFFFFF"/>
          <w:lang w:val="en-GB"/>
        </w:rPr>
        <w:t xml:space="preserve"> project was to conduct cross-national research and thus to i</w:t>
      </w:r>
      <w:r w:rsidR="00552D85" w:rsidRPr="008401AD">
        <w:rPr>
          <w:szCs w:val="24"/>
          <w:lang w:val="en-GB"/>
        </w:rPr>
        <w:t xml:space="preserve">lluminate a broader spectrum of company practices than could be provided by focusing on only one nation, despite the challenges (Livingston 2003). It also provided the opportunity to search for any common patterns that might explain the sustainability and success of the selected companies across the four different countries. </w:t>
      </w:r>
      <w:r w:rsidR="00552D85" w:rsidRPr="008401AD">
        <w:rPr>
          <w:rFonts w:eastAsia="Times New Roman"/>
          <w:color w:val="000000"/>
          <w:szCs w:val="24"/>
          <w:shd w:val="clear" w:color="auto" w:fill="FFFFFF"/>
          <w:lang w:val="en-GB"/>
        </w:rPr>
        <w:t xml:space="preserve">Despite their important differences, notably the size of the </w:t>
      </w:r>
      <w:r w:rsidR="00E84287" w:rsidRPr="008401AD">
        <w:rPr>
          <w:rFonts w:eastAsia="Times New Roman"/>
          <w:color w:val="000000"/>
          <w:szCs w:val="24"/>
          <w:shd w:val="clear" w:color="auto" w:fill="FFFFFF"/>
          <w:lang w:val="en-GB"/>
        </w:rPr>
        <w:t xml:space="preserve">United Kingdom </w:t>
      </w:r>
      <w:r w:rsidR="00552D85" w:rsidRPr="008401AD">
        <w:rPr>
          <w:rFonts w:eastAsia="Times New Roman"/>
          <w:color w:val="000000"/>
          <w:szCs w:val="24"/>
          <w:shd w:val="clear" w:color="auto" w:fill="FFFFFF"/>
          <w:lang w:val="en-GB"/>
        </w:rPr>
        <w:t xml:space="preserve">and the scale of its media industries, these four countries also share significant similarities to make the comparison meaningful. All four are situated in north-western Europe and are fairly affluent, technologically advanced social democracies with strong welfare states that regard film and particularly television as cultural </w:t>
      </w:r>
      <w:r w:rsidR="00A66F20" w:rsidRPr="008401AD">
        <w:rPr>
          <w:rFonts w:eastAsia="Times New Roman"/>
          <w:color w:val="000000"/>
          <w:szCs w:val="24"/>
          <w:shd w:val="clear" w:color="auto" w:fill="FFFFFF"/>
          <w:lang w:val="en-GB"/>
        </w:rPr>
        <w:t xml:space="preserve">organizations </w:t>
      </w:r>
      <w:r w:rsidR="00552D85" w:rsidRPr="008401AD">
        <w:rPr>
          <w:rFonts w:eastAsia="Times New Roman"/>
          <w:color w:val="000000"/>
          <w:szCs w:val="24"/>
          <w:shd w:val="clear" w:color="auto" w:fill="FFFFFF"/>
          <w:lang w:val="en-GB"/>
        </w:rPr>
        <w:t xml:space="preserve">rather than simply businesses, as reflected in the strong traditions of public service broadcasting that have developed in each. With the partial exception of the </w:t>
      </w:r>
      <w:r w:rsidR="00BD70D0" w:rsidRPr="008401AD">
        <w:rPr>
          <w:rFonts w:eastAsia="Times New Roman"/>
          <w:color w:val="000000"/>
          <w:szCs w:val="24"/>
          <w:shd w:val="clear" w:color="auto" w:fill="FFFFFF"/>
          <w:lang w:val="en-GB"/>
        </w:rPr>
        <w:t>United Kingdom</w:t>
      </w:r>
      <w:r w:rsidR="000855E4">
        <w:rPr>
          <w:rFonts w:eastAsia="Times New Roman"/>
          <w:color w:val="000000"/>
          <w:szCs w:val="24"/>
          <w:shd w:val="clear" w:color="auto" w:fill="FFFFFF"/>
          <w:lang w:val="en-GB"/>
        </w:rPr>
        <w:t>,</w:t>
      </w:r>
      <w:r w:rsidR="00BD70D0" w:rsidRPr="008401AD">
        <w:rPr>
          <w:rFonts w:eastAsia="Times New Roman"/>
          <w:color w:val="000000"/>
          <w:szCs w:val="24"/>
          <w:shd w:val="clear" w:color="auto" w:fill="FFFFFF"/>
          <w:lang w:val="en-GB"/>
        </w:rPr>
        <w:t xml:space="preserve"> </w:t>
      </w:r>
      <w:r w:rsidR="000855E4">
        <w:rPr>
          <w:rFonts w:eastAsia="Times New Roman"/>
          <w:color w:val="000000"/>
          <w:szCs w:val="24"/>
          <w:shd w:val="clear" w:color="auto" w:fill="FFFFFF"/>
          <w:lang w:val="en-GB"/>
        </w:rPr>
        <w:t>which</w:t>
      </w:r>
      <w:r w:rsidR="000855E4" w:rsidRPr="008401AD">
        <w:rPr>
          <w:rFonts w:eastAsia="Times New Roman"/>
          <w:color w:val="000000"/>
          <w:szCs w:val="24"/>
          <w:shd w:val="clear" w:color="auto" w:fill="FFFFFF"/>
          <w:lang w:val="en-GB"/>
        </w:rPr>
        <w:t xml:space="preserve"> </w:t>
      </w:r>
      <w:r w:rsidR="00552D85" w:rsidRPr="008401AD">
        <w:rPr>
          <w:rFonts w:eastAsia="Times New Roman"/>
          <w:color w:val="000000"/>
          <w:szCs w:val="24"/>
          <w:shd w:val="clear" w:color="auto" w:fill="FFFFFF"/>
          <w:lang w:val="en-GB"/>
        </w:rPr>
        <w:t xml:space="preserve">relies on an indiscriminate tax relief scheme in which foreign firms also profit, all have </w:t>
      </w:r>
      <w:r w:rsidR="00BD70D0" w:rsidRPr="008401AD">
        <w:rPr>
          <w:rFonts w:eastAsia="Times New Roman"/>
          <w:color w:val="000000"/>
          <w:szCs w:val="24"/>
          <w:shd w:val="clear" w:color="auto" w:fill="FFFFFF"/>
          <w:lang w:val="en-GB"/>
        </w:rPr>
        <w:t>well-</w:t>
      </w:r>
      <w:r w:rsidR="00552D85" w:rsidRPr="008401AD">
        <w:rPr>
          <w:rFonts w:eastAsia="Times New Roman"/>
          <w:color w:val="000000"/>
          <w:szCs w:val="24"/>
          <w:shd w:val="clear" w:color="auto" w:fill="FFFFFF"/>
          <w:lang w:val="en-GB"/>
        </w:rPr>
        <w:t xml:space="preserve">developed state support mechanisms that provide a degree of protection and assistance for both the film and television industries. In addition, Denmark and the Netherlands enjoy further support as members of the European Union. Although Norway is not a member, Norwegian companies are also subject to EU regulations (Television without Frontiers, </w:t>
      </w:r>
      <w:proofErr w:type="spellStart"/>
      <w:r w:rsidR="00552D85" w:rsidRPr="008401AD">
        <w:rPr>
          <w:rFonts w:eastAsia="Times New Roman"/>
          <w:color w:val="000000"/>
          <w:szCs w:val="24"/>
          <w:shd w:val="clear" w:color="auto" w:fill="FFFFFF"/>
          <w:lang w:val="en-GB"/>
        </w:rPr>
        <w:t>Audiovisual</w:t>
      </w:r>
      <w:proofErr w:type="spellEnd"/>
      <w:r w:rsidR="00552D85" w:rsidRPr="008401AD">
        <w:rPr>
          <w:rFonts w:eastAsia="Times New Roman"/>
          <w:color w:val="000000"/>
          <w:szCs w:val="24"/>
          <w:shd w:val="clear" w:color="auto" w:fill="FFFFFF"/>
          <w:lang w:val="en-GB"/>
        </w:rPr>
        <w:t xml:space="preserve"> Media Service) and are eligible for EU support schemes (MEDIA programme, Creative Europe) due to Norway’s EEA (European Economic Area) membership. The nature of the </w:t>
      </w:r>
      <w:r w:rsidR="008D2B82" w:rsidRPr="008401AD">
        <w:rPr>
          <w:rFonts w:eastAsia="Times New Roman"/>
          <w:color w:val="000000"/>
          <w:szCs w:val="24"/>
          <w:shd w:val="clear" w:color="auto" w:fill="FFFFFF"/>
          <w:lang w:val="en-GB"/>
        </w:rPr>
        <w:t xml:space="preserve">United Kingdom’s </w:t>
      </w:r>
      <w:r w:rsidR="00552D85" w:rsidRPr="008401AD">
        <w:rPr>
          <w:rFonts w:eastAsia="Times New Roman"/>
          <w:color w:val="000000"/>
          <w:szCs w:val="24"/>
          <w:shd w:val="clear" w:color="auto" w:fill="FFFFFF"/>
          <w:lang w:val="en-GB"/>
        </w:rPr>
        <w:t xml:space="preserve">relationship to Europe is in the process of being redefined following the ‘Brexit’ referendum in 2016 when a narrow majority voted to leave the European Union. However, this occurred after the empirical data used in this book was collected. </w:t>
      </w:r>
      <w:r w:rsidR="00552D85" w:rsidRPr="008401AD">
        <w:rPr>
          <w:szCs w:val="24"/>
          <w:lang w:val="en-GB"/>
        </w:rPr>
        <w:t xml:space="preserve">Members of the two Nordic countries can also apply for money from the Nordisk Film &amp; TV </w:t>
      </w:r>
      <w:r w:rsidR="000419D1">
        <w:rPr>
          <w:szCs w:val="24"/>
          <w:lang w:val="en-GB"/>
        </w:rPr>
        <w:t>Fond</w:t>
      </w:r>
      <w:proofErr w:type="gramStart"/>
      <w:r w:rsidR="00552D85" w:rsidRPr="008401AD">
        <w:rPr>
          <w:szCs w:val="24"/>
          <w:lang w:val="en-GB"/>
        </w:rPr>
        <w:t>.</w:t>
      </w:r>
      <w:r w:rsidRPr="008401AD">
        <w:rPr>
          <w:szCs w:val="24"/>
          <w:lang w:val="en-GB"/>
        </w:rPr>
        <w:t>&lt;</w:t>
      </w:r>
      <w:proofErr w:type="gramEnd"/>
      <w:r w:rsidRPr="008401AD">
        <w:rPr>
          <w:szCs w:val="24"/>
          <w:lang w:val="en-GB"/>
        </w:rPr>
        <w:t>/NP&gt;</w:t>
      </w:r>
    </w:p>
    <w:p w14:paraId="38B9C540" w14:textId="66DBA8A6" w:rsidR="00552D85" w:rsidRPr="008401AD" w:rsidRDefault="00943F51" w:rsidP="00552D85">
      <w:pPr>
        <w:rPr>
          <w:rFonts w:eastAsia="Times New Roman"/>
          <w:color w:val="000000"/>
          <w:szCs w:val="24"/>
          <w:shd w:val="clear" w:color="auto" w:fill="FFFFFF"/>
          <w:lang w:val="en-GB"/>
        </w:rPr>
      </w:pPr>
      <w:r w:rsidRPr="008401AD">
        <w:rPr>
          <w:rFonts w:eastAsia="Times New Roman"/>
          <w:color w:val="000000"/>
          <w:szCs w:val="24"/>
          <w:shd w:val="clear" w:color="auto" w:fill="FFFFFF"/>
          <w:lang w:val="en-GB"/>
        </w:rPr>
        <w:t>&lt;TEXT&gt;</w:t>
      </w:r>
      <w:r w:rsidR="00552D85" w:rsidRPr="008401AD">
        <w:rPr>
          <w:rFonts w:eastAsia="Times New Roman"/>
          <w:color w:val="000000"/>
          <w:szCs w:val="24"/>
          <w:shd w:val="clear" w:color="auto" w:fill="FFFFFF"/>
          <w:lang w:val="en-GB"/>
        </w:rPr>
        <w:t xml:space="preserve">The media industries in all four countries face major challenges. Globalization includes the necessity of dealing with multinational and multi-ethnic audiences as well as the possibility of being bought by multinational corporations. These corporations include not only the giants of the past – the Hollywood studios </w:t>
      </w:r>
      <w:r w:rsidR="00082386" w:rsidRPr="008401AD">
        <w:rPr>
          <w:rFonts w:eastAsia="Times New Roman"/>
          <w:color w:val="000000"/>
          <w:szCs w:val="24"/>
          <w:shd w:val="clear" w:color="auto" w:fill="FFFFFF"/>
          <w:lang w:val="en-GB"/>
        </w:rPr>
        <w:t xml:space="preserve">that </w:t>
      </w:r>
      <w:r w:rsidR="00552D85" w:rsidRPr="008401AD">
        <w:rPr>
          <w:rFonts w:eastAsia="Times New Roman"/>
          <w:color w:val="000000"/>
          <w:szCs w:val="24"/>
          <w:shd w:val="clear" w:color="auto" w:fill="FFFFFF"/>
          <w:lang w:val="en-GB"/>
        </w:rPr>
        <w:t xml:space="preserve">have always dominated the film industry – but </w:t>
      </w:r>
      <w:r w:rsidR="00082386" w:rsidRPr="008401AD">
        <w:rPr>
          <w:rFonts w:eastAsia="Times New Roman"/>
          <w:color w:val="000000"/>
          <w:szCs w:val="24"/>
          <w:shd w:val="clear" w:color="auto" w:fill="FFFFFF"/>
          <w:lang w:val="en-GB"/>
        </w:rPr>
        <w:t xml:space="preserve">also </w:t>
      </w:r>
      <w:r w:rsidR="00552D85" w:rsidRPr="008401AD">
        <w:rPr>
          <w:rFonts w:eastAsia="Times New Roman"/>
          <w:color w:val="000000"/>
          <w:szCs w:val="24"/>
          <w:shd w:val="clear" w:color="auto" w:fill="FFFFFF"/>
          <w:lang w:val="en-GB"/>
        </w:rPr>
        <w:t xml:space="preserve">the new television behemoths, the ‘super indies’ and ‘mega indies’ such as the </w:t>
      </w:r>
      <w:proofErr w:type="spellStart"/>
      <w:r w:rsidR="00552D85" w:rsidRPr="008401AD">
        <w:rPr>
          <w:rFonts w:eastAsia="Times New Roman"/>
          <w:color w:val="000000"/>
          <w:szCs w:val="24"/>
          <w:shd w:val="clear" w:color="auto" w:fill="FFFFFF"/>
          <w:lang w:val="en-GB"/>
        </w:rPr>
        <w:t>EndemolShine</w:t>
      </w:r>
      <w:proofErr w:type="spellEnd"/>
      <w:r w:rsidR="00552D85" w:rsidRPr="008401AD">
        <w:rPr>
          <w:rFonts w:eastAsia="Times New Roman"/>
          <w:color w:val="000000"/>
          <w:szCs w:val="24"/>
          <w:shd w:val="clear" w:color="auto" w:fill="FFFFFF"/>
          <w:lang w:val="en-GB"/>
        </w:rPr>
        <w:t xml:space="preserve"> group that now consists of 120 companies across more than </w:t>
      </w:r>
      <w:r w:rsidR="00082386" w:rsidRPr="008401AD">
        <w:rPr>
          <w:rFonts w:eastAsia="Times New Roman"/>
          <w:color w:val="000000"/>
          <w:szCs w:val="24"/>
          <w:shd w:val="clear" w:color="auto" w:fill="FFFFFF"/>
          <w:lang w:val="en-GB"/>
        </w:rPr>
        <w:t xml:space="preserve">30 </w:t>
      </w:r>
      <w:r w:rsidR="00552D85" w:rsidRPr="008401AD">
        <w:rPr>
          <w:rFonts w:eastAsia="Times New Roman"/>
          <w:color w:val="000000"/>
          <w:szCs w:val="24"/>
          <w:shd w:val="clear" w:color="auto" w:fill="FFFFFF"/>
          <w:lang w:val="en-GB"/>
        </w:rPr>
        <w:t xml:space="preserve">markets. These developments can be regarded as both a threat to independence and also an opportunity for smaller companies to achieve greater </w:t>
      </w:r>
      <w:r w:rsidR="0002734C" w:rsidRPr="008401AD">
        <w:rPr>
          <w:rFonts w:eastAsia="Times New Roman"/>
          <w:color w:val="000000"/>
          <w:szCs w:val="24"/>
          <w:shd w:val="clear" w:color="auto" w:fill="FFFFFF"/>
          <w:lang w:val="en-GB"/>
        </w:rPr>
        <w:t xml:space="preserve">or </w:t>
      </w:r>
      <w:r w:rsidR="00552D85" w:rsidRPr="008401AD">
        <w:rPr>
          <w:rFonts w:eastAsia="Times New Roman"/>
          <w:color w:val="000000"/>
          <w:szCs w:val="24"/>
          <w:shd w:val="clear" w:color="auto" w:fill="FFFFFF"/>
          <w:lang w:val="en-GB"/>
        </w:rPr>
        <w:t xml:space="preserve">more financial stability. Film and television companies in these four countries, as elsewhere, are also struggling to adapt to the major changes created by digitalization, which </w:t>
      </w:r>
      <w:r w:rsidR="00552D85" w:rsidRPr="008401AD">
        <w:rPr>
          <w:szCs w:val="24"/>
          <w:lang w:val="en-GB"/>
        </w:rPr>
        <w:t xml:space="preserve">has had a profound impact on the production and distribution of media in general and how media are consumed (see, </w:t>
      </w:r>
      <w:r w:rsidR="00552D85" w:rsidRPr="001E2D3F">
        <w:rPr>
          <w:szCs w:val="24"/>
          <w:lang w:val="en-GB"/>
        </w:rPr>
        <w:t>inter alia</w:t>
      </w:r>
      <w:r w:rsidR="00552D85" w:rsidRPr="008401AD">
        <w:rPr>
          <w:szCs w:val="24"/>
          <w:lang w:val="en-GB"/>
        </w:rPr>
        <w:t>,</w:t>
      </w:r>
      <w:r w:rsidR="00552D85" w:rsidRPr="008401AD">
        <w:rPr>
          <w:i/>
          <w:szCs w:val="24"/>
          <w:lang w:val="en-GB"/>
        </w:rPr>
        <w:t xml:space="preserve"> </w:t>
      </w:r>
      <w:proofErr w:type="spellStart"/>
      <w:r w:rsidR="00552D85" w:rsidRPr="008401AD">
        <w:rPr>
          <w:szCs w:val="24"/>
          <w:lang w:val="en-GB"/>
        </w:rPr>
        <w:t>Gripsrud</w:t>
      </w:r>
      <w:proofErr w:type="spellEnd"/>
      <w:r w:rsidR="00552D85" w:rsidRPr="008401AD">
        <w:rPr>
          <w:szCs w:val="24"/>
          <w:lang w:val="en-GB"/>
        </w:rPr>
        <w:t xml:space="preserve"> 2010). In addition, all four countries are</w:t>
      </w:r>
      <w:r w:rsidR="00552D85" w:rsidRPr="008401AD">
        <w:rPr>
          <w:rFonts w:eastAsia="Times New Roman"/>
          <w:color w:val="000000"/>
          <w:szCs w:val="24"/>
          <w:shd w:val="clear" w:color="auto" w:fill="FFFFFF"/>
          <w:lang w:val="en-GB"/>
        </w:rPr>
        <w:t>, to different degrees, affected by the deregulation of the audio-visual market causing increased competition.</w:t>
      </w:r>
      <w:r w:rsidRPr="008401AD">
        <w:rPr>
          <w:rFonts w:eastAsia="Times New Roman"/>
          <w:color w:val="000000"/>
          <w:szCs w:val="24"/>
          <w:shd w:val="clear" w:color="auto" w:fill="FFFFFF"/>
          <w:lang w:val="en-GB"/>
        </w:rPr>
        <w:t>&lt;/TEXT&gt;</w:t>
      </w:r>
      <w:r w:rsidR="00552D85" w:rsidRPr="008401AD">
        <w:rPr>
          <w:rFonts w:eastAsia="Times New Roman"/>
          <w:color w:val="000000"/>
          <w:szCs w:val="24"/>
          <w:shd w:val="clear" w:color="auto" w:fill="FFFFFF"/>
          <w:lang w:val="en-GB"/>
        </w:rPr>
        <w:t xml:space="preserve"> </w:t>
      </w:r>
    </w:p>
    <w:p w14:paraId="49D1066F" w14:textId="77777777" w:rsidR="00552D85" w:rsidRPr="008401AD" w:rsidRDefault="00552D85" w:rsidP="00552D85">
      <w:pPr>
        <w:rPr>
          <w:rFonts w:eastAsia="Times New Roman"/>
          <w:color w:val="000000"/>
          <w:szCs w:val="24"/>
          <w:shd w:val="clear" w:color="auto" w:fill="FFFFFF"/>
          <w:lang w:val="en-GB"/>
        </w:rPr>
      </w:pPr>
    </w:p>
    <w:p w14:paraId="72F0B686" w14:textId="77777777" w:rsidR="00552D85" w:rsidRPr="008401AD" w:rsidRDefault="00943F51" w:rsidP="00552D85">
      <w:pPr>
        <w:pStyle w:val="Heading1"/>
        <w:rPr>
          <w:sz w:val="24"/>
          <w:szCs w:val="24"/>
          <w:lang w:val="en-GB"/>
        </w:rPr>
      </w:pPr>
      <w:bookmarkStart w:id="8" w:name="_Toc469423965"/>
      <w:r w:rsidRPr="008401AD">
        <w:rPr>
          <w:sz w:val="24"/>
          <w:szCs w:val="24"/>
          <w:lang w:val="en-GB"/>
        </w:rPr>
        <w:t>&lt;H1&gt;</w:t>
      </w:r>
      <w:r w:rsidR="00552D85" w:rsidRPr="008401AD">
        <w:rPr>
          <w:sz w:val="24"/>
          <w:szCs w:val="24"/>
          <w:lang w:val="en-GB"/>
        </w:rPr>
        <w:t>Introducing the chapters</w:t>
      </w:r>
      <w:bookmarkEnd w:id="8"/>
      <w:r w:rsidRPr="008401AD">
        <w:rPr>
          <w:sz w:val="24"/>
          <w:szCs w:val="24"/>
          <w:lang w:val="en-GB"/>
        </w:rPr>
        <w:t>&lt;/H1&gt;</w:t>
      </w:r>
      <w:r w:rsidR="00552D85" w:rsidRPr="008401AD">
        <w:rPr>
          <w:sz w:val="24"/>
          <w:szCs w:val="24"/>
          <w:lang w:val="en-GB"/>
        </w:rPr>
        <w:t xml:space="preserve"> </w:t>
      </w:r>
    </w:p>
    <w:p w14:paraId="17972998" w14:textId="77777777" w:rsidR="00552D85" w:rsidRPr="008401AD" w:rsidRDefault="00943F51" w:rsidP="00552D85">
      <w:pPr>
        <w:pStyle w:val="Heading2"/>
        <w:rPr>
          <w:szCs w:val="24"/>
          <w:lang w:val="en-GB"/>
        </w:rPr>
      </w:pPr>
      <w:bookmarkStart w:id="9" w:name="_Toc469423966"/>
      <w:r w:rsidRPr="001E2D3F">
        <w:rPr>
          <w:i w:val="0"/>
          <w:szCs w:val="24"/>
          <w:lang w:val="en-GB"/>
        </w:rPr>
        <w:t>&lt;H1&gt;</w:t>
      </w:r>
      <w:r w:rsidR="00552D85" w:rsidRPr="008401AD">
        <w:rPr>
          <w:szCs w:val="24"/>
          <w:lang w:val="en-GB"/>
        </w:rPr>
        <w:t>Norway</w:t>
      </w:r>
      <w:bookmarkEnd w:id="9"/>
      <w:r w:rsidRPr="001E2D3F">
        <w:rPr>
          <w:i w:val="0"/>
          <w:szCs w:val="24"/>
          <w:lang w:val="en-GB"/>
        </w:rPr>
        <w:t>&lt;/H2&gt;</w:t>
      </w:r>
    </w:p>
    <w:p w14:paraId="1D2369E3" w14:textId="5BC71EBA" w:rsidR="00552D85" w:rsidRPr="008401AD" w:rsidRDefault="00943F51" w:rsidP="00552D85">
      <w:pPr>
        <w:rPr>
          <w:szCs w:val="24"/>
          <w:lang w:val="en-GB"/>
        </w:rPr>
      </w:pPr>
      <w:r w:rsidRPr="008401AD">
        <w:rPr>
          <w:szCs w:val="24"/>
          <w:lang w:val="en-GB"/>
        </w:rPr>
        <w:t>&lt;NP&gt;</w:t>
      </w:r>
      <w:r w:rsidR="00552D85" w:rsidRPr="008401AD">
        <w:rPr>
          <w:szCs w:val="24"/>
          <w:lang w:val="en-GB"/>
        </w:rPr>
        <w:t xml:space="preserve">Jo </w:t>
      </w:r>
      <w:proofErr w:type="spellStart"/>
      <w:r w:rsidR="00552D85" w:rsidRPr="008401AD">
        <w:rPr>
          <w:szCs w:val="24"/>
          <w:lang w:val="en-GB"/>
        </w:rPr>
        <w:t>Sondre</w:t>
      </w:r>
      <w:proofErr w:type="spellEnd"/>
      <w:r w:rsidR="00552D85" w:rsidRPr="008401AD">
        <w:rPr>
          <w:szCs w:val="24"/>
          <w:lang w:val="en-GB"/>
        </w:rPr>
        <w:t xml:space="preserve"> </w:t>
      </w:r>
      <w:proofErr w:type="spellStart"/>
      <w:r w:rsidR="00552D85" w:rsidRPr="008401AD">
        <w:rPr>
          <w:szCs w:val="24"/>
          <w:lang w:val="en-GB"/>
        </w:rPr>
        <w:t>Moseng’s</w:t>
      </w:r>
      <w:proofErr w:type="spellEnd"/>
      <w:r w:rsidR="00552D85" w:rsidRPr="008401AD">
        <w:rPr>
          <w:szCs w:val="24"/>
          <w:lang w:val="en-GB"/>
        </w:rPr>
        <w:t xml:space="preserve"> overview of the Norwegian audio</w:t>
      </w:r>
      <w:r w:rsidR="00EA34C7" w:rsidRPr="008401AD">
        <w:rPr>
          <w:szCs w:val="24"/>
          <w:lang w:val="en-GB"/>
        </w:rPr>
        <w:t>-</w:t>
      </w:r>
      <w:r w:rsidR="00552D85" w:rsidRPr="008401AD">
        <w:rPr>
          <w:szCs w:val="24"/>
          <w:lang w:val="en-GB"/>
        </w:rPr>
        <w:t xml:space="preserve">visual sector argues that there has been a period of considerable growth and professionalization from roughly 2000 onwards. Compared to earlier periods, domestic films and television drama have proved popular with national, and increasingly international, audiences. However, there are considerable differences between the film and television sectors. The film production companies are small, independent and highly reliant on public funding. Their production is </w:t>
      </w:r>
      <w:r w:rsidR="00003B9B" w:rsidRPr="008401AD">
        <w:rPr>
          <w:szCs w:val="24"/>
          <w:lang w:val="en-GB"/>
        </w:rPr>
        <w:t xml:space="preserve">centred </w:t>
      </w:r>
      <w:r w:rsidR="00552D85" w:rsidRPr="008401AD">
        <w:rPr>
          <w:szCs w:val="24"/>
          <w:lang w:val="en-GB"/>
        </w:rPr>
        <w:t>around individual film projects with very variable results in terms of both profit and critical acclaim. The major television companies, on the other hand, are part of transnational entertainment groups, whose economy of scale provides them with content, a professionalized administration and financial backing. Thus, these television companies are characterized by their greater stability and higher volume of production than their film production counterparts.</w:t>
      </w:r>
      <w:r w:rsidRPr="008401AD">
        <w:rPr>
          <w:szCs w:val="24"/>
          <w:lang w:val="en-GB"/>
        </w:rPr>
        <w:t>&lt;/NP&gt;</w:t>
      </w:r>
    </w:p>
    <w:p w14:paraId="72A1EFBF" w14:textId="74144B3A" w:rsidR="00552D85" w:rsidRPr="008401AD" w:rsidRDefault="00943F51" w:rsidP="00552D85">
      <w:pPr>
        <w:rPr>
          <w:szCs w:val="24"/>
          <w:lang w:val="en-GB"/>
        </w:rPr>
      </w:pPr>
      <w:r w:rsidRPr="008401AD">
        <w:rPr>
          <w:szCs w:val="24"/>
          <w:lang w:val="en-GB"/>
        </w:rPr>
        <w:t>&lt;TEXT&gt;</w:t>
      </w:r>
      <w:r w:rsidR="00552D85" w:rsidRPr="008401AD">
        <w:rPr>
          <w:szCs w:val="24"/>
          <w:lang w:val="en-GB"/>
        </w:rPr>
        <w:t xml:space="preserve">Eva </w:t>
      </w:r>
      <w:proofErr w:type="spellStart"/>
      <w:r w:rsidR="00552D85" w:rsidRPr="008401AD">
        <w:rPr>
          <w:szCs w:val="24"/>
          <w:lang w:val="en-GB"/>
        </w:rPr>
        <w:t>Bakøy</w:t>
      </w:r>
      <w:proofErr w:type="spellEnd"/>
      <w:r w:rsidR="00552D85" w:rsidRPr="008401AD">
        <w:rPr>
          <w:szCs w:val="24"/>
          <w:lang w:val="en-GB"/>
        </w:rPr>
        <w:t xml:space="preserve"> </w:t>
      </w:r>
      <w:r w:rsidR="00A66F20" w:rsidRPr="008401AD">
        <w:rPr>
          <w:szCs w:val="24"/>
          <w:lang w:val="en-GB"/>
        </w:rPr>
        <w:t xml:space="preserve">analyses </w:t>
      </w:r>
      <w:r w:rsidR="00552D85" w:rsidRPr="008401AD">
        <w:rPr>
          <w:szCs w:val="24"/>
          <w:lang w:val="en-GB"/>
        </w:rPr>
        <w:t xml:space="preserve">leadership in the Norwegian film industry based on case studies of three Norwegian film companies – </w:t>
      </w:r>
      <w:proofErr w:type="spellStart"/>
      <w:r w:rsidR="00552D85" w:rsidRPr="008401AD">
        <w:rPr>
          <w:szCs w:val="24"/>
          <w:lang w:val="en-GB"/>
        </w:rPr>
        <w:t>Motlys</w:t>
      </w:r>
      <w:proofErr w:type="spellEnd"/>
      <w:r w:rsidR="00552D85" w:rsidRPr="008401AD">
        <w:rPr>
          <w:szCs w:val="24"/>
          <w:lang w:val="en-GB"/>
        </w:rPr>
        <w:t xml:space="preserve">, Paradox and </w:t>
      </w:r>
      <w:proofErr w:type="spellStart"/>
      <w:r w:rsidR="00552D85" w:rsidRPr="008401AD">
        <w:rPr>
          <w:szCs w:val="24"/>
          <w:lang w:val="en-GB"/>
        </w:rPr>
        <w:t>Cinenord</w:t>
      </w:r>
      <w:proofErr w:type="spellEnd"/>
      <w:r w:rsidR="00552D85" w:rsidRPr="008401AD">
        <w:rPr>
          <w:szCs w:val="24"/>
          <w:lang w:val="en-GB"/>
        </w:rPr>
        <w:t xml:space="preserve">. She argues that the three companies are lifestyle businesses where the entrepreneurs seek to generate an adequate income while doing what they love. They are motivated by their personal fascination for the film medium and their freedom to choose their own projects and identify themselves as film producers rather than company managers. In terms of external tactics, all leaders design film projects </w:t>
      </w:r>
      <w:r w:rsidR="00003B9B" w:rsidRPr="008401AD">
        <w:rPr>
          <w:szCs w:val="24"/>
          <w:lang w:val="en-GB"/>
        </w:rPr>
        <w:t xml:space="preserve">that </w:t>
      </w:r>
      <w:r w:rsidR="00552D85" w:rsidRPr="008401AD">
        <w:rPr>
          <w:szCs w:val="24"/>
          <w:lang w:val="en-GB"/>
        </w:rPr>
        <w:t xml:space="preserve">can be described as a meeting place between their own film preferences or ones they believe in, the support systems of the </w:t>
      </w:r>
      <w:r w:rsidR="000419D1">
        <w:rPr>
          <w:szCs w:val="24"/>
          <w:lang w:val="en-GB"/>
        </w:rPr>
        <w:t>Norwegian Film Institute (</w:t>
      </w:r>
      <w:r w:rsidR="00552D85" w:rsidRPr="008401AD">
        <w:rPr>
          <w:szCs w:val="24"/>
          <w:lang w:val="en-GB"/>
        </w:rPr>
        <w:t>NFI</w:t>
      </w:r>
      <w:r w:rsidR="000419D1">
        <w:rPr>
          <w:szCs w:val="24"/>
          <w:lang w:val="en-GB"/>
        </w:rPr>
        <w:t>)</w:t>
      </w:r>
      <w:r w:rsidR="00552D85" w:rsidRPr="008401AD">
        <w:rPr>
          <w:szCs w:val="24"/>
          <w:lang w:val="en-GB"/>
        </w:rPr>
        <w:t xml:space="preserve"> and the interests of the distributors, while also catering to the interests of other private investors. This of course limits the creative possibilities for Norwegian filmmaking. In terms of internal tactics, they attempt to create a working space characterized by an </w:t>
      </w:r>
      <w:r w:rsidR="000855E4" w:rsidRPr="008401AD">
        <w:rPr>
          <w:szCs w:val="24"/>
          <w:lang w:val="en-GB"/>
        </w:rPr>
        <w:t>easy-going</w:t>
      </w:r>
      <w:r w:rsidR="00552D85" w:rsidRPr="008401AD">
        <w:rPr>
          <w:szCs w:val="24"/>
          <w:lang w:val="en-GB"/>
        </w:rPr>
        <w:t xml:space="preserve"> family atmosphere with informal and open lines of communication and flexible work routines.</w:t>
      </w:r>
    </w:p>
    <w:p w14:paraId="49775AC3" w14:textId="784A58DC" w:rsidR="00552D85" w:rsidRPr="008401AD" w:rsidRDefault="00552D85" w:rsidP="00552D85">
      <w:pPr>
        <w:rPr>
          <w:szCs w:val="24"/>
          <w:lang w:val="en-GB"/>
        </w:rPr>
      </w:pPr>
      <w:proofErr w:type="spellStart"/>
      <w:r w:rsidRPr="008401AD">
        <w:rPr>
          <w:szCs w:val="24"/>
          <w:lang w:val="en-GB"/>
        </w:rPr>
        <w:t>Vilde</w:t>
      </w:r>
      <w:proofErr w:type="spellEnd"/>
      <w:r w:rsidRPr="008401AD">
        <w:rPr>
          <w:szCs w:val="24"/>
          <w:lang w:val="en-GB"/>
        </w:rPr>
        <w:t xml:space="preserve"> </w:t>
      </w:r>
      <w:proofErr w:type="spellStart"/>
      <w:r w:rsidRPr="008401AD">
        <w:rPr>
          <w:szCs w:val="24"/>
          <w:lang w:val="en-GB"/>
        </w:rPr>
        <w:t>Schanke</w:t>
      </w:r>
      <w:proofErr w:type="spellEnd"/>
      <w:r w:rsidRPr="008401AD">
        <w:rPr>
          <w:szCs w:val="24"/>
          <w:lang w:val="en-GB"/>
        </w:rPr>
        <w:t xml:space="preserve"> </w:t>
      </w:r>
      <w:proofErr w:type="spellStart"/>
      <w:r w:rsidRPr="008401AD">
        <w:rPr>
          <w:szCs w:val="24"/>
          <w:lang w:val="en-GB"/>
        </w:rPr>
        <w:t>Sundet’s</w:t>
      </w:r>
      <w:proofErr w:type="spellEnd"/>
      <w:r w:rsidRPr="008401AD">
        <w:rPr>
          <w:szCs w:val="24"/>
          <w:lang w:val="en-GB"/>
        </w:rPr>
        <w:t xml:space="preserve"> chapter addresses new production and distribution models in Nordic television drama by </w:t>
      </w:r>
      <w:r w:rsidR="005161FE" w:rsidRPr="008401AD">
        <w:rPr>
          <w:szCs w:val="24"/>
          <w:lang w:val="en-GB"/>
        </w:rPr>
        <w:t xml:space="preserve">analysing </w:t>
      </w:r>
      <w:r w:rsidRPr="008401AD">
        <w:rPr>
          <w:szCs w:val="24"/>
          <w:lang w:val="en-GB"/>
        </w:rPr>
        <w:t xml:space="preserve">a particularly successful Norwegian series, </w:t>
      </w:r>
      <w:proofErr w:type="spellStart"/>
      <w:r w:rsidRPr="008401AD">
        <w:rPr>
          <w:i/>
          <w:szCs w:val="24"/>
          <w:lang w:val="en-GB"/>
        </w:rPr>
        <w:t>Lilyhammer</w:t>
      </w:r>
      <w:proofErr w:type="spellEnd"/>
      <w:r w:rsidRPr="008401AD">
        <w:rPr>
          <w:i/>
          <w:szCs w:val="24"/>
          <w:lang w:val="en-GB"/>
        </w:rPr>
        <w:t xml:space="preserve"> </w:t>
      </w:r>
      <w:r w:rsidRPr="008401AD">
        <w:rPr>
          <w:szCs w:val="24"/>
          <w:lang w:val="en-GB"/>
        </w:rPr>
        <w:t>(2012</w:t>
      </w:r>
      <w:r w:rsidR="005161FE" w:rsidRPr="008401AD">
        <w:rPr>
          <w:szCs w:val="24"/>
          <w:lang w:val="en-GB"/>
        </w:rPr>
        <w:sym w:font="Symbol" w:char="F02D"/>
      </w:r>
      <w:r w:rsidRPr="008401AD">
        <w:rPr>
          <w:szCs w:val="24"/>
          <w:lang w:val="en-GB"/>
        </w:rPr>
        <w:t>14).</w:t>
      </w:r>
      <w:r w:rsidRPr="008401AD">
        <w:rPr>
          <w:rFonts w:eastAsia="Cambria"/>
          <w:color w:val="000000" w:themeColor="text1"/>
          <w:szCs w:val="24"/>
          <w:lang w:val="en-GB" w:eastAsia="nb-NO"/>
        </w:rPr>
        <w:t xml:space="preserve"> </w:t>
      </w:r>
      <w:r w:rsidRPr="008401AD">
        <w:rPr>
          <w:szCs w:val="24"/>
          <w:lang w:val="en-GB"/>
        </w:rPr>
        <w:t xml:space="preserve">This series broke new ground in terms of its high audience ratings, suitability for international export and its innovative partnership between several players: Rubicon, a Norwegian production company with international owners; NRK, the dominant Norwegian public service broadcaster; Netflix, an international streaming service; an international star actor with his own management company (Steven Van </w:t>
      </w:r>
      <w:proofErr w:type="spellStart"/>
      <w:r w:rsidRPr="008401AD">
        <w:rPr>
          <w:szCs w:val="24"/>
          <w:lang w:val="en-GB"/>
        </w:rPr>
        <w:t>Zandt</w:t>
      </w:r>
      <w:proofErr w:type="spellEnd"/>
      <w:r w:rsidRPr="008401AD">
        <w:rPr>
          <w:szCs w:val="24"/>
          <w:lang w:val="en-GB"/>
        </w:rPr>
        <w:t>)</w:t>
      </w:r>
      <w:r w:rsidR="00B31D94">
        <w:rPr>
          <w:szCs w:val="24"/>
          <w:lang w:val="en-GB"/>
        </w:rPr>
        <w:t>;</w:t>
      </w:r>
      <w:r w:rsidRPr="008401AD">
        <w:rPr>
          <w:szCs w:val="24"/>
          <w:lang w:val="en-GB"/>
        </w:rPr>
        <w:t xml:space="preserve"> and Red Arrow, an international distributor. </w:t>
      </w:r>
      <w:proofErr w:type="spellStart"/>
      <w:r w:rsidRPr="008401AD">
        <w:rPr>
          <w:szCs w:val="24"/>
          <w:lang w:val="en-GB"/>
        </w:rPr>
        <w:t>Sundet</w:t>
      </w:r>
      <w:proofErr w:type="spellEnd"/>
      <w:r w:rsidRPr="008401AD">
        <w:rPr>
          <w:szCs w:val="24"/>
          <w:lang w:val="en-GB"/>
        </w:rPr>
        <w:t xml:space="preserve"> argues </w:t>
      </w:r>
      <w:r w:rsidRPr="008401AD">
        <w:rPr>
          <w:rFonts w:eastAsia="Cambria"/>
          <w:color w:val="000000" w:themeColor="text1"/>
          <w:szCs w:val="24"/>
          <w:lang w:val="en-GB" w:eastAsia="nb-NO"/>
        </w:rPr>
        <w:t xml:space="preserve">that the success of </w:t>
      </w:r>
      <w:proofErr w:type="spellStart"/>
      <w:r w:rsidRPr="008401AD">
        <w:rPr>
          <w:rFonts w:eastAsia="Cambria"/>
          <w:i/>
          <w:color w:val="000000" w:themeColor="text1"/>
          <w:szCs w:val="24"/>
          <w:lang w:val="en-GB" w:eastAsia="nb-NO"/>
        </w:rPr>
        <w:t>Lilyhammer</w:t>
      </w:r>
      <w:proofErr w:type="spellEnd"/>
      <w:r w:rsidRPr="008401AD">
        <w:rPr>
          <w:rFonts w:eastAsia="Cambria"/>
          <w:color w:val="000000" w:themeColor="text1"/>
          <w:szCs w:val="24"/>
          <w:lang w:val="en-GB" w:eastAsia="nb-NO"/>
        </w:rPr>
        <w:t xml:space="preserve"> </w:t>
      </w:r>
      <w:r w:rsidRPr="008401AD">
        <w:rPr>
          <w:szCs w:val="24"/>
          <w:lang w:val="en-GB"/>
        </w:rPr>
        <w:t xml:space="preserve">also created problems for the stakeholders, which finally drove them apart. The tensions included issues such as production budget, publishing strategies and, perhaps most profoundly, the identity of the series itself. </w:t>
      </w:r>
    </w:p>
    <w:p w14:paraId="02E1C5BB" w14:textId="6F0827F7" w:rsidR="00552D85" w:rsidRPr="008401AD" w:rsidRDefault="00552D85" w:rsidP="00552D85">
      <w:pPr>
        <w:rPr>
          <w:szCs w:val="24"/>
          <w:lang w:val="en-GB"/>
        </w:rPr>
      </w:pPr>
      <w:r w:rsidRPr="008401AD">
        <w:rPr>
          <w:szCs w:val="24"/>
          <w:lang w:val="en-GB"/>
        </w:rPr>
        <w:t xml:space="preserve">Stine Sand </w:t>
      </w:r>
      <w:proofErr w:type="spellStart"/>
      <w:r w:rsidRPr="008401AD">
        <w:rPr>
          <w:szCs w:val="24"/>
          <w:lang w:val="en-GB"/>
        </w:rPr>
        <w:t>Eira</w:t>
      </w:r>
      <w:proofErr w:type="spellEnd"/>
      <w:r w:rsidRPr="008401AD">
        <w:rPr>
          <w:szCs w:val="24"/>
          <w:lang w:val="en-GB"/>
        </w:rPr>
        <w:t xml:space="preserve"> examines how place affects film and television companies situated in the Norwegian regions. She argues that this is an important issue because the Norwegian government supports regional film based on the premise that filmmaking in different places will generate more variety. She argues that the companies have a holistic approach to place. Particular locations are advantageous because they give companies access to regional funding, </w:t>
      </w:r>
      <w:r w:rsidR="005161FE" w:rsidRPr="008401AD">
        <w:rPr>
          <w:szCs w:val="24"/>
          <w:lang w:val="en-GB"/>
        </w:rPr>
        <w:t xml:space="preserve">and </w:t>
      </w:r>
      <w:r w:rsidRPr="008401AD">
        <w:rPr>
          <w:szCs w:val="24"/>
          <w:lang w:val="en-GB"/>
        </w:rPr>
        <w:t>also provide creative benefits, such as access to local talents, scenery and stories. Her analysis also shows that the companies contribute to greater diversity when it comes to the deployment of geographical locations and also through their use of local film workers and, to a certain degree, producing different kinds of stories, thereby legitimizing the government’s funding of regional film.</w:t>
      </w:r>
      <w:r w:rsidR="00943F51" w:rsidRPr="008401AD">
        <w:rPr>
          <w:szCs w:val="24"/>
          <w:lang w:val="en-GB"/>
        </w:rPr>
        <w:t>&lt;/TEXT&gt;</w:t>
      </w:r>
    </w:p>
    <w:p w14:paraId="2A6B5713" w14:textId="77777777" w:rsidR="00552D85" w:rsidRPr="008401AD" w:rsidRDefault="00552D85" w:rsidP="00552D85">
      <w:pPr>
        <w:rPr>
          <w:i/>
          <w:szCs w:val="24"/>
          <w:lang w:val="en-GB"/>
        </w:rPr>
      </w:pPr>
    </w:p>
    <w:p w14:paraId="72F839F6" w14:textId="77777777" w:rsidR="00552D85" w:rsidRPr="008401AD" w:rsidRDefault="00943F51" w:rsidP="00552D85">
      <w:pPr>
        <w:pStyle w:val="Heading2"/>
        <w:rPr>
          <w:szCs w:val="24"/>
          <w:lang w:val="en-GB"/>
        </w:rPr>
      </w:pPr>
      <w:bookmarkStart w:id="10" w:name="_Toc469423967"/>
      <w:r w:rsidRPr="001E2D3F">
        <w:rPr>
          <w:i w:val="0"/>
          <w:szCs w:val="24"/>
          <w:lang w:val="en-GB"/>
        </w:rPr>
        <w:t>&lt;H2&gt;</w:t>
      </w:r>
      <w:r w:rsidR="00552D85" w:rsidRPr="008401AD">
        <w:rPr>
          <w:szCs w:val="24"/>
          <w:lang w:val="en-GB"/>
        </w:rPr>
        <w:t>Denmark</w:t>
      </w:r>
      <w:bookmarkEnd w:id="10"/>
      <w:r w:rsidRPr="001E2D3F">
        <w:rPr>
          <w:i w:val="0"/>
          <w:szCs w:val="24"/>
          <w:lang w:val="en-GB"/>
        </w:rPr>
        <w:t>&lt;/H2&gt;</w:t>
      </w:r>
    </w:p>
    <w:p w14:paraId="37D47CD7" w14:textId="77777777" w:rsidR="00552D85" w:rsidRPr="008401AD" w:rsidRDefault="00943F51" w:rsidP="00552D85">
      <w:pPr>
        <w:rPr>
          <w:szCs w:val="24"/>
          <w:lang w:val="en-GB"/>
        </w:rPr>
      </w:pPr>
      <w:r w:rsidRPr="008401AD">
        <w:rPr>
          <w:szCs w:val="24"/>
          <w:lang w:val="en-GB"/>
        </w:rPr>
        <w:t>&lt;NP&gt;</w:t>
      </w:r>
      <w:r w:rsidR="00552D85" w:rsidRPr="008401AD">
        <w:rPr>
          <w:szCs w:val="24"/>
          <w:lang w:val="en-GB"/>
        </w:rPr>
        <w:t xml:space="preserve">Heidi </w:t>
      </w:r>
      <w:proofErr w:type="spellStart"/>
      <w:r w:rsidR="00552D85" w:rsidRPr="008401AD">
        <w:rPr>
          <w:szCs w:val="24"/>
          <w:lang w:val="en-GB"/>
        </w:rPr>
        <w:t>Philipsen</w:t>
      </w:r>
      <w:proofErr w:type="spellEnd"/>
      <w:r w:rsidR="00552D85" w:rsidRPr="008401AD">
        <w:rPr>
          <w:szCs w:val="24"/>
          <w:lang w:val="en-GB"/>
        </w:rPr>
        <w:t xml:space="preserve"> and </w:t>
      </w:r>
      <w:proofErr w:type="spellStart"/>
      <w:r w:rsidR="00552D85" w:rsidRPr="008401AD">
        <w:rPr>
          <w:szCs w:val="24"/>
          <w:lang w:val="en-GB"/>
        </w:rPr>
        <w:t>Roel</w:t>
      </w:r>
      <w:proofErr w:type="spellEnd"/>
      <w:r w:rsidR="00552D85" w:rsidRPr="008401AD">
        <w:rPr>
          <w:szCs w:val="24"/>
          <w:lang w:val="en-GB"/>
        </w:rPr>
        <w:t xml:space="preserve"> </w:t>
      </w:r>
      <w:proofErr w:type="spellStart"/>
      <w:r w:rsidR="00552D85" w:rsidRPr="008401AD">
        <w:rPr>
          <w:szCs w:val="24"/>
          <w:lang w:val="en-GB"/>
        </w:rPr>
        <w:t>Puijk’s</w:t>
      </w:r>
      <w:proofErr w:type="spellEnd"/>
      <w:r w:rsidR="00552D85" w:rsidRPr="008401AD">
        <w:rPr>
          <w:szCs w:val="24"/>
          <w:lang w:val="en-GB"/>
        </w:rPr>
        <w:t xml:space="preserve"> overview of Danish film and television highlights the importance of strong, internationally recognized brands – Dogme 95 and ‘Nordic Noir’ – to its current success. They also demonstrate the significance of a well-developed infrastructure of state support, both direct and through public service broadcasters, and of a particular form of production culture – the ‘Danish model’ – that is writer-dominated and combines arresting storylines with social and ethical themes. However, the Danish film and television industries face significant challenges, spearheaded by Netflix and HBO Nordic, which are pioneering new forms of distribution and transmedia dramas that use multiple platforms, and which challenge the ability of a nation state to influence production practices.</w:t>
      </w:r>
      <w:r w:rsidRPr="008401AD">
        <w:rPr>
          <w:szCs w:val="24"/>
          <w:lang w:val="en-GB"/>
        </w:rPr>
        <w:t>&lt;/NP&gt;</w:t>
      </w:r>
      <w:r w:rsidR="00552D85" w:rsidRPr="008401AD">
        <w:rPr>
          <w:szCs w:val="24"/>
          <w:lang w:val="en-GB"/>
        </w:rPr>
        <w:t xml:space="preserve"> </w:t>
      </w:r>
    </w:p>
    <w:p w14:paraId="6DC6224A" w14:textId="332D8216" w:rsidR="00552D85" w:rsidRPr="008401AD" w:rsidRDefault="00943F51" w:rsidP="00552D85">
      <w:pPr>
        <w:rPr>
          <w:szCs w:val="24"/>
          <w:lang w:val="en-GB"/>
        </w:rPr>
      </w:pPr>
      <w:r w:rsidRPr="008401AD">
        <w:rPr>
          <w:szCs w:val="24"/>
          <w:lang w:val="en-GB"/>
        </w:rPr>
        <w:t>&lt;TEXT&gt;</w:t>
      </w:r>
      <w:proofErr w:type="spellStart"/>
      <w:r w:rsidR="00552D85" w:rsidRPr="008401AD">
        <w:rPr>
          <w:szCs w:val="24"/>
          <w:lang w:val="en-GB"/>
        </w:rPr>
        <w:t>Philipsen’s</w:t>
      </w:r>
      <w:proofErr w:type="spellEnd"/>
      <w:r w:rsidR="00552D85" w:rsidRPr="008401AD">
        <w:rPr>
          <w:szCs w:val="24"/>
          <w:lang w:val="en-GB"/>
        </w:rPr>
        <w:t xml:space="preserve"> chapter on </w:t>
      </w:r>
      <w:proofErr w:type="spellStart"/>
      <w:r w:rsidR="00552D85" w:rsidRPr="008401AD">
        <w:rPr>
          <w:szCs w:val="24"/>
          <w:lang w:val="en-GB"/>
        </w:rPr>
        <w:t>Zentropa</w:t>
      </w:r>
      <w:proofErr w:type="spellEnd"/>
      <w:r w:rsidR="00552D85" w:rsidRPr="008401AD">
        <w:rPr>
          <w:szCs w:val="24"/>
          <w:lang w:val="en-GB"/>
        </w:rPr>
        <w:t xml:space="preserve"> investigates how such a highly distinctive film company led by two mavericks, the auteur director Lars Von Trier and the charismatic producer Peter </w:t>
      </w:r>
      <w:proofErr w:type="spellStart"/>
      <w:r w:rsidR="00552D85" w:rsidRPr="008401AD">
        <w:rPr>
          <w:szCs w:val="24"/>
          <w:lang w:val="en-GB"/>
        </w:rPr>
        <w:t>Aalbæk</w:t>
      </w:r>
      <w:proofErr w:type="spellEnd"/>
      <w:r w:rsidR="00552D85" w:rsidRPr="008401AD">
        <w:rPr>
          <w:szCs w:val="24"/>
          <w:lang w:val="en-GB"/>
        </w:rPr>
        <w:t>, manages to be so successful, able to thrive on crises, controversy and even scandals. She locates a contradictory but apparently functional production culture in which employees are both inspired – encouraged to engage in creative, risk-taking and ‘alternative’ filmmaking – and exploited: asked to observe strict discipline and work long hours. It is a model, she argues</w:t>
      </w:r>
      <w:r w:rsidR="005161FE" w:rsidRPr="008401AD">
        <w:rPr>
          <w:szCs w:val="24"/>
          <w:lang w:val="en-GB"/>
        </w:rPr>
        <w:t>,</w:t>
      </w:r>
      <w:r w:rsidR="00552D85" w:rsidRPr="008401AD">
        <w:rPr>
          <w:szCs w:val="24"/>
          <w:lang w:val="en-GB"/>
        </w:rPr>
        <w:t xml:space="preserve"> that is peculiar to </w:t>
      </w:r>
      <w:proofErr w:type="spellStart"/>
      <w:r w:rsidR="00552D85" w:rsidRPr="008401AD">
        <w:rPr>
          <w:szCs w:val="24"/>
          <w:lang w:val="en-GB"/>
        </w:rPr>
        <w:t>Zentropa</w:t>
      </w:r>
      <w:proofErr w:type="spellEnd"/>
      <w:r w:rsidR="00552D85" w:rsidRPr="008401AD">
        <w:rPr>
          <w:szCs w:val="24"/>
          <w:lang w:val="en-GB"/>
        </w:rPr>
        <w:t xml:space="preserve"> and could not be replicated by another firm. </w:t>
      </w:r>
    </w:p>
    <w:p w14:paraId="651E5715" w14:textId="73E4673F" w:rsidR="00552D85" w:rsidRPr="008401AD" w:rsidRDefault="00552D85" w:rsidP="00552D85">
      <w:pPr>
        <w:rPr>
          <w:szCs w:val="24"/>
          <w:lang w:val="en-GB"/>
        </w:rPr>
      </w:pPr>
      <w:proofErr w:type="spellStart"/>
      <w:r w:rsidRPr="008401AD">
        <w:rPr>
          <w:szCs w:val="24"/>
          <w:lang w:val="en-GB"/>
        </w:rPr>
        <w:t>Søren</w:t>
      </w:r>
      <w:proofErr w:type="spellEnd"/>
      <w:r w:rsidRPr="008401AD">
        <w:rPr>
          <w:szCs w:val="24"/>
          <w:lang w:val="en-GB"/>
        </w:rPr>
        <w:t xml:space="preserve"> </w:t>
      </w:r>
      <w:proofErr w:type="spellStart"/>
      <w:r w:rsidRPr="008401AD">
        <w:rPr>
          <w:szCs w:val="24"/>
          <w:lang w:val="en-GB"/>
        </w:rPr>
        <w:t>Birkvad’s</w:t>
      </w:r>
      <w:proofErr w:type="spellEnd"/>
      <w:r w:rsidRPr="008401AD">
        <w:rPr>
          <w:szCs w:val="24"/>
          <w:lang w:val="en-GB"/>
        </w:rPr>
        <w:t xml:space="preserve"> also discerns contradictions, what he characterizes as ‘competing truths’, in his analysis of STV, the longest surviving and most successful of the shrinking group of independent television companies in Denmark. </w:t>
      </w:r>
      <w:proofErr w:type="spellStart"/>
      <w:r w:rsidRPr="008401AD">
        <w:rPr>
          <w:szCs w:val="24"/>
          <w:lang w:val="en-GB"/>
        </w:rPr>
        <w:t>Birkvad</w:t>
      </w:r>
      <w:proofErr w:type="spellEnd"/>
      <w:r w:rsidRPr="008401AD">
        <w:rPr>
          <w:szCs w:val="24"/>
          <w:lang w:val="en-GB"/>
        </w:rPr>
        <w:t xml:space="preserve"> argues persuasively that researchers should not necessarily look for a coherent strategic vision but focus on paradoxes, tensions and apparent inconsistencies, especially during a period in which companies have to adapt to the shift from individual productions to formats and advertiser</w:t>
      </w:r>
      <w:r w:rsidR="005161FE" w:rsidRPr="008401AD">
        <w:rPr>
          <w:szCs w:val="24"/>
          <w:lang w:val="en-GB"/>
        </w:rPr>
        <w:t>-</w:t>
      </w:r>
      <w:r w:rsidRPr="008401AD">
        <w:rPr>
          <w:szCs w:val="24"/>
          <w:lang w:val="en-GB"/>
        </w:rPr>
        <w:t>funded programming, and from a market defined by national public service broadcasters to a highly competitive transnational one.</w:t>
      </w:r>
      <w:r w:rsidR="00943F51" w:rsidRPr="008401AD">
        <w:rPr>
          <w:szCs w:val="24"/>
          <w:lang w:val="en-GB"/>
        </w:rPr>
        <w:t>&lt;/TEXT&gt;</w:t>
      </w:r>
      <w:r w:rsidRPr="008401AD">
        <w:rPr>
          <w:szCs w:val="24"/>
          <w:lang w:val="en-GB"/>
        </w:rPr>
        <w:t xml:space="preserve"> </w:t>
      </w:r>
    </w:p>
    <w:p w14:paraId="57FFB78A" w14:textId="77777777" w:rsidR="00552D85" w:rsidRPr="008401AD" w:rsidRDefault="00552D85" w:rsidP="00552D85">
      <w:pPr>
        <w:rPr>
          <w:szCs w:val="24"/>
          <w:lang w:val="en-GB"/>
        </w:rPr>
      </w:pPr>
    </w:p>
    <w:p w14:paraId="08310D17" w14:textId="77777777" w:rsidR="00552D85" w:rsidRPr="008401AD" w:rsidRDefault="00943F51" w:rsidP="00552D85">
      <w:pPr>
        <w:pStyle w:val="Heading2"/>
        <w:rPr>
          <w:szCs w:val="24"/>
          <w:lang w:val="en-GB"/>
        </w:rPr>
      </w:pPr>
      <w:bookmarkStart w:id="11" w:name="_Toc469423968"/>
      <w:r w:rsidRPr="001E2D3F">
        <w:rPr>
          <w:i w:val="0"/>
          <w:szCs w:val="24"/>
          <w:lang w:val="en-GB"/>
        </w:rPr>
        <w:t>&lt;H2&gt;</w:t>
      </w:r>
      <w:r w:rsidR="00552D85" w:rsidRPr="008401AD">
        <w:rPr>
          <w:szCs w:val="24"/>
          <w:lang w:val="en-GB"/>
        </w:rPr>
        <w:t>The Netherlands</w:t>
      </w:r>
      <w:bookmarkEnd w:id="11"/>
      <w:r w:rsidRPr="001E2D3F">
        <w:rPr>
          <w:i w:val="0"/>
          <w:szCs w:val="24"/>
          <w:lang w:val="en-GB"/>
        </w:rPr>
        <w:t>&lt;/H2&gt;</w:t>
      </w:r>
    </w:p>
    <w:p w14:paraId="5CCFEAAB" w14:textId="31B3EAC3" w:rsidR="00552D85" w:rsidRPr="008401AD" w:rsidRDefault="00943F51" w:rsidP="00552D85">
      <w:pPr>
        <w:rPr>
          <w:szCs w:val="24"/>
          <w:lang w:val="en-GB"/>
        </w:rPr>
      </w:pPr>
      <w:r w:rsidRPr="008401AD">
        <w:rPr>
          <w:szCs w:val="24"/>
          <w:lang w:val="en-GB"/>
        </w:rPr>
        <w:t>&lt;NP&gt;</w:t>
      </w:r>
      <w:r w:rsidR="00552D85" w:rsidRPr="008401AD">
        <w:rPr>
          <w:szCs w:val="24"/>
          <w:lang w:val="en-GB"/>
        </w:rPr>
        <w:t xml:space="preserve">In their overview chapter, </w:t>
      </w:r>
      <w:proofErr w:type="spellStart"/>
      <w:r w:rsidR="00552D85" w:rsidRPr="008401AD">
        <w:rPr>
          <w:szCs w:val="24"/>
          <w:lang w:val="en-GB"/>
        </w:rPr>
        <w:t>Eggo</w:t>
      </w:r>
      <w:proofErr w:type="spellEnd"/>
      <w:r w:rsidR="00552D85" w:rsidRPr="008401AD">
        <w:rPr>
          <w:szCs w:val="24"/>
          <w:lang w:val="en-GB"/>
        </w:rPr>
        <w:t xml:space="preserve"> Müller and Daisy van de Zande argue that the Dutch audio</w:t>
      </w:r>
      <w:r w:rsidR="00EA34C7" w:rsidRPr="008401AD">
        <w:rPr>
          <w:szCs w:val="24"/>
          <w:lang w:val="en-GB"/>
        </w:rPr>
        <w:t>-</w:t>
      </w:r>
      <w:r w:rsidR="00552D85" w:rsidRPr="008401AD">
        <w:rPr>
          <w:szCs w:val="24"/>
          <w:lang w:val="en-GB"/>
        </w:rPr>
        <w:t xml:space="preserve">visual sector has become increasingly international. Although the number of Dutch film produced each year has increased over the last decade, only a few companies produce more than four films every year. As in the Scandinavian countries, film is subsidized but there has been a shift to using public money, including tax incentives, to boost mainstream productions that have a more assured national appeal than art house productions. In addition, the production of children’s films and co-productions </w:t>
      </w:r>
      <w:r w:rsidR="000855E4">
        <w:rPr>
          <w:szCs w:val="24"/>
          <w:lang w:val="en-GB"/>
        </w:rPr>
        <w:t>has</w:t>
      </w:r>
      <w:r w:rsidR="00D12BAC" w:rsidRPr="008401AD">
        <w:rPr>
          <w:szCs w:val="24"/>
          <w:lang w:val="en-GB"/>
        </w:rPr>
        <w:t xml:space="preserve"> </w:t>
      </w:r>
      <w:r w:rsidR="00552D85" w:rsidRPr="008401AD">
        <w:rPr>
          <w:szCs w:val="24"/>
          <w:lang w:val="en-GB"/>
        </w:rPr>
        <w:t xml:space="preserve">increased, while several productions companies have also developed television drama series. In the television sector, Müller and van der Zande note that the deregulated market since the 1990s supports a large and diverse production landscape. Several Dutch companies have been successful in developing television formats that are exported internationally and increasingly they have become </w:t>
      </w:r>
      <w:r w:rsidR="00D12BAC" w:rsidRPr="008401AD">
        <w:rPr>
          <w:szCs w:val="24"/>
          <w:lang w:val="en-GB"/>
        </w:rPr>
        <w:t xml:space="preserve">a </w:t>
      </w:r>
      <w:r w:rsidR="00552D85" w:rsidRPr="008401AD">
        <w:rPr>
          <w:szCs w:val="24"/>
          <w:lang w:val="en-GB"/>
        </w:rPr>
        <w:t>part of global media conglomerates. Although the sector has become more professionalized and internationally integrated, this success has not resulted in an increase in employment. Müller and van de Zande argue that this ‘success’ is primarily shaped by neo</w:t>
      </w:r>
      <w:r w:rsidR="00D12BAC" w:rsidRPr="008401AD">
        <w:rPr>
          <w:szCs w:val="24"/>
          <w:lang w:val="en-GB"/>
        </w:rPr>
        <w:t>-</w:t>
      </w:r>
      <w:r w:rsidR="00552D85" w:rsidRPr="008401AD">
        <w:rPr>
          <w:szCs w:val="24"/>
          <w:lang w:val="en-GB"/>
        </w:rPr>
        <w:t xml:space="preserve">liberal doctrines in which </w:t>
      </w:r>
      <w:r w:rsidR="000855E4">
        <w:rPr>
          <w:szCs w:val="24"/>
          <w:lang w:val="en-GB"/>
        </w:rPr>
        <w:t>fewer</w:t>
      </w:r>
      <w:r w:rsidR="000855E4" w:rsidRPr="008401AD">
        <w:rPr>
          <w:szCs w:val="24"/>
          <w:lang w:val="en-GB"/>
        </w:rPr>
        <w:t xml:space="preserve"> </w:t>
      </w:r>
      <w:r w:rsidR="00552D85" w:rsidRPr="008401AD">
        <w:rPr>
          <w:szCs w:val="24"/>
          <w:lang w:val="en-GB"/>
        </w:rPr>
        <w:t>employees and a growing number of freelancers produce more predictable mainstream output.</w:t>
      </w:r>
      <w:r w:rsidRPr="008401AD">
        <w:rPr>
          <w:szCs w:val="24"/>
          <w:lang w:val="en-GB"/>
        </w:rPr>
        <w:t>&lt;/NP&gt;</w:t>
      </w:r>
    </w:p>
    <w:p w14:paraId="2F6A8E9E" w14:textId="304D9ADC" w:rsidR="00552D85" w:rsidRPr="008401AD" w:rsidRDefault="00943F51" w:rsidP="00552D85">
      <w:pPr>
        <w:rPr>
          <w:szCs w:val="24"/>
          <w:lang w:val="en-GB"/>
        </w:rPr>
      </w:pPr>
      <w:r w:rsidRPr="008401AD">
        <w:rPr>
          <w:szCs w:val="24"/>
          <w:lang w:val="en-GB"/>
        </w:rPr>
        <w:t>&lt;TEXT&gt;</w:t>
      </w:r>
      <w:r w:rsidR="00552D85" w:rsidRPr="008401AD">
        <w:rPr>
          <w:szCs w:val="24"/>
          <w:lang w:val="en-GB"/>
        </w:rPr>
        <w:t xml:space="preserve">In their analysis of innovation in two medium-sized film production companies, </w:t>
      </w:r>
      <w:proofErr w:type="spellStart"/>
      <w:r w:rsidR="00552D85" w:rsidRPr="008401AD">
        <w:rPr>
          <w:szCs w:val="24"/>
          <w:lang w:val="en-GB"/>
        </w:rPr>
        <w:t>Rinkel</w:t>
      </w:r>
      <w:proofErr w:type="spellEnd"/>
      <w:r w:rsidR="00552D85" w:rsidRPr="008401AD">
        <w:rPr>
          <w:szCs w:val="24"/>
          <w:lang w:val="en-GB"/>
        </w:rPr>
        <w:t xml:space="preserve"> Film and Column Film, </w:t>
      </w:r>
      <w:proofErr w:type="spellStart"/>
      <w:r w:rsidR="00552D85" w:rsidRPr="008401AD">
        <w:rPr>
          <w:szCs w:val="24"/>
          <w:lang w:val="en-GB"/>
        </w:rPr>
        <w:t>Willemien</w:t>
      </w:r>
      <w:proofErr w:type="spellEnd"/>
      <w:r w:rsidR="00552D85" w:rsidRPr="008401AD">
        <w:rPr>
          <w:szCs w:val="24"/>
          <w:lang w:val="en-GB"/>
        </w:rPr>
        <w:t xml:space="preserve"> Sanders and </w:t>
      </w:r>
      <w:proofErr w:type="spellStart"/>
      <w:r w:rsidR="00552D85" w:rsidRPr="008401AD">
        <w:rPr>
          <w:szCs w:val="24"/>
          <w:lang w:val="en-GB"/>
        </w:rPr>
        <w:t>Roel</w:t>
      </w:r>
      <w:proofErr w:type="spellEnd"/>
      <w:r w:rsidR="00552D85" w:rsidRPr="008401AD">
        <w:rPr>
          <w:szCs w:val="24"/>
          <w:lang w:val="en-GB"/>
        </w:rPr>
        <w:t xml:space="preserve"> Puijk argue that most innovation</w:t>
      </w:r>
      <w:r w:rsidR="00D12BAC" w:rsidRPr="008401AD">
        <w:rPr>
          <w:szCs w:val="24"/>
          <w:lang w:val="en-GB"/>
        </w:rPr>
        <w:t>s</w:t>
      </w:r>
      <w:r w:rsidR="00552D85" w:rsidRPr="008401AD">
        <w:rPr>
          <w:szCs w:val="24"/>
          <w:lang w:val="en-GB"/>
        </w:rPr>
        <w:t xml:space="preserve"> in these companies occur in the field of financing. Both companies prefer to produce distinctive films rather than ones that have an obvious commercial potential. Sanders and Puijk observe that although there were a few attempts to innovate by means of digital technology, more attention was given to finding models that made investing in their productions more attractive and on facilitating co-productions. They also note that the two companies have varying experiences with co-productions and their strategies in how to finance the films they want to make differ. </w:t>
      </w:r>
      <w:proofErr w:type="spellStart"/>
      <w:r w:rsidR="00552D85" w:rsidRPr="008401AD">
        <w:rPr>
          <w:szCs w:val="24"/>
          <w:lang w:val="en-GB"/>
        </w:rPr>
        <w:t>Rinkel</w:t>
      </w:r>
      <w:proofErr w:type="spellEnd"/>
      <w:r w:rsidR="00552D85" w:rsidRPr="008401AD">
        <w:rPr>
          <w:szCs w:val="24"/>
          <w:lang w:val="en-GB"/>
        </w:rPr>
        <w:t xml:space="preserve"> film co-produces most of its films and prefers true stories for a broad audience; Column Film combines trademark films with more popular literary adaptations. </w:t>
      </w:r>
    </w:p>
    <w:p w14:paraId="25EE1DD7" w14:textId="1D0C2F19" w:rsidR="00552D85" w:rsidRPr="008401AD" w:rsidRDefault="00552D85" w:rsidP="00552D85">
      <w:pPr>
        <w:rPr>
          <w:szCs w:val="24"/>
          <w:lang w:val="en-GB"/>
        </w:rPr>
      </w:pPr>
      <w:r w:rsidRPr="008401AD">
        <w:rPr>
          <w:szCs w:val="24"/>
          <w:lang w:val="en-GB"/>
        </w:rPr>
        <w:t>In their chapter on television, Sanders and Puijk compare two production companies</w:t>
      </w:r>
      <w:r w:rsidR="00D12BAC" w:rsidRPr="008401AD">
        <w:rPr>
          <w:szCs w:val="24"/>
          <w:lang w:val="en-GB"/>
        </w:rPr>
        <w:t>,</w:t>
      </w:r>
      <w:r w:rsidRPr="008401AD">
        <w:rPr>
          <w:szCs w:val="24"/>
          <w:lang w:val="en-GB"/>
        </w:rPr>
        <w:t xml:space="preserve"> </w:t>
      </w:r>
      <w:proofErr w:type="spellStart"/>
      <w:r w:rsidRPr="008401AD">
        <w:rPr>
          <w:szCs w:val="24"/>
          <w:lang w:val="en-GB"/>
        </w:rPr>
        <w:t>JVtv</w:t>
      </w:r>
      <w:proofErr w:type="spellEnd"/>
      <w:r w:rsidRPr="008401AD">
        <w:rPr>
          <w:szCs w:val="24"/>
          <w:lang w:val="en-GB"/>
        </w:rPr>
        <w:t xml:space="preserve"> and </w:t>
      </w:r>
      <w:proofErr w:type="spellStart"/>
      <w:r w:rsidRPr="008401AD">
        <w:rPr>
          <w:szCs w:val="24"/>
          <w:lang w:val="en-GB"/>
        </w:rPr>
        <w:t>Blazhoffski</w:t>
      </w:r>
      <w:proofErr w:type="spellEnd"/>
      <w:r w:rsidR="00D12BAC" w:rsidRPr="008401AD">
        <w:rPr>
          <w:szCs w:val="24"/>
          <w:lang w:val="en-GB"/>
        </w:rPr>
        <w:t>,</w:t>
      </w:r>
      <w:r w:rsidRPr="008401AD">
        <w:rPr>
          <w:szCs w:val="24"/>
          <w:lang w:val="en-GB"/>
        </w:rPr>
        <w:t xml:space="preserve"> </w:t>
      </w:r>
      <w:r w:rsidR="00BE2EC4" w:rsidRPr="008401AD">
        <w:rPr>
          <w:szCs w:val="24"/>
          <w:lang w:val="en-GB"/>
        </w:rPr>
        <w:t xml:space="preserve">which </w:t>
      </w:r>
      <w:r w:rsidRPr="008401AD">
        <w:rPr>
          <w:szCs w:val="24"/>
          <w:lang w:val="en-GB"/>
        </w:rPr>
        <w:t xml:space="preserve">started out in a similar fashion. Both were established by two former employees from public service television and made children’s programmes. During the </w:t>
      </w:r>
      <w:r w:rsidR="00D12BAC" w:rsidRPr="008401AD">
        <w:rPr>
          <w:szCs w:val="24"/>
          <w:lang w:val="en-GB"/>
        </w:rPr>
        <w:t xml:space="preserve">20 </w:t>
      </w:r>
      <w:r w:rsidRPr="008401AD">
        <w:rPr>
          <w:szCs w:val="24"/>
          <w:lang w:val="en-GB"/>
        </w:rPr>
        <w:t xml:space="preserve">years of their existence, they followed different paths. Sanders and </w:t>
      </w:r>
      <w:proofErr w:type="spellStart"/>
      <w:r w:rsidRPr="008401AD">
        <w:rPr>
          <w:szCs w:val="24"/>
          <w:lang w:val="en-GB"/>
        </w:rPr>
        <w:t>Puijk</w:t>
      </w:r>
      <w:proofErr w:type="spellEnd"/>
      <w:r w:rsidRPr="008401AD">
        <w:rPr>
          <w:szCs w:val="24"/>
          <w:lang w:val="en-GB"/>
        </w:rPr>
        <w:t xml:space="preserve"> use Schein’s theory on organizational culture to characterize the differences in terms of the companies’ underlying assumptions</w:t>
      </w:r>
      <w:r w:rsidR="000419D1">
        <w:rPr>
          <w:szCs w:val="24"/>
          <w:lang w:val="en-GB"/>
        </w:rPr>
        <w:t xml:space="preserve"> (Schein 2004)</w:t>
      </w:r>
      <w:r w:rsidRPr="008401AD">
        <w:rPr>
          <w:szCs w:val="24"/>
          <w:lang w:val="en-GB"/>
        </w:rPr>
        <w:t xml:space="preserve">. </w:t>
      </w:r>
      <w:proofErr w:type="spellStart"/>
      <w:r w:rsidRPr="008401AD">
        <w:rPr>
          <w:szCs w:val="24"/>
          <w:lang w:val="en-GB"/>
        </w:rPr>
        <w:t>JVtv’s</w:t>
      </w:r>
      <w:proofErr w:type="spellEnd"/>
      <w:r w:rsidRPr="008401AD">
        <w:rPr>
          <w:szCs w:val="24"/>
          <w:lang w:val="en-GB"/>
        </w:rPr>
        <w:t xml:space="preserve"> more collective ethos and individuality, relying on established contacts rather than on pitching and developing formats for new investors, sustained what can be seen as a family enterprise. By contrast, </w:t>
      </w:r>
      <w:proofErr w:type="spellStart"/>
      <w:r w:rsidRPr="008401AD">
        <w:rPr>
          <w:szCs w:val="24"/>
          <w:lang w:val="en-GB"/>
        </w:rPr>
        <w:t>Blazhoffski</w:t>
      </w:r>
      <w:proofErr w:type="spellEnd"/>
      <w:r w:rsidRPr="008401AD">
        <w:rPr>
          <w:szCs w:val="24"/>
          <w:lang w:val="en-GB"/>
        </w:rPr>
        <w:t xml:space="preserve"> can be characterized as a highly networked company, expanding on the basis of promoting several formats that they own. These formats were the reason why </w:t>
      </w:r>
      <w:proofErr w:type="spellStart"/>
      <w:r w:rsidRPr="008401AD">
        <w:rPr>
          <w:szCs w:val="24"/>
          <w:lang w:val="en-GB"/>
        </w:rPr>
        <w:t>Blazhoffski</w:t>
      </w:r>
      <w:proofErr w:type="spellEnd"/>
      <w:r w:rsidRPr="008401AD">
        <w:rPr>
          <w:szCs w:val="24"/>
          <w:lang w:val="en-GB"/>
        </w:rPr>
        <w:t xml:space="preserve"> currently – like most television companies – is part of an international media conglomerate</w:t>
      </w:r>
      <w:r w:rsidR="00D12BAC" w:rsidRPr="008401AD">
        <w:rPr>
          <w:szCs w:val="24"/>
          <w:lang w:val="en-GB"/>
        </w:rPr>
        <w:t>,</w:t>
      </w:r>
      <w:r w:rsidRPr="008401AD">
        <w:rPr>
          <w:szCs w:val="24"/>
          <w:lang w:val="en-GB"/>
        </w:rPr>
        <w:t xml:space="preserve"> which enables it to expand further. Sanders and Puijk note that these companies’ success criteria vary according to the situation in which they find themselves.</w:t>
      </w:r>
      <w:r w:rsidR="00943F51" w:rsidRPr="008401AD">
        <w:rPr>
          <w:szCs w:val="24"/>
          <w:lang w:val="en-GB"/>
        </w:rPr>
        <w:t>&lt;/TEXT&gt;</w:t>
      </w:r>
    </w:p>
    <w:p w14:paraId="3AFB7DCC" w14:textId="77777777" w:rsidR="00552D85" w:rsidRPr="008401AD" w:rsidRDefault="00552D85" w:rsidP="00552D85">
      <w:pPr>
        <w:rPr>
          <w:szCs w:val="24"/>
          <w:lang w:val="en-GB"/>
        </w:rPr>
      </w:pPr>
    </w:p>
    <w:p w14:paraId="5D15D9E4" w14:textId="77777777" w:rsidR="00552D85" w:rsidRPr="008401AD" w:rsidRDefault="00943F51" w:rsidP="00552D85">
      <w:pPr>
        <w:pStyle w:val="Heading2"/>
        <w:rPr>
          <w:szCs w:val="24"/>
          <w:lang w:val="en-GB"/>
        </w:rPr>
      </w:pPr>
      <w:bookmarkStart w:id="12" w:name="_Toc469423969"/>
      <w:r w:rsidRPr="001E2D3F">
        <w:rPr>
          <w:i w:val="0"/>
          <w:szCs w:val="24"/>
          <w:lang w:val="en-GB"/>
        </w:rPr>
        <w:t>&lt;H2&gt;</w:t>
      </w:r>
      <w:r w:rsidR="00552D85" w:rsidRPr="008401AD">
        <w:rPr>
          <w:szCs w:val="24"/>
          <w:lang w:val="en-GB"/>
        </w:rPr>
        <w:t>The United Kingdom</w:t>
      </w:r>
      <w:bookmarkEnd w:id="12"/>
      <w:r w:rsidRPr="001E2D3F">
        <w:rPr>
          <w:i w:val="0"/>
          <w:szCs w:val="24"/>
          <w:lang w:val="en-GB"/>
        </w:rPr>
        <w:t>&lt;/H2&gt;</w:t>
      </w:r>
    </w:p>
    <w:p w14:paraId="2A54F76A" w14:textId="2437C858" w:rsidR="00552D85" w:rsidRPr="008401AD" w:rsidRDefault="00943F51" w:rsidP="00552D85">
      <w:pPr>
        <w:rPr>
          <w:szCs w:val="24"/>
          <w:lang w:val="en-GB"/>
        </w:rPr>
      </w:pPr>
      <w:r w:rsidRPr="008401AD">
        <w:rPr>
          <w:szCs w:val="24"/>
          <w:lang w:val="en-GB"/>
        </w:rPr>
        <w:t>&lt;NP&gt;</w:t>
      </w:r>
      <w:r w:rsidR="00552D85" w:rsidRPr="008401AD">
        <w:rPr>
          <w:szCs w:val="24"/>
          <w:lang w:val="en-GB"/>
        </w:rPr>
        <w:t xml:space="preserve">Steve Presence’s overview reveals a clear disparity between the </w:t>
      </w:r>
      <w:r w:rsidR="00D12BAC" w:rsidRPr="008401AD">
        <w:rPr>
          <w:szCs w:val="24"/>
          <w:lang w:val="en-GB"/>
        </w:rPr>
        <w:t xml:space="preserve">United Kingdom’s </w:t>
      </w:r>
      <w:r w:rsidR="00552D85" w:rsidRPr="008401AD">
        <w:rPr>
          <w:szCs w:val="24"/>
          <w:lang w:val="en-GB"/>
        </w:rPr>
        <w:t>film and television industries. Film, long considered entertainment rather than art, has suffered from low levels of public funding</w:t>
      </w:r>
      <w:r w:rsidR="00F17BBB" w:rsidRPr="008401AD">
        <w:rPr>
          <w:szCs w:val="24"/>
          <w:lang w:val="en-GB"/>
        </w:rPr>
        <w:t>,</w:t>
      </w:r>
      <w:r w:rsidR="00552D85" w:rsidRPr="008401AD">
        <w:rPr>
          <w:szCs w:val="24"/>
          <w:lang w:val="en-GB"/>
        </w:rPr>
        <w:t xml:space="preserve"> and the major incentive – tax relief – favours large-scale American productions rather than indigenous ones. By contrast, television, regarded as a public service, has enjoyed far greater financial support and </w:t>
      </w:r>
      <w:r w:rsidR="007E0A9C">
        <w:rPr>
          <w:szCs w:val="24"/>
          <w:lang w:val="en-GB"/>
        </w:rPr>
        <w:t xml:space="preserve">has </w:t>
      </w:r>
      <w:r w:rsidR="00552D85" w:rsidRPr="008401AD">
        <w:rPr>
          <w:szCs w:val="24"/>
          <w:lang w:val="en-GB"/>
        </w:rPr>
        <w:t>been globally successful. However, here too SMEs struggle and, if successful, are vulnerable to takeover by ‘super indies’, global entities driven by commercial logic. Presence argues for a critique of the narrow concept of economic success that permeate</w:t>
      </w:r>
      <w:r w:rsidR="00F17BBB" w:rsidRPr="008401AD">
        <w:rPr>
          <w:szCs w:val="24"/>
          <w:lang w:val="en-GB"/>
        </w:rPr>
        <w:t>s</w:t>
      </w:r>
      <w:r w:rsidR="00552D85" w:rsidRPr="008401AD">
        <w:rPr>
          <w:szCs w:val="24"/>
          <w:lang w:val="en-GB"/>
        </w:rPr>
        <w:t xml:space="preserve"> both these industries and to press for a policy rethink that will encourage them to be more culturally ambitious, innovative and diverse.</w:t>
      </w:r>
      <w:r w:rsidRPr="008401AD">
        <w:rPr>
          <w:szCs w:val="24"/>
          <w:lang w:val="en-GB"/>
        </w:rPr>
        <w:t>&lt;/NP&gt;</w:t>
      </w:r>
      <w:r w:rsidR="00552D85" w:rsidRPr="008401AD">
        <w:rPr>
          <w:szCs w:val="24"/>
          <w:lang w:val="en-GB"/>
        </w:rPr>
        <w:t xml:space="preserve"> </w:t>
      </w:r>
    </w:p>
    <w:p w14:paraId="18A47374" w14:textId="5E41FF53" w:rsidR="00552D85" w:rsidRPr="008401AD" w:rsidRDefault="00943F51" w:rsidP="00552D85">
      <w:pPr>
        <w:rPr>
          <w:szCs w:val="24"/>
          <w:lang w:val="en-GB"/>
        </w:rPr>
      </w:pPr>
      <w:r w:rsidRPr="008401AD">
        <w:rPr>
          <w:szCs w:val="24"/>
          <w:lang w:val="en-GB"/>
        </w:rPr>
        <w:t>&lt;TEXT&gt;</w:t>
      </w:r>
      <w:proofErr w:type="spellStart"/>
      <w:r w:rsidR="00552D85" w:rsidRPr="008401AD">
        <w:rPr>
          <w:szCs w:val="24"/>
          <w:lang w:val="en-GB"/>
        </w:rPr>
        <w:t>Audun</w:t>
      </w:r>
      <w:proofErr w:type="spellEnd"/>
      <w:r w:rsidR="00552D85" w:rsidRPr="008401AD">
        <w:rPr>
          <w:szCs w:val="24"/>
          <w:lang w:val="en-GB"/>
        </w:rPr>
        <w:t xml:space="preserve"> </w:t>
      </w:r>
      <w:proofErr w:type="spellStart"/>
      <w:r w:rsidR="00552D85" w:rsidRPr="008401AD">
        <w:rPr>
          <w:szCs w:val="24"/>
          <w:lang w:val="en-GB"/>
        </w:rPr>
        <w:t>Engelstad</w:t>
      </w:r>
      <w:proofErr w:type="spellEnd"/>
      <w:r w:rsidR="00552D85" w:rsidRPr="008401AD">
        <w:rPr>
          <w:szCs w:val="24"/>
          <w:lang w:val="en-GB"/>
        </w:rPr>
        <w:t xml:space="preserve"> focuses on three UK film companies – Origin Pictures, Number 9 Films and Warp Films – asking how they have managed to be both critically and commercially successful in such a challenging marketplace. He identifies several common factors. Each benefits from forms of public subsidy, or public service broadcasters; each is artist</w:t>
      </w:r>
      <w:r w:rsidR="007E0A9C">
        <w:rPr>
          <w:szCs w:val="24"/>
          <w:lang w:val="en-GB"/>
        </w:rPr>
        <w:t>-</w:t>
      </w:r>
      <w:r w:rsidR="00552D85" w:rsidRPr="008401AD">
        <w:rPr>
          <w:szCs w:val="24"/>
          <w:lang w:val="en-GB"/>
        </w:rPr>
        <w:t xml:space="preserve">driven, dependent on the strong network of relationships with creative talent forged by their founders who continue to lead each company; and all three target their productions at niche, mainly European markets </w:t>
      </w:r>
      <w:r w:rsidR="00F17BBB" w:rsidRPr="008401AD">
        <w:rPr>
          <w:szCs w:val="24"/>
          <w:lang w:val="en-GB"/>
        </w:rPr>
        <w:t>that</w:t>
      </w:r>
      <w:r w:rsidR="00552D85" w:rsidRPr="008401AD">
        <w:rPr>
          <w:szCs w:val="24"/>
          <w:lang w:val="en-GB"/>
        </w:rPr>
        <w:t xml:space="preserve"> enable them to be distinctive and to retain artistic integrity. He discerns an increasing orientation towards ‘</w:t>
      </w:r>
      <w:r w:rsidR="00F17BBB" w:rsidRPr="008401AD">
        <w:rPr>
          <w:szCs w:val="24"/>
          <w:lang w:val="en-GB"/>
        </w:rPr>
        <w:t>high-</w:t>
      </w:r>
      <w:r w:rsidR="00552D85" w:rsidRPr="008401AD">
        <w:rPr>
          <w:szCs w:val="24"/>
          <w:lang w:val="en-GB"/>
        </w:rPr>
        <w:t>end’ television production, a ‘</w:t>
      </w:r>
      <w:proofErr w:type="spellStart"/>
      <w:r w:rsidR="00552D85" w:rsidRPr="008401AD">
        <w:rPr>
          <w:szCs w:val="24"/>
          <w:lang w:val="en-GB"/>
        </w:rPr>
        <w:t>telenomics</w:t>
      </w:r>
      <w:proofErr w:type="spellEnd"/>
      <w:r w:rsidR="00552D85" w:rsidRPr="008401AD">
        <w:rPr>
          <w:szCs w:val="24"/>
          <w:lang w:val="en-GB"/>
        </w:rPr>
        <w:t xml:space="preserve">’, in which the economic structures of the television industry are used to stabilize and circumvent some of the key problems of film production. </w:t>
      </w:r>
    </w:p>
    <w:p w14:paraId="77EDE9BA" w14:textId="16FD3874" w:rsidR="00552D85" w:rsidRPr="008401AD" w:rsidRDefault="00552D85" w:rsidP="00552D85">
      <w:pPr>
        <w:rPr>
          <w:szCs w:val="24"/>
          <w:lang w:val="en-GB"/>
        </w:rPr>
      </w:pPr>
      <w:r w:rsidRPr="008401AD">
        <w:rPr>
          <w:szCs w:val="24"/>
          <w:lang w:val="en-GB"/>
        </w:rPr>
        <w:t xml:space="preserve">The last of the individual case studies is Andrew Spicer’s chapter exploring how creativity is managed by </w:t>
      </w:r>
      <w:proofErr w:type="spellStart"/>
      <w:r w:rsidRPr="008401AD">
        <w:rPr>
          <w:szCs w:val="24"/>
          <w:lang w:val="en-GB"/>
        </w:rPr>
        <w:t>Aardman</w:t>
      </w:r>
      <w:proofErr w:type="spellEnd"/>
      <w:r w:rsidRPr="008401AD">
        <w:rPr>
          <w:szCs w:val="24"/>
          <w:lang w:val="en-GB"/>
        </w:rPr>
        <w:t xml:space="preserve"> Animations, one of the most successful independent UK film and television companies, whose vision is to forge an artists’ ‘studio’ rather than simply a business. This aspiration, he argues, can only be achieved by imaginative leadership that affords employees some creative autonomy</w:t>
      </w:r>
      <w:r w:rsidR="007E0A9C">
        <w:rPr>
          <w:szCs w:val="24"/>
          <w:lang w:val="en-GB"/>
        </w:rPr>
        <w:t>,</w:t>
      </w:r>
      <w:r w:rsidRPr="008401AD">
        <w:rPr>
          <w:szCs w:val="24"/>
          <w:lang w:val="en-GB"/>
        </w:rPr>
        <w:t xml:space="preserve"> guided by an overarching strategy that grasps the creative possibilities of commercial constraints, including the opportunities provided by the proliferation of online platforms. In this way, Spicer argues, </w:t>
      </w:r>
      <w:proofErr w:type="spellStart"/>
      <w:r w:rsidRPr="008401AD">
        <w:rPr>
          <w:szCs w:val="24"/>
          <w:lang w:val="en-GB"/>
        </w:rPr>
        <w:t>Aardman</w:t>
      </w:r>
      <w:proofErr w:type="spellEnd"/>
      <w:r w:rsidRPr="008401AD">
        <w:rPr>
          <w:szCs w:val="24"/>
          <w:lang w:val="en-GB"/>
        </w:rPr>
        <w:t xml:space="preserve"> has kept pace with a changing animation industry now orientated to the creation and exploitation of a portfolio of copyrighted projects and the development of an international brand, rather than single programmes.</w:t>
      </w:r>
      <w:r w:rsidR="00943F51" w:rsidRPr="008401AD">
        <w:rPr>
          <w:szCs w:val="24"/>
          <w:lang w:val="en-GB"/>
        </w:rPr>
        <w:t>&lt;/TEXT&gt;</w:t>
      </w:r>
      <w:r w:rsidRPr="008401AD">
        <w:rPr>
          <w:szCs w:val="24"/>
          <w:lang w:val="en-GB"/>
        </w:rPr>
        <w:t xml:space="preserve"> </w:t>
      </w:r>
    </w:p>
    <w:p w14:paraId="7D2C746F" w14:textId="77777777" w:rsidR="00552D85" w:rsidRPr="008401AD" w:rsidRDefault="00552D85" w:rsidP="00552D85">
      <w:pPr>
        <w:rPr>
          <w:szCs w:val="24"/>
          <w:lang w:val="en-GB"/>
        </w:rPr>
      </w:pPr>
    </w:p>
    <w:p w14:paraId="2D7BCDDF" w14:textId="77777777" w:rsidR="00552D85" w:rsidRPr="008401AD" w:rsidRDefault="00552D85" w:rsidP="00552D85">
      <w:pPr>
        <w:rPr>
          <w:szCs w:val="24"/>
          <w:lang w:val="en-GB"/>
        </w:rPr>
      </w:pPr>
    </w:p>
    <w:p w14:paraId="0195AE1F" w14:textId="77777777" w:rsidR="00552D85" w:rsidRPr="008401AD" w:rsidRDefault="00946D4E" w:rsidP="00552D85">
      <w:pPr>
        <w:pStyle w:val="Heading1"/>
        <w:rPr>
          <w:sz w:val="24"/>
          <w:szCs w:val="24"/>
          <w:lang w:val="en-GB"/>
        </w:rPr>
      </w:pPr>
      <w:bookmarkStart w:id="13" w:name="_Toc469423970"/>
      <w:r w:rsidRPr="008401AD">
        <w:rPr>
          <w:sz w:val="24"/>
          <w:szCs w:val="24"/>
          <w:lang w:val="en-GB"/>
        </w:rPr>
        <w:t>&lt;H1&gt;</w:t>
      </w:r>
      <w:r w:rsidR="00552D85" w:rsidRPr="008401AD">
        <w:rPr>
          <w:sz w:val="24"/>
          <w:szCs w:val="24"/>
          <w:lang w:val="en-GB"/>
        </w:rPr>
        <w:t>References</w:t>
      </w:r>
      <w:bookmarkEnd w:id="13"/>
      <w:r w:rsidRPr="008401AD">
        <w:rPr>
          <w:sz w:val="24"/>
          <w:szCs w:val="24"/>
          <w:lang w:val="en-GB"/>
        </w:rPr>
        <w:t>&lt;/H1&gt;</w:t>
      </w:r>
    </w:p>
    <w:p w14:paraId="66458106" w14:textId="2C8472C4" w:rsidR="00552D85" w:rsidRPr="008401AD" w:rsidRDefault="00552D85" w:rsidP="00552D85">
      <w:pPr>
        <w:rPr>
          <w:szCs w:val="24"/>
          <w:lang w:val="en-GB"/>
        </w:rPr>
      </w:pPr>
      <w:r w:rsidRPr="008401AD">
        <w:rPr>
          <w:szCs w:val="24"/>
          <w:lang w:val="en-GB"/>
        </w:rPr>
        <w:t xml:space="preserve">Anderson, Chris (2009), </w:t>
      </w:r>
      <w:r w:rsidRPr="008401AD">
        <w:rPr>
          <w:i/>
          <w:szCs w:val="24"/>
          <w:lang w:val="en-GB"/>
        </w:rPr>
        <w:t>The Longer Long Tail: How Endless Choice is Creating Unlimited Demand</w:t>
      </w:r>
      <w:r w:rsidRPr="008401AD">
        <w:rPr>
          <w:szCs w:val="24"/>
          <w:lang w:val="en-GB"/>
        </w:rPr>
        <w:t xml:space="preserve">, London: Random House. </w:t>
      </w:r>
    </w:p>
    <w:p w14:paraId="1373B201" w14:textId="7033939B" w:rsidR="00552D85" w:rsidRPr="008401AD" w:rsidRDefault="00552D85" w:rsidP="00552D85">
      <w:pPr>
        <w:rPr>
          <w:szCs w:val="24"/>
          <w:lang w:val="en-GB"/>
        </w:rPr>
      </w:pPr>
      <w:proofErr w:type="spellStart"/>
      <w:r w:rsidRPr="008401AD">
        <w:rPr>
          <w:szCs w:val="24"/>
          <w:lang w:val="en-GB"/>
        </w:rPr>
        <w:t>Aris</w:t>
      </w:r>
      <w:proofErr w:type="spellEnd"/>
      <w:r w:rsidRPr="008401AD">
        <w:rPr>
          <w:szCs w:val="24"/>
          <w:lang w:val="en-GB"/>
        </w:rPr>
        <w:t xml:space="preserve">, </w:t>
      </w:r>
      <w:proofErr w:type="spellStart"/>
      <w:r w:rsidRPr="008401AD">
        <w:rPr>
          <w:szCs w:val="24"/>
          <w:lang w:val="en-GB"/>
        </w:rPr>
        <w:t>Annet</w:t>
      </w:r>
      <w:proofErr w:type="spellEnd"/>
      <w:r w:rsidRPr="008401AD">
        <w:rPr>
          <w:szCs w:val="24"/>
          <w:lang w:val="en-GB"/>
        </w:rPr>
        <w:t xml:space="preserve"> and </w:t>
      </w:r>
      <w:proofErr w:type="spellStart"/>
      <w:r w:rsidR="0021772A" w:rsidRPr="008401AD">
        <w:rPr>
          <w:szCs w:val="24"/>
          <w:lang w:val="en-GB"/>
        </w:rPr>
        <w:t>Bugin</w:t>
      </w:r>
      <w:proofErr w:type="spellEnd"/>
      <w:r w:rsidR="0021772A" w:rsidRPr="008401AD">
        <w:rPr>
          <w:szCs w:val="24"/>
          <w:lang w:val="en-GB"/>
        </w:rPr>
        <w:t xml:space="preserve">, </w:t>
      </w:r>
      <w:r w:rsidRPr="008401AD">
        <w:rPr>
          <w:szCs w:val="24"/>
          <w:lang w:val="en-GB"/>
        </w:rPr>
        <w:t xml:space="preserve">Jacques (2009), </w:t>
      </w:r>
      <w:r w:rsidRPr="008401AD">
        <w:rPr>
          <w:i/>
          <w:szCs w:val="24"/>
          <w:lang w:val="en-GB"/>
        </w:rPr>
        <w:t>Managing Media Companies: Harnessing Creative Value</w:t>
      </w:r>
      <w:r w:rsidRPr="008401AD">
        <w:rPr>
          <w:szCs w:val="24"/>
          <w:lang w:val="en-GB"/>
        </w:rPr>
        <w:t>, Chichester: Wiley.</w:t>
      </w:r>
    </w:p>
    <w:p w14:paraId="588081BD" w14:textId="05B28950" w:rsidR="00552D85" w:rsidRPr="008401AD" w:rsidRDefault="00552D85" w:rsidP="00552D85">
      <w:pPr>
        <w:rPr>
          <w:szCs w:val="24"/>
          <w:lang w:val="en-GB"/>
        </w:rPr>
      </w:pPr>
      <w:r w:rsidRPr="008401AD">
        <w:rPr>
          <w:szCs w:val="24"/>
          <w:lang w:val="en-GB"/>
        </w:rPr>
        <w:t xml:space="preserve">Banks, Mark (2007), </w:t>
      </w:r>
      <w:r w:rsidRPr="001E2D3F">
        <w:rPr>
          <w:i/>
          <w:szCs w:val="24"/>
          <w:lang w:val="en-GB"/>
        </w:rPr>
        <w:t>The Politics of Cultural Work</w:t>
      </w:r>
      <w:r w:rsidRPr="008401AD">
        <w:rPr>
          <w:szCs w:val="24"/>
          <w:lang w:val="en-GB"/>
        </w:rPr>
        <w:t xml:space="preserve">, Basingstoke: Palgrave Macmillan. </w:t>
      </w:r>
    </w:p>
    <w:p w14:paraId="54FE2466" w14:textId="1A8889AB" w:rsidR="00552D85" w:rsidRPr="008401AD" w:rsidRDefault="00552D85" w:rsidP="00552D85">
      <w:pPr>
        <w:rPr>
          <w:szCs w:val="24"/>
          <w:lang w:val="en-GB"/>
        </w:rPr>
      </w:pPr>
      <w:r w:rsidRPr="008401AD">
        <w:rPr>
          <w:szCs w:val="24"/>
          <w:lang w:val="en-GB"/>
        </w:rPr>
        <w:t>Banks, Mark, Gill</w:t>
      </w:r>
      <w:r w:rsidR="0021772A" w:rsidRPr="008401AD">
        <w:rPr>
          <w:szCs w:val="24"/>
          <w:lang w:val="en-GB"/>
        </w:rPr>
        <w:t>, Rosalind</w:t>
      </w:r>
      <w:r w:rsidRPr="008401AD">
        <w:rPr>
          <w:szCs w:val="24"/>
          <w:lang w:val="en-GB"/>
        </w:rPr>
        <w:t xml:space="preserve"> and </w:t>
      </w:r>
      <w:r w:rsidR="0021772A" w:rsidRPr="008401AD">
        <w:rPr>
          <w:szCs w:val="24"/>
          <w:lang w:val="en-GB"/>
        </w:rPr>
        <w:t xml:space="preserve">Taylor, </w:t>
      </w:r>
      <w:r w:rsidRPr="008401AD">
        <w:rPr>
          <w:szCs w:val="24"/>
          <w:lang w:val="en-GB"/>
        </w:rPr>
        <w:t>Stephanie (</w:t>
      </w:r>
      <w:proofErr w:type="spellStart"/>
      <w:r w:rsidRPr="008401AD">
        <w:rPr>
          <w:szCs w:val="24"/>
          <w:lang w:val="en-GB"/>
        </w:rPr>
        <w:t>eds</w:t>
      </w:r>
      <w:proofErr w:type="spellEnd"/>
      <w:r w:rsidRPr="008401AD">
        <w:rPr>
          <w:szCs w:val="24"/>
          <w:lang w:val="en-GB"/>
        </w:rPr>
        <w:t>) (2013</w:t>
      </w:r>
      <w:r w:rsidRPr="008401AD">
        <w:rPr>
          <w:i/>
          <w:szCs w:val="24"/>
          <w:lang w:val="en-GB"/>
        </w:rPr>
        <w:t>), Theorizing Cultural Work: Labour, Continuity and Change in the Cultural and Creative Industries</w:t>
      </w:r>
      <w:r w:rsidRPr="008401AD">
        <w:rPr>
          <w:szCs w:val="24"/>
          <w:lang w:val="en-GB"/>
        </w:rPr>
        <w:t>, London: Routledge.</w:t>
      </w:r>
    </w:p>
    <w:p w14:paraId="34C736BF" w14:textId="035B4481" w:rsidR="00552D85" w:rsidRPr="008401AD" w:rsidRDefault="00552D85" w:rsidP="00552D85">
      <w:pPr>
        <w:rPr>
          <w:szCs w:val="24"/>
          <w:lang w:val="en-GB"/>
        </w:rPr>
      </w:pPr>
      <w:r w:rsidRPr="008401AD">
        <w:rPr>
          <w:szCs w:val="24"/>
          <w:lang w:val="en-GB"/>
        </w:rPr>
        <w:t>Banks, Mark, Conor</w:t>
      </w:r>
      <w:r w:rsidR="0021772A" w:rsidRPr="008401AD">
        <w:rPr>
          <w:szCs w:val="24"/>
          <w:lang w:val="en-GB"/>
        </w:rPr>
        <w:t>, Bridget</w:t>
      </w:r>
      <w:r w:rsidRPr="008401AD">
        <w:rPr>
          <w:szCs w:val="24"/>
          <w:lang w:val="en-GB"/>
        </w:rPr>
        <w:t xml:space="preserve"> and Mayer</w:t>
      </w:r>
      <w:r w:rsidR="0021772A" w:rsidRPr="008401AD">
        <w:rPr>
          <w:szCs w:val="24"/>
          <w:lang w:val="en-GB"/>
        </w:rPr>
        <w:t>, Vicki</w:t>
      </w:r>
      <w:r w:rsidRPr="008401AD">
        <w:rPr>
          <w:szCs w:val="24"/>
          <w:lang w:val="en-GB"/>
        </w:rPr>
        <w:t xml:space="preserve"> (</w:t>
      </w:r>
      <w:proofErr w:type="spellStart"/>
      <w:r w:rsidRPr="008401AD">
        <w:rPr>
          <w:szCs w:val="24"/>
          <w:lang w:val="en-GB"/>
        </w:rPr>
        <w:t>eds</w:t>
      </w:r>
      <w:proofErr w:type="spellEnd"/>
      <w:r w:rsidRPr="008401AD">
        <w:rPr>
          <w:szCs w:val="24"/>
          <w:lang w:val="en-GB"/>
        </w:rPr>
        <w:t xml:space="preserve">) (2016), </w:t>
      </w:r>
      <w:r w:rsidRPr="008401AD">
        <w:rPr>
          <w:i/>
          <w:iCs/>
          <w:szCs w:val="24"/>
          <w:lang w:val="en-GB"/>
        </w:rPr>
        <w:t>Production Studies, the Sequel! Cultural Studies of Global Media Industries</w:t>
      </w:r>
      <w:r w:rsidRPr="008401AD">
        <w:rPr>
          <w:i/>
          <w:szCs w:val="24"/>
          <w:lang w:val="en-GB"/>
        </w:rPr>
        <w:t>,</w:t>
      </w:r>
      <w:r w:rsidRPr="008401AD">
        <w:rPr>
          <w:szCs w:val="24"/>
          <w:lang w:val="en-GB"/>
        </w:rPr>
        <w:t xml:space="preserve"> New York: Routledge.</w:t>
      </w:r>
    </w:p>
    <w:p w14:paraId="598C011F" w14:textId="5F5FCC26" w:rsidR="00552D85" w:rsidRPr="008401AD" w:rsidRDefault="00552D85" w:rsidP="00552D85">
      <w:pPr>
        <w:rPr>
          <w:szCs w:val="24"/>
          <w:lang w:val="en-GB"/>
        </w:rPr>
      </w:pPr>
      <w:r w:rsidRPr="008401AD">
        <w:rPr>
          <w:szCs w:val="24"/>
          <w:lang w:val="en-GB"/>
        </w:rPr>
        <w:t xml:space="preserve">Bennett, James and </w:t>
      </w:r>
      <w:r w:rsidR="00034125" w:rsidRPr="008401AD">
        <w:rPr>
          <w:szCs w:val="24"/>
          <w:lang w:val="en-GB"/>
        </w:rPr>
        <w:t xml:space="preserve">Strange, </w:t>
      </w:r>
      <w:r w:rsidRPr="008401AD">
        <w:rPr>
          <w:szCs w:val="24"/>
          <w:lang w:val="en-GB"/>
        </w:rPr>
        <w:t>Niki (</w:t>
      </w:r>
      <w:proofErr w:type="spellStart"/>
      <w:r w:rsidRPr="008401AD">
        <w:rPr>
          <w:szCs w:val="24"/>
          <w:lang w:val="en-GB"/>
        </w:rPr>
        <w:t>eds</w:t>
      </w:r>
      <w:proofErr w:type="spellEnd"/>
      <w:r w:rsidRPr="008401AD">
        <w:rPr>
          <w:szCs w:val="24"/>
          <w:lang w:val="en-GB"/>
        </w:rPr>
        <w:t xml:space="preserve">) (2015), </w:t>
      </w:r>
      <w:r w:rsidRPr="008401AD">
        <w:rPr>
          <w:i/>
          <w:szCs w:val="24"/>
          <w:lang w:val="en-GB"/>
        </w:rPr>
        <w:t>Media Independence: Working with Freedom or Working for Free?</w:t>
      </w:r>
      <w:r w:rsidR="0035235E">
        <w:rPr>
          <w:i/>
          <w:szCs w:val="24"/>
          <w:lang w:val="en-GB"/>
        </w:rPr>
        <w:t>,</w:t>
      </w:r>
      <w:r w:rsidRPr="008401AD">
        <w:rPr>
          <w:szCs w:val="24"/>
          <w:lang w:val="en-GB"/>
        </w:rPr>
        <w:t xml:space="preserve"> London: Routledge. </w:t>
      </w:r>
    </w:p>
    <w:p w14:paraId="6B13E3E4" w14:textId="05700B67" w:rsidR="00552D85" w:rsidRPr="008401AD" w:rsidRDefault="00552D85" w:rsidP="00552D85">
      <w:pPr>
        <w:rPr>
          <w:szCs w:val="24"/>
          <w:lang w:val="en-GB"/>
        </w:rPr>
      </w:pPr>
      <w:proofErr w:type="spellStart"/>
      <w:r w:rsidRPr="008401AD">
        <w:rPr>
          <w:szCs w:val="24"/>
          <w:lang w:val="en-GB"/>
        </w:rPr>
        <w:t>Bilton</w:t>
      </w:r>
      <w:proofErr w:type="spellEnd"/>
      <w:r w:rsidRPr="008401AD">
        <w:rPr>
          <w:szCs w:val="24"/>
          <w:lang w:val="en-GB"/>
        </w:rPr>
        <w:t>, Chris (2007</w:t>
      </w:r>
      <w:r w:rsidRPr="008401AD">
        <w:rPr>
          <w:i/>
          <w:szCs w:val="24"/>
          <w:lang w:val="en-GB"/>
        </w:rPr>
        <w:t>), Management and Creativity: From Creative Industries to Creative Management</w:t>
      </w:r>
      <w:r w:rsidRPr="008401AD">
        <w:rPr>
          <w:szCs w:val="24"/>
          <w:lang w:val="en-GB"/>
        </w:rPr>
        <w:t xml:space="preserve">, Oxford: Blackwell, 2007. </w:t>
      </w:r>
    </w:p>
    <w:p w14:paraId="751A95AA" w14:textId="24ECEDBE" w:rsidR="00552D85" w:rsidRPr="008401AD" w:rsidRDefault="0035235E" w:rsidP="00552D85">
      <w:pPr>
        <w:rPr>
          <w:szCs w:val="24"/>
          <w:lang w:val="en-GB"/>
        </w:rPr>
      </w:pPr>
      <w:r>
        <w:rPr>
          <w:szCs w:val="24"/>
          <w:lang w:val="en-GB"/>
        </w:rPr>
        <w:t>______</w:t>
      </w:r>
      <w:r w:rsidR="00552D85" w:rsidRPr="008401AD">
        <w:rPr>
          <w:szCs w:val="24"/>
          <w:lang w:val="en-GB"/>
        </w:rPr>
        <w:t xml:space="preserve"> (2008), ‘</w:t>
      </w:r>
      <w:r w:rsidR="00552D85" w:rsidRPr="008401AD">
        <w:rPr>
          <w:iCs/>
          <w:szCs w:val="24"/>
          <w:lang w:val="en-GB"/>
        </w:rPr>
        <w:t xml:space="preserve">Cultures of </w:t>
      </w:r>
      <w:r w:rsidR="000875E1" w:rsidRPr="008401AD">
        <w:rPr>
          <w:iCs/>
          <w:szCs w:val="24"/>
          <w:lang w:val="en-GB"/>
        </w:rPr>
        <w:t>management</w:t>
      </w:r>
      <w:r w:rsidR="00552D85" w:rsidRPr="008401AD">
        <w:rPr>
          <w:iCs/>
          <w:szCs w:val="24"/>
          <w:lang w:val="en-GB"/>
        </w:rPr>
        <w:t xml:space="preserve">: Cultural </w:t>
      </w:r>
      <w:r w:rsidR="000875E1" w:rsidRPr="008401AD">
        <w:rPr>
          <w:iCs/>
          <w:szCs w:val="24"/>
          <w:lang w:val="en-GB"/>
        </w:rPr>
        <w:t>policy</w:t>
      </w:r>
      <w:r w:rsidR="00552D85" w:rsidRPr="008401AD">
        <w:rPr>
          <w:iCs/>
          <w:szCs w:val="24"/>
          <w:lang w:val="en-GB"/>
        </w:rPr>
        <w:t xml:space="preserve">, </w:t>
      </w:r>
      <w:r w:rsidR="000875E1" w:rsidRPr="008401AD">
        <w:rPr>
          <w:iCs/>
          <w:szCs w:val="24"/>
          <w:lang w:val="en-GB"/>
        </w:rPr>
        <w:t xml:space="preserve">cultural management </w:t>
      </w:r>
      <w:r w:rsidR="00552D85" w:rsidRPr="008401AD">
        <w:rPr>
          <w:iCs/>
          <w:szCs w:val="24"/>
          <w:lang w:val="en-GB"/>
        </w:rPr>
        <w:t xml:space="preserve">and </w:t>
      </w:r>
      <w:r w:rsidR="000875E1" w:rsidRPr="008401AD">
        <w:rPr>
          <w:iCs/>
          <w:szCs w:val="24"/>
          <w:lang w:val="en-GB"/>
        </w:rPr>
        <w:t>creative organisation’</w:t>
      </w:r>
      <w:r w:rsidR="00552D85" w:rsidRPr="008401AD">
        <w:rPr>
          <w:iCs/>
          <w:szCs w:val="24"/>
          <w:lang w:val="en-GB"/>
        </w:rPr>
        <w:t>, in V.</w:t>
      </w:r>
      <w:r w:rsidR="00034125" w:rsidRPr="008401AD">
        <w:rPr>
          <w:iCs/>
          <w:szCs w:val="24"/>
          <w:lang w:val="en-GB"/>
        </w:rPr>
        <w:t xml:space="preserve"> </w:t>
      </w:r>
      <w:r w:rsidR="00552D85" w:rsidRPr="008401AD">
        <w:rPr>
          <w:iCs/>
          <w:szCs w:val="24"/>
          <w:lang w:val="en-GB"/>
        </w:rPr>
        <w:t xml:space="preserve">V. </w:t>
      </w:r>
      <w:proofErr w:type="spellStart"/>
      <w:r w:rsidR="00552D85" w:rsidRPr="008401AD">
        <w:rPr>
          <w:szCs w:val="24"/>
          <w:lang w:val="en-GB"/>
        </w:rPr>
        <w:t>Famani</w:t>
      </w:r>
      <w:proofErr w:type="spellEnd"/>
      <w:r w:rsidR="00552D85" w:rsidRPr="008401AD">
        <w:rPr>
          <w:szCs w:val="24"/>
          <w:lang w:val="en-GB"/>
        </w:rPr>
        <w:t xml:space="preserve"> and A.</w:t>
      </w:r>
      <w:r w:rsidR="00034125" w:rsidRPr="008401AD">
        <w:rPr>
          <w:szCs w:val="24"/>
          <w:lang w:val="en-GB"/>
        </w:rPr>
        <w:t xml:space="preserve"> </w:t>
      </w:r>
      <w:r w:rsidR="00552D85" w:rsidRPr="008401AD">
        <w:rPr>
          <w:szCs w:val="24"/>
          <w:lang w:val="en-GB"/>
        </w:rPr>
        <w:t xml:space="preserve">V. </w:t>
      </w:r>
      <w:proofErr w:type="spellStart"/>
      <w:r w:rsidR="00552D85" w:rsidRPr="008401AD">
        <w:rPr>
          <w:szCs w:val="24"/>
          <w:lang w:val="en-GB"/>
        </w:rPr>
        <w:t>Bala</w:t>
      </w:r>
      <w:proofErr w:type="spellEnd"/>
      <w:r w:rsidR="00552D85" w:rsidRPr="008401AD">
        <w:rPr>
          <w:szCs w:val="24"/>
          <w:lang w:val="en-GB"/>
        </w:rPr>
        <w:t xml:space="preserve"> Krishna (</w:t>
      </w:r>
      <w:proofErr w:type="spellStart"/>
      <w:proofErr w:type="gramStart"/>
      <w:r w:rsidR="00552D85" w:rsidRPr="008401AD">
        <w:rPr>
          <w:szCs w:val="24"/>
          <w:lang w:val="en-GB"/>
        </w:rPr>
        <w:t>eds</w:t>
      </w:r>
      <w:proofErr w:type="spellEnd"/>
      <w:proofErr w:type="gramEnd"/>
      <w:r w:rsidR="00552D85" w:rsidRPr="008401AD">
        <w:rPr>
          <w:szCs w:val="24"/>
          <w:lang w:val="en-GB"/>
        </w:rPr>
        <w:t xml:space="preserve">), </w:t>
      </w:r>
      <w:r w:rsidR="00552D85" w:rsidRPr="008401AD">
        <w:rPr>
          <w:i/>
          <w:szCs w:val="24"/>
          <w:lang w:val="en-GB"/>
        </w:rPr>
        <w:t>Cultural Industries: Perspectives and Experiences,</w:t>
      </w:r>
      <w:r w:rsidR="00552D85" w:rsidRPr="008401AD">
        <w:rPr>
          <w:szCs w:val="24"/>
          <w:lang w:val="en-GB"/>
        </w:rPr>
        <w:t xml:space="preserve"> Hyderabad: </w:t>
      </w:r>
      <w:proofErr w:type="spellStart"/>
      <w:r w:rsidR="00552D85" w:rsidRPr="008401AD">
        <w:rPr>
          <w:szCs w:val="24"/>
          <w:lang w:val="en-GB"/>
        </w:rPr>
        <w:t>Icfai</w:t>
      </w:r>
      <w:proofErr w:type="spellEnd"/>
      <w:r w:rsidR="00552D85" w:rsidRPr="008401AD">
        <w:rPr>
          <w:szCs w:val="24"/>
          <w:lang w:val="en-GB"/>
        </w:rPr>
        <w:t xml:space="preserve"> University Press</w:t>
      </w:r>
      <w:r w:rsidR="002922D1">
        <w:rPr>
          <w:szCs w:val="24"/>
          <w:lang w:val="en-GB"/>
        </w:rPr>
        <w:t>,</w:t>
      </w:r>
      <w:r w:rsidR="00552D85" w:rsidRPr="008401AD">
        <w:rPr>
          <w:szCs w:val="24"/>
          <w:lang w:val="en-GB"/>
        </w:rPr>
        <w:t xml:space="preserve"> </w:t>
      </w:r>
      <w:r w:rsidR="002922D1">
        <w:rPr>
          <w:szCs w:val="24"/>
          <w:lang w:val="en-GB"/>
        </w:rPr>
        <w:t>(pp. 24-44).</w:t>
      </w:r>
    </w:p>
    <w:p w14:paraId="17EC9412" w14:textId="34A262F5" w:rsidR="00552D85" w:rsidRPr="008401AD" w:rsidRDefault="00552D85" w:rsidP="00552D85">
      <w:pPr>
        <w:rPr>
          <w:szCs w:val="24"/>
          <w:lang w:val="en-GB"/>
        </w:rPr>
      </w:pPr>
      <w:proofErr w:type="spellStart"/>
      <w:r w:rsidRPr="008401AD">
        <w:rPr>
          <w:szCs w:val="24"/>
          <w:lang w:val="en-GB"/>
        </w:rPr>
        <w:t>Bilton</w:t>
      </w:r>
      <w:proofErr w:type="spellEnd"/>
      <w:r w:rsidRPr="008401AD">
        <w:rPr>
          <w:szCs w:val="24"/>
          <w:lang w:val="en-GB"/>
        </w:rPr>
        <w:t>, Chris and Cummings</w:t>
      </w:r>
      <w:r w:rsidR="00034125" w:rsidRPr="008401AD">
        <w:rPr>
          <w:szCs w:val="24"/>
          <w:lang w:val="en-GB"/>
        </w:rPr>
        <w:t>, Stephen</w:t>
      </w:r>
      <w:r w:rsidRPr="008401AD">
        <w:rPr>
          <w:szCs w:val="24"/>
          <w:lang w:val="en-GB"/>
        </w:rPr>
        <w:t xml:space="preserve"> (</w:t>
      </w:r>
      <w:proofErr w:type="spellStart"/>
      <w:r w:rsidRPr="008401AD">
        <w:rPr>
          <w:szCs w:val="24"/>
          <w:lang w:val="en-GB"/>
        </w:rPr>
        <w:t>eds</w:t>
      </w:r>
      <w:proofErr w:type="spellEnd"/>
      <w:r w:rsidRPr="008401AD">
        <w:rPr>
          <w:szCs w:val="24"/>
          <w:lang w:val="en-GB"/>
        </w:rPr>
        <w:t>) (2014</w:t>
      </w:r>
      <w:r w:rsidRPr="008401AD">
        <w:rPr>
          <w:i/>
          <w:szCs w:val="24"/>
          <w:lang w:val="en-GB"/>
        </w:rPr>
        <w:t>), Handbook of Management and Creativity</w:t>
      </w:r>
      <w:r w:rsidRPr="008401AD">
        <w:rPr>
          <w:szCs w:val="24"/>
          <w:lang w:val="en-GB"/>
        </w:rPr>
        <w:t>, Cheltenham: Edward Elgar.</w:t>
      </w:r>
    </w:p>
    <w:p w14:paraId="69F92D02" w14:textId="77777777" w:rsidR="00552D85" w:rsidRPr="008401AD" w:rsidRDefault="00552D85" w:rsidP="00552D85">
      <w:pPr>
        <w:rPr>
          <w:szCs w:val="24"/>
          <w:lang w:val="en-GB"/>
        </w:rPr>
      </w:pPr>
      <w:r w:rsidRPr="008401AD">
        <w:rPr>
          <w:szCs w:val="24"/>
          <w:lang w:val="en-GB"/>
        </w:rPr>
        <w:t>Bloomfield, Kenneth (2008</w:t>
      </w:r>
      <w:r w:rsidRPr="001E2D3F">
        <w:rPr>
          <w:lang w:val="en-GB"/>
        </w:rPr>
        <w:t>)</w:t>
      </w:r>
      <w:r w:rsidR="000875E1" w:rsidRPr="001E2D3F">
        <w:rPr>
          <w:lang w:val="en-GB"/>
        </w:rPr>
        <w:t>,</w:t>
      </w:r>
      <w:r w:rsidRPr="008401AD">
        <w:rPr>
          <w:i/>
          <w:szCs w:val="24"/>
          <w:lang w:val="en-GB"/>
        </w:rPr>
        <w:t xml:space="preserve"> The BBC and the Watershed</w:t>
      </w:r>
      <w:r w:rsidRPr="008401AD">
        <w:rPr>
          <w:szCs w:val="24"/>
          <w:lang w:val="en-GB"/>
        </w:rPr>
        <w:t>, Liverpool: Liverpool University Press</w:t>
      </w:r>
      <w:r w:rsidR="000875E1" w:rsidRPr="008401AD">
        <w:rPr>
          <w:szCs w:val="24"/>
          <w:lang w:val="en-GB"/>
        </w:rPr>
        <w:t>.</w:t>
      </w:r>
    </w:p>
    <w:p w14:paraId="1740A7F4" w14:textId="2BEE8C10" w:rsidR="00552D85" w:rsidRPr="008401AD" w:rsidRDefault="00552D85" w:rsidP="00552D85">
      <w:pPr>
        <w:rPr>
          <w:szCs w:val="24"/>
          <w:lang w:val="en-GB"/>
        </w:rPr>
      </w:pPr>
      <w:proofErr w:type="spellStart"/>
      <w:r w:rsidRPr="008401AD">
        <w:rPr>
          <w:szCs w:val="24"/>
          <w:lang w:val="en-GB"/>
        </w:rPr>
        <w:t>Bogner</w:t>
      </w:r>
      <w:proofErr w:type="spellEnd"/>
      <w:r w:rsidRPr="008401AD">
        <w:rPr>
          <w:szCs w:val="24"/>
          <w:lang w:val="en-GB"/>
        </w:rPr>
        <w:t xml:space="preserve">, Alexander, </w:t>
      </w:r>
      <w:proofErr w:type="spellStart"/>
      <w:r w:rsidRPr="008401AD">
        <w:rPr>
          <w:szCs w:val="24"/>
          <w:lang w:val="en-GB"/>
        </w:rPr>
        <w:t>Littig</w:t>
      </w:r>
      <w:proofErr w:type="spellEnd"/>
      <w:r w:rsidR="00805D68" w:rsidRPr="008401AD">
        <w:rPr>
          <w:szCs w:val="24"/>
          <w:lang w:val="en-GB"/>
        </w:rPr>
        <w:t xml:space="preserve">, </w:t>
      </w:r>
      <w:proofErr w:type="spellStart"/>
      <w:r w:rsidR="00805D68" w:rsidRPr="008401AD">
        <w:rPr>
          <w:szCs w:val="24"/>
          <w:lang w:val="en-GB"/>
        </w:rPr>
        <w:t>Beate</w:t>
      </w:r>
      <w:proofErr w:type="spellEnd"/>
      <w:r w:rsidRPr="008401AD">
        <w:rPr>
          <w:szCs w:val="24"/>
          <w:lang w:val="en-GB"/>
        </w:rPr>
        <w:t xml:space="preserve"> and </w:t>
      </w:r>
      <w:proofErr w:type="spellStart"/>
      <w:r w:rsidRPr="008401AD">
        <w:rPr>
          <w:szCs w:val="24"/>
          <w:lang w:val="en-GB"/>
        </w:rPr>
        <w:t>Menz</w:t>
      </w:r>
      <w:proofErr w:type="spellEnd"/>
      <w:r w:rsidR="00805D68" w:rsidRPr="008401AD">
        <w:rPr>
          <w:szCs w:val="24"/>
          <w:lang w:val="en-GB"/>
        </w:rPr>
        <w:t>, Wolfgang</w:t>
      </w:r>
      <w:r w:rsidRPr="008401AD">
        <w:rPr>
          <w:szCs w:val="24"/>
          <w:lang w:val="en-GB"/>
        </w:rPr>
        <w:t xml:space="preserve"> (</w:t>
      </w:r>
      <w:proofErr w:type="spellStart"/>
      <w:r w:rsidRPr="008401AD">
        <w:rPr>
          <w:szCs w:val="24"/>
          <w:lang w:val="en-GB"/>
        </w:rPr>
        <w:t>eds</w:t>
      </w:r>
      <w:proofErr w:type="spellEnd"/>
      <w:r w:rsidRPr="008401AD">
        <w:rPr>
          <w:szCs w:val="24"/>
          <w:lang w:val="en-GB"/>
        </w:rPr>
        <w:t xml:space="preserve">) (2009), </w:t>
      </w:r>
      <w:r w:rsidRPr="008401AD">
        <w:rPr>
          <w:i/>
          <w:szCs w:val="24"/>
          <w:lang w:val="en-GB"/>
        </w:rPr>
        <w:t>Interviewing Experts</w:t>
      </w:r>
      <w:r w:rsidRPr="008401AD">
        <w:rPr>
          <w:szCs w:val="24"/>
          <w:lang w:val="en-GB"/>
        </w:rPr>
        <w:t xml:space="preserve">, Basingstoke: Palgrave Macmillan. </w:t>
      </w:r>
    </w:p>
    <w:p w14:paraId="267809A5" w14:textId="59E6BB75" w:rsidR="00552D85" w:rsidRPr="008401AD" w:rsidRDefault="00552D85" w:rsidP="00552D85">
      <w:pPr>
        <w:rPr>
          <w:szCs w:val="24"/>
          <w:lang w:val="en-GB"/>
        </w:rPr>
      </w:pPr>
      <w:proofErr w:type="spellStart"/>
      <w:r w:rsidRPr="008401AD">
        <w:rPr>
          <w:szCs w:val="24"/>
          <w:lang w:val="en-GB"/>
        </w:rPr>
        <w:t>Bondebjerg</w:t>
      </w:r>
      <w:proofErr w:type="spellEnd"/>
      <w:r w:rsidRPr="008401AD">
        <w:rPr>
          <w:szCs w:val="24"/>
          <w:lang w:val="en-GB"/>
        </w:rPr>
        <w:t xml:space="preserve">, </w:t>
      </w:r>
      <w:proofErr w:type="spellStart"/>
      <w:r w:rsidRPr="008401AD">
        <w:rPr>
          <w:szCs w:val="24"/>
          <w:lang w:val="en-GB"/>
        </w:rPr>
        <w:t>Ib</w:t>
      </w:r>
      <w:proofErr w:type="spellEnd"/>
      <w:r w:rsidRPr="008401AD">
        <w:rPr>
          <w:szCs w:val="24"/>
          <w:lang w:val="en-GB"/>
        </w:rPr>
        <w:t xml:space="preserve">, </w:t>
      </w:r>
      <w:proofErr w:type="spellStart"/>
      <w:r w:rsidRPr="008401AD">
        <w:rPr>
          <w:szCs w:val="24"/>
          <w:lang w:val="en-GB"/>
        </w:rPr>
        <w:t>Redvall</w:t>
      </w:r>
      <w:proofErr w:type="spellEnd"/>
      <w:r w:rsidR="00757157" w:rsidRPr="008401AD">
        <w:rPr>
          <w:szCs w:val="24"/>
          <w:lang w:val="en-GB"/>
        </w:rPr>
        <w:t xml:space="preserve">, Eva N. </w:t>
      </w:r>
      <w:r w:rsidRPr="008401AD">
        <w:rPr>
          <w:szCs w:val="24"/>
          <w:lang w:val="en-GB"/>
        </w:rPr>
        <w:t>and Higson</w:t>
      </w:r>
      <w:r w:rsidR="00805D68" w:rsidRPr="008401AD">
        <w:rPr>
          <w:szCs w:val="24"/>
          <w:lang w:val="en-GB"/>
        </w:rPr>
        <w:t>, Andrew</w:t>
      </w:r>
      <w:r w:rsidRPr="008401AD">
        <w:rPr>
          <w:szCs w:val="24"/>
          <w:lang w:val="en-GB"/>
        </w:rPr>
        <w:t xml:space="preserve"> (</w:t>
      </w:r>
      <w:proofErr w:type="spellStart"/>
      <w:r w:rsidRPr="008401AD">
        <w:rPr>
          <w:szCs w:val="24"/>
          <w:lang w:val="en-GB"/>
        </w:rPr>
        <w:t>eds</w:t>
      </w:r>
      <w:proofErr w:type="spellEnd"/>
      <w:r w:rsidRPr="008401AD">
        <w:rPr>
          <w:szCs w:val="24"/>
          <w:lang w:val="en-GB"/>
        </w:rPr>
        <w:t xml:space="preserve">) (2015), </w:t>
      </w:r>
      <w:r w:rsidRPr="008401AD">
        <w:rPr>
          <w:i/>
          <w:szCs w:val="24"/>
          <w:lang w:val="en-GB"/>
        </w:rPr>
        <w:t>European Cinema and Television: Cultural Policy and Everyday Life</w:t>
      </w:r>
      <w:r w:rsidRPr="008401AD">
        <w:rPr>
          <w:szCs w:val="24"/>
          <w:lang w:val="en-GB"/>
        </w:rPr>
        <w:t xml:space="preserve">, Basingstoke: AIAA/Palgrave. </w:t>
      </w:r>
    </w:p>
    <w:p w14:paraId="6616B5C9" w14:textId="6E37687D" w:rsidR="00552D85" w:rsidRPr="008401AD" w:rsidRDefault="00552D85" w:rsidP="00552D85">
      <w:pPr>
        <w:rPr>
          <w:szCs w:val="24"/>
          <w:lang w:val="en-GB"/>
        </w:rPr>
      </w:pPr>
      <w:proofErr w:type="spellStart"/>
      <w:r w:rsidRPr="008401AD">
        <w:rPr>
          <w:szCs w:val="24"/>
          <w:lang w:val="en-GB"/>
        </w:rPr>
        <w:t>Bordwell</w:t>
      </w:r>
      <w:proofErr w:type="spellEnd"/>
      <w:r w:rsidRPr="008401AD">
        <w:rPr>
          <w:szCs w:val="24"/>
          <w:lang w:val="en-GB"/>
        </w:rPr>
        <w:t xml:space="preserve">, David, </w:t>
      </w:r>
      <w:proofErr w:type="spellStart"/>
      <w:r w:rsidRPr="008401AD">
        <w:rPr>
          <w:szCs w:val="24"/>
          <w:lang w:val="en-GB"/>
        </w:rPr>
        <w:t>Staiger</w:t>
      </w:r>
      <w:proofErr w:type="spellEnd"/>
      <w:r w:rsidR="000163B2" w:rsidRPr="008401AD">
        <w:rPr>
          <w:szCs w:val="24"/>
          <w:lang w:val="en-GB"/>
        </w:rPr>
        <w:t>, Janet</w:t>
      </w:r>
      <w:r w:rsidRPr="008401AD">
        <w:rPr>
          <w:szCs w:val="24"/>
          <w:lang w:val="en-GB"/>
        </w:rPr>
        <w:t xml:space="preserve"> and Thompson</w:t>
      </w:r>
      <w:r w:rsidR="000163B2" w:rsidRPr="008401AD">
        <w:rPr>
          <w:szCs w:val="24"/>
          <w:lang w:val="en-GB"/>
        </w:rPr>
        <w:t>, Kristin</w:t>
      </w:r>
      <w:r w:rsidRPr="008401AD">
        <w:rPr>
          <w:szCs w:val="24"/>
          <w:lang w:val="en-GB"/>
        </w:rPr>
        <w:t xml:space="preserve"> (1985), </w:t>
      </w:r>
      <w:r w:rsidRPr="008401AD">
        <w:rPr>
          <w:i/>
          <w:szCs w:val="24"/>
          <w:lang w:val="en-GB"/>
        </w:rPr>
        <w:t xml:space="preserve">The Classical Hollywood Cinema: Film Style &amp; Mode of Production to 1960, </w:t>
      </w:r>
      <w:r w:rsidRPr="008401AD">
        <w:rPr>
          <w:szCs w:val="24"/>
          <w:lang w:val="en-GB"/>
        </w:rPr>
        <w:t>New York: Columbia University Press.</w:t>
      </w:r>
    </w:p>
    <w:p w14:paraId="1048DEBA" w14:textId="30695CA7" w:rsidR="00552D85" w:rsidRPr="008401AD" w:rsidRDefault="00552D85" w:rsidP="00552D85">
      <w:pPr>
        <w:rPr>
          <w:szCs w:val="24"/>
          <w:lang w:val="en-GB"/>
        </w:rPr>
      </w:pPr>
      <w:r w:rsidRPr="008401AD">
        <w:rPr>
          <w:szCs w:val="24"/>
          <w:lang w:val="en-GB"/>
        </w:rPr>
        <w:t xml:space="preserve">Born, Georgina (2000), ‘Inside </w:t>
      </w:r>
      <w:r w:rsidR="009E481C" w:rsidRPr="008401AD">
        <w:rPr>
          <w:szCs w:val="24"/>
          <w:lang w:val="en-GB"/>
        </w:rPr>
        <w:t>television</w:t>
      </w:r>
      <w:r w:rsidRPr="008401AD">
        <w:rPr>
          <w:szCs w:val="24"/>
          <w:lang w:val="en-GB"/>
        </w:rPr>
        <w:t xml:space="preserve">: Television </w:t>
      </w:r>
      <w:r w:rsidR="009E481C" w:rsidRPr="008401AD">
        <w:rPr>
          <w:szCs w:val="24"/>
          <w:lang w:val="en-GB"/>
        </w:rPr>
        <w:t xml:space="preserve">studies </w:t>
      </w:r>
      <w:r w:rsidRPr="008401AD">
        <w:rPr>
          <w:szCs w:val="24"/>
          <w:lang w:val="en-GB"/>
        </w:rPr>
        <w:t xml:space="preserve">and the </w:t>
      </w:r>
      <w:r w:rsidR="009E481C" w:rsidRPr="008401AD">
        <w:rPr>
          <w:szCs w:val="24"/>
          <w:lang w:val="en-GB"/>
        </w:rPr>
        <w:t xml:space="preserve">sociology </w:t>
      </w:r>
      <w:r w:rsidRPr="008401AD">
        <w:rPr>
          <w:szCs w:val="24"/>
          <w:lang w:val="en-GB"/>
        </w:rPr>
        <w:t xml:space="preserve">of </w:t>
      </w:r>
      <w:r w:rsidR="009E481C" w:rsidRPr="008401AD">
        <w:rPr>
          <w:szCs w:val="24"/>
          <w:lang w:val="en-GB"/>
        </w:rPr>
        <w:t>culture’</w:t>
      </w:r>
      <w:r w:rsidRPr="008401AD">
        <w:rPr>
          <w:szCs w:val="24"/>
          <w:lang w:val="en-GB"/>
        </w:rPr>
        <w:t xml:space="preserve">, </w:t>
      </w:r>
      <w:r w:rsidRPr="008401AD">
        <w:rPr>
          <w:i/>
          <w:szCs w:val="24"/>
          <w:lang w:val="en-GB"/>
        </w:rPr>
        <w:t>Screen</w:t>
      </w:r>
      <w:r w:rsidRPr="008401AD">
        <w:rPr>
          <w:szCs w:val="24"/>
          <w:lang w:val="en-GB"/>
        </w:rPr>
        <w:t>, 41:4</w:t>
      </w:r>
      <w:r w:rsidR="0035235E">
        <w:rPr>
          <w:szCs w:val="24"/>
          <w:lang w:val="en-GB"/>
        </w:rPr>
        <w:t xml:space="preserve">, winter, </w:t>
      </w:r>
      <w:r w:rsidRPr="008401AD">
        <w:rPr>
          <w:szCs w:val="24"/>
          <w:lang w:val="en-GB"/>
        </w:rPr>
        <w:t>pp. 404</w:t>
      </w:r>
      <w:r w:rsidR="009E481C" w:rsidRPr="008401AD">
        <w:rPr>
          <w:szCs w:val="24"/>
          <w:lang w:val="en-GB"/>
        </w:rPr>
        <w:sym w:font="Symbol" w:char="F02D"/>
      </w:r>
      <w:r w:rsidRPr="008401AD">
        <w:rPr>
          <w:szCs w:val="24"/>
          <w:lang w:val="en-GB"/>
        </w:rPr>
        <w:t xml:space="preserve">24. </w:t>
      </w:r>
    </w:p>
    <w:p w14:paraId="56953EF7" w14:textId="77777777" w:rsidR="00552D85" w:rsidRPr="008401AD" w:rsidRDefault="00552D85" w:rsidP="00552D85">
      <w:pPr>
        <w:rPr>
          <w:szCs w:val="24"/>
          <w:lang w:val="en-GB"/>
        </w:rPr>
      </w:pPr>
      <w:r w:rsidRPr="008401AD">
        <w:rPr>
          <w:szCs w:val="24"/>
          <w:lang w:val="en-GB"/>
        </w:rPr>
        <w:t xml:space="preserve">Born, Georgina (2004), </w:t>
      </w:r>
      <w:r w:rsidRPr="008401AD">
        <w:rPr>
          <w:i/>
          <w:szCs w:val="24"/>
          <w:lang w:val="en-GB"/>
        </w:rPr>
        <w:t xml:space="preserve">Uncertain Vision: </w:t>
      </w:r>
      <w:proofErr w:type="spellStart"/>
      <w:r w:rsidRPr="008401AD">
        <w:rPr>
          <w:i/>
          <w:szCs w:val="24"/>
          <w:lang w:val="en-GB"/>
        </w:rPr>
        <w:t>Birt</w:t>
      </w:r>
      <w:proofErr w:type="spellEnd"/>
      <w:r w:rsidRPr="008401AD">
        <w:rPr>
          <w:i/>
          <w:szCs w:val="24"/>
          <w:lang w:val="en-GB"/>
        </w:rPr>
        <w:t>, Dyke and the Reinvention of the BBC</w:t>
      </w:r>
      <w:r w:rsidRPr="008401AD">
        <w:rPr>
          <w:szCs w:val="24"/>
          <w:lang w:val="en-GB"/>
        </w:rPr>
        <w:t xml:space="preserve">, London: Secker &amp; Warburg. </w:t>
      </w:r>
    </w:p>
    <w:p w14:paraId="369D68D1" w14:textId="01E17D30" w:rsidR="00552D85" w:rsidRPr="008401AD" w:rsidRDefault="00552D85" w:rsidP="00552D85">
      <w:pPr>
        <w:rPr>
          <w:szCs w:val="24"/>
          <w:lang w:val="en-GB"/>
        </w:rPr>
      </w:pPr>
      <w:proofErr w:type="spellStart"/>
      <w:r w:rsidRPr="008401AD">
        <w:rPr>
          <w:szCs w:val="24"/>
          <w:lang w:val="en-GB"/>
        </w:rPr>
        <w:t>Bruun</w:t>
      </w:r>
      <w:proofErr w:type="spellEnd"/>
      <w:r w:rsidRPr="008401AD">
        <w:rPr>
          <w:szCs w:val="24"/>
          <w:lang w:val="en-GB"/>
        </w:rPr>
        <w:t xml:space="preserve">, Hanna (2015), ‘The </w:t>
      </w:r>
      <w:r w:rsidR="00A207EE" w:rsidRPr="008401AD">
        <w:rPr>
          <w:szCs w:val="24"/>
          <w:lang w:val="en-GB"/>
        </w:rPr>
        <w:t xml:space="preserve">qualitative interview </w:t>
      </w:r>
      <w:r w:rsidRPr="008401AD">
        <w:rPr>
          <w:szCs w:val="24"/>
          <w:lang w:val="en-GB"/>
        </w:rPr>
        <w:t xml:space="preserve">in </w:t>
      </w:r>
      <w:r w:rsidR="00A207EE" w:rsidRPr="008401AD">
        <w:rPr>
          <w:szCs w:val="24"/>
          <w:lang w:val="en-GB"/>
        </w:rPr>
        <w:t>media production studies’</w:t>
      </w:r>
      <w:r w:rsidRPr="008401AD">
        <w:rPr>
          <w:szCs w:val="24"/>
          <w:lang w:val="en-GB"/>
        </w:rPr>
        <w:t xml:space="preserve">, in </w:t>
      </w:r>
      <w:r w:rsidR="00A207EE" w:rsidRPr="008401AD">
        <w:rPr>
          <w:szCs w:val="24"/>
          <w:lang w:val="en-GB"/>
        </w:rPr>
        <w:t xml:space="preserve">C. </w:t>
      </w:r>
      <w:r w:rsidRPr="008401AD">
        <w:rPr>
          <w:szCs w:val="24"/>
          <w:lang w:val="en-GB"/>
        </w:rPr>
        <w:t xml:space="preserve">Paterson, </w:t>
      </w:r>
      <w:r w:rsidR="00A207EE" w:rsidRPr="008401AD">
        <w:rPr>
          <w:szCs w:val="24"/>
          <w:lang w:val="en-GB"/>
        </w:rPr>
        <w:t xml:space="preserve">D. </w:t>
      </w:r>
      <w:r w:rsidRPr="008401AD">
        <w:rPr>
          <w:szCs w:val="24"/>
          <w:lang w:val="en-GB"/>
        </w:rPr>
        <w:t xml:space="preserve">Lee, </w:t>
      </w:r>
      <w:r w:rsidR="00A207EE" w:rsidRPr="008401AD">
        <w:rPr>
          <w:szCs w:val="24"/>
          <w:lang w:val="en-GB"/>
        </w:rPr>
        <w:t xml:space="preserve">A. </w:t>
      </w:r>
      <w:proofErr w:type="spellStart"/>
      <w:r w:rsidRPr="008401AD">
        <w:rPr>
          <w:szCs w:val="24"/>
          <w:lang w:val="en-GB"/>
        </w:rPr>
        <w:t>Saha</w:t>
      </w:r>
      <w:proofErr w:type="spellEnd"/>
      <w:r w:rsidRPr="008401AD">
        <w:rPr>
          <w:szCs w:val="24"/>
          <w:lang w:val="en-GB"/>
        </w:rPr>
        <w:t xml:space="preserve"> and </w:t>
      </w:r>
      <w:r w:rsidR="00A207EE" w:rsidRPr="008401AD">
        <w:rPr>
          <w:szCs w:val="24"/>
          <w:lang w:val="en-GB"/>
        </w:rPr>
        <w:t xml:space="preserve">A. </w:t>
      </w:r>
      <w:proofErr w:type="spellStart"/>
      <w:r w:rsidRPr="008401AD">
        <w:rPr>
          <w:szCs w:val="24"/>
          <w:lang w:val="en-GB"/>
        </w:rPr>
        <w:t>Zoellner</w:t>
      </w:r>
      <w:proofErr w:type="spellEnd"/>
      <w:r w:rsidRPr="008401AD">
        <w:rPr>
          <w:szCs w:val="24"/>
          <w:lang w:val="en-GB"/>
        </w:rPr>
        <w:t xml:space="preserve"> (</w:t>
      </w:r>
      <w:proofErr w:type="spellStart"/>
      <w:r w:rsidRPr="008401AD">
        <w:rPr>
          <w:szCs w:val="24"/>
          <w:lang w:val="en-GB"/>
        </w:rPr>
        <w:t>eds</w:t>
      </w:r>
      <w:proofErr w:type="spellEnd"/>
      <w:r w:rsidRPr="008401AD">
        <w:rPr>
          <w:szCs w:val="24"/>
          <w:lang w:val="en-GB"/>
        </w:rPr>
        <w:t>)</w:t>
      </w:r>
      <w:r w:rsidR="00A207EE" w:rsidRPr="008401AD">
        <w:rPr>
          <w:szCs w:val="24"/>
          <w:lang w:val="en-GB"/>
        </w:rPr>
        <w:t xml:space="preserve">, </w:t>
      </w:r>
      <w:r w:rsidRPr="008401AD">
        <w:rPr>
          <w:i/>
          <w:szCs w:val="24"/>
          <w:lang w:val="en-GB"/>
        </w:rPr>
        <w:t>Advancing Media Production Research: Shifting Sites, Methods, and Politics</w:t>
      </w:r>
      <w:r w:rsidRPr="008401AD">
        <w:rPr>
          <w:szCs w:val="24"/>
          <w:lang w:val="en-GB"/>
        </w:rPr>
        <w:t>, Basingstoke: AIAA/Macmillan, pp. 131</w:t>
      </w:r>
      <w:r w:rsidR="00A207EE" w:rsidRPr="008401AD">
        <w:rPr>
          <w:szCs w:val="24"/>
          <w:lang w:val="en-GB"/>
        </w:rPr>
        <w:sym w:font="Symbol" w:char="F02D"/>
      </w:r>
      <w:r w:rsidRPr="008401AD">
        <w:rPr>
          <w:szCs w:val="24"/>
          <w:lang w:val="en-GB"/>
        </w:rPr>
        <w:t>46.</w:t>
      </w:r>
    </w:p>
    <w:p w14:paraId="4FCAE0A8" w14:textId="428C4C91" w:rsidR="00552D85" w:rsidRPr="008401AD" w:rsidRDefault="00552D85" w:rsidP="00552D85">
      <w:pPr>
        <w:rPr>
          <w:szCs w:val="24"/>
          <w:lang w:val="en-GB"/>
        </w:rPr>
      </w:pPr>
      <w:r w:rsidRPr="008401AD">
        <w:rPr>
          <w:szCs w:val="24"/>
          <w:lang w:val="en-GB"/>
        </w:rPr>
        <w:t xml:space="preserve">Caldwell, John T. (2008), </w:t>
      </w:r>
      <w:r w:rsidRPr="008401AD">
        <w:rPr>
          <w:i/>
          <w:szCs w:val="24"/>
          <w:lang w:val="en-GB"/>
        </w:rPr>
        <w:t>Production Culture: Industrial Reflexivity and Critical Practice in Film and Television</w:t>
      </w:r>
      <w:r w:rsidRPr="008401AD">
        <w:rPr>
          <w:szCs w:val="24"/>
          <w:lang w:val="en-GB"/>
        </w:rPr>
        <w:t xml:space="preserve">, Durham and London: Duke University Press. </w:t>
      </w:r>
    </w:p>
    <w:p w14:paraId="351978DB" w14:textId="77777777" w:rsidR="00552D85" w:rsidRPr="008401AD" w:rsidRDefault="00552D85" w:rsidP="00552D85">
      <w:pPr>
        <w:rPr>
          <w:szCs w:val="24"/>
          <w:lang w:val="en-GB"/>
        </w:rPr>
      </w:pPr>
      <w:r w:rsidRPr="008401AD">
        <w:rPr>
          <w:szCs w:val="24"/>
          <w:lang w:val="en-GB"/>
        </w:rPr>
        <w:t xml:space="preserve">Caves, Richard E. (2000), </w:t>
      </w:r>
      <w:r w:rsidRPr="008401AD">
        <w:rPr>
          <w:i/>
          <w:szCs w:val="24"/>
          <w:lang w:val="en-GB"/>
        </w:rPr>
        <w:t>Creative Industries: Contracts between Art and Commerce</w:t>
      </w:r>
      <w:r w:rsidRPr="008401AD">
        <w:rPr>
          <w:szCs w:val="24"/>
          <w:lang w:val="en-GB"/>
        </w:rPr>
        <w:t>, Cambridge MA: Harvard University Press.</w:t>
      </w:r>
    </w:p>
    <w:p w14:paraId="2D3E2BA6" w14:textId="77777777" w:rsidR="00552D85" w:rsidRPr="001E2D3F" w:rsidRDefault="00552D85" w:rsidP="00552D85">
      <w:pPr>
        <w:rPr>
          <w:szCs w:val="24"/>
          <w:highlight w:val="yellow"/>
          <w:lang w:val="en-GB"/>
        </w:rPr>
      </w:pPr>
      <w:proofErr w:type="spellStart"/>
      <w:r w:rsidRPr="008401AD">
        <w:rPr>
          <w:szCs w:val="24"/>
          <w:lang w:val="en-GB"/>
        </w:rPr>
        <w:t>Chalaby</w:t>
      </w:r>
      <w:proofErr w:type="spellEnd"/>
      <w:r w:rsidRPr="008401AD">
        <w:rPr>
          <w:szCs w:val="24"/>
          <w:lang w:val="en-GB"/>
        </w:rPr>
        <w:t xml:space="preserve">, John K. (2016), </w:t>
      </w:r>
      <w:r w:rsidRPr="008401AD">
        <w:rPr>
          <w:i/>
          <w:szCs w:val="24"/>
          <w:lang w:val="en-GB"/>
        </w:rPr>
        <w:t>The Format Age: Television’s Entertainment Revolution</w:t>
      </w:r>
      <w:r w:rsidRPr="008401AD">
        <w:rPr>
          <w:szCs w:val="24"/>
          <w:lang w:val="en-GB"/>
        </w:rPr>
        <w:t>, Cambridge: Polity Press.</w:t>
      </w:r>
    </w:p>
    <w:p w14:paraId="451D3AB9" w14:textId="3ED76892" w:rsidR="00552D85" w:rsidRPr="008401AD" w:rsidRDefault="00552D85" w:rsidP="00552D85">
      <w:pPr>
        <w:rPr>
          <w:szCs w:val="24"/>
          <w:lang w:val="en-GB"/>
        </w:rPr>
      </w:pPr>
      <w:r w:rsidRPr="008401AD">
        <w:rPr>
          <w:szCs w:val="24"/>
          <w:lang w:val="en-GB"/>
        </w:rPr>
        <w:t>Chan, Joseph M. (2005)</w:t>
      </w:r>
      <w:r w:rsidR="008A3BC1" w:rsidRPr="008401AD">
        <w:rPr>
          <w:szCs w:val="24"/>
          <w:lang w:val="en-GB"/>
        </w:rPr>
        <w:t>,</w:t>
      </w:r>
      <w:r w:rsidRPr="008401AD">
        <w:rPr>
          <w:szCs w:val="24"/>
          <w:lang w:val="en-GB"/>
        </w:rPr>
        <w:t xml:space="preserve"> ‘Global </w:t>
      </w:r>
      <w:r w:rsidR="008A3BC1" w:rsidRPr="008401AD">
        <w:rPr>
          <w:szCs w:val="24"/>
          <w:lang w:val="en-GB"/>
        </w:rPr>
        <w:t xml:space="preserve">media </w:t>
      </w:r>
      <w:r w:rsidRPr="008401AD">
        <w:rPr>
          <w:szCs w:val="24"/>
          <w:lang w:val="en-GB"/>
        </w:rPr>
        <w:t xml:space="preserve">and the </w:t>
      </w:r>
      <w:r w:rsidR="008A3BC1" w:rsidRPr="008401AD">
        <w:rPr>
          <w:szCs w:val="24"/>
          <w:lang w:val="en-GB"/>
        </w:rPr>
        <w:t xml:space="preserve">dialectics </w:t>
      </w:r>
      <w:r w:rsidRPr="008401AD">
        <w:rPr>
          <w:szCs w:val="24"/>
          <w:lang w:val="en-GB"/>
        </w:rPr>
        <w:t xml:space="preserve">of the </w:t>
      </w:r>
      <w:r w:rsidR="008A3BC1" w:rsidRPr="008401AD">
        <w:rPr>
          <w:szCs w:val="24"/>
          <w:lang w:val="en-GB"/>
        </w:rPr>
        <w:t>global’</w:t>
      </w:r>
      <w:r w:rsidRPr="008401AD">
        <w:rPr>
          <w:szCs w:val="24"/>
          <w:lang w:val="en-GB"/>
        </w:rPr>
        <w:t xml:space="preserve">, </w:t>
      </w:r>
      <w:r w:rsidRPr="008401AD">
        <w:rPr>
          <w:i/>
          <w:iCs/>
          <w:szCs w:val="24"/>
          <w:lang w:val="en-GB"/>
        </w:rPr>
        <w:t>Global Media and Communication</w:t>
      </w:r>
      <w:r w:rsidRPr="008401AD">
        <w:rPr>
          <w:szCs w:val="24"/>
          <w:lang w:val="en-GB"/>
        </w:rPr>
        <w:t>, 1:24, pp. 24</w:t>
      </w:r>
      <w:r w:rsidR="008A3BC1" w:rsidRPr="008401AD">
        <w:rPr>
          <w:szCs w:val="24"/>
          <w:lang w:val="en-GB"/>
        </w:rPr>
        <w:sym w:font="Symbol" w:char="F02D"/>
      </w:r>
      <w:r w:rsidRPr="008401AD">
        <w:rPr>
          <w:szCs w:val="24"/>
          <w:lang w:val="en-GB"/>
        </w:rPr>
        <w:t xml:space="preserve">27. </w:t>
      </w:r>
    </w:p>
    <w:p w14:paraId="0D62A69F" w14:textId="6A1CD682" w:rsidR="00552D85" w:rsidRPr="008401AD" w:rsidRDefault="00552D85" w:rsidP="00552D85">
      <w:pPr>
        <w:rPr>
          <w:szCs w:val="24"/>
          <w:lang w:val="en-GB"/>
        </w:rPr>
      </w:pPr>
      <w:r w:rsidRPr="008401AD">
        <w:rPr>
          <w:szCs w:val="24"/>
          <w:lang w:val="en-GB"/>
        </w:rPr>
        <w:t xml:space="preserve">Cornea, Christine (2008), ‘In </w:t>
      </w:r>
      <w:r w:rsidR="00DB457B" w:rsidRPr="008401AD">
        <w:rPr>
          <w:szCs w:val="24"/>
          <w:lang w:val="en-GB"/>
        </w:rPr>
        <w:t>focus</w:t>
      </w:r>
      <w:r w:rsidRPr="008401AD">
        <w:rPr>
          <w:szCs w:val="24"/>
          <w:lang w:val="en-GB"/>
        </w:rPr>
        <w:t xml:space="preserve">: The </w:t>
      </w:r>
      <w:r w:rsidR="00DB457B" w:rsidRPr="008401AD">
        <w:rPr>
          <w:szCs w:val="24"/>
          <w:lang w:val="en-GB"/>
        </w:rPr>
        <w:t>practitioner interview’</w:t>
      </w:r>
      <w:r w:rsidRPr="008401AD">
        <w:rPr>
          <w:szCs w:val="24"/>
          <w:lang w:val="en-GB"/>
        </w:rPr>
        <w:t xml:space="preserve">, </w:t>
      </w:r>
      <w:r w:rsidRPr="008401AD">
        <w:rPr>
          <w:i/>
          <w:szCs w:val="24"/>
          <w:lang w:val="en-GB"/>
        </w:rPr>
        <w:t>Cinema Journal</w:t>
      </w:r>
      <w:r w:rsidRPr="008401AD">
        <w:rPr>
          <w:szCs w:val="24"/>
          <w:lang w:val="en-GB"/>
        </w:rPr>
        <w:t>, 47:2</w:t>
      </w:r>
      <w:r w:rsidR="00430525">
        <w:rPr>
          <w:szCs w:val="24"/>
          <w:lang w:val="en-GB"/>
        </w:rPr>
        <w:t xml:space="preserve">, winter, </w:t>
      </w:r>
      <w:r w:rsidRPr="008401AD">
        <w:rPr>
          <w:szCs w:val="24"/>
          <w:lang w:val="en-GB"/>
        </w:rPr>
        <w:t>pp. 117</w:t>
      </w:r>
      <w:r w:rsidR="00DB457B" w:rsidRPr="008401AD">
        <w:rPr>
          <w:szCs w:val="24"/>
          <w:lang w:val="en-GB"/>
        </w:rPr>
        <w:sym w:font="Symbol" w:char="F02D"/>
      </w:r>
      <w:r w:rsidRPr="008401AD">
        <w:rPr>
          <w:szCs w:val="24"/>
          <w:lang w:val="en-GB"/>
        </w:rPr>
        <w:t>23.</w:t>
      </w:r>
    </w:p>
    <w:p w14:paraId="1C9EEC51" w14:textId="06496E98" w:rsidR="00552D85" w:rsidRPr="008401AD" w:rsidRDefault="00552D85" w:rsidP="00552D85">
      <w:pPr>
        <w:rPr>
          <w:szCs w:val="24"/>
          <w:lang w:val="en-GB"/>
        </w:rPr>
      </w:pPr>
      <w:proofErr w:type="spellStart"/>
      <w:r w:rsidRPr="008401AD">
        <w:rPr>
          <w:szCs w:val="24"/>
          <w:lang w:val="en-GB"/>
        </w:rPr>
        <w:t>Cottle</w:t>
      </w:r>
      <w:proofErr w:type="spellEnd"/>
      <w:r w:rsidRPr="008401AD">
        <w:rPr>
          <w:szCs w:val="24"/>
          <w:lang w:val="en-GB"/>
        </w:rPr>
        <w:t xml:space="preserve">, Simon (2003), ‘Media </w:t>
      </w:r>
      <w:r w:rsidR="00B94748" w:rsidRPr="008401AD">
        <w:rPr>
          <w:szCs w:val="24"/>
          <w:lang w:val="en-GB"/>
        </w:rPr>
        <w:t xml:space="preserve">organisation </w:t>
      </w:r>
      <w:r w:rsidRPr="008401AD">
        <w:rPr>
          <w:szCs w:val="24"/>
          <w:lang w:val="en-GB"/>
        </w:rPr>
        <w:t xml:space="preserve">and </w:t>
      </w:r>
      <w:r w:rsidR="00B94748" w:rsidRPr="008401AD">
        <w:rPr>
          <w:szCs w:val="24"/>
          <w:lang w:val="en-GB"/>
        </w:rPr>
        <w:t>production</w:t>
      </w:r>
      <w:r w:rsidRPr="008401AD">
        <w:rPr>
          <w:szCs w:val="24"/>
          <w:lang w:val="en-GB"/>
        </w:rPr>
        <w:t xml:space="preserve">: Mapping the </w:t>
      </w:r>
      <w:r w:rsidR="00B94748" w:rsidRPr="008401AD">
        <w:rPr>
          <w:szCs w:val="24"/>
          <w:lang w:val="en-GB"/>
        </w:rPr>
        <w:t>field’</w:t>
      </w:r>
      <w:r w:rsidRPr="008401AD">
        <w:rPr>
          <w:szCs w:val="24"/>
          <w:lang w:val="en-GB"/>
        </w:rPr>
        <w:t xml:space="preserve">, in </w:t>
      </w:r>
      <w:r w:rsidR="00B94748" w:rsidRPr="008401AD">
        <w:rPr>
          <w:szCs w:val="24"/>
          <w:lang w:val="en-GB"/>
        </w:rPr>
        <w:t xml:space="preserve">S. </w:t>
      </w:r>
      <w:proofErr w:type="spellStart"/>
      <w:r w:rsidRPr="008401AD">
        <w:rPr>
          <w:szCs w:val="24"/>
          <w:lang w:val="en-GB"/>
        </w:rPr>
        <w:t>Cottle</w:t>
      </w:r>
      <w:proofErr w:type="spellEnd"/>
      <w:r w:rsidRPr="008401AD">
        <w:rPr>
          <w:szCs w:val="24"/>
          <w:lang w:val="en-GB"/>
        </w:rPr>
        <w:t xml:space="preserve"> (ed.), </w:t>
      </w:r>
      <w:r w:rsidRPr="008401AD">
        <w:rPr>
          <w:i/>
          <w:szCs w:val="24"/>
          <w:lang w:val="en-GB"/>
        </w:rPr>
        <w:t>Media Organisation and Production</w:t>
      </w:r>
      <w:r w:rsidRPr="008401AD">
        <w:rPr>
          <w:szCs w:val="24"/>
          <w:lang w:val="en-GB"/>
        </w:rPr>
        <w:t>, London: Sage</w:t>
      </w:r>
      <w:r w:rsidR="00B0276A">
        <w:rPr>
          <w:szCs w:val="24"/>
          <w:lang w:val="en-GB"/>
        </w:rPr>
        <w:t>, pp. 3-24.</w:t>
      </w:r>
    </w:p>
    <w:p w14:paraId="17DCAF01" w14:textId="08955642" w:rsidR="00552D85" w:rsidRPr="008401AD" w:rsidRDefault="00552D85" w:rsidP="00552D85">
      <w:pPr>
        <w:rPr>
          <w:szCs w:val="24"/>
          <w:lang w:val="en-GB"/>
        </w:rPr>
      </w:pPr>
      <w:r w:rsidRPr="008401AD">
        <w:rPr>
          <w:szCs w:val="24"/>
          <w:lang w:val="en-GB"/>
        </w:rPr>
        <w:t xml:space="preserve">Curran, James (2011), </w:t>
      </w:r>
      <w:r w:rsidRPr="008401AD">
        <w:rPr>
          <w:i/>
          <w:szCs w:val="24"/>
          <w:lang w:val="en-GB"/>
        </w:rPr>
        <w:t>Media and Democracy</w:t>
      </w:r>
      <w:r w:rsidRPr="008401AD">
        <w:rPr>
          <w:szCs w:val="24"/>
          <w:lang w:val="en-GB"/>
        </w:rPr>
        <w:t xml:space="preserve">, London: Routledge. </w:t>
      </w:r>
    </w:p>
    <w:p w14:paraId="08326919" w14:textId="641ACEEF" w:rsidR="00552D85" w:rsidRPr="008401AD" w:rsidRDefault="00552D85" w:rsidP="00552D85">
      <w:pPr>
        <w:rPr>
          <w:szCs w:val="24"/>
          <w:lang w:val="en-GB"/>
        </w:rPr>
      </w:pPr>
      <w:r w:rsidRPr="008401AD">
        <w:rPr>
          <w:szCs w:val="24"/>
          <w:lang w:val="en-GB"/>
        </w:rPr>
        <w:t xml:space="preserve">Dal </w:t>
      </w:r>
      <w:proofErr w:type="spellStart"/>
      <w:r w:rsidRPr="008401AD">
        <w:rPr>
          <w:szCs w:val="24"/>
          <w:lang w:val="en-GB"/>
        </w:rPr>
        <w:t>Zotto</w:t>
      </w:r>
      <w:proofErr w:type="spellEnd"/>
      <w:r w:rsidRPr="008401AD">
        <w:rPr>
          <w:szCs w:val="24"/>
          <w:lang w:val="en-GB"/>
        </w:rPr>
        <w:t xml:space="preserve">, </w:t>
      </w:r>
      <w:proofErr w:type="spellStart"/>
      <w:r w:rsidRPr="008401AD">
        <w:rPr>
          <w:szCs w:val="24"/>
          <w:lang w:val="en-GB"/>
        </w:rPr>
        <w:t>Cinzia</w:t>
      </w:r>
      <w:proofErr w:type="spellEnd"/>
      <w:r w:rsidRPr="008401AD">
        <w:rPr>
          <w:szCs w:val="24"/>
          <w:lang w:val="en-GB"/>
        </w:rPr>
        <w:t xml:space="preserve"> and </w:t>
      </w:r>
      <w:r w:rsidR="007D140C" w:rsidRPr="008401AD">
        <w:rPr>
          <w:szCs w:val="24"/>
          <w:lang w:val="en-GB"/>
        </w:rPr>
        <w:t xml:space="preserve">Von </w:t>
      </w:r>
      <w:proofErr w:type="spellStart"/>
      <w:r w:rsidR="007D140C" w:rsidRPr="008401AD">
        <w:rPr>
          <w:szCs w:val="24"/>
          <w:lang w:val="en-GB"/>
        </w:rPr>
        <w:t>Kranenburg</w:t>
      </w:r>
      <w:proofErr w:type="spellEnd"/>
      <w:r w:rsidR="007D140C" w:rsidRPr="008401AD">
        <w:rPr>
          <w:szCs w:val="24"/>
          <w:lang w:val="en-GB"/>
        </w:rPr>
        <w:t xml:space="preserve">, </w:t>
      </w:r>
      <w:r w:rsidRPr="008401AD">
        <w:rPr>
          <w:szCs w:val="24"/>
          <w:lang w:val="en-GB"/>
        </w:rPr>
        <w:t>Hans (</w:t>
      </w:r>
      <w:proofErr w:type="spellStart"/>
      <w:r w:rsidRPr="008401AD">
        <w:rPr>
          <w:szCs w:val="24"/>
          <w:lang w:val="en-GB"/>
        </w:rPr>
        <w:t>eds</w:t>
      </w:r>
      <w:proofErr w:type="spellEnd"/>
      <w:r w:rsidRPr="008401AD">
        <w:rPr>
          <w:szCs w:val="24"/>
          <w:lang w:val="en-GB"/>
        </w:rPr>
        <w:t xml:space="preserve">) (2008), </w:t>
      </w:r>
      <w:r w:rsidRPr="008401AD">
        <w:rPr>
          <w:i/>
          <w:szCs w:val="24"/>
          <w:lang w:val="en-GB"/>
        </w:rPr>
        <w:t>Management and Innovation in the Media Industry</w:t>
      </w:r>
      <w:r w:rsidRPr="008401AD">
        <w:rPr>
          <w:szCs w:val="24"/>
          <w:lang w:val="en-GB"/>
        </w:rPr>
        <w:t xml:space="preserve">, Cheltenham: Edward Elgar. </w:t>
      </w:r>
    </w:p>
    <w:p w14:paraId="10F68C3F" w14:textId="73818010" w:rsidR="00552D85" w:rsidRPr="008401AD" w:rsidRDefault="00552D85" w:rsidP="00552D85">
      <w:pPr>
        <w:rPr>
          <w:szCs w:val="24"/>
          <w:lang w:val="en-GB"/>
        </w:rPr>
      </w:pPr>
      <w:proofErr w:type="spellStart"/>
      <w:r w:rsidRPr="008401AD">
        <w:rPr>
          <w:szCs w:val="24"/>
          <w:lang w:val="en-GB"/>
        </w:rPr>
        <w:t>Dangcil</w:t>
      </w:r>
      <w:proofErr w:type="spellEnd"/>
      <w:r w:rsidRPr="008401AD">
        <w:rPr>
          <w:szCs w:val="24"/>
          <w:lang w:val="en-GB"/>
        </w:rPr>
        <w:t>, Tommy (2007)</w:t>
      </w:r>
      <w:r w:rsidR="007D140C" w:rsidRPr="008401AD">
        <w:rPr>
          <w:szCs w:val="24"/>
          <w:lang w:val="en-GB"/>
        </w:rPr>
        <w:t>,</w:t>
      </w:r>
      <w:r w:rsidRPr="008401AD">
        <w:rPr>
          <w:szCs w:val="24"/>
          <w:lang w:val="en-GB"/>
        </w:rPr>
        <w:t xml:space="preserve"> </w:t>
      </w:r>
      <w:r w:rsidRPr="008401AD">
        <w:rPr>
          <w:i/>
          <w:szCs w:val="24"/>
          <w:lang w:val="en-GB"/>
        </w:rPr>
        <w:t>Hollywood Studios</w:t>
      </w:r>
      <w:r w:rsidRPr="008401AD">
        <w:rPr>
          <w:szCs w:val="24"/>
          <w:lang w:val="en-GB"/>
        </w:rPr>
        <w:t>, San Francisco: Arcadia Publishing.</w:t>
      </w:r>
    </w:p>
    <w:p w14:paraId="5D6F0E26" w14:textId="4A1ACC77" w:rsidR="00552D85" w:rsidRPr="008401AD" w:rsidRDefault="00552D85" w:rsidP="00552D85">
      <w:pPr>
        <w:rPr>
          <w:szCs w:val="24"/>
          <w:lang w:val="en-GB"/>
        </w:rPr>
      </w:pPr>
      <w:r w:rsidRPr="008401AD">
        <w:rPr>
          <w:szCs w:val="24"/>
          <w:lang w:val="en-GB"/>
        </w:rPr>
        <w:t xml:space="preserve">Davies, </w:t>
      </w:r>
      <w:proofErr w:type="spellStart"/>
      <w:r w:rsidRPr="008401AD">
        <w:rPr>
          <w:szCs w:val="24"/>
          <w:lang w:val="en-GB"/>
        </w:rPr>
        <w:t>Maire</w:t>
      </w:r>
      <w:proofErr w:type="spellEnd"/>
      <w:r w:rsidRPr="008401AD">
        <w:rPr>
          <w:szCs w:val="24"/>
          <w:lang w:val="en-GB"/>
        </w:rPr>
        <w:t xml:space="preserve"> </w:t>
      </w:r>
      <w:r w:rsidR="00306413" w:rsidRPr="008401AD">
        <w:rPr>
          <w:szCs w:val="24"/>
          <w:lang w:val="en-GB"/>
        </w:rPr>
        <w:t xml:space="preserve">M. </w:t>
      </w:r>
      <w:r w:rsidRPr="008401AD">
        <w:rPr>
          <w:szCs w:val="24"/>
          <w:lang w:val="en-GB"/>
        </w:rPr>
        <w:t>(2001</w:t>
      </w:r>
      <w:r w:rsidRPr="001E2D3F">
        <w:rPr>
          <w:szCs w:val="24"/>
          <w:lang w:val="en-GB"/>
        </w:rPr>
        <w:t>)</w:t>
      </w:r>
      <w:r w:rsidR="00CE582C" w:rsidRPr="001E2D3F">
        <w:rPr>
          <w:szCs w:val="24"/>
          <w:lang w:val="en-GB"/>
        </w:rPr>
        <w:t>,</w:t>
      </w:r>
      <w:r w:rsidRPr="008401AD">
        <w:rPr>
          <w:i/>
          <w:szCs w:val="24"/>
          <w:lang w:val="en-GB"/>
        </w:rPr>
        <w:t xml:space="preserve"> ‘Dear BBC’: Children, Television, Storytelling and the Public Sphere</w:t>
      </w:r>
      <w:r w:rsidRPr="008401AD">
        <w:rPr>
          <w:szCs w:val="24"/>
          <w:lang w:val="en-GB"/>
        </w:rPr>
        <w:t>, Cambridge: Cambridge University Press.</w:t>
      </w:r>
    </w:p>
    <w:p w14:paraId="087EA9AA" w14:textId="0122C561" w:rsidR="00552D85" w:rsidRPr="008401AD" w:rsidRDefault="00552D85" w:rsidP="00552D85">
      <w:pPr>
        <w:rPr>
          <w:szCs w:val="24"/>
          <w:lang w:val="en-GB"/>
        </w:rPr>
      </w:pPr>
      <w:r w:rsidRPr="008401AD">
        <w:rPr>
          <w:szCs w:val="24"/>
          <w:lang w:val="en-GB"/>
        </w:rPr>
        <w:t xml:space="preserve">Davis, Howard and </w:t>
      </w:r>
      <w:proofErr w:type="spellStart"/>
      <w:r w:rsidRPr="008401AD">
        <w:rPr>
          <w:szCs w:val="24"/>
          <w:lang w:val="en-GB"/>
        </w:rPr>
        <w:t>Scase</w:t>
      </w:r>
      <w:proofErr w:type="spellEnd"/>
      <w:r w:rsidR="00CE582C" w:rsidRPr="008401AD">
        <w:rPr>
          <w:szCs w:val="24"/>
          <w:lang w:val="en-GB"/>
        </w:rPr>
        <w:t>, Richard</w:t>
      </w:r>
      <w:r w:rsidRPr="008401AD">
        <w:rPr>
          <w:szCs w:val="24"/>
          <w:lang w:val="en-GB"/>
        </w:rPr>
        <w:t xml:space="preserve"> (2000), </w:t>
      </w:r>
      <w:r w:rsidRPr="008401AD">
        <w:rPr>
          <w:i/>
          <w:szCs w:val="24"/>
          <w:lang w:val="en-GB"/>
        </w:rPr>
        <w:t>Managing Creativity: The Dynamics of Work Organization</w:t>
      </w:r>
      <w:r w:rsidRPr="008401AD">
        <w:rPr>
          <w:szCs w:val="24"/>
          <w:lang w:val="en-GB"/>
        </w:rPr>
        <w:t xml:space="preserve">, Buckingham: Open University Press. </w:t>
      </w:r>
    </w:p>
    <w:p w14:paraId="7E3F9AC6" w14:textId="77777777" w:rsidR="00552D85" w:rsidRPr="008401AD" w:rsidRDefault="00552D85" w:rsidP="00552D85">
      <w:pPr>
        <w:rPr>
          <w:szCs w:val="24"/>
          <w:lang w:val="en-GB"/>
        </w:rPr>
      </w:pPr>
      <w:proofErr w:type="spellStart"/>
      <w:r w:rsidRPr="008401AD">
        <w:rPr>
          <w:szCs w:val="24"/>
          <w:lang w:val="en-GB"/>
        </w:rPr>
        <w:t>Deuze</w:t>
      </w:r>
      <w:proofErr w:type="spellEnd"/>
      <w:r w:rsidRPr="008401AD">
        <w:rPr>
          <w:szCs w:val="24"/>
          <w:lang w:val="en-GB"/>
        </w:rPr>
        <w:t xml:space="preserve">, Mark (ed.) (2011), </w:t>
      </w:r>
      <w:r w:rsidRPr="008401AD">
        <w:rPr>
          <w:i/>
          <w:szCs w:val="24"/>
          <w:lang w:val="en-GB"/>
        </w:rPr>
        <w:t>Managing Media Work</w:t>
      </w:r>
      <w:r w:rsidRPr="008401AD">
        <w:rPr>
          <w:szCs w:val="24"/>
          <w:lang w:val="en-GB"/>
        </w:rPr>
        <w:t>, Los Angeles and London: Sage.</w:t>
      </w:r>
    </w:p>
    <w:p w14:paraId="69218AB9" w14:textId="77777777" w:rsidR="00056487" w:rsidRPr="008401AD" w:rsidRDefault="00056487" w:rsidP="00552D85">
      <w:pPr>
        <w:rPr>
          <w:szCs w:val="24"/>
          <w:lang w:val="en-GB"/>
        </w:rPr>
      </w:pPr>
      <w:r w:rsidRPr="008401AD">
        <w:rPr>
          <w:szCs w:val="24"/>
          <w:lang w:val="en-GB"/>
        </w:rPr>
        <w:t xml:space="preserve">Dominic, Power and Scott, Adrian J. (2011), </w:t>
      </w:r>
      <w:r w:rsidRPr="008401AD">
        <w:rPr>
          <w:i/>
          <w:szCs w:val="24"/>
          <w:lang w:val="en-GB"/>
        </w:rPr>
        <w:t>Cultural Industries and the Production of Culture,</w:t>
      </w:r>
      <w:r w:rsidRPr="008401AD">
        <w:rPr>
          <w:szCs w:val="24"/>
          <w:lang w:val="en-GB"/>
        </w:rPr>
        <w:t xml:space="preserve"> London: Routledge.</w:t>
      </w:r>
    </w:p>
    <w:p w14:paraId="46D3D185" w14:textId="18F51BBB" w:rsidR="00552D85" w:rsidRPr="008401AD" w:rsidRDefault="00552D85" w:rsidP="00552D85">
      <w:pPr>
        <w:rPr>
          <w:szCs w:val="24"/>
          <w:lang w:val="en-GB"/>
        </w:rPr>
      </w:pPr>
      <w:r w:rsidRPr="008401AD">
        <w:rPr>
          <w:szCs w:val="24"/>
          <w:lang w:val="en-GB"/>
        </w:rPr>
        <w:t xml:space="preserve">Drake, Philip (2014), ‘Critical and </w:t>
      </w:r>
      <w:r w:rsidR="00E7123D" w:rsidRPr="008401AD">
        <w:rPr>
          <w:szCs w:val="24"/>
          <w:lang w:val="en-GB"/>
        </w:rPr>
        <w:t>cultural</w:t>
      </w:r>
      <w:r w:rsidRPr="008401AD">
        <w:rPr>
          <w:szCs w:val="24"/>
          <w:lang w:val="en-GB"/>
        </w:rPr>
        <w:t xml:space="preserve">? Production </w:t>
      </w:r>
      <w:r w:rsidR="00E7123D" w:rsidRPr="008401AD">
        <w:rPr>
          <w:szCs w:val="24"/>
          <w:lang w:val="en-GB"/>
        </w:rPr>
        <w:t xml:space="preserve">studies </w:t>
      </w:r>
      <w:r w:rsidRPr="008401AD">
        <w:rPr>
          <w:szCs w:val="24"/>
          <w:lang w:val="en-GB"/>
        </w:rPr>
        <w:t xml:space="preserve">as a </w:t>
      </w:r>
      <w:r w:rsidR="00E7123D" w:rsidRPr="008401AD">
        <w:rPr>
          <w:szCs w:val="24"/>
          <w:lang w:val="en-GB"/>
        </w:rPr>
        <w:t xml:space="preserve">field </w:t>
      </w:r>
      <w:r w:rsidRPr="008401AD">
        <w:rPr>
          <w:szCs w:val="24"/>
          <w:lang w:val="en-GB"/>
        </w:rPr>
        <w:t xml:space="preserve">of </w:t>
      </w:r>
      <w:r w:rsidR="00E7123D" w:rsidRPr="008401AD">
        <w:rPr>
          <w:szCs w:val="24"/>
          <w:lang w:val="en-GB"/>
        </w:rPr>
        <w:t>enquiry</w:t>
      </w:r>
      <w:r w:rsidRPr="008401AD">
        <w:rPr>
          <w:szCs w:val="24"/>
          <w:lang w:val="en-GB"/>
        </w:rPr>
        <w:t>: Sources/</w:t>
      </w:r>
      <w:r w:rsidR="00E7123D" w:rsidRPr="008401AD">
        <w:rPr>
          <w:szCs w:val="24"/>
          <w:lang w:val="en-GB"/>
        </w:rPr>
        <w:t>methods</w:t>
      </w:r>
      <w:r w:rsidRPr="008401AD">
        <w:rPr>
          <w:szCs w:val="24"/>
          <w:lang w:val="en-GB"/>
        </w:rPr>
        <w:t>/</w:t>
      </w:r>
      <w:r w:rsidR="00E7123D" w:rsidRPr="008401AD">
        <w:rPr>
          <w:szCs w:val="24"/>
          <w:lang w:val="en-GB"/>
        </w:rPr>
        <w:t>approaches’</w:t>
      </w:r>
      <w:r w:rsidRPr="008401AD">
        <w:rPr>
          <w:szCs w:val="24"/>
          <w:lang w:val="en-GB"/>
        </w:rPr>
        <w:t xml:space="preserve">, keynote address, </w:t>
      </w:r>
      <w:r w:rsidRPr="001E2D3F">
        <w:rPr>
          <w:i/>
          <w:szCs w:val="24"/>
          <w:lang w:val="en-GB"/>
        </w:rPr>
        <w:t xml:space="preserve">New Directions in Film and Television Production Studies </w:t>
      </w:r>
      <w:r w:rsidR="00E7123D" w:rsidRPr="008401AD">
        <w:rPr>
          <w:i/>
          <w:szCs w:val="24"/>
          <w:lang w:val="en-GB"/>
        </w:rPr>
        <w:t>I</w:t>
      </w:r>
      <w:r w:rsidR="00E7123D" w:rsidRPr="001E2D3F">
        <w:rPr>
          <w:i/>
          <w:szCs w:val="24"/>
          <w:lang w:val="en-GB"/>
        </w:rPr>
        <w:t xml:space="preserve">nternational </w:t>
      </w:r>
      <w:r w:rsidR="00E7123D" w:rsidRPr="008401AD">
        <w:rPr>
          <w:i/>
          <w:szCs w:val="24"/>
          <w:lang w:val="en-GB"/>
        </w:rPr>
        <w:t>C</w:t>
      </w:r>
      <w:r w:rsidR="00E7123D" w:rsidRPr="001E2D3F">
        <w:rPr>
          <w:i/>
          <w:szCs w:val="24"/>
          <w:lang w:val="en-GB"/>
        </w:rPr>
        <w:t>onference</w:t>
      </w:r>
      <w:r w:rsidRPr="008401AD">
        <w:rPr>
          <w:szCs w:val="24"/>
          <w:lang w:val="en-GB"/>
        </w:rPr>
        <w:t>, Bristol</w:t>
      </w:r>
      <w:r w:rsidR="00430525">
        <w:rPr>
          <w:szCs w:val="24"/>
          <w:lang w:val="en-GB"/>
        </w:rPr>
        <w:t>,</w:t>
      </w:r>
      <w:r w:rsidR="00430525" w:rsidRPr="008401AD">
        <w:rPr>
          <w:szCs w:val="24"/>
          <w:lang w:val="en-GB"/>
        </w:rPr>
        <w:t xml:space="preserve"> </w:t>
      </w:r>
      <w:r w:rsidRPr="008401AD">
        <w:rPr>
          <w:szCs w:val="24"/>
          <w:lang w:val="en-GB"/>
        </w:rPr>
        <w:t>Watershed Cultural Cinema &amp; Digital Creativity Centre, 14 April.</w:t>
      </w:r>
    </w:p>
    <w:p w14:paraId="4719ADE3" w14:textId="3BF19194" w:rsidR="00552D85" w:rsidRPr="008401AD" w:rsidRDefault="00552D85" w:rsidP="00552D85">
      <w:pPr>
        <w:rPr>
          <w:szCs w:val="24"/>
          <w:lang w:val="en-GB"/>
        </w:rPr>
      </w:pPr>
      <w:r w:rsidRPr="008401AD">
        <w:rPr>
          <w:szCs w:val="24"/>
          <w:lang w:val="en-GB"/>
        </w:rPr>
        <w:t xml:space="preserve">Eisenhardt, Kathleen M. (1989), ‘Building </w:t>
      </w:r>
      <w:r w:rsidR="00DE3D93" w:rsidRPr="008401AD">
        <w:rPr>
          <w:szCs w:val="24"/>
          <w:lang w:val="en-GB"/>
        </w:rPr>
        <w:t xml:space="preserve">theories </w:t>
      </w:r>
      <w:r w:rsidRPr="008401AD">
        <w:rPr>
          <w:szCs w:val="24"/>
          <w:lang w:val="en-GB"/>
        </w:rPr>
        <w:t xml:space="preserve">from </w:t>
      </w:r>
      <w:r w:rsidR="00DE3D93" w:rsidRPr="008401AD">
        <w:rPr>
          <w:szCs w:val="24"/>
          <w:lang w:val="en-GB"/>
        </w:rPr>
        <w:t>case study research’</w:t>
      </w:r>
      <w:r w:rsidRPr="008401AD">
        <w:rPr>
          <w:szCs w:val="24"/>
          <w:lang w:val="en-GB"/>
        </w:rPr>
        <w:t xml:space="preserve">, </w:t>
      </w:r>
      <w:r w:rsidRPr="008401AD">
        <w:rPr>
          <w:i/>
          <w:szCs w:val="24"/>
          <w:lang w:val="en-GB"/>
        </w:rPr>
        <w:t>Academy of Management Review</w:t>
      </w:r>
      <w:r w:rsidRPr="008401AD">
        <w:rPr>
          <w:szCs w:val="24"/>
          <w:lang w:val="en-GB"/>
        </w:rPr>
        <w:t>, 14:4, pp. 532</w:t>
      </w:r>
      <w:r w:rsidR="00DE3D93" w:rsidRPr="008401AD">
        <w:rPr>
          <w:szCs w:val="24"/>
          <w:lang w:val="en-GB"/>
        </w:rPr>
        <w:sym w:font="Symbol" w:char="F02D"/>
      </w:r>
      <w:r w:rsidRPr="008401AD">
        <w:rPr>
          <w:szCs w:val="24"/>
          <w:lang w:val="en-GB"/>
        </w:rPr>
        <w:t xml:space="preserve">50. </w:t>
      </w:r>
    </w:p>
    <w:p w14:paraId="3F30BDC0" w14:textId="77777777" w:rsidR="00552D85" w:rsidRPr="008401AD" w:rsidRDefault="00552D85" w:rsidP="00552D85">
      <w:pPr>
        <w:rPr>
          <w:szCs w:val="24"/>
          <w:lang w:val="en-GB"/>
        </w:rPr>
      </w:pPr>
      <w:r w:rsidRPr="008401AD">
        <w:rPr>
          <w:szCs w:val="24"/>
          <w:lang w:val="en-GB"/>
        </w:rPr>
        <w:t xml:space="preserve">European Commission (2015), </w:t>
      </w:r>
      <w:r w:rsidRPr="008401AD">
        <w:rPr>
          <w:i/>
          <w:szCs w:val="24"/>
          <w:lang w:val="en-GB"/>
        </w:rPr>
        <w:t>User Guide to the SME Definition</w:t>
      </w:r>
      <w:r w:rsidRPr="008401AD">
        <w:rPr>
          <w:szCs w:val="24"/>
          <w:lang w:val="en-GB"/>
        </w:rPr>
        <w:t>, Luxembourg: Publications Office of the European Union.</w:t>
      </w:r>
    </w:p>
    <w:p w14:paraId="4BEC31E3" w14:textId="3D6AAA91" w:rsidR="00552D85" w:rsidRPr="008401AD" w:rsidRDefault="00552D85" w:rsidP="00552D85">
      <w:pPr>
        <w:rPr>
          <w:szCs w:val="24"/>
          <w:lang w:val="en-GB"/>
        </w:rPr>
      </w:pPr>
      <w:r w:rsidRPr="008401AD">
        <w:rPr>
          <w:szCs w:val="24"/>
          <w:lang w:val="en-GB"/>
        </w:rPr>
        <w:t>European Commission (2016)</w:t>
      </w:r>
      <w:r w:rsidR="00D7177B" w:rsidRPr="008401AD">
        <w:rPr>
          <w:szCs w:val="24"/>
          <w:lang w:val="en-GB"/>
        </w:rPr>
        <w:t>,</w:t>
      </w:r>
      <w:r w:rsidRPr="008401AD">
        <w:rPr>
          <w:szCs w:val="24"/>
          <w:lang w:val="en-GB"/>
        </w:rPr>
        <w:t xml:space="preserve"> ‘What is an SME?’</w:t>
      </w:r>
      <w:r w:rsidR="00430525">
        <w:rPr>
          <w:szCs w:val="24"/>
          <w:lang w:val="en-GB"/>
        </w:rPr>
        <w:t>,</w:t>
      </w:r>
      <w:r w:rsidRPr="008401AD">
        <w:rPr>
          <w:szCs w:val="24"/>
          <w:lang w:val="en-GB"/>
        </w:rPr>
        <w:t xml:space="preserve"> </w:t>
      </w:r>
      <w:r w:rsidRPr="001E2D3F">
        <w:rPr>
          <w:szCs w:val="24"/>
          <w:lang w:val="en-GB"/>
        </w:rPr>
        <w:t xml:space="preserve">http://ec.europa.eu/growth/smes/business-friendly-environment/sme-definition_en. </w:t>
      </w:r>
      <w:r w:rsidRPr="008401AD">
        <w:rPr>
          <w:szCs w:val="24"/>
          <w:lang w:val="en-GB"/>
        </w:rPr>
        <w:t>Accessed 20 November 2016.</w:t>
      </w:r>
    </w:p>
    <w:p w14:paraId="3F42A1B7" w14:textId="77777777" w:rsidR="00552D85" w:rsidRPr="008401AD" w:rsidRDefault="00552D85" w:rsidP="00552D85">
      <w:pPr>
        <w:rPr>
          <w:szCs w:val="24"/>
          <w:lang w:val="en-GB"/>
        </w:rPr>
      </w:pPr>
      <w:r w:rsidRPr="008401AD">
        <w:rPr>
          <w:szCs w:val="24"/>
          <w:lang w:val="en-GB"/>
        </w:rPr>
        <w:t xml:space="preserve">Finney, Angus (2010), </w:t>
      </w:r>
      <w:r w:rsidRPr="008401AD">
        <w:rPr>
          <w:i/>
          <w:szCs w:val="24"/>
          <w:lang w:val="en-GB"/>
        </w:rPr>
        <w:t>The International Film Business: A Market Guide Beyond Hollywood</w:t>
      </w:r>
      <w:r w:rsidRPr="008401AD">
        <w:rPr>
          <w:szCs w:val="24"/>
          <w:lang w:val="en-GB"/>
        </w:rPr>
        <w:t xml:space="preserve">, London: Routledge. </w:t>
      </w:r>
    </w:p>
    <w:p w14:paraId="7A42B18F" w14:textId="77777777" w:rsidR="00552D85" w:rsidRPr="008401AD" w:rsidRDefault="00552D85" w:rsidP="00552D85">
      <w:pPr>
        <w:rPr>
          <w:szCs w:val="24"/>
          <w:lang w:val="en-GB"/>
        </w:rPr>
      </w:pPr>
      <w:r w:rsidRPr="008401AD">
        <w:rPr>
          <w:szCs w:val="24"/>
          <w:lang w:val="en-GB"/>
        </w:rPr>
        <w:t xml:space="preserve">Fitzgerald, Scott W. (2012), </w:t>
      </w:r>
      <w:r w:rsidRPr="008401AD">
        <w:rPr>
          <w:i/>
          <w:szCs w:val="24"/>
          <w:lang w:val="en-GB"/>
        </w:rPr>
        <w:t>Corporations and Cultural Industries: Time Warner, Bertelsmann and New Corporations</w:t>
      </w:r>
      <w:r w:rsidRPr="008401AD">
        <w:rPr>
          <w:szCs w:val="24"/>
          <w:lang w:val="en-GB"/>
        </w:rPr>
        <w:t xml:space="preserve">, Lanham MD: Lexington Books. </w:t>
      </w:r>
    </w:p>
    <w:p w14:paraId="6BA2B11C" w14:textId="77777777" w:rsidR="00552D85" w:rsidRPr="008401AD" w:rsidRDefault="00552D85" w:rsidP="00552D85">
      <w:pPr>
        <w:rPr>
          <w:szCs w:val="24"/>
          <w:lang w:val="en-GB"/>
        </w:rPr>
      </w:pPr>
      <w:r w:rsidRPr="008401AD">
        <w:rPr>
          <w:szCs w:val="24"/>
          <w:lang w:val="en-GB"/>
        </w:rPr>
        <w:t xml:space="preserve">Florida, Richard (2004), </w:t>
      </w:r>
      <w:r w:rsidRPr="008401AD">
        <w:rPr>
          <w:i/>
          <w:iCs/>
          <w:szCs w:val="24"/>
          <w:lang w:val="en-GB"/>
        </w:rPr>
        <w:t>The Rise of the Creative Class,</w:t>
      </w:r>
      <w:r w:rsidRPr="008401AD">
        <w:rPr>
          <w:iCs/>
          <w:szCs w:val="24"/>
          <w:lang w:val="en-GB"/>
        </w:rPr>
        <w:t xml:space="preserve"> </w:t>
      </w:r>
      <w:r w:rsidRPr="008401AD">
        <w:rPr>
          <w:szCs w:val="24"/>
          <w:lang w:val="en-GB"/>
        </w:rPr>
        <w:t>New York: Basic Books.</w:t>
      </w:r>
    </w:p>
    <w:p w14:paraId="5B716A3E" w14:textId="401E414F" w:rsidR="00552D85" w:rsidRPr="008401AD" w:rsidRDefault="00552D85" w:rsidP="00552D85">
      <w:pPr>
        <w:rPr>
          <w:szCs w:val="24"/>
          <w:lang w:val="en-GB"/>
        </w:rPr>
      </w:pPr>
      <w:r w:rsidRPr="008401AD">
        <w:rPr>
          <w:szCs w:val="24"/>
          <w:lang w:val="en-GB"/>
        </w:rPr>
        <w:t>Fontaine, Gilles and Kevin</w:t>
      </w:r>
      <w:r w:rsidR="00D7177B" w:rsidRPr="008401AD">
        <w:rPr>
          <w:szCs w:val="24"/>
          <w:lang w:val="en-GB"/>
        </w:rPr>
        <w:t>, Deidre</w:t>
      </w:r>
      <w:r w:rsidRPr="008401AD">
        <w:rPr>
          <w:szCs w:val="24"/>
          <w:lang w:val="en-GB"/>
        </w:rPr>
        <w:t xml:space="preserve"> (2016), </w:t>
      </w:r>
      <w:r w:rsidRPr="008401AD">
        <w:rPr>
          <w:i/>
          <w:szCs w:val="24"/>
          <w:lang w:val="en-GB"/>
        </w:rPr>
        <w:t>Media Ownership: Towards Pan-European Groups?</w:t>
      </w:r>
      <w:r w:rsidRPr="008401AD">
        <w:rPr>
          <w:szCs w:val="24"/>
          <w:lang w:val="en-GB"/>
        </w:rPr>
        <w:t xml:space="preserve"> Strasbourg: European </w:t>
      </w:r>
      <w:proofErr w:type="spellStart"/>
      <w:r w:rsidRPr="008401AD">
        <w:rPr>
          <w:szCs w:val="24"/>
          <w:lang w:val="en-GB"/>
        </w:rPr>
        <w:t>Audiovisual</w:t>
      </w:r>
      <w:proofErr w:type="spellEnd"/>
      <w:r w:rsidRPr="008401AD">
        <w:rPr>
          <w:szCs w:val="24"/>
          <w:lang w:val="en-GB"/>
        </w:rPr>
        <w:t xml:space="preserve"> Observatory.</w:t>
      </w:r>
    </w:p>
    <w:p w14:paraId="2905BC18" w14:textId="63BC5C39" w:rsidR="00552D85" w:rsidRPr="008401AD" w:rsidRDefault="00552D85" w:rsidP="00552D85">
      <w:pPr>
        <w:rPr>
          <w:szCs w:val="24"/>
          <w:lang w:val="en-GB"/>
        </w:rPr>
      </w:pPr>
      <w:r w:rsidRPr="008401AD">
        <w:rPr>
          <w:szCs w:val="24"/>
          <w:lang w:val="en-GB"/>
        </w:rPr>
        <w:t xml:space="preserve">Freeman, Matthew (2016), </w:t>
      </w:r>
      <w:r w:rsidRPr="008401AD">
        <w:rPr>
          <w:i/>
          <w:szCs w:val="24"/>
          <w:lang w:val="en-GB"/>
        </w:rPr>
        <w:t>Industrial Approaches to the Media: A Methodological Gateway to Industry Studies</w:t>
      </w:r>
      <w:r w:rsidRPr="008401AD">
        <w:rPr>
          <w:szCs w:val="24"/>
          <w:lang w:val="en-GB"/>
        </w:rPr>
        <w:t xml:space="preserve">, London: Palgrave Macmillan. </w:t>
      </w:r>
    </w:p>
    <w:p w14:paraId="5C0DA9F3" w14:textId="4C2ADF75" w:rsidR="00552D85" w:rsidRPr="008401AD" w:rsidRDefault="00552D85" w:rsidP="00552D85">
      <w:pPr>
        <w:rPr>
          <w:szCs w:val="24"/>
          <w:lang w:val="en-GB"/>
        </w:rPr>
      </w:pPr>
      <w:r w:rsidRPr="008401AD">
        <w:rPr>
          <w:szCs w:val="24"/>
          <w:lang w:val="en-GB"/>
        </w:rPr>
        <w:t>Geertz, Clifford (</w:t>
      </w:r>
      <w:r w:rsidR="007670DA" w:rsidRPr="008401AD">
        <w:rPr>
          <w:szCs w:val="24"/>
          <w:lang w:val="en-GB"/>
        </w:rPr>
        <w:t xml:space="preserve">[1973] </w:t>
      </w:r>
      <w:r w:rsidRPr="008401AD">
        <w:rPr>
          <w:szCs w:val="24"/>
          <w:lang w:val="en-GB"/>
        </w:rPr>
        <w:t xml:space="preserve">1993), </w:t>
      </w:r>
      <w:r w:rsidRPr="008401AD">
        <w:rPr>
          <w:i/>
          <w:szCs w:val="24"/>
          <w:lang w:val="en-GB"/>
        </w:rPr>
        <w:t>The Interpretation of Cultures</w:t>
      </w:r>
      <w:r w:rsidRPr="008401AD">
        <w:rPr>
          <w:szCs w:val="24"/>
          <w:lang w:val="en-GB"/>
        </w:rPr>
        <w:t xml:space="preserve">, London: Fontana. </w:t>
      </w:r>
    </w:p>
    <w:p w14:paraId="133DC930" w14:textId="0C785260" w:rsidR="00552D85" w:rsidRPr="008401AD" w:rsidRDefault="00552D85" w:rsidP="00552D85">
      <w:pPr>
        <w:rPr>
          <w:szCs w:val="24"/>
          <w:lang w:val="en-GB"/>
        </w:rPr>
      </w:pPr>
      <w:r w:rsidRPr="008401AD">
        <w:rPr>
          <w:szCs w:val="24"/>
          <w:lang w:val="en-GB"/>
        </w:rPr>
        <w:t>Gill, Rosalind and Pratt</w:t>
      </w:r>
      <w:r w:rsidR="005C79D2" w:rsidRPr="008401AD">
        <w:rPr>
          <w:szCs w:val="24"/>
          <w:lang w:val="en-GB"/>
        </w:rPr>
        <w:t>, Andy</w:t>
      </w:r>
      <w:r w:rsidRPr="008401AD">
        <w:rPr>
          <w:szCs w:val="24"/>
          <w:lang w:val="en-GB"/>
        </w:rPr>
        <w:t xml:space="preserve"> (2008), ‘In the </w:t>
      </w:r>
      <w:r w:rsidR="005C79D2" w:rsidRPr="008401AD">
        <w:rPr>
          <w:szCs w:val="24"/>
          <w:lang w:val="en-GB"/>
        </w:rPr>
        <w:t>social factory</w:t>
      </w:r>
      <w:r w:rsidRPr="008401AD">
        <w:rPr>
          <w:szCs w:val="24"/>
          <w:lang w:val="en-GB"/>
        </w:rPr>
        <w:t xml:space="preserve">? Immaterial </w:t>
      </w:r>
      <w:r w:rsidR="005C79D2" w:rsidRPr="008401AD">
        <w:rPr>
          <w:szCs w:val="24"/>
          <w:lang w:val="en-GB"/>
        </w:rPr>
        <w:t>labour</w:t>
      </w:r>
      <w:r w:rsidRPr="008401AD">
        <w:rPr>
          <w:szCs w:val="24"/>
          <w:lang w:val="en-GB"/>
        </w:rPr>
        <w:t xml:space="preserve">, </w:t>
      </w:r>
      <w:r w:rsidR="005C79D2" w:rsidRPr="008401AD">
        <w:rPr>
          <w:szCs w:val="24"/>
          <w:lang w:val="en-GB"/>
        </w:rPr>
        <w:t xml:space="preserve">precariousness </w:t>
      </w:r>
      <w:r w:rsidRPr="008401AD">
        <w:rPr>
          <w:szCs w:val="24"/>
          <w:lang w:val="en-GB"/>
        </w:rPr>
        <w:t xml:space="preserve">and </w:t>
      </w:r>
      <w:r w:rsidR="005C79D2" w:rsidRPr="008401AD">
        <w:rPr>
          <w:szCs w:val="24"/>
          <w:lang w:val="en-GB"/>
        </w:rPr>
        <w:t>cultural work’</w:t>
      </w:r>
      <w:r w:rsidRPr="008401AD">
        <w:rPr>
          <w:szCs w:val="24"/>
          <w:lang w:val="en-GB"/>
        </w:rPr>
        <w:t xml:space="preserve">, </w:t>
      </w:r>
      <w:r w:rsidRPr="008401AD">
        <w:rPr>
          <w:i/>
          <w:szCs w:val="24"/>
          <w:lang w:val="en-GB"/>
        </w:rPr>
        <w:t>Theory, Culture &amp; Society</w:t>
      </w:r>
      <w:r w:rsidRPr="008401AD">
        <w:rPr>
          <w:szCs w:val="24"/>
          <w:lang w:val="en-GB"/>
        </w:rPr>
        <w:t>, 25:7</w:t>
      </w:r>
      <w:r w:rsidR="005C79D2" w:rsidRPr="008401AD">
        <w:rPr>
          <w:szCs w:val="24"/>
          <w:lang w:val="en-GB"/>
        </w:rPr>
        <w:sym w:font="Symbol" w:char="F02D"/>
      </w:r>
      <w:r w:rsidRPr="008401AD">
        <w:rPr>
          <w:szCs w:val="24"/>
          <w:lang w:val="en-GB"/>
        </w:rPr>
        <w:t>8, pp. 1</w:t>
      </w:r>
      <w:r w:rsidR="005C79D2" w:rsidRPr="008401AD">
        <w:rPr>
          <w:szCs w:val="24"/>
          <w:lang w:val="en-GB"/>
        </w:rPr>
        <w:sym w:font="Symbol" w:char="F02D"/>
      </w:r>
      <w:r w:rsidRPr="008401AD">
        <w:rPr>
          <w:szCs w:val="24"/>
          <w:lang w:val="en-GB"/>
        </w:rPr>
        <w:t xml:space="preserve">30. </w:t>
      </w:r>
    </w:p>
    <w:p w14:paraId="445BFE38" w14:textId="77777777" w:rsidR="00552D85" w:rsidRPr="008401AD" w:rsidRDefault="00552D85" w:rsidP="00552D85">
      <w:pPr>
        <w:rPr>
          <w:szCs w:val="24"/>
          <w:lang w:val="en-GB"/>
        </w:rPr>
      </w:pPr>
      <w:proofErr w:type="spellStart"/>
      <w:r w:rsidRPr="008401AD">
        <w:rPr>
          <w:szCs w:val="24"/>
          <w:lang w:val="en-GB"/>
        </w:rPr>
        <w:t>Gitlin</w:t>
      </w:r>
      <w:proofErr w:type="spellEnd"/>
      <w:r w:rsidRPr="008401AD">
        <w:rPr>
          <w:szCs w:val="24"/>
          <w:lang w:val="en-GB"/>
        </w:rPr>
        <w:t xml:space="preserve">, Tom (1983), </w:t>
      </w:r>
      <w:r w:rsidRPr="008401AD">
        <w:rPr>
          <w:i/>
          <w:szCs w:val="24"/>
          <w:lang w:val="en-GB"/>
        </w:rPr>
        <w:t>Inside Prime Time</w:t>
      </w:r>
      <w:r w:rsidRPr="008401AD">
        <w:rPr>
          <w:szCs w:val="24"/>
          <w:lang w:val="en-GB"/>
        </w:rPr>
        <w:t xml:space="preserve">, New York: Pantheon Books. </w:t>
      </w:r>
    </w:p>
    <w:p w14:paraId="183484A3" w14:textId="7EFCE1EC" w:rsidR="00552D85" w:rsidRPr="008401AD" w:rsidRDefault="00552D85" w:rsidP="00552D85">
      <w:pPr>
        <w:rPr>
          <w:szCs w:val="24"/>
          <w:lang w:val="en-GB"/>
        </w:rPr>
      </w:pPr>
      <w:r w:rsidRPr="008401AD">
        <w:rPr>
          <w:szCs w:val="24"/>
          <w:lang w:val="en-GB"/>
        </w:rPr>
        <w:t>Golding, Peter and Murdock</w:t>
      </w:r>
      <w:r w:rsidR="005C79D2" w:rsidRPr="008401AD">
        <w:rPr>
          <w:szCs w:val="24"/>
          <w:lang w:val="en-GB"/>
        </w:rPr>
        <w:t>, Graham</w:t>
      </w:r>
      <w:r w:rsidRPr="008401AD">
        <w:rPr>
          <w:szCs w:val="24"/>
          <w:lang w:val="en-GB"/>
        </w:rPr>
        <w:t xml:space="preserve"> (1997), </w:t>
      </w:r>
      <w:r w:rsidRPr="008401AD">
        <w:rPr>
          <w:i/>
          <w:szCs w:val="24"/>
          <w:lang w:val="en-GB"/>
        </w:rPr>
        <w:t>The Political Economy of the Media,</w:t>
      </w:r>
      <w:r w:rsidRPr="008401AD">
        <w:rPr>
          <w:szCs w:val="24"/>
          <w:lang w:val="en-GB"/>
        </w:rPr>
        <w:t xml:space="preserve"> Cheltenham: Edward Elgar.</w:t>
      </w:r>
    </w:p>
    <w:p w14:paraId="31D10FF9" w14:textId="6CEFD550" w:rsidR="00552D85" w:rsidRPr="008401AD" w:rsidRDefault="00552D85" w:rsidP="00552D85">
      <w:pPr>
        <w:rPr>
          <w:szCs w:val="24"/>
          <w:lang w:val="en-GB"/>
        </w:rPr>
      </w:pPr>
      <w:r w:rsidRPr="008401AD">
        <w:rPr>
          <w:szCs w:val="24"/>
          <w:lang w:val="en-GB"/>
        </w:rPr>
        <w:t xml:space="preserve">Goldsmith, Ben and </w:t>
      </w:r>
      <w:proofErr w:type="spellStart"/>
      <w:r w:rsidRPr="008401AD">
        <w:rPr>
          <w:szCs w:val="24"/>
          <w:lang w:val="en-GB"/>
        </w:rPr>
        <w:t>O’Regan</w:t>
      </w:r>
      <w:proofErr w:type="spellEnd"/>
      <w:r w:rsidR="005C79D2" w:rsidRPr="008401AD">
        <w:rPr>
          <w:szCs w:val="24"/>
          <w:lang w:val="en-GB"/>
        </w:rPr>
        <w:t>, Tim</w:t>
      </w:r>
      <w:r w:rsidRPr="008401AD">
        <w:rPr>
          <w:szCs w:val="24"/>
          <w:lang w:val="en-GB"/>
        </w:rPr>
        <w:t xml:space="preserve"> (2005), </w:t>
      </w:r>
      <w:r w:rsidRPr="008401AD">
        <w:rPr>
          <w:i/>
          <w:szCs w:val="24"/>
          <w:lang w:val="en-GB"/>
        </w:rPr>
        <w:t>The Film Studio: Film Production in the Global Economy</w:t>
      </w:r>
      <w:r w:rsidRPr="008401AD">
        <w:rPr>
          <w:szCs w:val="24"/>
          <w:lang w:val="en-GB"/>
        </w:rPr>
        <w:t xml:space="preserve">, Lanham: Rowman and Littlefield. </w:t>
      </w:r>
    </w:p>
    <w:p w14:paraId="3C5E841F" w14:textId="0427FEB4" w:rsidR="00552D85" w:rsidRPr="008401AD" w:rsidRDefault="00552D85" w:rsidP="00552D85">
      <w:pPr>
        <w:rPr>
          <w:szCs w:val="24"/>
          <w:lang w:val="en-GB"/>
        </w:rPr>
      </w:pPr>
      <w:proofErr w:type="spellStart"/>
      <w:r w:rsidRPr="008401AD">
        <w:rPr>
          <w:szCs w:val="24"/>
          <w:lang w:val="en-GB"/>
        </w:rPr>
        <w:t>Gorgievski</w:t>
      </w:r>
      <w:proofErr w:type="spellEnd"/>
      <w:r w:rsidRPr="008401AD">
        <w:rPr>
          <w:szCs w:val="24"/>
          <w:lang w:val="en-GB"/>
        </w:rPr>
        <w:t xml:space="preserve">, </w:t>
      </w:r>
      <w:proofErr w:type="spellStart"/>
      <w:r w:rsidRPr="008401AD">
        <w:rPr>
          <w:szCs w:val="24"/>
          <w:lang w:val="en-GB"/>
        </w:rPr>
        <w:t>Marjan</w:t>
      </w:r>
      <w:proofErr w:type="spellEnd"/>
      <w:r w:rsidRPr="008401AD">
        <w:rPr>
          <w:szCs w:val="24"/>
          <w:lang w:val="en-GB"/>
        </w:rPr>
        <w:t xml:space="preserve"> J., </w:t>
      </w:r>
      <w:proofErr w:type="spellStart"/>
      <w:r w:rsidR="002D157F" w:rsidRPr="008401AD">
        <w:rPr>
          <w:szCs w:val="24"/>
          <w:lang w:val="en-GB"/>
        </w:rPr>
        <w:t>Ascalon</w:t>
      </w:r>
      <w:proofErr w:type="spellEnd"/>
      <w:r w:rsidR="002D157F" w:rsidRPr="008401AD">
        <w:rPr>
          <w:szCs w:val="24"/>
          <w:lang w:val="en-GB"/>
        </w:rPr>
        <w:t xml:space="preserve">, </w:t>
      </w:r>
      <w:r w:rsidRPr="008401AD">
        <w:rPr>
          <w:szCs w:val="24"/>
          <w:lang w:val="en-GB"/>
        </w:rPr>
        <w:t>Evelina</w:t>
      </w:r>
      <w:r w:rsidR="002D157F" w:rsidRPr="008401AD">
        <w:rPr>
          <w:szCs w:val="24"/>
          <w:lang w:val="en-GB"/>
        </w:rPr>
        <w:t xml:space="preserve"> M.</w:t>
      </w:r>
      <w:r w:rsidRPr="008401AD">
        <w:rPr>
          <w:szCs w:val="24"/>
          <w:lang w:val="en-GB"/>
        </w:rPr>
        <w:t xml:space="preserve"> and Stephan</w:t>
      </w:r>
      <w:r w:rsidR="002D157F" w:rsidRPr="008401AD">
        <w:rPr>
          <w:szCs w:val="24"/>
          <w:lang w:val="en-GB"/>
        </w:rPr>
        <w:t>, Ute</w:t>
      </w:r>
      <w:r w:rsidRPr="008401AD">
        <w:rPr>
          <w:szCs w:val="24"/>
          <w:lang w:val="en-GB"/>
        </w:rPr>
        <w:t xml:space="preserve"> (2011), ‘Small </w:t>
      </w:r>
      <w:r w:rsidR="00BA659C" w:rsidRPr="008401AD">
        <w:rPr>
          <w:szCs w:val="24"/>
          <w:lang w:val="en-GB"/>
        </w:rPr>
        <w:t>owners’ success criteria</w:t>
      </w:r>
      <w:r w:rsidRPr="008401AD">
        <w:rPr>
          <w:szCs w:val="24"/>
          <w:lang w:val="en-GB"/>
        </w:rPr>
        <w:t xml:space="preserve">, a </w:t>
      </w:r>
      <w:r w:rsidR="00BA659C" w:rsidRPr="008401AD">
        <w:rPr>
          <w:szCs w:val="24"/>
          <w:lang w:val="en-GB"/>
        </w:rPr>
        <w:t xml:space="preserve">values approach </w:t>
      </w:r>
      <w:r w:rsidRPr="008401AD">
        <w:rPr>
          <w:szCs w:val="24"/>
          <w:lang w:val="en-GB"/>
        </w:rPr>
        <w:t xml:space="preserve">to </w:t>
      </w:r>
      <w:r w:rsidR="00BA659C" w:rsidRPr="008401AD">
        <w:rPr>
          <w:szCs w:val="24"/>
          <w:lang w:val="en-GB"/>
        </w:rPr>
        <w:t>personal differences’</w:t>
      </w:r>
      <w:r w:rsidRPr="008401AD">
        <w:rPr>
          <w:szCs w:val="24"/>
          <w:lang w:val="en-GB"/>
        </w:rPr>
        <w:t xml:space="preserve">, </w:t>
      </w:r>
      <w:r w:rsidRPr="008401AD">
        <w:rPr>
          <w:i/>
          <w:szCs w:val="24"/>
          <w:lang w:val="en-GB"/>
        </w:rPr>
        <w:t>Journal of Business Management</w:t>
      </w:r>
      <w:r w:rsidRPr="008401AD">
        <w:rPr>
          <w:szCs w:val="24"/>
          <w:lang w:val="en-GB"/>
        </w:rPr>
        <w:t>, 49:2, pp. 207</w:t>
      </w:r>
      <w:r w:rsidR="00BA659C" w:rsidRPr="008401AD">
        <w:rPr>
          <w:szCs w:val="24"/>
          <w:lang w:val="en-GB"/>
        </w:rPr>
        <w:sym w:font="Symbol" w:char="F02D"/>
      </w:r>
      <w:r w:rsidRPr="008401AD">
        <w:rPr>
          <w:szCs w:val="24"/>
          <w:lang w:val="en-GB"/>
        </w:rPr>
        <w:t>32.</w:t>
      </w:r>
    </w:p>
    <w:p w14:paraId="10FF69BD" w14:textId="77777777" w:rsidR="00552D85" w:rsidRPr="008401AD" w:rsidRDefault="00552D85" w:rsidP="00552D85">
      <w:pPr>
        <w:rPr>
          <w:szCs w:val="24"/>
          <w:lang w:val="en-GB"/>
        </w:rPr>
      </w:pPr>
      <w:proofErr w:type="spellStart"/>
      <w:r w:rsidRPr="008401AD">
        <w:rPr>
          <w:szCs w:val="24"/>
          <w:lang w:val="en-GB"/>
        </w:rPr>
        <w:t>Gripsrud</w:t>
      </w:r>
      <w:proofErr w:type="spellEnd"/>
      <w:r w:rsidRPr="008401AD">
        <w:rPr>
          <w:szCs w:val="24"/>
          <w:lang w:val="en-GB"/>
        </w:rPr>
        <w:t xml:space="preserve">, </w:t>
      </w:r>
      <w:proofErr w:type="spellStart"/>
      <w:r w:rsidRPr="008401AD">
        <w:rPr>
          <w:szCs w:val="24"/>
          <w:lang w:val="en-GB"/>
        </w:rPr>
        <w:t>Jostein</w:t>
      </w:r>
      <w:proofErr w:type="spellEnd"/>
      <w:r w:rsidRPr="008401AD">
        <w:rPr>
          <w:szCs w:val="24"/>
          <w:lang w:val="en-GB"/>
        </w:rPr>
        <w:t xml:space="preserve"> (ed.) (2010), </w:t>
      </w:r>
      <w:r w:rsidRPr="008401AD">
        <w:rPr>
          <w:i/>
          <w:szCs w:val="24"/>
          <w:lang w:val="en-GB"/>
        </w:rPr>
        <w:t>Relocating Television: Television in the Digital Context,</w:t>
      </w:r>
      <w:r w:rsidRPr="008401AD">
        <w:rPr>
          <w:szCs w:val="24"/>
          <w:lang w:val="en-GB"/>
        </w:rPr>
        <w:t xml:space="preserve"> London: Routledge.</w:t>
      </w:r>
    </w:p>
    <w:p w14:paraId="31882E49" w14:textId="77777777" w:rsidR="00552D85" w:rsidRPr="008401AD" w:rsidRDefault="00552D85" w:rsidP="00552D85">
      <w:pPr>
        <w:rPr>
          <w:szCs w:val="24"/>
          <w:lang w:val="en-GB"/>
        </w:rPr>
      </w:pPr>
      <w:proofErr w:type="spellStart"/>
      <w:r w:rsidRPr="008401AD">
        <w:rPr>
          <w:szCs w:val="24"/>
          <w:lang w:val="en-GB"/>
        </w:rPr>
        <w:t>Guback</w:t>
      </w:r>
      <w:proofErr w:type="spellEnd"/>
      <w:r w:rsidRPr="008401AD">
        <w:rPr>
          <w:szCs w:val="24"/>
          <w:lang w:val="en-GB"/>
        </w:rPr>
        <w:t>, Thomas H. (1969),</w:t>
      </w:r>
      <w:r w:rsidRPr="008401AD">
        <w:rPr>
          <w:i/>
          <w:szCs w:val="24"/>
          <w:lang w:val="en-GB"/>
        </w:rPr>
        <w:t xml:space="preserve"> The International Film Industry: Western Europe and America Since 1945</w:t>
      </w:r>
      <w:r w:rsidRPr="008401AD">
        <w:rPr>
          <w:szCs w:val="24"/>
          <w:lang w:val="en-GB"/>
        </w:rPr>
        <w:t xml:space="preserve">, Bloomington: Indiana University Press. </w:t>
      </w:r>
    </w:p>
    <w:p w14:paraId="506469F4" w14:textId="0D62F0EC" w:rsidR="00552D85" w:rsidRPr="008401AD" w:rsidRDefault="00552D85" w:rsidP="00552D85">
      <w:pPr>
        <w:rPr>
          <w:szCs w:val="24"/>
          <w:lang w:val="en-GB"/>
        </w:rPr>
      </w:pPr>
      <w:r w:rsidRPr="008401AD">
        <w:rPr>
          <w:szCs w:val="24"/>
          <w:lang w:val="en-GB"/>
        </w:rPr>
        <w:t xml:space="preserve">Havens, Tim and </w:t>
      </w:r>
      <w:proofErr w:type="spellStart"/>
      <w:r w:rsidR="008065BD" w:rsidRPr="008401AD">
        <w:rPr>
          <w:szCs w:val="24"/>
          <w:lang w:val="en-GB"/>
        </w:rPr>
        <w:t>Lotz</w:t>
      </w:r>
      <w:proofErr w:type="spellEnd"/>
      <w:r w:rsidR="008065BD" w:rsidRPr="008401AD">
        <w:rPr>
          <w:szCs w:val="24"/>
          <w:lang w:val="en-GB"/>
        </w:rPr>
        <w:t xml:space="preserve">, </w:t>
      </w:r>
      <w:r w:rsidRPr="008401AD">
        <w:rPr>
          <w:szCs w:val="24"/>
          <w:lang w:val="en-GB"/>
        </w:rPr>
        <w:t xml:space="preserve">Amanda D. (2011), </w:t>
      </w:r>
      <w:r w:rsidRPr="008401AD">
        <w:rPr>
          <w:i/>
          <w:szCs w:val="24"/>
          <w:lang w:val="en-GB"/>
        </w:rPr>
        <w:t>Understanding Media Industries,</w:t>
      </w:r>
      <w:r w:rsidRPr="008401AD">
        <w:rPr>
          <w:szCs w:val="24"/>
          <w:lang w:val="en-GB"/>
        </w:rPr>
        <w:t xml:space="preserve"> Oxford: Oxford University Press. </w:t>
      </w:r>
    </w:p>
    <w:p w14:paraId="3741A1C3" w14:textId="5ACF4EE1" w:rsidR="00552D85" w:rsidRPr="008401AD" w:rsidRDefault="00552D85" w:rsidP="00552D85">
      <w:pPr>
        <w:rPr>
          <w:szCs w:val="24"/>
          <w:lang w:val="en-GB"/>
        </w:rPr>
      </w:pPr>
      <w:r w:rsidRPr="008401AD">
        <w:rPr>
          <w:szCs w:val="24"/>
          <w:lang w:val="en-GB"/>
        </w:rPr>
        <w:t xml:space="preserve">Havens, Tim, </w:t>
      </w:r>
      <w:proofErr w:type="spellStart"/>
      <w:r w:rsidRPr="008401AD">
        <w:rPr>
          <w:szCs w:val="24"/>
          <w:lang w:val="en-GB"/>
        </w:rPr>
        <w:t>Lotz</w:t>
      </w:r>
      <w:proofErr w:type="spellEnd"/>
      <w:r w:rsidR="008065BD" w:rsidRPr="008401AD">
        <w:rPr>
          <w:szCs w:val="24"/>
          <w:lang w:val="en-GB"/>
        </w:rPr>
        <w:t>, Amanda D.</w:t>
      </w:r>
      <w:r w:rsidRPr="008401AD">
        <w:rPr>
          <w:szCs w:val="24"/>
          <w:lang w:val="en-GB"/>
        </w:rPr>
        <w:t xml:space="preserve"> and </w:t>
      </w:r>
      <w:proofErr w:type="spellStart"/>
      <w:r w:rsidRPr="008401AD">
        <w:rPr>
          <w:szCs w:val="24"/>
          <w:lang w:val="en-GB"/>
        </w:rPr>
        <w:t>Tinic</w:t>
      </w:r>
      <w:proofErr w:type="spellEnd"/>
      <w:r w:rsidR="008065BD" w:rsidRPr="008401AD">
        <w:rPr>
          <w:szCs w:val="24"/>
          <w:lang w:val="en-GB"/>
        </w:rPr>
        <w:t>, Serra</w:t>
      </w:r>
      <w:r w:rsidRPr="008401AD">
        <w:rPr>
          <w:szCs w:val="24"/>
          <w:lang w:val="en-GB"/>
        </w:rPr>
        <w:t xml:space="preserve"> (2009), ‘Critical </w:t>
      </w:r>
      <w:r w:rsidR="006C5679" w:rsidRPr="008401AD">
        <w:rPr>
          <w:szCs w:val="24"/>
          <w:lang w:val="en-GB"/>
        </w:rPr>
        <w:t>media industry studies</w:t>
      </w:r>
      <w:r w:rsidRPr="008401AD">
        <w:rPr>
          <w:szCs w:val="24"/>
          <w:lang w:val="en-GB"/>
        </w:rPr>
        <w:t xml:space="preserve">: A </w:t>
      </w:r>
      <w:r w:rsidR="006C5679" w:rsidRPr="008401AD">
        <w:rPr>
          <w:szCs w:val="24"/>
          <w:lang w:val="en-GB"/>
        </w:rPr>
        <w:t>research approach’</w:t>
      </w:r>
      <w:r w:rsidRPr="008401AD">
        <w:rPr>
          <w:szCs w:val="24"/>
          <w:lang w:val="en-GB"/>
        </w:rPr>
        <w:t xml:space="preserve">, </w:t>
      </w:r>
      <w:r w:rsidRPr="008401AD">
        <w:rPr>
          <w:i/>
          <w:iCs/>
          <w:szCs w:val="24"/>
          <w:lang w:val="en-GB"/>
        </w:rPr>
        <w:t>Communication, Culture &amp; Critique</w:t>
      </w:r>
      <w:r w:rsidR="006C5679" w:rsidRPr="008401AD">
        <w:rPr>
          <w:i/>
          <w:iCs/>
          <w:szCs w:val="24"/>
          <w:lang w:val="en-GB"/>
        </w:rPr>
        <w:t>,</w:t>
      </w:r>
      <w:r w:rsidRPr="008401AD">
        <w:rPr>
          <w:szCs w:val="24"/>
          <w:lang w:val="en-GB"/>
        </w:rPr>
        <w:t xml:space="preserve"> 2:2, pp. 234–53. </w:t>
      </w:r>
    </w:p>
    <w:p w14:paraId="6BE793CC" w14:textId="12DE6BDA" w:rsidR="00552D85" w:rsidRPr="008401AD" w:rsidRDefault="00552D85" w:rsidP="00552D85">
      <w:pPr>
        <w:rPr>
          <w:szCs w:val="24"/>
          <w:lang w:val="en-GB"/>
        </w:rPr>
      </w:pPr>
      <w:r w:rsidRPr="008401AD">
        <w:rPr>
          <w:szCs w:val="24"/>
          <w:lang w:val="en-GB"/>
        </w:rPr>
        <w:t>Herzog, Christian and Ali</w:t>
      </w:r>
      <w:r w:rsidR="00455A6A" w:rsidRPr="008401AD">
        <w:rPr>
          <w:szCs w:val="24"/>
          <w:lang w:val="en-GB"/>
        </w:rPr>
        <w:t>, Christopher</w:t>
      </w:r>
      <w:r w:rsidRPr="008401AD">
        <w:rPr>
          <w:szCs w:val="24"/>
          <w:lang w:val="en-GB"/>
        </w:rPr>
        <w:t xml:space="preserve"> (2015), ‘Elite </w:t>
      </w:r>
      <w:r w:rsidR="00455A6A" w:rsidRPr="008401AD">
        <w:rPr>
          <w:szCs w:val="24"/>
          <w:lang w:val="en-GB"/>
        </w:rPr>
        <w:t xml:space="preserve">interviewing </w:t>
      </w:r>
      <w:r w:rsidRPr="008401AD">
        <w:rPr>
          <w:szCs w:val="24"/>
          <w:lang w:val="en-GB"/>
        </w:rPr>
        <w:t xml:space="preserve">in </w:t>
      </w:r>
      <w:r w:rsidR="00455A6A" w:rsidRPr="008401AD">
        <w:rPr>
          <w:szCs w:val="24"/>
          <w:lang w:val="en-GB"/>
        </w:rPr>
        <w:t xml:space="preserve">media </w:t>
      </w:r>
      <w:r w:rsidRPr="008401AD">
        <w:rPr>
          <w:szCs w:val="24"/>
          <w:lang w:val="en-GB"/>
        </w:rPr>
        <w:t xml:space="preserve">and </w:t>
      </w:r>
      <w:r w:rsidR="00455A6A" w:rsidRPr="008401AD">
        <w:rPr>
          <w:szCs w:val="24"/>
          <w:lang w:val="en-GB"/>
        </w:rPr>
        <w:t>communications policy research’</w:t>
      </w:r>
      <w:r w:rsidRPr="008401AD">
        <w:rPr>
          <w:szCs w:val="24"/>
          <w:lang w:val="en-GB"/>
        </w:rPr>
        <w:t xml:space="preserve">, </w:t>
      </w:r>
      <w:r w:rsidRPr="008401AD">
        <w:rPr>
          <w:i/>
          <w:szCs w:val="24"/>
          <w:lang w:val="en-GB"/>
        </w:rPr>
        <w:t>International Journal of Media and Cultural Politics</w:t>
      </w:r>
      <w:r w:rsidRPr="008401AD">
        <w:rPr>
          <w:szCs w:val="24"/>
          <w:lang w:val="en-GB"/>
        </w:rPr>
        <w:t>, 11:1, pp. 37</w:t>
      </w:r>
      <w:r w:rsidR="00455A6A" w:rsidRPr="008401AD">
        <w:rPr>
          <w:szCs w:val="24"/>
          <w:lang w:val="en-GB"/>
        </w:rPr>
        <w:t>–</w:t>
      </w:r>
      <w:r w:rsidRPr="008401AD">
        <w:rPr>
          <w:szCs w:val="24"/>
          <w:lang w:val="en-GB"/>
        </w:rPr>
        <w:t>54.</w:t>
      </w:r>
    </w:p>
    <w:p w14:paraId="2E1DF0C5" w14:textId="4CC7BF9D" w:rsidR="00552D85" w:rsidRPr="008401AD" w:rsidRDefault="00552D85" w:rsidP="00552D85">
      <w:pPr>
        <w:rPr>
          <w:szCs w:val="24"/>
          <w:lang w:val="en-GB"/>
        </w:rPr>
      </w:pPr>
      <w:proofErr w:type="spellStart"/>
      <w:r w:rsidRPr="008401AD">
        <w:rPr>
          <w:szCs w:val="24"/>
          <w:lang w:val="en-GB"/>
        </w:rPr>
        <w:t>Hesmondhalgh</w:t>
      </w:r>
      <w:proofErr w:type="spellEnd"/>
      <w:r w:rsidRPr="008401AD">
        <w:rPr>
          <w:szCs w:val="24"/>
          <w:lang w:val="en-GB"/>
        </w:rPr>
        <w:t xml:space="preserve">, David (2009), ‘Politics, </w:t>
      </w:r>
      <w:r w:rsidR="00E52B05" w:rsidRPr="008401AD">
        <w:rPr>
          <w:szCs w:val="24"/>
          <w:lang w:val="en-GB"/>
        </w:rPr>
        <w:t xml:space="preserve">theory </w:t>
      </w:r>
      <w:r w:rsidRPr="008401AD">
        <w:rPr>
          <w:szCs w:val="24"/>
          <w:lang w:val="en-GB"/>
        </w:rPr>
        <w:t xml:space="preserve">and </w:t>
      </w:r>
      <w:r w:rsidR="00E52B05" w:rsidRPr="008401AD">
        <w:rPr>
          <w:szCs w:val="24"/>
          <w:lang w:val="en-GB"/>
        </w:rPr>
        <w:t xml:space="preserve">method </w:t>
      </w:r>
      <w:r w:rsidRPr="008401AD">
        <w:rPr>
          <w:szCs w:val="24"/>
          <w:lang w:val="en-GB"/>
        </w:rPr>
        <w:t xml:space="preserve">in </w:t>
      </w:r>
      <w:r w:rsidR="00E52B05" w:rsidRPr="008401AD">
        <w:rPr>
          <w:szCs w:val="24"/>
          <w:lang w:val="en-GB"/>
        </w:rPr>
        <w:t>media industries research’</w:t>
      </w:r>
      <w:r w:rsidRPr="008401AD">
        <w:rPr>
          <w:szCs w:val="24"/>
          <w:lang w:val="en-GB"/>
        </w:rPr>
        <w:t xml:space="preserve">, in </w:t>
      </w:r>
      <w:r w:rsidR="00E52B05" w:rsidRPr="008401AD">
        <w:rPr>
          <w:szCs w:val="24"/>
          <w:lang w:val="en-GB"/>
        </w:rPr>
        <w:t xml:space="preserve">J. </w:t>
      </w:r>
      <w:r w:rsidRPr="008401AD">
        <w:rPr>
          <w:szCs w:val="24"/>
          <w:lang w:val="en-GB"/>
        </w:rPr>
        <w:t xml:space="preserve">Holt and </w:t>
      </w:r>
      <w:r w:rsidR="00E52B05" w:rsidRPr="008401AD">
        <w:rPr>
          <w:szCs w:val="24"/>
          <w:lang w:val="en-GB"/>
        </w:rPr>
        <w:t xml:space="preserve">A. </w:t>
      </w:r>
      <w:proofErr w:type="spellStart"/>
      <w:r w:rsidRPr="008401AD">
        <w:rPr>
          <w:szCs w:val="24"/>
          <w:lang w:val="en-GB"/>
        </w:rPr>
        <w:t>Perren</w:t>
      </w:r>
      <w:proofErr w:type="spellEnd"/>
      <w:r w:rsidRPr="008401AD">
        <w:rPr>
          <w:szCs w:val="24"/>
          <w:lang w:val="en-GB"/>
        </w:rPr>
        <w:t xml:space="preserve"> (</w:t>
      </w:r>
      <w:proofErr w:type="spellStart"/>
      <w:r w:rsidRPr="008401AD">
        <w:rPr>
          <w:szCs w:val="24"/>
          <w:lang w:val="en-GB"/>
        </w:rPr>
        <w:t>eds</w:t>
      </w:r>
      <w:proofErr w:type="spellEnd"/>
      <w:r w:rsidRPr="008401AD">
        <w:rPr>
          <w:szCs w:val="24"/>
          <w:lang w:val="en-GB"/>
        </w:rPr>
        <w:t xml:space="preserve">), </w:t>
      </w:r>
      <w:r w:rsidRPr="008401AD">
        <w:rPr>
          <w:i/>
          <w:szCs w:val="24"/>
          <w:lang w:val="en-GB"/>
        </w:rPr>
        <w:t>Media Industries: History, Theory, and Method</w:t>
      </w:r>
      <w:r w:rsidRPr="008401AD">
        <w:rPr>
          <w:szCs w:val="24"/>
          <w:lang w:val="en-GB"/>
        </w:rPr>
        <w:t>, Malden: Wiley-Blackwell, pp. 245</w:t>
      </w:r>
      <w:r w:rsidR="00E52B05" w:rsidRPr="008401AD">
        <w:rPr>
          <w:szCs w:val="24"/>
          <w:lang w:val="en-GB"/>
        </w:rPr>
        <w:sym w:font="Symbol" w:char="F02D"/>
      </w:r>
      <w:r w:rsidRPr="008401AD">
        <w:rPr>
          <w:szCs w:val="24"/>
          <w:lang w:val="en-GB"/>
        </w:rPr>
        <w:t xml:space="preserve">55. </w:t>
      </w:r>
    </w:p>
    <w:p w14:paraId="4DAA928D" w14:textId="14CEC85C" w:rsidR="00552D85" w:rsidRPr="008401AD" w:rsidRDefault="00035647" w:rsidP="00552D85">
      <w:pPr>
        <w:rPr>
          <w:szCs w:val="24"/>
          <w:lang w:val="en-GB"/>
        </w:rPr>
      </w:pPr>
      <w:r>
        <w:rPr>
          <w:szCs w:val="24"/>
          <w:lang w:val="en-GB"/>
        </w:rPr>
        <w:t>_____</w:t>
      </w:r>
      <w:r w:rsidR="00552D85" w:rsidRPr="008401AD">
        <w:rPr>
          <w:szCs w:val="24"/>
          <w:lang w:val="en-GB"/>
        </w:rPr>
        <w:t xml:space="preserve"> (2010), ‘Media </w:t>
      </w:r>
      <w:r w:rsidR="00FE7379" w:rsidRPr="008401AD">
        <w:rPr>
          <w:szCs w:val="24"/>
          <w:lang w:val="en-GB"/>
        </w:rPr>
        <w:t>industry studies</w:t>
      </w:r>
      <w:r w:rsidR="00552D85" w:rsidRPr="008401AD">
        <w:rPr>
          <w:szCs w:val="24"/>
          <w:lang w:val="en-GB"/>
        </w:rPr>
        <w:t xml:space="preserve">, </w:t>
      </w:r>
      <w:r w:rsidR="00FE7379" w:rsidRPr="008401AD">
        <w:rPr>
          <w:szCs w:val="24"/>
          <w:lang w:val="en-GB"/>
        </w:rPr>
        <w:t>media production studies’</w:t>
      </w:r>
      <w:r w:rsidR="00552D85" w:rsidRPr="008401AD">
        <w:rPr>
          <w:szCs w:val="24"/>
          <w:lang w:val="en-GB"/>
        </w:rPr>
        <w:t xml:space="preserve">, in J. Curran (ed.), </w:t>
      </w:r>
      <w:r w:rsidR="00552D85" w:rsidRPr="008401AD">
        <w:rPr>
          <w:i/>
          <w:szCs w:val="24"/>
          <w:lang w:val="en-GB"/>
        </w:rPr>
        <w:t>Media and Society</w:t>
      </w:r>
      <w:r w:rsidR="00552D85" w:rsidRPr="008401AD">
        <w:rPr>
          <w:szCs w:val="24"/>
          <w:lang w:val="en-GB"/>
        </w:rPr>
        <w:t>, 5th ed., London: Bloomsbury Academic, pp. 145</w:t>
      </w:r>
      <w:r w:rsidR="00FE7379" w:rsidRPr="008401AD">
        <w:rPr>
          <w:szCs w:val="24"/>
          <w:lang w:val="en-GB"/>
        </w:rPr>
        <w:sym w:font="Symbol" w:char="F02D"/>
      </w:r>
      <w:r w:rsidR="00552D85" w:rsidRPr="008401AD">
        <w:rPr>
          <w:szCs w:val="24"/>
          <w:lang w:val="en-GB"/>
        </w:rPr>
        <w:t>63.</w:t>
      </w:r>
    </w:p>
    <w:p w14:paraId="23C51506" w14:textId="1B5030AF" w:rsidR="00552D85" w:rsidRPr="008401AD" w:rsidRDefault="00035647" w:rsidP="00552D85">
      <w:pPr>
        <w:rPr>
          <w:szCs w:val="24"/>
          <w:lang w:val="en-GB"/>
        </w:rPr>
      </w:pPr>
      <w:r>
        <w:rPr>
          <w:szCs w:val="24"/>
          <w:lang w:val="en-GB"/>
        </w:rPr>
        <w:t>_____</w:t>
      </w:r>
      <w:r w:rsidR="00552D85" w:rsidRPr="008401AD">
        <w:rPr>
          <w:szCs w:val="24"/>
          <w:lang w:val="en-GB"/>
        </w:rPr>
        <w:t xml:space="preserve"> (2013), </w:t>
      </w:r>
      <w:r w:rsidR="00552D85" w:rsidRPr="008401AD">
        <w:rPr>
          <w:i/>
          <w:szCs w:val="24"/>
          <w:lang w:val="en-GB"/>
        </w:rPr>
        <w:t>The Cultural Industries</w:t>
      </w:r>
      <w:r w:rsidR="00552D85" w:rsidRPr="008401AD">
        <w:rPr>
          <w:szCs w:val="24"/>
          <w:lang w:val="en-GB"/>
        </w:rPr>
        <w:t>, 3</w:t>
      </w:r>
      <w:r w:rsidR="00552D85" w:rsidRPr="001E2D3F">
        <w:rPr>
          <w:lang w:val="en-GB"/>
        </w:rPr>
        <w:t>rd</w:t>
      </w:r>
      <w:r w:rsidR="00552D85" w:rsidRPr="008401AD">
        <w:rPr>
          <w:szCs w:val="24"/>
          <w:lang w:val="en-GB"/>
        </w:rPr>
        <w:t xml:space="preserve"> ed., London: Sage. </w:t>
      </w:r>
    </w:p>
    <w:p w14:paraId="5AC44CF0" w14:textId="056338ED" w:rsidR="00552D85" w:rsidRPr="008401AD" w:rsidRDefault="00035647" w:rsidP="00552D85">
      <w:pPr>
        <w:rPr>
          <w:rFonts w:ascii="Calibri" w:hAnsi="Calibri" w:cs="Calibri"/>
          <w:color w:val="000000" w:themeColor="text1"/>
          <w:szCs w:val="24"/>
          <w:lang w:val="en-GB"/>
        </w:rPr>
      </w:pPr>
      <w:r>
        <w:rPr>
          <w:rFonts w:ascii="Calibri" w:hAnsi="Calibri" w:cs="Calibri"/>
          <w:szCs w:val="24"/>
          <w:lang w:val="en-GB"/>
        </w:rPr>
        <w:t>_____</w:t>
      </w:r>
      <w:r w:rsidR="00552D85" w:rsidRPr="008401AD">
        <w:rPr>
          <w:rFonts w:ascii="Calibri" w:hAnsi="Calibri" w:cs="Calibri"/>
          <w:szCs w:val="24"/>
          <w:lang w:val="en-GB"/>
        </w:rPr>
        <w:t xml:space="preserve"> (2014), ‘The </w:t>
      </w:r>
      <w:r w:rsidR="00F8327B" w:rsidRPr="008401AD">
        <w:rPr>
          <w:rFonts w:ascii="Calibri" w:hAnsi="Calibri" w:cs="Calibri"/>
          <w:szCs w:val="24"/>
          <w:lang w:val="en-GB"/>
        </w:rPr>
        <w:t>m</w:t>
      </w:r>
      <w:r w:rsidR="00552D85" w:rsidRPr="008401AD">
        <w:rPr>
          <w:rFonts w:ascii="Calibri" w:hAnsi="Calibri" w:cs="Calibri"/>
          <w:szCs w:val="24"/>
          <w:lang w:val="en-GB"/>
        </w:rPr>
        <w:t xml:space="preserve">enace of </w:t>
      </w:r>
      <w:r w:rsidR="00F8327B" w:rsidRPr="008401AD">
        <w:rPr>
          <w:rFonts w:ascii="Calibri" w:hAnsi="Calibri" w:cs="Calibri"/>
          <w:szCs w:val="24"/>
          <w:lang w:val="en-GB"/>
        </w:rPr>
        <w:t>i</w:t>
      </w:r>
      <w:r w:rsidR="00552D85" w:rsidRPr="008401AD">
        <w:rPr>
          <w:rFonts w:ascii="Calibri" w:hAnsi="Calibri" w:cs="Calibri"/>
          <w:szCs w:val="24"/>
          <w:lang w:val="en-GB"/>
        </w:rPr>
        <w:t xml:space="preserve">nstrumentalism in </w:t>
      </w:r>
      <w:r w:rsidR="00F8327B" w:rsidRPr="008401AD">
        <w:rPr>
          <w:rFonts w:ascii="Calibri" w:hAnsi="Calibri" w:cs="Calibri"/>
          <w:szCs w:val="24"/>
          <w:lang w:val="en-GB"/>
        </w:rPr>
        <w:t>m</w:t>
      </w:r>
      <w:r w:rsidR="00552D85" w:rsidRPr="008401AD">
        <w:rPr>
          <w:rFonts w:ascii="Calibri" w:hAnsi="Calibri" w:cs="Calibri"/>
          <w:szCs w:val="24"/>
          <w:lang w:val="en-GB"/>
        </w:rPr>
        <w:t xml:space="preserve">edia </w:t>
      </w:r>
      <w:r w:rsidR="00F8327B" w:rsidRPr="008401AD">
        <w:rPr>
          <w:rFonts w:ascii="Calibri" w:hAnsi="Calibri" w:cs="Calibri"/>
          <w:szCs w:val="24"/>
          <w:lang w:val="en-GB"/>
        </w:rPr>
        <w:t>i</w:t>
      </w:r>
      <w:r w:rsidR="00552D85" w:rsidRPr="008401AD">
        <w:rPr>
          <w:rFonts w:ascii="Calibri" w:hAnsi="Calibri" w:cs="Calibri"/>
          <w:szCs w:val="24"/>
          <w:lang w:val="en-GB"/>
        </w:rPr>
        <w:t xml:space="preserve">ndustry </w:t>
      </w:r>
      <w:r w:rsidR="00F8327B" w:rsidRPr="008401AD">
        <w:rPr>
          <w:rFonts w:ascii="Calibri" w:hAnsi="Calibri" w:cs="Calibri"/>
          <w:szCs w:val="24"/>
          <w:lang w:val="en-GB"/>
        </w:rPr>
        <w:t>r</w:t>
      </w:r>
      <w:r w:rsidR="00552D85" w:rsidRPr="008401AD">
        <w:rPr>
          <w:rFonts w:ascii="Calibri" w:hAnsi="Calibri" w:cs="Calibri"/>
          <w:szCs w:val="24"/>
          <w:lang w:val="en-GB"/>
        </w:rPr>
        <w:t xml:space="preserve">esearch and </w:t>
      </w:r>
      <w:r w:rsidR="00F8327B" w:rsidRPr="008401AD">
        <w:rPr>
          <w:rFonts w:ascii="Calibri" w:hAnsi="Calibri" w:cs="Calibri"/>
          <w:szCs w:val="24"/>
          <w:lang w:val="en-GB"/>
        </w:rPr>
        <w:t>e</w:t>
      </w:r>
      <w:r w:rsidR="00552D85" w:rsidRPr="008401AD">
        <w:rPr>
          <w:rFonts w:ascii="Calibri" w:hAnsi="Calibri" w:cs="Calibri"/>
          <w:szCs w:val="24"/>
          <w:lang w:val="en-GB"/>
        </w:rPr>
        <w:t xml:space="preserve">ducation, </w:t>
      </w:r>
      <w:r w:rsidR="00552D85" w:rsidRPr="008401AD">
        <w:rPr>
          <w:rFonts w:ascii="Calibri" w:hAnsi="Calibri" w:cs="Calibri"/>
          <w:i/>
          <w:szCs w:val="24"/>
          <w:lang w:val="en-GB"/>
        </w:rPr>
        <w:t>Media Industries</w:t>
      </w:r>
      <w:r>
        <w:rPr>
          <w:rFonts w:ascii="Calibri" w:hAnsi="Calibri" w:cs="Calibri"/>
          <w:szCs w:val="24"/>
          <w:lang w:val="en-GB"/>
        </w:rPr>
        <w:t>,</w:t>
      </w:r>
      <w:r w:rsidR="00552D85" w:rsidRPr="008401AD">
        <w:rPr>
          <w:rFonts w:ascii="Calibri" w:hAnsi="Calibri" w:cs="Calibri"/>
          <w:szCs w:val="24"/>
          <w:lang w:val="en-GB"/>
        </w:rPr>
        <w:t xml:space="preserve"> 1:1</w:t>
      </w:r>
      <w:r w:rsidR="00F8327B" w:rsidRPr="008401AD">
        <w:rPr>
          <w:rFonts w:ascii="Calibri" w:hAnsi="Calibri" w:cs="Calibri"/>
          <w:szCs w:val="24"/>
          <w:lang w:val="en-GB"/>
        </w:rPr>
        <w:t>,</w:t>
      </w:r>
      <w:r>
        <w:rPr>
          <w:rFonts w:ascii="Calibri" w:hAnsi="Calibri" w:cs="Calibri"/>
          <w:szCs w:val="24"/>
          <w:lang w:val="en-GB"/>
        </w:rPr>
        <w:t xml:space="preserve"> h</w:t>
      </w:r>
      <w:r w:rsidR="00552D85" w:rsidRPr="008401AD">
        <w:rPr>
          <w:rFonts w:ascii="Calibri" w:hAnsi="Calibri" w:cs="Calibri"/>
          <w:szCs w:val="24"/>
          <w:lang w:val="en-GB"/>
        </w:rPr>
        <w:t>ttp://www.mediaindustriesjournal.org/index.php/mij/article/view/15/57</w:t>
      </w:r>
      <w:r w:rsidR="00F8327B" w:rsidRPr="008401AD">
        <w:rPr>
          <w:rFonts w:ascii="Calibri" w:hAnsi="Calibri" w:cs="Calibri"/>
          <w:color w:val="000000" w:themeColor="text1"/>
          <w:szCs w:val="24"/>
          <w:lang w:val="en-GB"/>
        </w:rPr>
        <w:t>.</w:t>
      </w:r>
      <w:r w:rsidR="00552D85" w:rsidRPr="008401AD">
        <w:rPr>
          <w:rFonts w:ascii="Calibri" w:hAnsi="Calibri" w:cs="Calibri"/>
          <w:color w:val="000000" w:themeColor="text1"/>
          <w:szCs w:val="24"/>
          <w:lang w:val="en-GB"/>
        </w:rPr>
        <w:t xml:space="preserve"> Accessed 13 December 2016</w:t>
      </w:r>
      <w:r w:rsidR="009B658B" w:rsidRPr="008401AD">
        <w:rPr>
          <w:rFonts w:ascii="Calibri" w:hAnsi="Calibri" w:cs="Calibri"/>
          <w:color w:val="000000" w:themeColor="text1"/>
          <w:szCs w:val="24"/>
          <w:lang w:val="en-GB"/>
        </w:rPr>
        <w:t>.</w:t>
      </w:r>
    </w:p>
    <w:p w14:paraId="37C87126" w14:textId="4A8B974A" w:rsidR="00552D85" w:rsidRPr="008401AD" w:rsidRDefault="00552D85" w:rsidP="00552D85">
      <w:pPr>
        <w:rPr>
          <w:color w:val="000000" w:themeColor="text1"/>
          <w:szCs w:val="24"/>
          <w:lang w:val="en-GB"/>
        </w:rPr>
      </w:pPr>
      <w:proofErr w:type="spellStart"/>
      <w:r w:rsidRPr="008401AD">
        <w:rPr>
          <w:szCs w:val="24"/>
          <w:lang w:val="en-GB"/>
        </w:rPr>
        <w:t>Hesmondhalgh</w:t>
      </w:r>
      <w:proofErr w:type="spellEnd"/>
      <w:r w:rsidRPr="008401AD">
        <w:rPr>
          <w:szCs w:val="24"/>
          <w:lang w:val="en-GB"/>
        </w:rPr>
        <w:t>, David and Baker</w:t>
      </w:r>
      <w:r w:rsidR="009B658B" w:rsidRPr="008401AD">
        <w:rPr>
          <w:szCs w:val="24"/>
          <w:lang w:val="en-GB"/>
        </w:rPr>
        <w:t>, Sarah</w:t>
      </w:r>
      <w:r w:rsidRPr="008401AD">
        <w:rPr>
          <w:szCs w:val="24"/>
          <w:lang w:val="en-GB"/>
        </w:rPr>
        <w:t xml:space="preserve"> (2011), </w:t>
      </w:r>
      <w:r w:rsidRPr="008401AD">
        <w:rPr>
          <w:i/>
          <w:szCs w:val="24"/>
          <w:lang w:val="en-GB"/>
        </w:rPr>
        <w:t>Creative Labour: Media Work in Three Cultural Industries</w:t>
      </w:r>
      <w:r w:rsidRPr="008401AD">
        <w:rPr>
          <w:szCs w:val="24"/>
          <w:lang w:val="en-GB"/>
        </w:rPr>
        <w:t>, London: Routledge.</w:t>
      </w:r>
    </w:p>
    <w:p w14:paraId="1FA9901B" w14:textId="156F8D0E" w:rsidR="00552D85" w:rsidRPr="008401AD" w:rsidRDefault="00552D85" w:rsidP="00552D85">
      <w:pPr>
        <w:rPr>
          <w:szCs w:val="24"/>
          <w:lang w:val="en-GB"/>
        </w:rPr>
      </w:pPr>
      <w:proofErr w:type="spellStart"/>
      <w:r w:rsidRPr="008401AD">
        <w:rPr>
          <w:szCs w:val="24"/>
          <w:lang w:val="en-GB"/>
        </w:rPr>
        <w:t>Hilmes</w:t>
      </w:r>
      <w:proofErr w:type="spellEnd"/>
      <w:r w:rsidRPr="008401AD">
        <w:rPr>
          <w:szCs w:val="24"/>
          <w:lang w:val="en-GB"/>
        </w:rPr>
        <w:t xml:space="preserve">, Michele (2014), ‘Transnational TV: What </w:t>
      </w:r>
      <w:r w:rsidR="009B658B" w:rsidRPr="008401AD">
        <w:rPr>
          <w:szCs w:val="24"/>
          <w:lang w:val="en-GB"/>
        </w:rPr>
        <w:t xml:space="preserve">do we mean </w:t>
      </w:r>
      <w:r w:rsidRPr="008401AD">
        <w:rPr>
          <w:szCs w:val="24"/>
          <w:lang w:val="en-GB"/>
        </w:rPr>
        <w:t xml:space="preserve">by </w:t>
      </w:r>
      <w:r w:rsidR="009B658B" w:rsidRPr="008401AD">
        <w:rPr>
          <w:szCs w:val="24"/>
          <w:lang w:val="en-GB"/>
        </w:rPr>
        <w:t>coproduction anymore</w:t>
      </w:r>
      <w:r w:rsidRPr="008401AD">
        <w:rPr>
          <w:szCs w:val="24"/>
          <w:lang w:val="en-GB"/>
        </w:rPr>
        <w:t xml:space="preserve">?’ </w:t>
      </w:r>
      <w:r w:rsidRPr="008401AD">
        <w:rPr>
          <w:i/>
          <w:szCs w:val="24"/>
          <w:lang w:val="en-GB"/>
        </w:rPr>
        <w:t>Media Industries Journal</w:t>
      </w:r>
      <w:r w:rsidRPr="008401AD">
        <w:rPr>
          <w:szCs w:val="24"/>
          <w:lang w:val="en-GB"/>
        </w:rPr>
        <w:t>, 1:1, pp. 10</w:t>
      </w:r>
      <w:r w:rsidR="009B658B" w:rsidRPr="008401AD">
        <w:rPr>
          <w:szCs w:val="24"/>
          <w:lang w:val="en-GB"/>
        </w:rPr>
        <w:sym w:font="Symbol" w:char="F02D"/>
      </w:r>
      <w:r w:rsidRPr="008401AD">
        <w:rPr>
          <w:szCs w:val="24"/>
          <w:lang w:val="en-GB"/>
        </w:rPr>
        <w:t xml:space="preserve">14. </w:t>
      </w:r>
    </w:p>
    <w:p w14:paraId="470A125B" w14:textId="031A86C4" w:rsidR="00552D85" w:rsidRPr="008401AD" w:rsidRDefault="00552D85" w:rsidP="00552D85">
      <w:pPr>
        <w:rPr>
          <w:szCs w:val="24"/>
          <w:lang w:val="en-GB"/>
        </w:rPr>
      </w:pPr>
      <w:r w:rsidRPr="008401AD">
        <w:rPr>
          <w:szCs w:val="24"/>
          <w:lang w:val="en-GB"/>
        </w:rPr>
        <w:t xml:space="preserve">Holt, Jennifer and </w:t>
      </w:r>
      <w:proofErr w:type="spellStart"/>
      <w:r w:rsidRPr="008401AD">
        <w:rPr>
          <w:szCs w:val="24"/>
          <w:lang w:val="en-GB"/>
        </w:rPr>
        <w:t>Perren</w:t>
      </w:r>
      <w:proofErr w:type="spellEnd"/>
      <w:r w:rsidR="00A86EEC" w:rsidRPr="008401AD">
        <w:rPr>
          <w:szCs w:val="24"/>
          <w:lang w:val="en-GB"/>
        </w:rPr>
        <w:t>, Alicia</w:t>
      </w:r>
      <w:r w:rsidRPr="008401AD">
        <w:rPr>
          <w:szCs w:val="24"/>
          <w:lang w:val="en-GB"/>
        </w:rPr>
        <w:t xml:space="preserve"> (</w:t>
      </w:r>
      <w:proofErr w:type="spellStart"/>
      <w:r w:rsidRPr="008401AD">
        <w:rPr>
          <w:szCs w:val="24"/>
          <w:lang w:val="en-GB"/>
        </w:rPr>
        <w:t>eds</w:t>
      </w:r>
      <w:proofErr w:type="spellEnd"/>
      <w:r w:rsidRPr="008401AD">
        <w:rPr>
          <w:szCs w:val="24"/>
          <w:lang w:val="en-GB"/>
        </w:rPr>
        <w:t xml:space="preserve">) (2009), </w:t>
      </w:r>
      <w:r w:rsidRPr="008401AD">
        <w:rPr>
          <w:i/>
          <w:szCs w:val="24"/>
          <w:lang w:val="en-GB"/>
        </w:rPr>
        <w:t>Media Industries: History, Theory, and Method</w:t>
      </w:r>
      <w:r w:rsidRPr="008401AD">
        <w:rPr>
          <w:szCs w:val="24"/>
          <w:lang w:val="en-GB"/>
        </w:rPr>
        <w:t>, Malden: Wiley-Blackwell.</w:t>
      </w:r>
    </w:p>
    <w:p w14:paraId="686F0FE3" w14:textId="37669EAE" w:rsidR="00552D85" w:rsidRPr="008401AD" w:rsidRDefault="00552D85" w:rsidP="00552D85">
      <w:pPr>
        <w:rPr>
          <w:szCs w:val="24"/>
          <w:lang w:val="en-GB"/>
        </w:rPr>
      </w:pPr>
      <w:r w:rsidRPr="008401AD">
        <w:rPr>
          <w:szCs w:val="24"/>
          <w:lang w:val="en-GB"/>
        </w:rPr>
        <w:t xml:space="preserve">Johnson, Derek, </w:t>
      </w:r>
      <w:proofErr w:type="spellStart"/>
      <w:r w:rsidRPr="008401AD">
        <w:rPr>
          <w:szCs w:val="24"/>
          <w:lang w:val="en-GB"/>
        </w:rPr>
        <w:t>Kompare</w:t>
      </w:r>
      <w:proofErr w:type="spellEnd"/>
      <w:r w:rsidRPr="008401AD">
        <w:rPr>
          <w:szCs w:val="24"/>
          <w:lang w:val="en-GB"/>
        </w:rPr>
        <w:t xml:space="preserve">, </w:t>
      </w:r>
      <w:r w:rsidR="00577CFF" w:rsidRPr="008401AD">
        <w:rPr>
          <w:szCs w:val="24"/>
          <w:lang w:val="en-GB"/>
        </w:rPr>
        <w:t xml:space="preserve">Derek </w:t>
      </w:r>
      <w:r w:rsidRPr="008401AD">
        <w:rPr>
          <w:szCs w:val="24"/>
          <w:lang w:val="en-GB"/>
        </w:rPr>
        <w:t>and Santo</w:t>
      </w:r>
      <w:r w:rsidR="00577CFF" w:rsidRPr="008401AD">
        <w:rPr>
          <w:szCs w:val="24"/>
          <w:lang w:val="en-GB"/>
        </w:rPr>
        <w:t xml:space="preserve">, </w:t>
      </w:r>
      <w:proofErr w:type="spellStart"/>
      <w:r w:rsidR="00577CFF" w:rsidRPr="008401AD">
        <w:rPr>
          <w:szCs w:val="24"/>
          <w:lang w:val="en-GB"/>
        </w:rPr>
        <w:t>Avi</w:t>
      </w:r>
      <w:proofErr w:type="spellEnd"/>
      <w:r w:rsidRPr="008401AD">
        <w:rPr>
          <w:szCs w:val="24"/>
          <w:lang w:val="en-GB"/>
        </w:rPr>
        <w:t xml:space="preserve"> (</w:t>
      </w:r>
      <w:proofErr w:type="spellStart"/>
      <w:r w:rsidRPr="008401AD">
        <w:rPr>
          <w:szCs w:val="24"/>
          <w:lang w:val="en-GB"/>
        </w:rPr>
        <w:t>eds</w:t>
      </w:r>
      <w:proofErr w:type="spellEnd"/>
      <w:r w:rsidRPr="008401AD">
        <w:rPr>
          <w:szCs w:val="24"/>
          <w:lang w:val="en-GB"/>
        </w:rPr>
        <w:t xml:space="preserve">) (2015), </w:t>
      </w:r>
      <w:r w:rsidRPr="008401AD">
        <w:rPr>
          <w:i/>
          <w:szCs w:val="24"/>
          <w:lang w:val="en-GB"/>
        </w:rPr>
        <w:t>Making Media Work: Cultures of Management in the Entertainment Industries</w:t>
      </w:r>
      <w:r w:rsidRPr="008401AD">
        <w:rPr>
          <w:szCs w:val="24"/>
          <w:lang w:val="en-GB"/>
        </w:rPr>
        <w:t>, New York: New York University Press.</w:t>
      </w:r>
    </w:p>
    <w:p w14:paraId="07C167B6" w14:textId="77777777" w:rsidR="005A5DEB" w:rsidRPr="008401AD" w:rsidRDefault="005A5DEB" w:rsidP="005A5DEB">
      <w:pPr>
        <w:rPr>
          <w:szCs w:val="24"/>
          <w:lang w:val="en-GB"/>
        </w:rPr>
      </w:pPr>
      <w:proofErr w:type="spellStart"/>
      <w:r w:rsidRPr="008401AD">
        <w:rPr>
          <w:szCs w:val="24"/>
          <w:lang w:val="en-GB"/>
        </w:rPr>
        <w:t>Küng</w:t>
      </w:r>
      <w:proofErr w:type="spellEnd"/>
      <w:r w:rsidRPr="008401AD">
        <w:rPr>
          <w:szCs w:val="24"/>
          <w:lang w:val="en-GB"/>
        </w:rPr>
        <w:t xml:space="preserve">, Lucy (2017), </w:t>
      </w:r>
      <w:r w:rsidRPr="008401AD">
        <w:rPr>
          <w:i/>
          <w:szCs w:val="24"/>
          <w:lang w:val="en-GB"/>
        </w:rPr>
        <w:t>Strategic Management in the Media: Theory to Practice</w:t>
      </w:r>
      <w:r w:rsidRPr="008401AD">
        <w:rPr>
          <w:szCs w:val="24"/>
          <w:lang w:val="en-GB"/>
        </w:rPr>
        <w:t>, 2</w:t>
      </w:r>
      <w:r w:rsidRPr="001E2D3F">
        <w:rPr>
          <w:lang w:val="en-GB"/>
        </w:rPr>
        <w:t>nd</w:t>
      </w:r>
      <w:r w:rsidRPr="008401AD">
        <w:rPr>
          <w:szCs w:val="24"/>
          <w:lang w:val="en-GB"/>
        </w:rPr>
        <w:t xml:space="preserve"> ed., London: Sage.</w:t>
      </w:r>
    </w:p>
    <w:p w14:paraId="21B46857" w14:textId="77777777" w:rsidR="005A5DEB" w:rsidRPr="008401AD" w:rsidRDefault="005A5DEB" w:rsidP="005A5DEB">
      <w:pPr>
        <w:rPr>
          <w:szCs w:val="24"/>
          <w:lang w:val="en-GB"/>
        </w:rPr>
      </w:pPr>
      <w:proofErr w:type="spellStart"/>
      <w:r w:rsidRPr="008401AD">
        <w:rPr>
          <w:szCs w:val="24"/>
          <w:lang w:val="en-GB"/>
        </w:rPr>
        <w:t>Küng-Shankleman</w:t>
      </w:r>
      <w:proofErr w:type="spellEnd"/>
      <w:r w:rsidRPr="008401AD">
        <w:rPr>
          <w:szCs w:val="24"/>
          <w:lang w:val="en-GB"/>
        </w:rPr>
        <w:t xml:space="preserve">, Lucy (2000), </w:t>
      </w:r>
      <w:r w:rsidRPr="008401AD">
        <w:rPr>
          <w:i/>
          <w:szCs w:val="24"/>
          <w:lang w:val="en-GB"/>
        </w:rPr>
        <w:t>Inside the BBC and CNN: Managing Media Organisations,</w:t>
      </w:r>
      <w:r w:rsidRPr="008401AD">
        <w:rPr>
          <w:szCs w:val="24"/>
          <w:lang w:val="en-GB"/>
        </w:rPr>
        <w:t xml:space="preserve"> London: Routledge.</w:t>
      </w:r>
    </w:p>
    <w:p w14:paraId="2113A66D" w14:textId="60547107" w:rsidR="00552D85" w:rsidRPr="008401AD" w:rsidRDefault="00552D85" w:rsidP="00552D85">
      <w:pPr>
        <w:rPr>
          <w:szCs w:val="24"/>
          <w:lang w:val="en-GB"/>
        </w:rPr>
      </w:pPr>
      <w:r w:rsidRPr="008401AD">
        <w:rPr>
          <w:szCs w:val="24"/>
          <w:lang w:val="en-GB"/>
        </w:rPr>
        <w:t xml:space="preserve">Kunz, William M. (2007), </w:t>
      </w:r>
      <w:r w:rsidRPr="008401AD">
        <w:rPr>
          <w:i/>
          <w:szCs w:val="24"/>
          <w:lang w:val="en-GB"/>
        </w:rPr>
        <w:t>Culture Conglomerates: Consolidation in the Motion Picture and Television Industries</w:t>
      </w:r>
      <w:r w:rsidRPr="008401AD">
        <w:rPr>
          <w:szCs w:val="24"/>
          <w:lang w:val="en-GB"/>
        </w:rPr>
        <w:t xml:space="preserve">, Lanham: Roman &amp; Littlefield. </w:t>
      </w:r>
    </w:p>
    <w:p w14:paraId="237DA73E" w14:textId="52DAA140" w:rsidR="00552D85" w:rsidRPr="008401AD" w:rsidRDefault="00552D85" w:rsidP="00552D85">
      <w:pPr>
        <w:rPr>
          <w:szCs w:val="24"/>
          <w:lang w:val="en-GB"/>
        </w:rPr>
      </w:pPr>
      <w:proofErr w:type="spellStart"/>
      <w:r w:rsidRPr="008401AD">
        <w:rPr>
          <w:szCs w:val="24"/>
          <w:lang w:val="en-GB"/>
        </w:rPr>
        <w:t>Lampel</w:t>
      </w:r>
      <w:proofErr w:type="spellEnd"/>
      <w:r w:rsidRPr="008401AD">
        <w:rPr>
          <w:szCs w:val="24"/>
          <w:lang w:val="en-GB"/>
        </w:rPr>
        <w:t>, Joseph</w:t>
      </w:r>
      <w:r w:rsidR="004D6A15" w:rsidRPr="008401AD">
        <w:rPr>
          <w:szCs w:val="24"/>
          <w:lang w:val="en-GB"/>
        </w:rPr>
        <w:t>,</w:t>
      </w:r>
      <w:r w:rsidRPr="008401AD">
        <w:rPr>
          <w:szCs w:val="24"/>
          <w:lang w:val="en-GB"/>
        </w:rPr>
        <w:t xml:space="preserve"> </w:t>
      </w:r>
      <w:proofErr w:type="spellStart"/>
      <w:r w:rsidRPr="008401AD">
        <w:rPr>
          <w:szCs w:val="24"/>
          <w:lang w:val="en-GB"/>
        </w:rPr>
        <w:t>Shamsie</w:t>
      </w:r>
      <w:proofErr w:type="spellEnd"/>
      <w:r w:rsidR="00AE5A30" w:rsidRPr="008401AD">
        <w:rPr>
          <w:szCs w:val="24"/>
          <w:lang w:val="en-GB"/>
        </w:rPr>
        <w:t>, Jamal</w:t>
      </w:r>
      <w:r w:rsidRPr="008401AD">
        <w:rPr>
          <w:szCs w:val="24"/>
          <w:lang w:val="en-GB"/>
        </w:rPr>
        <w:t xml:space="preserve"> and </w:t>
      </w:r>
      <w:proofErr w:type="spellStart"/>
      <w:r w:rsidRPr="008401AD">
        <w:rPr>
          <w:szCs w:val="24"/>
          <w:lang w:val="en-GB"/>
        </w:rPr>
        <w:t>Lant</w:t>
      </w:r>
      <w:proofErr w:type="spellEnd"/>
      <w:r w:rsidR="00AE5A30" w:rsidRPr="008401AD">
        <w:rPr>
          <w:szCs w:val="24"/>
          <w:lang w:val="en-GB"/>
        </w:rPr>
        <w:t>, Theresa</w:t>
      </w:r>
      <w:r w:rsidRPr="008401AD">
        <w:rPr>
          <w:szCs w:val="24"/>
          <w:lang w:val="en-GB"/>
        </w:rPr>
        <w:t xml:space="preserve"> (2006), </w:t>
      </w:r>
      <w:proofErr w:type="gramStart"/>
      <w:r w:rsidRPr="008401AD">
        <w:rPr>
          <w:i/>
          <w:szCs w:val="24"/>
          <w:lang w:val="en-GB"/>
        </w:rPr>
        <w:t>The</w:t>
      </w:r>
      <w:proofErr w:type="gramEnd"/>
      <w:r w:rsidRPr="008401AD">
        <w:rPr>
          <w:i/>
          <w:szCs w:val="24"/>
          <w:lang w:val="en-GB"/>
        </w:rPr>
        <w:t xml:space="preserve"> Business of Culture: Emerging Perspectives in Media Entertainment</w:t>
      </w:r>
      <w:r w:rsidRPr="008401AD">
        <w:rPr>
          <w:szCs w:val="24"/>
          <w:lang w:val="en-GB"/>
        </w:rPr>
        <w:t xml:space="preserve">, </w:t>
      </w:r>
      <w:proofErr w:type="spellStart"/>
      <w:r w:rsidRPr="008401AD">
        <w:rPr>
          <w:szCs w:val="24"/>
          <w:lang w:val="en-GB"/>
        </w:rPr>
        <w:t>Mahuah</w:t>
      </w:r>
      <w:proofErr w:type="spellEnd"/>
      <w:r w:rsidRPr="008401AD">
        <w:rPr>
          <w:szCs w:val="24"/>
          <w:lang w:val="en-GB"/>
        </w:rPr>
        <w:t xml:space="preserve">: Lawrence Erlbaum Associates. </w:t>
      </w:r>
    </w:p>
    <w:p w14:paraId="2685C70C" w14:textId="17029A9C" w:rsidR="00552D85" w:rsidRPr="008401AD" w:rsidRDefault="00552D85" w:rsidP="00552D85">
      <w:pPr>
        <w:rPr>
          <w:szCs w:val="24"/>
          <w:lang w:val="en-GB"/>
        </w:rPr>
      </w:pPr>
      <w:r w:rsidRPr="008401AD">
        <w:rPr>
          <w:szCs w:val="24"/>
          <w:lang w:val="en-GB"/>
        </w:rPr>
        <w:t xml:space="preserve">Livingston, Sonia (2003), ‘On the </w:t>
      </w:r>
      <w:r w:rsidR="00AE5A30" w:rsidRPr="008401AD">
        <w:rPr>
          <w:szCs w:val="24"/>
          <w:lang w:val="en-GB"/>
        </w:rPr>
        <w:t xml:space="preserve">challenges </w:t>
      </w:r>
      <w:r w:rsidRPr="008401AD">
        <w:rPr>
          <w:szCs w:val="24"/>
          <w:lang w:val="en-GB"/>
        </w:rPr>
        <w:t xml:space="preserve">of </w:t>
      </w:r>
      <w:r w:rsidR="00AE5A30" w:rsidRPr="008401AD">
        <w:rPr>
          <w:szCs w:val="24"/>
          <w:lang w:val="en-GB"/>
        </w:rPr>
        <w:t>cross</w:t>
      </w:r>
      <w:r w:rsidRPr="008401AD">
        <w:rPr>
          <w:szCs w:val="24"/>
          <w:lang w:val="en-GB"/>
        </w:rPr>
        <w:t>-</w:t>
      </w:r>
      <w:r w:rsidR="00AE5A30" w:rsidRPr="008401AD">
        <w:rPr>
          <w:szCs w:val="24"/>
          <w:lang w:val="en-GB"/>
        </w:rPr>
        <w:t>national comparative media research’</w:t>
      </w:r>
      <w:r w:rsidRPr="008401AD">
        <w:rPr>
          <w:szCs w:val="24"/>
          <w:lang w:val="en-GB"/>
        </w:rPr>
        <w:t xml:space="preserve">, </w:t>
      </w:r>
      <w:r w:rsidRPr="008401AD">
        <w:rPr>
          <w:i/>
          <w:szCs w:val="24"/>
          <w:lang w:val="en-GB"/>
        </w:rPr>
        <w:t>European Journal of Communication</w:t>
      </w:r>
      <w:r w:rsidR="00AE5A30" w:rsidRPr="001E2D3F">
        <w:rPr>
          <w:lang w:val="en-GB"/>
        </w:rPr>
        <w:t>,</w:t>
      </w:r>
      <w:r w:rsidRPr="008401AD">
        <w:rPr>
          <w:szCs w:val="24"/>
          <w:lang w:val="en-GB"/>
        </w:rPr>
        <w:t xml:space="preserve"> 18:4, pp. 477</w:t>
      </w:r>
      <w:r w:rsidR="00AE5A30" w:rsidRPr="008401AD">
        <w:rPr>
          <w:szCs w:val="24"/>
          <w:lang w:val="en-GB"/>
        </w:rPr>
        <w:sym w:font="Symbol" w:char="F02D"/>
      </w:r>
      <w:r w:rsidRPr="008401AD">
        <w:rPr>
          <w:szCs w:val="24"/>
          <w:lang w:val="en-GB"/>
        </w:rPr>
        <w:t xml:space="preserve">500. </w:t>
      </w:r>
    </w:p>
    <w:p w14:paraId="7531E2CF" w14:textId="59F207A5" w:rsidR="00552D85" w:rsidRPr="008401AD" w:rsidRDefault="00552D85" w:rsidP="00552D85">
      <w:pPr>
        <w:rPr>
          <w:szCs w:val="24"/>
          <w:lang w:val="en-GB"/>
        </w:rPr>
      </w:pPr>
      <w:r w:rsidRPr="008401AD">
        <w:rPr>
          <w:color w:val="333333"/>
          <w:szCs w:val="24"/>
          <w:shd w:val="clear" w:color="auto" w:fill="FFFFFF"/>
          <w:lang w:val="en-GB"/>
        </w:rPr>
        <w:t>Mayer, Vicki (2011),</w:t>
      </w:r>
      <w:r w:rsidRPr="008401AD">
        <w:rPr>
          <w:i/>
          <w:color w:val="333333"/>
          <w:szCs w:val="24"/>
          <w:shd w:val="clear" w:color="auto" w:fill="FFFFFF"/>
          <w:lang w:val="en-GB"/>
        </w:rPr>
        <w:t xml:space="preserve"> </w:t>
      </w:r>
      <w:r w:rsidRPr="008401AD">
        <w:rPr>
          <w:i/>
          <w:color w:val="111111"/>
          <w:szCs w:val="24"/>
          <w:lang w:val="en-GB"/>
        </w:rPr>
        <w:t>Below the Line: Producers and Production Studies in the New Television Economy</w:t>
      </w:r>
      <w:r w:rsidRPr="008401AD">
        <w:rPr>
          <w:color w:val="111111"/>
          <w:szCs w:val="24"/>
          <w:lang w:val="en-GB"/>
        </w:rPr>
        <w:t>, Durham:</w:t>
      </w:r>
      <w:r w:rsidRPr="008401AD">
        <w:rPr>
          <w:szCs w:val="24"/>
          <w:lang w:val="en-GB"/>
        </w:rPr>
        <w:t xml:space="preserve"> Duke University Press. </w:t>
      </w:r>
    </w:p>
    <w:p w14:paraId="15D71C08" w14:textId="47FD4E66" w:rsidR="00552D85" w:rsidRPr="008401AD" w:rsidRDefault="00552D85" w:rsidP="00552D85">
      <w:pPr>
        <w:rPr>
          <w:szCs w:val="24"/>
          <w:lang w:val="en-GB"/>
        </w:rPr>
      </w:pPr>
      <w:r w:rsidRPr="008401AD">
        <w:rPr>
          <w:szCs w:val="24"/>
          <w:lang w:val="en-GB"/>
        </w:rPr>
        <w:t>Mayer, Vicki, Banks</w:t>
      </w:r>
      <w:r w:rsidR="0058181A" w:rsidRPr="008401AD">
        <w:rPr>
          <w:szCs w:val="24"/>
          <w:lang w:val="en-GB"/>
        </w:rPr>
        <w:t>, Mark</w:t>
      </w:r>
      <w:r w:rsidRPr="008401AD">
        <w:rPr>
          <w:szCs w:val="24"/>
          <w:lang w:val="en-GB"/>
        </w:rPr>
        <w:t xml:space="preserve"> and Caldwell</w:t>
      </w:r>
      <w:r w:rsidR="0058181A" w:rsidRPr="008401AD">
        <w:rPr>
          <w:szCs w:val="24"/>
          <w:lang w:val="en-GB"/>
        </w:rPr>
        <w:t xml:space="preserve">, John T. </w:t>
      </w:r>
      <w:r w:rsidRPr="008401AD">
        <w:rPr>
          <w:szCs w:val="24"/>
          <w:lang w:val="en-GB"/>
        </w:rPr>
        <w:t>(</w:t>
      </w:r>
      <w:proofErr w:type="spellStart"/>
      <w:r w:rsidRPr="008401AD">
        <w:rPr>
          <w:szCs w:val="24"/>
          <w:lang w:val="en-GB"/>
        </w:rPr>
        <w:t>eds</w:t>
      </w:r>
      <w:proofErr w:type="spellEnd"/>
      <w:r w:rsidRPr="008401AD">
        <w:rPr>
          <w:szCs w:val="24"/>
          <w:lang w:val="en-GB"/>
        </w:rPr>
        <w:t xml:space="preserve">) (2009), </w:t>
      </w:r>
      <w:r w:rsidRPr="008401AD">
        <w:rPr>
          <w:i/>
          <w:szCs w:val="24"/>
          <w:lang w:val="en-GB"/>
        </w:rPr>
        <w:t>Production Studies: Cultural Studies of Media Industries</w:t>
      </w:r>
      <w:r w:rsidRPr="008401AD">
        <w:rPr>
          <w:szCs w:val="24"/>
          <w:lang w:val="en-GB"/>
        </w:rPr>
        <w:t xml:space="preserve">, London: Routledge. </w:t>
      </w:r>
    </w:p>
    <w:p w14:paraId="785B2A0E" w14:textId="4A2465C1" w:rsidR="00552D85" w:rsidRPr="008401AD" w:rsidRDefault="00552D85" w:rsidP="00552D85">
      <w:pPr>
        <w:rPr>
          <w:szCs w:val="24"/>
          <w:lang w:val="en-GB"/>
        </w:rPr>
      </w:pPr>
      <w:r w:rsidRPr="008401AD">
        <w:rPr>
          <w:szCs w:val="24"/>
          <w:lang w:val="en-GB"/>
        </w:rPr>
        <w:t>McDonald, Paul (201</w:t>
      </w:r>
      <w:r w:rsidR="00334ECF">
        <w:rPr>
          <w:szCs w:val="24"/>
          <w:lang w:val="en-GB"/>
        </w:rPr>
        <w:t>3</w:t>
      </w:r>
      <w:r w:rsidRPr="008401AD">
        <w:rPr>
          <w:szCs w:val="24"/>
          <w:lang w:val="en-GB"/>
        </w:rPr>
        <w:t>), ‘Int</w:t>
      </w:r>
      <w:r w:rsidR="00BE2EC4" w:rsidRPr="008401AD">
        <w:rPr>
          <w:szCs w:val="24"/>
          <w:lang w:val="en-GB"/>
        </w:rPr>
        <w:t>r</w:t>
      </w:r>
      <w:r w:rsidRPr="008401AD">
        <w:rPr>
          <w:szCs w:val="24"/>
          <w:lang w:val="en-GB"/>
        </w:rPr>
        <w:t xml:space="preserve">oduction: In </w:t>
      </w:r>
      <w:r w:rsidR="0058181A" w:rsidRPr="008401AD">
        <w:rPr>
          <w:szCs w:val="24"/>
          <w:lang w:val="en-GB"/>
        </w:rPr>
        <w:t xml:space="preserve">focus </w:t>
      </w:r>
      <w:r w:rsidRPr="008401AD">
        <w:rPr>
          <w:szCs w:val="24"/>
          <w:lang w:val="en-GB"/>
        </w:rPr>
        <w:t xml:space="preserve">– Media </w:t>
      </w:r>
      <w:r w:rsidR="0058181A" w:rsidRPr="008401AD">
        <w:rPr>
          <w:szCs w:val="24"/>
          <w:lang w:val="en-GB"/>
        </w:rPr>
        <w:t>industry studies’</w:t>
      </w:r>
      <w:r w:rsidRPr="008401AD">
        <w:rPr>
          <w:szCs w:val="24"/>
          <w:lang w:val="en-GB"/>
        </w:rPr>
        <w:t xml:space="preserve">, </w:t>
      </w:r>
      <w:r w:rsidRPr="008401AD">
        <w:rPr>
          <w:i/>
          <w:szCs w:val="24"/>
          <w:lang w:val="en-GB"/>
        </w:rPr>
        <w:t>Cinema Journal</w:t>
      </w:r>
      <w:r w:rsidRPr="008401AD">
        <w:rPr>
          <w:szCs w:val="24"/>
          <w:lang w:val="en-GB"/>
        </w:rPr>
        <w:t>, 52:3, pp. 145</w:t>
      </w:r>
      <w:r w:rsidR="0058181A" w:rsidRPr="008401AD">
        <w:rPr>
          <w:szCs w:val="24"/>
          <w:lang w:val="en-GB"/>
        </w:rPr>
        <w:sym w:font="Symbol" w:char="F02D"/>
      </w:r>
      <w:r w:rsidRPr="008401AD">
        <w:rPr>
          <w:szCs w:val="24"/>
          <w:lang w:val="en-GB"/>
        </w:rPr>
        <w:t xml:space="preserve">49. </w:t>
      </w:r>
    </w:p>
    <w:p w14:paraId="5C696268" w14:textId="6F89ED3A" w:rsidR="00552D85" w:rsidRPr="008401AD" w:rsidRDefault="00552D85" w:rsidP="00552D85">
      <w:pPr>
        <w:rPr>
          <w:szCs w:val="24"/>
          <w:lang w:val="en-GB"/>
        </w:rPr>
      </w:pPr>
      <w:proofErr w:type="spellStart"/>
      <w:r w:rsidRPr="008401AD">
        <w:rPr>
          <w:szCs w:val="24"/>
          <w:lang w:val="en-GB"/>
        </w:rPr>
        <w:t>McKinlay</w:t>
      </w:r>
      <w:proofErr w:type="spellEnd"/>
      <w:r w:rsidRPr="008401AD">
        <w:rPr>
          <w:szCs w:val="24"/>
          <w:lang w:val="en-GB"/>
        </w:rPr>
        <w:t>, Alan and Smith</w:t>
      </w:r>
      <w:r w:rsidR="007272B2" w:rsidRPr="008401AD">
        <w:rPr>
          <w:szCs w:val="24"/>
          <w:lang w:val="en-GB"/>
        </w:rPr>
        <w:t>, Chris</w:t>
      </w:r>
      <w:r w:rsidRPr="008401AD">
        <w:rPr>
          <w:szCs w:val="24"/>
          <w:lang w:val="en-GB"/>
        </w:rPr>
        <w:t xml:space="preserve"> (</w:t>
      </w:r>
      <w:proofErr w:type="spellStart"/>
      <w:r w:rsidRPr="008401AD">
        <w:rPr>
          <w:szCs w:val="24"/>
          <w:lang w:val="en-GB"/>
        </w:rPr>
        <w:t>eds</w:t>
      </w:r>
      <w:proofErr w:type="spellEnd"/>
      <w:r w:rsidRPr="008401AD">
        <w:rPr>
          <w:szCs w:val="24"/>
          <w:lang w:val="en-GB"/>
        </w:rPr>
        <w:t xml:space="preserve">) (2009), </w:t>
      </w:r>
      <w:r w:rsidRPr="008401AD">
        <w:rPr>
          <w:i/>
          <w:szCs w:val="24"/>
          <w:lang w:val="en-GB"/>
        </w:rPr>
        <w:t>Creative Labour: Working in the Creative Industries</w:t>
      </w:r>
      <w:r w:rsidRPr="008401AD">
        <w:rPr>
          <w:szCs w:val="24"/>
          <w:lang w:val="en-GB"/>
        </w:rPr>
        <w:t xml:space="preserve">, Basingstoke: Palgrave Macmillan. </w:t>
      </w:r>
    </w:p>
    <w:p w14:paraId="51F10B6B" w14:textId="195EB96B" w:rsidR="00552D85" w:rsidRPr="008401AD" w:rsidRDefault="00552D85" w:rsidP="00552D85">
      <w:pPr>
        <w:rPr>
          <w:szCs w:val="24"/>
          <w:lang w:val="en-GB"/>
        </w:rPr>
      </w:pPr>
      <w:proofErr w:type="spellStart"/>
      <w:r w:rsidRPr="008401AD">
        <w:rPr>
          <w:szCs w:val="24"/>
          <w:lang w:val="en-GB"/>
        </w:rPr>
        <w:t>McRobbie</w:t>
      </w:r>
      <w:proofErr w:type="spellEnd"/>
      <w:r w:rsidRPr="008401AD">
        <w:rPr>
          <w:szCs w:val="24"/>
          <w:lang w:val="en-GB"/>
        </w:rPr>
        <w:t>, Angela (2015),</w:t>
      </w:r>
      <w:r w:rsidRPr="008401AD">
        <w:rPr>
          <w:i/>
          <w:szCs w:val="24"/>
          <w:lang w:val="en-GB"/>
        </w:rPr>
        <w:t xml:space="preserve"> Be Creative: Making a Living in the New Cultural Industries</w:t>
      </w:r>
      <w:r w:rsidRPr="008401AD">
        <w:rPr>
          <w:szCs w:val="24"/>
          <w:lang w:val="en-GB"/>
        </w:rPr>
        <w:t xml:space="preserve">, Cambridge: Polity Press. </w:t>
      </w:r>
    </w:p>
    <w:p w14:paraId="274FE755" w14:textId="0584E3C3" w:rsidR="00552D85" w:rsidRPr="008401AD" w:rsidRDefault="00552D85" w:rsidP="00552D85">
      <w:pPr>
        <w:rPr>
          <w:szCs w:val="24"/>
          <w:lang w:val="en-GB"/>
        </w:rPr>
      </w:pPr>
      <w:r w:rsidRPr="008401AD">
        <w:rPr>
          <w:szCs w:val="24"/>
          <w:lang w:val="en-GB"/>
        </w:rPr>
        <w:t>Meir, Christopher (2016), ‘</w:t>
      </w:r>
      <w:proofErr w:type="spellStart"/>
      <w:r w:rsidRPr="008401AD">
        <w:rPr>
          <w:color w:val="000000"/>
          <w:szCs w:val="24"/>
          <w:shd w:val="clear" w:color="auto" w:fill="FFFFFF"/>
          <w:lang w:val="en-GB"/>
        </w:rPr>
        <w:t>Studiocanal</w:t>
      </w:r>
      <w:proofErr w:type="spellEnd"/>
      <w:r w:rsidRPr="008401AD">
        <w:rPr>
          <w:color w:val="000000"/>
          <w:szCs w:val="24"/>
          <w:shd w:val="clear" w:color="auto" w:fill="FFFFFF"/>
          <w:lang w:val="en-GB"/>
        </w:rPr>
        <w:t xml:space="preserve"> and the </w:t>
      </w:r>
      <w:r w:rsidR="007272B2" w:rsidRPr="008401AD">
        <w:rPr>
          <w:color w:val="000000"/>
          <w:szCs w:val="24"/>
          <w:shd w:val="clear" w:color="auto" w:fill="FFFFFF"/>
          <w:lang w:val="en-GB"/>
        </w:rPr>
        <w:t xml:space="preserve">changing industrial landscape </w:t>
      </w:r>
      <w:r w:rsidRPr="008401AD">
        <w:rPr>
          <w:color w:val="000000"/>
          <w:szCs w:val="24"/>
          <w:shd w:val="clear" w:color="auto" w:fill="FFFFFF"/>
          <w:lang w:val="en-GB"/>
        </w:rPr>
        <w:t xml:space="preserve">of European </w:t>
      </w:r>
      <w:r w:rsidR="007272B2" w:rsidRPr="008401AD">
        <w:rPr>
          <w:color w:val="000000"/>
          <w:szCs w:val="24"/>
          <w:shd w:val="clear" w:color="auto" w:fill="FFFFFF"/>
          <w:lang w:val="en-GB"/>
        </w:rPr>
        <w:t xml:space="preserve">cinema </w:t>
      </w:r>
      <w:r w:rsidRPr="008401AD">
        <w:rPr>
          <w:color w:val="000000"/>
          <w:szCs w:val="24"/>
          <w:shd w:val="clear" w:color="auto" w:fill="FFFFFF"/>
          <w:lang w:val="en-GB"/>
        </w:rPr>
        <w:t xml:space="preserve">and </w:t>
      </w:r>
      <w:r w:rsidR="007272B2" w:rsidRPr="008401AD">
        <w:rPr>
          <w:color w:val="000000"/>
          <w:szCs w:val="24"/>
          <w:shd w:val="clear" w:color="auto" w:fill="FFFFFF"/>
          <w:lang w:val="en-GB"/>
        </w:rPr>
        <w:t>television’</w:t>
      </w:r>
      <w:r w:rsidRPr="008401AD">
        <w:rPr>
          <w:color w:val="000000"/>
          <w:szCs w:val="24"/>
          <w:shd w:val="clear" w:color="auto" w:fill="FFFFFF"/>
          <w:lang w:val="en-GB"/>
        </w:rPr>
        <w:t xml:space="preserve">, </w:t>
      </w:r>
      <w:r w:rsidRPr="008401AD">
        <w:rPr>
          <w:i/>
          <w:color w:val="000000"/>
          <w:szCs w:val="24"/>
          <w:shd w:val="clear" w:color="auto" w:fill="FFFFFF"/>
          <w:lang w:val="en-GB"/>
        </w:rPr>
        <w:t>Media Industries,</w:t>
      </w:r>
      <w:r w:rsidRPr="008401AD">
        <w:rPr>
          <w:color w:val="000000"/>
          <w:szCs w:val="24"/>
          <w:shd w:val="clear" w:color="auto" w:fill="FFFFFF"/>
          <w:lang w:val="en-GB"/>
        </w:rPr>
        <w:t xml:space="preserve"> 3:1, pp. 1</w:t>
      </w:r>
      <w:r w:rsidR="007272B2" w:rsidRPr="008401AD">
        <w:rPr>
          <w:color w:val="000000"/>
          <w:szCs w:val="24"/>
          <w:shd w:val="clear" w:color="auto" w:fill="FFFFFF"/>
          <w:lang w:val="en-GB"/>
        </w:rPr>
        <w:sym w:font="Symbol" w:char="F02D"/>
      </w:r>
      <w:r w:rsidRPr="008401AD">
        <w:rPr>
          <w:color w:val="000000"/>
          <w:szCs w:val="24"/>
          <w:shd w:val="clear" w:color="auto" w:fill="FFFFFF"/>
          <w:lang w:val="en-GB"/>
        </w:rPr>
        <w:t>24.</w:t>
      </w:r>
    </w:p>
    <w:p w14:paraId="3F6A6B17" w14:textId="5D8755B5" w:rsidR="00552D85" w:rsidRPr="008401AD" w:rsidRDefault="00552D85" w:rsidP="00552D85">
      <w:pPr>
        <w:rPr>
          <w:szCs w:val="24"/>
          <w:lang w:val="en-GB"/>
        </w:rPr>
      </w:pPr>
      <w:proofErr w:type="spellStart"/>
      <w:r w:rsidRPr="008401AD">
        <w:rPr>
          <w:szCs w:val="24"/>
          <w:lang w:val="en-GB"/>
        </w:rPr>
        <w:t>Mikecz</w:t>
      </w:r>
      <w:proofErr w:type="spellEnd"/>
      <w:r w:rsidRPr="008401AD">
        <w:rPr>
          <w:szCs w:val="24"/>
          <w:lang w:val="en-GB"/>
        </w:rPr>
        <w:t>, Robert (2012), ‘</w:t>
      </w:r>
      <w:proofErr w:type="gramStart"/>
      <w:r w:rsidRPr="008401AD">
        <w:rPr>
          <w:szCs w:val="24"/>
          <w:lang w:val="en-GB"/>
        </w:rPr>
        <w:t>Interviewing</w:t>
      </w:r>
      <w:proofErr w:type="gramEnd"/>
      <w:r w:rsidRPr="008401AD">
        <w:rPr>
          <w:szCs w:val="24"/>
          <w:lang w:val="en-GB"/>
        </w:rPr>
        <w:t xml:space="preserve"> </w:t>
      </w:r>
      <w:r w:rsidR="00585D44" w:rsidRPr="008401AD">
        <w:rPr>
          <w:szCs w:val="24"/>
          <w:lang w:val="en-GB"/>
        </w:rPr>
        <w:t>elites</w:t>
      </w:r>
      <w:r w:rsidR="0081445E" w:rsidRPr="008401AD">
        <w:rPr>
          <w:szCs w:val="24"/>
          <w:lang w:val="en-GB"/>
        </w:rPr>
        <w:t>: A</w:t>
      </w:r>
      <w:r w:rsidR="00585D44" w:rsidRPr="008401AD">
        <w:rPr>
          <w:szCs w:val="24"/>
          <w:lang w:val="en-GB"/>
        </w:rPr>
        <w:t>ddressing methodological issue</w:t>
      </w:r>
      <w:r w:rsidR="00706A96">
        <w:rPr>
          <w:szCs w:val="24"/>
          <w:lang w:val="en-GB"/>
        </w:rPr>
        <w:t>s</w:t>
      </w:r>
      <w:r w:rsidR="00585D44" w:rsidRPr="008401AD">
        <w:rPr>
          <w:szCs w:val="24"/>
          <w:lang w:val="en-GB"/>
        </w:rPr>
        <w:t>’</w:t>
      </w:r>
      <w:r w:rsidRPr="008401AD">
        <w:rPr>
          <w:szCs w:val="24"/>
          <w:lang w:val="en-GB"/>
        </w:rPr>
        <w:t>,</w:t>
      </w:r>
      <w:r w:rsidRPr="008401AD">
        <w:rPr>
          <w:i/>
          <w:szCs w:val="24"/>
          <w:lang w:val="en-GB"/>
        </w:rPr>
        <w:t xml:space="preserve"> Qualitative Inquiry </w:t>
      </w:r>
      <w:r w:rsidRPr="008401AD">
        <w:rPr>
          <w:szCs w:val="24"/>
          <w:lang w:val="en-GB"/>
        </w:rPr>
        <w:t>18:6, pp. 482</w:t>
      </w:r>
      <w:r w:rsidR="00585D44" w:rsidRPr="008401AD">
        <w:rPr>
          <w:szCs w:val="24"/>
          <w:lang w:val="en-GB"/>
        </w:rPr>
        <w:sym w:font="Symbol" w:char="F02D"/>
      </w:r>
      <w:r w:rsidRPr="008401AD">
        <w:rPr>
          <w:szCs w:val="24"/>
          <w:lang w:val="en-GB"/>
        </w:rPr>
        <w:t xml:space="preserve">93. </w:t>
      </w:r>
    </w:p>
    <w:p w14:paraId="709B2892" w14:textId="02EA3611" w:rsidR="00552D85" w:rsidRPr="008401AD" w:rsidRDefault="00552D85" w:rsidP="00552D85">
      <w:pPr>
        <w:rPr>
          <w:szCs w:val="24"/>
          <w:lang w:val="en-GB"/>
        </w:rPr>
      </w:pPr>
      <w:r w:rsidRPr="008401AD">
        <w:rPr>
          <w:szCs w:val="24"/>
          <w:lang w:val="en-GB"/>
        </w:rPr>
        <w:t xml:space="preserve">Mills, Bart (2008), ‘After the </w:t>
      </w:r>
      <w:r w:rsidR="004C0AAA" w:rsidRPr="008401AD">
        <w:rPr>
          <w:szCs w:val="24"/>
          <w:lang w:val="en-GB"/>
        </w:rPr>
        <w:t>interview’</w:t>
      </w:r>
      <w:r w:rsidRPr="008401AD">
        <w:rPr>
          <w:szCs w:val="24"/>
          <w:lang w:val="en-GB"/>
        </w:rPr>
        <w:t xml:space="preserve">, </w:t>
      </w:r>
      <w:r w:rsidRPr="008401AD">
        <w:rPr>
          <w:i/>
          <w:szCs w:val="24"/>
          <w:lang w:val="en-GB"/>
        </w:rPr>
        <w:t>Cinema Journal</w:t>
      </w:r>
      <w:r w:rsidRPr="008401AD">
        <w:rPr>
          <w:szCs w:val="24"/>
          <w:lang w:val="en-GB"/>
        </w:rPr>
        <w:t>, 47:2</w:t>
      </w:r>
      <w:r w:rsidR="00035647">
        <w:rPr>
          <w:szCs w:val="24"/>
          <w:lang w:val="en-GB"/>
        </w:rPr>
        <w:t>, w</w:t>
      </w:r>
      <w:r w:rsidRPr="008401AD">
        <w:rPr>
          <w:szCs w:val="24"/>
          <w:lang w:val="en-GB"/>
        </w:rPr>
        <w:t>inter, pp. 148</w:t>
      </w:r>
      <w:r w:rsidR="004C0AAA" w:rsidRPr="008401AD">
        <w:rPr>
          <w:szCs w:val="24"/>
          <w:lang w:val="en-GB"/>
        </w:rPr>
        <w:sym w:font="Symbol" w:char="F02D"/>
      </w:r>
      <w:r w:rsidRPr="008401AD">
        <w:rPr>
          <w:szCs w:val="24"/>
          <w:lang w:val="en-GB"/>
        </w:rPr>
        <w:t xml:space="preserve">53. </w:t>
      </w:r>
    </w:p>
    <w:p w14:paraId="0B70535E" w14:textId="4B18CFE9" w:rsidR="00552D85" w:rsidRPr="008401AD" w:rsidRDefault="00552D85" w:rsidP="00552D85">
      <w:pPr>
        <w:rPr>
          <w:szCs w:val="24"/>
          <w:lang w:val="en-GB"/>
        </w:rPr>
      </w:pPr>
      <w:r w:rsidRPr="008401AD">
        <w:rPr>
          <w:szCs w:val="24"/>
          <w:lang w:val="en-GB"/>
        </w:rPr>
        <w:t xml:space="preserve">Moran, Albert (2013), ‘Global </w:t>
      </w:r>
      <w:r w:rsidR="004C0AAA" w:rsidRPr="008401AD">
        <w:rPr>
          <w:szCs w:val="24"/>
          <w:lang w:val="en-GB"/>
        </w:rPr>
        <w:t>television formats</w:t>
      </w:r>
      <w:r w:rsidRPr="008401AD">
        <w:rPr>
          <w:szCs w:val="24"/>
          <w:lang w:val="en-GB"/>
        </w:rPr>
        <w:t xml:space="preserve">: Genesis and </w:t>
      </w:r>
      <w:r w:rsidR="004C0AAA" w:rsidRPr="008401AD">
        <w:rPr>
          <w:szCs w:val="24"/>
          <w:lang w:val="en-GB"/>
        </w:rPr>
        <w:t>growth’</w:t>
      </w:r>
      <w:r w:rsidRPr="008401AD">
        <w:rPr>
          <w:i/>
          <w:szCs w:val="24"/>
          <w:lang w:val="en-GB"/>
        </w:rPr>
        <w:t>, Critical Studies in Television,</w:t>
      </w:r>
      <w:r w:rsidRPr="008401AD">
        <w:rPr>
          <w:szCs w:val="24"/>
          <w:lang w:val="en-GB"/>
        </w:rPr>
        <w:t xml:space="preserve"> 8:2</w:t>
      </w:r>
      <w:r w:rsidR="00035647">
        <w:rPr>
          <w:szCs w:val="24"/>
          <w:lang w:val="en-GB"/>
        </w:rPr>
        <w:t>, s</w:t>
      </w:r>
      <w:r w:rsidRPr="008401AD">
        <w:rPr>
          <w:szCs w:val="24"/>
          <w:lang w:val="en-GB"/>
        </w:rPr>
        <w:t>ummer, pp. 1</w:t>
      </w:r>
      <w:r w:rsidR="004C0AAA" w:rsidRPr="008401AD">
        <w:rPr>
          <w:szCs w:val="24"/>
          <w:lang w:val="en-GB"/>
        </w:rPr>
        <w:sym w:font="Symbol" w:char="F02D"/>
      </w:r>
      <w:r w:rsidRPr="008401AD">
        <w:rPr>
          <w:szCs w:val="24"/>
          <w:lang w:val="en-GB"/>
        </w:rPr>
        <w:t>19.</w:t>
      </w:r>
    </w:p>
    <w:p w14:paraId="6560B6E2" w14:textId="14989689" w:rsidR="00334ECF" w:rsidRDefault="00334ECF" w:rsidP="00552D85">
      <w:pPr>
        <w:rPr>
          <w:szCs w:val="24"/>
          <w:lang w:val="en-GB"/>
        </w:rPr>
      </w:pPr>
      <w:proofErr w:type="spellStart"/>
      <w:r w:rsidRPr="00334ECF">
        <w:rPr>
          <w:szCs w:val="24"/>
          <w:lang w:val="en-GB"/>
        </w:rPr>
        <w:t>Morawetz</w:t>
      </w:r>
      <w:proofErr w:type="spellEnd"/>
      <w:r w:rsidRPr="00334ECF">
        <w:rPr>
          <w:szCs w:val="24"/>
          <w:lang w:val="en-GB"/>
        </w:rPr>
        <w:t>, Norbert, Hardy, Jade, Haslam, Colin &amp; Randle, Keith (2007). Finance, Policy and Industrial Dynamics—The Rise of Co‐productions in the Film Industry.</w:t>
      </w:r>
      <w:r w:rsidRPr="00F53A2B">
        <w:rPr>
          <w:i/>
          <w:szCs w:val="24"/>
          <w:lang w:val="en-GB"/>
        </w:rPr>
        <w:t xml:space="preserve"> Industry and Innovation</w:t>
      </w:r>
      <w:r w:rsidRPr="00334ECF">
        <w:rPr>
          <w:szCs w:val="24"/>
          <w:lang w:val="en-GB"/>
        </w:rPr>
        <w:t>, 14(4), 421-443. DOI: 10.1080/13662710701524072</w:t>
      </w:r>
    </w:p>
    <w:p w14:paraId="6F3AE708" w14:textId="09538D4F" w:rsidR="00552D85" w:rsidRPr="008401AD" w:rsidRDefault="00552D85" w:rsidP="00552D85">
      <w:pPr>
        <w:rPr>
          <w:szCs w:val="24"/>
          <w:lang w:val="en-GB"/>
        </w:rPr>
      </w:pPr>
      <w:r w:rsidRPr="008401AD">
        <w:rPr>
          <w:szCs w:val="24"/>
          <w:lang w:val="en-GB"/>
        </w:rPr>
        <w:t xml:space="preserve">Mosco, Vincent (2009), </w:t>
      </w:r>
      <w:r w:rsidRPr="008401AD">
        <w:rPr>
          <w:i/>
          <w:szCs w:val="24"/>
          <w:lang w:val="en-GB"/>
        </w:rPr>
        <w:t>The Political Economy of Communication</w:t>
      </w:r>
      <w:r w:rsidRPr="008401AD">
        <w:rPr>
          <w:szCs w:val="24"/>
          <w:lang w:val="en-GB"/>
        </w:rPr>
        <w:t xml:space="preserve">, </w:t>
      </w:r>
      <w:r w:rsidRPr="008401AD">
        <w:rPr>
          <w:lang w:val="en-GB"/>
        </w:rPr>
        <w:t>2nd</w:t>
      </w:r>
      <w:r w:rsidRPr="008401AD">
        <w:rPr>
          <w:szCs w:val="24"/>
          <w:lang w:val="en-GB"/>
        </w:rPr>
        <w:t xml:space="preserve"> ed., London: Sage.</w:t>
      </w:r>
    </w:p>
    <w:p w14:paraId="41BE0C5A" w14:textId="6D5908CA" w:rsidR="00552D85" w:rsidRPr="008401AD" w:rsidRDefault="00552D85" w:rsidP="00552D85">
      <w:pPr>
        <w:rPr>
          <w:szCs w:val="24"/>
          <w:lang w:val="en-GB"/>
        </w:rPr>
      </w:pPr>
      <w:r w:rsidRPr="008401AD">
        <w:rPr>
          <w:szCs w:val="24"/>
          <w:lang w:val="en-GB"/>
        </w:rPr>
        <w:t>Paterson C</w:t>
      </w:r>
      <w:r w:rsidR="006A45A7">
        <w:rPr>
          <w:szCs w:val="24"/>
          <w:lang w:val="en-GB"/>
        </w:rPr>
        <w:t>hris</w:t>
      </w:r>
      <w:r w:rsidRPr="008401AD">
        <w:rPr>
          <w:szCs w:val="24"/>
          <w:lang w:val="en-GB"/>
        </w:rPr>
        <w:t xml:space="preserve">, Lee, </w:t>
      </w:r>
      <w:r w:rsidR="00334ECF">
        <w:rPr>
          <w:szCs w:val="24"/>
          <w:lang w:val="en-GB"/>
        </w:rPr>
        <w:t>David,</w:t>
      </w:r>
      <w:r w:rsidRPr="008401AD">
        <w:rPr>
          <w:szCs w:val="24"/>
          <w:lang w:val="en-GB"/>
        </w:rPr>
        <w:t xml:space="preserve"> </w:t>
      </w:r>
      <w:proofErr w:type="spellStart"/>
      <w:r w:rsidRPr="008401AD">
        <w:rPr>
          <w:szCs w:val="24"/>
          <w:lang w:val="en-GB"/>
        </w:rPr>
        <w:t>Saha</w:t>
      </w:r>
      <w:proofErr w:type="spellEnd"/>
      <w:r w:rsidR="00334ECF">
        <w:rPr>
          <w:szCs w:val="24"/>
          <w:lang w:val="en-GB"/>
        </w:rPr>
        <w:t xml:space="preserve">, </w:t>
      </w:r>
      <w:proofErr w:type="spellStart"/>
      <w:r w:rsidR="00334ECF">
        <w:rPr>
          <w:szCs w:val="24"/>
          <w:lang w:val="en-GB"/>
        </w:rPr>
        <w:t>Anamik</w:t>
      </w:r>
      <w:proofErr w:type="spellEnd"/>
      <w:r w:rsidRPr="008401AD">
        <w:rPr>
          <w:szCs w:val="24"/>
          <w:lang w:val="en-GB"/>
        </w:rPr>
        <w:t xml:space="preserve"> </w:t>
      </w:r>
      <w:proofErr w:type="gramStart"/>
      <w:r w:rsidRPr="008401AD">
        <w:rPr>
          <w:szCs w:val="24"/>
          <w:lang w:val="en-GB"/>
        </w:rPr>
        <w:t xml:space="preserve">and  </w:t>
      </w:r>
      <w:proofErr w:type="spellStart"/>
      <w:r w:rsidRPr="008401AD">
        <w:rPr>
          <w:szCs w:val="24"/>
          <w:lang w:val="en-GB"/>
        </w:rPr>
        <w:t>Zoellner</w:t>
      </w:r>
      <w:proofErr w:type="spellEnd"/>
      <w:proofErr w:type="gramEnd"/>
      <w:r w:rsidR="00334ECF">
        <w:rPr>
          <w:szCs w:val="24"/>
          <w:lang w:val="en-GB"/>
        </w:rPr>
        <w:t>, Anna</w:t>
      </w:r>
      <w:r w:rsidRPr="008401AD">
        <w:rPr>
          <w:szCs w:val="24"/>
          <w:lang w:val="en-GB"/>
        </w:rPr>
        <w:t xml:space="preserve"> (</w:t>
      </w:r>
      <w:proofErr w:type="spellStart"/>
      <w:r w:rsidRPr="008401AD">
        <w:rPr>
          <w:szCs w:val="24"/>
          <w:lang w:val="en-GB"/>
        </w:rPr>
        <w:t>eds</w:t>
      </w:r>
      <w:proofErr w:type="spellEnd"/>
      <w:r w:rsidRPr="008401AD">
        <w:rPr>
          <w:szCs w:val="24"/>
          <w:lang w:val="en-GB"/>
        </w:rPr>
        <w:t xml:space="preserve">) (2015), </w:t>
      </w:r>
      <w:r w:rsidRPr="008401AD">
        <w:rPr>
          <w:i/>
          <w:szCs w:val="24"/>
          <w:lang w:val="en-GB"/>
        </w:rPr>
        <w:t>Advancing Media Production Research: Shifting Sites, Methods and Politics</w:t>
      </w:r>
      <w:r w:rsidRPr="008401AD">
        <w:rPr>
          <w:szCs w:val="24"/>
          <w:lang w:val="en-GB"/>
        </w:rPr>
        <w:t xml:space="preserve">, Basingstoke: AIAA/Palgrave. </w:t>
      </w:r>
    </w:p>
    <w:p w14:paraId="32ECA8A5" w14:textId="0BB32E57" w:rsidR="00552D85" w:rsidRPr="00FE7073" w:rsidRDefault="00552D85" w:rsidP="00552D85">
      <w:pPr>
        <w:rPr>
          <w:szCs w:val="24"/>
          <w:lang w:val="en-GB"/>
        </w:rPr>
      </w:pPr>
      <w:r w:rsidRPr="008401AD">
        <w:rPr>
          <w:szCs w:val="24"/>
          <w:lang w:val="en-GB"/>
        </w:rPr>
        <w:t xml:space="preserve">Peck, Jamie (2005), ‘Struggling with the </w:t>
      </w:r>
      <w:r w:rsidR="00D659F3" w:rsidRPr="008401AD">
        <w:rPr>
          <w:szCs w:val="24"/>
          <w:lang w:val="en-GB"/>
        </w:rPr>
        <w:t xml:space="preserve">creative </w:t>
      </w:r>
      <w:r w:rsidR="00D659F3" w:rsidRPr="00FE7073">
        <w:rPr>
          <w:szCs w:val="24"/>
          <w:lang w:val="en-GB"/>
        </w:rPr>
        <w:t>class’</w:t>
      </w:r>
      <w:r w:rsidRPr="00FE7073">
        <w:rPr>
          <w:szCs w:val="24"/>
          <w:lang w:val="en-GB"/>
        </w:rPr>
        <w:t xml:space="preserve">, </w:t>
      </w:r>
      <w:r w:rsidRPr="00FE7073">
        <w:rPr>
          <w:i/>
          <w:szCs w:val="24"/>
          <w:lang w:val="en-GB"/>
        </w:rPr>
        <w:t>International Journal of Urban and Regional Research</w:t>
      </w:r>
      <w:r w:rsidRPr="00FE7073">
        <w:rPr>
          <w:szCs w:val="24"/>
          <w:lang w:val="en-GB"/>
        </w:rPr>
        <w:t>, 29:4, pp. 740</w:t>
      </w:r>
      <w:r w:rsidR="00D659F3" w:rsidRPr="00FE7073">
        <w:rPr>
          <w:szCs w:val="24"/>
          <w:lang w:val="en-GB"/>
        </w:rPr>
        <w:sym w:font="Symbol" w:char="F02D"/>
      </w:r>
      <w:r w:rsidRPr="00FE7073">
        <w:rPr>
          <w:szCs w:val="24"/>
          <w:lang w:val="en-GB"/>
        </w:rPr>
        <w:t>70.</w:t>
      </w:r>
    </w:p>
    <w:p w14:paraId="3C0E9483" w14:textId="3C3A7B7C" w:rsidR="00552D85" w:rsidRPr="00FE7073" w:rsidRDefault="00552D85" w:rsidP="00552D85">
      <w:pPr>
        <w:rPr>
          <w:szCs w:val="24"/>
          <w:lang w:val="en-GB"/>
        </w:rPr>
      </w:pPr>
      <w:r w:rsidRPr="00FE7073">
        <w:rPr>
          <w:szCs w:val="24"/>
          <w:lang w:val="en-GB"/>
        </w:rPr>
        <w:t>Picard, Robert G. (</w:t>
      </w:r>
      <w:r w:rsidR="00792767" w:rsidRPr="00FE7073">
        <w:rPr>
          <w:szCs w:val="24"/>
          <w:lang w:val="en-GB"/>
        </w:rPr>
        <w:t xml:space="preserve">[2002] </w:t>
      </w:r>
      <w:r w:rsidRPr="00FE7073">
        <w:rPr>
          <w:szCs w:val="24"/>
          <w:lang w:val="en-GB"/>
        </w:rPr>
        <w:t xml:space="preserve">2011), ‘The </w:t>
      </w:r>
      <w:r w:rsidR="00792767" w:rsidRPr="00FE7073">
        <w:rPr>
          <w:szCs w:val="24"/>
          <w:lang w:val="en-GB"/>
        </w:rPr>
        <w:t xml:space="preserve">centrality </w:t>
      </w:r>
      <w:r w:rsidRPr="00FE7073">
        <w:rPr>
          <w:szCs w:val="24"/>
          <w:lang w:val="en-GB"/>
        </w:rPr>
        <w:t xml:space="preserve">of </w:t>
      </w:r>
      <w:r w:rsidR="00792767" w:rsidRPr="00FE7073">
        <w:rPr>
          <w:szCs w:val="24"/>
          <w:lang w:val="en-GB"/>
        </w:rPr>
        <w:t>media firms’</w:t>
      </w:r>
      <w:r w:rsidRPr="00FE7073">
        <w:rPr>
          <w:szCs w:val="24"/>
          <w:lang w:val="en-GB"/>
        </w:rPr>
        <w:t xml:space="preserve">, in </w:t>
      </w:r>
      <w:r w:rsidR="00035647">
        <w:rPr>
          <w:szCs w:val="24"/>
          <w:lang w:val="en-GB"/>
        </w:rPr>
        <w:t xml:space="preserve">R. G. </w:t>
      </w:r>
      <w:r w:rsidRPr="00FE7073">
        <w:rPr>
          <w:szCs w:val="24"/>
          <w:lang w:val="en-GB"/>
        </w:rPr>
        <w:t xml:space="preserve">Picard (ed.), </w:t>
      </w:r>
      <w:r w:rsidRPr="00FE7073">
        <w:rPr>
          <w:i/>
          <w:szCs w:val="24"/>
          <w:lang w:val="en-GB"/>
        </w:rPr>
        <w:t xml:space="preserve">Media Firms: Structure, Operations, and Performance, </w:t>
      </w:r>
      <w:r w:rsidRPr="00FE7073">
        <w:rPr>
          <w:szCs w:val="24"/>
          <w:lang w:val="en-GB"/>
        </w:rPr>
        <w:t>New Jersey: Lawrence &amp; Erlbaum, pp. 1</w:t>
      </w:r>
      <w:r w:rsidR="00792767" w:rsidRPr="00FE7073">
        <w:rPr>
          <w:szCs w:val="24"/>
          <w:lang w:val="en-GB"/>
        </w:rPr>
        <w:sym w:font="Symbol" w:char="F02D"/>
      </w:r>
      <w:r w:rsidRPr="00FE7073">
        <w:rPr>
          <w:szCs w:val="24"/>
          <w:lang w:val="en-GB"/>
        </w:rPr>
        <w:t>8.</w:t>
      </w:r>
    </w:p>
    <w:p w14:paraId="166445E0" w14:textId="7B002F7E" w:rsidR="00552D85" w:rsidRPr="00FE7073" w:rsidRDefault="00552D85" w:rsidP="00552D85">
      <w:pPr>
        <w:rPr>
          <w:szCs w:val="24"/>
          <w:lang w:val="en-GB"/>
        </w:rPr>
      </w:pPr>
      <w:r w:rsidRPr="00FE7073">
        <w:rPr>
          <w:szCs w:val="24"/>
          <w:lang w:val="en-GB"/>
        </w:rPr>
        <w:t xml:space="preserve">Porter, Michael E. (2000), ‘Location, </w:t>
      </w:r>
      <w:r w:rsidR="00AA7961" w:rsidRPr="00FE7073">
        <w:rPr>
          <w:szCs w:val="24"/>
          <w:lang w:val="en-GB"/>
        </w:rPr>
        <w:t>competition</w:t>
      </w:r>
      <w:r w:rsidRPr="00FE7073">
        <w:rPr>
          <w:szCs w:val="24"/>
          <w:lang w:val="en-GB"/>
        </w:rPr>
        <w:t xml:space="preserve">, and </w:t>
      </w:r>
      <w:r w:rsidR="00AA7961" w:rsidRPr="00FE7073">
        <w:rPr>
          <w:szCs w:val="24"/>
          <w:lang w:val="en-GB"/>
        </w:rPr>
        <w:t>economic development</w:t>
      </w:r>
      <w:r w:rsidRPr="00FE7073">
        <w:rPr>
          <w:szCs w:val="24"/>
          <w:lang w:val="en-GB"/>
        </w:rPr>
        <w:t xml:space="preserve">: Local </w:t>
      </w:r>
      <w:r w:rsidR="00AA7961" w:rsidRPr="00FE7073">
        <w:rPr>
          <w:szCs w:val="24"/>
          <w:lang w:val="en-GB"/>
        </w:rPr>
        <w:t xml:space="preserve">clusters </w:t>
      </w:r>
      <w:r w:rsidRPr="00FE7073">
        <w:rPr>
          <w:szCs w:val="24"/>
          <w:lang w:val="en-GB"/>
        </w:rPr>
        <w:t xml:space="preserve">in a </w:t>
      </w:r>
      <w:r w:rsidR="00AA7961" w:rsidRPr="00FE7073">
        <w:rPr>
          <w:szCs w:val="24"/>
          <w:lang w:val="en-GB"/>
        </w:rPr>
        <w:t>global economy’</w:t>
      </w:r>
      <w:r w:rsidRPr="00FE7073">
        <w:rPr>
          <w:szCs w:val="24"/>
          <w:lang w:val="en-GB"/>
        </w:rPr>
        <w:t xml:space="preserve">, </w:t>
      </w:r>
      <w:r w:rsidRPr="00FE7073">
        <w:rPr>
          <w:i/>
          <w:szCs w:val="24"/>
          <w:lang w:val="en-GB"/>
        </w:rPr>
        <w:t>Economic Development Quarterly</w:t>
      </w:r>
      <w:r w:rsidR="00AA7961" w:rsidRPr="00FE7073">
        <w:rPr>
          <w:i/>
          <w:szCs w:val="24"/>
          <w:lang w:val="en-GB"/>
        </w:rPr>
        <w:t>,</w:t>
      </w:r>
      <w:r w:rsidRPr="00FE7073">
        <w:rPr>
          <w:szCs w:val="24"/>
          <w:lang w:val="en-GB"/>
        </w:rPr>
        <w:t xml:space="preserve"> 14:1, pp. 15</w:t>
      </w:r>
      <w:r w:rsidR="00AA7961" w:rsidRPr="00FE7073">
        <w:rPr>
          <w:szCs w:val="24"/>
          <w:lang w:val="en-GB"/>
        </w:rPr>
        <w:sym w:font="Symbol" w:char="F02D"/>
      </w:r>
      <w:r w:rsidRPr="00FE7073">
        <w:rPr>
          <w:szCs w:val="24"/>
          <w:lang w:val="en-GB"/>
        </w:rPr>
        <w:t xml:space="preserve">34. </w:t>
      </w:r>
    </w:p>
    <w:p w14:paraId="721822D6" w14:textId="77777777" w:rsidR="00552D85" w:rsidRPr="00FE7073" w:rsidRDefault="00552D85" w:rsidP="00552D85">
      <w:pPr>
        <w:rPr>
          <w:szCs w:val="24"/>
          <w:lang w:val="en-GB"/>
        </w:rPr>
      </w:pPr>
      <w:r w:rsidRPr="00FE7073">
        <w:rPr>
          <w:szCs w:val="24"/>
          <w:lang w:val="en-GB"/>
        </w:rPr>
        <w:t xml:space="preserve">Ross, Andrew (2009), </w:t>
      </w:r>
      <w:r w:rsidRPr="00FE7073">
        <w:rPr>
          <w:i/>
          <w:szCs w:val="24"/>
          <w:lang w:val="en-GB"/>
        </w:rPr>
        <w:t xml:space="preserve">Nice Work If You Can Get It: Life and </w:t>
      </w:r>
      <w:proofErr w:type="spellStart"/>
      <w:r w:rsidRPr="00FE7073">
        <w:rPr>
          <w:i/>
          <w:szCs w:val="24"/>
          <w:lang w:val="en-GB"/>
        </w:rPr>
        <w:t>Labor</w:t>
      </w:r>
      <w:proofErr w:type="spellEnd"/>
      <w:r w:rsidRPr="00FE7073">
        <w:rPr>
          <w:i/>
          <w:szCs w:val="24"/>
          <w:lang w:val="en-GB"/>
        </w:rPr>
        <w:t xml:space="preserve"> in Precarious Times</w:t>
      </w:r>
      <w:r w:rsidRPr="00FE7073">
        <w:rPr>
          <w:szCs w:val="24"/>
          <w:lang w:val="en-GB"/>
        </w:rPr>
        <w:t>, New York: New York University Press.</w:t>
      </w:r>
    </w:p>
    <w:p w14:paraId="22FD5A30" w14:textId="77777777" w:rsidR="00552D85" w:rsidRPr="00FE7073" w:rsidRDefault="00552D85" w:rsidP="00552D85">
      <w:pPr>
        <w:rPr>
          <w:szCs w:val="24"/>
          <w:lang w:val="en-GB"/>
        </w:rPr>
      </w:pPr>
      <w:r w:rsidRPr="00FE7073">
        <w:rPr>
          <w:szCs w:val="24"/>
          <w:lang w:val="en-GB"/>
        </w:rPr>
        <w:t xml:space="preserve">Schein, Edgar H. (2004), </w:t>
      </w:r>
      <w:r w:rsidRPr="00FE7073">
        <w:rPr>
          <w:i/>
          <w:szCs w:val="24"/>
          <w:lang w:val="en-GB"/>
        </w:rPr>
        <w:t>Organizational Culture and Leadership</w:t>
      </w:r>
      <w:r w:rsidRPr="00FE7073">
        <w:rPr>
          <w:szCs w:val="24"/>
          <w:lang w:val="en-GB"/>
        </w:rPr>
        <w:t>, San Francisco: Jossey-Bass.</w:t>
      </w:r>
    </w:p>
    <w:p w14:paraId="6C79B362" w14:textId="21D41C8C" w:rsidR="00552D85" w:rsidRPr="00FE7073" w:rsidRDefault="00552D85" w:rsidP="00552D85">
      <w:pPr>
        <w:rPr>
          <w:szCs w:val="24"/>
          <w:lang w:val="en-GB"/>
        </w:rPr>
      </w:pPr>
      <w:r w:rsidRPr="00FE7073">
        <w:rPr>
          <w:szCs w:val="24"/>
          <w:lang w:val="en-GB"/>
        </w:rPr>
        <w:t>Schlesinger, Phil</w:t>
      </w:r>
      <w:r w:rsidR="00AA7961" w:rsidRPr="00FE7073">
        <w:rPr>
          <w:szCs w:val="24"/>
          <w:lang w:val="en-GB"/>
        </w:rPr>
        <w:t>i</w:t>
      </w:r>
      <w:r w:rsidRPr="00FE7073">
        <w:rPr>
          <w:szCs w:val="24"/>
          <w:lang w:val="en-GB"/>
        </w:rPr>
        <w:t xml:space="preserve">p (2015), ‘Researching </w:t>
      </w:r>
      <w:r w:rsidR="00AA7961" w:rsidRPr="00FE7073">
        <w:rPr>
          <w:szCs w:val="24"/>
          <w:lang w:val="en-GB"/>
        </w:rPr>
        <w:t xml:space="preserve">media </w:t>
      </w:r>
      <w:r w:rsidRPr="00FE7073">
        <w:rPr>
          <w:szCs w:val="24"/>
          <w:lang w:val="en-GB"/>
        </w:rPr>
        <w:t xml:space="preserve">at a </w:t>
      </w:r>
      <w:r w:rsidR="00AA7961" w:rsidRPr="00FE7073">
        <w:rPr>
          <w:szCs w:val="24"/>
          <w:lang w:val="en-GB"/>
        </w:rPr>
        <w:t xml:space="preserve">time </w:t>
      </w:r>
      <w:r w:rsidRPr="00FE7073">
        <w:rPr>
          <w:szCs w:val="24"/>
          <w:lang w:val="en-GB"/>
        </w:rPr>
        <w:t xml:space="preserve">of </w:t>
      </w:r>
      <w:r w:rsidR="00AA7961" w:rsidRPr="00FE7073">
        <w:rPr>
          <w:szCs w:val="24"/>
          <w:lang w:val="en-GB"/>
        </w:rPr>
        <w:t>transition’</w:t>
      </w:r>
      <w:r w:rsidRPr="00FE7073">
        <w:rPr>
          <w:szCs w:val="24"/>
          <w:lang w:val="en-GB"/>
        </w:rPr>
        <w:t xml:space="preserve">, </w:t>
      </w:r>
      <w:r w:rsidR="00035647">
        <w:rPr>
          <w:szCs w:val="24"/>
          <w:lang w:val="en-GB"/>
        </w:rPr>
        <w:t>p</w:t>
      </w:r>
      <w:r w:rsidR="00035647" w:rsidRPr="00FE7073">
        <w:rPr>
          <w:szCs w:val="24"/>
          <w:lang w:val="en-GB"/>
        </w:rPr>
        <w:t>resentation</w:t>
      </w:r>
      <w:r w:rsidRPr="00FE7073">
        <w:rPr>
          <w:szCs w:val="24"/>
          <w:lang w:val="en-GB"/>
        </w:rPr>
        <w:t xml:space="preserve">, </w:t>
      </w:r>
      <w:r w:rsidR="00334ECF">
        <w:rPr>
          <w:szCs w:val="24"/>
          <w:lang w:val="en-GB"/>
        </w:rPr>
        <w:t xml:space="preserve">Glasgow: </w:t>
      </w:r>
      <w:r w:rsidRPr="00FE7073">
        <w:rPr>
          <w:szCs w:val="24"/>
          <w:lang w:val="en-GB"/>
        </w:rPr>
        <w:t>University of Glasgow</w:t>
      </w:r>
      <w:r w:rsidR="00BB68D8">
        <w:rPr>
          <w:szCs w:val="24"/>
          <w:lang w:val="en-GB"/>
        </w:rPr>
        <w:t xml:space="preserve">, 10 June. </w:t>
      </w:r>
    </w:p>
    <w:p w14:paraId="13E3AF8A" w14:textId="77777777" w:rsidR="00552D85" w:rsidRPr="00FE7073" w:rsidRDefault="00552D85" w:rsidP="00552D85">
      <w:pPr>
        <w:rPr>
          <w:szCs w:val="24"/>
          <w:lang w:val="en-GB"/>
        </w:rPr>
      </w:pPr>
      <w:r w:rsidRPr="00FE7073">
        <w:rPr>
          <w:szCs w:val="24"/>
          <w:lang w:val="en-GB"/>
        </w:rPr>
        <w:t>Scott, Adrian J. (2000),</w:t>
      </w:r>
      <w:r w:rsidRPr="00FE7073">
        <w:rPr>
          <w:i/>
          <w:szCs w:val="24"/>
          <w:lang w:val="en-GB"/>
        </w:rPr>
        <w:t xml:space="preserve"> The Cultural Economy of Cities: Essays on the Geography of Image-Producing Industries</w:t>
      </w:r>
      <w:r w:rsidRPr="00FE7073">
        <w:rPr>
          <w:szCs w:val="24"/>
          <w:lang w:val="en-GB"/>
        </w:rPr>
        <w:t>, London: Sage.</w:t>
      </w:r>
    </w:p>
    <w:p w14:paraId="20D1FB34" w14:textId="77777777" w:rsidR="00552D85" w:rsidRPr="00FE7073" w:rsidRDefault="00552D85" w:rsidP="00552D85">
      <w:pPr>
        <w:rPr>
          <w:szCs w:val="24"/>
          <w:lang w:val="en-GB"/>
        </w:rPr>
      </w:pPr>
      <w:r w:rsidRPr="00FE7073">
        <w:rPr>
          <w:szCs w:val="24"/>
          <w:lang w:val="en-GB"/>
        </w:rPr>
        <w:t xml:space="preserve">Standing, Graham (2014), </w:t>
      </w:r>
      <w:r w:rsidRPr="00FE7073">
        <w:rPr>
          <w:i/>
          <w:szCs w:val="24"/>
          <w:lang w:val="en-GB"/>
        </w:rPr>
        <w:t>The Precariat: The New Dangerous Class,</w:t>
      </w:r>
      <w:r w:rsidRPr="00FE7073">
        <w:rPr>
          <w:szCs w:val="24"/>
          <w:lang w:val="en-GB"/>
        </w:rPr>
        <w:t xml:space="preserve"> London: Bloomsbury.</w:t>
      </w:r>
    </w:p>
    <w:p w14:paraId="329ECAF7" w14:textId="4BE160BD" w:rsidR="00552D85" w:rsidRPr="00FE7073" w:rsidRDefault="00552D85" w:rsidP="00552D85">
      <w:pPr>
        <w:rPr>
          <w:szCs w:val="24"/>
          <w:lang w:val="en-GB"/>
        </w:rPr>
      </w:pPr>
      <w:proofErr w:type="spellStart"/>
      <w:r w:rsidRPr="00FE7073">
        <w:rPr>
          <w:szCs w:val="24"/>
          <w:lang w:val="en-GB"/>
        </w:rPr>
        <w:t>Steemers</w:t>
      </w:r>
      <w:proofErr w:type="spellEnd"/>
      <w:r w:rsidRPr="00FE7073">
        <w:rPr>
          <w:szCs w:val="24"/>
          <w:lang w:val="en-GB"/>
        </w:rPr>
        <w:t xml:space="preserve">, Jeanette (2014), ‘Selling </w:t>
      </w:r>
      <w:r w:rsidR="00E478A2" w:rsidRPr="00FE7073">
        <w:rPr>
          <w:szCs w:val="24"/>
          <w:lang w:val="en-GB"/>
        </w:rPr>
        <w:t>television</w:t>
      </w:r>
      <w:r w:rsidRPr="00FE7073">
        <w:rPr>
          <w:szCs w:val="24"/>
          <w:lang w:val="en-GB"/>
        </w:rPr>
        <w:t xml:space="preserve">: Addressing </w:t>
      </w:r>
      <w:r w:rsidR="00E478A2" w:rsidRPr="00FE7073">
        <w:rPr>
          <w:szCs w:val="24"/>
          <w:lang w:val="en-GB"/>
        </w:rPr>
        <w:t xml:space="preserve">transformations </w:t>
      </w:r>
      <w:r w:rsidRPr="00FE7073">
        <w:rPr>
          <w:szCs w:val="24"/>
          <w:lang w:val="en-GB"/>
        </w:rPr>
        <w:t xml:space="preserve">in the </w:t>
      </w:r>
      <w:r w:rsidR="00E478A2" w:rsidRPr="00FE7073">
        <w:rPr>
          <w:szCs w:val="24"/>
          <w:lang w:val="en-GB"/>
        </w:rPr>
        <w:t xml:space="preserve">international distribution </w:t>
      </w:r>
      <w:r w:rsidRPr="00FE7073">
        <w:rPr>
          <w:szCs w:val="24"/>
          <w:lang w:val="en-GB"/>
        </w:rPr>
        <w:t xml:space="preserve">of </w:t>
      </w:r>
      <w:r w:rsidR="00E478A2" w:rsidRPr="00FE7073">
        <w:rPr>
          <w:szCs w:val="24"/>
          <w:lang w:val="en-GB"/>
        </w:rPr>
        <w:t>television content’</w:t>
      </w:r>
      <w:r w:rsidRPr="00FE7073">
        <w:rPr>
          <w:szCs w:val="24"/>
          <w:lang w:val="en-GB"/>
        </w:rPr>
        <w:t xml:space="preserve">, </w:t>
      </w:r>
      <w:r w:rsidRPr="00FE7073">
        <w:rPr>
          <w:i/>
          <w:szCs w:val="24"/>
          <w:lang w:val="en-GB"/>
        </w:rPr>
        <w:t>Media Industries Journal,</w:t>
      </w:r>
      <w:r w:rsidRPr="00FE7073">
        <w:rPr>
          <w:szCs w:val="24"/>
          <w:lang w:val="en-GB"/>
        </w:rPr>
        <w:t xml:space="preserve"> 1:1, pp. 44</w:t>
      </w:r>
      <w:r w:rsidR="00E478A2" w:rsidRPr="00FE7073">
        <w:rPr>
          <w:szCs w:val="24"/>
          <w:lang w:val="en-GB"/>
        </w:rPr>
        <w:sym w:font="Symbol" w:char="F02D"/>
      </w:r>
      <w:r w:rsidRPr="00FE7073">
        <w:rPr>
          <w:szCs w:val="24"/>
          <w:lang w:val="en-GB"/>
        </w:rPr>
        <w:t xml:space="preserve">48. </w:t>
      </w:r>
    </w:p>
    <w:p w14:paraId="10DD2DBD" w14:textId="20490C34" w:rsidR="00552D85" w:rsidRPr="00FE7073" w:rsidRDefault="00552D85" w:rsidP="00552D85">
      <w:pPr>
        <w:rPr>
          <w:szCs w:val="24"/>
          <w:lang w:val="en-GB"/>
        </w:rPr>
      </w:pPr>
      <w:proofErr w:type="spellStart"/>
      <w:r w:rsidRPr="00FE7073">
        <w:rPr>
          <w:szCs w:val="24"/>
          <w:lang w:val="en-GB"/>
        </w:rPr>
        <w:t>Szczepanik</w:t>
      </w:r>
      <w:proofErr w:type="spellEnd"/>
      <w:r w:rsidRPr="00FE7073">
        <w:rPr>
          <w:szCs w:val="24"/>
          <w:lang w:val="en-GB"/>
        </w:rPr>
        <w:t xml:space="preserve">, Petr and </w:t>
      </w:r>
      <w:proofErr w:type="spellStart"/>
      <w:r w:rsidRPr="00FE7073">
        <w:rPr>
          <w:szCs w:val="24"/>
          <w:lang w:val="en-GB"/>
        </w:rPr>
        <w:t>Vonderau</w:t>
      </w:r>
      <w:proofErr w:type="spellEnd"/>
      <w:r w:rsidR="00E478A2" w:rsidRPr="00FE7073">
        <w:rPr>
          <w:szCs w:val="24"/>
          <w:lang w:val="en-GB"/>
        </w:rPr>
        <w:t>, Patrick</w:t>
      </w:r>
      <w:r w:rsidRPr="00FE7073">
        <w:rPr>
          <w:szCs w:val="24"/>
          <w:lang w:val="en-GB"/>
        </w:rPr>
        <w:t xml:space="preserve"> (</w:t>
      </w:r>
      <w:proofErr w:type="spellStart"/>
      <w:r w:rsidRPr="00FE7073">
        <w:rPr>
          <w:szCs w:val="24"/>
          <w:lang w:val="en-GB"/>
        </w:rPr>
        <w:t>eds</w:t>
      </w:r>
      <w:proofErr w:type="spellEnd"/>
      <w:r w:rsidRPr="00FE7073">
        <w:rPr>
          <w:szCs w:val="24"/>
          <w:lang w:val="en-GB"/>
        </w:rPr>
        <w:t xml:space="preserve">) (2013), </w:t>
      </w:r>
      <w:r w:rsidRPr="00FE7073">
        <w:rPr>
          <w:i/>
          <w:szCs w:val="24"/>
          <w:lang w:val="en-GB"/>
        </w:rPr>
        <w:t>Behind the Screen: Inside European Production Cultures</w:t>
      </w:r>
      <w:r w:rsidRPr="00FE7073">
        <w:rPr>
          <w:szCs w:val="24"/>
          <w:lang w:val="en-GB"/>
        </w:rPr>
        <w:t>, New York: Palgrave Macmillan.</w:t>
      </w:r>
    </w:p>
    <w:p w14:paraId="1030747E" w14:textId="740563F1" w:rsidR="00552D85" w:rsidRPr="00FE7073" w:rsidRDefault="00552D85" w:rsidP="00552D85">
      <w:pPr>
        <w:rPr>
          <w:szCs w:val="24"/>
          <w:lang w:val="en-GB"/>
        </w:rPr>
      </w:pPr>
      <w:r w:rsidRPr="00FE7073">
        <w:rPr>
          <w:szCs w:val="24"/>
          <w:lang w:val="en-GB"/>
        </w:rPr>
        <w:t xml:space="preserve">Van </w:t>
      </w:r>
      <w:proofErr w:type="spellStart"/>
      <w:r w:rsidRPr="00FE7073">
        <w:rPr>
          <w:szCs w:val="24"/>
          <w:lang w:val="en-GB"/>
        </w:rPr>
        <w:t>Maanen</w:t>
      </w:r>
      <w:proofErr w:type="spellEnd"/>
      <w:r w:rsidRPr="00FE7073">
        <w:rPr>
          <w:szCs w:val="24"/>
          <w:lang w:val="en-GB"/>
        </w:rPr>
        <w:t>, J</w:t>
      </w:r>
      <w:r w:rsidR="00334ECF">
        <w:rPr>
          <w:szCs w:val="24"/>
          <w:lang w:val="en-GB"/>
        </w:rPr>
        <w:t>ohn</w:t>
      </w:r>
      <w:r w:rsidRPr="00FE7073">
        <w:rPr>
          <w:szCs w:val="24"/>
          <w:lang w:val="en-GB"/>
        </w:rPr>
        <w:t xml:space="preserve"> (ed.) (1998), </w:t>
      </w:r>
      <w:r w:rsidRPr="00FE7073">
        <w:rPr>
          <w:i/>
          <w:szCs w:val="24"/>
          <w:lang w:val="en-GB"/>
        </w:rPr>
        <w:t>Qualitative Studies of Organizations</w:t>
      </w:r>
      <w:r w:rsidRPr="00FE7073">
        <w:rPr>
          <w:szCs w:val="24"/>
          <w:lang w:val="en-GB"/>
        </w:rPr>
        <w:t xml:space="preserve">, London: Sage. </w:t>
      </w:r>
    </w:p>
    <w:p w14:paraId="2DF1CE88" w14:textId="559409BB" w:rsidR="00552D85" w:rsidRPr="00FE7073" w:rsidRDefault="00552D85" w:rsidP="00552D85">
      <w:pPr>
        <w:rPr>
          <w:szCs w:val="24"/>
          <w:lang w:val="en-GB"/>
        </w:rPr>
      </w:pPr>
      <w:proofErr w:type="spellStart"/>
      <w:r w:rsidRPr="00FE7073">
        <w:rPr>
          <w:szCs w:val="24"/>
          <w:lang w:val="en-GB"/>
        </w:rPr>
        <w:t>Vonderau</w:t>
      </w:r>
      <w:proofErr w:type="spellEnd"/>
      <w:r w:rsidRPr="00FE7073">
        <w:rPr>
          <w:szCs w:val="24"/>
          <w:lang w:val="en-GB"/>
        </w:rPr>
        <w:t xml:space="preserve">, Patrick (2013), ‘Borderlands, </w:t>
      </w:r>
      <w:r w:rsidR="00E478A2" w:rsidRPr="00FE7073">
        <w:rPr>
          <w:szCs w:val="24"/>
          <w:lang w:val="en-GB"/>
        </w:rPr>
        <w:t>contact zones</w:t>
      </w:r>
      <w:r w:rsidRPr="00FE7073">
        <w:rPr>
          <w:szCs w:val="24"/>
          <w:lang w:val="en-GB"/>
        </w:rPr>
        <w:t xml:space="preserve">, and </w:t>
      </w:r>
      <w:r w:rsidR="00E478A2" w:rsidRPr="00FE7073">
        <w:rPr>
          <w:szCs w:val="24"/>
          <w:lang w:val="en-GB"/>
        </w:rPr>
        <w:t>boundary games</w:t>
      </w:r>
      <w:r w:rsidRPr="00FE7073">
        <w:rPr>
          <w:szCs w:val="24"/>
          <w:lang w:val="en-GB"/>
        </w:rPr>
        <w:t xml:space="preserve">: A </w:t>
      </w:r>
      <w:r w:rsidR="00E478A2" w:rsidRPr="00FE7073">
        <w:rPr>
          <w:szCs w:val="24"/>
          <w:lang w:val="en-GB"/>
        </w:rPr>
        <w:t xml:space="preserve">conversation </w:t>
      </w:r>
      <w:r w:rsidRPr="00FE7073">
        <w:rPr>
          <w:szCs w:val="24"/>
          <w:lang w:val="en-GB"/>
        </w:rPr>
        <w:t xml:space="preserve">with John T. Caldwell’, in </w:t>
      </w:r>
      <w:r w:rsidR="00E478A2" w:rsidRPr="00FE7073">
        <w:rPr>
          <w:szCs w:val="24"/>
          <w:lang w:val="en-GB"/>
        </w:rPr>
        <w:t xml:space="preserve">P. </w:t>
      </w:r>
      <w:proofErr w:type="spellStart"/>
      <w:r w:rsidRPr="00FE7073">
        <w:rPr>
          <w:szCs w:val="24"/>
          <w:lang w:val="en-GB"/>
        </w:rPr>
        <w:t>Szczepanik</w:t>
      </w:r>
      <w:proofErr w:type="spellEnd"/>
      <w:r w:rsidRPr="00FE7073">
        <w:rPr>
          <w:szCs w:val="24"/>
          <w:lang w:val="en-GB"/>
        </w:rPr>
        <w:t xml:space="preserve"> and </w:t>
      </w:r>
      <w:r w:rsidR="00E478A2" w:rsidRPr="00FE7073">
        <w:rPr>
          <w:szCs w:val="24"/>
          <w:lang w:val="en-GB"/>
        </w:rPr>
        <w:t xml:space="preserve">P. </w:t>
      </w:r>
      <w:proofErr w:type="spellStart"/>
      <w:r w:rsidRPr="00FE7073">
        <w:rPr>
          <w:szCs w:val="24"/>
          <w:lang w:val="en-GB"/>
        </w:rPr>
        <w:t>Vonderau</w:t>
      </w:r>
      <w:proofErr w:type="spellEnd"/>
      <w:r w:rsidRPr="00FE7073">
        <w:rPr>
          <w:szCs w:val="24"/>
          <w:lang w:val="en-GB"/>
        </w:rPr>
        <w:t xml:space="preserve"> (</w:t>
      </w:r>
      <w:proofErr w:type="spellStart"/>
      <w:r w:rsidRPr="00FE7073">
        <w:rPr>
          <w:szCs w:val="24"/>
          <w:lang w:val="en-GB"/>
        </w:rPr>
        <w:t>eds</w:t>
      </w:r>
      <w:proofErr w:type="spellEnd"/>
      <w:r w:rsidRPr="00FE7073">
        <w:rPr>
          <w:szCs w:val="24"/>
          <w:lang w:val="en-GB"/>
        </w:rPr>
        <w:t xml:space="preserve">), </w:t>
      </w:r>
      <w:r w:rsidRPr="00FE7073">
        <w:rPr>
          <w:i/>
          <w:szCs w:val="24"/>
          <w:lang w:val="en-GB"/>
        </w:rPr>
        <w:t>Behind the Screen: Inside European Production Cultures</w:t>
      </w:r>
      <w:r w:rsidRPr="00FE7073">
        <w:rPr>
          <w:szCs w:val="24"/>
          <w:lang w:val="en-GB"/>
        </w:rPr>
        <w:t>, New York: Palgrave Macmillan, pp. 13</w:t>
      </w:r>
      <w:r w:rsidR="00E478A2" w:rsidRPr="00FE7073">
        <w:rPr>
          <w:szCs w:val="24"/>
          <w:lang w:val="en-GB"/>
        </w:rPr>
        <w:sym w:font="Symbol" w:char="F02D"/>
      </w:r>
      <w:r w:rsidRPr="00FE7073">
        <w:rPr>
          <w:szCs w:val="24"/>
          <w:lang w:val="en-GB"/>
        </w:rPr>
        <w:t xml:space="preserve">25. </w:t>
      </w:r>
    </w:p>
    <w:p w14:paraId="308CF932" w14:textId="48F315C6" w:rsidR="00552D85" w:rsidRPr="00FE7073" w:rsidRDefault="00552D85" w:rsidP="00552D85">
      <w:pPr>
        <w:rPr>
          <w:szCs w:val="24"/>
          <w:lang w:val="en-GB"/>
        </w:rPr>
      </w:pPr>
      <w:proofErr w:type="spellStart"/>
      <w:r w:rsidRPr="00FE7073">
        <w:rPr>
          <w:szCs w:val="24"/>
          <w:lang w:val="en-GB"/>
        </w:rPr>
        <w:t>Wasko</w:t>
      </w:r>
      <w:proofErr w:type="spellEnd"/>
      <w:r w:rsidRPr="00FE7073">
        <w:rPr>
          <w:szCs w:val="24"/>
          <w:lang w:val="en-GB"/>
        </w:rPr>
        <w:t xml:space="preserve">, Janet (2015), ‘Learning from the </w:t>
      </w:r>
      <w:r w:rsidR="00881517" w:rsidRPr="00FE7073">
        <w:rPr>
          <w:szCs w:val="24"/>
          <w:lang w:val="en-GB"/>
        </w:rPr>
        <w:t xml:space="preserve">history </w:t>
      </w:r>
      <w:r w:rsidRPr="00FE7073">
        <w:rPr>
          <w:szCs w:val="24"/>
          <w:lang w:val="en-GB"/>
        </w:rPr>
        <w:t xml:space="preserve">of the </w:t>
      </w:r>
      <w:r w:rsidR="00881517" w:rsidRPr="00FE7073">
        <w:rPr>
          <w:szCs w:val="24"/>
          <w:lang w:val="en-GB"/>
        </w:rPr>
        <w:t>field’</w:t>
      </w:r>
      <w:r w:rsidRPr="00FE7073">
        <w:rPr>
          <w:szCs w:val="24"/>
          <w:lang w:val="en-GB"/>
        </w:rPr>
        <w:t xml:space="preserve">, </w:t>
      </w:r>
      <w:r w:rsidRPr="00FE7073">
        <w:rPr>
          <w:i/>
          <w:szCs w:val="24"/>
          <w:lang w:val="en-GB"/>
        </w:rPr>
        <w:t>Media Industries Journal</w:t>
      </w:r>
      <w:r w:rsidRPr="00FE7073">
        <w:rPr>
          <w:szCs w:val="24"/>
          <w:lang w:val="en-GB"/>
        </w:rPr>
        <w:t>, 1:3, 67</w:t>
      </w:r>
      <w:r w:rsidR="00881517" w:rsidRPr="00FE7073">
        <w:rPr>
          <w:szCs w:val="24"/>
          <w:lang w:val="en-GB"/>
        </w:rPr>
        <w:sym w:font="Symbol" w:char="F02D"/>
      </w:r>
      <w:r w:rsidRPr="00FE7073">
        <w:rPr>
          <w:szCs w:val="24"/>
          <w:lang w:val="en-GB"/>
        </w:rPr>
        <w:t>69.</w:t>
      </w:r>
    </w:p>
    <w:p w14:paraId="2B40B913" w14:textId="362DDB73" w:rsidR="00F43773" w:rsidRPr="00FE7073" w:rsidRDefault="00F43773" w:rsidP="00552D85">
      <w:pPr>
        <w:rPr>
          <w:szCs w:val="24"/>
          <w:lang w:val="en-GB"/>
        </w:rPr>
      </w:pPr>
      <w:proofErr w:type="spellStart"/>
      <w:r w:rsidRPr="00FE7073">
        <w:rPr>
          <w:szCs w:val="24"/>
          <w:lang w:val="en-GB"/>
        </w:rPr>
        <w:t>Wasko</w:t>
      </w:r>
      <w:proofErr w:type="spellEnd"/>
      <w:r w:rsidRPr="00FE7073">
        <w:rPr>
          <w:szCs w:val="24"/>
          <w:lang w:val="en-GB"/>
        </w:rPr>
        <w:t>, Janet and Meehan</w:t>
      </w:r>
      <w:r w:rsidR="00334ECF">
        <w:rPr>
          <w:szCs w:val="24"/>
          <w:lang w:val="en-GB"/>
        </w:rPr>
        <w:t>, Eileen R.</w:t>
      </w:r>
      <w:r w:rsidRPr="00FE7073">
        <w:rPr>
          <w:szCs w:val="24"/>
          <w:lang w:val="en-GB"/>
        </w:rPr>
        <w:t xml:space="preserve"> (2013), ‘Critical crossroads or parallel routes?: Political economy and new approaches to studying media industries and cultural products’</w:t>
      </w:r>
      <w:r w:rsidRPr="00FE7073">
        <w:rPr>
          <w:i/>
          <w:szCs w:val="24"/>
          <w:lang w:val="en-GB"/>
        </w:rPr>
        <w:t>, Cinema Journal</w:t>
      </w:r>
      <w:r w:rsidRPr="00FE7073">
        <w:rPr>
          <w:szCs w:val="24"/>
          <w:lang w:val="en-GB"/>
        </w:rPr>
        <w:t>, 52:3 (Spring), pp. 150</w:t>
      </w:r>
      <w:r w:rsidRPr="00FE7073">
        <w:rPr>
          <w:szCs w:val="24"/>
          <w:lang w:val="en-GB"/>
        </w:rPr>
        <w:sym w:font="Symbol" w:char="F02D"/>
      </w:r>
      <w:r w:rsidRPr="00FE7073">
        <w:rPr>
          <w:szCs w:val="24"/>
          <w:lang w:val="en-GB"/>
        </w:rPr>
        <w:t>57.</w:t>
      </w:r>
    </w:p>
    <w:p w14:paraId="6D08D36F" w14:textId="7DECF216" w:rsidR="00552D85" w:rsidRPr="00FE7073" w:rsidRDefault="00552D85" w:rsidP="00552D85">
      <w:pPr>
        <w:rPr>
          <w:szCs w:val="24"/>
          <w:lang w:val="en-GB"/>
        </w:rPr>
      </w:pPr>
      <w:proofErr w:type="spellStart"/>
      <w:r w:rsidRPr="00FE7073">
        <w:rPr>
          <w:szCs w:val="24"/>
          <w:lang w:val="en-GB"/>
        </w:rPr>
        <w:t>Wasko</w:t>
      </w:r>
      <w:proofErr w:type="spellEnd"/>
      <w:r w:rsidRPr="00FE7073">
        <w:rPr>
          <w:szCs w:val="24"/>
          <w:lang w:val="en-GB"/>
        </w:rPr>
        <w:t>, Janet, Murdock</w:t>
      </w:r>
      <w:r w:rsidR="00851B2D" w:rsidRPr="00FE7073">
        <w:rPr>
          <w:szCs w:val="24"/>
          <w:lang w:val="en-GB"/>
        </w:rPr>
        <w:t>, Graham</w:t>
      </w:r>
      <w:r w:rsidRPr="00FE7073">
        <w:rPr>
          <w:szCs w:val="24"/>
          <w:lang w:val="en-GB"/>
        </w:rPr>
        <w:t xml:space="preserve"> and Sousa</w:t>
      </w:r>
      <w:r w:rsidR="00851B2D" w:rsidRPr="00FE7073">
        <w:rPr>
          <w:szCs w:val="24"/>
          <w:lang w:val="en-GB"/>
        </w:rPr>
        <w:t>, Helen</w:t>
      </w:r>
      <w:r w:rsidRPr="00FE7073">
        <w:rPr>
          <w:szCs w:val="24"/>
          <w:lang w:val="en-GB"/>
        </w:rPr>
        <w:t xml:space="preserve"> (</w:t>
      </w:r>
      <w:proofErr w:type="spellStart"/>
      <w:r w:rsidRPr="00FE7073">
        <w:rPr>
          <w:szCs w:val="24"/>
          <w:lang w:val="en-GB"/>
        </w:rPr>
        <w:t>eds</w:t>
      </w:r>
      <w:proofErr w:type="spellEnd"/>
      <w:r w:rsidRPr="00FE7073">
        <w:rPr>
          <w:szCs w:val="24"/>
          <w:lang w:val="en-GB"/>
        </w:rPr>
        <w:t xml:space="preserve">) (2013), </w:t>
      </w:r>
      <w:r w:rsidRPr="00FE7073">
        <w:rPr>
          <w:i/>
          <w:szCs w:val="24"/>
          <w:lang w:val="en-GB"/>
        </w:rPr>
        <w:t>The Handbook of Political Economy of Communications</w:t>
      </w:r>
      <w:r w:rsidRPr="00FE7073">
        <w:rPr>
          <w:szCs w:val="24"/>
          <w:lang w:val="en-GB"/>
        </w:rPr>
        <w:t xml:space="preserve">, Malden and Oxford: Wiley-Blackwell. </w:t>
      </w:r>
    </w:p>
    <w:p w14:paraId="6521AEC2" w14:textId="77777777" w:rsidR="00552D85" w:rsidRPr="00FE7073" w:rsidRDefault="00552D85" w:rsidP="00552D85">
      <w:pPr>
        <w:rPr>
          <w:szCs w:val="24"/>
          <w:lang w:val="en-GB"/>
        </w:rPr>
      </w:pPr>
      <w:r w:rsidRPr="00FE7073">
        <w:rPr>
          <w:szCs w:val="24"/>
          <w:lang w:val="en-GB"/>
        </w:rPr>
        <w:t>Weismann, Elke (2012</w:t>
      </w:r>
      <w:r w:rsidRPr="001E2D3F">
        <w:rPr>
          <w:lang w:val="en-GB"/>
        </w:rPr>
        <w:t>),</w:t>
      </w:r>
      <w:r w:rsidRPr="00FE7073">
        <w:rPr>
          <w:i/>
          <w:szCs w:val="24"/>
          <w:lang w:val="en-GB"/>
        </w:rPr>
        <w:t xml:space="preserve"> Transnational Television Drama: Special Relations and Mutual Influence between the US and the UK,</w:t>
      </w:r>
      <w:r w:rsidRPr="00FE7073">
        <w:rPr>
          <w:szCs w:val="24"/>
          <w:lang w:val="en-GB"/>
        </w:rPr>
        <w:t xml:space="preserve"> New York: Palgrave Macmillan. </w:t>
      </w:r>
    </w:p>
    <w:p w14:paraId="583A2B3B" w14:textId="158515C7" w:rsidR="00552D85" w:rsidRPr="00FE7073" w:rsidRDefault="00552D85" w:rsidP="00552D85">
      <w:pPr>
        <w:rPr>
          <w:szCs w:val="24"/>
          <w:lang w:val="en-GB"/>
        </w:rPr>
      </w:pPr>
      <w:r w:rsidRPr="00FE7073">
        <w:rPr>
          <w:szCs w:val="24"/>
          <w:lang w:val="en-GB"/>
        </w:rPr>
        <w:t xml:space="preserve">Wheeler, Mark (2004), ‘Supranational </w:t>
      </w:r>
      <w:r w:rsidR="00A90117" w:rsidRPr="00FE7073">
        <w:rPr>
          <w:szCs w:val="24"/>
          <w:lang w:val="en-GB"/>
        </w:rPr>
        <w:t>regulation</w:t>
      </w:r>
      <w:r w:rsidRPr="00FE7073">
        <w:rPr>
          <w:szCs w:val="24"/>
          <w:lang w:val="en-GB"/>
        </w:rPr>
        <w:t xml:space="preserve">: Television and the European Union’, </w:t>
      </w:r>
      <w:r w:rsidRPr="00FE7073">
        <w:rPr>
          <w:i/>
          <w:szCs w:val="24"/>
          <w:lang w:val="en-GB"/>
        </w:rPr>
        <w:t>International Journal of Communication</w:t>
      </w:r>
      <w:r w:rsidRPr="00FE7073">
        <w:rPr>
          <w:szCs w:val="24"/>
          <w:lang w:val="en-GB"/>
        </w:rPr>
        <w:t>, 19:3, pp. 349</w:t>
      </w:r>
      <w:r w:rsidR="00A90117" w:rsidRPr="00FE7073">
        <w:rPr>
          <w:szCs w:val="24"/>
          <w:lang w:val="en-GB"/>
        </w:rPr>
        <w:sym w:font="Symbol" w:char="F02D"/>
      </w:r>
      <w:r w:rsidRPr="00FE7073">
        <w:rPr>
          <w:szCs w:val="24"/>
          <w:lang w:val="en-GB"/>
        </w:rPr>
        <w:t xml:space="preserve">69. </w:t>
      </w:r>
    </w:p>
    <w:p w14:paraId="4A995FB5" w14:textId="19C0CC18" w:rsidR="00552D85" w:rsidRPr="00FE7073" w:rsidRDefault="00552D85" w:rsidP="00552D85">
      <w:pPr>
        <w:rPr>
          <w:szCs w:val="24"/>
          <w:lang w:val="en-GB"/>
        </w:rPr>
      </w:pPr>
      <w:proofErr w:type="spellStart"/>
      <w:r w:rsidRPr="00FE7073">
        <w:rPr>
          <w:szCs w:val="24"/>
          <w:lang w:val="en-GB"/>
        </w:rPr>
        <w:t>Winse</w:t>
      </w:r>
      <w:r w:rsidR="00BF0683" w:rsidRPr="00FE7073">
        <w:rPr>
          <w:szCs w:val="24"/>
          <w:lang w:val="en-GB"/>
        </w:rPr>
        <w:t>c</w:t>
      </w:r>
      <w:r w:rsidRPr="00FE7073">
        <w:rPr>
          <w:szCs w:val="24"/>
          <w:lang w:val="en-GB"/>
        </w:rPr>
        <w:t>k</w:t>
      </w:r>
      <w:proofErr w:type="spellEnd"/>
      <w:r w:rsidRPr="00FE7073">
        <w:rPr>
          <w:szCs w:val="24"/>
          <w:lang w:val="en-GB"/>
        </w:rPr>
        <w:t xml:space="preserve">, Dwayne and </w:t>
      </w:r>
      <w:proofErr w:type="spellStart"/>
      <w:r w:rsidRPr="00FE7073">
        <w:rPr>
          <w:szCs w:val="24"/>
          <w:lang w:val="en-GB"/>
        </w:rPr>
        <w:t>Jin</w:t>
      </w:r>
      <w:proofErr w:type="spellEnd"/>
      <w:r w:rsidR="00F43773" w:rsidRPr="00FE7073">
        <w:rPr>
          <w:szCs w:val="24"/>
          <w:lang w:val="en-GB"/>
        </w:rPr>
        <w:t>, Dal Y.</w:t>
      </w:r>
      <w:r w:rsidRPr="00FE7073">
        <w:rPr>
          <w:szCs w:val="24"/>
          <w:lang w:val="en-GB"/>
        </w:rPr>
        <w:t xml:space="preserve"> (</w:t>
      </w:r>
      <w:proofErr w:type="spellStart"/>
      <w:r w:rsidRPr="00FE7073">
        <w:rPr>
          <w:szCs w:val="24"/>
          <w:lang w:val="en-GB"/>
        </w:rPr>
        <w:t>eds</w:t>
      </w:r>
      <w:proofErr w:type="spellEnd"/>
      <w:r w:rsidRPr="00FE7073">
        <w:rPr>
          <w:szCs w:val="24"/>
          <w:lang w:val="en-GB"/>
        </w:rPr>
        <w:t xml:space="preserve">) (2011), </w:t>
      </w:r>
      <w:r w:rsidRPr="00FE7073">
        <w:rPr>
          <w:i/>
          <w:szCs w:val="24"/>
          <w:lang w:val="en-GB"/>
        </w:rPr>
        <w:t>The Political Economies of Media: The Transformation of the Global Media Industries</w:t>
      </w:r>
      <w:r w:rsidRPr="00FE7073">
        <w:rPr>
          <w:szCs w:val="24"/>
          <w:lang w:val="en-GB"/>
        </w:rPr>
        <w:t xml:space="preserve">, London: Bloomsbury Academic. </w:t>
      </w:r>
    </w:p>
    <w:p w14:paraId="78F98475" w14:textId="14628259" w:rsidR="00552D85" w:rsidRPr="00FE7073" w:rsidRDefault="00552D85" w:rsidP="00552D85">
      <w:pPr>
        <w:rPr>
          <w:szCs w:val="24"/>
          <w:lang w:val="en-GB"/>
        </w:rPr>
      </w:pPr>
      <w:r w:rsidRPr="00FE7073">
        <w:rPr>
          <w:szCs w:val="24"/>
          <w:lang w:val="en-GB"/>
        </w:rPr>
        <w:t xml:space="preserve">Yin, Robert K. (2013), </w:t>
      </w:r>
      <w:r w:rsidRPr="00FE7073">
        <w:rPr>
          <w:i/>
          <w:szCs w:val="24"/>
          <w:lang w:val="en-GB"/>
        </w:rPr>
        <w:t>Case Study Research: Design and Methods</w:t>
      </w:r>
      <w:r w:rsidRPr="00FE7073">
        <w:rPr>
          <w:szCs w:val="24"/>
          <w:lang w:val="en-GB"/>
        </w:rPr>
        <w:t xml:space="preserve">, London: Sage. </w:t>
      </w:r>
    </w:p>
    <w:p w14:paraId="175B7750" w14:textId="77777777" w:rsidR="00093E91" w:rsidRPr="001E2D3F" w:rsidRDefault="00093E91">
      <w:pPr>
        <w:rPr>
          <w:lang w:val="en-GB"/>
        </w:rPr>
      </w:pPr>
    </w:p>
    <w:sectPr w:rsidR="00093E91" w:rsidRPr="001E2D3F">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32C2E0" w15:done="0"/>
  <w15:commentEx w15:paraId="311640BE" w15:paraIdParent="5232C2E0" w15:done="0"/>
  <w15:commentEx w15:paraId="3EAE724E" w15:done="0"/>
  <w15:commentEx w15:paraId="333A255C" w15:done="0"/>
  <w15:commentEx w15:paraId="411DFEE4" w15:done="0"/>
  <w15:commentEx w15:paraId="260450E2" w15:done="0"/>
  <w15:commentEx w15:paraId="36C84858" w15:done="0"/>
  <w15:commentEx w15:paraId="7CEF483A" w15:done="0"/>
  <w15:commentEx w15:paraId="1A285CF5" w15:done="0"/>
  <w15:commentEx w15:paraId="0B1F92A8" w15:done="0"/>
  <w15:commentEx w15:paraId="18352E3D" w15:done="0"/>
  <w15:commentEx w15:paraId="22F83E12" w15:done="0"/>
  <w15:commentEx w15:paraId="115F063C" w15:done="0"/>
  <w15:commentEx w15:paraId="28492E8C" w15:paraIdParent="115F063C" w15:done="0"/>
  <w15:commentEx w15:paraId="057EDCA7" w15:done="0"/>
  <w15:commentEx w15:paraId="4996DCF1" w15:paraIdParent="057EDCA7" w15:done="0"/>
  <w15:commentEx w15:paraId="42A48D4D" w15:done="0"/>
  <w15:commentEx w15:paraId="08B45111" w15:done="0"/>
  <w15:commentEx w15:paraId="17099A05" w15:done="0"/>
  <w15:commentEx w15:paraId="44C5D0D3" w15:done="0"/>
  <w15:commentEx w15:paraId="130FABA1" w15:done="0"/>
  <w15:commentEx w15:paraId="73E8F65B" w15:done="0"/>
  <w15:commentEx w15:paraId="4B3FFABE" w15:done="0"/>
  <w15:commentEx w15:paraId="70832443" w15:done="0"/>
  <w15:commentEx w15:paraId="721304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4FBC2" w14:textId="77777777" w:rsidR="004052FB" w:rsidRDefault="004052FB" w:rsidP="00552D85">
      <w:pPr>
        <w:spacing w:after="0" w:line="240" w:lineRule="auto"/>
      </w:pPr>
      <w:r>
        <w:separator/>
      </w:r>
    </w:p>
  </w:endnote>
  <w:endnote w:type="continuationSeparator" w:id="0">
    <w:p w14:paraId="42E9F5D1" w14:textId="77777777" w:rsidR="004052FB" w:rsidRDefault="004052FB" w:rsidP="00552D85">
      <w:pPr>
        <w:spacing w:after="0" w:line="240" w:lineRule="auto"/>
      </w:pPr>
      <w:r>
        <w:continuationSeparator/>
      </w:r>
    </w:p>
  </w:endnote>
  <w:endnote w:id="1">
    <w:p w14:paraId="5D17F996" w14:textId="222F4AB4" w:rsidR="00035647" w:rsidRPr="004E4E78" w:rsidRDefault="00035647" w:rsidP="00552D85">
      <w:pPr>
        <w:pStyle w:val="EndnoteText"/>
        <w:rPr>
          <w:rFonts w:ascii="Times New Roman" w:hAnsi="Times New Roman" w:cs="Times New Roman"/>
          <w:b/>
          <w:sz w:val="24"/>
          <w:szCs w:val="24"/>
          <w:lang w:val="en-GB"/>
        </w:rPr>
      </w:pPr>
      <w:r>
        <w:rPr>
          <w:rFonts w:ascii="Times New Roman" w:hAnsi="Times New Roman" w:cs="Times New Roman"/>
          <w:b/>
          <w:sz w:val="24"/>
          <w:szCs w:val="24"/>
          <w:lang w:val="en-GB"/>
        </w:rPr>
        <w:t>&lt;H1&gt;N</w:t>
      </w:r>
      <w:r w:rsidRPr="004E4E78">
        <w:rPr>
          <w:rFonts w:ascii="Times New Roman" w:hAnsi="Times New Roman" w:cs="Times New Roman"/>
          <w:b/>
          <w:sz w:val="24"/>
          <w:szCs w:val="24"/>
          <w:lang w:val="en-GB"/>
        </w:rPr>
        <w:t>otes</w:t>
      </w:r>
      <w:r>
        <w:rPr>
          <w:rFonts w:ascii="Times New Roman" w:hAnsi="Times New Roman" w:cs="Times New Roman"/>
          <w:b/>
          <w:sz w:val="24"/>
          <w:szCs w:val="24"/>
          <w:lang w:val="en-GB"/>
        </w:rPr>
        <w:t>&lt;/H1&gt;</w:t>
      </w:r>
    </w:p>
    <w:p w14:paraId="7BCEC6DB" w14:textId="77777777" w:rsidR="00035647" w:rsidRPr="004E4E78" w:rsidRDefault="00035647" w:rsidP="00552D85">
      <w:pPr>
        <w:pStyle w:val="EndnoteText"/>
        <w:rPr>
          <w:rFonts w:ascii="Calibri" w:hAnsi="Calibri" w:cs="Calibri"/>
          <w:b/>
          <w:lang w:val="en-GB"/>
        </w:rPr>
      </w:pPr>
    </w:p>
    <w:p w14:paraId="46AFB7D2" w14:textId="77777777" w:rsidR="00035647" w:rsidRPr="00C826FF" w:rsidRDefault="00035647" w:rsidP="00552D85">
      <w:pPr>
        <w:pStyle w:val="EndnoteText"/>
        <w:rPr>
          <w:rFonts w:ascii="Calibri" w:hAnsi="Calibri" w:cs="Calibri"/>
          <w:lang w:val="en-US"/>
        </w:rPr>
      </w:pPr>
      <w:r w:rsidRPr="00C826FF">
        <w:rPr>
          <w:rStyle w:val="EndnoteReference"/>
          <w:rFonts w:ascii="Calibri" w:hAnsi="Calibri" w:cs="Calibri"/>
        </w:rPr>
        <w:endnoteRef/>
      </w:r>
      <w:r w:rsidRPr="004E4E78">
        <w:rPr>
          <w:rFonts w:ascii="Calibri" w:hAnsi="Calibri" w:cs="Calibri"/>
          <w:lang w:val="en-GB"/>
        </w:rPr>
        <w:t xml:space="preserve"> </w:t>
      </w:r>
      <w:r w:rsidRPr="00C826FF">
        <w:rPr>
          <w:rFonts w:ascii="Calibri" w:hAnsi="Calibri" w:cs="Calibri"/>
          <w:lang w:val="en-US"/>
        </w:rPr>
        <w:t>According to the European Commission the main factors determining whether an enterprise is an MSME are: staff headcount, turnover and financial status. However, if a small enterprise has access to significant additional resources (e.g. because it is owned by, linked to or partnered with a larger enterprise)</w:t>
      </w:r>
      <w:r>
        <w:rPr>
          <w:rFonts w:ascii="Calibri" w:hAnsi="Calibri" w:cs="Calibri"/>
          <w:lang w:val="en-US"/>
        </w:rPr>
        <w:t>,</w:t>
      </w:r>
      <w:r w:rsidRPr="00C826FF">
        <w:rPr>
          <w:rFonts w:ascii="Calibri" w:hAnsi="Calibri" w:cs="Calibri"/>
          <w:lang w:val="en-US"/>
        </w:rPr>
        <w:t xml:space="preserve"> it might not be eligible for MSME status.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5"/>
        <w:gridCol w:w="1384"/>
        <w:gridCol w:w="819"/>
        <w:gridCol w:w="118"/>
        <w:gridCol w:w="118"/>
        <w:gridCol w:w="1668"/>
      </w:tblGrid>
      <w:tr w:rsidR="00035647" w:rsidRPr="00C826FF" w14:paraId="34E8E4E6" w14:textId="77777777" w:rsidTr="005D76D0">
        <w:trPr>
          <w:tblCellSpacing w:w="15" w:type="dxa"/>
        </w:trPr>
        <w:tc>
          <w:tcPr>
            <w:tcW w:w="0" w:type="auto"/>
            <w:vAlign w:val="center"/>
            <w:hideMark/>
          </w:tcPr>
          <w:p w14:paraId="5E2BBB4B" w14:textId="77777777" w:rsidR="00035647" w:rsidRPr="00C826FF" w:rsidRDefault="00035647" w:rsidP="005D76D0">
            <w:pPr>
              <w:pStyle w:val="EndnoteText"/>
              <w:jc w:val="center"/>
              <w:rPr>
                <w:rFonts w:ascii="Calibri" w:hAnsi="Calibri" w:cs="Calibri"/>
              </w:rPr>
            </w:pPr>
            <w:r w:rsidRPr="00C826FF">
              <w:rPr>
                <w:rFonts w:ascii="Calibri" w:hAnsi="Calibri" w:cs="Calibri"/>
                <w:b/>
                <w:bCs/>
              </w:rPr>
              <w:t>Company category</w:t>
            </w:r>
          </w:p>
        </w:tc>
        <w:tc>
          <w:tcPr>
            <w:tcW w:w="0" w:type="auto"/>
            <w:vAlign w:val="center"/>
            <w:hideMark/>
          </w:tcPr>
          <w:p w14:paraId="4EBD1B70" w14:textId="77777777" w:rsidR="00035647" w:rsidRPr="00C826FF" w:rsidRDefault="00035647" w:rsidP="005D76D0">
            <w:pPr>
              <w:pStyle w:val="EndnoteText"/>
              <w:jc w:val="center"/>
              <w:rPr>
                <w:rFonts w:ascii="Calibri" w:hAnsi="Calibri" w:cs="Calibri"/>
              </w:rPr>
            </w:pPr>
            <w:r w:rsidRPr="00C826FF">
              <w:rPr>
                <w:rFonts w:ascii="Calibri" w:hAnsi="Calibri" w:cs="Calibri"/>
                <w:b/>
                <w:bCs/>
              </w:rPr>
              <w:t>Staff headcount</w:t>
            </w:r>
          </w:p>
        </w:tc>
        <w:tc>
          <w:tcPr>
            <w:tcW w:w="0" w:type="auto"/>
            <w:vAlign w:val="center"/>
            <w:hideMark/>
          </w:tcPr>
          <w:p w14:paraId="47D286CE" w14:textId="77777777" w:rsidR="00035647" w:rsidRPr="00C826FF" w:rsidRDefault="00035647" w:rsidP="005D76D0">
            <w:pPr>
              <w:pStyle w:val="EndnoteText"/>
              <w:jc w:val="center"/>
              <w:rPr>
                <w:rFonts w:ascii="Calibri" w:hAnsi="Calibri" w:cs="Calibri"/>
              </w:rPr>
            </w:pPr>
            <w:r w:rsidRPr="00C826FF">
              <w:rPr>
                <w:rFonts w:ascii="Calibri" w:hAnsi="Calibri" w:cs="Calibri"/>
                <w:b/>
                <w:bCs/>
              </w:rPr>
              <w:t>Turnover</w:t>
            </w:r>
          </w:p>
        </w:tc>
        <w:tc>
          <w:tcPr>
            <w:tcW w:w="0" w:type="auto"/>
            <w:gridSpan w:val="2"/>
            <w:vAlign w:val="center"/>
            <w:hideMark/>
          </w:tcPr>
          <w:p w14:paraId="728A74FC" w14:textId="77777777" w:rsidR="00035647" w:rsidRPr="00C826FF" w:rsidRDefault="00035647" w:rsidP="005D76D0">
            <w:pPr>
              <w:pStyle w:val="EndnoteText"/>
              <w:jc w:val="center"/>
              <w:rPr>
                <w:rFonts w:ascii="Calibri" w:hAnsi="Calibri" w:cs="Calibri"/>
              </w:rPr>
            </w:pPr>
            <w:r w:rsidRPr="00C826FF">
              <w:rPr>
                <w:rFonts w:ascii="Calibri" w:hAnsi="Calibri" w:cs="Calibri"/>
              </w:rPr>
              <w:t>or</w:t>
            </w:r>
          </w:p>
        </w:tc>
        <w:tc>
          <w:tcPr>
            <w:tcW w:w="0" w:type="auto"/>
            <w:vAlign w:val="center"/>
            <w:hideMark/>
          </w:tcPr>
          <w:p w14:paraId="44B6D3D1" w14:textId="77777777" w:rsidR="00035647" w:rsidRPr="00C826FF" w:rsidRDefault="00035647" w:rsidP="005D76D0">
            <w:pPr>
              <w:pStyle w:val="EndnoteText"/>
              <w:jc w:val="center"/>
              <w:rPr>
                <w:rFonts w:ascii="Calibri" w:hAnsi="Calibri" w:cs="Calibri"/>
              </w:rPr>
            </w:pPr>
            <w:r w:rsidRPr="00C826FF">
              <w:rPr>
                <w:rFonts w:ascii="Calibri" w:hAnsi="Calibri" w:cs="Calibri"/>
                <w:b/>
                <w:bCs/>
              </w:rPr>
              <w:t>Balance sheet total</w:t>
            </w:r>
          </w:p>
        </w:tc>
      </w:tr>
      <w:tr w:rsidR="00035647" w:rsidRPr="00C826FF" w14:paraId="499243D1" w14:textId="77777777" w:rsidTr="005D76D0">
        <w:trPr>
          <w:tblCellSpacing w:w="15" w:type="dxa"/>
        </w:trPr>
        <w:tc>
          <w:tcPr>
            <w:tcW w:w="0" w:type="auto"/>
            <w:vAlign w:val="center"/>
            <w:hideMark/>
          </w:tcPr>
          <w:p w14:paraId="65A21B93" w14:textId="77777777" w:rsidR="00035647" w:rsidRPr="00C826FF" w:rsidRDefault="00035647" w:rsidP="005D76D0">
            <w:pPr>
              <w:pStyle w:val="EndnoteText"/>
              <w:rPr>
                <w:rFonts w:ascii="Calibri" w:hAnsi="Calibri" w:cs="Calibri"/>
              </w:rPr>
            </w:pPr>
            <w:r w:rsidRPr="00C826FF">
              <w:rPr>
                <w:rFonts w:ascii="Calibri" w:hAnsi="Calibri" w:cs="Calibri"/>
              </w:rPr>
              <w:t>Medium-sized</w:t>
            </w:r>
          </w:p>
        </w:tc>
        <w:tc>
          <w:tcPr>
            <w:tcW w:w="0" w:type="auto"/>
            <w:vAlign w:val="center"/>
            <w:hideMark/>
          </w:tcPr>
          <w:p w14:paraId="1708D64F" w14:textId="77777777" w:rsidR="00035647" w:rsidRPr="00C826FF" w:rsidRDefault="00035647" w:rsidP="005D76D0">
            <w:pPr>
              <w:pStyle w:val="EndnoteText"/>
              <w:jc w:val="center"/>
              <w:rPr>
                <w:rFonts w:ascii="Calibri" w:hAnsi="Calibri" w:cs="Calibri"/>
              </w:rPr>
            </w:pPr>
            <w:r w:rsidRPr="00C826FF">
              <w:rPr>
                <w:rFonts w:ascii="Calibri" w:hAnsi="Calibri" w:cs="Calibri"/>
              </w:rPr>
              <w:t>&lt; 250</w:t>
            </w:r>
          </w:p>
        </w:tc>
        <w:tc>
          <w:tcPr>
            <w:tcW w:w="0" w:type="auto"/>
            <w:gridSpan w:val="2"/>
            <w:vAlign w:val="center"/>
            <w:hideMark/>
          </w:tcPr>
          <w:p w14:paraId="49124A7F" w14:textId="77777777" w:rsidR="00035647" w:rsidRPr="00C826FF" w:rsidRDefault="00035647" w:rsidP="005D76D0">
            <w:pPr>
              <w:pStyle w:val="EndnoteText"/>
              <w:jc w:val="center"/>
              <w:rPr>
                <w:rFonts w:ascii="Calibri" w:hAnsi="Calibri" w:cs="Calibri"/>
              </w:rPr>
            </w:pPr>
            <w:r w:rsidRPr="00C826FF">
              <w:rPr>
                <w:rFonts w:ascii="Calibri" w:hAnsi="Calibri" w:cs="Calibri"/>
              </w:rPr>
              <w:t>≤ € 50 m</w:t>
            </w:r>
          </w:p>
        </w:tc>
        <w:tc>
          <w:tcPr>
            <w:tcW w:w="0" w:type="auto"/>
            <w:gridSpan w:val="2"/>
            <w:vAlign w:val="center"/>
            <w:hideMark/>
          </w:tcPr>
          <w:p w14:paraId="5DC0D402" w14:textId="77777777" w:rsidR="00035647" w:rsidRPr="00C826FF" w:rsidRDefault="00035647" w:rsidP="005D76D0">
            <w:pPr>
              <w:pStyle w:val="EndnoteText"/>
              <w:jc w:val="center"/>
              <w:rPr>
                <w:rFonts w:ascii="Calibri" w:hAnsi="Calibri" w:cs="Calibri"/>
              </w:rPr>
            </w:pPr>
            <w:r w:rsidRPr="00C826FF">
              <w:rPr>
                <w:rFonts w:ascii="Calibri" w:hAnsi="Calibri" w:cs="Calibri"/>
              </w:rPr>
              <w:t>≤ € 43 m</w:t>
            </w:r>
          </w:p>
        </w:tc>
      </w:tr>
      <w:tr w:rsidR="00035647" w:rsidRPr="00C826FF" w14:paraId="5F1BECB6" w14:textId="77777777" w:rsidTr="005D76D0">
        <w:trPr>
          <w:tblCellSpacing w:w="15" w:type="dxa"/>
        </w:trPr>
        <w:tc>
          <w:tcPr>
            <w:tcW w:w="0" w:type="auto"/>
            <w:vAlign w:val="center"/>
            <w:hideMark/>
          </w:tcPr>
          <w:p w14:paraId="0B4082C5" w14:textId="77777777" w:rsidR="00035647" w:rsidRPr="00C826FF" w:rsidRDefault="00035647" w:rsidP="005D76D0">
            <w:pPr>
              <w:pStyle w:val="EndnoteText"/>
              <w:rPr>
                <w:rFonts w:ascii="Calibri" w:hAnsi="Calibri" w:cs="Calibri"/>
              </w:rPr>
            </w:pPr>
            <w:r w:rsidRPr="00C826FF">
              <w:rPr>
                <w:rFonts w:ascii="Calibri" w:hAnsi="Calibri" w:cs="Calibri"/>
              </w:rPr>
              <w:t>Small</w:t>
            </w:r>
          </w:p>
        </w:tc>
        <w:tc>
          <w:tcPr>
            <w:tcW w:w="0" w:type="auto"/>
            <w:vAlign w:val="center"/>
            <w:hideMark/>
          </w:tcPr>
          <w:p w14:paraId="44E56AE0" w14:textId="77777777" w:rsidR="00035647" w:rsidRPr="00C826FF" w:rsidRDefault="00035647" w:rsidP="005D76D0">
            <w:pPr>
              <w:pStyle w:val="EndnoteText"/>
              <w:jc w:val="center"/>
              <w:rPr>
                <w:rFonts w:ascii="Calibri" w:hAnsi="Calibri" w:cs="Calibri"/>
              </w:rPr>
            </w:pPr>
            <w:r w:rsidRPr="00C826FF">
              <w:rPr>
                <w:rFonts w:ascii="Calibri" w:hAnsi="Calibri" w:cs="Calibri"/>
              </w:rPr>
              <w:t>&lt; 50</w:t>
            </w:r>
          </w:p>
        </w:tc>
        <w:tc>
          <w:tcPr>
            <w:tcW w:w="0" w:type="auto"/>
            <w:gridSpan w:val="2"/>
            <w:vAlign w:val="center"/>
            <w:hideMark/>
          </w:tcPr>
          <w:p w14:paraId="3041ECC4" w14:textId="77777777" w:rsidR="00035647" w:rsidRPr="00C826FF" w:rsidRDefault="00035647" w:rsidP="005D76D0">
            <w:pPr>
              <w:pStyle w:val="EndnoteText"/>
              <w:jc w:val="center"/>
              <w:rPr>
                <w:rFonts w:ascii="Calibri" w:hAnsi="Calibri" w:cs="Calibri"/>
              </w:rPr>
            </w:pPr>
            <w:r w:rsidRPr="00C826FF">
              <w:rPr>
                <w:rFonts w:ascii="Calibri" w:hAnsi="Calibri" w:cs="Calibri"/>
              </w:rPr>
              <w:t>≤ € 10 m</w:t>
            </w:r>
          </w:p>
        </w:tc>
        <w:tc>
          <w:tcPr>
            <w:tcW w:w="0" w:type="auto"/>
            <w:gridSpan w:val="2"/>
            <w:vAlign w:val="center"/>
            <w:hideMark/>
          </w:tcPr>
          <w:p w14:paraId="6C24E96D" w14:textId="77777777" w:rsidR="00035647" w:rsidRPr="00C826FF" w:rsidRDefault="00035647" w:rsidP="005D76D0">
            <w:pPr>
              <w:pStyle w:val="EndnoteText"/>
              <w:jc w:val="center"/>
              <w:rPr>
                <w:rFonts w:ascii="Calibri" w:hAnsi="Calibri" w:cs="Calibri"/>
              </w:rPr>
            </w:pPr>
            <w:r w:rsidRPr="00C826FF">
              <w:rPr>
                <w:rFonts w:ascii="Calibri" w:hAnsi="Calibri" w:cs="Calibri"/>
              </w:rPr>
              <w:t>≤ € 10 m</w:t>
            </w:r>
          </w:p>
        </w:tc>
      </w:tr>
      <w:tr w:rsidR="00035647" w:rsidRPr="00C826FF" w14:paraId="564F65BF" w14:textId="77777777" w:rsidTr="005D76D0">
        <w:trPr>
          <w:tblCellSpacing w:w="15" w:type="dxa"/>
        </w:trPr>
        <w:tc>
          <w:tcPr>
            <w:tcW w:w="0" w:type="auto"/>
            <w:vAlign w:val="center"/>
            <w:hideMark/>
          </w:tcPr>
          <w:p w14:paraId="4D54F488" w14:textId="77777777" w:rsidR="00035647" w:rsidRPr="00C826FF" w:rsidRDefault="00035647" w:rsidP="005D76D0">
            <w:pPr>
              <w:pStyle w:val="EndnoteText"/>
              <w:rPr>
                <w:rFonts w:ascii="Calibri" w:hAnsi="Calibri" w:cs="Calibri"/>
              </w:rPr>
            </w:pPr>
            <w:r w:rsidRPr="00C826FF">
              <w:rPr>
                <w:rFonts w:ascii="Calibri" w:hAnsi="Calibri" w:cs="Calibri"/>
              </w:rPr>
              <w:t>Micro</w:t>
            </w:r>
          </w:p>
        </w:tc>
        <w:tc>
          <w:tcPr>
            <w:tcW w:w="0" w:type="auto"/>
            <w:vAlign w:val="center"/>
            <w:hideMark/>
          </w:tcPr>
          <w:p w14:paraId="4F35ED42" w14:textId="77777777" w:rsidR="00035647" w:rsidRPr="00C826FF" w:rsidRDefault="00035647" w:rsidP="005D76D0">
            <w:pPr>
              <w:pStyle w:val="EndnoteText"/>
              <w:jc w:val="center"/>
              <w:rPr>
                <w:rFonts w:ascii="Calibri" w:hAnsi="Calibri" w:cs="Calibri"/>
              </w:rPr>
            </w:pPr>
            <w:r w:rsidRPr="00C826FF">
              <w:rPr>
                <w:rFonts w:ascii="Calibri" w:hAnsi="Calibri" w:cs="Calibri"/>
              </w:rPr>
              <w:t>&lt; 10</w:t>
            </w:r>
          </w:p>
        </w:tc>
        <w:tc>
          <w:tcPr>
            <w:tcW w:w="0" w:type="auto"/>
            <w:gridSpan w:val="2"/>
            <w:vAlign w:val="center"/>
            <w:hideMark/>
          </w:tcPr>
          <w:p w14:paraId="62DBCD5F" w14:textId="77777777" w:rsidR="00035647" w:rsidRPr="00C826FF" w:rsidRDefault="00035647" w:rsidP="005D76D0">
            <w:pPr>
              <w:pStyle w:val="EndnoteText"/>
              <w:jc w:val="center"/>
              <w:rPr>
                <w:rFonts w:ascii="Calibri" w:hAnsi="Calibri" w:cs="Calibri"/>
              </w:rPr>
            </w:pPr>
            <w:r w:rsidRPr="00C826FF">
              <w:rPr>
                <w:rFonts w:ascii="Calibri" w:hAnsi="Calibri" w:cs="Calibri"/>
              </w:rPr>
              <w:t>≤ € 2 m</w:t>
            </w:r>
          </w:p>
        </w:tc>
        <w:tc>
          <w:tcPr>
            <w:tcW w:w="0" w:type="auto"/>
            <w:gridSpan w:val="2"/>
            <w:vAlign w:val="center"/>
            <w:hideMark/>
          </w:tcPr>
          <w:p w14:paraId="2562B1E5" w14:textId="77777777" w:rsidR="00035647" w:rsidRPr="00C826FF" w:rsidRDefault="00035647" w:rsidP="005D76D0">
            <w:pPr>
              <w:pStyle w:val="EndnoteText"/>
              <w:jc w:val="center"/>
              <w:rPr>
                <w:rFonts w:ascii="Calibri" w:hAnsi="Calibri" w:cs="Calibri"/>
              </w:rPr>
            </w:pPr>
            <w:r w:rsidRPr="00C826FF">
              <w:rPr>
                <w:rFonts w:ascii="Calibri" w:hAnsi="Calibri" w:cs="Calibri"/>
              </w:rPr>
              <w:t>≤ € 2 m</w:t>
            </w:r>
          </w:p>
        </w:tc>
      </w:tr>
    </w:tbl>
    <w:p w14:paraId="3EFF3C22" w14:textId="77777777" w:rsidR="00035647" w:rsidRPr="00C826FF" w:rsidRDefault="00035647" w:rsidP="00552D85">
      <w:pPr>
        <w:pStyle w:val="EndnoteText"/>
        <w:rPr>
          <w:rFonts w:ascii="Calibri" w:hAnsi="Calibri" w:cs="Calibri"/>
          <w:lang w:val="en-GB"/>
        </w:rPr>
      </w:pPr>
    </w:p>
  </w:endnote>
  <w:endnote w:id="2">
    <w:p w14:paraId="60B2C5D5" w14:textId="77777777" w:rsidR="00035647" w:rsidRPr="00C826FF" w:rsidRDefault="00035647" w:rsidP="00552D85">
      <w:pPr>
        <w:pStyle w:val="EndnoteText"/>
        <w:rPr>
          <w:rFonts w:ascii="Calibri" w:hAnsi="Calibri" w:cs="Calibri"/>
          <w:color w:val="FF0000"/>
          <w:lang w:val="en-GB"/>
        </w:rPr>
      </w:pPr>
      <w:r w:rsidRPr="00C826FF">
        <w:rPr>
          <w:rStyle w:val="EndnoteReference"/>
          <w:rFonts w:ascii="Calibri" w:hAnsi="Calibri" w:cs="Calibri"/>
        </w:rPr>
        <w:endnoteRef/>
      </w:r>
      <w:r w:rsidRPr="004E4E78">
        <w:rPr>
          <w:rFonts w:ascii="Calibri" w:hAnsi="Calibri" w:cs="Calibri"/>
          <w:lang w:val="en-GB"/>
        </w:rPr>
        <w:t xml:space="preserve"> </w:t>
      </w:r>
      <w:r w:rsidRPr="00C826FF">
        <w:rPr>
          <w:rFonts w:ascii="Calibri" w:hAnsi="Calibri" w:cs="Calibri"/>
          <w:lang w:val="en-GB"/>
        </w:rPr>
        <w:t>One can also cite the Media Cultural Encounters through European Screens (</w:t>
      </w:r>
      <w:proofErr w:type="spellStart"/>
      <w:r w:rsidRPr="00C826FF">
        <w:rPr>
          <w:rFonts w:ascii="Calibri" w:hAnsi="Calibri" w:cs="Calibri"/>
          <w:lang w:val="en-GB"/>
        </w:rPr>
        <w:t>MeCETES</w:t>
      </w:r>
      <w:proofErr w:type="spellEnd"/>
      <w:r w:rsidRPr="00C826FF">
        <w:rPr>
          <w:rFonts w:ascii="Calibri" w:hAnsi="Calibri" w:cs="Calibri"/>
          <w:lang w:val="en-GB"/>
        </w:rPr>
        <w:t>) project (</w:t>
      </w:r>
      <w:hyperlink r:id="rId1" w:history="1">
        <w:r w:rsidRPr="00C826FF">
          <w:rPr>
            <w:rStyle w:val="Hyperlink"/>
            <w:rFonts w:ascii="Calibri" w:hAnsi="Calibri" w:cs="Calibri"/>
            <w:lang w:val="en-GB"/>
          </w:rPr>
          <w:t>http://mecetes.co.uk/</w:t>
        </w:r>
      </w:hyperlink>
      <w:r w:rsidRPr="00C826FF">
        <w:rPr>
          <w:rFonts w:ascii="Calibri" w:hAnsi="Calibri" w:cs="Calibri"/>
          <w:lang w:val="en-GB"/>
        </w:rPr>
        <w:t xml:space="preserve">) from which </w:t>
      </w:r>
      <w:proofErr w:type="spellStart"/>
      <w:r w:rsidRPr="00C826FF">
        <w:rPr>
          <w:rFonts w:ascii="Calibri" w:hAnsi="Calibri" w:cs="Calibri"/>
          <w:lang w:val="en-GB"/>
        </w:rPr>
        <w:t>Bondebjerg</w:t>
      </w:r>
      <w:proofErr w:type="spellEnd"/>
      <w:r w:rsidRPr="00C826FF">
        <w:rPr>
          <w:rFonts w:ascii="Calibri" w:hAnsi="Calibri" w:cs="Calibri"/>
          <w:lang w:val="en-GB"/>
        </w:rPr>
        <w:t xml:space="preserve"> et al</w:t>
      </w:r>
      <w:r>
        <w:rPr>
          <w:rFonts w:ascii="Calibri" w:hAnsi="Calibri" w:cs="Calibri"/>
          <w:lang w:val="en-GB"/>
        </w:rPr>
        <w:t>.</w:t>
      </w:r>
      <w:r w:rsidRPr="00C826FF">
        <w:rPr>
          <w:rFonts w:ascii="Calibri" w:hAnsi="Calibri" w:cs="Calibri"/>
          <w:lang w:val="en-GB"/>
        </w:rPr>
        <w:t xml:space="preserve">’s book arose. Also relevant is Media Experiences led by Professor Annette Hill: </w:t>
      </w:r>
      <w:hyperlink r:id="rId2" w:history="1">
        <w:r w:rsidRPr="00C826FF">
          <w:rPr>
            <w:rStyle w:val="Hyperlink"/>
            <w:rFonts w:ascii="Calibri" w:hAnsi="Calibri" w:cs="Calibri"/>
            <w:lang w:val="en-GB"/>
          </w:rPr>
          <w:t>http://mediaexperiences.blogg.lu.se/</w:t>
        </w:r>
      </w:hyperlink>
      <w:r w:rsidRPr="00C826FF">
        <w:rPr>
          <w:rFonts w:ascii="Calibri" w:hAnsi="Calibri" w:cs="Calibri"/>
          <w:lang w:val="en-GB"/>
        </w:rPr>
        <w:t>.</w:t>
      </w:r>
    </w:p>
  </w:endnote>
  <w:endnote w:id="3">
    <w:p w14:paraId="455C6248" w14:textId="000472C0" w:rsidR="00035647" w:rsidRPr="00C826FF" w:rsidRDefault="00035647" w:rsidP="00552D85">
      <w:pPr>
        <w:pStyle w:val="EndnoteText"/>
        <w:rPr>
          <w:rFonts w:ascii="Calibri" w:hAnsi="Calibri" w:cs="Calibri"/>
          <w:lang w:val="en-GB"/>
        </w:rPr>
      </w:pPr>
      <w:r w:rsidRPr="00C826FF">
        <w:rPr>
          <w:rStyle w:val="EndnoteReference"/>
          <w:rFonts w:ascii="Calibri" w:hAnsi="Calibri" w:cs="Calibri"/>
        </w:rPr>
        <w:endnoteRef/>
      </w:r>
      <w:r w:rsidRPr="00C826FF">
        <w:rPr>
          <w:rFonts w:ascii="Calibri" w:hAnsi="Calibri" w:cs="Calibri"/>
          <w:lang w:val="en-US"/>
        </w:rPr>
        <w:t xml:space="preserve"> </w:t>
      </w:r>
      <w:r w:rsidRPr="00C826FF">
        <w:rPr>
          <w:rFonts w:ascii="Calibri" w:hAnsi="Calibri" w:cs="Calibri"/>
          <w:lang w:val="en-GB"/>
        </w:rPr>
        <w:t xml:space="preserve">Richard Florida’s work has been subjected to severe critique – see, </w:t>
      </w:r>
      <w:r w:rsidRPr="001E2D3F">
        <w:rPr>
          <w:rFonts w:ascii="Calibri" w:hAnsi="Calibri" w:cs="Calibri"/>
          <w:lang w:val="en-GB"/>
        </w:rPr>
        <w:t>inter alia</w:t>
      </w:r>
      <w:r w:rsidRPr="008401AD">
        <w:rPr>
          <w:rFonts w:ascii="Calibri" w:hAnsi="Calibri" w:cs="Calibri"/>
          <w:lang w:val="en-GB"/>
        </w:rPr>
        <w:t>,</w:t>
      </w:r>
      <w:r w:rsidRPr="00C826FF">
        <w:rPr>
          <w:rFonts w:ascii="Calibri" w:hAnsi="Calibri" w:cs="Calibri"/>
          <w:lang w:val="en-GB"/>
        </w:rPr>
        <w:t xml:space="preserve"> Peck </w:t>
      </w:r>
      <w:r w:rsidR="00BB68D8">
        <w:rPr>
          <w:rFonts w:ascii="Calibri" w:hAnsi="Calibri" w:cs="Calibri"/>
          <w:lang w:val="en-GB"/>
        </w:rPr>
        <w:t>(</w:t>
      </w:r>
      <w:r w:rsidRPr="00C826FF">
        <w:rPr>
          <w:rFonts w:ascii="Calibri" w:hAnsi="Calibri" w:cs="Calibri"/>
          <w:lang w:val="en-GB"/>
        </w:rPr>
        <w:t>2005</w:t>
      </w:r>
      <w:r w:rsidR="00BB68D8">
        <w:rPr>
          <w:rFonts w:ascii="Calibri" w:hAnsi="Calibri" w:cs="Calibri"/>
          <w:lang w:val="en-GB"/>
        </w:rPr>
        <w:t>)</w:t>
      </w:r>
      <w:r w:rsidRPr="00C826FF">
        <w:rPr>
          <w:rFonts w:ascii="Calibri" w:hAnsi="Calibri" w:cs="Calibri"/>
          <w:lang w:val="en-GB"/>
        </w:rPr>
        <w:t xml:space="preserve">. See also Porter (2000), Power and Scott (2011), Scott (2000). </w:t>
      </w:r>
    </w:p>
  </w:endnote>
  <w:endnote w:id="4">
    <w:p w14:paraId="04333F33" w14:textId="18489A0E" w:rsidR="00035647" w:rsidRPr="00C826FF" w:rsidRDefault="00035647" w:rsidP="00552D85">
      <w:pPr>
        <w:pStyle w:val="EndnoteText"/>
        <w:rPr>
          <w:rFonts w:ascii="Calibri" w:hAnsi="Calibri" w:cs="Calibri"/>
          <w:lang w:val="en-GB"/>
        </w:rPr>
      </w:pPr>
      <w:r w:rsidRPr="00C826FF">
        <w:rPr>
          <w:rStyle w:val="EndnoteReference"/>
          <w:rFonts w:ascii="Calibri" w:hAnsi="Calibri" w:cs="Calibri"/>
        </w:rPr>
        <w:endnoteRef/>
      </w:r>
      <w:r w:rsidRPr="00C826FF">
        <w:rPr>
          <w:rFonts w:ascii="Calibri" w:hAnsi="Calibri" w:cs="Calibri"/>
          <w:lang w:val="en-US"/>
        </w:rPr>
        <w:t xml:space="preserve"> One can adduce as evidence not only the volume of publications</w:t>
      </w:r>
      <w:r>
        <w:rPr>
          <w:rFonts w:ascii="Calibri" w:hAnsi="Calibri" w:cs="Calibri"/>
          <w:lang w:val="en-US"/>
        </w:rPr>
        <w:t>,</w:t>
      </w:r>
      <w:r w:rsidRPr="00C826FF">
        <w:rPr>
          <w:rFonts w:ascii="Calibri" w:hAnsi="Calibri" w:cs="Calibri"/>
          <w:lang w:val="en-US"/>
        </w:rPr>
        <w:t xml:space="preserve"> but also the establishment of media industry subgroups in several of the main academic associations: the International Association of Media and Communication Researchers (IAMCR); the European Communication Research and Education Association (ECREA); the International Communication Association (ICA) and the Society for Cinema and Media (SCMS). In December 2016, Spicer and Presence (with Jack </w:t>
      </w:r>
      <w:proofErr w:type="spellStart"/>
      <w:r w:rsidRPr="00C826FF">
        <w:rPr>
          <w:rFonts w:ascii="Calibri" w:hAnsi="Calibri" w:cs="Calibri"/>
          <w:lang w:val="en-US"/>
        </w:rPr>
        <w:t>Newsinger</w:t>
      </w:r>
      <w:proofErr w:type="spellEnd"/>
      <w:r w:rsidRPr="00C826FF">
        <w:rPr>
          <w:rFonts w:ascii="Calibri" w:hAnsi="Calibri" w:cs="Calibri"/>
          <w:lang w:val="en-US"/>
        </w:rPr>
        <w:t>) established a Special Interest Group in Screen Industry Studies for the British Association of Film, Television and Screen Studies (BAFTSS). In 2014</w:t>
      </w:r>
      <w:r>
        <w:rPr>
          <w:rFonts w:ascii="Calibri" w:hAnsi="Calibri" w:cs="Calibri"/>
          <w:lang w:val="en-US"/>
        </w:rPr>
        <w:t>,</w:t>
      </w:r>
      <w:r w:rsidRPr="00C826FF">
        <w:rPr>
          <w:rFonts w:ascii="Calibri" w:hAnsi="Calibri" w:cs="Calibri"/>
          <w:lang w:val="en-US"/>
        </w:rPr>
        <w:t xml:space="preserve"> the </w:t>
      </w:r>
      <w:r w:rsidRPr="00C826FF">
        <w:rPr>
          <w:rFonts w:ascii="Calibri" w:hAnsi="Calibri" w:cs="Calibri"/>
          <w:i/>
          <w:lang w:val="en-US"/>
        </w:rPr>
        <w:t>Media Industries Journal</w:t>
      </w:r>
      <w:r w:rsidRPr="00C826FF">
        <w:rPr>
          <w:rFonts w:ascii="Calibri" w:hAnsi="Calibri" w:cs="Calibri"/>
          <w:lang w:val="en-US"/>
        </w:rPr>
        <w:t xml:space="preserve">, an open-access, peer-reviewed online publication, was launched. Its first issue contained several overviews of the field. </w:t>
      </w:r>
    </w:p>
  </w:endnote>
  <w:endnote w:id="5">
    <w:p w14:paraId="3D0C2F3D" w14:textId="635BCB08" w:rsidR="00035647" w:rsidRPr="00C826FF" w:rsidRDefault="00035647" w:rsidP="00552D85">
      <w:pPr>
        <w:pStyle w:val="EndnoteText"/>
        <w:rPr>
          <w:rFonts w:ascii="Calibri" w:hAnsi="Calibri" w:cs="Calibri"/>
          <w:lang w:val="en-GB"/>
        </w:rPr>
      </w:pPr>
      <w:r w:rsidRPr="00C826FF">
        <w:rPr>
          <w:rStyle w:val="EndnoteReference"/>
          <w:rFonts w:ascii="Calibri" w:hAnsi="Calibri" w:cs="Calibri"/>
        </w:rPr>
        <w:endnoteRef/>
      </w:r>
      <w:r w:rsidRPr="00C826FF">
        <w:rPr>
          <w:rFonts w:ascii="Calibri" w:hAnsi="Calibri" w:cs="Calibri"/>
          <w:lang w:val="en-US"/>
        </w:rPr>
        <w:t xml:space="preserve"> </w:t>
      </w:r>
      <w:r w:rsidRPr="00C826FF">
        <w:rPr>
          <w:rFonts w:ascii="Calibri" w:hAnsi="Calibri" w:cs="Calibri"/>
          <w:lang w:val="en-GB"/>
        </w:rPr>
        <w:t xml:space="preserve">See also </w:t>
      </w:r>
      <w:proofErr w:type="spellStart"/>
      <w:r w:rsidRPr="00C826FF">
        <w:rPr>
          <w:rFonts w:ascii="Calibri" w:hAnsi="Calibri" w:cs="Calibri"/>
          <w:lang w:val="en-GB"/>
        </w:rPr>
        <w:t>Lampel</w:t>
      </w:r>
      <w:proofErr w:type="spellEnd"/>
      <w:r>
        <w:rPr>
          <w:rFonts w:ascii="Calibri" w:hAnsi="Calibri" w:cs="Calibri"/>
          <w:lang w:val="en-GB"/>
        </w:rPr>
        <w:t xml:space="preserve"> et al.</w:t>
      </w:r>
      <w:r w:rsidRPr="00C826FF">
        <w:rPr>
          <w:rFonts w:ascii="Calibri" w:hAnsi="Calibri" w:cs="Calibri"/>
          <w:lang w:val="en-GB"/>
        </w:rPr>
        <w:t xml:space="preserve"> (2006), </w:t>
      </w:r>
      <w:proofErr w:type="spellStart"/>
      <w:r w:rsidRPr="00C826FF">
        <w:rPr>
          <w:rFonts w:ascii="Calibri" w:hAnsi="Calibri" w:cs="Calibri"/>
          <w:lang w:val="en-GB"/>
        </w:rPr>
        <w:t>Wasko</w:t>
      </w:r>
      <w:proofErr w:type="spellEnd"/>
      <w:r>
        <w:rPr>
          <w:rFonts w:ascii="Calibri" w:hAnsi="Calibri" w:cs="Calibri"/>
          <w:lang w:val="en-GB"/>
        </w:rPr>
        <w:t xml:space="preserve"> et al.</w:t>
      </w:r>
      <w:r w:rsidRPr="00C826FF">
        <w:rPr>
          <w:rFonts w:ascii="Calibri" w:hAnsi="Calibri" w:cs="Calibri"/>
          <w:lang w:val="en-GB"/>
        </w:rPr>
        <w:t xml:space="preserve"> (2013), </w:t>
      </w:r>
      <w:proofErr w:type="spellStart"/>
      <w:r w:rsidRPr="00C826FF">
        <w:rPr>
          <w:rFonts w:ascii="Calibri" w:hAnsi="Calibri" w:cs="Calibri"/>
          <w:lang w:val="en-GB"/>
        </w:rPr>
        <w:t>Winsec</w:t>
      </w:r>
      <w:r>
        <w:rPr>
          <w:rFonts w:ascii="Calibri" w:hAnsi="Calibri" w:cs="Calibri"/>
          <w:lang w:val="en-GB"/>
        </w:rPr>
        <w:t>k</w:t>
      </w:r>
      <w:proofErr w:type="spellEnd"/>
      <w:r w:rsidRPr="00C826FF">
        <w:rPr>
          <w:rFonts w:ascii="Calibri" w:hAnsi="Calibri" w:cs="Calibri"/>
          <w:lang w:val="en-GB"/>
        </w:rPr>
        <w:t xml:space="preserve"> and </w:t>
      </w:r>
      <w:proofErr w:type="spellStart"/>
      <w:r w:rsidRPr="00C826FF">
        <w:rPr>
          <w:rFonts w:ascii="Calibri" w:hAnsi="Calibri" w:cs="Calibri"/>
          <w:lang w:val="en-GB"/>
        </w:rPr>
        <w:t>Jin</w:t>
      </w:r>
      <w:proofErr w:type="spellEnd"/>
      <w:r w:rsidRPr="00C826FF">
        <w:rPr>
          <w:rFonts w:ascii="Calibri" w:hAnsi="Calibri" w:cs="Calibri"/>
          <w:lang w:val="en-GB"/>
        </w:rPr>
        <w:t xml:space="preserve"> (2011).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ista Sans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emiBold">
    <w:altName w:val="Segoe UI Semibold"/>
    <w:charset w:val="00"/>
    <w:family w:val="auto"/>
    <w:pitch w:val="variable"/>
    <w:sig w:usb0="8000026F" w:usb1="5000004A" w:usb2="00000000" w:usb3="00000000" w:csb0="00000005" w:csb1="00000000"/>
  </w:font>
  <w:font w:name="Gill Sans Light">
    <w:altName w:val="Arial"/>
    <w:charset w:val="00"/>
    <w:family w:val="auto"/>
    <w:pitch w:val="variable"/>
    <w:sig w:usb0="80000267" w:usb1="00000000" w:usb2="00000000" w:usb3="00000000" w:csb0="000001F7"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82E7C" w14:textId="77777777" w:rsidR="004052FB" w:rsidRDefault="004052FB" w:rsidP="00552D85">
      <w:pPr>
        <w:spacing w:after="0" w:line="240" w:lineRule="auto"/>
      </w:pPr>
      <w:r>
        <w:separator/>
      </w:r>
    </w:p>
  </w:footnote>
  <w:footnote w:type="continuationSeparator" w:id="0">
    <w:p w14:paraId="74F0B321" w14:textId="77777777" w:rsidR="004052FB" w:rsidRDefault="004052FB" w:rsidP="00552D8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el Puijk">
    <w15:presenceInfo w15:providerId="None" w15:userId="Roel Puij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85"/>
    <w:rsid w:val="00003B9B"/>
    <w:rsid w:val="000163B2"/>
    <w:rsid w:val="00022C3F"/>
    <w:rsid w:val="0002734C"/>
    <w:rsid w:val="00034125"/>
    <w:rsid w:val="00035647"/>
    <w:rsid w:val="00040075"/>
    <w:rsid w:val="000419D1"/>
    <w:rsid w:val="00056487"/>
    <w:rsid w:val="000656D0"/>
    <w:rsid w:val="00065E07"/>
    <w:rsid w:val="000717DE"/>
    <w:rsid w:val="00082386"/>
    <w:rsid w:val="000855E4"/>
    <w:rsid w:val="000875E1"/>
    <w:rsid w:val="00093E91"/>
    <w:rsid w:val="000E2286"/>
    <w:rsid w:val="000E4516"/>
    <w:rsid w:val="00116E33"/>
    <w:rsid w:val="00145F90"/>
    <w:rsid w:val="001605DD"/>
    <w:rsid w:val="00162560"/>
    <w:rsid w:val="00197ACA"/>
    <w:rsid w:val="001A08B0"/>
    <w:rsid w:val="001C7BFC"/>
    <w:rsid w:val="001E2D3F"/>
    <w:rsid w:val="00200C8F"/>
    <w:rsid w:val="0021772A"/>
    <w:rsid w:val="00222B9F"/>
    <w:rsid w:val="00254439"/>
    <w:rsid w:val="00276F29"/>
    <w:rsid w:val="002922D1"/>
    <w:rsid w:val="002A0C18"/>
    <w:rsid w:val="002A7C5F"/>
    <w:rsid w:val="002B0759"/>
    <w:rsid w:val="002D157F"/>
    <w:rsid w:val="002D54D7"/>
    <w:rsid w:val="00301DA6"/>
    <w:rsid w:val="00306413"/>
    <w:rsid w:val="0031232A"/>
    <w:rsid w:val="0032499C"/>
    <w:rsid w:val="00334ECF"/>
    <w:rsid w:val="0035235E"/>
    <w:rsid w:val="00373577"/>
    <w:rsid w:val="00377100"/>
    <w:rsid w:val="003A031C"/>
    <w:rsid w:val="003D550D"/>
    <w:rsid w:val="004052FB"/>
    <w:rsid w:val="0040717B"/>
    <w:rsid w:val="00410FCA"/>
    <w:rsid w:val="004248AB"/>
    <w:rsid w:val="00430525"/>
    <w:rsid w:val="00447CB4"/>
    <w:rsid w:val="00455A6A"/>
    <w:rsid w:val="004A21E6"/>
    <w:rsid w:val="004C0AAA"/>
    <w:rsid w:val="004D6A15"/>
    <w:rsid w:val="004E7623"/>
    <w:rsid w:val="005159BC"/>
    <w:rsid w:val="005161FE"/>
    <w:rsid w:val="00522FCD"/>
    <w:rsid w:val="00543BBC"/>
    <w:rsid w:val="00552D85"/>
    <w:rsid w:val="00553989"/>
    <w:rsid w:val="00577CFF"/>
    <w:rsid w:val="00581730"/>
    <w:rsid w:val="0058181A"/>
    <w:rsid w:val="00585D44"/>
    <w:rsid w:val="005A5DEB"/>
    <w:rsid w:val="005C79D2"/>
    <w:rsid w:val="005D76D0"/>
    <w:rsid w:val="005E340A"/>
    <w:rsid w:val="005F4FF5"/>
    <w:rsid w:val="00600EE1"/>
    <w:rsid w:val="006036D4"/>
    <w:rsid w:val="00627EA9"/>
    <w:rsid w:val="00642E95"/>
    <w:rsid w:val="0065492E"/>
    <w:rsid w:val="00682407"/>
    <w:rsid w:val="006972C8"/>
    <w:rsid w:val="006A45A7"/>
    <w:rsid w:val="006B1FAC"/>
    <w:rsid w:val="006C5679"/>
    <w:rsid w:val="006D00AB"/>
    <w:rsid w:val="006D5A35"/>
    <w:rsid w:val="006E56FD"/>
    <w:rsid w:val="00706A96"/>
    <w:rsid w:val="007272B2"/>
    <w:rsid w:val="00730F94"/>
    <w:rsid w:val="00750A75"/>
    <w:rsid w:val="00757157"/>
    <w:rsid w:val="00760304"/>
    <w:rsid w:val="007670DA"/>
    <w:rsid w:val="00771DC4"/>
    <w:rsid w:val="00792767"/>
    <w:rsid w:val="007A7144"/>
    <w:rsid w:val="007B75F2"/>
    <w:rsid w:val="007C5ADC"/>
    <w:rsid w:val="007D140C"/>
    <w:rsid w:val="007D3FBD"/>
    <w:rsid w:val="007E0A9C"/>
    <w:rsid w:val="007F1CB3"/>
    <w:rsid w:val="00805D68"/>
    <w:rsid w:val="008065BD"/>
    <w:rsid w:val="0081445E"/>
    <w:rsid w:val="008401AD"/>
    <w:rsid w:val="00851B2D"/>
    <w:rsid w:val="00861EBA"/>
    <w:rsid w:val="00881517"/>
    <w:rsid w:val="00891400"/>
    <w:rsid w:val="008A3BC1"/>
    <w:rsid w:val="008C1F48"/>
    <w:rsid w:val="008D2B82"/>
    <w:rsid w:val="00903453"/>
    <w:rsid w:val="00943F51"/>
    <w:rsid w:val="00946D4E"/>
    <w:rsid w:val="0095224E"/>
    <w:rsid w:val="00953F10"/>
    <w:rsid w:val="00990022"/>
    <w:rsid w:val="00993112"/>
    <w:rsid w:val="009B658B"/>
    <w:rsid w:val="009C3CE5"/>
    <w:rsid w:val="009D6EB0"/>
    <w:rsid w:val="009E481C"/>
    <w:rsid w:val="009F6330"/>
    <w:rsid w:val="00A01B68"/>
    <w:rsid w:val="00A207EE"/>
    <w:rsid w:val="00A66F20"/>
    <w:rsid w:val="00A86EEC"/>
    <w:rsid w:val="00A90117"/>
    <w:rsid w:val="00A9580E"/>
    <w:rsid w:val="00AA17F3"/>
    <w:rsid w:val="00AA7961"/>
    <w:rsid w:val="00AE5A30"/>
    <w:rsid w:val="00AF47DA"/>
    <w:rsid w:val="00AF736B"/>
    <w:rsid w:val="00B0276A"/>
    <w:rsid w:val="00B14B7D"/>
    <w:rsid w:val="00B25659"/>
    <w:rsid w:val="00B31D94"/>
    <w:rsid w:val="00B6087A"/>
    <w:rsid w:val="00B61C53"/>
    <w:rsid w:val="00B628C3"/>
    <w:rsid w:val="00B777A6"/>
    <w:rsid w:val="00B94748"/>
    <w:rsid w:val="00BA5F60"/>
    <w:rsid w:val="00BA659C"/>
    <w:rsid w:val="00BB5ACD"/>
    <w:rsid w:val="00BB68D8"/>
    <w:rsid w:val="00BD70D0"/>
    <w:rsid w:val="00BE2EC4"/>
    <w:rsid w:val="00BF0683"/>
    <w:rsid w:val="00C36DE6"/>
    <w:rsid w:val="00C56A9C"/>
    <w:rsid w:val="00C57CFF"/>
    <w:rsid w:val="00C678E0"/>
    <w:rsid w:val="00C806D7"/>
    <w:rsid w:val="00C815B9"/>
    <w:rsid w:val="00C9106A"/>
    <w:rsid w:val="00CC2F49"/>
    <w:rsid w:val="00CD3159"/>
    <w:rsid w:val="00CE582C"/>
    <w:rsid w:val="00CF5F9A"/>
    <w:rsid w:val="00D12BAC"/>
    <w:rsid w:val="00D44DA5"/>
    <w:rsid w:val="00D5449A"/>
    <w:rsid w:val="00D659F3"/>
    <w:rsid w:val="00D7177B"/>
    <w:rsid w:val="00D72D45"/>
    <w:rsid w:val="00DB457B"/>
    <w:rsid w:val="00DE3D93"/>
    <w:rsid w:val="00E478A2"/>
    <w:rsid w:val="00E52B05"/>
    <w:rsid w:val="00E7123D"/>
    <w:rsid w:val="00E84287"/>
    <w:rsid w:val="00E96049"/>
    <w:rsid w:val="00EA34C7"/>
    <w:rsid w:val="00EC0C87"/>
    <w:rsid w:val="00ED2921"/>
    <w:rsid w:val="00F05E3B"/>
    <w:rsid w:val="00F17BBB"/>
    <w:rsid w:val="00F43773"/>
    <w:rsid w:val="00F44F26"/>
    <w:rsid w:val="00F53A2B"/>
    <w:rsid w:val="00F561BC"/>
    <w:rsid w:val="00F8327B"/>
    <w:rsid w:val="00F922CB"/>
    <w:rsid w:val="00FA6D8A"/>
    <w:rsid w:val="00FC01A0"/>
    <w:rsid w:val="00FE7073"/>
    <w:rsid w:val="00FE737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8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D85"/>
    <w:pPr>
      <w:spacing w:after="240" w:line="360" w:lineRule="auto"/>
    </w:pPr>
    <w:rPr>
      <w:sz w:val="24"/>
      <w:lang w:val="nb-NO"/>
    </w:rPr>
  </w:style>
  <w:style w:type="paragraph" w:styleId="Heading1">
    <w:name w:val="heading 1"/>
    <w:basedOn w:val="Normal"/>
    <w:next w:val="Normal"/>
    <w:link w:val="Heading1Char"/>
    <w:uiPriority w:val="9"/>
    <w:qFormat/>
    <w:rsid w:val="00552D85"/>
    <w:pPr>
      <w:keepNext/>
      <w:keepLines/>
      <w:spacing w:before="240" w:after="0"/>
      <w:outlineLvl w:val="0"/>
    </w:pPr>
    <w:rPr>
      <w:rFonts w:asciiTheme="majorHAnsi" w:eastAsiaTheme="majorEastAsia" w:hAnsiTheme="majorHAnsi" w:cstheme="majorBidi"/>
      <w:color w:val="244061" w:themeColor="accent1" w:themeShade="80"/>
      <w:sz w:val="32"/>
      <w:szCs w:val="32"/>
    </w:rPr>
  </w:style>
  <w:style w:type="paragraph" w:styleId="Heading2">
    <w:name w:val="heading 2"/>
    <w:next w:val="Normal"/>
    <w:link w:val="Heading2Char"/>
    <w:uiPriority w:val="9"/>
    <w:unhideWhenUsed/>
    <w:qFormat/>
    <w:rsid w:val="00552D85"/>
    <w:pPr>
      <w:keepNext/>
      <w:keepLines/>
      <w:spacing w:after="154" w:line="259" w:lineRule="auto"/>
      <w:outlineLvl w:val="1"/>
    </w:pPr>
    <w:rPr>
      <w:rFonts w:ascii="Calibri" w:eastAsia="Calibri" w:hAnsi="Calibri" w:cs="Calibri"/>
      <w:b/>
      <w:i/>
      <w:color w:val="244061" w:themeColor="accent1" w:themeShade="80"/>
      <w:sz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D85"/>
    <w:rPr>
      <w:rFonts w:asciiTheme="majorHAnsi" w:eastAsiaTheme="majorEastAsia" w:hAnsiTheme="majorHAnsi" w:cstheme="majorBidi"/>
      <w:color w:val="244061" w:themeColor="accent1" w:themeShade="80"/>
      <w:sz w:val="32"/>
      <w:szCs w:val="32"/>
      <w:lang w:val="nb-NO"/>
    </w:rPr>
  </w:style>
  <w:style w:type="character" w:customStyle="1" w:styleId="Heading2Char">
    <w:name w:val="Heading 2 Char"/>
    <w:basedOn w:val="DefaultParagraphFont"/>
    <w:link w:val="Heading2"/>
    <w:uiPriority w:val="9"/>
    <w:rsid w:val="00552D85"/>
    <w:rPr>
      <w:rFonts w:ascii="Calibri" w:eastAsia="Calibri" w:hAnsi="Calibri" w:cs="Calibri"/>
      <w:b/>
      <w:i/>
      <w:color w:val="244061" w:themeColor="accent1" w:themeShade="80"/>
      <w:sz w:val="24"/>
      <w:lang w:val="nb-NO" w:eastAsia="nb-NO"/>
    </w:rPr>
  </w:style>
  <w:style w:type="paragraph" w:styleId="Title">
    <w:name w:val="Title"/>
    <w:basedOn w:val="Normal"/>
    <w:next w:val="Normal"/>
    <w:link w:val="TitleChar"/>
    <w:uiPriority w:val="10"/>
    <w:qFormat/>
    <w:rsid w:val="00552D85"/>
    <w:pPr>
      <w:spacing w:after="0" w:line="240" w:lineRule="auto"/>
      <w:contextualSpacing/>
    </w:pPr>
    <w:rPr>
      <w:rFonts w:asciiTheme="majorHAnsi" w:eastAsiaTheme="majorEastAsia" w:hAnsiTheme="majorHAnsi" w:cstheme="majorBidi"/>
      <w:b/>
      <w:color w:val="244061" w:themeColor="accent1" w:themeShade="80"/>
      <w:spacing w:val="-10"/>
      <w:kern w:val="28"/>
      <w:sz w:val="40"/>
      <w:szCs w:val="56"/>
    </w:rPr>
  </w:style>
  <w:style w:type="character" w:customStyle="1" w:styleId="TitleChar">
    <w:name w:val="Title Char"/>
    <w:basedOn w:val="DefaultParagraphFont"/>
    <w:link w:val="Title"/>
    <w:uiPriority w:val="10"/>
    <w:rsid w:val="00552D85"/>
    <w:rPr>
      <w:rFonts w:asciiTheme="majorHAnsi" w:eastAsiaTheme="majorEastAsia" w:hAnsiTheme="majorHAnsi" w:cstheme="majorBidi"/>
      <w:b/>
      <w:color w:val="244061" w:themeColor="accent1" w:themeShade="80"/>
      <w:spacing w:val="-10"/>
      <w:kern w:val="28"/>
      <w:sz w:val="40"/>
      <w:szCs w:val="56"/>
      <w:lang w:val="nb-NO"/>
    </w:rPr>
  </w:style>
  <w:style w:type="character" w:styleId="EndnoteReference">
    <w:name w:val="endnote reference"/>
    <w:basedOn w:val="DefaultParagraphFont"/>
    <w:uiPriority w:val="99"/>
    <w:unhideWhenUsed/>
    <w:rsid w:val="00552D85"/>
    <w:rPr>
      <w:vertAlign w:val="superscript"/>
    </w:rPr>
  </w:style>
  <w:style w:type="character" w:styleId="CommentReference">
    <w:name w:val="annotation reference"/>
    <w:basedOn w:val="DefaultParagraphFont"/>
    <w:uiPriority w:val="99"/>
    <w:semiHidden/>
    <w:unhideWhenUsed/>
    <w:rsid w:val="00552D85"/>
    <w:rPr>
      <w:sz w:val="16"/>
      <w:szCs w:val="16"/>
    </w:rPr>
  </w:style>
  <w:style w:type="paragraph" w:styleId="EndnoteText">
    <w:name w:val="endnote text"/>
    <w:basedOn w:val="Normal"/>
    <w:link w:val="EndnoteTextChar"/>
    <w:uiPriority w:val="99"/>
    <w:unhideWhenUsed/>
    <w:rsid w:val="00552D85"/>
    <w:pPr>
      <w:spacing w:after="0" w:line="240" w:lineRule="auto"/>
    </w:pPr>
    <w:rPr>
      <w:sz w:val="20"/>
      <w:szCs w:val="20"/>
    </w:rPr>
  </w:style>
  <w:style w:type="character" w:customStyle="1" w:styleId="EndnoteTextChar">
    <w:name w:val="Endnote Text Char"/>
    <w:basedOn w:val="DefaultParagraphFont"/>
    <w:link w:val="EndnoteText"/>
    <w:uiPriority w:val="99"/>
    <w:rsid w:val="00552D85"/>
    <w:rPr>
      <w:sz w:val="20"/>
      <w:szCs w:val="20"/>
      <w:lang w:val="nb-NO"/>
    </w:rPr>
  </w:style>
  <w:style w:type="character" w:styleId="Hyperlink">
    <w:name w:val="Hyperlink"/>
    <w:basedOn w:val="DefaultParagraphFont"/>
    <w:uiPriority w:val="99"/>
    <w:unhideWhenUsed/>
    <w:rsid w:val="00552D85"/>
    <w:rPr>
      <w:color w:val="0000FF" w:themeColor="hyperlink"/>
      <w:u w:val="single"/>
    </w:rPr>
  </w:style>
  <w:style w:type="paragraph" w:styleId="CommentText">
    <w:name w:val="annotation text"/>
    <w:basedOn w:val="Normal"/>
    <w:link w:val="CommentTextChar"/>
    <w:uiPriority w:val="99"/>
    <w:semiHidden/>
    <w:unhideWhenUsed/>
    <w:rsid w:val="00552D85"/>
    <w:pPr>
      <w:spacing w:line="240" w:lineRule="auto"/>
    </w:pPr>
    <w:rPr>
      <w:sz w:val="20"/>
      <w:szCs w:val="20"/>
    </w:rPr>
  </w:style>
  <w:style w:type="character" w:customStyle="1" w:styleId="CommentTextChar">
    <w:name w:val="Comment Text Char"/>
    <w:basedOn w:val="DefaultParagraphFont"/>
    <w:link w:val="CommentText"/>
    <w:uiPriority w:val="99"/>
    <w:semiHidden/>
    <w:rsid w:val="00552D85"/>
    <w:rPr>
      <w:sz w:val="20"/>
      <w:szCs w:val="20"/>
      <w:lang w:val="nb-NO"/>
    </w:rPr>
  </w:style>
  <w:style w:type="paragraph" w:styleId="Subtitle">
    <w:name w:val="Subtitle"/>
    <w:basedOn w:val="Normal"/>
    <w:next w:val="Normal"/>
    <w:link w:val="SubtitleChar"/>
    <w:rsid w:val="00552D85"/>
    <w:pPr>
      <w:keepNext/>
      <w:keepLines/>
      <w:spacing w:after="320" w:line="276" w:lineRule="auto"/>
      <w:contextualSpacing/>
    </w:pPr>
    <w:rPr>
      <w:rFonts w:ascii="Arial" w:eastAsia="Arial" w:hAnsi="Arial" w:cs="Arial"/>
      <w:color w:val="666666"/>
      <w:sz w:val="30"/>
      <w:szCs w:val="30"/>
      <w:lang w:val="en-US"/>
    </w:rPr>
  </w:style>
  <w:style w:type="character" w:customStyle="1" w:styleId="SubtitleChar">
    <w:name w:val="Subtitle Char"/>
    <w:basedOn w:val="DefaultParagraphFont"/>
    <w:link w:val="Subtitle"/>
    <w:rsid w:val="00552D85"/>
    <w:rPr>
      <w:rFonts w:ascii="Arial" w:eastAsia="Arial" w:hAnsi="Arial" w:cs="Arial"/>
      <w:color w:val="666666"/>
      <w:sz w:val="30"/>
      <w:szCs w:val="30"/>
      <w:lang w:val="en-US"/>
    </w:rPr>
  </w:style>
  <w:style w:type="character" w:styleId="BookTitle">
    <w:name w:val="Book Title"/>
    <w:basedOn w:val="DefaultParagraphFont"/>
    <w:uiPriority w:val="33"/>
    <w:qFormat/>
    <w:rsid w:val="00552D85"/>
    <w:rPr>
      <w:b/>
      <w:bCs/>
      <w:i/>
      <w:iCs/>
      <w:spacing w:val="5"/>
    </w:rPr>
  </w:style>
  <w:style w:type="character" w:customStyle="1" w:styleId="A2">
    <w:name w:val="A2"/>
    <w:uiPriority w:val="99"/>
    <w:rsid w:val="00552D85"/>
    <w:rPr>
      <w:rFonts w:cs="Vista Sans Light"/>
      <w:color w:val="211D1E"/>
      <w:sz w:val="20"/>
      <w:szCs w:val="20"/>
    </w:rPr>
  </w:style>
  <w:style w:type="paragraph" w:styleId="CommentSubject">
    <w:name w:val="annotation subject"/>
    <w:basedOn w:val="CommentText"/>
    <w:next w:val="CommentText"/>
    <w:link w:val="CommentSubjectChar"/>
    <w:uiPriority w:val="99"/>
    <w:semiHidden/>
    <w:unhideWhenUsed/>
    <w:rsid w:val="006D5A35"/>
    <w:rPr>
      <w:b/>
      <w:bCs/>
    </w:rPr>
  </w:style>
  <w:style w:type="character" w:customStyle="1" w:styleId="CommentSubjectChar">
    <w:name w:val="Comment Subject Char"/>
    <w:basedOn w:val="CommentTextChar"/>
    <w:link w:val="CommentSubject"/>
    <w:uiPriority w:val="99"/>
    <w:semiHidden/>
    <w:rsid w:val="006D5A35"/>
    <w:rPr>
      <w:b/>
      <w:bCs/>
      <w:sz w:val="20"/>
      <w:szCs w:val="20"/>
      <w:lang w:val="nb-NO"/>
    </w:rPr>
  </w:style>
  <w:style w:type="paragraph" w:styleId="Revision">
    <w:name w:val="Revision"/>
    <w:hidden/>
    <w:uiPriority w:val="99"/>
    <w:semiHidden/>
    <w:rsid w:val="006D5A35"/>
    <w:pPr>
      <w:spacing w:after="0" w:line="240" w:lineRule="auto"/>
    </w:pPr>
    <w:rPr>
      <w:sz w:val="24"/>
      <w:lang w:val="nb-NO"/>
    </w:rPr>
  </w:style>
  <w:style w:type="paragraph" w:styleId="BalloonText">
    <w:name w:val="Balloon Text"/>
    <w:basedOn w:val="Normal"/>
    <w:link w:val="BalloonTextChar"/>
    <w:uiPriority w:val="99"/>
    <w:semiHidden/>
    <w:unhideWhenUsed/>
    <w:rsid w:val="006D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35"/>
    <w:rPr>
      <w:rFonts w:ascii="Tahoma" w:hAnsi="Tahoma" w:cs="Tahoma"/>
      <w:sz w:val="16"/>
      <w:szCs w:val="16"/>
      <w:lang w:val="nb-NO"/>
    </w:rPr>
  </w:style>
  <w:style w:type="character" w:styleId="PageNumber">
    <w:name w:val="page number"/>
    <w:rsid w:val="00B628C3"/>
    <w:rPr>
      <w:lang w:val="en-US"/>
    </w:rPr>
  </w:style>
  <w:style w:type="character" w:customStyle="1" w:styleId="entryauthor">
    <w:name w:val="entryauthor"/>
    <w:basedOn w:val="DefaultParagraphFont"/>
    <w:rsid w:val="00581730"/>
  </w:style>
  <w:style w:type="character" w:customStyle="1" w:styleId="journalname">
    <w:name w:val="journalname"/>
    <w:basedOn w:val="DefaultParagraphFont"/>
    <w:rsid w:val="00581730"/>
  </w:style>
  <w:style w:type="character" w:customStyle="1" w:styleId="apple-converted-space">
    <w:name w:val="apple-converted-space"/>
    <w:basedOn w:val="DefaultParagraphFont"/>
    <w:rsid w:val="00581730"/>
  </w:style>
  <w:style w:type="character" w:customStyle="1" w:styleId="volume">
    <w:name w:val="volume"/>
    <w:basedOn w:val="DefaultParagraphFont"/>
    <w:rsid w:val="00581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D85"/>
    <w:pPr>
      <w:spacing w:after="240" w:line="360" w:lineRule="auto"/>
    </w:pPr>
    <w:rPr>
      <w:sz w:val="24"/>
      <w:lang w:val="nb-NO"/>
    </w:rPr>
  </w:style>
  <w:style w:type="paragraph" w:styleId="Heading1">
    <w:name w:val="heading 1"/>
    <w:basedOn w:val="Normal"/>
    <w:next w:val="Normal"/>
    <w:link w:val="Heading1Char"/>
    <w:uiPriority w:val="9"/>
    <w:qFormat/>
    <w:rsid w:val="00552D85"/>
    <w:pPr>
      <w:keepNext/>
      <w:keepLines/>
      <w:spacing w:before="240" w:after="0"/>
      <w:outlineLvl w:val="0"/>
    </w:pPr>
    <w:rPr>
      <w:rFonts w:asciiTheme="majorHAnsi" w:eastAsiaTheme="majorEastAsia" w:hAnsiTheme="majorHAnsi" w:cstheme="majorBidi"/>
      <w:color w:val="244061" w:themeColor="accent1" w:themeShade="80"/>
      <w:sz w:val="32"/>
      <w:szCs w:val="32"/>
    </w:rPr>
  </w:style>
  <w:style w:type="paragraph" w:styleId="Heading2">
    <w:name w:val="heading 2"/>
    <w:next w:val="Normal"/>
    <w:link w:val="Heading2Char"/>
    <w:uiPriority w:val="9"/>
    <w:unhideWhenUsed/>
    <w:qFormat/>
    <w:rsid w:val="00552D85"/>
    <w:pPr>
      <w:keepNext/>
      <w:keepLines/>
      <w:spacing w:after="154" w:line="259" w:lineRule="auto"/>
      <w:outlineLvl w:val="1"/>
    </w:pPr>
    <w:rPr>
      <w:rFonts w:ascii="Calibri" w:eastAsia="Calibri" w:hAnsi="Calibri" w:cs="Calibri"/>
      <w:b/>
      <w:i/>
      <w:color w:val="244061" w:themeColor="accent1" w:themeShade="80"/>
      <w:sz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D85"/>
    <w:rPr>
      <w:rFonts w:asciiTheme="majorHAnsi" w:eastAsiaTheme="majorEastAsia" w:hAnsiTheme="majorHAnsi" w:cstheme="majorBidi"/>
      <w:color w:val="244061" w:themeColor="accent1" w:themeShade="80"/>
      <w:sz w:val="32"/>
      <w:szCs w:val="32"/>
      <w:lang w:val="nb-NO"/>
    </w:rPr>
  </w:style>
  <w:style w:type="character" w:customStyle="1" w:styleId="Heading2Char">
    <w:name w:val="Heading 2 Char"/>
    <w:basedOn w:val="DefaultParagraphFont"/>
    <w:link w:val="Heading2"/>
    <w:uiPriority w:val="9"/>
    <w:rsid w:val="00552D85"/>
    <w:rPr>
      <w:rFonts w:ascii="Calibri" w:eastAsia="Calibri" w:hAnsi="Calibri" w:cs="Calibri"/>
      <w:b/>
      <w:i/>
      <w:color w:val="244061" w:themeColor="accent1" w:themeShade="80"/>
      <w:sz w:val="24"/>
      <w:lang w:val="nb-NO" w:eastAsia="nb-NO"/>
    </w:rPr>
  </w:style>
  <w:style w:type="paragraph" w:styleId="Title">
    <w:name w:val="Title"/>
    <w:basedOn w:val="Normal"/>
    <w:next w:val="Normal"/>
    <w:link w:val="TitleChar"/>
    <w:uiPriority w:val="10"/>
    <w:qFormat/>
    <w:rsid w:val="00552D85"/>
    <w:pPr>
      <w:spacing w:after="0" w:line="240" w:lineRule="auto"/>
      <w:contextualSpacing/>
    </w:pPr>
    <w:rPr>
      <w:rFonts w:asciiTheme="majorHAnsi" w:eastAsiaTheme="majorEastAsia" w:hAnsiTheme="majorHAnsi" w:cstheme="majorBidi"/>
      <w:b/>
      <w:color w:val="244061" w:themeColor="accent1" w:themeShade="80"/>
      <w:spacing w:val="-10"/>
      <w:kern w:val="28"/>
      <w:sz w:val="40"/>
      <w:szCs w:val="56"/>
    </w:rPr>
  </w:style>
  <w:style w:type="character" w:customStyle="1" w:styleId="TitleChar">
    <w:name w:val="Title Char"/>
    <w:basedOn w:val="DefaultParagraphFont"/>
    <w:link w:val="Title"/>
    <w:uiPriority w:val="10"/>
    <w:rsid w:val="00552D85"/>
    <w:rPr>
      <w:rFonts w:asciiTheme="majorHAnsi" w:eastAsiaTheme="majorEastAsia" w:hAnsiTheme="majorHAnsi" w:cstheme="majorBidi"/>
      <w:b/>
      <w:color w:val="244061" w:themeColor="accent1" w:themeShade="80"/>
      <w:spacing w:val="-10"/>
      <w:kern w:val="28"/>
      <w:sz w:val="40"/>
      <w:szCs w:val="56"/>
      <w:lang w:val="nb-NO"/>
    </w:rPr>
  </w:style>
  <w:style w:type="character" w:styleId="EndnoteReference">
    <w:name w:val="endnote reference"/>
    <w:basedOn w:val="DefaultParagraphFont"/>
    <w:uiPriority w:val="99"/>
    <w:unhideWhenUsed/>
    <w:rsid w:val="00552D85"/>
    <w:rPr>
      <w:vertAlign w:val="superscript"/>
    </w:rPr>
  </w:style>
  <w:style w:type="character" w:styleId="CommentReference">
    <w:name w:val="annotation reference"/>
    <w:basedOn w:val="DefaultParagraphFont"/>
    <w:uiPriority w:val="99"/>
    <w:semiHidden/>
    <w:unhideWhenUsed/>
    <w:rsid w:val="00552D85"/>
    <w:rPr>
      <w:sz w:val="16"/>
      <w:szCs w:val="16"/>
    </w:rPr>
  </w:style>
  <w:style w:type="paragraph" w:styleId="EndnoteText">
    <w:name w:val="endnote text"/>
    <w:basedOn w:val="Normal"/>
    <w:link w:val="EndnoteTextChar"/>
    <w:uiPriority w:val="99"/>
    <w:unhideWhenUsed/>
    <w:rsid w:val="00552D85"/>
    <w:pPr>
      <w:spacing w:after="0" w:line="240" w:lineRule="auto"/>
    </w:pPr>
    <w:rPr>
      <w:sz w:val="20"/>
      <w:szCs w:val="20"/>
    </w:rPr>
  </w:style>
  <w:style w:type="character" w:customStyle="1" w:styleId="EndnoteTextChar">
    <w:name w:val="Endnote Text Char"/>
    <w:basedOn w:val="DefaultParagraphFont"/>
    <w:link w:val="EndnoteText"/>
    <w:uiPriority w:val="99"/>
    <w:rsid w:val="00552D85"/>
    <w:rPr>
      <w:sz w:val="20"/>
      <w:szCs w:val="20"/>
      <w:lang w:val="nb-NO"/>
    </w:rPr>
  </w:style>
  <w:style w:type="character" w:styleId="Hyperlink">
    <w:name w:val="Hyperlink"/>
    <w:basedOn w:val="DefaultParagraphFont"/>
    <w:uiPriority w:val="99"/>
    <w:unhideWhenUsed/>
    <w:rsid w:val="00552D85"/>
    <w:rPr>
      <w:color w:val="0000FF" w:themeColor="hyperlink"/>
      <w:u w:val="single"/>
    </w:rPr>
  </w:style>
  <w:style w:type="paragraph" w:styleId="CommentText">
    <w:name w:val="annotation text"/>
    <w:basedOn w:val="Normal"/>
    <w:link w:val="CommentTextChar"/>
    <w:uiPriority w:val="99"/>
    <w:semiHidden/>
    <w:unhideWhenUsed/>
    <w:rsid w:val="00552D85"/>
    <w:pPr>
      <w:spacing w:line="240" w:lineRule="auto"/>
    </w:pPr>
    <w:rPr>
      <w:sz w:val="20"/>
      <w:szCs w:val="20"/>
    </w:rPr>
  </w:style>
  <w:style w:type="character" w:customStyle="1" w:styleId="CommentTextChar">
    <w:name w:val="Comment Text Char"/>
    <w:basedOn w:val="DefaultParagraphFont"/>
    <w:link w:val="CommentText"/>
    <w:uiPriority w:val="99"/>
    <w:semiHidden/>
    <w:rsid w:val="00552D85"/>
    <w:rPr>
      <w:sz w:val="20"/>
      <w:szCs w:val="20"/>
      <w:lang w:val="nb-NO"/>
    </w:rPr>
  </w:style>
  <w:style w:type="paragraph" w:styleId="Subtitle">
    <w:name w:val="Subtitle"/>
    <w:basedOn w:val="Normal"/>
    <w:next w:val="Normal"/>
    <w:link w:val="SubtitleChar"/>
    <w:rsid w:val="00552D85"/>
    <w:pPr>
      <w:keepNext/>
      <w:keepLines/>
      <w:spacing w:after="320" w:line="276" w:lineRule="auto"/>
      <w:contextualSpacing/>
    </w:pPr>
    <w:rPr>
      <w:rFonts w:ascii="Arial" w:eastAsia="Arial" w:hAnsi="Arial" w:cs="Arial"/>
      <w:color w:val="666666"/>
      <w:sz w:val="30"/>
      <w:szCs w:val="30"/>
      <w:lang w:val="en-US"/>
    </w:rPr>
  </w:style>
  <w:style w:type="character" w:customStyle="1" w:styleId="SubtitleChar">
    <w:name w:val="Subtitle Char"/>
    <w:basedOn w:val="DefaultParagraphFont"/>
    <w:link w:val="Subtitle"/>
    <w:rsid w:val="00552D85"/>
    <w:rPr>
      <w:rFonts w:ascii="Arial" w:eastAsia="Arial" w:hAnsi="Arial" w:cs="Arial"/>
      <w:color w:val="666666"/>
      <w:sz w:val="30"/>
      <w:szCs w:val="30"/>
      <w:lang w:val="en-US"/>
    </w:rPr>
  </w:style>
  <w:style w:type="character" w:styleId="BookTitle">
    <w:name w:val="Book Title"/>
    <w:basedOn w:val="DefaultParagraphFont"/>
    <w:uiPriority w:val="33"/>
    <w:qFormat/>
    <w:rsid w:val="00552D85"/>
    <w:rPr>
      <w:b/>
      <w:bCs/>
      <w:i/>
      <w:iCs/>
      <w:spacing w:val="5"/>
    </w:rPr>
  </w:style>
  <w:style w:type="character" w:customStyle="1" w:styleId="A2">
    <w:name w:val="A2"/>
    <w:uiPriority w:val="99"/>
    <w:rsid w:val="00552D85"/>
    <w:rPr>
      <w:rFonts w:cs="Vista Sans Light"/>
      <w:color w:val="211D1E"/>
      <w:sz w:val="20"/>
      <w:szCs w:val="20"/>
    </w:rPr>
  </w:style>
  <w:style w:type="paragraph" w:styleId="CommentSubject">
    <w:name w:val="annotation subject"/>
    <w:basedOn w:val="CommentText"/>
    <w:next w:val="CommentText"/>
    <w:link w:val="CommentSubjectChar"/>
    <w:uiPriority w:val="99"/>
    <w:semiHidden/>
    <w:unhideWhenUsed/>
    <w:rsid w:val="006D5A35"/>
    <w:rPr>
      <w:b/>
      <w:bCs/>
    </w:rPr>
  </w:style>
  <w:style w:type="character" w:customStyle="1" w:styleId="CommentSubjectChar">
    <w:name w:val="Comment Subject Char"/>
    <w:basedOn w:val="CommentTextChar"/>
    <w:link w:val="CommentSubject"/>
    <w:uiPriority w:val="99"/>
    <w:semiHidden/>
    <w:rsid w:val="006D5A35"/>
    <w:rPr>
      <w:b/>
      <w:bCs/>
      <w:sz w:val="20"/>
      <w:szCs w:val="20"/>
      <w:lang w:val="nb-NO"/>
    </w:rPr>
  </w:style>
  <w:style w:type="paragraph" w:styleId="Revision">
    <w:name w:val="Revision"/>
    <w:hidden/>
    <w:uiPriority w:val="99"/>
    <w:semiHidden/>
    <w:rsid w:val="006D5A35"/>
    <w:pPr>
      <w:spacing w:after="0" w:line="240" w:lineRule="auto"/>
    </w:pPr>
    <w:rPr>
      <w:sz w:val="24"/>
      <w:lang w:val="nb-NO"/>
    </w:rPr>
  </w:style>
  <w:style w:type="paragraph" w:styleId="BalloonText">
    <w:name w:val="Balloon Text"/>
    <w:basedOn w:val="Normal"/>
    <w:link w:val="BalloonTextChar"/>
    <w:uiPriority w:val="99"/>
    <w:semiHidden/>
    <w:unhideWhenUsed/>
    <w:rsid w:val="006D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35"/>
    <w:rPr>
      <w:rFonts w:ascii="Tahoma" w:hAnsi="Tahoma" w:cs="Tahoma"/>
      <w:sz w:val="16"/>
      <w:szCs w:val="16"/>
      <w:lang w:val="nb-NO"/>
    </w:rPr>
  </w:style>
  <w:style w:type="character" w:styleId="PageNumber">
    <w:name w:val="page number"/>
    <w:rsid w:val="00B628C3"/>
    <w:rPr>
      <w:lang w:val="en-US"/>
    </w:rPr>
  </w:style>
  <w:style w:type="character" w:customStyle="1" w:styleId="entryauthor">
    <w:name w:val="entryauthor"/>
    <w:basedOn w:val="DefaultParagraphFont"/>
    <w:rsid w:val="00581730"/>
  </w:style>
  <w:style w:type="character" w:customStyle="1" w:styleId="journalname">
    <w:name w:val="journalname"/>
    <w:basedOn w:val="DefaultParagraphFont"/>
    <w:rsid w:val="00581730"/>
  </w:style>
  <w:style w:type="character" w:customStyle="1" w:styleId="apple-converted-space">
    <w:name w:val="apple-converted-space"/>
    <w:basedOn w:val="DefaultParagraphFont"/>
    <w:rsid w:val="00581730"/>
  </w:style>
  <w:style w:type="character" w:customStyle="1" w:styleId="volume">
    <w:name w:val="volume"/>
    <w:basedOn w:val="DefaultParagraphFont"/>
    <w:rsid w:val="0058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3582">
      <w:bodyDiv w:val="1"/>
      <w:marLeft w:val="0"/>
      <w:marRight w:val="0"/>
      <w:marTop w:val="0"/>
      <w:marBottom w:val="0"/>
      <w:divBdr>
        <w:top w:val="none" w:sz="0" w:space="0" w:color="auto"/>
        <w:left w:val="none" w:sz="0" w:space="0" w:color="auto"/>
        <w:bottom w:val="none" w:sz="0" w:space="0" w:color="auto"/>
        <w:right w:val="none" w:sz="0" w:space="0" w:color="auto"/>
      </w:divBdr>
      <w:divsChild>
        <w:div w:id="1486125703">
          <w:marLeft w:val="0"/>
          <w:marRight w:val="0"/>
          <w:marTop w:val="0"/>
          <w:marBottom w:val="75"/>
          <w:divBdr>
            <w:top w:val="none" w:sz="0" w:space="0" w:color="auto"/>
            <w:left w:val="none" w:sz="0" w:space="0" w:color="auto"/>
            <w:bottom w:val="none" w:sz="0" w:space="0" w:color="auto"/>
            <w:right w:val="none" w:sz="0" w:space="0" w:color="auto"/>
          </w:divBdr>
        </w:div>
        <w:div w:id="709188563">
          <w:marLeft w:val="0"/>
          <w:marRight w:val="0"/>
          <w:marTop w:val="0"/>
          <w:marBottom w:val="0"/>
          <w:divBdr>
            <w:top w:val="none" w:sz="0" w:space="0" w:color="auto"/>
            <w:left w:val="none" w:sz="0" w:space="0" w:color="auto"/>
            <w:bottom w:val="none" w:sz="0" w:space="0" w:color="auto"/>
            <w:right w:val="none" w:sz="0" w:space="0" w:color="auto"/>
          </w:divBdr>
        </w:div>
        <w:div w:id="1185825061">
          <w:marLeft w:val="0"/>
          <w:marRight w:val="0"/>
          <w:marTop w:val="60"/>
          <w:marBottom w:val="0"/>
          <w:divBdr>
            <w:top w:val="none" w:sz="0" w:space="0" w:color="auto"/>
            <w:left w:val="none" w:sz="0" w:space="0" w:color="auto"/>
            <w:bottom w:val="none" w:sz="0" w:space="0" w:color="auto"/>
            <w:right w:val="none" w:sz="0" w:space="0" w:color="auto"/>
          </w:divBdr>
        </w:div>
      </w:divsChild>
    </w:div>
    <w:div w:id="18990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mediaexperiences.blogg.lu.se/" TargetMode="External"/><Relationship Id="rId1" Type="http://schemas.openxmlformats.org/officeDocument/2006/relationships/hyperlink" Target="http://mecet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8008</Words>
  <Characters>45651</Characters>
  <Application>Microsoft Office Word</Application>
  <DocSecurity>0</DocSecurity>
  <Lines>380</Lines>
  <Paragraphs>107</Paragraphs>
  <ScaleCrop>false</ScaleCrop>
  <HeadingPairs>
    <vt:vector size="6" baseType="variant">
      <vt:variant>
        <vt:lpstr>Title</vt:lpstr>
      </vt:variant>
      <vt:variant>
        <vt:i4>1</vt:i4>
      </vt:variant>
      <vt:variant>
        <vt:lpstr>Headings</vt:lpstr>
      </vt:variant>
      <vt:variant>
        <vt:i4>12</vt:i4>
      </vt:variant>
      <vt:variant>
        <vt:lpstr>Tittel</vt:lpstr>
      </vt:variant>
      <vt:variant>
        <vt:i4>1</vt:i4>
      </vt:variant>
    </vt:vector>
  </HeadingPairs>
  <TitlesOfParts>
    <vt:vector size="14" baseType="lpstr">
      <vt:lpstr/>
      <vt:lpstr>&lt;H1&gt;Theoretical approach&lt;/H1&gt;</vt:lpstr>
      <vt:lpstr>&lt;H1&gt;Analysing companies’ production/organization cultures&lt;/H1&gt;</vt:lpstr>
      <vt:lpstr>&lt;H1&gt;Methodology&lt;H1&gt;</vt:lpstr>
      <vt:lpstr>    &lt;H2&gt;The use of case studies&lt;/H2&gt;</vt:lpstr>
      <vt:lpstr>    &lt;H2&gt;Using interviews&lt;/H2&gt;</vt:lpstr>
      <vt:lpstr>&lt;H1&gt;Undertaking qualitative cross-national research&lt;/H1&gt;</vt:lpstr>
      <vt:lpstr>&lt;H1&gt;Introducing the chapters&lt;/H1&gt; </vt:lpstr>
      <vt:lpstr>    &lt;H1&gt;Norway&lt;/H2&gt;</vt:lpstr>
      <vt:lpstr>    &lt;H2&gt;Denmark&lt;/H2&gt;</vt:lpstr>
      <vt:lpstr>    &lt;H2&gt;The Netherlands&lt;/H2&gt;</vt:lpstr>
      <vt:lpstr>    &lt;H2&gt;The United Kingdom&lt;/H2&gt;</vt:lpstr>
      <vt:lpstr>&lt;H1&gt;References&lt;/H1&gt;</vt:lpstr>
      <vt:lpstr/>
    </vt:vector>
  </TitlesOfParts>
  <Company>Microsoft</Company>
  <LinksUpToDate>false</LinksUpToDate>
  <CharactersWithSpaces>53552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dc:creator>
  <cp:lastModifiedBy>Joyce Woolridge</cp:lastModifiedBy>
  <cp:revision>3</cp:revision>
  <dcterms:created xsi:type="dcterms:W3CDTF">2017-04-01T10:56:00Z</dcterms:created>
  <dcterms:modified xsi:type="dcterms:W3CDTF">2017-04-01T10:57:00Z</dcterms:modified>
</cp:coreProperties>
</file>