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633" w:rsidRPr="00D05EF2" w:rsidRDefault="007E3557" w:rsidP="003827EA">
      <w:pPr>
        <w:rPr>
          <w:rFonts w:asciiTheme="minorHAnsi" w:hAnsiTheme="minorHAnsi" w:cstheme="minorHAnsi"/>
        </w:rPr>
      </w:pPr>
      <w:r>
        <w:rPr>
          <w:rFonts w:asciiTheme="minorHAnsi" w:hAnsiTheme="minorHAnsi" w:cstheme="minorHAnsi"/>
        </w:rPr>
        <w:t xml:space="preserve">MANCHESTER JOURNAL OF </w:t>
      </w:r>
      <w:r w:rsidR="003827EA" w:rsidRPr="00D05EF2">
        <w:rPr>
          <w:rFonts w:asciiTheme="minorHAnsi" w:hAnsiTheme="minorHAnsi" w:cstheme="minorHAnsi"/>
        </w:rPr>
        <w:t>INTERN</w:t>
      </w:r>
      <w:r w:rsidR="00383AC7">
        <w:rPr>
          <w:rFonts w:asciiTheme="minorHAnsi" w:hAnsiTheme="minorHAnsi" w:cstheme="minorHAnsi"/>
        </w:rPr>
        <w:t>A</w:t>
      </w:r>
      <w:r w:rsidR="003827EA" w:rsidRPr="00D05EF2">
        <w:rPr>
          <w:rFonts w:asciiTheme="minorHAnsi" w:hAnsiTheme="minorHAnsi" w:cstheme="minorHAnsi"/>
        </w:rPr>
        <w:t>TIONAL ECONOMIC LAW</w:t>
      </w:r>
    </w:p>
    <w:p w:rsidR="003827EA" w:rsidRPr="00D05EF2" w:rsidRDefault="003827EA" w:rsidP="003827EA">
      <w:pPr>
        <w:rPr>
          <w:rFonts w:asciiTheme="minorHAnsi" w:hAnsiTheme="minorHAnsi" w:cstheme="minorHAnsi"/>
        </w:rPr>
      </w:pPr>
    </w:p>
    <w:p w:rsidR="00501A5D" w:rsidRDefault="00963C1E" w:rsidP="00501A5D">
      <w:pPr>
        <w:rPr>
          <w:rFonts w:asciiTheme="minorHAnsi" w:hAnsiTheme="minorHAnsi" w:cstheme="minorHAnsi"/>
          <w:color w:val="222222"/>
          <w:shd w:val="clear" w:color="auto" w:fill="FFFFFF"/>
        </w:rPr>
      </w:pPr>
      <w:r w:rsidRPr="00D05EF2">
        <w:rPr>
          <w:rFonts w:asciiTheme="minorHAnsi" w:hAnsiTheme="minorHAnsi" w:cstheme="minorHAnsi"/>
          <w:b/>
          <w:bCs/>
          <w:color w:val="222222"/>
          <w:shd w:val="clear" w:color="auto" w:fill="FFFFFF"/>
        </w:rPr>
        <w:t>Law as if the Earth Really Mattered.</w:t>
      </w:r>
      <w:r w:rsidRPr="00D05EF2">
        <w:rPr>
          <w:rStyle w:val="apple-converted-space"/>
          <w:rFonts w:asciiTheme="minorHAnsi" w:eastAsiaTheme="majorEastAsia" w:hAnsiTheme="minorHAnsi" w:cstheme="minorHAnsi"/>
          <w:b/>
          <w:bCs/>
          <w:color w:val="222222"/>
          <w:shd w:val="clear" w:color="auto" w:fill="FFFFFF"/>
        </w:rPr>
        <w:t> </w:t>
      </w:r>
      <w:r w:rsidRPr="00D05EF2">
        <w:rPr>
          <w:rFonts w:asciiTheme="minorHAnsi" w:hAnsiTheme="minorHAnsi" w:cstheme="minorHAnsi"/>
          <w:color w:val="222222"/>
          <w:shd w:val="clear" w:color="auto" w:fill="FFFFFF"/>
        </w:rPr>
        <w:t>The Wild Law Judgement</w:t>
      </w:r>
      <w:r w:rsidR="00383AC7">
        <w:rPr>
          <w:rFonts w:asciiTheme="minorHAnsi" w:hAnsiTheme="minorHAnsi" w:cstheme="minorHAnsi"/>
          <w:color w:val="222222"/>
          <w:shd w:val="clear" w:color="auto" w:fill="FFFFFF"/>
        </w:rPr>
        <w:t>s P</w:t>
      </w:r>
      <w:r w:rsidRPr="00D05EF2">
        <w:rPr>
          <w:rFonts w:asciiTheme="minorHAnsi" w:hAnsiTheme="minorHAnsi" w:cstheme="minorHAnsi"/>
          <w:color w:val="222222"/>
          <w:shd w:val="clear" w:color="auto" w:fill="FFFFFF"/>
        </w:rPr>
        <w:t>roject.</w:t>
      </w:r>
      <w:r w:rsidR="00BA702C">
        <w:rPr>
          <w:rFonts w:asciiTheme="minorHAnsi" w:hAnsiTheme="minorHAnsi" w:cstheme="minorHAnsi"/>
          <w:color w:val="222222"/>
          <w:shd w:val="clear" w:color="auto" w:fill="FFFFFF"/>
        </w:rPr>
        <w:t xml:space="preserve"> Edited by N</w:t>
      </w:r>
      <w:r w:rsidR="00501A5D">
        <w:rPr>
          <w:rFonts w:asciiTheme="minorHAnsi" w:hAnsiTheme="minorHAnsi" w:cstheme="minorHAnsi"/>
          <w:color w:val="222222"/>
          <w:shd w:val="clear" w:color="auto" w:fill="FFFFFF"/>
        </w:rPr>
        <w:t>i</w:t>
      </w:r>
      <w:r w:rsidR="00BA702C">
        <w:rPr>
          <w:rFonts w:asciiTheme="minorHAnsi" w:hAnsiTheme="minorHAnsi" w:cstheme="minorHAnsi"/>
          <w:color w:val="222222"/>
          <w:shd w:val="clear" w:color="auto" w:fill="FFFFFF"/>
        </w:rPr>
        <w:t>c</w:t>
      </w:r>
      <w:r w:rsidR="00501A5D">
        <w:rPr>
          <w:rFonts w:asciiTheme="minorHAnsi" w:hAnsiTheme="minorHAnsi" w:cstheme="minorHAnsi"/>
          <w:color w:val="222222"/>
          <w:shd w:val="clear" w:color="auto" w:fill="FFFFFF"/>
        </w:rPr>
        <w:t>o</w:t>
      </w:r>
      <w:r w:rsidR="00BA702C">
        <w:rPr>
          <w:rFonts w:asciiTheme="minorHAnsi" w:hAnsiTheme="minorHAnsi" w:cstheme="minorHAnsi"/>
          <w:color w:val="222222"/>
          <w:shd w:val="clear" w:color="auto" w:fill="FFFFFF"/>
        </w:rPr>
        <w:t>le Rogers and Michelle Maloney</w:t>
      </w:r>
      <w:r w:rsidR="00501A5D">
        <w:rPr>
          <w:rFonts w:asciiTheme="minorHAnsi" w:hAnsiTheme="minorHAnsi" w:cstheme="minorHAnsi"/>
          <w:color w:val="222222"/>
          <w:shd w:val="clear" w:color="auto" w:fill="FFFFFF"/>
        </w:rPr>
        <w:t>. (</w:t>
      </w:r>
      <w:r w:rsidR="00077166">
        <w:rPr>
          <w:rFonts w:asciiTheme="minorHAnsi" w:hAnsiTheme="minorHAnsi" w:cstheme="minorHAnsi"/>
          <w:color w:val="222222"/>
          <w:shd w:val="clear" w:color="auto" w:fill="FFFFFF"/>
        </w:rPr>
        <w:t xml:space="preserve">Glasshouse, </w:t>
      </w:r>
      <w:r w:rsidR="00981289">
        <w:rPr>
          <w:rFonts w:asciiTheme="minorHAnsi" w:hAnsiTheme="minorHAnsi" w:cstheme="minorHAnsi"/>
          <w:color w:val="222222"/>
          <w:shd w:val="clear" w:color="auto" w:fill="FFFFFF"/>
        </w:rPr>
        <w:t>Routledge, 2017) ISBN: 97813866908</w:t>
      </w:r>
      <w:r w:rsidR="00501A5D">
        <w:rPr>
          <w:rFonts w:asciiTheme="minorHAnsi" w:hAnsiTheme="minorHAnsi" w:cstheme="minorHAnsi"/>
          <w:color w:val="222222"/>
          <w:shd w:val="clear" w:color="auto" w:fill="FFFFFF"/>
        </w:rPr>
        <w:t>6</w:t>
      </w:r>
    </w:p>
    <w:p w:rsidR="00501A5D" w:rsidRDefault="00501A5D" w:rsidP="00501A5D">
      <w:pPr>
        <w:rPr>
          <w:rFonts w:asciiTheme="minorHAnsi" w:hAnsiTheme="minorHAnsi" w:cstheme="minorHAnsi"/>
          <w:color w:val="222222"/>
          <w:shd w:val="clear" w:color="auto" w:fill="FFFFFF"/>
        </w:rPr>
      </w:pPr>
    </w:p>
    <w:p w:rsidR="007B2548" w:rsidRDefault="007B2548" w:rsidP="00501A5D">
      <w:pPr>
        <w:rPr>
          <w:rFonts w:asciiTheme="minorHAnsi" w:hAnsiTheme="minorHAnsi" w:cstheme="minorHAnsi"/>
          <w:color w:val="222222"/>
        </w:rPr>
      </w:pPr>
    </w:p>
    <w:p w:rsidR="00322DF5" w:rsidRDefault="001A1DA3" w:rsidP="00501A5D">
      <w:pPr>
        <w:rPr>
          <w:rFonts w:asciiTheme="minorHAnsi" w:hAnsiTheme="minorHAnsi" w:cstheme="minorHAnsi"/>
          <w:color w:val="222222"/>
        </w:rPr>
      </w:pPr>
      <w:r>
        <w:rPr>
          <w:rFonts w:asciiTheme="minorHAnsi" w:hAnsiTheme="minorHAnsi" w:cstheme="minorHAnsi"/>
          <w:color w:val="222222"/>
        </w:rPr>
        <w:t>During the unusually sunny and warm</w:t>
      </w:r>
      <w:r w:rsidR="00F24796">
        <w:rPr>
          <w:rFonts w:asciiTheme="minorHAnsi" w:hAnsiTheme="minorHAnsi" w:cstheme="minorHAnsi"/>
          <w:color w:val="222222"/>
        </w:rPr>
        <w:t xml:space="preserve"> month of June of 2017 </w:t>
      </w:r>
      <w:r>
        <w:rPr>
          <w:rFonts w:asciiTheme="minorHAnsi" w:hAnsiTheme="minorHAnsi" w:cstheme="minorHAnsi"/>
          <w:color w:val="222222"/>
        </w:rPr>
        <w:t>I</w:t>
      </w:r>
      <w:r w:rsidR="00F24796">
        <w:rPr>
          <w:rFonts w:asciiTheme="minorHAnsi" w:hAnsiTheme="minorHAnsi" w:cstheme="minorHAnsi"/>
          <w:color w:val="222222"/>
        </w:rPr>
        <w:t xml:space="preserve"> </w:t>
      </w:r>
      <w:r w:rsidR="00C4043A">
        <w:rPr>
          <w:rFonts w:asciiTheme="minorHAnsi" w:hAnsiTheme="minorHAnsi" w:cstheme="minorHAnsi"/>
          <w:color w:val="222222"/>
        </w:rPr>
        <w:t>came across</w:t>
      </w:r>
      <w:r w:rsidR="00F24796">
        <w:rPr>
          <w:rFonts w:asciiTheme="minorHAnsi" w:hAnsiTheme="minorHAnsi" w:cstheme="minorHAnsi"/>
          <w:color w:val="222222"/>
        </w:rPr>
        <w:t xml:space="preserve"> </w:t>
      </w:r>
      <w:r w:rsidR="00F24796" w:rsidRPr="00322DF5">
        <w:rPr>
          <w:rFonts w:asciiTheme="minorHAnsi" w:hAnsiTheme="minorHAnsi" w:cstheme="minorHAnsi"/>
          <w:color w:val="222222"/>
        </w:rPr>
        <w:t>Thornton and Goodman</w:t>
      </w:r>
      <w:r w:rsidR="00F24796">
        <w:rPr>
          <w:rFonts w:asciiTheme="minorHAnsi" w:hAnsiTheme="minorHAnsi" w:cstheme="minorHAnsi"/>
          <w:color w:val="222222"/>
        </w:rPr>
        <w:t xml:space="preserve">’s recently published book, </w:t>
      </w:r>
      <w:r w:rsidR="00F24796" w:rsidRPr="00F24796">
        <w:rPr>
          <w:rFonts w:asciiTheme="minorHAnsi" w:hAnsiTheme="minorHAnsi" w:cstheme="minorHAnsi"/>
          <w:i/>
          <w:color w:val="222222"/>
        </w:rPr>
        <w:t>Client Earth</w:t>
      </w:r>
      <w:r w:rsidR="00F24796">
        <w:rPr>
          <w:rFonts w:asciiTheme="minorHAnsi" w:hAnsiTheme="minorHAnsi" w:cstheme="minorHAnsi"/>
          <w:color w:val="222222"/>
        </w:rPr>
        <w:t>,</w:t>
      </w:r>
      <w:r w:rsidR="00F24796">
        <w:rPr>
          <w:rStyle w:val="FootnoteReference"/>
          <w:rFonts w:asciiTheme="minorHAnsi" w:hAnsiTheme="minorHAnsi" w:cstheme="minorHAnsi"/>
          <w:color w:val="222222"/>
        </w:rPr>
        <w:footnoteReference w:id="1"/>
      </w:r>
      <w:r w:rsidR="00F24796">
        <w:rPr>
          <w:rFonts w:asciiTheme="minorHAnsi" w:hAnsiTheme="minorHAnsi" w:cstheme="minorHAnsi"/>
          <w:color w:val="222222"/>
        </w:rPr>
        <w:t xml:space="preserve"> an inspiring account of how existing legal structures can be used to</w:t>
      </w:r>
      <w:r w:rsidR="00C60762">
        <w:rPr>
          <w:rFonts w:asciiTheme="minorHAnsi" w:hAnsiTheme="minorHAnsi" w:cstheme="minorHAnsi"/>
          <w:color w:val="222222"/>
        </w:rPr>
        <w:t xml:space="preserve"> generate</w:t>
      </w:r>
      <w:r w:rsidR="00F24796">
        <w:rPr>
          <w:rFonts w:asciiTheme="minorHAnsi" w:hAnsiTheme="minorHAnsi" w:cstheme="minorHAnsi"/>
          <w:color w:val="222222"/>
        </w:rPr>
        <w:t xml:space="preserve"> big changes.</w:t>
      </w:r>
      <w:r w:rsidR="00322DF5" w:rsidRPr="00322DF5">
        <w:rPr>
          <w:rFonts w:asciiTheme="minorHAnsi" w:hAnsiTheme="minorHAnsi" w:cstheme="minorHAnsi"/>
          <w:color w:val="222222"/>
        </w:rPr>
        <w:t xml:space="preserve"> </w:t>
      </w:r>
      <w:r w:rsidR="00F24796">
        <w:rPr>
          <w:rFonts w:asciiTheme="minorHAnsi" w:hAnsiTheme="minorHAnsi" w:cstheme="minorHAnsi"/>
          <w:color w:val="222222"/>
        </w:rPr>
        <w:t xml:space="preserve">This was indeed the reason behind what may appear on first impressions to be a peculiar choice </w:t>
      </w:r>
      <w:r w:rsidR="00502080">
        <w:rPr>
          <w:rFonts w:asciiTheme="minorHAnsi" w:hAnsiTheme="minorHAnsi" w:cstheme="minorHAnsi"/>
          <w:color w:val="222222"/>
        </w:rPr>
        <w:t>of</w:t>
      </w:r>
      <w:r w:rsidR="00F24796">
        <w:rPr>
          <w:rFonts w:asciiTheme="minorHAnsi" w:hAnsiTheme="minorHAnsi" w:cstheme="minorHAnsi"/>
          <w:color w:val="222222"/>
        </w:rPr>
        <w:t xml:space="preserve"> book to review for a journal concerned first and foremost with the subject of international economic law, even if</w:t>
      </w:r>
      <w:r w:rsidR="00D72C16">
        <w:rPr>
          <w:rFonts w:asciiTheme="minorHAnsi" w:hAnsiTheme="minorHAnsi" w:cstheme="minorHAnsi"/>
          <w:color w:val="222222"/>
        </w:rPr>
        <w:t xml:space="preserve"> this is</w:t>
      </w:r>
      <w:r w:rsidR="00F24796">
        <w:rPr>
          <w:rFonts w:asciiTheme="minorHAnsi" w:hAnsiTheme="minorHAnsi" w:cstheme="minorHAnsi"/>
          <w:color w:val="222222"/>
        </w:rPr>
        <w:t xml:space="preserve"> understood in a loose sense.</w:t>
      </w:r>
    </w:p>
    <w:p w:rsidR="00502080" w:rsidRDefault="00502080" w:rsidP="00501A5D">
      <w:pPr>
        <w:rPr>
          <w:rFonts w:asciiTheme="minorHAnsi" w:hAnsiTheme="minorHAnsi" w:cstheme="minorHAnsi"/>
          <w:color w:val="222222"/>
        </w:rPr>
      </w:pPr>
    </w:p>
    <w:p w:rsidR="00501A5D" w:rsidRDefault="00F24796" w:rsidP="00963C1E">
      <w:pPr>
        <w:shd w:val="clear" w:color="auto" w:fill="FFFFFF"/>
        <w:rPr>
          <w:rFonts w:asciiTheme="minorHAnsi" w:hAnsiTheme="minorHAnsi" w:cstheme="minorHAnsi"/>
          <w:color w:val="222222"/>
        </w:rPr>
      </w:pPr>
      <w:r>
        <w:rPr>
          <w:rFonts w:asciiTheme="minorHAnsi" w:hAnsiTheme="minorHAnsi" w:cstheme="minorHAnsi"/>
          <w:color w:val="222222"/>
        </w:rPr>
        <w:t>However, a</w:t>
      </w:r>
      <w:r w:rsidR="00502080">
        <w:rPr>
          <w:rFonts w:asciiTheme="minorHAnsi" w:hAnsiTheme="minorHAnsi" w:cstheme="minorHAnsi"/>
          <w:color w:val="222222"/>
        </w:rPr>
        <w:t xml:space="preserve"> more det</w:t>
      </w:r>
      <w:r w:rsidR="00C4043A">
        <w:rPr>
          <w:rFonts w:asciiTheme="minorHAnsi" w:hAnsiTheme="minorHAnsi" w:cstheme="minorHAnsi"/>
          <w:color w:val="222222"/>
        </w:rPr>
        <w:t xml:space="preserve">ailed look at some of </w:t>
      </w:r>
      <w:proofErr w:type="gramStart"/>
      <w:r w:rsidR="00C4043A">
        <w:rPr>
          <w:rFonts w:asciiTheme="minorHAnsi" w:hAnsiTheme="minorHAnsi" w:cstheme="minorHAnsi"/>
          <w:color w:val="222222"/>
        </w:rPr>
        <w:t xml:space="preserve">the </w:t>
      </w:r>
      <w:r w:rsidR="00502080">
        <w:rPr>
          <w:rFonts w:asciiTheme="minorHAnsi" w:hAnsiTheme="minorHAnsi" w:cstheme="minorHAnsi"/>
          <w:color w:val="222222"/>
        </w:rPr>
        <w:t>‘re</w:t>
      </w:r>
      <w:proofErr w:type="gramEnd"/>
      <w:r w:rsidR="00502080">
        <w:rPr>
          <w:rFonts w:asciiTheme="minorHAnsi" w:hAnsiTheme="minorHAnsi" w:cstheme="minorHAnsi"/>
          <w:color w:val="222222"/>
        </w:rPr>
        <w:t>-written’</w:t>
      </w:r>
      <w:r w:rsidR="00C4043A">
        <w:rPr>
          <w:rFonts w:asciiTheme="minorHAnsi" w:hAnsiTheme="minorHAnsi" w:cstheme="minorHAnsi"/>
          <w:color w:val="222222"/>
        </w:rPr>
        <w:t xml:space="preserve"> </w:t>
      </w:r>
      <w:r w:rsidR="00D72C16">
        <w:rPr>
          <w:rFonts w:asciiTheme="minorHAnsi" w:hAnsiTheme="minorHAnsi" w:cstheme="minorHAnsi"/>
          <w:color w:val="222222"/>
        </w:rPr>
        <w:t>judgements</w:t>
      </w:r>
      <w:r w:rsidR="00502080">
        <w:rPr>
          <w:rFonts w:asciiTheme="minorHAnsi" w:hAnsiTheme="minorHAnsi" w:cstheme="minorHAnsi"/>
          <w:color w:val="222222"/>
        </w:rPr>
        <w:t xml:space="preserve"> in</w:t>
      </w:r>
      <w:r w:rsidR="00BA702C">
        <w:rPr>
          <w:rFonts w:asciiTheme="minorHAnsi" w:hAnsiTheme="minorHAnsi" w:cstheme="minorHAnsi"/>
          <w:color w:val="222222"/>
        </w:rPr>
        <w:t xml:space="preserve"> Ro</w:t>
      </w:r>
      <w:r>
        <w:rPr>
          <w:rFonts w:asciiTheme="minorHAnsi" w:hAnsiTheme="minorHAnsi" w:cstheme="minorHAnsi"/>
          <w:color w:val="222222"/>
        </w:rPr>
        <w:t>gers and Maloney</w:t>
      </w:r>
      <w:r w:rsidR="00502080">
        <w:rPr>
          <w:rFonts w:asciiTheme="minorHAnsi" w:hAnsiTheme="minorHAnsi" w:cstheme="minorHAnsi"/>
          <w:color w:val="222222"/>
        </w:rPr>
        <w:t xml:space="preserve">’s edited collection </w:t>
      </w:r>
      <w:r w:rsidR="00C4043A">
        <w:rPr>
          <w:rFonts w:asciiTheme="minorHAnsi" w:hAnsiTheme="minorHAnsi" w:cstheme="minorHAnsi"/>
          <w:color w:val="222222"/>
        </w:rPr>
        <w:t>reveals</w:t>
      </w:r>
      <w:r w:rsidR="00BA702C">
        <w:rPr>
          <w:rFonts w:asciiTheme="minorHAnsi" w:hAnsiTheme="minorHAnsi" w:cstheme="minorHAnsi"/>
          <w:color w:val="222222"/>
        </w:rPr>
        <w:t xml:space="preserve"> that context and perspective are what separate</w:t>
      </w:r>
      <w:r w:rsidR="00502080">
        <w:rPr>
          <w:rFonts w:asciiTheme="minorHAnsi" w:hAnsiTheme="minorHAnsi" w:cstheme="minorHAnsi"/>
          <w:color w:val="222222"/>
        </w:rPr>
        <w:t>s</w:t>
      </w:r>
      <w:r w:rsidR="00BA702C">
        <w:rPr>
          <w:rFonts w:asciiTheme="minorHAnsi" w:hAnsiTheme="minorHAnsi" w:cstheme="minorHAnsi"/>
          <w:color w:val="222222"/>
        </w:rPr>
        <w:t xml:space="preserve"> sub</w:t>
      </w:r>
      <w:r w:rsidR="00AB4EA7">
        <w:rPr>
          <w:rFonts w:asciiTheme="minorHAnsi" w:hAnsiTheme="minorHAnsi" w:cstheme="minorHAnsi"/>
          <w:color w:val="222222"/>
        </w:rPr>
        <w:t>-</w:t>
      </w:r>
      <w:r w:rsidR="00BA702C">
        <w:rPr>
          <w:rFonts w:asciiTheme="minorHAnsi" w:hAnsiTheme="minorHAnsi" w:cstheme="minorHAnsi"/>
          <w:color w:val="222222"/>
        </w:rPr>
        <w:t xml:space="preserve">disciplines </w:t>
      </w:r>
      <w:r w:rsidR="00502080">
        <w:rPr>
          <w:rFonts w:asciiTheme="minorHAnsi" w:hAnsiTheme="minorHAnsi" w:cstheme="minorHAnsi"/>
          <w:color w:val="222222"/>
        </w:rPr>
        <w:t xml:space="preserve">in </w:t>
      </w:r>
      <w:r w:rsidR="00AB4EA7">
        <w:rPr>
          <w:rFonts w:asciiTheme="minorHAnsi" w:hAnsiTheme="minorHAnsi" w:cstheme="minorHAnsi"/>
          <w:color w:val="222222"/>
        </w:rPr>
        <w:t>international economic law.</w:t>
      </w:r>
      <w:r w:rsidR="00C4043A">
        <w:rPr>
          <w:rFonts w:asciiTheme="minorHAnsi" w:hAnsiTheme="minorHAnsi" w:cstheme="minorHAnsi"/>
          <w:color w:val="222222"/>
        </w:rPr>
        <w:t xml:space="preserve"> </w:t>
      </w:r>
      <w:r w:rsidR="00501A5D">
        <w:rPr>
          <w:rFonts w:asciiTheme="minorHAnsi" w:hAnsiTheme="minorHAnsi" w:cstheme="minorHAnsi"/>
          <w:color w:val="222222"/>
        </w:rPr>
        <w:t xml:space="preserve">The standing of non-human species rises </w:t>
      </w:r>
      <w:r w:rsidR="00AB4EA7">
        <w:rPr>
          <w:rFonts w:asciiTheme="minorHAnsi" w:hAnsiTheme="minorHAnsi" w:cstheme="minorHAnsi"/>
          <w:color w:val="222222"/>
        </w:rPr>
        <w:t xml:space="preserve">questions not dissimilar </w:t>
      </w:r>
      <w:r w:rsidR="00501A5D">
        <w:rPr>
          <w:rFonts w:asciiTheme="minorHAnsi" w:hAnsiTheme="minorHAnsi" w:cstheme="minorHAnsi"/>
          <w:color w:val="222222"/>
        </w:rPr>
        <w:t>to th</w:t>
      </w:r>
      <w:r w:rsidR="00AB4EA7">
        <w:rPr>
          <w:rFonts w:asciiTheme="minorHAnsi" w:hAnsiTheme="minorHAnsi" w:cstheme="minorHAnsi"/>
          <w:color w:val="222222"/>
        </w:rPr>
        <w:t>ose encountered by the</w:t>
      </w:r>
      <w:r w:rsidR="00501A5D">
        <w:rPr>
          <w:rFonts w:asciiTheme="minorHAnsi" w:hAnsiTheme="minorHAnsi" w:cstheme="minorHAnsi"/>
          <w:color w:val="222222"/>
        </w:rPr>
        <w:t xml:space="preserve"> international economic law scholar</w:t>
      </w:r>
      <w:r w:rsidR="00AB4EA7">
        <w:rPr>
          <w:rFonts w:asciiTheme="minorHAnsi" w:hAnsiTheme="minorHAnsi" w:cstheme="minorHAnsi"/>
          <w:color w:val="222222"/>
        </w:rPr>
        <w:t xml:space="preserve"> in respect of the standing of corporations and other private actors in international law.</w:t>
      </w:r>
      <w:r w:rsidR="00AB4EA7">
        <w:rPr>
          <w:rStyle w:val="FootnoteReference"/>
          <w:rFonts w:asciiTheme="minorHAnsi" w:hAnsiTheme="minorHAnsi" w:cstheme="minorHAnsi"/>
          <w:color w:val="222222"/>
        </w:rPr>
        <w:footnoteReference w:id="2"/>
      </w:r>
      <w:r w:rsidR="00AB4EA7">
        <w:rPr>
          <w:rFonts w:asciiTheme="minorHAnsi" w:hAnsiTheme="minorHAnsi" w:cstheme="minorHAnsi"/>
          <w:color w:val="222222"/>
        </w:rPr>
        <w:t xml:space="preserve">  C</w:t>
      </w:r>
      <w:r w:rsidR="00501A5D">
        <w:rPr>
          <w:rFonts w:asciiTheme="minorHAnsi" w:hAnsiTheme="minorHAnsi" w:cstheme="minorHAnsi"/>
          <w:color w:val="222222"/>
        </w:rPr>
        <w:t>ompanies are vested by national legal systems with legal personality and the ability to hold right</w:t>
      </w:r>
      <w:r w:rsidR="00A952F5">
        <w:rPr>
          <w:rFonts w:asciiTheme="minorHAnsi" w:hAnsiTheme="minorHAnsi" w:cstheme="minorHAnsi"/>
          <w:color w:val="222222"/>
        </w:rPr>
        <w:t>s while</w:t>
      </w:r>
      <w:r w:rsidR="00501A5D">
        <w:rPr>
          <w:rFonts w:asciiTheme="minorHAnsi" w:hAnsiTheme="minorHAnsi" w:cstheme="minorHAnsi"/>
          <w:color w:val="222222"/>
        </w:rPr>
        <w:t xml:space="preserve"> multinational corporations, </w:t>
      </w:r>
      <w:r w:rsidR="00A952F5">
        <w:rPr>
          <w:rFonts w:asciiTheme="minorHAnsi" w:hAnsiTheme="minorHAnsi" w:cstheme="minorHAnsi"/>
          <w:color w:val="222222"/>
        </w:rPr>
        <w:t xml:space="preserve">an entity not defined by national legal systems is nonetheless </w:t>
      </w:r>
      <w:r w:rsidR="00501A5D">
        <w:rPr>
          <w:rFonts w:asciiTheme="minorHAnsi" w:hAnsiTheme="minorHAnsi" w:cstheme="minorHAnsi"/>
          <w:color w:val="222222"/>
        </w:rPr>
        <w:t xml:space="preserve">also considered </w:t>
      </w:r>
      <w:r w:rsidR="00A952F5">
        <w:rPr>
          <w:rFonts w:asciiTheme="minorHAnsi" w:hAnsiTheme="minorHAnsi" w:cstheme="minorHAnsi"/>
          <w:color w:val="222222"/>
        </w:rPr>
        <w:t xml:space="preserve">a legal person </w:t>
      </w:r>
      <w:r w:rsidR="00501A5D">
        <w:rPr>
          <w:rFonts w:asciiTheme="minorHAnsi" w:hAnsiTheme="minorHAnsi" w:cstheme="minorHAnsi"/>
          <w:color w:val="222222"/>
        </w:rPr>
        <w:t>by a variety of procedural law</w:t>
      </w:r>
      <w:r w:rsidR="00A952F5">
        <w:rPr>
          <w:rFonts w:asciiTheme="minorHAnsi" w:hAnsiTheme="minorHAnsi" w:cstheme="minorHAnsi"/>
          <w:color w:val="222222"/>
        </w:rPr>
        <w:t>s</w:t>
      </w:r>
      <w:r w:rsidR="00501A5D">
        <w:rPr>
          <w:rFonts w:asciiTheme="minorHAnsi" w:hAnsiTheme="minorHAnsi" w:cstheme="minorHAnsi"/>
          <w:color w:val="222222"/>
        </w:rPr>
        <w:t>, resolutions and codes of conduct</w:t>
      </w:r>
      <w:r w:rsidR="00A952F5">
        <w:rPr>
          <w:rFonts w:asciiTheme="minorHAnsi" w:hAnsiTheme="minorHAnsi" w:cstheme="minorHAnsi"/>
          <w:color w:val="222222"/>
        </w:rPr>
        <w:t>.</w:t>
      </w:r>
      <w:r w:rsidR="00A952F5">
        <w:rPr>
          <w:rStyle w:val="FootnoteReference"/>
          <w:rFonts w:asciiTheme="minorHAnsi" w:hAnsiTheme="minorHAnsi" w:cstheme="minorHAnsi"/>
          <w:color w:val="222222"/>
        </w:rPr>
        <w:footnoteReference w:id="3"/>
      </w:r>
      <w:r w:rsidR="00502080">
        <w:rPr>
          <w:rFonts w:asciiTheme="minorHAnsi" w:hAnsiTheme="minorHAnsi" w:cstheme="minorHAnsi"/>
          <w:color w:val="222222"/>
        </w:rPr>
        <w:t xml:space="preserve"> Mining and extractive industries </w:t>
      </w:r>
      <w:r w:rsidR="00DD06E2">
        <w:rPr>
          <w:rFonts w:asciiTheme="minorHAnsi" w:hAnsiTheme="minorHAnsi" w:cstheme="minorHAnsi"/>
          <w:color w:val="222222"/>
        </w:rPr>
        <w:t xml:space="preserve">are considered in Part III of the Wild Judgements Project from the point of view of communities and climate change instead of </w:t>
      </w:r>
      <w:bookmarkStart w:id="0" w:name="_GoBack"/>
      <w:bookmarkEnd w:id="0"/>
      <w:r w:rsidR="00502080">
        <w:rPr>
          <w:rFonts w:asciiTheme="minorHAnsi" w:hAnsiTheme="minorHAnsi" w:cstheme="minorHAnsi"/>
          <w:color w:val="222222"/>
        </w:rPr>
        <w:t>from the perspective of foreign direct investment, public procurement or transparency and anticorruption law</w:t>
      </w:r>
      <w:r w:rsidR="00DD06E2">
        <w:rPr>
          <w:rFonts w:asciiTheme="minorHAnsi" w:hAnsiTheme="minorHAnsi" w:cstheme="minorHAnsi"/>
          <w:color w:val="222222"/>
        </w:rPr>
        <w:t>.</w:t>
      </w:r>
    </w:p>
    <w:p w:rsidR="00BA702C" w:rsidRDefault="00BA702C" w:rsidP="00963C1E">
      <w:pPr>
        <w:shd w:val="clear" w:color="auto" w:fill="FFFFFF"/>
        <w:rPr>
          <w:rFonts w:asciiTheme="minorHAnsi" w:hAnsiTheme="minorHAnsi" w:cstheme="minorHAnsi"/>
          <w:color w:val="222222"/>
        </w:rPr>
      </w:pPr>
    </w:p>
    <w:p w:rsidR="00E22358" w:rsidRDefault="00DB53D9" w:rsidP="00E769F0">
      <w:pPr>
        <w:shd w:val="clear" w:color="auto" w:fill="FFFFFF"/>
        <w:rPr>
          <w:rFonts w:asciiTheme="minorHAnsi" w:hAnsiTheme="minorHAnsi" w:cstheme="minorHAnsi"/>
          <w:color w:val="222222"/>
        </w:rPr>
      </w:pPr>
      <w:r w:rsidRPr="00D05EF2">
        <w:rPr>
          <w:rFonts w:asciiTheme="minorHAnsi" w:hAnsiTheme="minorHAnsi" w:cstheme="minorHAnsi"/>
          <w:color w:val="222222"/>
        </w:rPr>
        <w:t>In Rogers and Maloney edited collection some of the characteristics of the Feminist Judgements Project</w:t>
      </w:r>
      <w:r>
        <w:rPr>
          <w:rFonts w:asciiTheme="minorHAnsi" w:hAnsiTheme="minorHAnsi" w:cstheme="minorHAnsi"/>
          <w:color w:val="222222"/>
        </w:rPr>
        <w:t>(s)</w:t>
      </w:r>
      <w:r>
        <w:rPr>
          <w:rStyle w:val="FootnoteReference"/>
          <w:rFonts w:asciiTheme="minorHAnsi" w:hAnsiTheme="minorHAnsi" w:cstheme="minorHAnsi"/>
          <w:color w:val="222222"/>
        </w:rPr>
        <w:footnoteReference w:id="4"/>
      </w:r>
      <w:r w:rsidR="00C4043A">
        <w:rPr>
          <w:rFonts w:asciiTheme="minorHAnsi" w:hAnsiTheme="minorHAnsi" w:cstheme="minorHAnsi"/>
          <w:color w:val="222222"/>
        </w:rPr>
        <w:t xml:space="preserve"> -especially the Australian one,</w:t>
      </w:r>
      <w:r w:rsidR="00DD06E2">
        <w:rPr>
          <w:rStyle w:val="FootnoteReference"/>
          <w:rFonts w:asciiTheme="minorHAnsi" w:hAnsiTheme="minorHAnsi" w:cstheme="minorHAnsi"/>
          <w:color w:val="222222"/>
        </w:rPr>
        <w:footnoteReference w:id="5"/>
      </w:r>
      <w:r w:rsidRPr="00D05EF2">
        <w:rPr>
          <w:rFonts w:asciiTheme="minorHAnsi" w:hAnsiTheme="minorHAnsi" w:cstheme="minorHAnsi"/>
          <w:color w:val="222222"/>
        </w:rPr>
        <w:t xml:space="preserve"> are incorporated</w:t>
      </w:r>
      <w:r w:rsidR="00077166">
        <w:rPr>
          <w:rFonts w:asciiTheme="minorHAnsi" w:hAnsiTheme="minorHAnsi" w:cstheme="minorHAnsi"/>
          <w:color w:val="222222"/>
        </w:rPr>
        <w:t xml:space="preserve">; </w:t>
      </w:r>
      <w:r w:rsidRPr="00D05EF2">
        <w:rPr>
          <w:rFonts w:asciiTheme="minorHAnsi" w:hAnsiTheme="minorHAnsi" w:cstheme="minorHAnsi"/>
          <w:color w:val="222222"/>
        </w:rPr>
        <w:t xml:space="preserve">but </w:t>
      </w:r>
      <w:r>
        <w:rPr>
          <w:rFonts w:asciiTheme="minorHAnsi" w:hAnsiTheme="minorHAnsi" w:cstheme="minorHAnsi"/>
          <w:color w:val="222222"/>
        </w:rPr>
        <w:t>there are differences. The Wild Judgements project goes beyond</w:t>
      </w:r>
      <w:r w:rsidR="00C4043A">
        <w:rPr>
          <w:rFonts w:asciiTheme="minorHAnsi" w:hAnsiTheme="minorHAnsi" w:cstheme="minorHAnsi"/>
          <w:color w:val="222222"/>
        </w:rPr>
        <w:t xml:space="preserve"> the task</w:t>
      </w:r>
      <w:r>
        <w:rPr>
          <w:rFonts w:asciiTheme="minorHAnsi" w:hAnsiTheme="minorHAnsi" w:cstheme="minorHAnsi"/>
          <w:color w:val="222222"/>
        </w:rPr>
        <w:t xml:space="preserve"> interpreting existing legal provisions in a way that includes and respects interests and rights other than human.</w:t>
      </w:r>
      <w:r w:rsidR="00077166">
        <w:rPr>
          <w:rStyle w:val="FootnoteReference"/>
          <w:rFonts w:asciiTheme="minorHAnsi" w:hAnsiTheme="minorHAnsi" w:cstheme="minorHAnsi"/>
          <w:color w:val="222222"/>
        </w:rPr>
        <w:footnoteReference w:id="6"/>
      </w:r>
      <w:r>
        <w:rPr>
          <w:rFonts w:asciiTheme="minorHAnsi" w:hAnsiTheme="minorHAnsi" w:cstheme="minorHAnsi"/>
          <w:color w:val="222222"/>
        </w:rPr>
        <w:t xml:space="preserve"> It imagines new legislation based on the principles of Earth </w:t>
      </w:r>
      <w:r w:rsidR="00CF7DAE">
        <w:rPr>
          <w:rFonts w:asciiTheme="minorHAnsi" w:hAnsiTheme="minorHAnsi" w:cstheme="minorHAnsi"/>
          <w:color w:val="222222"/>
        </w:rPr>
        <w:t>Jurisprudence</w:t>
      </w:r>
      <w:r w:rsidR="00CF7DAE">
        <w:rPr>
          <w:rStyle w:val="FootnoteReference"/>
          <w:rFonts w:asciiTheme="minorHAnsi" w:hAnsiTheme="minorHAnsi" w:cstheme="minorHAnsi"/>
          <w:color w:val="222222"/>
        </w:rPr>
        <w:footnoteReference w:id="7"/>
      </w:r>
      <w:r>
        <w:rPr>
          <w:rFonts w:asciiTheme="minorHAnsi" w:hAnsiTheme="minorHAnsi" w:cstheme="minorHAnsi"/>
          <w:color w:val="222222"/>
        </w:rPr>
        <w:t xml:space="preserve"> or Wild law.</w:t>
      </w:r>
      <w:r>
        <w:rPr>
          <w:rStyle w:val="FootnoteReference"/>
          <w:rFonts w:asciiTheme="minorHAnsi" w:hAnsiTheme="minorHAnsi" w:cstheme="minorHAnsi"/>
          <w:color w:val="222222"/>
        </w:rPr>
        <w:footnoteReference w:id="8"/>
      </w:r>
      <w:r>
        <w:rPr>
          <w:rFonts w:asciiTheme="minorHAnsi" w:hAnsiTheme="minorHAnsi" w:cstheme="minorHAnsi"/>
          <w:color w:val="222222"/>
        </w:rPr>
        <w:t xml:space="preserve"> Elements of the nat</w:t>
      </w:r>
      <w:r w:rsidRPr="00D05EF2">
        <w:rPr>
          <w:rFonts w:asciiTheme="minorHAnsi" w:hAnsiTheme="minorHAnsi" w:cstheme="minorHAnsi"/>
          <w:color w:val="222222"/>
        </w:rPr>
        <w:t>u</w:t>
      </w:r>
      <w:r>
        <w:rPr>
          <w:rFonts w:asciiTheme="minorHAnsi" w:hAnsiTheme="minorHAnsi" w:cstheme="minorHAnsi"/>
          <w:color w:val="222222"/>
        </w:rPr>
        <w:t>ral world</w:t>
      </w:r>
      <w:r w:rsidRPr="00D05EF2">
        <w:rPr>
          <w:rFonts w:asciiTheme="minorHAnsi" w:hAnsiTheme="minorHAnsi" w:cstheme="minorHAnsi"/>
          <w:color w:val="222222"/>
        </w:rPr>
        <w:t xml:space="preserve"> are vested with</w:t>
      </w:r>
      <w:r>
        <w:rPr>
          <w:rFonts w:asciiTheme="minorHAnsi" w:hAnsiTheme="minorHAnsi" w:cstheme="minorHAnsi"/>
          <w:color w:val="222222"/>
        </w:rPr>
        <w:t xml:space="preserve"> legal personality</w:t>
      </w:r>
      <w:r w:rsidR="005D4BFE">
        <w:rPr>
          <w:rFonts w:asciiTheme="minorHAnsi" w:hAnsiTheme="minorHAnsi" w:cstheme="minorHAnsi"/>
          <w:color w:val="222222"/>
        </w:rPr>
        <w:t xml:space="preserve">: </w:t>
      </w:r>
      <w:r w:rsidR="005D4BFE" w:rsidRPr="00D05EF2">
        <w:rPr>
          <w:rFonts w:asciiTheme="minorHAnsi" w:hAnsiTheme="minorHAnsi" w:cstheme="minorHAnsi"/>
          <w:color w:val="222222"/>
        </w:rPr>
        <w:t xml:space="preserve">the </w:t>
      </w:r>
      <w:r w:rsidR="005D4BFE">
        <w:rPr>
          <w:rFonts w:asciiTheme="minorHAnsi" w:hAnsiTheme="minorHAnsi" w:cstheme="minorHAnsi"/>
          <w:color w:val="222222"/>
        </w:rPr>
        <w:t xml:space="preserve">green sea </w:t>
      </w:r>
      <w:r w:rsidR="005D4BFE" w:rsidRPr="00D05EF2">
        <w:rPr>
          <w:rFonts w:asciiTheme="minorHAnsi" w:hAnsiTheme="minorHAnsi" w:cstheme="minorHAnsi"/>
          <w:color w:val="222222"/>
        </w:rPr>
        <w:t>turtles</w:t>
      </w:r>
      <w:r w:rsidR="005D4BFE">
        <w:rPr>
          <w:rFonts w:asciiTheme="minorHAnsi" w:hAnsiTheme="minorHAnsi" w:cstheme="minorHAnsi"/>
          <w:color w:val="222222"/>
        </w:rPr>
        <w:t xml:space="preserve"> in chapter 3, the whole Great Barrier Reef in chapter 4 or </w:t>
      </w:r>
      <w:r w:rsidR="006D3DB2">
        <w:rPr>
          <w:rFonts w:asciiTheme="minorHAnsi" w:hAnsiTheme="minorHAnsi" w:cstheme="minorHAnsi"/>
          <w:color w:val="222222"/>
        </w:rPr>
        <w:t xml:space="preserve">seven </w:t>
      </w:r>
      <w:r w:rsidRPr="00D05EF2">
        <w:rPr>
          <w:rFonts w:asciiTheme="minorHAnsi" w:hAnsiTheme="minorHAnsi" w:cstheme="minorHAnsi"/>
          <w:color w:val="222222"/>
        </w:rPr>
        <w:t>lung fish</w:t>
      </w:r>
      <w:r w:rsidR="00E22358">
        <w:rPr>
          <w:rFonts w:asciiTheme="minorHAnsi" w:hAnsiTheme="minorHAnsi" w:cstheme="minorHAnsi"/>
          <w:color w:val="222222"/>
        </w:rPr>
        <w:t xml:space="preserve"> in chapter 5</w:t>
      </w:r>
      <w:r w:rsidR="00DD06E2">
        <w:rPr>
          <w:rFonts w:asciiTheme="minorHAnsi" w:hAnsiTheme="minorHAnsi" w:cstheme="minorHAnsi"/>
          <w:color w:val="222222"/>
        </w:rPr>
        <w:t>. ‘</w:t>
      </w:r>
      <w:r w:rsidR="006D3DB2">
        <w:rPr>
          <w:rFonts w:asciiTheme="minorHAnsi" w:hAnsiTheme="minorHAnsi" w:cstheme="minorHAnsi"/>
          <w:color w:val="222222"/>
        </w:rPr>
        <w:t>Country</w:t>
      </w:r>
      <w:r w:rsidR="00DD06E2">
        <w:rPr>
          <w:rFonts w:asciiTheme="minorHAnsi" w:hAnsiTheme="minorHAnsi" w:cstheme="minorHAnsi"/>
          <w:color w:val="222222"/>
        </w:rPr>
        <w:t>’</w:t>
      </w:r>
      <w:r w:rsidR="006D3DB2">
        <w:rPr>
          <w:rFonts w:asciiTheme="minorHAnsi" w:hAnsiTheme="minorHAnsi" w:cstheme="minorHAnsi"/>
          <w:color w:val="222222"/>
        </w:rPr>
        <w:t xml:space="preserve"> </w:t>
      </w:r>
      <w:r w:rsidR="00DD06E2">
        <w:rPr>
          <w:rFonts w:asciiTheme="minorHAnsi" w:hAnsiTheme="minorHAnsi" w:cstheme="minorHAnsi"/>
          <w:color w:val="222222"/>
        </w:rPr>
        <w:t xml:space="preserve">is vested with a new ‘ecological title’ with profound implications for the doctrine of public trust </w:t>
      </w:r>
      <w:r w:rsidR="006D3DB2">
        <w:rPr>
          <w:rFonts w:asciiTheme="minorHAnsi" w:hAnsiTheme="minorHAnsi" w:cstheme="minorHAnsi"/>
          <w:color w:val="222222"/>
        </w:rPr>
        <w:t xml:space="preserve">in chapter 15 where the </w:t>
      </w:r>
      <w:r w:rsidR="006D3DB2" w:rsidRPr="006D3DB2">
        <w:rPr>
          <w:rFonts w:asciiTheme="minorHAnsi" w:hAnsiTheme="minorHAnsi" w:cstheme="minorHAnsi"/>
          <w:i/>
          <w:color w:val="222222"/>
        </w:rPr>
        <w:t>Mabo</w:t>
      </w:r>
      <w:r w:rsidR="006D3DB2">
        <w:rPr>
          <w:rFonts w:asciiTheme="minorHAnsi" w:hAnsiTheme="minorHAnsi" w:cstheme="minorHAnsi"/>
          <w:color w:val="222222"/>
        </w:rPr>
        <w:t xml:space="preserve"> case</w:t>
      </w:r>
      <w:r w:rsidR="006D3DB2">
        <w:rPr>
          <w:rStyle w:val="FootnoteReference"/>
          <w:rFonts w:asciiTheme="minorHAnsi" w:hAnsiTheme="minorHAnsi" w:cstheme="minorHAnsi"/>
          <w:color w:val="222222"/>
        </w:rPr>
        <w:footnoteReference w:id="9"/>
      </w:r>
      <w:r w:rsidR="006D3DB2">
        <w:rPr>
          <w:rFonts w:asciiTheme="minorHAnsi" w:hAnsiTheme="minorHAnsi" w:cstheme="minorHAnsi"/>
          <w:color w:val="222222"/>
        </w:rPr>
        <w:t xml:space="preserve"> is rewritten</w:t>
      </w:r>
      <w:r w:rsidR="00DD06E2">
        <w:rPr>
          <w:rFonts w:asciiTheme="minorHAnsi" w:hAnsiTheme="minorHAnsi" w:cstheme="minorHAnsi"/>
          <w:color w:val="222222"/>
        </w:rPr>
        <w:t>.</w:t>
      </w:r>
      <w:r w:rsidR="006D3DB2">
        <w:rPr>
          <w:rFonts w:asciiTheme="minorHAnsi" w:hAnsiTheme="minorHAnsi" w:cstheme="minorHAnsi"/>
          <w:color w:val="222222"/>
        </w:rPr>
        <w:t xml:space="preserve"> The chapters </w:t>
      </w:r>
      <w:r w:rsidR="00DD06E2">
        <w:rPr>
          <w:rFonts w:asciiTheme="minorHAnsi" w:hAnsiTheme="minorHAnsi" w:cstheme="minorHAnsi"/>
          <w:color w:val="222222"/>
        </w:rPr>
        <w:t xml:space="preserve">of this collection </w:t>
      </w:r>
      <w:r w:rsidR="006D3DB2">
        <w:rPr>
          <w:rFonts w:asciiTheme="minorHAnsi" w:hAnsiTheme="minorHAnsi" w:cstheme="minorHAnsi"/>
          <w:color w:val="222222"/>
        </w:rPr>
        <w:t>bridge</w:t>
      </w:r>
      <w:r>
        <w:rPr>
          <w:rFonts w:asciiTheme="minorHAnsi" w:hAnsiTheme="minorHAnsi" w:cstheme="minorHAnsi"/>
          <w:color w:val="222222"/>
        </w:rPr>
        <w:t xml:space="preserve"> reality (</w:t>
      </w:r>
      <w:r w:rsidRPr="00D05EF2">
        <w:rPr>
          <w:rFonts w:asciiTheme="minorHAnsi" w:hAnsiTheme="minorHAnsi" w:cstheme="minorHAnsi"/>
          <w:color w:val="222222"/>
        </w:rPr>
        <w:t>existing cases that could have been interpreted differently</w:t>
      </w:r>
      <w:r w:rsidR="00784253">
        <w:rPr>
          <w:rFonts w:asciiTheme="minorHAnsi" w:hAnsiTheme="minorHAnsi" w:cstheme="minorHAnsi"/>
          <w:color w:val="222222"/>
        </w:rPr>
        <w:t xml:space="preserve"> like Mabo</w:t>
      </w:r>
      <w:r>
        <w:rPr>
          <w:rFonts w:asciiTheme="minorHAnsi" w:hAnsiTheme="minorHAnsi" w:cstheme="minorHAnsi"/>
          <w:color w:val="222222"/>
        </w:rPr>
        <w:t xml:space="preserve">) and fiction (imaginary cases </w:t>
      </w:r>
      <w:r w:rsidR="00784253">
        <w:rPr>
          <w:rFonts w:asciiTheme="minorHAnsi" w:hAnsiTheme="minorHAnsi" w:cstheme="minorHAnsi"/>
          <w:color w:val="222222"/>
        </w:rPr>
        <w:t xml:space="preserve">that </w:t>
      </w:r>
      <w:r>
        <w:rPr>
          <w:rFonts w:asciiTheme="minorHAnsi" w:hAnsiTheme="minorHAnsi" w:cstheme="minorHAnsi"/>
          <w:color w:val="222222"/>
        </w:rPr>
        <w:t>take place based on new legislation</w:t>
      </w:r>
      <w:r w:rsidR="00A035CF">
        <w:rPr>
          <w:rFonts w:asciiTheme="minorHAnsi" w:hAnsiTheme="minorHAnsi" w:cstheme="minorHAnsi"/>
          <w:color w:val="222222"/>
        </w:rPr>
        <w:t>)</w:t>
      </w:r>
      <w:r w:rsidR="00DD06E2">
        <w:rPr>
          <w:rFonts w:asciiTheme="minorHAnsi" w:hAnsiTheme="minorHAnsi" w:cstheme="minorHAnsi"/>
          <w:color w:val="222222"/>
        </w:rPr>
        <w:t>.</w:t>
      </w:r>
      <w:r w:rsidR="006D3DB2">
        <w:rPr>
          <w:rFonts w:asciiTheme="minorHAnsi" w:hAnsiTheme="minorHAnsi" w:cstheme="minorHAnsi"/>
          <w:color w:val="222222"/>
        </w:rPr>
        <w:t xml:space="preserve"> </w:t>
      </w:r>
      <w:r>
        <w:rPr>
          <w:rFonts w:asciiTheme="minorHAnsi" w:hAnsiTheme="minorHAnsi" w:cstheme="minorHAnsi"/>
          <w:color w:val="222222"/>
        </w:rPr>
        <w:t xml:space="preserve">The book in this respect </w:t>
      </w:r>
      <w:r w:rsidR="008E2742">
        <w:rPr>
          <w:rFonts w:asciiTheme="minorHAnsi" w:hAnsiTheme="minorHAnsi" w:cstheme="minorHAnsi"/>
          <w:color w:val="222222"/>
        </w:rPr>
        <w:t>imagines and aspires</w:t>
      </w:r>
      <w:r>
        <w:rPr>
          <w:rFonts w:asciiTheme="minorHAnsi" w:hAnsiTheme="minorHAnsi" w:cstheme="minorHAnsi"/>
          <w:color w:val="222222"/>
        </w:rPr>
        <w:t xml:space="preserve"> a </w:t>
      </w:r>
      <w:r w:rsidRPr="00D05EF2">
        <w:rPr>
          <w:rFonts w:asciiTheme="minorHAnsi" w:hAnsiTheme="minorHAnsi" w:cstheme="minorHAnsi"/>
          <w:color w:val="222222"/>
        </w:rPr>
        <w:t xml:space="preserve">new </w:t>
      </w:r>
      <w:r>
        <w:rPr>
          <w:rFonts w:asciiTheme="minorHAnsi" w:hAnsiTheme="minorHAnsi" w:cstheme="minorHAnsi"/>
          <w:color w:val="222222"/>
        </w:rPr>
        <w:t>legal space</w:t>
      </w:r>
      <w:r w:rsidRPr="00D05EF2">
        <w:rPr>
          <w:rFonts w:asciiTheme="minorHAnsi" w:hAnsiTheme="minorHAnsi" w:cstheme="minorHAnsi"/>
          <w:color w:val="222222"/>
        </w:rPr>
        <w:t xml:space="preserve"> </w:t>
      </w:r>
      <w:r w:rsidR="008E2742">
        <w:rPr>
          <w:rFonts w:asciiTheme="minorHAnsi" w:hAnsiTheme="minorHAnsi" w:cstheme="minorHAnsi"/>
          <w:color w:val="222222"/>
        </w:rPr>
        <w:t>where</w:t>
      </w:r>
      <w:r w:rsidR="00A035CF">
        <w:rPr>
          <w:rFonts w:asciiTheme="minorHAnsi" w:hAnsiTheme="minorHAnsi" w:cstheme="minorHAnsi"/>
          <w:color w:val="222222"/>
        </w:rPr>
        <w:t xml:space="preserve"> a </w:t>
      </w:r>
      <w:r w:rsidRPr="00D05EF2">
        <w:rPr>
          <w:rFonts w:asciiTheme="minorHAnsi" w:hAnsiTheme="minorHAnsi" w:cstheme="minorHAnsi"/>
          <w:color w:val="222222"/>
        </w:rPr>
        <w:t xml:space="preserve">different set of </w:t>
      </w:r>
      <w:r w:rsidR="00E22358">
        <w:rPr>
          <w:rFonts w:asciiTheme="minorHAnsi" w:hAnsiTheme="minorHAnsi" w:cstheme="minorHAnsi"/>
          <w:color w:val="222222"/>
        </w:rPr>
        <w:t>premises</w:t>
      </w:r>
      <w:r w:rsidRPr="00D05EF2">
        <w:rPr>
          <w:rFonts w:asciiTheme="minorHAnsi" w:hAnsiTheme="minorHAnsi" w:cstheme="minorHAnsi"/>
          <w:color w:val="222222"/>
        </w:rPr>
        <w:t xml:space="preserve">, principles and processes </w:t>
      </w:r>
      <w:r w:rsidR="00A035CF">
        <w:rPr>
          <w:rFonts w:asciiTheme="minorHAnsi" w:hAnsiTheme="minorHAnsi" w:cstheme="minorHAnsi"/>
          <w:color w:val="222222"/>
        </w:rPr>
        <w:t xml:space="preserve">that are created or developed </w:t>
      </w:r>
      <w:r w:rsidRPr="00D05EF2">
        <w:rPr>
          <w:rFonts w:asciiTheme="minorHAnsi" w:hAnsiTheme="minorHAnsi" w:cstheme="minorHAnsi"/>
          <w:color w:val="222222"/>
        </w:rPr>
        <w:t xml:space="preserve">under </w:t>
      </w:r>
      <w:r>
        <w:rPr>
          <w:rFonts w:asciiTheme="minorHAnsi" w:hAnsiTheme="minorHAnsi" w:cstheme="minorHAnsi"/>
          <w:color w:val="222222"/>
        </w:rPr>
        <w:t>a wild law jurispru</w:t>
      </w:r>
      <w:r w:rsidRPr="00D05EF2">
        <w:rPr>
          <w:rFonts w:asciiTheme="minorHAnsi" w:hAnsiTheme="minorHAnsi" w:cstheme="minorHAnsi"/>
          <w:color w:val="222222"/>
        </w:rPr>
        <w:t>dence</w:t>
      </w:r>
      <w:r w:rsidR="008E2742">
        <w:rPr>
          <w:rFonts w:asciiTheme="minorHAnsi" w:hAnsiTheme="minorHAnsi" w:cstheme="minorHAnsi"/>
          <w:color w:val="222222"/>
        </w:rPr>
        <w:t xml:space="preserve"> inform a different outcome in diverse situations</w:t>
      </w:r>
      <w:r w:rsidRPr="00D05EF2">
        <w:rPr>
          <w:rFonts w:asciiTheme="minorHAnsi" w:hAnsiTheme="minorHAnsi" w:cstheme="minorHAnsi"/>
          <w:color w:val="222222"/>
        </w:rPr>
        <w:t>.</w:t>
      </w:r>
      <w:r w:rsidR="00E769F0">
        <w:rPr>
          <w:rFonts w:asciiTheme="minorHAnsi" w:hAnsiTheme="minorHAnsi" w:cstheme="minorHAnsi"/>
          <w:color w:val="222222"/>
        </w:rPr>
        <w:t xml:space="preserve"> </w:t>
      </w:r>
      <w:r w:rsidR="006D3DB2">
        <w:rPr>
          <w:rFonts w:asciiTheme="minorHAnsi" w:hAnsiTheme="minorHAnsi" w:cstheme="minorHAnsi"/>
          <w:color w:val="222222"/>
        </w:rPr>
        <w:t xml:space="preserve">Rogers and Maloney themselves highlight what they see as the innovative </w:t>
      </w:r>
      <w:r w:rsidR="006D3DB2">
        <w:rPr>
          <w:rFonts w:asciiTheme="minorHAnsi" w:hAnsiTheme="minorHAnsi" w:cstheme="minorHAnsi"/>
          <w:color w:val="222222"/>
        </w:rPr>
        <w:lastRenderedPageBreak/>
        <w:t xml:space="preserve">approach of their project –‘the critique and reshaping of principle within a number </w:t>
      </w:r>
      <w:r w:rsidR="00CF7DAE">
        <w:rPr>
          <w:rFonts w:asciiTheme="minorHAnsi" w:hAnsiTheme="minorHAnsi" w:cstheme="minorHAnsi"/>
          <w:color w:val="222222"/>
        </w:rPr>
        <w:t>of different areas of law’.</w:t>
      </w:r>
      <w:r w:rsidR="00CF7DAE">
        <w:rPr>
          <w:rStyle w:val="FootnoteReference"/>
          <w:rFonts w:asciiTheme="minorHAnsi" w:hAnsiTheme="minorHAnsi" w:cstheme="minorHAnsi"/>
          <w:color w:val="222222"/>
        </w:rPr>
        <w:footnoteReference w:id="10"/>
      </w:r>
    </w:p>
    <w:p w:rsidR="00E22358" w:rsidRDefault="00E22358" w:rsidP="00E769F0">
      <w:pPr>
        <w:shd w:val="clear" w:color="auto" w:fill="FFFFFF"/>
        <w:rPr>
          <w:rFonts w:asciiTheme="minorHAnsi" w:hAnsiTheme="minorHAnsi" w:cstheme="minorHAnsi"/>
          <w:color w:val="222222"/>
        </w:rPr>
      </w:pPr>
    </w:p>
    <w:p w:rsidR="00E22358" w:rsidRDefault="00784253" w:rsidP="00E22358">
      <w:pPr>
        <w:shd w:val="clear" w:color="auto" w:fill="FFFFFF"/>
        <w:rPr>
          <w:rFonts w:asciiTheme="minorHAnsi" w:hAnsiTheme="minorHAnsi" w:cstheme="minorHAnsi"/>
        </w:rPr>
      </w:pPr>
      <w:r>
        <w:rPr>
          <w:rFonts w:asciiTheme="minorHAnsi" w:hAnsiTheme="minorHAnsi" w:cstheme="minorHAnsi"/>
          <w:color w:val="222222"/>
        </w:rPr>
        <w:t>It is important to keep in mind that developments that would have been considered unrealistic legal fiction some years ago</w:t>
      </w:r>
      <w:r w:rsidR="00E22358">
        <w:rPr>
          <w:rFonts w:asciiTheme="minorHAnsi" w:hAnsiTheme="minorHAnsi" w:cstheme="minorHAnsi"/>
          <w:color w:val="222222"/>
        </w:rPr>
        <w:t xml:space="preserve"> are slowly becoming a reality in some jurisdictions. </w:t>
      </w:r>
      <w:r w:rsidR="00E769F0">
        <w:rPr>
          <w:rFonts w:asciiTheme="minorHAnsi" w:hAnsiTheme="minorHAnsi" w:cstheme="minorHAnsi"/>
          <w:color w:val="222222"/>
        </w:rPr>
        <w:t>In M</w:t>
      </w:r>
      <w:r w:rsidR="00E769F0" w:rsidRPr="00D05EF2">
        <w:rPr>
          <w:rFonts w:asciiTheme="minorHAnsi" w:hAnsiTheme="minorHAnsi" w:cstheme="minorHAnsi"/>
        </w:rPr>
        <w:t>arch 2017 New Zealand passed legislation acknowledging the legal personality</w:t>
      </w:r>
      <w:r w:rsidR="00E769F0">
        <w:rPr>
          <w:rFonts w:asciiTheme="minorHAnsi" w:hAnsiTheme="minorHAnsi" w:cstheme="minorHAnsi"/>
        </w:rPr>
        <w:t xml:space="preserve"> of the</w:t>
      </w:r>
      <w:r w:rsidR="00E769F0" w:rsidRPr="00D05EF2">
        <w:rPr>
          <w:rFonts w:asciiTheme="minorHAnsi" w:hAnsiTheme="minorHAnsi" w:cstheme="minorHAnsi"/>
        </w:rPr>
        <w:t xml:space="preserve"> Whanganui River catchment</w:t>
      </w:r>
      <w:r w:rsidR="00E769F0">
        <w:rPr>
          <w:rFonts w:asciiTheme="minorHAnsi" w:hAnsiTheme="minorHAnsi" w:cstheme="minorHAnsi"/>
        </w:rPr>
        <w:t>,</w:t>
      </w:r>
      <w:r w:rsidR="00E769F0">
        <w:rPr>
          <w:rStyle w:val="FootnoteReference"/>
          <w:rFonts w:asciiTheme="minorHAnsi" w:hAnsiTheme="minorHAnsi" w:cstheme="minorHAnsi"/>
        </w:rPr>
        <w:footnoteReference w:id="11"/>
      </w:r>
      <w:r w:rsidR="00E769F0" w:rsidRPr="00D05EF2">
        <w:rPr>
          <w:rFonts w:asciiTheme="minorHAnsi" w:hAnsiTheme="minorHAnsi" w:cstheme="minorHAnsi"/>
        </w:rPr>
        <w:t xml:space="preserve"> </w:t>
      </w:r>
      <w:r w:rsidR="00E769F0">
        <w:rPr>
          <w:rFonts w:asciiTheme="minorHAnsi" w:hAnsiTheme="minorHAnsi" w:cstheme="minorHAnsi"/>
        </w:rPr>
        <w:t>the Bolivian</w:t>
      </w:r>
      <w:r w:rsidR="008E2742">
        <w:rPr>
          <w:rStyle w:val="FootnoteReference"/>
          <w:rFonts w:asciiTheme="minorHAnsi" w:hAnsiTheme="minorHAnsi" w:cstheme="minorHAnsi"/>
        </w:rPr>
        <w:footnoteReference w:id="12"/>
      </w:r>
      <w:r w:rsidR="008E2742">
        <w:rPr>
          <w:rFonts w:asciiTheme="minorHAnsi" w:hAnsiTheme="minorHAnsi" w:cstheme="minorHAnsi"/>
        </w:rPr>
        <w:t xml:space="preserve"> </w:t>
      </w:r>
      <w:r w:rsidR="00E769F0">
        <w:rPr>
          <w:rFonts w:asciiTheme="minorHAnsi" w:hAnsiTheme="minorHAnsi" w:cstheme="minorHAnsi"/>
        </w:rPr>
        <w:t xml:space="preserve"> and </w:t>
      </w:r>
      <w:r w:rsidR="00E22358">
        <w:rPr>
          <w:rFonts w:asciiTheme="minorHAnsi" w:hAnsiTheme="minorHAnsi" w:cstheme="minorHAnsi"/>
        </w:rPr>
        <w:t>Ecuadorian</w:t>
      </w:r>
      <w:r w:rsidR="008E2742">
        <w:rPr>
          <w:rStyle w:val="FootnoteReference"/>
          <w:rFonts w:asciiTheme="minorHAnsi" w:hAnsiTheme="minorHAnsi" w:cstheme="minorHAnsi"/>
        </w:rPr>
        <w:footnoteReference w:id="13"/>
      </w:r>
      <w:r w:rsidR="00E769F0">
        <w:rPr>
          <w:rFonts w:asciiTheme="minorHAnsi" w:hAnsiTheme="minorHAnsi" w:cstheme="minorHAnsi"/>
        </w:rPr>
        <w:t xml:space="preserve"> Constitutions </w:t>
      </w:r>
      <w:r w:rsidR="00E22358">
        <w:rPr>
          <w:rFonts w:asciiTheme="minorHAnsi" w:hAnsiTheme="minorHAnsi" w:cstheme="minorHAnsi"/>
        </w:rPr>
        <w:t xml:space="preserve">have </w:t>
      </w:r>
      <w:r w:rsidR="00E769F0">
        <w:rPr>
          <w:rFonts w:asciiTheme="minorHAnsi" w:hAnsiTheme="minorHAnsi" w:cstheme="minorHAnsi"/>
        </w:rPr>
        <w:t>recognise</w:t>
      </w:r>
      <w:r w:rsidR="00BF10B1">
        <w:rPr>
          <w:rFonts w:asciiTheme="minorHAnsi" w:hAnsiTheme="minorHAnsi" w:cstheme="minorHAnsi"/>
        </w:rPr>
        <w:t>d</w:t>
      </w:r>
      <w:r w:rsidR="00E769F0">
        <w:rPr>
          <w:rFonts w:asciiTheme="minorHAnsi" w:hAnsiTheme="minorHAnsi" w:cstheme="minorHAnsi"/>
        </w:rPr>
        <w:t xml:space="preserve"> Mother Earth as a holde</w:t>
      </w:r>
      <w:r w:rsidR="00E22358">
        <w:rPr>
          <w:rFonts w:asciiTheme="minorHAnsi" w:hAnsiTheme="minorHAnsi" w:cstheme="minorHAnsi"/>
        </w:rPr>
        <w:t>r of rights and a legal subject.</w:t>
      </w:r>
      <w:r w:rsidR="00E769F0">
        <w:rPr>
          <w:rFonts w:asciiTheme="minorHAnsi" w:hAnsiTheme="minorHAnsi" w:cstheme="minorHAnsi"/>
        </w:rPr>
        <w:t xml:space="preserve"> </w:t>
      </w:r>
      <w:r w:rsidR="00E22358">
        <w:rPr>
          <w:rFonts w:asciiTheme="minorHAnsi" w:hAnsiTheme="minorHAnsi" w:cstheme="minorHAnsi"/>
        </w:rPr>
        <w:t>I</w:t>
      </w:r>
      <w:r w:rsidR="00E769F0">
        <w:rPr>
          <w:rFonts w:asciiTheme="minorHAnsi" w:hAnsiTheme="minorHAnsi" w:cstheme="minorHAnsi"/>
        </w:rPr>
        <w:t>n India</w:t>
      </w:r>
      <w:r w:rsidR="00E22358">
        <w:rPr>
          <w:rFonts w:asciiTheme="minorHAnsi" w:hAnsiTheme="minorHAnsi" w:cstheme="minorHAnsi"/>
        </w:rPr>
        <w:t>,</w:t>
      </w:r>
      <w:r w:rsidR="00E769F0">
        <w:rPr>
          <w:rFonts w:asciiTheme="minorHAnsi" w:hAnsiTheme="minorHAnsi" w:cstheme="minorHAnsi"/>
        </w:rPr>
        <w:t xml:space="preserve"> the Ganges and </w:t>
      </w:r>
      <w:proofErr w:type="spellStart"/>
      <w:r w:rsidR="00E769F0">
        <w:rPr>
          <w:rFonts w:asciiTheme="minorHAnsi" w:hAnsiTheme="minorHAnsi" w:cstheme="minorHAnsi"/>
        </w:rPr>
        <w:t>Yarmuna</w:t>
      </w:r>
      <w:proofErr w:type="spellEnd"/>
      <w:r w:rsidR="00E769F0">
        <w:rPr>
          <w:rFonts w:asciiTheme="minorHAnsi" w:hAnsiTheme="minorHAnsi" w:cstheme="minorHAnsi"/>
        </w:rPr>
        <w:t xml:space="preserve"> rivers have bee</w:t>
      </w:r>
      <w:r w:rsidR="00E22358">
        <w:rPr>
          <w:rFonts w:asciiTheme="minorHAnsi" w:hAnsiTheme="minorHAnsi" w:cstheme="minorHAnsi"/>
        </w:rPr>
        <w:t>n vested with legal personality in an attempt to curb pollution.</w:t>
      </w:r>
      <w:r w:rsidR="00E22358">
        <w:rPr>
          <w:rStyle w:val="FootnoteReference"/>
          <w:rFonts w:asciiTheme="minorHAnsi" w:hAnsiTheme="minorHAnsi" w:cstheme="minorHAnsi"/>
        </w:rPr>
        <w:footnoteReference w:id="14"/>
      </w:r>
      <w:r w:rsidR="00E22358">
        <w:rPr>
          <w:rFonts w:asciiTheme="minorHAnsi" w:hAnsiTheme="minorHAnsi" w:cstheme="minorHAnsi"/>
        </w:rPr>
        <w:t xml:space="preserve">  </w:t>
      </w:r>
      <w:r w:rsidR="005D4BFE">
        <w:rPr>
          <w:rFonts w:asciiTheme="minorHAnsi" w:hAnsiTheme="minorHAnsi" w:cstheme="minorHAnsi"/>
        </w:rPr>
        <w:t>Trees, to paraphrase Christ</w:t>
      </w:r>
      <w:r w:rsidR="00CF7DAE">
        <w:rPr>
          <w:rFonts w:asciiTheme="minorHAnsi" w:hAnsiTheme="minorHAnsi" w:cstheme="minorHAnsi"/>
        </w:rPr>
        <w:t>opher Stone, do indee</w:t>
      </w:r>
      <w:r w:rsidR="005D4BFE">
        <w:rPr>
          <w:rFonts w:asciiTheme="minorHAnsi" w:hAnsiTheme="minorHAnsi" w:cstheme="minorHAnsi"/>
        </w:rPr>
        <w:t>d have standing.</w:t>
      </w:r>
      <w:r w:rsidR="005D4BFE">
        <w:rPr>
          <w:rStyle w:val="FootnoteReference"/>
          <w:rFonts w:asciiTheme="minorHAnsi" w:hAnsiTheme="minorHAnsi" w:cstheme="minorHAnsi"/>
        </w:rPr>
        <w:footnoteReference w:id="15"/>
      </w:r>
      <w:r w:rsidR="00CF7DAE">
        <w:rPr>
          <w:rFonts w:asciiTheme="minorHAnsi" w:hAnsiTheme="minorHAnsi" w:cstheme="minorHAnsi"/>
        </w:rPr>
        <w:t xml:space="preserve"> </w:t>
      </w:r>
      <w:r w:rsidR="005D4BFE">
        <w:rPr>
          <w:rFonts w:asciiTheme="minorHAnsi" w:hAnsiTheme="minorHAnsi" w:cstheme="minorHAnsi"/>
        </w:rPr>
        <w:t>As xx remarked by “</w:t>
      </w:r>
      <w:r w:rsidR="00CF7DAE">
        <w:rPr>
          <w:rFonts w:asciiTheme="minorHAnsi" w:hAnsiTheme="minorHAnsi" w:cstheme="minorHAnsi"/>
        </w:rPr>
        <w:t>O</w:t>
      </w:r>
      <w:r w:rsidR="005D4BFE">
        <w:rPr>
          <w:rFonts w:asciiTheme="minorHAnsi" w:hAnsiTheme="minorHAnsi" w:cstheme="minorHAnsi"/>
        </w:rPr>
        <w:t>nce something becomes law, it becomes actionable and enforceable. Shortly afterwards, it becomes “common sense”.’</w:t>
      </w:r>
    </w:p>
    <w:p w:rsidR="00E22358" w:rsidRDefault="00E22358" w:rsidP="00E22358">
      <w:pPr>
        <w:shd w:val="clear" w:color="auto" w:fill="FFFFFF"/>
        <w:rPr>
          <w:rFonts w:asciiTheme="minorHAnsi" w:hAnsiTheme="minorHAnsi" w:cstheme="minorHAnsi"/>
        </w:rPr>
      </w:pPr>
    </w:p>
    <w:p w:rsidR="00E769F0" w:rsidRDefault="00E22358" w:rsidP="00E81CC3">
      <w:pPr>
        <w:rPr>
          <w:rFonts w:asciiTheme="minorHAnsi" w:hAnsiTheme="minorHAnsi" w:cstheme="minorHAnsi"/>
          <w:color w:val="222222"/>
        </w:rPr>
      </w:pPr>
      <w:r>
        <w:rPr>
          <w:rFonts w:asciiTheme="minorHAnsi" w:hAnsiTheme="minorHAnsi" w:cstheme="minorHAnsi"/>
          <w:color w:val="222222"/>
        </w:rPr>
        <w:t xml:space="preserve">However </w:t>
      </w:r>
      <w:r w:rsidRPr="00D05EF2">
        <w:rPr>
          <w:rFonts w:asciiTheme="minorHAnsi" w:hAnsiTheme="minorHAnsi" w:cstheme="minorHAnsi"/>
          <w:color w:val="222222"/>
        </w:rPr>
        <w:t>for all efforts to break</w:t>
      </w:r>
      <w:r>
        <w:rPr>
          <w:rFonts w:asciiTheme="minorHAnsi" w:hAnsiTheme="minorHAnsi" w:cstheme="minorHAnsi"/>
          <w:color w:val="222222"/>
        </w:rPr>
        <w:t xml:space="preserve"> from </w:t>
      </w:r>
      <w:r w:rsidRPr="00D05EF2">
        <w:rPr>
          <w:rFonts w:asciiTheme="minorHAnsi" w:hAnsiTheme="minorHAnsi" w:cstheme="minorHAnsi"/>
          <w:color w:val="222222"/>
        </w:rPr>
        <w:t xml:space="preserve"> the Cartesian mind/matter dichotomy, the binary choice between </w:t>
      </w:r>
      <w:r>
        <w:rPr>
          <w:rFonts w:asciiTheme="minorHAnsi" w:hAnsiTheme="minorHAnsi" w:cstheme="minorHAnsi"/>
          <w:color w:val="222222"/>
        </w:rPr>
        <w:t>‘</w:t>
      </w:r>
      <w:r w:rsidRPr="00D05EF2">
        <w:rPr>
          <w:rFonts w:asciiTheme="minorHAnsi" w:hAnsiTheme="minorHAnsi" w:cstheme="minorHAnsi"/>
          <w:color w:val="222222"/>
        </w:rPr>
        <w:t>us</w:t>
      </w:r>
      <w:r>
        <w:rPr>
          <w:rFonts w:asciiTheme="minorHAnsi" w:hAnsiTheme="minorHAnsi" w:cstheme="minorHAnsi"/>
          <w:color w:val="222222"/>
        </w:rPr>
        <w:t>’</w:t>
      </w:r>
      <w:r w:rsidRPr="00D05EF2">
        <w:rPr>
          <w:rFonts w:asciiTheme="minorHAnsi" w:hAnsiTheme="minorHAnsi" w:cstheme="minorHAnsi"/>
          <w:color w:val="222222"/>
        </w:rPr>
        <w:t xml:space="preserve"> as rational law making/holding/entitled</w:t>
      </w:r>
      <w:r>
        <w:rPr>
          <w:rFonts w:asciiTheme="minorHAnsi" w:hAnsiTheme="minorHAnsi" w:cstheme="minorHAnsi"/>
          <w:color w:val="222222"/>
        </w:rPr>
        <w:t xml:space="preserve"> </w:t>
      </w:r>
      <w:r w:rsidRPr="00D05EF2">
        <w:rPr>
          <w:rFonts w:asciiTheme="minorHAnsi" w:hAnsiTheme="minorHAnsi" w:cstheme="minorHAnsi"/>
          <w:color w:val="222222"/>
        </w:rPr>
        <w:t xml:space="preserve">beings </w:t>
      </w:r>
      <w:r>
        <w:rPr>
          <w:rFonts w:asciiTheme="minorHAnsi" w:hAnsiTheme="minorHAnsi" w:cstheme="minorHAnsi"/>
          <w:color w:val="222222"/>
        </w:rPr>
        <w:t xml:space="preserve">and 'them'  as the natural, ecological other, law remains a human construct and this is where the flaws of the project </w:t>
      </w:r>
      <w:r w:rsidR="002875D1">
        <w:rPr>
          <w:rFonts w:asciiTheme="minorHAnsi" w:hAnsiTheme="minorHAnsi" w:cstheme="minorHAnsi"/>
          <w:color w:val="222222"/>
        </w:rPr>
        <w:t>slowly rise to the surface</w:t>
      </w:r>
      <w:r>
        <w:rPr>
          <w:rFonts w:asciiTheme="minorHAnsi" w:hAnsiTheme="minorHAnsi" w:cstheme="minorHAnsi"/>
          <w:color w:val="222222"/>
        </w:rPr>
        <w:t xml:space="preserve">. </w:t>
      </w:r>
      <w:r w:rsidRPr="00D05EF2">
        <w:rPr>
          <w:rFonts w:asciiTheme="minorHAnsi" w:hAnsiTheme="minorHAnsi" w:cstheme="minorHAnsi"/>
          <w:color w:val="222222"/>
        </w:rPr>
        <w:t xml:space="preserve">Rogers and Maloney acknowledge this </w:t>
      </w:r>
      <w:r>
        <w:rPr>
          <w:rFonts w:asciiTheme="minorHAnsi" w:hAnsiTheme="minorHAnsi" w:cstheme="minorHAnsi"/>
          <w:color w:val="222222"/>
        </w:rPr>
        <w:t xml:space="preserve">handicap </w:t>
      </w:r>
      <w:r w:rsidRPr="00D05EF2">
        <w:rPr>
          <w:rFonts w:asciiTheme="minorHAnsi" w:hAnsiTheme="minorHAnsi" w:cstheme="minorHAnsi"/>
          <w:color w:val="222222"/>
        </w:rPr>
        <w:t>in the introduction</w:t>
      </w:r>
      <w:r w:rsidR="002875D1">
        <w:rPr>
          <w:rFonts w:asciiTheme="minorHAnsi" w:hAnsiTheme="minorHAnsi" w:cstheme="minorHAnsi"/>
          <w:color w:val="222222"/>
        </w:rPr>
        <w:t>, but these become apparent in several contributions.</w:t>
      </w:r>
      <w:r>
        <w:rPr>
          <w:rFonts w:asciiTheme="minorHAnsi" w:hAnsiTheme="minorHAnsi" w:cstheme="minorHAnsi"/>
          <w:color w:val="222222"/>
        </w:rPr>
        <w:t xml:space="preserve"> </w:t>
      </w:r>
      <w:r w:rsidR="003B3CB8">
        <w:rPr>
          <w:rFonts w:asciiTheme="minorHAnsi" w:hAnsiTheme="minorHAnsi" w:cstheme="minorHAnsi"/>
          <w:color w:val="383838"/>
          <w:shd w:val="clear" w:color="auto" w:fill="FFFFFF"/>
        </w:rPr>
        <w:t>T</w:t>
      </w:r>
      <w:r w:rsidR="003B3CB8" w:rsidRPr="00D05EF2">
        <w:rPr>
          <w:rFonts w:asciiTheme="minorHAnsi" w:hAnsiTheme="minorHAnsi" w:cstheme="minorHAnsi"/>
          <w:color w:val="383838"/>
          <w:shd w:val="clear" w:color="auto" w:fill="FFFFFF"/>
        </w:rPr>
        <w:t>he complexity, novelty and potential implications of this fascinating and urg</w:t>
      </w:r>
      <w:r w:rsidR="003B3CB8">
        <w:rPr>
          <w:rFonts w:asciiTheme="minorHAnsi" w:hAnsiTheme="minorHAnsi" w:cstheme="minorHAnsi"/>
          <w:color w:val="383838"/>
          <w:shd w:val="clear" w:color="auto" w:fill="FFFFFF"/>
        </w:rPr>
        <w:t xml:space="preserve">ent subject are not always successfully captured by the collection. </w:t>
      </w:r>
      <w:r w:rsidR="003B3CB8" w:rsidRPr="00D05EF2">
        <w:rPr>
          <w:rFonts w:asciiTheme="minorHAnsi" w:hAnsiTheme="minorHAnsi" w:cstheme="minorHAnsi"/>
          <w:color w:val="383838"/>
          <w:shd w:val="clear" w:color="auto" w:fill="FFFFFF"/>
        </w:rPr>
        <w:t xml:space="preserve">While the introduction is </w:t>
      </w:r>
      <w:r w:rsidR="003B3CB8">
        <w:rPr>
          <w:rFonts w:asciiTheme="minorHAnsi" w:hAnsiTheme="minorHAnsi" w:cstheme="minorHAnsi"/>
          <w:color w:val="383838"/>
          <w:shd w:val="clear" w:color="auto" w:fill="FFFFFF"/>
        </w:rPr>
        <w:t xml:space="preserve">well calibrated and </w:t>
      </w:r>
      <w:r w:rsidR="003B3CB8" w:rsidRPr="00D05EF2">
        <w:rPr>
          <w:rFonts w:asciiTheme="minorHAnsi" w:hAnsiTheme="minorHAnsi" w:cstheme="minorHAnsi"/>
          <w:color w:val="383838"/>
          <w:shd w:val="clear" w:color="auto" w:fill="FFFFFF"/>
        </w:rPr>
        <w:t>promising</w:t>
      </w:r>
      <w:r w:rsidR="003B3CB8">
        <w:rPr>
          <w:rFonts w:asciiTheme="minorHAnsi" w:hAnsiTheme="minorHAnsi" w:cstheme="minorHAnsi"/>
          <w:color w:val="383838"/>
          <w:shd w:val="clear" w:color="auto" w:fill="FFFFFF"/>
        </w:rPr>
        <w:t>,</w:t>
      </w:r>
      <w:r w:rsidR="003B3CB8" w:rsidRPr="00D05EF2">
        <w:rPr>
          <w:rFonts w:asciiTheme="minorHAnsi" w:hAnsiTheme="minorHAnsi" w:cstheme="minorHAnsi"/>
          <w:color w:val="383838"/>
          <w:shd w:val="clear" w:color="auto" w:fill="FFFFFF"/>
        </w:rPr>
        <w:t xml:space="preserve"> the judgements and the analys</w:t>
      </w:r>
      <w:r w:rsidR="003B3CB8">
        <w:rPr>
          <w:rFonts w:asciiTheme="minorHAnsi" w:hAnsiTheme="minorHAnsi" w:cstheme="minorHAnsi"/>
          <w:color w:val="383838"/>
          <w:shd w:val="clear" w:color="auto" w:fill="FFFFFF"/>
        </w:rPr>
        <w:t>i</w:t>
      </w:r>
      <w:r w:rsidR="003B3CB8" w:rsidRPr="00D05EF2">
        <w:rPr>
          <w:rFonts w:asciiTheme="minorHAnsi" w:hAnsiTheme="minorHAnsi" w:cstheme="minorHAnsi"/>
          <w:color w:val="383838"/>
          <w:shd w:val="clear" w:color="auto" w:fill="FFFFFF"/>
        </w:rPr>
        <w:t xml:space="preserve">s around </w:t>
      </w:r>
      <w:r w:rsidR="003B3CB8">
        <w:rPr>
          <w:rFonts w:asciiTheme="minorHAnsi" w:hAnsiTheme="minorHAnsi" w:cstheme="minorHAnsi"/>
          <w:color w:val="383838"/>
          <w:shd w:val="clear" w:color="auto" w:fill="FFFFFF"/>
        </w:rPr>
        <w:t>some of the subjects and issues is somehow</w:t>
      </w:r>
      <w:r w:rsidR="003B3CB8" w:rsidRPr="00D05EF2">
        <w:rPr>
          <w:rFonts w:asciiTheme="minorHAnsi" w:hAnsiTheme="minorHAnsi" w:cstheme="minorHAnsi"/>
          <w:color w:val="383838"/>
          <w:shd w:val="clear" w:color="auto" w:fill="FFFFFF"/>
        </w:rPr>
        <w:t xml:space="preserve"> bland</w:t>
      </w:r>
      <w:r w:rsidR="003B3CB8">
        <w:rPr>
          <w:rFonts w:asciiTheme="minorHAnsi" w:hAnsiTheme="minorHAnsi" w:cstheme="minorHAnsi"/>
          <w:color w:val="383838"/>
          <w:shd w:val="clear" w:color="auto" w:fill="FFFFFF"/>
        </w:rPr>
        <w:t>. P</w:t>
      </w:r>
      <w:r w:rsidR="003B3CB8" w:rsidRPr="00D05EF2">
        <w:rPr>
          <w:rFonts w:asciiTheme="minorHAnsi" w:hAnsiTheme="minorHAnsi" w:cstheme="minorHAnsi"/>
          <w:color w:val="383838"/>
          <w:shd w:val="clear" w:color="auto" w:fill="FFFFFF"/>
        </w:rPr>
        <w:t>ressing questions of legal personh</w:t>
      </w:r>
      <w:r w:rsidR="003B3CB8">
        <w:rPr>
          <w:rFonts w:asciiTheme="minorHAnsi" w:hAnsiTheme="minorHAnsi" w:cstheme="minorHAnsi"/>
          <w:color w:val="383838"/>
          <w:shd w:val="clear" w:color="auto" w:fill="FFFFFF"/>
        </w:rPr>
        <w:t xml:space="preserve">ood in the context of nature, </w:t>
      </w:r>
      <w:r w:rsidR="003B3CB8" w:rsidRPr="00D05EF2">
        <w:rPr>
          <w:rFonts w:asciiTheme="minorHAnsi" w:hAnsiTheme="minorHAnsi" w:cstheme="minorHAnsi"/>
          <w:color w:val="383838"/>
          <w:shd w:val="clear" w:color="auto" w:fill="FFFFFF"/>
        </w:rPr>
        <w:t>representation and the abrogation of guardianship</w:t>
      </w:r>
      <w:r w:rsidR="003B3CB8">
        <w:rPr>
          <w:rFonts w:asciiTheme="minorHAnsi" w:hAnsiTheme="minorHAnsi" w:cstheme="minorHAnsi"/>
          <w:color w:val="383838"/>
          <w:shd w:val="clear" w:color="auto" w:fill="FFFFFF"/>
        </w:rPr>
        <w:t xml:space="preserve"> are not sufficiently supported by theoretical analysis</w:t>
      </w:r>
      <w:r w:rsidR="003B3CB8" w:rsidRPr="00D05EF2">
        <w:rPr>
          <w:rFonts w:asciiTheme="minorHAnsi" w:hAnsiTheme="minorHAnsi" w:cstheme="minorHAnsi"/>
          <w:color w:val="383838"/>
          <w:shd w:val="clear" w:color="auto" w:fill="FFFFFF"/>
        </w:rPr>
        <w:t>. The public trust doctrine</w:t>
      </w:r>
      <w:r w:rsidR="003B3CB8">
        <w:rPr>
          <w:rFonts w:asciiTheme="minorHAnsi" w:hAnsiTheme="minorHAnsi" w:cstheme="minorHAnsi"/>
          <w:color w:val="383838"/>
          <w:shd w:val="clear" w:color="auto" w:fill="FFFFFF"/>
        </w:rPr>
        <w:t>, for example,</w:t>
      </w:r>
      <w:r w:rsidR="003B3CB8" w:rsidRPr="00D05EF2">
        <w:rPr>
          <w:rFonts w:asciiTheme="minorHAnsi" w:hAnsiTheme="minorHAnsi" w:cstheme="minorHAnsi"/>
          <w:color w:val="383838"/>
          <w:shd w:val="clear" w:color="auto" w:fill="FFFFFF"/>
        </w:rPr>
        <w:t xml:space="preserve"> is me</w:t>
      </w:r>
      <w:r w:rsidR="003B3CB8">
        <w:rPr>
          <w:rFonts w:asciiTheme="minorHAnsi" w:hAnsiTheme="minorHAnsi" w:cstheme="minorHAnsi"/>
          <w:color w:val="383838"/>
          <w:shd w:val="clear" w:color="auto" w:fill="FFFFFF"/>
        </w:rPr>
        <w:t>ntioned i</w:t>
      </w:r>
      <w:r w:rsidR="003B3CB8" w:rsidRPr="00D05EF2">
        <w:rPr>
          <w:rFonts w:asciiTheme="minorHAnsi" w:hAnsiTheme="minorHAnsi" w:cstheme="minorHAnsi"/>
          <w:color w:val="383838"/>
          <w:shd w:val="clear" w:color="auto" w:fill="FFFFFF"/>
        </w:rPr>
        <w:t>n cha</w:t>
      </w:r>
      <w:r w:rsidR="003B3CB8">
        <w:rPr>
          <w:rFonts w:asciiTheme="minorHAnsi" w:hAnsiTheme="minorHAnsi" w:cstheme="minorHAnsi"/>
          <w:color w:val="383838"/>
          <w:shd w:val="clear" w:color="auto" w:fill="FFFFFF"/>
        </w:rPr>
        <w:t xml:space="preserve">pter </w:t>
      </w:r>
      <w:r w:rsidR="003B3CB8" w:rsidRPr="00D05EF2">
        <w:rPr>
          <w:rFonts w:asciiTheme="minorHAnsi" w:hAnsiTheme="minorHAnsi" w:cstheme="minorHAnsi"/>
          <w:color w:val="383838"/>
          <w:shd w:val="clear" w:color="auto" w:fill="FFFFFF"/>
        </w:rPr>
        <w:t xml:space="preserve">xx x but only </w:t>
      </w:r>
      <w:r w:rsidR="00E81CC3">
        <w:rPr>
          <w:rFonts w:asciiTheme="minorHAnsi" w:hAnsiTheme="minorHAnsi" w:cstheme="minorHAnsi"/>
          <w:color w:val="383838"/>
          <w:shd w:val="clear" w:color="auto" w:fill="FFFFFF"/>
        </w:rPr>
        <w:t xml:space="preserve">by way of </w:t>
      </w:r>
      <w:r w:rsidR="003B3CB8" w:rsidRPr="00D05EF2">
        <w:rPr>
          <w:rFonts w:asciiTheme="minorHAnsi" w:hAnsiTheme="minorHAnsi" w:cstheme="minorHAnsi"/>
          <w:color w:val="383838"/>
          <w:shd w:val="clear" w:color="auto" w:fill="FFFFFF"/>
        </w:rPr>
        <w:t>a cursory analysis</w:t>
      </w:r>
      <w:r w:rsidR="00E81CC3">
        <w:rPr>
          <w:rFonts w:asciiTheme="minorHAnsi" w:hAnsiTheme="minorHAnsi" w:cstheme="minorHAnsi"/>
          <w:color w:val="383838"/>
          <w:shd w:val="clear" w:color="auto" w:fill="FFFFFF"/>
        </w:rPr>
        <w:t>.</w:t>
      </w:r>
      <w:r w:rsidR="003B3CB8" w:rsidRPr="00D05EF2">
        <w:rPr>
          <w:rFonts w:asciiTheme="minorHAnsi" w:hAnsiTheme="minorHAnsi" w:cstheme="minorHAnsi"/>
          <w:color w:val="383838"/>
          <w:shd w:val="clear" w:color="auto" w:fill="FFFFFF"/>
        </w:rPr>
        <w:t xml:space="preserve"> </w:t>
      </w:r>
    </w:p>
    <w:p w:rsidR="002875D1" w:rsidRDefault="002875D1" w:rsidP="00E769F0">
      <w:pPr>
        <w:shd w:val="clear" w:color="auto" w:fill="FFFFFF"/>
        <w:rPr>
          <w:rFonts w:asciiTheme="minorHAnsi" w:hAnsiTheme="minorHAnsi" w:cstheme="minorHAnsi"/>
          <w:color w:val="222222"/>
        </w:rPr>
      </w:pPr>
    </w:p>
    <w:p w:rsidR="00077166" w:rsidRDefault="002875D1" w:rsidP="00DB53D9">
      <w:pPr>
        <w:shd w:val="clear" w:color="auto" w:fill="FFFFFF"/>
        <w:rPr>
          <w:rFonts w:asciiTheme="minorHAnsi" w:hAnsiTheme="minorHAnsi" w:cstheme="minorHAnsi"/>
        </w:rPr>
      </w:pPr>
      <w:r>
        <w:rPr>
          <w:rFonts w:asciiTheme="minorHAnsi" w:hAnsiTheme="minorHAnsi" w:cstheme="minorHAnsi"/>
          <w:color w:val="222222"/>
        </w:rPr>
        <w:t xml:space="preserve">However there is much to commend on </w:t>
      </w:r>
      <w:r w:rsidR="00E769F0" w:rsidRPr="00A952F5">
        <w:rPr>
          <w:rFonts w:asciiTheme="minorHAnsi" w:hAnsiTheme="minorHAnsi" w:cstheme="minorHAnsi"/>
          <w:i/>
        </w:rPr>
        <w:t>The Wild Law Judgements Project</w:t>
      </w:r>
      <w:r w:rsidR="00E769F0">
        <w:rPr>
          <w:rFonts w:asciiTheme="minorHAnsi" w:hAnsiTheme="minorHAnsi" w:cstheme="minorHAnsi"/>
        </w:rPr>
        <w:t xml:space="preserve"> </w:t>
      </w:r>
      <w:r>
        <w:rPr>
          <w:rFonts w:asciiTheme="minorHAnsi" w:hAnsiTheme="minorHAnsi" w:cstheme="minorHAnsi"/>
        </w:rPr>
        <w:t xml:space="preserve">which will no doubt be read with interest by environmental lawyers and all those with a general interest on international development, natural resources law and litigation experts. </w:t>
      </w:r>
      <w:r w:rsidR="007B2548">
        <w:rPr>
          <w:rFonts w:asciiTheme="minorHAnsi" w:hAnsiTheme="minorHAnsi" w:cstheme="minorHAnsi"/>
        </w:rPr>
        <w:t>But the book aspires to more. It aspires to inspire and include constitutional lawyers, trade layers, foreign investment lawyers for what</w:t>
      </w:r>
      <w:r>
        <w:rPr>
          <w:rFonts w:asciiTheme="minorHAnsi" w:hAnsiTheme="minorHAnsi" w:cstheme="minorHAnsi"/>
        </w:rPr>
        <w:t xml:space="preserve"> it </w:t>
      </w:r>
      <w:r w:rsidR="00E769F0">
        <w:rPr>
          <w:rFonts w:asciiTheme="minorHAnsi" w:hAnsiTheme="minorHAnsi" w:cstheme="minorHAnsi"/>
        </w:rPr>
        <w:t>shows us is that other interpretations of existing laws are equally valid, possible and plausible</w:t>
      </w:r>
      <w:r>
        <w:rPr>
          <w:rFonts w:asciiTheme="minorHAnsi" w:hAnsiTheme="minorHAnsi" w:cstheme="minorHAnsi"/>
        </w:rPr>
        <w:t xml:space="preserve"> in most if not all situations where courts need to choose and balance between competing interests</w:t>
      </w:r>
      <w:r w:rsidR="00E769F0">
        <w:rPr>
          <w:rFonts w:asciiTheme="minorHAnsi" w:hAnsiTheme="minorHAnsi" w:cstheme="minorHAnsi"/>
        </w:rPr>
        <w:t xml:space="preserve">. </w:t>
      </w:r>
      <w:r>
        <w:rPr>
          <w:rFonts w:asciiTheme="minorHAnsi" w:hAnsiTheme="minorHAnsi" w:cstheme="minorHAnsi"/>
        </w:rPr>
        <w:t xml:space="preserve">It is, thus, </w:t>
      </w:r>
      <w:r w:rsidR="00E769F0">
        <w:rPr>
          <w:rFonts w:asciiTheme="minorHAnsi" w:hAnsiTheme="minorHAnsi" w:cstheme="minorHAnsi"/>
        </w:rPr>
        <w:t>possible to understand and enforce international economic law as if development</w:t>
      </w:r>
      <w:r w:rsidR="00077166">
        <w:rPr>
          <w:rFonts w:asciiTheme="minorHAnsi" w:hAnsiTheme="minorHAnsi" w:cstheme="minorHAnsi"/>
        </w:rPr>
        <w:t xml:space="preserve"> mattered and not only by adopting a new ontological foundation but</w:t>
      </w:r>
      <w:r>
        <w:rPr>
          <w:rFonts w:asciiTheme="minorHAnsi" w:hAnsiTheme="minorHAnsi" w:cstheme="minorHAnsi"/>
        </w:rPr>
        <w:t>,</w:t>
      </w:r>
      <w:r w:rsidR="00077166">
        <w:rPr>
          <w:rFonts w:asciiTheme="minorHAnsi" w:hAnsiTheme="minorHAnsi" w:cstheme="minorHAnsi"/>
        </w:rPr>
        <w:t xml:space="preserve"> as Aidan Ricketts argues in the re-written </w:t>
      </w:r>
      <w:r w:rsidR="00077166">
        <w:rPr>
          <w:rFonts w:asciiTheme="minorHAnsi" w:hAnsiTheme="minorHAnsi" w:cstheme="minorHAnsi"/>
          <w:i/>
        </w:rPr>
        <w:t>Newcrest</w:t>
      </w:r>
      <w:r w:rsidR="00077166">
        <w:rPr>
          <w:rFonts w:asciiTheme="minorHAnsi" w:hAnsiTheme="minorHAnsi" w:cstheme="minorHAnsi"/>
        </w:rPr>
        <w:t xml:space="preserve"> mining case</w:t>
      </w:r>
      <w:r>
        <w:rPr>
          <w:rFonts w:asciiTheme="minorHAnsi" w:hAnsiTheme="minorHAnsi" w:cstheme="minorHAnsi"/>
        </w:rPr>
        <w:t xml:space="preserve"> in this collection</w:t>
      </w:r>
      <w:r w:rsidR="00077166">
        <w:rPr>
          <w:rFonts w:asciiTheme="minorHAnsi" w:hAnsiTheme="minorHAnsi" w:cstheme="minorHAnsi"/>
        </w:rPr>
        <w:t xml:space="preserve">, </w:t>
      </w:r>
      <w:r>
        <w:rPr>
          <w:rFonts w:asciiTheme="minorHAnsi" w:hAnsiTheme="minorHAnsi" w:cstheme="minorHAnsi"/>
        </w:rPr>
        <w:t xml:space="preserve">even </w:t>
      </w:r>
      <w:r w:rsidR="00077166">
        <w:rPr>
          <w:rFonts w:asciiTheme="minorHAnsi" w:hAnsiTheme="minorHAnsi" w:cstheme="minorHAnsi"/>
        </w:rPr>
        <w:t>by using traditional</w:t>
      </w:r>
      <w:r>
        <w:rPr>
          <w:rFonts w:asciiTheme="minorHAnsi" w:hAnsiTheme="minorHAnsi" w:cstheme="minorHAnsi"/>
        </w:rPr>
        <w:t xml:space="preserve"> </w:t>
      </w:r>
      <w:r w:rsidR="00077166">
        <w:rPr>
          <w:rFonts w:asciiTheme="minorHAnsi" w:hAnsiTheme="minorHAnsi" w:cstheme="minorHAnsi"/>
        </w:rPr>
        <w:t xml:space="preserve"> interpretation approaches.</w:t>
      </w:r>
      <w:r w:rsidR="00077166">
        <w:rPr>
          <w:rStyle w:val="FootnoteReference"/>
          <w:rFonts w:asciiTheme="minorHAnsi" w:hAnsiTheme="minorHAnsi" w:cstheme="minorHAnsi"/>
        </w:rPr>
        <w:footnoteReference w:id="16"/>
      </w:r>
      <w:r w:rsidR="007B2548">
        <w:rPr>
          <w:rFonts w:asciiTheme="minorHAnsi" w:hAnsiTheme="minorHAnsi" w:cstheme="minorHAnsi"/>
        </w:rPr>
        <w:t xml:space="preserve"> </w:t>
      </w:r>
    </w:p>
    <w:p w:rsidR="00D72C16" w:rsidRDefault="00D72C16" w:rsidP="00DB53D9">
      <w:pPr>
        <w:shd w:val="clear" w:color="auto" w:fill="FFFFFF"/>
        <w:rPr>
          <w:rFonts w:asciiTheme="minorHAnsi" w:hAnsiTheme="minorHAnsi" w:cstheme="minorHAnsi"/>
        </w:rPr>
      </w:pPr>
    </w:p>
    <w:p w:rsidR="00DB53D9" w:rsidRPr="007E3557" w:rsidRDefault="00DB53D9" w:rsidP="00DB53D9">
      <w:pPr>
        <w:shd w:val="clear" w:color="auto" w:fill="FFFFFF"/>
        <w:rPr>
          <w:rFonts w:asciiTheme="minorHAnsi" w:hAnsiTheme="minorHAnsi" w:cstheme="minorHAnsi"/>
        </w:rPr>
      </w:pPr>
      <w:r w:rsidRPr="00D05EF2">
        <w:rPr>
          <w:rFonts w:asciiTheme="minorHAnsi" w:hAnsiTheme="minorHAnsi" w:cstheme="minorHAnsi"/>
        </w:rPr>
        <w:t>The ris</w:t>
      </w:r>
      <w:r>
        <w:rPr>
          <w:rFonts w:asciiTheme="minorHAnsi" w:hAnsiTheme="minorHAnsi" w:cstheme="minorHAnsi"/>
        </w:rPr>
        <w:t xml:space="preserve">e of international economic law has coincided with the relentless and virtually universal expansion of neoliberalism. </w:t>
      </w:r>
      <w:r w:rsidRPr="00D05EF2">
        <w:rPr>
          <w:rFonts w:asciiTheme="minorHAnsi" w:hAnsiTheme="minorHAnsi" w:cstheme="minorHAnsi"/>
        </w:rPr>
        <w:t xml:space="preserve"> </w:t>
      </w:r>
      <w:r>
        <w:rPr>
          <w:rFonts w:asciiTheme="minorHAnsi" w:hAnsiTheme="minorHAnsi" w:cstheme="minorHAnsi"/>
        </w:rPr>
        <w:t xml:space="preserve">While the </w:t>
      </w:r>
      <w:r w:rsidR="00D72C16">
        <w:rPr>
          <w:rFonts w:asciiTheme="minorHAnsi" w:hAnsiTheme="minorHAnsi" w:cstheme="minorHAnsi"/>
        </w:rPr>
        <w:t>‘</w:t>
      </w:r>
      <w:r>
        <w:rPr>
          <w:rFonts w:asciiTheme="minorHAnsi" w:hAnsiTheme="minorHAnsi" w:cstheme="minorHAnsi"/>
        </w:rPr>
        <w:t>Washi</w:t>
      </w:r>
      <w:r w:rsidRPr="00D05EF2">
        <w:rPr>
          <w:rFonts w:asciiTheme="minorHAnsi" w:hAnsiTheme="minorHAnsi" w:cstheme="minorHAnsi"/>
        </w:rPr>
        <w:t>ngton Consensus</w:t>
      </w:r>
      <w:r>
        <w:rPr>
          <w:rFonts w:asciiTheme="minorHAnsi" w:hAnsiTheme="minorHAnsi" w:cstheme="minorHAnsi"/>
        </w:rPr>
        <w:t>’ paradigm has propelled developing countries</w:t>
      </w:r>
      <w:r w:rsidRPr="00D05EF2">
        <w:rPr>
          <w:rFonts w:asciiTheme="minorHAnsi" w:hAnsiTheme="minorHAnsi" w:cstheme="minorHAnsi"/>
        </w:rPr>
        <w:t xml:space="preserve"> into the globalisation agenda</w:t>
      </w:r>
      <w:r>
        <w:rPr>
          <w:rFonts w:asciiTheme="minorHAnsi" w:hAnsiTheme="minorHAnsi" w:cstheme="minorHAnsi"/>
        </w:rPr>
        <w:t>,</w:t>
      </w:r>
      <w:r w:rsidRPr="00D05EF2">
        <w:rPr>
          <w:rFonts w:asciiTheme="minorHAnsi" w:hAnsiTheme="minorHAnsi" w:cstheme="minorHAnsi"/>
        </w:rPr>
        <w:t xml:space="preserve"> </w:t>
      </w:r>
      <w:r>
        <w:rPr>
          <w:rFonts w:asciiTheme="minorHAnsi" w:hAnsiTheme="minorHAnsi" w:cstheme="minorHAnsi"/>
        </w:rPr>
        <w:t xml:space="preserve">a proliferation of trade and investment agreements, with the corresponding </w:t>
      </w:r>
      <w:proofErr w:type="spellStart"/>
      <w:r>
        <w:rPr>
          <w:rFonts w:asciiTheme="minorHAnsi" w:hAnsiTheme="minorHAnsi" w:cstheme="minorHAnsi"/>
        </w:rPr>
        <w:t>deterritorialized</w:t>
      </w:r>
      <w:proofErr w:type="spellEnd"/>
      <w:r>
        <w:rPr>
          <w:rFonts w:asciiTheme="minorHAnsi" w:hAnsiTheme="minorHAnsi" w:cstheme="minorHAnsi"/>
        </w:rPr>
        <w:t xml:space="preserve"> tribunals where such disputes </w:t>
      </w:r>
      <w:r>
        <w:rPr>
          <w:rFonts w:asciiTheme="minorHAnsi" w:hAnsiTheme="minorHAnsi" w:cstheme="minorHAnsi"/>
        </w:rPr>
        <w:lastRenderedPageBreak/>
        <w:t>are resolved outside the realm of national courts and legal systems, has insidiously reduced the sphere of influence of national governments while silencing the voices of all those opposed to economic growth dogma. International financial institutions, credit rating agencies, development banks and investment tribunals have transformed from</w:t>
      </w:r>
      <w:r w:rsidR="00AB2019">
        <w:rPr>
          <w:rFonts w:asciiTheme="minorHAnsi" w:hAnsiTheme="minorHAnsi" w:cstheme="minorHAnsi"/>
        </w:rPr>
        <w:t xml:space="preserve"> arcane organisations to everyday, </w:t>
      </w:r>
      <w:r w:rsidR="00D72C16">
        <w:rPr>
          <w:rFonts w:asciiTheme="minorHAnsi" w:hAnsiTheme="minorHAnsi" w:cstheme="minorHAnsi"/>
        </w:rPr>
        <w:t>well-known</w:t>
      </w:r>
      <w:r>
        <w:rPr>
          <w:rFonts w:asciiTheme="minorHAnsi" w:hAnsiTheme="minorHAnsi" w:cstheme="minorHAnsi"/>
        </w:rPr>
        <w:t xml:space="preserve"> actors exercising a </w:t>
      </w:r>
      <w:r w:rsidR="00D72C16" w:rsidRPr="00D72C16">
        <w:rPr>
          <w:rFonts w:asciiTheme="minorHAnsi" w:hAnsiTheme="minorHAnsi" w:cstheme="minorHAnsi"/>
          <w:i/>
        </w:rPr>
        <w:t>quasi</w:t>
      </w:r>
      <w:r w:rsidR="00D72C16">
        <w:rPr>
          <w:rFonts w:asciiTheme="minorHAnsi" w:hAnsiTheme="minorHAnsi" w:cstheme="minorHAnsi"/>
        </w:rPr>
        <w:t>-absolute</w:t>
      </w:r>
      <w:r>
        <w:rPr>
          <w:rFonts w:asciiTheme="minorHAnsi" w:hAnsiTheme="minorHAnsi" w:cstheme="minorHAnsi"/>
        </w:rPr>
        <w:t xml:space="preserve"> power </w:t>
      </w:r>
      <w:r w:rsidR="00AB2019">
        <w:rPr>
          <w:rFonts w:asciiTheme="minorHAnsi" w:hAnsiTheme="minorHAnsi" w:cstheme="minorHAnsi"/>
        </w:rPr>
        <w:t xml:space="preserve">over </w:t>
      </w:r>
      <w:r>
        <w:rPr>
          <w:rFonts w:asciiTheme="minorHAnsi" w:hAnsiTheme="minorHAnsi" w:cstheme="minorHAnsi"/>
        </w:rPr>
        <w:t xml:space="preserve">not </w:t>
      </w:r>
      <w:r w:rsidR="00AB2019">
        <w:rPr>
          <w:rFonts w:asciiTheme="minorHAnsi" w:hAnsiTheme="minorHAnsi" w:cstheme="minorHAnsi"/>
        </w:rPr>
        <w:t>onl</w:t>
      </w:r>
      <w:r>
        <w:rPr>
          <w:rFonts w:asciiTheme="minorHAnsi" w:hAnsiTheme="minorHAnsi" w:cstheme="minorHAnsi"/>
        </w:rPr>
        <w:t xml:space="preserve">y the so called economic or financial activities of states and private </w:t>
      </w:r>
      <w:r w:rsidR="00AB2019">
        <w:rPr>
          <w:rFonts w:asciiTheme="minorHAnsi" w:hAnsiTheme="minorHAnsi" w:cstheme="minorHAnsi"/>
        </w:rPr>
        <w:t>corporate groups</w:t>
      </w:r>
      <w:r>
        <w:rPr>
          <w:rFonts w:asciiTheme="minorHAnsi" w:hAnsiTheme="minorHAnsi" w:cstheme="minorHAnsi"/>
        </w:rPr>
        <w:t xml:space="preserve"> but</w:t>
      </w:r>
      <w:r w:rsidR="00AB2019">
        <w:rPr>
          <w:rFonts w:asciiTheme="minorHAnsi" w:hAnsiTheme="minorHAnsi" w:cstheme="minorHAnsi"/>
        </w:rPr>
        <w:t xml:space="preserve"> over</w:t>
      </w:r>
      <w:r>
        <w:rPr>
          <w:rFonts w:asciiTheme="minorHAnsi" w:hAnsiTheme="minorHAnsi" w:cstheme="minorHAnsi"/>
        </w:rPr>
        <w:t xml:space="preserve">  almost every aspect of social and economic life. States find themselves scrutinised over development choices that may impinge onto the financial interests of private foreign investors</w:t>
      </w:r>
      <w:r w:rsidR="00AB2019">
        <w:rPr>
          <w:rFonts w:asciiTheme="minorHAnsi" w:hAnsiTheme="minorHAnsi" w:cstheme="minorHAnsi"/>
        </w:rPr>
        <w:t xml:space="preserve"> by international investment tribunals, their capacity to pass or enforce laws to protect national interests is seriously reduced while each and every national decision with potential economic consequences is scrutinised by international financial institutions</w:t>
      </w:r>
      <w:r>
        <w:rPr>
          <w:rFonts w:asciiTheme="minorHAnsi" w:hAnsiTheme="minorHAnsi" w:cstheme="minorHAnsi"/>
        </w:rPr>
        <w:t>.</w:t>
      </w:r>
    </w:p>
    <w:p w:rsidR="00DB53D9" w:rsidRDefault="00DB53D9" w:rsidP="00DB53D9">
      <w:pPr>
        <w:shd w:val="clear" w:color="auto" w:fill="FFFFFF"/>
        <w:rPr>
          <w:rFonts w:asciiTheme="minorHAnsi" w:hAnsiTheme="minorHAnsi" w:cstheme="minorHAnsi"/>
          <w:color w:val="222222"/>
        </w:rPr>
      </w:pPr>
    </w:p>
    <w:p w:rsidR="00DB53D9" w:rsidRDefault="00AB2019" w:rsidP="00DB53D9">
      <w:pPr>
        <w:rPr>
          <w:rFonts w:asciiTheme="minorHAnsi" w:hAnsiTheme="minorHAnsi" w:cstheme="minorHAnsi"/>
        </w:rPr>
      </w:pPr>
      <w:r>
        <w:rPr>
          <w:rFonts w:asciiTheme="minorHAnsi" w:hAnsiTheme="minorHAnsi" w:cstheme="minorHAnsi"/>
        </w:rPr>
        <w:t xml:space="preserve">For all the reduced </w:t>
      </w:r>
      <w:r w:rsidR="002D440F">
        <w:rPr>
          <w:rFonts w:asciiTheme="minorHAnsi" w:hAnsiTheme="minorHAnsi" w:cstheme="minorHAnsi"/>
        </w:rPr>
        <w:t xml:space="preserve">and increasingly scrutinised </w:t>
      </w:r>
      <w:r>
        <w:rPr>
          <w:rFonts w:asciiTheme="minorHAnsi" w:hAnsiTheme="minorHAnsi" w:cstheme="minorHAnsi"/>
        </w:rPr>
        <w:t>policy space of nation states t</w:t>
      </w:r>
      <w:r w:rsidR="00DB53D9">
        <w:rPr>
          <w:rFonts w:asciiTheme="minorHAnsi" w:hAnsiTheme="minorHAnsi" w:cstheme="minorHAnsi"/>
        </w:rPr>
        <w:t xml:space="preserve">he </w:t>
      </w:r>
      <w:r>
        <w:rPr>
          <w:rFonts w:asciiTheme="minorHAnsi" w:hAnsiTheme="minorHAnsi" w:cstheme="minorHAnsi"/>
        </w:rPr>
        <w:t>triumph of the neoliberal dogma with its</w:t>
      </w:r>
      <w:r w:rsidR="00DB53D9">
        <w:rPr>
          <w:rFonts w:asciiTheme="minorHAnsi" w:hAnsiTheme="minorHAnsi" w:cstheme="minorHAnsi"/>
        </w:rPr>
        <w:t xml:space="preserve"> expansion of the global marketplace and t</w:t>
      </w:r>
      <w:r w:rsidR="00DB53D9" w:rsidRPr="00D05EF2">
        <w:rPr>
          <w:rFonts w:asciiTheme="minorHAnsi" w:hAnsiTheme="minorHAnsi" w:cstheme="minorHAnsi"/>
        </w:rPr>
        <w:t xml:space="preserve">he exponential </w:t>
      </w:r>
      <w:r w:rsidR="00DB53D9">
        <w:rPr>
          <w:rFonts w:asciiTheme="minorHAnsi" w:hAnsiTheme="minorHAnsi" w:cstheme="minorHAnsi"/>
        </w:rPr>
        <w:t xml:space="preserve">growth </w:t>
      </w:r>
      <w:r w:rsidR="00DB53D9" w:rsidRPr="00D05EF2">
        <w:rPr>
          <w:rFonts w:asciiTheme="minorHAnsi" w:hAnsiTheme="minorHAnsi" w:cstheme="minorHAnsi"/>
        </w:rPr>
        <w:t>of international economic law has not</w:t>
      </w:r>
      <w:r>
        <w:rPr>
          <w:rFonts w:asciiTheme="minorHAnsi" w:hAnsiTheme="minorHAnsi" w:cstheme="minorHAnsi"/>
        </w:rPr>
        <w:t>, however,</w:t>
      </w:r>
      <w:r w:rsidR="00DB53D9" w:rsidRPr="00D05EF2">
        <w:rPr>
          <w:rFonts w:asciiTheme="minorHAnsi" w:hAnsiTheme="minorHAnsi" w:cstheme="minorHAnsi"/>
        </w:rPr>
        <w:t xml:space="preserve"> been coupled by a comparable </w:t>
      </w:r>
      <w:r w:rsidR="00DB53D9">
        <w:rPr>
          <w:rFonts w:asciiTheme="minorHAnsi" w:hAnsiTheme="minorHAnsi" w:cstheme="minorHAnsi"/>
        </w:rPr>
        <w:t>improvement</w:t>
      </w:r>
      <w:r w:rsidR="00DB53D9" w:rsidRPr="00D05EF2">
        <w:rPr>
          <w:rFonts w:asciiTheme="minorHAnsi" w:hAnsiTheme="minorHAnsi" w:cstheme="minorHAnsi"/>
        </w:rPr>
        <w:t xml:space="preserve"> of living standards</w:t>
      </w:r>
      <w:r w:rsidR="00DB53D9">
        <w:rPr>
          <w:rFonts w:asciiTheme="minorHAnsi" w:hAnsiTheme="minorHAnsi" w:cstheme="minorHAnsi"/>
        </w:rPr>
        <w:t xml:space="preserve"> in </w:t>
      </w:r>
      <w:r w:rsidR="00DB53D9" w:rsidRPr="00D05EF2">
        <w:rPr>
          <w:rFonts w:asciiTheme="minorHAnsi" w:hAnsiTheme="minorHAnsi" w:cstheme="minorHAnsi"/>
        </w:rPr>
        <w:t>developing</w:t>
      </w:r>
      <w:r>
        <w:rPr>
          <w:rFonts w:asciiTheme="minorHAnsi" w:hAnsiTheme="minorHAnsi" w:cstheme="minorHAnsi"/>
        </w:rPr>
        <w:t xml:space="preserve"> countries or in poorer groups within developed countries. </w:t>
      </w:r>
      <w:r w:rsidR="00DB53D9" w:rsidRPr="00D05EF2">
        <w:rPr>
          <w:rFonts w:asciiTheme="minorHAnsi" w:hAnsiTheme="minorHAnsi" w:cstheme="minorHAnsi"/>
        </w:rPr>
        <w:t>Rather the opposite is</w:t>
      </w:r>
      <w:r w:rsidR="00DB53D9">
        <w:rPr>
          <w:rFonts w:asciiTheme="minorHAnsi" w:hAnsiTheme="minorHAnsi" w:cstheme="minorHAnsi"/>
        </w:rPr>
        <w:t>,</w:t>
      </w:r>
      <w:r w:rsidR="00DB53D9" w:rsidRPr="00D05EF2">
        <w:rPr>
          <w:rFonts w:asciiTheme="minorHAnsi" w:hAnsiTheme="minorHAnsi" w:cstheme="minorHAnsi"/>
        </w:rPr>
        <w:t xml:space="preserve"> in most cases</w:t>
      </w:r>
      <w:r w:rsidR="00DB53D9">
        <w:rPr>
          <w:rFonts w:asciiTheme="minorHAnsi" w:hAnsiTheme="minorHAnsi" w:cstheme="minorHAnsi"/>
        </w:rPr>
        <w:t>,</w:t>
      </w:r>
      <w:r w:rsidR="00DB53D9" w:rsidRPr="00D05EF2">
        <w:rPr>
          <w:rFonts w:asciiTheme="minorHAnsi" w:hAnsiTheme="minorHAnsi" w:cstheme="minorHAnsi"/>
        </w:rPr>
        <w:t xml:space="preserve"> true. </w:t>
      </w:r>
      <w:r w:rsidR="00DB53D9">
        <w:rPr>
          <w:rFonts w:asciiTheme="minorHAnsi" w:hAnsiTheme="minorHAnsi" w:cstheme="minorHAnsi"/>
        </w:rPr>
        <w:t>People have been left behind. Development has been left behind. Forgotten. Economics and</w:t>
      </w:r>
      <w:r w:rsidR="00DB53D9" w:rsidRPr="00E70C06">
        <w:rPr>
          <w:rFonts w:asciiTheme="minorHAnsi" w:hAnsiTheme="minorHAnsi" w:cstheme="minorHAnsi"/>
        </w:rPr>
        <w:t xml:space="preserve"> </w:t>
      </w:r>
      <w:r w:rsidR="00DB53D9" w:rsidRPr="00D05EF2">
        <w:rPr>
          <w:rFonts w:asciiTheme="minorHAnsi" w:hAnsiTheme="minorHAnsi" w:cstheme="minorHAnsi"/>
        </w:rPr>
        <w:t>rationality</w:t>
      </w:r>
      <w:r w:rsidR="00DB53D9">
        <w:rPr>
          <w:rStyle w:val="FootnoteReference"/>
          <w:rFonts w:asciiTheme="minorHAnsi" w:hAnsiTheme="minorHAnsi" w:cstheme="minorHAnsi"/>
        </w:rPr>
        <w:footnoteReference w:id="17"/>
      </w:r>
      <w:r w:rsidR="00DB53D9">
        <w:rPr>
          <w:rFonts w:asciiTheme="minorHAnsi" w:hAnsiTheme="minorHAnsi" w:cstheme="minorHAnsi"/>
        </w:rPr>
        <w:t xml:space="preserve">have informed </w:t>
      </w:r>
      <w:r w:rsidR="002875D1">
        <w:rPr>
          <w:rFonts w:asciiTheme="minorHAnsi" w:hAnsiTheme="minorHAnsi" w:cstheme="minorHAnsi"/>
        </w:rPr>
        <w:t>all decisions and processes.</w:t>
      </w:r>
      <w:r w:rsidR="00DB53D9">
        <w:rPr>
          <w:rFonts w:asciiTheme="minorHAnsi" w:hAnsiTheme="minorHAnsi" w:cstheme="minorHAnsi"/>
        </w:rPr>
        <w:t xml:space="preserve"> The emphasis on the separate and wrongly perceived mutually exclusive characteristics of policy choices has reduced the potential of law in general, and international economic law in particular in its quest to advance human development, to encourage sustainable use of resources and to ensure the peaceful and harmonious growth of plural conceptions of life.</w:t>
      </w:r>
    </w:p>
    <w:p w:rsidR="00BA0750" w:rsidRDefault="00BA0750" w:rsidP="00BA0750">
      <w:pPr>
        <w:rPr>
          <w:rFonts w:asciiTheme="minorHAnsi" w:hAnsiTheme="minorHAnsi" w:cstheme="minorHAnsi"/>
        </w:rPr>
      </w:pPr>
    </w:p>
    <w:p w:rsidR="003B3CB8" w:rsidRDefault="002D595A" w:rsidP="003B3CB8">
      <w:pPr>
        <w:rPr>
          <w:rFonts w:asciiTheme="minorHAnsi" w:hAnsiTheme="minorHAnsi" w:cstheme="minorHAnsi"/>
        </w:rPr>
      </w:pPr>
      <w:r w:rsidRPr="00D05EF2">
        <w:rPr>
          <w:rFonts w:asciiTheme="minorHAnsi" w:hAnsiTheme="minorHAnsi" w:cstheme="minorHAnsi"/>
        </w:rPr>
        <w:t xml:space="preserve">Former Vice-President of the International Court of Justice, Judge Christopher J. </w:t>
      </w:r>
      <w:proofErr w:type="spellStart"/>
      <w:r w:rsidRPr="00D05EF2">
        <w:rPr>
          <w:rFonts w:asciiTheme="minorHAnsi" w:hAnsiTheme="minorHAnsi" w:cstheme="minorHAnsi"/>
        </w:rPr>
        <w:t>Weeramantry</w:t>
      </w:r>
      <w:proofErr w:type="spellEnd"/>
      <w:r w:rsidRPr="00D05EF2">
        <w:rPr>
          <w:rFonts w:asciiTheme="minorHAnsi" w:hAnsiTheme="minorHAnsi" w:cstheme="minorHAnsi"/>
        </w:rPr>
        <w:t>, for</w:t>
      </w:r>
      <w:r w:rsidR="00AB2019">
        <w:rPr>
          <w:rFonts w:asciiTheme="minorHAnsi" w:hAnsiTheme="minorHAnsi" w:cstheme="minorHAnsi"/>
        </w:rPr>
        <w:t xml:space="preserve">mulated something similar twenty years ago: </w:t>
      </w:r>
      <w:r w:rsidR="00E91008">
        <w:rPr>
          <w:rFonts w:asciiTheme="minorHAnsi" w:hAnsiTheme="minorHAnsi" w:cstheme="minorHAnsi"/>
        </w:rPr>
        <w:t>‘</w:t>
      </w:r>
      <w:r w:rsidRPr="00D05EF2">
        <w:rPr>
          <w:rFonts w:asciiTheme="minorHAnsi" w:hAnsiTheme="minorHAnsi" w:cstheme="minorHAnsi"/>
        </w:rPr>
        <w:t>In an age in which we are denuding the resources of the planet as never before and endangering the very future of humanity, sustainability is the key to human survival. It is a concept which needs to be nourished from every discipline, every culture and every tradition</w:t>
      </w:r>
      <w:r w:rsidR="00E91008">
        <w:rPr>
          <w:rFonts w:asciiTheme="minorHAnsi" w:hAnsiTheme="minorHAnsi" w:cstheme="minorHAnsi"/>
        </w:rPr>
        <w:t>.’</w:t>
      </w:r>
      <w:r w:rsidR="00C016A3">
        <w:rPr>
          <w:rStyle w:val="FootnoteReference"/>
          <w:rFonts w:asciiTheme="minorHAnsi" w:hAnsiTheme="minorHAnsi" w:cstheme="minorHAnsi"/>
        </w:rPr>
        <w:footnoteReference w:id="18"/>
      </w:r>
      <w:r w:rsidR="00E91008">
        <w:rPr>
          <w:rFonts w:asciiTheme="minorHAnsi" w:hAnsiTheme="minorHAnsi" w:cstheme="minorHAnsi"/>
        </w:rPr>
        <w:t xml:space="preserve"> </w:t>
      </w:r>
      <w:r w:rsidR="00C016A3">
        <w:rPr>
          <w:rFonts w:asciiTheme="minorHAnsi" w:hAnsiTheme="minorHAnsi" w:cstheme="minorHAnsi"/>
        </w:rPr>
        <w:t xml:space="preserve">International economic law, as the fastest growing and expanding area of international law with tribunals, </w:t>
      </w:r>
      <w:r w:rsidR="003B3CB8">
        <w:rPr>
          <w:rFonts w:asciiTheme="minorHAnsi" w:hAnsiTheme="minorHAnsi" w:cstheme="minorHAnsi"/>
        </w:rPr>
        <w:t>arbitration</w:t>
      </w:r>
      <w:r w:rsidR="00C016A3">
        <w:rPr>
          <w:rFonts w:asciiTheme="minorHAnsi" w:hAnsiTheme="minorHAnsi" w:cstheme="minorHAnsi"/>
        </w:rPr>
        <w:t xml:space="preserve"> and dispute resolution bodies with direct repercussion on the daily lives of millions of people all over the world and with direct influence on the use of scarce fundamental resources has a pivotal role to play in this repolarisation of interests and reinterpretatio</w:t>
      </w:r>
      <w:r w:rsidR="00AB2019">
        <w:rPr>
          <w:rFonts w:asciiTheme="minorHAnsi" w:hAnsiTheme="minorHAnsi" w:cstheme="minorHAnsi"/>
        </w:rPr>
        <w:t>n of existing rules. Some of the</w:t>
      </w:r>
      <w:r w:rsidR="00C016A3">
        <w:rPr>
          <w:rFonts w:asciiTheme="minorHAnsi" w:hAnsiTheme="minorHAnsi" w:cstheme="minorHAnsi"/>
        </w:rPr>
        <w:t>s</w:t>
      </w:r>
      <w:r w:rsidR="00AB2019">
        <w:rPr>
          <w:rFonts w:asciiTheme="minorHAnsi" w:hAnsiTheme="minorHAnsi" w:cstheme="minorHAnsi"/>
        </w:rPr>
        <w:t>e</w:t>
      </w:r>
      <w:r w:rsidR="00C016A3">
        <w:rPr>
          <w:rFonts w:asciiTheme="minorHAnsi" w:hAnsiTheme="minorHAnsi" w:cstheme="minorHAnsi"/>
        </w:rPr>
        <w:t xml:space="preserve"> </w:t>
      </w:r>
      <w:r w:rsidR="003B3CB8">
        <w:rPr>
          <w:rFonts w:asciiTheme="minorHAnsi" w:hAnsiTheme="minorHAnsi" w:cstheme="minorHAnsi"/>
        </w:rPr>
        <w:t>desirable development</w:t>
      </w:r>
      <w:r w:rsidR="00AB2019">
        <w:rPr>
          <w:rFonts w:asciiTheme="minorHAnsi" w:hAnsiTheme="minorHAnsi" w:cstheme="minorHAnsi"/>
        </w:rPr>
        <w:t>s</w:t>
      </w:r>
      <w:r w:rsidR="003B3CB8">
        <w:rPr>
          <w:rFonts w:asciiTheme="minorHAnsi" w:hAnsiTheme="minorHAnsi" w:cstheme="minorHAnsi"/>
        </w:rPr>
        <w:t xml:space="preserve"> </w:t>
      </w:r>
      <w:r w:rsidR="00AB2019">
        <w:rPr>
          <w:rFonts w:asciiTheme="minorHAnsi" w:hAnsiTheme="minorHAnsi" w:cstheme="minorHAnsi"/>
        </w:rPr>
        <w:t xml:space="preserve">are </w:t>
      </w:r>
      <w:r w:rsidR="00C016A3">
        <w:rPr>
          <w:rFonts w:asciiTheme="minorHAnsi" w:hAnsiTheme="minorHAnsi" w:cstheme="minorHAnsi"/>
        </w:rPr>
        <w:t>al</w:t>
      </w:r>
      <w:r w:rsidR="003B3CB8">
        <w:rPr>
          <w:rFonts w:asciiTheme="minorHAnsi" w:hAnsiTheme="minorHAnsi" w:cstheme="minorHAnsi"/>
        </w:rPr>
        <w:t xml:space="preserve">ready under way – in 2016 </w:t>
      </w:r>
      <w:proofErr w:type="spellStart"/>
      <w:r w:rsidR="003B3CB8">
        <w:rPr>
          <w:rFonts w:asciiTheme="minorHAnsi" w:hAnsiTheme="minorHAnsi" w:cstheme="minorHAnsi"/>
        </w:rPr>
        <w:t>Aljezeera</w:t>
      </w:r>
      <w:proofErr w:type="spellEnd"/>
      <w:r w:rsidR="003B3CB8">
        <w:rPr>
          <w:rFonts w:asciiTheme="minorHAnsi" w:hAnsiTheme="minorHAnsi" w:cstheme="minorHAnsi"/>
        </w:rPr>
        <w:t>, the Qatar news agency brought E</w:t>
      </w:r>
      <w:r w:rsidR="002D440F">
        <w:rPr>
          <w:rFonts w:asciiTheme="minorHAnsi" w:hAnsiTheme="minorHAnsi" w:cstheme="minorHAnsi"/>
        </w:rPr>
        <w:t xml:space="preserve">gypt to account under the </w:t>
      </w:r>
      <w:r w:rsidR="003B3CB8">
        <w:rPr>
          <w:rFonts w:asciiTheme="minorHAnsi" w:hAnsiTheme="minorHAnsi" w:cstheme="minorHAnsi"/>
        </w:rPr>
        <w:t>Egypt</w:t>
      </w:r>
      <w:r w:rsidR="002D440F">
        <w:rPr>
          <w:rFonts w:asciiTheme="minorHAnsi" w:hAnsiTheme="minorHAnsi" w:cstheme="minorHAnsi"/>
        </w:rPr>
        <w:t>-Qatar</w:t>
      </w:r>
      <w:r w:rsidR="003B3CB8">
        <w:rPr>
          <w:rFonts w:asciiTheme="minorHAnsi" w:hAnsiTheme="minorHAnsi" w:cstheme="minorHAnsi"/>
        </w:rPr>
        <w:t xml:space="preserve"> BIT </w:t>
      </w:r>
      <w:r w:rsidR="002D440F">
        <w:rPr>
          <w:rFonts w:asciiTheme="minorHAnsi" w:hAnsiTheme="minorHAnsi" w:cstheme="minorHAnsi"/>
        </w:rPr>
        <w:t xml:space="preserve">(1999) pursuing a $ 150m international arbitration claim due to the enforced closure of its business in Cairo. The terms of the BIT required that investors received ‘fair and equitable’ treatment by the governments of both countries in ‘a manner consistent with international human rights treaties’ such as respecting its right to freedom of expression that was allegedly </w:t>
      </w:r>
      <w:r w:rsidR="002641B1">
        <w:rPr>
          <w:rFonts w:asciiTheme="minorHAnsi" w:hAnsiTheme="minorHAnsi" w:cstheme="minorHAnsi"/>
        </w:rPr>
        <w:t xml:space="preserve">wrongfully </w:t>
      </w:r>
      <w:r w:rsidR="003B3CB8">
        <w:rPr>
          <w:rFonts w:asciiTheme="minorHAnsi" w:hAnsiTheme="minorHAnsi" w:cstheme="minorHAnsi"/>
        </w:rPr>
        <w:t xml:space="preserve">supressed by the </w:t>
      </w:r>
      <w:r w:rsidR="00AB2019">
        <w:rPr>
          <w:rFonts w:asciiTheme="minorHAnsi" w:hAnsiTheme="minorHAnsi" w:cstheme="minorHAnsi"/>
        </w:rPr>
        <w:t>Muslin B</w:t>
      </w:r>
      <w:r w:rsidR="003B3CB8">
        <w:rPr>
          <w:rFonts w:asciiTheme="minorHAnsi" w:hAnsiTheme="minorHAnsi" w:cstheme="minorHAnsi"/>
        </w:rPr>
        <w:t>rotherhood. This wasn’t the first investment arbitration case where human rights were brought at the forefront of an investment dispute.</w:t>
      </w:r>
      <w:r w:rsidR="002641B1">
        <w:rPr>
          <w:rStyle w:val="FootnoteReference"/>
          <w:rFonts w:asciiTheme="minorHAnsi" w:hAnsiTheme="minorHAnsi" w:cstheme="minorHAnsi"/>
        </w:rPr>
        <w:footnoteReference w:id="19"/>
      </w:r>
      <w:r w:rsidR="003B3CB8">
        <w:rPr>
          <w:rFonts w:asciiTheme="minorHAnsi" w:hAnsiTheme="minorHAnsi" w:cstheme="minorHAnsi"/>
        </w:rPr>
        <w:t xml:space="preserve">  </w:t>
      </w:r>
    </w:p>
    <w:p w:rsidR="00844542" w:rsidRDefault="00844542" w:rsidP="003B3CB8">
      <w:pPr>
        <w:rPr>
          <w:rFonts w:asciiTheme="minorHAnsi" w:hAnsiTheme="minorHAnsi" w:cstheme="minorHAnsi"/>
        </w:rPr>
      </w:pPr>
    </w:p>
    <w:p w:rsidR="00844542" w:rsidRDefault="00844542" w:rsidP="00844542">
      <w:pPr>
        <w:shd w:val="clear" w:color="auto" w:fill="FFFFFF"/>
        <w:rPr>
          <w:rFonts w:asciiTheme="minorHAnsi" w:hAnsiTheme="minorHAnsi" w:cstheme="minorHAnsi"/>
          <w:color w:val="222222"/>
        </w:rPr>
      </w:pPr>
      <w:r>
        <w:rPr>
          <w:rFonts w:asciiTheme="minorHAnsi" w:hAnsiTheme="minorHAnsi" w:cstheme="minorHAnsi"/>
        </w:rPr>
        <w:t xml:space="preserve">As Brian </w:t>
      </w:r>
      <w:proofErr w:type="spellStart"/>
      <w:r>
        <w:rPr>
          <w:rFonts w:asciiTheme="minorHAnsi" w:hAnsiTheme="minorHAnsi" w:cstheme="minorHAnsi"/>
        </w:rPr>
        <w:t>Eno</w:t>
      </w:r>
      <w:proofErr w:type="spellEnd"/>
      <w:r>
        <w:rPr>
          <w:rFonts w:asciiTheme="minorHAnsi" w:hAnsiTheme="minorHAnsi" w:cstheme="minorHAnsi"/>
        </w:rPr>
        <w:t xml:space="preserve"> explained in the introduction to Client Earth’s book ‘Once something becomes law, it becomes actionable and enforceable. Once it is enforceable it becomes common sense. </w:t>
      </w:r>
      <w:r>
        <w:rPr>
          <w:rFonts w:asciiTheme="minorHAnsi" w:hAnsiTheme="minorHAnsi" w:cstheme="minorHAnsi"/>
          <w:color w:val="222222"/>
        </w:rPr>
        <w:lastRenderedPageBreak/>
        <w:t>At this point i</w:t>
      </w:r>
      <w:r w:rsidRPr="00322DF5">
        <w:rPr>
          <w:rFonts w:asciiTheme="minorHAnsi" w:hAnsiTheme="minorHAnsi" w:cstheme="minorHAnsi"/>
          <w:color w:val="222222"/>
        </w:rPr>
        <w:t>t becomes possible for a small group to trigger big changes.</w:t>
      </w:r>
      <w:r>
        <w:rPr>
          <w:rFonts w:asciiTheme="minorHAnsi" w:hAnsiTheme="minorHAnsi" w:cstheme="minorHAnsi"/>
          <w:color w:val="222222"/>
        </w:rPr>
        <w:t>’ Rogers and Maloney’s book provides a much needed reminder that legal structures can be used to create radical change.</w:t>
      </w:r>
    </w:p>
    <w:p w:rsidR="00844542" w:rsidRDefault="00844542" w:rsidP="00844542">
      <w:pPr>
        <w:shd w:val="clear" w:color="auto" w:fill="FFFFFF"/>
        <w:rPr>
          <w:rFonts w:asciiTheme="minorHAnsi" w:hAnsiTheme="minorHAnsi" w:cstheme="minorHAnsi"/>
          <w:color w:val="222222"/>
        </w:rPr>
      </w:pPr>
    </w:p>
    <w:p w:rsidR="00844542" w:rsidRDefault="00844542" w:rsidP="00844542">
      <w:pPr>
        <w:shd w:val="clear" w:color="auto" w:fill="FFFFFF"/>
        <w:rPr>
          <w:rFonts w:asciiTheme="minorHAnsi" w:hAnsiTheme="minorHAnsi" w:cstheme="minorHAnsi"/>
          <w:color w:val="222222"/>
        </w:rPr>
      </w:pPr>
      <w:r>
        <w:rPr>
          <w:rFonts w:asciiTheme="minorHAnsi" w:hAnsiTheme="minorHAnsi" w:cstheme="minorHAnsi"/>
          <w:color w:val="222222"/>
        </w:rPr>
        <w:t>Elena Merino Blanco</w:t>
      </w:r>
    </w:p>
    <w:p w:rsidR="00844542" w:rsidRDefault="00844542" w:rsidP="00844542">
      <w:pPr>
        <w:shd w:val="clear" w:color="auto" w:fill="FFFFFF"/>
        <w:rPr>
          <w:rFonts w:asciiTheme="minorHAnsi" w:hAnsiTheme="minorHAnsi" w:cstheme="minorHAnsi"/>
          <w:color w:val="222222"/>
        </w:rPr>
      </w:pPr>
      <w:r>
        <w:rPr>
          <w:rFonts w:asciiTheme="minorHAnsi" w:hAnsiTheme="minorHAnsi" w:cstheme="minorHAnsi"/>
          <w:color w:val="222222"/>
        </w:rPr>
        <w:t>Associate Professor of International Economic Law</w:t>
      </w:r>
    </w:p>
    <w:p w:rsidR="00844542" w:rsidRDefault="00844542" w:rsidP="00844542">
      <w:pPr>
        <w:shd w:val="clear" w:color="auto" w:fill="FFFFFF"/>
        <w:rPr>
          <w:rFonts w:asciiTheme="minorHAnsi" w:hAnsiTheme="minorHAnsi" w:cstheme="minorHAnsi"/>
          <w:color w:val="222222"/>
        </w:rPr>
      </w:pPr>
      <w:r>
        <w:rPr>
          <w:rFonts w:asciiTheme="minorHAnsi" w:hAnsiTheme="minorHAnsi" w:cstheme="minorHAnsi"/>
          <w:color w:val="222222"/>
        </w:rPr>
        <w:t xml:space="preserve">Bristol Law School (UWE) </w:t>
      </w:r>
    </w:p>
    <w:p w:rsidR="00844542" w:rsidRDefault="00844542" w:rsidP="00844542">
      <w:pPr>
        <w:shd w:val="clear" w:color="auto" w:fill="FFFFFF"/>
        <w:rPr>
          <w:rFonts w:asciiTheme="minorHAnsi" w:hAnsiTheme="minorHAnsi" w:cstheme="minorHAnsi"/>
        </w:rPr>
      </w:pPr>
      <w:r>
        <w:rPr>
          <w:rFonts w:asciiTheme="minorHAnsi" w:hAnsiTheme="minorHAnsi" w:cstheme="minorHAnsi"/>
          <w:color w:val="222222"/>
        </w:rPr>
        <w:t>Elena.Blanco@uwe.ac.uk</w:t>
      </w:r>
    </w:p>
    <w:p w:rsidR="00844542" w:rsidRDefault="00844542" w:rsidP="003B3CB8">
      <w:pPr>
        <w:rPr>
          <w:rFonts w:asciiTheme="minorHAnsi" w:hAnsiTheme="minorHAnsi" w:cstheme="minorHAnsi"/>
        </w:rPr>
      </w:pPr>
    </w:p>
    <w:p w:rsidR="003B3CB8" w:rsidRPr="00D05EF2" w:rsidRDefault="003B3CB8" w:rsidP="003B3CB8">
      <w:pPr>
        <w:rPr>
          <w:rFonts w:asciiTheme="minorHAnsi" w:hAnsiTheme="minorHAnsi" w:cstheme="minorHAnsi"/>
          <w:color w:val="383838"/>
          <w:shd w:val="clear" w:color="auto" w:fill="FFFFFF"/>
        </w:rPr>
      </w:pPr>
    </w:p>
    <w:p w:rsidR="002D595A" w:rsidRDefault="006673E9" w:rsidP="00413B56">
      <w:pPr>
        <w:spacing w:before="240"/>
        <w:rPr>
          <w:rFonts w:asciiTheme="minorHAnsi" w:hAnsiTheme="minorHAnsi" w:cstheme="minorHAnsi"/>
        </w:rPr>
      </w:pPr>
      <w:r w:rsidRPr="00D05EF2">
        <w:rPr>
          <w:rFonts w:asciiTheme="minorHAnsi" w:hAnsiTheme="minorHAnsi" w:cstheme="minorHAnsi"/>
        </w:rPr>
        <w:t xml:space="preserve"> </w:t>
      </w:r>
    </w:p>
    <w:sectPr w:rsidR="002D59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9BC" w:rsidRDefault="004D59BC" w:rsidP="00A43500">
      <w:r>
        <w:separator/>
      </w:r>
    </w:p>
  </w:endnote>
  <w:endnote w:type="continuationSeparator" w:id="0">
    <w:p w:rsidR="004D59BC" w:rsidRDefault="004D59BC" w:rsidP="00A4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9BC" w:rsidRDefault="004D59BC" w:rsidP="00A43500">
      <w:r>
        <w:separator/>
      </w:r>
    </w:p>
  </w:footnote>
  <w:footnote w:type="continuationSeparator" w:id="0">
    <w:p w:rsidR="004D59BC" w:rsidRDefault="004D59BC" w:rsidP="00A43500">
      <w:r>
        <w:continuationSeparator/>
      </w:r>
    </w:p>
  </w:footnote>
  <w:footnote w:id="1">
    <w:p w:rsidR="00F24796" w:rsidRDefault="00F24796">
      <w:pPr>
        <w:pStyle w:val="FootnoteText"/>
      </w:pPr>
      <w:r>
        <w:rPr>
          <w:rStyle w:val="FootnoteReference"/>
        </w:rPr>
        <w:footnoteRef/>
      </w:r>
      <w:r>
        <w:t xml:space="preserve"> </w:t>
      </w:r>
      <w:r w:rsidR="00981289">
        <w:t xml:space="preserve">James Thornton and Martin Goodman, </w:t>
      </w:r>
      <w:proofErr w:type="spellStart"/>
      <w:r w:rsidR="00D72C16" w:rsidRPr="00981289">
        <w:rPr>
          <w:i/>
        </w:rPr>
        <w:t>ClientEarth</w:t>
      </w:r>
      <w:proofErr w:type="spellEnd"/>
      <w:r w:rsidR="00D72C16" w:rsidRPr="00981289">
        <w:rPr>
          <w:i/>
        </w:rPr>
        <w:t xml:space="preserve"> </w:t>
      </w:r>
      <w:r w:rsidR="00816DA2">
        <w:t xml:space="preserve"> </w:t>
      </w:r>
      <w:r w:rsidR="00981289">
        <w:t>(Scribe, 2017)</w:t>
      </w:r>
    </w:p>
  </w:footnote>
  <w:footnote w:id="2">
    <w:p w:rsidR="00AB4EA7" w:rsidRPr="00AB4EA7" w:rsidRDefault="00AB4EA7">
      <w:pPr>
        <w:pStyle w:val="FootnoteText"/>
      </w:pPr>
      <w:r>
        <w:rPr>
          <w:rStyle w:val="FootnoteReference"/>
        </w:rPr>
        <w:footnoteRef/>
      </w:r>
      <w:r>
        <w:t xml:space="preserve"> Janet Dine, </w:t>
      </w:r>
      <w:r>
        <w:rPr>
          <w:i/>
        </w:rPr>
        <w:t>Companies, International Trade and Human Rights</w:t>
      </w:r>
      <w:r>
        <w:t xml:space="preserve"> (Cambridge University Press, 2005)</w:t>
      </w:r>
    </w:p>
  </w:footnote>
  <w:footnote w:id="3">
    <w:p w:rsidR="00A952F5" w:rsidRPr="00AB4EA7" w:rsidRDefault="00A952F5">
      <w:pPr>
        <w:pStyle w:val="FootnoteText"/>
        <w:rPr>
          <w:highlight w:val="yellow"/>
        </w:rPr>
      </w:pPr>
      <w:r>
        <w:rPr>
          <w:rStyle w:val="FootnoteReference"/>
        </w:rPr>
        <w:footnoteRef/>
      </w:r>
      <w:r>
        <w:t xml:space="preserve"> </w:t>
      </w:r>
      <w:r w:rsidR="00AB4EA7">
        <w:t xml:space="preserve">Peter </w:t>
      </w:r>
      <w:proofErr w:type="spellStart"/>
      <w:r w:rsidR="00AB4EA7">
        <w:t>Mucklinski</w:t>
      </w:r>
      <w:proofErr w:type="spellEnd"/>
      <w:r w:rsidR="00AB4EA7">
        <w:t xml:space="preserve">, </w:t>
      </w:r>
      <w:r w:rsidR="00AB4EA7">
        <w:rPr>
          <w:i/>
        </w:rPr>
        <w:t xml:space="preserve">Multinational Enterprises and the Law </w:t>
      </w:r>
      <w:r w:rsidR="00AB4EA7">
        <w:t>(OUP, Oxford, 2007)</w:t>
      </w:r>
    </w:p>
  </w:footnote>
  <w:footnote w:id="4">
    <w:p w:rsidR="00DB53D9" w:rsidRPr="00AA70E4" w:rsidRDefault="00DB53D9" w:rsidP="00DB53D9">
      <w:pPr>
        <w:pStyle w:val="FootnoteText"/>
        <w:rPr>
          <w:i/>
        </w:rPr>
      </w:pPr>
      <w:r w:rsidRPr="00AB4EA7">
        <w:rPr>
          <w:rStyle w:val="FootnoteReference"/>
        </w:rPr>
        <w:footnoteRef/>
      </w:r>
      <w:r w:rsidRPr="00AB4EA7">
        <w:t xml:space="preserve"> </w:t>
      </w:r>
      <w:proofErr w:type="spellStart"/>
      <w:r w:rsidR="00AA70E4" w:rsidRPr="00AB4EA7">
        <w:t>R</w:t>
      </w:r>
      <w:r w:rsidR="00AA70E4">
        <w:t>osalynd</w:t>
      </w:r>
      <w:proofErr w:type="spellEnd"/>
      <w:r w:rsidR="00AA70E4">
        <w:t xml:space="preserve"> Hunter and Clare </w:t>
      </w:r>
      <w:proofErr w:type="spellStart"/>
      <w:r w:rsidR="00AA70E4">
        <w:t>McGlynn</w:t>
      </w:r>
      <w:proofErr w:type="spellEnd"/>
      <w:r w:rsidR="00AA70E4">
        <w:t xml:space="preserve">, </w:t>
      </w:r>
      <w:r w:rsidR="00AA70E4">
        <w:rPr>
          <w:i/>
        </w:rPr>
        <w:t>Feminist Judgements</w:t>
      </w:r>
      <w:r w:rsidR="00AB4EA7">
        <w:rPr>
          <w:i/>
        </w:rPr>
        <w:t>: From Theory to Practice</w:t>
      </w:r>
      <w:r w:rsidR="00AB4EA7">
        <w:t xml:space="preserve"> (Hart Publishing, 2010)</w:t>
      </w:r>
    </w:p>
  </w:footnote>
  <w:footnote w:id="5">
    <w:p w:rsidR="00DD06E2" w:rsidRPr="00DD06E2" w:rsidRDefault="00DD06E2">
      <w:pPr>
        <w:pStyle w:val="FootnoteText"/>
        <w:rPr>
          <w:i/>
        </w:rPr>
      </w:pPr>
      <w:r>
        <w:rPr>
          <w:rStyle w:val="FootnoteReference"/>
        </w:rPr>
        <w:footnoteRef/>
      </w:r>
      <w:r>
        <w:t xml:space="preserve"> H Douglas, F </w:t>
      </w:r>
      <w:proofErr w:type="spellStart"/>
      <w:r>
        <w:t>Barlett</w:t>
      </w:r>
      <w:proofErr w:type="spellEnd"/>
      <w:r>
        <w:t xml:space="preserve">, T </w:t>
      </w:r>
      <w:proofErr w:type="spellStart"/>
      <w:r>
        <w:t>Luker</w:t>
      </w:r>
      <w:proofErr w:type="spellEnd"/>
      <w:r>
        <w:t xml:space="preserve"> and R Hunter (</w:t>
      </w:r>
      <w:proofErr w:type="spellStart"/>
      <w:r>
        <w:t>eds</w:t>
      </w:r>
      <w:proofErr w:type="spellEnd"/>
      <w:r>
        <w:t xml:space="preserve">) </w:t>
      </w:r>
      <w:r>
        <w:rPr>
          <w:i/>
        </w:rPr>
        <w:t xml:space="preserve">Australian feminist judgements: Righting and re-writing law </w:t>
      </w:r>
      <w:r w:rsidRPr="00DD06E2">
        <w:t>(Hart Publishing, 2014)</w:t>
      </w:r>
    </w:p>
  </w:footnote>
  <w:footnote w:id="6">
    <w:p w:rsidR="00077166" w:rsidRDefault="00077166">
      <w:pPr>
        <w:pStyle w:val="FootnoteText"/>
      </w:pPr>
      <w:r>
        <w:rPr>
          <w:rStyle w:val="FootnoteReference"/>
        </w:rPr>
        <w:footnoteRef/>
      </w:r>
      <w:r>
        <w:t xml:space="preserve"> </w:t>
      </w:r>
      <w:r w:rsidR="00E22358">
        <w:t>Justice Brian Preston ‘ Writing Judgements Wildly’ in Rogers and Maloney pp.19-28</w:t>
      </w:r>
    </w:p>
  </w:footnote>
  <w:footnote w:id="7">
    <w:p w:rsidR="00CF7DAE" w:rsidRDefault="00CF7DAE">
      <w:pPr>
        <w:pStyle w:val="FootnoteText"/>
      </w:pPr>
      <w:r>
        <w:rPr>
          <w:rStyle w:val="FootnoteReference"/>
        </w:rPr>
        <w:footnoteRef/>
      </w:r>
      <w:r>
        <w:t xml:space="preserve"> </w:t>
      </w:r>
      <w:r w:rsidRPr="008E2742">
        <w:t>Thomas Berry</w:t>
      </w:r>
      <w:r w:rsidR="00DD06E2" w:rsidRPr="008E2742">
        <w:t>, e</w:t>
      </w:r>
      <w:r w:rsidR="00DD06E2">
        <w:t xml:space="preserve">dited by Mary Evelyn Tucker </w:t>
      </w:r>
      <w:r w:rsidR="00DD06E2">
        <w:rPr>
          <w:i/>
        </w:rPr>
        <w:t xml:space="preserve">Evening Thoughts: Reflecting on Earth as a Sacred Community </w:t>
      </w:r>
      <w:r w:rsidR="00DD06E2">
        <w:t xml:space="preserve">(Sierra Club Books a&amp; </w:t>
      </w:r>
      <w:proofErr w:type="spellStart"/>
      <w:r w:rsidR="00DD06E2">
        <w:t>Universtity</w:t>
      </w:r>
      <w:proofErr w:type="spellEnd"/>
      <w:r w:rsidR="00DD06E2">
        <w:t xml:space="preserve"> of California Press, 2006)</w:t>
      </w:r>
    </w:p>
  </w:footnote>
  <w:footnote w:id="8">
    <w:p w:rsidR="00DB53D9" w:rsidRDefault="00DB53D9" w:rsidP="00DB53D9">
      <w:pPr>
        <w:pStyle w:val="FootnoteText"/>
      </w:pPr>
      <w:r>
        <w:rPr>
          <w:rStyle w:val="FootnoteReference"/>
        </w:rPr>
        <w:footnoteRef/>
      </w:r>
      <w:r>
        <w:t xml:space="preserve"> </w:t>
      </w:r>
      <w:r w:rsidR="00CF7DAE">
        <w:t>The term was coined by Cormac Cullinan, Wild Law (</w:t>
      </w:r>
      <w:proofErr w:type="spellStart"/>
      <w:r w:rsidR="00CF7DAE">
        <w:t>Siber</w:t>
      </w:r>
      <w:proofErr w:type="spellEnd"/>
      <w:r w:rsidR="00CF7DAE">
        <w:t xml:space="preserve"> Ink, 2002)</w:t>
      </w:r>
    </w:p>
  </w:footnote>
  <w:footnote w:id="9">
    <w:p w:rsidR="006D3DB2" w:rsidRDefault="006D3DB2">
      <w:pPr>
        <w:pStyle w:val="FootnoteText"/>
      </w:pPr>
      <w:r>
        <w:rPr>
          <w:rStyle w:val="FootnoteReference"/>
        </w:rPr>
        <w:footnoteRef/>
      </w:r>
      <w:r>
        <w:t xml:space="preserve"> </w:t>
      </w:r>
      <w:r w:rsidRPr="006D3DB2">
        <w:rPr>
          <w:i/>
        </w:rPr>
        <w:t>Mabo v Queensland</w:t>
      </w:r>
      <w:r>
        <w:t xml:space="preserve"> (No 2) (1992) 175 CLR</w:t>
      </w:r>
    </w:p>
  </w:footnote>
  <w:footnote w:id="10">
    <w:p w:rsidR="00CF7DAE" w:rsidRDefault="00CF7DAE">
      <w:pPr>
        <w:pStyle w:val="FootnoteText"/>
      </w:pPr>
      <w:r>
        <w:rPr>
          <w:rStyle w:val="FootnoteReference"/>
        </w:rPr>
        <w:footnoteRef/>
      </w:r>
      <w:r w:rsidR="008E2742">
        <w:t xml:space="preserve"> Rogers and Maloney at 7</w:t>
      </w:r>
    </w:p>
  </w:footnote>
  <w:footnote w:id="11">
    <w:p w:rsidR="00E769F0" w:rsidRPr="008E2742" w:rsidRDefault="00E769F0" w:rsidP="00E769F0">
      <w:pPr>
        <w:pStyle w:val="FootnoteText"/>
      </w:pPr>
      <w:r>
        <w:rPr>
          <w:rStyle w:val="FootnoteReference"/>
        </w:rPr>
        <w:footnoteRef/>
      </w:r>
      <w:r>
        <w:t xml:space="preserve"> </w:t>
      </w:r>
      <w:r w:rsidR="008E2742">
        <w:t>‘Waterway of spiritual significance to Maori people is recognised as living entity with own rights’</w:t>
      </w:r>
      <w:r w:rsidR="00D72C16">
        <w:t xml:space="preserve"> </w:t>
      </w:r>
      <w:r w:rsidR="008E2742" w:rsidRPr="008E2742">
        <w:t>Independent 15 Match 2017</w:t>
      </w:r>
    </w:p>
  </w:footnote>
  <w:footnote w:id="12">
    <w:p w:rsidR="008E2742" w:rsidRPr="00BF10B1" w:rsidRDefault="008E2742" w:rsidP="008E2742">
      <w:pPr>
        <w:pStyle w:val="FootnoteText"/>
      </w:pPr>
      <w:r>
        <w:rPr>
          <w:rStyle w:val="FootnoteReference"/>
        </w:rPr>
        <w:footnoteRef/>
      </w:r>
      <w:r>
        <w:t xml:space="preserve"> Bolivian Government, </w:t>
      </w:r>
      <w:r>
        <w:rPr>
          <w:i/>
        </w:rPr>
        <w:t xml:space="preserve">Ley de </w:t>
      </w:r>
      <w:proofErr w:type="spellStart"/>
      <w:r>
        <w:rPr>
          <w:i/>
        </w:rPr>
        <w:t>Derechos</w:t>
      </w:r>
      <w:proofErr w:type="spellEnd"/>
      <w:r>
        <w:rPr>
          <w:i/>
        </w:rPr>
        <w:t xml:space="preserve"> de la Madre Tierra</w:t>
      </w:r>
      <w:r>
        <w:t xml:space="preserve"> (21 December 2010)</w:t>
      </w:r>
    </w:p>
  </w:footnote>
  <w:footnote w:id="13">
    <w:p w:rsidR="008E2742" w:rsidRPr="008E2742" w:rsidRDefault="008E2742">
      <w:pPr>
        <w:pStyle w:val="FootnoteText"/>
      </w:pPr>
      <w:r w:rsidRPr="008E2742">
        <w:rPr>
          <w:rStyle w:val="FootnoteReference"/>
        </w:rPr>
        <w:footnoteRef/>
      </w:r>
      <w:r w:rsidRPr="008E2742">
        <w:t xml:space="preserve"> Art 71 of the Constitution of the</w:t>
      </w:r>
      <w:r>
        <w:t xml:space="preserve"> Republic of Ecuador (2008) and </w:t>
      </w:r>
      <w:r>
        <w:rPr>
          <w:i/>
        </w:rPr>
        <w:t xml:space="preserve">Ley de </w:t>
      </w:r>
      <w:proofErr w:type="spellStart"/>
      <w:r>
        <w:rPr>
          <w:i/>
        </w:rPr>
        <w:t>Derechos</w:t>
      </w:r>
      <w:proofErr w:type="spellEnd"/>
      <w:r>
        <w:rPr>
          <w:i/>
        </w:rPr>
        <w:t xml:space="preserve"> de la Madre Tierra </w:t>
      </w:r>
      <w:r>
        <w:t>(20 December 2010)</w:t>
      </w:r>
    </w:p>
  </w:footnote>
  <w:footnote w:id="14">
    <w:p w:rsidR="00E22358" w:rsidRDefault="00E22358">
      <w:pPr>
        <w:pStyle w:val="FootnoteText"/>
      </w:pPr>
      <w:r>
        <w:rPr>
          <w:rStyle w:val="FootnoteReference"/>
        </w:rPr>
        <w:footnoteRef/>
      </w:r>
      <w:r w:rsidR="008E2742">
        <w:t xml:space="preserve"> The Guardian 21 March 2017</w:t>
      </w:r>
    </w:p>
  </w:footnote>
  <w:footnote w:id="15">
    <w:p w:rsidR="005D4BFE" w:rsidRPr="005D4BFE" w:rsidRDefault="005D4BFE">
      <w:pPr>
        <w:pStyle w:val="FootnoteText"/>
        <w:rPr>
          <w:i/>
        </w:rPr>
      </w:pPr>
      <w:r>
        <w:rPr>
          <w:rStyle w:val="FootnoteReference"/>
        </w:rPr>
        <w:footnoteRef/>
      </w:r>
      <w:r>
        <w:t xml:space="preserve"> Christopher Stone, ‘Should Trees have standing? – Toward legal rights for natural objects’ (1972) </w:t>
      </w:r>
      <w:r>
        <w:rPr>
          <w:i/>
        </w:rPr>
        <w:t xml:space="preserve">Southern </w:t>
      </w:r>
      <w:r w:rsidR="008E2742">
        <w:rPr>
          <w:i/>
        </w:rPr>
        <w:t>California Law Review 450</w:t>
      </w:r>
    </w:p>
  </w:footnote>
  <w:footnote w:id="16">
    <w:p w:rsidR="00077166" w:rsidRDefault="00077166">
      <w:pPr>
        <w:pStyle w:val="FootnoteText"/>
      </w:pPr>
      <w:r>
        <w:rPr>
          <w:rStyle w:val="FootnoteReference"/>
        </w:rPr>
        <w:footnoteRef/>
      </w:r>
      <w:r>
        <w:t xml:space="preserve"> Aidan Ricketts, ‘Exploring fundamental legal change through adjacent legal possibilities. The Newcrest mining ca</w:t>
      </w:r>
      <w:r w:rsidR="008E2742">
        <w:t xml:space="preserve">se.’ In Rogers and Maloney </w:t>
      </w:r>
      <w:r>
        <w:t>at 183.</w:t>
      </w:r>
    </w:p>
  </w:footnote>
  <w:footnote w:id="17">
    <w:p w:rsidR="00DB53D9" w:rsidRDefault="00DB53D9" w:rsidP="00DB53D9">
      <w:pPr>
        <w:pStyle w:val="FootnoteText"/>
      </w:pPr>
      <w:r>
        <w:rPr>
          <w:rStyle w:val="FootnoteReference"/>
        </w:rPr>
        <w:footnoteRef/>
      </w:r>
      <w:r w:rsidR="002D595A">
        <w:t xml:space="preserve"> Klaus </w:t>
      </w:r>
      <w:proofErr w:type="spellStart"/>
      <w:r w:rsidR="002D595A">
        <w:t>Bosselmann</w:t>
      </w:r>
      <w:proofErr w:type="spellEnd"/>
      <w:r w:rsidR="002D595A">
        <w:t xml:space="preserve">, </w:t>
      </w:r>
      <w:r w:rsidR="002D595A" w:rsidRPr="002D595A">
        <w:rPr>
          <w:i/>
        </w:rPr>
        <w:t>The</w:t>
      </w:r>
      <w:r w:rsidR="002D595A" w:rsidRPr="002D595A">
        <w:t xml:space="preserve"> </w:t>
      </w:r>
      <w:r w:rsidR="002D595A" w:rsidRPr="002D595A">
        <w:rPr>
          <w:i/>
        </w:rPr>
        <w:t>Principle of Sustainability: Transforming Law and Governance</w:t>
      </w:r>
      <w:r w:rsidR="002D595A" w:rsidRPr="002D595A">
        <w:t xml:space="preserve">; </w:t>
      </w:r>
      <w:proofErr w:type="spellStart"/>
      <w:r w:rsidR="002D595A" w:rsidRPr="002D595A">
        <w:t>Ashgate</w:t>
      </w:r>
      <w:proofErr w:type="spellEnd"/>
      <w:r w:rsidR="002D595A" w:rsidRPr="002D595A">
        <w:t>: Aldershot, UK, 2008. 36.</w:t>
      </w:r>
    </w:p>
  </w:footnote>
  <w:footnote w:id="18">
    <w:p w:rsidR="00C016A3" w:rsidRDefault="00C016A3">
      <w:pPr>
        <w:pStyle w:val="FootnoteText"/>
      </w:pPr>
      <w:r>
        <w:rPr>
          <w:rStyle w:val="FootnoteReference"/>
        </w:rPr>
        <w:footnoteRef/>
      </w:r>
      <w:r>
        <w:t xml:space="preserve"> </w:t>
      </w:r>
      <w:r w:rsidRPr="00D05EF2">
        <w:rPr>
          <w:rFonts w:asciiTheme="minorHAnsi" w:hAnsiTheme="minorHAnsi" w:cstheme="minorHAnsi"/>
        </w:rPr>
        <w:t xml:space="preserve">Judge C J </w:t>
      </w:r>
      <w:proofErr w:type="spellStart"/>
      <w:r w:rsidRPr="00D05EF2">
        <w:rPr>
          <w:rFonts w:asciiTheme="minorHAnsi" w:hAnsiTheme="minorHAnsi" w:cstheme="minorHAnsi"/>
        </w:rPr>
        <w:t>Weeramantry‘s</w:t>
      </w:r>
      <w:proofErr w:type="spellEnd"/>
      <w:r w:rsidRPr="00D05EF2">
        <w:rPr>
          <w:rFonts w:asciiTheme="minorHAnsi" w:hAnsiTheme="minorHAnsi" w:cstheme="minorHAnsi"/>
        </w:rPr>
        <w:t xml:space="preserve"> Separate Opinion in the Case Concerning the </w:t>
      </w:r>
      <w:proofErr w:type="spellStart"/>
      <w:r w:rsidRPr="00D05EF2">
        <w:rPr>
          <w:rFonts w:asciiTheme="minorHAnsi" w:hAnsiTheme="minorHAnsi" w:cstheme="minorHAnsi"/>
        </w:rPr>
        <w:t>Gabčíkovo-Nagymaros</w:t>
      </w:r>
      <w:proofErr w:type="spellEnd"/>
      <w:r w:rsidRPr="00D05EF2">
        <w:rPr>
          <w:rFonts w:asciiTheme="minorHAnsi" w:hAnsiTheme="minorHAnsi" w:cstheme="minorHAnsi"/>
        </w:rPr>
        <w:t xml:space="preserve"> Project (Hungary v Slovakia) [1997] ICJ Rep 37, reprinted in 37 ILM 1</w:t>
      </w:r>
      <w:r>
        <w:rPr>
          <w:rFonts w:asciiTheme="minorHAnsi" w:hAnsiTheme="minorHAnsi" w:cstheme="minorHAnsi"/>
        </w:rPr>
        <w:t>62 (1998).</w:t>
      </w:r>
    </w:p>
  </w:footnote>
  <w:footnote w:id="19">
    <w:p w:rsidR="002641B1" w:rsidRPr="00844542" w:rsidRDefault="002641B1">
      <w:pPr>
        <w:pStyle w:val="FootnoteText"/>
      </w:pPr>
      <w:r>
        <w:rPr>
          <w:rStyle w:val="FootnoteReference"/>
        </w:rPr>
        <w:footnoteRef/>
      </w:r>
      <w:r w:rsidR="00844542">
        <w:t xml:space="preserve"> Pierre-Marie  </w:t>
      </w:r>
      <w:proofErr w:type="spellStart"/>
      <w:r w:rsidR="00844542">
        <w:t>Dupuy</w:t>
      </w:r>
      <w:proofErr w:type="spellEnd"/>
      <w:r w:rsidR="00844542">
        <w:t xml:space="preserve">, Francesco </w:t>
      </w:r>
      <w:proofErr w:type="spellStart"/>
      <w:r w:rsidR="00844542">
        <w:t>Francioni</w:t>
      </w:r>
      <w:proofErr w:type="spellEnd"/>
      <w:r w:rsidR="00844542">
        <w:t xml:space="preserve">, and Ernst-Ulrich </w:t>
      </w:r>
      <w:proofErr w:type="spellStart"/>
      <w:r w:rsidR="00844542">
        <w:t>Petersman</w:t>
      </w:r>
      <w:proofErr w:type="spellEnd"/>
      <w:r w:rsidR="00844542">
        <w:t xml:space="preserve"> (</w:t>
      </w:r>
      <w:proofErr w:type="spellStart"/>
      <w:r w:rsidR="00844542">
        <w:t>eds</w:t>
      </w:r>
      <w:proofErr w:type="spellEnd"/>
      <w:r w:rsidR="00844542">
        <w:t xml:space="preserve">) </w:t>
      </w:r>
      <w:r>
        <w:t xml:space="preserve"> </w:t>
      </w:r>
      <w:r w:rsidR="00844542">
        <w:rPr>
          <w:i/>
        </w:rPr>
        <w:t>Human Rights in International Investment Law and Arbitration</w:t>
      </w:r>
      <w:r w:rsidR="00844542">
        <w:t xml:space="preserve"> (OUP: Oxford, 2009)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F6"/>
    <w:rsid w:val="00050020"/>
    <w:rsid w:val="00063184"/>
    <w:rsid w:val="00077166"/>
    <w:rsid w:val="001A1DA3"/>
    <w:rsid w:val="002641B1"/>
    <w:rsid w:val="002875D1"/>
    <w:rsid w:val="002D440F"/>
    <w:rsid w:val="002D595A"/>
    <w:rsid w:val="002E7633"/>
    <w:rsid w:val="00322DF5"/>
    <w:rsid w:val="003827EA"/>
    <w:rsid w:val="00383AC7"/>
    <w:rsid w:val="003B31C8"/>
    <w:rsid w:val="003B3CB8"/>
    <w:rsid w:val="00413B56"/>
    <w:rsid w:val="004D59BC"/>
    <w:rsid w:val="004F1F78"/>
    <w:rsid w:val="00501A5D"/>
    <w:rsid w:val="00502080"/>
    <w:rsid w:val="005362D0"/>
    <w:rsid w:val="00552A80"/>
    <w:rsid w:val="0055556F"/>
    <w:rsid w:val="005D4BFE"/>
    <w:rsid w:val="006327A1"/>
    <w:rsid w:val="006673E9"/>
    <w:rsid w:val="006761DE"/>
    <w:rsid w:val="00676617"/>
    <w:rsid w:val="006A0B06"/>
    <w:rsid w:val="006B2B29"/>
    <w:rsid w:val="006C17EC"/>
    <w:rsid w:val="006D3DB2"/>
    <w:rsid w:val="006F4D83"/>
    <w:rsid w:val="006F78DD"/>
    <w:rsid w:val="00784253"/>
    <w:rsid w:val="007B2548"/>
    <w:rsid w:val="007C67CB"/>
    <w:rsid w:val="007D63F6"/>
    <w:rsid w:val="007E3557"/>
    <w:rsid w:val="00816DA2"/>
    <w:rsid w:val="00844542"/>
    <w:rsid w:val="008E2742"/>
    <w:rsid w:val="00963C1E"/>
    <w:rsid w:val="00965C7C"/>
    <w:rsid w:val="009722D1"/>
    <w:rsid w:val="00981289"/>
    <w:rsid w:val="00A035CF"/>
    <w:rsid w:val="00A04967"/>
    <w:rsid w:val="00A13776"/>
    <w:rsid w:val="00A43500"/>
    <w:rsid w:val="00A952F5"/>
    <w:rsid w:val="00AA70E4"/>
    <w:rsid w:val="00AB2019"/>
    <w:rsid w:val="00AB4EA7"/>
    <w:rsid w:val="00BA0750"/>
    <w:rsid w:val="00BA702C"/>
    <w:rsid w:val="00BE7704"/>
    <w:rsid w:val="00BF10B1"/>
    <w:rsid w:val="00C016A3"/>
    <w:rsid w:val="00C34035"/>
    <w:rsid w:val="00C4043A"/>
    <w:rsid w:val="00C60762"/>
    <w:rsid w:val="00CB122F"/>
    <w:rsid w:val="00CF7DAE"/>
    <w:rsid w:val="00D05EF2"/>
    <w:rsid w:val="00D40B1E"/>
    <w:rsid w:val="00D72C16"/>
    <w:rsid w:val="00DB53D9"/>
    <w:rsid w:val="00DD06E2"/>
    <w:rsid w:val="00E22358"/>
    <w:rsid w:val="00E70C06"/>
    <w:rsid w:val="00E769F0"/>
    <w:rsid w:val="00E81CC3"/>
    <w:rsid w:val="00E91008"/>
    <w:rsid w:val="00F24796"/>
    <w:rsid w:val="00F34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ACCF"/>
  <w15:docId w15:val="{AD8FA9B0-5C48-4C9D-A93B-DB6C99FC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3F6"/>
    <w:rPr>
      <w:rFonts w:ascii="Times New Roman" w:eastAsia="Times New Roman" w:hAnsi="Times New Roman"/>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6F78DD"/>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rFonts w:asciiTheme="minorHAnsi" w:eastAsiaTheme="minorHAnsi" w:hAnsiTheme="minorHAnsi"/>
      <w:szCs w:val="32"/>
    </w:rPr>
  </w:style>
  <w:style w:type="paragraph" w:styleId="ListParagraph">
    <w:name w:val="List Paragraph"/>
    <w:basedOn w:val="Normal"/>
    <w:uiPriority w:val="34"/>
    <w:qFormat/>
    <w:rsid w:val="006F78DD"/>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6F78DD"/>
    <w:rPr>
      <w:rFonts w:asciiTheme="minorHAnsi" w:eastAsiaTheme="minorHAnsi" w:hAnsiTheme="minorHAnsi"/>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styleId="NormalWeb">
    <w:name w:val="Normal (Web)"/>
    <w:basedOn w:val="Normal"/>
    <w:uiPriority w:val="99"/>
    <w:unhideWhenUsed/>
    <w:rsid w:val="002E7633"/>
    <w:pPr>
      <w:spacing w:before="100" w:beforeAutospacing="1" w:after="100" w:afterAutospacing="1"/>
    </w:pPr>
    <w:rPr>
      <w:lang w:eastAsia="en-GB"/>
    </w:rPr>
  </w:style>
  <w:style w:type="character" w:customStyle="1" w:styleId="apple-converted-space">
    <w:name w:val="apple-converted-space"/>
    <w:basedOn w:val="DefaultParagraphFont"/>
    <w:rsid w:val="006A0B06"/>
  </w:style>
  <w:style w:type="character" w:styleId="Hyperlink">
    <w:name w:val="Hyperlink"/>
    <w:basedOn w:val="DefaultParagraphFont"/>
    <w:uiPriority w:val="99"/>
    <w:semiHidden/>
    <w:unhideWhenUsed/>
    <w:rsid w:val="006A0B06"/>
    <w:rPr>
      <w:color w:val="0000FF"/>
      <w:u w:val="single"/>
    </w:rPr>
  </w:style>
  <w:style w:type="paragraph" w:styleId="FootnoteText">
    <w:name w:val="footnote text"/>
    <w:basedOn w:val="Normal"/>
    <w:link w:val="FootnoteTextChar"/>
    <w:uiPriority w:val="99"/>
    <w:semiHidden/>
    <w:unhideWhenUsed/>
    <w:rsid w:val="00A43500"/>
    <w:rPr>
      <w:sz w:val="20"/>
      <w:szCs w:val="20"/>
    </w:rPr>
  </w:style>
  <w:style w:type="character" w:customStyle="1" w:styleId="FootnoteTextChar">
    <w:name w:val="Footnote Text Char"/>
    <w:basedOn w:val="DefaultParagraphFont"/>
    <w:link w:val="FootnoteText"/>
    <w:uiPriority w:val="99"/>
    <w:semiHidden/>
    <w:rsid w:val="00A43500"/>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A435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3585">
      <w:bodyDiv w:val="1"/>
      <w:marLeft w:val="0"/>
      <w:marRight w:val="0"/>
      <w:marTop w:val="0"/>
      <w:marBottom w:val="0"/>
      <w:divBdr>
        <w:top w:val="none" w:sz="0" w:space="0" w:color="auto"/>
        <w:left w:val="none" w:sz="0" w:space="0" w:color="auto"/>
        <w:bottom w:val="none" w:sz="0" w:space="0" w:color="auto"/>
        <w:right w:val="none" w:sz="0" w:space="0" w:color="auto"/>
      </w:divBdr>
    </w:div>
    <w:div w:id="623269486">
      <w:bodyDiv w:val="1"/>
      <w:marLeft w:val="0"/>
      <w:marRight w:val="0"/>
      <w:marTop w:val="0"/>
      <w:marBottom w:val="0"/>
      <w:divBdr>
        <w:top w:val="none" w:sz="0" w:space="0" w:color="auto"/>
        <w:left w:val="none" w:sz="0" w:space="0" w:color="auto"/>
        <w:bottom w:val="none" w:sz="0" w:space="0" w:color="auto"/>
        <w:right w:val="none" w:sz="0" w:space="0" w:color="auto"/>
      </w:divBdr>
      <w:divsChild>
        <w:div w:id="36977601">
          <w:marLeft w:val="0"/>
          <w:marRight w:val="0"/>
          <w:marTop w:val="0"/>
          <w:marBottom w:val="0"/>
          <w:divBdr>
            <w:top w:val="none" w:sz="0" w:space="0" w:color="auto"/>
            <w:left w:val="none" w:sz="0" w:space="0" w:color="auto"/>
            <w:bottom w:val="none" w:sz="0" w:space="0" w:color="auto"/>
            <w:right w:val="none" w:sz="0" w:space="0" w:color="auto"/>
          </w:divBdr>
        </w:div>
        <w:div w:id="551771054">
          <w:marLeft w:val="0"/>
          <w:marRight w:val="0"/>
          <w:marTop w:val="0"/>
          <w:marBottom w:val="0"/>
          <w:divBdr>
            <w:top w:val="none" w:sz="0" w:space="0" w:color="auto"/>
            <w:left w:val="none" w:sz="0" w:space="0" w:color="auto"/>
            <w:bottom w:val="none" w:sz="0" w:space="0" w:color="auto"/>
            <w:right w:val="none" w:sz="0" w:space="0" w:color="auto"/>
          </w:divBdr>
        </w:div>
        <w:div w:id="1021009213">
          <w:marLeft w:val="0"/>
          <w:marRight w:val="0"/>
          <w:marTop w:val="0"/>
          <w:marBottom w:val="0"/>
          <w:divBdr>
            <w:top w:val="none" w:sz="0" w:space="0" w:color="auto"/>
            <w:left w:val="none" w:sz="0" w:space="0" w:color="auto"/>
            <w:bottom w:val="none" w:sz="0" w:space="0" w:color="auto"/>
            <w:right w:val="none" w:sz="0" w:space="0" w:color="auto"/>
          </w:divBdr>
        </w:div>
        <w:div w:id="1441534765">
          <w:marLeft w:val="0"/>
          <w:marRight w:val="0"/>
          <w:marTop w:val="0"/>
          <w:marBottom w:val="0"/>
          <w:divBdr>
            <w:top w:val="none" w:sz="0" w:space="0" w:color="auto"/>
            <w:left w:val="none" w:sz="0" w:space="0" w:color="auto"/>
            <w:bottom w:val="none" w:sz="0" w:space="0" w:color="auto"/>
            <w:right w:val="none" w:sz="0" w:space="0" w:color="auto"/>
          </w:divBdr>
        </w:div>
        <w:div w:id="1670332334">
          <w:marLeft w:val="0"/>
          <w:marRight w:val="0"/>
          <w:marTop w:val="0"/>
          <w:marBottom w:val="0"/>
          <w:divBdr>
            <w:top w:val="none" w:sz="0" w:space="0" w:color="auto"/>
            <w:left w:val="none" w:sz="0" w:space="0" w:color="auto"/>
            <w:bottom w:val="none" w:sz="0" w:space="0" w:color="auto"/>
            <w:right w:val="none" w:sz="0" w:space="0" w:color="auto"/>
          </w:divBdr>
        </w:div>
        <w:div w:id="2025745345">
          <w:marLeft w:val="0"/>
          <w:marRight w:val="0"/>
          <w:marTop w:val="0"/>
          <w:marBottom w:val="0"/>
          <w:divBdr>
            <w:top w:val="none" w:sz="0" w:space="0" w:color="auto"/>
            <w:left w:val="none" w:sz="0" w:space="0" w:color="auto"/>
            <w:bottom w:val="none" w:sz="0" w:space="0" w:color="auto"/>
            <w:right w:val="none" w:sz="0" w:space="0" w:color="auto"/>
          </w:divBdr>
        </w:div>
        <w:div w:id="2071683858">
          <w:marLeft w:val="0"/>
          <w:marRight w:val="0"/>
          <w:marTop w:val="0"/>
          <w:marBottom w:val="0"/>
          <w:divBdr>
            <w:top w:val="none" w:sz="0" w:space="0" w:color="auto"/>
            <w:left w:val="none" w:sz="0" w:space="0" w:color="auto"/>
            <w:bottom w:val="none" w:sz="0" w:space="0" w:color="auto"/>
            <w:right w:val="none" w:sz="0" w:space="0" w:color="auto"/>
          </w:divBdr>
        </w:div>
      </w:divsChild>
    </w:div>
    <w:div w:id="829757141">
      <w:bodyDiv w:val="1"/>
      <w:marLeft w:val="0"/>
      <w:marRight w:val="0"/>
      <w:marTop w:val="0"/>
      <w:marBottom w:val="0"/>
      <w:divBdr>
        <w:top w:val="none" w:sz="0" w:space="0" w:color="auto"/>
        <w:left w:val="none" w:sz="0" w:space="0" w:color="auto"/>
        <w:bottom w:val="none" w:sz="0" w:space="0" w:color="auto"/>
        <w:right w:val="none" w:sz="0" w:space="0" w:color="auto"/>
      </w:divBdr>
    </w:div>
    <w:div w:id="1801024070">
      <w:bodyDiv w:val="1"/>
      <w:marLeft w:val="0"/>
      <w:marRight w:val="0"/>
      <w:marTop w:val="0"/>
      <w:marBottom w:val="0"/>
      <w:divBdr>
        <w:top w:val="none" w:sz="0" w:space="0" w:color="auto"/>
        <w:left w:val="none" w:sz="0" w:space="0" w:color="auto"/>
        <w:bottom w:val="none" w:sz="0" w:space="0" w:color="auto"/>
        <w:right w:val="none" w:sz="0" w:space="0" w:color="auto"/>
      </w:divBdr>
      <w:divsChild>
        <w:div w:id="427850873">
          <w:marLeft w:val="0"/>
          <w:marRight w:val="0"/>
          <w:marTop w:val="0"/>
          <w:marBottom w:val="0"/>
          <w:divBdr>
            <w:top w:val="none" w:sz="0" w:space="0" w:color="auto"/>
            <w:left w:val="none" w:sz="0" w:space="0" w:color="auto"/>
            <w:bottom w:val="none" w:sz="0" w:space="0" w:color="auto"/>
            <w:right w:val="none" w:sz="0" w:space="0" w:color="auto"/>
          </w:divBdr>
        </w:div>
        <w:div w:id="590239337">
          <w:marLeft w:val="0"/>
          <w:marRight w:val="0"/>
          <w:marTop w:val="0"/>
          <w:marBottom w:val="0"/>
          <w:divBdr>
            <w:top w:val="none" w:sz="0" w:space="0" w:color="auto"/>
            <w:left w:val="none" w:sz="0" w:space="0" w:color="auto"/>
            <w:bottom w:val="none" w:sz="0" w:space="0" w:color="auto"/>
            <w:right w:val="none" w:sz="0" w:space="0" w:color="auto"/>
          </w:divBdr>
        </w:div>
        <w:div w:id="1377435711">
          <w:marLeft w:val="0"/>
          <w:marRight w:val="0"/>
          <w:marTop w:val="0"/>
          <w:marBottom w:val="0"/>
          <w:divBdr>
            <w:top w:val="none" w:sz="0" w:space="0" w:color="auto"/>
            <w:left w:val="none" w:sz="0" w:space="0" w:color="auto"/>
            <w:bottom w:val="none" w:sz="0" w:space="0" w:color="auto"/>
            <w:right w:val="none" w:sz="0" w:space="0" w:color="auto"/>
          </w:divBdr>
        </w:div>
        <w:div w:id="1688021684">
          <w:marLeft w:val="0"/>
          <w:marRight w:val="0"/>
          <w:marTop w:val="0"/>
          <w:marBottom w:val="0"/>
          <w:divBdr>
            <w:top w:val="none" w:sz="0" w:space="0" w:color="auto"/>
            <w:left w:val="none" w:sz="0" w:space="0" w:color="auto"/>
            <w:bottom w:val="none" w:sz="0" w:space="0" w:color="auto"/>
            <w:right w:val="none" w:sz="0" w:space="0" w:color="auto"/>
          </w:divBdr>
        </w:div>
      </w:divsChild>
    </w:div>
    <w:div w:id="185284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B7682-8506-4ABD-A3DA-621D7495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Lyall</dc:creator>
  <cp:lastModifiedBy>Elena Blanco</cp:lastModifiedBy>
  <cp:revision>13</cp:revision>
  <dcterms:created xsi:type="dcterms:W3CDTF">2017-08-04T18:02:00Z</dcterms:created>
  <dcterms:modified xsi:type="dcterms:W3CDTF">2018-04-16T11:54:00Z</dcterms:modified>
</cp:coreProperties>
</file>