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8386E" w14:textId="77777777" w:rsidR="00097E98" w:rsidRPr="00983193" w:rsidRDefault="00097E98" w:rsidP="00891161">
      <w:pPr>
        <w:jc w:val="center"/>
        <w:rPr>
          <w:rFonts w:ascii="Times New Roman" w:hAnsi="Times New Roman" w:cs="Times New Roman"/>
          <w:color w:val="000000" w:themeColor="text1"/>
          <w:szCs w:val="28"/>
          <w:lang w:val="en-US"/>
        </w:rPr>
      </w:pPr>
      <w:r w:rsidRPr="00983193">
        <w:rPr>
          <w:rFonts w:ascii="Times New Roman" w:hAnsi="Times New Roman" w:cs="Times New Roman"/>
          <w:color w:val="000000" w:themeColor="text1"/>
          <w:szCs w:val="28"/>
          <w:lang w:val="en-US"/>
        </w:rPr>
        <w:t>13TH INTERDISCIPLINARY WORKSHOP ON INTANGIBLES AND INTELLECTUAL CAPITAL</w:t>
      </w:r>
    </w:p>
    <w:p w14:paraId="5489BDD5" w14:textId="77777777" w:rsidR="00097E98" w:rsidRPr="00983193" w:rsidRDefault="00097E98" w:rsidP="00891161">
      <w:pPr>
        <w:jc w:val="center"/>
        <w:rPr>
          <w:rFonts w:ascii="Times New Roman" w:hAnsi="Times New Roman" w:cs="Times New Roman"/>
          <w:color w:val="000000" w:themeColor="text1"/>
          <w:szCs w:val="28"/>
          <w:lang w:val="en-US"/>
        </w:rPr>
      </w:pPr>
      <w:r w:rsidRPr="00983193">
        <w:rPr>
          <w:rFonts w:ascii="Times New Roman" w:hAnsi="Times New Roman" w:cs="Times New Roman"/>
          <w:color w:val="000000" w:themeColor="text1"/>
          <w:szCs w:val="28"/>
          <w:lang w:val="en-US"/>
        </w:rPr>
        <w:t>VALUE CREATION, INTEGRATED REPORTING AND GOVERNANCE</w:t>
      </w:r>
    </w:p>
    <w:p w14:paraId="43448778" w14:textId="77777777" w:rsidR="00097E98" w:rsidRPr="00983193" w:rsidRDefault="00097E98" w:rsidP="00891161">
      <w:pPr>
        <w:jc w:val="center"/>
        <w:rPr>
          <w:rFonts w:ascii="Times New Roman" w:hAnsi="Times New Roman" w:cs="Times New Roman"/>
          <w:color w:val="000000" w:themeColor="text1"/>
          <w:sz w:val="28"/>
          <w:szCs w:val="28"/>
          <w:lang w:val="en-US"/>
        </w:rPr>
      </w:pPr>
      <w:r w:rsidRPr="00983193">
        <w:rPr>
          <w:rFonts w:ascii="Times New Roman" w:hAnsi="Times New Roman" w:cs="Times New Roman"/>
          <w:color w:val="000000" w:themeColor="text1"/>
          <w:szCs w:val="28"/>
          <w:lang w:val="en-US"/>
        </w:rPr>
        <w:t xml:space="preserve">ANCONA, ITALY, SEPTEMBER 21-22, </w:t>
      </w:r>
      <w:r w:rsidRPr="00983193">
        <w:rPr>
          <w:rFonts w:ascii="Times New Roman" w:hAnsi="Times New Roman" w:cs="Times New Roman"/>
          <w:color w:val="000000" w:themeColor="text1"/>
          <w:sz w:val="24"/>
          <w:szCs w:val="24"/>
          <w:lang w:val="en-US"/>
        </w:rPr>
        <w:t>2017</w:t>
      </w:r>
    </w:p>
    <w:p w14:paraId="370DE06F" w14:textId="77777777" w:rsidR="00097E98" w:rsidRPr="00983193" w:rsidRDefault="00097E98" w:rsidP="00891161">
      <w:pPr>
        <w:jc w:val="center"/>
        <w:rPr>
          <w:color w:val="000000" w:themeColor="text1"/>
          <w:lang w:val="en"/>
        </w:rPr>
      </w:pPr>
      <w:bookmarkStart w:id="0" w:name="_GoBack"/>
      <w:bookmarkEnd w:id="0"/>
    </w:p>
    <w:p w14:paraId="2A67D3FF" w14:textId="77777777" w:rsidR="00751A7D" w:rsidRDefault="008741E0" w:rsidP="00097E98">
      <w:pPr>
        <w:spacing w:after="0" w:line="240" w:lineRule="auto"/>
        <w:jc w:val="center"/>
        <w:rPr>
          <w:rFonts w:ascii="Calibri" w:eastAsia="Calibri" w:hAnsi="Calibri" w:cs="Times New Roman"/>
          <w:color w:val="000000" w:themeColor="text1"/>
          <w:sz w:val="24"/>
          <w:szCs w:val="24"/>
          <w:lang w:val="en"/>
        </w:rPr>
      </w:pPr>
      <w:r w:rsidRPr="00983193">
        <w:rPr>
          <w:rFonts w:ascii="Calibri" w:eastAsia="Calibri" w:hAnsi="Calibri" w:cs="Times New Roman"/>
          <w:color w:val="000000" w:themeColor="text1"/>
          <w:sz w:val="24"/>
          <w:szCs w:val="24"/>
          <w:lang w:val="en"/>
        </w:rPr>
        <w:t>M</w:t>
      </w:r>
      <w:r w:rsidR="006C1B92">
        <w:rPr>
          <w:rFonts w:ascii="Calibri" w:eastAsia="Calibri" w:hAnsi="Calibri" w:cs="Times New Roman"/>
          <w:color w:val="000000" w:themeColor="text1"/>
          <w:sz w:val="24"/>
          <w:szCs w:val="24"/>
          <w:lang w:val="en"/>
        </w:rPr>
        <w:t>t</w:t>
      </w:r>
      <w:r w:rsidRPr="00983193">
        <w:rPr>
          <w:rFonts w:ascii="Calibri" w:eastAsia="Calibri" w:hAnsi="Calibri" w:cs="Times New Roman"/>
          <w:color w:val="000000" w:themeColor="text1"/>
          <w:sz w:val="24"/>
          <w:szCs w:val="24"/>
          <w:lang w:val="en"/>
        </w:rPr>
        <w:t xml:space="preserve">B versus VAIC in measuring </w:t>
      </w:r>
      <w:r w:rsidR="00461338" w:rsidRPr="00983193">
        <w:rPr>
          <w:rFonts w:ascii="Calibri" w:eastAsia="Calibri" w:hAnsi="Calibri" w:cs="Times New Roman"/>
          <w:color w:val="000000" w:themeColor="text1"/>
          <w:sz w:val="24"/>
          <w:szCs w:val="24"/>
          <w:lang w:val="en"/>
        </w:rPr>
        <w:t>i</w:t>
      </w:r>
      <w:r w:rsidRPr="00983193">
        <w:rPr>
          <w:rFonts w:ascii="Calibri" w:eastAsia="Calibri" w:hAnsi="Calibri" w:cs="Times New Roman"/>
          <w:color w:val="000000" w:themeColor="text1"/>
          <w:sz w:val="24"/>
          <w:szCs w:val="24"/>
          <w:lang w:val="en"/>
        </w:rPr>
        <w:t xml:space="preserve">ntellectual </w:t>
      </w:r>
      <w:r w:rsidR="00461338" w:rsidRPr="00983193">
        <w:rPr>
          <w:rFonts w:ascii="Calibri" w:eastAsia="Calibri" w:hAnsi="Calibri" w:cs="Times New Roman"/>
          <w:color w:val="000000" w:themeColor="text1"/>
          <w:sz w:val="24"/>
          <w:szCs w:val="24"/>
          <w:lang w:val="en"/>
        </w:rPr>
        <w:t>c</w:t>
      </w:r>
      <w:r w:rsidRPr="00983193">
        <w:rPr>
          <w:rFonts w:ascii="Calibri" w:eastAsia="Calibri" w:hAnsi="Calibri" w:cs="Times New Roman"/>
          <w:color w:val="000000" w:themeColor="text1"/>
          <w:sz w:val="24"/>
          <w:szCs w:val="24"/>
          <w:lang w:val="en"/>
        </w:rPr>
        <w:t>apital:</w:t>
      </w:r>
    </w:p>
    <w:p w14:paraId="6C3CB706" w14:textId="77777777" w:rsidR="00097E98" w:rsidRPr="00983193" w:rsidRDefault="008741E0" w:rsidP="00097E98">
      <w:pPr>
        <w:spacing w:after="0" w:line="240" w:lineRule="auto"/>
        <w:jc w:val="center"/>
        <w:rPr>
          <w:rFonts w:ascii="Calibri" w:eastAsia="Calibri" w:hAnsi="Calibri" w:cs="Times New Roman"/>
          <w:color w:val="000000" w:themeColor="text1"/>
          <w:sz w:val="24"/>
          <w:szCs w:val="24"/>
          <w:lang w:val="en"/>
        </w:rPr>
      </w:pPr>
      <w:r w:rsidRPr="00983193">
        <w:rPr>
          <w:rFonts w:ascii="Calibri" w:eastAsia="Calibri" w:hAnsi="Calibri" w:cs="Times New Roman"/>
          <w:color w:val="000000" w:themeColor="text1"/>
          <w:sz w:val="24"/>
          <w:szCs w:val="24"/>
          <w:lang w:val="en"/>
        </w:rPr>
        <w:t>Empirical evidence from Italian listed companies</w:t>
      </w:r>
    </w:p>
    <w:p w14:paraId="704655C4" w14:textId="77777777" w:rsidR="00097E98" w:rsidRPr="00983193" w:rsidRDefault="00097E98" w:rsidP="00097E98">
      <w:pPr>
        <w:spacing w:after="0" w:line="240" w:lineRule="auto"/>
        <w:jc w:val="center"/>
        <w:rPr>
          <w:rFonts w:ascii="Calibri" w:eastAsia="Calibri" w:hAnsi="Calibri" w:cs="Times New Roman"/>
          <w:color w:val="000000" w:themeColor="text1"/>
          <w:sz w:val="24"/>
          <w:szCs w:val="24"/>
          <w:lang w:val="en"/>
        </w:rPr>
      </w:pPr>
    </w:p>
    <w:p w14:paraId="55553251" w14:textId="77777777" w:rsidR="004453D2" w:rsidRPr="00983193" w:rsidRDefault="004453D2" w:rsidP="004453D2">
      <w:pPr>
        <w:spacing w:after="0" w:line="240" w:lineRule="auto"/>
        <w:jc w:val="center"/>
        <w:rPr>
          <w:rFonts w:ascii="Calibri" w:eastAsia="Calibri" w:hAnsi="Calibri" w:cs="Times New Roman"/>
          <w:color w:val="000000" w:themeColor="text1"/>
          <w:sz w:val="24"/>
          <w:szCs w:val="24"/>
          <w:lang w:val="en-US"/>
        </w:rPr>
      </w:pPr>
      <w:r w:rsidRPr="00983193">
        <w:rPr>
          <w:rFonts w:ascii="Calibri" w:eastAsia="Calibri" w:hAnsi="Calibri" w:cs="Times New Roman"/>
          <w:color w:val="000000" w:themeColor="text1"/>
          <w:sz w:val="24"/>
          <w:szCs w:val="24"/>
          <w:lang w:val="en-US"/>
        </w:rPr>
        <w:t>William Forte – University of Salerno</w:t>
      </w:r>
    </w:p>
    <w:p w14:paraId="40783FD7" w14:textId="77777777" w:rsidR="00CB0124" w:rsidRPr="00983193" w:rsidRDefault="00CB0124" w:rsidP="00CB0124">
      <w:pPr>
        <w:spacing w:after="0" w:line="240" w:lineRule="auto"/>
        <w:jc w:val="center"/>
        <w:rPr>
          <w:rFonts w:ascii="Calibri" w:eastAsia="Calibri" w:hAnsi="Calibri" w:cs="Times New Roman"/>
          <w:color w:val="000000" w:themeColor="text1"/>
          <w:sz w:val="24"/>
          <w:szCs w:val="24"/>
          <w:lang w:val="en-US"/>
        </w:rPr>
      </w:pPr>
      <w:r w:rsidRPr="00983193">
        <w:rPr>
          <w:rFonts w:ascii="Calibri" w:eastAsia="Calibri" w:hAnsi="Calibri" w:cs="Times New Roman"/>
          <w:color w:val="000000" w:themeColor="text1"/>
          <w:sz w:val="24"/>
          <w:szCs w:val="24"/>
          <w:lang w:val="en-US"/>
        </w:rPr>
        <w:t>Gaetano Matonti – University of Salerno</w:t>
      </w:r>
    </w:p>
    <w:p w14:paraId="603602F4" w14:textId="77777777" w:rsidR="004453D2" w:rsidRPr="00983193" w:rsidRDefault="004453D2" w:rsidP="004453D2">
      <w:pPr>
        <w:spacing w:after="0" w:line="240" w:lineRule="auto"/>
        <w:jc w:val="center"/>
        <w:rPr>
          <w:rFonts w:ascii="Calibri" w:eastAsia="Calibri" w:hAnsi="Calibri" w:cs="Times New Roman"/>
          <w:color w:val="000000" w:themeColor="text1"/>
          <w:sz w:val="24"/>
          <w:szCs w:val="24"/>
          <w:lang w:val="en-US"/>
        </w:rPr>
      </w:pPr>
      <w:r w:rsidRPr="00983193">
        <w:rPr>
          <w:rFonts w:ascii="Calibri" w:eastAsia="Calibri" w:hAnsi="Calibri" w:cs="Times New Roman"/>
          <w:color w:val="000000" w:themeColor="text1"/>
          <w:sz w:val="24"/>
          <w:szCs w:val="24"/>
          <w:lang w:val="en-US"/>
        </w:rPr>
        <w:t>Jon Tucker – University of the West of England</w:t>
      </w:r>
    </w:p>
    <w:p w14:paraId="131C4168" w14:textId="77777777" w:rsidR="004453D2" w:rsidRDefault="004453D2" w:rsidP="004453D2">
      <w:pPr>
        <w:spacing w:after="0" w:line="240" w:lineRule="auto"/>
        <w:jc w:val="center"/>
        <w:rPr>
          <w:rFonts w:ascii="Calibri" w:eastAsia="Calibri" w:hAnsi="Calibri" w:cs="Times New Roman"/>
          <w:color w:val="000000" w:themeColor="text1"/>
          <w:sz w:val="24"/>
          <w:szCs w:val="24"/>
          <w:lang w:val="en-US"/>
        </w:rPr>
      </w:pPr>
      <w:r w:rsidRPr="00983193">
        <w:rPr>
          <w:rFonts w:ascii="Calibri" w:eastAsia="Calibri" w:hAnsi="Calibri" w:cs="Times New Roman"/>
          <w:color w:val="000000" w:themeColor="text1"/>
          <w:sz w:val="24"/>
          <w:szCs w:val="24"/>
          <w:lang w:val="en-US"/>
        </w:rPr>
        <w:t>Giuseppe Nicolò – University of Salerno</w:t>
      </w:r>
    </w:p>
    <w:p w14:paraId="3E05E270" w14:textId="77777777" w:rsidR="006726DC" w:rsidRDefault="006726DC" w:rsidP="004453D2">
      <w:pPr>
        <w:spacing w:after="0" w:line="240" w:lineRule="auto"/>
        <w:jc w:val="center"/>
        <w:rPr>
          <w:rFonts w:ascii="Calibri" w:eastAsia="Calibri" w:hAnsi="Calibri" w:cs="Times New Roman"/>
          <w:color w:val="000000" w:themeColor="text1"/>
          <w:sz w:val="24"/>
          <w:szCs w:val="24"/>
          <w:lang w:val="en-US"/>
        </w:rPr>
      </w:pPr>
    </w:p>
    <w:p w14:paraId="02CCAA40" w14:textId="77777777" w:rsidR="006726DC" w:rsidRPr="00983193" w:rsidRDefault="006726DC" w:rsidP="004453D2">
      <w:pPr>
        <w:spacing w:after="0" w:line="240" w:lineRule="auto"/>
        <w:jc w:val="center"/>
        <w:rPr>
          <w:rFonts w:ascii="Calibri" w:eastAsia="Calibri" w:hAnsi="Calibri" w:cs="Times New Roman"/>
          <w:color w:val="000000" w:themeColor="text1"/>
          <w:sz w:val="24"/>
          <w:szCs w:val="24"/>
          <w:lang w:val="en-US"/>
        </w:rPr>
      </w:pPr>
      <w:r w:rsidRPr="008423C1">
        <w:rPr>
          <w:rFonts w:ascii="Calibri" w:eastAsia="Calibri" w:hAnsi="Calibri" w:cs="Times New Roman"/>
          <w:color w:val="000000" w:themeColor="text1"/>
          <w:sz w:val="24"/>
          <w:szCs w:val="24"/>
          <w:lang w:val="en-US"/>
        </w:rPr>
        <w:t xml:space="preserve">ISSN </w:t>
      </w:r>
      <w:r w:rsidR="008948C5" w:rsidRPr="008423C1">
        <w:rPr>
          <w:rFonts w:ascii="Calibri" w:eastAsia="Calibri" w:hAnsi="Calibri" w:cs="Times New Roman"/>
          <w:color w:val="000000" w:themeColor="text1"/>
          <w:sz w:val="24"/>
          <w:szCs w:val="24"/>
          <w:lang w:val="en-US"/>
        </w:rPr>
        <w:t>2295-1679</w:t>
      </w:r>
      <w:r w:rsidR="008948C5">
        <w:rPr>
          <w:rFonts w:ascii="Calibri" w:eastAsia="Calibri" w:hAnsi="Calibri" w:cs="Times New Roman"/>
          <w:color w:val="000000" w:themeColor="text1"/>
          <w:sz w:val="24"/>
          <w:szCs w:val="24"/>
          <w:lang w:val="en-US"/>
        </w:rPr>
        <w:t xml:space="preserve"> (Proceedings)</w:t>
      </w:r>
    </w:p>
    <w:p w14:paraId="00ABF846" w14:textId="77777777" w:rsidR="00405F68" w:rsidRPr="00983193" w:rsidRDefault="00405F68" w:rsidP="00405F68">
      <w:pPr>
        <w:autoSpaceDE w:val="0"/>
        <w:autoSpaceDN w:val="0"/>
        <w:adjustRightInd w:val="0"/>
        <w:spacing w:after="0" w:line="240" w:lineRule="auto"/>
        <w:rPr>
          <w:rFonts w:ascii="Calibri" w:hAnsi="Calibri" w:cs="Calibri"/>
          <w:color w:val="000000" w:themeColor="text1"/>
          <w:sz w:val="20"/>
          <w:szCs w:val="20"/>
          <w:lang w:val="en-US"/>
        </w:rPr>
      </w:pPr>
    </w:p>
    <w:p w14:paraId="6060508C" w14:textId="77777777" w:rsidR="00405F68" w:rsidRPr="00983193" w:rsidRDefault="00405F68" w:rsidP="00405F68">
      <w:pPr>
        <w:rPr>
          <w:color w:val="000000" w:themeColor="text1"/>
          <w:sz w:val="24"/>
          <w:szCs w:val="24"/>
          <w:lang w:val="en-US"/>
        </w:rPr>
      </w:pPr>
    </w:p>
    <w:p w14:paraId="69FF07C2" w14:textId="77777777" w:rsidR="00405F68" w:rsidRPr="00983193" w:rsidRDefault="00405F68" w:rsidP="00405F68">
      <w:pPr>
        <w:jc w:val="center"/>
        <w:rPr>
          <w:color w:val="000000" w:themeColor="text1"/>
          <w:sz w:val="24"/>
          <w:szCs w:val="24"/>
          <w:lang w:val="en-US"/>
        </w:rPr>
      </w:pPr>
      <w:r w:rsidRPr="00983193">
        <w:rPr>
          <w:color w:val="000000" w:themeColor="text1"/>
          <w:sz w:val="24"/>
          <w:szCs w:val="24"/>
          <w:lang w:val="en-US"/>
        </w:rPr>
        <w:t>ABSTRACT</w:t>
      </w:r>
    </w:p>
    <w:p w14:paraId="77D982B4" w14:textId="77777777" w:rsidR="00405F68" w:rsidRPr="00983193" w:rsidRDefault="00405F68" w:rsidP="00405F68">
      <w:pPr>
        <w:spacing w:after="0" w:line="256" w:lineRule="auto"/>
        <w:jc w:val="both"/>
        <w:rPr>
          <w:color w:val="000000" w:themeColor="text1"/>
          <w:sz w:val="24"/>
          <w:szCs w:val="24"/>
          <w:lang w:val="en-US"/>
        </w:rPr>
      </w:pPr>
      <w:r w:rsidRPr="00983193">
        <w:rPr>
          <w:i/>
          <w:color w:val="000000" w:themeColor="text1"/>
          <w:sz w:val="24"/>
          <w:szCs w:val="24"/>
          <w:lang w:val="en-US"/>
        </w:rPr>
        <w:t xml:space="preserve">Purpose – </w:t>
      </w:r>
      <w:r w:rsidR="00455EBF">
        <w:rPr>
          <w:color w:val="000000" w:themeColor="text1"/>
          <w:sz w:val="24"/>
          <w:szCs w:val="24"/>
          <w:lang w:val="en-US"/>
        </w:rPr>
        <w:t>Grounded in</w:t>
      </w:r>
      <w:r w:rsidRPr="00983193">
        <w:rPr>
          <w:color w:val="000000" w:themeColor="text1"/>
          <w:sz w:val="24"/>
          <w:szCs w:val="24"/>
          <w:lang w:val="en-US"/>
        </w:rPr>
        <w:t xml:space="preserve"> the </w:t>
      </w:r>
      <w:r w:rsidR="00455EBF">
        <w:rPr>
          <w:color w:val="000000" w:themeColor="text1"/>
          <w:sz w:val="24"/>
          <w:szCs w:val="24"/>
          <w:lang w:val="en-US"/>
        </w:rPr>
        <w:t xml:space="preserve">extant theoretical and empirical </w:t>
      </w:r>
      <w:r w:rsidRPr="00983193">
        <w:rPr>
          <w:color w:val="000000" w:themeColor="text1"/>
          <w:sz w:val="24"/>
          <w:szCs w:val="24"/>
          <w:lang w:val="en-US"/>
        </w:rPr>
        <w:t xml:space="preserve">literature, the purpose of this paper is to compare two </w:t>
      </w:r>
      <w:r w:rsidR="00455EBF">
        <w:rPr>
          <w:color w:val="000000" w:themeColor="text1"/>
          <w:sz w:val="24"/>
          <w:szCs w:val="24"/>
          <w:lang w:val="en-US"/>
        </w:rPr>
        <w:t>of</w:t>
      </w:r>
      <w:r w:rsidR="00455EBF" w:rsidRPr="00983193">
        <w:rPr>
          <w:color w:val="000000" w:themeColor="text1"/>
          <w:sz w:val="24"/>
          <w:szCs w:val="24"/>
          <w:lang w:val="en-US"/>
        </w:rPr>
        <w:t xml:space="preserve"> </w:t>
      </w:r>
      <w:r w:rsidRPr="00983193">
        <w:rPr>
          <w:color w:val="000000" w:themeColor="text1"/>
          <w:sz w:val="24"/>
          <w:szCs w:val="24"/>
          <w:lang w:val="en-US"/>
        </w:rPr>
        <w:t xml:space="preserve">the most employed methods measuring IC value in order to find the most suitable in the context of Italian </w:t>
      </w:r>
      <w:r w:rsidR="003926B6" w:rsidRPr="00983193">
        <w:rPr>
          <w:color w:val="000000" w:themeColor="text1"/>
          <w:sz w:val="24"/>
          <w:szCs w:val="24"/>
          <w:lang w:val="en-US"/>
        </w:rPr>
        <w:t>listed firms</w:t>
      </w:r>
      <w:r w:rsidRPr="00983193">
        <w:rPr>
          <w:color w:val="000000" w:themeColor="text1"/>
          <w:sz w:val="24"/>
          <w:szCs w:val="24"/>
          <w:lang w:val="en-US"/>
        </w:rPr>
        <w:t xml:space="preserve">. Moreover, this paper also </w:t>
      </w:r>
      <w:r w:rsidR="00BF38C1" w:rsidRPr="00983193">
        <w:rPr>
          <w:color w:val="000000" w:themeColor="text1"/>
          <w:sz w:val="24"/>
          <w:szCs w:val="24"/>
          <w:lang w:val="en-US"/>
        </w:rPr>
        <w:t>investigates</w:t>
      </w:r>
      <w:r w:rsidRPr="00983193">
        <w:rPr>
          <w:color w:val="000000" w:themeColor="text1"/>
          <w:sz w:val="24"/>
          <w:szCs w:val="24"/>
          <w:lang w:val="en-US"/>
        </w:rPr>
        <w:t xml:space="preserve"> the relationship between Intellectual Capital (IC), measured in terms of the Market to Book (MTB) ratio</w:t>
      </w:r>
      <w:r w:rsidR="00455EBF">
        <w:rPr>
          <w:color w:val="000000" w:themeColor="text1"/>
          <w:sz w:val="24"/>
          <w:szCs w:val="24"/>
          <w:lang w:val="en-US"/>
        </w:rPr>
        <w:t>,</w:t>
      </w:r>
      <w:r w:rsidRPr="00983193">
        <w:rPr>
          <w:color w:val="000000" w:themeColor="text1"/>
          <w:sz w:val="24"/>
          <w:szCs w:val="24"/>
          <w:lang w:val="en-US"/>
        </w:rPr>
        <w:t xml:space="preserve"> </w:t>
      </w:r>
      <w:r w:rsidRPr="00455EBF">
        <w:rPr>
          <w:color w:val="000000" w:themeColor="text1"/>
          <w:sz w:val="24"/>
          <w:szCs w:val="24"/>
          <w:lang w:val="en-US"/>
        </w:rPr>
        <w:t>and</w:t>
      </w:r>
      <w:r w:rsidR="004453D2" w:rsidRPr="00951559">
        <w:rPr>
          <w:color w:val="000000" w:themeColor="text1"/>
          <w:sz w:val="24"/>
          <w:szCs w:val="24"/>
          <w:lang w:val="en-US"/>
        </w:rPr>
        <w:t xml:space="preserve"> </w:t>
      </w:r>
      <w:r w:rsidR="00455EBF" w:rsidRPr="00951559">
        <w:rPr>
          <w:color w:val="000000" w:themeColor="text1"/>
          <w:sz w:val="24"/>
          <w:szCs w:val="24"/>
          <w:lang w:val="en-US"/>
        </w:rPr>
        <w:t>the</w:t>
      </w:r>
      <w:r w:rsidR="00455EBF">
        <w:rPr>
          <w:color w:val="000000" w:themeColor="text1"/>
          <w:lang w:val="en-US"/>
        </w:rPr>
        <w:t xml:space="preserve"> </w:t>
      </w:r>
      <w:r w:rsidR="004453D2" w:rsidRPr="00983193">
        <w:rPr>
          <w:color w:val="000000" w:themeColor="text1"/>
          <w:sz w:val="24"/>
          <w:szCs w:val="24"/>
          <w:lang w:val="en-US"/>
        </w:rPr>
        <w:t>Value Added</w:t>
      </w:r>
      <w:r w:rsidRPr="00983193">
        <w:rPr>
          <w:color w:val="000000" w:themeColor="text1"/>
          <w:sz w:val="24"/>
          <w:szCs w:val="24"/>
          <w:lang w:val="en-US"/>
        </w:rPr>
        <w:t xml:space="preserve"> Intellectual Coefficient (VAIC)</w:t>
      </w:r>
      <w:r w:rsidR="00455EBF">
        <w:rPr>
          <w:color w:val="000000" w:themeColor="text1"/>
          <w:sz w:val="24"/>
          <w:szCs w:val="24"/>
          <w:lang w:val="en-US"/>
        </w:rPr>
        <w:t>,</w:t>
      </w:r>
      <w:r w:rsidRPr="00983193">
        <w:rPr>
          <w:color w:val="000000" w:themeColor="text1"/>
          <w:sz w:val="24"/>
          <w:szCs w:val="24"/>
          <w:lang w:val="en-US"/>
        </w:rPr>
        <w:t xml:space="preserve"> and potential key determinants of IC value </w:t>
      </w:r>
      <w:r w:rsidR="00455EBF">
        <w:rPr>
          <w:color w:val="000000" w:themeColor="text1"/>
          <w:sz w:val="24"/>
          <w:szCs w:val="24"/>
          <w:lang w:val="en-US"/>
        </w:rPr>
        <w:t>including</w:t>
      </w:r>
      <w:r w:rsidRPr="00983193">
        <w:rPr>
          <w:color w:val="000000" w:themeColor="text1"/>
          <w:sz w:val="24"/>
          <w:szCs w:val="24"/>
          <w:lang w:val="en-US"/>
        </w:rPr>
        <w:t xml:space="preserve"> intangible assets (IA) and a range of other factors. </w:t>
      </w:r>
    </w:p>
    <w:p w14:paraId="6E781C70" w14:textId="77777777" w:rsidR="00405F68" w:rsidRPr="00983193" w:rsidRDefault="00405F68" w:rsidP="00405F68">
      <w:pPr>
        <w:spacing w:after="0"/>
        <w:jc w:val="both"/>
        <w:rPr>
          <w:color w:val="000000" w:themeColor="text1"/>
          <w:sz w:val="24"/>
          <w:szCs w:val="24"/>
          <w:lang w:val="en-US"/>
        </w:rPr>
      </w:pPr>
      <w:r w:rsidRPr="00983193">
        <w:rPr>
          <w:i/>
          <w:color w:val="000000" w:themeColor="text1"/>
          <w:sz w:val="24"/>
          <w:szCs w:val="24"/>
          <w:lang w:val="en-US"/>
        </w:rPr>
        <w:t xml:space="preserve">Design/methodology/approach – </w:t>
      </w:r>
      <w:r w:rsidRPr="00983193">
        <w:rPr>
          <w:color w:val="000000" w:themeColor="text1"/>
          <w:sz w:val="24"/>
          <w:szCs w:val="24"/>
          <w:lang w:val="en-US"/>
        </w:rPr>
        <w:t xml:space="preserve">The study is conducted for a sample of </w:t>
      </w:r>
      <w:r w:rsidR="00226729" w:rsidRPr="00983193">
        <w:rPr>
          <w:color w:val="000000" w:themeColor="text1"/>
          <w:sz w:val="24"/>
          <w:szCs w:val="24"/>
          <w:lang w:val="en-US"/>
        </w:rPr>
        <w:t>Italian listed firms over the period 2011-2015</w:t>
      </w:r>
      <w:r w:rsidRPr="00983193">
        <w:rPr>
          <w:color w:val="000000" w:themeColor="text1"/>
          <w:sz w:val="24"/>
          <w:szCs w:val="24"/>
          <w:lang w:val="en-US"/>
        </w:rPr>
        <w:t>. Applying a holistic market-based approach</w:t>
      </w:r>
      <w:r w:rsidR="00226729" w:rsidRPr="00983193">
        <w:rPr>
          <w:color w:val="000000" w:themeColor="text1"/>
          <w:sz w:val="24"/>
          <w:szCs w:val="24"/>
          <w:lang w:val="en-US"/>
        </w:rPr>
        <w:t xml:space="preserve"> and the Value Added approach</w:t>
      </w:r>
      <w:r w:rsidR="00455EBF">
        <w:rPr>
          <w:color w:val="000000" w:themeColor="text1"/>
          <w:sz w:val="24"/>
          <w:szCs w:val="24"/>
          <w:lang w:val="en-US"/>
        </w:rPr>
        <w:t>,</w:t>
      </w:r>
      <w:r w:rsidR="00226729" w:rsidRPr="00983193">
        <w:rPr>
          <w:color w:val="000000" w:themeColor="text1"/>
          <w:sz w:val="24"/>
          <w:szCs w:val="24"/>
          <w:lang w:val="en-US"/>
        </w:rPr>
        <w:t xml:space="preserve"> </w:t>
      </w:r>
      <w:r w:rsidRPr="00983193">
        <w:rPr>
          <w:color w:val="000000" w:themeColor="text1"/>
          <w:sz w:val="24"/>
          <w:szCs w:val="24"/>
          <w:lang w:val="en-US"/>
        </w:rPr>
        <w:t>the relationship between IC value</w:t>
      </w:r>
      <w:r w:rsidR="00455EBF">
        <w:rPr>
          <w:color w:val="000000" w:themeColor="text1"/>
          <w:sz w:val="24"/>
          <w:szCs w:val="24"/>
          <w:lang w:val="en-US"/>
        </w:rPr>
        <w:t>, as</w:t>
      </w:r>
      <w:r w:rsidR="00226729" w:rsidRPr="00983193">
        <w:rPr>
          <w:color w:val="000000" w:themeColor="text1"/>
          <w:sz w:val="24"/>
          <w:szCs w:val="24"/>
          <w:lang w:val="en-US"/>
        </w:rPr>
        <w:t xml:space="preserve"> obtained by these two different approaches</w:t>
      </w:r>
      <w:r w:rsidR="00455EBF">
        <w:rPr>
          <w:color w:val="000000" w:themeColor="text1"/>
          <w:sz w:val="24"/>
          <w:szCs w:val="24"/>
          <w:lang w:val="en-US"/>
        </w:rPr>
        <w:t>,</w:t>
      </w:r>
      <w:r w:rsidRPr="00983193">
        <w:rPr>
          <w:color w:val="000000" w:themeColor="text1"/>
          <w:sz w:val="24"/>
          <w:szCs w:val="24"/>
          <w:lang w:val="en-US"/>
        </w:rPr>
        <w:t xml:space="preserve"> </w:t>
      </w:r>
      <w:r w:rsidR="00455EBF" w:rsidRPr="00983193">
        <w:rPr>
          <w:color w:val="000000" w:themeColor="text1"/>
          <w:sz w:val="24"/>
          <w:szCs w:val="24"/>
          <w:lang w:val="en-US"/>
        </w:rPr>
        <w:t xml:space="preserve">is tested </w:t>
      </w:r>
      <w:r w:rsidR="00455EBF">
        <w:rPr>
          <w:color w:val="000000" w:themeColor="text1"/>
          <w:sz w:val="24"/>
          <w:szCs w:val="24"/>
          <w:lang w:val="en-US"/>
        </w:rPr>
        <w:t>in relation to</w:t>
      </w:r>
      <w:r w:rsidR="00455EBF" w:rsidRPr="00983193">
        <w:rPr>
          <w:color w:val="000000" w:themeColor="text1"/>
          <w:sz w:val="24"/>
          <w:szCs w:val="24"/>
          <w:lang w:val="en-US"/>
        </w:rPr>
        <w:t xml:space="preserve"> </w:t>
      </w:r>
      <w:r w:rsidRPr="00983193">
        <w:rPr>
          <w:color w:val="000000" w:themeColor="text1"/>
          <w:sz w:val="24"/>
          <w:szCs w:val="24"/>
          <w:lang w:val="en-US"/>
        </w:rPr>
        <w:t xml:space="preserve">selected determinants from the extant literature. </w:t>
      </w:r>
    </w:p>
    <w:p w14:paraId="10E7E801" w14:textId="77777777" w:rsidR="00405F68" w:rsidRPr="00983193" w:rsidRDefault="00405F68" w:rsidP="00405F68">
      <w:pPr>
        <w:spacing w:after="0"/>
        <w:jc w:val="both"/>
        <w:rPr>
          <w:i/>
          <w:color w:val="000000" w:themeColor="text1"/>
          <w:sz w:val="24"/>
          <w:szCs w:val="24"/>
          <w:lang w:val="en-US"/>
        </w:rPr>
      </w:pPr>
      <w:r w:rsidRPr="00983193">
        <w:rPr>
          <w:i/>
          <w:color w:val="000000" w:themeColor="text1"/>
          <w:sz w:val="24"/>
          <w:szCs w:val="24"/>
          <w:lang w:val="en-US"/>
        </w:rPr>
        <w:t xml:space="preserve">Findings – </w:t>
      </w:r>
      <w:r w:rsidR="00F81FDA" w:rsidRPr="00983193">
        <w:rPr>
          <w:color w:val="000000" w:themeColor="text1"/>
          <w:sz w:val="24"/>
          <w:szCs w:val="24"/>
          <w:lang w:val="en-US"/>
        </w:rPr>
        <w:t xml:space="preserve"> </w:t>
      </w:r>
      <w:r w:rsidR="00AF75BE">
        <w:rPr>
          <w:color w:val="000000" w:themeColor="text1"/>
          <w:sz w:val="24"/>
          <w:szCs w:val="24"/>
          <w:lang w:val="en-US"/>
        </w:rPr>
        <w:t>T</w:t>
      </w:r>
      <w:r w:rsidR="00F81FDA" w:rsidRPr="00983193">
        <w:rPr>
          <w:color w:val="000000" w:themeColor="text1"/>
          <w:sz w:val="24"/>
          <w:szCs w:val="24"/>
          <w:lang w:val="en-US"/>
        </w:rPr>
        <w:t>he results show that in the Italian listed firm</w:t>
      </w:r>
      <w:r w:rsidR="00AF75BE" w:rsidRPr="00AF75BE">
        <w:rPr>
          <w:color w:val="000000" w:themeColor="text1"/>
          <w:sz w:val="24"/>
          <w:szCs w:val="24"/>
          <w:lang w:val="en-US"/>
        </w:rPr>
        <w:t xml:space="preserve"> </w:t>
      </w:r>
      <w:r w:rsidR="00AF75BE">
        <w:rPr>
          <w:color w:val="000000" w:themeColor="text1"/>
          <w:sz w:val="24"/>
          <w:szCs w:val="24"/>
          <w:lang w:val="en-US"/>
        </w:rPr>
        <w:t>context</w:t>
      </w:r>
      <w:r w:rsidR="00F81FDA" w:rsidRPr="00983193">
        <w:rPr>
          <w:color w:val="000000" w:themeColor="text1"/>
          <w:sz w:val="24"/>
          <w:szCs w:val="24"/>
          <w:lang w:val="en-US"/>
        </w:rPr>
        <w:t>, MtB is a better estimator of IC value than VAIC. Further, t</w:t>
      </w:r>
      <w:r w:rsidRPr="00983193">
        <w:rPr>
          <w:color w:val="000000" w:themeColor="text1"/>
          <w:sz w:val="24"/>
          <w:szCs w:val="24"/>
          <w:lang w:val="en-US"/>
        </w:rPr>
        <w:t>he</w:t>
      </w:r>
      <w:r w:rsidRPr="00983193">
        <w:rPr>
          <w:i/>
          <w:color w:val="000000" w:themeColor="text1"/>
          <w:sz w:val="24"/>
          <w:szCs w:val="24"/>
          <w:lang w:val="en-US"/>
        </w:rPr>
        <w:t xml:space="preserve"> </w:t>
      </w:r>
      <w:r w:rsidRPr="00983193">
        <w:rPr>
          <w:color w:val="000000" w:themeColor="text1"/>
          <w:sz w:val="24"/>
          <w:szCs w:val="24"/>
          <w:lang w:val="en-US"/>
        </w:rPr>
        <w:t>results show</w:t>
      </w:r>
      <w:r w:rsidR="00C5091D" w:rsidRPr="00983193">
        <w:rPr>
          <w:color w:val="000000" w:themeColor="text1"/>
          <w:sz w:val="24"/>
          <w:szCs w:val="24"/>
          <w:lang w:val="en-US"/>
        </w:rPr>
        <w:t xml:space="preserve"> for MtB</w:t>
      </w:r>
      <w:r w:rsidRPr="00983193">
        <w:rPr>
          <w:color w:val="000000" w:themeColor="text1"/>
          <w:sz w:val="24"/>
          <w:szCs w:val="24"/>
          <w:lang w:val="en-US"/>
        </w:rPr>
        <w:t xml:space="preserve"> that</w:t>
      </w:r>
      <w:r w:rsidRPr="00983193">
        <w:rPr>
          <w:color w:val="000000" w:themeColor="text1"/>
          <w:lang w:val="en-US"/>
        </w:rPr>
        <w:t xml:space="preserve"> </w:t>
      </w:r>
      <w:r w:rsidRPr="00983193">
        <w:rPr>
          <w:color w:val="000000" w:themeColor="text1"/>
          <w:sz w:val="24"/>
          <w:szCs w:val="24"/>
          <w:lang w:val="en-US"/>
        </w:rPr>
        <w:t xml:space="preserve">IA, profitability, leverage, </w:t>
      </w:r>
      <w:r w:rsidR="00C5091D" w:rsidRPr="00983193">
        <w:rPr>
          <w:color w:val="000000" w:themeColor="text1"/>
          <w:sz w:val="24"/>
          <w:szCs w:val="24"/>
          <w:lang w:val="en-US"/>
        </w:rPr>
        <w:t xml:space="preserve">growth and age are </w:t>
      </w:r>
      <w:r w:rsidR="00C73F61">
        <w:rPr>
          <w:color w:val="000000" w:themeColor="text1"/>
          <w:sz w:val="24"/>
          <w:szCs w:val="24"/>
          <w:lang w:val="en-US"/>
        </w:rPr>
        <w:t xml:space="preserve">significant </w:t>
      </w:r>
      <w:r w:rsidR="00AF75BE" w:rsidRPr="00983193">
        <w:rPr>
          <w:color w:val="000000" w:themeColor="text1"/>
          <w:sz w:val="24"/>
          <w:szCs w:val="24"/>
          <w:lang w:val="en-US"/>
        </w:rPr>
        <w:t xml:space="preserve">positive </w:t>
      </w:r>
      <w:r w:rsidR="00AF75BE">
        <w:rPr>
          <w:color w:val="000000" w:themeColor="text1"/>
          <w:sz w:val="24"/>
          <w:szCs w:val="24"/>
          <w:lang w:val="en-US"/>
        </w:rPr>
        <w:t xml:space="preserve">and </w:t>
      </w:r>
      <w:r w:rsidR="00C73F61">
        <w:rPr>
          <w:color w:val="000000" w:themeColor="text1"/>
          <w:sz w:val="24"/>
          <w:szCs w:val="24"/>
          <w:lang w:val="en-US"/>
        </w:rPr>
        <w:t>determinants</w:t>
      </w:r>
      <w:r w:rsidR="00C5091D" w:rsidRPr="00983193">
        <w:rPr>
          <w:color w:val="000000" w:themeColor="text1"/>
          <w:sz w:val="24"/>
          <w:szCs w:val="24"/>
          <w:lang w:val="en-US"/>
        </w:rPr>
        <w:t xml:space="preserve">, while size is </w:t>
      </w:r>
      <w:r w:rsidR="00C73F61">
        <w:rPr>
          <w:color w:val="000000" w:themeColor="text1"/>
          <w:sz w:val="24"/>
          <w:szCs w:val="24"/>
          <w:lang w:val="en-US"/>
        </w:rPr>
        <w:t xml:space="preserve">a significant </w:t>
      </w:r>
      <w:r w:rsidR="00AF75BE" w:rsidRPr="00983193">
        <w:rPr>
          <w:color w:val="000000" w:themeColor="text1"/>
          <w:sz w:val="24"/>
          <w:szCs w:val="24"/>
          <w:lang w:val="en-US"/>
        </w:rPr>
        <w:t xml:space="preserve">negative </w:t>
      </w:r>
      <w:r w:rsidR="00414661">
        <w:rPr>
          <w:color w:val="000000" w:themeColor="text1"/>
          <w:sz w:val="24"/>
          <w:szCs w:val="24"/>
          <w:lang w:val="en-US"/>
        </w:rPr>
        <w:t>determinant</w:t>
      </w:r>
      <w:r w:rsidR="00C5091D" w:rsidRPr="00983193">
        <w:rPr>
          <w:color w:val="000000" w:themeColor="text1"/>
          <w:sz w:val="24"/>
          <w:szCs w:val="24"/>
          <w:lang w:val="en-US"/>
        </w:rPr>
        <w:t xml:space="preserve">. </w:t>
      </w:r>
      <w:r w:rsidR="00AF75BE">
        <w:rPr>
          <w:color w:val="000000" w:themeColor="text1"/>
          <w:sz w:val="24"/>
          <w:szCs w:val="24"/>
          <w:lang w:val="en-US"/>
        </w:rPr>
        <w:t>F</w:t>
      </w:r>
      <w:r w:rsidR="00C5091D" w:rsidRPr="00983193">
        <w:rPr>
          <w:color w:val="000000" w:themeColor="text1"/>
          <w:sz w:val="24"/>
          <w:szCs w:val="24"/>
          <w:lang w:val="en-US"/>
        </w:rPr>
        <w:t>or VAIC</w:t>
      </w:r>
      <w:r w:rsidR="005D3479" w:rsidRPr="00983193">
        <w:rPr>
          <w:color w:val="000000" w:themeColor="text1"/>
          <w:sz w:val="24"/>
          <w:szCs w:val="24"/>
          <w:lang w:val="en-US"/>
        </w:rPr>
        <w:t xml:space="preserve">, </w:t>
      </w:r>
      <w:r w:rsidR="00AF75BE">
        <w:rPr>
          <w:color w:val="000000" w:themeColor="text1"/>
          <w:sz w:val="24"/>
          <w:szCs w:val="24"/>
          <w:lang w:val="en-US"/>
        </w:rPr>
        <w:t xml:space="preserve">the </w:t>
      </w:r>
      <w:r w:rsidR="005D3479" w:rsidRPr="00983193">
        <w:rPr>
          <w:color w:val="000000" w:themeColor="text1"/>
          <w:sz w:val="24"/>
          <w:szCs w:val="24"/>
          <w:lang w:val="en-US"/>
        </w:rPr>
        <w:t xml:space="preserve">results show that only </w:t>
      </w:r>
      <w:r w:rsidR="00C5091D" w:rsidRPr="00983193">
        <w:rPr>
          <w:color w:val="000000" w:themeColor="text1"/>
          <w:sz w:val="24"/>
          <w:szCs w:val="24"/>
          <w:lang w:val="en-US"/>
        </w:rPr>
        <w:t>profitability</w:t>
      </w:r>
      <w:r w:rsidR="00596AB7" w:rsidRPr="00983193">
        <w:rPr>
          <w:color w:val="000000" w:themeColor="text1"/>
          <w:sz w:val="24"/>
          <w:szCs w:val="24"/>
          <w:lang w:val="en-US"/>
        </w:rPr>
        <w:t xml:space="preserve"> and leverage</w:t>
      </w:r>
      <w:r w:rsidR="00C5091D" w:rsidRPr="00983193">
        <w:rPr>
          <w:color w:val="000000" w:themeColor="text1"/>
          <w:sz w:val="24"/>
          <w:szCs w:val="24"/>
          <w:lang w:val="en-US"/>
        </w:rPr>
        <w:t xml:space="preserve"> </w:t>
      </w:r>
      <w:r w:rsidR="00596AB7" w:rsidRPr="00983193">
        <w:rPr>
          <w:color w:val="000000" w:themeColor="text1"/>
          <w:sz w:val="24"/>
          <w:szCs w:val="24"/>
          <w:lang w:val="en-US"/>
        </w:rPr>
        <w:t>are</w:t>
      </w:r>
      <w:r w:rsidR="00C5091D" w:rsidRPr="00983193">
        <w:rPr>
          <w:color w:val="000000" w:themeColor="text1"/>
          <w:sz w:val="24"/>
          <w:szCs w:val="24"/>
          <w:lang w:val="en-US"/>
        </w:rPr>
        <w:t xml:space="preserve"> statistically significant</w:t>
      </w:r>
      <w:r w:rsidR="00AF75BE">
        <w:rPr>
          <w:color w:val="000000" w:themeColor="text1"/>
          <w:sz w:val="24"/>
          <w:szCs w:val="24"/>
          <w:lang w:val="en-US"/>
        </w:rPr>
        <w:t xml:space="preserve"> </w:t>
      </w:r>
      <w:r w:rsidR="00C73F61">
        <w:rPr>
          <w:color w:val="000000" w:themeColor="text1"/>
          <w:sz w:val="24"/>
          <w:szCs w:val="24"/>
          <w:lang w:val="en-US"/>
        </w:rPr>
        <w:t xml:space="preserve">positive and negative </w:t>
      </w:r>
      <w:r w:rsidR="00AF75BE">
        <w:rPr>
          <w:color w:val="000000" w:themeColor="text1"/>
          <w:sz w:val="24"/>
          <w:szCs w:val="24"/>
          <w:lang w:val="en-US"/>
        </w:rPr>
        <w:t>determinants</w:t>
      </w:r>
      <w:r w:rsidR="00C73F61">
        <w:rPr>
          <w:color w:val="000000" w:themeColor="text1"/>
          <w:sz w:val="24"/>
          <w:szCs w:val="24"/>
          <w:lang w:val="en-US"/>
        </w:rPr>
        <w:t>, respectively,</w:t>
      </w:r>
      <w:r w:rsidR="00596AB7" w:rsidRPr="00983193">
        <w:rPr>
          <w:color w:val="000000" w:themeColor="text1"/>
          <w:sz w:val="24"/>
          <w:szCs w:val="24"/>
          <w:lang w:val="en-US"/>
        </w:rPr>
        <w:t xml:space="preserve"> </w:t>
      </w:r>
      <w:r w:rsidR="00C5091D" w:rsidRPr="00983193">
        <w:rPr>
          <w:color w:val="000000" w:themeColor="text1"/>
          <w:sz w:val="24"/>
          <w:szCs w:val="24"/>
          <w:lang w:val="en-US"/>
        </w:rPr>
        <w:t>, while</w:t>
      </w:r>
      <w:r w:rsidR="005D3479" w:rsidRPr="00983193">
        <w:rPr>
          <w:color w:val="000000" w:themeColor="text1"/>
          <w:sz w:val="24"/>
          <w:szCs w:val="24"/>
          <w:lang w:val="en-US"/>
        </w:rPr>
        <w:t xml:space="preserve"> t</w:t>
      </w:r>
      <w:r w:rsidR="00C5091D" w:rsidRPr="00983193">
        <w:rPr>
          <w:color w:val="000000" w:themeColor="text1"/>
          <w:sz w:val="24"/>
          <w:szCs w:val="24"/>
          <w:lang w:val="en-US"/>
        </w:rPr>
        <w:t xml:space="preserve">he other </w:t>
      </w:r>
      <w:r w:rsidR="00C73F61">
        <w:rPr>
          <w:color w:val="000000" w:themeColor="text1"/>
          <w:sz w:val="24"/>
          <w:szCs w:val="24"/>
          <w:lang w:val="en-US"/>
        </w:rPr>
        <w:t xml:space="preserve">model </w:t>
      </w:r>
      <w:r w:rsidR="00C5091D" w:rsidRPr="00983193">
        <w:rPr>
          <w:color w:val="000000" w:themeColor="text1"/>
          <w:sz w:val="24"/>
          <w:szCs w:val="24"/>
          <w:lang w:val="en-US"/>
        </w:rPr>
        <w:t xml:space="preserve">variables are </w:t>
      </w:r>
      <w:r w:rsidR="00AF75BE">
        <w:rPr>
          <w:color w:val="000000" w:themeColor="text1"/>
          <w:sz w:val="24"/>
          <w:szCs w:val="24"/>
          <w:lang w:val="en-US"/>
        </w:rPr>
        <w:t>in</w:t>
      </w:r>
      <w:r w:rsidR="00C5091D" w:rsidRPr="00983193">
        <w:rPr>
          <w:color w:val="000000" w:themeColor="text1"/>
          <w:sz w:val="24"/>
          <w:szCs w:val="24"/>
          <w:lang w:val="en-US"/>
        </w:rPr>
        <w:t xml:space="preserve">significant.  </w:t>
      </w:r>
    </w:p>
    <w:p w14:paraId="2BBC36D2" w14:textId="77777777" w:rsidR="00405F68" w:rsidRPr="00983193" w:rsidRDefault="00405F68" w:rsidP="00405F68">
      <w:pPr>
        <w:spacing w:after="0"/>
        <w:jc w:val="both"/>
        <w:rPr>
          <w:color w:val="000000" w:themeColor="text1"/>
          <w:sz w:val="24"/>
          <w:szCs w:val="24"/>
          <w:lang w:val="en-US"/>
        </w:rPr>
      </w:pPr>
      <w:r w:rsidRPr="00983193">
        <w:rPr>
          <w:i/>
          <w:color w:val="000000" w:themeColor="text1"/>
          <w:sz w:val="24"/>
          <w:szCs w:val="24"/>
          <w:lang w:val="en-US"/>
        </w:rPr>
        <w:t xml:space="preserve">Research limitations/implications - </w:t>
      </w:r>
      <w:r w:rsidRPr="00983193">
        <w:rPr>
          <w:color w:val="000000" w:themeColor="text1"/>
          <w:sz w:val="24"/>
          <w:szCs w:val="24"/>
          <w:lang w:val="en-US"/>
        </w:rPr>
        <w:t xml:space="preserve">The validity of the findings is </w:t>
      </w:r>
      <w:r w:rsidR="00C73F61">
        <w:rPr>
          <w:color w:val="000000" w:themeColor="text1"/>
          <w:sz w:val="24"/>
          <w:szCs w:val="24"/>
          <w:lang w:val="en-US"/>
        </w:rPr>
        <w:t xml:space="preserve">somewhat </w:t>
      </w:r>
      <w:r w:rsidRPr="00983193">
        <w:rPr>
          <w:color w:val="000000" w:themeColor="text1"/>
          <w:sz w:val="24"/>
          <w:szCs w:val="24"/>
          <w:lang w:val="en-US"/>
        </w:rPr>
        <w:t xml:space="preserve">limited to the Italian context, as the study focuses on a sample of companies listed on the Milan Stock Exchange, all of which prepare their individual financial statements according to IFRS. Further limitations are related to the use of </w:t>
      </w:r>
      <w:r w:rsidR="00226729" w:rsidRPr="00983193">
        <w:rPr>
          <w:color w:val="000000" w:themeColor="text1"/>
          <w:sz w:val="24"/>
          <w:szCs w:val="24"/>
          <w:lang w:val="en-US"/>
        </w:rPr>
        <w:t xml:space="preserve">only two </w:t>
      </w:r>
      <w:r w:rsidR="00C73F61">
        <w:rPr>
          <w:color w:val="000000" w:themeColor="text1"/>
          <w:sz w:val="24"/>
          <w:szCs w:val="24"/>
          <w:lang w:val="en-US"/>
        </w:rPr>
        <w:t xml:space="preserve">alternative </w:t>
      </w:r>
      <w:r w:rsidR="00226729" w:rsidRPr="00983193">
        <w:rPr>
          <w:color w:val="000000" w:themeColor="text1"/>
          <w:sz w:val="24"/>
          <w:szCs w:val="24"/>
          <w:lang w:val="en-US"/>
        </w:rPr>
        <w:t>IC measurement approach</w:t>
      </w:r>
      <w:r w:rsidR="00C73F61">
        <w:rPr>
          <w:color w:val="000000" w:themeColor="text1"/>
          <w:sz w:val="24"/>
          <w:szCs w:val="24"/>
          <w:lang w:val="en-US"/>
        </w:rPr>
        <w:t>es, along</w:t>
      </w:r>
      <w:r w:rsidR="00226729" w:rsidRPr="00983193">
        <w:rPr>
          <w:color w:val="000000" w:themeColor="text1"/>
          <w:sz w:val="24"/>
          <w:szCs w:val="24"/>
          <w:lang w:val="en-US"/>
        </w:rPr>
        <w:t xml:space="preserve"> with their </w:t>
      </w:r>
      <w:r w:rsidR="00C73F61">
        <w:rPr>
          <w:color w:val="000000" w:themeColor="text1"/>
          <w:sz w:val="24"/>
          <w:szCs w:val="24"/>
          <w:lang w:val="en-US"/>
        </w:rPr>
        <w:t xml:space="preserve">own </w:t>
      </w:r>
      <w:r w:rsidR="00226729" w:rsidRPr="00983193">
        <w:rPr>
          <w:color w:val="000000" w:themeColor="text1"/>
          <w:sz w:val="24"/>
          <w:szCs w:val="24"/>
          <w:lang w:val="en-US"/>
        </w:rPr>
        <w:t>limitations</w:t>
      </w:r>
      <w:r w:rsidRPr="00983193">
        <w:rPr>
          <w:color w:val="000000" w:themeColor="text1"/>
          <w:sz w:val="24"/>
          <w:szCs w:val="24"/>
          <w:lang w:val="en-US"/>
        </w:rPr>
        <w:t>. The study allow</w:t>
      </w:r>
      <w:r w:rsidR="00C73F61">
        <w:rPr>
          <w:color w:val="000000" w:themeColor="text1"/>
          <w:sz w:val="24"/>
          <w:szCs w:val="24"/>
          <w:lang w:val="en-US"/>
        </w:rPr>
        <w:t>s</w:t>
      </w:r>
      <w:r w:rsidRPr="00983193">
        <w:rPr>
          <w:color w:val="000000" w:themeColor="text1"/>
          <w:sz w:val="24"/>
          <w:szCs w:val="24"/>
          <w:lang w:val="en-US"/>
        </w:rPr>
        <w:t xml:space="preserve"> </w:t>
      </w:r>
      <w:r w:rsidR="00226729" w:rsidRPr="00983193">
        <w:rPr>
          <w:color w:val="000000" w:themeColor="text1"/>
          <w:sz w:val="24"/>
          <w:szCs w:val="24"/>
          <w:lang w:val="en-US"/>
        </w:rPr>
        <w:t xml:space="preserve">academic researchers to compare </w:t>
      </w:r>
      <w:r w:rsidR="00C73F61">
        <w:rPr>
          <w:color w:val="000000" w:themeColor="text1"/>
          <w:sz w:val="24"/>
          <w:szCs w:val="24"/>
          <w:lang w:val="en-US"/>
        </w:rPr>
        <w:t xml:space="preserve">the </w:t>
      </w:r>
      <w:r w:rsidR="00226729" w:rsidRPr="00983193">
        <w:rPr>
          <w:color w:val="000000" w:themeColor="text1"/>
          <w:sz w:val="24"/>
          <w:szCs w:val="24"/>
          <w:lang w:val="en-US"/>
        </w:rPr>
        <w:t>two d</w:t>
      </w:r>
      <w:r w:rsidR="004453D2" w:rsidRPr="00983193">
        <w:rPr>
          <w:color w:val="000000" w:themeColor="text1"/>
          <w:sz w:val="24"/>
          <w:szCs w:val="24"/>
          <w:lang w:val="en-US"/>
        </w:rPr>
        <w:t>ifferent method</w:t>
      </w:r>
      <w:r w:rsidR="00C73F61">
        <w:rPr>
          <w:color w:val="000000" w:themeColor="text1"/>
          <w:sz w:val="24"/>
          <w:szCs w:val="24"/>
          <w:lang w:val="en-US"/>
        </w:rPr>
        <w:t>s</w:t>
      </w:r>
      <w:r w:rsidR="004453D2" w:rsidRPr="00983193">
        <w:rPr>
          <w:color w:val="000000" w:themeColor="text1"/>
          <w:sz w:val="24"/>
          <w:szCs w:val="24"/>
          <w:lang w:val="en-US"/>
        </w:rPr>
        <w:t xml:space="preserve"> of measuring IC in order to find the most suitable IC measurement tool </w:t>
      </w:r>
      <w:r w:rsidR="00C73F61">
        <w:rPr>
          <w:color w:val="000000" w:themeColor="text1"/>
          <w:sz w:val="24"/>
          <w:szCs w:val="24"/>
          <w:lang w:val="en-US"/>
        </w:rPr>
        <w:t>for</w:t>
      </w:r>
      <w:r w:rsidR="00C73F61" w:rsidRPr="00983193">
        <w:rPr>
          <w:color w:val="000000" w:themeColor="text1"/>
          <w:sz w:val="24"/>
          <w:szCs w:val="24"/>
          <w:lang w:val="en-US"/>
        </w:rPr>
        <w:t xml:space="preserve"> </w:t>
      </w:r>
      <w:r w:rsidR="00C73F61">
        <w:rPr>
          <w:color w:val="000000" w:themeColor="text1"/>
          <w:sz w:val="24"/>
          <w:szCs w:val="24"/>
          <w:lang w:val="en-US"/>
        </w:rPr>
        <w:t>other</w:t>
      </w:r>
      <w:r w:rsidR="00C73F61" w:rsidRPr="00983193">
        <w:rPr>
          <w:color w:val="000000" w:themeColor="text1"/>
          <w:sz w:val="24"/>
          <w:szCs w:val="24"/>
          <w:lang w:val="en-US"/>
        </w:rPr>
        <w:t xml:space="preserve"> </w:t>
      </w:r>
      <w:r w:rsidR="004453D2" w:rsidRPr="00983193">
        <w:rPr>
          <w:color w:val="000000" w:themeColor="text1"/>
          <w:sz w:val="24"/>
          <w:szCs w:val="24"/>
          <w:lang w:val="en-US"/>
        </w:rPr>
        <w:t>European contexts.</w:t>
      </w:r>
      <w:r w:rsidRPr="00983193">
        <w:rPr>
          <w:color w:val="000000" w:themeColor="text1"/>
          <w:sz w:val="24"/>
          <w:szCs w:val="24"/>
          <w:lang w:val="en-US"/>
        </w:rPr>
        <w:t xml:space="preserve"> </w:t>
      </w:r>
    </w:p>
    <w:p w14:paraId="6E8FE290" w14:textId="77777777" w:rsidR="00405F68" w:rsidRPr="00983193" w:rsidRDefault="00405F68" w:rsidP="00405F68">
      <w:pPr>
        <w:spacing w:after="0" w:line="240" w:lineRule="auto"/>
        <w:jc w:val="both"/>
        <w:rPr>
          <w:color w:val="000000" w:themeColor="text1"/>
          <w:sz w:val="24"/>
          <w:szCs w:val="24"/>
          <w:lang w:val="en-US"/>
        </w:rPr>
      </w:pPr>
      <w:r w:rsidRPr="00983193">
        <w:rPr>
          <w:i/>
          <w:color w:val="000000" w:themeColor="text1"/>
          <w:sz w:val="24"/>
          <w:szCs w:val="24"/>
          <w:lang w:val="en-US"/>
        </w:rPr>
        <w:t xml:space="preserve">Practical implications - </w:t>
      </w:r>
      <w:r w:rsidRPr="00983193">
        <w:rPr>
          <w:color w:val="000000" w:themeColor="text1"/>
          <w:sz w:val="24"/>
          <w:szCs w:val="24"/>
          <w:lang w:val="en-US"/>
        </w:rPr>
        <w:t xml:space="preserve">This paper also has implications for managers and practitioners. The findings suggest that managers should </w:t>
      </w:r>
      <w:r w:rsidR="00AD4797" w:rsidRPr="00983193">
        <w:rPr>
          <w:color w:val="000000" w:themeColor="text1"/>
          <w:sz w:val="24"/>
          <w:szCs w:val="24"/>
          <w:lang w:val="en-US"/>
        </w:rPr>
        <w:t>manage the risk</w:t>
      </w:r>
      <w:r w:rsidRPr="00983193">
        <w:rPr>
          <w:color w:val="000000" w:themeColor="text1"/>
          <w:sz w:val="24"/>
          <w:szCs w:val="24"/>
          <w:lang w:val="en-US"/>
        </w:rPr>
        <w:t xml:space="preserve"> that firm growth (an increase in </w:t>
      </w:r>
      <w:r w:rsidR="00D97624">
        <w:rPr>
          <w:color w:val="000000" w:themeColor="text1"/>
          <w:sz w:val="24"/>
          <w:szCs w:val="24"/>
          <w:lang w:val="en-US"/>
        </w:rPr>
        <w:t>firm size</w:t>
      </w:r>
      <w:r w:rsidR="00DA7282" w:rsidRPr="00983193">
        <w:rPr>
          <w:color w:val="000000" w:themeColor="text1"/>
          <w:sz w:val="24"/>
          <w:szCs w:val="24"/>
          <w:lang w:val="en-US"/>
        </w:rPr>
        <w:t>) could lead to a</w:t>
      </w:r>
      <w:r w:rsidR="00AD4797" w:rsidRPr="00983193">
        <w:rPr>
          <w:color w:val="000000" w:themeColor="text1"/>
          <w:sz w:val="24"/>
          <w:szCs w:val="24"/>
          <w:lang w:val="en-US"/>
        </w:rPr>
        <w:t xml:space="preserve"> de</w:t>
      </w:r>
      <w:r w:rsidRPr="00983193">
        <w:rPr>
          <w:color w:val="000000" w:themeColor="text1"/>
          <w:sz w:val="24"/>
          <w:szCs w:val="24"/>
          <w:lang w:val="en-US"/>
        </w:rPr>
        <w:t xml:space="preserve">crease in IC value, in the absence of a consistent IC-oriented investment strategy. </w:t>
      </w:r>
      <w:r w:rsidR="00D97624">
        <w:rPr>
          <w:color w:val="000000" w:themeColor="text1"/>
          <w:sz w:val="24"/>
          <w:szCs w:val="24"/>
          <w:lang w:val="en-US"/>
        </w:rPr>
        <w:t>I</w:t>
      </w:r>
      <w:r w:rsidR="00D97624" w:rsidRPr="00983193">
        <w:rPr>
          <w:color w:val="000000" w:themeColor="text1"/>
          <w:sz w:val="24"/>
          <w:szCs w:val="24"/>
          <w:lang w:val="en-US"/>
        </w:rPr>
        <w:t xml:space="preserve">n other words, </w:t>
      </w:r>
      <w:r w:rsidR="00D97624">
        <w:rPr>
          <w:color w:val="000000" w:themeColor="text1"/>
          <w:sz w:val="24"/>
          <w:szCs w:val="24"/>
          <w:lang w:val="en-US"/>
        </w:rPr>
        <w:t>m</w:t>
      </w:r>
      <w:r w:rsidRPr="00983193">
        <w:rPr>
          <w:color w:val="000000" w:themeColor="text1"/>
          <w:sz w:val="24"/>
          <w:szCs w:val="24"/>
          <w:lang w:val="en-US"/>
        </w:rPr>
        <w:t>anagers should</w:t>
      </w:r>
      <w:r w:rsidR="00B3295A" w:rsidRPr="00983193">
        <w:rPr>
          <w:color w:val="000000" w:themeColor="text1"/>
          <w:sz w:val="24"/>
          <w:szCs w:val="24"/>
          <w:lang w:val="en-US"/>
        </w:rPr>
        <w:t xml:space="preserve">, </w:t>
      </w:r>
      <w:r w:rsidRPr="00983193">
        <w:rPr>
          <w:color w:val="000000" w:themeColor="text1"/>
          <w:sz w:val="24"/>
          <w:szCs w:val="24"/>
          <w:lang w:val="en-US"/>
        </w:rPr>
        <w:t xml:space="preserve">avoid smoothing their IC investment as the company grows, in order to </w:t>
      </w:r>
      <w:r w:rsidRPr="00983193">
        <w:rPr>
          <w:color w:val="000000" w:themeColor="text1"/>
          <w:sz w:val="24"/>
          <w:szCs w:val="24"/>
          <w:lang w:val="en-US"/>
        </w:rPr>
        <w:lastRenderedPageBreak/>
        <w:t>mainta</w:t>
      </w:r>
      <w:r w:rsidR="00035588" w:rsidRPr="00983193">
        <w:rPr>
          <w:color w:val="000000" w:themeColor="text1"/>
          <w:sz w:val="24"/>
          <w:szCs w:val="24"/>
          <w:lang w:val="en-US"/>
        </w:rPr>
        <w:t xml:space="preserve">in a stable MTB ratio. Further, practitioners, </w:t>
      </w:r>
      <w:r w:rsidR="00D97624">
        <w:rPr>
          <w:color w:val="000000" w:themeColor="text1"/>
          <w:sz w:val="24"/>
          <w:szCs w:val="24"/>
          <w:lang w:val="en-US"/>
        </w:rPr>
        <w:t>such as</w:t>
      </w:r>
      <w:r w:rsidR="00D97624" w:rsidRPr="00983193">
        <w:rPr>
          <w:color w:val="000000" w:themeColor="text1"/>
          <w:sz w:val="24"/>
          <w:szCs w:val="24"/>
          <w:lang w:val="en-US"/>
        </w:rPr>
        <w:t xml:space="preserve"> </w:t>
      </w:r>
      <w:r w:rsidR="00035588" w:rsidRPr="00983193">
        <w:rPr>
          <w:color w:val="000000" w:themeColor="text1"/>
          <w:sz w:val="24"/>
          <w:szCs w:val="24"/>
          <w:lang w:val="en-US"/>
        </w:rPr>
        <w:t xml:space="preserve">financial analysts should be </w:t>
      </w:r>
      <w:r w:rsidR="00D97624">
        <w:rPr>
          <w:color w:val="000000" w:themeColor="text1"/>
          <w:sz w:val="24"/>
          <w:szCs w:val="24"/>
          <w:lang w:val="en-US"/>
        </w:rPr>
        <w:t>aware</w:t>
      </w:r>
      <w:r w:rsidR="00D97624" w:rsidRPr="00983193">
        <w:rPr>
          <w:color w:val="000000" w:themeColor="text1"/>
          <w:sz w:val="24"/>
          <w:szCs w:val="24"/>
          <w:lang w:val="en-US"/>
        </w:rPr>
        <w:t xml:space="preserve"> </w:t>
      </w:r>
      <w:r w:rsidR="00035588" w:rsidRPr="00983193">
        <w:rPr>
          <w:color w:val="000000" w:themeColor="text1"/>
          <w:sz w:val="24"/>
          <w:szCs w:val="24"/>
          <w:lang w:val="en-US"/>
        </w:rPr>
        <w:t xml:space="preserve">of the different ways of measuring performance, as the results show </w:t>
      </w:r>
      <w:r w:rsidR="00D97624">
        <w:rPr>
          <w:color w:val="000000" w:themeColor="text1"/>
          <w:sz w:val="24"/>
          <w:szCs w:val="24"/>
          <w:lang w:val="en-US"/>
        </w:rPr>
        <w:t xml:space="preserve">a </w:t>
      </w:r>
      <w:r w:rsidR="00035588" w:rsidRPr="00983193">
        <w:rPr>
          <w:color w:val="000000" w:themeColor="text1"/>
          <w:sz w:val="24"/>
          <w:szCs w:val="24"/>
          <w:lang w:val="en-US"/>
        </w:rPr>
        <w:t>high correlation between indicator</w:t>
      </w:r>
      <w:r w:rsidR="00D97624">
        <w:rPr>
          <w:color w:val="000000" w:themeColor="text1"/>
          <w:sz w:val="24"/>
          <w:szCs w:val="24"/>
          <w:lang w:val="en-US"/>
        </w:rPr>
        <w:t>s such as</w:t>
      </w:r>
      <w:r w:rsidR="00035588" w:rsidRPr="00983193">
        <w:rPr>
          <w:color w:val="000000" w:themeColor="text1"/>
          <w:sz w:val="24"/>
          <w:szCs w:val="24"/>
          <w:lang w:val="en-US"/>
        </w:rPr>
        <w:t xml:space="preserve"> VAIC and ROA</w:t>
      </w:r>
      <w:r w:rsidR="00D97624">
        <w:rPr>
          <w:color w:val="000000" w:themeColor="text1"/>
          <w:sz w:val="24"/>
          <w:szCs w:val="24"/>
          <w:lang w:val="en-US"/>
        </w:rPr>
        <w:t>.</w:t>
      </w:r>
      <w:r w:rsidR="00035588" w:rsidRPr="00983193">
        <w:rPr>
          <w:color w:val="000000" w:themeColor="text1"/>
          <w:sz w:val="24"/>
          <w:szCs w:val="24"/>
          <w:lang w:val="en-US"/>
        </w:rPr>
        <w:t xml:space="preserve"> </w:t>
      </w:r>
      <w:r w:rsidR="00D97624">
        <w:rPr>
          <w:color w:val="000000" w:themeColor="text1"/>
          <w:sz w:val="24"/>
          <w:szCs w:val="24"/>
          <w:lang w:val="en-US"/>
        </w:rPr>
        <w:t>I</w:t>
      </w:r>
      <w:r w:rsidR="00035588" w:rsidRPr="00983193">
        <w:rPr>
          <w:color w:val="000000" w:themeColor="text1"/>
          <w:sz w:val="24"/>
          <w:szCs w:val="24"/>
          <w:lang w:val="en-US"/>
        </w:rPr>
        <w:t>t is worth explor</w:t>
      </w:r>
      <w:r w:rsidR="00D97624">
        <w:rPr>
          <w:color w:val="000000" w:themeColor="text1"/>
          <w:sz w:val="24"/>
          <w:szCs w:val="24"/>
          <w:lang w:val="en-US"/>
        </w:rPr>
        <w:t>ing</w:t>
      </w:r>
      <w:r w:rsidR="00035588" w:rsidRPr="00983193">
        <w:rPr>
          <w:color w:val="000000" w:themeColor="text1"/>
          <w:sz w:val="24"/>
          <w:szCs w:val="24"/>
          <w:lang w:val="en-US"/>
        </w:rPr>
        <w:t xml:space="preserve">, from a </w:t>
      </w:r>
      <w:r w:rsidR="00D97624">
        <w:rPr>
          <w:color w:val="000000" w:themeColor="text1"/>
          <w:sz w:val="24"/>
          <w:szCs w:val="24"/>
          <w:lang w:val="en-US"/>
        </w:rPr>
        <w:t xml:space="preserve">non-shareholder </w:t>
      </w:r>
      <w:r w:rsidR="00035588" w:rsidRPr="00983193">
        <w:rPr>
          <w:color w:val="000000" w:themeColor="text1"/>
          <w:sz w:val="24"/>
          <w:szCs w:val="24"/>
          <w:lang w:val="en-US"/>
        </w:rPr>
        <w:t>perspective, the many facets of corporate performance, in order to ta</w:t>
      </w:r>
      <w:r w:rsidR="00DA7282" w:rsidRPr="00983193">
        <w:rPr>
          <w:color w:val="000000" w:themeColor="text1"/>
          <w:sz w:val="24"/>
          <w:szCs w:val="24"/>
          <w:lang w:val="en-US"/>
        </w:rPr>
        <w:t xml:space="preserve">ke account of </w:t>
      </w:r>
      <w:r w:rsidR="00D97624">
        <w:rPr>
          <w:color w:val="000000" w:themeColor="text1"/>
          <w:sz w:val="24"/>
          <w:szCs w:val="24"/>
          <w:lang w:val="en-US"/>
        </w:rPr>
        <w:t>wider</w:t>
      </w:r>
      <w:r w:rsidR="00D97624" w:rsidRPr="00983193">
        <w:rPr>
          <w:color w:val="000000" w:themeColor="text1"/>
          <w:sz w:val="24"/>
          <w:szCs w:val="24"/>
          <w:lang w:val="en-US"/>
        </w:rPr>
        <w:t xml:space="preserve"> </w:t>
      </w:r>
      <w:r w:rsidR="00DA7282" w:rsidRPr="00983193">
        <w:rPr>
          <w:color w:val="000000" w:themeColor="text1"/>
          <w:sz w:val="24"/>
          <w:szCs w:val="24"/>
          <w:lang w:val="en-US"/>
        </w:rPr>
        <w:t>stakeholders.</w:t>
      </w:r>
      <w:r w:rsidRPr="00983193">
        <w:rPr>
          <w:color w:val="000000" w:themeColor="text1"/>
          <w:sz w:val="24"/>
          <w:szCs w:val="24"/>
          <w:lang w:val="en-US"/>
        </w:rPr>
        <w:t xml:space="preserve"> </w:t>
      </w:r>
    </w:p>
    <w:p w14:paraId="20F3AB12" w14:textId="77777777" w:rsidR="00405F68" w:rsidRPr="00983193" w:rsidRDefault="00405F68" w:rsidP="00405F68">
      <w:pPr>
        <w:spacing w:after="0"/>
        <w:jc w:val="both"/>
        <w:rPr>
          <w:i/>
          <w:color w:val="000000" w:themeColor="text1"/>
          <w:sz w:val="24"/>
          <w:szCs w:val="24"/>
          <w:lang w:val="en-US"/>
        </w:rPr>
      </w:pPr>
      <w:r w:rsidRPr="00983193">
        <w:rPr>
          <w:i/>
          <w:color w:val="000000" w:themeColor="text1"/>
          <w:sz w:val="24"/>
          <w:szCs w:val="24"/>
          <w:lang w:val="en-US"/>
        </w:rPr>
        <w:t xml:space="preserve">Originality/value – </w:t>
      </w:r>
      <w:r w:rsidRPr="00983193">
        <w:rPr>
          <w:color w:val="000000" w:themeColor="text1"/>
          <w:sz w:val="24"/>
          <w:szCs w:val="24"/>
          <w:lang w:val="en-US"/>
        </w:rPr>
        <w:t xml:space="preserve">This paper contributes to the IC literature as it is the first study which </w:t>
      </w:r>
      <w:r w:rsidR="00D97624">
        <w:rPr>
          <w:color w:val="000000" w:themeColor="text1"/>
          <w:sz w:val="24"/>
          <w:szCs w:val="24"/>
          <w:lang w:val="en-US"/>
        </w:rPr>
        <w:t>compares</w:t>
      </w:r>
      <w:r w:rsidR="00D97624" w:rsidRPr="00983193">
        <w:rPr>
          <w:color w:val="000000" w:themeColor="text1"/>
          <w:sz w:val="24"/>
          <w:szCs w:val="24"/>
          <w:lang w:val="en-US"/>
        </w:rPr>
        <w:t xml:space="preserve"> </w:t>
      </w:r>
      <w:r w:rsidR="004453D2" w:rsidRPr="00983193">
        <w:rPr>
          <w:color w:val="000000" w:themeColor="text1"/>
          <w:sz w:val="24"/>
          <w:szCs w:val="24"/>
          <w:lang w:val="en-US"/>
        </w:rPr>
        <w:t xml:space="preserve">two </w:t>
      </w:r>
      <w:r w:rsidR="00D97624">
        <w:rPr>
          <w:color w:val="000000" w:themeColor="text1"/>
          <w:sz w:val="24"/>
          <w:szCs w:val="24"/>
          <w:lang w:val="en-US"/>
        </w:rPr>
        <w:t xml:space="preserve">alternative </w:t>
      </w:r>
      <w:r w:rsidR="004453D2" w:rsidRPr="00983193">
        <w:rPr>
          <w:color w:val="000000" w:themeColor="text1"/>
          <w:sz w:val="24"/>
          <w:szCs w:val="24"/>
          <w:lang w:val="en-US"/>
        </w:rPr>
        <w:t>IC measurement methods</w:t>
      </w:r>
      <w:r w:rsidR="00D97624">
        <w:rPr>
          <w:color w:val="000000" w:themeColor="text1"/>
          <w:sz w:val="24"/>
          <w:szCs w:val="24"/>
          <w:lang w:val="en-US"/>
        </w:rPr>
        <w:t>,</w:t>
      </w:r>
      <w:r w:rsidR="007A5517">
        <w:rPr>
          <w:color w:val="000000" w:themeColor="text1"/>
          <w:sz w:val="24"/>
          <w:szCs w:val="24"/>
          <w:lang w:val="en-US"/>
        </w:rPr>
        <w:t xml:space="preserve"> Market to Book (Mt</w:t>
      </w:r>
      <w:r w:rsidR="004453D2" w:rsidRPr="00983193">
        <w:rPr>
          <w:color w:val="000000" w:themeColor="text1"/>
          <w:sz w:val="24"/>
          <w:szCs w:val="24"/>
          <w:lang w:val="en-US"/>
        </w:rPr>
        <w:t>B) and Value Added Intellectual Coefficient (VAIC)</w:t>
      </w:r>
      <w:r w:rsidR="00D97624">
        <w:rPr>
          <w:color w:val="000000" w:themeColor="text1"/>
          <w:sz w:val="24"/>
          <w:szCs w:val="24"/>
          <w:lang w:val="en-US"/>
        </w:rPr>
        <w:t>,</w:t>
      </w:r>
      <w:r w:rsidR="004453D2" w:rsidRPr="00983193">
        <w:rPr>
          <w:color w:val="000000" w:themeColor="text1"/>
          <w:sz w:val="24"/>
          <w:szCs w:val="24"/>
          <w:lang w:val="en-US"/>
        </w:rPr>
        <w:t xml:space="preserve"> in order to find the </w:t>
      </w:r>
      <w:r w:rsidR="00D97624">
        <w:rPr>
          <w:color w:val="000000" w:themeColor="text1"/>
          <w:sz w:val="24"/>
          <w:szCs w:val="24"/>
          <w:lang w:val="en-US"/>
        </w:rPr>
        <w:t>most</w:t>
      </w:r>
      <w:r w:rsidR="004453D2" w:rsidRPr="00983193">
        <w:rPr>
          <w:color w:val="000000" w:themeColor="text1"/>
          <w:sz w:val="24"/>
          <w:szCs w:val="24"/>
          <w:lang w:val="en-US"/>
        </w:rPr>
        <w:t xml:space="preserve"> suitable method </w:t>
      </w:r>
      <w:r w:rsidR="00D97624">
        <w:rPr>
          <w:color w:val="000000" w:themeColor="text1"/>
          <w:sz w:val="24"/>
          <w:szCs w:val="24"/>
          <w:lang w:val="en-US"/>
        </w:rPr>
        <w:t>to capture</w:t>
      </w:r>
      <w:r w:rsidR="004453D2" w:rsidRPr="00983193">
        <w:rPr>
          <w:color w:val="000000" w:themeColor="text1"/>
          <w:sz w:val="24"/>
          <w:szCs w:val="24"/>
          <w:lang w:val="en-US"/>
        </w:rPr>
        <w:t xml:space="preserve"> IC value in </w:t>
      </w:r>
      <w:r w:rsidR="00D97624">
        <w:rPr>
          <w:color w:val="000000" w:themeColor="text1"/>
          <w:sz w:val="24"/>
          <w:szCs w:val="24"/>
          <w:lang w:val="en-US"/>
        </w:rPr>
        <w:t>an</w:t>
      </w:r>
      <w:r w:rsidRPr="00983193">
        <w:rPr>
          <w:color w:val="000000" w:themeColor="text1"/>
          <w:sz w:val="24"/>
          <w:szCs w:val="24"/>
          <w:lang w:val="en-US"/>
        </w:rPr>
        <w:t xml:space="preserve"> Italian context, </w:t>
      </w:r>
      <w:r w:rsidR="00D97624">
        <w:rPr>
          <w:color w:val="000000" w:themeColor="text1"/>
          <w:sz w:val="24"/>
          <w:szCs w:val="24"/>
          <w:lang w:val="en-US"/>
        </w:rPr>
        <w:t xml:space="preserve">and </w:t>
      </w:r>
      <w:r w:rsidRPr="00983193">
        <w:rPr>
          <w:color w:val="000000" w:themeColor="text1"/>
          <w:sz w:val="24"/>
          <w:szCs w:val="24"/>
          <w:lang w:val="en-US"/>
        </w:rPr>
        <w:t>within the framework of IFRS.</w:t>
      </w:r>
      <w:r w:rsidR="004453D2" w:rsidRPr="00983193">
        <w:rPr>
          <w:color w:val="000000" w:themeColor="text1"/>
          <w:sz w:val="24"/>
          <w:szCs w:val="24"/>
          <w:lang w:val="en-US"/>
        </w:rPr>
        <w:t xml:space="preserve"> Moreover, it investigates the potential determinants of IC value calculated </w:t>
      </w:r>
      <w:r w:rsidR="00D97624">
        <w:rPr>
          <w:color w:val="000000" w:themeColor="text1"/>
          <w:sz w:val="24"/>
          <w:szCs w:val="24"/>
          <w:lang w:val="en-US"/>
        </w:rPr>
        <w:t>using</w:t>
      </w:r>
      <w:r w:rsidR="00D97624" w:rsidRPr="00983193">
        <w:rPr>
          <w:color w:val="000000" w:themeColor="text1"/>
          <w:sz w:val="24"/>
          <w:szCs w:val="24"/>
          <w:lang w:val="en-US"/>
        </w:rPr>
        <w:t xml:space="preserve"> </w:t>
      </w:r>
      <w:r w:rsidR="004453D2" w:rsidRPr="00983193">
        <w:rPr>
          <w:color w:val="000000" w:themeColor="text1"/>
          <w:sz w:val="24"/>
          <w:szCs w:val="24"/>
          <w:lang w:val="en-US"/>
        </w:rPr>
        <w:t>the two methods.</w:t>
      </w:r>
    </w:p>
    <w:p w14:paraId="3EF695A6" w14:textId="77777777" w:rsidR="00405F68" w:rsidRPr="00983193" w:rsidRDefault="00405F68" w:rsidP="00405F68">
      <w:pPr>
        <w:autoSpaceDE w:val="0"/>
        <w:autoSpaceDN w:val="0"/>
        <w:adjustRightInd w:val="0"/>
        <w:spacing w:after="0" w:line="240" w:lineRule="auto"/>
        <w:rPr>
          <w:rFonts w:ascii="Calibri" w:hAnsi="Calibri" w:cs="Calibri"/>
          <w:color w:val="000000" w:themeColor="text1"/>
          <w:sz w:val="20"/>
          <w:szCs w:val="20"/>
          <w:lang w:val="en-US"/>
        </w:rPr>
      </w:pPr>
    </w:p>
    <w:p w14:paraId="14D7DF6B" w14:textId="77777777" w:rsidR="007867DD" w:rsidRPr="00983193" w:rsidRDefault="007867DD" w:rsidP="007867DD">
      <w:pPr>
        <w:spacing w:after="0" w:line="240" w:lineRule="auto"/>
        <w:jc w:val="both"/>
        <w:rPr>
          <w:rFonts w:ascii="Calibri" w:eastAsia="Calibri" w:hAnsi="Calibri" w:cs="Times New Roman"/>
          <w:color w:val="000000" w:themeColor="text1"/>
          <w:sz w:val="24"/>
          <w:szCs w:val="24"/>
          <w:lang w:val="en"/>
        </w:rPr>
      </w:pPr>
      <w:r w:rsidRPr="00983193">
        <w:rPr>
          <w:rFonts w:ascii="Calibri" w:eastAsia="Calibri" w:hAnsi="Calibri" w:cs="Times New Roman"/>
          <w:color w:val="000000" w:themeColor="text1"/>
          <w:sz w:val="24"/>
          <w:szCs w:val="24"/>
          <w:lang w:val="en"/>
        </w:rPr>
        <w:t>Keywords: Intellectual capital; Intangible assets; Market-to-book ratio; VAIC; Italian listed firms</w:t>
      </w:r>
    </w:p>
    <w:p w14:paraId="38A2C4BE" w14:textId="77777777" w:rsidR="00EB09E1" w:rsidRPr="00983193" w:rsidRDefault="00EB09E1" w:rsidP="00097E98">
      <w:pPr>
        <w:spacing w:after="0" w:line="240" w:lineRule="auto"/>
        <w:jc w:val="center"/>
        <w:rPr>
          <w:rFonts w:ascii="Calibri" w:eastAsia="Calibri" w:hAnsi="Calibri" w:cs="Times New Roman"/>
          <w:color w:val="000000" w:themeColor="text1"/>
          <w:sz w:val="24"/>
          <w:szCs w:val="24"/>
          <w:lang w:val="en"/>
        </w:rPr>
      </w:pPr>
    </w:p>
    <w:p w14:paraId="576281B1" w14:textId="77777777" w:rsidR="003310CE" w:rsidRPr="00983193" w:rsidRDefault="003310CE" w:rsidP="00097E98">
      <w:pPr>
        <w:spacing w:after="0" w:line="240" w:lineRule="auto"/>
        <w:jc w:val="center"/>
        <w:rPr>
          <w:rFonts w:ascii="Calibri" w:eastAsia="Calibri" w:hAnsi="Calibri" w:cs="Times New Roman"/>
          <w:color w:val="000000" w:themeColor="text1"/>
          <w:sz w:val="24"/>
          <w:szCs w:val="24"/>
          <w:lang w:val="en"/>
        </w:rPr>
      </w:pPr>
    </w:p>
    <w:p w14:paraId="791646E1" w14:textId="77777777" w:rsidR="003310CE" w:rsidRPr="00983193" w:rsidRDefault="003310CE" w:rsidP="00097E98">
      <w:pPr>
        <w:spacing w:after="0" w:line="240" w:lineRule="auto"/>
        <w:jc w:val="center"/>
        <w:rPr>
          <w:rFonts w:ascii="Calibri" w:eastAsia="Calibri" w:hAnsi="Calibri" w:cs="Times New Roman"/>
          <w:color w:val="000000" w:themeColor="text1"/>
          <w:sz w:val="24"/>
          <w:szCs w:val="24"/>
          <w:lang w:val="en"/>
        </w:rPr>
      </w:pPr>
    </w:p>
    <w:p w14:paraId="66AA0EF0"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250BE7ED"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54CD47A9"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6243130E"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423EF92C"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04E9D4D8"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19971D5D"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554E49C8"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3771650F"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143EBD67"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45F4E0CC"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5E60DDC8"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45291C2B"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552A87A5"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5BA29F9A"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08D1CEE9"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73FB6CB3"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0F8607BD"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23E3A91D" w14:textId="77777777" w:rsidR="007F29DF" w:rsidRDefault="007F29DF">
      <w:pPr>
        <w:rPr>
          <w:rFonts w:ascii="Calibri" w:eastAsia="Calibri" w:hAnsi="Calibri" w:cs="Times New Roman"/>
          <w:color w:val="000000" w:themeColor="text1"/>
          <w:sz w:val="24"/>
          <w:szCs w:val="24"/>
          <w:lang w:val="en"/>
        </w:rPr>
      </w:pPr>
      <w:r>
        <w:rPr>
          <w:rFonts w:ascii="Calibri" w:eastAsia="Calibri" w:hAnsi="Calibri" w:cs="Times New Roman"/>
          <w:color w:val="000000" w:themeColor="text1"/>
          <w:sz w:val="24"/>
          <w:szCs w:val="24"/>
          <w:lang w:val="en"/>
        </w:rPr>
        <w:br w:type="page"/>
      </w:r>
    </w:p>
    <w:p w14:paraId="6FDB9400" w14:textId="77777777" w:rsidR="00D97624" w:rsidRPr="00A53C54" w:rsidRDefault="00D97624" w:rsidP="00D97624">
      <w:pPr>
        <w:spacing w:after="0" w:line="240" w:lineRule="auto"/>
        <w:jc w:val="center"/>
        <w:rPr>
          <w:rFonts w:ascii="Calibri" w:eastAsia="Calibri" w:hAnsi="Calibri" w:cs="Times New Roman"/>
          <w:b/>
          <w:color w:val="000000" w:themeColor="text1"/>
          <w:sz w:val="24"/>
          <w:szCs w:val="24"/>
          <w:lang w:val="en"/>
        </w:rPr>
      </w:pPr>
      <w:r w:rsidRPr="00A53C54">
        <w:rPr>
          <w:rFonts w:ascii="Calibri" w:eastAsia="Calibri" w:hAnsi="Calibri" w:cs="Times New Roman"/>
          <w:b/>
          <w:color w:val="000000" w:themeColor="text1"/>
          <w:sz w:val="24"/>
          <w:szCs w:val="24"/>
          <w:lang w:val="en"/>
        </w:rPr>
        <w:lastRenderedPageBreak/>
        <w:t>MTB versus VAIC in measuring intellectual capital: Empirical evidence from Italian listed companies</w:t>
      </w:r>
    </w:p>
    <w:p w14:paraId="55C9B55E" w14:textId="77777777" w:rsidR="004453D2" w:rsidRPr="00A53C54" w:rsidRDefault="004453D2" w:rsidP="00097E98">
      <w:pPr>
        <w:spacing w:after="0" w:line="240" w:lineRule="auto"/>
        <w:jc w:val="center"/>
        <w:rPr>
          <w:rFonts w:ascii="Calibri" w:eastAsia="Calibri" w:hAnsi="Calibri" w:cs="Times New Roman"/>
          <w:b/>
          <w:color w:val="000000" w:themeColor="text1"/>
          <w:sz w:val="24"/>
          <w:szCs w:val="24"/>
          <w:lang w:val="en"/>
        </w:rPr>
      </w:pPr>
    </w:p>
    <w:p w14:paraId="363FAA3F" w14:textId="77777777" w:rsidR="004453D2" w:rsidRPr="00983193" w:rsidRDefault="004453D2" w:rsidP="00097E98">
      <w:pPr>
        <w:spacing w:after="0" w:line="240" w:lineRule="auto"/>
        <w:jc w:val="center"/>
        <w:rPr>
          <w:rFonts w:ascii="Calibri" w:eastAsia="Calibri" w:hAnsi="Calibri" w:cs="Times New Roman"/>
          <w:color w:val="000000" w:themeColor="text1"/>
          <w:sz w:val="24"/>
          <w:szCs w:val="24"/>
          <w:lang w:val="en"/>
        </w:rPr>
      </w:pPr>
    </w:p>
    <w:p w14:paraId="4372F739" w14:textId="77777777" w:rsidR="00EB09E1" w:rsidRPr="00A53C54" w:rsidRDefault="00405F68" w:rsidP="00A53C54">
      <w:pPr>
        <w:pStyle w:val="ListParagraph"/>
        <w:numPr>
          <w:ilvl w:val="0"/>
          <w:numId w:val="1"/>
        </w:numPr>
        <w:spacing w:after="0" w:line="240" w:lineRule="auto"/>
        <w:ind w:left="357" w:hanging="357"/>
        <w:rPr>
          <w:rFonts w:ascii="Times New Roman" w:eastAsia="Calibri" w:hAnsi="Times New Roman" w:cs="Times New Roman"/>
          <w:b/>
          <w:color w:val="000000" w:themeColor="text1"/>
          <w:sz w:val="23"/>
          <w:szCs w:val="23"/>
          <w:lang w:val="en"/>
        </w:rPr>
      </w:pPr>
      <w:r w:rsidRPr="00A53C54">
        <w:rPr>
          <w:rFonts w:ascii="Times New Roman" w:eastAsia="Calibri" w:hAnsi="Times New Roman" w:cs="Times New Roman"/>
          <w:b/>
          <w:color w:val="000000" w:themeColor="text1"/>
          <w:sz w:val="23"/>
          <w:szCs w:val="23"/>
          <w:lang w:val="en"/>
        </w:rPr>
        <w:t>Introduction</w:t>
      </w:r>
    </w:p>
    <w:p w14:paraId="2C83125C" w14:textId="77777777" w:rsidR="00EB09E1" w:rsidRPr="00983193" w:rsidRDefault="00EB09E1" w:rsidP="00A53C54">
      <w:pPr>
        <w:spacing w:after="0" w:line="240" w:lineRule="auto"/>
        <w:ind w:firstLine="284"/>
        <w:jc w:val="center"/>
        <w:rPr>
          <w:rFonts w:ascii="Times New Roman" w:eastAsia="Calibri" w:hAnsi="Times New Roman" w:cs="Times New Roman"/>
          <w:color w:val="000000" w:themeColor="text1"/>
          <w:sz w:val="23"/>
          <w:szCs w:val="23"/>
          <w:lang w:val="en"/>
        </w:rPr>
      </w:pPr>
    </w:p>
    <w:p w14:paraId="3B64264B" w14:textId="77777777" w:rsidR="004C1AD1" w:rsidRDefault="00461338" w:rsidP="00CE2DC8">
      <w:pPr>
        <w:spacing w:after="0" w:line="240" w:lineRule="auto"/>
        <w:ind w:firstLine="284"/>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R</w:t>
      </w:r>
      <w:r w:rsidR="006315F2" w:rsidRPr="00983193">
        <w:rPr>
          <w:rFonts w:ascii="Times New Roman" w:eastAsia="Calibri" w:hAnsi="Times New Roman" w:cs="Times New Roman"/>
          <w:color w:val="000000" w:themeColor="text1"/>
          <w:sz w:val="23"/>
          <w:szCs w:val="23"/>
          <w:lang w:val="en-US"/>
        </w:rPr>
        <w:t xml:space="preserve">ecent years have been marked by the </w:t>
      </w:r>
      <w:r w:rsidRPr="00983193">
        <w:rPr>
          <w:rFonts w:ascii="Times New Roman" w:eastAsia="Calibri" w:hAnsi="Times New Roman" w:cs="Times New Roman"/>
          <w:color w:val="000000" w:themeColor="text1"/>
          <w:sz w:val="23"/>
          <w:szCs w:val="23"/>
          <w:lang w:val="en-US"/>
        </w:rPr>
        <w:t xml:space="preserve">emergence </w:t>
      </w:r>
      <w:r w:rsidR="006315F2" w:rsidRPr="00983193">
        <w:rPr>
          <w:rFonts w:ascii="Times New Roman" w:eastAsia="Calibri" w:hAnsi="Times New Roman" w:cs="Times New Roman"/>
          <w:color w:val="000000" w:themeColor="text1"/>
          <w:sz w:val="23"/>
          <w:szCs w:val="23"/>
          <w:lang w:val="en-US"/>
        </w:rPr>
        <w:t xml:space="preserve">of a knowledge-based economy characterized by </w:t>
      </w:r>
      <w:r w:rsidRPr="00983193">
        <w:rPr>
          <w:rFonts w:ascii="Times New Roman" w:eastAsia="Calibri" w:hAnsi="Times New Roman" w:cs="Times New Roman"/>
          <w:color w:val="000000" w:themeColor="text1"/>
          <w:sz w:val="23"/>
          <w:szCs w:val="23"/>
          <w:lang w:val="en-US"/>
        </w:rPr>
        <w:t xml:space="preserve">the </w:t>
      </w:r>
      <w:r w:rsidR="006315F2" w:rsidRPr="00983193">
        <w:rPr>
          <w:rFonts w:ascii="Times New Roman" w:eastAsia="Calibri" w:hAnsi="Times New Roman" w:cs="Times New Roman"/>
          <w:color w:val="000000" w:themeColor="text1"/>
          <w:sz w:val="23"/>
          <w:szCs w:val="23"/>
          <w:lang w:val="en-US"/>
        </w:rPr>
        <w:t xml:space="preserve">globalization of markets, </w:t>
      </w:r>
      <w:r w:rsidRPr="00983193">
        <w:rPr>
          <w:rFonts w:ascii="Times New Roman" w:eastAsia="Calibri" w:hAnsi="Times New Roman" w:cs="Times New Roman"/>
          <w:color w:val="000000" w:themeColor="text1"/>
          <w:sz w:val="23"/>
          <w:szCs w:val="23"/>
          <w:lang w:val="en-US"/>
        </w:rPr>
        <w:t xml:space="preserve">the </w:t>
      </w:r>
      <w:r w:rsidR="006315F2" w:rsidRPr="00983193">
        <w:rPr>
          <w:rFonts w:ascii="Times New Roman" w:eastAsia="Calibri" w:hAnsi="Times New Roman" w:cs="Times New Roman"/>
          <w:color w:val="000000" w:themeColor="text1"/>
          <w:sz w:val="23"/>
          <w:szCs w:val="23"/>
          <w:lang w:val="en-US"/>
        </w:rPr>
        <w:t xml:space="preserve">dematerialization of </w:t>
      </w:r>
      <w:r w:rsidR="00436AEC" w:rsidRPr="00983193">
        <w:rPr>
          <w:rFonts w:ascii="Times New Roman" w:eastAsia="Calibri" w:hAnsi="Times New Roman" w:cs="Times New Roman"/>
          <w:color w:val="000000" w:themeColor="text1"/>
          <w:sz w:val="23"/>
          <w:szCs w:val="23"/>
          <w:lang w:val="en-US"/>
        </w:rPr>
        <w:t>processes</w:t>
      </w:r>
      <w:r w:rsidRPr="00983193">
        <w:rPr>
          <w:rFonts w:ascii="Times New Roman" w:eastAsia="Calibri" w:hAnsi="Times New Roman" w:cs="Times New Roman"/>
          <w:color w:val="000000" w:themeColor="text1"/>
          <w:sz w:val="23"/>
          <w:szCs w:val="23"/>
          <w:lang w:val="en-US"/>
        </w:rPr>
        <w:t>,</w:t>
      </w:r>
      <w:r w:rsidR="006315F2" w:rsidRPr="00983193">
        <w:rPr>
          <w:rFonts w:ascii="Times New Roman" w:eastAsia="Calibri" w:hAnsi="Times New Roman" w:cs="Times New Roman"/>
          <w:color w:val="000000" w:themeColor="text1"/>
          <w:sz w:val="23"/>
          <w:szCs w:val="23"/>
          <w:lang w:val="en-US"/>
        </w:rPr>
        <w:t xml:space="preserve"> and the development of </w:t>
      </w:r>
      <w:r w:rsidRPr="00983193">
        <w:rPr>
          <w:rFonts w:ascii="Times New Roman" w:eastAsia="Calibri" w:hAnsi="Times New Roman" w:cs="Times New Roman"/>
          <w:color w:val="000000" w:themeColor="text1"/>
          <w:sz w:val="23"/>
          <w:szCs w:val="23"/>
          <w:lang w:val="en-US"/>
        </w:rPr>
        <w:t xml:space="preserve">global </w:t>
      </w:r>
      <w:r w:rsidR="006315F2" w:rsidRPr="00983193">
        <w:rPr>
          <w:rFonts w:ascii="Times New Roman" w:eastAsia="Calibri" w:hAnsi="Times New Roman" w:cs="Times New Roman"/>
          <w:color w:val="000000" w:themeColor="text1"/>
          <w:sz w:val="23"/>
          <w:szCs w:val="23"/>
          <w:lang w:val="en-US"/>
        </w:rPr>
        <w:t>financial markets (</w:t>
      </w:r>
      <w:r w:rsidR="006315F2" w:rsidRPr="008908CE">
        <w:rPr>
          <w:rFonts w:ascii="Times New Roman" w:eastAsia="Calibri" w:hAnsi="Times New Roman" w:cs="Times New Roman"/>
          <w:color w:val="000000" w:themeColor="text1"/>
          <w:sz w:val="23"/>
          <w:szCs w:val="23"/>
          <w:lang w:val="en-US"/>
        </w:rPr>
        <w:t>Guthrie et al., 2012</w:t>
      </w:r>
      <w:r w:rsidR="006315F2" w:rsidRPr="00983193">
        <w:rPr>
          <w:rFonts w:ascii="Times New Roman" w:eastAsia="Calibri" w:hAnsi="Times New Roman" w:cs="Times New Roman"/>
          <w:color w:val="000000" w:themeColor="text1"/>
          <w:sz w:val="23"/>
          <w:szCs w:val="23"/>
          <w:lang w:val="en-US"/>
        </w:rPr>
        <w:t>; Dženopoljac et al., 2016; Osinski et al., 2017). In</w:t>
      </w:r>
      <w:r w:rsidR="00EA4FB1" w:rsidRPr="00983193">
        <w:rPr>
          <w:rFonts w:ascii="Times New Roman" w:eastAsia="Calibri" w:hAnsi="Times New Roman" w:cs="Times New Roman"/>
          <w:color w:val="000000" w:themeColor="text1"/>
          <w:sz w:val="23"/>
          <w:szCs w:val="23"/>
          <w:lang w:val="en-US"/>
        </w:rPr>
        <w:t xml:space="preserve"> th</w:t>
      </w:r>
      <w:r w:rsidR="000A3FB0">
        <w:rPr>
          <w:rFonts w:ascii="Times New Roman" w:eastAsia="Calibri" w:hAnsi="Times New Roman" w:cs="Times New Roman"/>
          <w:color w:val="000000" w:themeColor="text1"/>
          <w:sz w:val="23"/>
          <w:szCs w:val="23"/>
          <w:lang w:val="en-US"/>
        </w:rPr>
        <w:t>e</w:t>
      </w:r>
      <w:r w:rsidR="006315F2" w:rsidRPr="00983193">
        <w:rPr>
          <w:rFonts w:ascii="Times New Roman" w:eastAsia="Calibri" w:hAnsi="Times New Roman" w:cs="Times New Roman"/>
          <w:color w:val="000000" w:themeColor="text1"/>
          <w:sz w:val="23"/>
          <w:szCs w:val="23"/>
          <w:lang w:val="en-US"/>
        </w:rPr>
        <w:t xml:space="preserve"> </w:t>
      </w:r>
      <w:r w:rsidRPr="00983193">
        <w:rPr>
          <w:rFonts w:ascii="Times New Roman" w:eastAsia="Calibri" w:hAnsi="Times New Roman" w:cs="Times New Roman"/>
          <w:color w:val="000000" w:themeColor="text1"/>
          <w:sz w:val="23"/>
          <w:szCs w:val="23"/>
          <w:lang w:val="en-US"/>
        </w:rPr>
        <w:t>modern</w:t>
      </w:r>
      <w:r w:rsidR="006315F2" w:rsidRPr="00983193">
        <w:rPr>
          <w:rFonts w:ascii="Times New Roman" w:eastAsia="Calibri" w:hAnsi="Times New Roman" w:cs="Times New Roman"/>
          <w:color w:val="000000" w:themeColor="text1"/>
          <w:sz w:val="23"/>
          <w:szCs w:val="23"/>
          <w:lang w:val="en-US"/>
        </w:rPr>
        <w:t xml:space="preserve"> economy, intangible assets have acquired </w:t>
      </w:r>
      <w:r w:rsidRPr="00983193">
        <w:rPr>
          <w:rFonts w:ascii="Times New Roman" w:eastAsia="Calibri" w:hAnsi="Times New Roman" w:cs="Times New Roman"/>
          <w:color w:val="000000" w:themeColor="text1"/>
          <w:sz w:val="23"/>
          <w:szCs w:val="23"/>
          <w:lang w:val="en-US"/>
        </w:rPr>
        <w:t>pivotal</w:t>
      </w:r>
      <w:r w:rsidR="006315F2" w:rsidRPr="00983193">
        <w:rPr>
          <w:rFonts w:ascii="Times New Roman" w:eastAsia="Calibri" w:hAnsi="Times New Roman" w:cs="Times New Roman"/>
          <w:color w:val="000000" w:themeColor="text1"/>
          <w:sz w:val="23"/>
          <w:szCs w:val="23"/>
          <w:lang w:val="en-US"/>
        </w:rPr>
        <w:t xml:space="preserve"> importance </w:t>
      </w:r>
      <w:r w:rsidR="006A3644" w:rsidRPr="00983193">
        <w:rPr>
          <w:rFonts w:ascii="Times New Roman" w:eastAsia="Calibri" w:hAnsi="Times New Roman" w:cs="Times New Roman"/>
          <w:color w:val="000000" w:themeColor="text1"/>
          <w:sz w:val="23"/>
          <w:szCs w:val="23"/>
          <w:lang w:val="en-US"/>
        </w:rPr>
        <w:t>compared to tangible assets</w:t>
      </w:r>
      <w:r w:rsidRPr="00983193">
        <w:rPr>
          <w:rFonts w:ascii="Times New Roman" w:eastAsia="Calibri" w:hAnsi="Times New Roman" w:cs="Times New Roman"/>
          <w:color w:val="000000" w:themeColor="text1"/>
          <w:sz w:val="23"/>
          <w:szCs w:val="23"/>
          <w:lang w:val="en-US"/>
        </w:rPr>
        <w:t>,</w:t>
      </w:r>
      <w:r w:rsidR="006315F2" w:rsidRPr="00983193">
        <w:rPr>
          <w:rFonts w:ascii="Times New Roman" w:eastAsia="Calibri" w:hAnsi="Times New Roman" w:cs="Times New Roman"/>
          <w:color w:val="000000" w:themeColor="text1"/>
          <w:sz w:val="23"/>
          <w:szCs w:val="23"/>
          <w:lang w:val="en-US"/>
        </w:rPr>
        <w:t xml:space="preserve"> </w:t>
      </w:r>
      <w:r w:rsidR="000A3FB0">
        <w:rPr>
          <w:rFonts w:ascii="Times New Roman" w:eastAsia="Calibri" w:hAnsi="Times New Roman" w:cs="Times New Roman"/>
          <w:color w:val="000000" w:themeColor="text1"/>
          <w:sz w:val="23"/>
          <w:szCs w:val="23"/>
          <w:lang w:val="en-US"/>
        </w:rPr>
        <w:t xml:space="preserve">and </w:t>
      </w:r>
      <w:r w:rsidRPr="00983193">
        <w:rPr>
          <w:rFonts w:ascii="Times New Roman" w:eastAsia="Calibri" w:hAnsi="Times New Roman" w:cs="Times New Roman"/>
          <w:color w:val="000000" w:themeColor="text1"/>
          <w:sz w:val="23"/>
          <w:szCs w:val="23"/>
          <w:lang w:val="en-US"/>
        </w:rPr>
        <w:t xml:space="preserve">represent a </w:t>
      </w:r>
      <w:r w:rsidR="00144485" w:rsidRPr="00983193">
        <w:rPr>
          <w:rFonts w:ascii="Times New Roman" w:eastAsia="Calibri" w:hAnsi="Times New Roman" w:cs="Times New Roman"/>
          <w:color w:val="000000" w:themeColor="text1"/>
          <w:sz w:val="23"/>
          <w:szCs w:val="23"/>
          <w:lang w:val="en-US"/>
        </w:rPr>
        <w:t xml:space="preserve">critical success factor for </w:t>
      </w:r>
      <w:r w:rsidRPr="00983193">
        <w:rPr>
          <w:rFonts w:ascii="Times New Roman" w:eastAsia="Calibri" w:hAnsi="Times New Roman" w:cs="Times New Roman"/>
          <w:color w:val="000000" w:themeColor="text1"/>
          <w:sz w:val="23"/>
          <w:szCs w:val="23"/>
          <w:lang w:val="en-US"/>
        </w:rPr>
        <w:t xml:space="preserve">both </w:t>
      </w:r>
      <w:r w:rsidR="00144485" w:rsidRPr="00983193">
        <w:rPr>
          <w:rFonts w:ascii="Times New Roman" w:eastAsia="Calibri" w:hAnsi="Times New Roman" w:cs="Times New Roman"/>
          <w:color w:val="000000" w:themeColor="text1"/>
          <w:sz w:val="23"/>
          <w:szCs w:val="23"/>
          <w:lang w:val="en-US"/>
        </w:rPr>
        <w:t>achieving competitive advantage and generating economic wealth</w:t>
      </w:r>
      <w:r w:rsidR="00DD7D18" w:rsidRPr="00983193">
        <w:rPr>
          <w:rFonts w:ascii="Times New Roman" w:eastAsia="Calibri" w:hAnsi="Times New Roman" w:cs="Times New Roman"/>
          <w:color w:val="000000" w:themeColor="text1"/>
          <w:sz w:val="23"/>
          <w:szCs w:val="23"/>
          <w:lang w:val="en-US"/>
        </w:rPr>
        <w:t xml:space="preserve"> since they are knowledge</w:t>
      </w:r>
      <w:r w:rsidR="000A3FB0">
        <w:rPr>
          <w:rFonts w:ascii="Times New Roman" w:eastAsia="Calibri" w:hAnsi="Times New Roman" w:cs="Times New Roman"/>
          <w:color w:val="000000" w:themeColor="text1"/>
          <w:sz w:val="23"/>
          <w:szCs w:val="23"/>
          <w:lang w:val="en-US"/>
        </w:rPr>
        <w:t>-</w:t>
      </w:r>
      <w:r w:rsidR="00DD7D18" w:rsidRPr="00983193">
        <w:rPr>
          <w:rFonts w:ascii="Times New Roman" w:eastAsia="Calibri" w:hAnsi="Times New Roman" w:cs="Times New Roman"/>
          <w:color w:val="000000" w:themeColor="text1"/>
          <w:sz w:val="23"/>
          <w:szCs w:val="23"/>
          <w:lang w:val="en-US"/>
        </w:rPr>
        <w:t>based</w:t>
      </w:r>
      <w:r w:rsidR="000A3FB0">
        <w:rPr>
          <w:rFonts w:ascii="Times New Roman" w:eastAsia="Calibri" w:hAnsi="Times New Roman" w:cs="Times New Roman"/>
          <w:color w:val="000000" w:themeColor="text1"/>
          <w:sz w:val="23"/>
          <w:szCs w:val="23"/>
          <w:lang w:val="en-US"/>
        </w:rPr>
        <w:t>,</w:t>
      </w:r>
      <w:r w:rsidR="00DD7D18" w:rsidRPr="00983193">
        <w:rPr>
          <w:rFonts w:ascii="Times New Roman" w:eastAsia="Calibri" w:hAnsi="Times New Roman" w:cs="Times New Roman"/>
          <w:color w:val="000000" w:themeColor="text1"/>
          <w:sz w:val="23"/>
          <w:szCs w:val="23"/>
          <w:lang w:val="en-US"/>
        </w:rPr>
        <w:t xml:space="preserve"> specific to each company</w:t>
      </w:r>
      <w:r w:rsidR="000A3FB0">
        <w:rPr>
          <w:rFonts w:ascii="Times New Roman" w:eastAsia="Calibri" w:hAnsi="Times New Roman" w:cs="Times New Roman"/>
          <w:color w:val="000000" w:themeColor="text1"/>
          <w:sz w:val="23"/>
          <w:szCs w:val="23"/>
          <w:lang w:val="en-US"/>
        </w:rPr>
        <w:t>,</w:t>
      </w:r>
      <w:r w:rsidR="00DD7D18" w:rsidRPr="00983193">
        <w:rPr>
          <w:rFonts w:ascii="Times New Roman" w:eastAsia="Calibri" w:hAnsi="Times New Roman" w:cs="Times New Roman"/>
          <w:color w:val="000000" w:themeColor="text1"/>
          <w:sz w:val="23"/>
          <w:szCs w:val="23"/>
          <w:lang w:val="en-US"/>
        </w:rPr>
        <w:t xml:space="preserve"> and are difficult to replicate</w:t>
      </w:r>
      <w:r w:rsidR="00FF71C3" w:rsidRPr="00983193">
        <w:rPr>
          <w:rFonts w:ascii="Times New Roman" w:eastAsia="Calibri" w:hAnsi="Times New Roman" w:cs="Times New Roman"/>
          <w:color w:val="000000" w:themeColor="text1"/>
          <w:sz w:val="23"/>
          <w:szCs w:val="23"/>
          <w:lang w:val="en-US"/>
        </w:rPr>
        <w:t xml:space="preserve"> and imitate</w:t>
      </w:r>
      <w:r w:rsidR="00144485" w:rsidRPr="00983193">
        <w:rPr>
          <w:rFonts w:ascii="Times New Roman" w:eastAsia="Calibri" w:hAnsi="Times New Roman" w:cs="Times New Roman"/>
          <w:color w:val="000000" w:themeColor="text1"/>
          <w:sz w:val="23"/>
          <w:szCs w:val="23"/>
          <w:lang w:val="en-US"/>
        </w:rPr>
        <w:t xml:space="preserve"> (Chen et al., 2005; </w:t>
      </w:r>
      <w:r w:rsidR="00295AF5" w:rsidRPr="00983193">
        <w:rPr>
          <w:rFonts w:ascii="Times New Roman" w:eastAsia="Calibri" w:hAnsi="Times New Roman" w:cs="Times New Roman"/>
          <w:color w:val="000000" w:themeColor="text1"/>
          <w:sz w:val="23"/>
          <w:szCs w:val="23"/>
          <w:lang w:val="en-US"/>
        </w:rPr>
        <w:t xml:space="preserve">Khalique </w:t>
      </w:r>
      <w:r w:rsidR="00144485" w:rsidRPr="00983193">
        <w:rPr>
          <w:rFonts w:ascii="Times New Roman" w:eastAsia="Calibri" w:hAnsi="Times New Roman" w:cs="Times New Roman"/>
          <w:color w:val="000000" w:themeColor="text1"/>
          <w:sz w:val="23"/>
          <w:szCs w:val="23"/>
          <w:lang w:val="en-US"/>
        </w:rPr>
        <w:t>et al.,</w:t>
      </w:r>
      <w:r w:rsidR="00126F59" w:rsidRPr="00983193">
        <w:rPr>
          <w:rFonts w:ascii="Times New Roman" w:eastAsia="Calibri" w:hAnsi="Times New Roman" w:cs="Times New Roman"/>
          <w:color w:val="000000" w:themeColor="text1"/>
          <w:sz w:val="23"/>
          <w:szCs w:val="23"/>
          <w:lang w:val="en-US"/>
        </w:rPr>
        <w:t xml:space="preserve"> 2015;</w:t>
      </w:r>
      <w:r w:rsidR="00DD7D18" w:rsidRPr="00983193">
        <w:rPr>
          <w:rFonts w:ascii="Times New Roman" w:eastAsia="Calibri" w:hAnsi="Times New Roman" w:cs="Times New Roman"/>
          <w:color w:val="000000" w:themeColor="text1"/>
          <w:sz w:val="23"/>
          <w:szCs w:val="23"/>
          <w:lang w:val="en-US"/>
        </w:rPr>
        <w:t xml:space="preserve"> Castilla-Polo and Ruiz-Rodriguez, 2017;</w:t>
      </w:r>
      <w:r w:rsidR="00126F59" w:rsidRPr="00983193">
        <w:rPr>
          <w:rFonts w:ascii="Times New Roman" w:eastAsia="Calibri" w:hAnsi="Times New Roman" w:cs="Times New Roman"/>
          <w:color w:val="000000" w:themeColor="text1"/>
          <w:sz w:val="23"/>
          <w:szCs w:val="23"/>
          <w:lang w:val="en-US"/>
        </w:rPr>
        <w:t xml:space="preserve"> Dumay and Guthrie, 2017). </w:t>
      </w:r>
    </w:p>
    <w:p w14:paraId="0C1DE10B" w14:textId="77777777" w:rsidR="004C1AD1" w:rsidRDefault="00126F59" w:rsidP="00CE2DC8">
      <w:pPr>
        <w:spacing w:after="0" w:line="240" w:lineRule="auto"/>
        <w:ind w:firstLine="284"/>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 xml:space="preserve">Several authors recognize that the </w:t>
      </w:r>
      <w:r w:rsidR="00EA7455" w:rsidRPr="00983193">
        <w:rPr>
          <w:rFonts w:ascii="Times New Roman" w:eastAsia="Calibri" w:hAnsi="Times New Roman" w:cs="Times New Roman"/>
          <w:color w:val="000000" w:themeColor="text1"/>
          <w:sz w:val="23"/>
          <w:szCs w:val="23"/>
          <w:lang w:val="en-US"/>
        </w:rPr>
        <w:t xml:space="preserve">accounting </w:t>
      </w:r>
      <w:r w:rsidRPr="00983193">
        <w:rPr>
          <w:rFonts w:ascii="Times New Roman" w:eastAsia="Calibri" w:hAnsi="Times New Roman" w:cs="Times New Roman"/>
          <w:color w:val="000000" w:themeColor="text1"/>
          <w:sz w:val="23"/>
          <w:szCs w:val="23"/>
          <w:lang w:val="en-US"/>
        </w:rPr>
        <w:t>term “intangible assets” and</w:t>
      </w:r>
      <w:r w:rsidR="00EA7455" w:rsidRPr="00983193">
        <w:rPr>
          <w:rFonts w:ascii="Times New Roman" w:eastAsia="Calibri" w:hAnsi="Times New Roman" w:cs="Times New Roman"/>
          <w:color w:val="000000" w:themeColor="text1"/>
          <w:sz w:val="23"/>
          <w:szCs w:val="23"/>
          <w:lang w:val="en-US"/>
        </w:rPr>
        <w:t xml:space="preserve"> the management term</w:t>
      </w:r>
      <w:r w:rsidRPr="00983193">
        <w:rPr>
          <w:rFonts w:ascii="Times New Roman" w:eastAsia="Calibri" w:hAnsi="Times New Roman" w:cs="Times New Roman"/>
          <w:color w:val="000000" w:themeColor="text1"/>
          <w:sz w:val="23"/>
          <w:szCs w:val="23"/>
          <w:lang w:val="en-US"/>
        </w:rPr>
        <w:t xml:space="preserve"> “</w:t>
      </w:r>
      <w:r w:rsidR="00EA7455" w:rsidRPr="00983193">
        <w:rPr>
          <w:rFonts w:ascii="Times New Roman" w:eastAsia="Calibri" w:hAnsi="Times New Roman" w:cs="Times New Roman"/>
          <w:color w:val="000000" w:themeColor="text1"/>
          <w:sz w:val="23"/>
          <w:szCs w:val="23"/>
          <w:lang w:val="en-US"/>
        </w:rPr>
        <w:t>i</w:t>
      </w:r>
      <w:r w:rsidRPr="00983193">
        <w:rPr>
          <w:rFonts w:ascii="Times New Roman" w:eastAsia="Calibri" w:hAnsi="Times New Roman" w:cs="Times New Roman"/>
          <w:color w:val="000000" w:themeColor="text1"/>
          <w:sz w:val="23"/>
          <w:szCs w:val="23"/>
          <w:lang w:val="en-US"/>
        </w:rPr>
        <w:t xml:space="preserve">ntellectual </w:t>
      </w:r>
      <w:r w:rsidR="00EA7455" w:rsidRPr="00983193">
        <w:rPr>
          <w:rFonts w:ascii="Times New Roman" w:eastAsia="Calibri" w:hAnsi="Times New Roman" w:cs="Times New Roman"/>
          <w:color w:val="000000" w:themeColor="text1"/>
          <w:sz w:val="23"/>
          <w:szCs w:val="23"/>
          <w:lang w:val="en-US"/>
        </w:rPr>
        <w:t>c</w:t>
      </w:r>
      <w:r w:rsidRPr="00983193">
        <w:rPr>
          <w:rFonts w:ascii="Times New Roman" w:eastAsia="Calibri" w:hAnsi="Times New Roman" w:cs="Times New Roman"/>
          <w:color w:val="000000" w:themeColor="text1"/>
          <w:sz w:val="23"/>
          <w:szCs w:val="23"/>
          <w:lang w:val="en-US"/>
        </w:rPr>
        <w:t xml:space="preserve">apital” are </w:t>
      </w:r>
      <w:r w:rsidR="00EA7455" w:rsidRPr="00983193">
        <w:rPr>
          <w:rFonts w:ascii="Times New Roman" w:eastAsia="Calibri" w:hAnsi="Times New Roman" w:cs="Times New Roman"/>
          <w:color w:val="000000" w:themeColor="text1"/>
          <w:sz w:val="23"/>
          <w:szCs w:val="23"/>
          <w:lang w:val="en-US"/>
        </w:rPr>
        <w:t xml:space="preserve">largely </w:t>
      </w:r>
      <w:r w:rsidRPr="00983193">
        <w:rPr>
          <w:rFonts w:ascii="Times New Roman" w:eastAsia="Calibri" w:hAnsi="Times New Roman" w:cs="Times New Roman"/>
          <w:color w:val="000000" w:themeColor="text1"/>
          <w:sz w:val="23"/>
          <w:szCs w:val="23"/>
          <w:lang w:val="en-US"/>
        </w:rPr>
        <w:t>synonymous (Lev, 2001; Puntillo, 2009; Goebel et al., 2015</w:t>
      </w:r>
      <w:r w:rsidR="00DD7D18" w:rsidRPr="00983193">
        <w:rPr>
          <w:rFonts w:ascii="Times New Roman" w:eastAsia="Calibri" w:hAnsi="Times New Roman" w:cs="Times New Roman"/>
          <w:color w:val="000000" w:themeColor="text1"/>
          <w:sz w:val="23"/>
          <w:szCs w:val="23"/>
          <w:lang w:val="en-US"/>
        </w:rPr>
        <w:t>; Osinski et al., 2017</w:t>
      </w:r>
      <w:r w:rsidRPr="00983193">
        <w:rPr>
          <w:rFonts w:ascii="Times New Roman" w:eastAsia="Calibri" w:hAnsi="Times New Roman" w:cs="Times New Roman"/>
          <w:color w:val="000000" w:themeColor="text1"/>
          <w:sz w:val="23"/>
          <w:szCs w:val="23"/>
          <w:lang w:val="en-US"/>
        </w:rPr>
        <w:t xml:space="preserve">). </w:t>
      </w:r>
      <w:r w:rsidR="00295AF5" w:rsidRPr="00983193">
        <w:rPr>
          <w:rFonts w:ascii="Times New Roman" w:eastAsia="Calibri" w:hAnsi="Times New Roman" w:cs="Times New Roman"/>
          <w:color w:val="000000" w:themeColor="text1"/>
          <w:sz w:val="23"/>
          <w:szCs w:val="23"/>
          <w:lang w:val="en-US"/>
        </w:rPr>
        <w:t>Khalique</w:t>
      </w:r>
      <w:r w:rsidR="00FF71C3" w:rsidRPr="00983193">
        <w:rPr>
          <w:rFonts w:ascii="Times New Roman" w:eastAsia="Calibri" w:hAnsi="Times New Roman" w:cs="Times New Roman"/>
          <w:color w:val="000000" w:themeColor="text1"/>
          <w:sz w:val="23"/>
          <w:szCs w:val="23"/>
          <w:lang w:val="en-US"/>
        </w:rPr>
        <w:t xml:space="preserve"> et al. (2015, p.225) </w:t>
      </w:r>
      <w:r w:rsidR="000A3FB0">
        <w:rPr>
          <w:rFonts w:ascii="Times New Roman" w:eastAsia="Calibri" w:hAnsi="Times New Roman" w:cs="Times New Roman"/>
          <w:color w:val="000000" w:themeColor="text1"/>
          <w:sz w:val="23"/>
          <w:szCs w:val="23"/>
          <w:lang w:val="en-US"/>
        </w:rPr>
        <w:t xml:space="preserve">argue that </w:t>
      </w:r>
      <w:r w:rsidR="00FF71C3" w:rsidRPr="00983193">
        <w:rPr>
          <w:rFonts w:ascii="Times New Roman" w:eastAsia="Calibri" w:hAnsi="Times New Roman" w:cs="Times New Roman"/>
          <w:color w:val="000000" w:themeColor="text1"/>
          <w:sz w:val="23"/>
          <w:szCs w:val="23"/>
          <w:lang w:val="en-US"/>
        </w:rPr>
        <w:t xml:space="preserve">“intellectual capital represents a combination of intangible assets or resources, such as knowledge, know-how, professional skills and expertise, customer relationships, information, databases, organizational structures, innovations, social values, </w:t>
      </w:r>
      <w:r w:rsidR="00FF71C3" w:rsidRPr="0005636E">
        <w:rPr>
          <w:rFonts w:ascii="Times New Roman" w:eastAsia="Calibri" w:hAnsi="Times New Roman" w:cs="Times New Roman"/>
          <w:noProof/>
          <w:color w:val="000000" w:themeColor="text1"/>
          <w:sz w:val="23"/>
          <w:szCs w:val="23"/>
          <w:lang w:val="en-US"/>
        </w:rPr>
        <w:t>faith</w:t>
      </w:r>
      <w:r w:rsidR="0005636E">
        <w:rPr>
          <w:rFonts w:ascii="Times New Roman" w:eastAsia="Calibri" w:hAnsi="Times New Roman" w:cs="Times New Roman"/>
          <w:noProof/>
          <w:color w:val="000000" w:themeColor="text1"/>
          <w:sz w:val="23"/>
          <w:szCs w:val="23"/>
          <w:lang w:val="en-US"/>
        </w:rPr>
        <w:t>,</w:t>
      </w:r>
      <w:r w:rsidR="00FF71C3" w:rsidRPr="00983193">
        <w:rPr>
          <w:rFonts w:ascii="Times New Roman" w:eastAsia="Calibri" w:hAnsi="Times New Roman" w:cs="Times New Roman"/>
          <w:color w:val="000000" w:themeColor="text1"/>
          <w:sz w:val="23"/>
          <w:szCs w:val="23"/>
          <w:lang w:val="en-US"/>
        </w:rPr>
        <w:t xml:space="preserve"> and honesty. These can be used to create organizational value and provide a competitive edge to an organization”.</w:t>
      </w:r>
      <w:r w:rsidR="006A3644" w:rsidRPr="00983193">
        <w:rPr>
          <w:rFonts w:ascii="Times New Roman" w:eastAsia="Calibri" w:hAnsi="Times New Roman" w:cs="Times New Roman"/>
          <w:color w:val="000000" w:themeColor="text1"/>
          <w:sz w:val="23"/>
          <w:szCs w:val="23"/>
          <w:lang w:val="en-US"/>
        </w:rPr>
        <w:t xml:space="preserve"> </w:t>
      </w:r>
    </w:p>
    <w:p w14:paraId="714F15A5" w14:textId="77777777" w:rsidR="004C1AD1" w:rsidRDefault="006A3644" w:rsidP="00CE2DC8">
      <w:pPr>
        <w:spacing w:after="0" w:line="240" w:lineRule="auto"/>
        <w:ind w:firstLine="284"/>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Moreover, Dumay (2016</w:t>
      </w:r>
      <w:r w:rsidR="00526DC6" w:rsidRPr="00983193">
        <w:rPr>
          <w:rFonts w:ascii="Times New Roman" w:eastAsia="Calibri" w:hAnsi="Times New Roman" w:cs="Times New Roman"/>
          <w:color w:val="000000" w:themeColor="text1"/>
          <w:sz w:val="23"/>
          <w:szCs w:val="23"/>
          <w:lang w:val="en-US"/>
        </w:rPr>
        <w:t>, p.169</w:t>
      </w:r>
      <w:r w:rsidRPr="00983193">
        <w:rPr>
          <w:rFonts w:ascii="Times New Roman" w:eastAsia="Calibri" w:hAnsi="Times New Roman" w:cs="Times New Roman"/>
          <w:color w:val="000000" w:themeColor="text1"/>
          <w:sz w:val="23"/>
          <w:szCs w:val="23"/>
          <w:lang w:val="en-US"/>
        </w:rPr>
        <w:t>)</w:t>
      </w:r>
      <w:r w:rsidR="000A3FB0">
        <w:rPr>
          <w:rFonts w:ascii="Times New Roman" w:eastAsia="Calibri" w:hAnsi="Times New Roman" w:cs="Times New Roman"/>
          <w:color w:val="000000" w:themeColor="text1"/>
          <w:sz w:val="23"/>
          <w:szCs w:val="23"/>
          <w:lang w:val="en-US"/>
        </w:rPr>
        <w:t>,</w:t>
      </w:r>
      <w:r w:rsidRPr="00983193">
        <w:rPr>
          <w:rFonts w:ascii="Times New Roman" w:eastAsia="Calibri" w:hAnsi="Times New Roman" w:cs="Times New Roman"/>
          <w:color w:val="000000" w:themeColor="text1"/>
          <w:sz w:val="23"/>
          <w:szCs w:val="23"/>
          <w:lang w:val="en-US"/>
        </w:rPr>
        <w:t xml:space="preserve"> by emphasizing the concept of “value” rather than “wealth”</w:t>
      </w:r>
      <w:r w:rsidR="000A3FB0">
        <w:rPr>
          <w:rFonts w:ascii="Times New Roman" w:eastAsia="Calibri" w:hAnsi="Times New Roman" w:cs="Times New Roman"/>
          <w:color w:val="000000" w:themeColor="text1"/>
          <w:sz w:val="23"/>
          <w:szCs w:val="23"/>
          <w:lang w:val="en-US"/>
        </w:rPr>
        <w:t>,</w:t>
      </w:r>
      <w:r w:rsidRPr="00983193">
        <w:rPr>
          <w:rFonts w:ascii="Times New Roman" w:eastAsia="Calibri" w:hAnsi="Times New Roman" w:cs="Times New Roman"/>
          <w:color w:val="000000" w:themeColor="text1"/>
          <w:sz w:val="23"/>
          <w:szCs w:val="23"/>
          <w:lang w:val="en-US"/>
        </w:rPr>
        <w:t xml:space="preserve"> replace the definition of Stewart (1997) by defining IC </w:t>
      </w:r>
      <w:r w:rsidR="000A3FB0">
        <w:rPr>
          <w:rFonts w:ascii="Times New Roman" w:eastAsia="Calibri" w:hAnsi="Times New Roman" w:cs="Times New Roman"/>
          <w:color w:val="000000" w:themeColor="text1"/>
          <w:sz w:val="23"/>
          <w:szCs w:val="23"/>
          <w:lang w:val="en-US"/>
        </w:rPr>
        <w:t>as follows:</w:t>
      </w:r>
      <w:r w:rsidR="00526DC6" w:rsidRPr="00983193">
        <w:rPr>
          <w:rFonts w:ascii="Times New Roman" w:eastAsia="Calibri" w:hAnsi="Times New Roman" w:cs="Times New Roman"/>
          <w:color w:val="000000" w:themeColor="text1"/>
          <w:sz w:val="23"/>
          <w:szCs w:val="23"/>
          <w:lang w:val="en-US"/>
        </w:rPr>
        <w:t xml:space="preserve"> </w:t>
      </w:r>
      <w:r w:rsidRPr="00983193">
        <w:rPr>
          <w:rFonts w:ascii="Times New Roman" w:eastAsia="Calibri" w:hAnsi="Times New Roman" w:cs="Times New Roman"/>
          <w:color w:val="000000" w:themeColor="text1"/>
          <w:sz w:val="23"/>
          <w:szCs w:val="23"/>
          <w:lang w:val="en-US"/>
        </w:rPr>
        <w:t xml:space="preserve">“[IC] is the sum of everything everybody in a company knows that </w:t>
      </w:r>
      <w:r w:rsidR="00526DC6" w:rsidRPr="00983193">
        <w:rPr>
          <w:rFonts w:ascii="Times New Roman" w:eastAsia="Calibri" w:hAnsi="Times New Roman" w:cs="Times New Roman"/>
          <w:color w:val="000000" w:themeColor="text1"/>
          <w:sz w:val="23"/>
          <w:szCs w:val="23"/>
          <w:lang w:val="en-US"/>
        </w:rPr>
        <w:t xml:space="preserve">gives it a competitive edge […] </w:t>
      </w:r>
      <w:r w:rsidRPr="00983193">
        <w:rPr>
          <w:rFonts w:ascii="Times New Roman" w:eastAsia="Calibri" w:hAnsi="Times New Roman" w:cs="Times New Roman"/>
          <w:color w:val="000000" w:themeColor="text1"/>
          <w:sz w:val="23"/>
          <w:szCs w:val="23"/>
          <w:lang w:val="en-US"/>
        </w:rPr>
        <w:t>Intellectual Capital is intellectual material, knowledge, expe</w:t>
      </w:r>
      <w:r w:rsidR="00526DC6" w:rsidRPr="00983193">
        <w:rPr>
          <w:rFonts w:ascii="Times New Roman" w:eastAsia="Calibri" w:hAnsi="Times New Roman" w:cs="Times New Roman"/>
          <w:color w:val="000000" w:themeColor="text1"/>
          <w:sz w:val="23"/>
          <w:szCs w:val="23"/>
          <w:lang w:val="en-US"/>
        </w:rPr>
        <w:t xml:space="preserve">rience, intellectual property, </w:t>
      </w:r>
      <w:r w:rsidRPr="00983193">
        <w:rPr>
          <w:rFonts w:ascii="Times New Roman" w:eastAsia="Calibri" w:hAnsi="Times New Roman" w:cs="Times New Roman"/>
          <w:color w:val="000000" w:themeColor="text1"/>
          <w:sz w:val="23"/>
          <w:szCs w:val="23"/>
          <w:lang w:val="en-US"/>
        </w:rPr>
        <w:t>information […] that can be put to use to create [value]</w:t>
      </w:r>
      <w:r w:rsidR="007C6824" w:rsidRPr="00983193">
        <w:rPr>
          <w:rFonts w:ascii="Times New Roman" w:eastAsia="Calibri" w:hAnsi="Times New Roman" w:cs="Times New Roman"/>
          <w:color w:val="000000" w:themeColor="text1"/>
          <w:sz w:val="23"/>
          <w:szCs w:val="23"/>
          <w:lang w:val="en-US"/>
        </w:rPr>
        <w:t>”</w:t>
      </w:r>
      <w:r w:rsidRPr="00983193">
        <w:rPr>
          <w:rFonts w:ascii="Times New Roman" w:eastAsia="Calibri" w:hAnsi="Times New Roman" w:cs="Times New Roman"/>
          <w:color w:val="000000" w:themeColor="text1"/>
          <w:sz w:val="23"/>
          <w:szCs w:val="23"/>
          <w:lang w:val="en-US"/>
        </w:rPr>
        <w:t>.</w:t>
      </w:r>
    </w:p>
    <w:p w14:paraId="01FE530E" w14:textId="77777777" w:rsidR="004C1AD1" w:rsidRDefault="000A3FB0" w:rsidP="00CE2DC8">
      <w:pPr>
        <w:spacing w:after="0" w:line="240" w:lineRule="auto"/>
        <w:ind w:firstLine="284"/>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Drawing upon the insights from</w:t>
      </w:r>
      <w:r w:rsidR="00526DC6" w:rsidRPr="00983193">
        <w:rPr>
          <w:rFonts w:ascii="Times New Roman" w:eastAsia="Calibri" w:hAnsi="Times New Roman" w:cs="Times New Roman"/>
          <w:color w:val="000000" w:themeColor="text1"/>
          <w:sz w:val="23"/>
          <w:szCs w:val="23"/>
          <w:lang w:val="en-US"/>
        </w:rPr>
        <w:t xml:space="preserve"> these two </w:t>
      </w:r>
      <w:r w:rsidR="00DA7282" w:rsidRPr="00983193">
        <w:rPr>
          <w:rFonts w:ascii="Times New Roman" w:eastAsia="Calibri" w:hAnsi="Times New Roman" w:cs="Times New Roman"/>
          <w:color w:val="000000" w:themeColor="text1"/>
          <w:sz w:val="23"/>
          <w:szCs w:val="23"/>
          <w:lang w:val="en-US"/>
        </w:rPr>
        <w:t>definitions</w:t>
      </w:r>
      <w:r w:rsidR="00526DC6" w:rsidRPr="00983193">
        <w:rPr>
          <w:rFonts w:ascii="Times New Roman" w:eastAsia="Calibri" w:hAnsi="Times New Roman" w:cs="Times New Roman"/>
          <w:color w:val="000000" w:themeColor="text1"/>
          <w:sz w:val="23"/>
          <w:szCs w:val="23"/>
          <w:lang w:val="en-US"/>
        </w:rPr>
        <w:t xml:space="preserve"> of IC, the relevance of Intellectual Capital </w:t>
      </w:r>
      <w:r>
        <w:rPr>
          <w:rFonts w:ascii="Times New Roman" w:eastAsia="Calibri" w:hAnsi="Times New Roman" w:cs="Times New Roman"/>
          <w:color w:val="000000" w:themeColor="text1"/>
          <w:sz w:val="23"/>
          <w:szCs w:val="23"/>
          <w:lang w:val="en-US"/>
        </w:rPr>
        <w:t xml:space="preserve">emerges </w:t>
      </w:r>
      <w:r w:rsidR="00526DC6" w:rsidRPr="00983193">
        <w:rPr>
          <w:rFonts w:ascii="Times New Roman" w:eastAsia="Calibri" w:hAnsi="Times New Roman" w:cs="Times New Roman"/>
          <w:color w:val="000000" w:themeColor="text1"/>
          <w:sz w:val="23"/>
          <w:szCs w:val="23"/>
          <w:lang w:val="en-US"/>
        </w:rPr>
        <w:t xml:space="preserve">as </w:t>
      </w:r>
      <w:r>
        <w:rPr>
          <w:rFonts w:ascii="Times New Roman" w:eastAsia="Calibri" w:hAnsi="Times New Roman" w:cs="Times New Roman"/>
          <w:color w:val="000000" w:themeColor="text1"/>
          <w:sz w:val="23"/>
          <w:szCs w:val="23"/>
          <w:lang w:val="en-US"/>
        </w:rPr>
        <w:t xml:space="preserve">a </w:t>
      </w:r>
      <w:r w:rsidR="00526DC6" w:rsidRPr="00983193">
        <w:rPr>
          <w:rFonts w:ascii="Times New Roman" w:eastAsia="Calibri" w:hAnsi="Times New Roman" w:cs="Times New Roman"/>
          <w:color w:val="000000" w:themeColor="text1"/>
          <w:sz w:val="23"/>
          <w:szCs w:val="23"/>
          <w:lang w:val="en-US"/>
        </w:rPr>
        <w:t xml:space="preserve">fundamental driver </w:t>
      </w:r>
      <w:r>
        <w:rPr>
          <w:rFonts w:ascii="Times New Roman" w:eastAsia="Calibri" w:hAnsi="Times New Roman" w:cs="Times New Roman"/>
          <w:color w:val="000000" w:themeColor="text1"/>
          <w:sz w:val="23"/>
          <w:szCs w:val="23"/>
          <w:lang w:val="en-US"/>
        </w:rPr>
        <w:t>of</w:t>
      </w:r>
      <w:r w:rsidRPr="00983193">
        <w:rPr>
          <w:rFonts w:ascii="Times New Roman" w:eastAsia="Calibri" w:hAnsi="Times New Roman" w:cs="Times New Roman"/>
          <w:color w:val="000000" w:themeColor="text1"/>
          <w:sz w:val="23"/>
          <w:szCs w:val="23"/>
          <w:lang w:val="en-US"/>
        </w:rPr>
        <w:t xml:space="preserve"> </w:t>
      </w:r>
      <w:r w:rsidR="00BC5AB7" w:rsidRPr="00983193">
        <w:rPr>
          <w:rFonts w:ascii="Times New Roman" w:eastAsia="Calibri" w:hAnsi="Times New Roman" w:cs="Times New Roman"/>
          <w:color w:val="000000" w:themeColor="text1"/>
          <w:sz w:val="23"/>
          <w:szCs w:val="23"/>
          <w:lang w:val="en-US"/>
        </w:rPr>
        <w:t>firm</w:t>
      </w:r>
      <w:r w:rsidR="00526DC6" w:rsidRPr="00983193">
        <w:rPr>
          <w:rFonts w:ascii="Times New Roman" w:eastAsia="Calibri" w:hAnsi="Times New Roman" w:cs="Times New Roman"/>
          <w:color w:val="000000" w:themeColor="text1"/>
          <w:sz w:val="23"/>
          <w:szCs w:val="23"/>
          <w:lang w:val="en-US"/>
        </w:rPr>
        <w:t xml:space="preserve"> value creation and sustainable competitive advantage, s</w:t>
      </w:r>
      <w:r>
        <w:rPr>
          <w:rFonts w:ascii="Times New Roman" w:eastAsia="Calibri" w:hAnsi="Times New Roman" w:cs="Times New Roman"/>
          <w:color w:val="000000" w:themeColor="text1"/>
          <w:sz w:val="23"/>
          <w:szCs w:val="23"/>
          <w:lang w:val="en-US"/>
        </w:rPr>
        <w:t>uch</w:t>
      </w:r>
      <w:r w:rsidR="00526DC6" w:rsidRPr="00983193">
        <w:rPr>
          <w:rFonts w:ascii="Times New Roman" w:eastAsia="Calibri" w:hAnsi="Times New Roman" w:cs="Times New Roman"/>
          <w:color w:val="000000" w:themeColor="text1"/>
          <w:sz w:val="23"/>
          <w:szCs w:val="23"/>
          <w:lang w:val="en-US"/>
        </w:rPr>
        <w:t xml:space="preserve"> </w:t>
      </w:r>
      <w:r>
        <w:rPr>
          <w:rFonts w:ascii="Times New Roman" w:eastAsia="Calibri" w:hAnsi="Times New Roman" w:cs="Times New Roman"/>
          <w:color w:val="000000" w:themeColor="text1"/>
          <w:sz w:val="23"/>
          <w:szCs w:val="23"/>
          <w:lang w:val="en-US"/>
        </w:rPr>
        <w:t xml:space="preserve">that </w:t>
      </w:r>
      <w:r w:rsidR="00526DC6" w:rsidRPr="00983193">
        <w:rPr>
          <w:rFonts w:ascii="Times New Roman" w:eastAsia="Calibri" w:hAnsi="Times New Roman" w:cs="Times New Roman"/>
          <w:color w:val="000000" w:themeColor="text1"/>
          <w:sz w:val="23"/>
          <w:szCs w:val="23"/>
          <w:lang w:val="en-US"/>
        </w:rPr>
        <w:t>the identification and measurement of IC has become pivotal in this knowledge based economy</w:t>
      </w:r>
      <w:r>
        <w:rPr>
          <w:rFonts w:ascii="Times New Roman" w:eastAsia="Calibri" w:hAnsi="Times New Roman" w:cs="Times New Roman"/>
          <w:color w:val="000000" w:themeColor="text1"/>
          <w:sz w:val="23"/>
          <w:szCs w:val="23"/>
          <w:lang w:val="en-US"/>
        </w:rPr>
        <w:t>,</w:t>
      </w:r>
      <w:r w:rsidR="00526DC6" w:rsidRPr="00983193">
        <w:rPr>
          <w:rFonts w:ascii="Times New Roman" w:eastAsia="Calibri" w:hAnsi="Times New Roman" w:cs="Times New Roman"/>
          <w:color w:val="000000" w:themeColor="text1"/>
          <w:sz w:val="23"/>
          <w:szCs w:val="23"/>
          <w:lang w:val="en-US"/>
        </w:rPr>
        <w:t xml:space="preserve"> </w:t>
      </w:r>
      <w:r w:rsidR="009C08E7" w:rsidRPr="00983193">
        <w:rPr>
          <w:rFonts w:ascii="Times New Roman" w:eastAsia="Calibri" w:hAnsi="Times New Roman" w:cs="Times New Roman"/>
          <w:color w:val="000000" w:themeColor="text1"/>
          <w:sz w:val="23"/>
          <w:szCs w:val="23"/>
          <w:lang w:val="en-US"/>
        </w:rPr>
        <w:t xml:space="preserve">though </w:t>
      </w:r>
      <w:r>
        <w:rPr>
          <w:rFonts w:ascii="Times New Roman" w:eastAsia="Calibri" w:hAnsi="Times New Roman" w:cs="Times New Roman"/>
          <w:color w:val="000000" w:themeColor="text1"/>
          <w:sz w:val="23"/>
          <w:szCs w:val="23"/>
          <w:lang w:val="en-US"/>
        </w:rPr>
        <w:t>it remains</w:t>
      </w:r>
      <w:r w:rsidR="009C08E7" w:rsidRPr="00983193">
        <w:rPr>
          <w:rFonts w:ascii="Times New Roman" w:eastAsia="Calibri" w:hAnsi="Times New Roman" w:cs="Times New Roman"/>
          <w:color w:val="000000" w:themeColor="text1"/>
          <w:sz w:val="23"/>
          <w:szCs w:val="23"/>
          <w:lang w:val="en-US"/>
        </w:rPr>
        <w:t xml:space="preserve"> problematic (Sydler et al., 2014; </w:t>
      </w:r>
      <w:r w:rsidR="007E3048" w:rsidRPr="00983193">
        <w:rPr>
          <w:rFonts w:ascii="Times New Roman" w:eastAsia="Calibri" w:hAnsi="Times New Roman" w:cs="Times New Roman"/>
          <w:color w:val="000000" w:themeColor="text1"/>
          <w:sz w:val="23"/>
          <w:szCs w:val="23"/>
          <w:lang w:val="en-US"/>
        </w:rPr>
        <w:t xml:space="preserve">Goebel, </w:t>
      </w:r>
      <w:r w:rsidR="009C08E7" w:rsidRPr="00983193">
        <w:rPr>
          <w:rFonts w:ascii="Times New Roman" w:eastAsia="Calibri" w:hAnsi="Times New Roman" w:cs="Times New Roman"/>
          <w:color w:val="000000" w:themeColor="text1"/>
          <w:sz w:val="23"/>
          <w:szCs w:val="23"/>
          <w:lang w:val="en-US"/>
        </w:rPr>
        <w:t>2015)</w:t>
      </w:r>
      <w:r w:rsidR="009D2369">
        <w:rPr>
          <w:rFonts w:ascii="Times New Roman" w:eastAsia="Calibri" w:hAnsi="Times New Roman" w:cs="Times New Roman"/>
          <w:color w:val="000000" w:themeColor="text1"/>
          <w:sz w:val="23"/>
          <w:szCs w:val="23"/>
          <w:lang w:val="en-US"/>
        </w:rPr>
        <w:t>.</w:t>
      </w:r>
    </w:p>
    <w:p w14:paraId="14C4FA29" w14:textId="77777777" w:rsidR="004C1AD1" w:rsidRDefault="00C35CEA" w:rsidP="00CE2DC8">
      <w:pPr>
        <w:spacing w:after="0" w:line="240" w:lineRule="auto"/>
        <w:ind w:firstLine="284"/>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Thus, t</w:t>
      </w:r>
      <w:r w:rsidR="00144485" w:rsidRPr="00983193">
        <w:rPr>
          <w:rFonts w:ascii="Times New Roman" w:eastAsia="Calibri" w:hAnsi="Times New Roman" w:cs="Times New Roman"/>
          <w:color w:val="000000" w:themeColor="text1"/>
          <w:sz w:val="23"/>
          <w:szCs w:val="23"/>
          <w:lang w:val="en-US"/>
        </w:rPr>
        <w:t>he</w:t>
      </w:r>
      <w:r w:rsidR="00810955" w:rsidRPr="00983193">
        <w:rPr>
          <w:rFonts w:ascii="Times New Roman" w:eastAsia="Calibri" w:hAnsi="Times New Roman" w:cs="Times New Roman"/>
          <w:color w:val="000000" w:themeColor="text1"/>
          <w:sz w:val="23"/>
          <w:szCs w:val="23"/>
          <w:lang w:val="en-US"/>
        </w:rPr>
        <w:t xml:space="preserve"> identification, </w:t>
      </w:r>
      <w:r w:rsidR="00144485" w:rsidRPr="00614FCC">
        <w:rPr>
          <w:rFonts w:ascii="Times New Roman" w:eastAsia="Calibri" w:hAnsi="Times New Roman" w:cs="Times New Roman"/>
          <w:noProof/>
          <w:color w:val="000000" w:themeColor="text1"/>
          <w:sz w:val="23"/>
          <w:szCs w:val="23"/>
          <w:lang w:val="en-US"/>
        </w:rPr>
        <w:t>management</w:t>
      </w:r>
      <w:r w:rsidR="00614FCC">
        <w:rPr>
          <w:rFonts w:ascii="Times New Roman" w:eastAsia="Calibri" w:hAnsi="Times New Roman" w:cs="Times New Roman"/>
          <w:noProof/>
          <w:color w:val="000000" w:themeColor="text1"/>
          <w:sz w:val="23"/>
          <w:szCs w:val="23"/>
          <w:lang w:val="en-US"/>
        </w:rPr>
        <w:t>,</w:t>
      </w:r>
      <w:r w:rsidR="00144485" w:rsidRPr="00983193">
        <w:rPr>
          <w:rFonts w:ascii="Times New Roman" w:eastAsia="Calibri" w:hAnsi="Times New Roman" w:cs="Times New Roman"/>
          <w:color w:val="000000" w:themeColor="text1"/>
          <w:sz w:val="23"/>
          <w:szCs w:val="23"/>
          <w:lang w:val="en-US"/>
        </w:rPr>
        <w:t xml:space="preserve"> and measurement</w:t>
      </w:r>
      <w:r w:rsidR="00931BE3" w:rsidRPr="00983193">
        <w:rPr>
          <w:rFonts w:ascii="Times New Roman" w:eastAsia="Calibri" w:hAnsi="Times New Roman" w:cs="Times New Roman"/>
          <w:color w:val="000000" w:themeColor="text1"/>
          <w:sz w:val="23"/>
          <w:szCs w:val="23"/>
          <w:lang w:val="en-US"/>
        </w:rPr>
        <w:t xml:space="preserve"> of </w:t>
      </w:r>
      <w:r w:rsidR="00EA7455" w:rsidRPr="00983193">
        <w:rPr>
          <w:rFonts w:ascii="Times New Roman" w:eastAsia="Calibri" w:hAnsi="Times New Roman" w:cs="Times New Roman"/>
          <w:color w:val="000000" w:themeColor="text1"/>
          <w:sz w:val="23"/>
          <w:szCs w:val="23"/>
          <w:lang w:val="en-US"/>
        </w:rPr>
        <w:t>i</w:t>
      </w:r>
      <w:r w:rsidR="00931BE3" w:rsidRPr="00983193">
        <w:rPr>
          <w:rFonts w:ascii="Times New Roman" w:eastAsia="Calibri" w:hAnsi="Times New Roman" w:cs="Times New Roman"/>
          <w:color w:val="000000" w:themeColor="text1"/>
          <w:sz w:val="23"/>
          <w:szCs w:val="23"/>
          <w:lang w:val="en-US"/>
        </w:rPr>
        <w:t xml:space="preserve">ntellectual </w:t>
      </w:r>
      <w:r w:rsidR="00EA7455" w:rsidRPr="00983193">
        <w:rPr>
          <w:rFonts w:ascii="Times New Roman" w:eastAsia="Calibri" w:hAnsi="Times New Roman" w:cs="Times New Roman"/>
          <w:color w:val="000000" w:themeColor="text1"/>
          <w:sz w:val="23"/>
          <w:szCs w:val="23"/>
          <w:lang w:val="en-US"/>
        </w:rPr>
        <w:t>c</w:t>
      </w:r>
      <w:r w:rsidR="00931BE3" w:rsidRPr="00983193">
        <w:rPr>
          <w:rFonts w:ascii="Times New Roman" w:eastAsia="Calibri" w:hAnsi="Times New Roman" w:cs="Times New Roman"/>
          <w:color w:val="000000" w:themeColor="text1"/>
          <w:sz w:val="23"/>
          <w:szCs w:val="23"/>
          <w:lang w:val="en-US"/>
        </w:rPr>
        <w:t>apital (IC)</w:t>
      </w:r>
      <w:r w:rsidR="00126F59" w:rsidRPr="00983193">
        <w:rPr>
          <w:rFonts w:ascii="Times New Roman" w:eastAsia="Calibri" w:hAnsi="Times New Roman" w:cs="Times New Roman"/>
          <w:color w:val="000000" w:themeColor="text1"/>
          <w:sz w:val="23"/>
          <w:szCs w:val="23"/>
          <w:lang w:val="en-US"/>
        </w:rPr>
        <w:t xml:space="preserve"> </w:t>
      </w:r>
      <w:r w:rsidR="00931BE3" w:rsidRPr="00614FCC">
        <w:rPr>
          <w:rFonts w:ascii="Times New Roman" w:eastAsia="Calibri" w:hAnsi="Times New Roman" w:cs="Times New Roman"/>
          <w:noProof/>
          <w:color w:val="000000" w:themeColor="text1"/>
          <w:sz w:val="23"/>
          <w:szCs w:val="23"/>
          <w:lang w:val="en-US"/>
        </w:rPr>
        <w:t>ha</w:t>
      </w:r>
      <w:r w:rsidR="00614FCC">
        <w:rPr>
          <w:rFonts w:ascii="Times New Roman" w:eastAsia="Calibri" w:hAnsi="Times New Roman" w:cs="Times New Roman"/>
          <w:noProof/>
          <w:color w:val="000000" w:themeColor="text1"/>
          <w:sz w:val="23"/>
          <w:szCs w:val="23"/>
          <w:lang w:val="en-US"/>
        </w:rPr>
        <w:t>ve</w:t>
      </w:r>
      <w:r w:rsidR="00931BE3" w:rsidRPr="00983193">
        <w:rPr>
          <w:rFonts w:ascii="Times New Roman" w:eastAsia="Calibri" w:hAnsi="Times New Roman" w:cs="Times New Roman"/>
          <w:color w:val="000000" w:themeColor="text1"/>
          <w:sz w:val="23"/>
          <w:szCs w:val="23"/>
          <w:lang w:val="en-US"/>
        </w:rPr>
        <w:t xml:space="preserve"> become </w:t>
      </w:r>
      <w:r w:rsidR="00EA7455" w:rsidRPr="00983193">
        <w:rPr>
          <w:rFonts w:ascii="Times New Roman" w:eastAsia="Calibri" w:hAnsi="Times New Roman" w:cs="Times New Roman"/>
          <w:color w:val="000000" w:themeColor="text1"/>
          <w:sz w:val="23"/>
          <w:szCs w:val="23"/>
          <w:lang w:val="en-US"/>
        </w:rPr>
        <w:t>a subject of</w:t>
      </w:r>
      <w:r w:rsidR="00614FCC">
        <w:rPr>
          <w:rFonts w:ascii="Times New Roman" w:eastAsia="Calibri" w:hAnsi="Times New Roman" w:cs="Times New Roman"/>
          <w:color w:val="000000" w:themeColor="text1"/>
          <w:sz w:val="23"/>
          <w:szCs w:val="23"/>
          <w:lang w:val="en-US"/>
        </w:rPr>
        <w:t xml:space="preserve"> </w:t>
      </w:r>
      <w:r w:rsidR="00EA7455" w:rsidRPr="00614FCC">
        <w:rPr>
          <w:rFonts w:ascii="Times New Roman" w:eastAsia="Calibri" w:hAnsi="Times New Roman" w:cs="Times New Roman"/>
          <w:noProof/>
          <w:color w:val="000000" w:themeColor="text1"/>
          <w:sz w:val="23"/>
          <w:szCs w:val="23"/>
          <w:lang w:val="en-US"/>
        </w:rPr>
        <w:t>significant</w:t>
      </w:r>
      <w:r w:rsidR="00EA7455" w:rsidRPr="00983193">
        <w:rPr>
          <w:rFonts w:ascii="Times New Roman" w:eastAsia="Calibri" w:hAnsi="Times New Roman" w:cs="Times New Roman"/>
          <w:color w:val="000000" w:themeColor="text1"/>
          <w:sz w:val="23"/>
          <w:szCs w:val="23"/>
          <w:lang w:val="en-US"/>
        </w:rPr>
        <w:t xml:space="preserve"> research</w:t>
      </w:r>
      <w:r w:rsidR="007C6824" w:rsidRPr="00983193">
        <w:rPr>
          <w:rFonts w:ascii="Times New Roman" w:eastAsia="Calibri" w:hAnsi="Times New Roman" w:cs="Times New Roman"/>
          <w:color w:val="000000" w:themeColor="text1"/>
          <w:sz w:val="23"/>
          <w:szCs w:val="23"/>
          <w:lang w:val="en-US"/>
        </w:rPr>
        <w:t>er</w:t>
      </w:r>
      <w:r w:rsidR="00EA7455" w:rsidRPr="00983193">
        <w:rPr>
          <w:rFonts w:ascii="Times New Roman" w:eastAsia="Calibri" w:hAnsi="Times New Roman" w:cs="Times New Roman"/>
          <w:color w:val="000000" w:themeColor="text1"/>
          <w:sz w:val="23"/>
          <w:szCs w:val="23"/>
          <w:lang w:val="en-US"/>
        </w:rPr>
        <w:t xml:space="preserve"> and practitioner interest </w:t>
      </w:r>
      <w:r w:rsidR="00810955" w:rsidRPr="00983193">
        <w:rPr>
          <w:rFonts w:ascii="Times New Roman" w:eastAsia="Calibri" w:hAnsi="Times New Roman" w:cs="Times New Roman"/>
          <w:color w:val="000000" w:themeColor="text1"/>
          <w:sz w:val="23"/>
          <w:szCs w:val="23"/>
          <w:lang w:val="en-US"/>
        </w:rPr>
        <w:t>(Dumay, 2009;</w:t>
      </w:r>
      <w:r w:rsidR="007C6824" w:rsidRPr="00983193">
        <w:rPr>
          <w:rFonts w:ascii="Times New Roman" w:eastAsia="Calibri" w:hAnsi="Times New Roman" w:cs="Times New Roman"/>
          <w:color w:val="000000" w:themeColor="text1"/>
          <w:sz w:val="23"/>
          <w:szCs w:val="23"/>
          <w:lang w:val="en-US"/>
        </w:rPr>
        <w:t xml:space="preserve"> Gogan, 2014;</w:t>
      </w:r>
      <w:r w:rsidR="007E3048" w:rsidRPr="00983193">
        <w:rPr>
          <w:rFonts w:ascii="Times New Roman" w:eastAsia="Calibri" w:hAnsi="Times New Roman" w:cs="Times New Roman"/>
          <w:color w:val="000000" w:themeColor="text1"/>
          <w:sz w:val="23"/>
          <w:szCs w:val="23"/>
          <w:lang w:val="en-US"/>
        </w:rPr>
        <w:t xml:space="preserve"> Sydler et al., 2014; Goebel, </w:t>
      </w:r>
      <w:r w:rsidRPr="00983193">
        <w:rPr>
          <w:rFonts w:ascii="Times New Roman" w:eastAsia="Calibri" w:hAnsi="Times New Roman" w:cs="Times New Roman"/>
          <w:color w:val="000000" w:themeColor="text1"/>
          <w:sz w:val="23"/>
          <w:szCs w:val="23"/>
          <w:lang w:val="en-US"/>
        </w:rPr>
        <w:t>2015;</w:t>
      </w:r>
      <w:r w:rsidR="007E3048" w:rsidRPr="00983193">
        <w:rPr>
          <w:rFonts w:ascii="Times New Roman" w:eastAsia="Calibri" w:hAnsi="Times New Roman" w:cs="Times New Roman"/>
          <w:color w:val="000000" w:themeColor="text1"/>
          <w:sz w:val="23"/>
          <w:szCs w:val="23"/>
          <w:lang w:val="en-US"/>
        </w:rPr>
        <w:t xml:space="preserve"> </w:t>
      </w:r>
      <w:r w:rsidR="00810955" w:rsidRPr="00983193">
        <w:rPr>
          <w:rFonts w:ascii="Times New Roman" w:eastAsia="Calibri" w:hAnsi="Times New Roman" w:cs="Times New Roman"/>
          <w:color w:val="000000" w:themeColor="text1"/>
          <w:sz w:val="23"/>
          <w:szCs w:val="23"/>
          <w:lang w:val="en-US"/>
        </w:rPr>
        <w:t>Osinski et al., 2017).</w:t>
      </w:r>
      <w:r w:rsidR="000A3FB0">
        <w:rPr>
          <w:rFonts w:ascii="Times New Roman" w:eastAsia="Calibri" w:hAnsi="Times New Roman" w:cs="Times New Roman"/>
          <w:color w:val="000000" w:themeColor="text1"/>
          <w:sz w:val="23"/>
          <w:szCs w:val="23"/>
          <w:lang w:val="en-US"/>
        </w:rPr>
        <w:t xml:space="preserve"> </w:t>
      </w:r>
      <w:r w:rsidR="00810955" w:rsidRPr="00983193">
        <w:rPr>
          <w:rFonts w:ascii="Times New Roman" w:eastAsia="Calibri" w:hAnsi="Times New Roman" w:cs="Times New Roman"/>
          <w:color w:val="000000" w:themeColor="text1"/>
          <w:sz w:val="23"/>
          <w:szCs w:val="23"/>
          <w:lang w:val="en-US"/>
        </w:rPr>
        <w:t>In particular,</w:t>
      </w:r>
      <w:r w:rsidR="006E06B0" w:rsidRPr="00983193">
        <w:rPr>
          <w:rFonts w:ascii="Times New Roman" w:eastAsia="Calibri" w:hAnsi="Times New Roman" w:cs="Times New Roman"/>
          <w:color w:val="000000" w:themeColor="text1"/>
          <w:sz w:val="23"/>
          <w:szCs w:val="23"/>
          <w:lang w:val="en-US"/>
        </w:rPr>
        <w:t xml:space="preserve"> </w:t>
      </w:r>
      <w:r w:rsidR="007B1B3F" w:rsidRPr="00983193">
        <w:rPr>
          <w:rFonts w:ascii="Times New Roman" w:eastAsia="Calibri" w:hAnsi="Times New Roman" w:cs="Times New Roman"/>
          <w:color w:val="000000" w:themeColor="text1"/>
          <w:sz w:val="23"/>
          <w:szCs w:val="23"/>
          <w:lang w:val="en-US"/>
        </w:rPr>
        <w:t xml:space="preserve">the </w:t>
      </w:r>
      <w:r w:rsidR="00CA0BDA" w:rsidRPr="00983193">
        <w:rPr>
          <w:rFonts w:ascii="Times New Roman" w:eastAsia="Calibri" w:hAnsi="Times New Roman" w:cs="Times New Roman"/>
          <w:color w:val="000000" w:themeColor="text1"/>
          <w:sz w:val="23"/>
          <w:szCs w:val="23"/>
          <w:lang w:val="en-US"/>
        </w:rPr>
        <w:t xml:space="preserve">correct identification and </w:t>
      </w:r>
      <w:r w:rsidR="00CA5201" w:rsidRPr="00983193">
        <w:rPr>
          <w:rFonts w:ascii="Times New Roman" w:eastAsia="Calibri" w:hAnsi="Times New Roman" w:cs="Times New Roman"/>
          <w:color w:val="000000" w:themeColor="text1"/>
          <w:sz w:val="23"/>
          <w:szCs w:val="23"/>
          <w:lang w:val="en-US"/>
        </w:rPr>
        <w:t>measurement</w:t>
      </w:r>
      <w:r w:rsidR="00CA0BDA" w:rsidRPr="00983193">
        <w:rPr>
          <w:rFonts w:ascii="Times New Roman" w:eastAsia="Calibri" w:hAnsi="Times New Roman" w:cs="Times New Roman"/>
          <w:color w:val="000000" w:themeColor="text1"/>
          <w:sz w:val="23"/>
          <w:szCs w:val="23"/>
          <w:lang w:val="en-US"/>
        </w:rPr>
        <w:t xml:space="preserve"> of IC </w:t>
      </w:r>
      <w:r w:rsidR="007B1B3F" w:rsidRPr="00983193">
        <w:rPr>
          <w:rFonts w:ascii="Times New Roman" w:eastAsia="Calibri" w:hAnsi="Times New Roman" w:cs="Times New Roman"/>
          <w:color w:val="000000" w:themeColor="text1"/>
          <w:sz w:val="23"/>
          <w:szCs w:val="23"/>
          <w:lang w:val="en-US"/>
        </w:rPr>
        <w:t xml:space="preserve">present </w:t>
      </w:r>
      <w:r w:rsidR="00CA0BDA" w:rsidRPr="00983193">
        <w:rPr>
          <w:rFonts w:ascii="Times New Roman" w:eastAsia="Calibri" w:hAnsi="Times New Roman" w:cs="Times New Roman"/>
          <w:color w:val="000000" w:themeColor="text1"/>
          <w:sz w:val="23"/>
          <w:szCs w:val="23"/>
          <w:lang w:val="en-US"/>
        </w:rPr>
        <w:t>some benefit</w:t>
      </w:r>
      <w:r w:rsidR="009D2369">
        <w:rPr>
          <w:rFonts w:ascii="Times New Roman" w:eastAsia="Calibri" w:hAnsi="Times New Roman" w:cs="Times New Roman"/>
          <w:color w:val="000000" w:themeColor="text1"/>
          <w:sz w:val="23"/>
          <w:szCs w:val="23"/>
          <w:lang w:val="en-US"/>
        </w:rPr>
        <w:t>s</w:t>
      </w:r>
      <w:r w:rsidR="00161B7B" w:rsidRPr="00983193">
        <w:rPr>
          <w:rFonts w:ascii="Times New Roman" w:eastAsia="Calibri" w:hAnsi="Times New Roman" w:cs="Times New Roman"/>
          <w:color w:val="000000" w:themeColor="text1"/>
          <w:sz w:val="23"/>
          <w:szCs w:val="23"/>
          <w:lang w:val="en-US"/>
        </w:rPr>
        <w:t xml:space="preserve"> </w:t>
      </w:r>
      <w:r w:rsidR="0006697E" w:rsidRPr="00983193">
        <w:rPr>
          <w:rFonts w:ascii="Times New Roman" w:eastAsia="Calibri" w:hAnsi="Times New Roman" w:cs="Times New Roman"/>
          <w:color w:val="000000" w:themeColor="text1"/>
          <w:sz w:val="23"/>
          <w:szCs w:val="23"/>
          <w:lang w:val="en-US"/>
        </w:rPr>
        <w:t xml:space="preserve">to those </w:t>
      </w:r>
      <w:r w:rsidR="00161B7B" w:rsidRPr="00983193">
        <w:rPr>
          <w:rFonts w:ascii="Times New Roman" w:eastAsia="Calibri" w:hAnsi="Times New Roman" w:cs="Times New Roman"/>
          <w:color w:val="000000" w:themeColor="text1"/>
          <w:sz w:val="23"/>
          <w:szCs w:val="23"/>
          <w:lang w:val="en-US"/>
        </w:rPr>
        <w:t xml:space="preserve">both </w:t>
      </w:r>
      <w:r w:rsidR="00CA0BDA" w:rsidRPr="00983193">
        <w:rPr>
          <w:rFonts w:ascii="Times New Roman" w:eastAsia="Calibri" w:hAnsi="Times New Roman" w:cs="Times New Roman"/>
          <w:color w:val="000000" w:themeColor="text1"/>
          <w:sz w:val="23"/>
          <w:szCs w:val="23"/>
          <w:lang w:val="en-US"/>
        </w:rPr>
        <w:t>internal and external</w:t>
      </w:r>
      <w:r w:rsidR="00161B7B" w:rsidRPr="00983193">
        <w:rPr>
          <w:rFonts w:ascii="Times New Roman" w:eastAsia="Calibri" w:hAnsi="Times New Roman" w:cs="Times New Roman"/>
          <w:color w:val="000000" w:themeColor="text1"/>
          <w:sz w:val="23"/>
          <w:szCs w:val="23"/>
          <w:lang w:val="en-US"/>
        </w:rPr>
        <w:t xml:space="preserve"> </w:t>
      </w:r>
      <w:r w:rsidR="0006697E" w:rsidRPr="00983193">
        <w:rPr>
          <w:rFonts w:ascii="Times New Roman" w:eastAsia="Calibri" w:hAnsi="Times New Roman" w:cs="Times New Roman"/>
          <w:color w:val="000000" w:themeColor="text1"/>
          <w:sz w:val="23"/>
          <w:szCs w:val="23"/>
          <w:lang w:val="en-US"/>
        </w:rPr>
        <w:t>to the firm</w:t>
      </w:r>
      <w:r w:rsidR="00CA0BDA" w:rsidRPr="00983193">
        <w:rPr>
          <w:rFonts w:ascii="Times New Roman" w:eastAsia="Calibri" w:hAnsi="Times New Roman" w:cs="Times New Roman"/>
          <w:color w:val="000000" w:themeColor="text1"/>
          <w:sz w:val="23"/>
          <w:szCs w:val="23"/>
          <w:lang w:val="en-US"/>
        </w:rPr>
        <w:t xml:space="preserve">. </w:t>
      </w:r>
    </w:p>
    <w:p w14:paraId="63BDA19B" w14:textId="77777777" w:rsidR="004C1AD1" w:rsidRDefault="00CA0BDA" w:rsidP="00CE2DC8">
      <w:pPr>
        <w:spacing w:after="0" w:line="240" w:lineRule="auto"/>
        <w:ind w:firstLine="284"/>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 xml:space="preserve">The internal benefits </w:t>
      </w:r>
      <w:r w:rsidR="0006697E" w:rsidRPr="00983193">
        <w:rPr>
          <w:rFonts w:ascii="Times New Roman" w:eastAsia="Calibri" w:hAnsi="Times New Roman" w:cs="Times New Roman"/>
          <w:color w:val="000000" w:themeColor="text1"/>
          <w:sz w:val="23"/>
          <w:szCs w:val="23"/>
          <w:lang w:val="en-US"/>
        </w:rPr>
        <w:t>conferred upon the management of the firm extend</w:t>
      </w:r>
      <w:r w:rsidR="007A27B6" w:rsidRPr="00983193">
        <w:rPr>
          <w:rFonts w:ascii="Times New Roman" w:eastAsia="Calibri" w:hAnsi="Times New Roman" w:cs="Times New Roman"/>
          <w:color w:val="000000" w:themeColor="text1"/>
          <w:sz w:val="23"/>
          <w:szCs w:val="23"/>
          <w:lang w:val="en-US"/>
        </w:rPr>
        <w:t xml:space="preserve"> to</w:t>
      </w:r>
      <w:r w:rsidR="0006697E" w:rsidRPr="00983193">
        <w:rPr>
          <w:rFonts w:ascii="Times New Roman" w:eastAsia="Calibri" w:hAnsi="Times New Roman" w:cs="Times New Roman"/>
          <w:color w:val="000000" w:themeColor="text1"/>
          <w:sz w:val="23"/>
          <w:szCs w:val="23"/>
          <w:lang w:val="en-US"/>
        </w:rPr>
        <w:t xml:space="preserve"> </w:t>
      </w:r>
      <w:r w:rsidR="00CA5201" w:rsidRPr="00983193">
        <w:rPr>
          <w:rFonts w:ascii="Times New Roman" w:eastAsia="Calibri" w:hAnsi="Times New Roman" w:cs="Times New Roman"/>
          <w:color w:val="000000" w:themeColor="text1"/>
          <w:sz w:val="23"/>
          <w:szCs w:val="23"/>
          <w:lang w:val="en-US"/>
        </w:rPr>
        <w:t>better strateg</w:t>
      </w:r>
      <w:r w:rsidR="0006697E" w:rsidRPr="00983193">
        <w:rPr>
          <w:rFonts w:ascii="Times New Roman" w:eastAsia="Calibri" w:hAnsi="Times New Roman" w:cs="Times New Roman"/>
          <w:color w:val="000000" w:themeColor="text1"/>
          <w:sz w:val="23"/>
          <w:szCs w:val="23"/>
          <w:lang w:val="en-US"/>
        </w:rPr>
        <w:t>y</w:t>
      </w:r>
      <w:r w:rsidR="00CA5201" w:rsidRPr="00983193">
        <w:rPr>
          <w:rFonts w:ascii="Times New Roman" w:eastAsia="Calibri" w:hAnsi="Times New Roman" w:cs="Times New Roman"/>
          <w:color w:val="000000" w:themeColor="text1"/>
          <w:sz w:val="23"/>
          <w:szCs w:val="23"/>
          <w:lang w:val="en-US"/>
        </w:rPr>
        <w:t xml:space="preserve"> formulation and evaluation</w:t>
      </w:r>
      <w:r w:rsidR="000A3FB0">
        <w:rPr>
          <w:rFonts w:ascii="Times New Roman" w:eastAsia="Calibri" w:hAnsi="Times New Roman" w:cs="Times New Roman"/>
          <w:color w:val="000000" w:themeColor="text1"/>
          <w:sz w:val="23"/>
          <w:szCs w:val="23"/>
          <w:lang w:val="en-US"/>
        </w:rPr>
        <w:t>,</w:t>
      </w:r>
      <w:r w:rsidR="00CA5201" w:rsidRPr="00983193">
        <w:rPr>
          <w:rFonts w:ascii="Times New Roman" w:eastAsia="Calibri" w:hAnsi="Times New Roman" w:cs="Times New Roman"/>
          <w:color w:val="000000" w:themeColor="text1"/>
          <w:sz w:val="23"/>
          <w:szCs w:val="23"/>
          <w:lang w:val="en-US"/>
        </w:rPr>
        <w:t xml:space="preserve"> coupled with better </w:t>
      </w:r>
      <w:r w:rsidR="0006697E" w:rsidRPr="00983193">
        <w:rPr>
          <w:rFonts w:ascii="Times New Roman" w:eastAsia="Calibri" w:hAnsi="Times New Roman" w:cs="Times New Roman"/>
          <w:color w:val="000000" w:themeColor="text1"/>
          <w:sz w:val="23"/>
          <w:szCs w:val="23"/>
          <w:lang w:val="en-US"/>
        </w:rPr>
        <w:t xml:space="preserve">business </w:t>
      </w:r>
      <w:r w:rsidR="00CA5201" w:rsidRPr="00983193">
        <w:rPr>
          <w:rFonts w:ascii="Times New Roman" w:eastAsia="Calibri" w:hAnsi="Times New Roman" w:cs="Times New Roman"/>
          <w:color w:val="000000" w:themeColor="text1"/>
          <w:sz w:val="23"/>
          <w:szCs w:val="23"/>
          <w:lang w:val="en-US"/>
        </w:rPr>
        <w:t xml:space="preserve">performance </w:t>
      </w:r>
      <w:r w:rsidRPr="00983193">
        <w:rPr>
          <w:rFonts w:ascii="Times New Roman" w:eastAsia="Calibri" w:hAnsi="Times New Roman" w:cs="Times New Roman"/>
          <w:color w:val="000000" w:themeColor="text1"/>
          <w:sz w:val="23"/>
          <w:szCs w:val="23"/>
          <w:lang w:val="en-US"/>
        </w:rPr>
        <w:t>(</w:t>
      </w:r>
      <w:r w:rsidR="007A27B6" w:rsidRPr="00983193">
        <w:rPr>
          <w:rFonts w:ascii="Times New Roman" w:eastAsia="Calibri" w:hAnsi="Times New Roman" w:cs="Times New Roman"/>
          <w:color w:val="000000" w:themeColor="text1"/>
          <w:sz w:val="23"/>
          <w:szCs w:val="23"/>
          <w:lang w:val="en-US"/>
        </w:rPr>
        <w:t xml:space="preserve">Dumay, 2009; </w:t>
      </w:r>
      <w:r w:rsidR="00C74F7E" w:rsidRPr="00C74F7E">
        <w:rPr>
          <w:rFonts w:ascii="Times New Roman" w:eastAsia="Calibri" w:hAnsi="Times New Roman" w:cs="Times New Roman"/>
          <w:color w:val="000000" w:themeColor="text1"/>
          <w:sz w:val="23"/>
          <w:szCs w:val="23"/>
          <w:lang w:val="en-US"/>
        </w:rPr>
        <w:t>Jahanian and Salehi, 2013</w:t>
      </w:r>
      <w:r w:rsidR="00CA5201" w:rsidRPr="00983193">
        <w:rPr>
          <w:rFonts w:ascii="Times New Roman" w:eastAsia="Calibri" w:hAnsi="Times New Roman" w:cs="Times New Roman"/>
          <w:color w:val="000000" w:themeColor="text1"/>
          <w:sz w:val="23"/>
          <w:szCs w:val="23"/>
          <w:lang w:val="en-US"/>
        </w:rPr>
        <w:t xml:space="preserve">; Lal Bhasin, 2012; </w:t>
      </w:r>
      <w:r w:rsidRPr="00983193">
        <w:rPr>
          <w:rFonts w:ascii="Times New Roman" w:eastAsia="Calibri" w:hAnsi="Times New Roman" w:cs="Times New Roman"/>
          <w:color w:val="000000" w:themeColor="text1"/>
          <w:sz w:val="23"/>
          <w:szCs w:val="23"/>
          <w:lang w:val="en-US"/>
        </w:rPr>
        <w:t>Dženopoljac et al., 2016)</w:t>
      </w:r>
      <w:r w:rsidR="00CA5201" w:rsidRPr="00983193">
        <w:rPr>
          <w:rFonts w:ascii="Times New Roman" w:eastAsia="Calibri" w:hAnsi="Times New Roman" w:cs="Times New Roman"/>
          <w:color w:val="000000" w:themeColor="text1"/>
          <w:sz w:val="23"/>
          <w:szCs w:val="23"/>
          <w:lang w:val="en-US"/>
        </w:rPr>
        <w:t xml:space="preserve">. The external benefits </w:t>
      </w:r>
      <w:r w:rsidR="0006697E" w:rsidRPr="00983193">
        <w:rPr>
          <w:rFonts w:ascii="Times New Roman" w:eastAsia="Calibri" w:hAnsi="Times New Roman" w:cs="Times New Roman"/>
          <w:color w:val="000000" w:themeColor="text1"/>
          <w:sz w:val="23"/>
          <w:szCs w:val="23"/>
          <w:lang w:val="en-US"/>
        </w:rPr>
        <w:t xml:space="preserve">relate to the provision of </w:t>
      </w:r>
      <w:r w:rsidR="008C03E8" w:rsidRPr="00983193">
        <w:rPr>
          <w:rFonts w:ascii="Times New Roman" w:eastAsia="Calibri" w:hAnsi="Times New Roman" w:cs="Times New Roman"/>
          <w:color w:val="000000" w:themeColor="text1"/>
          <w:sz w:val="23"/>
          <w:szCs w:val="23"/>
          <w:lang w:val="en-US"/>
        </w:rPr>
        <w:t xml:space="preserve">more detailed and useful information to investors about the </w:t>
      </w:r>
      <w:r w:rsidR="0006697E" w:rsidRPr="00983193">
        <w:rPr>
          <w:rFonts w:ascii="Times New Roman" w:eastAsia="Calibri" w:hAnsi="Times New Roman" w:cs="Times New Roman"/>
          <w:color w:val="000000" w:themeColor="text1"/>
          <w:sz w:val="23"/>
          <w:szCs w:val="23"/>
          <w:lang w:val="en-US"/>
        </w:rPr>
        <w:t xml:space="preserve">sources of </w:t>
      </w:r>
      <w:r w:rsidR="00E81394" w:rsidRPr="00983193">
        <w:rPr>
          <w:rFonts w:ascii="Times New Roman" w:eastAsia="Calibri" w:hAnsi="Times New Roman" w:cs="Times New Roman"/>
          <w:color w:val="000000" w:themeColor="text1"/>
          <w:sz w:val="23"/>
          <w:szCs w:val="23"/>
          <w:lang w:val="en-US"/>
        </w:rPr>
        <w:t>firm</w:t>
      </w:r>
      <w:r w:rsidR="008C03E8" w:rsidRPr="00983193">
        <w:rPr>
          <w:rFonts w:ascii="Times New Roman" w:eastAsia="Calibri" w:hAnsi="Times New Roman" w:cs="Times New Roman"/>
          <w:color w:val="000000" w:themeColor="text1"/>
          <w:sz w:val="23"/>
          <w:szCs w:val="23"/>
          <w:lang w:val="en-US"/>
        </w:rPr>
        <w:t xml:space="preserve"> value creation</w:t>
      </w:r>
      <w:r w:rsidR="0006697E" w:rsidRPr="00983193">
        <w:rPr>
          <w:rFonts w:ascii="Times New Roman" w:eastAsia="Calibri" w:hAnsi="Times New Roman" w:cs="Times New Roman"/>
          <w:color w:val="000000" w:themeColor="text1"/>
          <w:sz w:val="23"/>
          <w:szCs w:val="23"/>
          <w:lang w:val="en-US"/>
        </w:rPr>
        <w:t>, whereby</w:t>
      </w:r>
      <w:r w:rsidR="008C03E8" w:rsidRPr="00983193">
        <w:rPr>
          <w:rFonts w:ascii="Times New Roman" w:eastAsia="Calibri" w:hAnsi="Times New Roman" w:cs="Times New Roman"/>
          <w:color w:val="000000" w:themeColor="text1"/>
          <w:sz w:val="23"/>
          <w:szCs w:val="23"/>
          <w:lang w:val="en-US"/>
        </w:rPr>
        <w:t xml:space="preserve"> information asymmetry and </w:t>
      </w:r>
      <w:r w:rsidR="0006697E" w:rsidRPr="00983193">
        <w:rPr>
          <w:rFonts w:ascii="Times New Roman" w:eastAsia="Calibri" w:hAnsi="Times New Roman" w:cs="Times New Roman"/>
          <w:color w:val="000000" w:themeColor="text1"/>
          <w:sz w:val="23"/>
          <w:szCs w:val="23"/>
          <w:lang w:val="en-US"/>
        </w:rPr>
        <w:t xml:space="preserve">thus </w:t>
      </w:r>
      <w:r w:rsidR="000A3FB0">
        <w:rPr>
          <w:rFonts w:ascii="Times New Roman" w:eastAsia="Calibri" w:hAnsi="Times New Roman" w:cs="Times New Roman"/>
          <w:color w:val="000000" w:themeColor="text1"/>
          <w:sz w:val="23"/>
          <w:szCs w:val="23"/>
          <w:lang w:val="en-US"/>
        </w:rPr>
        <w:t xml:space="preserve">the </w:t>
      </w:r>
      <w:r w:rsidR="008C03E8" w:rsidRPr="00983193">
        <w:rPr>
          <w:rFonts w:ascii="Times New Roman" w:eastAsia="Calibri" w:hAnsi="Times New Roman" w:cs="Times New Roman"/>
          <w:color w:val="000000" w:themeColor="text1"/>
          <w:sz w:val="23"/>
          <w:szCs w:val="23"/>
          <w:lang w:val="en-US"/>
        </w:rPr>
        <w:t xml:space="preserve">cost </w:t>
      </w:r>
      <w:r w:rsidR="000A3FB0">
        <w:rPr>
          <w:rFonts w:ascii="Times New Roman" w:eastAsia="Calibri" w:hAnsi="Times New Roman" w:cs="Times New Roman"/>
          <w:color w:val="000000" w:themeColor="text1"/>
          <w:sz w:val="23"/>
          <w:szCs w:val="23"/>
          <w:lang w:val="en-US"/>
        </w:rPr>
        <w:t xml:space="preserve">of </w:t>
      </w:r>
      <w:r w:rsidR="000A3FB0" w:rsidRPr="00983193">
        <w:rPr>
          <w:rFonts w:ascii="Times New Roman" w:eastAsia="Calibri" w:hAnsi="Times New Roman" w:cs="Times New Roman"/>
          <w:color w:val="000000" w:themeColor="text1"/>
          <w:sz w:val="23"/>
          <w:szCs w:val="23"/>
          <w:lang w:val="en-US"/>
        </w:rPr>
        <w:t xml:space="preserve">equity </w:t>
      </w:r>
      <w:r w:rsidR="0006697E" w:rsidRPr="00983193">
        <w:rPr>
          <w:rFonts w:ascii="Times New Roman" w:eastAsia="Calibri" w:hAnsi="Times New Roman" w:cs="Times New Roman"/>
          <w:color w:val="000000" w:themeColor="text1"/>
          <w:sz w:val="23"/>
          <w:szCs w:val="23"/>
          <w:lang w:val="en-US"/>
        </w:rPr>
        <w:t xml:space="preserve">are reduced and </w:t>
      </w:r>
      <w:r w:rsidR="008C03E8" w:rsidRPr="00983193">
        <w:rPr>
          <w:rFonts w:ascii="Times New Roman" w:eastAsia="Calibri" w:hAnsi="Times New Roman" w:cs="Times New Roman"/>
          <w:color w:val="000000" w:themeColor="text1"/>
          <w:sz w:val="23"/>
          <w:szCs w:val="23"/>
          <w:lang w:val="en-US"/>
        </w:rPr>
        <w:t>the decision-making process</w:t>
      </w:r>
      <w:r w:rsidR="0006697E" w:rsidRPr="00983193">
        <w:rPr>
          <w:rFonts w:ascii="Times New Roman" w:eastAsia="Calibri" w:hAnsi="Times New Roman" w:cs="Times New Roman"/>
          <w:color w:val="000000" w:themeColor="text1"/>
          <w:sz w:val="23"/>
          <w:szCs w:val="23"/>
          <w:lang w:val="en-US"/>
        </w:rPr>
        <w:t xml:space="preserve"> </w:t>
      </w:r>
      <w:r w:rsidR="00BB4105" w:rsidRPr="00983193">
        <w:rPr>
          <w:rFonts w:ascii="Times New Roman" w:eastAsia="Calibri" w:hAnsi="Times New Roman" w:cs="Times New Roman"/>
          <w:color w:val="000000" w:themeColor="text1"/>
          <w:sz w:val="23"/>
          <w:szCs w:val="23"/>
          <w:lang w:val="en-US"/>
        </w:rPr>
        <w:t xml:space="preserve">of investors </w:t>
      </w:r>
      <w:r w:rsidR="009670CC" w:rsidRPr="00983193">
        <w:rPr>
          <w:rFonts w:ascii="Times New Roman" w:eastAsia="Calibri" w:hAnsi="Times New Roman" w:cs="Times New Roman"/>
          <w:color w:val="000000" w:themeColor="text1"/>
          <w:sz w:val="23"/>
          <w:szCs w:val="23"/>
          <w:lang w:val="en-US"/>
        </w:rPr>
        <w:t xml:space="preserve">in </w:t>
      </w:r>
      <w:r w:rsidR="00BB4105" w:rsidRPr="00983193">
        <w:rPr>
          <w:rFonts w:ascii="Times New Roman" w:eastAsia="Calibri" w:hAnsi="Times New Roman" w:cs="Times New Roman"/>
          <w:color w:val="000000" w:themeColor="text1"/>
          <w:sz w:val="23"/>
          <w:szCs w:val="23"/>
          <w:lang w:val="en-US"/>
        </w:rPr>
        <w:t xml:space="preserve">the firm </w:t>
      </w:r>
      <w:r w:rsidR="0006697E" w:rsidRPr="00983193">
        <w:rPr>
          <w:rFonts w:ascii="Times New Roman" w:eastAsia="Calibri" w:hAnsi="Times New Roman" w:cs="Times New Roman"/>
          <w:color w:val="000000" w:themeColor="text1"/>
          <w:sz w:val="23"/>
          <w:szCs w:val="23"/>
          <w:lang w:val="en-US"/>
        </w:rPr>
        <w:t>is improved</w:t>
      </w:r>
      <w:r w:rsidR="008C03E8" w:rsidRPr="00983193">
        <w:rPr>
          <w:rFonts w:ascii="Times New Roman" w:eastAsia="Calibri" w:hAnsi="Times New Roman" w:cs="Times New Roman"/>
          <w:color w:val="000000" w:themeColor="text1"/>
          <w:sz w:val="23"/>
          <w:szCs w:val="23"/>
          <w:lang w:val="en-US"/>
        </w:rPr>
        <w:t xml:space="preserve"> (Lal Bhasin, 2012; Cronje and Moolman, 2013;</w:t>
      </w:r>
      <w:r w:rsidR="00551819" w:rsidRPr="00983193">
        <w:rPr>
          <w:rFonts w:ascii="Times New Roman" w:eastAsia="Calibri" w:hAnsi="Times New Roman" w:cs="Times New Roman"/>
          <w:color w:val="000000" w:themeColor="text1"/>
          <w:sz w:val="23"/>
          <w:szCs w:val="23"/>
          <w:lang w:val="en-US"/>
        </w:rPr>
        <w:t xml:space="preserve"> Dumay, 2016;</w:t>
      </w:r>
      <w:r w:rsidR="008C03E8" w:rsidRPr="00983193">
        <w:rPr>
          <w:rFonts w:ascii="Times New Roman" w:eastAsia="Calibri" w:hAnsi="Times New Roman" w:cs="Times New Roman"/>
          <w:color w:val="000000" w:themeColor="text1"/>
          <w:sz w:val="23"/>
          <w:szCs w:val="23"/>
          <w:lang w:val="en-US"/>
        </w:rPr>
        <w:t xml:space="preserve"> Osinski et al., 2017</w:t>
      </w:r>
      <w:r w:rsidR="00551819" w:rsidRPr="00983193">
        <w:rPr>
          <w:rFonts w:ascii="Times New Roman" w:eastAsia="Calibri" w:hAnsi="Times New Roman" w:cs="Times New Roman"/>
          <w:color w:val="000000" w:themeColor="text1"/>
          <w:sz w:val="23"/>
          <w:szCs w:val="23"/>
          <w:lang w:val="en-US"/>
        </w:rPr>
        <w:t>).</w:t>
      </w:r>
    </w:p>
    <w:p w14:paraId="7CED9650" w14:textId="77777777" w:rsidR="004C1AD1" w:rsidRDefault="00CC7395" w:rsidP="00CE2DC8">
      <w:pPr>
        <w:spacing w:after="0" w:line="240" w:lineRule="auto"/>
        <w:ind w:firstLine="284"/>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However, many difficulties arise when attempting to identify and measure IC. First, accounting principles are inadequate in terms of providing a correct representation of intangible assets on the balance sheet due to the overly</w:t>
      </w:r>
      <w:r w:rsidR="001E0AFD">
        <w:rPr>
          <w:rFonts w:ascii="Times New Roman" w:eastAsia="Calibri" w:hAnsi="Times New Roman" w:cs="Times New Roman"/>
          <w:color w:val="000000" w:themeColor="text1"/>
          <w:sz w:val="23"/>
          <w:szCs w:val="23"/>
          <w:lang w:val="en-US"/>
        </w:rPr>
        <w:t>-</w:t>
      </w:r>
      <w:r w:rsidRPr="00983193">
        <w:rPr>
          <w:rFonts w:ascii="Times New Roman" w:eastAsia="Calibri" w:hAnsi="Times New Roman" w:cs="Times New Roman"/>
          <w:color w:val="000000" w:themeColor="text1"/>
          <w:sz w:val="23"/>
          <w:szCs w:val="23"/>
          <w:lang w:val="en-US"/>
        </w:rPr>
        <w:t xml:space="preserve">conservative standpoint of standard setters, thereby giving rise to an absence </w:t>
      </w:r>
      <w:r w:rsidR="00614FCC">
        <w:rPr>
          <w:rFonts w:ascii="Times New Roman" w:eastAsia="Calibri" w:hAnsi="Times New Roman" w:cs="Times New Roman"/>
          <w:noProof/>
          <w:color w:val="000000" w:themeColor="text1"/>
          <w:sz w:val="23"/>
          <w:szCs w:val="23"/>
          <w:lang w:val="en-US"/>
        </w:rPr>
        <w:t>of</w:t>
      </w:r>
      <w:r w:rsidRPr="00983193">
        <w:rPr>
          <w:rFonts w:ascii="Times New Roman" w:eastAsia="Calibri" w:hAnsi="Times New Roman" w:cs="Times New Roman"/>
          <w:color w:val="000000" w:themeColor="text1"/>
          <w:sz w:val="23"/>
          <w:szCs w:val="23"/>
          <w:lang w:val="en-US"/>
        </w:rPr>
        <w:t xml:space="preserve"> the necessary data (Lev et al., 2005; Cronje and Moolman, 2013; </w:t>
      </w:r>
      <w:r w:rsidRPr="00C74F7E">
        <w:rPr>
          <w:rFonts w:ascii="Times New Roman" w:eastAsia="Calibri" w:hAnsi="Times New Roman" w:cs="Times New Roman"/>
          <w:color w:val="000000" w:themeColor="text1"/>
          <w:sz w:val="23"/>
          <w:szCs w:val="23"/>
          <w:lang w:val="en-US"/>
        </w:rPr>
        <w:t>Ferchichi a</w:t>
      </w:r>
      <w:r w:rsidR="004F5A82" w:rsidRPr="00C74F7E">
        <w:rPr>
          <w:rFonts w:ascii="Times New Roman" w:eastAsia="Calibri" w:hAnsi="Times New Roman" w:cs="Times New Roman"/>
          <w:color w:val="000000" w:themeColor="text1"/>
          <w:sz w:val="23"/>
          <w:szCs w:val="23"/>
          <w:lang w:val="en-US"/>
        </w:rPr>
        <w:t>nd Paturel, 2013</w:t>
      </w:r>
      <w:r w:rsidR="004F5A82" w:rsidRPr="00983193">
        <w:rPr>
          <w:rFonts w:ascii="Times New Roman" w:eastAsia="Calibri" w:hAnsi="Times New Roman" w:cs="Times New Roman"/>
          <w:color w:val="000000" w:themeColor="text1"/>
          <w:sz w:val="23"/>
          <w:szCs w:val="23"/>
          <w:lang w:val="en-US"/>
        </w:rPr>
        <w:t>; Goebel, 2015)</w:t>
      </w:r>
      <w:r w:rsidRPr="00983193">
        <w:rPr>
          <w:rFonts w:ascii="Times New Roman" w:eastAsia="Calibri" w:hAnsi="Times New Roman" w:cs="Times New Roman"/>
          <w:color w:val="000000" w:themeColor="text1"/>
          <w:sz w:val="23"/>
          <w:szCs w:val="23"/>
          <w:lang w:val="en-US"/>
        </w:rPr>
        <w:t xml:space="preserve">. Second, some managers are unwilling to disclose sensitive information about the firm’s valuable resources as this may give rise to a loss of competitive advantage (Dumay, 2016). Finally, the idiosyncratic nature of IC resources, linked to specific features of the individual enterprise (e.g. business activities and model), does not allow for the development of </w:t>
      </w:r>
      <w:r w:rsidRPr="00614FCC">
        <w:rPr>
          <w:rFonts w:ascii="Times New Roman" w:eastAsia="Calibri" w:hAnsi="Times New Roman" w:cs="Times New Roman"/>
          <w:noProof/>
          <w:color w:val="000000" w:themeColor="text1"/>
          <w:sz w:val="23"/>
          <w:szCs w:val="23"/>
          <w:lang w:val="en-US"/>
        </w:rPr>
        <w:t>a</w:t>
      </w:r>
      <w:r w:rsidR="00614FCC">
        <w:rPr>
          <w:rFonts w:ascii="Times New Roman" w:eastAsia="Calibri" w:hAnsi="Times New Roman" w:cs="Times New Roman"/>
          <w:noProof/>
          <w:color w:val="000000" w:themeColor="text1"/>
          <w:sz w:val="23"/>
          <w:szCs w:val="23"/>
          <w:lang w:val="en-US"/>
        </w:rPr>
        <w:t>n</w:t>
      </w:r>
      <w:r w:rsidRPr="00614FCC">
        <w:rPr>
          <w:rFonts w:ascii="Times New Roman" w:eastAsia="Calibri" w:hAnsi="Times New Roman" w:cs="Times New Roman"/>
          <w:noProof/>
          <w:color w:val="000000" w:themeColor="text1"/>
          <w:sz w:val="23"/>
          <w:szCs w:val="23"/>
          <w:lang w:val="en-US"/>
        </w:rPr>
        <w:t xml:space="preserve"> universal</w:t>
      </w:r>
      <w:r w:rsidRPr="00983193">
        <w:rPr>
          <w:rFonts w:ascii="Times New Roman" w:eastAsia="Calibri" w:hAnsi="Times New Roman" w:cs="Times New Roman"/>
          <w:color w:val="000000" w:themeColor="text1"/>
          <w:sz w:val="23"/>
          <w:szCs w:val="23"/>
          <w:lang w:val="en-US"/>
        </w:rPr>
        <w:t xml:space="preserve"> m</w:t>
      </w:r>
      <w:r w:rsidR="00477E83">
        <w:rPr>
          <w:rFonts w:ascii="Times New Roman" w:eastAsia="Calibri" w:hAnsi="Times New Roman" w:cs="Times New Roman"/>
          <w:color w:val="000000" w:themeColor="text1"/>
          <w:sz w:val="23"/>
          <w:szCs w:val="23"/>
          <w:lang w:val="en-US"/>
        </w:rPr>
        <w:t xml:space="preserve">easurement model (Paździor and </w:t>
      </w:r>
      <w:r w:rsidRPr="00983193">
        <w:rPr>
          <w:rFonts w:ascii="Times New Roman" w:eastAsia="Calibri" w:hAnsi="Times New Roman" w:cs="Times New Roman"/>
          <w:color w:val="000000" w:themeColor="text1"/>
          <w:sz w:val="23"/>
          <w:szCs w:val="23"/>
          <w:lang w:val="en-US"/>
        </w:rPr>
        <w:t>Paździor, 2012).</w:t>
      </w:r>
    </w:p>
    <w:p w14:paraId="41AC878E" w14:textId="77777777" w:rsidR="004C1AD1" w:rsidRDefault="00CF6127" w:rsidP="00CE2DC8">
      <w:pPr>
        <w:spacing w:after="0" w:line="240" w:lineRule="auto"/>
        <w:ind w:firstLine="284"/>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 xml:space="preserve">Due to </w:t>
      </w:r>
      <w:r w:rsidR="004C1AD1">
        <w:rPr>
          <w:rFonts w:ascii="Times New Roman" w:eastAsia="Calibri" w:hAnsi="Times New Roman" w:cs="Times New Roman"/>
          <w:color w:val="000000" w:themeColor="text1"/>
          <w:sz w:val="23"/>
          <w:szCs w:val="23"/>
          <w:lang w:val="en-US"/>
        </w:rPr>
        <w:t xml:space="preserve">IC </w:t>
      </w:r>
      <w:r w:rsidR="00992762" w:rsidRPr="00983193">
        <w:rPr>
          <w:rFonts w:ascii="Times New Roman" w:eastAsia="Calibri" w:hAnsi="Times New Roman" w:cs="Times New Roman"/>
          <w:color w:val="000000" w:themeColor="text1"/>
          <w:sz w:val="23"/>
          <w:szCs w:val="23"/>
          <w:lang w:val="en-US"/>
        </w:rPr>
        <w:t>relevance</w:t>
      </w:r>
      <w:r w:rsidR="001358B1">
        <w:rPr>
          <w:rFonts w:ascii="Times New Roman" w:eastAsia="Calibri" w:hAnsi="Times New Roman" w:cs="Times New Roman"/>
          <w:color w:val="000000" w:themeColor="text1"/>
          <w:sz w:val="23"/>
          <w:szCs w:val="23"/>
          <w:lang w:val="en-US"/>
        </w:rPr>
        <w:t>,</w:t>
      </w:r>
      <w:r w:rsidR="003B1855">
        <w:rPr>
          <w:rFonts w:ascii="Times New Roman" w:eastAsia="Calibri" w:hAnsi="Times New Roman" w:cs="Times New Roman"/>
          <w:color w:val="000000" w:themeColor="text1"/>
          <w:sz w:val="23"/>
          <w:szCs w:val="23"/>
          <w:lang w:val="en-US"/>
        </w:rPr>
        <w:t xml:space="preserve"> coupled with issues of</w:t>
      </w:r>
      <w:r w:rsidR="00992762" w:rsidRPr="00983193">
        <w:rPr>
          <w:rFonts w:ascii="Times New Roman" w:eastAsia="Calibri" w:hAnsi="Times New Roman" w:cs="Times New Roman"/>
          <w:color w:val="000000" w:themeColor="text1"/>
          <w:sz w:val="23"/>
          <w:szCs w:val="23"/>
          <w:lang w:val="en-US"/>
        </w:rPr>
        <w:t xml:space="preserve"> correct IC identification and measurement</w:t>
      </w:r>
      <w:r w:rsidRPr="00983193">
        <w:rPr>
          <w:rFonts w:ascii="Times New Roman" w:eastAsia="Calibri" w:hAnsi="Times New Roman" w:cs="Times New Roman"/>
          <w:color w:val="000000" w:themeColor="text1"/>
          <w:sz w:val="23"/>
          <w:szCs w:val="23"/>
          <w:lang w:val="en-US"/>
        </w:rPr>
        <w:t xml:space="preserve">, </w:t>
      </w:r>
      <w:r w:rsidR="001358B1">
        <w:rPr>
          <w:rFonts w:ascii="Times New Roman" w:eastAsia="Calibri" w:hAnsi="Times New Roman" w:cs="Times New Roman"/>
          <w:color w:val="000000" w:themeColor="text1"/>
          <w:sz w:val="23"/>
          <w:szCs w:val="23"/>
          <w:lang w:val="en-US"/>
        </w:rPr>
        <w:t xml:space="preserve">more </w:t>
      </w:r>
      <w:r w:rsidRPr="00983193">
        <w:rPr>
          <w:rFonts w:ascii="Times New Roman" w:eastAsia="Calibri" w:hAnsi="Times New Roman" w:cs="Times New Roman"/>
          <w:color w:val="000000" w:themeColor="text1"/>
          <w:sz w:val="23"/>
          <w:szCs w:val="23"/>
          <w:lang w:val="en-US"/>
        </w:rPr>
        <w:t>recently t</w:t>
      </w:r>
      <w:r w:rsidR="00126F59" w:rsidRPr="00983193">
        <w:rPr>
          <w:rFonts w:ascii="Times New Roman" w:eastAsia="Calibri" w:hAnsi="Times New Roman" w:cs="Times New Roman"/>
          <w:color w:val="000000" w:themeColor="text1"/>
          <w:sz w:val="23"/>
          <w:szCs w:val="23"/>
          <w:lang w:val="en-US"/>
        </w:rPr>
        <w:t xml:space="preserve">here has been a proliferation </w:t>
      </w:r>
      <w:r w:rsidR="00551819" w:rsidRPr="00983193">
        <w:rPr>
          <w:rFonts w:ascii="Times New Roman" w:eastAsia="Calibri" w:hAnsi="Times New Roman" w:cs="Times New Roman"/>
          <w:color w:val="000000" w:themeColor="text1"/>
          <w:sz w:val="23"/>
          <w:szCs w:val="23"/>
          <w:lang w:val="en-US"/>
        </w:rPr>
        <w:t>of frameworks and models for measuring IC</w:t>
      </w:r>
      <w:r w:rsidR="009670CC" w:rsidRPr="00983193">
        <w:rPr>
          <w:rFonts w:ascii="Times New Roman" w:eastAsia="Calibri" w:hAnsi="Times New Roman" w:cs="Times New Roman"/>
          <w:color w:val="000000" w:themeColor="text1"/>
          <w:sz w:val="23"/>
          <w:szCs w:val="23"/>
          <w:lang w:val="en-US"/>
        </w:rPr>
        <w:t>,</w:t>
      </w:r>
      <w:r w:rsidR="00551819" w:rsidRPr="00983193">
        <w:rPr>
          <w:rFonts w:ascii="Times New Roman" w:eastAsia="Calibri" w:hAnsi="Times New Roman" w:cs="Times New Roman"/>
          <w:color w:val="000000" w:themeColor="text1"/>
          <w:sz w:val="23"/>
          <w:szCs w:val="23"/>
          <w:lang w:val="en-US"/>
        </w:rPr>
        <w:t xml:space="preserve"> </w:t>
      </w:r>
      <w:r w:rsidR="004F4399" w:rsidRPr="00983193">
        <w:rPr>
          <w:rFonts w:ascii="Times New Roman" w:eastAsia="Calibri" w:hAnsi="Times New Roman" w:cs="Times New Roman"/>
          <w:color w:val="000000" w:themeColor="text1"/>
          <w:sz w:val="23"/>
          <w:szCs w:val="23"/>
          <w:lang w:val="en-US"/>
        </w:rPr>
        <w:t xml:space="preserve">each with its own </w:t>
      </w:r>
      <w:r w:rsidR="00551819" w:rsidRPr="00983193">
        <w:rPr>
          <w:rFonts w:ascii="Times New Roman" w:eastAsia="Calibri" w:hAnsi="Times New Roman" w:cs="Times New Roman"/>
          <w:color w:val="000000" w:themeColor="text1"/>
          <w:sz w:val="23"/>
          <w:szCs w:val="23"/>
          <w:lang w:val="en-US"/>
        </w:rPr>
        <w:t xml:space="preserve">strengths and weaknesses, </w:t>
      </w:r>
      <w:r w:rsidR="001358B1">
        <w:rPr>
          <w:rFonts w:ascii="Times New Roman" w:eastAsia="Calibri" w:hAnsi="Times New Roman" w:cs="Times New Roman"/>
          <w:color w:val="000000" w:themeColor="text1"/>
          <w:sz w:val="23"/>
          <w:szCs w:val="23"/>
          <w:lang w:val="en-US"/>
        </w:rPr>
        <w:t>though</w:t>
      </w:r>
      <w:r w:rsidR="004F4399" w:rsidRPr="00983193">
        <w:rPr>
          <w:rFonts w:ascii="Times New Roman" w:eastAsia="Calibri" w:hAnsi="Times New Roman" w:cs="Times New Roman"/>
          <w:color w:val="000000" w:themeColor="text1"/>
          <w:sz w:val="23"/>
          <w:szCs w:val="23"/>
          <w:lang w:val="en-US"/>
        </w:rPr>
        <w:t xml:space="preserve"> </w:t>
      </w:r>
      <w:r w:rsidR="00551819" w:rsidRPr="00983193">
        <w:rPr>
          <w:rFonts w:ascii="Times New Roman" w:eastAsia="Calibri" w:hAnsi="Times New Roman" w:cs="Times New Roman"/>
          <w:color w:val="000000" w:themeColor="text1"/>
          <w:sz w:val="23"/>
          <w:szCs w:val="23"/>
          <w:lang w:val="en-US"/>
        </w:rPr>
        <w:t>no common</w:t>
      </w:r>
      <w:r w:rsidR="004F4399" w:rsidRPr="00983193">
        <w:rPr>
          <w:rFonts w:ascii="Times New Roman" w:eastAsia="Calibri" w:hAnsi="Times New Roman" w:cs="Times New Roman"/>
          <w:color w:val="000000" w:themeColor="text1"/>
          <w:sz w:val="23"/>
          <w:szCs w:val="23"/>
          <w:lang w:val="en-US"/>
        </w:rPr>
        <w:t>ly</w:t>
      </w:r>
      <w:r w:rsidR="00551819" w:rsidRPr="00983193">
        <w:rPr>
          <w:rFonts w:ascii="Times New Roman" w:eastAsia="Calibri" w:hAnsi="Times New Roman" w:cs="Times New Roman"/>
          <w:color w:val="000000" w:themeColor="text1"/>
          <w:sz w:val="23"/>
          <w:szCs w:val="23"/>
          <w:lang w:val="en-US"/>
        </w:rPr>
        <w:t xml:space="preserve"> accepted model for IC measurement</w:t>
      </w:r>
      <w:r w:rsidR="004F4399" w:rsidRPr="00983193">
        <w:rPr>
          <w:rFonts w:ascii="Times New Roman" w:eastAsia="Calibri" w:hAnsi="Times New Roman" w:cs="Times New Roman"/>
          <w:color w:val="000000" w:themeColor="text1"/>
          <w:sz w:val="23"/>
          <w:szCs w:val="23"/>
          <w:lang w:val="en-US"/>
        </w:rPr>
        <w:t xml:space="preserve"> has emerged to date</w:t>
      </w:r>
      <w:r w:rsidR="00551819" w:rsidRPr="00983193">
        <w:rPr>
          <w:rFonts w:ascii="Times New Roman" w:eastAsia="Calibri" w:hAnsi="Times New Roman" w:cs="Times New Roman"/>
          <w:color w:val="000000" w:themeColor="text1"/>
          <w:sz w:val="23"/>
          <w:szCs w:val="23"/>
          <w:lang w:val="en-US"/>
        </w:rPr>
        <w:t xml:space="preserve"> (</w:t>
      </w:r>
      <w:r w:rsidR="00264355" w:rsidRPr="00983193">
        <w:rPr>
          <w:rFonts w:ascii="Times New Roman" w:eastAsia="Calibri" w:hAnsi="Times New Roman" w:cs="Times New Roman"/>
          <w:color w:val="000000" w:themeColor="text1"/>
          <w:sz w:val="23"/>
          <w:szCs w:val="23"/>
          <w:lang w:val="en-US"/>
        </w:rPr>
        <w:t>Guthrie and Petty, 2000; Ang</w:t>
      </w:r>
      <w:r w:rsidR="006F45C2" w:rsidRPr="00983193">
        <w:rPr>
          <w:rFonts w:ascii="Times New Roman" w:eastAsia="Calibri" w:hAnsi="Times New Roman" w:cs="Times New Roman"/>
          <w:color w:val="000000" w:themeColor="text1"/>
          <w:sz w:val="23"/>
          <w:szCs w:val="23"/>
          <w:lang w:val="en-US"/>
        </w:rPr>
        <w:t>h</w:t>
      </w:r>
      <w:r w:rsidR="00264355" w:rsidRPr="00983193">
        <w:rPr>
          <w:rFonts w:ascii="Times New Roman" w:eastAsia="Calibri" w:hAnsi="Times New Roman" w:cs="Times New Roman"/>
          <w:color w:val="000000" w:themeColor="text1"/>
          <w:sz w:val="23"/>
          <w:szCs w:val="23"/>
          <w:lang w:val="en-US"/>
        </w:rPr>
        <w:t xml:space="preserve">el, 2008; </w:t>
      </w:r>
      <w:r w:rsidR="007A56FE" w:rsidRPr="00983193">
        <w:rPr>
          <w:rFonts w:ascii="Times New Roman" w:eastAsia="Calibri" w:hAnsi="Times New Roman" w:cs="Times New Roman"/>
          <w:color w:val="000000" w:themeColor="text1"/>
          <w:sz w:val="23"/>
          <w:szCs w:val="23"/>
          <w:lang w:val="en-US"/>
        </w:rPr>
        <w:t>Khalique et al., 2015</w:t>
      </w:r>
      <w:r w:rsidR="007C6824" w:rsidRPr="00983193">
        <w:rPr>
          <w:rFonts w:ascii="Times New Roman" w:eastAsia="Calibri" w:hAnsi="Times New Roman" w:cs="Times New Roman"/>
          <w:color w:val="000000" w:themeColor="text1"/>
          <w:sz w:val="23"/>
          <w:szCs w:val="23"/>
          <w:lang w:val="en-US"/>
        </w:rPr>
        <w:t>;</w:t>
      </w:r>
      <w:r w:rsidR="00264355" w:rsidRPr="00983193">
        <w:rPr>
          <w:rFonts w:ascii="Times New Roman" w:eastAsia="Calibri" w:hAnsi="Times New Roman" w:cs="Times New Roman"/>
          <w:color w:val="000000" w:themeColor="text1"/>
          <w:sz w:val="23"/>
          <w:szCs w:val="23"/>
          <w:lang w:val="en-US"/>
        </w:rPr>
        <w:t xml:space="preserve"> </w:t>
      </w:r>
      <w:r w:rsidR="007C6824" w:rsidRPr="00983193">
        <w:rPr>
          <w:rFonts w:ascii="Times New Roman" w:eastAsia="Calibri" w:hAnsi="Times New Roman" w:cs="Times New Roman"/>
          <w:color w:val="000000" w:themeColor="text1"/>
          <w:sz w:val="23"/>
          <w:szCs w:val="23"/>
          <w:lang w:val="en-US"/>
        </w:rPr>
        <w:t>Osinski et al., 2017</w:t>
      </w:r>
      <w:r w:rsidR="001A0309" w:rsidRPr="00983193">
        <w:rPr>
          <w:rFonts w:ascii="Times New Roman" w:eastAsia="Calibri" w:hAnsi="Times New Roman" w:cs="Times New Roman"/>
          <w:color w:val="000000" w:themeColor="text1"/>
          <w:sz w:val="23"/>
          <w:szCs w:val="23"/>
          <w:lang w:val="en-US"/>
        </w:rPr>
        <w:t xml:space="preserve">), </w:t>
      </w:r>
      <w:r w:rsidR="004F4399" w:rsidRPr="00983193">
        <w:rPr>
          <w:rFonts w:ascii="Times New Roman" w:eastAsia="Calibri" w:hAnsi="Times New Roman" w:cs="Times New Roman"/>
          <w:color w:val="000000" w:themeColor="text1"/>
          <w:sz w:val="23"/>
          <w:szCs w:val="23"/>
          <w:lang w:val="en-US"/>
        </w:rPr>
        <w:t>thereby</w:t>
      </w:r>
      <w:r w:rsidR="001A0309" w:rsidRPr="00983193">
        <w:rPr>
          <w:rFonts w:ascii="Times New Roman" w:eastAsia="Calibri" w:hAnsi="Times New Roman" w:cs="Times New Roman"/>
          <w:color w:val="000000" w:themeColor="text1"/>
          <w:sz w:val="23"/>
          <w:szCs w:val="23"/>
          <w:lang w:val="en-US"/>
        </w:rPr>
        <w:t xml:space="preserve"> creat</w:t>
      </w:r>
      <w:r w:rsidR="004F4399" w:rsidRPr="00983193">
        <w:rPr>
          <w:rFonts w:ascii="Times New Roman" w:eastAsia="Calibri" w:hAnsi="Times New Roman" w:cs="Times New Roman"/>
          <w:color w:val="000000" w:themeColor="text1"/>
          <w:sz w:val="23"/>
          <w:szCs w:val="23"/>
          <w:lang w:val="en-US"/>
        </w:rPr>
        <w:t xml:space="preserve">ing </w:t>
      </w:r>
      <w:r w:rsidR="001358B1">
        <w:rPr>
          <w:rFonts w:ascii="Times New Roman" w:eastAsia="Calibri" w:hAnsi="Times New Roman" w:cs="Times New Roman"/>
          <w:color w:val="000000" w:themeColor="text1"/>
          <w:sz w:val="23"/>
          <w:szCs w:val="23"/>
          <w:lang w:val="en-US"/>
        </w:rPr>
        <w:t>a lack of synthesis in the academic literature</w:t>
      </w:r>
      <w:r w:rsidR="001A0309" w:rsidRPr="00983193">
        <w:rPr>
          <w:rFonts w:ascii="Times New Roman" w:eastAsia="Calibri" w:hAnsi="Times New Roman" w:cs="Times New Roman"/>
          <w:color w:val="000000" w:themeColor="text1"/>
          <w:sz w:val="23"/>
          <w:szCs w:val="23"/>
          <w:lang w:val="en-US"/>
        </w:rPr>
        <w:t>.</w:t>
      </w:r>
      <w:r w:rsidR="00264355" w:rsidRPr="00983193">
        <w:rPr>
          <w:rFonts w:ascii="Times New Roman" w:eastAsia="Calibri" w:hAnsi="Times New Roman" w:cs="Times New Roman"/>
          <w:color w:val="000000" w:themeColor="text1"/>
          <w:sz w:val="23"/>
          <w:szCs w:val="23"/>
          <w:lang w:val="en-US"/>
        </w:rPr>
        <w:t xml:space="preserve"> </w:t>
      </w:r>
    </w:p>
    <w:p w14:paraId="12D91C3E" w14:textId="77777777" w:rsidR="00CE2DC8" w:rsidRDefault="001358B1" w:rsidP="00CE2DC8">
      <w:pPr>
        <w:spacing w:after="0" w:line="240" w:lineRule="auto"/>
        <w:ind w:firstLine="284"/>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lastRenderedPageBreak/>
        <w:t>Thus</w:t>
      </w:r>
      <w:r w:rsidR="00264355" w:rsidRPr="00983193">
        <w:rPr>
          <w:rFonts w:ascii="Times New Roman" w:eastAsia="Calibri" w:hAnsi="Times New Roman" w:cs="Times New Roman"/>
          <w:color w:val="000000" w:themeColor="text1"/>
          <w:sz w:val="23"/>
          <w:szCs w:val="23"/>
          <w:lang w:val="en-US"/>
        </w:rPr>
        <w:t>, several IC scholars (Ang</w:t>
      </w:r>
      <w:r w:rsidR="006F45C2" w:rsidRPr="00983193">
        <w:rPr>
          <w:rFonts w:ascii="Times New Roman" w:eastAsia="Calibri" w:hAnsi="Times New Roman" w:cs="Times New Roman"/>
          <w:color w:val="000000" w:themeColor="text1"/>
          <w:sz w:val="23"/>
          <w:szCs w:val="23"/>
          <w:lang w:val="en-US"/>
        </w:rPr>
        <w:t>h</w:t>
      </w:r>
      <w:r w:rsidR="00264355" w:rsidRPr="00983193">
        <w:rPr>
          <w:rFonts w:ascii="Times New Roman" w:eastAsia="Calibri" w:hAnsi="Times New Roman" w:cs="Times New Roman"/>
          <w:color w:val="000000" w:themeColor="text1"/>
          <w:sz w:val="23"/>
          <w:szCs w:val="23"/>
          <w:lang w:val="en-US"/>
        </w:rPr>
        <w:t>el, 2008;</w:t>
      </w:r>
      <w:r w:rsidR="00BC5AB7" w:rsidRPr="00983193">
        <w:rPr>
          <w:rFonts w:ascii="Times New Roman" w:eastAsia="Calibri" w:hAnsi="Times New Roman" w:cs="Times New Roman"/>
          <w:color w:val="000000" w:themeColor="text1"/>
          <w:sz w:val="23"/>
          <w:szCs w:val="23"/>
          <w:lang w:val="en-US"/>
        </w:rPr>
        <w:t xml:space="preserve"> Paździor and </w:t>
      </w:r>
      <w:r w:rsidR="001D13B0" w:rsidRPr="00983193">
        <w:rPr>
          <w:rFonts w:ascii="Times New Roman" w:eastAsia="Calibri" w:hAnsi="Times New Roman" w:cs="Times New Roman"/>
          <w:color w:val="000000" w:themeColor="text1"/>
          <w:sz w:val="23"/>
          <w:szCs w:val="23"/>
          <w:lang w:val="en-US"/>
        </w:rPr>
        <w:t>Paździor, 2012;</w:t>
      </w:r>
      <w:r w:rsidR="00264355" w:rsidRPr="00983193">
        <w:rPr>
          <w:rFonts w:ascii="Times New Roman" w:eastAsia="Calibri" w:hAnsi="Times New Roman" w:cs="Times New Roman"/>
          <w:color w:val="000000" w:themeColor="text1"/>
          <w:sz w:val="23"/>
          <w:szCs w:val="23"/>
          <w:lang w:val="en-US"/>
        </w:rPr>
        <w:t xml:space="preserve"> Gogan, 2014; </w:t>
      </w:r>
      <w:r w:rsidR="007E3048" w:rsidRPr="00983193">
        <w:rPr>
          <w:rFonts w:ascii="Times New Roman" w:eastAsia="Calibri" w:hAnsi="Times New Roman" w:cs="Times New Roman"/>
          <w:color w:val="000000" w:themeColor="text1"/>
          <w:sz w:val="23"/>
          <w:szCs w:val="23"/>
          <w:lang w:val="en-US"/>
        </w:rPr>
        <w:t xml:space="preserve">Goebel, </w:t>
      </w:r>
      <w:r w:rsidR="00264355" w:rsidRPr="00983193">
        <w:rPr>
          <w:rFonts w:ascii="Times New Roman" w:eastAsia="Calibri" w:hAnsi="Times New Roman" w:cs="Times New Roman"/>
          <w:color w:val="000000" w:themeColor="text1"/>
          <w:sz w:val="23"/>
          <w:szCs w:val="23"/>
          <w:lang w:val="en-US"/>
        </w:rPr>
        <w:t>2015; Osinski et al., 2017</w:t>
      </w:r>
      <w:r w:rsidR="001D13B0" w:rsidRPr="00983193">
        <w:rPr>
          <w:rFonts w:ascii="Times New Roman" w:eastAsia="Calibri" w:hAnsi="Times New Roman" w:cs="Times New Roman"/>
          <w:color w:val="000000" w:themeColor="text1"/>
          <w:sz w:val="23"/>
          <w:szCs w:val="23"/>
          <w:lang w:val="en-US"/>
        </w:rPr>
        <w:t>)</w:t>
      </w:r>
      <w:r w:rsidR="00264355" w:rsidRPr="00983193">
        <w:rPr>
          <w:rFonts w:ascii="Times New Roman" w:eastAsia="Calibri" w:hAnsi="Times New Roman" w:cs="Times New Roman"/>
          <w:color w:val="000000" w:themeColor="text1"/>
          <w:sz w:val="23"/>
          <w:szCs w:val="23"/>
          <w:lang w:val="en-US"/>
        </w:rPr>
        <w:t xml:space="preserve"> </w:t>
      </w:r>
      <w:r>
        <w:rPr>
          <w:rFonts w:ascii="Times New Roman" w:eastAsia="Calibri" w:hAnsi="Times New Roman" w:cs="Times New Roman"/>
          <w:color w:val="000000" w:themeColor="text1"/>
          <w:sz w:val="23"/>
          <w:szCs w:val="23"/>
          <w:lang w:val="en-US"/>
        </w:rPr>
        <w:t xml:space="preserve">have attempted </w:t>
      </w:r>
      <w:r w:rsidR="00B20ADD" w:rsidRPr="00983193">
        <w:rPr>
          <w:rFonts w:ascii="Times New Roman" w:eastAsia="Calibri" w:hAnsi="Times New Roman" w:cs="Times New Roman"/>
          <w:color w:val="000000" w:themeColor="text1"/>
          <w:sz w:val="23"/>
          <w:szCs w:val="23"/>
          <w:lang w:val="en-US"/>
        </w:rPr>
        <w:t xml:space="preserve">to systematize and classify the different models </w:t>
      </w:r>
      <w:r>
        <w:rPr>
          <w:rFonts w:ascii="Times New Roman" w:eastAsia="Calibri" w:hAnsi="Times New Roman" w:cs="Times New Roman"/>
          <w:color w:val="000000" w:themeColor="text1"/>
          <w:sz w:val="23"/>
          <w:szCs w:val="23"/>
          <w:lang w:val="en-US"/>
        </w:rPr>
        <w:t>employed</w:t>
      </w:r>
      <w:r w:rsidRPr="00983193">
        <w:rPr>
          <w:rFonts w:ascii="Times New Roman" w:eastAsia="Calibri" w:hAnsi="Times New Roman" w:cs="Times New Roman"/>
          <w:color w:val="000000" w:themeColor="text1"/>
          <w:sz w:val="23"/>
          <w:szCs w:val="23"/>
          <w:lang w:val="en-US"/>
        </w:rPr>
        <w:t xml:space="preserve"> </w:t>
      </w:r>
      <w:r w:rsidR="00B20ADD" w:rsidRPr="00983193">
        <w:rPr>
          <w:rFonts w:ascii="Times New Roman" w:eastAsia="Calibri" w:hAnsi="Times New Roman" w:cs="Times New Roman"/>
          <w:color w:val="000000" w:themeColor="text1"/>
          <w:sz w:val="23"/>
          <w:szCs w:val="23"/>
          <w:lang w:val="en-US"/>
        </w:rPr>
        <w:t xml:space="preserve">in </w:t>
      </w:r>
      <w:r w:rsidR="006E4D1C">
        <w:rPr>
          <w:rFonts w:ascii="Times New Roman" w:eastAsia="Calibri" w:hAnsi="Times New Roman" w:cs="Times New Roman"/>
          <w:color w:val="000000" w:themeColor="text1"/>
          <w:sz w:val="23"/>
          <w:szCs w:val="23"/>
          <w:lang w:val="en-US"/>
        </w:rPr>
        <w:t xml:space="preserve">the </w:t>
      </w:r>
      <w:r w:rsidR="00B20ADD" w:rsidRPr="00983193">
        <w:rPr>
          <w:rFonts w:ascii="Times New Roman" w:eastAsia="Calibri" w:hAnsi="Times New Roman" w:cs="Times New Roman"/>
          <w:color w:val="000000" w:themeColor="text1"/>
          <w:sz w:val="23"/>
          <w:szCs w:val="23"/>
          <w:lang w:val="en-US"/>
        </w:rPr>
        <w:t>literature.</w:t>
      </w:r>
    </w:p>
    <w:p w14:paraId="2E1D3F35" w14:textId="77777777" w:rsidR="00CE2DC8" w:rsidRDefault="00B20ADD" w:rsidP="00CE2DC8">
      <w:pPr>
        <w:spacing w:after="0" w:line="240" w:lineRule="auto"/>
        <w:ind w:firstLine="284"/>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 xml:space="preserve">Osinski et al. (2017), </w:t>
      </w:r>
      <w:r w:rsidR="004F4399" w:rsidRPr="00983193">
        <w:rPr>
          <w:rFonts w:ascii="Times New Roman" w:eastAsia="Calibri" w:hAnsi="Times New Roman" w:cs="Times New Roman"/>
          <w:color w:val="000000" w:themeColor="text1"/>
          <w:sz w:val="23"/>
          <w:szCs w:val="23"/>
          <w:lang w:val="en-US"/>
        </w:rPr>
        <w:t xml:space="preserve">in their extensive literature survey, </w:t>
      </w:r>
      <w:r w:rsidR="00126F59" w:rsidRPr="00983193">
        <w:rPr>
          <w:rFonts w:ascii="Times New Roman" w:eastAsia="Calibri" w:hAnsi="Times New Roman" w:cs="Times New Roman"/>
          <w:color w:val="000000" w:themeColor="text1"/>
          <w:sz w:val="23"/>
          <w:szCs w:val="23"/>
          <w:lang w:val="en-US"/>
        </w:rPr>
        <w:t xml:space="preserve">present 44 methods </w:t>
      </w:r>
      <w:r w:rsidR="004F4399" w:rsidRPr="00983193">
        <w:rPr>
          <w:rFonts w:ascii="Times New Roman" w:eastAsia="Calibri" w:hAnsi="Times New Roman" w:cs="Times New Roman"/>
          <w:color w:val="000000" w:themeColor="text1"/>
          <w:sz w:val="23"/>
          <w:szCs w:val="23"/>
          <w:lang w:val="en-US"/>
        </w:rPr>
        <w:t xml:space="preserve">for </w:t>
      </w:r>
      <w:r w:rsidR="00126F59" w:rsidRPr="00983193">
        <w:rPr>
          <w:rFonts w:ascii="Times New Roman" w:eastAsia="Calibri" w:hAnsi="Times New Roman" w:cs="Times New Roman"/>
          <w:color w:val="000000" w:themeColor="text1"/>
          <w:sz w:val="23"/>
          <w:szCs w:val="23"/>
          <w:lang w:val="en-US"/>
        </w:rPr>
        <w:t xml:space="preserve">evaluating intangible assets which </w:t>
      </w:r>
      <w:r w:rsidR="004F4399" w:rsidRPr="00983193">
        <w:rPr>
          <w:rFonts w:ascii="Times New Roman" w:eastAsia="Calibri" w:hAnsi="Times New Roman" w:cs="Times New Roman"/>
          <w:color w:val="000000" w:themeColor="text1"/>
          <w:sz w:val="23"/>
          <w:szCs w:val="23"/>
          <w:lang w:val="en-US"/>
        </w:rPr>
        <w:t>are</w:t>
      </w:r>
      <w:r w:rsidR="00126F59" w:rsidRPr="00983193">
        <w:rPr>
          <w:rFonts w:ascii="Times New Roman" w:eastAsia="Calibri" w:hAnsi="Times New Roman" w:cs="Times New Roman"/>
          <w:color w:val="000000" w:themeColor="text1"/>
          <w:sz w:val="23"/>
          <w:szCs w:val="23"/>
          <w:lang w:val="en-US"/>
        </w:rPr>
        <w:t xml:space="preserve"> grouped according to their corporate, economic </w:t>
      </w:r>
      <w:r w:rsidR="004F4399" w:rsidRPr="00983193">
        <w:rPr>
          <w:rFonts w:ascii="Times New Roman" w:eastAsia="Calibri" w:hAnsi="Times New Roman" w:cs="Times New Roman"/>
          <w:color w:val="000000" w:themeColor="text1"/>
          <w:sz w:val="23"/>
          <w:szCs w:val="23"/>
          <w:lang w:val="en-US"/>
        </w:rPr>
        <w:t xml:space="preserve">or </w:t>
      </w:r>
      <w:r w:rsidR="00126F59" w:rsidRPr="00983193">
        <w:rPr>
          <w:rFonts w:ascii="Times New Roman" w:eastAsia="Calibri" w:hAnsi="Times New Roman" w:cs="Times New Roman"/>
          <w:color w:val="000000" w:themeColor="text1"/>
          <w:sz w:val="23"/>
          <w:szCs w:val="23"/>
          <w:lang w:val="en-US"/>
        </w:rPr>
        <w:t>strategic management</w:t>
      </w:r>
      <w:r w:rsidR="004F4399" w:rsidRPr="00983193">
        <w:rPr>
          <w:rFonts w:ascii="Times New Roman" w:eastAsia="Calibri" w:hAnsi="Times New Roman" w:cs="Times New Roman"/>
          <w:color w:val="000000" w:themeColor="text1"/>
          <w:sz w:val="23"/>
          <w:szCs w:val="23"/>
          <w:lang w:val="en-US"/>
        </w:rPr>
        <w:t xml:space="preserve"> taxonomies</w:t>
      </w:r>
      <w:r w:rsidR="006E4D1C">
        <w:rPr>
          <w:rFonts w:ascii="Times New Roman" w:eastAsia="Calibri" w:hAnsi="Times New Roman" w:cs="Times New Roman"/>
          <w:color w:val="000000" w:themeColor="text1"/>
          <w:sz w:val="23"/>
          <w:szCs w:val="23"/>
          <w:lang w:val="en-US"/>
        </w:rPr>
        <w:t>,</w:t>
      </w:r>
      <w:r w:rsidR="00264355" w:rsidRPr="00983193">
        <w:rPr>
          <w:rFonts w:ascii="Times New Roman" w:eastAsia="Calibri" w:hAnsi="Times New Roman" w:cs="Times New Roman"/>
          <w:color w:val="000000" w:themeColor="text1"/>
          <w:sz w:val="23"/>
          <w:szCs w:val="23"/>
          <w:lang w:val="en-US"/>
        </w:rPr>
        <w:t xml:space="preserve"> while </w:t>
      </w:r>
      <w:r w:rsidR="00264355" w:rsidRPr="00263E9D">
        <w:rPr>
          <w:rFonts w:ascii="Times New Roman" w:eastAsia="Calibri" w:hAnsi="Times New Roman" w:cs="Times New Roman"/>
          <w:noProof/>
          <w:color w:val="000000" w:themeColor="text1"/>
          <w:sz w:val="23"/>
          <w:szCs w:val="23"/>
          <w:lang w:val="en-US"/>
        </w:rPr>
        <w:t>Sydler</w:t>
      </w:r>
      <w:r w:rsidR="00264355" w:rsidRPr="00983193">
        <w:rPr>
          <w:rFonts w:ascii="Times New Roman" w:eastAsia="Calibri" w:hAnsi="Times New Roman" w:cs="Times New Roman"/>
          <w:color w:val="000000" w:themeColor="text1"/>
          <w:sz w:val="23"/>
          <w:szCs w:val="23"/>
          <w:lang w:val="en-US"/>
        </w:rPr>
        <w:t xml:space="preserve"> et al. (2014</w:t>
      </w:r>
      <w:r w:rsidRPr="00983193">
        <w:rPr>
          <w:rFonts w:ascii="Times New Roman" w:eastAsia="Calibri" w:hAnsi="Times New Roman" w:cs="Times New Roman"/>
          <w:color w:val="000000" w:themeColor="text1"/>
          <w:sz w:val="23"/>
          <w:szCs w:val="23"/>
          <w:lang w:val="en-US"/>
        </w:rPr>
        <w:t>, p.</w:t>
      </w:r>
      <w:r w:rsidR="003B1855">
        <w:rPr>
          <w:rFonts w:ascii="Times New Roman" w:eastAsia="Calibri" w:hAnsi="Times New Roman" w:cs="Times New Roman"/>
          <w:color w:val="000000" w:themeColor="text1"/>
          <w:sz w:val="23"/>
          <w:szCs w:val="23"/>
          <w:lang w:val="en-US"/>
        </w:rPr>
        <w:t xml:space="preserve"> </w:t>
      </w:r>
      <w:r w:rsidRPr="00983193">
        <w:rPr>
          <w:rFonts w:ascii="Times New Roman" w:eastAsia="Calibri" w:hAnsi="Times New Roman" w:cs="Times New Roman"/>
          <w:color w:val="000000" w:themeColor="text1"/>
          <w:sz w:val="23"/>
          <w:szCs w:val="23"/>
          <w:lang w:val="en-US"/>
        </w:rPr>
        <w:t>247</w:t>
      </w:r>
      <w:r w:rsidR="00264355" w:rsidRPr="00983193">
        <w:rPr>
          <w:rFonts w:ascii="Times New Roman" w:eastAsia="Calibri" w:hAnsi="Times New Roman" w:cs="Times New Roman"/>
          <w:color w:val="000000" w:themeColor="text1"/>
          <w:sz w:val="23"/>
          <w:szCs w:val="23"/>
          <w:lang w:val="en-US"/>
        </w:rPr>
        <w:t xml:space="preserve">) </w:t>
      </w:r>
      <w:r w:rsidR="006E4D1C">
        <w:rPr>
          <w:rFonts w:ascii="Times New Roman" w:eastAsia="Calibri" w:hAnsi="Times New Roman" w:cs="Times New Roman"/>
          <w:color w:val="000000" w:themeColor="text1"/>
          <w:sz w:val="23"/>
          <w:szCs w:val="23"/>
          <w:lang w:val="en-US"/>
        </w:rPr>
        <w:t>applies</w:t>
      </w:r>
      <w:r w:rsidR="00264355" w:rsidRPr="00983193">
        <w:rPr>
          <w:rFonts w:ascii="Times New Roman" w:eastAsia="Calibri" w:hAnsi="Times New Roman" w:cs="Times New Roman"/>
          <w:color w:val="000000" w:themeColor="text1"/>
          <w:sz w:val="23"/>
          <w:szCs w:val="23"/>
          <w:lang w:val="en-US"/>
        </w:rPr>
        <w:t xml:space="preserve"> a matrix developed by </w:t>
      </w:r>
      <w:r w:rsidR="00264355" w:rsidRPr="00096C09">
        <w:rPr>
          <w:rFonts w:ascii="Times New Roman" w:eastAsia="Calibri" w:hAnsi="Times New Roman" w:cs="Times New Roman"/>
          <w:color w:val="000000" w:themeColor="text1"/>
          <w:sz w:val="23"/>
          <w:szCs w:val="23"/>
          <w:lang w:val="en-US"/>
        </w:rPr>
        <w:t>Sveiby (2001)</w:t>
      </w:r>
      <w:r w:rsidRPr="00983193">
        <w:rPr>
          <w:rFonts w:ascii="Times New Roman" w:eastAsia="Calibri" w:hAnsi="Times New Roman" w:cs="Times New Roman"/>
          <w:color w:val="000000" w:themeColor="text1"/>
          <w:sz w:val="23"/>
          <w:szCs w:val="23"/>
          <w:lang w:val="en-US"/>
        </w:rPr>
        <w:t xml:space="preserve"> by distinguishing IC valuation models</w:t>
      </w:r>
      <w:r w:rsidR="001A5A4A" w:rsidRPr="00983193">
        <w:rPr>
          <w:rFonts w:ascii="Times New Roman" w:eastAsia="Calibri" w:hAnsi="Times New Roman" w:cs="Times New Roman"/>
          <w:color w:val="000000" w:themeColor="text1"/>
          <w:sz w:val="23"/>
          <w:szCs w:val="23"/>
          <w:lang w:val="en-US"/>
        </w:rPr>
        <w:t xml:space="preserve"> </w:t>
      </w:r>
      <w:r w:rsidR="006E4D1C">
        <w:rPr>
          <w:rFonts w:ascii="Times New Roman" w:eastAsia="Calibri" w:hAnsi="Times New Roman" w:cs="Times New Roman"/>
          <w:color w:val="000000" w:themeColor="text1"/>
          <w:sz w:val="23"/>
          <w:szCs w:val="23"/>
          <w:lang w:val="en-US"/>
        </w:rPr>
        <w:t>in terms of</w:t>
      </w:r>
      <w:r w:rsidRPr="00983193">
        <w:rPr>
          <w:rFonts w:ascii="Times New Roman" w:eastAsia="Calibri" w:hAnsi="Times New Roman" w:cs="Times New Roman"/>
          <w:color w:val="000000" w:themeColor="text1"/>
          <w:sz w:val="23"/>
          <w:szCs w:val="23"/>
          <w:lang w:val="en-US"/>
        </w:rPr>
        <w:t xml:space="preserve"> their valuation level (organizational or component level) and their method (</w:t>
      </w:r>
      <w:r w:rsidR="006E4D1C">
        <w:rPr>
          <w:rFonts w:ascii="Times New Roman" w:eastAsia="Calibri" w:hAnsi="Times New Roman" w:cs="Times New Roman"/>
          <w:color w:val="000000" w:themeColor="text1"/>
          <w:sz w:val="23"/>
          <w:szCs w:val="23"/>
          <w:lang w:val="en-US"/>
        </w:rPr>
        <w:t>n</w:t>
      </w:r>
      <w:r w:rsidRPr="00983193">
        <w:rPr>
          <w:rFonts w:ascii="Times New Roman" w:eastAsia="Calibri" w:hAnsi="Times New Roman" w:cs="Times New Roman"/>
          <w:color w:val="000000" w:themeColor="text1"/>
          <w:sz w:val="23"/>
          <w:szCs w:val="23"/>
          <w:lang w:val="en-US"/>
        </w:rPr>
        <w:t>on-monetary and monetary).</w:t>
      </w:r>
      <w:r w:rsidR="00F00AFC" w:rsidRPr="00983193">
        <w:rPr>
          <w:rFonts w:ascii="Times New Roman" w:eastAsia="Calibri" w:hAnsi="Times New Roman" w:cs="Times New Roman"/>
          <w:color w:val="000000" w:themeColor="text1"/>
          <w:sz w:val="23"/>
          <w:szCs w:val="23"/>
          <w:lang w:val="en-US"/>
        </w:rPr>
        <w:t xml:space="preserve"> Moreover, </w:t>
      </w:r>
      <w:r w:rsidR="00BC5AB7" w:rsidRPr="00983193">
        <w:rPr>
          <w:rFonts w:ascii="Times New Roman" w:eastAsia="Calibri" w:hAnsi="Times New Roman" w:cs="Times New Roman"/>
          <w:color w:val="000000" w:themeColor="text1"/>
          <w:sz w:val="23"/>
          <w:szCs w:val="23"/>
          <w:lang w:val="en-US"/>
        </w:rPr>
        <w:t xml:space="preserve">Paździor and </w:t>
      </w:r>
      <w:r w:rsidR="007E3048" w:rsidRPr="00983193">
        <w:rPr>
          <w:rFonts w:ascii="Times New Roman" w:eastAsia="Calibri" w:hAnsi="Times New Roman" w:cs="Times New Roman"/>
          <w:color w:val="000000" w:themeColor="text1"/>
          <w:sz w:val="23"/>
          <w:szCs w:val="23"/>
          <w:lang w:val="en-US"/>
        </w:rPr>
        <w:t>Paździor (2012) distinguish between synthetic and analytical</w:t>
      </w:r>
      <w:r w:rsidR="006E4D1C">
        <w:rPr>
          <w:rFonts w:ascii="Times New Roman" w:eastAsia="Calibri" w:hAnsi="Times New Roman" w:cs="Times New Roman"/>
          <w:color w:val="000000" w:themeColor="text1"/>
          <w:sz w:val="23"/>
          <w:szCs w:val="23"/>
          <w:lang w:val="en-US"/>
        </w:rPr>
        <w:t xml:space="preserve"> methods</w:t>
      </w:r>
      <w:r w:rsidR="007E3048" w:rsidRPr="00983193">
        <w:rPr>
          <w:rFonts w:ascii="Times New Roman" w:eastAsia="Calibri" w:hAnsi="Times New Roman" w:cs="Times New Roman"/>
          <w:color w:val="000000" w:themeColor="text1"/>
          <w:sz w:val="23"/>
          <w:szCs w:val="23"/>
          <w:lang w:val="en-US"/>
        </w:rPr>
        <w:t xml:space="preserve">. </w:t>
      </w:r>
    </w:p>
    <w:p w14:paraId="330E8F13" w14:textId="77777777" w:rsidR="004606FB" w:rsidRDefault="007E3048" w:rsidP="00CE2DC8">
      <w:pPr>
        <w:spacing w:after="0" w:line="240" w:lineRule="auto"/>
        <w:ind w:firstLine="284"/>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Goebel (2015) divide</w:t>
      </w:r>
      <w:r w:rsidR="006E4D1C">
        <w:rPr>
          <w:rFonts w:ascii="Times New Roman" w:eastAsia="Calibri" w:hAnsi="Times New Roman" w:cs="Times New Roman"/>
          <w:color w:val="000000" w:themeColor="text1"/>
          <w:sz w:val="23"/>
          <w:szCs w:val="23"/>
          <w:lang w:val="en-US"/>
        </w:rPr>
        <w:t>s</w:t>
      </w:r>
      <w:r w:rsidRPr="00983193">
        <w:rPr>
          <w:rFonts w:ascii="Times New Roman" w:eastAsia="Calibri" w:hAnsi="Times New Roman" w:cs="Times New Roman"/>
          <w:color w:val="000000" w:themeColor="text1"/>
          <w:sz w:val="23"/>
          <w:szCs w:val="23"/>
          <w:lang w:val="en-US"/>
        </w:rPr>
        <w:t xml:space="preserve"> IC value measurement </w:t>
      </w:r>
      <w:r w:rsidRPr="00263E9D">
        <w:rPr>
          <w:rFonts w:ascii="Times New Roman" w:eastAsia="Calibri" w:hAnsi="Times New Roman" w:cs="Times New Roman"/>
          <w:noProof/>
          <w:color w:val="000000" w:themeColor="text1"/>
          <w:sz w:val="23"/>
          <w:szCs w:val="23"/>
          <w:lang w:val="en-US"/>
        </w:rPr>
        <w:t>approach</w:t>
      </w:r>
      <w:r w:rsidR="006E4D1C">
        <w:rPr>
          <w:rFonts w:ascii="Times New Roman" w:eastAsia="Calibri" w:hAnsi="Times New Roman" w:cs="Times New Roman"/>
          <w:noProof/>
          <w:color w:val="000000" w:themeColor="text1"/>
          <w:sz w:val="23"/>
          <w:szCs w:val="23"/>
          <w:lang w:val="en-US"/>
        </w:rPr>
        <w:t>es</w:t>
      </w:r>
      <w:r w:rsidRPr="00263E9D">
        <w:rPr>
          <w:rFonts w:ascii="Times New Roman" w:eastAsia="Calibri" w:hAnsi="Times New Roman" w:cs="Times New Roman"/>
          <w:noProof/>
          <w:color w:val="000000" w:themeColor="text1"/>
          <w:sz w:val="23"/>
          <w:szCs w:val="23"/>
          <w:lang w:val="en-US"/>
        </w:rPr>
        <w:t xml:space="preserve"> in</w:t>
      </w:r>
      <w:r w:rsidR="00263E9D">
        <w:rPr>
          <w:rFonts w:ascii="Times New Roman" w:eastAsia="Calibri" w:hAnsi="Times New Roman" w:cs="Times New Roman"/>
          <w:noProof/>
          <w:color w:val="000000" w:themeColor="text1"/>
          <w:sz w:val="23"/>
          <w:szCs w:val="23"/>
          <w:lang w:val="en-US"/>
        </w:rPr>
        <w:t>to</w:t>
      </w:r>
      <w:r w:rsidRPr="00983193">
        <w:rPr>
          <w:rFonts w:ascii="Times New Roman" w:eastAsia="Calibri" w:hAnsi="Times New Roman" w:cs="Times New Roman"/>
          <w:color w:val="000000" w:themeColor="text1"/>
          <w:sz w:val="23"/>
          <w:szCs w:val="23"/>
          <w:lang w:val="en-US"/>
        </w:rPr>
        <w:t xml:space="preserve"> investment-based, component-based, and holistic market-based approaches. </w:t>
      </w:r>
    </w:p>
    <w:p w14:paraId="509395EE" w14:textId="77777777" w:rsidR="00CE2DC8" w:rsidRDefault="007E3048" w:rsidP="00CE2DC8">
      <w:pPr>
        <w:spacing w:after="0" w:line="240" w:lineRule="auto"/>
        <w:ind w:firstLine="284"/>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Finally, Gogan (2014</w:t>
      </w:r>
      <w:r w:rsidR="00EC0DD9" w:rsidRPr="00983193">
        <w:rPr>
          <w:rFonts w:ascii="Times New Roman" w:eastAsia="Calibri" w:hAnsi="Times New Roman" w:cs="Times New Roman"/>
          <w:color w:val="000000" w:themeColor="text1"/>
          <w:sz w:val="23"/>
          <w:szCs w:val="23"/>
          <w:lang w:val="en-US"/>
        </w:rPr>
        <w:t>, p.195</w:t>
      </w:r>
      <w:r w:rsidR="00113A43" w:rsidRPr="00983193">
        <w:rPr>
          <w:rFonts w:ascii="Times New Roman" w:eastAsia="Calibri" w:hAnsi="Times New Roman" w:cs="Times New Roman"/>
          <w:color w:val="000000" w:themeColor="text1"/>
          <w:sz w:val="23"/>
          <w:szCs w:val="23"/>
          <w:lang w:val="en-US"/>
        </w:rPr>
        <w:t xml:space="preserve">) </w:t>
      </w:r>
      <w:r w:rsidRPr="00983193">
        <w:rPr>
          <w:rFonts w:ascii="Times New Roman" w:eastAsia="Calibri" w:hAnsi="Times New Roman" w:cs="Times New Roman"/>
          <w:color w:val="000000" w:themeColor="text1"/>
          <w:sz w:val="23"/>
          <w:szCs w:val="23"/>
          <w:lang w:val="en-US"/>
        </w:rPr>
        <w:t>focuse</w:t>
      </w:r>
      <w:r w:rsidR="006E4D1C">
        <w:rPr>
          <w:rFonts w:ascii="Times New Roman" w:eastAsia="Calibri" w:hAnsi="Times New Roman" w:cs="Times New Roman"/>
          <w:color w:val="000000" w:themeColor="text1"/>
          <w:sz w:val="23"/>
          <w:szCs w:val="23"/>
          <w:lang w:val="en-US"/>
        </w:rPr>
        <w:t>s</w:t>
      </w:r>
      <w:r w:rsidRPr="00983193">
        <w:rPr>
          <w:rFonts w:ascii="Times New Roman" w:eastAsia="Calibri" w:hAnsi="Times New Roman" w:cs="Times New Roman"/>
          <w:color w:val="000000" w:themeColor="text1"/>
          <w:sz w:val="23"/>
          <w:szCs w:val="23"/>
          <w:lang w:val="en-US"/>
        </w:rPr>
        <w:t xml:space="preserve"> on </w:t>
      </w:r>
      <w:r w:rsidR="006E4D1C">
        <w:rPr>
          <w:rFonts w:ascii="Times New Roman" w:eastAsia="Calibri" w:hAnsi="Times New Roman" w:cs="Times New Roman"/>
          <w:color w:val="000000" w:themeColor="text1"/>
          <w:sz w:val="23"/>
          <w:szCs w:val="23"/>
          <w:lang w:val="en-US"/>
        </w:rPr>
        <w:t xml:space="preserve">the following </w:t>
      </w:r>
      <w:r w:rsidRPr="00983193">
        <w:rPr>
          <w:rFonts w:ascii="Times New Roman" w:eastAsia="Calibri" w:hAnsi="Times New Roman" w:cs="Times New Roman"/>
          <w:color w:val="000000" w:themeColor="text1"/>
          <w:sz w:val="23"/>
          <w:szCs w:val="23"/>
          <w:lang w:val="en-US"/>
        </w:rPr>
        <w:t xml:space="preserve">non-financial measurement methods: </w:t>
      </w:r>
      <w:r w:rsidR="00EC0DD9" w:rsidRPr="00983193">
        <w:rPr>
          <w:rFonts w:ascii="Times New Roman" w:eastAsia="Calibri" w:hAnsi="Times New Roman" w:cs="Times New Roman"/>
          <w:i/>
          <w:color w:val="000000" w:themeColor="text1"/>
          <w:sz w:val="23"/>
          <w:szCs w:val="23"/>
          <w:lang w:val="en-US"/>
        </w:rPr>
        <w:t>Balanced Scorecard</w:t>
      </w:r>
      <w:r w:rsidR="00EC0DD9" w:rsidRPr="00983193">
        <w:rPr>
          <w:rFonts w:ascii="Times New Roman" w:eastAsia="Calibri" w:hAnsi="Times New Roman" w:cs="Times New Roman"/>
          <w:color w:val="000000" w:themeColor="text1"/>
          <w:sz w:val="23"/>
          <w:szCs w:val="23"/>
          <w:lang w:val="en-US"/>
        </w:rPr>
        <w:t xml:space="preserve">, </w:t>
      </w:r>
      <w:r w:rsidR="00EC0DD9" w:rsidRPr="00983193">
        <w:rPr>
          <w:rFonts w:ascii="Times New Roman" w:eastAsia="Calibri" w:hAnsi="Times New Roman" w:cs="Times New Roman"/>
          <w:i/>
          <w:color w:val="000000" w:themeColor="text1"/>
          <w:sz w:val="23"/>
          <w:szCs w:val="23"/>
          <w:lang w:val="en-US"/>
        </w:rPr>
        <w:t xml:space="preserve">Skandia </w:t>
      </w:r>
      <w:r w:rsidR="00EC0DD9" w:rsidRPr="00263E9D">
        <w:rPr>
          <w:rFonts w:ascii="Times New Roman" w:eastAsia="Calibri" w:hAnsi="Times New Roman" w:cs="Times New Roman"/>
          <w:i/>
          <w:noProof/>
          <w:color w:val="000000" w:themeColor="text1"/>
          <w:sz w:val="23"/>
          <w:szCs w:val="23"/>
          <w:lang w:val="en-US"/>
        </w:rPr>
        <w:t>Navigator</w:t>
      </w:r>
      <w:r w:rsidR="00263E9D">
        <w:rPr>
          <w:rFonts w:ascii="Times New Roman" w:eastAsia="Calibri" w:hAnsi="Times New Roman" w:cs="Times New Roman"/>
          <w:i/>
          <w:noProof/>
          <w:color w:val="000000" w:themeColor="text1"/>
          <w:sz w:val="23"/>
          <w:szCs w:val="23"/>
          <w:lang w:val="en-US"/>
        </w:rPr>
        <w:t>,</w:t>
      </w:r>
      <w:r w:rsidR="00EC0DD9" w:rsidRPr="00983193">
        <w:rPr>
          <w:rFonts w:ascii="Times New Roman" w:eastAsia="Calibri" w:hAnsi="Times New Roman" w:cs="Times New Roman"/>
          <w:color w:val="000000" w:themeColor="text1"/>
          <w:sz w:val="23"/>
          <w:szCs w:val="23"/>
          <w:lang w:val="en-US"/>
        </w:rPr>
        <w:t xml:space="preserve"> and </w:t>
      </w:r>
      <w:r w:rsidR="00EC0DD9" w:rsidRPr="00983193">
        <w:rPr>
          <w:rFonts w:ascii="Times New Roman" w:eastAsia="Calibri" w:hAnsi="Times New Roman" w:cs="Times New Roman"/>
          <w:i/>
          <w:color w:val="000000" w:themeColor="text1"/>
          <w:sz w:val="23"/>
          <w:szCs w:val="23"/>
          <w:lang w:val="en-US"/>
        </w:rPr>
        <w:t>Intangible Assets Monitor</w:t>
      </w:r>
      <w:r w:rsidR="00EC0DD9" w:rsidRPr="00983193">
        <w:rPr>
          <w:rFonts w:ascii="Times New Roman" w:eastAsia="Calibri" w:hAnsi="Times New Roman" w:cs="Times New Roman"/>
          <w:color w:val="000000" w:themeColor="text1"/>
          <w:sz w:val="23"/>
          <w:szCs w:val="23"/>
          <w:lang w:val="en-US"/>
        </w:rPr>
        <w:t>.</w:t>
      </w:r>
    </w:p>
    <w:p w14:paraId="48EBB6FC" w14:textId="77777777" w:rsidR="00CE2DC8" w:rsidRDefault="006E4D1C" w:rsidP="00CE2DC8">
      <w:pPr>
        <w:spacing w:after="0" w:line="240" w:lineRule="auto"/>
        <w:ind w:firstLine="284"/>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Thus</w:t>
      </w:r>
      <w:r w:rsidR="004720AE" w:rsidRPr="00983193">
        <w:rPr>
          <w:rFonts w:ascii="Times New Roman" w:eastAsia="Calibri" w:hAnsi="Times New Roman" w:cs="Times New Roman"/>
          <w:color w:val="000000" w:themeColor="text1"/>
          <w:sz w:val="23"/>
          <w:szCs w:val="23"/>
          <w:lang w:val="en-US"/>
        </w:rPr>
        <w:t>, based on the extant literature</w:t>
      </w:r>
      <w:r>
        <w:rPr>
          <w:rFonts w:ascii="Times New Roman" w:eastAsia="Calibri" w:hAnsi="Times New Roman" w:cs="Times New Roman"/>
          <w:color w:val="000000" w:themeColor="text1"/>
          <w:sz w:val="23"/>
          <w:szCs w:val="23"/>
          <w:lang w:val="en-US"/>
        </w:rPr>
        <w:t>,</w:t>
      </w:r>
      <w:r w:rsidR="004720AE" w:rsidRPr="00983193">
        <w:rPr>
          <w:rFonts w:ascii="Times New Roman" w:eastAsia="Calibri" w:hAnsi="Times New Roman" w:cs="Times New Roman"/>
          <w:color w:val="000000" w:themeColor="text1"/>
          <w:sz w:val="23"/>
          <w:szCs w:val="23"/>
          <w:lang w:val="en-US"/>
        </w:rPr>
        <w:t xml:space="preserve"> a gap emerges since there is no a single model recognized as </w:t>
      </w:r>
      <w:r>
        <w:rPr>
          <w:rFonts w:ascii="Times New Roman" w:eastAsia="Calibri" w:hAnsi="Times New Roman" w:cs="Times New Roman"/>
          <w:color w:val="000000" w:themeColor="text1"/>
          <w:sz w:val="23"/>
          <w:szCs w:val="23"/>
          <w:lang w:val="en-US"/>
        </w:rPr>
        <w:t>superior to the</w:t>
      </w:r>
      <w:r w:rsidR="004720AE" w:rsidRPr="00983193">
        <w:rPr>
          <w:rFonts w:ascii="Times New Roman" w:eastAsia="Calibri" w:hAnsi="Times New Roman" w:cs="Times New Roman"/>
          <w:color w:val="000000" w:themeColor="text1"/>
          <w:sz w:val="23"/>
          <w:szCs w:val="23"/>
          <w:lang w:val="en-US"/>
        </w:rPr>
        <w:t xml:space="preserve"> others and universally </w:t>
      </w:r>
      <w:r>
        <w:rPr>
          <w:rFonts w:ascii="Times New Roman" w:eastAsia="Calibri" w:hAnsi="Times New Roman" w:cs="Times New Roman"/>
          <w:color w:val="000000" w:themeColor="text1"/>
          <w:sz w:val="23"/>
          <w:szCs w:val="23"/>
          <w:lang w:val="en-US"/>
        </w:rPr>
        <w:t>applicable to any</w:t>
      </w:r>
      <w:r w:rsidR="004720AE" w:rsidRPr="00983193">
        <w:rPr>
          <w:rFonts w:ascii="Times New Roman" w:eastAsia="Calibri" w:hAnsi="Times New Roman" w:cs="Times New Roman"/>
          <w:color w:val="000000" w:themeColor="text1"/>
          <w:sz w:val="23"/>
          <w:szCs w:val="23"/>
          <w:lang w:val="en-US"/>
        </w:rPr>
        <w:t xml:space="preserve"> country</w:t>
      </w:r>
      <w:r>
        <w:rPr>
          <w:rFonts w:ascii="Times New Roman" w:eastAsia="Calibri" w:hAnsi="Times New Roman" w:cs="Times New Roman"/>
          <w:color w:val="000000" w:themeColor="text1"/>
          <w:sz w:val="23"/>
          <w:szCs w:val="23"/>
          <w:lang w:val="en-US"/>
        </w:rPr>
        <w:t>. Further,</w:t>
      </w:r>
      <w:r w:rsidR="004720AE" w:rsidRPr="00983193">
        <w:rPr>
          <w:rFonts w:ascii="Times New Roman" w:eastAsia="Calibri" w:hAnsi="Times New Roman" w:cs="Times New Roman"/>
          <w:color w:val="000000" w:themeColor="text1"/>
          <w:sz w:val="23"/>
          <w:szCs w:val="23"/>
          <w:lang w:val="en-US"/>
        </w:rPr>
        <w:t xml:space="preserve"> there is a scarcity of studies which compare </w:t>
      </w:r>
      <w:r>
        <w:rPr>
          <w:rFonts w:ascii="Times New Roman" w:eastAsia="Calibri" w:hAnsi="Times New Roman" w:cs="Times New Roman"/>
          <w:color w:val="000000" w:themeColor="text1"/>
          <w:sz w:val="23"/>
          <w:szCs w:val="23"/>
          <w:lang w:val="en-US"/>
        </w:rPr>
        <w:t xml:space="preserve">the </w:t>
      </w:r>
      <w:r w:rsidR="004720AE" w:rsidRPr="00983193">
        <w:rPr>
          <w:rFonts w:ascii="Times New Roman" w:eastAsia="Calibri" w:hAnsi="Times New Roman" w:cs="Times New Roman"/>
          <w:color w:val="000000" w:themeColor="text1"/>
          <w:sz w:val="23"/>
          <w:szCs w:val="23"/>
          <w:lang w:val="en-US"/>
        </w:rPr>
        <w:t xml:space="preserve">different models in order to find </w:t>
      </w:r>
      <w:r>
        <w:rPr>
          <w:rFonts w:ascii="Times New Roman" w:eastAsia="Calibri" w:hAnsi="Times New Roman" w:cs="Times New Roman"/>
          <w:color w:val="000000" w:themeColor="text1"/>
          <w:sz w:val="23"/>
          <w:szCs w:val="23"/>
          <w:lang w:val="en-US"/>
        </w:rPr>
        <w:t xml:space="preserve">which is most </w:t>
      </w:r>
      <w:r w:rsidR="004720AE" w:rsidRPr="00983193">
        <w:rPr>
          <w:rFonts w:ascii="Times New Roman" w:eastAsia="Calibri" w:hAnsi="Times New Roman" w:cs="Times New Roman"/>
          <w:color w:val="000000" w:themeColor="text1"/>
          <w:sz w:val="23"/>
          <w:szCs w:val="23"/>
          <w:lang w:val="en-US"/>
        </w:rPr>
        <w:t xml:space="preserve">suitable in a </w:t>
      </w:r>
      <w:r>
        <w:rPr>
          <w:rFonts w:ascii="Times New Roman" w:eastAsia="Calibri" w:hAnsi="Times New Roman" w:cs="Times New Roman"/>
          <w:color w:val="000000" w:themeColor="text1"/>
          <w:sz w:val="23"/>
          <w:szCs w:val="23"/>
          <w:lang w:val="en-US"/>
        </w:rPr>
        <w:t xml:space="preserve">given </w:t>
      </w:r>
      <w:r w:rsidR="004720AE" w:rsidRPr="00983193">
        <w:rPr>
          <w:rFonts w:ascii="Times New Roman" w:eastAsia="Calibri" w:hAnsi="Times New Roman" w:cs="Times New Roman"/>
          <w:color w:val="000000" w:themeColor="text1"/>
          <w:sz w:val="23"/>
          <w:szCs w:val="23"/>
          <w:lang w:val="en-US"/>
        </w:rPr>
        <w:t>context</w:t>
      </w:r>
      <w:r>
        <w:rPr>
          <w:rFonts w:ascii="Times New Roman" w:eastAsia="Calibri" w:hAnsi="Times New Roman" w:cs="Times New Roman"/>
          <w:color w:val="000000" w:themeColor="text1"/>
          <w:sz w:val="23"/>
          <w:szCs w:val="23"/>
          <w:lang w:val="en-US"/>
        </w:rPr>
        <w:t xml:space="preserve"> and</w:t>
      </w:r>
      <w:r w:rsidR="00A14732" w:rsidRPr="00983193">
        <w:rPr>
          <w:rFonts w:ascii="Times New Roman" w:eastAsia="Calibri" w:hAnsi="Times New Roman" w:cs="Times New Roman"/>
          <w:color w:val="000000" w:themeColor="text1"/>
          <w:sz w:val="23"/>
          <w:szCs w:val="23"/>
          <w:lang w:val="en-US"/>
        </w:rPr>
        <w:t xml:space="preserve"> thus help practitioners, investors and researchers in IC evaluation</w:t>
      </w:r>
      <w:r w:rsidR="004720AE" w:rsidRPr="00983193">
        <w:rPr>
          <w:rFonts w:ascii="Times New Roman" w:eastAsia="Calibri" w:hAnsi="Times New Roman" w:cs="Times New Roman"/>
          <w:color w:val="000000" w:themeColor="text1"/>
          <w:sz w:val="23"/>
          <w:szCs w:val="23"/>
          <w:lang w:val="en-US"/>
        </w:rPr>
        <w:t xml:space="preserve">. </w:t>
      </w:r>
    </w:p>
    <w:p w14:paraId="15D7AE20" w14:textId="77777777" w:rsidR="00CE2DC8" w:rsidRDefault="006E4D1C" w:rsidP="00CE2DC8">
      <w:pPr>
        <w:spacing w:after="0" w:line="240" w:lineRule="auto"/>
        <w:ind w:firstLine="284"/>
        <w:contextualSpacing/>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I</w:t>
      </w:r>
      <w:r w:rsidR="00A14732" w:rsidRPr="00983193">
        <w:rPr>
          <w:rFonts w:ascii="Times New Roman" w:eastAsia="Calibri" w:hAnsi="Times New Roman" w:cs="Times New Roman"/>
          <w:color w:val="000000" w:themeColor="text1"/>
          <w:sz w:val="23"/>
          <w:szCs w:val="23"/>
          <w:lang w:val="en-US"/>
        </w:rPr>
        <w:t xml:space="preserve">n the context of </w:t>
      </w:r>
      <w:r>
        <w:rPr>
          <w:rFonts w:ascii="Times New Roman" w:eastAsia="Calibri" w:hAnsi="Times New Roman" w:cs="Times New Roman"/>
          <w:color w:val="000000" w:themeColor="text1"/>
          <w:sz w:val="23"/>
          <w:szCs w:val="23"/>
          <w:lang w:val="en-US"/>
        </w:rPr>
        <w:t>German</w:t>
      </w:r>
      <w:r w:rsidRPr="00983193">
        <w:rPr>
          <w:rFonts w:ascii="Times New Roman" w:eastAsia="Calibri" w:hAnsi="Times New Roman" w:cs="Times New Roman"/>
          <w:color w:val="000000" w:themeColor="text1"/>
          <w:sz w:val="23"/>
          <w:szCs w:val="23"/>
          <w:lang w:val="en-US"/>
        </w:rPr>
        <w:t xml:space="preserve"> </w:t>
      </w:r>
      <w:r w:rsidR="00A14732" w:rsidRPr="00983193">
        <w:rPr>
          <w:rFonts w:ascii="Times New Roman" w:eastAsia="Calibri" w:hAnsi="Times New Roman" w:cs="Times New Roman"/>
          <w:color w:val="000000" w:themeColor="text1"/>
          <w:sz w:val="23"/>
          <w:szCs w:val="23"/>
          <w:lang w:val="en-US"/>
        </w:rPr>
        <w:t>listed companies</w:t>
      </w:r>
      <w:r>
        <w:rPr>
          <w:rFonts w:ascii="Times New Roman" w:eastAsia="Calibri" w:hAnsi="Times New Roman" w:cs="Times New Roman"/>
          <w:color w:val="000000" w:themeColor="text1"/>
          <w:sz w:val="23"/>
          <w:szCs w:val="23"/>
          <w:lang w:val="en-US"/>
        </w:rPr>
        <w:t>, and</w:t>
      </w:r>
      <w:r w:rsidR="00A14732" w:rsidRPr="00983193">
        <w:rPr>
          <w:rFonts w:ascii="Times New Roman" w:eastAsia="Calibri" w:hAnsi="Times New Roman" w:cs="Times New Roman"/>
          <w:color w:val="000000" w:themeColor="text1"/>
          <w:sz w:val="23"/>
          <w:szCs w:val="23"/>
          <w:lang w:val="en-US"/>
        </w:rPr>
        <w:t xml:space="preserve"> excluding financial firms, </w:t>
      </w:r>
      <w:r w:rsidRPr="00983193">
        <w:rPr>
          <w:rFonts w:ascii="Times New Roman" w:eastAsia="Calibri" w:hAnsi="Times New Roman" w:cs="Times New Roman"/>
          <w:color w:val="000000" w:themeColor="text1"/>
          <w:sz w:val="23"/>
          <w:szCs w:val="23"/>
          <w:lang w:val="en-US"/>
        </w:rPr>
        <w:t xml:space="preserve">Goebel (2015) </w:t>
      </w:r>
      <w:r w:rsidR="004720AE" w:rsidRPr="00983193">
        <w:rPr>
          <w:rFonts w:ascii="Times New Roman" w:eastAsia="Calibri" w:hAnsi="Times New Roman" w:cs="Times New Roman"/>
          <w:color w:val="000000" w:themeColor="text1"/>
          <w:sz w:val="23"/>
          <w:szCs w:val="23"/>
          <w:lang w:val="en-US"/>
        </w:rPr>
        <w:t>compare</w:t>
      </w:r>
      <w:r>
        <w:rPr>
          <w:rFonts w:ascii="Times New Roman" w:eastAsia="Calibri" w:hAnsi="Times New Roman" w:cs="Times New Roman"/>
          <w:color w:val="000000" w:themeColor="text1"/>
          <w:sz w:val="23"/>
          <w:szCs w:val="23"/>
          <w:lang w:val="en-US"/>
        </w:rPr>
        <w:t>s</w:t>
      </w:r>
      <w:r w:rsidR="004720AE" w:rsidRPr="00983193">
        <w:rPr>
          <w:rFonts w:ascii="Times New Roman" w:eastAsia="Calibri" w:hAnsi="Times New Roman" w:cs="Times New Roman"/>
          <w:color w:val="000000" w:themeColor="text1"/>
          <w:sz w:val="23"/>
          <w:szCs w:val="23"/>
          <w:lang w:val="en-US"/>
        </w:rPr>
        <w:t xml:space="preserve"> three different IC measurement models</w:t>
      </w:r>
      <w:r>
        <w:rPr>
          <w:rFonts w:ascii="Times New Roman" w:eastAsia="Calibri" w:hAnsi="Times New Roman" w:cs="Times New Roman"/>
          <w:color w:val="000000" w:themeColor="text1"/>
          <w:sz w:val="23"/>
          <w:szCs w:val="23"/>
          <w:lang w:val="en-US"/>
        </w:rPr>
        <w:t>,</w:t>
      </w:r>
      <w:r w:rsidR="004606FB" w:rsidRPr="00CE2DC8">
        <w:rPr>
          <w:lang w:val="en-US"/>
        </w:rPr>
        <w:t xml:space="preserve"> </w:t>
      </w:r>
      <w:r w:rsidR="004606FB">
        <w:rPr>
          <w:rFonts w:ascii="Times New Roman" w:eastAsia="Calibri" w:hAnsi="Times New Roman" w:cs="Times New Roman"/>
          <w:color w:val="000000" w:themeColor="text1"/>
          <w:sz w:val="23"/>
          <w:szCs w:val="23"/>
          <w:lang w:val="en-US"/>
        </w:rPr>
        <w:t>L</w:t>
      </w:r>
      <w:r w:rsidR="00CE2DC8">
        <w:rPr>
          <w:rFonts w:ascii="Times New Roman" w:eastAsia="Calibri" w:hAnsi="Times New Roman" w:cs="Times New Roman"/>
          <w:color w:val="000000" w:themeColor="text1"/>
          <w:sz w:val="23"/>
          <w:szCs w:val="23"/>
          <w:lang w:val="en-US"/>
        </w:rPr>
        <w:t>ong-run value-to-book (</w:t>
      </w:r>
      <w:r w:rsidR="004720AE" w:rsidRPr="00983193">
        <w:rPr>
          <w:rFonts w:ascii="Times New Roman" w:eastAsia="Calibri" w:hAnsi="Times New Roman" w:cs="Times New Roman"/>
          <w:color w:val="000000" w:themeColor="text1"/>
          <w:sz w:val="23"/>
          <w:szCs w:val="23"/>
          <w:lang w:val="en-US"/>
        </w:rPr>
        <w:t>LRVTB</w:t>
      </w:r>
      <w:r w:rsidR="00CE2DC8">
        <w:rPr>
          <w:rFonts w:ascii="Times New Roman" w:eastAsia="Calibri" w:hAnsi="Times New Roman" w:cs="Times New Roman"/>
          <w:color w:val="000000" w:themeColor="text1"/>
          <w:sz w:val="23"/>
          <w:szCs w:val="23"/>
          <w:lang w:val="en-US"/>
        </w:rPr>
        <w:t>)</w:t>
      </w:r>
      <w:r>
        <w:rPr>
          <w:rFonts w:ascii="Times New Roman" w:eastAsia="Calibri" w:hAnsi="Times New Roman" w:cs="Times New Roman"/>
          <w:color w:val="000000" w:themeColor="text1"/>
          <w:sz w:val="23"/>
          <w:szCs w:val="23"/>
          <w:lang w:val="en-US"/>
        </w:rPr>
        <w:t>,</w:t>
      </w:r>
      <w:r w:rsidR="004720AE" w:rsidRPr="00983193">
        <w:rPr>
          <w:rFonts w:ascii="Times New Roman" w:eastAsia="Calibri" w:hAnsi="Times New Roman" w:cs="Times New Roman"/>
          <w:color w:val="000000" w:themeColor="text1"/>
          <w:sz w:val="23"/>
          <w:szCs w:val="23"/>
          <w:lang w:val="en-US"/>
        </w:rPr>
        <w:t xml:space="preserve"> </w:t>
      </w:r>
      <w:r w:rsidR="004720AE" w:rsidRPr="00263E9D">
        <w:rPr>
          <w:rFonts w:ascii="Times New Roman" w:eastAsia="Calibri" w:hAnsi="Times New Roman" w:cs="Times New Roman"/>
          <w:noProof/>
          <w:color w:val="000000" w:themeColor="text1"/>
          <w:sz w:val="23"/>
          <w:szCs w:val="23"/>
          <w:lang w:val="en-US"/>
        </w:rPr>
        <w:t>M</w:t>
      </w:r>
      <w:r w:rsidR="006C1B92">
        <w:rPr>
          <w:rFonts w:ascii="Times New Roman" w:eastAsia="Calibri" w:hAnsi="Times New Roman" w:cs="Times New Roman"/>
          <w:noProof/>
          <w:color w:val="000000" w:themeColor="text1"/>
          <w:sz w:val="23"/>
          <w:szCs w:val="23"/>
          <w:lang w:val="en-US"/>
        </w:rPr>
        <w:t>t</w:t>
      </w:r>
      <w:r w:rsidR="004720AE" w:rsidRPr="00263E9D">
        <w:rPr>
          <w:rFonts w:ascii="Times New Roman" w:eastAsia="Calibri" w:hAnsi="Times New Roman" w:cs="Times New Roman"/>
          <w:noProof/>
          <w:color w:val="000000" w:themeColor="text1"/>
          <w:sz w:val="23"/>
          <w:szCs w:val="23"/>
          <w:lang w:val="en-US"/>
        </w:rPr>
        <w:t>B</w:t>
      </w:r>
      <w:r w:rsidR="004720AE" w:rsidRPr="00983193">
        <w:rPr>
          <w:rFonts w:ascii="Times New Roman" w:eastAsia="Calibri" w:hAnsi="Times New Roman" w:cs="Times New Roman"/>
          <w:color w:val="000000" w:themeColor="text1"/>
          <w:sz w:val="23"/>
          <w:szCs w:val="23"/>
          <w:lang w:val="en-US"/>
        </w:rPr>
        <w:t xml:space="preserve"> and Tobin’s q</w:t>
      </w:r>
      <w:r>
        <w:rPr>
          <w:rFonts w:ascii="Times New Roman" w:eastAsia="Calibri" w:hAnsi="Times New Roman" w:cs="Times New Roman"/>
          <w:color w:val="000000" w:themeColor="text1"/>
          <w:sz w:val="23"/>
          <w:szCs w:val="23"/>
          <w:lang w:val="en-US"/>
        </w:rPr>
        <w:t>,</w:t>
      </w:r>
      <w:r w:rsidR="004720AE" w:rsidRPr="00983193">
        <w:rPr>
          <w:rFonts w:ascii="Times New Roman" w:eastAsia="Calibri" w:hAnsi="Times New Roman" w:cs="Times New Roman"/>
          <w:color w:val="000000" w:themeColor="text1"/>
          <w:sz w:val="23"/>
          <w:szCs w:val="23"/>
          <w:lang w:val="en-US"/>
        </w:rPr>
        <w:t xml:space="preserve"> </w:t>
      </w:r>
      <w:r>
        <w:rPr>
          <w:rFonts w:ascii="Times New Roman" w:eastAsia="Calibri" w:hAnsi="Times New Roman" w:cs="Times New Roman"/>
          <w:color w:val="000000" w:themeColor="text1"/>
          <w:sz w:val="23"/>
          <w:szCs w:val="23"/>
          <w:lang w:val="en-US"/>
        </w:rPr>
        <w:t>and finds</w:t>
      </w:r>
      <w:r w:rsidR="004720AE" w:rsidRPr="00983193">
        <w:rPr>
          <w:rFonts w:ascii="Times New Roman" w:eastAsia="Calibri" w:hAnsi="Times New Roman" w:cs="Times New Roman"/>
          <w:color w:val="000000" w:themeColor="text1"/>
          <w:sz w:val="23"/>
          <w:szCs w:val="23"/>
          <w:lang w:val="en-US"/>
        </w:rPr>
        <w:t xml:space="preserve"> that LRVTB </w:t>
      </w:r>
      <w:r w:rsidR="00A14732" w:rsidRPr="00983193">
        <w:rPr>
          <w:rFonts w:ascii="Times New Roman" w:eastAsia="Calibri" w:hAnsi="Times New Roman" w:cs="Times New Roman"/>
          <w:color w:val="000000" w:themeColor="text1"/>
          <w:sz w:val="23"/>
          <w:szCs w:val="23"/>
          <w:lang w:val="en-US"/>
        </w:rPr>
        <w:t>is the best estimator for IC</w:t>
      </w:r>
      <w:r w:rsidR="000C60DB" w:rsidRPr="00983193">
        <w:rPr>
          <w:rFonts w:ascii="Times New Roman" w:eastAsia="Calibri" w:hAnsi="Times New Roman" w:cs="Times New Roman"/>
          <w:color w:val="000000" w:themeColor="text1"/>
          <w:sz w:val="23"/>
          <w:szCs w:val="23"/>
          <w:lang w:val="en-US"/>
        </w:rPr>
        <w:t xml:space="preserve"> value</w:t>
      </w:r>
      <w:r>
        <w:rPr>
          <w:rFonts w:ascii="Times New Roman" w:eastAsia="Calibri" w:hAnsi="Times New Roman" w:cs="Times New Roman"/>
          <w:color w:val="000000" w:themeColor="text1"/>
          <w:sz w:val="23"/>
          <w:szCs w:val="23"/>
          <w:lang w:val="en-US"/>
        </w:rPr>
        <w:t>,</w:t>
      </w:r>
      <w:r w:rsidR="000C60DB" w:rsidRPr="00983193">
        <w:rPr>
          <w:rFonts w:ascii="Times New Roman" w:eastAsia="Calibri" w:hAnsi="Times New Roman" w:cs="Times New Roman"/>
          <w:color w:val="000000" w:themeColor="text1"/>
          <w:sz w:val="23"/>
          <w:szCs w:val="23"/>
          <w:lang w:val="en-US"/>
        </w:rPr>
        <w:t xml:space="preserve"> while other authors focus on a single method (e.g. </w:t>
      </w:r>
      <w:r w:rsidR="000C60DB" w:rsidRPr="00263E9D">
        <w:rPr>
          <w:rFonts w:ascii="Times New Roman" w:eastAsia="Calibri" w:hAnsi="Times New Roman" w:cs="Times New Roman"/>
          <w:noProof/>
          <w:color w:val="000000" w:themeColor="text1"/>
          <w:sz w:val="23"/>
          <w:szCs w:val="23"/>
          <w:lang w:val="en-US"/>
        </w:rPr>
        <w:t>M</w:t>
      </w:r>
      <w:r w:rsidR="006C1B92">
        <w:rPr>
          <w:rFonts w:ascii="Times New Roman" w:eastAsia="Calibri" w:hAnsi="Times New Roman" w:cs="Times New Roman"/>
          <w:noProof/>
          <w:color w:val="000000" w:themeColor="text1"/>
          <w:sz w:val="23"/>
          <w:szCs w:val="23"/>
          <w:lang w:val="en-US"/>
        </w:rPr>
        <w:t>t</w:t>
      </w:r>
      <w:r w:rsidR="000C60DB" w:rsidRPr="00263E9D">
        <w:rPr>
          <w:rFonts w:ascii="Times New Roman" w:eastAsia="Calibri" w:hAnsi="Times New Roman" w:cs="Times New Roman"/>
          <w:noProof/>
          <w:color w:val="000000" w:themeColor="text1"/>
          <w:sz w:val="23"/>
          <w:szCs w:val="23"/>
          <w:lang w:val="en-US"/>
        </w:rPr>
        <w:t>B</w:t>
      </w:r>
      <w:r w:rsidR="000C60DB" w:rsidRPr="00983193">
        <w:rPr>
          <w:rFonts w:ascii="Times New Roman" w:eastAsia="Calibri" w:hAnsi="Times New Roman" w:cs="Times New Roman"/>
          <w:color w:val="000000" w:themeColor="text1"/>
          <w:sz w:val="23"/>
          <w:szCs w:val="23"/>
          <w:lang w:val="en-US"/>
        </w:rPr>
        <w:t xml:space="preserve">, VAIC) in their </w:t>
      </w:r>
      <w:r>
        <w:rPr>
          <w:rFonts w:ascii="Times New Roman" w:eastAsia="Calibri" w:hAnsi="Times New Roman" w:cs="Times New Roman"/>
          <w:color w:val="000000" w:themeColor="text1"/>
          <w:sz w:val="23"/>
          <w:szCs w:val="23"/>
          <w:lang w:val="en-US"/>
        </w:rPr>
        <w:t>studies.</w:t>
      </w:r>
      <w:r w:rsidR="000C60DB" w:rsidRPr="00983193">
        <w:rPr>
          <w:rFonts w:ascii="Times New Roman" w:eastAsia="Calibri" w:hAnsi="Times New Roman" w:cs="Times New Roman"/>
          <w:color w:val="000000" w:themeColor="text1"/>
          <w:sz w:val="23"/>
          <w:szCs w:val="23"/>
          <w:lang w:val="en-US"/>
        </w:rPr>
        <w:t xml:space="preserve"> </w:t>
      </w:r>
      <w:r w:rsidR="00C501CB" w:rsidRPr="00983193">
        <w:rPr>
          <w:rFonts w:ascii="Times New Roman" w:eastAsia="Calibri" w:hAnsi="Times New Roman" w:cs="Times New Roman"/>
          <w:color w:val="000000" w:themeColor="text1"/>
          <w:sz w:val="23"/>
          <w:szCs w:val="23"/>
          <w:lang w:val="en-US"/>
        </w:rPr>
        <w:t xml:space="preserve">Underpinned by the existing theoretical </w:t>
      </w:r>
      <w:r>
        <w:rPr>
          <w:rFonts w:ascii="Times New Roman" w:eastAsia="Calibri" w:hAnsi="Times New Roman" w:cs="Times New Roman"/>
          <w:color w:val="000000" w:themeColor="text1"/>
          <w:sz w:val="23"/>
          <w:szCs w:val="23"/>
          <w:lang w:val="en-US"/>
        </w:rPr>
        <w:t xml:space="preserve">and empirical </w:t>
      </w:r>
      <w:r w:rsidR="00A67C77">
        <w:rPr>
          <w:rFonts w:ascii="Times New Roman" w:eastAsia="Calibri" w:hAnsi="Times New Roman" w:cs="Times New Roman"/>
          <w:color w:val="000000" w:themeColor="text1"/>
          <w:sz w:val="23"/>
          <w:szCs w:val="23"/>
          <w:lang w:val="en-US"/>
        </w:rPr>
        <w:t>literature</w:t>
      </w:r>
      <w:r w:rsidR="00AD3448" w:rsidRPr="00983193">
        <w:rPr>
          <w:rFonts w:ascii="Times New Roman" w:eastAsia="Calibri" w:hAnsi="Times New Roman" w:cs="Times New Roman"/>
          <w:color w:val="000000" w:themeColor="text1"/>
          <w:sz w:val="23"/>
          <w:szCs w:val="23"/>
          <w:lang w:val="en-US"/>
        </w:rPr>
        <w:t xml:space="preserve"> (</w:t>
      </w:r>
      <w:r>
        <w:rPr>
          <w:rFonts w:ascii="Times New Roman" w:eastAsia="Calibri" w:hAnsi="Times New Roman" w:cs="Times New Roman"/>
          <w:color w:val="000000" w:themeColor="text1"/>
          <w:sz w:val="23"/>
          <w:szCs w:val="23"/>
          <w:lang w:val="en-US"/>
        </w:rPr>
        <w:t xml:space="preserve">e.g. </w:t>
      </w:r>
      <w:r w:rsidR="00980DE6" w:rsidRPr="00983193">
        <w:rPr>
          <w:rFonts w:ascii="Times New Roman" w:eastAsia="Calibri" w:hAnsi="Times New Roman" w:cs="Times New Roman"/>
          <w:color w:val="000000" w:themeColor="text1"/>
          <w:sz w:val="23"/>
          <w:szCs w:val="23"/>
          <w:lang w:val="en-US"/>
        </w:rPr>
        <w:t>Goebel, 2015),</w:t>
      </w:r>
      <w:r w:rsidR="00D1774C" w:rsidRPr="00983193">
        <w:rPr>
          <w:rFonts w:ascii="Times New Roman" w:eastAsia="Calibri" w:hAnsi="Times New Roman" w:cs="Times New Roman"/>
          <w:color w:val="000000" w:themeColor="text1"/>
          <w:sz w:val="23"/>
          <w:szCs w:val="23"/>
          <w:lang w:val="en-US"/>
        </w:rPr>
        <w:t xml:space="preserve"> </w:t>
      </w:r>
      <w:r w:rsidR="007D50DB" w:rsidRPr="00983193">
        <w:rPr>
          <w:rFonts w:ascii="Times New Roman" w:eastAsia="Calibri" w:hAnsi="Times New Roman" w:cs="Times New Roman"/>
          <w:color w:val="000000" w:themeColor="text1"/>
          <w:sz w:val="23"/>
          <w:szCs w:val="23"/>
          <w:lang w:val="en-US"/>
        </w:rPr>
        <w:t xml:space="preserve">the </w:t>
      </w:r>
      <w:r w:rsidR="007244DF" w:rsidRPr="00983193">
        <w:rPr>
          <w:rFonts w:ascii="Times New Roman" w:eastAsia="Calibri" w:hAnsi="Times New Roman" w:cs="Times New Roman"/>
          <w:color w:val="000000" w:themeColor="text1"/>
          <w:sz w:val="23"/>
          <w:szCs w:val="23"/>
          <w:lang w:val="en-US"/>
        </w:rPr>
        <w:t>purpose</w:t>
      </w:r>
      <w:r w:rsidR="007D50DB" w:rsidRPr="00983193">
        <w:rPr>
          <w:rFonts w:ascii="Times New Roman" w:eastAsia="Calibri" w:hAnsi="Times New Roman" w:cs="Times New Roman"/>
          <w:color w:val="000000" w:themeColor="text1"/>
          <w:sz w:val="23"/>
          <w:szCs w:val="23"/>
          <w:lang w:val="en-US"/>
        </w:rPr>
        <w:t xml:space="preserve"> of this paper is to compare</w:t>
      </w:r>
      <w:r w:rsidR="00980DE6" w:rsidRPr="00983193">
        <w:rPr>
          <w:rFonts w:ascii="Times New Roman" w:eastAsia="Calibri" w:hAnsi="Times New Roman" w:cs="Times New Roman"/>
          <w:color w:val="000000" w:themeColor="text1"/>
          <w:sz w:val="23"/>
          <w:szCs w:val="23"/>
          <w:lang w:val="en-US"/>
        </w:rPr>
        <w:t xml:space="preserve"> </w:t>
      </w:r>
      <w:r w:rsidR="000C60DB" w:rsidRPr="00983193">
        <w:rPr>
          <w:rFonts w:ascii="Times New Roman" w:eastAsia="Calibri" w:hAnsi="Times New Roman" w:cs="Times New Roman"/>
          <w:color w:val="000000" w:themeColor="text1"/>
          <w:sz w:val="23"/>
          <w:szCs w:val="23"/>
          <w:lang w:val="en-US"/>
        </w:rPr>
        <w:t>different</w:t>
      </w:r>
      <w:r w:rsidR="00980DE6" w:rsidRPr="00983193">
        <w:rPr>
          <w:rFonts w:ascii="Times New Roman" w:eastAsia="Calibri" w:hAnsi="Times New Roman" w:cs="Times New Roman"/>
          <w:color w:val="000000" w:themeColor="text1"/>
          <w:sz w:val="23"/>
          <w:szCs w:val="23"/>
          <w:lang w:val="en-US"/>
        </w:rPr>
        <w:t xml:space="preserve"> methods</w:t>
      </w:r>
      <w:r w:rsidR="007D50DB" w:rsidRPr="00983193">
        <w:rPr>
          <w:rFonts w:ascii="Times New Roman" w:eastAsia="Calibri" w:hAnsi="Times New Roman" w:cs="Times New Roman"/>
          <w:color w:val="000000" w:themeColor="text1"/>
          <w:sz w:val="23"/>
          <w:szCs w:val="23"/>
          <w:lang w:val="en-US"/>
        </w:rPr>
        <w:t xml:space="preserve"> </w:t>
      </w:r>
      <w:r w:rsidR="00C501CB" w:rsidRPr="00983193">
        <w:rPr>
          <w:rFonts w:ascii="Times New Roman" w:eastAsia="Calibri" w:hAnsi="Times New Roman" w:cs="Times New Roman"/>
          <w:color w:val="000000" w:themeColor="text1"/>
          <w:sz w:val="23"/>
          <w:szCs w:val="23"/>
          <w:lang w:val="en-US"/>
        </w:rPr>
        <w:t xml:space="preserve">for </w:t>
      </w:r>
      <w:r w:rsidR="007D50DB" w:rsidRPr="00983193">
        <w:rPr>
          <w:rFonts w:ascii="Times New Roman" w:eastAsia="Calibri" w:hAnsi="Times New Roman" w:cs="Times New Roman"/>
          <w:color w:val="000000" w:themeColor="text1"/>
          <w:sz w:val="23"/>
          <w:szCs w:val="23"/>
          <w:lang w:val="en-US"/>
        </w:rPr>
        <w:t xml:space="preserve">measuring IC value in order to find </w:t>
      </w:r>
      <w:r>
        <w:rPr>
          <w:rFonts w:ascii="Times New Roman" w:eastAsia="Calibri" w:hAnsi="Times New Roman" w:cs="Times New Roman"/>
          <w:color w:val="000000" w:themeColor="text1"/>
          <w:sz w:val="23"/>
          <w:szCs w:val="23"/>
          <w:lang w:val="en-US"/>
        </w:rPr>
        <w:t xml:space="preserve">which is </w:t>
      </w:r>
      <w:r w:rsidR="007D50DB" w:rsidRPr="00983193">
        <w:rPr>
          <w:rFonts w:ascii="Times New Roman" w:eastAsia="Calibri" w:hAnsi="Times New Roman" w:cs="Times New Roman"/>
          <w:color w:val="000000" w:themeColor="text1"/>
          <w:sz w:val="23"/>
          <w:szCs w:val="23"/>
          <w:lang w:val="en-US"/>
        </w:rPr>
        <w:t xml:space="preserve">the most suitable </w:t>
      </w:r>
      <w:r w:rsidR="00C501CB" w:rsidRPr="00983193">
        <w:rPr>
          <w:rFonts w:ascii="Times New Roman" w:eastAsia="Calibri" w:hAnsi="Times New Roman" w:cs="Times New Roman"/>
          <w:color w:val="000000" w:themeColor="text1"/>
          <w:sz w:val="23"/>
          <w:szCs w:val="23"/>
          <w:lang w:val="en-US"/>
        </w:rPr>
        <w:t xml:space="preserve">approach </w:t>
      </w:r>
      <w:r w:rsidR="007D50DB" w:rsidRPr="00983193">
        <w:rPr>
          <w:rFonts w:ascii="Times New Roman" w:eastAsia="Calibri" w:hAnsi="Times New Roman" w:cs="Times New Roman"/>
          <w:color w:val="000000" w:themeColor="text1"/>
          <w:sz w:val="23"/>
          <w:szCs w:val="23"/>
          <w:lang w:val="en-US"/>
        </w:rPr>
        <w:t xml:space="preserve">in the context of Italian </w:t>
      </w:r>
      <w:r w:rsidR="00980DE6" w:rsidRPr="00983193">
        <w:rPr>
          <w:rFonts w:ascii="Times New Roman" w:eastAsia="Calibri" w:hAnsi="Times New Roman" w:cs="Times New Roman"/>
          <w:color w:val="000000" w:themeColor="text1"/>
          <w:sz w:val="23"/>
          <w:szCs w:val="23"/>
          <w:lang w:val="en-US"/>
        </w:rPr>
        <w:t>private sector</w:t>
      </w:r>
      <w:r w:rsidR="00C501CB" w:rsidRPr="00983193">
        <w:rPr>
          <w:rFonts w:ascii="Times New Roman" w:eastAsia="Calibri" w:hAnsi="Times New Roman" w:cs="Times New Roman"/>
          <w:color w:val="000000" w:themeColor="text1"/>
          <w:sz w:val="23"/>
          <w:szCs w:val="23"/>
          <w:lang w:val="en-US"/>
        </w:rPr>
        <w:t xml:space="preserve"> </w:t>
      </w:r>
      <w:r>
        <w:rPr>
          <w:rFonts w:ascii="Times New Roman" w:eastAsia="Calibri" w:hAnsi="Times New Roman" w:cs="Times New Roman"/>
          <w:color w:val="000000" w:themeColor="text1"/>
          <w:sz w:val="23"/>
          <w:szCs w:val="23"/>
          <w:lang w:val="en-US"/>
        </w:rPr>
        <w:t xml:space="preserve">listed </w:t>
      </w:r>
      <w:r w:rsidR="00C501CB" w:rsidRPr="00983193">
        <w:rPr>
          <w:rFonts w:ascii="Times New Roman" w:eastAsia="Calibri" w:hAnsi="Times New Roman" w:cs="Times New Roman"/>
          <w:color w:val="000000" w:themeColor="text1"/>
          <w:sz w:val="23"/>
          <w:szCs w:val="23"/>
          <w:lang w:val="en-US"/>
        </w:rPr>
        <w:t>firms</w:t>
      </w:r>
      <w:r w:rsidR="007D50DB" w:rsidRPr="00983193">
        <w:rPr>
          <w:rFonts w:ascii="Times New Roman" w:eastAsia="Calibri" w:hAnsi="Times New Roman" w:cs="Times New Roman"/>
          <w:color w:val="000000" w:themeColor="text1"/>
          <w:sz w:val="23"/>
          <w:szCs w:val="23"/>
          <w:lang w:val="en-US"/>
        </w:rPr>
        <w:t>.</w:t>
      </w:r>
      <w:r w:rsidR="00264355" w:rsidRPr="00983193">
        <w:rPr>
          <w:rFonts w:ascii="Times New Roman" w:eastAsia="Calibri" w:hAnsi="Times New Roman" w:cs="Times New Roman"/>
          <w:color w:val="000000" w:themeColor="text1"/>
          <w:sz w:val="23"/>
          <w:szCs w:val="23"/>
          <w:lang w:val="en-US"/>
        </w:rPr>
        <w:t xml:space="preserve"> </w:t>
      </w:r>
    </w:p>
    <w:p w14:paraId="0E3FCD88" w14:textId="77777777" w:rsidR="009A6554" w:rsidRPr="00983193" w:rsidRDefault="00CE2DC8" w:rsidP="00CE2DC8">
      <w:pPr>
        <w:spacing w:after="0" w:line="240" w:lineRule="auto"/>
        <w:ind w:firstLine="284"/>
        <w:contextualSpacing/>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Moreover, this research also</w:t>
      </w:r>
      <w:r w:rsidR="00264355" w:rsidRPr="00983193">
        <w:rPr>
          <w:rFonts w:ascii="Times New Roman" w:eastAsia="Calibri" w:hAnsi="Times New Roman" w:cs="Times New Roman"/>
          <w:color w:val="000000" w:themeColor="text1"/>
          <w:sz w:val="23"/>
          <w:szCs w:val="23"/>
          <w:lang w:val="en-US"/>
        </w:rPr>
        <w:t xml:space="preserve"> investigates the explanatory factors </w:t>
      </w:r>
      <w:r w:rsidR="00AE0DDB">
        <w:rPr>
          <w:rFonts w:ascii="Times New Roman" w:eastAsia="Calibri" w:hAnsi="Times New Roman" w:cs="Times New Roman"/>
          <w:color w:val="000000" w:themeColor="text1"/>
          <w:sz w:val="23"/>
          <w:szCs w:val="23"/>
          <w:lang w:val="en-US"/>
        </w:rPr>
        <w:t xml:space="preserve">which determine </w:t>
      </w:r>
      <w:r w:rsidR="00264355" w:rsidRPr="00983193">
        <w:rPr>
          <w:rFonts w:ascii="Times New Roman" w:eastAsia="Calibri" w:hAnsi="Times New Roman" w:cs="Times New Roman"/>
          <w:color w:val="000000" w:themeColor="text1"/>
          <w:sz w:val="23"/>
          <w:szCs w:val="23"/>
          <w:lang w:val="en-US"/>
        </w:rPr>
        <w:t>IC values determined</w:t>
      </w:r>
      <w:r w:rsidR="007244DF" w:rsidRPr="00983193">
        <w:rPr>
          <w:rFonts w:ascii="Times New Roman" w:eastAsia="Calibri" w:hAnsi="Times New Roman" w:cs="Times New Roman"/>
          <w:color w:val="000000" w:themeColor="text1"/>
          <w:sz w:val="23"/>
          <w:szCs w:val="23"/>
          <w:lang w:val="en-US"/>
        </w:rPr>
        <w:t xml:space="preserve"> </w:t>
      </w:r>
      <w:r w:rsidR="00AE0DDB">
        <w:rPr>
          <w:rFonts w:ascii="Times New Roman" w:eastAsia="Calibri" w:hAnsi="Times New Roman" w:cs="Times New Roman"/>
          <w:color w:val="000000" w:themeColor="text1"/>
          <w:sz w:val="23"/>
          <w:szCs w:val="23"/>
          <w:lang w:val="en-US"/>
        </w:rPr>
        <w:t>using</w:t>
      </w:r>
      <w:r w:rsidR="007244DF" w:rsidRPr="00983193">
        <w:rPr>
          <w:rFonts w:ascii="Times New Roman" w:eastAsia="Calibri" w:hAnsi="Times New Roman" w:cs="Times New Roman"/>
          <w:color w:val="000000" w:themeColor="text1"/>
          <w:sz w:val="23"/>
          <w:szCs w:val="23"/>
          <w:lang w:val="en-US"/>
        </w:rPr>
        <w:t xml:space="preserve"> two different methods</w:t>
      </w:r>
      <w:r w:rsidR="00264355" w:rsidRPr="00983193">
        <w:rPr>
          <w:rFonts w:ascii="Times New Roman" w:eastAsia="Calibri" w:hAnsi="Times New Roman" w:cs="Times New Roman"/>
          <w:color w:val="000000" w:themeColor="text1"/>
          <w:sz w:val="23"/>
          <w:szCs w:val="23"/>
          <w:lang w:val="en-US"/>
        </w:rPr>
        <w:t xml:space="preserve">. </w:t>
      </w:r>
      <w:r w:rsidR="00C501CB" w:rsidRPr="00983193">
        <w:rPr>
          <w:rFonts w:ascii="Times New Roman" w:eastAsia="Calibri" w:hAnsi="Times New Roman" w:cs="Times New Roman"/>
          <w:color w:val="000000" w:themeColor="text1"/>
          <w:sz w:val="23"/>
          <w:szCs w:val="23"/>
          <w:lang w:val="en-US"/>
        </w:rPr>
        <w:t xml:space="preserve">In </w:t>
      </w:r>
      <w:r w:rsidR="000C60DB" w:rsidRPr="00983193">
        <w:rPr>
          <w:rFonts w:ascii="Times New Roman" w:eastAsia="Calibri" w:hAnsi="Times New Roman" w:cs="Times New Roman"/>
          <w:color w:val="000000" w:themeColor="text1"/>
          <w:sz w:val="23"/>
          <w:szCs w:val="23"/>
          <w:lang w:val="en-US"/>
        </w:rPr>
        <w:t>particular</w:t>
      </w:r>
      <w:r w:rsidR="007244DF" w:rsidRPr="00983193">
        <w:rPr>
          <w:rFonts w:ascii="Times New Roman" w:eastAsia="Calibri" w:hAnsi="Times New Roman" w:cs="Times New Roman"/>
          <w:color w:val="000000" w:themeColor="text1"/>
          <w:sz w:val="23"/>
          <w:szCs w:val="23"/>
          <w:lang w:val="en-US"/>
        </w:rPr>
        <w:t>,</w:t>
      </w:r>
      <w:r w:rsidR="000C60DB" w:rsidRPr="00983193">
        <w:rPr>
          <w:rFonts w:ascii="Times New Roman" w:eastAsia="Calibri" w:hAnsi="Times New Roman" w:cs="Times New Roman"/>
          <w:color w:val="000000" w:themeColor="text1"/>
          <w:sz w:val="23"/>
          <w:szCs w:val="23"/>
          <w:lang w:val="en-US"/>
        </w:rPr>
        <w:t xml:space="preserve"> th</w:t>
      </w:r>
      <w:r w:rsidR="00240641" w:rsidRPr="00983193">
        <w:rPr>
          <w:rFonts w:ascii="Times New Roman" w:eastAsia="Calibri" w:hAnsi="Times New Roman" w:cs="Times New Roman"/>
          <w:color w:val="000000" w:themeColor="text1"/>
          <w:sz w:val="23"/>
          <w:szCs w:val="23"/>
          <w:lang w:val="en-US"/>
        </w:rPr>
        <w:t>i</w:t>
      </w:r>
      <w:r w:rsidR="000C60DB" w:rsidRPr="00983193">
        <w:rPr>
          <w:rFonts w:ascii="Times New Roman" w:eastAsia="Calibri" w:hAnsi="Times New Roman" w:cs="Times New Roman"/>
          <w:color w:val="000000" w:themeColor="text1"/>
          <w:sz w:val="23"/>
          <w:szCs w:val="23"/>
          <w:lang w:val="en-US"/>
        </w:rPr>
        <w:t xml:space="preserve">s research, </w:t>
      </w:r>
      <w:r w:rsidR="00AE0DDB">
        <w:rPr>
          <w:rFonts w:ascii="Times New Roman" w:eastAsia="Calibri" w:hAnsi="Times New Roman" w:cs="Times New Roman"/>
          <w:color w:val="000000" w:themeColor="text1"/>
          <w:sz w:val="23"/>
          <w:szCs w:val="23"/>
          <w:lang w:val="en-US"/>
        </w:rPr>
        <w:t xml:space="preserve">is </w:t>
      </w:r>
      <w:r w:rsidR="000C60DB" w:rsidRPr="00983193">
        <w:rPr>
          <w:rFonts w:ascii="Times New Roman" w:eastAsia="Calibri" w:hAnsi="Times New Roman" w:cs="Times New Roman"/>
          <w:color w:val="000000" w:themeColor="text1"/>
          <w:sz w:val="23"/>
          <w:szCs w:val="23"/>
          <w:lang w:val="en-US"/>
        </w:rPr>
        <w:t>based on</w:t>
      </w:r>
      <w:r w:rsidR="00240641" w:rsidRPr="00983193">
        <w:rPr>
          <w:rFonts w:ascii="Times New Roman" w:eastAsia="Calibri" w:hAnsi="Times New Roman" w:cs="Times New Roman"/>
          <w:color w:val="000000" w:themeColor="text1"/>
          <w:sz w:val="23"/>
          <w:szCs w:val="23"/>
          <w:lang w:val="en-US"/>
        </w:rPr>
        <w:t xml:space="preserve"> Sveiby’s classification (2001)</w:t>
      </w:r>
      <w:r w:rsidR="009A6554" w:rsidRPr="00983193">
        <w:rPr>
          <w:rFonts w:ascii="Times New Roman" w:eastAsia="Calibri" w:hAnsi="Times New Roman" w:cs="Times New Roman"/>
          <w:color w:val="000000" w:themeColor="text1"/>
          <w:sz w:val="23"/>
          <w:szCs w:val="23"/>
          <w:lang w:val="en-US"/>
        </w:rPr>
        <w:t>,</w:t>
      </w:r>
      <w:r w:rsidR="00240641" w:rsidRPr="00983193">
        <w:rPr>
          <w:rFonts w:ascii="Times New Roman" w:eastAsia="Calibri" w:hAnsi="Times New Roman" w:cs="Times New Roman"/>
          <w:color w:val="000000" w:themeColor="text1"/>
          <w:sz w:val="23"/>
          <w:szCs w:val="23"/>
          <w:lang w:val="en-US"/>
        </w:rPr>
        <w:t xml:space="preserve"> </w:t>
      </w:r>
      <w:r w:rsidR="00AE0DDB">
        <w:rPr>
          <w:rFonts w:ascii="Times New Roman" w:eastAsia="Calibri" w:hAnsi="Times New Roman" w:cs="Times New Roman"/>
          <w:color w:val="000000" w:themeColor="text1"/>
          <w:sz w:val="23"/>
          <w:szCs w:val="23"/>
          <w:lang w:val="en-US"/>
        </w:rPr>
        <w:t>as revised</w:t>
      </w:r>
      <w:r w:rsidR="00AE0DDB" w:rsidRPr="00983193">
        <w:rPr>
          <w:rFonts w:ascii="Times New Roman" w:eastAsia="Calibri" w:hAnsi="Times New Roman" w:cs="Times New Roman"/>
          <w:color w:val="000000" w:themeColor="text1"/>
          <w:sz w:val="23"/>
          <w:szCs w:val="23"/>
          <w:lang w:val="en-US"/>
        </w:rPr>
        <w:t xml:space="preserve"> </w:t>
      </w:r>
      <w:r w:rsidR="00240641" w:rsidRPr="00983193">
        <w:rPr>
          <w:rFonts w:ascii="Times New Roman" w:eastAsia="Calibri" w:hAnsi="Times New Roman" w:cs="Times New Roman"/>
          <w:color w:val="000000" w:themeColor="text1"/>
          <w:sz w:val="23"/>
          <w:szCs w:val="23"/>
          <w:lang w:val="en-US"/>
        </w:rPr>
        <w:t>by Sydler et al. (2014)</w:t>
      </w:r>
      <w:r w:rsidR="009A6554" w:rsidRPr="00983193">
        <w:rPr>
          <w:rFonts w:ascii="Times New Roman" w:eastAsia="Calibri" w:hAnsi="Times New Roman" w:cs="Times New Roman"/>
          <w:color w:val="000000" w:themeColor="text1"/>
          <w:sz w:val="23"/>
          <w:szCs w:val="23"/>
          <w:lang w:val="en-US"/>
        </w:rPr>
        <w:t>,</w:t>
      </w:r>
      <w:r w:rsidR="00240641" w:rsidRPr="00983193">
        <w:rPr>
          <w:rFonts w:ascii="Times New Roman" w:eastAsia="Calibri" w:hAnsi="Times New Roman" w:cs="Times New Roman"/>
          <w:color w:val="000000" w:themeColor="text1"/>
          <w:sz w:val="23"/>
          <w:szCs w:val="23"/>
          <w:lang w:val="en-US"/>
        </w:rPr>
        <w:t xml:space="preserve"> </w:t>
      </w:r>
      <w:r w:rsidR="00AE0DDB">
        <w:rPr>
          <w:rFonts w:ascii="Times New Roman" w:eastAsia="Calibri" w:hAnsi="Times New Roman" w:cs="Times New Roman"/>
          <w:color w:val="000000" w:themeColor="text1"/>
          <w:sz w:val="23"/>
          <w:szCs w:val="23"/>
          <w:lang w:val="en-US"/>
        </w:rPr>
        <w:t xml:space="preserve">and </w:t>
      </w:r>
      <w:r w:rsidR="00240641" w:rsidRPr="00983193">
        <w:rPr>
          <w:rFonts w:ascii="Times New Roman" w:eastAsia="Calibri" w:hAnsi="Times New Roman" w:cs="Times New Roman"/>
          <w:color w:val="000000" w:themeColor="text1"/>
          <w:sz w:val="23"/>
          <w:szCs w:val="23"/>
          <w:lang w:val="en-US"/>
        </w:rPr>
        <w:t xml:space="preserve">employs two methods </w:t>
      </w:r>
      <w:r w:rsidR="00AE0DDB">
        <w:rPr>
          <w:rFonts w:ascii="Times New Roman" w:eastAsia="Calibri" w:hAnsi="Times New Roman" w:cs="Times New Roman"/>
          <w:color w:val="000000" w:themeColor="text1"/>
          <w:sz w:val="23"/>
          <w:szCs w:val="23"/>
          <w:lang w:val="en-US"/>
        </w:rPr>
        <w:t>which classify by</w:t>
      </w:r>
      <w:r w:rsidR="00240641" w:rsidRPr="00983193">
        <w:rPr>
          <w:rFonts w:ascii="Times New Roman" w:eastAsia="Calibri" w:hAnsi="Times New Roman" w:cs="Times New Roman"/>
          <w:color w:val="000000" w:themeColor="text1"/>
          <w:sz w:val="23"/>
          <w:szCs w:val="23"/>
          <w:lang w:val="en-US"/>
        </w:rPr>
        <w:t xml:space="preserve"> organizational level </w:t>
      </w:r>
      <w:r w:rsidR="00AE0DDB">
        <w:rPr>
          <w:rFonts w:ascii="Times New Roman" w:eastAsia="Calibri" w:hAnsi="Times New Roman" w:cs="Times New Roman"/>
          <w:color w:val="000000" w:themeColor="text1"/>
          <w:sz w:val="23"/>
          <w:szCs w:val="23"/>
          <w:lang w:val="en-US"/>
        </w:rPr>
        <w:t>and</w:t>
      </w:r>
      <w:r w:rsidR="00AE0DDB" w:rsidRPr="00983193">
        <w:rPr>
          <w:rFonts w:ascii="Times New Roman" w:eastAsia="Calibri" w:hAnsi="Times New Roman" w:cs="Times New Roman"/>
          <w:color w:val="000000" w:themeColor="text1"/>
          <w:sz w:val="23"/>
          <w:szCs w:val="23"/>
          <w:lang w:val="en-US"/>
        </w:rPr>
        <w:t xml:space="preserve"> </w:t>
      </w:r>
      <w:r w:rsidR="00240641" w:rsidRPr="00983193">
        <w:rPr>
          <w:rFonts w:ascii="Times New Roman" w:eastAsia="Calibri" w:hAnsi="Times New Roman" w:cs="Times New Roman"/>
          <w:color w:val="000000" w:themeColor="text1"/>
          <w:sz w:val="23"/>
          <w:szCs w:val="23"/>
          <w:lang w:val="en-US"/>
        </w:rPr>
        <w:t xml:space="preserve">monetary quantification: </w:t>
      </w:r>
      <w:r w:rsidR="00AE0DDB">
        <w:rPr>
          <w:rFonts w:ascii="Times New Roman" w:eastAsia="Calibri" w:hAnsi="Times New Roman" w:cs="Times New Roman"/>
          <w:color w:val="000000" w:themeColor="text1"/>
          <w:sz w:val="23"/>
          <w:szCs w:val="23"/>
          <w:lang w:val="en-US"/>
        </w:rPr>
        <w:t xml:space="preserve">the </w:t>
      </w:r>
      <w:r w:rsidR="00240641" w:rsidRPr="00983193">
        <w:rPr>
          <w:rFonts w:ascii="Times New Roman" w:eastAsia="Calibri" w:hAnsi="Times New Roman" w:cs="Times New Roman"/>
          <w:color w:val="000000" w:themeColor="text1"/>
          <w:sz w:val="23"/>
          <w:szCs w:val="23"/>
          <w:lang w:val="en-US"/>
        </w:rPr>
        <w:t>Market to book Ratio (</w:t>
      </w:r>
      <w:r w:rsidR="00240641" w:rsidRPr="006A57E3">
        <w:rPr>
          <w:rFonts w:ascii="Times New Roman" w:eastAsia="Calibri" w:hAnsi="Times New Roman" w:cs="Times New Roman"/>
          <w:noProof/>
          <w:color w:val="000000" w:themeColor="text1"/>
          <w:sz w:val="23"/>
          <w:szCs w:val="23"/>
          <w:lang w:val="en-US"/>
        </w:rPr>
        <w:t>M</w:t>
      </w:r>
      <w:r w:rsidR="000A222E">
        <w:rPr>
          <w:rFonts w:ascii="Times New Roman" w:eastAsia="Calibri" w:hAnsi="Times New Roman" w:cs="Times New Roman"/>
          <w:noProof/>
          <w:color w:val="000000" w:themeColor="text1"/>
          <w:sz w:val="23"/>
          <w:szCs w:val="23"/>
          <w:lang w:val="en-US"/>
        </w:rPr>
        <w:t>t</w:t>
      </w:r>
      <w:r w:rsidR="00240641" w:rsidRPr="006A57E3">
        <w:rPr>
          <w:rFonts w:ascii="Times New Roman" w:eastAsia="Calibri" w:hAnsi="Times New Roman" w:cs="Times New Roman"/>
          <w:noProof/>
          <w:color w:val="000000" w:themeColor="text1"/>
          <w:sz w:val="23"/>
          <w:szCs w:val="23"/>
          <w:lang w:val="en-US"/>
        </w:rPr>
        <w:t>B</w:t>
      </w:r>
      <w:r w:rsidR="00240641" w:rsidRPr="00983193">
        <w:rPr>
          <w:rFonts w:ascii="Times New Roman" w:eastAsia="Calibri" w:hAnsi="Times New Roman" w:cs="Times New Roman"/>
          <w:color w:val="000000" w:themeColor="text1"/>
          <w:sz w:val="23"/>
          <w:szCs w:val="23"/>
          <w:lang w:val="en-US"/>
        </w:rPr>
        <w:t>) based on</w:t>
      </w:r>
      <w:r w:rsidR="00AE0DDB">
        <w:rPr>
          <w:rFonts w:ascii="Times New Roman" w:eastAsia="Calibri" w:hAnsi="Times New Roman" w:cs="Times New Roman"/>
          <w:color w:val="000000" w:themeColor="text1"/>
          <w:sz w:val="23"/>
          <w:szCs w:val="23"/>
          <w:lang w:val="en-US"/>
        </w:rPr>
        <w:t xml:space="preserve"> the</w:t>
      </w:r>
      <w:r w:rsidR="00240641" w:rsidRPr="00983193">
        <w:rPr>
          <w:rFonts w:ascii="Times New Roman" w:eastAsia="Calibri" w:hAnsi="Times New Roman" w:cs="Times New Roman"/>
          <w:color w:val="000000" w:themeColor="text1"/>
          <w:sz w:val="23"/>
          <w:szCs w:val="23"/>
          <w:lang w:val="en-US"/>
        </w:rPr>
        <w:t xml:space="preserve"> </w:t>
      </w:r>
      <w:r w:rsidR="00240641" w:rsidRPr="00983193">
        <w:rPr>
          <w:rFonts w:ascii="Times New Roman" w:eastAsia="Calibri" w:hAnsi="Times New Roman" w:cs="Times New Roman"/>
          <w:i/>
          <w:color w:val="000000" w:themeColor="text1"/>
          <w:sz w:val="23"/>
          <w:szCs w:val="23"/>
          <w:lang w:val="en-US"/>
        </w:rPr>
        <w:t>Market capitalization approach</w:t>
      </w:r>
      <w:r w:rsidR="006A57E3">
        <w:rPr>
          <w:rFonts w:ascii="Times New Roman" w:eastAsia="Calibri" w:hAnsi="Times New Roman" w:cs="Times New Roman"/>
          <w:color w:val="000000" w:themeColor="text1"/>
          <w:sz w:val="23"/>
          <w:szCs w:val="23"/>
          <w:lang w:val="en-US"/>
        </w:rPr>
        <w:t xml:space="preserve"> </w:t>
      </w:r>
      <w:r w:rsidR="00555E4B">
        <w:rPr>
          <w:rFonts w:ascii="Times New Roman" w:eastAsia="Calibri" w:hAnsi="Times New Roman" w:cs="Times New Roman"/>
          <w:color w:val="000000" w:themeColor="text1"/>
          <w:sz w:val="23"/>
          <w:szCs w:val="23"/>
          <w:lang w:val="en-US"/>
        </w:rPr>
        <w:t>and the</w:t>
      </w:r>
      <w:r w:rsidR="006A57E3">
        <w:rPr>
          <w:rFonts w:ascii="Times New Roman" w:eastAsia="Calibri" w:hAnsi="Times New Roman" w:cs="Times New Roman"/>
          <w:color w:val="000000" w:themeColor="text1"/>
          <w:sz w:val="23"/>
          <w:szCs w:val="23"/>
          <w:lang w:val="en-US"/>
        </w:rPr>
        <w:t xml:space="preserve"> Valued A</w:t>
      </w:r>
      <w:r w:rsidR="00240641" w:rsidRPr="00983193">
        <w:rPr>
          <w:rFonts w:ascii="Times New Roman" w:eastAsia="Calibri" w:hAnsi="Times New Roman" w:cs="Times New Roman"/>
          <w:color w:val="000000" w:themeColor="text1"/>
          <w:sz w:val="23"/>
          <w:szCs w:val="23"/>
          <w:lang w:val="en-US"/>
        </w:rPr>
        <w:t xml:space="preserve">dded Intellectual </w:t>
      </w:r>
      <w:r w:rsidR="006A57E3">
        <w:rPr>
          <w:rFonts w:ascii="Times New Roman" w:eastAsia="Calibri" w:hAnsi="Times New Roman" w:cs="Times New Roman"/>
          <w:noProof/>
          <w:color w:val="000000" w:themeColor="text1"/>
          <w:sz w:val="23"/>
          <w:szCs w:val="23"/>
          <w:lang w:val="en-US"/>
        </w:rPr>
        <w:t>C</w:t>
      </w:r>
      <w:r w:rsidR="00240641" w:rsidRPr="006A57E3">
        <w:rPr>
          <w:rFonts w:ascii="Times New Roman" w:eastAsia="Calibri" w:hAnsi="Times New Roman" w:cs="Times New Roman"/>
          <w:noProof/>
          <w:color w:val="000000" w:themeColor="text1"/>
          <w:sz w:val="23"/>
          <w:szCs w:val="23"/>
          <w:lang w:val="en-US"/>
        </w:rPr>
        <w:t>oefficient</w:t>
      </w:r>
      <w:r w:rsidR="00240641" w:rsidRPr="00983193">
        <w:rPr>
          <w:rFonts w:ascii="Times New Roman" w:eastAsia="Calibri" w:hAnsi="Times New Roman" w:cs="Times New Roman"/>
          <w:color w:val="000000" w:themeColor="text1"/>
          <w:sz w:val="23"/>
          <w:szCs w:val="23"/>
          <w:lang w:val="en-US"/>
        </w:rPr>
        <w:t xml:space="preserve"> (VAIC) based on</w:t>
      </w:r>
      <w:r w:rsidR="00AE0DDB">
        <w:rPr>
          <w:rFonts w:ascii="Times New Roman" w:eastAsia="Calibri" w:hAnsi="Times New Roman" w:cs="Times New Roman"/>
          <w:color w:val="000000" w:themeColor="text1"/>
          <w:sz w:val="23"/>
          <w:szCs w:val="23"/>
          <w:lang w:val="en-US"/>
        </w:rPr>
        <w:t xml:space="preserve"> the</w:t>
      </w:r>
      <w:r w:rsidR="00240641" w:rsidRPr="00983193">
        <w:rPr>
          <w:rFonts w:ascii="Times New Roman" w:eastAsia="Calibri" w:hAnsi="Times New Roman" w:cs="Times New Roman"/>
          <w:color w:val="000000" w:themeColor="text1"/>
          <w:sz w:val="23"/>
          <w:szCs w:val="23"/>
          <w:lang w:val="en-US"/>
        </w:rPr>
        <w:t xml:space="preserve"> </w:t>
      </w:r>
      <w:r w:rsidR="00240641" w:rsidRPr="00983193">
        <w:rPr>
          <w:rFonts w:ascii="Times New Roman" w:eastAsia="Calibri" w:hAnsi="Times New Roman" w:cs="Times New Roman"/>
          <w:i/>
          <w:color w:val="000000" w:themeColor="text1"/>
          <w:sz w:val="23"/>
          <w:szCs w:val="23"/>
          <w:lang w:val="en-US"/>
        </w:rPr>
        <w:t>Return on assets approach</w:t>
      </w:r>
      <w:r w:rsidR="00240641" w:rsidRPr="00983193">
        <w:rPr>
          <w:rFonts w:ascii="Times New Roman" w:eastAsia="Calibri" w:hAnsi="Times New Roman" w:cs="Times New Roman"/>
          <w:color w:val="000000" w:themeColor="text1"/>
          <w:sz w:val="23"/>
          <w:szCs w:val="23"/>
          <w:lang w:val="en-US"/>
        </w:rPr>
        <w:t xml:space="preserve">. </w:t>
      </w:r>
    </w:p>
    <w:p w14:paraId="40BC8DF5" w14:textId="77777777" w:rsidR="00CE2DC8" w:rsidRDefault="00751A7D" w:rsidP="00CE2DC8">
      <w:pPr>
        <w:spacing w:after="0" w:line="240" w:lineRule="auto"/>
        <w:ind w:firstLine="284"/>
        <w:contextualSpacing/>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 xml:space="preserve">   </w:t>
      </w:r>
      <w:r w:rsidR="00CE2DC8">
        <w:rPr>
          <w:rFonts w:ascii="Times New Roman" w:eastAsia="Calibri" w:hAnsi="Times New Roman" w:cs="Times New Roman"/>
          <w:color w:val="000000" w:themeColor="text1"/>
          <w:sz w:val="23"/>
          <w:szCs w:val="23"/>
          <w:lang w:val="en-US"/>
        </w:rPr>
        <w:t>The</w:t>
      </w:r>
      <w:r w:rsidR="00AE0DDB">
        <w:rPr>
          <w:rFonts w:ascii="Times New Roman" w:eastAsia="Calibri" w:hAnsi="Times New Roman" w:cs="Times New Roman"/>
          <w:color w:val="000000" w:themeColor="text1"/>
          <w:sz w:val="23"/>
          <w:szCs w:val="23"/>
          <w:lang w:val="en-US"/>
        </w:rPr>
        <w:t xml:space="preserve"> choice of methods is based on the following rationale.</w:t>
      </w:r>
      <w:r w:rsidR="004745E1" w:rsidRPr="00983193">
        <w:rPr>
          <w:rFonts w:ascii="Times New Roman" w:eastAsia="Calibri" w:hAnsi="Times New Roman" w:cs="Times New Roman"/>
          <w:color w:val="000000" w:themeColor="text1"/>
          <w:sz w:val="23"/>
          <w:szCs w:val="23"/>
          <w:lang w:val="en-US"/>
        </w:rPr>
        <w:t xml:space="preserve"> </w:t>
      </w:r>
      <w:r w:rsidR="00AE0DDB">
        <w:rPr>
          <w:rFonts w:ascii="Times New Roman" w:eastAsia="Calibri" w:hAnsi="Times New Roman" w:cs="Times New Roman"/>
          <w:color w:val="000000" w:themeColor="text1"/>
          <w:sz w:val="23"/>
          <w:szCs w:val="23"/>
          <w:lang w:val="en-US"/>
        </w:rPr>
        <w:t>F</w:t>
      </w:r>
      <w:r w:rsidR="004745E1" w:rsidRPr="00983193">
        <w:rPr>
          <w:rFonts w:ascii="Times New Roman" w:eastAsia="Calibri" w:hAnsi="Times New Roman" w:cs="Times New Roman"/>
          <w:color w:val="000000" w:themeColor="text1"/>
          <w:sz w:val="23"/>
          <w:szCs w:val="23"/>
          <w:lang w:val="en-US"/>
        </w:rPr>
        <w:t xml:space="preserve">irstly, </w:t>
      </w:r>
      <w:r w:rsidR="00AE0DDB">
        <w:rPr>
          <w:rFonts w:ascii="Times New Roman" w:eastAsia="Calibri" w:hAnsi="Times New Roman" w:cs="Times New Roman"/>
          <w:color w:val="000000" w:themeColor="text1"/>
          <w:sz w:val="23"/>
          <w:szCs w:val="23"/>
          <w:lang w:val="en-US"/>
        </w:rPr>
        <w:t>consistent with the findings of</w:t>
      </w:r>
      <w:r w:rsidR="004745E1" w:rsidRPr="00983193">
        <w:rPr>
          <w:rFonts w:ascii="Times New Roman" w:eastAsia="Calibri" w:hAnsi="Times New Roman" w:cs="Times New Roman"/>
          <w:color w:val="000000" w:themeColor="text1"/>
          <w:sz w:val="23"/>
          <w:szCs w:val="23"/>
          <w:lang w:val="en-US"/>
        </w:rPr>
        <w:t xml:space="preserve"> Ramanauskaitė and Rudžionienė (2013)</w:t>
      </w:r>
      <w:r w:rsidR="00AE0DDB">
        <w:rPr>
          <w:rFonts w:ascii="Times New Roman" w:eastAsia="Calibri" w:hAnsi="Times New Roman" w:cs="Times New Roman"/>
          <w:color w:val="000000" w:themeColor="text1"/>
          <w:sz w:val="23"/>
          <w:szCs w:val="23"/>
          <w:lang w:val="en-US"/>
        </w:rPr>
        <w:t>,</w:t>
      </w:r>
      <w:r w:rsidR="004745E1" w:rsidRPr="00983193">
        <w:rPr>
          <w:rFonts w:ascii="Times New Roman" w:eastAsia="Calibri" w:hAnsi="Times New Roman" w:cs="Times New Roman"/>
          <w:color w:val="000000" w:themeColor="text1"/>
          <w:sz w:val="23"/>
          <w:szCs w:val="23"/>
          <w:lang w:val="en-US"/>
        </w:rPr>
        <w:t xml:space="preserve"> the methods are among the most utilized and discussed in </w:t>
      </w:r>
      <w:r w:rsidR="00AE0DDB">
        <w:rPr>
          <w:rFonts w:ascii="Times New Roman" w:eastAsia="Calibri" w:hAnsi="Times New Roman" w:cs="Times New Roman"/>
          <w:color w:val="000000" w:themeColor="text1"/>
          <w:sz w:val="23"/>
          <w:szCs w:val="23"/>
          <w:lang w:val="en-US"/>
        </w:rPr>
        <w:t xml:space="preserve">the </w:t>
      </w:r>
      <w:r w:rsidR="004745E1" w:rsidRPr="00983193">
        <w:rPr>
          <w:rFonts w:ascii="Times New Roman" w:eastAsia="Calibri" w:hAnsi="Times New Roman" w:cs="Times New Roman"/>
          <w:color w:val="000000" w:themeColor="text1"/>
          <w:sz w:val="23"/>
          <w:szCs w:val="23"/>
          <w:lang w:val="en-US"/>
        </w:rPr>
        <w:t xml:space="preserve">literature (Pulic, 1998; Cazavan-Jeny, 2004; </w:t>
      </w:r>
      <w:r w:rsidR="004745E1" w:rsidRPr="00096C09">
        <w:rPr>
          <w:rFonts w:ascii="Times New Roman" w:eastAsia="Calibri" w:hAnsi="Times New Roman" w:cs="Times New Roman"/>
          <w:color w:val="000000" w:themeColor="text1"/>
          <w:sz w:val="23"/>
          <w:szCs w:val="23"/>
          <w:lang w:val="en-US"/>
        </w:rPr>
        <w:t>Mavridis, 2004</w:t>
      </w:r>
      <w:r w:rsidR="004745E1" w:rsidRPr="00983193">
        <w:rPr>
          <w:rFonts w:ascii="Times New Roman" w:eastAsia="Calibri" w:hAnsi="Times New Roman" w:cs="Times New Roman"/>
          <w:color w:val="000000" w:themeColor="text1"/>
          <w:sz w:val="23"/>
          <w:szCs w:val="23"/>
          <w:lang w:val="en-US"/>
        </w:rPr>
        <w:t>; Chen et al., 2005; Bramhandkar et al., 2007;</w:t>
      </w:r>
      <w:r w:rsidR="00CE2DC8">
        <w:rPr>
          <w:rFonts w:ascii="Times New Roman" w:eastAsia="Calibri" w:hAnsi="Times New Roman" w:cs="Times New Roman"/>
          <w:color w:val="000000" w:themeColor="text1"/>
          <w:sz w:val="23"/>
          <w:szCs w:val="23"/>
          <w:lang w:val="en-US"/>
        </w:rPr>
        <w:t xml:space="preserve"> </w:t>
      </w:r>
      <w:r w:rsidR="004745E1" w:rsidRPr="00983193">
        <w:rPr>
          <w:rFonts w:ascii="Times New Roman" w:eastAsia="Calibri" w:hAnsi="Times New Roman" w:cs="Times New Roman"/>
          <w:color w:val="000000" w:themeColor="text1"/>
          <w:sz w:val="23"/>
          <w:szCs w:val="23"/>
          <w:lang w:val="en-US"/>
        </w:rPr>
        <w:t xml:space="preserve">Gan and Saleh, 2008; Maditinos et al., 2011; Morariu, 2014; </w:t>
      </w:r>
      <w:r w:rsidR="004745E1" w:rsidRPr="00F12168">
        <w:rPr>
          <w:rFonts w:ascii="Times New Roman" w:eastAsia="Calibri" w:hAnsi="Times New Roman" w:cs="Times New Roman"/>
          <w:color w:val="000000" w:themeColor="text1"/>
          <w:sz w:val="23"/>
          <w:szCs w:val="23"/>
          <w:lang w:val="en-US"/>
        </w:rPr>
        <w:t>Tseng et al., 2015</w:t>
      </w:r>
      <w:r w:rsidR="004745E1" w:rsidRPr="00983193">
        <w:rPr>
          <w:rFonts w:ascii="Times New Roman" w:eastAsia="Calibri" w:hAnsi="Times New Roman" w:cs="Times New Roman"/>
          <w:color w:val="000000" w:themeColor="text1"/>
          <w:sz w:val="23"/>
          <w:szCs w:val="23"/>
          <w:lang w:val="en-US"/>
        </w:rPr>
        <w:t>; Dženopoljac et al., 2016</w:t>
      </w:r>
      <w:r w:rsidR="0063144B" w:rsidRPr="00983193">
        <w:rPr>
          <w:rFonts w:ascii="Times New Roman" w:eastAsia="Calibri" w:hAnsi="Times New Roman" w:cs="Times New Roman"/>
          <w:color w:val="000000" w:themeColor="text1"/>
          <w:sz w:val="23"/>
          <w:szCs w:val="23"/>
          <w:lang w:val="en-US"/>
        </w:rPr>
        <w:t>; Noradiva et al., 2016</w:t>
      </w:r>
      <w:r w:rsidR="00CE2DC8">
        <w:rPr>
          <w:rFonts w:ascii="Times New Roman" w:eastAsia="Calibri" w:hAnsi="Times New Roman" w:cs="Times New Roman"/>
          <w:color w:val="000000" w:themeColor="text1"/>
          <w:sz w:val="23"/>
          <w:szCs w:val="23"/>
          <w:lang w:val="en-US"/>
        </w:rPr>
        <w:t xml:space="preserve">) </w:t>
      </w:r>
      <w:r w:rsidR="00AE0DDB">
        <w:rPr>
          <w:rFonts w:ascii="Times New Roman" w:eastAsia="Calibri" w:hAnsi="Times New Roman" w:cs="Times New Roman"/>
          <w:color w:val="000000" w:themeColor="text1"/>
          <w:sz w:val="23"/>
          <w:szCs w:val="23"/>
          <w:lang w:val="en-US"/>
        </w:rPr>
        <w:t xml:space="preserve">and </w:t>
      </w:r>
      <w:r w:rsidR="004745E1" w:rsidRPr="00983193">
        <w:rPr>
          <w:rFonts w:ascii="Times New Roman" w:eastAsia="Calibri" w:hAnsi="Times New Roman" w:cs="Times New Roman"/>
          <w:color w:val="000000" w:themeColor="text1"/>
          <w:sz w:val="23"/>
          <w:szCs w:val="23"/>
          <w:lang w:val="en-US"/>
        </w:rPr>
        <w:t>in particular in the Italian context (Puntillo, 2009; Gigante, 2013; Iazzolino and Laise, 2013;</w:t>
      </w:r>
      <w:r w:rsidR="0063144B" w:rsidRPr="00983193">
        <w:rPr>
          <w:rFonts w:ascii="Times New Roman" w:eastAsia="Calibri" w:hAnsi="Times New Roman" w:cs="Times New Roman"/>
          <w:color w:val="000000" w:themeColor="text1"/>
          <w:sz w:val="23"/>
          <w:szCs w:val="23"/>
          <w:lang w:val="en-US"/>
        </w:rPr>
        <w:t xml:space="preserve"> </w:t>
      </w:r>
      <w:r w:rsidR="0063144B" w:rsidRPr="00F12168">
        <w:rPr>
          <w:rFonts w:ascii="Times New Roman" w:eastAsia="Calibri" w:hAnsi="Times New Roman" w:cs="Times New Roman"/>
          <w:color w:val="000000" w:themeColor="text1"/>
          <w:sz w:val="23"/>
          <w:szCs w:val="23"/>
          <w:lang w:val="en-US"/>
        </w:rPr>
        <w:t>Forte</w:t>
      </w:r>
      <w:r w:rsidR="0063144B" w:rsidRPr="00983193">
        <w:rPr>
          <w:rFonts w:ascii="Times New Roman" w:eastAsia="Calibri" w:hAnsi="Times New Roman" w:cs="Times New Roman"/>
          <w:color w:val="000000" w:themeColor="text1"/>
          <w:sz w:val="23"/>
          <w:szCs w:val="23"/>
          <w:lang w:val="en-US"/>
        </w:rPr>
        <w:t xml:space="preserve"> et al., 2017). </w:t>
      </w:r>
    </w:p>
    <w:p w14:paraId="1C9EC8A6" w14:textId="77777777" w:rsidR="00CE2DC8" w:rsidRDefault="0063144B" w:rsidP="00CE2DC8">
      <w:pPr>
        <w:spacing w:after="0" w:line="240" w:lineRule="auto"/>
        <w:ind w:firstLine="284"/>
        <w:contextualSpacing/>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 xml:space="preserve">Secondly, </w:t>
      </w:r>
      <w:r w:rsidR="00AE0DDB">
        <w:rPr>
          <w:rFonts w:ascii="Times New Roman" w:eastAsia="Calibri" w:hAnsi="Times New Roman" w:cs="Times New Roman"/>
          <w:color w:val="000000" w:themeColor="text1"/>
          <w:sz w:val="23"/>
          <w:szCs w:val="23"/>
          <w:lang w:val="en-US"/>
        </w:rPr>
        <w:t xml:space="preserve">as the methods are </w:t>
      </w:r>
      <w:r w:rsidRPr="00983193">
        <w:rPr>
          <w:rFonts w:ascii="Times New Roman" w:eastAsia="Calibri" w:hAnsi="Times New Roman" w:cs="Times New Roman"/>
          <w:color w:val="000000" w:themeColor="text1"/>
          <w:sz w:val="23"/>
          <w:szCs w:val="23"/>
          <w:lang w:val="en-US"/>
        </w:rPr>
        <w:t xml:space="preserve">based mainly on established accounting rules they are </w:t>
      </w:r>
      <w:r w:rsidR="00AE0DDB">
        <w:rPr>
          <w:rFonts w:ascii="Times New Roman" w:eastAsia="Calibri" w:hAnsi="Times New Roman" w:cs="Times New Roman"/>
          <w:color w:val="000000" w:themeColor="text1"/>
          <w:sz w:val="23"/>
          <w:szCs w:val="23"/>
          <w:lang w:val="en-US"/>
        </w:rPr>
        <w:t xml:space="preserve">therefore </w:t>
      </w:r>
      <w:r w:rsidRPr="00983193">
        <w:rPr>
          <w:rFonts w:ascii="Times New Roman" w:eastAsia="Calibri" w:hAnsi="Times New Roman" w:cs="Times New Roman"/>
          <w:color w:val="000000" w:themeColor="text1"/>
          <w:sz w:val="23"/>
          <w:szCs w:val="23"/>
          <w:lang w:val="en-US"/>
        </w:rPr>
        <w:t xml:space="preserve">more transparent, comparable and reliable than </w:t>
      </w:r>
      <w:r w:rsidR="00AE0DDB">
        <w:rPr>
          <w:rFonts w:ascii="Times New Roman" w:eastAsia="Calibri" w:hAnsi="Times New Roman" w:cs="Times New Roman"/>
          <w:color w:val="000000" w:themeColor="text1"/>
          <w:sz w:val="23"/>
          <w:szCs w:val="23"/>
          <w:lang w:val="en-US"/>
        </w:rPr>
        <w:t>alternative</w:t>
      </w:r>
      <w:r w:rsidR="00AE0DDB" w:rsidRPr="00983193">
        <w:rPr>
          <w:rFonts w:ascii="Times New Roman" w:eastAsia="Calibri" w:hAnsi="Times New Roman" w:cs="Times New Roman"/>
          <w:color w:val="000000" w:themeColor="text1"/>
          <w:sz w:val="23"/>
          <w:szCs w:val="23"/>
          <w:lang w:val="en-US"/>
        </w:rPr>
        <w:t xml:space="preserve"> </w:t>
      </w:r>
      <w:r w:rsidRPr="00983193">
        <w:rPr>
          <w:rFonts w:ascii="Times New Roman" w:eastAsia="Calibri" w:hAnsi="Times New Roman" w:cs="Times New Roman"/>
          <w:color w:val="000000" w:themeColor="text1"/>
          <w:sz w:val="23"/>
          <w:szCs w:val="23"/>
          <w:lang w:val="en-US"/>
        </w:rPr>
        <w:t>approaches (</w:t>
      </w:r>
      <w:r w:rsidR="00B67ED8" w:rsidRPr="00983193">
        <w:rPr>
          <w:rFonts w:ascii="Times New Roman" w:eastAsia="Calibri" w:hAnsi="Times New Roman" w:cs="Times New Roman"/>
          <w:color w:val="000000" w:themeColor="text1"/>
          <w:sz w:val="23"/>
          <w:szCs w:val="23"/>
          <w:lang w:val="en-US"/>
        </w:rPr>
        <w:t>Jurczak, 2008;</w:t>
      </w:r>
      <w:r w:rsidR="00B67ED8" w:rsidRPr="00983193">
        <w:rPr>
          <w:rFonts w:ascii="Times New Roman" w:hAnsi="Times New Roman" w:cs="Times New Roman"/>
          <w:color w:val="000000" w:themeColor="text1"/>
          <w:sz w:val="23"/>
          <w:szCs w:val="23"/>
          <w:lang w:val="en-US"/>
        </w:rPr>
        <w:t xml:space="preserve"> </w:t>
      </w:r>
      <w:r w:rsidR="00117C24">
        <w:rPr>
          <w:rFonts w:ascii="Times New Roman" w:eastAsia="Calibri" w:hAnsi="Times New Roman" w:cs="Times New Roman"/>
          <w:color w:val="000000" w:themeColor="text1"/>
          <w:sz w:val="23"/>
          <w:szCs w:val="23"/>
          <w:lang w:val="en-US"/>
        </w:rPr>
        <w:t xml:space="preserve">Paździor and </w:t>
      </w:r>
      <w:r w:rsidR="00B67ED8" w:rsidRPr="00983193">
        <w:rPr>
          <w:rFonts w:ascii="Times New Roman" w:eastAsia="Calibri" w:hAnsi="Times New Roman" w:cs="Times New Roman"/>
          <w:color w:val="000000" w:themeColor="text1"/>
          <w:sz w:val="23"/>
          <w:szCs w:val="23"/>
          <w:lang w:val="en-US"/>
        </w:rPr>
        <w:t xml:space="preserve">Paździor, 2012; </w:t>
      </w:r>
      <w:r w:rsidRPr="00983193">
        <w:rPr>
          <w:rFonts w:ascii="Times New Roman" w:eastAsia="Calibri" w:hAnsi="Times New Roman" w:cs="Times New Roman"/>
          <w:color w:val="000000" w:themeColor="text1"/>
          <w:sz w:val="23"/>
          <w:szCs w:val="23"/>
          <w:lang w:val="en-US"/>
        </w:rPr>
        <w:t xml:space="preserve">Sydler et al., 2014). </w:t>
      </w:r>
    </w:p>
    <w:p w14:paraId="12843737" w14:textId="77777777" w:rsidR="00596AB7" w:rsidRPr="00983193" w:rsidRDefault="00AE0DDB" w:rsidP="00A53C54">
      <w:pPr>
        <w:spacing w:after="0" w:line="240" w:lineRule="auto"/>
        <w:contextualSpacing/>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T</w:t>
      </w:r>
      <w:r w:rsidR="00AA11FE" w:rsidRPr="00983193">
        <w:rPr>
          <w:rFonts w:ascii="Times New Roman" w:eastAsia="Calibri" w:hAnsi="Times New Roman" w:cs="Times New Roman"/>
          <w:color w:val="000000" w:themeColor="text1"/>
          <w:sz w:val="23"/>
          <w:szCs w:val="23"/>
          <w:lang w:val="en-US"/>
        </w:rPr>
        <w:t xml:space="preserve">he </w:t>
      </w:r>
      <w:r w:rsidR="00C501CB" w:rsidRPr="00983193">
        <w:rPr>
          <w:rFonts w:ascii="Times New Roman" w:eastAsia="Calibri" w:hAnsi="Times New Roman" w:cs="Times New Roman"/>
          <w:color w:val="000000" w:themeColor="text1"/>
          <w:sz w:val="23"/>
          <w:szCs w:val="23"/>
          <w:lang w:val="en-US"/>
        </w:rPr>
        <w:t xml:space="preserve">empirical </w:t>
      </w:r>
      <w:r w:rsidR="00AA11FE" w:rsidRPr="00983193">
        <w:rPr>
          <w:rFonts w:ascii="Times New Roman" w:eastAsia="Calibri" w:hAnsi="Times New Roman" w:cs="Times New Roman"/>
          <w:color w:val="000000" w:themeColor="text1"/>
          <w:sz w:val="23"/>
          <w:szCs w:val="23"/>
          <w:lang w:val="en-US"/>
        </w:rPr>
        <w:t xml:space="preserve">analysis </w:t>
      </w:r>
      <w:r w:rsidR="00C501CB" w:rsidRPr="00983193">
        <w:rPr>
          <w:rFonts w:ascii="Times New Roman" w:eastAsia="Calibri" w:hAnsi="Times New Roman" w:cs="Times New Roman"/>
          <w:color w:val="000000" w:themeColor="text1"/>
          <w:sz w:val="23"/>
          <w:szCs w:val="23"/>
          <w:lang w:val="en-US"/>
        </w:rPr>
        <w:t xml:space="preserve">of the paper </w:t>
      </w:r>
      <w:r>
        <w:rPr>
          <w:rFonts w:ascii="Times New Roman" w:eastAsia="Calibri" w:hAnsi="Times New Roman" w:cs="Times New Roman"/>
          <w:color w:val="000000" w:themeColor="text1"/>
          <w:sz w:val="23"/>
          <w:szCs w:val="23"/>
          <w:lang w:val="en-US"/>
        </w:rPr>
        <w:t xml:space="preserve">therefore </w:t>
      </w:r>
      <w:r w:rsidR="00436102" w:rsidRPr="00983193">
        <w:rPr>
          <w:rFonts w:ascii="Times New Roman" w:eastAsia="Calibri" w:hAnsi="Times New Roman" w:cs="Times New Roman"/>
          <w:color w:val="000000" w:themeColor="text1"/>
          <w:sz w:val="23"/>
          <w:szCs w:val="23"/>
          <w:lang w:val="en-US"/>
        </w:rPr>
        <w:t>focuses on</w:t>
      </w:r>
      <w:r w:rsidR="001854CB" w:rsidRPr="00983193">
        <w:rPr>
          <w:rFonts w:ascii="Times New Roman" w:eastAsia="Calibri" w:hAnsi="Times New Roman" w:cs="Times New Roman"/>
          <w:color w:val="000000" w:themeColor="text1"/>
          <w:sz w:val="23"/>
          <w:szCs w:val="23"/>
          <w:lang w:val="en-US"/>
        </w:rPr>
        <w:t xml:space="preserve"> a</w:t>
      </w:r>
      <w:r w:rsidR="00436102" w:rsidRPr="00983193">
        <w:rPr>
          <w:rFonts w:ascii="Times New Roman" w:eastAsia="Calibri" w:hAnsi="Times New Roman" w:cs="Times New Roman"/>
          <w:color w:val="000000" w:themeColor="text1"/>
          <w:sz w:val="23"/>
          <w:szCs w:val="23"/>
          <w:lang w:val="en-US"/>
        </w:rPr>
        <w:t xml:space="preserve"> </w:t>
      </w:r>
      <w:r w:rsidR="001854CB" w:rsidRPr="00983193">
        <w:rPr>
          <w:rFonts w:ascii="Times New Roman" w:eastAsia="Calibri" w:hAnsi="Times New Roman" w:cs="Times New Roman"/>
          <w:color w:val="000000" w:themeColor="text1"/>
          <w:sz w:val="23"/>
          <w:szCs w:val="23"/>
          <w:lang w:val="en-US"/>
        </w:rPr>
        <w:t>sample of</w:t>
      </w:r>
      <w:r w:rsidR="00436102" w:rsidRPr="00983193">
        <w:rPr>
          <w:rFonts w:ascii="Times New Roman" w:eastAsia="Calibri" w:hAnsi="Times New Roman" w:cs="Times New Roman"/>
          <w:color w:val="000000" w:themeColor="text1"/>
          <w:sz w:val="23"/>
          <w:szCs w:val="23"/>
          <w:lang w:val="en-US"/>
        </w:rPr>
        <w:t xml:space="preserve"> Italian listed firms </w:t>
      </w:r>
      <w:r w:rsidR="00576E9A" w:rsidRPr="00983193">
        <w:rPr>
          <w:rFonts w:ascii="Times New Roman" w:eastAsia="Calibri" w:hAnsi="Times New Roman" w:cs="Times New Roman"/>
          <w:color w:val="000000" w:themeColor="text1"/>
          <w:sz w:val="23"/>
          <w:szCs w:val="23"/>
          <w:lang w:val="en-US"/>
        </w:rPr>
        <w:t>over</w:t>
      </w:r>
      <w:r w:rsidR="00436102" w:rsidRPr="00983193">
        <w:rPr>
          <w:rFonts w:ascii="Times New Roman" w:eastAsia="Calibri" w:hAnsi="Times New Roman" w:cs="Times New Roman"/>
          <w:color w:val="000000" w:themeColor="text1"/>
          <w:sz w:val="23"/>
          <w:szCs w:val="23"/>
          <w:lang w:val="en-US"/>
        </w:rPr>
        <w:t xml:space="preserve"> the </w:t>
      </w:r>
      <w:r w:rsidR="00C501CB" w:rsidRPr="00983193">
        <w:rPr>
          <w:rFonts w:ascii="Times New Roman" w:eastAsia="Calibri" w:hAnsi="Times New Roman" w:cs="Times New Roman"/>
          <w:color w:val="000000" w:themeColor="text1"/>
          <w:sz w:val="23"/>
          <w:szCs w:val="23"/>
          <w:lang w:val="en-US"/>
        </w:rPr>
        <w:t>period</w:t>
      </w:r>
      <w:r w:rsidR="00436102" w:rsidRPr="00983193">
        <w:rPr>
          <w:rFonts w:ascii="Times New Roman" w:eastAsia="Calibri" w:hAnsi="Times New Roman" w:cs="Times New Roman"/>
          <w:color w:val="000000" w:themeColor="text1"/>
          <w:sz w:val="23"/>
          <w:szCs w:val="23"/>
          <w:lang w:val="en-US"/>
        </w:rPr>
        <w:t xml:space="preserve"> </w:t>
      </w:r>
      <w:r w:rsidR="006D7D1F" w:rsidRPr="00983193">
        <w:rPr>
          <w:rFonts w:ascii="Times New Roman" w:eastAsia="Calibri" w:hAnsi="Times New Roman" w:cs="Times New Roman"/>
          <w:color w:val="000000" w:themeColor="text1"/>
          <w:sz w:val="23"/>
          <w:szCs w:val="23"/>
          <w:lang w:val="en-US"/>
        </w:rPr>
        <w:t>2009</w:t>
      </w:r>
      <w:r w:rsidR="00436102" w:rsidRPr="00983193">
        <w:rPr>
          <w:rFonts w:ascii="Times New Roman" w:eastAsia="Calibri" w:hAnsi="Times New Roman" w:cs="Times New Roman"/>
          <w:color w:val="000000" w:themeColor="text1"/>
          <w:sz w:val="23"/>
          <w:szCs w:val="23"/>
          <w:lang w:val="en-US"/>
        </w:rPr>
        <w:t>-201</w:t>
      </w:r>
      <w:r w:rsidR="006D7D1F" w:rsidRPr="00983193">
        <w:rPr>
          <w:rFonts w:ascii="Times New Roman" w:eastAsia="Calibri" w:hAnsi="Times New Roman" w:cs="Times New Roman"/>
          <w:color w:val="000000" w:themeColor="text1"/>
          <w:sz w:val="23"/>
          <w:szCs w:val="23"/>
          <w:lang w:val="en-US"/>
        </w:rPr>
        <w:t>4</w:t>
      </w:r>
      <w:r w:rsidR="00C501CB" w:rsidRPr="00983193">
        <w:rPr>
          <w:rFonts w:ascii="Times New Roman" w:eastAsia="Calibri" w:hAnsi="Times New Roman" w:cs="Times New Roman"/>
          <w:color w:val="000000" w:themeColor="text1"/>
          <w:sz w:val="23"/>
          <w:szCs w:val="23"/>
          <w:lang w:val="en-US"/>
        </w:rPr>
        <w:t xml:space="preserve"> and</w:t>
      </w:r>
      <w:r w:rsidR="00A113E0" w:rsidRPr="00983193">
        <w:rPr>
          <w:rFonts w:ascii="Times New Roman" w:eastAsia="Calibri" w:hAnsi="Times New Roman" w:cs="Times New Roman"/>
          <w:color w:val="000000" w:themeColor="text1"/>
          <w:sz w:val="23"/>
          <w:szCs w:val="23"/>
          <w:lang w:val="en-US"/>
        </w:rPr>
        <w:t xml:space="preserve"> tests</w:t>
      </w:r>
      <w:r w:rsidR="007244DF" w:rsidRPr="00983193">
        <w:rPr>
          <w:rFonts w:ascii="Times New Roman" w:eastAsia="Calibri" w:hAnsi="Times New Roman" w:cs="Times New Roman"/>
          <w:color w:val="000000" w:themeColor="text1"/>
          <w:sz w:val="23"/>
          <w:szCs w:val="23"/>
          <w:lang w:val="en-US"/>
        </w:rPr>
        <w:t xml:space="preserve"> two </w:t>
      </w:r>
      <w:r>
        <w:rPr>
          <w:rFonts w:ascii="Times New Roman" w:eastAsia="Calibri" w:hAnsi="Times New Roman" w:cs="Times New Roman"/>
          <w:color w:val="000000" w:themeColor="text1"/>
          <w:sz w:val="23"/>
          <w:szCs w:val="23"/>
          <w:lang w:val="en-US"/>
        </w:rPr>
        <w:t>of</w:t>
      </w:r>
      <w:r w:rsidRPr="00983193">
        <w:rPr>
          <w:rFonts w:ascii="Times New Roman" w:eastAsia="Calibri" w:hAnsi="Times New Roman" w:cs="Times New Roman"/>
          <w:color w:val="000000" w:themeColor="text1"/>
          <w:sz w:val="23"/>
          <w:szCs w:val="23"/>
          <w:lang w:val="en-US"/>
        </w:rPr>
        <w:t xml:space="preserve"> </w:t>
      </w:r>
      <w:r w:rsidR="007244DF" w:rsidRPr="00983193">
        <w:rPr>
          <w:rFonts w:ascii="Times New Roman" w:eastAsia="Calibri" w:hAnsi="Times New Roman" w:cs="Times New Roman"/>
          <w:color w:val="000000" w:themeColor="text1"/>
          <w:sz w:val="23"/>
          <w:szCs w:val="23"/>
          <w:lang w:val="en-US"/>
        </w:rPr>
        <w:t xml:space="preserve">the most </w:t>
      </w:r>
      <w:r>
        <w:rPr>
          <w:rFonts w:ascii="Times New Roman" w:eastAsia="Calibri" w:hAnsi="Times New Roman" w:cs="Times New Roman"/>
          <w:color w:val="000000" w:themeColor="text1"/>
          <w:sz w:val="23"/>
          <w:szCs w:val="23"/>
          <w:lang w:val="en-US"/>
        </w:rPr>
        <w:t xml:space="preserve">commonly </w:t>
      </w:r>
      <w:r w:rsidR="007244DF" w:rsidRPr="00983193">
        <w:rPr>
          <w:rFonts w:ascii="Times New Roman" w:eastAsia="Calibri" w:hAnsi="Times New Roman" w:cs="Times New Roman"/>
          <w:color w:val="000000" w:themeColor="text1"/>
          <w:sz w:val="23"/>
          <w:szCs w:val="23"/>
          <w:lang w:val="en-US"/>
        </w:rPr>
        <w:t>employed IC measurement method</w:t>
      </w:r>
      <w:r>
        <w:rPr>
          <w:rFonts w:ascii="Times New Roman" w:eastAsia="Calibri" w:hAnsi="Times New Roman" w:cs="Times New Roman"/>
          <w:color w:val="000000" w:themeColor="text1"/>
          <w:sz w:val="23"/>
          <w:szCs w:val="23"/>
          <w:lang w:val="en-US"/>
        </w:rPr>
        <w:t>s</w:t>
      </w:r>
      <w:r w:rsidR="007244DF" w:rsidRPr="00983193">
        <w:rPr>
          <w:rFonts w:ascii="Times New Roman" w:eastAsia="Calibri" w:hAnsi="Times New Roman" w:cs="Times New Roman"/>
          <w:color w:val="000000" w:themeColor="text1"/>
          <w:sz w:val="23"/>
          <w:szCs w:val="23"/>
          <w:lang w:val="en-US"/>
        </w:rPr>
        <w:t xml:space="preserve"> in order to </w:t>
      </w:r>
      <w:r>
        <w:rPr>
          <w:rFonts w:ascii="Times New Roman" w:eastAsia="Calibri" w:hAnsi="Times New Roman" w:cs="Times New Roman"/>
          <w:color w:val="000000" w:themeColor="text1"/>
          <w:sz w:val="23"/>
          <w:szCs w:val="23"/>
          <w:lang w:val="en-US"/>
        </w:rPr>
        <w:t>judge which captures</w:t>
      </w:r>
      <w:r w:rsidR="007244DF" w:rsidRPr="00983193">
        <w:rPr>
          <w:rFonts w:ascii="Times New Roman" w:eastAsia="Calibri" w:hAnsi="Times New Roman" w:cs="Times New Roman"/>
          <w:color w:val="000000" w:themeColor="text1"/>
          <w:sz w:val="23"/>
          <w:szCs w:val="23"/>
          <w:lang w:val="en-US"/>
        </w:rPr>
        <w:t xml:space="preserve"> </w:t>
      </w:r>
      <w:r w:rsidR="006976F5" w:rsidRPr="00983193">
        <w:rPr>
          <w:rFonts w:ascii="Times New Roman" w:eastAsia="Calibri" w:hAnsi="Times New Roman" w:cs="Times New Roman"/>
          <w:color w:val="000000" w:themeColor="text1"/>
          <w:sz w:val="23"/>
          <w:szCs w:val="23"/>
          <w:lang w:val="en-US"/>
        </w:rPr>
        <w:t xml:space="preserve">IC value </w:t>
      </w:r>
      <w:r>
        <w:rPr>
          <w:rFonts w:ascii="Times New Roman" w:eastAsia="Calibri" w:hAnsi="Times New Roman" w:cs="Times New Roman"/>
          <w:color w:val="000000" w:themeColor="text1"/>
          <w:sz w:val="23"/>
          <w:szCs w:val="23"/>
          <w:lang w:val="en-US"/>
        </w:rPr>
        <w:t>best</w:t>
      </w:r>
      <w:r w:rsidR="007244DF" w:rsidRPr="00983193">
        <w:rPr>
          <w:rFonts w:ascii="Times New Roman" w:eastAsia="Calibri" w:hAnsi="Times New Roman" w:cs="Times New Roman"/>
          <w:color w:val="000000" w:themeColor="text1"/>
          <w:sz w:val="23"/>
          <w:szCs w:val="23"/>
          <w:lang w:val="en-US"/>
        </w:rPr>
        <w:t xml:space="preserve">. </w:t>
      </w:r>
    </w:p>
    <w:p w14:paraId="7546E137" w14:textId="77777777" w:rsidR="006976F5" w:rsidRPr="00983193" w:rsidRDefault="006976F5" w:rsidP="006315F2">
      <w:pPr>
        <w:spacing w:after="0" w:line="240" w:lineRule="auto"/>
        <w:jc w:val="both"/>
        <w:rPr>
          <w:rFonts w:ascii="Times New Roman" w:eastAsia="Calibri" w:hAnsi="Times New Roman" w:cs="Times New Roman"/>
          <w:color w:val="000000" w:themeColor="text1"/>
          <w:sz w:val="23"/>
          <w:szCs w:val="23"/>
          <w:lang w:val="en-US"/>
        </w:rPr>
      </w:pPr>
    </w:p>
    <w:p w14:paraId="3B3AE993" w14:textId="77777777" w:rsidR="006A3644" w:rsidRPr="00A53C54" w:rsidRDefault="00B96DC2" w:rsidP="00CE2DC8">
      <w:pPr>
        <w:pStyle w:val="ListParagraph"/>
        <w:numPr>
          <w:ilvl w:val="0"/>
          <w:numId w:val="1"/>
        </w:numPr>
        <w:spacing w:after="0" w:line="240" w:lineRule="auto"/>
        <w:ind w:left="357" w:hanging="357"/>
        <w:jc w:val="both"/>
        <w:rPr>
          <w:rFonts w:ascii="Times New Roman" w:eastAsia="Calibri" w:hAnsi="Times New Roman" w:cs="Times New Roman"/>
          <w:b/>
          <w:color w:val="000000" w:themeColor="text1"/>
          <w:sz w:val="23"/>
          <w:szCs w:val="23"/>
          <w:lang w:val="en-US"/>
        </w:rPr>
      </w:pPr>
      <w:r w:rsidRPr="00CE2DC8">
        <w:rPr>
          <w:rFonts w:ascii="Times New Roman" w:eastAsia="Calibri" w:hAnsi="Times New Roman" w:cs="Times New Roman"/>
          <w:b/>
          <w:color w:val="000000" w:themeColor="text1"/>
          <w:sz w:val="23"/>
          <w:szCs w:val="23"/>
          <w:lang w:val="en-US"/>
        </w:rPr>
        <w:t xml:space="preserve">The context of </w:t>
      </w:r>
      <w:r w:rsidR="006A3644" w:rsidRPr="00CE2DC8">
        <w:rPr>
          <w:rFonts w:ascii="Times New Roman" w:eastAsia="Calibri" w:hAnsi="Times New Roman" w:cs="Times New Roman"/>
          <w:b/>
          <w:color w:val="000000" w:themeColor="text1"/>
          <w:sz w:val="23"/>
          <w:szCs w:val="23"/>
          <w:lang w:val="en-US"/>
        </w:rPr>
        <w:t>M</w:t>
      </w:r>
      <w:r w:rsidR="006C1B92">
        <w:rPr>
          <w:rFonts w:ascii="Times New Roman" w:eastAsia="Calibri" w:hAnsi="Times New Roman" w:cs="Times New Roman"/>
          <w:b/>
          <w:color w:val="000000" w:themeColor="text1"/>
          <w:sz w:val="23"/>
          <w:szCs w:val="23"/>
          <w:lang w:val="en-US"/>
        </w:rPr>
        <w:t>t</w:t>
      </w:r>
      <w:r w:rsidR="00C66A37" w:rsidRPr="00CE2DC8">
        <w:rPr>
          <w:rFonts w:ascii="Times New Roman" w:eastAsia="Calibri" w:hAnsi="Times New Roman" w:cs="Times New Roman"/>
          <w:b/>
          <w:color w:val="000000" w:themeColor="text1"/>
          <w:sz w:val="23"/>
          <w:szCs w:val="23"/>
          <w:lang w:val="en-US"/>
        </w:rPr>
        <w:t>B</w:t>
      </w:r>
      <w:r w:rsidR="006A3644" w:rsidRPr="00CE2DC8">
        <w:rPr>
          <w:rFonts w:ascii="Times New Roman" w:eastAsia="Calibri" w:hAnsi="Times New Roman" w:cs="Times New Roman"/>
          <w:b/>
          <w:color w:val="000000" w:themeColor="text1"/>
          <w:sz w:val="23"/>
          <w:szCs w:val="23"/>
          <w:lang w:val="en-US"/>
        </w:rPr>
        <w:t xml:space="preserve"> versus VAIC</w:t>
      </w:r>
    </w:p>
    <w:p w14:paraId="5E1F8A23" w14:textId="77777777" w:rsidR="009212C3" w:rsidRPr="00983193" w:rsidRDefault="009212C3" w:rsidP="00D66348">
      <w:pPr>
        <w:spacing w:after="0" w:line="240" w:lineRule="auto"/>
        <w:jc w:val="both"/>
        <w:rPr>
          <w:rFonts w:ascii="Times New Roman" w:eastAsia="Calibri" w:hAnsi="Times New Roman" w:cs="Times New Roman"/>
          <w:color w:val="000000" w:themeColor="text1"/>
          <w:sz w:val="23"/>
          <w:szCs w:val="23"/>
          <w:lang w:val="en-US"/>
        </w:rPr>
      </w:pPr>
    </w:p>
    <w:p w14:paraId="7B034378" w14:textId="77777777" w:rsidR="0055003E" w:rsidRDefault="000B04AE" w:rsidP="0055003E">
      <w:pPr>
        <w:spacing w:after="0" w:line="240" w:lineRule="auto"/>
        <w:contextualSpacing/>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 xml:space="preserve">In the extant literature, </w:t>
      </w:r>
      <w:r w:rsidR="0016665C" w:rsidRPr="00983193">
        <w:rPr>
          <w:rFonts w:ascii="Times New Roman" w:eastAsia="Calibri" w:hAnsi="Times New Roman" w:cs="Times New Roman"/>
          <w:color w:val="000000" w:themeColor="text1"/>
          <w:sz w:val="23"/>
          <w:szCs w:val="23"/>
          <w:lang w:val="en-US"/>
        </w:rPr>
        <w:t>scholars propose different classifications of IC value measurement models. In thi</w:t>
      </w:r>
      <w:r w:rsidR="00643876" w:rsidRPr="00983193">
        <w:rPr>
          <w:rFonts w:ascii="Times New Roman" w:eastAsia="Calibri" w:hAnsi="Times New Roman" w:cs="Times New Roman"/>
          <w:color w:val="000000" w:themeColor="text1"/>
          <w:sz w:val="23"/>
          <w:szCs w:val="23"/>
          <w:lang w:val="en-US"/>
        </w:rPr>
        <w:t xml:space="preserve">s paper, the classification of </w:t>
      </w:r>
      <w:r w:rsidR="0016665C" w:rsidRPr="00964941">
        <w:rPr>
          <w:rFonts w:ascii="Times New Roman" w:eastAsia="Calibri" w:hAnsi="Times New Roman" w:cs="Times New Roman"/>
          <w:noProof/>
          <w:color w:val="000000" w:themeColor="text1"/>
          <w:sz w:val="23"/>
          <w:szCs w:val="23"/>
          <w:lang w:val="en-US"/>
        </w:rPr>
        <w:t>Sydler</w:t>
      </w:r>
      <w:r w:rsidR="0016665C" w:rsidRPr="00983193">
        <w:rPr>
          <w:rFonts w:ascii="Times New Roman" w:eastAsia="Calibri" w:hAnsi="Times New Roman" w:cs="Times New Roman"/>
          <w:color w:val="000000" w:themeColor="text1"/>
          <w:sz w:val="23"/>
          <w:szCs w:val="23"/>
          <w:lang w:val="en-US"/>
        </w:rPr>
        <w:t xml:space="preserve"> et al. (2014, p. 247), </w:t>
      </w:r>
      <w:r>
        <w:rPr>
          <w:rFonts w:ascii="Times New Roman" w:eastAsia="Calibri" w:hAnsi="Times New Roman" w:cs="Times New Roman"/>
          <w:color w:val="000000" w:themeColor="text1"/>
          <w:sz w:val="23"/>
          <w:szCs w:val="23"/>
          <w:lang w:val="en-US"/>
        </w:rPr>
        <w:t>as revised</w:t>
      </w:r>
      <w:r w:rsidRPr="00983193">
        <w:rPr>
          <w:rFonts w:ascii="Times New Roman" w:eastAsia="Calibri" w:hAnsi="Times New Roman" w:cs="Times New Roman"/>
          <w:color w:val="000000" w:themeColor="text1"/>
          <w:sz w:val="23"/>
          <w:szCs w:val="23"/>
          <w:lang w:val="en-US"/>
        </w:rPr>
        <w:t xml:space="preserve"> </w:t>
      </w:r>
      <w:r w:rsidR="0016665C" w:rsidRPr="00983193">
        <w:rPr>
          <w:rFonts w:ascii="Times New Roman" w:eastAsia="Calibri" w:hAnsi="Times New Roman" w:cs="Times New Roman"/>
          <w:color w:val="000000" w:themeColor="text1"/>
          <w:sz w:val="23"/>
          <w:szCs w:val="23"/>
          <w:lang w:val="en-US"/>
        </w:rPr>
        <w:t xml:space="preserve">by </w:t>
      </w:r>
      <w:r w:rsidR="0016665C" w:rsidRPr="00096C09">
        <w:rPr>
          <w:rFonts w:ascii="Times New Roman" w:eastAsia="Calibri" w:hAnsi="Times New Roman" w:cs="Times New Roman"/>
          <w:color w:val="000000" w:themeColor="text1"/>
          <w:sz w:val="23"/>
          <w:szCs w:val="23"/>
          <w:lang w:val="en-US"/>
        </w:rPr>
        <w:t>Sveiby</w:t>
      </w:r>
      <w:r w:rsidR="0016665C" w:rsidRPr="00983193">
        <w:rPr>
          <w:rFonts w:ascii="Times New Roman" w:eastAsia="Calibri" w:hAnsi="Times New Roman" w:cs="Times New Roman"/>
          <w:color w:val="000000" w:themeColor="text1"/>
          <w:sz w:val="23"/>
          <w:szCs w:val="23"/>
          <w:lang w:val="en-US"/>
        </w:rPr>
        <w:t xml:space="preserve"> (2001) </w:t>
      </w:r>
      <w:r>
        <w:rPr>
          <w:rFonts w:ascii="Times New Roman" w:eastAsia="Calibri" w:hAnsi="Times New Roman" w:cs="Times New Roman"/>
          <w:color w:val="000000" w:themeColor="text1"/>
          <w:sz w:val="23"/>
          <w:szCs w:val="23"/>
          <w:lang w:val="en-US"/>
        </w:rPr>
        <w:t>is used as our</w:t>
      </w:r>
      <w:r w:rsidRPr="00983193">
        <w:rPr>
          <w:rFonts w:ascii="Times New Roman" w:eastAsia="Calibri" w:hAnsi="Times New Roman" w:cs="Times New Roman"/>
          <w:color w:val="000000" w:themeColor="text1"/>
          <w:sz w:val="23"/>
          <w:szCs w:val="23"/>
          <w:lang w:val="en-US"/>
        </w:rPr>
        <w:t xml:space="preserve"> </w:t>
      </w:r>
      <w:r w:rsidR="0016665C" w:rsidRPr="00983193">
        <w:rPr>
          <w:rFonts w:ascii="Times New Roman" w:eastAsia="Calibri" w:hAnsi="Times New Roman" w:cs="Times New Roman"/>
          <w:color w:val="000000" w:themeColor="text1"/>
          <w:sz w:val="23"/>
          <w:szCs w:val="23"/>
          <w:lang w:val="en-US"/>
        </w:rPr>
        <w:t>reference</w:t>
      </w:r>
      <w:r>
        <w:rPr>
          <w:rFonts w:ascii="Times New Roman" w:eastAsia="Calibri" w:hAnsi="Times New Roman" w:cs="Times New Roman"/>
          <w:color w:val="000000" w:themeColor="text1"/>
          <w:sz w:val="23"/>
          <w:szCs w:val="23"/>
          <w:lang w:val="en-US"/>
        </w:rPr>
        <w:t>, as detailed in</w:t>
      </w:r>
      <w:r w:rsidR="0016665C" w:rsidRPr="00983193">
        <w:rPr>
          <w:rFonts w:ascii="Times New Roman" w:eastAsia="Calibri" w:hAnsi="Times New Roman" w:cs="Times New Roman"/>
          <w:color w:val="000000" w:themeColor="text1"/>
          <w:sz w:val="23"/>
          <w:szCs w:val="23"/>
          <w:lang w:val="en-US"/>
        </w:rPr>
        <w:t xml:space="preserve"> </w:t>
      </w:r>
      <w:r>
        <w:rPr>
          <w:rFonts w:ascii="Times New Roman" w:eastAsia="Calibri" w:hAnsi="Times New Roman" w:cs="Times New Roman"/>
          <w:color w:val="000000" w:themeColor="text1"/>
          <w:sz w:val="23"/>
          <w:szCs w:val="23"/>
          <w:lang w:val="en-US"/>
        </w:rPr>
        <w:t>F</w:t>
      </w:r>
      <w:r w:rsidR="0016665C" w:rsidRPr="00983193">
        <w:rPr>
          <w:rFonts w:ascii="Times New Roman" w:eastAsia="Calibri" w:hAnsi="Times New Roman" w:cs="Times New Roman"/>
          <w:color w:val="000000" w:themeColor="text1"/>
          <w:sz w:val="23"/>
          <w:szCs w:val="23"/>
          <w:lang w:val="en-US"/>
        </w:rPr>
        <w:t xml:space="preserve">igure </w:t>
      </w:r>
      <w:r w:rsidR="007F29DF">
        <w:rPr>
          <w:rFonts w:ascii="Times New Roman" w:eastAsia="Calibri" w:hAnsi="Times New Roman" w:cs="Times New Roman"/>
          <w:color w:val="000000" w:themeColor="text1"/>
          <w:sz w:val="23"/>
          <w:szCs w:val="23"/>
          <w:lang w:val="en-US"/>
        </w:rPr>
        <w:t>I.</w:t>
      </w:r>
      <w:r w:rsidRPr="000B04AE">
        <w:rPr>
          <w:rFonts w:ascii="Times New Roman" w:eastAsia="Calibri" w:hAnsi="Times New Roman" w:cs="Times New Roman"/>
          <w:color w:val="000000" w:themeColor="text1"/>
          <w:sz w:val="23"/>
          <w:szCs w:val="23"/>
          <w:lang w:val="en-US"/>
        </w:rPr>
        <w:t xml:space="preserve"> </w:t>
      </w:r>
    </w:p>
    <w:p w14:paraId="47403BDE" w14:textId="77777777" w:rsidR="000B04AE" w:rsidRDefault="000B04AE" w:rsidP="0055003E">
      <w:pPr>
        <w:spacing w:after="0" w:line="240" w:lineRule="auto"/>
        <w:contextualSpacing/>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The f</w:t>
      </w:r>
      <w:r w:rsidRPr="00983193">
        <w:rPr>
          <w:rFonts w:ascii="Times New Roman" w:eastAsia="Calibri" w:hAnsi="Times New Roman" w:cs="Times New Roman"/>
          <w:color w:val="000000" w:themeColor="text1"/>
          <w:sz w:val="23"/>
          <w:szCs w:val="23"/>
          <w:lang w:val="en-US"/>
        </w:rPr>
        <w:t>igure shows a two-dimensional matrix in which the IC value measurement models are classified by their valuation level (organizational or component</w:t>
      </w:r>
      <w:r>
        <w:rPr>
          <w:rFonts w:ascii="Times New Roman" w:eastAsia="Calibri" w:hAnsi="Times New Roman" w:cs="Times New Roman"/>
          <w:color w:val="000000" w:themeColor="text1"/>
          <w:sz w:val="23"/>
          <w:szCs w:val="23"/>
          <w:lang w:val="en-US"/>
        </w:rPr>
        <w:t>s</w:t>
      </w:r>
      <w:r w:rsidRPr="00983193">
        <w:rPr>
          <w:rFonts w:ascii="Times New Roman" w:eastAsia="Calibri" w:hAnsi="Times New Roman" w:cs="Times New Roman"/>
          <w:color w:val="000000" w:themeColor="text1"/>
          <w:sz w:val="23"/>
          <w:szCs w:val="23"/>
          <w:lang w:val="en-US"/>
        </w:rPr>
        <w:t xml:space="preserve"> level) and by the</w:t>
      </w:r>
      <w:r w:rsidR="0055003E">
        <w:rPr>
          <w:rFonts w:ascii="Times New Roman" w:eastAsia="Calibri" w:hAnsi="Times New Roman" w:cs="Times New Roman"/>
          <w:color w:val="000000" w:themeColor="text1"/>
          <w:sz w:val="23"/>
          <w:szCs w:val="23"/>
          <w:lang w:val="en-US"/>
        </w:rPr>
        <w:t xml:space="preserve"> means</w:t>
      </w:r>
      <w:r w:rsidRPr="00983193">
        <w:rPr>
          <w:rFonts w:ascii="Times New Roman" w:eastAsia="Calibri" w:hAnsi="Times New Roman" w:cs="Times New Roman"/>
          <w:color w:val="000000" w:themeColor="text1"/>
          <w:sz w:val="23"/>
          <w:szCs w:val="23"/>
          <w:lang w:val="en-US"/>
        </w:rPr>
        <w:t xml:space="preserve"> size of the method (</w:t>
      </w:r>
      <w:r>
        <w:rPr>
          <w:rFonts w:ascii="Times New Roman" w:eastAsia="Calibri" w:hAnsi="Times New Roman" w:cs="Times New Roman"/>
          <w:color w:val="000000" w:themeColor="text1"/>
          <w:sz w:val="23"/>
          <w:szCs w:val="23"/>
          <w:lang w:val="en-US"/>
        </w:rPr>
        <w:t>n</w:t>
      </w:r>
      <w:r w:rsidRPr="00983193">
        <w:rPr>
          <w:rFonts w:ascii="Times New Roman" w:eastAsia="Calibri" w:hAnsi="Times New Roman" w:cs="Times New Roman"/>
          <w:color w:val="000000" w:themeColor="text1"/>
          <w:sz w:val="23"/>
          <w:szCs w:val="23"/>
          <w:lang w:val="en-US"/>
        </w:rPr>
        <w:t xml:space="preserve">on-monetary </w:t>
      </w:r>
      <w:r>
        <w:rPr>
          <w:rFonts w:ascii="Times New Roman" w:eastAsia="Calibri" w:hAnsi="Times New Roman" w:cs="Times New Roman"/>
          <w:color w:val="000000" w:themeColor="text1"/>
          <w:sz w:val="23"/>
          <w:szCs w:val="23"/>
          <w:lang w:val="en-US"/>
        </w:rPr>
        <w:t>or</w:t>
      </w:r>
      <w:r w:rsidRPr="00983193">
        <w:rPr>
          <w:rFonts w:ascii="Times New Roman" w:eastAsia="Calibri" w:hAnsi="Times New Roman" w:cs="Times New Roman"/>
          <w:color w:val="000000" w:themeColor="text1"/>
          <w:sz w:val="23"/>
          <w:szCs w:val="23"/>
          <w:lang w:val="en-US"/>
        </w:rPr>
        <w:t xml:space="preserve"> monetary). </w:t>
      </w:r>
    </w:p>
    <w:p w14:paraId="0645956F" w14:textId="77777777" w:rsidR="00EF1568" w:rsidRDefault="00EF1568" w:rsidP="00A53C54">
      <w:pPr>
        <w:spacing w:after="0" w:line="240" w:lineRule="auto"/>
        <w:contextualSpacing/>
        <w:jc w:val="both"/>
        <w:rPr>
          <w:rFonts w:ascii="Times New Roman" w:eastAsia="Calibri" w:hAnsi="Times New Roman" w:cs="Times New Roman"/>
          <w:color w:val="000000" w:themeColor="text1"/>
          <w:sz w:val="23"/>
          <w:szCs w:val="23"/>
          <w:lang w:val="en-US"/>
        </w:rPr>
      </w:pPr>
    </w:p>
    <w:p w14:paraId="36827860" w14:textId="77777777" w:rsidR="00EF1568" w:rsidRPr="00A53C54" w:rsidRDefault="007F29DF" w:rsidP="00A53C54">
      <w:pPr>
        <w:spacing w:after="0" w:line="240" w:lineRule="auto"/>
        <w:contextualSpacing/>
        <w:jc w:val="center"/>
        <w:rPr>
          <w:rFonts w:ascii="Times New Roman" w:eastAsia="Calibri" w:hAnsi="Times New Roman" w:cs="Times New Roman"/>
          <w:b/>
          <w:color w:val="000000" w:themeColor="text1"/>
          <w:sz w:val="23"/>
          <w:szCs w:val="23"/>
          <w:lang w:val="en-US"/>
        </w:rPr>
      </w:pPr>
      <w:r w:rsidRPr="007F29DF">
        <w:rPr>
          <w:rFonts w:ascii="Times New Roman" w:eastAsia="Calibri" w:hAnsi="Times New Roman" w:cs="Times New Roman"/>
          <w:b/>
          <w:color w:val="000000" w:themeColor="text1"/>
          <w:sz w:val="23"/>
          <w:szCs w:val="23"/>
          <w:lang w:val="en-US"/>
        </w:rPr>
        <w:t>[Insert Figure I</w:t>
      </w:r>
      <w:r w:rsidR="00EF1568" w:rsidRPr="00A53C54">
        <w:rPr>
          <w:rFonts w:ascii="Times New Roman" w:eastAsia="Calibri" w:hAnsi="Times New Roman" w:cs="Times New Roman"/>
          <w:b/>
          <w:color w:val="000000" w:themeColor="text1"/>
          <w:sz w:val="23"/>
          <w:szCs w:val="23"/>
          <w:lang w:val="en-US"/>
        </w:rPr>
        <w:t xml:space="preserve"> here]</w:t>
      </w:r>
    </w:p>
    <w:p w14:paraId="4650C56E" w14:textId="77777777" w:rsidR="00215D34" w:rsidRPr="00983193" w:rsidRDefault="003B31B7" w:rsidP="001D4456">
      <w:pPr>
        <w:spacing w:after="0" w:line="240" w:lineRule="auto"/>
        <w:contextualSpacing/>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Since</w:t>
      </w:r>
      <w:r w:rsidR="00282153" w:rsidRPr="00983193">
        <w:rPr>
          <w:rFonts w:ascii="Times New Roman" w:eastAsia="Calibri" w:hAnsi="Times New Roman" w:cs="Times New Roman"/>
          <w:color w:val="000000" w:themeColor="text1"/>
          <w:sz w:val="23"/>
          <w:szCs w:val="23"/>
          <w:lang w:val="en-US"/>
        </w:rPr>
        <w:t xml:space="preserve"> the aim of this paper is to compare IC value measurement</w:t>
      </w:r>
      <w:r w:rsidR="00D126E2" w:rsidRPr="00983193">
        <w:rPr>
          <w:rFonts w:ascii="Times New Roman" w:eastAsia="Calibri" w:hAnsi="Times New Roman" w:cs="Times New Roman"/>
          <w:color w:val="000000" w:themeColor="text1"/>
          <w:sz w:val="23"/>
          <w:szCs w:val="23"/>
          <w:lang w:val="en-US"/>
        </w:rPr>
        <w:t>s</w:t>
      </w:r>
      <w:r w:rsidRPr="00983193">
        <w:rPr>
          <w:rFonts w:ascii="Times New Roman" w:eastAsia="Calibri" w:hAnsi="Times New Roman" w:cs="Times New Roman"/>
          <w:color w:val="000000" w:themeColor="text1"/>
          <w:sz w:val="23"/>
          <w:szCs w:val="23"/>
          <w:lang w:val="en-US"/>
        </w:rPr>
        <w:t xml:space="preserve"> which are</w:t>
      </w:r>
      <w:r w:rsidR="00282153" w:rsidRPr="00983193">
        <w:rPr>
          <w:rFonts w:ascii="Times New Roman" w:eastAsia="Calibri" w:hAnsi="Times New Roman" w:cs="Times New Roman"/>
          <w:color w:val="000000" w:themeColor="text1"/>
          <w:sz w:val="23"/>
          <w:szCs w:val="23"/>
          <w:lang w:val="en-US"/>
        </w:rPr>
        <w:t xml:space="preserve"> widely </w:t>
      </w:r>
      <w:r w:rsidR="000B04AE">
        <w:rPr>
          <w:rFonts w:ascii="Times New Roman" w:eastAsia="Calibri" w:hAnsi="Times New Roman" w:cs="Times New Roman"/>
          <w:color w:val="000000" w:themeColor="text1"/>
          <w:sz w:val="23"/>
          <w:szCs w:val="23"/>
          <w:lang w:val="en-US"/>
        </w:rPr>
        <w:t>employed</w:t>
      </w:r>
      <w:r w:rsidR="000B04AE" w:rsidRPr="00983193">
        <w:rPr>
          <w:rFonts w:ascii="Times New Roman" w:eastAsia="Calibri" w:hAnsi="Times New Roman" w:cs="Times New Roman"/>
          <w:color w:val="000000" w:themeColor="text1"/>
          <w:sz w:val="23"/>
          <w:szCs w:val="23"/>
          <w:lang w:val="en-US"/>
        </w:rPr>
        <w:t xml:space="preserve"> </w:t>
      </w:r>
      <w:r w:rsidR="00282153" w:rsidRPr="00983193">
        <w:rPr>
          <w:rFonts w:ascii="Times New Roman" w:eastAsia="Calibri" w:hAnsi="Times New Roman" w:cs="Times New Roman"/>
          <w:color w:val="000000" w:themeColor="text1"/>
          <w:sz w:val="23"/>
          <w:szCs w:val="23"/>
          <w:lang w:val="en-US"/>
        </w:rPr>
        <w:t xml:space="preserve">in </w:t>
      </w:r>
      <w:r w:rsidR="000B04AE">
        <w:rPr>
          <w:rFonts w:ascii="Times New Roman" w:eastAsia="Calibri" w:hAnsi="Times New Roman" w:cs="Times New Roman"/>
          <w:color w:val="000000" w:themeColor="text1"/>
          <w:sz w:val="23"/>
          <w:szCs w:val="23"/>
          <w:lang w:val="en-US"/>
        </w:rPr>
        <w:t xml:space="preserve">the </w:t>
      </w:r>
      <w:r w:rsidR="00282153" w:rsidRPr="00983193">
        <w:rPr>
          <w:rFonts w:ascii="Times New Roman" w:eastAsia="Calibri" w:hAnsi="Times New Roman" w:cs="Times New Roman"/>
          <w:color w:val="000000" w:themeColor="text1"/>
          <w:sz w:val="23"/>
          <w:szCs w:val="23"/>
          <w:lang w:val="en-US"/>
        </w:rPr>
        <w:t xml:space="preserve">IC literature, </w:t>
      </w:r>
      <w:r w:rsidR="000B04AE">
        <w:rPr>
          <w:rFonts w:ascii="Times New Roman" w:eastAsia="Calibri" w:hAnsi="Times New Roman" w:cs="Times New Roman"/>
          <w:color w:val="000000" w:themeColor="text1"/>
          <w:sz w:val="23"/>
          <w:szCs w:val="23"/>
          <w:lang w:val="en-US"/>
        </w:rPr>
        <w:t>and particularly</w:t>
      </w:r>
      <w:r w:rsidR="000B04AE" w:rsidRPr="00983193">
        <w:rPr>
          <w:rFonts w:ascii="Times New Roman" w:eastAsia="Calibri" w:hAnsi="Times New Roman" w:cs="Times New Roman"/>
          <w:color w:val="000000" w:themeColor="text1"/>
          <w:sz w:val="23"/>
          <w:szCs w:val="23"/>
          <w:lang w:val="en-US"/>
        </w:rPr>
        <w:t xml:space="preserve"> </w:t>
      </w:r>
      <w:r w:rsidR="00282153" w:rsidRPr="00983193">
        <w:rPr>
          <w:rFonts w:ascii="Times New Roman" w:eastAsia="Calibri" w:hAnsi="Times New Roman" w:cs="Times New Roman"/>
          <w:color w:val="000000" w:themeColor="text1"/>
          <w:sz w:val="23"/>
          <w:szCs w:val="23"/>
          <w:lang w:val="en-US"/>
        </w:rPr>
        <w:t xml:space="preserve">in the Italian context which allow </w:t>
      </w:r>
      <w:r w:rsidR="000B04AE">
        <w:rPr>
          <w:rFonts w:ascii="Times New Roman" w:eastAsia="Calibri" w:hAnsi="Times New Roman" w:cs="Times New Roman"/>
          <w:color w:val="000000" w:themeColor="text1"/>
          <w:sz w:val="23"/>
          <w:szCs w:val="23"/>
          <w:lang w:val="en-US"/>
        </w:rPr>
        <w:t xml:space="preserve">reliable </w:t>
      </w:r>
      <w:r w:rsidR="00282153" w:rsidRPr="00983193">
        <w:rPr>
          <w:rFonts w:ascii="Times New Roman" w:eastAsia="Calibri" w:hAnsi="Times New Roman" w:cs="Times New Roman"/>
          <w:color w:val="000000" w:themeColor="text1"/>
          <w:sz w:val="23"/>
          <w:szCs w:val="23"/>
          <w:lang w:val="en-US"/>
        </w:rPr>
        <w:t xml:space="preserve">comparisons, </w:t>
      </w:r>
      <w:r w:rsidR="00D126E2" w:rsidRPr="00983193">
        <w:rPr>
          <w:rFonts w:ascii="Times New Roman" w:eastAsia="Calibri" w:hAnsi="Times New Roman" w:cs="Times New Roman"/>
          <w:color w:val="000000" w:themeColor="text1"/>
          <w:sz w:val="23"/>
          <w:szCs w:val="23"/>
          <w:lang w:val="en-US"/>
        </w:rPr>
        <w:t>two methods</w:t>
      </w:r>
      <w:r w:rsidR="000B04AE">
        <w:rPr>
          <w:rFonts w:ascii="Times New Roman" w:eastAsia="Calibri" w:hAnsi="Times New Roman" w:cs="Times New Roman"/>
          <w:color w:val="000000" w:themeColor="text1"/>
          <w:sz w:val="23"/>
          <w:szCs w:val="23"/>
          <w:lang w:val="en-US"/>
        </w:rPr>
        <w:t xml:space="preserve"> are selected which are</w:t>
      </w:r>
      <w:r w:rsidR="00D126E2" w:rsidRPr="00983193">
        <w:rPr>
          <w:rFonts w:ascii="Times New Roman" w:eastAsia="Calibri" w:hAnsi="Times New Roman" w:cs="Times New Roman"/>
          <w:color w:val="000000" w:themeColor="text1"/>
          <w:sz w:val="23"/>
          <w:szCs w:val="23"/>
          <w:lang w:val="en-US"/>
        </w:rPr>
        <w:t xml:space="preserve"> monetary based</w:t>
      </w:r>
      <w:r w:rsidR="00215D34" w:rsidRPr="00983193">
        <w:rPr>
          <w:rFonts w:ascii="Times New Roman" w:eastAsia="Calibri" w:hAnsi="Times New Roman" w:cs="Times New Roman"/>
          <w:color w:val="000000" w:themeColor="text1"/>
          <w:sz w:val="23"/>
          <w:szCs w:val="23"/>
          <w:lang w:val="en-US"/>
        </w:rPr>
        <w:t xml:space="preserve"> </w:t>
      </w:r>
      <w:r w:rsidR="00D126E2" w:rsidRPr="00983193">
        <w:rPr>
          <w:rFonts w:ascii="Times New Roman" w:eastAsia="Calibri" w:hAnsi="Times New Roman" w:cs="Times New Roman"/>
          <w:color w:val="000000" w:themeColor="text1"/>
          <w:sz w:val="23"/>
          <w:szCs w:val="23"/>
          <w:lang w:val="en-US"/>
        </w:rPr>
        <w:t xml:space="preserve">and belonging to the family of “organizational level”: </w:t>
      </w:r>
      <w:r w:rsidR="000B04AE">
        <w:rPr>
          <w:rFonts w:ascii="Times New Roman" w:eastAsia="Calibri" w:hAnsi="Times New Roman" w:cs="Times New Roman"/>
          <w:color w:val="000000" w:themeColor="text1"/>
          <w:sz w:val="23"/>
          <w:szCs w:val="23"/>
          <w:lang w:val="en-US"/>
        </w:rPr>
        <w:t xml:space="preserve">the </w:t>
      </w:r>
      <w:r w:rsidR="00D126E2" w:rsidRPr="00964941">
        <w:rPr>
          <w:rFonts w:ascii="Times New Roman" w:eastAsia="Calibri" w:hAnsi="Times New Roman" w:cs="Times New Roman"/>
          <w:noProof/>
          <w:color w:val="000000" w:themeColor="text1"/>
          <w:sz w:val="23"/>
          <w:szCs w:val="23"/>
          <w:lang w:val="en-US"/>
        </w:rPr>
        <w:t>M</w:t>
      </w:r>
      <w:r w:rsidR="006C1B92">
        <w:rPr>
          <w:rFonts w:ascii="Times New Roman" w:eastAsia="Calibri" w:hAnsi="Times New Roman" w:cs="Times New Roman"/>
          <w:noProof/>
          <w:color w:val="000000" w:themeColor="text1"/>
          <w:sz w:val="23"/>
          <w:szCs w:val="23"/>
          <w:lang w:val="en-US"/>
        </w:rPr>
        <w:t>t</w:t>
      </w:r>
      <w:r w:rsidR="00D126E2" w:rsidRPr="00964941">
        <w:rPr>
          <w:rFonts w:ascii="Times New Roman" w:eastAsia="Calibri" w:hAnsi="Times New Roman" w:cs="Times New Roman"/>
          <w:noProof/>
          <w:color w:val="000000" w:themeColor="text1"/>
          <w:sz w:val="23"/>
          <w:szCs w:val="23"/>
          <w:lang w:val="en-US"/>
        </w:rPr>
        <w:t>B</w:t>
      </w:r>
      <w:r w:rsidR="00E57C39" w:rsidRPr="00983193">
        <w:rPr>
          <w:rFonts w:ascii="Times New Roman" w:eastAsia="Calibri" w:hAnsi="Times New Roman" w:cs="Times New Roman"/>
          <w:color w:val="000000" w:themeColor="text1"/>
          <w:sz w:val="23"/>
          <w:szCs w:val="23"/>
          <w:lang w:val="en-US"/>
        </w:rPr>
        <w:t xml:space="preserve"> (Market </w:t>
      </w:r>
      <w:r w:rsidR="00CE0AAE">
        <w:rPr>
          <w:rFonts w:ascii="Times New Roman" w:eastAsia="Calibri" w:hAnsi="Times New Roman" w:cs="Times New Roman"/>
          <w:color w:val="000000" w:themeColor="text1"/>
          <w:sz w:val="23"/>
          <w:szCs w:val="23"/>
          <w:lang w:val="en-US"/>
        </w:rPr>
        <w:lastRenderedPageBreak/>
        <w:t>C</w:t>
      </w:r>
      <w:r w:rsidR="00E57C39" w:rsidRPr="00983193">
        <w:rPr>
          <w:rFonts w:ascii="Times New Roman" w:eastAsia="Calibri" w:hAnsi="Times New Roman" w:cs="Times New Roman"/>
          <w:color w:val="000000" w:themeColor="text1"/>
          <w:sz w:val="23"/>
          <w:szCs w:val="23"/>
          <w:lang w:val="en-US"/>
        </w:rPr>
        <w:t xml:space="preserve">apitalization </w:t>
      </w:r>
      <w:r w:rsidR="00CE0AAE">
        <w:rPr>
          <w:rFonts w:ascii="Times New Roman" w:eastAsia="Calibri" w:hAnsi="Times New Roman" w:cs="Times New Roman"/>
          <w:color w:val="000000" w:themeColor="text1"/>
          <w:sz w:val="23"/>
          <w:szCs w:val="23"/>
          <w:lang w:val="en-US"/>
        </w:rPr>
        <w:t>M</w:t>
      </w:r>
      <w:r w:rsidR="00E57C39" w:rsidRPr="00983193">
        <w:rPr>
          <w:rFonts w:ascii="Times New Roman" w:eastAsia="Calibri" w:hAnsi="Times New Roman" w:cs="Times New Roman"/>
          <w:color w:val="000000" w:themeColor="text1"/>
          <w:sz w:val="23"/>
          <w:szCs w:val="23"/>
          <w:lang w:val="en-US"/>
        </w:rPr>
        <w:t>ethod)</w:t>
      </w:r>
      <w:r w:rsidR="00D126E2" w:rsidRPr="00983193">
        <w:rPr>
          <w:rFonts w:ascii="Times New Roman" w:eastAsia="Calibri" w:hAnsi="Times New Roman" w:cs="Times New Roman"/>
          <w:color w:val="000000" w:themeColor="text1"/>
          <w:sz w:val="23"/>
          <w:szCs w:val="23"/>
          <w:lang w:val="en-US"/>
        </w:rPr>
        <w:t xml:space="preserve"> and </w:t>
      </w:r>
      <w:r w:rsidR="000B04AE">
        <w:rPr>
          <w:rFonts w:ascii="Times New Roman" w:eastAsia="Calibri" w:hAnsi="Times New Roman" w:cs="Times New Roman"/>
          <w:color w:val="000000" w:themeColor="text1"/>
          <w:sz w:val="23"/>
          <w:szCs w:val="23"/>
          <w:lang w:val="en-US"/>
        </w:rPr>
        <w:t xml:space="preserve">the </w:t>
      </w:r>
      <w:r w:rsidR="00D126E2" w:rsidRPr="00983193">
        <w:rPr>
          <w:rFonts w:ascii="Times New Roman" w:eastAsia="Calibri" w:hAnsi="Times New Roman" w:cs="Times New Roman"/>
          <w:color w:val="000000" w:themeColor="text1"/>
          <w:sz w:val="23"/>
          <w:szCs w:val="23"/>
          <w:lang w:val="en-US"/>
        </w:rPr>
        <w:t>VAIC</w:t>
      </w:r>
      <w:r w:rsidR="00E57C39" w:rsidRPr="00983193">
        <w:rPr>
          <w:rFonts w:ascii="Times New Roman" w:eastAsia="Calibri" w:hAnsi="Times New Roman" w:cs="Times New Roman"/>
          <w:color w:val="000000" w:themeColor="text1"/>
          <w:sz w:val="23"/>
          <w:szCs w:val="23"/>
          <w:lang w:val="en-US"/>
        </w:rPr>
        <w:t xml:space="preserve"> (</w:t>
      </w:r>
      <w:r w:rsidR="00CE0AAE">
        <w:rPr>
          <w:rFonts w:ascii="Times New Roman" w:eastAsia="Calibri" w:hAnsi="Times New Roman" w:cs="Times New Roman"/>
          <w:color w:val="000000" w:themeColor="text1"/>
          <w:sz w:val="23"/>
          <w:szCs w:val="23"/>
          <w:lang w:val="en-US"/>
        </w:rPr>
        <w:t>R</w:t>
      </w:r>
      <w:r w:rsidR="00E57C39" w:rsidRPr="00983193">
        <w:rPr>
          <w:rFonts w:ascii="Times New Roman" w:eastAsia="Calibri" w:hAnsi="Times New Roman" w:cs="Times New Roman"/>
          <w:color w:val="000000" w:themeColor="text1"/>
          <w:sz w:val="23"/>
          <w:szCs w:val="23"/>
          <w:lang w:val="en-US"/>
        </w:rPr>
        <w:t xml:space="preserve">eturn on </w:t>
      </w:r>
      <w:r w:rsidR="00CE0AAE">
        <w:rPr>
          <w:rFonts w:ascii="Times New Roman" w:eastAsia="Calibri" w:hAnsi="Times New Roman" w:cs="Times New Roman"/>
          <w:color w:val="000000" w:themeColor="text1"/>
          <w:sz w:val="23"/>
          <w:szCs w:val="23"/>
          <w:lang w:val="en-US"/>
        </w:rPr>
        <w:t>A</w:t>
      </w:r>
      <w:r w:rsidR="00E57C39" w:rsidRPr="00983193">
        <w:rPr>
          <w:rFonts w:ascii="Times New Roman" w:eastAsia="Calibri" w:hAnsi="Times New Roman" w:cs="Times New Roman"/>
          <w:color w:val="000000" w:themeColor="text1"/>
          <w:sz w:val="23"/>
          <w:szCs w:val="23"/>
          <w:lang w:val="en-US"/>
        </w:rPr>
        <w:t xml:space="preserve">ssets </w:t>
      </w:r>
      <w:r w:rsidR="00CE0AAE">
        <w:rPr>
          <w:rFonts w:ascii="Times New Roman" w:eastAsia="Calibri" w:hAnsi="Times New Roman" w:cs="Times New Roman"/>
          <w:color w:val="000000" w:themeColor="text1"/>
          <w:sz w:val="23"/>
          <w:szCs w:val="23"/>
          <w:lang w:val="en-US"/>
        </w:rPr>
        <w:t>M</w:t>
      </w:r>
      <w:r w:rsidR="00E57C39" w:rsidRPr="00983193">
        <w:rPr>
          <w:rFonts w:ascii="Times New Roman" w:eastAsia="Calibri" w:hAnsi="Times New Roman" w:cs="Times New Roman"/>
          <w:color w:val="000000" w:themeColor="text1"/>
          <w:sz w:val="23"/>
          <w:szCs w:val="23"/>
          <w:lang w:val="en-US"/>
        </w:rPr>
        <w:t>ethod)</w:t>
      </w:r>
      <w:r w:rsidR="00D126E2" w:rsidRPr="00983193">
        <w:rPr>
          <w:rFonts w:ascii="Times New Roman" w:eastAsia="Calibri" w:hAnsi="Times New Roman" w:cs="Times New Roman"/>
          <w:color w:val="000000" w:themeColor="text1"/>
          <w:sz w:val="23"/>
          <w:szCs w:val="23"/>
          <w:lang w:val="en-US"/>
        </w:rPr>
        <w:t xml:space="preserve">. Both </w:t>
      </w:r>
      <w:r w:rsidR="000B04AE">
        <w:rPr>
          <w:rFonts w:ascii="Times New Roman" w:eastAsia="Calibri" w:hAnsi="Times New Roman" w:cs="Times New Roman"/>
          <w:color w:val="000000" w:themeColor="text1"/>
          <w:sz w:val="23"/>
          <w:szCs w:val="23"/>
          <w:lang w:val="en-US"/>
        </w:rPr>
        <w:t xml:space="preserve">of </w:t>
      </w:r>
      <w:r w:rsidR="00D126E2" w:rsidRPr="00983193">
        <w:rPr>
          <w:rFonts w:ascii="Times New Roman" w:eastAsia="Calibri" w:hAnsi="Times New Roman" w:cs="Times New Roman"/>
          <w:color w:val="000000" w:themeColor="text1"/>
          <w:sz w:val="23"/>
          <w:szCs w:val="23"/>
          <w:lang w:val="en-US"/>
        </w:rPr>
        <w:t>the indicators</w:t>
      </w:r>
      <w:r w:rsidR="00215D34" w:rsidRPr="00983193">
        <w:rPr>
          <w:rFonts w:ascii="Times New Roman" w:eastAsia="Calibri" w:hAnsi="Times New Roman" w:cs="Times New Roman"/>
          <w:color w:val="000000" w:themeColor="text1"/>
          <w:sz w:val="23"/>
          <w:szCs w:val="23"/>
          <w:lang w:val="en-US"/>
        </w:rPr>
        <w:t xml:space="preserve"> lead to a quantitative measure and</w:t>
      </w:r>
      <w:r w:rsidR="00D126E2" w:rsidRPr="00983193">
        <w:rPr>
          <w:rFonts w:ascii="Times New Roman" w:eastAsia="Calibri" w:hAnsi="Times New Roman" w:cs="Times New Roman"/>
          <w:color w:val="000000" w:themeColor="text1"/>
          <w:sz w:val="23"/>
          <w:szCs w:val="23"/>
          <w:lang w:val="en-US"/>
        </w:rPr>
        <w:t xml:space="preserve"> are based on accounting and market data which are easily obtainable and verifiable</w:t>
      </w:r>
      <w:r w:rsidRPr="00983193">
        <w:rPr>
          <w:rFonts w:ascii="Times New Roman" w:eastAsia="Calibri" w:hAnsi="Times New Roman" w:cs="Times New Roman"/>
          <w:color w:val="000000" w:themeColor="text1"/>
          <w:sz w:val="23"/>
          <w:szCs w:val="23"/>
          <w:lang w:val="en-US"/>
        </w:rPr>
        <w:t xml:space="preserve">, thus </w:t>
      </w:r>
      <w:r w:rsidR="00D126E2" w:rsidRPr="00983193">
        <w:rPr>
          <w:rFonts w:ascii="Times New Roman" w:eastAsia="Calibri" w:hAnsi="Times New Roman" w:cs="Times New Roman"/>
          <w:color w:val="000000" w:themeColor="text1"/>
          <w:sz w:val="23"/>
          <w:szCs w:val="23"/>
          <w:lang w:val="en-US"/>
        </w:rPr>
        <w:t>allow</w:t>
      </w:r>
      <w:r w:rsidRPr="00983193">
        <w:rPr>
          <w:rFonts w:ascii="Times New Roman" w:eastAsia="Calibri" w:hAnsi="Times New Roman" w:cs="Times New Roman"/>
          <w:color w:val="000000" w:themeColor="text1"/>
          <w:sz w:val="23"/>
          <w:szCs w:val="23"/>
          <w:lang w:val="en-US"/>
        </w:rPr>
        <w:t>ing</w:t>
      </w:r>
      <w:r w:rsidR="00D126E2" w:rsidRPr="00983193">
        <w:rPr>
          <w:rFonts w:ascii="Times New Roman" w:eastAsia="Calibri" w:hAnsi="Times New Roman" w:cs="Times New Roman"/>
          <w:color w:val="000000" w:themeColor="text1"/>
          <w:sz w:val="23"/>
          <w:szCs w:val="23"/>
          <w:lang w:val="en-US"/>
        </w:rPr>
        <w:t xml:space="preserve"> simple comparisons (Pulic, 1998, 2000; Firer and Williams; 2003; Ghosh and Wu, 2007;</w:t>
      </w:r>
      <w:r w:rsidR="00B67ED8" w:rsidRPr="00983193">
        <w:rPr>
          <w:rFonts w:ascii="Times New Roman" w:eastAsia="Calibri" w:hAnsi="Times New Roman" w:cs="Times New Roman"/>
          <w:color w:val="000000" w:themeColor="text1"/>
          <w:sz w:val="23"/>
          <w:szCs w:val="23"/>
          <w:lang w:val="en-US"/>
        </w:rPr>
        <w:t xml:space="preserve"> Jurczak, 2008;</w:t>
      </w:r>
      <w:r w:rsidR="00BC5AB7" w:rsidRPr="00983193">
        <w:rPr>
          <w:rFonts w:ascii="Times New Roman" w:eastAsia="Calibri" w:hAnsi="Times New Roman" w:cs="Times New Roman"/>
          <w:color w:val="000000" w:themeColor="text1"/>
          <w:sz w:val="23"/>
          <w:szCs w:val="23"/>
          <w:lang w:val="en-US"/>
        </w:rPr>
        <w:t xml:space="preserve"> Paździor and </w:t>
      </w:r>
      <w:r w:rsidR="006844F4" w:rsidRPr="00983193">
        <w:rPr>
          <w:rFonts w:ascii="Times New Roman" w:eastAsia="Calibri" w:hAnsi="Times New Roman" w:cs="Times New Roman"/>
          <w:color w:val="000000" w:themeColor="text1"/>
          <w:sz w:val="23"/>
          <w:szCs w:val="23"/>
          <w:lang w:val="en-US"/>
        </w:rPr>
        <w:t>Paździor, 2012;</w:t>
      </w:r>
      <w:r w:rsidR="00D126E2" w:rsidRPr="00983193">
        <w:rPr>
          <w:rFonts w:ascii="Times New Roman" w:eastAsia="Calibri" w:hAnsi="Times New Roman" w:cs="Times New Roman"/>
          <w:color w:val="000000" w:themeColor="text1"/>
          <w:sz w:val="23"/>
          <w:szCs w:val="23"/>
          <w:lang w:val="en-US"/>
        </w:rPr>
        <w:t xml:space="preserve"> </w:t>
      </w:r>
      <w:r w:rsidR="00D126E2" w:rsidRPr="00964941">
        <w:rPr>
          <w:rFonts w:ascii="Times New Roman" w:eastAsia="Calibri" w:hAnsi="Times New Roman" w:cs="Times New Roman"/>
          <w:noProof/>
          <w:color w:val="000000" w:themeColor="text1"/>
          <w:sz w:val="23"/>
          <w:szCs w:val="23"/>
          <w:lang w:val="en-US"/>
        </w:rPr>
        <w:t>Godyn</w:t>
      </w:r>
      <w:r w:rsidR="00D126E2" w:rsidRPr="00983193">
        <w:rPr>
          <w:rFonts w:ascii="Times New Roman" w:eastAsia="Calibri" w:hAnsi="Times New Roman" w:cs="Times New Roman"/>
          <w:color w:val="000000" w:themeColor="text1"/>
          <w:sz w:val="23"/>
          <w:szCs w:val="23"/>
          <w:lang w:val="en-US"/>
        </w:rPr>
        <w:t xml:space="preserve">, 2013; </w:t>
      </w:r>
      <w:r w:rsidR="00D126E2" w:rsidRPr="00964941">
        <w:rPr>
          <w:rFonts w:ascii="Times New Roman" w:eastAsia="Calibri" w:hAnsi="Times New Roman" w:cs="Times New Roman"/>
          <w:noProof/>
          <w:color w:val="000000" w:themeColor="text1"/>
          <w:sz w:val="23"/>
          <w:szCs w:val="23"/>
          <w:lang w:val="en-US"/>
        </w:rPr>
        <w:t>Sydler</w:t>
      </w:r>
      <w:r w:rsidR="00D126E2" w:rsidRPr="00983193">
        <w:rPr>
          <w:rFonts w:ascii="Times New Roman" w:eastAsia="Calibri" w:hAnsi="Times New Roman" w:cs="Times New Roman"/>
          <w:color w:val="000000" w:themeColor="text1"/>
          <w:sz w:val="23"/>
          <w:szCs w:val="23"/>
          <w:lang w:val="en-US"/>
        </w:rPr>
        <w:t xml:space="preserve"> et al. 2014).</w:t>
      </w:r>
      <w:r w:rsidR="00215D34" w:rsidRPr="00983193">
        <w:rPr>
          <w:rFonts w:ascii="Times New Roman" w:eastAsia="Calibri" w:hAnsi="Times New Roman" w:cs="Times New Roman"/>
          <w:color w:val="000000" w:themeColor="text1"/>
          <w:sz w:val="23"/>
          <w:szCs w:val="23"/>
          <w:lang w:val="en-US"/>
        </w:rPr>
        <w:t xml:space="preserve"> </w:t>
      </w:r>
      <w:r w:rsidR="00E71CCF" w:rsidRPr="00983193">
        <w:rPr>
          <w:rFonts w:ascii="Times New Roman" w:eastAsia="Calibri" w:hAnsi="Times New Roman" w:cs="Times New Roman"/>
          <w:color w:val="000000" w:themeColor="text1"/>
          <w:sz w:val="23"/>
          <w:szCs w:val="23"/>
          <w:lang w:val="en-US"/>
        </w:rPr>
        <w:t>Moreover, they are among the most utilized by IC scholars (Bramhandkar et al., 2007</w:t>
      </w:r>
      <w:r w:rsidR="004011AF" w:rsidRPr="00983193">
        <w:rPr>
          <w:rFonts w:ascii="Times New Roman" w:eastAsia="Calibri" w:hAnsi="Times New Roman" w:cs="Times New Roman"/>
          <w:color w:val="000000" w:themeColor="text1"/>
          <w:sz w:val="23"/>
          <w:szCs w:val="23"/>
          <w:lang w:val="en-US"/>
        </w:rPr>
        <w:t>; Morariu, 2014; Noradiva et al., 2016)</w:t>
      </w:r>
      <w:r w:rsidR="00983D46" w:rsidRPr="00983193">
        <w:rPr>
          <w:rFonts w:ascii="Times New Roman" w:eastAsia="Calibri" w:hAnsi="Times New Roman" w:cs="Times New Roman"/>
          <w:color w:val="000000" w:themeColor="text1"/>
          <w:sz w:val="23"/>
          <w:szCs w:val="23"/>
          <w:lang w:val="en-US"/>
        </w:rPr>
        <w:t>.</w:t>
      </w:r>
    </w:p>
    <w:p w14:paraId="23B2DC89" w14:textId="77777777" w:rsidR="00E71CCF" w:rsidRPr="00983193" w:rsidRDefault="00751A7D" w:rsidP="001D4456">
      <w:pPr>
        <w:spacing w:after="0" w:line="240" w:lineRule="auto"/>
        <w:contextualSpacing/>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 xml:space="preserve">   </w:t>
      </w:r>
      <w:r w:rsidR="00215D34" w:rsidRPr="00983193">
        <w:rPr>
          <w:rFonts w:ascii="Times New Roman" w:eastAsia="Calibri" w:hAnsi="Times New Roman" w:cs="Times New Roman"/>
          <w:color w:val="000000" w:themeColor="text1"/>
          <w:sz w:val="23"/>
          <w:szCs w:val="23"/>
          <w:lang w:val="en-US"/>
        </w:rPr>
        <w:t xml:space="preserve">On the contrary, </w:t>
      </w:r>
      <w:r w:rsidR="000B04AE">
        <w:rPr>
          <w:rFonts w:ascii="Times New Roman" w:eastAsia="Calibri" w:hAnsi="Times New Roman" w:cs="Times New Roman"/>
          <w:color w:val="000000" w:themeColor="text1"/>
          <w:sz w:val="23"/>
          <w:szCs w:val="23"/>
          <w:lang w:val="en-US"/>
        </w:rPr>
        <w:t xml:space="preserve">the </w:t>
      </w:r>
      <w:r w:rsidR="00215D34" w:rsidRPr="00983193">
        <w:rPr>
          <w:rFonts w:ascii="Times New Roman" w:eastAsia="Calibri" w:hAnsi="Times New Roman" w:cs="Times New Roman"/>
          <w:color w:val="000000" w:themeColor="text1"/>
          <w:sz w:val="23"/>
          <w:szCs w:val="23"/>
          <w:lang w:val="en-US"/>
        </w:rPr>
        <w:t xml:space="preserve">“Scorecard </w:t>
      </w:r>
      <w:r w:rsidR="00CE0AAE">
        <w:rPr>
          <w:rFonts w:ascii="Times New Roman" w:eastAsia="Calibri" w:hAnsi="Times New Roman" w:cs="Times New Roman"/>
          <w:color w:val="000000" w:themeColor="text1"/>
          <w:sz w:val="23"/>
          <w:szCs w:val="23"/>
          <w:lang w:val="en-US"/>
        </w:rPr>
        <w:t>A</w:t>
      </w:r>
      <w:r w:rsidR="00215D34" w:rsidRPr="00983193">
        <w:rPr>
          <w:rFonts w:ascii="Times New Roman" w:eastAsia="Calibri" w:hAnsi="Times New Roman" w:cs="Times New Roman"/>
          <w:color w:val="000000" w:themeColor="text1"/>
          <w:sz w:val="23"/>
          <w:szCs w:val="23"/>
          <w:lang w:val="en-US"/>
        </w:rPr>
        <w:t xml:space="preserve">pproach” is based on </w:t>
      </w:r>
      <w:r w:rsidR="000B04AE">
        <w:rPr>
          <w:rFonts w:ascii="Times New Roman" w:eastAsia="Calibri" w:hAnsi="Times New Roman" w:cs="Times New Roman"/>
          <w:color w:val="000000" w:themeColor="text1"/>
          <w:sz w:val="23"/>
          <w:szCs w:val="23"/>
          <w:lang w:val="en-US"/>
        </w:rPr>
        <w:t xml:space="preserve">multifarious </w:t>
      </w:r>
      <w:r w:rsidR="00215D34" w:rsidRPr="00983193">
        <w:rPr>
          <w:rFonts w:ascii="Times New Roman" w:eastAsia="Calibri" w:hAnsi="Times New Roman" w:cs="Times New Roman"/>
          <w:color w:val="000000" w:themeColor="text1"/>
          <w:sz w:val="23"/>
          <w:szCs w:val="23"/>
          <w:lang w:val="en-US"/>
        </w:rPr>
        <w:t>and somewhat eclectic information sources (quantitative/qualitative, financial/</w:t>
      </w:r>
      <w:r w:rsidR="00215D34" w:rsidRPr="009946C9">
        <w:rPr>
          <w:rFonts w:ascii="Times New Roman" w:eastAsia="Calibri" w:hAnsi="Times New Roman" w:cs="Times New Roman"/>
          <w:noProof/>
          <w:color w:val="000000" w:themeColor="text1"/>
          <w:sz w:val="23"/>
          <w:szCs w:val="23"/>
          <w:lang w:val="en-US"/>
        </w:rPr>
        <w:t>non-financial</w:t>
      </w:r>
      <w:r w:rsidR="00215D34" w:rsidRPr="00983193">
        <w:rPr>
          <w:rFonts w:ascii="Times New Roman" w:eastAsia="Calibri" w:hAnsi="Times New Roman" w:cs="Times New Roman"/>
          <w:color w:val="000000" w:themeColor="text1"/>
          <w:sz w:val="23"/>
          <w:szCs w:val="23"/>
          <w:lang w:val="en-US"/>
        </w:rPr>
        <w:t xml:space="preserve">), which are </w:t>
      </w:r>
      <w:r w:rsidR="000B04AE">
        <w:rPr>
          <w:rFonts w:ascii="Times New Roman" w:eastAsia="Calibri" w:hAnsi="Times New Roman" w:cs="Times New Roman"/>
          <w:color w:val="000000" w:themeColor="text1"/>
          <w:sz w:val="23"/>
          <w:szCs w:val="23"/>
          <w:lang w:val="en-US"/>
        </w:rPr>
        <w:t>typically</w:t>
      </w:r>
      <w:r w:rsidR="000B04AE" w:rsidRPr="00983193">
        <w:rPr>
          <w:rFonts w:ascii="Times New Roman" w:eastAsia="Calibri" w:hAnsi="Times New Roman" w:cs="Times New Roman"/>
          <w:color w:val="000000" w:themeColor="text1"/>
          <w:sz w:val="23"/>
          <w:szCs w:val="23"/>
          <w:lang w:val="en-US"/>
        </w:rPr>
        <w:t xml:space="preserve"> </w:t>
      </w:r>
      <w:r w:rsidR="00215D34" w:rsidRPr="00983193">
        <w:rPr>
          <w:rFonts w:ascii="Times New Roman" w:eastAsia="Calibri" w:hAnsi="Times New Roman" w:cs="Times New Roman"/>
          <w:color w:val="000000" w:themeColor="text1"/>
          <w:sz w:val="23"/>
          <w:szCs w:val="23"/>
          <w:lang w:val="en-US"/>
        </w:rPr>
        <w:t xml:space="preserve">chosen according to the goals </w:t>
      </w:r>
      <w:r w:rsidR="00CE0AAE">
        <w:rPr>
          <w:rFonts w:ascii="Times New Roman" w:eastAsia="Calibri" w:hAnsi="Times New Roman" w:cs="Times New Roman"/>
          <w:color w:val="000000" w:themeColor="text1"/>
          <w:sz w:val="23"/>
          <w:szCs w:val="23"/>
          <w:lang w:val="en-US"/>
        </w:rPr>
        <w:t xml:space="preserve">of the </w:t>
      </w:r>
      <w:r w:rsidR="00983D46" w:rsidRPr="00983193">
        <w:rPr>
          <w:rFonts w:ascii="Times New Roman" w:eastAsia="Calibri" w:hAnsi="Times New Roman" w:cs="Times New Roman"/>
          <w:color w:val="000000" w:themeColor="text1"/>
          <w:sz w:val="23"/>
          <w:szCs w:val="23"/>
          <w:lang w:val="en-US"/>
        </w:rPr>
        <w:t>firm</w:t>
      </w:r>
      <w:r w:rsidR="00CE0AAE">
        <w:rPr>
          <w:rFonts w:ascii="Times New Roman" w:eastAsia="Calibri" w:hAnsi="Times New Roman" w:cs="Times New Roman"/>
          <w:color w:val="000000" w:themeColor="text1"/>
          <w:sz w:val="23"/>
          <w:szCs w:val="23"/>
          <w:lang w:val="en-US"/>
        </w:rPr>
        <w:t>’</w:t>
      </w:r>
      <w:r w:rsidR="00983D46" w:rsidRPr="00983193">
        <w:rPr>
          <w:rFonts w:ascii="Times New Roman" w:eastAsia="Calibri" w:hAnsi="Times New Roman" w:cs="Times New Roman"/>
          <w:color w:val="000000" w:themeColor="text1"/>
          <w:sz w:val="23"/>
          <w:szCs w:val="23"/>
          <w:lang w:val="en-US"/>
        </w:rPr>
        <w:t>s management</w:t>
      </w:r>
      <w:r w:rsidR="00CE0AAE">
        <w:rPr>
          <w:rFonts w:ascii="Times New Roman" w:eastAsia="Calibri" w:hAnsi="Times New Roman" w:cs="Times New Roman"/>
          <w:color w:val="000000" w:themeColor="text1"/>
          <w:sz w:val="23"/>
          <w:szCs w:val="23"/>
          <w:lang w:val="en-US"/>
        </w:rPr>
        <w:t>,</w:t>
      </w:r>
      <w:r w:rsidR="00215D34" w:rsidRPr="00983193">
        <w:rPr>
          <w:rFonts w:ascii="Times New Roman" w:eastAsia="Calibri" w:hAnsi="Times New Roman" w:cs="Times New Roman"/>
          <w:color w:val="000000" w:themeColor="text1"/>
          <w:sz w:val="23"/>
          <w:szCs w:val="23"/>
          <w:lang w:val="en-US"/>
        </w:rPr>
        <w:t xml:space="preserve"> and </w:t>
      </w:r>
      <w:r w:rsidR="00CE0AAE">
        <w:rPr>
          <w:rFonts w:ascii="Times New Roman" w:eastAsia="Calibri" w:hAnsi="Times New Roman" w:cs="Times New Roman"/>
          <w:color w:val="000000" w:themeColor="text1"/>
          <w:sz w:val="23"/>
          <w:szCs w:val="23"/>
          <w:lang w:val="en-US"/>
        </w:rPr>
        <w:t>thus</w:t>
      </w:r>
      <w:r w:rsidR="00215D34" w:rsidRPr="00983193">
        <w:rPr>
          <w:rFonts w:ascii="Times New Roman" w:eastAsia="Calibri" w:hAnsi="Times New Roman" w:cs="Times New Roman"/>
          <w:color w:val="000000" w:themeColor="text1"/>
          <w:sz w:val="23"/>
          <w:szCs w:val="23"/>
          <w:lang w:val="en-US"/>
        </w:rPr>
        <w:t xml:space="preserve"> to satisfy the information needs of internal users. This approach </w:t>
      </w:r>
      <w:r w:rsidR="00CE0AAE">
        <w:rPr>
          <w:rFonts w:ascii="Times New Roman" w:eastAsia="Calibri" w:hAnsi="Times New Roman" w:cs="Times New Roman"/>
          <w:color w:val="000000" w:themeColor="text1"/>
          <w:sz w:val="23"/>
          <w:szCs w:val="23"/>
          <w:lang w:val="en-US"/>
        </w:rPr>
        <w:t>in general</w:t>
      </w:r>
      <w:r w:rsidR="00CE0AAE" w:rsidRPr="00983193">
        <w:rPr>
          <w:rFonts w:ascii="Times New Roman" w:eastAsia="Calibri" w:hAnsi="Times New Roman" w:cs="Times New Roman"/>
          <w:color w:val="000000" w:themeColor="text1"/>
          <w:sz w:val="23"/>
          <w:szCs w:val="23"/>
          <w:lang w:val="en-US"/>
        </w:rPr>
        <w:t xml:space="preserve"> </w:t>
      </w:r>
      <w:r w:rsidR="00215D34" w:rsidRPr="00964941">
        <w:rPr>
          <w:rFonts w:ascii="Times New Roman" w:eastAsia="Calibri" w:hAnsi="Times New Roman" w:cs="Times New Roman"/>
          <w:noProof/>
          <w:color w:val="000000" w:themeColor="text1"/>
          <w:sz w:val="23"/>
          <w:szCs w:val="23"/>
          <w:lang w:val="en-US"/>
        </w:rPr>
        <w:t>do</w:t>
      </w:r>
      <w:r w:rsidR="00964941">
        <w:rPr>
          <w:rFonts w:ascii="Times New Roman" w:eastAsia="Calibri" w:hAnsi="Times New Roman" w:cs="Times New Roman"/>
          <w:noProof/>
          <w:color w:val="000000" w:themeColor="text1"/>
          <w:sz w:val="23"/>
          <w:szCs w:val="23"/>
          <w:lang w:val="en-US"/>
        </w:rPr>
        <w:t>es</w:t>
      </w:r>
      <w:r w:rsidR="00215D34" w:rsidRPr="00983193">
        <w:rPr>
          <w:rFonts w:ascii="Times New Roman" w:eastAsia="Calibri" w:hAnsi="Times New Roman" w:cs="Times New Roman"/>
          <w:color w:val="000000" w:themeColor="text1"/>
          <w:sz w:val="23"/>
          <w:szCs w:val="23"/>
          <w:lang w:val="en-US"/>
        </w:rPr>
        <w:t xml:space="preserve"> not lead to a definite or quantitative measure of IC and </w:t>
      </w:r>
      <w:r w:rsidR="00964941">
        <w:rPr>
          <w:rFonts w:ascii="Times New Roman" w:eastAsia="Calibri" w:hAnsi="Times New Roman" w:cs="Times New Roman"/>
          <w:noProof/>
          <w:color w:val="000000" w:themeColor="text1"/>
          <w:sz w:val="23"/>
          <w:szCs w:val="23"/>
          <w:lang w:val="en-US"/>
        </w:rPr>
        <w:t>is</w:t>
      </w:r>
      <w:r w:rsidR="00215D34" w:rsidRPr="00983193">
        <w:rPr>
          <w:rFonts w:ascii="Times New Roman" w:eastAsia="Calibri" w:hAnsi="Times New Roman" w:cs="Times New Roman"/>
          <w:color w:val="000000" w:themeColor="text1"/>
          <w:sz w:val="23"/>
          <w:szCs w:val="23"/>
          <w:lang w:val="en-US"/>
        </w:rPr>
        <w:t xml:space="preserve"> b</w:t>
      </w:r>
      <w:r w:rsidR="006844F4" w:rsidRPr="00983193">
        <w:rPr>
          <w:rFonts w:ascii="Times New Roman" w:eastAsia="Calibri" w:hAnsi="Times New Roman" w:cs="Times New Roman"/>
          <w:color w:val="000000" w:themeColor="text1"/>
          <w:sz w:val="23"/>
          <w:szCs w:val="23"/>
          <w:lang w:val="en-US"/>
        </w:rPr>
        <w:t>ased on</w:t>
      </w:r>
      <w:r w:rsidR="00964941">
        <w:rPr>
          <w:rFonts w:ascii="Times New Roman" w:eastAsia="Calibri" w:hAnsi="Times New Roman" w:cs="Times New Roman"/>
          <w:color w:val="000000" w:themeColor="text1"/>
          <w:sz w:val="23"/>
          <w:szCs w:val="23"/>
          <w:lang w:val="en-US"/>
        </w:rPr>
        <w:t xml:space="preserve"> </w:t>
      </w:r>
      <w:r w:rsidR="00CE0AAE">
        <w:rPr>
          <w:rFonts w:ascii="Times New Roman" w:eastAsia="Calibri" w:hAnsi="Times New Roman" w:cs="Times New Roman"/>
          <w:color w:val="000000" w:themeColor="text1"/>
          <w:sz w:val="23"/>
          <w:szCs w:val="23"/>
          <w:lang w:val="en-US"/>
        </w:rPr>
        <w:t>a</w:t>
      </w:r>
      <w:r w:rsidR="00CE0AAE" w:rsidRPr="00983193">
        <w:rPr>
          <w:rFonts w:ascii="Times New Roman" w:eastAsia="Calibri" w:hAnsi="Times New Roman" w:cs="Times New Roman"/>
          <w:color w:val="000000" w:themeColor="text1"/>
          <w:sz w:val="23"/>
          <w:szCs w:val="23"/>
          <w:lang w:val="en-US"/>
        </w:rPr>
        <w:t xml:space="preserve"> </w:t>
      </w:r>
      <w:r w:rsidR="006844F4" w:rsidRPr="00964941">
        <w:rPr>
          <w:rFonts w:ascii="Times New Roman" w:eastAsia="Calibri" w:hAnsi="Times New Roman" w:cs="Times New Roman"/>
          <w:noProof/>
          <w:color w:val="000000" w:themeColor="text1"/>
          <w:sz w:val="23"/>
          <w:szCs w:val="23"/>
          <w:lang w:val="en-US"/>
        </w:rPr>
        <w:t>subjective</w:t>
      </w:r>
      <w:r w:rsidR="00CE0AAE">
        <w:rPr>
          <w:rFonts w:ascii="Times New Roman" w:eastAsia="Calibri" w:hAnsi="Times New Roman" w:cs="Times New Roman"/>
          <w:noProof/>
          <w:color w:val="000000" w:themeColor="text1"/>
          <w:sz w:val="23"/>
          <w:szCs w:val="23"/>
          <w:lang w:val="en-US"/>
        </w:rPr>
        <w:t>/</w:t>
      </w:r>
      <w:r w:rsidR="006844F4" w:rsidRPr="00983193">
        <w:rPr>
          <w:rFonts w:ascii="Times New Roman" w:eastAsia="Calibri" w:hAnsi="Times New Roman" w:cs="Times New Roman"/>
          <w:color w:val="000000" w:themeColor="text1"/>
          <w:sz w:val="23"/>
          <w:szCs w:val="23"/>
          <w:lang w:val="en-US"/>
        </w:rPr>
        <w:t xml:space="preserve">qualitative measure </w:t>
      </w:r>
      <w:r w:rsidR="00CE0AAE">
        <w:rPr>
          <w:rFonts w:ascii="Times New Roman" w:eastAsia="Calibri" w:hAnsi="Times New Roman" w:cs="Times New Roman"/>
          <w:color w:val="000000" w:themeColor="text1"/>
          <w:sz w:val="23"/>
          <w:szCs w:val="23"/>
          <w:lang w:val="en-US"/>
        </w:rPr>
        <w:t xml:space="preserve">that </w:t>
      </w:r>
      <w:r w:rsidR="006844F4" w:rsidRPr="00983193">
        <w:rPr>
          <w:rFonts w:ascii="Times New Roman" w:eastAsia="Calibri" w:hAnsi="Times New Roman" w:cs="Times New Roman"/>
          <w:color w:val="000000" w:themeColor="text1"/>
          <w:sz w:val="23"/>
          <w:szCs w:val="23"/>
          <w:lang w:val="en-US"/>
        </w:rPr>
        <w:t>may entail some problems of reliability and transparency</w:t>
      </w:r>
      <w:r w:rsidR="00E57C39" w:rsidRPr="00983193">
        <w:rPr>
          <w:rFonts w:ascii="Times New Roman" w:eastAsia="Calibri" w:hAnsi="Times New Roman" w:cs="Times New Roman"/>
          <w:color w:val="000000" w:themeColor="text1"/>
          <w:sz w:val="23"/>
          <w:szCs w:val="23"/>
          <w:lang w:val="en-US"/>
        </w:rPr>
        <w:t>,</w:t>
      </w:r>
      <w:r w:rsidR="006844F4" w:rsidRPr="00983193">
        <w:rPr>
          <w:rFonts w:ascii="Times New Roman" w:eastAsia="Calibri" w:hAnsi="Times New Roman" w:cs="Times New Roman"/>
          <w:color w:val="000000" w:themeColor="text1"/>
          <w:sz w:val="23"/>
          <w:szCs w:val="23"/>
          <w:lang w:val="en-US"/>
        </w:rPr>
        <w:t xml:space="preserve"> </w:t>
      </w:r>
      <w:r w:rsidR="00CE0AAE">
        <w:rPr>
          <w:rFonts w:ascii="Times New Roman" w:eastAsia="Calibri" w:hAnsi="Times New Roman" w:cs="Times New Roman"/>
          <w:color w:val="000000" w:themeColor="text1"/>
          <w:sz w:val="23"/>
          <w:szCs w:val="23"/>
          <w:lang w:val="en-US"/>
        </w:rPr>
        <w:t>thereby preventing</w:t>
      </w:r>
      <w:r w:rsidR="006844F4" w:rsidRPr="00983193">
        <w:rPr>
          <w:rFonts w:ascii="Times New Roman" w:eastAsia="Calibri" w:hAnsi="Times New Roman" w:cs="Times New Roman"/>
          <w:color w:val="000000" w:themeColor="text1"/>
          <w:sz w:val="23"/>
          <w:szCs w:val="23"/>
          <w:lang w:val="en-US"/>
        </w:rPr>
        <w:t xml:space="preserve"> easy comparison (</w:t>
      </w:r>
      <w:r w:rsidR="004168B9" w:rsidRPr="00983193">
        <w:rPr>
          <w:rFonts w:ascii="Times New Roman" w:eastAsia="Calibri" w:hAnsi="Times New Roman" w:cs="Times New Roman"/>
          <w:color w:val="000000" w:themeColor="text1"/>
          <w:sz w:val="23"/>
          <w:szCs w:val="23"/>
          <w:lang w:val="en-US"/>
        </w:rPr>
        <w:t xml:space="preserve">Jurczak, 2008; </w:t>
      </w:r>
      <w:r w:rsidR="00BC5AB7" w:rsidRPr="00983193">
        <w:rPr>
          <w:rFonts w:ascii="Times New Roman" w:eastAsia="Calibri" w:hAnsi="Times New Roman" w:cs="Times New Roman"/>
          <w:color w:val="000000" w:themeColor="text1"/>
          <w:sz w:val="23"/>
          <w:szCs w:val="23"/>
          <w:lang w:val="en-US"/>
        </w:rPr>
        <w:t>Paździor and</w:t>
      </w:r>
      <w:r w:rsidR="006844F4" w:rsidRPr="00983193">
        <w:rPr>
          <w:rFonts w:ascii="Times New Roman" w:eastAsia="Calibri" w:hAnsi="Times New Roman" w:cs="Times New Roman"/>
          <w:color w:val="000000" w:themeColor="text1"/>
          <w:sz w:val="23"/>
          <w:szCs w:val="23"/>
          <w:lang w:val="en-US"/>
        </w:rPr>
        <w:t xml:space="preserve"> Paździor, 2012;</w:t>
      </w:r>
      <w:r w:rsidR="00051B36" w:rsidRPr="00983193">
        <w:rPr>
          <w:rFonts w:ascii="Times New Roman" w:eastAsia="Calibri" w:hAnsi="Times New Roman" w:cs="Times New Roman"/>
          <w:color w:val="000000" w:themeColor="text1"/>
          <w:sz w:val="23"/>
          <w:szCs w:val="23"/>
          <w:lang w:val="en-US"/>
        </w:rPr>
        <w:t xml:space="preserve"> Goga</w:t>
      </w:r>
      <w:r w:rsidR="004011AF" w:rsidRPr="00983193">
        <w:rPr>
          <w:rFonts w:ascii="Times New Roman" w:eastAsia="Calibri" w:hAnsi="Times New Roman" w:cs="Times New Roman"/>
          <w:color w:val="000000" w:themeColor="text1"/>
          <w:sz w:val="23"/>
          <w:szCs w:val="23"/>
          <w:lang w:val="en-US"/>
        </w:rPr>
        <w:t>n</w:t>
      </w:r>
      <w:r w:rsidR="00051B36" w:rsidRPr="00983193">
        <w:rPr>
          <w:rFonts w:ascii="Times New Roman" w:eastAsia="Calibri" w:hAnsi="Times New Roman" w:cs="Times New Roman"/>
          <w:color w:val="000000" w:themeColor="text1"/>
          <w:sz w:val="23"/>
          <w:szCs w:val="23"/>
          <w:lang w:val="en-US"/>
        </w:rPr>
        <w:t>, 2014;</w:t>
      </w:r>
      <w:r w:rsidR="00117C24">
        <w:rPr>
          <w:rFonts w:ascii="Times New Roman" w:eastAsia="Calibri" w:hAnsi="Times New Roman" w:cs="Times New Roman"/>
          <w:color w:val="000000" w:themeColor="text1"/>
          <w:sz w:val="23"/>
          <w:szCs w:val="23"/>
          <w:lang w:val="en-US"/>
        </w:rPr>
        <w:t xml:space="preserve"> Sydler</w:t>
      </w:r>
      <w:r w:rsidR="006844F4" w:rsidRPr="00983193">
        <w:rPr>
          <w:rFonts w:ascii="Times New Roman" w:eastAsia="Calibri" w:hAnsi="Times New Roman" w:cs="Times New Roman"/>
          <w:color w:val="000000" w:themeColor="text1"/>
          <w:sz w:val="23"/>
          <w:szCs w:val="23"/>
          <w:lang w:val="en-US"/>
        </w:rPr>
        <w:t>, 2014</w:t>
      </w:r>
      <w:r w:rsidR="00051B36" w:rsidRPr="00983193">
        <w:rPr>
          <w:rFonts w:ascii="Times New Roman" w:eastAsia="Calibri" w:hAnsi="Times New Roman" w:cs="Times New Roman"/>
          <w:color w:val="000000" w:themeColor="text1"/>
          <w:sz w:val="23"/>
          <w:szCs w:val="23"/>
          <w:lang w:val="en-US"/>
        </w:rPr>
        <w:t>)</w:t>
      </w:r>
      <w:r w:rsidR="006844F4" w:rsidRPr="00983193">
        <w:rPr>
          <w:rFonts w:ascii="Times New Roman" w:eastAsia="Calibri" w:hAnsi="Times New Roman" w:cs="Times New Roman"/>
          <w:color w:val="000000" w:themeColor="text1"/>
          <w:sz w:val="23"/>
          <w:szCs w:val="23"/>
          <w:lang w:val="en-US"/>
        </w:rPr>
        <w:t>.</w:t>
      </w:r>
      <w:r w:rsidR="00051B36" w:rsidRPr="00983193">
        <w:rPr>
          <w:rFonts w:ascii="Times New Roman" w:eastAsia="Calibri" w:hAnsi="Times New Roman" w:cs="Times New Roman"/>
          <w:color w:val="000000" w:themeColor="text1"/>
          <w:sz w:val="23"/>
          <w:szCs w:val="23"/>
          <w:lang w:val="en-US"/>
        </w:rPr>
        <w:t xml:space="preserve"> </w:t>
      </w:r>
    </w:p>
    <w:p w14:paraId="1FC349DD" w14:textId="77777777" w:rsidR="0011530F" w:rsidRPr="00983193" w:rsidRDefault="00751A7D" w:rsidP="001D4456">
      <w:pPr>
        <w:spacing w:after="0" w:line="240" w:lineRule="auto"/>
        <w:contextualSpacing/>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 xml:space="preserve">   </w:t>
      </w:r>
      <w:r w:rsidR="00051B36" w:rsidRPr="00983193">
        <w:rPr>
          <w:rFonts w:ascii="Times New Roman" w:eastAsia="Calibri" w:hAnsi="Times New Roman" w:cs="Times New Roman"/>
          <w:color w:val="000000" w:themeColor="text1"/>
          <w:sz w:val="23"/>
          <w:szCs w:val="23"/>
          <w:lang w:val="en-US"/>
        </w:rPr>
        <w:t xml:space="preserve">In the same vein, “Direct Intellectual </w:t>
      </w:r>
      <w:r w:rsidR="00CE0AAE">
        <w:rPr>
          <w:rFonts w:ascii="Times New Roman" w:eastAsia="Calibri" w:hAnsi="Times New Roman" w:cs="Times New Roman"/>
          <w:color w:val="000000" w:themeColor="text1"/>
          <w:sz w:val="23"/>
          <w:szCs w:val="23"/>
          <w:lang w:val="en-US"/>
        </w:rPr>
        <w:t>C</w:t>
      </w:r>
      <w:r w:rsidR="00051B36" w:rsidRPr="00983193">
        <w:rPr>
          <w:rFonts w:ascii="Times New Roman" w:eastAsia="Calibri" w:hAnsi="Times New Roman" w:cs="Times New Roman"/>
          <w:color w:val="000000" w:themeColor="text1"/>
          <w:sz w:val="23"/>
          <w:szCs w:val="23"/>
          <w:lang w:val="en-US"/>
        </w:rPr>
        <w:t xml:space="preserve">apital </w:t>
      </w:r>
      <w:r w:rsidR="00CE0AAE">
        <w:rPr>
          <w:rFonts w:ascii="Times New Roman" w:eastAsia="Calibri" w:hAnsi="Times New Roman" w:cs="Times New Roman"/>
          <w:color w:val="000000" w:themeColor="text1"/>
          <w:sz w:val="23"/>
          <w:szCs w:val="23"/>
          <w:lang w:val="en-US"/>
        </w:rPr>
        <w:t>M</w:t>
      </w:r>
      <w:r w:rsidR="00051B36" w:rsidRPr="00983193">
        <w:rPr>
          <w:rFonts w:ascii="Times New Roman" w:eastAsia="Calibri" w:hAnsi="Times New Roman" w:cs="Times New Roman"/>
          <w:color w:val="000000" w:themeColor="text1"/>
          <w:sz w:val="23"/>
          <w:szCs w:val="23"/>
          <w:lang w:val="en-US"/>
        </w:rPr>
        <w:t>ethod</w:t>
      </w:r>
      <w:r w:rsidR="008125C4" w:rsidRPr="00983193">
        <w:rPr>
          <w:rFonts w:ascii="Times New Roman" w:eastAsia="Calibri" w:hAnsi="Times New Roman" w:cs="Times New Roman"/>
          <w:color w:val="000000" w:themeColor="text1"/>
          <w:sz w:val="23"/>
          <w:szCs w:val="23"/>
          <w:lang w:val="en-US"/>
        </w:rPr>
        <w:t>s</w:t>
      </w:r>
      <w:r w:rsidR="00051B36" w:rsidRPr="00983193">
        <w:rPr>
          <w:rFonts w:ascii="Times New Roman" w:eastAsia="Calibri" w:hAnsi="Times New Roman" w:cs="Times New Roman"/>
          <w:color w:val="000000" w:themeColor="text1"/>
          <w:sz w:val="23"/>
          <w:szCs w:val="23"/>
          <w:lang w:val="en-US"/>
        </w:rPr>
        <w:t xml:space="preserve">”, </w:t>
      </w:r>
      <w:r w:rsidR="00CE0AAE">
        <w:rPr>
          <w:rFonts w:ascii="Times New Roman" w:eastAsia="Calibri" w:hAnsi="Times New Roman" w:cs="Times New Roman"/>
          <w:color w:val="000000" w:themeColor="text1"/>
          <w:sz w:val="23"/>
          <w:szCs w:val="23"/>
          <w:lang w:val="en-US"/>
        </w:rPr>
        <w:t>while</w:t>
      </w:r>
      <w:r w:rsidR="00051B36" w:rsidRPr="00983193">
        <w:rPr>
          <w:rFonts w:ascii="Times New Roman" w:eastAsia="Calibri" w:hAnsi="Times New Roman" w:cs="Times New Roman"/>
          <w:color w:val="000000" w:themeColor="text1"/>
          <w:sz w:val="23"/>
          <w:szCs w:val="23"/>
          <w:lang w:val="en-US"/>
        </w:rPr>
        <w:t xml:space="preserve"> more detailed and </w:t>
      </w:r>
      <w:r w:rsidR="008125C4" w:rsidRPr="00983193">
        <w:rPr>
          <w:rFonts w:ascii="Times New Roman" w:eastAsia="Calibri" w:hAnsi="Times New Roman" w:cs="Times New Roman"/>
          <w:color w:val="000000" w:themeColor="text1"/>
          <w:sz w:val="23"/>
          <w:szCs w:val="23"/>
          <w:lang w:val="en-US"/>
        </w:rPr>
        <w:t>aim</w:t>
      </w:r>
      <w:r w:rsidR="00CE0AAE">
        <w:rPr>
          <w:rFonts w:ascii="Times New Roman" w:eastAsia="Calibri" w:hAnsi="Times New Roman" w:cs="Times New Roman"/>
          <w:color w:val="000000" w:themeColor="text1"/>
          <w:sz w:val="23"/>
          <w:szCs w:val="23"/>
          <w:lang w:val="en-US"/>
        </w:rPr>
        <w:t>ing</w:t>
      </w:r>
      <w:r w:rsidR="008125C4" w:rsidRPr="00983193">
        <w:rPr>
          <w:rFonts w:ascii="Times New Roman" w:eastAsia="Calibri" w:hAnsi="Times New Roman" w:cs="Times New Roman"/>
          <w:color w:val="000000" w:themeColor="text1"/>
          <w:sz w:val="23"/>
          <w:szCs w:val="23"/>
          <w:lang w:val="en-US"/>
        </w:rPr>
        <w:t xml:space="preserve"> to determine the monetary values of the single components of intangible assets</w:t>
      </w:r>
      <w:r w:rsidR="00E57C39" w:rsidRPr="00983193">
        <w:rPr>
          <w:rFonts w:ascii="Times New Roman" w:eastAsia="Calibri" w:hAnsi="Times New Roman" w:cs="Times New Roman"/>
          <w:color w:val="000000" w:themeColor="text1"/>
          <w:sz w:val="23"/>
          <w:szCs w:val="23"/>
          <w:lang w:val="en-US"/>
        </w:rPr>
        <w:t>,</w:t>
      </w:r>
      <w:r w:rsidR="008125C4" w:rsidRPr="00983193">
        <w:rPr>
          <w:rFonts w:ascii="Times New Roman" w:eastAsia="Calibri" w:hAnsi="Times New Roman" w:cs="Times New Roman"/>
          <w:color w:val="000000" w:themeColor="text1"/>
          <w:sz w:val="23"/>
          <w:szCs w:val="23"/>
          <w:lang w:val="en-US"/>
        </w:rPr>
        <w:t xml:space="preserve"> are </w:t>
      </w:r>
      <w:r w:rsidR="00CE0AAE">
        <w:rPr>
          <w:rFonts w:ascii="Times New Roman" w:eastAsia="Calibri" w:hAnsi="Times New Roman" w:cs="Times New Roman"/>
          <w:color w:val="000000" w:themeColor="text1"/>
          <w:sz w:val="23"/>
          <w:szCs w:val="23"/>
          <w:lang w:val="en-US"/>
        </w:rPr>
        <w:t>difficult</w:t>
      </w:r>
      <w:r w:rsidR="00CE0AAE" w:rsidRPr="00983193">
        <w:rPr>
          <w:rFonts w:ascii="Times New Roman" w:eastAsia="Calibri" w:hAnsi="Times New Roman" w:cs="Times New Roman"/>
          <w:color w:val="000000" w:themeColor="text1"/>
          <w:sz w:val="23"/>
          <w:szCs w:val="23"/>
          <w:lang w:val="en-US"/>
        </w:rPr>
        <w:t xml:space="preserve"> </w:t>
      </w:r>
      <w:r w:rsidR="008125C4" w:rsidRPr="00983193">
        <w:rPr>
          <w:rFonts w:ascii="Times New Roman" w:eastAsia="Calibri" w:hAnsi="Times New Roman" w:cs="Times New Roman"/>
          <w:color w:val="000000" w:themeColor="text1"/>
          <w:sz w:val="23"/>
          <w:szCs w:val="23"/>
          <w:lang w:val="en-US"/>
        </w:rPr>
        <w:t xml:space="preserve">to employ </w:t>
      </w:r>
      <w:r w:rsidR="00CE0AAE">
        <w:rPr>
          <w:rFonts w:ascii="Times New Roman" w:eastAsia="Calibri" w:hAnsi="Times New Roman" w:cs="Times New Roman"/>
          <w:color w:val="000000" w:themeColor="text1"/>
          <w:sz w:val="23"/>
          <w:szCs w:val="23"/>
          <w:lang w:val="en-US"/>
        </w:rPr>
        <w:t>due to</w:t>
      </w:r>
      <w:r w:rsidR="008125C4" w:rsidRPr="00983193">
        <w:rPr>
          <w:rFonts w:ascii="Times New Roman" w:eastAsia="Calibri" w:hAnsi="Times New Roman" w:cs="Times New Roman"/>
          <w:color w:val="000000" w:themeColor="text1"/>
          <w:sz w:val="23"/>
          <w:szCs w:val="23"/>
          <w:lang w:val="en-US"/>
        </w:rPr>
        <w:t xml:space="preserve"> the </w:t>
      </w:r>
      <w:r w:rsidR="00CE0AAE">
        <w:rPr>
          <w:rFonts w:ascii="Times New Roman" w:eastAsia="Calibri" w:hAnsi="Times New Roman" w:cs="Times New Roman"/>
          <w:color w:val="000000" w:themeColor="text1"/>
          <w:sz w:val="23"/>
          <w:szCs w:val="23"/>
          <w:lang w:val="en-US"/>
        </w:rPr>
        <w:t>problem of</w:t>
      </w:r>
      <w:r w:rsidR="008125C4" w:rsidRPr="00983193">
        <w:rPr>
          <w:rFonts w:ascii="Times New Roman" w:eastAsia="Calibri" w:hAnsi="Times New Roman" w:cs="Times New Roman"/>
          <w:color w:val="000000" w:themeColor="text1"/>
          <w:sz w:val="23"/>
          <w:szCs w:val="23"/>
          <w:lang w:val="en-US"/>
        </w:rPr>
        <w:t xml:space="preserve"> obtaining quantitative/monetary information on IC assets</w:t>
      </w:r>
      <w:r w:rsidR="0011530F" w:rsidRPr="00983193">
        <w:rPr>
          <w:rFonts w:ascii="Times New Roman" w:eastAsia="Calibri" w:hAnsi="Times New Roman" w:cs="Times New Roman"/>
          <w:color w:val="000000" w:themeColor="text1"/>
          <w:sz w:val="23"/>
          <w:szCs w:val="23"/>
          <w:lang w:val="en-US"/>
        </w:rPr>
        <w:t xml:space="preserve"> (S</w:t>
      </w:r>
      <w:r w:rsidR="00117C24">
        <w:rPr>
          <w:rFonts w:ascii="Times New Roman" w:eastAsia="Calibri" w:hAnsi="Times New Roman" w:cs="Times New Roman"/>
          <w:color w:val="000000" w:themeColor="text1"/>
          <w:sz w:val="23"/>
          <w:szCs w:val="23"/>
          <w:lang w:val="en-US"/>
        </w:rPr>
        <w:t>ydler et al. 2014; Goebel</w:t>
      </w:r>
      <w:r w:rsidR="0011530F" w:rsidRPr="00983193">
        <w:rPr>
          <w:rFonts w:ascii="Times New Roman" w:eastAsia="Calibri" w:hAnsi="Times New Roman" w:cs="Times New Roman"/>
          <w:color w:val="000000" w:themeColor="text1"/>
          <w:sz w:val="23"/>
          <w:szCs w:val="23"/>
          <w:lang w:val="en-US"/>
        </w:rPr>
        <w:t>, 2015)</w:t>
      </w:r>
      <w:r w:rsidR="00E57C39" w:rsidRPr="00983193">
        <w:rPr>
          <w:rFonts w:ascii="Times New Roman" w:eastAsia="Calibri" w:hAnsi="Times New Roman" w:cs="Times New Roman"/>
          <w:color w:val="000000" w:themeColor="text1"/>
          <w:sz w:val="23"/>
          <w:szCs w:val="23"/>
          <w:lang w:val="en-US"/>
        </w:rPr>
        <w:t>,</w:t>
      </w:r>
      <w:r w:rsidR="0011530F" w:rsidRPr="00983193">
        <w:rPr>
          <w:rFonts w:ascii="Times New Roman" w:eastAsia="Calibri" w:hAnsi="Times New Roman" w:cs="Times New Roman"/>
          <w:color w:val="000000" w:themeColor="text1"/>
          <w:sz w:val="23"/>
          <w:szCs w:val="23"/>
          <w:lang w:val="en-US"/>
        </w:rPr>
        <w:t xml:space="preserve"> </w:t>
      </w:r>
      <w:r w:rsidR="00CE0AAE">
        <w:rPr>
          <w:rFonts w:ascii="Times New Roman" w:eastAsia="Calibri" w:hAnsi="Times New Roman" w:cs="Times New Roman"/>
          <w:color w:val="000000" w:themeColor="text1"/>
          <w:sz w:val="23"/>
          <w:szCs w:val="23"/>
          <w:lang w:val="en-US"/>
        </w:rPr>
        <w:t>rendering them</w:t>
      </w:r>
      <w:r w:rsidR="0011530F" w:rsidRPr="00983193">
        <w:rPr>
          <w:rFonts w:ascii="Times New Roman" w:eastAsia="Calibri" w:hAnsi="Times New Roman" w:cs="Times New Roman"/>
          <w:color w:val="000000" w:themeColor="text1"/>
          <w:sz w:val="23"/>
          <w:szCs w:val="23"/>
          <w:lang w:val="en-US"/>
        </w:rPr>
        <w:t xml:space="preserve"> more suitable for not-for-profit organizations (Jurczak, 2008).</w:t>
      </w:r>
    </w:p>
    <w:p w14:paraId="21F571D0" w14:textId="77777777" w:rsidR="00E57C39" w:rsidRPr="00983193" w:rsidRDefault="00751A7D" w:rsidP="001D4456">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CE0AAE">
        <w:rPr>
          <w:rFonts w:ascii="Times New Roman" w:hAnsi="Times New Roman" w:cs="Times New Roman"/>
          <w:color w:val="000000" w:themeColor="text1"/>
          <w:sz w:val="23"/>
          <w:szCs w:val="23"/>
          <w:lang w:val="en-US"/>
        </w:rPr>
        <w:t>I</w:t>
      </w:r>
      <w:r w:rsidR="00D66348" w:rsidRPr="00983193">
        <w:rPr>
          <w:rFonts w:ascii="Times New Roman" w:hAnsi="Times New Roman" w:cs="Times New Roman"/>
          <w:color w:val="000000" w:themeColor="text1"/>
          <w:sz w:val="23"/>
          <w:szCs w:val="23"/>
          <w:lang w:val="en-US"/>
        </w:rPr>
        <w:t xml:space="preserve">n the </w:t>
      </w:r>
      <w:r w:rsidR="00E57C39" w:rsidRPr="00983193">
        <w:rPr>
          <w:rFonts w:ascii="Times New Roman" w:hAnsi="Times New Roman" w:cs="Times New Roman"/>
          <w:color w:val="000000" w:themeColor="text1"/>
          <w:sz w:val="23"/>
          <w:szCs w:val="23"/>
          <w:lang w:val="en-US"/>
        </w:rPr>
        <w:t>family</w:t>
      </w:r>
      <w:r w:rsidR="00D66348" w:rsidRPr="00983193">
        <w:rPr>
          <w:rFonts w:ascii="Times New Roman" w:hAnsi="Times New Roman" w:cs="Times New Roman"/>
          <w:color w:val="000000" w:themeColor="text1"/>
          <w:sz w:val="23"/>
          <w:szCs w:val="23"/>
          <w:lang w:val="en-US"/>
        </w:rPr>
        <w:t xml:space="preserve"> of </w:t>
      </w:r>
      <w:r w:rsidR="00CE0AAE">
        <w:rPr>
          <w:rFonts w:ascii="Times New Roman" w:hAnsi="Times New Roman" w:cs="Times New Roman"/>
          <w:color w:val="000000" w:themeColor="text1"/>
          <w:sz w:val="23"/>
          <w:szCs w:val="23"/>
          <w:lang w:val="en-US"/>
        </w:rPr>
        <w:t xml:space="preserve">the </w:t>
      </w:r>
      <w:r w:rsidR="00D66348" w:rsidRPr="00983193">
        <w:rPr>
          <w:rFonts w:ascii="Times New Roman" w:hAnsi="Times New Roman" w:cs="Times New Roman"/>
          <w:color w:val="000000" w:themeColor="text1"/>
          <w:sz w:val="23"/>
          <w:szCs w:val="23"/>
          <w:lang w:val="en-US"/>
        </w:rPr>
        <w:t xml:space="preserve">“Market </w:t>
      </w:r>
      <w:r w:rsidR="00CE0AAE">
        <w:rPr>
          <w:rFonts w:ascii="Times New Roman" w:hAnsi="Times New Roman" w:cs="Times New Roman"/>
          <w:color w:val="000000" w:themeColor="text1"/>
          <w:sz w:val="23"/>
          <w:szCs w:val="23"/>
          <w:lang w:val="en-US"/>
        </w:rPr>
        <w:t>C</w:t>
      </w:r>
      <w:r w:rsidR="00D66348" w:rsidRPr="00983193">
        <w:rPr>
          <w:rFonts w:ascii="Times New Roman" w:hAnsi="Times New Roman" w:cs="Times New Roman"/>
          <w:color w:val="000000" w:themeColor="text1"/>
          <w:sz w:val="23"/>
          <w:szCs w:val="23"/>
          <w:lang w:val="en-US"/>
        </w:rPr>
        <w:t xml:space="preserve">apitalization </w:t>
      </w:r>
      <w:r w:rsidR="00CE0AAE">
        <w:rPr>
          <w:rFonts w:ascii="Times New Roman" w:hAnsi="Times New Roman" w:cs="Times New Roman"/>
          <w:color w:val="000000" w:themeColor="text1"/>
          <w:sz w:val="23"/>
          <w:szCs w:val="23"/>
          <w:lang w:val="en-US"/>
        </w:rPr>
        <w:t>A</w:t>
      </w:r>
      <w:r w:rsidR="00D66348" w:rsidRPr="00983193">
        <w:rPr>
          <w:rFonts w:ascii="Times New Roman" w:hAnsi="Times New Roman" w:cs="Times New Roman"/>
          <w:color w:val="000000" w:themeColor="text1"/>
          <w:sz w:val="23"/>
          <w:szCs w:val="23"/>
          <w:lang w:val="en-US"/>
        </w:rPr>
        <w:t>pproach”, the predominant measure is the M</w:t>
      </w:r>
      <w:r w:rsidR="000F7684">
        <w:rPr>
          <w:rFonts w:ascii="Times New Roman" w:hAnsi="Times New Roman" w:cs="Times New Roman"/>
          <w:color w:val="000000" w:themeColor="text1"/>
          <w:sz w:val="23"/>
          <w:szCs w:val="23"/>
          <w:lang w:val="en-US"/>
        </w:rPr>
        <w:t>t</w:t>
      </w:r>
      <w:r w:rsidR="00D66348" w:rsidRPr="00983193">
        <w:rPr>
          <w:rFonts w:ascii="Times New Roman" w:hAnsi="Times New Roman" w:cs="Times New Roman"/>
          <w:color w:val="000000" w:themeColor="text1"/>
          <w:sz w:val="23"/>
          <w:szCs w:val="23"/>
          <w:lang w:val="en-US"/>
        </w:rPr>
        <w:t>B ratio</w:t>
      </w:r>
      <w:r w:rsidR="00CE0AAE">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w:t>
      </w:r>
      <w:r w:rsidR="00CE0AAE">
        <w:rPr>
          <w:rFonts w:ascii="Times New Roman" w:hAnsi="Times New Roman" w:cs="Times New Roman"/>
          <w:color w:val="000000" w:themeColor="text1"/>
          <w:sz w:val="23"/>
          <w:szCs w:val="23"/>
          <w:lang w:val="en-US"/>
        </w:rPr>
        <w:t>This approach</w:t>
      </w:r>
      <w:r w:rsidR="00CE0AAE"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is based on the assumption that IC may be considered a significant “hidden value” of intangible resources that are not reported as “assets” in the financial statements</w:t>
      </w:r>
      <w:r w:rsidR="0016665C" w:rsidRPr="00983193">
        <w:rPr>
          <w:rFonts w:ascii="Times New Roman" w:hAnsi="Times New Roman" w:cs="Times New Roman"/>
          <w:color w:val="000000" w:themeColor="text1"/>
          <w:sz w:val="23"/>
          <w:szCs w:val="23"/>
          <w:lang w:val="en-US"/>
        </w:rPr>
        <w:t xml:space="preserve"> (</w:t>
      </w:r>
      <w:r w:rsidR="00BD35E5" w:rsidRPr="00983193">
        <w:rPr>
          <w:rFonts w:ascii="Times New Roman" w:hAnsi="Times New Roman" w:cs="Times New Roman"/>
          <w:color w:val="000000" w:themeColor="text1"/>
          <w:sz w:val="23"/>
          <w:szCs w:val="23"/>
          <w:lang w:val="en-US"/>
        </w:rPr>
        <w:t xml:space="preserve">Edvinsson and Malone, 1997, </w:t>
      </w:r>
      <w:r w:rsidR="00096C09" w:rsidRPr="00096C09">
        <w:rPr>
          <w:rFonts w:ascii="Times New Roman" w:hAnsi="Times New Roman" w:cs="Times New Roman"/>
          <w:color w:val="000000" w:themeColor="text1"/>
          <w:sz w:val="23"/>
          <w:szCs w:val="23"/>
          <w:lang w:val="en-US"/>
        </w:rPr>
        <w:t>Sveiby, 2001</w:t>
      </w:r>
      <w:r w:rsidR="00BD35E5" w:rsidRPr="00983193">
        <w:rPr>
          <w:rFonts w:ascii="Times New Roman" w:hAnsi="Times New Roman" w:cs="Times New Roman"/>
          <w:color w:val="000000" w:themeColor="text1"/>
          <w:sz w:val="23"/>
          <w:szCs w:val="23"/>
          <w:lang w:val="en-US"/>
        </w:rPr>
        <w:t xml:space="preserve">; Brennan, 2001; Whiting and Miller, 2008; </w:t>
      </w:r>
      <w:r w:rsidR="00BD35E5" w:rsidRPr="00F12168">
        <w:rPr>
          <w:rFonts w:ascii="Times New Roman" w:hAnsi="Times New Roman" w:cs="Times New Roman"/>
          <w:color w:val="000000" w:themeColor="text1"/>
          <w:sz w:val="23"/>
          <w:szCs w:val="23"/>
          <w:lang w:val="en-US"/>
        </w:rPr>
        <w:t>Forte</w:t>
      </w:r>
      <w:r w:rsidR="00BD35E5" w:rsidRPr="00983193">
        <w:rPr>
          <w:rFonts w:ascii="Times New Roman" w:hAnsi="Times New Roman" w:cs="Times New Roman"/>
          <w:color w:val="000000" w:themeColor="text1"/>
          <w:sz w:val="23"/>
          <w:szCs w:val="23"/>
          <w:lang w:val="en-US"/>
        </w:rPr>
        <w:t xml:space="preserve"> et al., 2017). </w:t>
      </w:r>
      <w:r w:rsidR="00E57C39" w:rsidRPr="00983193">
        <w:rPr>
          <w:rFonts w:ascii="Times New Roman" w:eastAsia="Calibri" w:hAnsi="Times New Roman" w:cs="Times New Roman"/>
          <w:color w:val="000000" w:themeColor="text1"/>
          <w:sz w:val="23"/>
          <w:szCs w:val="23"/>
          <w:lang w:val="en-US"/>
        </w:rPr>
        <w:t xml:space="preserve">This approach is based on the holistic effects of interactions between IC components which typically generate an overall value greater than the aggregate value of the individual estimates (Van der Meer-Kooistra and Zijlstra, 2001). It measures the value of a company’s </w:t>
      </w:r>
      <w:r w:rsidR="001D4456">
        <w:rPr>
          <w:rFonts w:ascii="Times New Roman" w:eastAsia="Calibri" w:hAnsi="Times New Roman" w:cs="Times New Roman"/>
          <w:color w:val="000000" w:themeColor="text1"/>
          <w:sz w:val="23"/>
          <w:szCs w:val="23"/>
          <w:lang w:val="en-US"/>
        </w:rPr>
        <w:t>IC</w:t>
      </w:r>
      <w:r w:rsidR="00E57C39" w:rsidRPr="00983193">
        <w:rPr>
          <w:rFonts w:ascii="Times New Roman" w:eastAsia="Calibri" w:hAnsi="Times New Roman" w:cs="Times New Roman"/>
          <w:color w:val="000000" w:themeColor="text1"/>
          <w:sz w:val="23"/>
          <w:szCs w:val="23"/>
          <w:lang w:val="en-US"/>
        </w:rPr>
        <w:t xml:space="preserve"> as the difference between the company’s market capitalization and its book value. Thus, a positive IC value </w:t>
      </w:r>
      <w:r w:rsidR="00CE0AAE">
        <w:rPr>
          <w:rFonts w:ascii="Times New Roman" w:eastAsia="Calibri" w:hAnsi="Times New Roman" w:cs="Times New Roman"/>
          <w:color w:val="000000" w:themeColor="text1"/>
          <w:sz w:val="23"/>
          <w:szCs w:val="23"/>
          <w:lang w:val="en-US"/>
        </w:rPr>
        <w:t>arises</w:t>
      </w:r>
      <w:r w:rsidR="00CE0AAE" w:rsidRPr="00983193">
        <w:rPr>
          <w:rFonts w:ascii="Times New Roman" w:eastAsia="Calibri" w:hAnsi="Times New Roman" w:cs="Times New Roman"/>
          <w:color w:val="000000" w:themeColor="text1"/>
          <w:sz w:val="23"/>
          <w:szCs w:val="23"/>
          <w:lang w:val="en-US"/>
        </w:rPr>
        <w:t xml:space="preserve"> </w:t>
      </w:r>
      <w:r w:rsidR="00E57C39" w:rsidRPr="00983193">
        <w:rPr>
          <w:rFonts w:ascii="Times New Roman" w:eastAsia="Calibri" w:hAnsi="Times New Roman" w:cs="Times New Roman"/>
          <w:color w:val="000000" w:themeColor="text1"/>
          <w:sz w:val="23"/>
          <w:szCs w:val="23"/>
          <w:lang w:val="en-US"/>
        </w:rPr>
        <w:t>where the market-to-book ratio is above unity (Stewart, 1997; Luthy, 1998).</w:t>
      </w:r>
    </w:p>
    <w:p w14:paraId="601BF9D3" w14:textId="77777777" w:rsidR="00814383" w:rsidRPr="00983193" w:rsidRDefault="00751A7D" w:rsidP="001D4456">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In recent years, several studies have exploited the </w:t>
      </w:r>
      <w:r w:rsidR="00D66348" w:rsidRPr="00964941">
        <w:rPr>
          <w:rFonts w:ascii="Times New Roman" w:hAnsi="Times New Roman" w:cs="Times New Roman"/>
          <w:noProof/>
          <w:color w:val="000000" w:themeColor="text1"/>
          <w:sz w:val="23"/>
          <w:szCs w:val="23"/>
          <w:lang w:val="en-US"/>
        </w:rPr>
        <w:t>M</w:t>
      </w:r>
      <w:r w:rsidR="001D4456">
        <w:rPr>
          <w:rFonts w:ascii="Times New Roman" w:hAnsi="Times New Roman" w:cs="Times New Roman"/>
          <w:noProof/>
          <w:color w:val="000000" w:themeColor="text1"/>
          <w:sz w:val="23"/>
          <w:szCs w:val="23"/>
          <w:lang w:val="en-US"/>
        </w:rPr>
        <w:t>t</w:t>
      </w:r>
      <w:r w:rsidR="00D66348" w:rsidRPr="00964941">
        <w:rPr>
          <w:rFonts w:ascii="Times New Roman" w:hAnsi="Times New Roman" w:cs="Times New Roman"/>
          <w:noProof/>
          <w:color w:val="000000" w:themeColor="text1"/>
          <w:sz w:val="23"/>
          <w:szCs w:val="23"/>
          <w:lang w:val="en-US"/>
        </w:rPr>
        <w:t>B</w:t>
      </w:r>
      <w:r w:rsidR="00D66348" w:rsidRPr="00983193">
        <w:rPr>
          <w:rFonts w:ascii="Times New Roman" w:hAnsi="Times New Roman" w:cs="Times New Roman"/>
          <w:color w:val="000000" w:themeColor="text1"/>
          <w:sz w:val="23"/>
          <w:szCs w:val="23"/>
          <w:lang w:val="en-US"/>
        </w:rPr>
        <w:t xml:space="preserve"> ratio in </w:t>
      </w:r>
      <w:r w:rsidR="00CB59FD">
        <w:rPr>
          <w:rFonts w:ascii="Times New Roman" w:hAnsi="Times New Roman" w:cs="Times New Roman"/>
          <w:color w:val="000000" w:themeColor="text1"/>
          <w:sz w:val="23"/>
          <w:szCs w:val="23"/>
          <w:lang w:val="en-US"/>
        </w:rPr>
        <w:t>order</w:t>
      </w:r>
      <w:r w:rsidR="00D66348" w:rsidRPr="00983193">
        <w:rPr>
          <w:rFonts w:ascii="Times New Roman" w:hAnsi="Times New Roman" w:cs="Times New Roman"/>
          <w:color w:val="000000" w:themeColor="text1"/>
          <w:sz w:val="23"/>
          <w:szCs w:val="23"/>
          <w:lang w:val="en-US"/>
        </w:rPr>
        <w:t xml:space="preserve"> </w:t>
      </w:r>
      <w:r w:rsidR="00964941" w:rsidRPr="00964941">
        <w:rPr>
          <w:rFonts w:ascii="Times New Roman" w:hAnsi="Times New Roman" w:cs="Times New Roman"/>
          <w:noProof/>
          <w:color w:val="000000" w:themeColor="text1"/>
          <w:sz w:val="23"/>
          <w:szCs w:val="23"/>
          <w:lang w:val="en-US"/>
        </w:rPr>
        <w:t xml:space="preserve">to </w:t>
      </w:r>
      <w:r w:rsidR="00D66348" w:rsidRPr="00964941">
        <w:rPr>
          <w:rFonts w:ascii="Times New Roman" w:hAnsi="Times New Roman" w:cs="Times New Roman"/>
          <w:noProof/>
          <w:color w:val="000000" w:themeColor="text1"/>
          <w:sz w:val="23"/>
          <w:szCs w:val="23"/>
          <w:lang w:val="en-US"/>
        </w:rPr>
        <w:t>estimate</w:t>
      </w:r>
      <w:r w:rsidR="00D66348" w:rsidRPr="00983193">
        <w:rPr>
          <w:rFonts w:ascii="Times New Roman" w:hAnsi="Times New Roman" w:cs="Times New Roman"/>
          <w:color w:val="000000" w:themeColor="text1"/>
          <w:sz w:val="23"/>
          <w:szCs w:val="23"/>
          <w:lang w:val="en-US"/>
        </w:rPr>
        <w:t xml:space="preserve"> IC value according to the </w:t>
      </w:r>
      <w:r w:rsidR="00D66348" w:rsidRPr="00983193">
        <w:rPr>
          <w:rFonts w:ascii="Times New Roman" w:hAnsi="Times New Roman" w:cs="Times New Roman"/>
          <w:i/>
          <w:color w:val="000000" w:themeColor="text1"/>
          <w:sz w:val="23"/>
          <w:szCs w:val="23"/>
          <w:lang w:val="en-US"/>
        </w:rPr>
        <w:t>Market Capitalization Approach</w:t>
      </w:r>
      <w:r w:rsidR="00D66348" w:rsidRPr="00983193">
        <w:rPr>
          <w:rFonts w:ascii="Times New Roman" w:hAnsi="Times New Roman" w:cs="Times New Roman"/>
          <w:color w:val="000000" w:themeColor="text1"/>
          <w:sz w:val="23"/>
          <w:szCs w:val="23"/>
          <w:lang w:val="en-US"/>
        </w:rPr>
        <w:t xml:space="preserve"> (Brennan,</w:t>
      </w:r>
      <w:r w:rsidR="0068061D"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2001;</w:t>
      </w:r>
      <w:r w:rsidR="0068061D" w:rsidRPr="00983193">
        <w:rPr>
          <w:rFonts w:ascii="Times New Roman" w:hAnsi="Times New Roman" w:cs="Times New Roman"/>
          <w:color w:val="000000" w:themeColor="text1"/>
          <w:sz w:val="23"/>
          <w:szCs w:val="23"/>
          <w:lang w:val="en-US"/>
        </w:rPr>
        <w:t xml:space="preserve"> Cazavan-Jeny, 2004;</w:t>
      </w:r>
      <w:r w:rsidR="00D66348" w:rsidRPr="00983193">
        <w:rPr>
          <w:rFonts w:ascii="Times New Roman" w:hAnsi="Times New Roman" w:cs="Times New Roman"/>
          <w:color w:val="000000" w:themeColor="text1"/>
          <w:sz w:val="23"/>
          <w:szCs w:val="23"/>
          <w:lang w:val="en-US"/>
        </w:rPr>
        <w:t xml:space="preserve"> Bramhandkar et al.,</w:t>
      </w:r>
      <w:r w:rsidR="002361D8"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2007; Kok,</w:t>
      </w:r>
      <w:r w:rsidR="002361D8"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2007; Whiting and Miller,</w:t>
      </w:r>
      <w:r w:rsidR="002361D8"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2008;</w:t>
      </w:r>
      <w:r w:rsidR="0068061D" w:rsidRPr="00983193">
        <w:rPr>
          <w:rFonts w:ascii="Times New Roman" w:hAnsi="Times New Roman" w:cs="Times New Roman"/>
          <w:color w:val="000000" w:themeColor="text1"/>
          <w:sz w:val="23"/>
          <w:szCs w:val="23"/>
          <w:lang w:val="en-US"/>
        </w:rPr>
        <w:t xml:space="preserve"> </w:t>
      </w:r>
      <w:r w:rsidR="0068061D" w:rsidRPr="00096C09">
        <w:rPr>
          <w:rFonts w:ascii="Times New Roman" w:hAnsi="Times New Roman" w:cs="Times New Roman"/>
          <w:color w:val="000000" w:themeColor="text1"/>
          <w:sz w:val="23"/>
          <w:szCs w:val="23"/>
          <w:lang w:val="en-US"/>
        </w:rPr>
        <w:t>Tseng et al., 2015</w:t>
      </w:r>
      <w:r w:rsidR="0068061D" w:rsidRPr="00983193">
        <w:rPr>
          <w:rFonts w:ascii="Times New Roman" w:hAnsi="Times New Roman" w:cs="Times New Roman"/>
          <w:color w:val="000000" w:themeColor="text1"/>
          <w:sz w:val="23"/>
          <w:szCs w:val="23"/>
          <w:lang w:val="en-US"/>
        </w:rPr>
        <w:t>;</w:t>
      </w:r>
      <w:r w:rsidR="002361D8" w:rsidRPr="00983193">
        <w:rPr>
          <w:rFonts w:ascii="Times New Roman" w:hAnsi="Times New Roman" w:cs="Times New Roman"/>
          <w:color w:val="000000" w:themeColor="text1"/>
          <w:sz w:val="23"/>
          <w:szCs w:val="23"/>
          <w:lang w:val="en-US"/>
        </w:rPr>
        <w:t xml:space="preserve"> </w:t>
      </w:r>
      <w:r w:rsidR="00C9018A">
        <w:rPr>
          <w:rFonts w:ascii="Times New Roman" w:hAnsi="Times New Roman" w:cs="Times New Roman"/>
          <w:color w:val="000000" w:themeColor="text1"/>
          <w:sz w:val="23"/>
          <w:szCs w:val="23"/>
          <w:lang w:val="en-US"/>
        </w:rPr>
        <w:t>Goebel</w:t>
      </w:r>
      <w:r w:rsidR="00D66348" w:rsidRPr="00983193">
        <w:rPr>
          <w:rFonts w:ascii="Times New Roman" w:hAnsi="Times New Roman" w:cs="Times New Roman"/>
          <w:color w:val="000000" w:themeColor="text1"/>
          <w:sz w:val="23"/>
          <w:szCs w:val="23"/>
          <w:lang w:val="en-US"/>
        </w:rPr>
        <w:t>,</w:t>
      </w:r>
      <w:r w:rsidR="00C9018A">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2015). These studies </w:t>
      </w:r>
      <w:r w:rsidR="00365DFC">
        <w:rPr>
          <w:rFonts w:ascii="Times New Roman" w:hAnsi="Times New Roman" w:cs="Times New Roman"/>
          <w:color w:val="000000" w:themeColor="text1"/>
          <w:sz w:val="23"/>
          <w:szCs w:val="23"/>
          <w:lang w:val="en-US"/>
        </w:rPr>
        <w:t>assume</w:t>
      </w:r>
      <w:r w:rsidR="00D66348" w:rsidRPr="00983193">
        <w:rPr>
          <w:rFonts w:ascii="Times New Roman" w:hAnsi="Times New Roman" w:cs="Times New Roman"/>
          <w:color w:val="000000" w:themeColor="text1"/>
          <w:sz w:val="23"/>
          <w:szCs w:val="23"/>
          <w:lang w:val="en-US"/>
        </w:rPr>
        <w:t xml:space="preserve"> that financial markets are efficient and accurate in </w:t>
      </w:r>
      <w:r w:rsidR="00365DFC">
        <w:rPr>
          <w:rFonts w:ascii="Times New Roman" w:hAnsi="Times New Roman" w:cs="Times New Roman"/>
          <w:color w:val="000000" w:themeColor="text1"/>
          <w:sz w:val="23"/>
          <w:szCs w:val="23"/>
          <w:lang w:val="en-US"/>
        </w:rPr>
        <w:t xml:space="preserve">their </w:t>
      </w:r>
      <w:r w:rsidR="00D66348" w:rsidRPr="00983193">
        <w:rPr>
          <w:rFonts w:ascii="Times New Roman" w:hAnsi="Times New Roman" w:cs="Times New Roman"/>
          <w:color w:val="000000" w:themeColor="text1"/>
          <w:sz w:val="23"/>
          <w:szCs w:val="23"/>
          <w:lang w:val="en-US"/>
        </w:rPr>
        <w:t>valuati</w:t>
      </w:r>
      <w:r w:rsidR="00365DFC">
        <w:rPr>
          <w:rFonts w:ascii="Times New Roman" w:hAnsi="Times New Roman" w:cs="Times New Roman"/>
          <w:color w:val="000000" w:themeColor="text1"/>
          <w:sz w:val="23"/>
          <w:szCs w:val="23"/>
          <w:lang w:val="en-US"/>
        </w:rPr>
        <w:t>on</w:t>
      </w:r>
      <w:r w:rsidR="00D66348" w:rsidRPr="00983193">
        <w:rPr>
          <w:rFonts w:ascii="Times New Roman" w:hAnsi="Times New Roman" w:cs="Times New Roman"/>
          <w:color w:val="000000" w:themeColor="text1"/>
          <w:sz w:val="23"/>
          <w:szCs w:val="23"/>
          <w:lang w:val="en-US"/>
        </w:rPr>
        <w:t xml:space="preserve"> </w:t>
      </w:r>
      <w:r w:rsidR="00365DFC">
        <w:rPr>
          <w:rFonts w:ascii="Times New Roman" w:hAnsi="Times New Roman" w:cs="Times New Roman"/>
          <w:color w:val="000000" w:themeColor="text1"/>
          <w:sz w:val="23"/>
          <w:szCs w:val="23"/>
          <w:lang w:val="en-US"/>
        </w:rPr>
        <w:t xml:space="preserve">of </w:t>
      </w:r>
      <w:r w:rsidR="00D66348" w:rsidRPr="00983193">
        <w:rPr>
          <w:rFonts w:ascii="Times New Roman" w:hAnsi="Times New Roman" w:cs="Times New Roman"/>
          <w:color w:val="000000" w:themeColor="text1"/>
          <w:sz w:val="23"/>
          <w:szCs w:val="23"/>
          <w:lang w:val="en-US"/>
        </w:rPr>
        <w:t xml:space="preserve">listed companies beyond their financial statements, drawing </w:t>
      </w:r>
      <w:r w:rsidR="00365DFC">
        <w:rPr>
          <w:rFonts w:ascii="Times New Roman" w:hAnsi="Times New Roman" w:cs="Times New Roman"/>
          <w:color w:val="000000" w:themeColor="text1"/>
          <w:sz w:val="23"/>
          <w:szCs w:val="23"/>
          <w:lang w:val="en-US"/>
        </w:rPr>
        <w:t xml:space="preserve">upon </w:t>
      </w:r>
      <w:r w:rsidR="00D66348" w:rsidRPr="00983193">
        <w:rPr>
          <w:rFonts w:ascii="Times New Roman" w:hAnsi="Times New Roman" w:cs="Times New Roman"/>
          <w:color w:val="000000" w:themeColor="text1"/>
          <w:sz w:val="23"/>
          <w:szCs w:val="23"/>
          <w:lang w:val="en-US"/>
        </w:rPr>
        <w:t>all relevant information from other sources</w:t>
      </w:r>
      <w:r w:rsidR="00365DFC">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and that any excess valu</w:t>
      </w:r>
      <w:r w:rsidR="00365DFC">
        <w:rPr>
          <w:rFonts w:ascii="Times New Roman" w:hAnsi="Times New Roman" w:cs="Times New Roman"/>
          <w:color w:val="000000" w:themeColor="text1"/>
          <w:sz w:val="23"/>
          <w:szCs w:val="23"/>
          <w:lang w:val="en-US"/>
        </w:rPr>
        <w:t>e</w:t>
      </w:r>
      <w:r w:rsidR="00D66348" w:rsidRPr="00983193">
        <w:rPr>
          <w:rFonts w:ascii="Times New Roman" w:hAnsi="Times New Roman" w:cs="Times New Roman"/>
          <w:color w:val="000000" w:themeColor="text1"/>
          <w:sz w:val="23"/>
          <w:szCs w:val="23"/>
          <w:lang w:val="en-US"/>
        </w:rPr>
        <w:t xml:space="preserve"> over </w:t>
      </w:r>
      <w:r w:rsidR="00365DFC">
        <w:rPr>
          <w:rFonts w:ascii="Times New Roman" w:hAnsi="Times New Roman" w:cs="Times New Roman"/>
          <w:color w:val="000000" w:themeColor="text1"/>
          <w:sz w:val="23"/>
          <w:szCs w:val="23"/>
          <w:lang w:val="en-US"/>
        </w:rPr>
        <w:t>a company’s</w:t>
      </w:r>
      <w:r w:rsidR="00365DFC"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book value depend</w:t>
      </w:r>
      <w:r w:rsidR="00365DFC">
        <w:rPr>
          <w:rFonts w:ascii="Times New Roman" w:hAnsi="Times New Roman" w:cs="Times New Roman"/>
          <w:color w:val="000000" w:themeColor="text1"/>
          <w:sz w:val="23"/>
          <w:szCs w:val="23"/>
          <w:lang w:val="en-US"/>
        </w:rPr>
        <w:t>s</w:t>
      </w:r>
      <w:r w:rsidR="00D66348" w:rsidRPr="00983193">
        <w:rPr>
          <w:rFonts w:ascii="Times New Roman" w:hAnsi="Times New Roman" w:cs="Times New Roman"/>
          <w:color w:val="000000" w:themeColor="text1"/>
          <w:sz w:val="23"/>
          <w:szCs w:val="23"/>
          <w:lang w:val="en-US"/>
        </w:rPr>
        <w:t xml:space="preserve"> on </w:t>
      </w:r>
      <w:r w:rsidR="00365DFC">
        <w:rPr>
          <w:rFonts w:ascii="Times New Roman" w:hAnsi="Times New Roman" w:cs="Times New Roman"/>
          <w:color w:val="000000" w:themeColor="text1"/>
          <w:sz w:val="23"/>
          <w:szCs w:val="23"/>
          <w:lang w:val="en-US"/>
        </w:rPr>
        <w:t>a</w:t>
      </w:r>
      <w:r w:rsidR="00D66348" w:rsidRPr="00983193">
        <w:rPr>
          <w:rFonts w:ascii="Times New Roman" w:hAnsi="Times New Roman" w:cs="Times New Roman"/>
          <w:color w:val="000000" w:themeColor="text1"/>
          <w:sz w:val="23"/>
          <w:szCs w:val="23"/>
          <w:lang w:val="en-US"/>
        </w:rPr>
        <w:t xml:space="preserve"> correct valuation of the company’s visible (e.g. protected brands) and invisible (e.g. “overall reputation”) intangible assets</w:t>
      </w:r>
      <w:r w:rsidR="003B31B7" w:rsidRPr="00983193">
        <w:rPr>
          <w:rFonts w:ascii="Times New Roman" w:hAnsi="Times New Roman" w:cs="Times New Roman"/>
          <w:color w:val="000000" w:themeColor="text1"/>
          <w:sz w:val="23"/>
          <w:szCs w:val="23"/>
          <w:lang w:val="en-US"/>
        </w:rPr>
        <w:t xml:space="preserve"> (Lal Bhasin, 2012)</w:t>
      </w:r>
      <w:r w:rsidR="00D66348" w:rsidRPr="00983193">
        <w:rPr>
          <w:rFonts w:ascii="Times New Roman" w:hAnsi="Times New Roman" w:cs="Times New Roman"/>
          <w:color w:val="000000" w:themeColor="text1"/>
          <w:sz w:val="23"/>
          <w:szCs w:val="23"/>
          <w:lang w:val="en-US"/>
        </w:rPr>
        <w:t xml:space="preserve">. </w:t>
      </w:r>
      <w:r w:rsidR="00814383" w:rsidRPr="00983193">
        <w:rPr>
          <w:rFonts w:ascii="Times New Roman" w:hAnsi="Times New Roman" w:cs="Times New Roman"/>
          <w:color w:val="000000" w:themeColor="text1"/>
          <w:sz w:val="23"/>
          <w:szCs w:val="23"/>
          <w:lang w:val="en-US"/>
        </w:rPr>
        <w:t>Bramhandkar et al. (</w:t>
      </w:r>
      <w:r w:rsidR="00D66348" w:rsidRPr="00983193">
        <w:rPr>
          <w:rFonts w:ascii="Times New Roman" w:hAnsi="Times New Roman" w:cs="Times New Roman"/>
          <w:color w:val="000000" w:themeColor="text1"/>
          <w:sz w:val="23"/>
          <w:szCs w:val="23"/>
          <w:lang w:val="en-US"/>
        </w:rPr>
        <w:t>2007,</w:t>
      </w:r>
      <w:r w:rsidR="00814383"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p.359) argue that the </w:t>
      </w:r>
      <w:r w:rsidR="00D66348" w:rsidRPr="009946C9">
        <w:rPr>
          <w:rFonts w:ascii="Times New Roman" w:hAnsi="Times New Roman" w:cs="Times New Roman"/>
          <w:noProof/>
          <w:color w:val="000000" w:themeColor="text1"/>
          <w:sz w:val="23"/>
          <w:szCs w:val="23"/>
          <w:lang w:val="en-US"/>
        </w:rPr>
        <w:t>M</w:t>
      </w:r>
      <w:r w:rsidR="006C1B92">
        <w:rPr>
          <w:rFonts w:ascii="Times New Roman" w:hAnsi="Times New Roman" w:cs="Times New Roman"/>
          <w:noProof/>
          <w:color w:val="000000" w:themeColor="text1"/>
          <w:sz w:val="23"/>
          <w:szCs w:val="23"/>
          <w:lang w:val="en-US"/>
        </w:rPr>
        <w:t>t</w:t>
      </w:r>
      <w:r w:rsidR="00D66348" w:rsidRPr="009946C9">
        <w:rPr>
          <w:rFonts w:ascii="Times New Roman" w:hAnsi="Times New Roman" w:cs="Times New Roman"/>
          <w:noProof/>
          <w:color w:val="000000" w:themeColor="text1"/>
          <w:sz w:val="23"/>
          <w:szCs w:val="23"/>
          <w:lang w:val="en-US"/>
        </w:rPr>
        <w:t>B</w:t>
      </w:r>
      <w:r w:rsidR="00D66348" w:rsidRPr="00983193">
        <w:rPr>
          <w:rFonts w:ascii="Times New Roman" w:hAnsi="Times New Roman" w:cs="Times New Roman"/>
          <w:color w:val="000000" w:themeColor="text1"/>
          <w:sz w:val="23"/>
          <w:szCs w:val="23"/>
          <w:lang w:val="en-US"/>
        </w:rPr>
        <w:t xml:space="preserve"> ratio measure is “well es</w:t>
      </w:r>
      <w:r w:rsidR="00814383" w:rsidRPr="00983193">
        <w:rPr>
          <w:rFonts w:ascii="Times New Roman" w:hAnsi="Times New Roman" w:cs="Times New Roman"/>
          <w:color w:val="000000" w:themeColor="text1"/>
          <w:sz w:val="23"/>
          <w:szCs w:val="23"/>
          <w:lang w:val="en-US"/>
        </w:rPr>
        <w:t>tablished in the literature and</w:t>
      </w:r>
      <w:r w:rsidR="00D66348" w:rsidRPr="00983193">
        <w:rPr>
          <w:rFonts w:ascii="Times New Roman" w:hAnsi="Times New Roman" w:cs="Times New Roman"/>
          <w:color w:val="000000" w:themeColor="text1"/>
          <w:sz w:val="23"/>
          <w:szCs w:val="23"/>
          <w:lang w:val="en-US"/>
        </w:rPr>
        <w:t xml:space="preserve">, although broad, readily </w:t>
      </w:r>
      <w:r w:rsidR="00D66348" w:rsidRPr="009946C9">
        <w:rPr>
          <w:rFonts w:ascii="Times New Roman" w:hAnsi="Times New Roman" w:cs="Times New Roman"/>
          <w:noProof/>
          <w:color w:val="000000" w:themeColor="text1"/>
          <w:sz w:val="23"/>
          <w:szCs w:val="23"/>
          <w:lang w:val="en-US"/>
        </w:rPr>
        <w:t>identif</w:t>
      </w:r>
      <w:r w:rsidR="009946C9">
        <w:rPr>
          <w:rFonts w:ascii="Times New Roman" w:hAnsi="Times New Roman" w:cs="Times New Roman"/>
          <w:noProof/>
          <w:color w:val="000000" w:themeColor="text1"/>
          <w:sz w:val="23"/>
          <w:szCs w:val="23"/>
          <w:lang w:val="en-US"/>
        </w:rPr>
        <w:t>y</w:t>
      </w:r>
      <w:r w:rsidR="00365DFC">
        <w:rPr>
          <w:rFonts w:ascii="Times New Roman" w:hAnsi="Times New Roman" w:cs="Times New Roman"/>
          <w:noProof/>
          <w:color w:val="000000" w:themeColor="text1"/>
          <w:sz w:val="23"/>
          <w:szCs w:val="23"/>
          <w:lang w:val="en-US"/>
        </w:rPr>
        <w:t>(s)</w:t>
      </w:r>
      <w:r w:rsidR="00D66348" w:rsidRPr="00983193">
        <w:rPr>
          <w:rFonts w:ascii="Times New Roman" w:hAnsi="Times New Roman" w:cs="Times New Roman"/>
          <w:color w:val="000000" w:themeColor="text1"/>
          <w:sz w:val="23"/>
          <w:szCs w:val="23"/>
          <w:lang w:val="en-US"/>
        </w:rPr>
        <w:t xml:space="preserve"> those organizations doing a better job with their knowledge assets”.</w:t>
      </w:r>
      <w:r w:rsidR="00814383" w:rsidRPr="00983193">
        <w:rPr>
          <w:rFonts w:ascii="Times New Roman" w:hAnsi="Times New Roman" w:cs="Times New Roman"/>
          <w:color w:val="000000" w:themeColor="text1"/>
          <w:sz w:val="23"/>
          <w:szCs w:val="23"/>
          <w:lang w:val="en-US"/>
        </w:rPr>
        <w:t xml:space="preserve"> Moreover, Ramanauskaitė and Rudžionienė (2013) in their literature review on IC valuation methods, </w:t>
      </w:r>
      <w:r w:rsidR="00365DFC">
        <w:rPr>
          <w:rFonts w:ascii="Times New Roman" w:hAnsi="Times New Roman" w:cs="Times New Roman"/>
          <w:color w:val="000000" w:themeColor="text1"/>
          <w:sz w:val="23"/>
          <w:szCs w:val="23"/>
          <w:lang w:val="en-US"/>
        </w:rPr>
        <w:t>find</w:t>
      </w:r>
      <w:r w:rsidR="00365DFC" w:rsidRPr="00983193">
        <w:rPr>
          <w:rFonts w:ascii="Times New Roman" w:hAnsi="Times New Roman" w:cs="Times New Roman"/>
          <w:color w:val="000000" w:themeColor="text1"/>
          <w:sz w:val="23"/>
          <w:szCs w:val="23"/>
          <w:lang w:val="en-US"/>
        </w:rPr>
        <w:t xml:space="preserve"> </w:t>
      </w:r>
      <w:r w:rsidR="00814383" w:rsidRPr="00983193">
        <w:rPr>
          <w:rFonts w:ascii="Times New Roman" w:hAnsi="Times New Roman" w:cs="Times New Roman"/>
          <w:color w:val="000000" w:themeColor="text1"/>
          <w:sz w:val="23"/>
          <w:szCs w:val="23"/>
          <w:lang w:val="en-US"/>
        </w:rPr>
        <w:t xml:space="preserve">that </w:t>
      </w:r>
      <w:r w:rsidR="009946C9" w:rsidRPr="009946C9">
        <w:rPr>
          <w:rFonts w:ascii="Times New Roman" w:hAnsi="Times New Roman" w:cs="Times New Roman"/>
          <w:noProof/>
          <w:color w:val="000000" w:themeColor="text1"/>
          <w:sz w:val="23"/>
          <w:szCs w:val="23"/>
          <w:lang w:val="en-US"/>
        </w:rPr>
        <w:t>M</w:t>
      </w:r>
      <w:r w:rsidR="006C1B92">
        <w:rPr>
          <w:rFonts w:ascii="Times New Roman" w:hAnsi="Times New Roman" w:cs="Times New Roman"/>
          <w:noProof/>
          <w:color w:val="000000" w:themeColor="text1"/>
          <w:sz w:val="23"/>
          <w:szCs w:val="23"/>
          <w:lang w:val="en-US"/>
        </w:rPr>
        <w:t>t</w:t>
      </w:r>
      <w:r w:rsidR="009946C9">
        <w:rPr>
          <w:rFonts w:ascii="Times New Roman" w:hAnsi="Times New Roman" w:cs="Times New Roman"/>
          <w:noProof/>
          <w:color w:val="000000" w:themeColor="text1"/>
          <w:sz w:val="23"/>
          <w:szCs w:val="23"/>
          <w:lang w:val="en-US"/>
        </w:rPr>
        <w:t>B</w:t>
      </w:r>
      <w:r w:rsidR="001D4456">
        <w:rPr>
          <w:rFonts w:ascii="Times New Roman" w:hAnsi="Times New Roman" w:cs="Times New Roman"/>
          <w:noProof/>
          <w:color w:val="000000" w:themeColor="text1"/>
          <w:sz w:val="23"/>
          <w:szCs w:val="23"/>
          <w:lang w:val="en-US"/>
        </w:rPr>
        <w:t xml:space="preserve"> based methods</w:t>
      </w:r>
      <w:r w:rsidR="00814383" w:rsidRPr="00983193">
        <w:rPr>
          <w:rFonts w:ascii="Times New Roman" w:hAnsi="Times New Roman" w:cs="Times New Roman"/>
          <w:color w:val="000000" w:themeColor="text1"/>
          <w:sz w:val="23"/>
          <w:szCs w:val="23"/>
          <w:lang w:val="en-US"/>
        </w:rPr>
        <w:t xml:space="preserve"> are </w:t>
      </w:r>
      <w:r w:rsidR="00365DFC">
        <w:rPr>
          <w:rFonts w:ascii="Times New Roman" w:hAnsi="Times New Roman" w:cs="Times New Roman"/>
          <w:color w:val="000000" w:themeColor="text1"/>
          <w:sz w:val="23"/>
          <w:szCs w:val="23"/>
          <w:lang w:val="en-US"/>
        </w:rPr>
        <w:t>most</w:t>
      </w:r>
      <w:r w:rsidR="00814383" w:rsidRPr="00983193">
        <w:rPr>
          <w:rFonts w:ascii="Times New Roman" w:hAnsi="Times New Roman" w:cs="Times New Roman"/>
          <w:color w:val="000000" w:themeColor="text1"/>
          <w:sz w:val="23"/>
          <w:szCs w:val="23"/>
          <w:lang w:val="en-US"/>
        </w:rPr>
        <w:t xml:space="preserve"> </w:t>
      </w:r>
      <w:r w:rsidR="00365DFC">
        <w:rPr>
          <w:rFonts w:ascii="Times New Roman" w:hAnsi="Times New Roman" w:cs="Times New Roman"/>
          <w:color w:val="000000" w:themeColor="text1"/>
          <w:sz w:val="23"/>
          <w:szCs w:val="23"/>
          <w:lang w:val="en-US"/>
        </w:rPr>
        <w:t>evident</w:t>
      </w:r>
      <w:r w:rsidR="00814383" w:rsidRPr="00983193">
        <w:rPr>
          <w:rFonts w:ascii="Times New Roman" w:hAnsi="Times New Roman" w:cs="Times New Roman"/>
          <w:color w:val="000000" w:themeColor="text1"/>
          <w:sz w:val="23"/>
          <w:szCs w:val="23"/>
          <w:lang w:val="en-US"/>
        </w:rPr>
        <w:t xml:space="preserve"> in IC scientific works. </w:t>
      </w:r>
    </w:p>
    <w:p w14:paraId="2C4BF583" w14:textId="77777777" w:rsidR="001D4456" w:rsidRDefault="00751A7D" w:rsidP="001D4456">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814383" w:rsidRPr="00983193">
        <w:rPr>
          <w:rFonts w:ascii="Times New Roman" w:hAnsi="Times New Roman" w:cs="Times New Roman"/>
          <w:color w:val="000000" w:themeColor="text1"/>
          <w:sz w:val="23"/>
          <w:szCs w:val="23"/>
          <w:lang w:val="en-US"/>
        </w:rPr>
        <w:t>S</w:t>
      </w:r>
      <w:r w:rsidR="0061656C" w:rsidRPr="00983193">
        <w:rPr>
          <w:rFonts w:ascii="Times New Roman" w:hAnsi="Times New Roman" w:cs="Times New Roman"/>
          <w:color w:val="000000" w:themeColor="text1"/>
          <w:sz w:val="23"/>
          <w:szCs w:val="23"/>
          <w:lang w:val="en-US"/>
        </w:rPr>
        <w:t>everal</w:t>
      </w:r>
      <w:r w:rsidR="00814383" w:rsidRPr="00983193">
        <w:rPr>
          <w:rFonts w:ascii="Times New Roman" w:hAnsi="Times New Roman" w:cs="Times New Roman"/>
          <w:color w:val="000000" w:themeColor="text1"/>
          <w:sz w:val="23"/>
          <w:szCs w:val="23"/>
          <w:lang w:val="en-US"/>
        </w:rPr>
        <w:t xml:space="preserve"> scholars (</w:t>
      </w:r>
      <w:r w:rsidR="0061656C" w:rsidRPr="00983193">
        <w:rPr>
          <w:rFonts w:ascii="Times New Roman" w:hAnsi="Times New Roman" w:cs="Times New Roman"/>
          <w:color w:val="000000" w:themeColor="text1"/>
          <w:sz w:val="23"/>
          <w:szCs w:val="23"/>
          <w:lang w:val="en-US"/>
        </w:rPr>
        <w:t>Bramhandkar et al., 2007; Ghosh and Wu, 2007; Jurczak, 2008;</w:t>
      </w:r>
      <w:r w:rsidR="00EC3CBD" w:rsidRPr="00983193">
        <w:rPr>
          <w:rFonts w:ascii="Times New Roman" w:hAnsi="Times New Roman" w:cs="Times New Roman"/>
          <w:color w:val="000000" w:themeColor="text1"/>
          <w:sz w:val="23"/>
          <w:szCs w:val="23"/>
          <w:lang w:val="en-US"/>
        </w:rPr>
        <w:t xml:space="preserve"> Whiting and Miller, 2008;</w:t>
      </w:r>
      <w:r w:rsidR="0061656C" w:rsidRPr="00983193">
        <w:rPr>
          <w:rFonts w:ascii="Times New Roman" w:hAnsi="Times New Roman" w:cs="Times New Roman"/>
          <w:color w:val="000000" w:themeColor="text1"/>
          <w:sz w:val="23"/>
          <w:szCs w:val="23"/>
          <w:lang w:val="en-US"/>
        </w:rPr>
        <w:t xml:space="preserve"> </w:t>
      </w:r>
      <w:r w:rsidR="00814383" w:rsidRPr="00983193">
        <w:rPr>
          <w:rFonts w:ascii="Times New Roman" w:hAnsi="Times New Roman" w:cs="Times New Roman"/>
          <w:color w:val="000000" w:themeColor="text1"/>
          <w:sz w:val="23"/>
          <w:szCs w:val="23"/>
          <w:lang w:val="en-US"/>
        </w:rPr>
        <w:t>Paździor and Paździor, 2012;</w:t>
      </w:r>
      <w:r w:rsidR="0061656C" w:rsidRPr="00983193">
        <w:rPr>
          <w:rFonts w:ascii="Times New Roman" w:hAnsi="Times New Roman" w:cs="Times New Roman"/>
          <w:color w:val="000000" w:themeColor="text1"/>
          <w:sz w:val="23"/>
          <w:szCs w:val="23"/>
          <w:lang w:val="en-US"/>
        </w:rPr>
        <w:t xml:space="preserve"> </w:t>
      </w:r>
      <w:r w:rsidR="0061656C" w:rsidRPr="00F12168">
        <w:rPr>
          <w:rFonts w:ascii="Times New Roman" w:hAnsi="Times New Roman" w:cs="Times New Roman"/>
          <w:color w:val="000000" w:themeColor="text1"/>
          <w:sz w:val="23"/>
          <w:szCs w:val="23"/>
          <w:lang w:val="en-US"/>
        </w:rPr>
        <w:t>Forte</w:t>
      </w:r>
      <w:r w:rsidR="0061656C" w:rsidRPr="00983193">
        <w:rPr>
          <w:rFonts w:ascii="Times New Roman" w:hAnsi="Times New Roman" w:cs="Times New Roman"/>
          <w:color w:val="000000" w:themeColor="text1"/>
          <w:sz w:val="23"/>
          <w:szCs w:val="23"/>
          <w:lang w:val="en-US"/>
        </w:rPr>
        <w:t xml:space="preserve"> et al., 2017) </w:t>
      </w:r>
      <w:r w:rsidR="00365DFC">
        <w:rPr>
          <w:rFonts w:ascii="Times New Roman" w:hAnsi="Times New Roman" w:cs="Times New Roman"/>
          <w:color w:val="000000" w:themeColor="text1"/>
          <w:sz w:val="23"/>
          <w:szCs w:val="23"/>
          <w:lang w:val="en-US"/>
        </w:rPr>
        <w:t xml:space="preserve">find that </w:t>
      </w:r>
      <w:r w:rsidR="0061656C" w:rsidRPr="00983193">
        <w:rPr>
          <w:rFonts w:ascii="Times New Roman" w:hAnsi="Times New Roman" w:cs="Times New Roman"/>
          <w:color w:val="000000" w:themeColor="text1"/>
          <w:sz w:val="23"/>
          <w:szCs w:val="23"/>
          <w:lang w:val="en-US"/>
        </w:rPr>
        <w:t xml:space="preserve">besides </w:t>
      </w:r>
      <w:r w:rsidR="00365DFC">
        <w:rPr>
          <w:rFonts w:ascii="Times New Roman" w:hAnsi="Times New Roman" w:cs="Times New Roman"/>
          <w:color w:val="000000" w:themeColor="text1"/>
          <w:sz w:val="23"/>
          <w:szCs w:val="23"/>
          <w:lang w:val="en-US"/>
        </w:rPr>
        <w:t>its</w:t>
      </w:r>
      <w:r w:rsidR="0061656C" w:rsidRPr="00983193">
        <w:rPr>
          <w:rFonts w:ascii="Times New Roman" w:hAnsi="Times New Roman" w:cs="Times New Roman"/>
          <w:color w:val="000000" w:themeColor="text1"/>
          <w:sz w:val="23"/>
          <w:szCs w:val="23"/>
          <w:lang w:val="en-US"/>
        </w:rPr>
        <w:t xml:space="preserve"> informati</w:t>
      </w:r>
      <w:r w:rsidR="00365DFC">
        <w:rPr>
          <w:rFonts w:ascii="Times New Roman" w:hAnsi="Times New Roman" w:cs="Times New Roman"/>
          <w:color w:val="000000" w:themeColor="text1"/>
          <w:sz w:val="23"/>
          <w:szCs w:val="23"/>
          <w:lang w:val="en-US"/>
        </w:rPr>
        <w:t>on</w:t>
      </w:r>
      <w:r w:rsidR="0061656C" w:rsidRPr="00983193">
        <w:rPr>
          <w:rFonts w:ascii="Times New Roman" w:hAnsi="Times New Roman" w:cs="Times New Roman"/>
          <w:color w:val="000000" w:themeColor="text1"/>
          <w:sz w:val="23"/>
          <w:szCs w:val="23"/>
          <w:lang w:val="en-US"/>
        </w:rPr>
        <w:t xml:space="preserve"> value, </w:t>
      </w:r>
      <w:r w:rsidR="00365DFC">
        <w:rPr>
          <w:rFonts w:ascii="Times New Roman" w:hAnsi="Times New Roman" w:cs="Times New Roman"/>
          <w:color w:val="000000" w:themeColor="text1"/>
          <w:sz w:val="23"/>
          <w:szCs w:val="23"/>
          <w:lang w:val="en-US"/>
        </w:rPr>
        <w:t xml:space="preserve">the </w:t>
      </w:r>
      <w:r w:rsidR="0061656C" w:rsidRPr="00983193">
        <w:rPr>
          <w:rFonts w:ascii="Times New Roman" w:hAnsi="Times New Roman" w:cs="Times New Roman"/>
          <w:color w:val="000000" w:themeColor="text1"/>
          <w:sz w:val="23"/>
          <w:szCs w:val="23"/>
          <w:lang w:val="en-US"/>
        </w:rPr>
        <w:t>method</w:t>
      </w:r>
      <w:r w:rsidR="00365DFC" w:rsidRPr="00365DFC">
        <w:rPr>
          <w:rFonts w:ascii="Times New Roman" w:hAnsi="Times New Roman" w:cs="Times New Roman"/>
          <w:color w:val="000000" w:themeColor="text1"/>
          <w:sz w:val="23"/>
          <w:szCs w:val="23"/>
          <w:lang w:val="en-US"/>
        </w:rPr>
        <w:t xml:space="preserve"> </w:t>
      </w:r>
      <w:r w:rsidR="00365DFC">
        <w:rPr>
          <w:rFonts w:ascii="Times New Roman" w:hAnsi="Times New Roman" w:cs="Times New Roman"/>
          <w:color w:val="000000" w:themeColor="text1"/>
          <w:sz w:val="23"/>
          <w:szCs w:val="23"/>
          <w:lang w:val="en-US"/>
        </w:rPr>
        <w:t>is simple to apply</w:t>
      </w:r>
      <w:r w:rsidR="00EC3CBD" w:rsidRPr="00983193">
        <w:rPr>
          <w:rFonts w:ascii="Times New Roman" w:hAnsi="Times New Roman" w:cs="Times New Roman"/>
          <w:color w:val="000000" w:themeColor="text1"/>
          <w:sz w:val="23"/>
          <w:szCs w:val="23"/>
          <w:lang w:val="en-US"/>
        </w:rPr>
        <w:t xml:space="preserve">, </w:t>
      </w:r>
      <w:r w:rsidR="00365DFC">
        <w:rPr>
          <w:rFonts w:ascii="Times New Roman" w:hAnsi="Times New Roman" w:cs="Times New Roman"/>
          <w:color w:val="000000" w:themeColor="text1"/>
          <w:sz w:val="23"/>
          <w:szCs w:val="23"/>
          <w:lang w:val="en-US"/>
        </w:rPr>
        <w:t xml:space="preserve">it uses </w:t>
      </w:r>
      <w:r w:rsidR="00EC3CBD" w:rsidRPr="00983193">
        <w:rPr>
          <w:rFonts w:ascii="Times New Roman" w:hAnsi="Times New Roman" w:cs="Times New Roman"/>
          <w:color w:val="000000" w:themeColor="text1"/>
          <w:sz w:val="23"/>
          <w:szCs w:val="23"/>
          <w:lang w:val="en-US"/>
        </w:rPr>
        <w:t>public</w:t>
      </w:r>
      <w:r w:rsidR="00365DFC">
        <w:rPr>
          <w:rFonts w:ascii="Times New Roman" w:hAnsi="Times New Roman" w:cs="Times New Roman"/>
          <w:color w:val="000000" w:themeColor="text1"/>
          <w:sz w:val="23"/>
          <w:szCs w:val="23"/>
          <w:lang w:val="en-US"/>
        </w:rPr>
        <w:t>ly</w:t>
      </w:r>
      <w:r w:rsidR="00EC3CBD" w:rsidRPr="00983193">
        <w:rPr>
          <w:rFonts w:ascii="Times New Roman" w:hAnsi="Times New Roman" w:cs="Times New Roman"/>
          <w:color w:val="000000" w:themeColor="text1"/>
          <w:sz w:val="23"/>
          <w:szCs w:val="23"/>
          <w:lang w:val="en-US"/>
        </w:rPr>
        <w:t xml:space="preserve"> </w:t>
      </w:r>
      <w:r w:rsidR="00C9018A" w:rsidRPr="00983193">
        <w:rPr>
          <w:rFonts w:ascii="Times New Roman" w:hAnsi="Times New Roman" w:cs="Times New Roman"/>
          <w:color w:val="000000" w:themeColor="text1"/>
          <w:sz w:val="23"/>
          <w:szCs w:val="23"/>
          <w:lang w:val="en-US"/>
        </w:rPr>
        <w:t>available</w:t>
      </w:r>
      <w:r w:rsidR="00EC3CBD" w:rsidRPr="00983193">
        <w:rPr>
          <w:rFonts w:ascii="Times New Roman" w:hAnsi="Times New Roman" w:cs="Times New Roman"/>
          <w:color w:val="000000" w:themeColor="text1"/>
          <w:sz w:val="23"/>
          <w:szCs w:val="23"/>
          <w:lang w:val="en-US"/>
        </w:rPr>
        <w:t xml:space="preserve"> data</w:t>
      </w:r>
      <w:r w:rsidR="00365DFC">
        <w:rPr>
          <w:rFonts w:ascii="Times New Roman" w:hAnsi="Times New Roman" w:cs="Times New Roman"/>
          <w:color w:val="000000" w:themeColor="text1"/>
          <w:sz w:val="23"/>
          <w:szCs w:val="23"/>
          <w:lang w:val="en-US"/>
        </w:rPr>
        <w:t>,</w:t>
      </w:r>
      <w:r w:rsidR="0061656C" w:rsidRPr="00983193">
        <w:rPr>
          <w:rFonts w:ascii="Times New Roman" w:hAnsi="Times New Roman" w:cs="Times New Roman"/>
          <w:color w:val="000000" w:themeColor="text1"/>
          <w:sz w:val="23"/>
          <w:szCs w:val="23"/>
          <w:lang w:val="en-US"/>
        </w:rPr>
        <w:t xml:space="preserve"> and </w:t>
      </w:r>
      <w:r w:rsidR="00365DFC">
        <w:rPr>
          <w:rFonts w:ascii="Times New Roman" w:hAnsi="Times New Roman" w:cs="Times New Roman"/>
          <w:color w:val="000000" w:themeColor="text1"/>
          <w:sz w:val="23"/>
          <w:szCs w:val="23"/>
          <w:lang w:val="en-US"/>
        </w:rPr>
        <w:t>enables</w:t>
      </w:r>
      <w:r w:rsidR="0061656C" w:rsidRPr="00983193">
        <w:rPr>
          <w:rFonts w:ascii="Times New Roman" w:hAnsi="Times New Roman" w:cs="Times New Roman"/>
          <w:color w:val="000000" w:themeColor="text1"/>
          <w:sz w:val="23"/>
          <w:szCs w:val="23"/>
          <w:lang w:val="en-US"/>
        </w:rPr>
        <w:t xml:space="preserve"> simple comparisons.</w:t>
      </w:r>
      <w:r w:rsidR="00814383" w:rsidRPr="00983193">
        <w:rPr>
          <w:rFonts w:ascii="Times New Roman" w:hAnsi="Times New Roman" w:cs="Times New Roman"/>
          <w:color w:val="000000" w:themeColor="text1"/>
          <w:sz w:val="23"/>
          <w:szCs w:val="23"/>
          <w:lang w:val="en-US"/>
        </w:rPr>
        <w:t xml:space="preserve"> </w:t>
      </w:r>
      <w:r w:rsidR="0061656C" w:rsidRPr="00983193">
        <w:rPr>
          <w:rFonts w:ascii="Times New Roman" w:hAnsi="Times New Roman" w:cs="Times New Roman"/>
          <w:color w:val="000000" w:themeColor="text1"/>
          <w:sz w:val="23"/>
          <w:szCs w:val="23"/>
          <w:lang w:val="en-US"/>
        </w:rPr>
        <w:t>Nevertheless</w:t>
      </w:r>
      <w:r w:rsidR="00D66348" w:rsidRPr="00983193">
        <w:rPr>
          <w:rFonts w:ascii="Times New Roman" w:hAnsi="Times New Roman" w:cs="Times New Roman"/>
          <w:color w:val="000000" w:themeColor="text1"/>
          <w:sz w:val="23"/>
          <w:szCs w:val="23"/>
          <w:lang w:val="en-US"/>
        </w:rPr>
        <w:t>, two</w:t>
      </w:r>
      <w:r w:rsidR="0061656C" w:rsidRPr="00983193">
        <w:rPr>
          <w:rFonts w:ascii="Times New Roman" w:hAnsi="Times New Roman" w:cs="Times New Roman"/>
          <w:color w:val="000000" w:themeColor="text1"/>
          <w:sz w:val="23"/>
          <w:szCs w:val="23"/>
          <w:lang w:val="en-US"/>
        </w:rPr>
        <w:t xml:space="preserve"> main</w:t>
      </w:r>
      <w:r w:rsidR="00D66348" w:rsidRPr="00983193">
        <w:rPr>
          <w:rFonts w:ascii="Times New Roman" w:hAnsi="Times New Roman" w:cs="Times New Roman"/>
          <w:color w:val="000000" w:themeColor="text1"/>
          <w:sz w:val="23"/>
          <w:szCs w:val="23"/>
          <w:lang w:val="en-US"/>
        </w:rPr>
        <w:t xml:space="preserve"> issues </w:t>
      </w:r>
      <w:r w:rsidR="00365DFC">
        <w:rPr>
          <w:rFonts w:ascii="Times New Roman" w:hAnsi="Times New Roman" w:cs="Times New Roman"/>
          <w:color w:val="000000" w:themeColor="text1"/>
          <w:sz w:val="23"/>
          <w:szCs w:val="23"/>
          <w:lang w:val="en-US"/>
        </w:rPr>
        <w:t>arise</w:t>
      </w:r>
      <w:r w:rsidR="00365DFC"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from the application of the </w:t>
      </w:r>
      <w:r w:rsidR="00D66348" w:rsidRPr="009946C9">
        <w:rPr>
          <w:rFonts w:ascii="Times New Roman" w:hAnsi="Times New Roman" w:cs="Times New Roman"/>
          <w:noProof/>
          <w:color w:val="000000" w:themeColor="text1"/>
          <w:sz w:val="23"/>
          <w:szCs w:val="23"/>
          <w:lang w:val="en-US"/>
        </w:rPr>
        <w:t>M</w:t>
      </w:r>
      <w:r w:rsidR="006C1B92">
        <w:rPr>
          <w:rFonts w:ascii="Times New Roman" w:hAnsi="Times New Roman" w:cs="Times New Roman"/>
          <w:noProof/>
          <w:color w:val="000000" w:themeColor="text1"/>
          <w:sz w:val="23"/>
          <w:szCs w:val="23"/>
          <w:lang w:val="en-US"/>
        </w:rPr>
        <w:t>t</w:t>
      </w:r>
      <w:r w:rsidR="00D66348" w:rsidRPr="009946C9">
        <w:rPr>
          <w:rFonts w:ascii="Times New Roman" w:hAnsi="Times New Roman" w:cs="Times New Roman"/>
          <w:noProof/>
          <w:color w:val="000000" w:themeColor="text1"/>
          <w:sz w:val="23"/>
          <w:szCs w:val="23"/>
          <w:lang w:val="en-US"/>
        </w:rPr>
        <w:t>B</w:t>
      </w:r>
      <w:r w:rsidR="00D66348" w:rsidRPr="00983193">
        <w:rPr>
          <w:rFonts w:ascii="Times New Roman" w:hAnsi="Times New Roman" w:cs="Times New Roman"/>
          <w:color w:val="000000" w:themeColor="text1"/>
          <w:sz w:val="23"/>
          <w:szCs w:val="23"/>
          <w:lang w:val="en-US"/>
        </w:rPr>
        <w:t xml:space="preserve"> ratio: </w:t>
      </w:r>
      <w:r w:rsidR="00365DFC">
        <w:rPr>
          <w:rFonts w:ascii="Times New Roman" w:hAnsi="Times New Roman" w:cs="Times New Roman"/>
          <w:color w:val="000000" w:themeColor="text1"/>
          <w:sz w:val="23"/>
          <w:szCs w:val="23"/>
          <w:lang w:val="en-US"/>
        </w:rPr>
        <w:t xml:space="preserve">(i) </w:t>
      </w:r>
      <w:r w:rsidR="00D66348" w:rsidRPr="00983193">
        <w:rPr>
          <w:rFonts w:ascii="Times New Roman" w:hAnsi="Times New Roman" w:cs="Times New Roman"/>
          <w:color w:val="000000" w:themeColor="text1"/>
          <w:sz w:val="23"/>
          <w:szCs w:val="23"/>
          <w:lang w:val="en-US"/>
        </w:rPr>
        <w:t xml:space="preserve">the distortion of data </w:t>
      </w:r>
      <w:r w:rsidR="00365DFC">
        <w:rPr>
          <w:rFonts w:ascii="Times New Roman" w:hAnsi="Times New Roman" w:cs="Times New Roman"/>
          <w:noProof/>
          <w:color w:val="000000" w:themeColor="text1"/>
          <w:sz w:val="23"/>
          <w:szCs w:val="23"/>
          <w:lang w:val="en-US"/>
        </w:rPr>
        <w:t>generated</w:t>
      </w:r>
      <w:r w:rsidR="00365DFC"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by historical cost accounting</w:t>
      </w:r>
      <w:r w:rsidR="00365DFC">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w:t>
      </w:r>
      <w:r w:rsidR="003B31B7" w:rsidRPr="00983193">
        <w:rPr>
          <w:rFonts w:ascii="Times New Roman" w:hAnsi="Times New Roman" w:cs="Times New Roman"/>
          <w:color w:val="000000" w:themeColor="text1"/>
          <w:sz w:val="23"/>
          <w:szCs w:val="23"/>
          <w:lang w:val="en-US"/>
        </w:rPr>
        <w:t xml:space="preserve">and </w:t>
      </w:r>
      <w:r w:rsidR="00365DFC">
        <w:rPr>
          <w:rFonts w:ascii="Times New Roman" w:hAnsi="Times New Roman" w:cs="Times New Roman"/>
          <w:color w:val="000000" w:themeColor="text1"/>
          <w:sz w:val="23"/>
          <w:szCs w:val="23"/>
          <w:lang w:val="en-US"/>
        </w:rPr>
        <w:t xml:space="preserve">(ii) </w:t>
      </w:r>
      <w:r w:rsidR="003B31B7" w:rsidRPr="00983193">
        <w:rPr>
          <w:rFonts w:ascii="Times New Roman" w:hAnsi="Times New Roman" w:cs="Times New Roman"/>
          <w:color w:val="000000" w:themeColor="text1"/>
          <w:sz w:val="23"/>
          <w:szCs w:val="23"/>
          <w:lang w:val="en-US"/>
        </w:rPr>
        <w:t>the influence</w:t>
      </w:r>
      <w:r w:rsidR="00D66348" w:rsidRPr="00983193">
        <w:rPr>
          <w:rFonts w:ascii="Times New Roman" w:hAnsi="Times New Roman" w:cs="Times New Roman"/>
          <w:color w:val="000000" w:themeColor="text1"/>
          <w:sz w:val="23"/>
          <w:szCs w:val="23"/>
          <w:lang w:val="en-US"/>
        </w:rPr>
        <w:t xml:space="preserve">, especially in </w:t>
      </w:r>
      <w:r w:rsidR="00BC5AB7" w:rsidRPr="00983193">
        <w:rPr>
          <w:rFonts w:ascii="Times New Roman" w:hAnsi="Times New Roman" w:cs="Times New Roman"/>
          <w:color w:val="000000" w:themeColor="text1"/>
          <w:sz w:val="23"/>
          <w:szCs w:val="23"/>
          <w:lang w:val="en-US"/>
        </w:rPr>
        <w:t>short-term</w:t>
      </w:r>
      <w:r w:rsidR="00D66348" w:rsidRPr="00983193">
        <w:rPr>
          <w:rFonts w:ascii="Times New Roman" w:hAnsi="Times New Roman" w:cs="Times New Roman"/>
          <w:color w:val="000000" w:themeColor="text1"/>
          <w:sz w:val="23"/>
          <w:szCs w:val="23"/>
          <w:lang w:val="en-US"/>
        </w:rPr>
        <w:t xml:space="preserve"> analysis, of “unpredictable”</w:t>
      </w:r>
      <w:r w:rsidR="003B31B7" w:rsidRPr="00983193">
        <w:rPr>
          <w:rFonts w:ascii="Times New Roman" w:hAnsi="Times New Roman" w:cs="Times New Roman"/>
          <w:color w:val="000000" w:themeColor="text1"/>
          <w:sz w:val="23"/>
          <w:szCs w:val="23"/>
          <w:lang w:val="en-US"/>
        </w:rPr>
        <w:t xml:space="preserve"> market fluctuations</w:t>
      </w:r>
      <w:r w:rsidR="0061656C" w:rsidRPr="00983193">
        <w:rPr>
          <w:rFonts w:ascii="Times New Roman" w:hAnsi="Times New Roman" w:cs="Times New Roman"/>
          <w:color w:val="000000" w:themeColor="text1"/>
          <w:sz w:val="23"/>
          <w:szCs w:val="23"/>
          <w:lang w:val="en-US"/>
        </w:rPr>
        <w:t xml:space="preserve"> (Dumay</w:t>
      </w:r>
      <w:r w:rsidR="00F73655">
        <w:rPr>
          <w:rFonts w:ascii="Times New Roman" w:hAnsi="Times New Roman" w:cs="Times New Roman"/>
          <w:color w:val="000000" w:themeColor="text1"/>
          <w:sz w:val="23"/>
          <w:szCs w:val="23"/>
          <w:lang w:val="en-US"/>
        </w:rPr>
        <w:t>,</w:t>
      </w:r>
      <w:r w:rsidR="0061656C" w:rsidRPr="00983193">
        <w:rPr>
          <w:rFonts w:ascii="Times New Roman" w:hAnsi="Times New Roman" w:cs="Times New Roman"/>
          <w:color w:val="000000" w:themeColor="text1"/>
          <w:sz w:val="23"/>
          <w:szCs w:val="23"/>
          <w:lang w:val="en-US"/>
        </w:rPr>
        <w:t xml:space="preserve"> 2012; Paździor and Paździor, 2012; Goebel, 2015)</w:t>
      </w:r>
      <w:r w:rsidR="003B31B7" w:rsidRPr="00983193">
        <w:rPr>
          <w:rFonts w:ascii="Times New Roman" w:hAnsi="Times New Roman" w:cs="Times New Roman"/>
          <w:color w:val="000000" w:themeColor="text1"/>
          <w:sz w:val="23"/>
          <w:szCs w:val="23"/>
          <w:lang w:val="en-US"/>
        </w:rPr>
        <w:t>.</w:t>
      </w:r>
      <w:r w:rsidR="00365DFC">
        <w:rPr>
          <w:rFonts w:ascii="Times New Roman" w:hAnsi="Times New Roman" w:cs="Times New Roman"/>
          <w:color w:val="000000" w:themeColor="text1"/>
          <w:sz w:val="23"/>
          <w:szCs w:val="23"/>
          <w:lang w:val="en-US"/>
        </w:rPr>
        <w:t xml:space="preserve"> </w:t>
      </w:r>
    </w:p>
    <w:p w14:paraId="79165E9B" w14:textId="77777777" w:rsidR="001D4456" w:rsidRDefault="00D66348" w:rsidP="001D4456">
      <w:pPr>
        <w:spacing w:after="0" w:line="240" w:lineRule="auto"/>
        <w:contextualSpacing/>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In </w:t>
      </w:r>
      <w:r w:rsidR="00365DFC">
        <w:rPr>
          <w:rFonts w:ascii="Times New Roman" w:hAnsi="Times New Roman" w:cs="Times New Roman"/>
          <w:color w:val="000000" w:themeColor="text1"/>
          <w:sz w:val="23"/>
          <w:szCs w:val="23"/>
          <w:lang w:val="en-US"/>
        </w:rPr>
        <w:t>summary</w:t>
      </w:r>
      <w:r w:rsidR="0061656C" w:rsidRPr="00983193">
        <w:rPr>
          <w:rFonts w:ascii="Times New Roman" w:hAnsi="Times New Roman" w:cs="Times New Roman"/>
          <w:color w:val="000000" w:themeColor="text1"/>
          <w:sz w:val="23"/>
          <w:szCs w:val="23"/>
          <w:lang w:val="en-US"/>
        </w:rPr>
        <w:t xml:space="preserve">, </w:t>
      </w:r>
      <w:r w:rsidR="00365DFC">
        <w:rPr>
          <w:rFonts w:ascii="Times New Roman" w:hAnsi="Times New Roman" w:cs="Times New Roman"/>
          <w:color w:val="000000" w:themeColor="text1"/>
          <w:sz w:val="23"/>
          <w:szCs w:val="23"/>
          <w:lang w:val="en-US"/>
        </w:rPr>
        <w:t xml:space="preserve">the </w:t>
      </w:r>
      <w:r w:rsidR="0061656C" w:rsidRPr="00983193">
        <w:rPr>
          <w:rFonts w:ascii="Times New Roman" w:hAnsi="Times New Roman" w:cs="Times New Roman"/>
          <w:color w:val="000000" w:themeColor="text1"/>
          <w:sz w:val="23"/>
          <w:szCs w:val="23"/>
          <w:lang w:val="en-US"/>
        </w:rPr>
        <w:t>M</w:t>
      </w:r>
      <w:r w:rsidR="006C1B92">
        <w:rPr>
          <w:rFonts w:ascii="Times New Roman" w:hAnsi="Times New Roman" w:cs="Times New Roman"/>
          <w:color w:val="000000" w:themeColor="text1"/>
          <w:sz w:val="23"/>
          <w:szCs w:val="23"/>
          <w:lang w:val="en-US"/>
        </w:rPr>
        <w:t>t</w:t>
      </w:r>
      <w:r w:rsidR="0061656C" w:rsidRPr="00983193">
        <w:rPr>
          <w:rFonts w:ascii="Times New Roman" w:hAnsi="Times New Roman" w:cs="Times New Roman"/>
          <w:color w:val="000000" w:themeColor="text1"/>
          <w:sz w:val="23"/>
          <w:szCs w:val="23"/>
          <w:lang w:val="en-US"/>
        </w:rPr>
        <w:t xml:space="preserve">B ratio </w:t>
      </w:r>
      <w:r w:rsidR="00365DFC">
        <w:rPr>
          <w:rFonts w:ascii="Times New Roman" w:hAnsi="Times New Roman" w:cs="Times New Roman"/>
          <w:color w:val="000000" w:themeColor="text1"/>
          <w:sz w:val="23"/>
          <w:szCs w:val="23"/>
          <w:lang w:val="en-US"/>
        </w:rPr>
        <w:t>enables a measurement of</w:t>
      </w:r>
      <w:r w:rsidRPr="00983193">
        <w:rPr>
          <w:rFonts w:ascii="Times New Roman" w:hAnsi="Times New Roman" w:cs="Times New Roman"/>
          <w:color w:val="000000" w:themeColor="text1"/>
          <w:sz w:val="23"/>
          <w:szCs w:val="23"/>
          <w:lang w:val="en-US"/>
        </w:rPr>
        <w:t xml:space="preserve"> the specific </w:t>
      </w:r>
      <w:r w:rsidRPr="009946C9">
        <w:rPr>
          <w:rFonts w:ascii="Times New Roman" w:hAnsi="Times New Roman" w:cs="Times New Roman"/>
          <w:noProof/>
          <w:color w:val="000000" w:themeColor="text1"/>
          <w:sz w:val="23"/>
          <w:szCs w:val="23"/>
          <w:lang w:val="en-US"/>
        </w:rPr>
        <w:t>contribut</w:t>
      </w:r>
      <w:r w:rsidR="009946C9">
        <w:rPr>
          <w:rFonts w:ascii="Times New Roman" w:hAnsi="Times New Roman" w:cs="Times New Roman"/>
          <w:noProof/>
          <w:color w:val="000000" w:themeColor="text1"/>
          <w:sz w:val="23"/>
          <w:szCs w:val="23"/>
          <w:lang w:val="en-US"/>
        </w:rPr>
        <w:t>ion</w:t>
      </w:r>
      <w:r w:rsidRPr="00983193">
        <w:rPr>
          <w:rFonts w:ascii="Times New Roman" w:hAnsi="Times New Roman" w:cs="Times New Roman"/>
          <w:color w:val="000000" w:themeColor="text1"/>
          <w:sz w:val="23"/>
          <w:szCs w:val="23"/>
          <w:lang w:val="en-US"/>
        </w:rPr>
        <w:t xml:space="preserve"> of </w:t>
      </w:r>
      <w:r w:rsidR="00365DFC">
        <w:rPr>
          <w:rFonts w:ascii="Times New Roman" w:hAnsi="Times New Roman" w:cs="Times New Roman"/>
          <w:color w:val="000000" w:themeColor="text1"/>
          <w:sz w:val="23"/>
          <w:szCs w:val="23"/>
          <w:lang w:val="en-US"/>
        </w:rPr>
        <w:t>i</w:t>
      </w:r>
      <w:r w:rsidRPr="00983193">
        <w:rPr>
          <w:rFonts w:ascii="Times New Roman" w:hAnsi="Times New Roman" w:cs="Times New Roman"/>
          <w:color w:val="000000" w:themeColor="text1"/>
          <w:sz w:val="23"/>
          <w:szCs w:val="23"/>
          <w:lang w:val="en-US"/>
        </w:rPr>
        <w:t>ntangi</w:t>
      </w:r>
      <w:r w:rsidR="00BC5AB7" w:rsidRPr="00983193">
        <w:rPr>
          <w:rFonts w:ascii="Times New Roman" w:hAnsi="Times New Roman" w:cs="Times New Roman"/>
          <w:color w:val="000000" w:themeColor="text1"/>
          <w:sz w:val="23"/>
          <w:szCs w:val="23"/>
          <w:lang w:val="en-US"/>
        </w:rPr>
        <w:t xml:space="preserve">bles (assumed </w:t>
      </w:r>
      <w:r w:rsidR="00365DFC">
        <w:rPr>
          <w:rFonts w:ascii="Times New Roman" w:hAnsi="Times New Roman" w:cs="Times New Roman"/>
          <w:color w:val="000000" w:themeColor="text1"/>
          <w:sz w:val="23"/>
          <w:szCs w:val="23"/>
          <w:lang w:val="en-US"/>
        </w:rPr>
        <w:t>to be</w:t>
      </w:r>
      <w:r w:rsidR="00365DFC" w:rsidRPr="00983193">
        <w:rPr>
          <w:rFonts w:ascii="Times New Roman" w:hAnsi="Times New Roman" w:cs="Times New Roman"/>
          <w:color w:val="000000" w:themeColor="text1"/>
          <w:sz w:val="23"/>
          <w:szCs w:val="23"/>
          <w:lang w:val="en-US"/>
        </w:rPr>
        <w:t xml:space="preserve"> </w:t>
      </w:r>
      <w:r w:rsidR="00BC5AB7" w:rsidRPr="009946C9">
        <w:rPr>
          <w:rFonts w:ascii="Times New Roman" w:hAnsi="Times New Roman" w:cs="Times New Roman"/>
          <w:noProof/>
          <w:color w:val="000000" w:themeColor="text1"/>
          <w:sz w:val="23"/>
          <w:szCs w:val="23"/>
          <w:lang w:val="en-US"/>
        </w:rPr>
        <w:t>equivalent</w:t>
      </w:r>
      <w:r w:rsidR="00BC5AB7" w:rsidRPr="00983193">
        <w:rPr>
          <w:rFonts w:ascii="Times New Roman" w:hAnsi="Times New Roman" w:cs="Times New Roman"/>
          <w:color w:val="000000" w:themeColor="text1"/>
          <w:sz w:val="23"/>
          <w:szCs w:val="23"/>
          <w:lang w:val="en-US"/>
        </w:rPr>
        <w:t xml:space="preserve"> </w:t>
      </w:r>
      <w:r w:rsidR="00365DFC">
        <w:rPr>
          <w:rFonts w:ascii="Times New Roman" w:hAnsi="Times New Roman" w:cs="Times New Roman"/>
          <w:color w:val="000000" w:themeColor="text1"/>
          <w:sz w:val="23"/>
          <w:szCs w:val="23"/>
          <w:lang w:val="en-US"/>
        </w:rPr>
        <w:t>to</w:t>
      </w:r>
      <w:r w:rsidR="00BC5AB7" w:rsidRPr="00983193">
        <w:rPr>
          <w:rFonts w:ascii="Times New Roman" w:hAnsi="Times New Roman" w:cs="Times New Roman"/>
          <w:color w:val="000000" w:themeColor="text1"/>
          <w:sz w:val="23"/>
          <w:szCs w:val="23"/>
          <w:lang w:val="en-US"/>
        </w:rPr>
        <w:t xml:space="preserve"> </w:t>
      </w:r>
      <w:r w:rsidRPr="00983193">
        <w:rPr>
          <w:rFonts w:ascii="Times New Roman" w:hAnsi="Times New Roman" w:cs="Times New Roman"/>
          <w:color w:val="000000" w:themeColor="text1"/>
          <w:sz w:val="23"/>
          <w:szCs w:val="23"/>
          <w:lang w:val="en-US"/>
        </w:rPr>
        <w:t xml:space="preserve">IC) to the creation of additional </w:t>
      </w:r>
      <w:r w:rsidR="0061656C" w:rsidRPr="00983193">
        <w:rPr>
          <w:rFonts w:ascii="Times New Roman" w:hAnsi="Times New Roman" w:cs="Times New Roman"/>
          <w:color w:val="000000" w:themeColor="text1"/>
          <w:sz w:val="23"/>
          <w:szCs w:val="23"/>
          <w:lang w:val="en-US"/>
        </w:rPr>
        <w:t>value</w:t>
      </w:r>
      <w:r w:rsidR="00365DFC">
        <w:rPr>
          <w:rFonts w:ascii="Times New Roman" w:hAnsi="Times New Roman" w:cs="Times New Roman"/>
          <w:color w:val="000000" w:themeColor="text1"/>
          <w:sz w:val="23"/>
          <w:szCs w:val="23"/>
          <w:lang w:val="en-US"/>
        </w:rPr>
        <w:t>, as</w:t>
      </w:r>
      <w:r w:rsidR="0061656C" w:rsidRPr="00983193">
        <w:rPr>
          <w:rFonts w:ascii="Times New Roman" w:hAnsi="Times New Roman" w:cs="Times New Roman"/>
          <w:color w:val="000000" w:themeColor="text1"/>
          <w:sz w:val="23"/>
          <w:szCs w:val="23"/>
          <w:lang w:val="en-US"/>
        </w:rPr>
        <w:t xml:space="preserve"> recognized by the market </w:t>
      </w:r>
      <w:r w:rsidR="00365DFC">
        <w:rPr>
          <w:rFonts w:ascii="Times New Roman" w:hAnsi="Times New Roman" w:cs="Times New Roman"/>
          <w:color w:val="000000" w:themeColor="text1"/>
          <w:sz w:val="23"/>
          <w:szCs w:val="23"/>
          <w:lang w:val="en-US"/>
        </w:rPr>
        <w:t>as exceeding</w:t>
      </w:r>
      <w:r w:rsidRPr="00983193">
        <w:rPr>
          <w:rFonts w:ascii="Times New Roman" w:hAnsi="Times New Roman" w:cs="Times New Roman"/>
          <w:color w:val="000000" w:themeColor="text1"/>
          <w:sz w:val="23"/>
          <w:szCs w:val="23"/>
          <w:lang w:val="en-US"/>
        </w:rPr>
        <w:t xml:space="preserve"> the </w:t>
      </w:r>
      <w:r w:rsidR="00365DFC" w:rsidRPr="00983193">
        <w:rPr>
          <w:rFonts w:ascii="Times New Roman" w:hAnsi="Times New Roman" w:cs="Times New Roman"/>
          <w:color w:val="000000" w:themeColor="text1"/>
          <w:sz w:val="23"/>
          <w:szCs w:val="23"/>
          <w:lang w:val="en-US"/>
        </w:rPr>
        <w:t xml:space="preserve">book value </w:t>
      </w:r>
      <w:r w:rsidR="00365DFC">
        <w:rPr>
          <w:rFonts w:ascii="Times New Roman" w:hAnsi="Times New Roman" w:cs="Times New Roman"/>
          <w:color w:val="000000" w:themeColor="text1"/>
          <w:sz w:val="23"/>
          <w:szCs w:val="23"/>
          <w:lang w:val="en-US"/>
        </w:rPr>
        <w:t xml:space="preserve">of a </w:t>
      </w:r>
      <w:r w:rsidRPr="00983193">
        <w:rPr>
          <w:rFonts w:ascii="Times New Roman" w:hAnsi="Times New Roman" w:cs="Times New Roman"/>
          <w:color w:val="000000" w:themeColor="text1"/>
          <w:sz w:val="23"/>
          <w:szCs w:val="23"/>
          <w:lang w:val="en-US"/>
        </w:rPr>
        <w:t>company’s net assets.</w:t>
      </w:r>
      <w:r w:rsidR="00962EC1">
        <w:rPr>
          <w:rFonts w:ascii="Times New Roman" w:hAnsi="Times New Roman" w:cs="Times New Roman"/>
          <w:color w:val="000000" w:themeColor="text1"/>
          <w:sz w:val="23"/>
          <w:szCs w:val="23"/>
          <w:lang w:val="en-US"/>
        </w:rPr>
        <w:t xml:space="preserve"> </w:t>
      </w:r>
    </w:p>
    <w:p w14:paraId="6A384D1A" w14:textId="77777777" w:rsidR="00D66348" w:rsidRPr="00983193" w:rsidRDefault="00BF1844" w:rsidP="001D4456">
      <w:pPr>
        <w:spacing w:after="0" w:line="240" w:lineRule="auto"/>
        <w:contextualSpacing/>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The </w:t>
      </w:r>
      <w:r w:rsidR="00D66348" w:rsidRPr="00983193">
        <w:rPr>
          <w:rFonts w:ascii="Times New Roman" w:hAnsi="Times New Roman" w:cs="Times New Roman"/>
          <w:color w:val="000000" w:themeColor="text1"/>
          <w:sz w:val="23"/>
          <w:szCs w:val="23"/>
          <w:lang w:val="en-US"/>
        </w:rPr>
        <w:t>VAIC method</w:t>
      </w:r>
      <w:r w:rsidRPr="00983193">
        <w:rPr>
          <w:rFonts w:ascii="Times New Roman" w:hAnsi="Times New Roman" w:cs="Times New Roman"/>
          <w:color w:val="000000" w:themeColor="text1"/>
          <w:sz w:val="23"/>
          <w:szCs w:val="23"/>
          <w:lang w:val="en-US"/>
        </w:rPr>
        <w:t xml:space="preserve"> </w:t>
      </w:r>
      <w:r w:rsidR="00962EC1">
        <w:rPr>
          <w:rFonts w:ascii="Times New Roman" w:hAnsi="Times New Roman" w:cs="Times New Roman"/>
          <w:color w:val="000000" w:themeColor="text1"/>
          <w:sz w:val="23"/>
          <w:szCs w:val="23"/>
          <w:lang w:val="en-US"/>
        </w:rPr>
        <w:t xml:space="preserve">is one application of the </w:t>
      </w:r>
      <w:r w:rsidRPr="00983193">
        <w:rPr>
          <w:rFonts w:ascii="Times New Roman" w:hAnsi="Times New Roman" w:cs="Times New Roman"/>
          <w:color w:val="000000" w:themeColor="text1"/>
          <w:sz w:val="23"/>
          <w:szCs w:val="23"/>
          <w:lang w:val="en-US"/>
        </w:rPr>
        <w:t xml:space="preserve">Return on </w:t>
      </w:r>
      <w:r w:rsidR="00962EC1">
        <w:rPr>
          <w:rFonts w:ascii="Times New Roman" w:hAnsi="Times New Roman" w:cs="Times New Roman"/>
          <w:color w:val="000000" w:themeColor="text1"/>
          <w:sz w:val="23"/>
          <w:szCs w:val="23"/>
          <w:lang w:val="en-US"/>
        </w:rPr>
        <w:t>A</w:t>
      </w:r>
      <w:r w:rsidRPr="00983193">
        <w:rPr>
          <w:rFonts w:ascii="Times New Roman" w:hAnsi="Times New Roman" w:cs="Times New Roman"/>
          <w:color w:val="000000" w:themeColor="text1"/>
          <w:sz w:val="23"/>
          <w:szCs w:val="23"/>
          <w:lang w:val="en-US"/>
        </w:rPr>
        <w:t>ssets approach</w:t>
      </w:r>
      <w:r w:rsidR="00962EC1">
        <w:rPr>
          <w:rFonts w:ascii="Times New Roman" w:hAnsi="Times New Roman" w:cs="Times New Roman"/>
          <w:color w:val="000000" w:themeColor="text1"/>
          <w:sz w:val="23"/>
          <w:szCs w:val="23"/>
          <w:lang w:val="en-US"/>
        </w:rPr>
        <w:t>,</w:t>
      </w:r>
      <w:r w:rsidRPr="00983193">
        <w:rPr>
          <w:rFonts w:ascii="Times New Roman" w:hAnsi="Times New Roman" w:cs="Times New Roman"/>
          <w:color w:val="000000" w:themeColor="text1"/>
          <w:sz w:val="23"/>
          <w:szCs w:val="23"/>
          <w:lang w:val="en-US"/>
        </w:rPr>
        <w:t xml:space="preserve"> </w:t>
      </w:r>
      <w:r w:rsidR="00962EC1">
        <w:rPr>
          <w:rFonts w:ascii="Times New Roman" w:hAnsi="Times New Roman" w:cs="Times New Roman"/>
          <w:color w:val="000000" w:themeColor="text1"/>
          <w:sz w:val="23"/>
          <w:szCs w:val="23"/>
          <w:lang w:val="en-US"/>
        </w:rPr>
        <w:t>as</w:t>
      </w:r>
      <w:r w:rsidR="00D66348" w:rsidRPr="00983193">
        <w:rPr>
          <w:rFonts w:ascii="Times New Roman" w:hAnsi="Times New Roman" w:cs="Times New Roman"/>
          <w:color w:val="000000" w:themeColor="text1"/>
          <w:sz w:val="23"/>
          <w:szCs w:val="23"/>
          <w:lang w:val="en-US"/>
        </w:rPr>
        <w:t xml:space="preserve"> </w:t>
      </w:r>
      <w:r w:rsidR="009212C3" w:rsidRPr="00983193">
        <w:rPr>
          <w:rFonts w:ascii="Times New Roman" w:hAnsi="Times New Roman" w:cs="Times New Roman"/>
          <w:color w:val="000000" w:themeColor="text1"/>
          <w:sz w:val="23"/>
          <w:szCs w:val="23"/>
          <w:lang w:val="en-US"/>
        </w:rPr>
        <w:t xml:space="preserve">proposed by </w:t>
      </w:r>
      <w:r w:rsidR="00D66348" w:rsidRPr="009946C9">
        <w:rPr>
          <w:rFonts w:ascii="Times New Roman" w:hAnsi="Times New Roman" w:cs="Times New Roman"/>
          <w:noProof/>
          <w:color w:val="000000" w:themeColor="text1"/>
          <w:sz w:val="23"/>
          <w:szCs w:val="23"/>
          <w:lang w:val="en-US"/>
        </w:rPr>
        <w:t>Pulic</w:t>
      </w:r>
      <w:r w:rsidR="00D66348" w:rsidRPr="00983193">
        <w:rPr>
          <w:rFonts w:ascii="Times New Roman" w:hAnsi="Times New Roman" w:cs="Times New Roman"/>
          <w:color w:val="000000" w:themeColor="text1"/>
          <w:sz w:val="23"/>
          <w:szCs w:val="23"/>
          <w:lang w:val="en-US"/>
        </w:rPr>
        <w:t xml:space="preserve"> (1998,</w:t>
      </w:r>
      <w:r w:rsidR="009212C3"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2000,</w:t>
      </w:r>
      <w:r w:rsidR="009212C3" w:rsidRPr="00983193">
        <w:rPr>
          <w:rFonts w:ascii="Times New Roman" w:hAnsi="Times New Roman" w:cs="Times New Roman"/>
          <w:color w:val="000000" w:themeColor="text1"/>
          <w:sz w:val="23"/>
          <w:szCs w:val="23"/>
          <w:lang w:val="en-US"/>
        </w:rPr>
        <w:t xml:space="preserve"> </w:t>
      </w:r>
      <w:r w:rsidR="00D66348" w:rsidRPr="00EB5E62">
        <w:rPr>
          <w:rFonts w:ascii="Times New Roman" w:hAnsi="Times New Roman" w:cs="Times New Roman"/>
          <w:color w:val="000000" w:themeColor="text1"/>
          <w:sz w:val="23"/>
          <w:szCs w:val="23"/>
          <w:lang w:val="en-US"/>
        </w:rPr>
        <w:t>2004</w:t>
      </w:r>
      <w:r w:rsidR="00D66348" w:rsidRPr="00983193">
        <w:rPr>
          <w:rFonts w:ascii="Times New Roman" w:hAnsi="Times New Roman" w:cs="Times New Roman"/>
          <w:color w:val="000000" w:themeColor="text1"/>
          <w:sz w:val="23"/>
          <w:szCs w:val="23"/>
          <w:lang w:val="en-US"/>
        </w:rPr>
        <w:t>)</w:t>
      </w:r>
      <w:r w:rsidRPr="00983193">
        <w:rPr>
          <w:rFonts w:ascii="Times New Roman" w:hAnsi="Times New Roman" w:cs="Times New Roman"/>
          <w:color w:val="000000" w:themeColor="text1"/>
          <w:sz w:val="23"/>
          <w:szCs w:val="23"/>
          <w:lang w:val="en-US"/>
        </w:rPr>
        <w:t>. It</w:t>
      </w:r>
      <w:r w:rsidR="00D66348" w:rsidRPr="00983193">
        <w:rPr>
          <w:rFonts w:ascii="Times New Roman" w:hAnsi="Times New Roman" w:cs="Times New Roman"/>
          <w:color w:val="000000" w:themeColor="text1"/>
          <w:sz w:val="23"/>
          <w:szCs w:val="23"/>
          <w:lang w:val="en-US"/>
        </w:rPr>
        <w:t xml:space="preserve"> aims to provide objective and verifiable information about the efficiency of both tangible and intangible assets in </w:t>
      </w:r>
      <w:r w:rsidR="00962EC1">
        <w:rPr>
          <w:rFonts w:ascii="Times New Roman" w:hAnsi="Times New Roman" w:cs="Times New Roman"/>
          <w:color w:val="000000" w:themeColor="text1"/>
          <w:sz w:val="23"/>
          <w:szCs w:val="23"/>
          <w:lang w:val="en-US"/>
        </w:rPr>
        <w:t>the creation of</w:t>
      </w:r>
      <w:r w:rsidR="00962EC1"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“value added” (</w:t>
      </w:r>
      <m:oMath>
        <m:r>
          <w:rPr>
            <w:rFonts w:ascii="Cambria Math" w:hAnsi="Cambria Math" w:cs="Times New Roman"/>
            <w:color w:val="000000" w:themeColor="text1"/>
            <w:sz w:val="23"/>
            <w:szCs w:val="23"/>
            <w:lang w:val="en-US"/>
          </w:rPr>
          <m:t>VA</m:t>
        </m:r>
      </m:oMath>
      <w:r w:rsidR="00D66348" w:rsidRPr="00983193">
        <w:rPr>
          <w:rFonts w:ascii="Times New Roman" w:hAnsi="Times New Roman" w:cs="Times New Roman"/>
          <w:color w:val="000000" w:themeColor="text1"/>
          <w:sz w:val="23"/>
          <w:szCs w:val="23"/>
          <w:lang w:val="en-US"/>
        </w:rPr>
        <w:t xml:space="preserve">). </w:t>
      </w:r>
      <m:oMath>
        <m:r>
          <w:rPr>
            <w:rFonts w:ascii="Cambria Math" w:hAnsi="Cambria Math" w:cs="Times New Roman"/>
            <w:color w:val="000000" w:themeColor="text1"/>
            <w:sz w:val="23"/>
            <w:szCs w:val="23"/>
            <w:lang w:val="en-US"/>
          </w:rPr>
          <m:t>VA</m:t>
        </m:r>
      </m:oMath>
      <w:r w:rsidR="00D66348" w:rsidRPr="00983193">
        <w:rPr>
          <w:rFonts w:ascii="Times New Roman" w:hAnsi="Times New Roman" w:cs="Times New Roman"/>
          <w:color w:val="000000" w:themeColor="text1"/>
          <w:sz w:val="23"/>
          <w:szCs w:val="23"/>
          <w:lang w:val="en-US"/>
        </w:rPr>
        <w:t xml:space="preserve"> is usually</w:t>
      </w:r>
      <w:r w:rsidR="009212C3" w:rsidRPr="00983193">
        <w:rPr>
          <w:rFonts w:ascii="Times New Roman" w:hAnsi="Times New Roman" w:cs="Times New Roman"/>
          <w:color w:val="000000" w:themeColor="text1"/>
          <w:sz w:val="23"/>
          <w:szCs w:val="23"/>
          <w:lang w:val="en-US"/>
        </w:rPr>
        <w:t xml:space="preserve"> calculated as </w:t>
      </w:r>
      <w:r w:rsidR="00962EC1" w:rsidRPr="00983193">
        <w:rPr>
          <w:rFonts w:ascii="Times New Roman" w:hAnsi="Times New Roman" w:cs="Times New Roman"/>
          <w:color w:val="000000" w:themeColor="text1"/>
          <w:sz w:val="23"/>
          <w:szCs w:val="23"/>
          <w:lang w:val="en-US"/>
        </w:rPr>
        <w:t xml:space="preserve">either </w:t>
      </w:r>
      <w:r w:rsidR="00D66348" w:rsidRPr="00983193">
        <w:rPr>
          <w:rFonts w:ascii="Times New Roman" w:hAnsi="Times New Roman" w:cs="Times New Roman"/>
          <w:color w:val="000000" w:themeColor="text1"/>
          <w:sz w:val="23"/>
          <w:szCs w:val="23"/>
          <w:lang w:val="en-US"/>
        </w:rPr>
        <w:t xml:space="preserve">the difference between </w:t>
      </w:r>
      <w:r w:rsidR="00962EC1">
        <w:rPr>
          <w:rFonts w:ascii="Times New Roman" w:hAnsi="Times New Roman" w:cs="Times New Roman"/>
          <w:color w:val="000000" w:themeColor="text1"/>
          <w:sz w:val="23"/>
          <w:szCs w:val="23"/>
          <w:lang w:val="en-US"/>
        </w:rPr>
        <w:t>o</w:t>
      </w:r>
      <w:r w:rsidR="00D66348" w:rsidRPr="00983193">
        <w:rPr>
          <w:rFonts w:ascii="Times New Roman" w:hAnsi="Times New Roman" w:cs="Times New Roman"/>
          <w:color w:val="000000" w:themeColor="text1"/>
          <w:sz w:val="23"/>
          <w:szCs w:val="23"/>
          <w:lang w:val="en-US"/>
        </w:rPr>
        <w:t xml:space="preserve">utputs and </w:t>
      </w:r>
      <w:r w:rsidR="00962EC1">
        <w:rPr>
          <w:rFonts w:ascii="Times New Roman" w:hAnsi="Times New Roman" w:cs="Times New Roman"/>
          <w:color w:val="000000" w:themeColor="text1"/>
          <w:sz w:val="23"/>
          <w:szCs w:val="23"/>
          <w:lang w:val="en-US"/>
        </w:rPr>
        <w:t>I</w:t>
      </w:r>
      <w:r w:rsidR="00D66348" w:rsidRPr="00983193">
        <w:rPr>
          <w:rFonts w:ascii="Times New Roman" w:hAnsi="Times New Roman" w:cs="Times New Roman"/>
          <w:color w:val="000000" w:themeColor="text1"/>
          <w:sz w:val="23"/>
          <w:szCs w:val="23"/>
          <w:lang w:val="en-US"/>
        </w:rPr>
        <w:t xml:space="preserve">nputs: </w:t>
      </w:r>
    </w:p>
    <w:p w14:paraId="0CF2D4C3" w14:textId="77777777" w:rsidR="00D66348" w:rsidRPr="00983193" w:rsidRDefault="00D66348" w:rsidP="00D66348">
      <w:pPr>
        <w:spacing w:after="0" w:line="240" w:lineRule="auto"/>
        <w:ind w:firstLine="284"/>
        <w:contextualSpacing/>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                                                           </w:t>
      </w:r>
    </w:p>
    <w:p w14:paraId="5AD8E90C" w14:textId="77777777" w:rsidR="00D66348" w:rsidRPr="00983193" w:rsidRDefault="00D66348" w:rsidP="00D66348">
      <w:pPr>
        <w:spacing w:after="0" w:line="240" w:lineRule="auto"/>
        <w:ind w:firstLine="284"/>
        <w:contextualSpacing/>
        <w:jc w:val="center"/>
        <w:rPr>
          <w:rFonts w:ascii="Times New Roman" w:hAnsi="Times New Roman" w:cs="Times New Roman"/>
          <w:color w:val="000000" w:themeColor="text1"/>
          <w:sz w:val="23"/>
          <w:szCs w:val="23"/>
          <w:lang w:val="en-US"/>
        </w:rPr>
      </w:pPr>
      <m:oMathPara>
        <m:oMath>
          <m:r>
            <w:rPr>
              <w:rFonts w:ascii="Cambria Math" w:hAnsi="Cambria Math" w:cs="Times New Roman"/>
              <w:color w:val="000000" w:themeColor="text1"/>
              <w:sz w:val="23"/>
              <w:szCs w:val="23"/>
              <w:lang w:val="en-US"/>
            </w:rPr>
            <m:t>VA=P+C+D+A</m:t>
          </m:r>
        </m:oMath>
      </m:oMathPara>
    </w:p>
    <w:p w14:paraId="4E7151A4" w14:textId="77777777" w:rsidR="00D66348" w:rsidRPr="00983193" w:rsidRDefault="00D66348" w:rsidP="00D66348">
      <w:pPr>
        <w:spacing w:after="0" w:line="240" w:lineRule="auto"/>
        <w:ind w:firstLine="284"/>
        <w:contextualSpacing/>
        <w:jc w:val="center"/>
        <w:rPr>
          <w:rFonts w:ascii="Times New Roman" w:hAnsi="Times New Roman" w:cs="Times New Roman"/>
          <w:color w:val="000000" w:themeColor="text1"/>
          <w:sz w:val="23"/>
          <w:szCs w:val="23"/>
          <w:lang w:val="en-US"/>
        </w:rPr>
      </w:pPr>
    </w:p>
    <w:p w14:paraId="6C55EA13" w14:textId="77777777" w:rsidR="00D66348" w:rsidRPr="00983193" w:rsidRDefault="00962EC1" w:rsidP="001D4456">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lastRenderedPageBreak/>
        <w:t xml:space="preserve">Where </w:t>
      </w:r>
      <w:r w:rsidR="00D66348" w:rsidRPr="00983193">
        <w:rPr>
          <w:rFonts w:ascii="Times New Roman" w:hAnsi="Times New Roman" w:cs="Times New Roman"/>
          <w:color w:val="000000" w:themeColor="text1"/>
          <w:sz w:val="23"/>
          <w:szCs w:val="23"/>
          <w:lang w:val="en-US"/>
        </w:rPr>
        <w:t xml:space="preserve">P </w:t>
      </w:r>
      <w:r>
        <w:rPr>
          <w:rFonts w:ascii="Times New Roman" w:hAnsi="Times New Roman" w:cs="Times New Roman"/>
          <w:color w:val="000000" w:themeColor="text1"/>
          <w:sz w:val="23"/>
          <w:szCs w:val="23"/>
          <w:lang w:val="en-US"/>
        </w:rPr>
        <w:t>is</w:t>
      </w:r>
      <w:r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operating profits; </w:t>
      </w:r>
      <m:oMath>
        <m:r>
          <w:rPr>
            <w:rFonts w:ascii="Cambria Math" w:hAnsi="Cambria Math" w:cs="Times New Roman"/>
            <w:color w:val="000000" w:themeColor="text1"/>
            <w:sz w:val="23"/>
            <w:szCs w:val="23"/>
            <w:lang w:val="en-US"/>
          </w:rPr>
          <m:t>C</m:t>
        </m:r>
      </m:oMath>
      <w:r w:rsidR="00D66348" w:rsidRPr="00983193">
        <w:rPr>
          <w:rFonts w:ascii="Times New Roman" w:hAnsi="Times New Roman" w:cs="Times New Roman"/>
          <w:color w:val="000000" w:themeColor="text1"/>
          <w:sz w:val="23"/>
          <w:szCs w:val="23"/>
          <w:lang w:val="en-US"/>
        </w:rPr>
        <w:t xml:space="preserve"> </w:t>
      </w:r>
      <w:r>
        <w:rPr>
          <w:rFonts w:ascii="Times New Roman" w:hAnsi="Times New Roman" w:cs="Times New Roman"/>
          <w:color w:val="000000" w:themeColor="text1"/>
          <w:sz w:val="23"/>
          <w:szCs w:val="23"/>
          <w:lang w:val="en-US"/>
        </w:rPr>
        <w:t>is</w:t>
      </w:r>
      <w:r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employee costs (salaries plus soc</w:t>
      </w:r>
      <w:r w:rsidR="002361D8" w:rsidRPr="00983193">
        <w:rPr>
          <w:rFonts w:ascii="Times New Roman" w:hAnsi="Times New Roman" w:cs="Times New Roman"/>
          <w:color w:val="000000" w:themeColor="text1"/>
          <w:sz w:val="23"/>
          <w:szCs w:val="23"/>
          <w:lang w:val="en-US"/>
        </w:rPr>
        <w:t xml:space="preserve">ial expenses) and </w:t>
      </w:r>
      <m:oMath>
        <m:r>
          <w:rPr>
            <w:rFonts w:ascii="Cambria Math" w:hAnsi="Cambria Math" w:cs="Times New Roman"/>
            <w:color w:val="000000" w:themeColor="text1"/>
            <w:sz w:val="23"/>
            <w:szCs w:val="23"/>
            <w:lang w:val="en-US"/>
          </w:rPr>
          <m:t>D</m:t>
        </m:r>
      </m:oMath>
      <w:r w:rsidR="002361D8" w:rsidRPr="00983193">
        <w:rPr>
          <w:rFonts w:ascii="Times New Roman" w:hAnsi="Times New Roman" w:cs="Times New Roman"/>
          <w:color w:val="000000" w:themeColor="text1"/>
          <w:sz w:val="23"/>
          <w:szCs w:val="23"/>
          <w:lang w:val="en-US"/>
        </w:rPr>
        <w:t xml:space="preserve"> and </w:t>
      </w:r>
      <m:oMath>
        <m:r>
          <w:rPr>
            <w:rFonts w:ascii="Cambria Math" w:hAnsi="Cambria Math" w:cs="Times New Roman"/>
            <w:color w:val="000000" w:themeColor="text1"/>
            <w:sz w:val="23"/>
            <w:szCs w:val="23"/>
            <w:lang w:val="en-US"/>
          </w:rPr>
          <m:t>A</m:t>
        </m:r>
      </m:oMath>
      <w:r w:rsidR="002361D8" w:rsidRPr="00983193">
        <w:rPr>
          <w:rFonts w:ascii="Times New Roman" w:hAnsi="Times New Roman" w:cs="Times New Roman"/>
          <w:color w:val="000000" w:themeColor="text1"/>
          <w:sz w:val="23"/>
          <w:szCs w:val="23"/>
          <w:lang w:val="en-US"/>
        </w:rPr>
        <w:t xml:space="preserve"> are</w:t>
      </w:r>
      <w:r w:rsidR="001C0999" w:rsidRPr="00983193">
        <w:rPr>
          <w:rFonts w:ascii="Times New Roman" w:hAnsi="Times New Roman" w:cs="Times New Roman"/>
          <w:color w:val="000000" w:themeColor="text1"/>
          <w:sz w:val="23"/>
          <w:szCs w:val="23"/>
          <w:lang w:val="en-US"/>
        </w:rPr>
        <w:t xml:space="preserve"> </w:t>
      </w:r>
      <w:r>
        <w:rPr>
          <w:rFonts w:ascii="Times New Roman" w:hAnsi="Times New Roman" w:cs="Times New Roman"/>
          <w:color w:val="000000" w:themeColor="text1"/>
          <w:sz w:val="23"/>
          <w:szCs w:val="23"/>
          <w:lang w:val="en-US"/>
        </w:rPr>
        <w:t xml:space="preserve">the </w:t>
      </w:r>
      <w:r w:rsidR="00D66348" w:rsidRPr="00983193">
        <w:rPr>
          <w:rFonts w:ascii="Times New Roman" w:hAnsi="Times New Roman" w:cs="Times New Roman"/>
          <w:color w:val="000000" w:themeColor="text1"/>
          <w:sz w:val="23"/>
          <w:szCs w:val="23"/>
          <w:lang w:val="en-US"/>
        </w:rPr>
        <w:t>depreciation and amortization of assets</w:t>
      </w:r>
      <w:r w:rsidR="001C0999" w:rsidRPr="00983193">
        <w:rPr>
          <w:rFonts w:ascii="Times New Roman" w:hAnsi="Times New Roman" w:cs="Times New Roman"/>
          <w:color w:val="000000" w:themeColor="text1"/>
          <w:sz w:val="23"/>
          <w:szCs w:val="23"/>
          <w:lang w:val="en-US"/>
        </w:rPr>
        <w:t>, respectively</w:t>
      </w:r>
      <w:r w:rsidR="00D66348" w:rsidRPr="00983193">
        <w:rPr>
          <w:rFonts w:ascii="Times New Roman" w:hAnsi="Times New Roman" w:cs="Times New Roman"/>
          <w:color w:val="000000" w:themeColor="text1"/>
          <w:sz w:val="23"/>
          <w:szCs w:val="23"/>
          <w:lang w:val="en-US"/>
        </w:rPr>
        <w:t>).</w:t>
      </w:r>
    </w:p>
    <w:p w14:paraId="3701D184" w14:textId="77777777" w:rsidR="00D66348" w:rsidRPr="00983193" w:rsidRDefault="00751A7D" w:rsidP="001D4456">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In </w:t>
      </w:r>
      <w:r w:rsidR="00D66348" w:rsidRPr="009946C9">
        <w:rPr>
          <w:rFonts w:ascii="Times New Roman" w:hAnsi="Times New Roman" w:cs="Times New Roman"/>
          <w:noProof/>
          <w:color w:val="000000" w:themeColor="text1"/>
          <w:sz w:val="23"/>
          <w:szCs w:val="23"/>
          <w:lang w:val="en-US"/>
        </w:rPr>
        <w:t>Pulic’s</w:t>
      </w:r>
      <w:r w:rsidR="00D66348" w:rsidRPr="00983193">
        <w:rPr>
          <w:rFonts w:ascii="Times New Roman" w:hAnsi="Times New Roman" w:cs="Times New Roman"/>
          <w:color w:val="000000" w:themeColor="text1"/>
          <w:sz w:val="23"/>
          <w:szCs w:val="23"/>
          <w:lang w:val="en-US"/>
        </w:rPr>
        <w:t xml:space="preserve"> model, salaries and wages are not considered as costs</w:t>
      </w:r>
      <w:r w:rsidR="00962EC1">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but as investments in Human Capital (</w:t>
      </w:r>
      <m:oMath>
        <m:r>
          <w:rPr>
            <w:rFonts w:ascii="Cambria Math" w:hAnsi="Cambria Math" w:cs="Times New Roman"/>
            <w:color w:val="000000" w:themeColor="text1"/>
            <w:sz w:val="23"/>
            <w:szCs w:val="23"/>
            <w:lang w:val="en-US"/>
          </w:rPr>
          <m:t>HC</m:t>
        </m:r>
      </m:oMath>
      <w:r w:rsidR="00D66348" w:rsidRPr="00983193">
        <w:rPr>
          <w:rFonts w:ascii="Times New Roman" w:hAnsi="Times New Roman" w:cs="Times New Roman"/>
          <w:color w:val="000000" w:themeColor="text1"/>
          <w:sz w:val="23"/>
          <w:szCs w:val="23"/>
          <w:lang w:val="en-US"/>
        </w:rPr>
        <w:t>).</w:t>
      </w:r>
      <w:r w:rsidR="00962EC1">
        <w:rPr>
          <w:rFonts w:ascii="Times New Roman" w:hAnsi="Times New Roman" w:cs="Times New Roman"/>
          <w:color w:val="000000" w:themeColor="text1"/>
          <w:sz w:val="23"/>
          <w:szCs w:val="23"/>
          <w:lang w:val="en-US"/>
        </w:rPr>
        <w:t xml:space="preserve"> </w:t>
      </w:r>
      <w:r w:rsidR="00D66348" w:rsidRPr="009946C9">
        <w:rPr>
          <w:rFonts w:ascii="Times New Roman" w:hAnsi="Times New Roman" w:cs="Times New Roman"/>
          <w:noProof/>
          <w:color w:val="000000" w:themeColor="text1"/>
          <w:sz w:val="23"/>
          <w:szCs w:val="23"/>
          <w:lang w:val="en-US"/>
        </w:rPr>
        <w:t>Pulic</w:t>
      </w:r>
      <w:r w:rsidR="00D66348" w:rsidRPr="00983193">
        <w:rPr>
          <w:rFonts w:ascii="Times New Roman" w:hAnsi="Times New Roman" w:cs="Times New Roman"/>
          <w:color w:val="000000" w:themeColor="text1"/>
          <w:sz w:val="23"/>
          <w:szCs w:val="23"/>
          <w:lang w:val="en-US"/>
        </w:rPr>
        <w:t xml:space="preserve"> derives a primary efficiency indicator</w:t>
      </w:r>
      <w:r w:rsidR="00962EC1">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Human Capital Efficiency </w:t>
      </w:r>
      <w:r w:rsidR="00962EC1">
        <w:rPr>
          <w:rFonts w:ascii="Times New Roman" w:hAnsi="Times New Roman" w:cs="Times New Roman"/>
          <w:color w:val="000000" w:themeColor="text1"/>
          <w:sz w:val="23"/>
          <w:szCs w:val="23"/>
          <w:lang w:val="en-US"/>
        </w:rPr>
        <w:t>–(</w:t>
      </w:r>
      <m:oMath>
        <m:r>
          <w:rPr>
            <w:rFonts w:ascii="Cambria Math" w:hAnsi="Cambria Math" w:cs="Times New Roman"/>
            <w:color w:val="000000" w:themeColor="text1"/>
            <w:sz w:val="23"/>
            <w:szCs w:val="23"/>
            <w:lang w:val="en-US"/>
          </w:rPr>
          <m:t>HCE</m:t>
        </m:r>
      </m:oMath>
      <w:r w:rsidR="00D66348" w:rsidRPr="00983193">
        <w:rPr>
          <w:rFonts w:ascii="Times New Roman" w:hAnsi="Times New Roman" w:cs="Times New Roman"/>
          <w:color w:val="000000" w:themeColor="text1"/>
          <w:sz w:val="23"/>
          <w:szCs w:val="23"/>
          <w:lang w:val="en-US"/>
        </w:rPr>
        <w:t>)</w:t>
      </w:r>
      <w:r w:rsidR="00962EC1">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by dividing </w:t>
      </w:r>
      <w:r w:rsidR="00962EC1">
        <w:rPr>
          <w:rFonts w:ascii="Times New Roman" w:hAnsi="Times New Roman" w:cs="Times New Roman"/>
          <w:color w:val="000000" w:themeColor="text1"/>
          <w:sz w:val="23"/>
          <w:szCs w:val="23"/>
          <w:lang w:val="en-US"/>
        </w:rPr>
        <w:t>v</w:t>
      </w:r>
      <w:r w:rsidR="00D66348" w:rsidRPr="00983193">
        <w:rPr>
          <w:rFonts w:ascii="Times New Roman" w:hAnsi="Times New Roman" w:cs="Times New Roman"/>
          <w:color w:val="000000" w:themeColor="text1"/>
          <w:sz w:val="23"/>
          <w:szCs w:val="23"/>
          <w:lang w:val="en-US"/>
        </w:rPr>
        <w:t>alue added (</w:t>
      </w:r>
      <m:oMath>
        <m:r>
          <w:rPr>
            <w:rFonts w:ascii="Cambria Math" w:hAnsi="Cambria Math" w:cs="Times New Roman"/>
            <w:color w:val="000000" w:themeColor="text1"/>
            <w:sz w:val="23"/>
            <w:szCs w:val="23"/>
            <w:lang w:val="en-US"/>
          </w:rPr>
          <m:t>VA</m:t>
        </m:r>
      </m:oMath>
      <w:r w:rsidR="00F73655">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by </w:t>
      </w:r>
      <w:r w:rsidR="00962EC1">
        <w:rPr>
          <w:rFonts w:ascii="Times New Roman" w:hAnsi="Times New Roman" w:cs="Times New Roman"/>
          <w:color w:val="000000" w:themeColor="text1"/>
          <w:sz w:val="23"/>
          <w:szCs w:val="23"/>
          <w:lang w:val="en-US"/>
        </w:rPr>
        <w:t>h</w:t>
      </w:r>
      <w:r w:rsidR="00D66348" w:rsidRPr="00983193">
        <w:rPr>
          <w:rFonts w:ascii="Times New Roman" w:hAnsi="Times New Roman" w:cs="Times New Roman"/>
          <w:color w:val="000000" w:themeColor="text1"/>
          <w:sz w:val="23"/>
          <w:szCs w:val="23"/>
          <w:lang w:val="en-US"/>
        </w:rPr>
        <w:t>uman capital (</w:t>
      </w:r>
      <m:oMath>
        <m:r>
          <w:rPr>
            <w:rFonts w:ascii="Cambria Math" w:hAnsi="Cambria Math" w:cs="Times New Roman"/>
            <w:color w:val="000000" w:themeColor="text1"/>
            <w:sz w:val="23"/>
            <w:szCs w:val="23"/>
            <w:lang w:val="en-US"/>
          </w:rPr>
          <m:t>HC</m:t>
        </m:r>
      </m:oMath>
      <w:r w:rsidR="00D66348" w:rsidRPr="00983193">
        <w:rPr>
          <w:rFonts w:ascii="Times New Roman" w:hAnsi="Times New Roman" w:cs="Times New Roman"/>
          <w:color w:val="000000" w:themeColor="text1"/>
          <w:sz w:val="23"/>
          <w:szCs w:val="23"/>
          <w:lang w:val="en-US"/>
        </w:rPr>
        <w:t>):</w:t>
      </w:r>
    </w:p>
    <w:p w14:paraId="5BCF7D1C" w14:textId="77777777" w:rsidR="00D66348" w:rsidRPr="00983193" w:rsidRDefault="00D66348" w:rsidP="00D66348">
      <w:pPr>
        <w:spacing w:after="0" w:line="240" w:lineRule="auto"/>
        <w:ind w:firstLine="284"/>
        <w:contextualSpacing/>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                                                            </w:t>
      </w:r>
    </w:p>
    <w:p w14:paraId="41FF71F0" w14:textId="77777777" w:rsidR="00D66348" w:rsidRPr="00983193" w:rsidRDefault="00D66348" w:rsidP="00D66348">
      <w:pPr>
        <w:spacing w:after="0" w:line="240" w:lineRule="auto"/>
        <w:ind w:firstLine="284"/>
        <w:contextualSpacing/>
        <w:jc w:val="center"/>
        <w:rPr>
          <w:rFonts w:ascii="Times New Roman" w:hAnsi="Times New Roman" w:cs="Times New Roman"/>
          <w:color w:val="000000" w:themeColor="text1"/>
          <w:sz w:val="23"/>
          <w:szCs w:val="23"/>
          <w:lang w:val="en-US"/>
        </w:rPr>
      </w:pPr>
      <m:oMathPara>
        <m:oMath>
          <m:r>
            <w:rPr>
              <w:rFonts w:ascii="Cambria Math" w:hAnsi="Cambria Math" w:cs="Times New Roman"/>
              <w:color w:val="000000" w:themeColor="text1"/>
              <w:sz w:val="23"/>
              <w:szCs w:val="23"/>
              <w:lang w:val="en-US"/>
            </w:rPr>
            <m:t>HCE=VA/HC</m:t>
          </m:r>
        </m:oMath>
      </m:oMathPara>
    </w:p>
    <w:p w14:paraId="7FC2EB0F" w14:textId="77777777" w:rsidR="00D66348" w:rsidRPr="00983193" w:rsidRDefault="00D66348" w:rsidP="00D66348">
      <w:pPr>
        <w:spacing w:after="0" w:line="240" w:lineRule="auto"/>
        <w:ind w:firstLine="284"/>
        <w:contextualSpacing/>
        <w:jc w:val="center"/>
        <w:rPr>
          <w:rFonts w:ascii="Times New Roman" w:hAnsi="Times New Roman" w:cs="Times New Roman"/>
          <w:color w:val="000000" w:themeColor="text1"/>
          <w:sz w:val="23"/>
          <w:szCs w:val="23"/>
          <w:lang w:val="en-US"/>
        </w:rPr>
      </w:pPr>
    </w:p>
    <w:p w14:paraId="73C0ADB6" w14:textId="77777777" w:rsidR="00D66348" w:rsidRPr="00983193" w:rsidRDefault="00751A7D" w:rsidP="003A2C0C">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B94492">
        <w:rPr>
          <w:rFonts w:ascii="Times New Roman" w:hAnsi="Times New Roman" w:cs="Times New Roman"/>
          <w:color w:val="000000" w:themeColor="text1"/>
          <w:sz w:val="23"/>
          <w:szCs w:val="23"/>
          <w:lang w:val="en-US"/>
        </w:rPr>
        <w:t>A further</w:t>
      </w:r>
      <w:r w:rsidR="00B94492"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efficiency indicator</w:t>
      </w:r>
      <w:r w:rsidR="00B94492">
        <w:rPr>
          <w:rFonts w:ascii="Times New Roman" w:hAnsi="Times New Roman" w:cs="Times New Roman"/>
          <w:color w:val="000000" w:themeColor="text1"/>
          <w:sz w:val="23"/>
          <w:szCs w:val="23"/>
          <w:lang w:val="en-US"/>
        </w:rPr>
        <w:t>, which is</w:t>
      </w:r>
      <w:r w:rsidR="00D66348" w:rsidRPr="00983193">
        <w:rPr>
          <w:rFonts w:ascii="Times New Roman" w:hAnsi="Times New Roman" w:cs="Times New Roman"/>
          <w:color w:val="000000" w:themeColor="text1"/>
          <w:sz w:val="23"/>
          <w:szCs w:val="23"/>
          <w:lang w:val="en-US"/>
        </w:rPr>
        <w:t xml:space="preserve"> not present in </w:t>
      </w:r>
      <w:r w:rsidR="00D66348" w:rsidRPr="009946C9">
        <w:rPr>
          <w:rFonts w:ascii="Times New Roman" w:hAnsi="Times New Roman" w:cs="Times New Roman"/>
          <w:noProof/>
          <w:color w:val="000000" w:themeColor="text1"/>
          <w:sz w:val="23"/>
          <w:szCs w:val="23"/>
          <w:lang w:val="en-US"/>
        </w:rPr>
        <w:t>Pulic’s</w:t>
      </w:r>
      <w:r w:rsidR="00D66348" w:rsidRPr="00983193">
        <w:rPr>
          <w:rFonts w:ascii="Times New Roman" w:hAnsi="Times New Roman" w:cs="Times New Roman"/>
          <w:color w:val="000000" w:themeColor="text1"/>
          <w:sz w:val="23"/>
          <w:szCs w:val="23"/>
          <w:lang w:val="en-US"/>
        </w:rPr>
        <w:t xml:space="preserve"> first version of VAIC</w:t>
      </w:r>
      <w:r w:rsidR="00B94492">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is Structural </w:t>
      </w:r>
      <w:r w:rsidR="00B94492">
        <w:rPr>
          <w:rFonts w:ascii="Times New Roman" w:hAnsi="Times New Roman" w:cs="Times New Roman"/>
          <w:color w:val="000000" w:themeColor="text1"/>
          <w:sz w:val="23"/>
          <w:szCs w:val="23"/>
          <w:lang w:val="en-US"/>
        </w:rPr>
        <w:t>C</w:t>
      </w:r>
      <w:r w:rsidR="00D66348" w:rsidRPr="00983193">
        <w:rPr>
          <w:rFonts w:ascii="Times New Roman" w:hAnsi="Times New Roman" w:cs="Times New Roman"/>
          <w:color w:val="000000" w:themeColor="text1"/>
          <w:sz w:val="23"/>
          <w:szCs w:val="23"/>
          <w:lang w:val="en-US"/>
        </w:rPr>
        <w:t xml:space="preserve">apital </w:t>
      </w:r>
      <w:r w:rsidR="00B94492">
        <w:rPr>
          <w:rFonts w:ascii="Times New Roman" w:hAnsi="Times New Roman" w:cs="Times New Roman"/>
          <w:color w:val="000000" w:themeColor="text1"/>
          <w:sz w:val="23"/>
          <w:szCs w:val="23"/>
          <w:lang w:val="en-US"/>
        </w:rPr>
        <w:t>E</w:t>
      </w:r>
      <w:r w:rsidR="00D66348" w:rsidRPr="00983193">
        <w:rPr>
          <w:rFonts w:ascii="Times New Roman" w:hAnsi="Times New Roman" w:cs="Times New Roman"/>
          <w:color w:val="000000" w:themeColor="text1"/>
          <w:sz w:val="23"/>
          <w:szCs w:val="23"/>
          <w:lang w:val="en-US"/>
        </w:rPr>
        <w:t>fficiency</w:t>
      </w:r>
      <w:r w:rsidR="00B94492">
        <w:rPr>
          <w:rFonts w:ascii="Times New Roman" w:hAnsi="Times New Roman" w:cs="Times New Roman"/>
          <w:color w:val="000000" w:themeColor="text1"/>
          <w:sz w:val="23"/>
          <w:szCs w:val="23"/>
          <w:lang w:val="en-US"/>
        </w:rPr>
        <w:t xml:space="preserve"> (</w:t>
      </w:r>
      <m:oMath>
        <m:r>
          <w:rPr>
            <w:rFonts w:ascii="Cambria Math" w:hAnsi="Cambria Math" w:cs="Times New Roman"/>
            <w:color w:val="000000" w:themeColor="text1"/>
            <w:sz w:val="23"/>
            <w:szCs w:val="23"/>
            <w:lang w:val="en-US"/>
          </w:rPr>
          <m:t>SCE</m:t>
        </m:r>
      </m:oMath>
      <w:r w:rsidR="00B94492">
        <w:rPr>
          <w:rFonts w:ascii="Times New Roman" w:eastAsiaTheme="minorEastAsia" w:hAnsi="Times New Roman" w:cs="Times New Roman"/>
          <w:color w:val="000000" w:themeColor="text1"/>
          <w:sz w:val="23"/>
          <w:szCs w:val="23"/>
          <w:lang w:val="en-US"/>
        </w:rPr>
        <w:t>)</w:t>
      </w:r>
      <w:r w:rsidR="00B94492">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w:t>
      </w:r>
      <w:r w:rsidR="00B94492">
        <w:rPr>
          <w:rFonts w:ascii="Times New Roman" w:hAnsi="Times New Roman" w:cs="Times New Roman"/>
          <w:color w:val="000000" w:themeColor="text1"/>
          <w:sz w:val="23"/>
          <w:szCs w:val="23"/>
          <w:lang w:val="en-US"/>
        </w:rPr>
        <w:t>D</w:t>
      </w:r>
      <w:r w:rsidR="00D66348" w:rsidRPr="00983193">
        <w:rPr>
          <w:rFonts w:ascii="Times New Roman" w:hAnsi="Times New Roman" w:cs="Times New Roman"/>
          <w:color w:val="000000" w:themeColor="text1"/>
          <w:sz w:val="23"/>
          <w:szCs w:val="23"/>
          <w:lang w:val="en-US"/>
        </w:rPr>
        <w:t xml:space="preserve">espite its definition as “capital”, structural capital </w:t>
      </w:r>
      <w:r w:rsidR="00B94492">
        <w:rPr>
          <w:rFonts w:ascii="Times New Roman" w:hAnsi="Times New Roman" w:cs="Times New Roman"/>
          <w:color w:val="000000" w:themeColor="text1"/>
          <w:sz w:val="23"/>
          <w:szCs w:val="23"/>
          <w:lang w:val="en-US"/>
        </w:rPr>
        <w:t xml:space="preserve">here </w:t>
      </w:r>
      <w:r w:rsidR="00D66348" w:rsidRPr="00983193">
        <w:rPr>
          <w:rFonts w:ascii="Times New Roman" w:hAnsi="Times New Roman" w:cs="Times New Roman"/>
          <w:color w:val="000000" w:themeColor="text1"/>
          <w:sz w:val="23"/>
          <w:szCs w:val="23"/>
          <w:lang w:val="en-US"/>
        </w:rPr>
        <w:t>is calculated as the difference between</w:t>
      </w:r>
      <w:r w:rsidR="00B94492">
        <w:rPr>
          <w:rFonts w:ascii="Times New Roman" w:hAnsi="Times New Roman" w:cs="Times New Roman"/>
          <w:color w:val="000000" w:themeColor="text1"/>
          <w:sz w:val="23"/>
          <w:szCs w:val="23"/>
          <w:lang w:val="en-US"/>
        </w:rPr>
        <w:t xml:space="preserve"> </w:t>
      </w:r>
      <m:oMath>
        <m:r>
          <w:rPr>
            <w:rFonts w:ascii="Cambria Math" w:hAnsi="Cambria Math" w:cs="Times New Roman"/>
            <w:color w:val="000000" w:themeColor="text1"/>
            <w:sz w:val="23"/>
            <w:szCs w:val="23"/>
            <w:lang w:val="en-US"/>
          </w:rPr>
          <m:t>VA</m:t>
        </m:r>
      </m:oMath>
      <w:r w:rsidR="00D66348" w:rsidRPr="00983193">
        <w:rPr>
          <w:rFonts w:ascii="Times New Roman" w:hAnsi="Times New Roman" w:cs="Times New Roman"/>
          <w:color w:val="000000" w:themeColor="text1"/>
          <w:sz w:val="23"/>
          <w:szCs w:val="23"/>
          <w:lang w:val="en-US"/>
        </w:rPr>
        <w:t xml:space="preserve"> and </w:t>
      </w:r>
      <m:oMath>
        <m:r>
          <w:rPr>
            <w:rFonts w:ascii="Cambria Math" w:hAnsi="Cambria Math" w:cs="Times New Roman"/>
            <w:color w:val="000000" w:themeColor="text1"/>
            <w:sz w:val="23"/>
            <w:szCs w:val="23"/>
            <w:lang w:val="en-US"/>
          </w:rPr>
          <m:t>HC</m:t>
        </m:r>
      </m:oMath>
      <w:r w:rsidR="00B94492">
        <w:rPr>
          <w:rFonts w:ascii="Times New Roman" w:hAnsi="Times New Roman" w:cs="Times New Roman"/>
          <w:color w:val="000000" w:themeColor="text1"/>
          <w:sz w:val="23"/>
          <w:szCs w:val="23"/>
          <w:lang w:val="en-US"/>
        </w:rPr>
        <w:t xml:space="preserve"> and thus</w:t>
      </w:r>
      <w:r w:rsidR="00D66348" w:rsidRPr="00983193">
        <w:rPr>
          <w:rFonts w:ascii="Times New Roman" w:hAnsi="Times New Roman" w:cs="Times New Roman"/>
          <w:color w:val="000000" w:themeColor="text1"/>
          <w:sz w:val="23"/>
          <w:szCs w:val="23"/>
          <w:lang w:val="en-US"/>
        </w:rPr>
        <w:t xml:space="preserve"> it is not a “stock”, </w:t>
      </w:r>
      <w:r w:rsidR="00B94492">
        <w:rPr>
          <w:rFonts w:ascii="Times New Roman" w:hAnsi="Times New Roman" w:cs="Times New Roman"/>
          <w:color w:val="000000" w:themeColor="text1"/>
          <w:sz w:val="23"/>
          <w:szCs w:val="23"/>
          <w:lang w:val="en-US"/>
        </w:rPr>
        <w:t>but</w:t>
      </w:r>
      <w:r w:rsidR="00D66348" w:rsidRPr="00983193">
        <w:rPr>
          <w:rFonts w:ascii="Times New Roman" w:hAnsi="Times New Roman" w:cs="Times New Roman"/>
          <w:color w:val="000000" w:themeColor="text1"/>
          <w:sz w:val="23"/>
          <w:szCs w:val="23"/>
          <w:lang w:val="en-US"/>
        </w:rPr>
        <w:t xml:space="preserve"> a “flow” broadly corresponding to EBITDA (earnings before interest, taxes, </w:t>
      </w:r>
      <w:r w:rsidR="00D66348" w:rsidRPr="009946C9">
        <w:rPr>
          <w:rFonts w:ascii="Times New Roman" w:hAnsi="Times New Roman" w:cs="Times New Roman"/>
          <w:noProof/>
          <w:color w:val="000000" w:themeColor="text1"/>
          <w:sz w:val="23"/>
          <w:szCs w:val="23"/>
          <w:lang w:val="en-US"/>
        </w:rPr>
        <w:t>depreciation</w:t>
      </w:r>
      <w:r w:rsidR="00D66348" w:rsidRPr="00983193">
        <w:rPr>
          <w:rFonts w:ascii="Times New Roman" w:hAnsi="Times New Roman" w:cs="Times New Roman"/>
          <w:color w:val="000000" w:themeColor="text1"/>
          <w:sz w:val="23"/>
          <w:szCs w:val="23"/>
          <w:lang w:val="en-US"/>
        </w:rPr>
        <w:t xml:space="preserve"> and amortization). </w:t>
      </w:r>
    </w:p>
    <w:p w14:paraId="41D50458" w14:textId="77777777" w:rsidR="00D66348" w:rsidRPr="00983193" w:rsidRDefault="00751A7D" w:rsidP="003A2C0C">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It is interesting to note that </w:t>
      </w:r>
      <m:oMath>
        <m:r>
          <w:rPr>
            <w:rFonts w:ascii="Cambria Math" w:hAnsi="Cambria Math" w:cs="Times New Roman"/>
            <w:color w:val="000000" w:themeColor="text1"/>
            <w:sz w:val="23"/>
            <w:szCs w:val="23"/>
            <w:lang w:val="en-US"/>
          </w:rPr>
          <m:t>SCE</m:t>
        </m:r>
      </m:oMath>
      <w:r w:rsidR="00F42ED5">
        <w:rPr>
          <w:rFonts w:ascii="Times New Roman" w:hAnsi="Times New Roman" w:cs="Times New Roman"/>
          <w:color w:val="000000" w:themeColor="text1"/>
          <w:sz w:val="23"/>
          <w:szCs w:val="23"/>
          <w:lang w:val="en-US"/>
        </w:rPr>
        <w:t xml:space="preserve"> may be expressed as</w:t>
      </w:r>
      <w:r w:rsidR="00D66348" w:rsidRPr="00983193">
        <w:rPr>
          <w:rFonts w:ascii="Times New Roman" w:hAnsi="Times New Roman" w:cs="Times New Roman"/>
          <w:color w:val="000000" w:themeColor="text1"/>
          <w:sz w:val="23"/>
          <w:szCs w:val="23"/>
          <w:lang w:val="en-US"/>
        </w:rPr>
        <w:t>:</w:t>
      </w:r>
    </w:p>
    <w:p w14:paraId="24148D18" w14:textId="77777777" w:rsidR="00D66348" w:rsidRPr="00983193" w:rsidRDefault="00D66348" w:rsidP="00D66348">
      <w:pPr>
        <w:spacing w:after="0" w:line="240" w:lineRule="auto"/>
        <w:ind w:firstLine="284"/>
        <w:contextualSpacing/>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                                                               </w:t>
      </w:r>
    </w:p>
    <w:p w14:paraId="4375A57D" w14:textId="77777777" w:rsidR="00D66348" w:rsidRPr="006C1B92" w:rsidRDefault="003A2C0C" w:rsidP="00D66348">
      <w:pPr>
        <w:spacing w:after="0" w:line="240" w:lineRule="auto"/>
        <w:ind w:firstLine="284"/>
        <w:contextualSpacing/>
        <w:jc w:val="center"/>
        <w:rPr>
          <w:rFonts w:ascii="Times New Roman" w:hAnsi="Times New Roman" w:cs="Times New Roman"/>
          <w:color w:val="000000" w:themeColor="text1"/>
          <w:sz w:val="23"/>
          <w:szCs w:val="23"/>
          <w:lang w:val="en-US"/>
        </w:rPr>
      </w:pPr>
      <m:oMathPara>
        <m:oMath>
          <m:r>
            <w:rPr>
              <w:rFonts w:ascii="Cambria Math" w:hAnsi="Cambria Math" w:cs="Times New Roman"/>
              <w:color w:val="000000" w:themeColor="text1"/>
              <w:sz w:val="23"/>
              <w:szCs w:val="23"/>
            </w:rPr>
            <m:t>SCE</m:t>
          </m:r>
          <m:r>
            <w:rPr>
              <w:rFonts w:ascii="Cambria Math" w:hAnsi="Cambria Math" w:cs="Times New Roman"/>
              <w:color w:val="000000" w:themeColor="text1"/>
              <w:sz w:val="23"/>
              <w:szCs w:val="23"/>
              <w:lang w:val="en-US"/>
            </w:rPr>
            <m:t>=</m:t>
          </m:r>
          <m:d>
            <m:dPr>
              <m:ctrlPr>
                <w:rPr>
                  <w:rFonts w:ascii="Cambria Math" w:hAnsi="Cambria Math" w:cs="Times New Roman"/>
                  <w:i/>
                  <w:color w:val="000000" w:themeColor="text1"/>
                  <w:sz w:val="23"/>
                  <w:szCs w:val="23"/>
                  <w:lang w:val="en-US"/>
                </w:rPr>
              </m:ctrlPr>
            </m:dPr>
            <m:e>
              <m:r>
                <w:rPr>
                  <w:rFonts w:ascii="Cambria Math" w:hAnsi="Cambria Math" w:cs="Times New Roman"/>
                  <w:color w:val="000000" w:themeColor="text1"/>
                  <w:sz w:val="23"/>
                  <w:szCs w:val="23"/>
                </w:rPr>
                <m:t>VA</m:t>
              </m:r>
              <m:r>
                <w:rPr>
                  <w:rFonts w:ascii="Cambria Math" w:hAnsi="Cambria Math" w:cs="Times New Roman"/>
                  <w:color w:val="000000" w:themeColor="text1"/>
                  <w:sz w:val="23"/>
                  <w:szCs w:val="23"/>
                  <w:lang w:val="en-US"/>
                </w:rPr>
                <m:t>-HC</m:t>
              </m:r>
            </m:e>
          </m:d>
          <m:r>
            <m:rPr>
              <m:nor/>
            </m:rPr>
            <w:rPr>
              <w:rFonts w:ascii="Cambria Math" w:hAnsi="Cambria Math" w:cs="Times New Roman"/>
              <w:color w:val="000000" w:themeColor="text1"/>
              <w:sz w:val="23"/>
              <w:szCs w:val="23"/>
              <w:lang w:val="en-US"/>
            </w:rPr>
            <m:t xml:space="preserve">/VA or </m:t>
          </m:r>
          <m:r>
            <w:rPr>
              <w:rFonts w:ascii="Cambria Math" w:hAnsi="Cambria Math" w:cs="Times New Roman"/>
              <w:color w:val="000000" w:themeColor="text1"/>
              <w:sz w:val="23"/>
              <w:szCs w:val="23"/>
            </w:rPr>
            <m:t>SC</m:t>
          </m:r>
          <m:r>
            <w:rPr>
              <w:rFonts w:ascii="Cambria Math" w:hAnsi="Cambria Math" w:cs="Times New Roman"/>
              <w:color w:val="000000" w:themeColor="text1"/>
              <w:sz w:val="23"/>
              <w:szCs w:val="23"/>
              <w:lang w:val="en-US"/>
            </w:rPr>
            <m:t>/</m:t>
          </m:r>
          <m:r>
            <w:rPr>
              <w:rFonts w:ascii="Cambria Math" w:hAnsi="Cambria Math" w:cs="Times New Roman"/>
              <w:color w:val="000000" w:themeColor="text1"/>
              <w:sz w:val="23"/>
              <w:szCs w:val="23"/>
            </w:rPr>
            <m:t>VA</m:t>
          </m:r>
          <m:r>
            <m:rPr>
              <m:nor/>
            </m:rPr>
            <w:rPr>
              <w:rFonts w:ascii="Cambria Math" w:hAnsi="Cambria Math" w:cs="Times New Roman"/>
              <w:color w:val="000000" w:themeColor="text1"/>
              <w:sz w:val="23"/>
              <w:szCs w:val="23"/>
              <w:lang w:val="en-US"/>
            </w:rPr>
            <m:t xml:space="preserve"> </m:t>
          </m:r>
        </m:oMath>
      </m:oMathPara>
    </w:p>
    <w:p w14:paraId="135A8919" w14:textId="77777777" w:rsidR="00D66348" w:rsidRPr="00A53C54" w:rsidRDefault="00D66348" w:rsidP="00D66348">
      <w:pPr>
        <w:spacing w:after="0" w:line="240" w:lineRule="auto"/>
        <w:ind w:firstLine="284"/>
        <w:contextualSpacing/>
        <w:jc w:val="both"/>
        <w:rPr>
          <w:rFonts w:ascii="Times New Roman" w:hAnsi="Times New Roman" w:cs="Times New Roman"/>
          <w:color w:val="000000" w:themeColor="text1"/>
          <w:sz w:val="23"/>
          <w:szCs w:val="23"/>
          <w:lang w:val="en-US"/>
        </w:rPr>
      </w:pPr>
    </w:p>
    <w:p w14:paraId="134A5203" w14:textId="77777777" w:rsidR="00D66348" w:rsidRPr="00983193" w:rsidRDefault="00751A7D" w:rsidP="003A2C0C">
      <w:pPr>
        <w:spacing w:after="0" w:line="240" w:lineRule="auto"/>
        <w:contextualSpacing/>
        <w:jc w:val="both"/>
        <w:rPr>
          <w:rFonts w:ascii="Times New Roman" w:hAnsi="Times New Roman" w:cs="Times New Roman"/>
          <w:color w:val="000000" w:themeColor="text1"/>
          <w:sz w:val="23"/>
          <w:szCs w:val="23"/>
          <w:lang w:val="en-US"/>
        </w:rPr>
      </w:pPr>
      <w:r w:rsidRPr="003A2C0C">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In other words, the first indicator (</w:t>
      </w:r>
      <m:oMath>
        <m:r>
          <w:rPr>
            <w:rFonts w:ascii="Cambria Math" w:hAnsi="Cambria Math" w:cs="Times New Roman"/>
            <w:color w:val="000000" w:themeColor="text1"/>
            <w:sz w:val="23"/>
            <w:szCs w:val="23"/>
            <w:lang w:val="en-US"/>
          </w:rPr>
          <m:t>HCE</m:t>
        </m:r>
      </m:oMath>
      <w:r w:rsidR="00D66348" w:rsidRPr="00983193">
        <w:rPr>
          <w:rFonts w:ascii="Times New Roman" w:hAnsi="Times New Roman" w:cs="Times New Roman"/>
          <w:color w:val="000000" w:themeColor="text1"/>
          <w:sz w:val="23"/>
          <w:szCs w:val="23"/>
          <w:lang w:val="en-US"/>
        </w:rPr>
        <w:t xml:space="preserve">) </w:t>
      </w:r>
      <w:r w:rsidR="00D66348" w:rsidRPr="009946C9">
        <w:rPr>
          <w:rFonts w:ascii="Times New Roman" w:hAnsi="Times New Roman" w:cs="Times New Roman"/>
          <w:noProof/>
          <w:color w:val="000000" w:themeColor="text1"/>
          <w:sz w:val="23"/>
          <w:szCs w:val="23"/>
          <w:lang w:val="en-US"/>
        </w:rPr>
        <w:t>is directly</w:t>
      </w:r>
      <w:r w:rsidR="00D66348" w:rsidRPr="00983193">
        <w:rPr>
          <w:rFonts w:ascii="Times New Roman" w:hAnsi="Times New Roman" w:cs="Times New Roman"/>
          <w:color w:val="000000" w:themeColor="text1"/>
          <w:sz w:val="23"/>
          <w:szCs w:val="23"/>
          <w:lang w:val="en-US"/>
        </w:rPr>
        <w:t xml:space="preserve"> proportional to </w:t>
      </w:r>
      <m:oMath>
        <m:r>
          <w:rPr>
            <w:rFonts w:ascii="Cambria Math" w:hAnsi="Cambria Math" w:cs="Times New Roman"/>
            <w:color w:val="000000" w:themeColor="text1"/>
            <w:sz w:val="23"/>
            <w:szCs w:val="23"/>
            <w:lang w:val="en-US"/>
          </w:rPr>
          <m:t>VA</m:t>
        </m:r>
      </m:oMath>
      <w:r w:rsidR="00D66348" w:rsidRPr="00983193">
        <w:rPr>
          <w:rFonts w:ascii="Times New Roman" w:hAnsi="Times New Roman" w:cs="Times New Roman"/>
          <w:color w:val="000000" w:themeColor="text1"/>
          <w:sz w:val="23"/>
          <w:szCs w:val="23"/>
          <w:lang w:val="en-US"/>
        </w:rPr>
        <w:t xml:space="preserve">, while the second indicator is inversely proportional to </w:t>
      </w:r>
      <m:oMath>
        <m:r>
          <w:rPr>
            <w:rFonts w:ascii="Cambria Math" w:hAnsi="Cambria Math" w:cs="Times New Roman"/>
            <w:color w:val="000000" w:themeColor="text1"/>
            <w:sz w:val="23"/>
            <w:szCs w:val="23"/>
            <w:lang w:val="en-US"/>
          </w:rPr>
          <m:t>VA</m:t>
        </m:r>
      </m:oMath>
      <w:r w:rsidR="00F42ED5">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w:t>
      </w:r>
      <w:r w:rsidR="00F42ED5">
        <w:rPr>
          <w:rFonts w:ascii="Times New Roman" w:hAnsi="Times New Roman" w:cs="Times New Roman"/>
          <w:color w:val="000000" w:themeColor="text1"/>
          <w:sz w:val="23"/>
          <w:szCs w:val="23"/>
          <w:lang w:val="en-US"/>
        </w:rPr>
        <w:t>and</w:t>
      </w:r>
      <w:r w:rsidR="00D66348" w:rsidRPr="00983193">
        <w:rPr>
          <w:rFonts w:ascii="Times New Roman" w:hAnsi="Times New Roman" w:cs="Times New Roman"/>
          <w:color w:val="000000" w:themeColor="text1"/>
          <w:sz w:val="23"/>
          <w:szCs w:val="23"/>
          <w:lang w:val="en-US"/>
        </w:rPr>
        <w:t xml:space="preserve"> both are inversely proportional to HC.</w:t>
      </w:r>
      <w:r w:rsidR="00F42ED5">
        <w:rPr>
          <w:rFonts w:ascii="Times New Roman" w:hAnsi="Times New Roman" w:cs="Times New Roman"/>
          <w:color w:val="000000" w:themeColor="text1"/>
          <w:sz w:val="23"/>
          <w:szCs w:val="23"/>
          <w:lang w:val="en-US"/>
        </w:rPr>
        <w:t xml:space="preserve"> </w:t>
      </w:r>
      <w:r w:rsidR="00326A3C" w:rsidRPr="00983193">
        <w:rPr>
          <w:rFonts w:ascii="Times New Roman" w:hAnsi="Times New Roman" w:cs="Times New Roman"/>
          <w:color w:val="000000" w:themeColor="text1"/>
          <w:sz w:val="23"/>
          <w:szCs w:val="23"/>
          <w:lang w:val="en-US"/>
        </w:rPr>
        <w:t xml:space="preserve">It is also interesting to note </w:t>
      </w:r>
      <w:r w:rsidR="00D66348" w:rsidRPr="00983193">
        <w:rPr>
          <w:rFonts w:ascii="Times New Roman" w:hAnsi="Times New Roman" w:cs="Times New Roman"/>
          <w:color w:val="000000" w:themeColor="text1"/>
          <w:sz w:val="23"/>
          <w:szCs w:val="23"/>
          <w:lang w:val="en-US"/>
        </w:rPr>
        <w:t>that</w:t>
      </w:r>
      <w:r w:rsidR="00F42ED5">
        <w:rPr>
          <w:rFonts w:ascii="Times New Roman" w:hAnsi="Times New Roman" w:cs="Times New Roman"/>
          <w:color w:val="000000" w:themeColor="text1"/>
          <w:sz w:val="23"/>
          <w:szCs w:val="23"/>
          <w:lang w:val="en-US"/>
        </w:rPr>
        <w:t xml:space="preserve"> </w:t>
      </w:r>
      <m:oMath>
        <m:r>
          <w:rPr>
            <w:rFonts w:ascii="Cambria Math" w:hAnsi="Cambria Math" w:cs="Times New Roman"/>
            <w:color w:val="000000" w:themeColor="text1"/>
            <w:sz w:val="23"/>
            <w:szCs w:val="23"/>
            <w:lang w:val="en-US"/>
          </w:rPr>
          <m:t>HC</m:t>
        </m:r>
      </m:oMath>
      <w:r w:rsidR="00D66348" w:rsidRPr="00983193">
        <w:rPr>
          <w:rFonts w:ascii="Times New Roman" w:hAnsi="Times New Roman" w:cs="Times New Roman"/>
          <w:color w:val="000000" w:themeColor="text1"/>
          <w:sz w:val="23"/>
          <w:szCs w:val="23"/>
          <w:lang w:val="en-US"/>
        </w:rPr>
        <w:t xml:space="preserve"> </w:t>
      </w:r>
      <w:r w:rsidR="00F42ED5">
        <w:rPr>
          <w:rFonts w:ascii="Times New Roman" w:hAnsi="Times New Roman" w:cs="Times New Roman"/>
          <w:color w:val="000000" w:themeColor="text1"/>
          <w:sz w:val="23"/>
          <w:szCs w:val="23"/>
          <w:lang w:val="en-US"/>
        </w:rPr>
        <w:t xml:space="preserve">is </w:t>
      </w:r>
      <w:r w:rsidR="00D66348" w:rsidRPr="00983193">
        <w:rPr>
          <w:rFonts w:ascii="Times New Roman" w:hAnsi="Times New Roman" w:cs="Times New Roman"/>
          <w:color w:val="000000" w:themeColor="text1"/>
          <w:sz w:val="23"/>
          <w:szCs w:val="23"/>
          <w:lang w:val="en-US"/>
        </w:rPr>
        <w:t xml:space="preserve">itself a “flow”, </w:t>
      </w:r>
      <w:r w:rsidR="00F42ED5">
        <w:rPr>
          <w:rFonts w:ascii="Times New Roman" w:hAnsi="Times New Roman" w:cs="Times New Roman"/>
          <w:noProof/>
          <w:color w:val="000000" w:themeColor="text1"/>
          <w:sz w:val="23"/>
          <w:szCs w:val="23"/>
          <w:lang w:val="en-US"/>
        </w:rPr>
        <w:t>as it is</w:t>
      </w:r>
      <w:r w:rsidR="00F42ED5"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a negative component of net income.</w:t>
      </w:r>
    </w:p>
    <w:p w14:paraId="2538ECF9" w14:textId="77777777" w:rsidR="00D66348" w:rsidRPr="00983193" w:rsidRDefault="00751A7D" w:rsidP="003A2C0C">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Finally, there is the third indicator</w:t>
      </w:r>
      <w:r w:rsidR="00F42ED5">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Capital employed efficiency</w:t>
      </w:r>
      <w:r w:rsidR="00F42ED5">
        <w:rPr>
          <w:rFonts w:ascii="Times New Roman" w:hAnsi="Times New Roman" w:cs="Times New Roman"/>
          <w:color w:val="000000" w:themeColor="text1"/>
          <w:sz w:val="23"/>
          <w:szCs w:val="23"/>
          <w:lang w:val="en-US"/>
        </w:rPr>
        <w:t xml:space="preserve"> (</w:t>
      </w:r>
      <m:oMath>
        <m:r>
          <w:rPr>
            <w:rFonts w:ascii="Cambria Math" w:hAnsi="Cambria Math" w:cs="Times New Roman"/>
            <w:color w:val="000000" w:themeColor="text1"/>
            <w:sz w:val="23"/>
            <w:szCs w:val="23"/>
            <w:lang w:val="en-US"/>
          </w:rPr>
          <m:t>CEE</m:t>
        </m:r>
      </m:oMath>
      <w:r w:rsidR="00D66348" w:rsidRPr="00983193">
        <w:rPr>
          <w:rFonts w:ascii="Times New Roman" w:hAnsi="Times New Roman" w:cs="Times New Roman"/>
          <w:color w:val="000000" w:themeColor="text1"/>
          <w:sz w:val="23"/>
          <w:szCs w:val="23"/>
          <w:lang w:val="en-US"/>
        </w:rPr>
        <w:t>)</w:t>
      </w:r>
      <w:r w:rsidR="00F42ED5">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which is calculated by dividing</w:t>
      </w:r>
      <w:r w:rsidR="00F42ED5">
        <w:rPr>
          <w:rFonts w:ascii="Times New Roman" w:hAnsi="Times New Roman" w:cs="Times New Roman"/>
          <w:color w:val="000000" w:themeColor="text1"/>
          <w:sz w:val="23"/>
          <w:szCs w:val="23"/>
          <w:lang w:val="en-US"/>
        </w:rPr>
        <w:t xml:space="preserve"> </w:t>
      </w:r>
      <m:oMath>
        <m:r>
          <w:rPr>
            <w:rFonts w:ascii="Cambria Math" w:hAnsi="Cambria Math" w:cs="Times New Roman"/>
            <w:color w:val="000000" w:themeColor="text1"/>
            <w:sz w:val="23"/>
            <w:szCs w:val="23"/>
            <w:lang w:val="en-US"/>
          </w:rPr>
          <m:t>VA</m:t>
        </m:r>
      </m:oMath>
      <w:r w:rsidR="00D66348" w:rsidRPr="00983193">
        <w:rPr>
          <w:rFonts w:ascii="Times New Roman" w:hAnsi="Times New Roman" w:cs="Times New Roman"/>
          <w:color w:val="000000" w:themeColor="text1"/>
          <w:sz w:val="23"/>
          <w:szCs w:val="23"/>
          <w:lang w:val="en-US"/>
        </w:rPr>
        <w:t xml:space="preserve"> by the book value of </w:t>
      </w:r>
      <w:r w:rsidR="00326A3C" w:rsidRPr="00983193">
        <w:rPr>
          <w:rFonts w:ascii="Times New Roman" w:hAnsi="Times New Roman" w:cs="Times New Roman"/>
          <w:color w:val="000000" w:themeColor="text1"/>
          <w:sz w:val="23"/>
          <w:szCs w:val="23"/>
          <w:lang w:val="en-US"/>
        </w:rPr>
        <w:t>the company’s net assets (</w:t>
      </w:r>
      <m:oMath>
        <m:r>
          <w:rPr>
            <w:rFonts w:ascii="Cambria Math" w:hAnsi="Cambria Math" w:cs="Times New Roman"/>
            <w:color w:val="000000" w:themeColor="text1"/>
            <w:sz w:val="23"/>
            <w:szCs w:val="23"/>
            <w:lang w:val="en-US"/>
          </w:rPr>
          <m:t>CE</m:t>
        </m:r>
      </m:oMath>
      <w:r w:rsidR="00326A3C" w:rsidRPr="00983193">
        <w:rPr>
          <w:rFonts w:ascii="Times New Roman" w:hAnsi="Times New Roman" w:cs="Times New Roman"/>
          <w:color w:val="000000" w:themeColor="text1"/>
          <w:sz w:val="23"/>
          <w:szCs w:val="23"/>
          <w:lang w:val="en-US"/>
        </w:rPr>
        <w:t xml:space="preserve"> or</w:t>
      </w:r>
      <w:r w:rsidR="00D66348" w:rsidRPr="00983193">
        <w:rPr>
          <w:rFonts w:ascii="Times New Roman" w:hAnsi="Times New Roman" w:cs="Times New Roman"/>
          <w:color w:val="000000" w:themeColor="text1"/>
          <w:sz w:val="23"/>
          <w:szCs w:val="23"/>
          <w:lang w:val="en-US"/>
        </w:rPr>
        <w:t xml:space="preserve"> alternatively </w:t>
      </w:r>
      <m:oMath>
        <m:r>
          <w:rPr>
            <w:rFonts w:ascii="Cambria Math" w:hAnsi="Cambria Math" w:cs="Times New Roman"/>
            <w:color w:val="000000" w:themeColor="text1"/>
            <w:sz w:val="23"/>
            <w:szCs w:val="23"/>
            <w:lang w:val="en-US"/>
          </w:rPr>
          <m:t>CA</m:t>
        </m:r>
      </m:oMath>
      <w:r w:rsidR="00D66348" w:rsidRPr="00983193">
        <w:rPr>
          <w:rFonts w:ascii="Times New Roman" w:hAnsi="Times New Roman" w:cs="Times New Roman"/>
          <w:color w:val="000000" w:themeColor="text1"/>
          <w:sz w:val="23"/>
          <w:szCs w:val="23"/>
          <w:lang w:val="en-US"/>
        </w:rPr>
        <w:t>):</w:t>
      </w:r>
    </w:p>
    <w:p w14:paraId="13E7C28F" w14:textId="77777777" w:rsidR="00D66348" w:rsidRPr="00983193" w:rsidRDefault="00D66348" w:rsidP="00D66348">
      <w:pPr>
        <w:spacing w:after="0" w:line="240" w:lineRule="auto"/>
        <w:ind w:firstLine="284"/>
        <w:contextualSpacing/>
        <w:jc w:val="both"/>
        <w:rPr>
          <w:rFonts w:ascii="Times New Roman" w:hAnsi="Times New Roman" w:cs="Times New Roman"/>
          <w:color w:val="000000" w:themeColor="text1"/>
          <w:sz w:val="23"/>
          <w:szCs w:val="23"/>
          <w:lang w:val="en-US"/>
        </w:rPr>
      </w:pPr>
    </w:p>
    <w:p w14:paraId="3D1FA0F8" w14:textId="77777777" w:rsidR="00D66348" w:rsidRPr="003A2C0C" w:rsidRDefault="00D66348" w:rsidP="00D66348">
      <w:pPr>
        <w:spacing w:after="0" w:line="240" w:lineRule="auto"/>
        <w:ind w:firstLine="284"/>
        <w:contextualSpacing/>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                                                            </w:t>
      </w:r>
      <m:oMath>
        <m:r>
          <w:rPr>
            <w:rFonts w:ascii="Cambria Math" w:hAnsi="Cambria Math" w:cs="Times New Roman"/>
            <w:color w:val="000000" w:themeColor="text1"/>
            <w:sz w:val="23"/>
            <w:szCs w:val="23"/>
            <w:lang w:val="en-US"/>
          </w:rPr>
          <m:t>CEE=</m:t>
        </m:r>
        <m:f>
          <m:fPr>
            <m:ctrlPr>
              <w:rPr>
                <w:rFonts w:ascii="Cambria Math" w:hAnsi="Cambria Math" w:cs="Times New Roman"/>
                <w:i/>
                <w:color w:val="000000" w:themeColor="text1"/>
                <w:sz w:val="23"/>
                <w:szCs w:val="23"/>
                <w:lang w:val="en-US"/>
              </w:rPr>
            </m:ctrlPr>
          </m:fPr>
          <m:num>
            <m:r>
              <w:rPr>
                <w:rFonts w:ascii="Cambria Math" w:hAnsi="Cambria Math" w:cs="Times New Roman"/>
                <w:color w:val="000000" w:themeColor="text1"/>
                <w:sz w:val="23"/>
                <w:szCs w:val="23"/>
                <w:lang w:val="en-US"/>
              </w:rPr>
              <m:t>VA</m:t>
            </m:r>
          </m:num>
          <m:den>
            <m:r>
              <w:rPr>
                <w:rFonts w:ascii="Cambria Math" w:hAnsi="Cambria Math" w:cs="Times New Roman"/>
                <w:color w:val="000000" w:themeColor="text1"/>
                <w:sz w:val="23"/>
                <w:szCs w:val="23"/>
                <w:lang w:val="en-US"/>
              </w:rPr>
              <m:t>CE</m:t>
            </m:r>
          </m:den>
        </m:f>
        <m:r>
          <w:rPr>
            <w:rFonts w:ascii="Cambria Math" w:hAnsi="Cambria Math" w:cs="Times New Roman"/>
            <w:color w:val="000000" w:themeColor="text1"/>
            <w:sz w:val="23"/>
            <w:szCs w:val="23"/>
            <w:lang w:val="en-US"/>
          </w:rPr>
          <m:t xml:space="preserve"> or</m:t>
        </m:r>
        <m:f>
          <m:fPr>
            <m:ctrlPr>
              <w:rPr>
                <w:rFonts w:ascii="Cambria Math" w:hAnsi="Cambria Math" w:cs="Times New Roman"/>
                <w:i/>
                <w:color w:val="000000" w:themeColor="text1"/>
                <w:sz w:val="23"/>
                <w:szCs w:val="23"/>
                <w:lang w:val="en-US"/>
              </w:rPr>
            </m:ctrlPr>
          </m:fPr>
          <m:num>
            <m:r>
              <w:rPr>
                <w:rFonts w:ascii="Cambria Math" w:hAnsi="Cambria Math" w:cs="Times New Roman"/>
                <w:color w:val="000000" w:themeColor="text1"/>
                <w:sz w:val="23"/>
                <w:szCs w:val="23"/>
                <w:lang w:val="en-US"/>
              </w:rPr>
              <m:t>VA</m:t>
            </m:r>
          </m:num>
          <m:den>
            <m:r>
              <w:rPr>
                <w:rFonts w:ascii="Cambria Math" w:hAnsi="Cambria Math" w:cs="Times New Roman"/>
                <w:color w:val="000000" w:themeColor="text1"/>
                <w:sz w:val="23"/>
                <w:szCs w:val="23"/>
                <w:lang w:val="en-US"/>
              </w:rPr>
              <m:t>CA</m:t>
            </m:r>
          </m:den>
        </m:f>
      </m:oMath>
    </w:p>
    <w:p w14:paraId="016F2CB4" w14:textId="77777777" w:rsidR="00814383" w:rsidRPr="003A2C0C" w:rsidRDefault="00814383" w:rsidP="00D66348">
      <w:pPr>
        <w:spacing w:after="0" w:line="240" w:lineRule="auto"/>
        <w:ind w:firstLine="284"/>
        <w:contextualSpacing/>
        <w:jc w:val="both"/>
        <w:rPr>
          <w:rFonts w:ascii="Times New Roman" w:hAnsi="Times New Roman" w:cs="Times New Roman"/>
          <w:color w:val="000000" w:themeColor="text1"/>
          <w:sz w:val="23"/>
          <w:szCs w:val="23"/>
          <w:lang w:val="en-US"/>
        </w:rPr>
      </w:pPr>
    </w:p>
    <w:p w14:paraId="2112AA5E" w14:textId="77777777" w:rsidR="003A2C0C" w:rsidRDefault="00751A7D" w:rsidP="003A2C0C">
      <w:pPr>
        <w:spacing w:after="0" w:line="240" w:lineRule="auto"/>
        <w:contextualSpacing/>
        <w:jc w:val="both"/>
        <w:rPr>
          <w:rFonts w:ascii="Times New Roman" w:hAnsi="Times New Roman" w:cs="Times New Roman"/>
          <w:color w:val="000000" w:themeColor="text1"/>
          <w:sz w:val="23"/>
          <w:szCs w:val="23"/>
          <w:lang w:val="en-US"/>
        </w:rPr>
      </w:pPr>
      <w:r w:rsidRPr="003A2C0C">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It is not clearly defined </w:t>
      </w:r>
      <w:r w:rsidR="00F42ED5">
        <w:rPr>
          <w:rFonts w:ascii="Times New Roman" w:hAnsi="Times New Roman" w:cs="Times New Roman"/>
          <w:color w:val="000000" w:themeColor="text1"/>
          <w:sz w:val="23"/>
          <w:szCs w:val="23"/>
          <w:lang w:val="en-US"/>
        </w:rPr>
        <w:t xml:space="preserve">whether </w:t>
      </w:r>
      <m:oMath>
        <m:r>
          <w:rPr>
            <w:rFonts w:ascii="Cambria Math" w:hAnsi="Cambria Math" w:cs="Times New Roman"/>
            <w:color w:val="000000" w:themeColor="text1"/>
            <w:sz w:val="23"/>
            <w:szCs w:val="23"/>
            <w:lang w:val="en-US"/>
          </w:rPr>
          <m:t>CE</m:t>
        </m:r>
      </m:oMath>
      <w:r w:rsidR="00D66348" w:rsidRPr="00983193">
        <w:rPr>
          <w:rFonts w:ascii="Times New Roman" w:hAnsi="Times New Roman" w:cs="Times New Roman"/>
          <w:color w:val="000000" w:themeColor="text1"/>
          <w:sz w:val="23"/>
          <w:szCs w:val="23"/>
          <w:lang w:val="en-US"/>
        </w:rPr>
        <w:t xml:space="preserve"> (or</w:t>
      </w:r>
      <w:r w:rsidR="00F42ED5">
        <w:rPr>
          <w:rFonts w:ascii="Times New Roman" w:hAnsi="Times New Roman" w:cs="Times New Roman"/>
          <w:color w:val="000000" w:themeColor="text1"/>
          <w:sz w:val="23"/>
          <w:szCs w:val="23"/>
          <w:lang w:val="en-US"/>
        </w:rPr>
        <w:t xml:space="preserve"> </w:t>
      </w:r>
      <m:oMath>
        <m:r>
          <w:rPr>
            <w:rFonts w:ascii="Cambria Math" w:hAnsi="Cambria Math" w:cs="Times New Roman"/>
            <w:color w:val="000000" w:themeColor="text1"/>
            <w:sz w:val="23"/>
            <w:szCs w:val="23"/>
            <w:lang w:val="en-US"/>
          </w:rPr>
          <m:t>CA</m:t>
        </m:r>
      </m:oMath>
      <w:r w:rsidR="00D66348" w:rsidRPr="00983193">
        <w:rPr>
          <w:rFonts w:ascii="Times New Roman" w:hAnsi="Times New Roman" w:cs="Times New Roman"/>
          <w:color w:val="000000" w:themeColor="text1"/>
          <w:sz w:val="23"/>
          <w:szCs w:val="23"/>
          <w:lang w:val="en-US"/>
        </w:rPr>
        <w:t xml:space="preserve">) </w:t>
      </w:r>
      <w:r w:rsidR="00CD5F19" w:rsidRPr="00983193">
        <w:rPr>
          <w:rFonts w:ascii="Times New Roman" w:hAnsi="Times New Roman" w:cs="Times New Roman"/>
          <w:color w:val="000000" w:themeColor="text1"/>
          <w:sz w:val="23"/>
          <w:szCs w:val="23"/>
          <w:lang w:val="en-US"/>
        </w:rPr>
        <w:t xml:space="preserve">also </w:t>
      </w:r>
      <w:r w:rsidR="00D66348" w:rsidRPr="00983193">
        <w:rPr>
          <w:rFonts w:ascii="Times New Roman" w:hAnsi="Times New Roman" w:cs="Times New Roman"/>
          <w:color w:val="000000" w:themeColor="text1"/>
          <w:sz w:val="23"/>
          <w:szCs w:val="23"/>
          <w:lang w:val="en-US"/>
        </w:rPr>
        <w:t xml:space="preserve">includes intangible assets </w:t>
      </w:r>
      <w:r w:rsidR="00CD5F19">
        <w:rPr>
          <w:rFonts w:ascii="Times New Roman" w:hAnsi="Times New Roman" w:cs="Times New Roman"/>
          <w:color w:val="000000" w:themeColor="text1"/>
          <w:sz w:val="23"/>
          <w:szCs w:val="23"/>
          <w:lang w:val="en-US"/>
        </w:rPr>
        <w:t xml:space="preserve">as </w:t>
      </w:r>
      <w:r w:rsidR="00D66348" w:rsidRPr="00983193">
        <w:rPr>
          <w:rFonts w:ascii="Times New Roman" w:hAnsi="Times New Roman" w:cs="Times New Roman"/>
          <w:color w:val="000000" w:themeColor="text1"/>
          <w:sz w:val="23"/>
          <w:szCs w:val="23"/>
          <w:lang w:val="en-US"/>
        </w:rPr>
        <w:t>reported in financial statements or (</w:t>
      </w:r>
      <w:r w:rsidR="00CD5F19">
        <w:rPr>
          <w:rFonts w:ascii="Times New Roman" w:hAnsi="Times New Roman" w:cs="Times New Roman"/>
          <w:color w:val="000000" w:themeColor="text1"/>
          <w:sz w:val="23"/>
          <w:szCs w:val="23"/>
          <w:lang w:val="en-US"/>
        </w:rPr>
        <w:t xml:space="preserve">as </w:t>
      </w:r>
      <w:r w:rsidR="00D66348" w:rsidRPr="00983193">
        <w:rPr>
          <w:rFonts w:ascii="Times New Roman" w:hAnsi="Times New Roman" w:cs="Times New Roman"/>
          <w:color w:val="000000" w:themeColor="text1"/>
          <w:sz w:val="23"/>
          <w:szCs w:val="23"/>
          <w:lang w:val="en-US"/>
        </w:rPr>
        <w:t xml:space="preserve">more </w:t>
      </w:r>
      <w:r w:rsidR="00CD5F19">
        <w:rPr>
          <w:rFonts w:ascii="Times New Roman" w:hAnsi="Times New Roman" w:cs="Times New Roman"/>
          <w:color w:val="000000" w:themeColor="text1"/>
          <w:sz w:val="23"/>
          <w:szCs w:val="23"/>
          <w:lang w:val="en-US"/>
        </w:rPr>
        <w:t>likely</w:t>
      </w:r>
      <w:r w:rsidR="00CC3645" w:rsidRPr="00983193">
        <w:rPr>
          <w:rFonts w:ascii="Times New Roman" w:hAnsi="Times New Roman" w:cs="Times New Roman"/>
          <w:color w:val="000000" w:themeColor="text1"/>
          <w:sz w:val="23"/>
          <w:szCs w:val="23"/>
          <w:lang w:val="en-US"/>
        </w:rPr>
        <w:t xml:space="preserve">) </w:t>
      </w:r>
      <w:r w:rsidR="00CD5F19">
        <w:rPr>
          <w:rFonts w:ascii="Times New Roman" w:hAnsi="Times New Roman" w:cs="Times New Roman"/>
          <w:color w:val="000000" w:themeColor="text1"/>
          <w:sz w:val="23"/>
          <w:szCs w:val="23"/>
          <w:lang w:val="en-US"/>
        </w:rPr>
        <w:t>it is</w:t>
      </w:r>
      <w:r w:rsidR="00CC3645" w:rsidRPr="00983193">
        <w:rPr>
          <w:rFonts w:ascii="Times New Roman" w:hAnsi="Times New Roman" w:cs="Times New Roman"/>
          <w:color w:val="000000" w:themeColor="text1"/>
          <w:sz w:val="23"/>
          <w:szCs w:val="23"/>
          <w:lang w:val="en-US"/>
        </w:rPr>
        <w:t xml:space="preserve"> restricted</w:t>
      </w:r>
      <w:r w:rsidR="00D66348" w:rsidRPr="00983193">
        <w:rPr>
          <w:rFonts w:ascii="Times New Roman" w:hAnsi="Times New Roman" w:cs="Times New Roman"/>
          <w:color w:val="000000" w:themeColor="text1"/>
          <w:sz w:val="23"/>
          <w:szCs w:val="23"/>
          <w:lang w:val="en-US"/>
        </w:rPr>
        <w:t xml:space="preserve"> </w:t>
      </w:r>
      <w:r w:rsidR="00CD5F19">
        <w:rPr>
          <w:rFonts w:ascii="Times New Roman" w:hAnsi="Times New Roman" w:cs="Times New Roman"/>
          <w:color w:val="000000" w:themeColor="text1"/>
          <w:sz w:val="23"/>
          <w:szCs w:val="23"/>
          <w:lang w:val="en-US"/>
        </w:rPr>
        <w:t>solely</w:t>
      </w:r>
      <w:r w:rsidR="00CD5F19"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to tangible (physical) assets. </w:t>
      </w:r>
    </w:p>
    <w:p w14:paraId="641E9BBC" w14:textId="77777777" w:rsidR="00D658FF" w:rsidRDefault="00CC3645" w:rsidP="003A2C0C">
      <w:pPr>
        <w:spacing w:after="0" w:line="240" w:lineRule="auto"/>
        <w:contextualSpacing/>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The</w:t>
      </w:r>
      <w:r w:rsidR="00D66348" w:rsidRPr="00983193">
        <w:rPr>
          <w:rFonts w:ascii="Times New Roman" w:hAnsi="Times New Roman" w:cs="Times New Roman"/>
          <w:color w:val="000000" w:themeColor="text1"/>
          <w:sz w:val="23"/>
          <w:szCs w:val="23"/>
          <w:lang w:val="en-US"/>
        </w:rPr>
        <w:t xml:space="preserve"> adopted</w:t>
      </w:r>
      <w:r w:rsidR="003A2C0C">
        <w:rPr>
          <w:rFonts w:ascii="Times New Roman" w:hAnsi="Times New Roman" w:cs="Times New Roman"/>
          <w:color w:val="000000" w:themeColor="text1"/>
          <w:sz w:val="23"/>
          <w:szCs w:val="23"/>
          <w:lang w:val="en-US"/>
        </w:rPr>
        <w:t xml:space="preserve"> approach</w:t>
      </w:r>
      <w:r w:rsidR="00D66348" w:rsidRPr="00983193">
        <w:rPr>
          <w:rFonts w:ascii="Times New Roman" w:hAnsi="Times New Roman" w:cs="Times New Roman"/>
          <w:color w:val="000000" w:themeColor="text1"/>
          <w:sz w:val="23"/>
          <w:szCs w:val="23"/>
          <w:lang w:val="en-US"/>
        </w:rPr>
        <w:t xml:space="preserve"> </w:t>
      </w:r>
      <w:r w:rsidRPr="00983193">
        <w:rPr>
          <w:rFonts w:ascii="Times New Roman" w:hAnsi="Times New Roman" w:cs="Times New Roman"/>
          <w:color w:val="000000" w:themeColor="text1"/>
          <w:sz w:val="23"/>
          <w:szCs w:val="23"/>
          <w:lang w:val="en-US"/>
        </w:rPr>
        <w:t>varies from one version</w:t>
      </w:r>
      <w:r w:rsidR="00D66348" w:rsidRPr="00983193">
        <w:rPr>
          <w:rFonts w:ascii="Times New Roman" w:hAnsi="Times New Roman" w:cs="Times New Roman"/>
          <w:color w:val="000000" w:themeColor="text1"/>
          <w:sz w:val="23"/>
          <w:szCs w:val="23"/>
          <w:lang w:val="en-US"/>
        </w:rPr>
        <w:t xml:space="preserve"> </w:t>
      </w:r>
      <w:r w:rsidR="00CD5F19" w:rsidRPr="00983193">
        <w:rPr>
          <w:rFonts w:ascii="Times New Roman" w:hAnsi="Times New Roman" w:cs="Times New Roman"/>
          <w:color w:val="000000" w:themeColor="text1"/>
          <w:sz w:val="23"/>
          <w:szCs w:val="23"/>
          <w:lang w:val="en-US"/>
        </w:rPr>
        <w:t xml:space="preserve">of the model </w:t>
      </w:r>
      <w:r w:rsidR="00D66348" w:rsidRPr="00983193">
        <w:rPr>
          <w:rFonts w:ascii="Times New Roman" w:hAnsi="Times New Roman" w:cs="Times New Roman"/>
          <w:color w:val="000000" w:themeColor="text1"/>
          <w:sz w:val="23"/>
          <w:szCs w:val="23"/>
          <w:lang w:val="en-US"/>
        </w:rPr>
        <w:t xml:space="preserve">to another in </w:t>
      </w:r>
      <w:r w:rsidR="00CD5F19">
        <w:rPr>
          <w:rFonts w:ascii="Times New Roman" w:hAnsi="Times New Roman" w:cs="Times New Roman"/>
          <w:color w:val="000000" w:themeColor="text1"/>
          <w:sz w:val="23"/>
          <w:szCs w:val="23"/>
          <w:lang w:val="en-US"/>
        </w:rPr>
        <w:t>Public’s work and other authors’ applications</w:t>
      </w:r>
      <w:r w:rsidR="00D66348" w:rsidRPr="00983193">
        <w:rPr>
          <w:rFonts w:ascii="Times New Roman" w:hAnsi="Times New Roman" w:cs="Times New Roman"/>
          <w:color w:val="000000" w:themeColor="text1"/>
          <w:sz w:val="23"/>
          <w:szCs w:val="23"/>
          <w:lang w:val="en-US"/>
        </w:rPr>
        <w:t>.</w:t>
      </w:r>
      <w:r w:rsidR="00897BC9" w:rsidRPr="00983193">
        <w:rPr>
          <w:rFonts w:ascii="Times New Roman" w:hAnsi="Times New Roman" w:cs="Times New Roman"/>
          <w:color w:val="000000" w:themeColor="text1"/>
          <w:sz w:val="23"/>
          <w:szCs w:val="23"/>
          <w:lang w:val="en-US"/>
        </w:rPr>
        <w:t xml:space="preserve"> </w:t>
      </w:r>
    </w:p>
    <w:p w14:paraId="05495A7F" w14:textId="77777777" w:rsidR="00D66348" w:rsidRPr="00983193" w:rsidRDefault="00CD5F19" w:rsidP="003A2C0C">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In </w:t>
      </w:r>
      <w:r w:rsidR="00D66348" w:rsidRPr="009946C9">
        <w:rPr>
          <w:rFonts w:ascii="Times New Roman" w:hAnsi="Times New Roman" w:cs="Times New Roman"/>
          <w:noProof/>
          <w:color w:val="000000" w:themeColor="text1"/>
          <w:sz w:val="23"/>
          <w:szCs w:val="23"/>
          <w:lang w:val="en-US"/>
        </w:rPr>
        <w:t>Pulic</w:t>
      </w:r>
      <w:r w:rsidR="00D66348" w:rsidRPr="00983193">
        <w:rPr>
          <w:rFonts w:ascii="Times New Roman" w:hAnsi="Times New Roman" w:cs="Times New Roman"/>
          <w:color w:val="000000" w:themeColor="text1"/>
          <w:sz w:val="23"/>
          <w:szCs w:val="23"/>
          <w:lang w:val="en-US"/>
        </w:rPr>
        <w:t xml:space="preserve"> </w:t>
      </w:r>
      <w:r w:rsidRPr="00983193">
        <w:rPr>
          <w:rFonts w:ascii="Times New Roman" w:hAnsi="Times New Roman" w:cs="Times New Roman"/>
          <w:color w:val="000000" w:themeColor="text1"/>
          <w:sz w:val="23"/>
          <w:szCs w:val="23"/>
          <w:lang w:val="en-US"/>
        </w:rPr>
        <w:t xml:space="preserve">(1998) </w:t>
      </w:r>
      <w:r w:rsidR="00897BC9" w:rsidRPr="00983193">
        <w:rPr>
          <w:rFonts w:ascii="Times New Roman" w:hAnsi="Times New Roman" w:cs="Times New Roman"/>
          <w:color w:val="000000" w:themeColor="text1"/>
          <w:sz w:val="23"/>
          <w:szCs w:val="23"/>
          <w:lang w:val="en-US"/>
        </w:rPr>
        <w:t>“</w:t>
      </w:r>
      <w:r>
        <w:rPr>
          <w:rFonts w:ascii="Times New Roman" w:hAnsi="Times New Roman" w:cs="Times New Roman"/>
          <w:color w:val="000000" w:themeColor="text1"/>
          <w:sz w:val="23"/>
          <w:szCs w:val="23"/>
          <w:lang w:val="en-US"/>
        </w:rPr>
        <w:t>p</w:t>
      </w:r>
      <w:r w:rsidR="00897BC9" w:rsidRPr="00983193">
        <w:rPr>
          <w:rFonts w:ascii="Times New Roman" w:hAnsi="Times New Roman" w:cs="Times New Roman"/>
          <w:color w:val="000000" w:themeColor="text1"/>
          <w:sz w:val="23"/>
          <w:szCs w:val="23"/>
          <w:lang w:val="en-US"/>
        </w:rPr>
        <w:t xml:space="preserve">hysical capital” </w:t>
      </w:r>
      <w:r w:rsidR="00814383" w:rsidRPr="00983193">
        <w:rPr>
          <w:rFonts w:ascii="Times New Roman" w:hAnsi="Times New Roman" w:cs="Times New Roman"/>
          <w:color w:val="000000" w:themeColor="text1"/>
          <w:sz w:val="23"/>
          <w:szCs w:val="23"/>
          <w:lang w:val="en-US"/>
        </w:rPr>
        <w:t>is</w:t>
      </w:r>
      <w:r w:rsidR="00D66348" w:rsidRPr="00983193">
        <w:rPr>
          <w:rFonts w:ascii="Times New Roman" w:hAnsi="Times New Roman" w:cs="Times New Roman"/>
          <w:color w:val="000000" w:themeColor="text1"/>
          <w:sz w:val="23"/>
          <w:szCs w:val="23"/>
          <w:lang w:val="en-US"/>
        </w:rPr>
        <w:t xml:space="preserve"> </w:t>
      </w:r>
      <w:r>
        <w:rPr>
          <w:rFonts w:ascii="Times New Roman" w:hAnsi="Times New Roman" w:cs="Times New Roman"/>
          <w:color w:val="000000" w:themeColor="text1"/>
          <w:sz w:val="23"/>
          <w:szCs w:val="23"/>
          <w:lang w:val="en-US"/>
        </w:rPr>
        <w:t>defined as</w:t>
      </w:r>
      <w:r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“all necessary funds” </w:t>
      </w:r>
      <w:r>
        <w:rPr>
          <w:rFonts w:ascii="Times New Roman" w:hAnsi="Times New Roman" w:cs="Times New Roman"/>
          <w:color w:val="000000" w:themeColor="text1"/>
          <w:sz w:val="23"/>
          <w:szCs w:val="23"/>
          <w:lang w:val="en-US"/>
        </w:rPr>
        <w:t>such as</w:t>
      </w:r>
      <w:r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equity, after</w:t>
      </w:r>
      <w:r w:rsidR="00897BC9" w:rsidRPr="00983193">
        <w:rPr>
          <w:rFonts w:ascii="Times New Roman" w:hAnsi="Times New Roman" w:cs="Times New Roman"/>
          <w:color w:val="000000" w:themeColor="text1"/>
          <w:sz w:val="23"/>
          <w:szCs w:val="23"/>
          <w:lang w:val="en-US"/>
        </w:rPr>
        <w:t xml:space="preserve"> tax profits, open reserves</w:t>
      </w:r>
      <w:r>
        <w:rPr>
          <w:rFonts w:ascii="Times New Roman" w:hAnsi="Times New Roman" w:cs="Times New Roman"/>
          <w:color w:val="000000" w:themeColor="text1"/>
          <w:sz w:val="23"/>
          <w:szCs w:val="23"/>
          <w:lang w:val="en-US"/>
        </w:rPr>
        <w:t>,</w:t>
      </w:r>
      <w:r w:rsidR="00897BC9" w:rsidRPr="00983193">
        <w:rPr>
          <w:rFonts w:ascii="Times New Roman" w:hAnsi="Times New Roman" w:cs="Times New Roman"/>
          <w:color w:val="000000" w:themeColor="text1"/>
          <w:sz w:val="23"/>
          <w:szCs w:val="23"/>
          <w:lang w:val="en-US"/>
        </w:rPr>
        <w:t xml:space="preserve"> and so on</w:t>
      </w:r>
      <w:r>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w:t>
      </w:r>
      <w:r>
        <w:rPr>
          <w:rFonts w:ascii="Times New Roman" w:hAnsi="Times New Roman" w:cs="Times New Roman"/>
          <w:color w:val="000000" w:themeColor="text1"/>
          <w:sz w:val="23"/>
          <w:szCs w:val="23"/>
          <w:lang w:val="en-US"/>
        </w:rPr>
        <w:t xml:space="preserve">and </w:t>
      </w:r>
      <w:r w:rsidR="00D66348" w:rsidRPr="00983193">
        <w:rPr>
          <w:rFonts w:ascii="Times New Roman" w:hAnsi="Times New Roman" w:cs="Times New Roman"/>
          <w:color w:val="000000" w:themeColor="text1"/>
          <w:sz w:val="23"/>
          <w:szCs w:val="23"/>
          <w:lang w:val="en-US"/>
        </w:rPr>
        <w:t xml:space="preserve">does not </w:t>
      </w:r>
      <w:r>
        <w:rPr>
          <w:rFonts w:ascii="Times New Roman" w:hAnsi="Times New Roman" w:cs="Times New Roman"/>
          <w:color w:val="000000" w:themeColor="text1"/>
          <w:sz w:val="23"/>
          <w:szCs w:val="23"/>
          <w:lang w:val="en-US"/>
        </w:rPr>
        <w:t>provide</w:t>
      </w:r>
      <w:r w:rsidR="00D66348" w:rsidRPr="00983193">
        <w:rPr>
          <w:rFonts w:ascii="Times New Roman" w:hAnsi="Times New Roman" w:cs="Times New Roman"/>
          <w:color w:val="000000" w:themeColor="text1"/>
          <w:sz w:val="23"/>
          <w:szCs w:val="23"/>
          <w:lang w:val="en-US"/>
        </w:rPr>
        <w:t xml:space="preserve"> a </w:t>
      </w:r>
      <w:r w:rsidR="00D658FF">
        <w:rPr>
          <w:rFonts w:ascii="Times New Roman" w:hAnsi="Times New Roman" w:cs="Times New Roman"/>
          <w:color w:val="000000" w:themeColor="text1"/>
          <w:sz w:val="23"/>
          <w:szCs w:val="23"/>
          <w:lang w:val="en-US"/>
        </w:rPr>
        <w:t>clear explanation about the content of CE.</w:t>
      </w:r>
      <w:r w:rsidR="00D658FF" w:rsidRPr="00983193">
        <w:rPr>
          <w:rFonts w:ascii="Times New Roman" w:hAnsi="Times New Roman" w:cs="Times New Roman"/>
          <w:color w:val="000000" w:themeColor="text1"/>
          <w:sz w:val="23"/>
          <w:szCs w:val="23"/>
          <w:lang w:val="en-US"/>
        </w:rPr>
        <w:t xml:space="preserve"> </w:t>
      </w:r>
    </w:p>
    <w:p w14:paraId="6A21782D" w14:textId="77777777" w:rsidR="00D66348" w:rsidRDefault="00751A7D" w:rsidP="003A2C0C">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The three indicators </w:t>
      </w:r>
      <w:r w:rsidR="00CD5F19">
        <w:rPr>
          <w:rFonts w:ascii="Times New Roman" w:hAnsi="Times New Roman" w:cs="Times New Roman"/>
          <w:color w:val="000000" w:themeColor="text1"/>
          <w:sz w:val="23"/>
          <w:szCs w:val="23"/>
          <w:lang w:val="en-US"/>
        </w:rPr>
        <w:t xml:space="preserve">discussed </w:t>
      </w:r>
      <w:r w:rsidR="00D66348" w:rsidRPr="00983193">
        <w:rPr>
          <w:rFonts w:ascii="Times New Roman" w:hAnsi="Times New Roman" w:cs="Times New Roman"/>
          <w:color w:val="000000" w:themeColor="text1"/>
          <w:sz w:val="23"/>
          <w:szCs w:val="23"/>
          <w:lang w:val="en-US"/>
        </w:rPr>
        <w:t>are summa</w:t>
      </w:r>
      <w:r w:rsidR="00897BC9" w:rsidRPr="00983193">
        <w:rPr>
          <w:rFonts w:ascii="Times New Roman" w:hAnsi="Times New Roman" w:cs="Times New Roman"/>
          <w:color w:val="000000" w:themeColor="text1"/>
          <w:sz w:val="23"/>
          <w:szCs w:val="23"/>
          <w:lang w:val="en-US"/>
        </w:rPr>
        <w:t xml:space="preserve">rized by </w:t>
      </w:r>
      <w:r w:rsidR="00897BC9" w:rsidRPr="009946C9">
        <w:rPr>
          <w:rFonts w:ascii="Times New Roman" w:hAnsi="Times New Roman" w:cs="Times New Roman"/>
          <w:noProof/>
          <w:color w:val="000000" w:themeColor="text1"/>
          <w:sz w:val="23"/>
          <w:szCs w:val="23"/>
          <w:lang w:val="en-US"/>
        </w:rPr>
        <w:t>Pulic</w:t>
      </w:r>
      <w:r w:rsidR="00897BC9" w:rsidRPr="00983193">
        <w:rPr>
          <w:rFonts w:ascii="Times New Roman" w:hAnsi="Times New Roman" w:cs="Times New Roman"/>
          <w:color w:val="000000" w:themeColor="text1"/>
          <w:sz w:val="23"/>
          <w:szCs w:val="23"/>
          <w:lang w:val="en-US"/>
        </w:rPr>
        <w:t xml:space="preserve"> in </w:t>
      </w:r>
      <w:r w:rsidR="00CD5F19">
        <w:rPr>
          <w:rFonts w:ascii="Times New Roman" w:hAnsi="Times New Roman" w:cs="Times New Roman"/>
          <w:color w:val="000000" w:themeColor="text1"/>
          <w:sz w:val="23"/>
          <w:szCs w:val="23"/>
          <w:lang w:val="en-US"/>
        </w:rPr>
        <w:t>a</w:t>
      </w:r>
      <w:r w:rsidR="00CD5F19" w:rsidRPr="00983193">
        <w:rPr>
          <w:rFonts w:ascii="Times New Roman" w:hAnsi="Times New Roman" w:cs="Times New Roman"/>
          <w:color w:val="000000" w:themeColor="text1"/>
          <w:sz w:val="23"/>
          <w:szCs w:val="23"/>
          <w:lang w:val="en-US"/>
        </w:rPr>
        <w:t xml:space="preserve"> </w:t>
      </w:r>
      <w:r w:rsidR="00CD5F19">
        <w:rPr>
          <w:rFonts w:ascii="Times New Roman" w:hAnsi="Times New Roman" w:cs="Times New Roman"/>
          <w:color w:val="000000" w:themeColor="text1"/>
          <w:sz w:val="23"/>
          <w:szCs w:val="23"/>
          <w:lang w:val="en-US"/>
        </w:rPr>
        <w:t xml:space="preserve">single </w:t>
      </w:r>
      <w:r w:rsidR="00897BC9" w:rsidRPr="00983193">
        <w:rPr>
          <w:rFonts w:ascii="Times New Roman" w:hAnsi="Times New Roman" w:cs="Times New Roman"/>
          <w:color w:val="000000" w:themeColor="text1"/>
          <w:sz w:val="23"/>
          <w:szCs w:val="23"/>
          <w:lang w:val="en-US"/>
        </w:rPr>
        <w:t>indicator</w:t>
      </w:r>
      <w:r w:rsidR="00D66348" w:rsidRPr="00983193">
        <w:rPr>
          <w:rFonts w:ascii="Times New Roman" w:hAnsi="Times New Roman" w:cs="Times New Roman"/>
          <w:color w:val="000000" w:themeColor="text1"/>
          <w:sz w:val="23"/>
          <w:szCs w:val="23"/>
          <w:lang w:val="en-US"/>
        </w:rPr>
        <w:t xml:space="preserve">: VAIC or Value Added Intellectual Coefficient, </w:t>
      </w:r>
      <w:r w:rsidR="00CD5F19">
        <w:rPr>
          <w:rFonts w:ascii="Times New Roman" w:hAnsi="Times New Roman" w:cs="Times New Roman"/>
          <w:color w:val="000000" w:themeColor="text1"/>
          <w:sz w:val="23"/>
          <w:szCs w:val="23"/>
          <w:lang w:val="en-US"/>
        </w:rPr>
        <w:t>the specification of which</w:t>
      </w:r>
      <w:r w:rsidR="00897BC9" w:rsidRPr="00983193">
        <w:rPr>
          <w:rFonts w:ascii="Times New Roman" w:hAnsi="Times New Roman" w:cs="Times New Roman"/>
          <w:color w:val="000000" w:themeColor="text1"/>
          <w:sz w:val="23"/>
          <w:szCs w:val="23"/>
          <w:lang w:val="en-US"/>
        </w:rPr>
        <w:t xml:space="preserve"> reveals Pulic’s assumption t</w:t>
      </w:r>
      <w:r w:rsidR="00D66348" w:rsidRPr="00983193">
        <w:rPr>
          <w:rFonts w:ascii="Times New Roman" w:hAnsi="Times New Roman" w:cs="Times New Roman"/>
          <w:color w:val="000000" w:themeColor="text1"/>
          <w:sz w:val="23"/>
          <w:szCs w:val="23"/>
          <w:lang w:val="en-US"/>
        </w:rPr>
        <w:t>hat the critical factor in the value-creation process is the intelle</w:t>
      </w:r>
      <w:r w:rsidR="00897BC9" w:rsidRPr="00983193">
        <w:rPr>
          <w:rFonts w:ascii="Times New Roman" w:hAnsi="Times New Roman" w:cs="Times New Roman"/>
          <w:color w:val="000000" w:themeColor="text1"/>
          <w:sz w:val="23"/>
          <w:szCs w:val="23"/>
          <w:lang w:val="en-US"/>
        </w:rPr>
        <w:t xml:space="preserve">ctual “potential” expressed by </w:t>
      </w:r>
      <w:r w:rsidR="00D66348" w:rsidRPr="00983193">
        <w:rPr>
          <w:rFonts w:ascii="Times New Roman" w:hAnsi="Times New Roman" w:cs="Times New Roman"/>
          <w:color w:val="000000" w:themeColor="text1"/>
          <w:sz w:val="23"/>
          <w:szCs w:val="23"/>
          <w:lang w:val="en-US"/>
        </w:rPr>
        <w:t>employees.  In analytical terms:</w:t>
      </w:r>
    </w:p>
    <w:p w14:paraId="210C3F79" w14:textId="77777777" w:rsidR="00CD5F19" w:rsidRPr="00983193" w:rsidRDefault="00CD5F19" w:rsidP="00D66348">
      <w:pPr>
        <w:spacing w:after="0" w:line="240" w:lineRule="auto"/>
        <w:ind w:firstLine="284"/>
        <w:contextualSpacing/>
        <w:jc w:val="both"/>
        <w:rPr>
          <w:rFonts w:ascii="Times New Roman" w:hAnsi="Times New Roman" w:cs="Times New Roman"/>
          <w:color w:val="000000" w:themeColor="text1"/>
          <w:sz w:val="23"/>
          <w:szCs w:val="23"/>
          <w:lang w:val="en-US"/>
        </w:rPr>
      </w:pPr>
    </w:p>
    <w:p w14:paraId="6DEBD8B9" w14:textId="77777777" w:rsidR="00897BC9" w:rsidRPr="00983193" w:rsidRDefault="00CD5F19" w:rsidP="00897BC9">
      <w:pPr>
        <w:spacing w:after="0" w:line="240" w:lineRule="auto"/>
        <w:ind w:firstLine="284"/>
        <w:contextualSpacing/>
        <w:jc w:val="center"/>
        <w:rPr>
          <w:rFonts w:ascii="Times New Roman" w:hAnsi="Times New Roman" w:cs="Times New Roman"/>
          <w:color w:val="000000" w:themeColor="text1"/>
          <w:sz w:val="23"/>
          <w:szCs w:val="23"/>
          <w:lang w:val="en-US"/>
        </w:rPr>
      </w:pPr>
      <m:oMathPara>
        <m:oMath>
          <m:r>
            <w:rPr>
              <w:rFonts w:ascii="Cambria Math" w:hAnsi="Cambria Math" w:cs="Times New Roman"/>
              <w:color w:val="000000" w:themeColor="text1"/>
              <w:sz w:val="23"/>
              <w:szCs w:val="23"/>
              <w:lang w:val="en-US"/>
            </w:rPr>
            <m:t>VAIC=HCE+SCE+CEE</m:t>
          </m:r>
        </m:oMath>
      </m:oMathPara>
    </w:p>
    <w:p w14:paraId="0BE63443" w14:textId="77777777" w:rsidR="00897BC9" w:rsidRPr="00983193" w:rsidRDefault="00897BC9" w:rsidP="00897BC9">
      <w:pPr>
        <w:spacing w:after="0" w:line="240" w:lineRule="auto"/>
        <w:ind w:firstLine="284"/>
        <w:contextualSpacing/>
        <w:jc w:val="center"/>
        <w:rPr>
          <w:rFonts w:ascii="Times New Roman" w:hAnsi="Times New Roman" w:cs="Times New Roman"/>
          <w:color w:val="000000" w:themeColor="text1"/>
          <w:sz w:val="23"/>
          <w:szCs w:val="23"/>
          <w:lang w:val="en-US"/>
        </w:rPr>
      </w:pPr>
    </w:p>
    <w:p w14:paraId="196F95FB" w14:textId="19FAC735" w:rsidR="00897BC9" w:rsidRPr="00983193" w:rsidRDefault="00751A7D" w:rsidP="00D658FF">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CD5F19">
        <w:rPr>
          <w:rFonts w:ascii="Times New Roman" w:hAnsi="Times New Roman" w:cs="Times New Roman"/>
          <w:color w:val="000000" w:themeColor="text1"/>
          <w:sz w:val="23"/>
          <w:szCs w:val="23"/>
          <w:lang w:val="en-US"/>
        </w:rPr>
        <w:t>Various</w:t>
      </w:r>
      <w:r w:rsidR="00CD5F19" w:rsidRPr="00983193">
        <w:rPr>
          <w:rFonts w:ascii="Times New Roman" w:hAnsi="Times New Roman" w:cs="Times New Roman"/>
          <w:color w:val="000000" w:themeColor="text1"/>
          <w:sz w:val="23"/>
          <w:szCs w:val="23"/>
          <w:lang w:val="en-US"/>
        </w:rPr>
        <w:t xml:space="preserve"> </w:t>
      </w:r>
      <w:r w:rsidR="00814383" w:rsidRPr="00983193">
        <w:rPr>
          <w:rFonts w:ascii="Times New Roman" w:hAnsi="Times New Roman" w:cs="Times New Roman"/>
          <w:color w:val="000000" w:themeColor="text1"/>
          <w:sz w:val="23"/>
          <w:szCs w:val="23"/>
          <w:lang w:val="en-US"/>
        </w:rPr>
        <w:t xml:space="preserve">authors </w:t>
      </w:r>
      <w:r w:rsidR="00D66348" w:rsidRPr="00983193">
        <w:rPr>
          <w:rFonts w:ascii="Times New Roman" w:hAnsi="Times New Roman" w:cs="Times New Roman"/>
          <w:color w:val="000000" w:themeColor="text1"/>
          <w:sz w:val="23"/>
          <w:szCs w:val="23"/>
          <w:lang w:val="en-US"/>
        </w:rPr>
        <w:t>(</w:t>
      </w:r>
      <w:r w:rsidR="006121B0" w:rsidRPr="00983193">
        <w:rPr>
          <w:rFonts w:ascii="Times New Roman" w:hAnsi="Times New Roman" w:cs="Times New Roman"/>
          <w:color w:val="000000" w:themeColor="text1"/>
          <w:sz w:val="23"/>
          <w:szCs w:val="23"/>
          <w:lang w:val="en-US"/>
        </w:rPr>
        <w:t>Firer and Williams; 2003; Jurczak, 2008; Puntillo, 2009; Maditinos et al., 2011; Paździor and  Paździor, 2012</w:t>
      </w:r>
      <w:r w:rsidR="00D66348" w:rsidRPr="00983193">
        <w:rPr>
          <w:rFonts w:ascii="Times New Roman" w:hAnsi="Times New Roman" w:cs="Times New Roman"/>
          <w:color w:val="000000" w:themeColor="text1"/>
          <w:sz w:val="23"/>
          <w:szCs w:val="23"/>
          <w:lang w:val="en-US"/>
        </w:rPr>
        <w:t xml:space="preserve">) outline the main advantages of </w:t>
      </w:r>
      <w:r w:rsidR="00CD5F19">
        <w:rPr>
          <w:rFonts w:ascii="Times New Roman" w:hAnsi="Times New Roman" w:cs="Times New Roman"/>
          <w:color w:val="000000" w:themeColor="text1"/>
          <w:sz w:val="23"/>
          <w:szCs w:val="23"/>
          <w:lang w:val="en-US"/>
        </w:rPr>
        <w:t>t</w:t>
      </w:r>
      <w:r w:rsidR="00D66348" w:rsidRPr="00983193">
        <w:rPr>
          <w:rFonts w:ascii="Times New Roman" w:hAnsi="Times New Roman" w:cs="Times New Roman"/>
          <w:color w:val="000000" w:themeColor="text1"/>
          <w:sz w:val="23"/>
          <w:szCs w:val="23"/>
          <w:lang w:val="en-US"/>
        </w:rPr>
        <w:t xml:space="preserve">his </w:t>
      </w:r>
      <w:r w:rsidR="00CD5F19">
        <w:rPr>
          <w:rFonts w:ascii="Times New Roman" w:hAnsi="Times New Roman" w:cs="Times New Roman"/>
          <w:color w:val="000000" w:themeColor="text1"/>
          <w:sz w:val="23"/>
          <w:szCs w:val="23"/>
          <w:lang w:val="en-US"/>
        </w:rPr>
        <w:t>indicator</w:t>
      </w:r>
      <w:r w:rsidR="00D66348" w:rsidRPr="00983193">
        <w:rPr>
          <w:rFonts w:ascii="Times New Roman" w:hAnsi="Times New Roman" w:cs="Times New Roman"/>
          <w:color w:val="000000" w:themeColor="text1"/>
          <w:sz w:val="23"/>
          <w:szCs w:val="23"/>
          <w:lang w:val="en-US"/>
        </w:rPr>
        <w:t>:</w:t>
      </w:r>
      <w:r w:rsidR="00897BC9" w:rsidRPr="00983193">
        <w:rPr>
          <w:rFonts w:ascii="Times New Roman" w:hAnsi="Times New Roman" w:cs="Times New Roman"/>
          <w:color w:val="000000" w:themeColor="text1"/>
          <w:sz w:val="23"/>
          <w:szCs w:val="23"/>
          <w:lang w:val="en-US"/>
        </w:rPr>
        <w:t xml:space="preserve"> </w:t>
      </w:r>
      <w:r w:rsidR="00CD5F19">
        <w:rPr>
          <w:rFonts w:ascii="Times New Roman" w:hAnsi="Times New Roman" w:cs="Times New Roman"/>
          <w:color w:val="000000" w:themeColor="text1"/>
          <w:sz w:val="23"/>
          <w:szCs w:val="23"/>
          <w:lang w:val="en-US"/>
        </w:rPr>
        <w:t xml:space="preserve">(i) </w:t>
      </w:r>
      <w:r w:rsidR="00897BC9" w:rsidRPr="00983193">
        <w:rPr>
          <w:rFonts w:ascii="Times New Roman" w:hAnsi="Times New Roman" w:cs="Times New Roman"/>
          <w:color w:val="000000" w:themeColor="text1"/>
          <w:sz w:val="23"/>
          <w:szCs w:val="23"/>
          <w:lang w:val="en-US"/>
        </w:rPr>
        <w:t>t</w:t>
      </w:r>
      <w:r w:rsidR="00D66348" w:rsidRPr="00983193">
        <w:rPr>
          <w:rFonts w:ascii="Times New Roman" w:hAnsi="Times New Roman" w:cs="Times New Roman"/>
          <w:color w:val="000000" w:themeColor="text1"/>
          <w:sz w:val="23"/>
          <w:szCs w:val="23"/>
          <w:lang w:val="en-US"/>
        </w:rPr>
        <w:t xml:space="preserve">he model </w:t>
      </w:r>
      <w:r w:rsidR="00CD5F19">
        <w:rPr>
          <w:rFonts w:ascii="Times New Roman" w:hAnsi="Times New Roman" w:cs="Times New Roman"/>
          <w:color w:val="000000" w:themeColor="text1"/>
          <w:sz w:val="23"/>
          <w:szCs w:val="23"/>
          <w:lang w:val="en-US"/>
        </w:rPr>
        <w:t>requires only a</w:t>
      </w:r>
      <w:r w:rsidR="00CD5F19"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simple calculation;</w:t>
      </w:r>
      <w:r w:rsidR="00897BC9" w:rsidRPr="00983193">
        <w:rPr>
          <w:rFonts w:ascii="Times New Roman" w:hAnsi="Times New Roman" w:cs="Times New Roman"/>
          <w:color w:val="000000" w:themeColor="text1"/>
          <w:sz w:val="23"/>
          <w:szCs w:val="23"/>
          <w:lang w:val="en-US"/>
        </w:rPr>
        <w:t xml:space="preserve"> </w:t>
      </w:r>
      <w:r w:rsidR="00CD5F19">
        <w:rPr>
          <w:rFonts w:ascii="Times New Roman" w:hAnsi="Times New Roman" w:cs="Times New Roman"/>
          <w:color w:val="000000" w:themeColor="text1"/>
          <w:sz w:val="23"/>
          <w:szCs w:val="23"/>
          <w:lang w:val="en-US"/>
        </w:rPr>
        <w:t xml:space="preserve">(ii) </w:t>
      </w:r>
      <w:r w:rsidR="00D66348" w:rsidRPr="00983193">
        <w:rPr>
          <w:rFonts w:ascii="Times New Roman" w:hAnsi="Times New Roman" w:cs="Times New Roman"/>
          <w:color w:val="000000" w:themeColor="text1"/>
          <w:sz w:val="23"/>
          <w:szCs w:val="23"/>
          <w:lang w:val="en-US"/>
        </w:rPr>
        <w:t xml:space="preserve">VAIC and its </w:t>
      </w:r>
      <w:r w:rsidR="00897BC9" w:rsidRPr="00983193">
        <w:rPr>
          <w:rFonts w:ascii="Times New Roman" w:hAnsi="Times New Roman" w:cs="Times New Roman"/>
          <w:color w:val="000000" w:themeColor="text1"/>
          <w:sz w:val="23"/>
          <w:szCs w:val="23"/>
          <w:lang w:val="en-US"/>
        </w:rPr>
        <w:t xml:space="preserve">components </w:t>
      </w:r>
      <w:r w:rsidR="00CD5F19">
        <w:rPr>
          <w:rFonts w:ascii="Times New Roman" w:hAnsi="Times New Roman" w:cs="Times New Roman"/>
          <w:color w:val="000000" w:themeColor="text1"/>
          <w:sz w:val="23"/>
          <w:szCs w:val="23"/>
          <w:lang w:val="en-US"/>
        </w:rPr>
        <w:t>may</w:t>
      </w:r>
      <w:r w:rsidR="00897BC9" w:rsidRPr="00983193">
        <w:rPr>
          <w:rFonts w:ascii="Times New Roman" w:hAnsi="Times New Roman" w:cs="Times New Roman"/>
          <w:color w:val="000000" w:themeColor="text1"/>
          <w:sz w:val="23"/>
          <w:szCs w:val="23"/>
          <w:lang w:val="en-US"/>
        </w:rPr>
        <w:t xml:space="preserve"> be derived from </w:t>
      </w:r>
      <w:r w:rsidR="00D66348" w:rsidRPr="00983193">
        <w:rPr>
          <w:rFonts w:ascii="Times New Roman" w:hAnsi="Times New Roman" w:cs="Times New Roman"/>
          <w:color w:val="000000" w:themeColor="text1"/>
          <w:sz w:val="23"/>
          <w:szCs w:val="23"/>
          <w:lang w:val="en-US"/>
        </w:rPr>
        <w:t xml:space="preserve">accounting data which are </w:t>
      </w:r>
      <w:r w:rsidR="00897BC9" w:rsidRPr="00983193">
        <w:rPr>
          <w:rFonts w:ascii="Times New Roman" w:hAnsi="Times New Roman" w:cs="Times New Roman"/>
          <w:color w:val="000000" w:themeColor="text1"/>
          <w:sz w:val="23"/>
          <w:szCs w:val="23"/>
          <w:lang w:val="en-US"/>
        </w:rPr>
        <w:t xml:space="preserve">generated </w:t>
      </w:r>
      <w:r w:rsidR="00CD5F19">
        <w:rPr>
          <w:rFonts w:ascii="Times New Roman" w:hAnsi="Times New Roman" w:cs="Times New Roman"/>
          <w:color w:val="000000" w:themeColor="text1"/>
          <w:sz w:val="23"/>
          <w:szCs w:val="23"/>
          <w:lang w:val="en-US"/>
        </w:rPr>
        <w:t xml:space="preserve">entirely </w:t>
      </w:r>
      <w:r w:rsidR="00897BC9" w:rsidRPr="00983193">
        <w:rPr>
          <w:rFonts w:ascii="Times New Roman" w:hAnsi="Times New Roman" w:cs="Times New Roman"/>
          <w:color w:val="000000" w:themeColor="text1"/>
          <w:sz w:val="23"/>
          <w:szCs w:val="23"/>
          <w:lang w:val="en-US"/>
        </w:rPr>
        <w:t xml:space="preserve">from </w:t>
      </w:r>
      <w:r w:rsidR="00CD5F19">
        <w:rPr>
          <w:rFonts w:ascii="Times New Roman" w:hAnsi="Times New Roman" w:cs="Times New Roman"/>
          <w:color w:val="000000" w:themeColor="text1"/>
          <w:sz w:val="23"/>
          <w:szCs w:val="23"/>
          <w:lang w:val="en-US"/>
        </w:rPr>
        <w:t xml:space="preserve">the firm’s </w:t>
      </w:r>
      <w:r w:rsidR="00522E39">
        <w:rPr>
          <w:rFonts w:ascii="Times New Roman" w:hAnsi="Times New Roman" w:cs="Times New Roman"/>
          <w:color w:val="000000" w:themeColor="text1"/>
          <w:sz w:val="23"/>
          <w:szCs w:val="23"/>
          <w:lang w:val="en-US"/>
        </w:rPr>
        <w:t>operations</w:t>
      </w:r>
      <w:r w:rsidR="00D66348" w:rsidRPr="00983193">
        <w:rPr>
          <w:rFonts w:ascii="Times New Roman" w:hAnsi="Times New Roman" w:cs="Times New Roman"/>
          <w:color w:val="000000" w:themeColor="text1"/>
          <w:sz w:val="23"/>
          <w:szCs w:val="23"/>
          <w:lang w:val="en-US"/>
        </w:rPr>
        <w:t xml:space="preserve"> and verified by the </w:t>
      </w:r>
      <w:r w:rsidR="00CD5F19">
        <w:rPr>
          <w:rFonts w:ascii="Times New Roman" w:hAnsi="Times New Roman" w:cs="Times New Roman"/>
          <w:color w:val="000000" w:themeColor="text1"/>
          <w:sz w:val="23"/>
          <w:szCs w:val="23"/>
          <w:lang w:val="en-US"/>
        </w:rPr>
        <w:t xml:space="preserve">firm’s </w:t>
      </w:r>
      <w:r w:rsidR="00D66348" w:rsidRPr="00983193">
        <w:rPr>
          <w:rFonts w:ascii="Times New Roman" w:hAnsi="Times New Roman" w:cs="Times New Roman"/>
          <w:color w:val="000000" w:themeColor="text1"/>
          <w:sz w:val="23"/>
          <w:szCs w:val="23"/>
          <w:lang w:val="en-US"/>
        </w:rPr>
        <w:t>auditors;</w:t>
      </w:r>
      <w:r w:rsidR="00897BC9" w:rsidRPr="00983193">
        <w:rPr>
          <w:rFonts w:ascii="Times New Roman" w:hAnsi="Times New Roman" w:cs="Times New Roman"/>
          <w:color w:val="000000" w:themeColor="text1"/>
          <w:sz w:val="23"/>
          <w:szCs w:val="23"/>
          <w:lang w:val="en-US"/>
        </w:rPr>
        <w:t xml:space="preserve"> </w:t>
      </w:r>
      <w:r w:rsidR="00CD5F19">
        <w:rPr>
          <w:rFonts w:ascii="Times New Roman" w:hAnsi="Times New Roman" w:cs="Times New Roman"/>
          <w:color w:val="000000" w:themeColor="text1"/>
          <w:sz w:val="23"/>
          <w:szCs w:val="23"/>
          <w:lang w:val="en-US"/>
        </w:rPr>
        <w:t>(iii) as it</w:t>
      </w:r>
      <w:r w:rsidR="00CD5F19"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based on objective data, VAIC </w:t>
      </w:r>
      <w:r w:rsidR="00CD5F19">
        <w:rPr>
          <w:rFonts w:ascii="Times New Roman" w:hAnsi="Times New Roman" w:cs="Times New Roman"/>
          <w:color w:val="000000" w:themeColor="text1"/>
          <w:sz w:val="23"/>
          <w:szCs w:val="23"/>
          <w:lang w:val="en-US"/>
        </w:rPr>
        <w:t>may</w:t>
      </w:r>
      <w:r w:rsidR="00CD5F19"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be used for effective comparison between different firms;</w:t>
      </w:r>
      <w:r w:rsidR="00897BC9" w:rsidRPr="00983193">
        <w:rPr>
          <w:rFonts w:ascii="Times New Roman" w:hAnsi="Times New Roman" w:cs="Times New Roman"/>
          <w:color w:val="000000" w:themeColor="text1"/>
          <w:sz w:val="23"/>
          <w:szCs w:val="23"/>
          <w:lang w:val="en-US"/>
        </w:rPr>
        <w:t xml:space="preserve"> </w:t>
      </w:r>
      <w:r w:rsidR="00CD5F19">
        <w:rPr>
          <w:rFonts w:ascii="Times New Roman" w:hAnsi="Times New Roman" w:cs="Times New Roman"/>
          <w:color w:val="000000" w:themeColor="text1"/>
          <w:sz w:val="23"/>
          <w:szCs w:val="23"/>
          <w:lang w:val="en-US"/>
        </w:rPr>
        <w:t xml:space="preserve">and (iv) </w:t>
      </w:r>
      <w:r w:rsidR="00897BC9" w:rsidRPr="00983193">
        <w:rPr>
          <w:rFonts w:ascii="Times New Roman" w:hAnsi="Times New Roman" w:cs="Times New Roman"/>
          <w:color w:val="000000" w:themeColor="text1"/>
          <w:sz w:val="23"/>
          <w:szCs w:val="23"/>
          <w:lang w:val="en-US"/>
        </w:rPr>
        <w:t xml:space="preserve">VAIC </w:t>
      </w:r>
      <w:r w:rsidR="00D66348" w:rsidRPr="00983193">
        <w:rPr>
          <w:rFonts w:ascii="Times New Roman" w:hAnsi="Times New Roman" w:cs="Times New Roman"/>
          <w:color w:val="000000" w:themeColor="text1"/>
          <w:sz w:val="23"/>
          <w:szCs w:val="23"/>
          <w:lang w:val="en-US"/>
        </w:rPr>
        <w:t xml:space="preserve">is based </w:t>
      </w:r>
      <w:r w:rsidR="00CD5F19" w:rsidRPr="00983193">
        <w:rPr>
          <w:rFonts w:ascii="Times New Roman" w:hAnsi="Times New Roman" w:cs="Times New Roman"/>
          <w:color w:val="000000" w:themeColor="text1"/>
          <w:sz w:val="23"/>
          <w:szCs w:val="23"/>
          <w:lang w:val="en-US"/>
        </w:rPr>
        <w:t xml:space="preserve">conceptually </w:t>
      </w:r>
      <w:r w:rsidR="00D66348" w:rsidRPr="00983193">
        <w:rPr>
          <w:rFonts w:ascii="Times New Roman" w:hAnsi="Times New Roman" w:cs="Times New Roman"/>
          <w:color w:val="000000" w:themeColor="text1"/>
          <w:sz w:val="23"/>
          <w:szCs w:val="23"/>
          <w:lang w:val="en-US"/>
        </w:rPr>
        <w:t>on Value Added, a widely accepted measure of value creation through business activit</w:t>
      </w:r>
      <w:r w:rsidR="00CD5F19">
        <w:rPr>
          <w:rFonts w:ascii="Times New Roman" w:hAnsi="Times New Roman" w:cs="Times New Roman"/>
          <w:color w:val="000000" w:themeColor="text1"/>
          <w:sz w:val="23"/>
          <w:szCs w:val="23"/>
          <w:lang w:val="en-US"/>
        </w:rPr>
        <w:t>y</w:t>
      </w:r>
      <w:r w:rsidR="00D66348" w:rsidRPr="00983193">
        <w:rPr>
          <w:rFonts w:ascii="Times New Roman" w:hAnsi="Times New Roman" w:cs="Times New Roman"/>
          <w:color w:val="000000" w:themeColor="text1"/>
          <w:sz w:val="23"/>
          <w:szCs w:val="23"/>
          <w:lang w:val="en-US"/>
        </w:rPr>
        <w:t>.</w:t>
      </w:r>
      <w:r w:rsidR="00EC3CBD" w:rsidRPr="00983193">
        <w:rPr>
          <w:rFonts w:ascii="Times New Roman" w:hAnsi="Times New Roman" w:cs="Times New Roman"/>
          <w:color w:val="000000" w:themeColor="text1"/>
          <w:sz w:val="23"/>
          <w:szCs w:val="23"/>
          <w:lang w:val="en-US"/>
        </w:rPr>
        <w:t xml:space="preserve"> Moreover</w:t>
      </w:r>
      <w:r w:rsidR="00F43B01" w:rsidRPr="00983193">
        <w:rPr>
          <w:rFonts w:ascii="Times New Roman" w:hAnsi="Times New Roman" w:cs="Times New Roman"/>
          <w:color w:val="000000" w:themeColor="text1"/>
          <w:sz w:val="23"/>
          <w:szCs w:val="23"/>
          <w:lang w:val="en-US"/>
        </w:rPr>
        <w:t>,</w:t>
      </w:r>
      <w:r w:rsidR="00EC3CBD" w:rsidRPr="00983193">
        <w:rPr>
          <w:rFonts w:ascii="Times New Roman" w:hAnsi="Times New Roman" w:cs="Times New Roman"/>
          <w:color w:val="000000" w:themeColor="text1"/>
          <w:sz w:val="23"/>
          <w:szCs w:val="23"/>
          <w:lang w:val="en-US"/>
        </w:rPr>
        <w:t xml:space="preserve"> Iazzolino and </w:t>
      </w:r>
      <w:r w:rsidR="00EC3CBD" w:rsidRPr="009946C9">
        <w:rPr>
          <w:rFonts w:ascii="Times New Roman" w:hAnsi="Times New Roman" w:cs="Times New Roman"/>
          <w:noProof/>
          <w:color w:val="000000" w:themeColor="text1"/>
          <w:sz w:val="23"/>
          <w:szCs w:val="23"/>
          <w:lang w:val="en-US"/>
        </w:rPr>
        <w:t>Laise</w:t>
      </w:r>
      <w:r w:rsidR="00EC3CBD" w:rsidRPr="00983193">
        <w:rPr>
          <w:rFonts w:ascii="Times New Roman" w:hAnsi="Times New Roman" w:cs="Times New Roman"/>
          <w:color w:val="000000" w:themeColor="text1"/>
          <w:sz w:val="23"/>
          <w:szCs w:val="23"/>
          <w:lang w:val="en-US"/>
        </w:rPr>
        <w:t xml:space="preserve"> (2013, p. 549) argue that</w:t>
      </w:r>
      <w:r w:rsidR="00113A43" w:rsidRPr="00983193">
        <w:rPr>
          <w:rFonts w:ascii="Times New Roman" w:hAnsi="Times New Roman" w:cs="Times New Roman"/>
          <w:color w:val="000000" w:themeColor="text1"/>
          <w:sz w:val="23"/>
          <w:szCs w:val="23"/>
          <w:lang w:val="en-US"/>
        </w:rPr>
        <w:t xml:space="preserve"> “</w:t>
      </w:r>
      <w:r w:rsidR="00CD5F19">
        <w:rPr>
          <w:rFonts w:ascii="Times New Roman" w:hAnsi="Times New Roman" w:cs="Times New Roman"/>
          <w:color w:val="000000" w:themeColor="text1"/>
          <w:sz w:val="23"/>
          <w:szCs w:val="23"/>
          <w:lang w:val="en-US"/>
        </w:rPr>
        <w:t>i</w:t>
      </w:r>
      <w:r w:rsidR="00113A43" w:rsidRPr="00983193">
        <w:rPr>
          <w:rFonts w:ascii="Times New Roman" w:hAnsi="Times New Roman" w:cs="Times New Roman"/>
          <w:color w:val="000000" w:themeColor="text1"/>
          <w:sz w:val="23"/>
          <w:szCs w:val="23"/>
          <w:lang w:val="en-US"/>
        </w:rPr>
        <w:t>n a multidimensional logic, VAIC could be included in the set of indicators of the fi</w:t>
      </w:r>
      <w:r w:rsidR="00CC3645" w:rsidRPr="00983193">
        <w:rPr>
          <w:rFonts w:ascii="Times New Roman" w:hAnsi="Times New Roman" w:cs="Times New Roman"/>
          <w:color w:val="000000" w:themeColor="text1"/>
          <w:sz w:val="23"/>
          <w:szCs w:val="23"/>
          <w:lang w:val="en-US"/>
        </w:rPr>
        <w:t>nancial perspective or in those</w:t>
      </w:r>
      <w:r w:rsidR="00113A43" w:rsidRPr="00983193">
        <w:rPr>
          <w:rFonts w:ascii="Times New Roman" w:hAnsi="Times New Roman" w:cs="Times New Roman"/>
          <w:color w:val="000000" w:themeColor="text1"/>
          <w:sz w:val="23"/>
          <w:szCs w:val="23"/>
          <w:lang w:val="en-US"/>
        </w:rPr>
        <w:t xml:space="preserve"> of the learning and growth perspective, in the BSC (</w:t>
      </w:r>
      <w:r w:rsidR="00113A43" w:rsidRPr="006F5B29">
        <w:rPr>
          <w:rFonts w:ascii="Times New Roman" w:hAnsi="Times New Roman" w:cs="Times New Roman"/>
          <w:color w:val="000000" w:themeColor="text1"/>
          <w:sz w:val="23"/>
          <w:szCs w:val="23"/>
          <w:lang w:val="en-US"/>
        </w:rPr>
        <w:t xml:space="preserve">Kaplan and </w:t>
      </w:r>
      <w:r w:rsidR="00F73655" w:rsidRPr="006F5B29">
        <w:rPr>
          <w:rFonts w:ascii="Times New Roman" w:hAnsi="Times New Roman" w:cs="Times New Roman"/>
          <w:noProof/>
          <w:color w:val="000000" w:themeColor="text1"/>
          <w:sz w:val="23"/>
          <w:szCs w:val="23"/>
          <w:lang w:val="en-US"/>
        </w:rPr>
        <w:t>Norton</w:t>
      </w:r>
      <w:r w:rsidR="00113A43" w:rsidRPr="006F5B29">
        <w:rPr>
          <w:rFonts w:ascii="Times New Roman" w:hAnsi="Times New Roman" w:cs="Times New Roman"/>
          <w:noProof/>
          <w:color w:val="000000" w:themeColor="text1"/>
          <w:sz w:val="23"/>
          <w:szCs w:val="23"/>
          <w:lang w:val="en-US"/>
        </w:rPr>
        <w:t>,</w:t>
      </w:r>
      <w:r w:rsidR="00F73655" w:rsidRPr="006F5B29">
        <w:rPr>
          <w:rFonts w:ascii="Times New Roman" w:hAnsi="Times New Roman" w:cs="Times New Roman"/>
          <w:noProof/>
          <w:color w:val="000000" w:themeColor="text1"/>
          <w:sz w:val="23"/>
          <w:szCs w:val="23"/>
          <w:lang w:val="en-US"/>
        </w:rPr>
        <w:t xml:space="preserve"> </w:t>
      </w:r>
      <w:r w:rsidR="006F5B29" w:rsidRPr="006F5B29">
        <w:rPr>
          <w:rFonts w:ascii="Times New Roman" w:hAnsi="Times New Roman" w:cs="Times New Roman"/>
          <w:color w:val="000000" w:themeColor="text1"/>
          <w:sz w:val="23"/>
          <w:szCs w:val="23"/>
          <w:lang w:val="en-US"/>
        </w:rPr>
        <w:t>1996</w:t>
      </w:r>
      <w:r w:rsidR="00113A43" w:rsidRPr="00983193">
        <w:rPr>
          <w:rFonts w:ascii="Times New Roman" w:hAnsi="Times New Roman" w:cs="Times New Roman"/>
          <w:color w:val="000000" w:themeColor="text1"/>
          <w:sz w:val="23"/>
          <w:szCs w:val="23"/>
          <w:lang w:val="en-US"/>
        </w:rPr>
        <w:t>)”.</w:t>
      </w:r>
    </w:p>
    <w:p w14:paraId="68D97507" w14:textId="77777777" w:rsidR="002361D8" w:rsidRPr="00983193" w:rsidRDefault="00751A7D" w:rsidP="00482F9E">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2361D8" w:rsidRPr="00983193">
        <w:rPr>
          <w:rFonts w:ascii="Times New Roman" w:hAnsi="Times New Roman" w:cs="Times New Roman"/>
          <w:color w:val="000000" w:themeColor="text1"/>
          <w:sz w:val="23"/>
          <w:szCs w:val="23"/>
          <w:lang w:val="en-US"/>
        </w:rPr>
        <w:t xml:space="preserve">However, </w:t>
      </w:r>
      <w:r w:rsidR="00B541D9">
        <w:rPr>
          <w:rFonts w:ascii="Times New Roman" w:hAnsi="Times New Roman" w:cs="Times New Roman"/>
          <w:color w:val="000000" w:themeColor="text1"/>
          <w:sz w:val="23"/>
          <w:szCs w:val="23"/>
          <w:lang w:val="en-US"/>
        </w:rPr>
        <w:t>various</w:t>
      </w:r>
      <w:r w:rsidR="00B541D9" w:rsidRPr="00983193">
        <w:rPr>
          <w:rFonts w:ascii="Times New Roman" w:hAnsi="Times New Roman" w:cs="Times New Roman"/>
          <w:color w:val="000000" w:themeColor="text1"/>
          <w:sz w:val="23"/>
          <w:szCs w:val="23"/>
          <w:lang w:val="en-US"/>
        </w:rPr>
        <w:t xml:space="preserve"> </w:t>
      </w:r>
      <w:r w:rsidR="002361D8" w:rsidRPr="00983193">
        <w:rPr>
          <w:rFonts w:ascii="Times New Roman" w:hAnsi="Times New Roman" w:cs="Times New Roman"/>
          <w:color w:val="000000" w:themeColor="text1"/>
          <w:sz w:val="23"/>
          <w:szCs w:val="23"/>
          <w:lang w:val="en-US"/>
        </w:rPr>
        <w:t xml:space="preserve">scholars </w:t>
      </w:r>
      <w:r w:rsidR="00B541D9" w:rsidRPr="00983193">
        <w:rPr>
          <w:rFonts w:ascii="Times New Roman" w:hAnsi="Times New Roman" w:cs="Times New Roman"/>
          <w:color w:val="000000" w:themeColor="text1"/>
          <w:sz w:val="23"/>
          <w:szCs w:val="23"/>
          <w:lang w:val="en-US"/>
        </w:rPr>
        <w:t xml:space="preserve">have </w:t>
      </w:r>
      <w:r w:rsidR="00B541D9">
        <w:rPr>
          <w:rFonts w:ascii="Times New Roman" w:hAnsi="Times New Roman" w:cs="Times New Roman"/>
          <w:color w:val="000000" w:themeColor="text1"/>
          <w:sz w:val="23"/>
          <w:szCs w:val="23"/>
          <w:lang w:val="en-US"/>
        </w:rPr>
        <w:t xml:space="preserve">discussed the </w:t>
      </w:r>
      <w:r w:rsidR="00B541D9" w:rsidRPr="00983193">
        <w:rPr>
          <w:rFonts w:ascii="Times New Roman" w:hAnsi="Times New Roman" w:cs="Times New Roman"/>
          <w:color w:val="000000" w:themeColor="text1"/>
          <w:sz w:val="23"/>
          <w:szCs w:val="23"/>
          <w:lang w:val="en-US"/>
        </w:rPr>
        <w:t>limit</w:t>
      </w:r>
      <w:r w:rsidR="00B541D9">
        <w:rPr>
          <w:rFonts w:ascii="Times New Roman" w:hAnsi="Times New Roman" w:cs="Times New Roman"/>
          <w:color w:val="000000" w:themeColor="text1"/>
          <w:sz w:val="23"/>
          <w:szCs w:val="23"/>
          <w:lang w:val="en-US"/>
        </w:rPr>
        <w:t>ation</w:t>
      </w:r>
      <w:r w:rsidR="00B541D9" w:rsidRPr="00983193">
        <w:rPr>
          <w:rFonts w:ascii="Times New Roman" w:hAnsi="Times New Roman" w:cs="Times New Roman"/>
          <w:color w:val="000000" w:themeColor="text1"/>
          <w:sz w:val="23"/>
          <w:szCs w:val="23"/>
          <w:lang w:val="en-US"/>
        </w:rPr>
        <w:t xml:space="preserve">s of VAIC </w:t>
      </w:r>
      <w:r w:rsidR="002361D8" w:rsidRPr="00983193">
        <w:rPr>
          <w:rFonts w:ascii="Times New Roman" w:hAnsi="Times New Roman" w:cs="Times New Roman"/>
          <w:color w:val="000000" w:themeColor="text1"/>
          <w:sz w:val="23"/>
          <w:szCs w:val="23"/>
          <w:lang w:val="en-US"/>
        </w:rPr>
        <w:t>(Stahle et al., 2011; Iazzoli</w:t>
      </w:r>
      <w:r w:rsidR="000827AF">
        <w:rPr>
          <w:rFonts w:ascii="Times New Roman" w:hAnsi="Times New Roman" w:cs="Times New Roman"/>
          <w:color w:val="000000" w:themeColor="text1"/>
          <w:sz w:val="23"/>
          <w:szCs w:val="23"/>
          <w:lang w:val="en-US"/>
        </w:rPr>
        <w:t>no and Laise, 2013; Goebel</w:t>
      </w:r>
      <w:r w:rsidR="002361D8" w:rsidRPr="00983193">
        <w:rPr>
          <w:rFonts w:ascii="Times New Roman" w:hAnsi="Times New Roman" w:cs="Times New Roman"/>
          <w:color w:val="000000" w:themeColor="text1"/>
          <w:sz w:val="23"/>
          <w:szCs w:val="23"/>
          <w:lang w:val="en-US"/>
        </w:rPr>
        <w:t>, 2015; Dzenopoljac et al., 2016).</w:t>
      </w:r>
      <w:r w:rsidR="00B541D9">
        <w:rPr>
          <w:rFonts w:ascii="Times New Roman" w:hAnsi="Times New Roman" w:cs="Times New Roman"/>
          <w:color w:val="000000" w:themeColor="text1"/>
          <w:sz w:val="23"/>
          <w:szCs w:val="23"/>
          <w:lang w:val="en-US"/>
        </w:rPr>
        <w:t xml:space="preserve"> </w:t>
      </w:r>
      <w:r w:rsidR="002361D8" w:rsidRPr="00983193">
        <w:rPr>
          <w:rFonts w:ascii="Times New Roman" w:hAnsi="Times New Roman" w:cs="Times New Roman"/>
          <w:color w:val="000000" w:themeColor="text1"/>
          <w:sz w:val="23"/>
          <w:szCs w:val="23"/>
          <w:lang w:val="en-US"/>
        </w:rPr>
        <w:t xml:space="preserve">Firstly, it focuses mainly on the </w:t>
      </w:r>
      <w:r w:rsidR="00BC5AB7" w:rsidRPr="00983193">
        <w:rPr>
          <w:rFonts w:ascii="Times New Roman" w:hAnsi="Times New Roman" w:cs="Times New Roman"/>
          <w:color w:val="000000" w:themeColor="text1"/>
          <w:sz w:val="23"/>
          <w:szCs w:val="23"/>
          <w:lang w:val="en-US"/>
        </w:rPr>
        <w:t>Value-Added</w:t>
      </w:r>
      <w:r w:rsidR="002361D8" w:rsidRPr="00983193">
        <w:rPr>
          <w:rFonts w:ascii="Times New Roman" w:hAnsi="Times New Roman" w:cs="Times New Roman"/>
          <w:color w:val="000000" w:themeColor="text1"/>
          <w:sz w:val="23"/>
          <w:szCs w:val="23"/>
          <w:lang w:val="en-US"/>
        </w:rPr>
        <w:t xml:space="preserve"> Income Statement, so it utilizes a traditional accounting procedure and, therefore cannot be considered a </w:t>
      </w:r>
      <w:r w:rsidR="00B541D9">
        <w:rPr>
          <w:rFonts w:ascii="Times New Roman" w:hAnsi="Times New Roman" w:cs="Times New Roman"/>
          <w:color w:val="000000" w:themeColor="text1"/>
          <w:sz w:val="23"/>
          <w:szCs w:val="23"/>
          <w:lang w:val="en-US"/>
        </w:rPr>
        <w:t>true alternative</w:t>
      </w:r>
      <w:r w:rsidR="002361D8" w:rsidRPr="00983193">
        <w:rPr>
          <w:rFonts w:ascii="Times New Roman" w:hAnsi="Times New Roman" w:cs="Times New Roman"/>
          <w:color w:val="000000" w:themeColor="text1"/>
          <w:sz w:val="23"/>
          <w:szCs w:val="23"/>
          <w:lang w:val="en-US"/>
        </w:rPr>
        <w:t xml:space="preserve"> to other </w:t>
      </w:r>
      <w:r w:rsidR="00B541D9">
        <w:rPr>
          <w:rFonts w:ascii="Times New Roman" w:hAnsi="Times New Roman" w:cs="Times New Roman"/>
          <w:color w:val="000000" w:themeColor="text1"/>
          <w:sz w:val="23"/>
          <w:szCs w:val="23"/>
          <w:lang w:val="en-US"/>
        </w:rPr>
        <w:t xml:space="preserve">more </w:t>
      </w:r>
      <w:r w:rsidR="002361D8" w:rsidRPr="00983193">
        <w:rPr>
          <w:rFonts w:ascii="Times New Roman" w:hAnsi="Times New Roman" w:cs="Times New Roman"/>
          <w:color w:val="000000" w:themeColor="text1"/>
          <w:sz w:val="23"/>
          <w:szCs w:val="23"/>
          <w:lang w:val="en-US"/>
        </w:rPr>
        <w:t>traditional methodologies (e.g. EV</w:t>
      </w:r>
      <w:r w:rsidR="00CC3645" w:rsidRPr="00983193">
        <w:rPr>
          <w:rFonts w:ascii="Times New Roman" w:hAnsi="Times New Roman" w:cs="Times New Roman"/>
          <w:color w:val="000000" w:themeColor="text1"/>
          <w:sz w:val="23"/>
          <w:szCs w:val="23"/>
          <w:lang w:val="en-US"/>
        </w:rPr>
        <w:t>A)</w:t>
      </w:r>
      <w:r w:rsidR="00B541D9">
        <w:rPr>
          <w:rFonts w:ascii="Times New Roman" w:hAnsi="Times New Roman" w:cs="Times New Roman"/>
          <w:color w:val="000000" w:themeColor="text1"/>
          <w:sz w:val="23"/>
          <w:szCs w:val="23"/>
          <w:lang w:val="en-US"/>
        </w:rPr>
        <w:t>,</w:t>
      </w:r>
      <w:r w:rsidR="00CC3645" w:rsidRPr="00983193">
        <w:rPr>
          <w:rFonts w:ascii="Times New Roman" w:hAnsi="Times New Roman" w:cs="Times New Roman"/>
          <w:color w:val="000000" w:themeColor="text1"/>
          <w:sz w:val="23"/>
          <w:szCs w:val="23"/>
          <w:lang w:val="en-US"/>
        </w:rPr>
        <w:t xml:space="preserve"> as </w:t>
      </w:r>
      <w:r w:rsidR="00CC3645" w:rsidRPr="009946C9">
        <w:rPr>
          <w:rFonts w:ascii="Times New Roman" w:hAnsi="Times New Roman" w:cs="Times New Roman"/>
          <w:noProof/>
          <w:color w:val="000000" w:themeColor="text1"/>
          <w:sz w:val="23"/>
          <w:szCs w:val="23"/>
          <w:lang w:val="en-US"/>
        </w:rPr>
        <w:t>Pulic</w:t>
      </w:r>
      <w:r w:rsidR="00CC3645" w:rsidRPr="00983193">
        <w:rPr>
          <w:rFonts w:ascii="Times New Roman" w:hAnsi="Times New Roman" w:cs="Times New Roman"/>
          <w:color w:val="000000" w:themeColor="text1"/>
          <w:sz w:val="23"/>
          <w:szCs w:val="23"/>
          <w:lang w:val="en-US"/>
        </w:rPr>
        <w:t xml:space="preserve"> argues in his early</w:t>
      </w:r>
      <w:r w:rsidR="002361D8" w:rsidRPr="00983193">
        <w:rPr>
          <w:rFonts w:ascii="Times New Roman" w:hAnsi="Times New Roman" w:cs="Times New Roman"/>
          <w:color w:val="000000" w:themeColor="text1"/>
          <w:sz w:val="23"/>
          <w:szCs w:val="23"/>
          <w:lang w:val="en-US"/>
        </w:rPr>
        <w:t xml:space="preserve"> </w:t>
      </w:r>
      <w:r w:rsidR="00B541D9">
        <w:rPr>
          <w:rFonts w:ascii="Times New Roman" w:hAnsi="Times New Roman" w:cs="Times New Roman"/>
          <w:color w:val="000000" w:themeColor="text1"/>
          <w:sz w:val="23"/>
          <w:szCs w:val="23"/>
          <w:lang w:val="en-US"/>
        </w:rPr>
        <w:t>work</w:t>
      </w:r>
      <w:r w:rsidR="002361D8" w:rsidRPr="00983193">
        <w:rPr>
          <w:rFonts w:ascii="Times New Roman" w:hAnsi="Times New Roman" w:cs="Times New Roman"/>
          <w:color w:val="000000" w:themeColor="text1"/>
          <w:sz w:val="23"/>
          <w:szCs w:val="23"/>
          <w:lang w:val="en-US"/>
        </w:rPr>
        <w:t xml:space="preserve">. Secondly, if human capital </w:t>
      </w:r>
      <w:r w:rsidR="00B541D9">
        <w:rPr>
          <w:rFonts w:ascii="Times New Roman" w:hAnsi="Times New Roman" w:cs="Times New Roman"/>
          <w:color w:val="000000" w:themeColor="text1"/>
          <w:sz w:val="23"/>
          <w:szCs w:val="23"/>
          <w:lang w:val="en-US"/>
        </w:rPr>
        <w:t>is</w:t>
      </w:r>
      <w:r w:rsidR="002361D8" w:rsidRPr="00983193">
        <w:rPr>
          <w:rFonts w:ascii="Times New Roman" w:hAnsi="Times New Roman" w:cs="Times New Roman"/>
          <w:color w:val="000000" w:themeColor="text1"/>
          <w:sz w:val="23"/>
          <w:szCs w:val="23"/>
          <w:lang w:val="en-US"/>
        </w:rPr>
        <w:t xml:space="preserve"> considered </w:t>
      </w:r>
      <w:r w:rsidR="00B541D9">
        <w:rPr>
          <w:rFonts w:ascii="Times New Roman" w:hAnsi="Times New Roman" w:cs="Times New Roman"/>
          <w:color w:val="000000" w:themeColor="text1"/>
          <w:sz w:val="23"/>
          <w:szCs w:val="23"/>
          <w:lang w:val="en-US"/>
        </w:rPr>
        <w:t>to be</w:t>
      </w:r>
      <w:r w:rsidR="00B541D9" w:rsidRPr="00983193">
        <w:rPr>
          <w:rFonts w:ascii="Times New Roman" w:hAnsi="Times New Roman" w:cs="Times New Roman"/>
          <w:color w:val="000000" w:themeColor="text1"/>
          <w:sz w:val="23"/>
          <w:szCs w:val="23"/>
          <w:lang w:val="en-US"/>
        </w:rPr>
        <w:t xml:space="preserve"> </w:t>
      </w:r>
      <w:r w:rsidR="002361D8" w:rsidRPr="00983193">
        <w:rPr>
          <w:rFonts w:ascii="Times New Roman" w:hAnsi="Times New Roman" w:cs="Times New Roman"/>
          <w:color w:val="000000" w:themeColor="text1"/>
          <w:sz w:val="23"/>
          <w:szCs w:val="23"/>
          <w:lang w:val="en-US"/>
        </w:rPr>
        <w:t xml:space="preserve">an investment, it </w:t>
      </w:r>
      <w:r w:rsidR="00B541D9">
        <w:rPr>
          <w:rFonts w:ascii="Times New Roman" w:hAnsi="Times New Roman" w:cs="Times New Roman"/>
          <w:color w:val="000000" w:themeColor="text1"/>
          <w:sz w:val="23"/>
          <w:szCs w:val="23"/>
          <w:lang w:val="en-US"/>
        </w:rPr>
        <w:t>sh</w:t>
      </w:r>
      <w:r w:rsidR="002361D8" w:rsidRPr="00983193">
        <w:rPr>
          <w:rFonts w:ascii="Times New Roman" w:hAnsi="Times New Roman" w:cs="Times New Roman"/>
          <w:color w:val="000000" w:themeColor="text1"/>
          <w:sz w:val="23"/>
          <w:szCs w:val="23"/>
          <w:lang w:val="en-US"/>
        </w:rPr>
        <w:t xml:space="preserve">ould </w:t>
      </w:r>
      <w:r w:rsidR="00B541D9">
        <w:rPr>
          <w:rFonts w:ascii="Times New Roman" w:hAnsi="Times New Roman" w:cs="Times New Roman"/>
          <w:color w:val="000000" w:themeColor="text1"/>
          <w:sz w:val="23"/>
          <w:szCs w:val="23"/>
          <w:lang w:val="en-US"/>
        </w:rPr>
        <w:t xml:space="preserve">therefore </w:t>
      </w:r>
      <w:r w:rsidR="002361D8" w:rsidRPr="00983193">
        <w:rPr>
          <w:rFonts w:ascii="Times New Roman" w:hAnsi="Times New Roman" w:cs="Times New Roman"/>
          <w:color w:val="000000" w:themeColor="text1"/>
          <w:sz w:val="23"/>
          <w:szCs w:val="23"/>
          <w:lang w:val="en-US"/>
        </w:rPr>
        <w:t xml:space="preserve">be added to capital employed. Thirdly, VAIC assumes that all labor expenses reported in the income statement are related to IC, while a </w:t>
      </w:r>
      <w:r w:rsidR="00B541D9">
        <w:rPr>
          <w:rFonts w:ascii="Times New Roman" w:hAnsi="Times New Roman" w:cs="Times New Roman"/>
          <w:color w:val="000000" w:themeColor="text1"/>
          <w:sz w:val="23"/>
          <w:szCs w:val="23"/>
          <w:lang w:val="en-US"/>
        </w:rPr>
        <w:t>proportion</w:t>
      </w:r>
      <w:r w:rsidR="00B541D9" w:rsidRPr="00983193">
        <w:rPr>
          <w:rFonts w:ascii="Times New Roman" w:hAnsi="Times New Roman" w:cs="Times New Roman"/>
          <w:color w:val="000000" w:themeColor="text1"/>
          <w:sz w:val="23"/>
          <w:szCs w:val="23"/>
          <w:lang w:val="en-US"/>
        </w:rPr>
        <w:t xml:space="preserve"> </w:t>
      </w:r>
      <w:r w:rsidR="002361D8" w:rsidRPr="00983193">
        <w:rPr>
          <w:rFonts w:ascii="Times New Roman" w:hAnsi="Times New Roman" w:cs="Times New Roman"/>
          <w:color w:val="000000" w:themeColor="text1"/>
          <w:sz w:val="23"/>
          <w:szCs w:val="23"/>
          <w:lang w:val="en-US"/>
        </w:rPr>
        <w:t xml:space="preserve">of </w:t>
      </w:r>
      <w:r w:rsidR="00B541D9">
        <w:rPr>
          <w:rFonts w:ascii="Times New Roman" w:hAnsi="Times New Roman" w:cs="Times New Roman"/>
          <w:color w:val="000000" w:themeColor="text1"/>
          <w:sz w:val="23"/>
          <w:szCs w:val="23"/>
          <w:lang w:val="en-US"/>
        </w:rPr>
        <w:t>such expenses</w:t>
      </w:r>
      <w:r w:rsidR="00B541D9" w:rsidRPr="00983193">
        <w:rPr>
          <w:rFonts w:ascii="Times New Roman" w:hAnsi="Times New Roman" w:cs="Times New Roman"/>
          <w:color w:val="000000" w:themeColor="text1"/>
          <w:sz w:val="23"/>
          <w:szCs w:val="23"/>
          <w:lang w:val="en-US"/>
        </w:rPr>
        <w:t xml:space="preserve"> </w:t>
      </w:r>
      <w:r w:rsidR="00B541D9">
        <w:rPr>
          <w:rFonts w:ascii="Times New Roman" w:hAnsi="Times New Roman" w:cs="Times New Roman"/>
          <w:color w:val="000000" w:themeColor="text1"/>
          <w:sz w:val="23"/>
          <w:szCs w:val="23"/>
          <w:lang w:val="en-US"/>
        </w:rPr>
        <w:t>might reasonably</w:t>
      </w:r>
      <w:r w:rsidR="00B541D9" w:rsidRPr="00983193">
        <w:rPr>
          <w:rFonts w:ascii="Times New Roman" w:hAnsi="Times New Roman" w:cs="Times New Roman"/>
          <w:color w:val="000000" w:themeColor="text1"/>
          <w:sz w:val="23"/>
          <w:szCs w:val="23"/>
          <w:lang w:val="en-US"/>
        </w:rPr>
        <w:t xml:space="preserve"> </w:t>
      </w:r>
      <w:r w:rsidR="002361D8" w:rsidRPr="00983193">
        <w:rPr>
          <w:rFonts w:ascii="Times New Roman" w:hAnsi="Times New Roman" w:cs="Times New Roman"/>
          <w:color w:val="000000" w:themeColor="text1"/>
          <w:sz w:val="23"/>
          <w:szCs w:val="23"/>
          <w:lang w:val="en-US"/>
        </w:rPr>
        <w:t xml:space="preserve">be considered as mere operating expenses incurred in the period. In particular, </w:t>
      </w:r>
      <w:r w:rsidR="00B541D9">
        <w:rPr>
          <w:rFonts w:ascii="Times New Roman" w:hAnsi="Times New Roman" w:cs="Times New Roman"/>
          <w:color w:val="000000" w:themeColor="text1"/>
          <w:sz w:val="23"/>
          <w:szCs w:val="23"/>
          <w:lang w:val="en-US"/>
        </w:rPr>
        <w:t xml:space="preserve">it may be argued that the </w:t>
      </w:r>
      <w:r w:rsidR="002361D8" w:rsidRPr="00983193">
        <w:rPr>
          <w:rFonts w:ascii="Times New Roman" w:hAnsi="Times New Roman" w:cs="Times New Roman"/>
          <w:color w:val="000000" w:themeColor="text1"/>
          <w:sz w:val="23"/>
          <w:szCs w:val="23"/>
          <w:lang w:val="en-US"/>
        </w:rPr>
        <w:t xml:space="preserve">VAIC method does not concern IC at all, </w:t>
      </w:r>
      <w:r w:rsidR="00B541D9">
        <w:rPr>
          <w:rFonts w:ascii="Times New Roman" w:hAnsi="Times New Roman" w:cs="Times New Roman"/>
          <w:color w:val="000000" w:themeColor="text1"/>
          <w:sz w:val="23"/>
          <w:szCs w:val="23"/>
          <w:lang w:val="en-US"/>
        </w:rPr>
        <w:t xml:space="preserve">as </w:t>
      </w:r>
      <w:r w:rsidR="002361D8" w:rsidRPr="00983193">
        <w:rPr>
          <w:rFonts w:ascii="Times New Roman" w:hAnsi="Times New Roman" w:cs="Times New Roman"/>
          <w:color w:val="000000" w:themeColor="text1"/>
          <w:sz w:val="23"/>
          <w:szCs w:val="23"/>
          <w:lang w:val="en-US"/>
        </w:rPr>
        <w:lastRenderedPageBreak/>
        <w:t xml:space="preserve">it only measures the operational efficiency of a company and, as </w:t>
      </w:r>
      <w:r w:rsidR="00B541D9">
        <w:rPr>
          <w:rFonts w:ascii="Times New Roman" w:hAnsi="Times New Roman" w:cs="Times New Roman"/>
          <w:color w:val="000000" w:themeColor="text1"/>
          <w:sz w:val="23"/>
          <w:szCs w:val="23"/>
          <w:lang w:val="en-US"/>
        </w:rPr>
        <w:t>in terms of</w:t>
      </w:r>
      <w:r w:rsidR="002361D8" w:rsidRPr="00983193">
        <w:rPr>
          <w:rFonts w:ascii="Times New Roman" w:hAnsi="Times New Roman" w:cs="Times New Roman"/>
          <w:color w:val="000000" w:themeColor="text1"/>
          <w:sz w:val="23"/>
          <w:szCs w:val="23"/>
          <w:lang w:val="en-US"/>
        </w:rPr>
        <w:t xml:space="preserve"> </w:t>
      </w:r>
      <w:r w:rsidR="00B541D9">
        <w:rPr>
          <w:rFonts w:ascii="Times New Roman" w:hAnsi="Times New Roman" w:cs="Times New Roman"/>
          <w:color w:val="000000" w:themeColor="text1"/>
          <w:sz w:val="23"/>
          <w:szCs w:val="23"/>
          <w:lang w:val="en-US"/>
        </w:rPr>
        <w:t>h</w:t>
      </w:r>
      <w:r w:rsidR="002361D8" w:rsidRPr="00983193">
        <w:rPr>
          <w:rFonts w:ascii="Times New Roman" w:hAnsi="Times New Roman" w:cs="Times New Roman"/>
          <w:color w:val="000000" w:themeColor="text1"/>
          <w:sz w:val="23"/>
          <w:szCs w:val="23"/>
          <w:lang w:val="en-US"/>
        </w:rPr>
        <w:t xml:space="preserve">uman capital, it considers </w:t>
      </w:r>
      <w:r w:rsidR="00B541D9">
        <w:rPr>
          <w:rFonts w:ascii="Times New Roman" w:hAnsi="Times New Roman" w:cs="Times New Roman"/>
          <w:color w:val="000000" w:themeColor="text1"/>
          <w:sz w:val="23"/>
          <w:szCs w:val="23"/>
          <w:lang w:val="en-US"/>
        </w:rPr>
        <w:t>only</w:t>
      </w:r>
      <w:r w:rsidR="00B541D9" w:rsidRPr="00983193">
        <w:rPr>
          <w:rFonts w:ascii="Times New Roman" w:hAnsi="Times New Roman" w:cs="Times New Roman"/>
          <w:color w:val="000000" w:themeColor="text1"/>
          <w:sz w:val="23"/>
          <w:szCs w:val="23"/>
          <w:lang w:val="en-US"/>
        </w:rPr>
        <w:t xml:space="preserve"> </w:t>
      </w:r>
      <w:r w:rsidR="002361D8" w:rsidRPr="00983193">
        <w:rPr>
          <w:rFonts w:ascii="Times New Roman" w:hAnsi="Times New Roman" w:cs="Times New Roman"/>
          <w:color w:val="000000" w:themeColor="text1"/>
          <w:sz w:val="23"/>
          <w:szCs w:val="23"/>
          <w:lang w:val="en-US"/>
        </w:rPr>
        <w:t xml:space="preserve">annual salaries, neglecting the </w:t>
      </w:r>
      <w:r w:rsidR="00B541D9">
        <w:rPr>
          <w:rFonts w:ascii="Times New Roman" w:hAnsi="Times New Roman" w:cs="Times New Roman"/>
          <w:color w:val="000000" w:themeColor="text1"/>
          <w:sz w:val="23"/>
          <w:szCs w:val="23"/>
          <w:lang w:val="en-US"/>
        </w:rPr>
        <w:t xml:space="preserve">firm’s </w:t>
      </w:r>
      <w:r w:rsidR="002361D8" w:rsidRPr="00983193">
        <w:rPr>
          <w:rFonts w:ascii="Times New Roman" w:hAnsi="Times New Roman" w:cs="Times New Roman"/>
          <w:color w:val="000000" w:themeColor="text1"/>
          <w:sz w:val="23"/>
          <w:szCs w:val="23"/>
          <w:lang w:val="en-US"/>
        </w:rPr>
        <w:t xml:space="preserve">investment in training employees, which </w:t>
      </w:r>
      <w:r w:rsidR="00B541D9">
        <w:rPr>
          <w:rFonts w:ascii="Times New Roman" w:hAnsi="Times New Roman" w:cs="Times New Roman"/>
          <w:color w:val="000000" w:themeColor="text1"/>
          <w:sz w:val="23"/>
          <w:szCs w:val="23"/>
          <w:lang w:val="en-US"/>
        </w:rPr>
        <w:t>may</w:t>
      </w:r>
      <w:r w:rsidR="002361D8" w:rsidRPr="00983193">
        <w:rPr>
          <w:rFonts w:ascii="Times New Roman" w:hAnsi="Times New Roman" w:cs="Times New Roman"/>
          <w:color w:val="000000" w:themeColor="text1"/>
          <w:sz w:val="23"/>
          <w:szCs w:val="23"/>
          <w:lang w:val="en-US"/>
        </w:rPr>
        <w:t xml:space="preserve"> bring </w:t>
      </w:r>
      <w:r w:rsidR="00B541D9">
        <w:rPr>
          <w:rFonts w:ascii="Times New Roman" w:hAnsi="Times New Roman" w:cs="Times New Roman"/>
          <w:color w:val="000000" w:themeColor="text1"/>
          <w:sz w:val="23"/>
          <w:szCs w:val="23"/>
          <w:lang w:val="en-US"/>
        </w:rPr>
        <w:t xml:space="preserve">with it </w:t>
      </w:r>
      <w:r w:rsidR="002361D8" w:rsidRPr="00983193">
        <w:rPr>
          <w:rFonts w:ascii="Times New Roman" w:hAnsi="Times New Roman" w:cs="Times New Roman"/>
          <w:color w:val="000000" w:themeColor="text1"/>
          <w:sz w:val="23"/>
          <w:szCs w:val="23"/>
          <w:lang w:val="en-US"/>
        </w:rPr>
        <w:t xml:space="preserve">motivation, new experience and augmented skills </w:t>
      </w:r>
      <w:r w:rsidR="00B541D9">
        <w:rPr>
          <w:rFonts w:ascii="Times New Roman" w:hAnsi="Times New Roman" w:cs="Times New Roman"/>
          <w:color w:val="000000" w:themeColor="text1"/>
          <w:sz w:val="23"/>
          <w:szCs w:val="23"/>
          <w:lang w:val="en-US"/>
        </w:rPr>
        <w:t>and thus</w:t>
      </w:r>
      <w:r w:rsidR="002361D8" w:rsidRPr="00983193">
        <w:rPr>
          <w:rFonts w:ascii="Times New Roman" w:hAnsi="Times New Roman" w:cs="Times New Roman"/>
          <w:color w:val="000000" w:themeColor="text1"/>
          <w:sz w:val="23"/>
          <w:szCs w:val="23"/>
          <w:lang w:val="en-US"/>
        </w:rPr>
        <w:t xml:space="preserve"> additional knowledge for the organization as a whole</w:t>
      </w:r>
      <w:r w:rsidR="0094049D" w:rsidRPr="00983193">
        <w:rPr>
          <w:rFonts w:ascii="Times New Roman" w:hAnsi="Times New Roman" w:cs="Times New Roman"/>
          <w:color w:val="000000" w:themeColor="text1"/>
          <w:sz w:val="23"/>
          <w:szCs w:val="23"/>
          <w:lang w:val="en-US"/>
        </w:rPr>
        <w:t xml:space="preserve">. Finally, the model does not take in account the synergies </w:t>
      </w:r>
      <w:r w:rsidR="00B541D9">
        <w:rPr>
          <w:rFonts w:ascii="Times New Roman" w:hAnsi="Times New Roman" w:cs="Times New Roman"/>
          <w:color w:val="000000" w:themeColor="text1"/>
          <w:sz w:val="23"/>
          <w:szCs w:val="23"/>
          <w:lang w:val="en-US"/>
        </w:rPr>
        <w:t xml:space="preserve">that </w:t>
      </w:r>
      <w:r w:rsidR="0094049D" w:rsidRPr="00983193">
        <w:rPr>
          <w:rFonts w:ascii="Times New Roman" w:hAnsi="Times New Roman" w:cs="Times New Roman"/>
          <w:color w:val="000000" w:themeColor="text1"/>
          <w:sz w:val="23"/>
          <w:szCs w:val="23"/>
          <w:lang w:val="en-US"/>
        </w:rPr>
        <w:t xml:space="preserve">exist </w:t>
      </w:r>
      <w:r w:rsidR="00B541D9">
        <w:rPr>
          <w:rFonts w:ascii="Times New Roman" w:hAnsi="Times New Roman" w:cs="Times New Roman"/>
          <w:color w:val="000000" w:themeColor="text1"/>
          <w:sz w:val="23"/>
          <w:szCs w:val="23"/>
          <w:lang w:val="en-US"/>
        </w:rPr>
        <w:t>between</w:t>
      </w:r>
      <w:r w:rsidR="00B541D9" w:rsidRPr="00983193">
        <w:rPr>
          <w:rFonts w:ascii="Times New Roman" w:hAnsi="Times New Roman" w:cs="Times New Roman"/>
          <w:color w:val="000000" w:themeColor="text1"/>
          <w:sz w:val="23"/>
          <w:szCs w:val="23"/>
          <w:lang w:val="en-US"/>
        </w:rPr>
        <w:t xml:space="preserve"> </w:t>
      </w:r>
      <w:r w:rsidR="0094049D" w:rsidRPr="00983193">
        <w:rPr>
          <w:rFonts w:ascii="Times New Roman" w:hAnsi="Times New Roman" w:cs="Times New Roman"/>
          <w:color w:val="000000" w:themeColor="text1"/>
          <w:sz w:val="23"/>
          <w:szCs w:val="23"/>
          <w:lang w:val="en-US"/>
        </w:rPr>
        <w:t>the various components of VAIC, which</w:t>
      </w:r>
      <w:r w:rsidR="00B541D9">
        <w:rPr>
          <w:rFonts w:ascii="Times New Roman" w:hAnsi="Times New Roman" w:cs="Times New Roman"/>
          <w:color w:val="000000" w:themeColor="text1"/>
          <w:sz w:val="23"/>
          <w:szCs w:val="23"/>
          <w:lang w:val="en-US"/>
        </w:rPr>
        <w:t xml:space="preserve"> may </w:t>
      </w:r>
      <w:r w:rsidR="0094049D" w:rsidRPr="00983193">
        <w:rPr>
          <w:rFonts w:ascii="Times New Roman" w:hAnsi="Times New Roman" w:cs="Times New Roman"/>
          <w:color w:val="000000" w:themeColor="text1"/>
          <w:sz w:val="23"/>
          <w:szCs w:val="23"/>
          <w:lang w:val="en-US"/>
        </w:rPr>
        <w:t>be seen as the “holistic” aspects of IC</w:t>
      </w:r>
      <w:r w:rsidR="00B541D9">
        <w:rPr>
          <w:rFonts w:ascii="Times New Roman" w:hAnsi="Times New Roman" w:cs="Times New Roman"/>
          <w:color w:val="000000" w:themeColor="text1"/>
          <w:sz w:val="23"/>
          <w:szCs w:val="23"/>
          <w:lang w:val="en-US"/>
        </w:rPr>
        <w:t>, and the approach</w:t>
      </w:r>
      <w:r w:rsidR="0094049D" w:rsidRPr="00983193">
        <w:rPr>
          <w:rFonts w:ascii="Times New Roman" w:hAnsi="Times New Roman" w:cs="Times New Roman"/>
          <w:color w:val="000000" w:themeColor="text1"/>
          <w:sz w:val="23"/>
          <w:szCs w:val="23"/>
          <w:lang w:val="en-US"/>
        </w:rPr>
        <w:t xml:space="preserve"> and does not </w:t>
      </w:r>
      <w:r w:rsidR="00B541D9">
        <w:rPr>
          <w:rFonts w:ascii="Times New Roman" w:hAnsi="Times New Roman" w:cs="Times New Roman"/>
          <w:color w:val="000000" w:themeColor="text1"/>
          <w:sz w:val="23"/>
          <w:szCs w:val="23"/>
          <w:lang w:val="en-US"/>
        </w:rPr>
        <w:t>consider</w:t>
      </w:r>
      <w:r w:rsidR="00B541D9" w:rsidRPr="00983193">
        <w:rPr>
          <w:rFonts w:ascii="Times New Roman" w:hAnsi="Times New Roman" w:cs="Times New Roman"/>
          <w:color w:val="000000" w:themeColor="text1"/>
          <w:sz w:val="23"/>
          <w:szCs w:val="23"/>
          <w:lang w:val="en-US"/>
        </w:rPr>
        <w:t xml:space="preserve"> extensively </w:t>
      </w:r>
      <w:r w:rsidR="00CC3645" w:rsidRPr="00983193">
        <w:rPr>
          <w:rFonts w:ascii="Times New Roman" w:hAnsi="Times New Roman" w:cs="Times New Roman"/>
          <w:color w:val="000000" w:themeColor="text1"/>
          <w:sz w:val="23"/>
          <w:szCs w:val="23"/>
          <w:lang w:val="en-US"/>
        </w:rPr>
        <w:t>the innovation capacity and</w:t>
      </w:r>
      <w:r w:rsidR="0094049D" w:rsidRPr="00983193">
        <w:rPr>
          <w:rFonts w:ascii="Times New Roman" w:hAnsi="Times New Roman" w:cs="Times New Roman"/>
          <w:color w:val="000000" w:themeColor="text1"/>
          <w:sz w:val="23"/>
          <w:szCs w:val="23"/>
          <w:lang w:val="en-US"/>
        </w:rPr>
        <w:t xml:space="preserve"> the “relational capital” of a firm.</w:t>
      </w:r>
    </w:p>
    <w:p w14:paraId="796B8C3E" w14:textId="77777777" w:rsidR="00113A43" w:rsidRPr="00983193" w:rsidRDefault="00113A43" w:rsidP="00113A43">
      <w:pPr>
        <w:spacing w:after="0" w:line="240" w:lineRule="auto"/>
        <w:ind w:firstLine="284"/>
        <w:contextualSpacing/>
        <w:jc w:val="both"/>
        <w:rPr>
          <w:rFonts w:ascii="Times New Roman" w:hAnsi="Times New Roman" w:cs="Times New Roman"/>
          <w:color w:val="000000" w:themeColor="text1"/>
          <w:sz w:val="23"/>
          <w:szCs w:val="23"/>
          <w:lang w:val="en-US"/>
        </w:rPr>
      </w:pPr>
    </w:p>
    <w:p w14:paraId="2DF02CA6" w14:textId="77777777" w:rsidR="00A22960" w:rsidRPr="00A53C54" w:rsidRDefault="00B541D9" w:rsidP="00A53C54">
      <w:pPr>
        <w:pStyle w:val="ListParagraph"/>
        <w:numPr>
          <w:ilvl w:val="0"/>
          <w:numId w:val="1"/>
        </w:numPr>
        <w:spacing w:after="0" w:line="240" w:lineRule="auto"/>
        <w:ind w:left="357" w:hanging="357"/>
        <w:jc w:val="both"/>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t xml:space="preserve">Previous empirical research on </w:t>
      </w:r>
      <w:r w:rsidR="00A22960" w:rsidRPr="00A53C54">
        <w:rPr>
          <w:rFonts w:ascii="Times New Roman" w:hAnsi="Times New Roman" w:cs="Times New Roman"/>
          <w:b/>
          <w:color w:val="000000" w:themeColor="text1"/>
          <w:sz w:val="23"/>
          <w:szCs w:val="23"/>
          <w:lang w:val="en-US"/>
        </w:rPr>
        <w:t xml:space="preserve">VAIC </w:t>
      </w:r>
      <w:r w:rsidR="002361D8" w:rsidRPr="00A53C54">
        <w:rPr>
          <w:rFonts w:ascii="Times New Roman" w:hAnsi="Times New Roman" w:cs="Times New Roman"/>
          <w:b/>
          <w:color w:val="000000" w:themeColor="text1"/>
          <w:sz w:val="23"/>
          <w:szCs w:val="23"/>
          <w:lang w:val="en-US"/>
        </w:rPr>
        <w:t>and M</w:t>
      </w:r>
      <w:r w:rsidR="00482F9E">
        <w:rPr>
          <w:rFonts w:ascii="Times New Roman" w:hAnsi="Times New Roman" w:cs="Times New Roman"/>
          <w:b/>
          <w:color w:val="000000" w:themeColor="text1"/>
          <w:sz w:val="23"/>
          <w:szCs w:val="23"/>
          <w:lang w:val="en-US"/>
        </w:rPr>
        <w:t>t</w:t>
      </w:r>
      <w:r w:rsidR="002361D8" w:rsidRPr="00A53C54">
        <w:rPr>
          <w:rFonts w:ascii="Times New Roman" w:hAnsi="Times New Roman" w:cs="Times New Roman"/>
          <w:b/>
          <w:color w:val="000000" w:themeColor="text1"/>
          <w:sz w:val="23"/>
          <w:szCs w:val="23"/>
          <w:lang w:val="en-US"/>
        </w:rPr>
        <w:t>B</w:t>
      </w:r>
    </w:p>
    <w:p w14:paraId="71ED952C" w14:textId="77777777" w:rsidR="00A22960" w:rsidRPr="00983193" w:rsidRDefault="00A22960" w:rsidP="00A22960">
      <w:pPr>
        <w:spacing w:after="0" w:line="240" w:lineRule="auto"/>
        <w:ind w:left="360"/>
        <w:jc w:val="both"/>
        <w:rPr>
          <w:rFonts w:ascii="Times New Roman" w:hAnsi="Times New Roman" w:cs="Times New Roman"/>
          <w:color w:val="000000" w:themeColor="text1"/>
          <w:sz w:val="23"/>
          <w:szCs w:val="23"/>
          <w:lang w:val="en-US"/>
        </w:rPr>
      </w:pPr>
    </w:p>
    <w:p w14:paraId="4280B404" w14:textId="77777777" w:rsidR="00897BC9" w:rsidRPr="00983193" w:rsidRDefault="00D66348" w:rsidP="00C96E9E">
      <w:pPr>
        <w:spacing w:after="0" w:line="240" w:lineRule="auto"/>
        <w:contextualSpacing/>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In </w:t>
      </w:r>
      <w:r w:rsidR="00056D61">
        <w:rPr>
          <w:rFonts w:ascii="Times New Roman" w:hAnsi="Times New Roman" w:cs="Times New Roman"/>
          <w:color w:val="000000" w:themeColor="text1"/>
          <w:sz w:val="23"/>
          <w:szCs w:val="23"/>
          <w:lang w:val="en-US"/>
        </w:rPr>
        <w:t xml:space="preserve">the extant </w:t>
      </w:r>
      <w:r w:rsidRPr="00983193">
        <w:rPr>
          <w:rFonts w:ascii="Times New Roman" w:hAnsi="Times New Roman" w:cs="Times New Roman"/>
          <w:color w:val="000000" w:themeColor="text1"/>
          <w:sz w:val="23"/>
          <w:szCs w:val="23"/>
          <w:lang w:val="en-US"/>
        </w:rPr>
        <w:t>empirical research, different VAIC formulations are used</w:t>
      </w:r>
      <w:r w:rsidR="00CC0092">
        <w:rPr>
          <w:rFonts w:ascii="Times New Roman" w:hAnsi="Times New Roman" w:cs="Times New Roman"/>
          <w:color w:val="000000" w:themeColor="text1"/>
          <w:sz w:val="23"/>
          <w:szCs w:val="23"/>
          <w:lang w:val="en-US"/>
        </w:rPr>
        <w:t>, including</w:t>
      </w:r>
      <w:r w:rsidRPr="00983193">
        <w:rPr>
          <w:rFonts w:ascii="Times New Roman" w:hAnsi="Times New Roman" w:cs="Times New Roman"/>
          <w:color w:val="000000" w:themeColor="text1"/>
          <w:sz w:val="23"/>
          <w:szCs w:val="23"/>
          <w:lang w:val="en-US"/>
        </w:rPr>
        <w:t xml:space="preserve"> the “Decomposed VAIC”, </w:t>
      </w:r>
      <w:r w:rsidR="00CC0092">
        <w:rPr>
          <w:rFonts w:ascii="Times New Roman" w:hAnsi="Times New Roman" w:cs="Times New Roman"/>
          <w:color w:val="000000" w:themeColor="text1"/>
          <w:sz w:val="23"/>
          <w:szCs w:val="23"/>
          <w:lang w:val="en-US"/>
        </w:rPr>
        <w:t>whereby</w:t>
      </w:r>
      <w:r w:rsidRPr="00983193">
        <w:rPr>
          <w:rFonts w:ascii="Times New Roman" w:hAnsi="Times New Roman" w:cs="Times New Roman"/>
          <w:color w:val="000000" w:themeColor="text1"/>
          <w:sz w:val="23"/>
          <w:szCs w:val="23"/>
          <w:lang w:val="en-US"/>
        </w:rPr>
        <w:t xml:space="preserve"> the indicator is divided into its three components </w:t>
      </w:r>
      <w:r w:rsidR="00CC0092">
        <w:rPr>
          <w:rFonts w:ascii="Times New Roman" w:hAnsi="Times New Roman" w:cs="Times New Roman"/>
          <w:color w:val="000000" w:themeColor="text1"/>
          <w:sz w:val="23"/>
          <w:szCs w:val="23"/>
          <w:lang w:val="en-US"/>
        </w:rPr>
        <w:t>in order</w:t>
      </w:r>
      <w:r w:rsidRPr="00983193">
        <w:rPr>
          <w:rFonts w:ascii="Times New Roman" w:hAnsi="Times New Roman" w:cs="Times New Roman"/>
          <w:color w:val="000000" w:themeColor="text1"/>
          <w:sz w:val="23"/>
          <w:szCs w:val="23"/>
          <w:lang w:val="en-US"/>
        </w:rPr>
        <w:t xml:space="preserve"> to appreciate their individual impact on the dependent variable</w:t>
      </w:r>
      <w:r w:rsidR="00CC0092">
        <w:rPr>
          <w:rFonts w:ascii="Times New Roman" w:hAnsi="Times New Roman" w:cs="Times New Roman"/>
          <w:color w:val="000000" w:themeColor="text1"/>
          <w:sz w:val="23"/>
          <w:szCs w:val="23"/>
          <w:lang w:val="en-US"/>
        </w:rPr>
        <w:t>,</w:t>
      </w:r>
      <w:r w:rsidRPr="00983193">
        <w:rPr>
          <w:rFonts w:ascii="Times New Roman" w:hAnsi="Times New Roman" w:cs="Times New Roman"/>
          <w:color w:val="000000" w:themeColor="text1"/>
          <w:sz w:val="23"/>
          <w:szCs w:val="23"/>
          <w:lang w:val="en-US"/>
        </w:rPr>
        <w:t xml:space="preserve"> and the “Modified VAIC” which </w:t>
      </w:r>
      <w:r w:rsidR="00CC0092" w:rsidRPr="00983193">
        <w:rPr>
          <w:rFonts w:ascii="Times New Roman" w:hAnsi="Times New Roman" w:cs="Times New Roman"/>
          <w:color w:val="000000" w:themeColor="text1"/>
          <w:sz w:val="23"/>
          <w:szCs w:val="23"/>
          <w:lang w:val="en-US"/>
        </w:rPr>
        <w:t xml:space="preserve">also </w:t>
      </w:r>
      <w:r w:rsidR="00CC0092">
        <w:rPr>
          <w:rFonts w:ascii="Times New Roman" w:hAnsi="Times New Roman" w:cs="Times New Roman"/>
          <w:color w:val="000000" w:themeColor="text1"/>
          <w:sz w:val="23"/>
          <w:szCs w:val="23"/>
          <w:lang w:val="en-US"/>
        </w:rPr>
        <w:t xml:space="preserve">considers </w:t>
      </w:r>
      <w:r w:rsidR="00CC0092" w:rsidRPr="00983193">
        <w:rPr>
          <w:rFonts w:ascii="Times New Roman" w:hAnsi="Times New Roman" w:cs="Times New Roman"/>
          <w:color w:val="000000" w:themeColor="text1"/>
          <w:sz w:val="23"/>
          <w:szCs w:val="23"/>
          <w:lang w:val="en-US"/>
        </w:rPr>
        <w:t xml:space="preserve">the investments in workers’ training activities </w:t>
      </w:r>
      <w:r w:rsidRPr="00983193">
        <w:rPr>
          <w:rFonts w:ascii="Times New Roman" w:hAnsi="Times New Roman" w:cs="Times New Roman"/>
          <w:color w:val="000000" w:themeColor="text1"/>
          <w:sz w:val="23"/>
          <w:szCs w:val="23"/>
          <w:lang w:val="en-US"/>
        </w:rPr>
        <w:t xml:space="preserve">as </w:t>
      </w:r>
      <w:r w:rsidR="00CC0092">
        <w:rPr>
          <w:rFonts w:ascii="Times New Roman" w:hAnsi="Times New Roman" w:cs="Times New Roman"/>
          <w:color w:val="000000" w:themeColor="text1"/>
          <w:sz w:val="23"/>
          <w:szCs w:val="23"/>
          <w:lang w:val="en-US"/>
        </w:rPr>
        <w:t xml:space="preserve">a </w:t>
      </w:r>
      <w:r w:rsidRPr="00983193">
        <w:rPr>
          <w:rFonts w:ascii="Times New Roman" w:hAnsi="Times New Roman" w:cs="Times New Roman"/>
          <w:color w:val="000000" w:themeColor="text1"/>
          <w:sz w:val="23"/>
          <w:szCs w:val="23"/>
          <w:lang w:val="en-US"/>
        </w:rPr>
        <w:t>component of HC</w:t>
      </w:r>
      <w:r w:rsidR="00426F94" w:rsidRPr="00983193">
        <w:rPr>
          <w:rFonts w:ascii="Times New Roman" w:hAnsi="Times New Roman" w:cs="Times New Roman"/>
          <w:color w:val="000000" w:themeColor="text1"/>
          <w:sz w:val="23"/>
          <w:szCs w:val="23"/>
          <w:lang w:val="en-US"/>
        </w:rPr>
        <w:t>.</w:t>
      </w:r>
    </w:p>
    <w:p w14:paraId="5E86E12E" w14:textId="77777777" w:rsidR="00F63D9A" w:rsidRPr="00983193" w:rsidRDefault="00751A7D" w:rsidP="00C96E9E">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The </w:t>
      </w:r>
      <w:r w:rsidR="00BF1844" w:rsidRPr="00983193">
        <w:rPr>
          <w:rFonts w:ascii="Times New Roman" w:hAnsi="Times New Roman" w:cs="Times New Roman"/>
          <w:color w:val="000000" w:themeColor="text1"/>
          <w:sz w:val="23"/>
          <w:szCs w:val="23"/>
          <w:lang w:val="en-US"/>
        </w:rPr>
        <w:t xml:space="preserve">VAIC </w:t>
      </w:r>
      <w:r w:rsidR="00D66348" w:rsidRPr="00983193">
        <w:rPr>
          <w:rFonts w:ascii="Times New Roman" w:hAnsi="Times New Roman" w:cs="Times New Roman"/>
          <w:color w:val="000000" w:themeColor="text1"/>
          <w:sz w:val="23"/>
          <w:szCs w:val="23"/>
          <w:lang w:val="en-US"/>
        </w:rPr>
        <w:t xml:space="preserve">model </w:t>
      </w:r>
      <w:r w:rsidR="00CC0092">
        <w:rPr>
          <w:rFonts w:ascii="Times New Roman" w:hAnsi="Times New Roman" w:cs="Times New Roman"/>
          <w:color w:val="000000" w:themeColor="text1"/>
          <w:sz w:val="23"/>
          <w:szCs w:val="23"/>
          <w:lang w:val="en-US"/>
        </w:rPr>
        <w:t>is</w:t>
      </w:r>
      <w:r w:rsidR="00D66348" w:rsidRPr="00983193">
        <w:rPr>
          <w:rFonts w:ascii="Times New Roman" w:hAnsi="Times New Roman" w:cs="Times New Roman"/>
          <w:color w:val="000000" w:themeColor="text1"/>
          <w:sz w:val="23"/>
          <w:szCs w:val="23"/>
          <w:lang w:val="en-US"/>
        </w:rPr>
        <w:t xml:space="preserve"> increasingly used in several </w:t>
      </w:r>
      <w:r w:rsidR="00CC0092">
        <w:rPr>
          <w:rFonts w:ascii="Times New Roman" w:hAnsi="Times New Roman" w:cs="Times New Roman"/>
          <w:color w:val="000000" w:themeColor="text1"/>
          <w:sz w:val="23"/>
          <w:szCs w:val="23"/>
          <w:lang w:val="en-US"/>
        </w:rPr>
        <w:t>areas</w:t>
      </w:r>
      <w:r w:rsidR="009946C9">
        <w:rPr>
          <w:rFonts w:ascii="Times New Roman" w:hAnsi="Times New Roman" w:cs="Times New Roman"/>
          <w:noProof/>
          <w:color w:val="000000" w:themeColor="text1"/>
          <w:sz w:val="23"/>
          <w:szCs w:val="23"/>
          <w:lang w:val="en-US"/>
        </w:rPr>
        <w:t xml:space="preserve"> of </w:t>
      </w:r>
      <w:r w:rsidR="00CC0092" w:rsidRPr="00983193">
        <w:rPr>
          <w:rFonts w:ascii="Times New Roman" w:hAnsi="Times New Roman" w:cs="Times New Roman"/>
          <w:color w:val="000000" w:themeColor="text1"/>
          <w:sz w:val="23"/>
          <w:szCs w:val="23"/>
          <w:lang w:val="en-US"/>
        </w:rPr>
        <w:t>empirical</w:t>
      </w:r>
      <w:r w:rsidR="00CC0092">
        <w:rPr>
          <w:rFonts w:ascii="Times New Roman" w:hAnsi="Times New Roman" w:cs="Times New Roman"/>
          <w:noProof/>
          <w:color w:val="000000" w:themeColor="text1"/>
          <w:sz w:val="23"/>
          <w:szCs w:val="23"/>
          <w:lang w:val="en-US"/>
        </w:rPr>
        <w:t xml:space="preserve"> </w:t>
      </w:r>
      <w:r w:rsidR="009946C9">
        <w:rPr>
          <w:rFonts w:ascii="Times New Roman" w:hAnsi="Times New Roman" w:cs="Times New Roman"/>
          <w:noProof/>
          <w:color w:val="000000" w:themeColor="text1"/>
          <w:sz w:val="23"/>
          <w:szCs w:val="23"/>
          <w:lang w:val="en-US"/>
        </w:rPr>
        <w:t>research</w:t>
      </w:r>
      <w:r w:rsidR="00D66348" w:rsidRPr="00983193">
        <w:rPr>
          <w:rFonts w:ascii="Times New Roman" w:hAnsi="Times New Roman" w:cs="Times New Roman"/>
          <w:color w:val="000000" w:themeColor="text1"/>
          <w:sz w:val="23"/>
          <w:szCs w:val="23"/>
          <w:lang w:val="en-US"/>
        </w:rPr>
        <w:t xml:space="preserve">. </w:t>
      </w:r>
      <w:r w:rsidR="00D66348" w:rsidRPr="009946C9">
        <w:rPr>
          <w:rFonts w:ascii="Times New Roman" w:hAnsi="Times New Roman" w:cs="Times New Roman"/>
          <w:noProof/>
          <w:color w:val="000000" w:themeColor="text1"/>
          <w:sz w:val="23"/>
          <w:szCs w:val="23"/>
          <w:lang w:val="en-US"/>
        </w:rPr>
        <w:t>Firer</w:t>
      </w:r>
      <w:r w:rsidR="00D66348" w:rsidRPr="00983193">
        <w:rPr>
          <w:rFonts w:ascii="Times New Roman" w:hAnsi="Times New Roman" w:cs="Times New Roman"/>
          <w:color w:val="000000" w:themeColor="text1"/>
          <w:sz w:val="23"/>
          <w:szCs w:val="23"/>
          <w:lang w:val="en-US"/>
        </w:rPr>
        <w:t xml:space="preserve"> and Williams (2003) used Pulic’s indicator to measure the effect of IC on ROA and the market valu</w:t>
      </w:r>
      <w:r w:rsidR="00CC0092">
        <w:rPr>
          <w:rFonts w:ascii="Times New Roman" w:hAnsi="Times New Roman" w:cs="Times New Roman"/>
          <w:color w:val="000000" w:themeColor="text1"/>
          <w:sz w:val="23"/>
          <w:szCs w:val="23"/>
          <w:lang w:val="en-US"/>
        </w:rPr>
        <w:t>e</w:t>
      </w:r>
      <w:r w:rsidR="00D66348" w:rsidRPr="00983193">
        <w:rPr>
          <w:rFonts w:ascii="Times New Roman" w:hAnsi="Times New Roman" w:cs="Times New Roman"/>
          <w:color w:val="000000" w:themeColor="text1"/>
          <w:sz w:val="23"/>
          <w:szCs w:val="23"/>
          <w:lang w:val="en-US"/>
        </w:rPr>
        <w:t xml:space="preserve"> of Southern African companies</w:t>
      </w:r>
      <w:r w:rsidR="00CC0092">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w:t>
      </w:r>
      <w:r w:rsidR="00CC0092">
        <w:rPr>
          <w:rFonts w:ascii="Times New Roman" w:hAnsi="Times New Roman" w:cs="Times New Roman"/>
          <w:color w:val="000000" w:themeColor="text1"/>
          <w:sz w:val="23"/>
          <w:szCs w:val="23"/>
          <w:lang w:val="en-US"/>
        </w:rPr>
        <w:t>T</w:t>
      </w:r>
      <w:r w:rsidR="00D66348" w:rsidRPr="00983193">
        <w:rPr>
          <w:rFonts w:ascii="Times New Roman" w:hAnsi="Times New Roman" w:cs="Times New Roman"/>
          <w:color w:val="000000" w:themeColor="text1"/>
          <w:sz w:val="23"/>
          <w:szCs w:val="23"/>
          <w:lang w:val="en-US"/>
        </w:rPr>
        <w:t xml:space="preserve">hey </w:t>
      </w:r>
      <w:r w:rsidR="00897BC9" w:rsidRPr="00983193">
        <w:rPr>
          <w:rFonts w:ascii="Times New Roman" w:hAnsi="Times New Roman" w:cs="Times New Roman"/>
          <w:color w:val="000000" w:themeColor="text1"/>
          <w:sz w:val="23"/>
          <w:szCs w:val="23"/>
          <w:lang w:val="en-US"/>
        </w:rPr>
        <w:t>f</w:t>
      </w:r>
      <w:r w:rsidR="00CC0092">
        <w:rPr>
          <w:rFonts w:ascii="Times New Roman" w:hAnsi="Times New Roman" w:cs="Times New Roman"/>
          <w:color w:val="000000" w:themeColor="text1"/>
          <w:sz w:val="23"/>
          <w:szCs w:val="23"/>
          <w:lang w:val="en-US"/>
        </w:rPr>
        <w:t>i</w:t>
      </w:r>
      <w:r w:rsidR="00897BC9" w:rsidRPr="00983193">
        <w:rPr>
          <w:rFonts w:ascii="Times New Roman" w:hAnsi="Times New Roman" w:cs="Times New Roman"/>
          <w:color w:val="000000" w:themeColor="text1"/>
          <w:sz w:val="23"/>
          <w:szCs w:val="23"/>
          <w:lang w:val="en-US"/>
        </w:rPr>
        <w:t xml:space="preserve">nd that </w:t>
      </w:r>
      <w:r w:rsidR="00CC0092">
        <w:rPr>
          <w:rFonts w:ascii="Times New Roman" w:hAnsi="Times New Roman" w:cs="Times New Roman"/>
          <w:color w:val="000000" w:themeColor="text1"/>
          <w:sz w:val="23"/>
          <w:szCs w:val="23"/>
          <w:lang w:val="en-US"/>
        </w:rPr>
        <w:t xml:space="preserve">the </w:t>
      </w:r>
      <w:r w:rsidR="00897BC9" w:rsidRPr="00983193">
        <w:rPr>
          <w:rFonts w:ascii="Times New Roman" w:hAnsi="Times New Roman" w:cs="Times New Roman"/>
          <w:color w:val="000000" w:themeColor="text1"/>
          <w:sz w:val="23"/>
          <w:szCs w:val="23"/>
          <w:lang w:val="en-US"/>
        </w:rPr>
        <w:t xml:space="preserve">association between </w:t>
      </w:r>
      <w:r w:rsidR="00CC0092">
        <w:rPr>
          <w:rFonts w:ascii="Times New Roman" w:hAnsi="Times New Roman" w:cs="Times New Roman"/>
          <w:color w:val="000000" w:themeColor="text1"/>
          <w:sz w:val="23"/>
          <w:szCs w:val="23"/>
          <w:lang w:val="en-US"/>
        </w:rPr>
        <w:t>VAIC</w:t>
      </w:r>
      <w:r w:rsidR="00D66348" w:rsidRPr="00983193">
        <w:rPr>
          <w:rFonts w:ascii="Times New Roman" w:hAnsi="Times New Roman" w:cs="Times New Roman"/>
          <w:color w:val="000000" w:themeColor="text1"/>
          <w:sz w:val="23"/>
          <w:szCs w:val="23"/>
          <w:lang w:val="en-US"/>
        </w:rPr>
        <w:t xml:space="preserve"> and firm profitability and valuation </w:t>
      </w:r>
      <w:r w:rsidR="00CC0092">
        <w:rPr>
          <w:rFonts w:ascii="Times New Roman" w:hAnsi="Times New Roman" w:cs="Times New Roman"/>
          <w:color w:val="000000" w:themeColor="text1"/>
          <w:sz w:val="23"/>
          <w:szCs w:val="23"/>
          <w:lang w:val="en-US"/>
        </w:rPr>
        <w:t>is in general</w:t>
      </w:r>
      <w:r w:rsidR="00D66348" w:rsidRPr="00983193">
        <w:rPr>
          <w:rFonts w:ascii="Times New Roman" w:hAnsi="Times New Roman" w:cs="Times New Roman"/>
          <w:color w:val="000000" w:themeColor="text1"/>
          <w:sz w:val="23"/>
          <w:szCs w:val="23"/>
          <w:lang w:val="en-US"/>
        </w:rPr>
        <w:t xml:space="preserve"> limited, suggesting that physical capital </w:t>
      </w:r>
      <w:r w:rsidR="00CC0092">
        <w:rPr>
          <w:rFonts w:ascii="Times New Roman" w:hAnsi="Times New Roman" w:cs="Times New Roman"/>
          <w:color w:val="000000" w:themeColor="text1"/>
          <w:sz w:val="23"/>
          <w:szCs w:val="23"/>
          <w:lang w:val="en-US"/>
        </w:rPr>
        <w:t>is</w:t>
      </w:r>
      <w:r w:rsidR="00CC0092"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the predominant success factor </w:t>
      </w:r>
      <w:r w:rsidR="00CC0092">
        <w:rPr>
          <w:rFonts w:ascii="Times New Roman" w:hAnsi="Times New Roman" w:cs="Times New Roman"/>
          <w:color w:val="000000" w:themeColor="text1"/>
          <w:sz w:val="23"/>
          <w:szCs w:val="23"/>
          <w:lang w:val="en-US"/>
        </w:rPr>
        <w:t xml:space="preserve">for </w:t>
      </w:r>
      <w:r w:rsidR="00D66348" w:rsidRPr="00983193">
        <w:rPr>
          <w:rFonts w:ascii="Times New Roman" w:hAnsi="Times New Roman" w:cs="Times New Roman"/>
          <w:color w:val="000000" w:themeColor="text1"/>
          <w:sz w:val="23"/>
          <w:szCs w:val="23"/>
          <w:lang w:val="en-US"/>
        </w:rPr>
        <w:t>corporate p</w:t>
      </w:r>
      <w:r w:rsidR="00BF6E66" w:rsidRPr="00983193">
        <w:rPr>
          <w:rFonts w:ascii="Times New Roman" w:hAnsi="Times New Roman" w:cs="Times New Roman"/>
          <w:color w:val="000000" w:themeColor="text1"/>
          <w:sz w:val="23"/>
          <w:szCs w:val="23"/>
          <w:lang w:val="en-US"/>
        </w:rPr>
        <w:t xml:space="preserve">erformance in </w:t>
      </w:r>
      <w:r w:rsidR="00CC0092">
        <w:rPr>
          <w:rFonts w:ascii="Times New Roman" w:hAnsi="Times New Roman" w:cs="Times New Roman"/>
          <w:color w:val="000000" w:themeColor="text1"/>
          <w:sz w:val="23"/>
          <w:szCs w:val="23"/>
          <w:lang w:val="en-US"/>
        </w:rPr>
        <w:t>a</w:t>
      </w:r>
      <w:r w:rsidR="00BF6E66" w:rsidRPr="00983193">
        <w:rPr>
          <w:rFonts w:ascii="Times New Roman" w:hAnsi="Times New Roman" w:cs="Times New Roman"/>
          <w:color w:val="000000" w:themeColor="text1"/>
          <w:sz w:val="23"/>
          <w:szCs w:val="23"/>
          <w:lang w:val="en-US"/>
        </w:rPr>
        <w:t xml:space="preserve"> South African</w:t>
      </w:r>
      <w:r w:rsidR="00D66348" w:rsidRPr="00983193">
        <w:rPr>
          <w:rFonts w:ascii="Times New Roman" w:hAnsi="Times New Roman" w:cs="Times New Roman"/>
          <w:color w:val="000000" w:themeColor="text1"/>
          <w:sz w:val="23"/>
          <w:szCs w:val="23"/>
          <w:lang w:val="en-US"/>
        </w:rPr>
        <w:t xml:space="preserve"> context. Chen et al. (2005) appl</w:t>
      </w:r>
      <w:r w:rsidR="00CC0092">
        <w:rPr>
          <w:rFonts w:ascii="Times New Roman" w:hAnsi="Times New Roman" w:cs="Times New Roman"/>
          <w:color w:val="000000" w:themeColor="text1"/>
          <w:sz w:val="23"/>
          <w:szCs w:val="23"/>
          <w:lang w:val="en-US"/>
        </w:rPr>
        <w:t>y</w:t>
      </w:r>
      <w:r w:rsidR="00D66348" w:rsidRPr="00983193">
        <w:rPr>
          <w:rFonts w:ascii="Times New Roman" w:hAnsi="Times New Roman" w:cs="Times New Roman"/>
          <w:color w:val="000000" w:themeColor="text1"/>
          <w:sz w:val="23"/>
          <w:szCs w:val="23"/>
          <w:lang w:val="en-US"/>
        </w:rPr>
        <w:t xml:space="preserve"> VAIC to explore the relation between the join</w:t>
      </w:r>
      <w:r w:rsidR="00A22960" w:rsidRPr="00983193">
        <w:rPr>
          <w:rFonts w:ascii="Times New Roman" w:hAnsi="Times New Roman" w:cs="Times New Roman"/>
          <w:color w:val="000000" w:themeColor="text1"/>
          <w:sz w:val="23"/>
          <w:szCs w:val="23"/>
          <w:lang w:val="en-US"/>
        </w:rPr>
        <w:t xml:space="preserve">t efficiency measure of capital </w:t>
      </w:r>
      <w:r w:rsidR="00D66348" w:rsidRPr="00983193">
        <w:rPr>
          <w:rFonts w:ascii="Times New Roman" w:hAnsi="Times New Roman" w:cs="Times New Roman"/>
          <w:color w:val="000000" w:themeColor="text1"/>
          <w:sz w:val="23"/>
          <w:szCs w:val="23"/>
          <w:lang w:val="en-US"/>
        </w:rPr>
        <w:t>employed and IC and Taiwanese listed compan</w:t>
      </w:r>
      <w:r w:rsidR="00CC0092">
        <w:rPr>
          <w:rFonts w:ascii="Times New Roman" w:hAnsi="Times New Roman" w:cs="Times New Roman"/>
          <w:color w:val="000000" w:themeColor="text1"/>
          <w:sz w:val="23"/>
          <w:szCs w:val="23"/>
          <w:lang w:val="en-US"/>
        </w:rPr>
        <w:t>y</w:t>
      </w:r>
      <w:r w:rsidR="00D66348" w:rsidRPr="00983193">
        <w:rPr>
          <w:rFonts w:ascii="Times New Roman" w:hAnsi="Times New Roman" w:cs="Times New Roman"/>
          <w:color w:val="000000" w:themeColor="text1"/>
          <w:sz w:val="23"/>
          <w:szCs w:val="23"/>
          <w:lang w:val="en-US"/>
        </w:rPr>
        <w:t xml:space="preserve"> current </w:t>
      </w:r>
      <w:r w:rsidR="00CC0092">
        <w:rPr>
          <w:rFonts w:ascii="Times New Roman" w:hAnsi="Times New Roman" w:cs="Times New Roman"/>
          <w:color w:val="000000" w:themeColor="text1"/>
          <w:sz w:val="23"/>
          <w:szCs w:val="23"/>
          <w:lang w:val="en-US"/>
        </w:rPr>
        <w:t>and</w:t>
      </w:r>
      <w:r w:rsidR="00D66348" w:rsidRPr="00983193">
        <w:rPr>
          <w:rFonts w:ascii="Times New Roman" w:hAnsi="Times New Roman" w:cs="Times New Roman"/>
          <w:color w:val="000000" w:themeColor="text1"/>
          <w:sz w:val="23"/>
          <w:szCs w:val="23"/>
          <w:lang w:val="en-US"/>
        </w:rPr>
        <w:t xml:space="preserve"> future financial performance, </w:t>
      </w:r>
      <w:r w:rsidR="00CC0092">
        <w:rPr>
          <w:rFonts w:ascii="Times New Roman" w:hAnsi="Times New Roman" w:cs="Times New Roman"/>
          <w:color w:val="000000" w:themeColor="text1"/>
          <w:sz w:val="23"/>
          <w:szCs w:val="23"/>
          <w:lang w:val="en-US"/>
        </w:rPr>
        <w:t xml:space="preserve">as </w:t>
      </w:r>
      <w:r w:rsidR="00D66348" w:rsidRPr="00983193">
        <w:rPr>
          <w:rFonts w:ascii="Times New Roman" w:hAnsi="Times New Roman" w:cs="Times New Roman"/>
          <w:color w:val="000000" w:themeColor="text1"/>
          <w:sz w:val="23"/>
          <w:szCs w:val="23"/>
          <w:lang w:val="en-US"/>
        </w:rPr>
        <w:t xml:space="preserve">expressed by the </w:t>
      </w:r>
      <w:r w:rsidR="00D66348" w:rsidRPr="009946C9">
        <w:rPr>
          <w:rFonts w:ascii="Times New Roman" w:hAnsi="Times New Roman" w:cs="Times New Roman"/>
          <w:noProof/>
          <w:color w:val="000000" w:themeColor="text1"/>
          <w:sz w:val="23"/>
          <w:szCs w:val="23"/>
          <w:lang w:val="en-US"/>
        </w:rPr>
        <w:t>M</w:t>
      </w:r>
      <w:r w:rsidR="006C1B92">
        <w:rPr>
          <w:rFonts w:ascii="Times New Roman" w:hAnsi="Times New Roman" w:cs="Times New Roman"/>
          <w:noProof/>
          <w:color w:val="000000" w:themeColor="text1"/>
          <w:sz w:val="23"/>
          <w:szCs w:val="23"/>
          <w:lang w:val="en-US"/>
        </w:rPr>
        <w:t>t</w:t>
      </w:r>
      <w:r w:rsidR="00D66348" w:rsidRPr="009946C9">
        <w:rPr>
          <w:rFonts w:ascii="Times New Roman" w:hAnsi="Times New Roman" w:cs="Times New Roman"/>
          <w:noProof/>
          <w:color w:val="000000" w:themeColor="text1"/>
          <w:sz w:val="23"/>
          <w:szCs w:val="23"/>
          <w:lang w:val="en-US"/>
        </w:rPr>
        <w:t>B</w:t>
      </w:r>
      <w:r w:rsidR="00D66348" w:rsidRPr="00983193">
        <w:rPr>
          <w:rFonts w:ascii="Times New Roman" w:hAnsi="Times New Roman" w:cs="Times New Roman"/>
          <w:color w:val="000000" w:themeColor="text1"/>
          <w:sz w:val="23"/>
          <w:szCs w:val="23"/>
          <w:lang w:val="en-US"/>
        </w:rPr>
        <w:t xml:space="preserve"> ratio. </w:t>
      </w:r>
      <w:r w:rsidR="00CC0092">
        <w:rPr>
          <w:rFonts w:ascii="Times New Roman" w:hAnsi="Times New Roman" w:cs="Times New Roman"/>
          <w:color w:val="000000" w:themeColor="text1"/>
          <w:sz w:val="23"/>
          <w:szCs w:val="23"/>
          <w:lang w:val="en-US"/>
        </w:rPr>
        <w:t>T</w:t>
      </w:r>
      <w:r w:rsidR="00D66348" w:rsidRPr="00983193">
        <w:rPr>
          <w:rFonts w:ascii="Times New Roman" w:hAnsi="Times New Roman" w:cs="Times New Roman"/>
          <w:color w:val="000000" w:themeColor="text1"/>
          <w:sz w:val="23"/>
          <w:szCs w:val="23"/>
          <w:lang w:val="en-US"/>
        </w:rPr>
        <w:t xml:space="preserve">hey </w:t>
      </w:r>
      <w:r w:rsidR="00CC0092">
        <w:rPr>
          <w:rFonts w:ascii="Times New Roman" w:hAnsi="Times New Roman" w:cs="Times New Roman"/>
          <w:color w:val="000000" w:themeColor="text1"/>
          <w:sz w:val="23"/>
          <w:szCs w:val="23"/>
          <w:lang w:val="en-US"/>
        </w:rPr>
        <w:t>find</w:t>
      </w:r>
      <w:r w:rsidR="00CC0092"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that i</w:t>
      </w:r>
      <w:r w:rsidR="00A22960" w:rsidRPr="00983193">
        <w:rPr>
          <w:rFonts w:ascii="Times New Roman" w:hAnsi="Times New Roman" w:cs="Times New Roman"/>
          <w:color w:val="000000" w:themeColor="text1"/>
          <w:sz w:val="23"/>
          <w:szCs w:val="23"/>
          <w:lang w:val="en-US"/>
        </w:rPr>
        <w:t xml:space="preserve">nvestors place different value on the three components of VAIC </w:t>
      </w:r>
      <w:r w:rsidR="00D66348" w:rsidRPr="00983193">
        <w:rPr>
          <w:rFonts w:ascii="Times New Roman" w:hAnsi="Times New Roman" w:cs="Times New Roman"/>
          <w:color w:val="000000" w:themeColor="text1"/>
          <w:sz w:val="23"/>
          <w:szCs w:val="23"/>
          <w:lang w:val="en-US"/>
        </w:rPr>
        <w:t>(physical, human and structural capital)</w:t>
      </w:r>
      <w:r w:rsidR="00CC0092">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w:t>
      </w:r>
      <w:r w:rsidR="00CC0092">
        <w:rPr>
          <w:rFonts w:ascii="Times New Roman" w:hAnsi="Times New Roman" w:cs="Times New Roman"/>
          <w:color w:val="000000" w:themeColor="text1"/>
          <w:sz w:val="23"/>
          <w:szCs w:val="23"/>
          <w:lang w:val="en-US"/>
        </w:rPr>
        <w:t>I</w:t>
      </w:r>
      <w:r w:rsidR="00D66348" w:rsidRPr="00983193">
        <w:rPr>
          <w:rFonts w:ascii="Times New Roman" w:hAnsi="Times New Roman" w:cs="Times New Roman"/>
          <w:color w:val="000000" w:themeColor="text1"/>
          <w:sz w:val="23"/>
          <w:szCs w:val="23"/>
          <w:lang w:val="en-US"/>
        </w:rPr>
        <w:t xml:space="preserve">n particular, </w:t>
      </w:r>
      <w:r w:rsidR="00CC0092">
        <w:rPr>
          <w:rFonts w:ascii="Times New Roman" w:hAnsi="Times New Roman" w:cs="Times New Roman"/>
          <w:color w:val="000000" w:themeColor="text1"/>
          <w:sz w:val="23"/>
          <w:szCs w:val="23"/>
          <w:lang w:val="en-US"/>
        </w:rPr>
        <w:t xml:space="preserve">they find that </w:t>
      </w:r>
      <w:r w:rsidR="00D66348" w:rsidRPr="00983193">
        <w:rPr>
          <w:rFonts w:ascii="Times New Roman" w:hAnsi="Times New Roman" w:cs="Times New Roman"/>
          <w:color w:val="000000" w:themeColor="text1"/>
          <w:sz w:val="23"/>
          <w:szCs w:val="23"/>
          <w:lang w:val="en-US"/>
        </w:rPr>
        <w:t xml:space="preserve">while VAIC provides an adequate measure of </w:t>
      </w:r>
      <w:r w:rsidR="00CC0092">
        <w:rPr>
          <w:rFonts w:ascii="Times New Roman" w:hAnsi="Times New Roman" w:cs="Times New Roman"/>
          <w:color w:val="000000" w:themeColor="text1"/>
          <w:sz w:val="23"/>
          <w:szCs w:val="23"/>
          <w:lang w:val="en-US"/>
        </w:rPr>
        <w:t>i</w:t>
      </w:r>
      <w:r w:rsidR="00D66348" w:rsidRPr="00983193">
        <w:rPr>
          <w:rFonts w:ascii="Times New Roman" w:hAnsi="Times New Roman" w:cs="Times New Roman"/>
          <w:color w:val="000000" w:themeColor="text1"/>
          <w:sz w:val="23"/>
          <w:szCs w:val="23"/>
          <w:lang w:val="en-US"/>
        </w:rPr>
        <w:t xml:space="preserve">ntellectual capital, its measure for structural capital </w:t>
      </w:r>
      <w:r w:rsidR="00CC0092">
        <w:rPr>
          <w:rFonts w:ascii="Times New Roman" w:hAnsi="Times New Roman" w:cs="Times New Roman"/>
          <w:color w:val="000000" w:themeColor="text1"/>
          <w:sz w:val="23"/>
          <w:szCs w:val="23"/>
          <w:lang w:val="en-US"/>
        </w:rPr>
        <w:t>may</w:t>
      </w:r>
      <w:r w:rsidR="00CC0092"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be incomplete, mainly </w:t>
      </w:r>
      <w:r w:rsidR="00CC0092">
        <w:rPr>
          <w:rFonts w:ascii="Times New Roman" w:hAnsi="Times New Roman" w:cs="Times New Roman"/>
          <w:color w:val="000000" w:themeColor="text1"/>
          <w:sz w:val="23"/>
          <w:szCs w:val="23"/>
          <w:lang w:val="en-US"/>
        </w:rPr>
        <w:t>as</w:t>
      </w:r>
      <w:r w:rsidR="00CC0092"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R&amp;D expenditure and advertising expenses </w:t>
      </w:r>
      <w:r w:rsidR="00CC0092">
        <w:rPr>
          <w:rFonts w:ascii="Times New Roman" w:hAnsi="Times New Roman" w:cs="Times New Roman"/>
          <w:color w:val="000000" w:themeColor="text1"/>
          <w:sz w:val="23"/>
          <w:szCs w:val="23"/>
          <w:lang w:val="en-US"/>
        </w:rPr>
        <w:t>are</w:t>
      </w:r>
      <w:r w:rsidR="00CC0092" w:rsidRPr="00983193">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 xml:space="preserve">expensed as incurred, and therefore subtracted from the calculation of value added. </w:t>
      </w:r>
      <w:r w:rsidR="003776F4">
        <w:rPr>
          <w:rFonts w:ascii="Times New Roman" w:hAnsi="Times New Roman" w:cs="Times New Roman"/>
          <w:color w:val="000000" w:themeColor="text1"/>
          <w:sz w:val="23"/>
          <w:szCs w:val="23"/>
          <w:lang w:val="en-US"/>
        </w:rPr>
        <w:t>Pew</w:t>
      </w:r>
      <w:r w:rsidR="00F63D9A" w:rsidRPr="003776F4">
        <w:rPr>
          <w:rFonts w:ascii="Times New Roman" w:hAnsi="Times New Roman" w:cs="Times New Roman"/>
          <w:color w:val="000000" w:themeColor="text1"/>
          <w:sz w:val="23"/>
          <w:szCs w:val="23"/>
          <w:lang w:val="en-US"/>
        </w:rPr>
        <w:t>Tan et al.</w:t>
      </w:r>
      <w:r w:rsidR="00F63D9A" w:rsidRPr="00983193">
        <w:rPr>
          <w:rFonts w:ascii="Times New Roman" w:hAnsi="Times New Roman" w:cs="Times New Roman"/>
          <w:color w:val="000000" w:themeColor="text1"/>
          <w:sz w:val="23"/>
          <w:szCs w:val="23"/>
          <w:lang w:val="en-US"/>
        </w:rPr>
        <w:t xml:space="preserve"> (2007) use Pulic’s approach to measure the association between IC and financial performance </w:t>
      </w:r>
      <w:r w:rsidR="00CC0092">
        <w:rPr>
          <w:rFonts w:ascii="Times New Roman" w:hAnsi="Times New Roman" w:cs="Times New Roman"/>
          <w:color w:val="000000" w:themeColor="text1"/>
          <w:sz w:val="23"/>
          <w:szCs w:val="23"/>
          <w:lang w:val="en-US"/>
        </w:rPr>
        <w:t>for Singaporean</w:t>
      </w:r>
      <w:r w:rsidR="00F63D9A" w:rsidRPr="00983193">
        <w:rPr>
          <w:rFonts w:ascii="Times New Roman" w:hAnsi="Times New Roman" w:cs="Times New Roman"/>
          <w:color w:val="000000" w:themeColor="text1"/>
          <w:sz w:val="23"/>
          <w:szCs w:val="23"/>
          <w:lang w:val="en-US"/>
        </w:rPr>
        <w:t xml:space="preserve"> publicly listed companies </w:t>
      </w:r>
      <w:r w:rsidR="00CC0092">
        <w:rPr>
          <w:rFonts w:ascii="Times New Roman" w:hAnsi="Times New Roman" w:cs="Times New Roman"/>
          <w:color w:val="000000" w:themeColor="text1"/>
          <w:sz w:val="23"/>
          <w:szCs w:val="23"/>
          <w:lang w:val="en-US"/>
        </w:rPr>
        <w:t xml:space="preserve">and find </w:t>
      </w:r>
      <w:r w:rsidR="00F63D9A" w:rsidRPr="00983193">
        <w:rPr>
          <w:rFonts w:ascii="Times New Roman" w:hAnsi="Times New Roman" w:cs="Times New Roman"/>
          <w:color w:val="000000" w:themeColor="text1"/>
          <w:sz w:val="23"/>
          <w:szCs w:val="23"/>
          <w:lang w:val="en-US"/>
        </w:rPr>
        <w:t>that IC and company performance are positively related.</w:t>
      </w:r>
    </w:p>
    <w:p w14:paraId="777998D8" w14:textId="77777777" w:rsidR="00F63D9A" w:rsidRPr="00983193" w:rsidRDefault="00751A7D" w:rsidP="00C96E9E">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A22960" w:rsidRPr="00983193">
        <w:rPr>
          <w:rFonts w:ascii="Times New Roman" w:hAnsi="Times New Roman" w:cs="Times New Roman"/>
          <w:color w:val="000000" w:themeColor="text1"/>
          <w:sz w:val="23"/>
          <w:szCs w:val="23"/>
          <w:lang w:val="en-US"/>
        </w:rPr>
        <w:t xml:space="preserve">Furthermore, </w:t>
      </w:r>
      <w:r w:rsidR="00D66348" w:rsidRPr="00983193">
        <w:rPr>
          <w:rFonts w:ascii="Times New Roman" w:hAnsi="Times New Roman" w:cs="Times New Roman"/>
          <w:color w:val="000000" w:themeColor="text1"/>
          <w:sz w:val="23"/>
          <w:szCs w:val="23"/>
          <w:lang w:val="en-US"/>
        </w:rPr>
        <w:t>VAIC has been tested in the banking sector</w:t>
      </w:r>
      <w:r w:rsidR="00CC0092">
        <w:rPr>
          <w:rFonts w:ascii="Times New Roman" w:hAnsi="Times New Roman" w:cs="Times New Roman"/>
          <w:color w:val="000000" w:themeColor="text1"/>
          <w:sz w:val="23"/>
          <w:szCs w:val="23"/>
          <w:lang w:val="en-US"/>
        </w:rPr>
        <w:t>, though</w:t>
      </w:r>
      <w:r w:rsidR="00D66348" w:rsidRPr="00983193">
        <w:rPr>
          <w:rFonts w:ascii="Times New Roman" w:hAnsi="Times New Roman" w:cs="Times New Roman"/>
          <w:color w:val="000000" w:themeColor="text1"/>
          <w:sz w:val="23"/>
          <w:szCs w:val="23"/>
          <w:lang w:val="en-US"/>
        </w:rPr>
        <w:t xml:space="preserve"> with mixed results</w:t>
      </w:r>
      <w:r w:rsidR="00CC0092">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Puntillo</w:t>
      </w:r>
      <w:r w:rsidR="00A22960" w:rsidRPr="00983193">
        <w:rPr>
          <w:rFonts w:ascii="Times New Roman" w:hAnsi="Times New Roman" w:cs="Times New Roman"/>
          <w:color w:val="000000" w:themeColor="text1"/>
          <w:sz w:val="23"/>
          <w:szCs w:val="23"/>
          <w:lang w:val="en-US"/>
        </w:rPr>
        <w:t xml:space="preserve"> (2009)</w:t>
      </w:r>
      <w:r w:rsidR="00D66348" w:rsidRPr="00983193">
        <w:rPr>
          <w:rFonts w:ascii="Times New Roman" w:hAnsi="Times New Roman" w:cs="Times New Roman"/>
          <w:color w:val="000000" w:themeColor="text1"/>
          <w:sz w:val="23"/>
          <w:szCs w:val="23"/>
          <w:lang w:val="en-US"/>
        </w:rPr>
        <w:t xml:space="preserve"> find</w:t>
      </w:r>
      <w:r w:rsidR="00555CEA">
        <w:rPr>
          <w:rFonts w:ascii="Times New Roman" w:hAnsi="Times New Roman" w:cs="Times New Roman"/>
          <w:color w:val="000000" w:themeColor="text1"/>
          <w:sz w:val="23"/>
          <w:szCs w:val="23"/>
          <w:lang w:val="en-US"/>
        </w:rPr>
        <w:t>s</w:t>
      </w:r>
      <w:r w:rsidR="00D66348" w:rsidRPr="00983193">
        <w:rPr>
          <w:rFonts w:ascii="Times New Roman" w:hAnsi="Times New Roman" w:cs="Times New Roman"/>
          <w:color w:val="000000" w:themeColor="text1"/>
          <w:sz w:val="23"/>
          <w:szCs w:val="23"/>
          <w:lang w:val="en-US"/>
        </w:rPr>
        <w:t xml:space="preserve"> </w:t>
      </w:r>
      <w:r w:rsidR="00555CEA">
        <w:rPr>
          <w:rFonts w:ascii="Times New Roman" w:hAnsi="Times New Roman" w:cs="Times New Roman"/>
          <w:color w:val="000000" w:themeColor="text1"/>
          <w:sz w:val="23"/>
          <w:szCs w:val="23"/>
          <w:lang w:val="en-US"/>
        </w:rPr>
        <w:t>no</w:t>
      </w:r>
      <w:r w:rsidR="00D66348" w:rsidRPr="00983193">
        <w:rPr>
          <w:rFonts w:ascii="Times New Roman" w:hAnsi="Times New Roman" w:cs="Times New Roman"/>
          <w:color w:val="000000" w:themeColor="text1"/>
          <w:sz w:val="23"/>
          <w:szCs w:val="23"/>
          <w:lang w:val="en-US"/>
        </w:rPr>
        <w:t xml:space="preserve"> association</w:t>
      </w:r>
      <w:r w:rsidR="00555CEA">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except for the relation between CEE and some measures of company’s performance, while Gigante</w:t>
      </w:r>
      <w:r w:rsidR="00A22960" w:rsidRPr="00983193">
        <w:rPr>
          <w:rFonts w:ascii="Times New Roman" w:hAnsi="Times New Roman" w:cs="Times New Roman"/>
          <w:color w:val="000000" w:themeColor="text1"/>
          <w:sz w:val="23"/>
          <w:szCs w:val="23"/>
          <w:lang w:val="en-US"/>
        </w:rPr>
        <w:t xml:space="preserve"> (2013)</w:t>
      </w:r>
      <w:r w:rsidR="00D66348" w:rsidRPr="00983193">
        <w:rPr>
          <w:rFonts w:ascii="Times New Roman" w:hAnsi="Times New Roman" w:cs="Times New Roman"/>
          <w:color w:val="000000" w:themeColor="text1"/>
          <w:sz w:val="23"/>
          <w:szCs w:val="23"/>
          <w:lang w:val="en-US"/>
        </w:rPr>
        <w:t xml:space="preserve"> f</w:t>
      </w:r>
      <w:r w:rsidR="00555CEA">
        <w:rPr>
          <w:rFonts w:ascii="Times New Roman" w:hAnsi="Times New Roman" w:cs="Times New Roman"/>
          <w:color w:val="000000" w:themeColor="text1"/>
          <w:sz w:val="23"/>
          <w:szCs w:val="23"/>
          <w:lang w:val="en-US"/>
        </w:rPr>
        <w:t>i</w:t>
      </w:r>
      <w:r w:rsidR="00D66348" w:rsidRPr="00983193">
        <w:rPr>
          <w:rFonts w:ascii="Times New Roman" w:hAnsi="Times New Roman" w:cs="Times New Roman"/>
          <w:color w:val="000000" w:themeColor="text1"/>
          <w:sz w:val="23"/>
          <w:szCs w:val="23"/>
          <w:lang w:val="en-US"/>
        </w:rPr>
        <w:t>nd</w:t>
      </w:r>
      <w:r w:rsidR="00555CEA">
        <w:rPr>
          <w:rFonts w:ascii="Times New Roman" w:hAnsi="Times New Roman" w:cs="Times New Roman"/>
          <w:color w:val="000000" w:themeColor="text1"/>
          <w:sz w:val="23"/>
          <w:szCs w:val="23"/>
          <w:lang w:val="en-US"/>
        </w:rPr>
        <w:t>s</w:t>
      </w:r>
      <w:r w:rsidR="00D66348" w:rsidRPr="00983193">
        <w:rPr>
          <w:rFonts w:ascii="Times New Roman" w:hAnsi="Times New Roman" w:cs="Times New Roman"/>
          <w:color w:val="000000" w:themeColor="text1"/>
          <w:sz w:val="23"/>
          <w:szCs w:val="23"/>
          <w:lang w:val="en-US"/>
        </w:rPr>
        <w:t xml:space="preserve"> a </w:t>
      </w:r>
      <w:r w:rsidR="00555CEA">
        <w:rPr>
          <w:rFonts w:ascii="Times New Roman" w:hAnsi="Times New Roman" w:cs="Times New Roman"/>
          <w:color w:val="000000" w:themeColor="text1"/>
          <w:sz w:val="23"/>
          <w:szCs w:val="23"/>
          <w:lang w:val="en-US"/>
        </w:rPr>
        <w:t xml:space="preserve">short-term </w:t>
      </w:r>
      <w:r w:rsidR="00D66348" w:rsidRPr="00983193">
        <w:rPr>
          <w:rFonts w:ascii="Times New Roman" w:hAnsi="Times New Roman" w:cs="Times New Roman"/>
          <w:color w:val="000000" w:themeColor="text1"/>
          <w:sz w:val="23"/>
          <w:szCs w:val="23"/>
          <w:lang w:val="en-US"/>
        </w:rPr>
        <w:t>correlation</w:t>
      </w:r>
      <w:r w:rsidR="00555CEA">
        <w:rPr>
          <w:rFonts w:ascii="Times New Roman" w:hAnsi="Times New Roman" w:cs="Times New Roman"/>
          <w:color w:val="000000" w:themeColor="text1"/>
          <w:sz w:val="23"/>
          <w:szCs w:val="23"/>
          <w:lang w:val="en-US"/>
        </w:rPr>
        <w:t xml:space="preserve"> </w:t>
      </w:r>
      <w:r w:rsidR="00D66348" w:rsidRPr="00983193">
        <w:rPr>
          <w:rFonts w:ascii="Times New Roman" w:hAnsi="Times New Roman" w:cs="Times New Roman"/>
          <w:color w:val="000000" w:themeColor="text1"/>
          <w:sz w:val="23"/>
          <w:szCs w:val="23"/>
          <w:lang w:val="en-US"/>
        </w:rPr>
        <w:t>between VAIC and the financial performance</w:t>
      </w:r>
      <w:r w:rsidR="00555CEA">
        <w:rPr>
          <w:rFonts w:ascii="Times New Roman" w:hAnsi="Times New Roman" w:cs="Times New Roman"/>
          <w:color w:val="000000" w:themeColor="text1"/>
          <w:sz w:val="23"/>
          <w:szCs w:val="23"/>
          <w:lang w:val="en-US"/>
        </w:rPr>
        <w:t>,</w:t>
      </w:r>
      <w:r w:rsidR="00D66348" w:rsidRPr="00983193">
        <w:rPr>
          <w:rFonts w:ascii="Times New Roman" w:hAnsi="Times New Roman" w:cs="Times New Roman"/>
          <w:color w:val="000000" w:themeColor="text1"/>
          <w:sz w:val="23"/>
          <w:szCs w:val="23"/>
          <w:lang w:val="en-US"/>
        </w:rPr>
        <w:t xml:space="preserve"> but did not find a correlation between VAIC and market value. </w:t>
      </w:r>
      <w:r w:rsidR="00E7391B" w:rsidRPr="00983193">
        <w:rPr>
          <w:rFonts w:ascii="Times New Roman" w:hAnsi="Times New Roman" w:cs="Times New Roman"/>
          <w:color w:val="000000" w:themeColor="text1"/>
          <w:sz w:val="23"/>
          <w:szCs w:val="23"/>
          <w:lang w:val="en-US"/>
        </w:rPr>
        <w:t>El Bannany (2008) investigat</w:t>
      </w:r>
      <w:r w:rsidR="00555CEA">
        <w:rPr>
          <w:rFonts w:ascii="Times New Roman" w:hAnsi="Times New Roman" w:cs="Times New Roman"/>
          <w:color w:val="000000" w:themeColor="text1"/>
          <w:sz w:val="23"/>
          <w:szCs w:val="23"/>
          <w:lang w:val="en-US"/>
        </w:rPr>
        <w:t>es</w:t>
      </w:r>
      <w:r w:rsidR="00E7391B" w:rsidRPr="00983193">
        <w:rPr>
          <w:rFonts w:ascii="Times New Roman" w:hAnsi="Times New Roman" w:cs="Times New Roman"/>
          <w:color w:val="000000" w:themeColor="text1"/>
          <w:sz w:val="23"/>
          <w:szCs w:val="23"/>
          <w:lang w:val="en-US"/>
        </w:rPr>
        <w:t xml:space="preserve"> a sample of UK ba</w:t>
      </w:r>
      <w:r w:rsidR="00BF6E66" w:rsidRPr="00983193">
        <w:rPr>
          <w:rFonts w:ascii="Times New Roman" w:hAnsi="Times New Roman" w:cs="Times New Roman"/>
          <w:color w:val="000000" w:themeColor="text1"/>
          <w:sz w:val="23"/>
          <w:szCs w:val="23"/>
          <w:lang w:val="en-US"/>
        </w:rPr>
        <w:t xml:space="preserve">nks over the period 1999-2005, </w:t>
      </w:r>
      <w:r w:rsidR="00555CEA">
        <w:rPr>
          <w:rFonts w:ascii="Times New Roman" w:hAnsi="Times New Roman" w:cs="Times New Roman"/>
          <w:color w:val="000000" w:themeColor="text1"/>
          <w:sz w:val="23"/>
          <w:szCs w:val="23"/>
          <w:lang w:val="en-US"/>
        </w:rPr>
        <w:t xml:space="preserve">and </w:t>
      </w:r>
      <w:r w:rsidR="00E7391B" w:rsidRPr="00983193">
        <w:rPr>
          <w:rFonts w:ascii="Times New Roman" w:hAnsi="Times New Roman" w:cs="Times New Roman"/>
          <w:color w:val="000000" w:themeColor="text1"/>
          <w:sz w:val="23"/>
          <w:szCs w:val="23"/>
          <w:lang w:val="en-US"/>
        </w:rPr>
        <w:t>f</w:t>
      </w:r>
      <w:r w:rsidR="00555CEA">
        <w:rPr>
          <w:rFonts w:ascii="Times New Roman" w:hAnsi="Times New Roman" w:cs="Times New Roman"/>
          <w:color w:val="000000" w:themeColor="text1"/>
          <w:sz w:val="23"/>
          <w:szCs w:val="23"/>
          <w:lang w:val="en-US"/>
        </w:rPr>
        <w:t>i</w:t>
      </w:r>
      <w:r w:rsidR="00E7391B" w:rsidRPr="00983193">
        <w:rPr>
          <w:rFonts w:ascii="Times New Roman" w:hAnsi="Times New Roman" w:cs="Times New Roman"/>
          <w:color w:val="000000" w:themeColor="text1"/>
          <w:sz w:val="23"/>
          <w:szCs w:val="23"/>
          <w:lang w:val="en-US"/>
        </w:rPr>
        <w:t>nd</w:t>
      </w:r>
      <w:r w:rsidR="00555CEA">
        <w:rPr>
          <w:rFonts w:ascii="Times New Roman" w:hAnsi="Times New Roman" w:cs="Times New Roman"/>
          <w:color w:val="000000" w:themeColor="text1"/>
          <w:sz w:val="23"/>
          <w:szCs w:val="23"/>
          <w:lang w:val="en-US"/>
        </w:rPr>
        <w:t>s</w:t>
      </w:r>
      <w:r w:rsidR="00E7391B" w:rsidRPr="00983193">
        <w:rPr>
          <w:rFonts w:ascii="Times New Roman" w:hAnsi="Times New Roman" w:cs="Times New Roman"/>
          <w:color w:val="000000" w:themeColor="text1"/>
          <w:sz w:val="23"/>
          <w:szCs w:val="23"/>
          <w:lang w:val="en-US"/>
        </w:rPr>
        <w:t xml:space="preserve"> that investment in information technology systems, bank efficiency, barriers to entry</w:t>
      </w:r>
      <w:r w:rsidR="00555CEA">
        <w:rPr>
          <w:rFonts w:ascii="Times New Roman" w:hAnsi="Times New Roman" w:cs="Times New Roman"/>
          <w:color w:val="000000" w:themeColor="text1"/>
          <w:sz w:val="23"/>
          <w:szCs w:val="23"/>
          <w:lang w:val="en-US"/>
        </w:rPr>
        <w:t>,</w:t>
      </w:r>
      <w:r w:rsidR="00E7391B" w:rsidRPr="00983193">
        <w:rPr>
          <w:rFonts w:ascii="Times New Roman" w:hAnsi="Times New Roman" w:cs="Times New Roman"/>
          <w:color w:val="000000" w:themeColor="text1"/>
          <w:sz w:val="23"/>
          <w:szCs w:val="23"/>
          <w:lang w:val="en-US"/>
        </w:rPr>
        <w:t xml:space="preserve"> and </w:t>
      </w:r>
      <w:r w:rsidR="00555CEA">
        <w:rPr>
          <w:rFonts w:ascii="Times New Roman" w:hAnsi="Times New Roman" w:cs="Times New Roman"/>
          <w:color w:val="000000" w:themeColor="text1"/>
          <w:sz w:val="23"/>
          <w:szCs w:val="23"/>
          <w:lang w:val="en-US"/>
        </w:rPr>
        <w:t xml:space="preserve">the </w:t>
      </w:r>
      <w:r w:rsidR="00E7391B" w:rsidRPr="00983193">
        <w:rPr>
          <w:rFonts w:ascii="Times New Roman" w:hAnsi="Times New Roman" w:cs="Times New Roman"/>
          <w:color w:val="000000" w:themeColor="text1"/>
          <w:sz w:val="23"/>
          <w:szCs w:val="23"/>
          <w:lang w:val="en-US"/>
        </w:rPr>
        <w:t>efficiency of investment in intellectual capital</w:t>
      </w:r>
      <w:r w:rsidR="00555CEA">
        <w:rPr>
          <w:rFonts w:ascii="Times New Roman" w:hAnsi="Times New Roman" w:cs="Times New Roman"/>
          <w:color w:val="000000" w:themeColor="text1"/>
          <w:sz w:val="23"/>
          <w:szCs w:val="23"/>
          <w:lang w:val="en-US"/>
        </w:rPr>
        <w:t>,</w:t>
      </w:r>
      <w:r w:rsidR="00E7391B" w:rsidRPr="00983193">
        <w:rPr>
          <w:rFonts w:ascii="Times New Roman" w:hAnsi="Times New Roman" w:cs="Times New Roman"/>
          <w:color w:val="000000" w:themeColor="text1"/>
          <w:sz w:val="23"/>
          <w:szCs w:val="23"/>
          <w:lang w:val="en-US"/>
        </w:rPr>
        <w:t xml:space="preserve"> have a significant impact on intellectual capital performance </w:t>
      </w:r>
      <w:r w:rsidR="00555CEA">
        <w:rPr>
          <w:rFonts w:ascii="Times New Roman" w:hAnsi="Times New Roman" w:cs="Times New Roman"/>
          <w:color w:val="000000" w:themeColor="text1"/>
          <w:sz w:val="23"/>
          <w:szCs w:val="23"/>
          <w:lang w:val="en-US"/>
        </w:rPr>
        <w:t xml:space="preserve">as </w:t>
      </w:r>
      <w:r w:rsidR="00E7391B" w:rsidRPr="00983193">
        <w:rPr>
          <w:rFonts w:ascii="Times New Roman" w:hAnsi="Times New Roman" w:cs="Times New Roman"/>
          <w:color w:val="000000" w:themeColor="text1"/>
          <w:sz w:val="23"/>
          <w:szCs w:val="23"/>
          <w:lang w:val="en-US"/>
        </w:rPr>
        <w:t xml:space="preserve">measured </w:t>
      </w:r>
      <w:r w:rsidR="00555CEA">
        <w:rPr>
          <w:rFonts w:ascii="Times New Roman" w:hAnsi="Times New Roman" w:cs="Times New Roman"/>
          <w:color w:val="000000" w:themeColor="text1"/>
          <w:sz w:val="23"/>
          <w:szCs w:val="23"/>
          <w:lang w:val="en-US"/>
        </w:rPr>
        <w:t>by</w:t>
      </w:r>
      <w:r w:rsidR="00E7391B" w:rsidRPr="00983193">
        <w:rPr>
          <w:rFonts w:ascii="Times New Roman" w:hAnsi="Times New Roman" w:cs="Times New Roman"/>
          <w:color w:val="000000" w:themeColor="text1"/>
          <w:sz w:val="23"/>
          <w:szCs w:val="23"/>
          <w:lang w:val="en-US"/>
        </w:rPr>
        <w:t xml:space="preserve"> VAIC.</w:t>
      </w:r>
    </w:p>
    <w:p w14:paraId="0EE98F55" w14:textId="77777777" w:rsidR="00F63D9A" w:rsidRPr="00983193" w:rsidRDefault="00751A7D" w:rsidP="00C96E9E">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FE56E4" w:rsidRPr="00983193">
        <w:rPr>
          <w:rFonts w:ascii="Times New Roman" w:hAnsi="Times New Roman" w:cs="Times New Roman"/>
          <w:color w:val="000000" w:themeColor="text1"/>
          <w:sz w:val="23"/>
          <w:szCs w:val="23"/>
          <w:lang w:val="en-US"/>
        </w:rPr>
        <w:t>Maditinos et al. (2011)</w:t>
      </w:r>
      <w:r w:rsidR="0051027E" w:rsidRPr="00983193">
        <w:rPr>
          <w:rFonts w:ascii="Times New Roman" w:hAnsi="Times New Roman" w:cs="Times New Roman"/>
          <w:color w:val="000000" w:themeColor="text1"/>
          <w:sz w:val="23"/>
          <w:szCs w:val="23"/>
          <w:lang w:val="en-US"/>
        </w:rPr>
        <w:t xml:space="preserve"> </w:t>
      </w:r>
      <w:r w:rsidR="00555CEA">
        <w:rPr>
          <w:rFonts w:ascii="Times New Roman" w:hAnsi="Times New Roman" w:cs="Times New Roman"/>
          <w:color w:val="000000" w:themeColor="text1"/>
          <w:sz w:val="23"/>
          <w:szCs w:val="23"/>
          <w:lang w:val="en-US"/>
        </w:rPr>
        <w:t>find for Greek listed companies</w:t>
      </w:r>
      <w:r w:rsidR="00555CEA" w:rsidRPr="00983193">
        <w:rPr>
          <w:rFonts w:ascii="Times New Roman" w:hAnsi="Times New Roman" w:cs="Times New Roman"/>
          <w:color w:val="000000" w:themeColor="text1"/>
          <w:sz w:val="23"/>
          <w:szCs w:val="23"/>
          <w:lang w:val="en-US"/>
        </w:rPr>
        <w:t xml:space="preserve"> </w:t>
      </w:r>
      <w:r w:rsidR="0051027E" w:rsidRPr="00983193">
        <w:rPr>
          <w:rFonts w:ascii="Times New Roman" w:hAnsi="Times New Roman" w:cs="Times New Roman"/>
          <w:color w:val="000000" w:themeColor="text1"/>
          <w:sz w:val="23"/>
          <w:szCs w:val="23"/>
          <w:lang w:val="en-US"/>
        </w:rPr>
        <w:t xml:space="preserve">a significant association between a component of VAIC (HC) and ROA, but </w:t>
      </w:r>
      <w:r w:rsidR="00555CEA">
        <w:rPr>
          <w:rFonts w:ascii="Times New Roman" w:hAnsi="Times New Roman" w:cs="Times New Roman"/>
          <w:color w:val="000000" w:themeColor="text1"/>
          <w:sz w:val="23"/>
          <w:szCs w:val="23"/>
          <w:lang w:val="en-US"/>
        </w:rPr>
        <w:t>find no such relation</w:t>
      </w:r>
      <w:r w:rsidR="0051027E" w:rsidRPr="00983193">
        <w:rPr>
          <w:rFonts w:ascii="Times New Roman" w:hAnsi="Times New Roman" w:cs="Times New Roman"/>
          <w:color w:val="000000" w:themeColor="text1"/>
          <w:sz w:val="23"/>
          <w:szCs w:val="23"/>
          <w:lang w:val="en-US"/>
        </w:rPr>
        <w:t xml:space="preserve"> between </w:t>
      </w:r>
      <w:r w:rsidR="00555CEA">
        <w:rPr>
          <w:rFonts w:ascii="Times New Roman" w:hAnsi="Times New Roman" w:cs="Times New Roman"/>
          <w:color w:val="000000" w:themeColor="text1"/>
          <w:sz w:val="23"/>
          <w:szCs w:val="23"/>
          <w:lang w:val="en-US"/>
        </w:rPr>
        <w:t>ROA</w:t>
      </w:r>
      <w:r w:rsidR="0051027E" w:rsidRPr="00983193">
        <w:rPr>
          <w:rFonts w:ascii="Times New Roman" w:hAnsi="Times New Roman" w:cs="Times New Roman"/>
          <w:color w:val="000000" w:themeColor="text1"/>
          <w:sz w:val="23"/>
          <w:szCs w:val="23"/>
          <w:lang w:val="en-US"/>
        </w:rPr>
        <w:t xml:space="preserve"> and the o</w:t>
      </w:r>
      <w:r w:rsidR="00113A43" w:rsidRPr="00983193">
        <w:rPr>
          <w:rFonts w:ascii="Times New Roman" w:hAnsi="Times New Roman" w:cs="Times New Roman"/>
          <w:color w:val="000000" w:themeColor="text1"/>
          <w:sz w:val="23"/>
          <w:szCs w:val="23"/>
          <w:lang w:val="en-US"/>
        </w:rPr>
        <w:t>ther components of the VAIC (</w:t>
      </w:r>
      <w:r w:rsidR="00555CEA">
        <w:rPr>
          <w:rFonts w:ascii="Times New Roman" w:hAnsi="Times New Roman" w:cs="Times New Roman"/>
          <w:color w:val="000000" w:themeColor="text1"/>
          <w:sz w:val="23"/>
          <w:szCs w:val="23"/>
          <w:lang w:val="en-US"/>
        </w:rPr>
        <w:t>p</w:t>
      </w:r>
      <w:r w:rsidR="00113A43" w:rsidRPr="00983193">
        <w:rPr>
          <w:rFonts w:ascii="Times New Roman" w:hAnsi="Times New Roman" w:cs="Times New Roman"/>
          <w:color w:val="000000" w:themeColor="text1"/>
          <w:sz w:val="23"/>
          <w:szCs w:val="23"/>
          <w:lang w:val="en-US"/>
        </w:rPr>
        <w:t>hy</w:t>
      </w:r>
      <w:r w:rsidR="0051027E" w:rsidRPr="00983193">
        <w:rPr>
          <w:rFonts w:ascii="Times New Roman" w:hAnsi="Times New Roman" w:cs="Times New Roman"/>
          <w:color w:val="000000" w:themeColor="text1"/>
          <w:sz w:val="23"/>
          <w:szCs w:val="23"/>
          <w:lang w:val="en-US"/>
        </w:rPr>
        <w:t xml:space="preserve">sical and </w:t>
      </w:r>
      <w:r w:rsidR="00555CEA">
        <w:rPr>
          <w:rFonts w:ascii="Times New Roman" w:hAnsi="Times New Roman" w:cs="Times New Roman"/>
          <w:color w:val="000000" w:themeColor="text1"/>
          <w:sz w:val="23"/>
          <w:szCs w:val="23"/>
          <w:lang w:val="en-US"/>
        </w:rPr>
        <w:t>s</w:t>
      </w:r>
      <w:r w:rsidR="0051027E" w:rsidRPr="00983193">
        <w:rPr>
          <w:rFonts w:ascii="Times New Roman" w:hAnsi="Times New Roman" w:cs="Times New Roman"/>
          <w:color w:val="000000" w:themeColor="text1"/>
          <w:sz w:val="23"/>
          <w:szCs w:val="23"/>
          <w:lang w:val="en-US"/>
        </w:rPr>
        <w:t xml:space="preserve">tructural). </w:t>
      </w:r>
      <w:r w:rsidR="00F63D9A" w:rsidRPr="00983193">
        <w:rPr>
          <w:rFonts w:ascii="Times New Roman" w:hAnsi="Times New Roman" w:cs="Times New Roman"/>
          <w:color w:val="000000" w:themeColor="text1"/>
          <w:sz w:val="23"/>
          <w:szCs w:val="23"/>
          <w:lang w:val="en-US"/>
        </w:rPr>
        <w:t xml:space="preserve">Morariu (2014) </w:t>
      </w:r>
      <w:r w:rsidR="00555CEA">
        <w:rPr>
          <w:rFonts w:ascii="Times New Roman" w:hAnsi="Times New Roman" w:cs="Times New Roman"/>
          <w:color w:val="000000" w:themeColor="text1"/>
          <w:sz w:val="23"/>
          <w:szCs w:val="23"/>
          <w:lang w:val="en-US"/>
        </w:rPr>
        <w:t>studies</w:t>
      </w:r>
      <w:r w:rsidR="00555CEA" w:rsidRPr="00983193">
        <w:rPr>
          <w:rFonts w:ascii="Times New Roman" w:hAnsi="Times New Roman" w:cs="Times New Roman"/>
          <w:color w:val="000000" w:themeColor="text1"/>
          <w:sz w:val="23"/>
          <w:szCs w:val="23"/>
          <w:lang w:val="en-US"/>
        </w:rPr>
        <w:t xml:space="preserve"> </w:t>
      </w:r>
      <w:r w:rsidR="00F63D9A" w:rsidRPr="00983193">
        <w:rPr>
          <w:rFonts w:ascii="Times New Roman" w:hAnsi="Times New Roman" w:cs="Times New Roman"/>
          <w:color w:val="000000" w:themeColor="text1"/>
          <w:sz w:val="23"/>
          <w:szCs w:val="23"/>
          <w:lang w:val="en-US"/>
        </w:rPr>
        <w:t>a sample of Romanian companies</w:t>
      </w:r>
      <w:r w:rsidR="00555CEA">
        <w:rPr>
          <w:rFonts w:ascii="Times New Roman" w:hAnsi="Times New Roman" w:cs="Times New Roman"/>
          <w:color w:val="000000" w:themeColor="text1"/>
          <w:sz w:val="23"/>
          <w:szCs w:val="23"/>
          <w:lang w:val="en-US"/>
        </w:rPr>
        <w:t xml:space="preserve"> and</w:t>
      </w:r>
      <w:r w:rsidR="00F63D9A" w:rsidRPr="00983193">
        <w:rPr>
          <w:rFonts w:ascii="Times New Roman" w:hAnsi="Times New Roman" w:cs="Times New Roman"/>
          <w:color w:val="000000" w:themeColor="text1"/>
          <w:sz w:val="23"/>
          <w:szCs w:val="23"/>
          <w:lang w:val="en-US"/>
        </w:rPr>
        <w:t xml:space="preserve"> f</w:t>
      </w:r>
      <w:r w:rsidR="00555CEA">
        <w:rPr>
          <w:rFonts w:ascii="Times New Roman" w:hAnsi="Times New Roman" w:cs="Times New Roman"/>
          <w:color w:val="000000" w:themeColor="text1"/>
          <w:sz w:val="23"/>
          <w:szCs w:val="23"/>
          <w:lang w:val="en-US"/>
        </w:rPr>
        <w:t>i</w:t>
      </w:r>
      <w:r w:rsidR="00F63D9A" w:rsidRPr="00983193">
        <w:rPr>
          <w:rFonts w:ascii="Times New Roman" w:hAnsi="Times New Roman" w:cs="Times New Roman"/>
          <w:color w:val="000000" w:themeColor="text1"/>
          <w:sz w:val="23"/>
          <w:szCs w:val="23"/>
          <w:lang w:val="en-US"/>
        </w:rPr>
        <w:t>nd</w:t>
      </w:r>
      <w:r w:rsidR="00555CEA">
        <w:rPr>
          <w:rFonts w:ascii="Times New Roman" w:hAnsi="Times New Roman" w:cs="Times New Roman"/>
          <w:color w:val="000000" w:themeColor="text1"/>
          <w:sz w:val="23"/>
          <w:szCs w:val="23"/>
          <w:lang w:val="en-US"/>
        </w:rPr>
        <w:t>s</w:t>
      </w:r>
      <w:r w:rsidR="00F63D9A" w:rsidRPr="00983193">
        <w:rPr>
          <w:rFonts w:ascii="Times New Roman" w:hAnsi="Times New Roman" w:cs="Times New Roman"/>
          <w:color w:val="000000" w:themeColor="text1"/>
          <w:sz w:val="23"/>
          <w:szCs w:val="23"/>
          <w:lang w:val="en-US"/>
        </w:rPr>
        <w:t xml:space="preserve"> </w:t>
      </w:r>
      <w:r w:rsidR="00E7391B" w:rsidRPr="00983193">
        <w:rPr>
          <w:rFonts w:ascii="Times New Roman" w:hAnsi="Times New Roman" w:cs="Times New Roman"/>
          <w:color w:val="000000" w:themeColor="text1"/>
          <w:sz w:val="23"/>
          <w:szCs w:val="23"/>
          <w:lang w:val="en-US"/>
        </w:rPr>
        <w:t xml:space="preserve">a negative association between VAIC and </w:t>
      </w:r>
      <w:r w:rsidR="00E7391B" w:rsidRPr="009946C9">
        <w:rPr>
          <w:rFonts w:ascii="Times New Roman" w:hAnsi="Times New Roman" w:cs="Times New Roman"/>
          <w:noProof/>
          <w:color w:val="000000" w:themeColor="text1"/>
          <w:sz w:val="23"/>
          <w:szCs w:val="23"/>
          <w:lang w:val="en-US"/>
        </w:rPr>
        <w:t>M</w:t>
      </w:r>
      <w:r w:rsidR="00D3026A">
        <w:rPr>
          <w:rFonts w:ascii="Times New Roman" w:hAnsi="Times New Roman" w:cs="Times New Roman"/>
          <w:noProof/>
          <w:color w:val="000000" w:themeColor="text1"/>
          <w:sz w:val="23"/>
          <w:szCs w:val="23"/>
          <w:lang w:val="en-US"/>
        </w:rPr>
        <w:t>t</w:t>
      </w:r>
      <w:r w:rsidR="00E7391B" w:rsidRPr="009946C9">
        <w:rPr>
          <w:rFonts w:ascii="Times New Roman" w:hAnsi="Times New Roman" w:cs="Times New Roman"/>
          <w:noProof/>
          <w:color w:val="000000" w:themeColor="text1"/>
          <w:sz w:val="23"/>
          <w:szCs w:val="23"/>
          <w:lang w:val="en-US"/>
        </w:rPr>
        <w:t>B</w:t>
      </w:r>
      <w:r w:rsidR="00555CEA">
        <w:rPr>
          <w:rFonts w:ascii="Times New Roman" w:hAnsi="Times New Roman" w:cs="Times New Roman"/>
          <w:noProof/>
          <w:color w:val="000000" w:themeColor="text1"/>
          <w:sz w:val="23"/>
          <w:szCs w:val="23"/>
          <w:lang w:val="en-US"/>
        </w:rPr>
        <w:t>, though</w:t>
      </w:r>
      <w:r w:rsidR="005A7BE8">
        <w:rPr>
          <w:rFonts w:ascii="Times New Roman" w:hAnsi="Times New Roman" w:cs="Times New Roman"/>
          <w:color w:val="000000" w:themeColor="text1"/>
          <w:sz w:val="23"/>
          <w:szCs w:val="23"/>
          <w:lang w:val="en-US"/>
        </w:rPr>
        <w:t xml:space="preserve"> finds</w:t>
      </w:r>
      <w:r w:rsidR="00E7391B" w:rsidRPr="00983193">
        <w:rPr>
          <w:rFonts w:ascii="Times New Roman" w:hAnsi="Times New Roman" w:cs="Times New Roman"/>
          <w:color w:val="000000" w:themeColor="text1"/>
          <w:sz w:val="23"/>
          <w:szCs w:val="23"/>
          <w:lang w:val="en-US"/>
        </w:rPr>
        <w:t xml:space="preserve"> </w:t>
      </w:r>
      <w:r w:rsidR="00555CEA">
        <w:rPr>
          <w:rFonts w:ascii="Times New Roman" w:hAnsi="Times New Roman" w:cs="Times New Roman"/>
          <w:color w:val="000000" w:themeColor="text1"/>
          <w:sz w:val="23"/>
          <w:szCs w:val="23"/>
          <w:lang w:val="en-US"/>
        </w:rPr>
        <w:t>no</w:t>
      </w:r>
      <w:r w:rsidR="00E7391B" w:rsidRPr="00983193">
        <w:rPr>
          <w:rFonts w:ascii="Times New Roman" w:hAnsi="Times New Roman" w:cs="Times New Roman"/>
          <w:color w:val="000000" w:themeColor="text1"/>
          <w:sz w:val="23"/>
          <w:szCs w:val="23"/>
          <w:lang w:val="en-US"/>
        </w:rPr>
        <w:t xml:space="preserve"> association between VAIC, company size and compan</w:t>
      </w:r>
      <w:r w:rsidR="00555CEA">
        <w:rPr>
          <w:rFonts w:ascii="Times New Roman" w:hAnsi="Times New Roman" w:cs="Times New Roman"/>
          <w:color w:val="000000" w:themeColor="text1"/>
          <w:sz w:val="23"/>
          <w:szCs w:val="23"/>
          <w:lang w:val="en-US"/>
        </w:rPr>
        <w:t>y</w:t>
      </w:r>
      <w:r w:rsidR="00E7391B" w:rsidRPr="00983193">
        <w:rPr>
          <w:rFonts w:ascii="Times New Roman" w:hAnsi="Times New Roman" w:cs="Times New Roman"/>
          <w:color w:val="000000" w:themeColor="text1"/>
          <w:sz w:val="23"/>
          <w:szCs w:val="23"/>
          <w:lang w:val="en-US"/>
        </w:rPr>
        <w:t xml:space="preserve"> profitability, </w:t>
      </w:r>
      <w:r w:rsidR="00555CEA">
        <w:rPr>
          <w:rFonts w:ascii="Times New Roman" w:hAnsi="Times New Roman" w:cs="Times New Roman"/>
          <w:color w:val="000000" w:themeColor="text1"/>
          <w:sz w:val="23"/>
          <w:szCs w:val="23"/>
          <w:lang w:val="en-US"/>
        </w:rPr>
        <w:t xml:space="preserve">as </w:t>
      </w:r>
      <w:r w:rsidR="00E7391B" w:rsidRPr="00983193">
        <w:rPr>
          <w:rFonts w:ascii="Times New Roman" w:hAnsi="Times New Roman" w:cs="Times New Roman"/>
          <w:color w:val="000000" w:themeColor="text1"/>
          <w:sz w:val="23"/>
          <w:szCs w:val="23"/>
          <w:lang w:val="en-US"/>
        </w:rPr>
        <w:t xml:space="preserve">measured in </w:t>
      </w:r>
      <w:r w:rsidR="00555CEA">
        <w:rPr>
          <w:rFonts w:ascii="Times New Roman" w:hAnsi="Times New Roman" w:cs="Times New Roman"/>
          <w:color w:val="000000" w:themeColor="text1"/>
          <w:sz w:val="23"/>
          <w:szCs w:val="23"/>
          <w:lang w:val="en-US"/>
        </w:rPr>
        <w:t xml:space="preserve">terms of </w:t>
      </w:r>
      <w:r w:rsidR="00E7391B" w:rsidRPr="00983193">
        <w:rPr>
          <w:rFonts w:ascii="Times New Roman" w:hAnsi="Times New Roman" w:cs="Times New Roman"/>
          <w:color w:val="000000" w:themeColor="text1"/>
          <w:sz w:val="23"/>
          <w:szCs w:val="23"/>
          <w:lang w:val="en-US"/>
        </w:rPr>
        <w:t>ROE.</w:t>
      </w:r>
      <w:r w:rsidR="00555CEA">
        <w:rPr>
          <w:rFonts w:ascii="Times New Roman" w:hAnsi="Times New Roman" w:cs="Times New Roman"/>
          <w:color w:val="000000" w:themeColor="text1"/>
          <w:sz w:val="23"/>
          <w:szCs w:val="23"/>
          <w:lang w:val="en-US"/>
        </w:rPr>
        <w:t xml:space="preserve"> </w:t>
      </w:r>
      <w:r w:rsidR="00F63D9A" w:rsidRPr="00983193">
        <w:rPr>
          <w:rFonts w:ascii="Times New Roman" w:hAnsi="Times New Roman" w:cs="Times New Roman"/>
          <w:color w:val="000000" w:themeColor="text1"/>
          <w:sz w:val="23"/>
          <w:szCs w:val="23"/>
          <w:lang w:val="en-US"/>
        </w:rPr>
        <w:t xml:space="preserve">Dzenopoljac et al. (2016) use VAIC to measure the </w:t>
      </w:r>
      <w:r w:rsidR="00555CEA">
        <w:rPr>
          <w:rFonts w:ascii="Times New Roman" w:hAnsi="Times New Roman" w:cs="Times New Roman"/>
          <w:color w:val="000000" w:themeColor="text1"/>
          <w:sz w:val="23"/>
          <w:szCs w:val="23"/>
          <w:lang w:val="en-US"/>
        </w:rPr>
        <w:t>contribution</w:t>
      </w:r>
      <w:r w:rsidR="00F63D9A" w:rsidRPr="00983193">
        <w:rPr>
          <w:rFonts w:ascii="Times New Roman" w:hAnsi="Times New Roman" w:cs="Times New Roman"/>
          <w:color w:val="000000" w:themeColor="text1"/>
          <w:sz w:val="23"/>
          <w:szCs w:val="23"/>
          <w:lang w:val="en-US"/>
        </w:rPr>
        <w:t xml:space="preserve"> of IC to value creation in Serbian ICT companies</w:t>
      </w:r>
      <w:r w:rsidR="00555CEA">
        <w:rPr>
          <w:rFonts w:ascii="Times New Roman" w:hAnsi="Times New Roman" w:cs="Times New Roman"/>
          <w:color w:val="000000" w:themeColor="text1"/>
          <w:sz w:val="23"/>
          <w:szCs w:val="23"/>
          <w:lang w:val="en-US"/>
        </w:rPr>
        <w:t>, and find</w:t>
      </w:r>
      <w:r w:rsidR="00F63D9A" w:rsidRPr="00983193">
        <w:rPr>
          <w:rFonts w:ascii="Times New Roman" w:hAnsi="Times New Roman" w:cs="Times New Roman"/>
          <w:color w:val="000000" w:themeColor="text1"/>
          <w:sz w:val="23"/>
          <w:szCs w:val="23"/>
          <w:lang w:val="en-US"/>
        </w:rPr>
        <w:t xml:space="preserve"> that only </w:t>
      </w:r>
      <w:r w:rsidR="00555CEA">
        <w:rPr>
          <w:rFonts w:ascii="Times New Roman" w:hAnsi="Times New Roman" w:cs="Times New Roman"/>
          <w:color w:val="000000" w:themeColor="text1"/>
          <w:sz w:val="23"/>
          <w:szCs w:val="23"/>
          <w:lang w:val="en-US"/>
        </w:rPr>
        <w:t>one</w:t>
      </w:r>
      <w:r w:rsidR="00F63D9A" w:rsidRPr="00983193">
        <w:rPr>
          <w:rFonts w:ascii="Times New Roman" w:hAnsi="Times New Roman" w:cs="Times New Roman"/>
          <w:color w:val="000000" w:themeColor="text1"/>
          <w:sz w:val="23"/>
          <w:szCs w:val="23"/>
          <w:lang w:val="en-US"/>
        </w:rPr>
        <w:t xml:space="preserve"> component of VAIC</w:t>
      </w:r>
      <w:r w:rsidR="00555CEA">
        <w:rPr>
          <w:rFonts w:ascii="Times New Roman" w:hAnsi="Times New Roman" w:cs="Times New Roman"/>
          <w:color w:val="000000" w:themeColor="text1"/>
          <w:sz w:val="23"/>
          <w:szCs w:val="23"/>
          <w:lang w:val="en-US"/>
        </w:rPr>
        <w:t>,</w:t>
      </w:r>
      <w:r w:rsidR="00F63D9A" w:rsidRPr="00983193">
        <w:rPr>
          <w:rFonts w:ascii="Times New Roman" w:hAnsi="Times New Roman" w:cs="Times New Roman"/>
          <w:color w:val="000000" w:themeColor="text1"/>
          <w:sz w:val="23"/>
          <w:szCs w:val="23"/>
          <w:lang w:val="en-US"/>
        </w:rPr>
        <w:t xml:space="preserve"> capital-employed efficiency</w:t>
      </w:r>
      <w:r w:rsidR="00555CEA">
        <w:rPr>
          <w:rFonts w:ascii="Times New Roman" w:hAnsi="Times New Roman" w:cs="Times New Roman"/>
          <w:color w:val="000000" w:themeColor="text1"/>
          <w:sz w:val="23"/>
          <w:szCs w:val="23"/>
          <w:lang w:val="en-US"/>
        </w:rPr>
        <w:t>,</w:t>
      </w:r>
      <w:r w:rsidR="00F63D9A" w:rsidRPr="00983193">
        <w:rPr>
          <w:rFonts w:ascii="Times New Roman" w:hAnsi="Times New Roman" w:cs="Times New Roman"/>
          <w:color w:val="000000" w:themeColor="text1"/>
          <w:sz w:val="23"/>
          <w:szCs w:val="23"/>
          <w:lang w:val="en-US"/>
        </w:rPr>
        <w:t xml:space="preserve"> has</w:t>
      </w:r>
      <w:r w:rsidR="009946C9">
        <w:rPr>
          <w:rFonts w:ascii="Times New Roman" w:hAnsi="Times New Roman" w:cs="Times New Roman"/>
          <w:color w:val="000000" w:themeColor="text1"/>
          <w:sz w:val="23"/>
          <w:szCs w:val="23"/>
          <w:lang w:val="en-US"/>
        </w:rPr>
        <w:t xml:space="preserve"> a</w:t>
      </w:r>
      <w:r w:rsidR="00F63D9A" w:rsidRPr="00983193">
        <w:rPr>
          <w:rFonts w:ascii="Times New Roman" w:hAnsi="Times New Roman" w:cs="Times New Roman"/>
          <w:color w:val="000000" w:themeColor="text1"/>
          <w:sz w:val="23"/>
          <w:szCs w:val="23"/>
          <w:lang w:val="en-US"/>
        </w:rPr>
        <w:t xml:space="preserve"> </w:t>
      </w:r>
      <w:r w:rsidR="00F63D9A" w:rsidRPr="009946C9">
        <w:rPr>
          <w:rFonts w:ascii="Times New Roman" w:hAnsi="Times New Roman" w:cs="Times New Roman"/>
          <w:noProof/>
          <w:color w:val="000000" w:themeColor="text1"/>
          <w:sz w:val="23"/>
          <w:szCs w:val="23"/>
          <w:lang w:val="en-US"/>
        </w:rPr>
        <w:t>significant</w:t>
      </w:r>
      <w:r w:rsidR="00F63D9A" w:rsidRPr="00983193">
        <w:rPr>
          <w:rFonts w:ascii="Times New Roman" w:hAnsi="Times New Roman" w:cs="Times New Roman"/>
          <w:color w:val="000000" w:themeColor="text1"/>
          <w:sz w:val="23"/>
          <w:szCs w:val="23"/>
          <w:lang w:val="en-US"/>
        </w:rPr>
        <w:t xml:space="preserve"> effect on financial performance </w:t>
      </w:r>
      <w:r w:rsidR="00555CEA">
        <w:rPr>
          <w:rFonts w:ascii="Times New Roman" w:hAnsi="Times New Roman" w:cs="Times New Roman"/>
          <w:color w:val="000000" w:themeColor="text1"/>
          <w:sz w:val="23"/>
          <w:szCs w:val="23"/>
          <w:lang w:val="en-US"/>
        </w:rPr>
        <w:t xml:space="preserve">as measured </w:t>
      </w:r>
      <w:r w:rsidR="00F63D9A" w:rsidRPr="00983193">
        <w:rPr>
          <w:rFonts w:ascii="Times New Roman" w:hAnsi="Times New Roman" w:cs="Times New Roman"/>
          <w:color w:val="000000" w:themeColor="text1"/>
          <w:sz w:val="23"/>
          <w:szCs w:val="23"/>
          <w:lang w:val="en-US"/>
        </w:rPr>
        <w:t xml:space="preserve">by indicators </w:t>
      </w:r>
      <w:r w:rsidR="00555CEA">
        <w:rPr>
          <w:rFonts w:ascii="Times New Roman" w:hAnsi="Times New Roman" w:cs="Times New Roman"/>
          <w:color w:val="000000" w:themeColor="text1"/>
          <w:sz w:val="23"/>
          <w:szCs w:val="23"/>
          <w:lang w:val="en-US"/>
        </w:rPr>
        <w:t>such as</w:t>
      </w:r>
      <w:r w:rsidR="00555CEA" w:rsidRPr="00983193">
        <w:rPr>
          <w:rFonts w:ascii="Times New Roman" w:hAnsi="Times New Roman" w:cs="Times New Roman"/>
          <w:color w:val="000000" w:themeColor="text1"/>
          <w:sz w:val="23"/>
          <w:szCs w:val="23"/>
          <w:lang w:val="en-US"/>
        </w:rPr>
        <w:t xml:space="preserve"> </w:t>
      </w:r>
      <w:r w:rsidR="00F63D9A" w:rsidRPr="00983193">
        <w:rPr>
          <w:rFonts w:ascii="Times New Roman" w:hAnsi="Times New Roman" w:cs="Times New Roman"/>
          <w:color w:val="000000" w:themeColor="text1"/>
          <w:sz w:val="23"/>
          <w:szCs w:val="23"/>
          <w:lang w:val="en-US"/>
        </w:rPr>
        <w:t>ROE and ROA.</w:t>
      </w:r>
    </w:p>
    <w:p w14:paraId="312C62E8" w14:textId="77777777" w:rsidR="00274AFA" w:rsidRPr="00983193" w:rsidRDefault="00751A7D" w:rsidP="00C96E9E">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555CEA">
        <w:rPr>
          <w:rFonts w:ascii="Times New Roman" w:hAnsi="Times New Roman" w:cs="Times New Roman"/>
          <w:color w:val="000000" w:themeColor="text1"/>
          <w:sz w:val="23"/>
          <w:szCs w:val="23"/>
          <w:lang w:val="en-US"/>
        </w:rPr>
        <w:t>With regard to</w:t>
      </w:r>
      <w:r w:rsidR="0068061D" w:rsidRPr="00983193">
        <w:rPr>
          <w:rFonts w:ascii="Times New Roman" w:hAnsi="Times New Roman" w:cs="Times New Roman"/>
          <w:color w:val="000000" w:themeColor="text1"/>
          <w:sz w:val="23"/>
          <w:szCs w:val="23"/>
          <w:lang w:val="en-US"/>
        </w:rPr>
        <w:t xml:space="preserve"> M</w:t>
      </w:r>
      <w:r w:rsidR="00D3026A">
        <w:rPr>
          <w:rFonts w:ascii="Times New Roman" w:hAnsi="Times New Roman" w:cs="Times New Roman"/>
          <w:color w:val="000000" w:themeColor="text1"/>
          <w:sz w:val="23"/>
          <w:szCs w:val="23"/>
          <w:lang w:val="en-US"/>
        </w:rPr>
        <w:t>t</w:t>
      </w:r>
      <w:r w:rsidR="0068061D" w:rsidRPr="00983193">
        <w:rPr>
          <w:rFonts w:ascii="Times New Roman" w:hAnsi="Times New Roman" w:cs="Times New Roman"/>
          <w:color w:val="000000" w:themeColor="text1"/>
          <w:sz w:val="23"/>
          <w:szCs w:val="23"/>
          <w:lang w:val="en-US"/>
        </w:rPr>
        <w:t>B</w:t>
      </w:r>
      <w:r w:rsidR="00BF1844" w:rsidRPr="00983193">
        <w:rPr>
          <w:rFonts w:ascii="Times New Roman" w:hAnsi="Times New Roman" w:cs="Times New Roman"/>
          <w:color w:val="000000" w:themeColor="text1"/>
          <w:sz w:val="23"/>
          <w:szCs w:val="23"/>
          <w:lang w:val="en-US"/>
        </w:rPr>
        <w:t xml:space="preserve">, </w:t>
      </w:r>
      <w:r w:rsidR="0068061D" w:rsidRPr="00983193">
        <w:rPr>
          <w:rFonts w:ascii="Times New Roman" w:hAnsi="Times New Roman" w:cs="Times New Roman"/>
          <w:color w:val="000000" w:themeColor="text1"/>
          <w:sz w:val="23"/>
          <w:szCs w:val="23"/>
          <w:lang w:val="en-US"/>
        </w:rPr>
        <w:t xml:space="preserve">while the </w:t>
      </w:r>
      <w:r w:rsidR="00555CEA" w:rsidRPr="00983193">
        <w:rPr>
          <w:rFonts w:ascii="Times New Roman" w:hAnsi="Times New Roman" w:cs="Times New Roman"/>
          <w:color w:val="000000" w:themeColor="text1"/>
          <w:sz w:val="23"/>
          <w:szCs w:val="23"/>
          <w:lang w:val="en-US"/>
        </w:rPr>
        <w:t xml:space="preserve">VAIC based </w:t>
      </w:r>
      <w:r w:rsidR="00555CEA">
        <w:rPr>
          <w:rFonts w:ascii="Times New Roman" w:hAnsi="Times New Roman" w:cs="Times New Roman"/>
          <w:color w:val="000000" w:themeColor="text1"/>
          <w:sz w:val="23"/>
          <w:szCs w:val="23"/>
          <w:lang w:val="en-US"/>
        </w:rPr>
        <w:t xml:space="preserve">studies of </w:t>
      </w:r>
      <w:r w:rsidR="0068061D" w:rsidRPr="00983193">
        <w:rPr>
          <w:rFonts w:ascii="Times New Roman" w:hAnsi="Times New Roman" w:cs="Times New Roman"/>
          <w:color w:val="000000" w:themeColor="text1"/>
          <w:sz w:val="23"/>
          <w:szCs w:val="23"/>
          <w:lang w:val="en-US"/>
        </w:rPr>
        <w:t xml:space="preserve">IC </w:t>
      </w:r>
      <w:r w:rsidR="00555CEA">
        <w:rPr>
          <w:rFonts w:ascii="Times New Roman" w:hAnsi="Times New Roman" w:cs="Times New Roman"/>
          <w:color w:val="000000" w:themeColor="text1"/>
          <w:sz w:val="23"/>
          <w:szCs w:val="23"/>
          <w:lang w:val="en-US"/>
        </w:rPr>
        <w:t>typically</w:t>
      </w:r>
      <w:r w:rsidR="0068061D" w:rsidRPr="00983193">
        <w:rPr>
          <w:rFonts w:ascii="Times New Roman" w:hAnsi="Times New Roman" w:cs="Times New Roman"/>
          <w:color w:val="000000" w:themeColor="text1"/>
          <w:sz w:val="23"/>
          <w:szCs w:val="23"/>
          <w:lang w:val="en-US"/>
        </w:rPr>
        <w:t xml:space="preserve"> u</w:t>
      </w:r>
      <w:r w:rsidR="00555CEA">
        <w:rPr>
          <w:rFonts w:ascii="Times New Roman" w:hAnsi="Times New Roman" w:cs="Times New Roman"/>
          <w:color w:val="000000" w:themeColor="text1"/>
          <w:sz w:val="23"/>
          <w:szCs w:val="23"/>
          <w:lang w:val="en-US"/>
        </w:rPr>
        <w:t>se</w:t>
      </w:r>
      <w:r w:rsidR="0068061D" w:rsidRPr="00983193">
        <w:rPr>
          <w:rFonts w:ascii="Times New Roman" w:hAnsi="Times New Roman" w:cs="Times New Roman"/>
          <w:color w:val="000000" w:themeColor="text1"/>
          <w:sz w:val="23"/>
          <w:szCs w:val="23"/>
          <w:lang w:val="en-US"/>
        </w:rPr>
        <w:t xml:space="preserve"> the </w:t>
      </w:r>
      <w:r w:rsidR="0068061D" w:rsidRPr="009946C9">
        <w:rPr>
          <w:rFonts w:ascii="Times New Roman" w:hAnsi="Times New Roman" w:cs="Times New Roman"/>
          <w:noProof/>
          <w:color w:val="000000" w:themeColor="text1"/>
          <w:sz w:val="23"/>
          <w:szCs w:val="23"/>
          <w:lang w:val="en-US"/>
        </w:rPr>
        <w:t>M</w:t>
      </w:r>
      <w:r w:rsidR="006C1B92">
        <w:rPr>
          <w:rFonts w:ascii="Times New Roman" w:hAnsi="Times New Roman" w:cs="Times New Roman"/>
          <w:noProof/>
          <w:color w:val="000000" w:themeColor="text1"/>
          <w:sz w:val="23"/>
          <w:szCs w:val="23"/>
          <w:lang w:val="en-US"/>
        </w:rPr>
        <w:t>t</w:t>
      </w:r>
      <w:r w:rsidR="0068061D" w:rsidRPr="009946C9">
        <w:rPr>
          <w:rFonts w:ascii="Times New Roman" w:hAnsi="Times New Roman" w:cs="Times New Roman"/>
          <w:noProof/>
          <w:color w:val="000000" w:themeColor="text1"/>
          <w:sz w:val="23"/>
          <w:szCs w:val="23"/>
          <w:lang w:val="en-US"/>
        </w:rPr>
        <w:t>B</w:t>
      </w:r>
      <w:r w:rsidR="0068061D" w:rsidRPr="00983193">
        <w:rPr>
          <w:rFonts w:ascii="Times New Roman" w:hAnsi="Times New Roman" w:cs="Times New Roman"/>
          <w:color w:val="000000" w:themeColor="text1"/>
          <w:sz w:val="23"/>
          <w:szCs w:val="23"/>
          <w:lang w:val="en-US"/>
        </w:rPr>
        <w:t xml:space="preserve"> ratio as a proxy for market value (Chen et al., 2005; Maditinos et al., 2011; Morariu, 2014), other </w:t>
      </w:r>
      <w:r w:rsidR="00AA76C3" w:rsidRPr="00983193">
        <w:rPr>
          <w:rFonts w:ascii="Times New Roman" w:hAnsi="Times New Roman" w:cs="Times New Roman"/>
          <w:color w:val="000000" w:themeColor="text1"/>
          <w:sz w:val="23"/>
          <w:szCs w:val="23"/>
          <w:lang w:val="en-US"/>
        </w:rPr>
        <w:t>studies</w:t>
      </w:r>
      <w:r w:rsidR="0068061D" w:rsidRPr="00983193">
        <w:rPr>
          <w:rFonts w:ascii="Times New Roman" w:hAnsi="Times New Roman" w:cs="Times New Roman"/>
          <w:color w:val="000000" w:themeColor="text1"/>
          <w:sz w:val="23"/>
          <w:szCs w:val="23"/>
          <w:lang w:val="en-US"/>
        </w:rPr>
        <w:t xml:space="preserve"> </w:t>
      </w:r>
      <w:r w:rsidR="00555CEA">
        <w:rPr>
          <w:rFonts w:ascii="Times New Roman" w:hAnsi="Times New Roman" w:cs="Times New Roman"/>
          <w:color w:val="000000" w:themeColor="text1"/>
          <w:sz w:val="23"/>
          <w:szCs w:val="23"/>
          <w:lang w:val="en-US"/>
        </w:rPr>
        <w:t>use</w:t>
      </w:r>
      <w:r w:rsidR="00555CEA" w:rsidRPr="00983193">
        <w:rPr>
          <w:rFonts w:ascii="Times New Roman" w:hAnsi="Times New Roman" w:cs="Times New Roman"/>
          <w:color w:val="000000" w:themeColor="text1"/>
          <w:sz w:val="23"/>
          <w:szCs w:val="23"/>
          <w:lang w:val="en-US"/>
        </w:rPr>
        <w:t xml:space="preserve"> </w:t>
      </w:r>
      <w:r w:rsidR="00555CEA" w:rsidRPr="009946C9">
        <w:rPr>
          <w:rFonts w:ascii="Times New Roman" w:hAnsi="Times New Roman" w:cs="Times New Roman"/>
          <w:noProof/>
          <w:color w:val="000000" w:themeColor="text1"/>
          <w:sz w:val="23"/>
          <w:szCs w:val="23"/>
          <w:lang w:val="en-US"/>
        </w:rPr>
        <w:t>M</w:t>
      </w:r>
      <w:r w:rsidR="00D3026A">
        <w:rPr>
          <w:rFonts w:ascii="Times New Roman" w:hAnsi="Times New Roman" w:cs="Times New Roman"/>
          <w:noProof/>
          <w:color w:val="000000" w:themeColor="text1"/>
          <w:sz w:val="23"/>
          <w:szCs w:val="23"/>
          <w:lang w:val="en-US"/>
        </w:rPr>
        <w:t>t</w:t>
      </w:r>
      <w:r w:rsidR="00555CEA" w:rsidRPr="009946C9">
        <w:rPr>
          <w:rFonts w:ascii="Times New Roman" w:hAnsi="Times New Roman" w:cs="Times New Roman"/>
          <w:noProof/>
          <w:color w:val="000000" w:themeColor="text1"/>
          <w:sz w:val="23"/>
          <w:szCs w:val="23"/>
          <w:lang w:val="en-US"/>
        </w:rPr>
        <w:t>B</w:t>
      </w:r>
      <w:r w:rsidR="00555CEA" w:rsidRPr="00983193">
        <w:rPr>
          <w:rFonts w:ascii="Times New Roman" w:hAnsi="Times New Roman" w:cs="Times New Roman"/>
          <w:color w:val="000000" w:themeColor="text1"/>
          <w:sz w:val="23"/>
          <w:szCs w:val="23"/>
          <w:lang w:val="en-US"/>
        </w:rPr>
        <w:t xml:space="preserve"> as a proxy for IC value </w:t>
      </w:r>
      <w:r w:rsidR="0068061D" w:rsidRPr="00983193">
        <w:rPr>
          <w:rFonts w:ascii="Times New Roman" w:hAnsi="Times New Roman" w:cs="Times New Roman"/>
          <w:color w:val="000000" w:themeColor="text1"/>
          <w:sz w:val="23"/>
          <w:szCs w:val="23"/>
          <w:lang w:val="en-US"/>
        </w:rPr>
        <w:t>(</w:t>
      </w:r>
      <w:r w:rsidR="00AA76C3" w:rsidRPr="00983193">
        <w:rPr>
          <w:rFonts w:ascii="Times New Roman" w:hAnsi="Times New Roman" w:cs="Times New Roman"/>
          <w:color w:val="000000" w:themeColor="text1"/>
          <w:sz w:val="23"/>
          <w:szCs w:val="23"/>
          <w:lang w:val="en-US"/>
        </w:rPr>
        <w:t>Brennan, 2001; Cazavan-Jeny, 2004; Bramhandkar et al., 2007; Kok, 2007; Whiting and Miller, 2008;</w:t>
      </w:r>
      <w:r w:rsidR="0004562C" w:rsidRPr="00983193">
        <w:rPr>
          <w:rFonts w:ascii="Times New Roman" w:hAnsi="Times New Roman" w:cs="Times New Roman"/>
          <w:color w:val="000000" w:themeColor="text1"/>
          <w:sz w:val="23"/>
          <w:szCs w:val="23"/>
          <w:lang w:val="en-US"/>
        </w:rPr>
        <w:t xml:space="preserve"> Lal Bhasin, 2012;</w:t>
      </w:r>
      <w:r w:rsidR="00AA76C3" w:rsidRPr="00983193">
        <w:rPr>
          <w:rFonts w:ascii="Times New Roman" w:hAnsi="Times New Roman" w:cs="Times New Roman"/>
          <w:color w:val="000000" w:themeColor="text1"/>
          <w:sz w:val="23"/>
          <w:szCs w:val="23"/>
          <w:lang w:val="en-US"/>
        </w:rPr>
        <w:t xml:space="preserve"> Goe</w:t>
      </w:r>
      <w:r w:rsidR="0004562C" w:rsidRPr="00983193">
        <w:rPr>
          <w:rFonts w:ascii="Times New Roman" w:hAnsi="Times New Roman" w:cs="Times New Roman"/>
          <w:color w:val="000000" w:themeColor="text1"/>
          <w:sz w:val="23"/>
          <w:szCs w:val="23"/>
          <w:lang w:val="en-US"/>
        </w:rPr>
        <w:t>bel</w:t>
      </w:r>
      <w:r w:rsidR="00AA76C3" w:rsidRPr="00983193">
        <w:rPr>
          <w:rFonts w:ascii="Times New Roman" w:hAnsi="Times New Roman" w:cs="Times New Roman"/>
          <w:color w:val="000000" w:themeColor="text1"/>
          <w:sz w:val="23"/>
          <w:szCs w:val="23"/>
          <w:lang w:val="en-US"/>
        </w:rPr>
        <w:t>,</w:t>
      </w:r>
      <w:r w:rsidR="0004562C" w:rsidRPr="00983193">
        <w:rPr>
          <w:rFonts w:ascii="Times New Roman" w:hAnsi="Times New Roman" w:cs="Times New Roman"/>
          <w:color w:val="000000" w:themeColor="text1"/>
          <w:sz w:val="23"/>
          <w:szCs w:val="23"/>
          <w:lang w:val="en-US"/>
        </w:rPr>
        <w:t xml:space="preserve"> </w:t>
      </w:r>
      <w:r w:rsidR="00AA76C3" w:rsidRPr="00983193">
        <w:rPr>
          <w:rFonts w:ascii="Times New Roman" w:hAnsi="Times New Roman" w:cs="Times New Roman"/>
          <w:color w:val="000000" w:themeColor="text1"/>
          <w:sz w:val="23"/>
          <w:szCs w:val="23"/>
          <w:lang w:val="en-US"/>
        </w:rPr>
        <w:t xml:space="preserve">2015). </w:t>
      </w:r>
      <w:r w:rsidR="00113A43" w:rsidRPr="00983193">
        <w:rPr>
          <w:rFonts w:ascii="Times New Roman" w:hAnsi="Times New Roman" w:cs="Times New Roman"/>
          <w:color w:val="000000" w:themeColor="text1"/>
          <w:sz w:val="23"/>
          <w:szCs w:val="23"/>
          <w:lang w:val="en-US"/>
        </w:rPr>
        <w:t>S</w:t>
      </w:r>
      <w:r w:rsidR="0004562C" w:rsidRPr="00983193">
        <w:rPr>
          <w:rFonts w:ascii="Times New Roman" w:hAnsi="Times New Roman" w:cs="Times New Roman"/>
          <w:color w:val="000000" w:themeColor="text1"/>
          <w:sz w:val="23"/>
          <w:szCs w:val="23"/>
          <w:lang w:val="en-US"/>
        </w:rPr>
        <w:t xml:space="preserve">ome authors </w:t>
      </w:r>
      <w:r w:rsidR="00555CEA">
        <w:rPr>
          <w:rFonts w:ascii="Times New Roman" w:hAnsi="Times New Roman" w:cs="Times New Roman"/>
          <w:color w:val="000000" w:themeColor="text1"/>
          <w:sz w:val="23"/>
          <w:szCs w:val="23"/>
          <w:lang w:val="en-US"/>
        </w:rPr>
        <w:t>study</w:t>
      </w:r>
      <w:r w:rsidR="0004562C" w:rsidRPr="00983193">
        <w:rPr>
          <w:rFonts w:ascii="Times New Roman" w:hAnsi="Times New Roman" w:cs="Times New Roman"/>
          <w:color w:val="000000" w:themeColor="text1"/>
          <w:sz w:val="23"/>
          <w:szCs w:val="23"/>
          <w:lang w:val="en-US"/>
        </w:rPr>
        <w:t xml:space="preserve"> the relationship between IC value</w:t>
      </w:r>
      <w:r w:rsidR="00555CEA">
        <w:rPr>
          <w:rFonts w:ascii="Times New Roman" w:hAnsi="Times New Roman" w:cs="Times New Roman"/>
          <w:color w:val="000000" w:themeColor="text1"/>
          <w:sz w:val="23"/>
          <w:szCs w:val="23"/>
          <w:lang w:val="en-US"/>
        </w:rPr>
        <w:t>,</w:t>
      </w:r>
      <w:r w:rsidR="00113A43" w:rsidRPr="00983193">
        <w:rPr>
          <w:rFonts w:ascii="Times New Roman" w:hAnsi="Times New Roman" w:cs="Times New Roman"/>
          <w:color w:val="000000" w:themeColor="text1"/>
          <w:sz w:val="23"/>
          <w:szCs w:val="23"/>
          <w:lang w:val="en-US"/>
        </w:rPr>
        <w:t xml:space="preserve"> calculated </w:t>
      </w:r>
      <w:r w:rsidR="00555CEA">
        <w:rPr>
          <w:rFonts w:ascii="Times New Roman" w:hAnsi="Times New Roman" w:cs="Times New Roman"/>
          <w:color w:val="000000" w:themeColor="text1"/>
          <w:sz w:val="23"/>
          <w:szCs w:val="23"/>
          <w:lang w:val="en-US"/>
        </w:rPr>
        <w:t>in terms of the</w:t>
      </w:r>
      <w:r w:rsidR="00113A43" w:rsidRPr="00983193">
        <w:rPr>
          <w:rFonts w:ascii="Times New Roman" w:hAnsi="Times New Roman" w:cs="Times New Roman"/>
          <w:color w:val="000000" w:themeColor="text1"/>
          <w:sz w:val="23"/>
          <w:szCs w:val="23"/>
          <w:lang w:val="en-US"/>
        </w:rPr>
        <w:t xml:space="preserve"> M</w:t>
      </w:r>
      <w:r w:rsidR="006C1B92">
        <w:rPr>
          <w:rFonts w:ascii="Times New Roman" w:hAnsi="Times New Roman" w:cs="Times New Roman"/>
          <w:color w:val="000000" w:themeColor="text1"/>
          <w:sz w:val="23"/>
          <w:szCs w:val="23"/>
          <w:lang w:val="en-US"/>
        </w:rPr>
        <w:t>t</w:t>
      </w:r>
      <w:r w:rsidR="00113A43" w:rsidRPr="00983193">
        <w:rPr>
          <w:rFonts w:ascii="Times New Roman" w:hAnsi="Times New Roman" w:cs="Times New Roman"/>
          <w:color w:val="000000" w:themeColor="text1"/>
          <w:sz w:val="23"/>
          <w:szCs w:val="23"/>
          <w:lang w:val="en-US"/>
        </w:rPr>
        <w:t>B ratio</w:t>
      </w:r>
      <w:r w:rsidR="00555CEA">
        <w:rPr>
          <w:rFonts w:ascii="Times New Roman" w:hAnsi="Times New Roman" w:cs="Times New Roman"/>
          <w:color w:val="000000" w:themeColor="text1"/>
          <w:sz w:val="23"/>
          <w:szCs w:val="23"/>
          <w:lang w:val="en-US"/>
        </w:rPr>
        <w:t>,</w:t>
      </w:r>
      <w:r w:rsidR="0004562C" w:rsidRPr="00983193">
        <w:rPr>
          <w:rFonts w:ascii="Times New Roman" w:hAnsi="Times New Roman" w:cs="Times New Roman"/>
          <w:color w:val="000000" w:themeColor="text1"/>
          <w:sz w:val="23"/>
          <w:szCs w:val="23"/>
          <w:lang w:val="en-US"/>
        </w:rPr>
        <w:t xml:space="preserve"> and the level of IC disclosure (Brennan, 2001; Whiting and Miller, 2008). </w:t>
      </w:r>
      <w:r w:rsidR="00274AFA" w:rsidRPr="00983193">
        <w:rPr>
          <w:rFonts w:ascii="Times New Roman" w:hAnsi="Times New Roman" w:cs="Times New Roman"/>
          <w:color w:val="000000" w:themeColor="text1"/>
          <w:sz w:val="23"/>
          <w:szCs w:val="23"/>
          <w:lang w:val="en-US"/>
        </w:rPr>
        <w:t>Cazavan-Jeny (2004) investigate</w:t>
      </w:r>
      <w:r w:rsidR="00555CEA">
        <w:rPr>
          <w:rFonts w:ascii="Times New Roman" w:hAnsi="Times New Roman" w:cs="Times New Roman"/>
          <w:color w:val="000000" w:themeColor="text1"/>
          <w:sz w:val="23"/>
          <w:szCs w:val="23"/>
          <w:lang w:val="en-US"/>
        </w:rPr>
        <w:t>s</w:t>
      </w:r>
      <w:r w:rsidR="00274AFA" w:rsidRPr="00983193">
        <w:rPr>
          <w:rFonts w:ascii="Times New Roman" w:hAnsi="Times New Roman" w:cs="Times New Roman"/>
          <w:color w:val="000000" w:themeColor="text1"/>
          <w:sz w:val="23"/>
          <w:szCs w:val="23"/>
          <w:lang w:val="en-US"/>
        </w:rPr>
        <w:t xml:space="preserve"> </w:t>
      </w:r>
      <w:r w:rsidR="00555CEA">
        <w:rPr>
          <w:rFonts w:ascii="Times New Roman" w:hAnsi="Times New Roman" w:cs="Times New Roman"/>
          <w:color w:val="000000" w:themeColor="text1"/>
          <w:sz w:val="23"/>
          <w:szCs w:val="23"/>
          <w:lang w:val="en-US"/>
        </w:rPr>
        <w:t>the drivers of</w:t>
      </w:r>
      <w:r w:rsidR="00274AFA" w:rsidRPr="00983193">
        <w:rPr>
          <w:rFonts w:ascii="Times New Roman" w:hAnsi="Times New Roman" w:cs="Times New Roman"/>
          <w:color w:val="000000" w:themeColor="text1"/>
          <w:sz w:val="23"/>
          <w:szCs w:val="23"/>
          <w:lang w:val="en-US"/>
        </w:rPr>
        <w:t xml:space="preserve"> differences between market value and book value </w:t>
      </w:r>
      <w:r w:rsidR="00555CEA">
        <w:rPr>
          <w:rFonts w:ascii="Times New Roman" w:hAnsi="Times New Roman" w:cs="Times New Roman"/>
          <w:color w:val="000000" w:themeColor="text1"/>
          <w:sz w:val="23"/>
          <w:szCs w:val="23"/>
          <w:lang w:val="en-US"/>
        </w:rPr>
        <w:t>for French firms</w:t>
      </w:r>
      <w:r w:rsidR="00274AFA" w:rsidRPr="00983193">
        <w:rPr>
          <w:rFonts w:ascii="Times New Roman" w:hAnsi="Times New Roman" w:cs="Times New Roman"/>
          <w:color w:val="000000" w:themeColor="text1"/>
          <w:sz w:val="23"/>
          <w:szCs w:val="23"/>
          <w:lang w:val="en-US"/>
        </w:rPr>
        <w:t xml:space="preserve">, </w:t>
      </w:r>
      <w:r w:rsidR="00CE0D68">
        <w:rPr>
          <w:rFonts w:ascii="Times New Roman" w:hAnsi="Times New Roman" w:cs="Times New Roman"/>
          <w:color w:val="000000" w:themeColor="text1"/>
          <w:sz w:val="23"/>
          <w:szCs w:val="23"/>
          <w:lang w:val="en-US"/>
        </w:rPr>
        <w:t>and finds</w:t>
      </w:r>
      <w:r w:rsidR="00274AFA" w:rsidRPr="00983193">
        <w:rPr>
          <w:rFonts w:ascii="Times New Roman" w:hAnsi="Times New Roman" w:cs="Times New Roman"/>
          <w:color w:val="000000" w:themeColor="text1"/>
          <w:sz w:val="23"/>
          <w:szCs w:val="23"/>
          <w:lang w:val="en-US"/>
        </w:rPr>
        <w:t xml:space="preserve"> a</w:t>
      </w:r>
      <w:r w:rsidR="00C96E9E">
        <w:rPr>
          <w:rFonts w:ascii="Times New Roman" w:hAnsi="Times New Roman" w:cs="Times New Roman"/>
          <w:color w:val="000000" w:themeColor="text1"/>
          <w:sz w:val="23"/>
          <w:szCs w:val="23"/>
          <w:lang w:val="en-US"/>
        </w:rPr>
        <w:t xml:space="preserve"> positive and statistically significant</w:t>
      </w:r>
      <w:r w:rsidR="00274AFA" w:rsidRPr="00983193">
        <w:rPr>
          <w:rFonts w:ascii="Times New Roman" w:hAnsi="Times New Roman" w:cs="Times New Roman"/>
          <w:color w:val="000000" w:themeColor="text1"/>
          <w:sz w:val="23"/>
          <w:szCs w:val="23"/>
          <w:lang w:val="en-US"/>
        </w:rPr>
        <w:t xml:space="preserve"> </w:t>
      </w:r>
      <w:r w:rsidR="00CE0D68">
        <w:rPr>
          <w:rFonts w:ascii="Times New Roman" w:hAnsi="Times New Roman" w:cs="Times New Roman"/>
          <w:color w:val="000000" w:themeColor="text1"/>
          <w:sz w:val="23"/>
          <w:szCs w:val="23"/>
          <w:lang w:val="en-US"/>
        </w:rPr>
        <w:t>relationship</w:t>
      </w:r>
      <w:r w:rsidR="00274AFA" w:rsidRPr="00983193">
        <w:rPr>
          <w:rFonts w:ascii="Times New Roman" w:hAnsi="Times New Roman" w:cs="Times New Roman"/>
          <w:color w:val="000000" w:themeColor="text1"/>
          <w:sz w:val="23"/>
          <w:szCs w:val="23"/>
          <w:lang w:val="en-US"/>
        </w:rPr>
        <w:t xml:space="preserve"> between </w:t>
      </w:r>
      <w:r w:rsidR="00CE0D68" w:rsidRPr="00983193">
        <w:rPr>
          <w:rFonts w:ascii="Times New Roman" w:hAnsi="Times New Roman" w:cs="Times New Roman"/>
          <w:color w:val="000000" w:themeColor="text1"/>
          <w:sz w:val="23"/>
          <w:szCs w:val="23"/>
          <w:lang w:val="en-US"/>
        </w:rPr>
        <w:t>the M</w:t>
      </w:r>
      <w:r w:rsidR="00D3026A">
        <w:rPr>
          <w:rFonts w:ascii="Times New Roman" w:hAnsi="Times New Roman" w:cs="Times New Roman"/>
          <w:color w:val="000000" w:themeColor="text1"/>
          <w:sz w:val="23"/>
          <w:szCs w:val="23"/>
          <w:lang w:val="en-US"/>
        </w:rPr>
        <w:t>t</w:t>
      </w:r>
      <w:r w:rsidR="00CE0D68" w:rsidRPr="00983193">
        <w:rPr>
          <w:rFonts w:ascii="Times New Roman" w:hAnsi="Times New Roman" w:cs="Times New Roman"/>
          <w:color w:val="000000" w:themeColor="text1"/>
          <w:sz w:val="23"/>
          <w:szCs w:val="23"/>
          <w:lang w:val="en-US"/>
        </w:rPr>
        <w:t>B ratio</w:t>
      </w:r>
      <w:r w:rsidR="00CE0D68" w:rsidRPr="00983193" w:rsidDel="00CE0D68">
        <w:rPr>
          <w:rFonts w:ascii="Times New Roman" w:hAnsi="Times New Roman" w:cs="Times New Roman"/>
          <w:color w:val="000000" w:themeColor="text1"/>
          <w:sz w:val="23"/>
          <w:szCs w:val="23"/>
          <w:lang w:val="en-US"/>
        </w:rPr>
        <w:t xml:space="preserve"> </w:t>
      </w:r>
      <w:r w:rsidR="00CE0D68">
        <w:rPr>
          <w:rFonts w:ascii="Times New Roman" w:hAnsi="Times New Roman" w:cs="Times New Roman"/>
          <w:color w:val="000000" w:themeColor="text1"/>
          <w:sz w:val="23"/>
          <w:szCs w:val="23"/>
          <w:lang w:val="en-US"/>
        </w:rPr>
        <w:t xml:space="preserve">and </w:t>
      </w:r>
      <w:r w:rsidR="00274AFA" w:rsidRPr="00983193">
        <w:rPr>
          <w:rFonts w:ascii="Times New Roman" w:hAnsi="Times New Roman" w:cs="Times New Roman"/>
          <w:color w:val="000000" w:themeColor="text1"/>
          <w:sz w:val="23"/>
          <w:szCs w:val="23"/>
          <w:lang w:val="en-US"/>
        </w:rPr>
        <w:t>goodwill, growth, risk, profitability. However, Cazavan-Jeny (2004, p.</w:t>
      </w:r>
      <w:r w:rsidR="00D47C4D">
        <w:rPr>
          <w:rFonts w:ascii="Times New Roman" w:hAnsi="Times New Roman" w:cs="Times New Roman"/>
          <w:color w:val="000000" w:themeColor="text1"/>
          <w:sz w:val="23"/>
          <w:szCs w:val="23"/>
          <w:lang w:val="en-US"/>
        </w:rPr>
        <w:t xml:space="preserve"> </w:t>
      </w:r>
      <w:r w:rsidR="00274AFA" w:rsidRPr="00983193">
        <w:rPr>
          <w:rFonts w:ascii="Times New Roman" w:hAnsi="Times New Roman" w:cs="Times New Roman"/>
          <w:color w:val="000000" w:themeColor="text1"/>
          <w:sz w:val="23"/>
          <w:szCs w:val="23"/>
          <w:lang w:val="en-US"/>
        </w:rPr>
        <w:t xml:space="preserve">21) </w:t>
      </w:r>
      <w:r w:rsidR="00CE0D68">
        <w:rPr>
          <w:rFonts w:ascii="Times New Roman" w:hAnsi="Times New Roman" w:cs="Times New Roman"/>
          <w:color w:val="000000" w:themeColor="text1"/>
          <w:sz w:val="23"/>
          <w:szCs w:val="23"/>
          <w:lang w:val="en-US"/>
        </w:rPr>
        <w:t>finds no</w:t>
      </w:r>
      <w:r w:rsidR="00274AFA" w:rsidRPr="00983193">
        <w:rPr>
          <w:rFonts w:ascii="Times New Roman" w:hAnsi="Times New Roman" w:cs="Times New Roman"/>
          <w:color w:val="000000" w:themeColor="text1"/>
          <w:sz w:val="23"/>
          <w:szCs w:val="23"/>
          <w:lang w:val="en-US"/>
        </w:rPr>
        <w:t xml:space="preserve"> association between </w:t>
      </w:r>
      <w:r w:rsidR="00CE0D68">
        <w:rPr>
          <w:rFonts w:ascii="Times New Roman" w:hAnsi="Times New Roman" w:cs="Times New Roman"/>
          <w:color w:val="000000" w:themeColor="text1"/>
          <w:sz w:val="23"/>
          <w:szCs w:val="23"/>
          <w:lang w:val="en-US"/>
        </w:rPr>
        <w:t xml:space="preserve">the </w:t>
      </w:r>
      <w:r w:rsidR="00274AFA" w:rsidRPr="00983193">
        <w:rPr>
          <w:rFonts w:ascii="Times New Roman" w:hAnsi="Times New Roman" w:cs="Times New Roman"/>
          <w:color w:val="000000" w:themeColor="text1"/>
          <w:sz w:val="23"/>
          <w:szCs w:val="23"/>
          <w:lang w:val="en-US"/>
        </w:rPr>
        <w:t>M</w:t>
      </w:r>
      <w:r w:rsidR="006C1B92">
        <w:rPr>
          <w:rFonts w:ascii="Times New Roman" w:hAnsi="Times New Roman" w:cs="Times New Roman"/>
          <w:color w:val="000000" w:themeColor="text1"/>
          <w:sz w:val="23"/>
          <w:szCs w:val="23"/>
          <w:lang w:val="en-US"/>
        </w:rPr>
        <w:t>t</w:t>
      </w:r>
      <w:r w:rsidR="00274AFA" w:rsidRPr="00983193">
        <w:rPr>
          <w:rFonts w:ascii="Times New Roman" w:hAnsi="Times New Roman" w:cs="Times New Roman"/>
          <w:color w:val="000000" w:themeColor="text1"/>
          <w:sz w:val="23"/>
          <w:szCs w:val="23"/>
          <w:lang w:val="en-US"/>
        </w:rPr>
        <w:t xml:space="preserve">B ratio and </w:t>
      </w:r>
      <w:r w:rsidR="00CE0D68">
        <w:rPr>
          <w:rFonts w:ascii="Times New Roman" w:hAnsi="Times New Roman" w:cs="Times New Roman"/>
          <w:color w:val="000000" w:themeColor="text1"/>
          <w:sz w:val="23"/>
          <w:szCs w:val="23"/>
          <w:lang w:val="en-US"/>
        </w:rPr>
        <w:t xml:space="preserve">either </w:t>
      </w:r>
      <w:r w:rsidR="00274AFA" w:rsidRPr="00983193">
        <w:rPr>
          <w:rFonts w:ascii="Times New Roman" w:hAnsi="Times New Roman" w:cs="Times New Roman"/>
          <w:color w:val="000000" w:themeColor="text1"/>
          <w:sz w:val="23"/>
          <w:szCs w:val="23"/>
          <w:lang w:val="en-US"/>
        </w:rPr>
        <w:t xml:space="preserve">expensed intangible intensity or the </w:t>
      </w:r>
      <w:r w:rsidR="00274AFA" w:rsidRPr="009946C9">
        <w:rPr>
          <w:rFonts w:ascii="Times New Roman" w:hAnsi="Times New Roman" w:cs="Times New Roman"/>
          <w:noProof/>
          <w:color w:val="000000" w:themeColor="text1"/>
          <w:sz w:val="23"/>
          <w:szCs w:val="23"/>
          <w:lang w:val="en-US"/>
        </w:rPr>
        <w:t>capitali</w:t>
      </w:r>
      <w:r w:rsidR="009946C9">
        <w:rPr>
          <w:rFonts w:ascii="Times New Roman" w:hAnsi="Times New Roman" w:cs="Times New Roman"/>
          <w:noProof/>
          <w:color w:val="000000" w:themeColor="text1"/>
          <w:sz w:val="23"/>
          <w:szCs w:val="23"/>
          <w:lang w:val="en-US"/>
        </w:rPr>
        <w:t>z</w:t>
      </w:r>
      <w:r w:rsidR="00274AFA" w:rsidRPr="009946C9">
        <w:rPr>
          <w:rFonts w:ascii="Times New Roman" w:hAnsi="Times New Roman" w:cs="Times New Roman"/>
          <w:noProof/>
          <w:color w:val="000000" w:themeColor="text1"/>
          <w:sz w:val="23"/>
          <w:szCs w:val="23"/>
          <w:lang w:val="en-US"/>
        </w:rPr>
        <w:t>ed</w:t>
      </w:r>
      <w:r w:rsidR="00274AFA" w:rsidRPr="00983193">
        <w:rPr>
          <w:rFonts w:ascii="Times New Roman" w:hAnsi="Times New Roman" w:cs="Times New Roman"/>
          <w:color w:val="000000" w:themeColor="text1"/>
          <w:sz w:val="23"/>
          <w:szCs w:val="23"/>
          <w:lang w:val="en-US"/>
        </w:rPr>
        <w:t xml:space="preserve"> intangible intensity.</w:t>
      </w:r>
    </w:p>
    <w:p w14:paraId="0EDB2C82" w14:textId="77777777" w:rsidR="0004562C" w:rsidRPr="00983193" w:rsidRDefault="00751A7D" w:rsidP="002B0C11">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04562C" w:rsidRPr="00983193">
        <w:rPr>
          <w:rFonts w:ascii="Times New Roman" w:hAnsi="Times New Roman" w:cs="Times New Roman"/>
          <w:color w:val="000000" w:themeColor="text1"/>
          <w:sz w:val="23"/>
          <w:szCs w:val="23"/>
          <w:lang w:val="en-US"/>
        </w:rPr>
        <w:t xml:space="preserve">Bramhandkar et al. (2007) </w:t>
      </w:r>
      <w:r w:rsidR="00CE0D68">
        <w:rPr>
          <w:rFonts w:ascii="Times New Roman" w:hAnsi="Times New Roman" w:cs="Times New Roman"/>
          <w:color w:val="000000" w:themeColor="text1"/>
          <w:sz w:val="23"/>
          <w:szCs w:val="23"/>
          <w:lang w:val="en-US"/>
        </w:rPr>
        <w:t>study</w:t>
      </w:r>
      <w:r w:rsidR="0004562C" w:rsidRPr="00983193">
        <w:rPr>
          <w:rFonts w:ascii="Times New Roman" w:hAnsi="Times New Roman" w:cs="Times New Roman"/>
          <w:color w:val="000000" w:themeColor="text1"/>
          <w:sz w:val="23"/>
          <w:szCs w:val="23"/>
          <w:lang w:val="en-US"/>
        </w:rPr>
        <w:t xml:space="preserve"> a sample of 139 </w:t>
      </w:r>
      <w:r w:rsidR="00CE0D68" w:rsidRPr="00983193">
        <w:rPr>
          <w:rFonts w:ascii="Times New Roman" w:hAnsi="Times New Roman" w:cs="Times New Roman"/>
          <w:color w:val="000000" w:themeColor="text1"/>
          <w:sz w:val="23"/>
          <w:szCs w:val="23"/>
          <w:lang w:val="en-US"/>
        </w:rPr>
        <w:t xml:space="preserve">drugs industry </w:t>
      </w:r>
      <w:r w:rsidR="0004562C" w:rsidRPr="00983193">
        <w:rPr>
          <w:rFonts w:ascii="Times New Roman" w:hAnsi="Times New Roman" w:cs="Times New Roman"/>
          <w:color w:val="000000" w:themeColor="text1"/>
          <w:sz w:val="23"/>
          <w:szCs w:val="23"/>
          <w:lang w:val="en-US"/>
        </w:rPr>
        <w:t xml:space="preserve">firms , </w:t>
      </w:r>
      <w:r w:rsidR="00CE0D68">
        <w:rPr>
          <w:rFonts w:ascii="Times New Roman" w:hAnsi="Times New Roman" w:cs="Times New Roman"/>
          <w:color w:val="000000" w:themeColor="text1"/>
          <w:sz w:val="23"/>
          <w:szCs w:val="23"/>
          <w:lang w:val="en-US"/>
        </w:rPr>
        <w:t xml:space="preserve">focusing on </w:t>
      </w:r>
      <w:r w:rsidR="0004562C" w:rsidRPr="00983193">
        <w:rPr>
          <w:rFonts w:ascii="Times New Roman" w:hAnsi="Times New Roman" w:cs="Times New Roman"/>
          <w:color w:val="000000" w:themeColor="text1"/>
          <w:sz w:val="23"/>
          <w:szCs w:val="23"/>
          <w:lang w:val="en-US"/>
        </w:rPr>
        <w:t xml:space="preserve">the impact of intellectual capital management, measured as </w:t>
      </w:r>
      <w:r w:rsidR="00CE0D68">
        <w:rPr>
          <w:rFonts w:ascii="Times New Roman" w:hAnsi="Times New Roman" w:cs="Times New Roman"/>
          <w:color w:val="000000" w:themeColor="text1"/>
          <w:sz w:val="23"/>
          <w:szCs w:val="23"/>
          <w:lang w:val="en-US"/>
        </w:rPr>
        <w:t>the</w:t>
      </w:r>
      <w:r w:rsidR="0004562C" w:rsidRPr="00983193">
        <w:rPr>
          <w:rFonts w:ascii="Times New Roman" w:hAnsi="Times New Roman" w:cs="Times New Roman"/>
          <w:color w:val="000000" w:themeColor="text1"/>
          <w:sz w:val="23"/>
          <w:szCs w:val="23"/>
          <w:lang w:val="en-US"/>
        </w:rPr>
        <w:t xml:space="preserve"> difference between market value and book value, on organizational performance</w:t>
      </w:r>
      <w:r w:rsidR="00CE0D68">
        <w:rPr>
          <w:rFonts w:ascii="Times New Roman" w:hAnsi="Times New Roman" w:cs="Times New Roman"/>
          <w:color w:val="000000" w:themeColor="text1"/>
          <w:sz w:val="23"/>
          <w:szCs w:val="23"/>
          <w:lang w:val="en-US"/>
        </w:rPr>
        <w:t>.</w:t>
      </w:r>
      <w:r w:rsidR="0004562C" w:rsidRPr="00983193">
        <w:rPr>
          <w:rFonts w:ascii="Times New Roman" w:hAnsi="Times New Roman" w:cs="Times New Roman"/>
          <w:color w:val="000000" w:themeColor="text1"/>
          <w:sz w:val="23"/>
          <w:szCs w:val="23"/>
          <w:lang w:val="en-US"/>
        </w:rPr>
        <w:t xml:space="preserve"> </w:t>
      </w:r>
      <w:r w:rsidR="00CE0D68">
        <w:rPr>
          <w:rFonts w:ascii="Times New Roman" w:hAnsi="Times New Roman" w:cs="Times New Roman"/>
          <w:color w:val="000000" w:themeColor="text1"/>
          <w:sz w:val="23"/>
          <w:szCs w:val="23"/>
          <w:lang w:val="en-US"/>
        </w:rPr>
        <w:t>They find</w:t>
      </w:r>
      <w:r w:rsidR="0004562C" w:rsidRPr="00983193">
        <w:rPr>
          <w:rFonts w:ascii="Times New Roman" w:hAnsi="Times New Roman" w:cs="Times New Roman"/>
          <w:color w:val="000000" w:themeColor="text1"/>
          <w:sz w:val="23"/>
          <w:szCs w:val="23"/>
          <w:lang w:val="en-US"/>
        </w:rPr>
        <w:t xml:space="preserve"> that firms with the highest level of intangible assets clearly perform better than those with lower levels</w:t>
      </w:r>
      <w:r w:rsidR="00CE0D68">
        <w:rPr>
          <w:rFonts w:ascii="Times New Roman" w:hAnsi="Times New Roman" w:cs="Times New Roman"/>
          <w:color w:val="000000" w:themeColor="text1"/>
          <w:sz w:val="23"/>
          <w:szCs w:val="23"/>
          <w:lang w:val="en-US"/>
        </w:rPr>
        <w:t>,</w:t>
      </w:r>
      <w:r w:rsidR="0004562C" w:rsidRPr="00983193">
        <w:rPr>
          <w:rFonts w:ascii="Times New Roman" w:hAnsi="Times New Roman" w:cs="Times New Roman"/>
          <w:color w:val="000000" w:themeColor="text1"/>
          <w:sz w:val="23"/>
          <w:szCs w:val="23"/>
          <w:lang w:val="en-US"/>
        </w:rPr>
        <w:t xml:space="preserve"> and that the </w:t>
      </w:r>
      <w:r w:rsidR="00CE0D68">
        <w:rPr>
          <w:rFonts w:ascii="Times New Roman" w:hAnsi="Times New Roman" w:cs="Times New Roman"/>
          <w:noProof/>
          <w:color w:val="000000" w:themeColor="text1"/>
          <w:sz w:val="23"/>
          <w:szCs w:val="23"/>
          <w:lang w:val="en-US"/>
        </w:rPr>
        <w:t>former</w:t>
      </w:r>
      <w:r w:rsidR="0004562C" w:rsidRPr="00983193">
        <w:rPr>
          <w:rFonts w:ascii="Times New Roman" w:hAnsi="Times New Roman" w:cs="Times New Roman"/>
          <w:color w:val="000000" w:themeColor="text1"/>
          <w:sz w:val="23"/>
          <w:szCs w:val="23"/>
          <w:lang w:val="en-US"/>
        </w:rPr>
        <w:t xml:space="preserve"> ha</w:t>
      </w:r>
      <w:r w:rsidR="00CE0D68">
        <w:rPr>
          <w:rFonts w:ascii="Times New Roman" w:hAnsi="Times New Roman" w:cs="Times New Roman"/>
          <w:color w:val="000000" w:themeColor="text1"/>
          <w:sz w:val="23"/>
          <w:szCs w:val="23"/>
          <w:lang w:val="en-US"/>
        </w:rPr>
        <w:t>ve</w:t>
      </w:r>
      <w:r w:rsidR="0004562C" w:rsidRPr="00983193">
        <w:rPr>
          <w:rFonts w:ascii="Times New Roman" w:hAnsi="Times New Roman" w:cs="Times New Roman"/>
          <w:color w:val="000000" w:themeColor="text1"/>
          <w:sz w:val="23"/>
          <w:szCs w:val="23"/>
          <w:lang w:val="en-US"/>
        </w:rPr>
        <w:t xml:space="preserve"> significantly better returns and significantly </w:t>
      </w:r>
      <w:r w:rsidR="0004562C" w:rsidRPr="00983193">
        <w:rPr>
          <w:rFonts w:ascii="Times New Roman" w:hAnsi="Times New Roman" w:cs="Times New Roman"/>
          <w:color w:val="000000" w:themeColor="text1"/>
          <w:sz w:val="23"/>
          <w:szCs w:val="23"/>
          <w:lang w:val="en-US"/>
        </w:rPr>
        <w:lastRenderedPageBreak/>
        <w:t>less variability in stock price</w:t>
      </w:r>
      <w:r w:rsidR="00CE0D68">
        <w:rPr>
          <w:rFonts w:ascii="Times New Roman" w:hAnsi="Times New Roman" w:cs="Times New Roman"/>
          <w:color w:val="000000" w:themeColor="text1"/>
          <w:sz w:val="23"/>
          <w:szCs w:val="23"/>
          <w:lang w:val="en-US"/>
        </w:rPr>
        <w:t>s</w:t>
      </w:r>
      <w:r w:rsidR="0004562C" w:rsidRPr="00983193">
        <w:rPr>
          <w:rFonts w:ascii="Times New Roman" w:hAnsi="Times New Roman" w:cs="Times New Roman"/>
          <w:color w:val="000000" w:themeColor="text1"/>
          <w:sz w:val="23"/>
          <w:szCs w:val="23"/>
          <w:lang w:val="en-US"/>
        </w:rPr>
        <w:t xml:space="preserve">. </w:t>
      </w:r>
      <w:r w:rsidR="00E56687" w:rsidRPr="00983193">
        <w:rPr>
          <w:rFonts w:ascii="Times New Roman" w:hAnsi="Times New Roman" w:cs="Times New Roman"/>
          <w:color w:val="000000" w:themeColor="text1"/>
          <w:sz w:val="23"/>
          <w:szCs w:val="23"/>
          <w:lang w:val="en-US"/>
        </w:rPr>
        <w:t xml:space="preserve">Lal Bhasin (2012) examine a </w:t>
      </w:r>
      <w:r w:rsidR="00CE0D68">
        <w:rPr>
          <w:rFonts w:ascii="Times New Roman" w:hAnsi="Times New Roman" w:cs="Times New Roman"/>
          <w:color w:val="000000" w:themeColor="text1"/>
          <w:sz w:val="23"/>
          <w:szCs w:val="23"/>
          <w:lang w:val="en-US"/>
        </w:rPr>
        <w:t xml:space="preserve">small </w:t>
      </w:r>
      <w:r w:rsidR="00E56687" w:rsidRPr="00983193">
        <w:rPr>
          <w:rFonts w:ascii="Times New Roman" w:hAnsi="Times New Roman" w:cs="Times New Roman"/>
          <w:color w:val="000000" w:themeColor="text1"/>
          <w:sz w:val="23"/>
          <w:szCs w:val="23"/>
          <w:lang w:val="en-US"/>
        </w:rPr>
        <w:t xml:space="preserve">sample of Indian pharmaceutical companies in which the market value added (MVA) approach is applied for measuring IC, </w:t>
      </w:r>
      <w:r w:rsidR="00CE0D68">
        <w:rPr>
          <w:rFonts w:ascii="Times New Roman" w:hAnsi="Times New Roman" w:cs="Times New Roman"/>
          <w:color w:val="000000" w:themeColor="text1"/>
          <w:sz w:val="23"/>
          <w:szCs w:val="23"/>
          <w:lang w:val="en-US"/>
        </w:rPr>
        <w:t xml:space="preserve">and they find </w:t>
      </w:r>
      <w:r w:rsidR="00E56687" w:rsidRPr="00983193">
        <w:rPr>
          <w:rFonts w:ascii="Times New Roman" w:hAnsi="Times New Roman" w:cs="Times New Roman"/>
          <w:color w:val="000000" w:themeColor="text1"/>
          <w:sz w:val="23"/>
          <w:szCs w:val="23"/>
          <w:lang w:val="en-US"/>
        </w:rPr>
        <w:t xml:space="preserve">a negative correlation between IC and </w:t>
      </w:r>
      <w:r w:rsidR="00CE0D68">
        <w:rPr>
          <w:rFonts w:ascii="Times New Roman" w:hAnsi="Times New Roman" w:cs="Times New Roman"/>
          <w:color w:val="000000" w:themeColor="text1"/>
          <w:sz w:val="23"/>
          <w:szCs w:val="23"/>
          <w:lang w:val="en-US"/>
        </w:rPr>
        <w:t>n</w:t>
      </w:r>
      <w:r w:rsidR="00E56687" w:rsidRPr="00983193">
        <w:rPr>
          <w:rFonts w:ascii="Times New Roman" w:hAnsi="Times New Roman" w:cs="Times New Roman"/>
          <w:color w:val="000000" w:themeColor="text1"/>
          <w:sz w:val="23"/>
          <w:szCs w:val="23"/>
          <w:lang w:val="en-US"/>
        </w:rPr>
        <w:t xml:space="preserve">et operating profit. </w:t>
      </w:r>
      <w:r w:rsidR="00CE0D68">
        <w:rPr>
          <w:rFonts w:ascii="Times New Roman" w:hAnsi="Times New Roman" w:cs="Times New Roman"/>
          <w:color w:val="000000" w:themeColor="text1"/>
          <w:sz w:val="23"/>
          <w:szCs w:val="23"/>
          <w:lang w:val="en-US"/>
        </w:rPr>
        <w:t>He also finds</w:t>
      </w:r>
      <w:r w:rsidR="00E56687" w:rsidRPr="00983193">
        <w:rPr>
          <w:rFonts w:ascii="Times New Roman" w:hAnsi="Times New Roman" w:cs="Times New Roman"/>
          <w:color w:val="000000" w:themeColor="text1"/>
          <w:sz w:val="23"/>
          <w:szCs w:val="23"/>
          <w:lang w:val="en-US"/>
        </w:rPr>
        <w:t xml:space="preserve"> that </w:t>
      </w:r>
      <w:r w:rsidR="00CE0D68" w:rsidRPr="00983193">
        <w:rPr>
          <w:rFonts w:ascii="Times New Roman" w:hAnsi="Times New Roman" w:cs="Times New Roman"/>
          <w:color w:val="000000" w:themeColor="text1"/>
          <w:sz w:val="23"/>
          <w:szCs w:val="23"/>
          <w:lang w:val="en-US"/>
        </w:rPr>
        <w:t xml:space="preserve">41.25% of market value </w:t>
      </w:r>
      <w:r w:rsidR="00CE0D68">
        <w:rPr>
          <w:rFonts w:ascii="Times New Roman" w:hAnsi="Times New Roman" w:cs="Times New Roman"/>
          <w:color w:val="000000" w:themeColor="text1"/>
          <w:sz w:val="23"/>
          <w:szCs w:val="23"/>
          <w:lang w:val="en-US"/>
        </w:rPr>
        <w:t xml:space="preserve">in </w:t>
      </w:r>
      <w:r w:rsidR="00D47C4D">
        <w:rPr>
          <w:rFonts w:ascii="Times New Roman" w:hAnsi="Times New Roman" w:cs="Times New Roman"/>
          <w:color w:val="000000" w:themeColor="text1"/>
          <w:sz w:val="23"/>
          <w:szCs w:val="23"/>
          <w:lang w:val="en-US"/>
        </w:rPr>
        <w:t>the</w:t>
      </w:r>
      <w:r w:rsidR="00CE0D68">
        <w:rPr>
          <w:rFonts w:ascii="Times New Roman" w:hAnsi="Times New Roman" w:cs="Times New Roman"/>
          <w:color w:val="000000" w:themeColor="text1"/>
          <w:sz w:val="23"/>
          <w:szCs w:val="23"/>
          <w:lang w:val="en-US"/>
        </w:rPr>
        <w:t xml:space="preserve"> is contributed by IC</w:t>
      </w:r>
      <w:r w:rsidR="00E56687" w:rsidRPr="00983193">
        <w:rPr>
          <w:rFonts w:ascii="Times New Roman" w:hAnsi="Times New Roman" w:cs="Times New Roman"/>
          <w:color w:val="000000" w:themeColor="text1"/>
          <w:sz w:val="23"/>
          <w:szCs w:val="23"/>
          <w:lang w:val="en-US"/>
        </w:rPr>
        <w:t xml:space="preserve">, </w:t>
      </w:r>
      <w:r w:rsidR="00CE0D68">
        <w:rPr>
          <w:rFonts w:ascii="Times New Roman" w:hAnsi="Times New Roman" w:cs="Times New Roman"/>
          <w:color w:val="000000" w:themeColor="text1"/>
          <w:sz w:val="23"/>
          <w:szCs w:val="23"/>
          <w:lang w:val="en-US"/>
        </w:rPr>
        <w:t>while the remainder is contributed by</w:t>
      </w:r>
      <w:r w:rsidR="00E56687" w:rsidRPr="00983193">
        <w:rPr>
          <w:rFonts w:ascii="Times New Roman" w:hAnsi="Times New Roman" w:cs="Times New Roman"/>
          <w:color w:val="000000" w:themeColor="text1"/>
          <w:sz w:val="23"/>
          <w:szCs w:val="23"/>
          <w:lang w:val="en-US"/>
        </w:rPr>
        <w:t xml:space="preserve"> tangible assets</w:t>
      </w:r>
      <w:r w:rsidR="00CE0D68">
        <w:rPr>
          <w:rFonts w:ascii="Times New Roman" w:hAnsi="Times New Roman" w:cs="Times New Roman"/>
          <w:color w:val="000000" w:themeColor="text1"/>
          <w:sz w:val="23"/>
          <w:szCs w:val="23"/>
          <w:lang w:val="en-US"/>
        </w:rPr>
        <w:t>. In an</w:t>
      </w:r>
      <w:r w:rsidR="00CE0D68" w:rsidRPr="00983193">
        <w:rPr>
          <w:rFonts w:ascii="Times New Roman" w:hAnsi="Times New Roman" w:cs="Times New Roman"/>
          <w:color w:val="000000" w:themeColor="text1"/>
          <w:sz w:val="23"/>
          <w:szCs w:val="23"/>
          <w:lang w:val="en-US"/>
        </w:rPr>
        <w:t xml:space="preserve"> Italian </w:t>
      </w:r>
      <w:r w:rsidR="00CE0D68" w:rsidRPr="009946C9">
        <w:rPr>
          <w:rFonts w:ascii="Times New Roman" w:hAnsi="Times New Roman" w:cs="Times New Roman"/>
          <w:noProof/>
          <w:color w:val="000000" w:themeColor="text1"/>
          <w:sz w:val="23"/>
          <w:szCs w:val="23"/>
          <w:lang w:val="en-US"/>
        </w:rPr>
        <w:t>context</w:t>
      </w:r>
      <w:r w:rsidR="00CE0D68">
        <w:rPr>
          <w:rFonts w:ascii="Times New Roman" w:hAnsi="Times New Roman" w:cs="Times New Roman"/>
          <w:noProof/>
          <w:color w:val="000000" w:themeColor="text1"/>
          <w:sz w:val="23"/>
          <w:szCs w:val="23"/>
          <w:lang w:val="en-US"/>
        </w:rPr>
        <w:t>,</w:t>
      </w:r>
      <w:r w:rsidR="00CE0D68" w:rsidRPr="00983193">
        <w:rPr>
          <w:rFonts w:ascii="Times New Roman" w:hAnsi="Times New Roman" w:cs="Times New Roman"/>
          <w:color w:val="000000" w:themeColor="text1"/>
          <w:sz w:val="23"/>
          <w:szCs w:val="23"/>
          <w:lang w:val="en-US"/>
        </w:rPr>
        <w:t xml:space="preserve"> </w:t>
      </w:r>
      <w:r w:rsidR="0079494D" w:rsidRPr="00F12168">
        <w:rPr>
          <w:rFonts w:ascii="Times New Roman" w:hAnsi="Times New Roman" w:cs="Times New Roman"/>
          <w:color w:val="000000" w:themeColor="text1"/>
          <w:sz w:val="23"/>
          <w:szCs w:val="23"/>
          <w:lang w:val="en-US"/>
        </w:rPr>
        <w:t>Forte</w:t>
      </w:r>
      <w:r w:rsidR="0079494D" w:rsidRPr="00983193">
        <w:rPr>
          <w:rFonts w:ascii="Times New Roman" w:hAnsi="Times New Roman" w:cs="Times New Roman"/>
          <w:color w:val="000000" w:themeColor="text1"/>
          <w:sz w:val="23"/>
          <w:szCs w:val="23"/>
          <w:lang w:val="en-US"/>
        </w:rPr>
        <w:t xml:space="preserve"> et al.</w:t>
      </w:r>
      <w:r w:rsidR="00426F94" w:rsidRPr="00983193">
        <w:rPr>
          <w:rFonts w:ascii="Times New Roman" w:hAnsi="Times New Roman" w:cs="Times New Roman"/>
          <w:color w:val="000000" w:themeColor="text1"/>
          <w:sz w:val="23"/>
          <w:szCs w:val="23"/>
          <w:lang w:val="en-US"/>
        </w:rPr>
        <w:t xml:space="preserve"> (2017), </w:t>
      </w:r>
      <w:r w:rsidR="00274AFA" w:rsidRPr="009946C9">
        <w:rPr>
          <w:rFonts w:ascii="Times New Roman" w:hAnsi="Times New Roman" w:cs="Times New Roman"/>
          <w:noProof/>
          <w:color w:val="000000" w:themeColor="text1"/>
          <w:sz w:val="23"/>
          <w:szCs w:val="23"/>
          <w:lang w:val="en-US"/>
        </w:rPr>
        <w:t>analy</w:t>
      </w:r>
      <w:r w:rsidR="009946C9">
        <w:rPr>
          <w:rFonts w:ascii="Times New Roman" w:hAnsi="Times New Roman" w:cs="Times New Roman"/>
          <w:noProof/>
          <w:color w:val="000000" w:themeColor="text1"/>
          <w:sz w:val="23"/>
          <w:szCs w:val="23"/>
          <w:lang w:val="en-US"/>
        </w:rPr>
        <w:t>z</w:t>
      </w:r>
      <w:r w:rsidR="00274AFA" w:rsidRPr="009946C9">
        <w:rPr>
          <w:rFonts w:ascii="Times New Roman" w:hAnsi="Times New Roman" w:cs="Times New Roman"/>
          <w:noProof/>
          <w:color w:val="000000" w:themeColor="text1"/>
          <w:sz w:val="23"/>
          <w:szCs w:val="23"/>
          <w:lang w:val="en-US"/>
        </w:rPr>
        <w:t>ed</w:t>
      </w:r>
      <w:r w:rsidR="00426F94" w:rsidRPr="00983193">
        <w:rPr>
          <w:rFonts w:ascii="Times New Roman" w:hAnsi="Times New Roman" w:cs="Times New Roman"/>
          <w:color w:val="000000" w:themeColor="text1"/>
          <w:sz w:val="23"/>
          <w:szCs w:val="23"/>
          <w:lang w:val="en-US"/>
        </w:rPr>
        <w:t xml:space="preserve"> a sample of</w:t>
      </w:r>
      <w:r w:rsidR="00274AFA" w:rsidRPr="00983193">
        <w:rPr>
          <w:rFonts w:ascii="Times New Roman" w:hAnsi="Times New Roman" w:cs="Times New Roman"/>
          <w:color w:val="000000" w:themeColor="text1"/>
          <w:sz w:val="23"/>
          <w:szCs w:val="23"/>
          <w:lang w:val="en-US"/>
        </w:rPr>
        <w:t xml:space="preserve"> </w:t>
      </w:r>
      <w:r w:rsidR="00426F94" w:rsidRPr="00983193">
        <w:rPr>
          <w:rFonts w:ascii="Times New Roman" w:hAnsi="Times New Roman" w:cs="Times New Roman"/>
          <w:color w:val="000000" w:themeColor="text1"/>
          <w:sz w:val="23"/>
          <w:szCs w:val="23"/>
          <w:lang w:val="en-US"/>
        </w:rPr>
        <w:t>140 Italian listed firms over the period 2009-2013</w:t>
      </w:r>
      <w:r w:rsidR="009212C3" w:rsidRPr="00983193">
        <w:rPr>
          <w:rFonts w:ascii="Times New Roman" w:hAnsi="Times New Roman" w:cs="Times New Roman"/>
          <w:color w:val="000000" w:themeColor="text1"/>
          <w:sz w:val="23"/>
          <w:szCs w:val="23"/>
          <w:lang w:val="en-US"/>
        </w:rPr>
        <w:t xml:space="preserve"> in order to test the relationship between IC value and other factors influencing IC value. They f</w:t>
      </w:r>
      <w:r w:rsidR="00CE0D68">
        <w:rPr>
          <w:rFonts w:ascii="Times New Roman" w:hAnsi="Times New Roman" w:cs="Times New Roman"/>
          <w:color w:val="000000" w:themeColor="text1"/>
          <w:sz w:val="23"/>
          <w:szCs w:val="23"/>
          <w:lang w:val="en-US"/>
        </w:rPr>
        <w:t>i</w:t>
      </w:r>
      <w:r w:rsidR="009212C3" w:rsidRPr="00983193">
        <w:rPr>
          <w:rFonts w:ascii="Times New Roman" w:hAnsi="Times New Roman" w:cs="Times New Roman"/>
          <w:color w:val="000000" w:themeColor="text1"/>
          <w:sz w:val="23"/>
          <w:szCs w:val="23"/>
          <w:lang w:val="en-US"/>
        </w:rPr>
        <w:t xml:space="preserve">nd that intangible assets, auditor quality, profitability, family ownership, and leverage positively affect IC value. </w:t>
      </w:r>
      <w:r w:rsidR="00056E08" w:rsidRPr="00983193">
        <w:rPr>
          <w:rFonts w:ascii="Times New Roman" w:hAnsi="Times New Roman" w:cs="Times New Roman"/>
          <w:color w:val="000000" w:themeColor="text1"/>
          <w:sz w:val="23"/>
          <w:szCs w:val="23"/>
          <w:lang w:val="en-US"/>
        </w:rPr>
        <w:t>Finally, Goebel (2015) conduct</w:t>
      </w:r>
      <w:r w:rsidR="00CE0D68">
        <w:rPr>
          <w:rFonts w:ascii="Times New Roman" w:hAnsi="Times New Roman" w:cs="Times New Roman"/>
          <w:color w:val="000000" w:themeColor="text1"/>
          <w:sz w:val="23"/>
          <w:szCs w:val="23"/>
          <w:lang w:val="en-US"/>
        </w:rPr>
        <w:t>s</w:t>
      </w:r>
      <w:r w:rsidR="00056E08" w:rsidRPr="00983193">
        <w:rPr>
          <w:rFonts w:ascii="Times New Roman" w:hAnsi="Times New Roman" w:cs="Times New Roman"/>
          <w:color w:val="000000" w:themeColor="text1"/>
          <w:sz w:val="23"/>
          <w:szCs w:val="23"/>
          <w:lang w:val="en-US"/>
        </w:rPr>
        <w:t xml:space="preserve"> a study of German </w:t>
      </w:r>
      <w:r w:rsidR="00CE0D68">
        <w:rPr>
          <w:rFonts w:ascii="Times New Roman" w:hAnsi="Times New Roman" w:cs="Times New Roman"/>
          <w:color w:val="000000" w:themeColor="text1"/>
          <w:sz w:val="23"/>
          <w:szCs w:val="23"/>
          <w:lang w:val="en-US"/>
        </w:rPr>
        <w:t xml:space="preserve">non-financial </w:t>
      </w:r>
      <w:r w:rsidR="00056E08" w:rsidRPr="00983193">
        <w:rPr>
          <w:rFonts w:ascii="Times New Roman" w:hAnsi="Times New Roman" w:cs="Times New Roman"/>
          <w:color w:val="000000" w:themeColor="text1"/>
          <w:sz w:val="23"/>
          <w:szCs w:val="23"/>
          <w:lang w:val="en-US"/>
        </w:rPr>
        <w:t>companies</w:t>
      </w:r>
      <w:r w:rsidR="00CE0D68">
        <w:rPr>
          <w:rFonts w:ascii="Times New Roman" w:hAnsi="Times New Roman" w:cs="Times New Roman"/>
          <w:color w:val="000000" w:themeColor="text1"/>
          <w:sz w:val="23"/>
          <w:szCs w:val="23"/>
          <w:lang w:val="en-US"/>
        </w:rPr>
        <w:t>,</w:t>
      </w:r>
      <w:r w:rsidR="00056E08" w:rsidRPr="00983193">
        <w:rPr>
          <w:rFonts w:ascii="Times New Roman" w:hAnsi="Times New Roman" w:cs="Times New Roman"/>
          <w:color w:val="000000" w:themeColor="text1"/>
          <w:sz w:val="23"/>
          <w:szCs w:val="23"/>
          <w:lang w:val="en-US"/>
        </w:rPr>
        <w:t xml:space="preserve"> comparing three IC value measure</w:t>
      </w:r>
      <w:r w:rsidR="00587051">
        <w:rPr>
          <w:rFonts w:ascii="Times New Roman" w:hAnsi="Times New Roman" w:cs="Times New Roman"/>
          <w:color w:val="000000" w:themeColor="text1"/>
          <w:sz w:val="23"/>
          <w:szCs w:val="23"/>
          <w:lang w:val="en-US"/>
        </w:rPr>
        <w:t>s,</w:t>
      </w:r>
      <w:r w:rsidR="00056E08" w:rsidRPr="00983193">
        <w:rPr>
          <w:rFonts w:ascii="Times New Roman" w:hAnsi="Times New Roman" w:cs="Times New Roman"/>
          <w:color w:val="000000" w:themeColor="text1"/>
          <w:sz w:val="23"/>
          <w:szCs w:val="23"/>
          <w:lang w:val="en-US"/>
        </w:rPr>
        <w:t xml:space="preserve"> M</w:t>
      </w:r>
      <w:r w:rsidR="006C1B92">
        <w:rPr>
          <w:rFonts w:ascii="Times New Roman" w:hAnsi="Times New Roman" w:cs="Times New Roman"/>
          <w:color w:val="000000" w:themeColor="text1"/>
          <w:sz w:val="23"/>
          <w:szCs w:val="23"/>
          <w:lang w:val="en-US"/>
        </w:rPr>
        <w:t>t</w:t>
      </w:r>
      <w:r w:rsidR="00056E08" w:rsidRPr="00983193">
        <w:rPr>
          <w:rFonts w:ascii="Times New Roman" w:hAnsi="Times New Roman" w:cs="Times New Roman"/>
          <w:color w:val="000000" w:themeColor="text1"/>
          <w:sz w:val="23"/>
          <w:szCs w:val="23"/>
          <w:lang w:val="en-US"/>
        </w:rPr>
        <w:t>B, LRVTB and Tobin’s q</w:t>
      </w:r>
      <w:r w:rsidR="00587051">
        <w:rPr>
          <w:rFonts w:ascii="Times New Roman" w:hAnsi="Times New Roman" w:cs="Times New Roman"/>
          <w:color w:val="000000" w:themeColor="text1"/>
          <w:sz w:val="23"/>
          <w:szCs w:val="23"/>
          <w:lang w:val="en-US"/>
        </w:rPr>
        <w:t>, and</w:t>
      </w:r>
      <w:r w:rsidR="00056E08" w:rsidRPr="00983193">
        <w:rPr>
          <w:rFonts w:ascii="Times New Roman" w:hAnsi="Times New Roman" w:cs="Times New Roman"/>
          <w:color w:val="000000" w:themeColor="text1"/>
          <w:sz w:val="23"/>
          <w:szCs w:val="23"/>
          <w:lang w:val="en-US"/>
        </w:rPr>
        <w:t xml:space="preserve"> f</w:t>
      </w:r>
      <w:r w:rsidR="00587051">
        <w:rPr>
          <w:rFonts w:ascii="Times New Roman" w:hAnsi="Times New Roman" w:cs="Times New Roman"/>
          <w:color w:val="000000" w:themeColor="text1"/>
          <w:sz w:val="23"/>
          <w:szCs w:val="23"/>
          <w:lang w:val="en-US"/>
        </w:rPr>
        <w:t>i</w:t>
      </w:r>
      <w:r w:rsidR="00056E08" w:rsidRPr="00983193">
        <w:rPr>
          <w:rFonts w:ascii="Times New Roman" w:hAnsi="Times New Roman" w:cs="Times New Roman"/>
          <w:color w:val="000000" w:themeColor="text1"/>
          <w:sz w:val="23"/>
          <w:szCs w:val="23"/>
          <w:lang w:val="en-US"/>
        </w:rPr>
        <w:t>nd</w:t>
      </w:r>
      <w:r w:rsidR="00587051">
        <w:rPr>
          <w:rFonts w:ascii="Times New Roman" w:hAnsi="Times New Roman" w:cs="Times New Roman"/>
          <w:color w:val="000000" w:themeColor="text1"/>
          <w:sz w:val="23"/>
          <w:szCs w:val="23"/>
          <w:lang w:val="en-US"/>
        </w:rPr>
        <w:t>s</w:t>
      </w:r>
      <w:r w:rsidR="00056E08" w:rsidRPr="00983193">
        <w:rPr>
          <w:rFonts w:ascii="Times New Roman" w:hAnsi="Times New Roman" w:cs="Times New Roman"/>
          <w:color w:val="000000" w:themeColor="text1"/>
          <w:sz w:val="23"/>
          <w:szCs w:val="23"/>
          <w:lang w:val="en-US"/>
        </w:rPr>
        <w:t xml:space="preserve"> that LRVTB is the best estimator for IC value. However, she </w:t>
      </w:r>
      <w:r w:rsidR="00587051">
        <w:rPr>
          <w:rFonts w:ascii="Times New Roman" w:hAnsi="Times New Roman" w:cs="Times New Roman"/>
          <w:color w:val="000000" w:themeColor="text1"/>
          <w:sz w:val="23"/>
          <w:szCs w:val="23"/>
          <w:lang w:val="en-US"/>
        </w:rPr>
        <w:t>does not</w:t>
      </w:r>
      <w:r w:rsidR="00587051" w:rsidRPr="00983193">
        <w:rPr>
          <w:rFonts w:ascii="Times New Roman" w:hAnsi="Times New Roman" w:cs="Times New Roman"/>
          <w:color w:val="000000" w:themeColor="text1"/>
          <w:sz w:val="23"/>
          <w:szCs w:val="23"/>
          <w:lang w:val="en-US"/>
        </w:rPr>
        <w:t xml:space="preserve"> </w:t>
      </w:r>
      <w:r w:rsidR="00056E08" w:rsidRPr="00983193">
        <w:rPr>
          <w:rFonts w:ascii="Times New Roman" w:hAnsi="Times New Roman" w:cs="Times New Roman"/>
          <w:color w:val="000000" w:themeColor="text1"/>
          <w:sz w:val="23"/>
          <w:szCs w:val="23"/>
          <w:lang w:val="en-US"/>
        </w:rPr>
        <w:t>find a significant relationship between LRVTB and intangible assets, but only a positive relationship with payments and leverage</w:t>
      </w:r>
      <w:r w:rsidR="00587051">
        <w:rPr>
          <w:rFonts w:ascii="Times New Roman" w:hAnsi="Times New Roman" w:cs="Times New Roman"/>
          <w:color w:val="000000" w:themeColor="text1"/>
          <w:sz w:val="23"/>
          <w:szCs w:val="23"/>
          <w:lang w:val="en-US"/>
        </w:rPr>
        <w:t>, and</w:t>
      </w:r>
      <w:r w:rsidR="00056E08" w:rsidRPr="00983193">
        <w:rPr>
          <w:rFonts w:ascii="Times New Roman" w:hAnsi="Times New Roman" w:cs="Times New Roman"/>
          <w:color w:val="000000" w:themeColor="text1"/>
          <w:sz w:val="23"/>
          <w:szCs w:val="23"/>
          <w:lang w:val="en-US"/>
        </w:rPr>
        <w:t xml:space="preserve"> a negative relationship with size. </w:t>
      </w:r>
    </w:p>
    <w:p w14:paraId="094742FC" w14:textId="77777777" w:rsidR="00871D8C" w:rsidRPr="00983193" w:rsidRDefault="00751A7D" w:rsidP="002B0C11">
      <w:pPr>
        <w:spacing w:after="0" w:line="240" w:lineRule="auto"/>
        <w:contextualSpacing/>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587051">
        <w:rPr>
          <w:rFonts w:ascii="Times New Roman" w:hAnsi="Times New Roman" w:cs="Times New Roman"/>
          <w:color w:val="000000" w:themeColor="text1"/>
          <w:sz w:val="23"/>
          <w:szCs w:val="23"/>
          <w:lang w:val="en-US"/>
        </w:rPr>
        <w:t>In summary,</w:t>
      </w:r>
      <w:r w:rsidR="00871D8C" w:rsidRPr="00983193">
        <w:rPr>
          <w:rFonts w:ascii="Times New Roman" w:hAnsi="Times New Roman" w:cs="Times New Roman"/>
          <w:color w:val="000000" w:themeColor="text1"/>
          <w:sz w:val="23"/>
          <w:szCs w:val="23"/>
          <w:lang w:val="en-US"/>
        </w:rPr>
        <w:t xml:space="preserve"> </w:t>
      </w:r>
      <w:r w:rsidR="00587051">
        <w:rPr>
          <w:rFonts w:ascii="Times New Roman" w:hAnsi="Times New Roman" w:cs="Times New Roman"/>
          <w:color w:val="000000" w:themeColor="text1"/>
          <w:sz w:val="23"/>
          <w:szCs w:val="23"/>
          <w:lang w:val="en-US"/>
        </w:rPr>
        <w:t>a review of</w:t>
      </w:r>
      <w:r w:rsidR="00587051" w:rsidRPr="00983193">
        <w:rPr>
          <w:rFonts w:ascii="Times New Roman" w:hAnsi="Times New Roman" w:cs="Times New Roman"/>
          <w:color w:val="000000" w:themeColor="text1"/>
          <w:sz w:val="23"/>
          <w:szCs w:val="23"/>
          <w:lang w:val="en-US"/>
        </w:rPr>
        <w:t xml:space="preserve"> </w:t>
      </w:r>
      <w:r w:rsidR="00871D8C" w:rsidRPr="00983193">
        <w:rPr>
          <w:rFonts w:ascii="Times New Roman" w:hAnsi="Times New Roman" w:cs="Times New Roman"/>
          <w:color w:val="000000" w:themeColor="text1"/>
          <w:sz w:val="23"/>
          <w:szCs w:val="23"/>
          <w:lang w:val="en-US"/>
        </w:rPr>
        <w:t xml:space="preserve">the extant literature </w:t>
      </w:r>
      <w:r w:rsidR="00587051">
        <w:rPr>
          <w:rFonts w:ascii="Times New Roman" w:hAnsi="Times New Roman" w:cs="Times New Roman"/>
          <w:color w:val="000000" w:themeColor="text1"/>
          <w:sz w:val="23"/>
          <w:szCs w:val="23"/>
          <w:lang w:val="en-US"/>
        </w:rPr>
        <w:t xml:space="preserve">reveals that </w:t>
      </w:r>
      <w:r w:rsidR="00871D8C" w:rsidRPr="00983193">
        <w:rPr>
          <w:rFonts w:ascii="Times New Roman" w:hAnsi="Times New Roman" w:cs="Times New Roman"/>
          <w:color w:val="000000" w:themeColor="text1"/>
          <w:sz w:val="23"/>
          <w:szCs w:val="23"/>
          <w:lang w:val="en-US"/>
        </w:rPr>
        <w:t xml:space="preserve">a gap </w:t>
      </w:r>
      <w:r w:rsidR="00587051">
        <w:rPr>
          <w:rFonts w:ascii="Times New Roman" w:hAnsi="Times New Roman" w:cs="Times New Roman"/>
          <w:color w:val="000000" w:themeColor="text1"/>
          <w:sz w:val="23"/>
          <w:szCs w:val="23"/>
          <w:lang w:val="en-US"/>
        </w:rPr>
        <w:t>exists as</w:t>
      </w:r>
      <w:r w:rsidR="00871D8C" w:rsidRPr="00983193">
        <w:rPr>
          <w:rFonts w:ascii="Times New Roman" w:hAnsi="Times New Roman" w:cs="Times New Roman"/>
          <w:color w:val="000000" w:themeColor="text1"/>
          <w:sz w:val="23"/>
          <w:szCs w:val="23"/>
          <w:lang w:val="en-US"/>
        </w:rPr>
        <w:t xml:space="preserve"> there </w:t>
      </w:r>
      <w:r w:rsidR="009946C9">
        <w:rPr>
          <w:rFonts w:ascii="Times New Roman" w:hAnsi="Times New Roman" w:cs="Times New Roman"/>
          <w:noProof/>
          <w:color w:val="000000" w:themeColor="text1"/>
          <w:sz w:val="23"/>
          <w:szCs w:val="23"/>
          <w:lang w:val="en-US"/>
        </w:rPr>
        <w:t>are</w:t>
      </w:r>
      <w:r w:rsidR="00871D8C" w:rsidRPr="00983193">
        <w:rPr>
          <w:rFonts w:ascii="Times New Roman" w:hAnsi="Times New Roman" w:cs="Times New Roman"/>
          <w:color w:val="000000" w:themeColor="text1"/>
          <w:sz w:val="23"/>
          <w:szCs w:val="23"/>
          <w:lang w:val="en-US"/>
        </w:rPr>
        <w:t xml:space="preserve"> </w:t>
      </w:r>
      <w:r w:rsidR="00587051">
        <w:rPr>
          <w:rFonts w:ascii="Times New Roman" w:hAnsi="Times New Roman" w:cs="Times New Roman"/>
          <w:color w:val="000000" w:themeColor="text1"/>
          <w:sz w:val="23"/>
          <w:szCs w:val="23"/>
          <w:lang w:val="en-US"/>
        </w:rPr>
        <w:t>is</w:t>
      </w:r>
      <w:r w:rsidR="00871D8C" w:rsidRPr="00983193">
        <w:rPr>
          <w:rFonts w:ascii="Times New Roman" w:hAnsi="Times New Roman" w:cs="Times New Roman"/>
          <w:color w:val="000000" w:themeColor="text1"/>
          <w:sz w:val="23"/>
          <w:szCs w:val="23"/>
          <w:lang w:val="en-US"/>
        </w:rPr>
        <w:t xml:space="preserve"> plethora of empirical studies which employ only a method for IC measurement</w:t>
      </w:r>
      <w:r w:rsidR="00587051">
        <w:rPr>
          <w:rFonts w:ascii="Times New Roman" w:hAnsi="Times New Roman" w:cs="Times New Roman"/>
          <w:color w:val="000000" w:themeColor="text1"/>
          <w:sz w:val="23"/>
          <w:szCs w:val="23"/>
          <w:lang w:val="en-US"/>
        </w:rPr>
        <w:t>,</w:t>
      </w:r>
      <w:r w:rsidR="00D01436" w:rsidRPr="00983193">
        <w:rPr>
          <w:rFonts w:ascii="Times New Roman" w:hAnsi="Times New Roman" w:cs="Times New Roman"/>
          <w:color w:val="000000" w:themeColor="text1"/>
          <w:sz w:val="23"/>
          <w:szCs w:val="23"/>
          <w:lang w:val="en-US"/>
        </w:rPr>
        <w:t xml:space="preserve"> </w:t>
      </w:r>
      <w:r w:rsidR="00587051">
        <w:rPr>
          <w:rFonts w:ascii="Times New Roman" w:hAnsi="Times New Roman" w:cs="Times New Roman"/>
          <w:color w:val="000000" w:themeColor="text1"/>
          <w:sz w:val="23"/>
          <w:szCs w:val="23"/>
          <w:lang w:val="en-US"/>
        </w:rPr>
        <w:t>while a paucity of studies</w:t>
      </w:r>
      <w:r w:rsidR="00D01436" w:rsidRPr="00983193">
        <w:rPr>
          <w:rFonts w:ascii="Times New Roman" w:hAnsi="Times New Roman" w:cs="Times New Roman"/>
          <w:color w:val="000000" w:themeColor="text1"/>
          <w:sz w:val="23"/>
          <w:szCs w:val="23"/>
          <w:lang w:val="en-US"/>
        </w:rPr>
        <w:t xml:space="preserve"> compare different IC value measure</w:t>
      </w:r>
      <w:r w:rsidR="00587051">
        <w:rPr>
          <w:rFonts w:ascii="Times New Roman" w:hAnsi="Times New Roman" w:cs="Times New Roman"/>
          <w:color w:val="000000" w:themeColor="text1"/>
          <w:sz w:val="23"/>
          <w:szCs w:val="23"/>
          <w:lang w:val="en-US"/>
        </w:rPr>
        <w:t>s</w:t>
      </w:r>
      <w:r w:rsidR="00D01436" w:rsidRPr="00983193">
        <w:rPr>
          <w:rFonts w:ascii="Times New Roman" w:hAnsi="Times New Roman" w:cs="Times New Roman"/>
          <w:color w:val="000000" w:themeColor="text1"/>
          <w:sz w:val="23"/>
          <w:szCs w:val="23"/>
          <w:lang w:val="en-US"/>
        </w:rPr>
        <w:t>.</w:t>
      </w:r>
      <w:r w:rsidR="00871D8C" w:rsidRPr="00983193">
        <w:rPr>
          <w:rFonts w:ascii="Times New Roman" w:hAnsi="Times New Roman" w:cs="Times New Roman"/>
          <w:color w:val="000000" w:themeColor="text1"/>
          <w:sz w:val="23"/>
          <w:szCs w:val="23"/>
          <w:lang w:val="en-US"/>
        </w:rPr>
        <w:t xml:space="preserve"> </w:t>
      </w:r>
      <w:r w:rsidR="00587051">
        <w:rPr>
          <w:rFonts w:ascii="Times New Roman" w:hAnsi="Times New Roman" w:cs="Times New Roman"/>
          <w:color w:val="000000" w:themeColor="text1"/>
          <w:sz w:val="23"/>
          <w:szCs w:val="23"/>
          <w:lang w:val="en-US"/>
        </w:rPr>
        <w:t>As each</w:t>
      </w:r>
      <w:r w:rsidR="00871D8C" w:rsidRPr="00983193">
        <w:rPr>
          <w:rFonts w:ascii="Times New Roman" w:hAnsi="Times New Roman" w:cs="Times New Roman"/>
          <w:color w:val="000000" w:themeColor="text1"/>
          <w:sz w:val="23"/>
          <w:szCs w:val="23"/>
          <w:lang w:val="en-US"/>
        </w:rPr>
        <w:t xml:space="preserve"> method has its </w:t>
      </w:r>
      <w:r w:rsidR="00587051">
        <w:rPr>
          <w:rFonts w:ascii="Times New Roman" w:hAnsi="Times New Roman" w:cs="Times New Roman"/>
          <w:color w:val="000000" w:themeColor="text1"/>
          <w:sz w:val="23"/>
          <w:szCs w:val="23"/>
          <w:lang w:val="en-US"/>
        </w:rPr>
        <w:t>relative merits</w:t>
      </w:r>
      <w:r w:rsidR="00871D8C" w:rsidRPr="00983193">
        <w:rPr>
          <w:rFonts w:ascii="Times New Roman" w:hAnsi="Times New Roman" w:cs="Times New Roman"/>
          <w:color w:val="000000" w:themeColor="text1"/>
          <w:sz w:val="23"/>
          <w:szCs w:val="23"/>
          <w:lang w:val="en-US"/>
        </w:rPr>
        <w:t xml:space="preserve">, </w:t>
      </w:r>
      <w:r w:rsidR="00587051">
        <w:rPr>
          <w:rFonts w:ascii="Times New Roman" w:hAnsi="Times New Roman" w:cs="Times New Roman"/>
          <w:color w:val="000000" w:themeColor="text1"/>
          <w:sz w:val="23"/>
          <w:szCs w:val="23"/>
          <w:lang w:val="en-US"/>
        </w:rPr>
        <w:t>this paper</w:t>
      </w:r>
      <w:r w:rsidR="00D01436" w:rsidRPr="00983193">
        <w:rPr>
          <w:rFonts w:ascii="Times New Roman" w:hAnsi="Times New Roman" w:cs="Times New Roman"/>
          <w:color w:val="000000" w:themeColor="text1"/>
          <w:sz w:val="23"/>
          <w:szCs w:val="23"/>
          <w:lang w:val="en-US"/>
        </w:rPr>
        <w:t xml:space="preserve">, </w:t>
      </w:r>
      <w:r w:rsidR="00587051">
        <w:rPr>
          <w:rFonts w:ascii="Times New Roman" w:hAnsi="Times New Roman" w:cs="Times New Roman"/>
          <w:color w:val="000000" w:themeColor="text1"/>
          <w:sz w:val="23"/>
          <w:szCs w:val="23"/>
          <w:lang w:val="en-US"/>
        </w:rPr>
        <w:t>consistent</w:t>
      </w:r>
      <w:r w:rsidR="00D01436" w:rsidRPr="00983193">
        <w:rPr>
          <w:rFonts w:ascii="Times New Roman" w:hAnsi="Times New Roman" w:cs="Times New Roman"/>
          <w:color w:val="000000" w:themeColor="text1"/>
          <w:sz w:val="23"/>
          <w:szCs w:val="23"/>
          <w:lang w:val="en-US"/>
        </w:rPr>
        <w:t xml:space="preserve"> with Goebel (2015), </w:t>
      </w:r>
      <w:r w:rsidR="00587051">
        <w:rPr>
          <w:rFonts w:ascii="Times New Roman" w:hAnsi="Times New Roman" w:cs="Times New Roman"/>
          <w:color w:val="000000" w:themeColor="text1"/>
          <w:sz w:val="23"/>
          <w:szCs w:val="23"/>
          <w:lang w:val="en-US"/>
        </w:rPr>
        <w:t>attempts</w:t>
      </w:r>
      <w:r w:rsidR="00587051" w:rsidRPr="00983193">
        <w:rPr>
          <w:rFonts w:ascii="Times New Roman" w:hAnsi="Times New Roman" w:cs="Times New Roman"/>
          <w:color w:val="000000" w:themeColor="text1"/>
          <w:sz w:val="23"/>
          <w:szCs w:val="23"/>
          <w:lang w:val="en-US"/>
        </w:rPr>
        <w:t xml:space="preserve"> </w:t>
      </w:r>
      <w:r w:rsidR="00D01436" w:rsidRPr="00983193">
        <w:rPr>
          <w:rFonts w:ascii="Times New Roman" w:hAnsi="Times New Roman" w:cs="Times New Roman"/>
          <w:color w:val="000000" w:themeColor="text1"/>
          <w:sz w:val="23"/>
          <w:szCs w:val="23"/>
          <w:lang w:val="en-US"/>
        </w:rPr>
        <w:t>to fill th</w:t>
      </w:r>
      <w:r w:rsidR="00587051">
        <w:rPr>
          <w:rFonts w:ascii="Times New Roman" w:hAnsi="Times New Roman" w:cs="Times New Roman"/>
          <w:color w:val="000000" w:themeColor="text1"/>
          <w:sz w:val="23"/>
          <w:szCs w:val="23"/>
          <w:lang w:val="en-US"/>
        </w:rPr>
        <w:t>e</w:t>
      </w:r>
      <w:r w:rsidR="00D01436" w:rsidRPr="00983193">
        <w:rPr>
          <w:rFonts w:ascii="Times New Roman" w:hAnsi="Times New Roman" w:cs="Times New Roman"/>
          <w:color w:val="000000" w:themeColor="text1"/>
          <w:sz w:val="23"/>
          <w:szCs w:val="23"/>
          <w:lang w:val="en-US"/>
        </w:rPr>
        <w:t xml:space="preserve"> gap by </w:t>
      </w:r>
      <w:r w:rsidR="00587051">
        <w:rPr>
          <w:rFonts w:ascii="Times New Roman" w:hAnsi="Times New Roman" w:cs="Times New Roman"/>
          <w:color w:val="000000" w:themeColor="text1"/>
          <w:sz w:val="23"/>
          <w:szCs w:val="23"/>
          <w:lang w:val="en-US"/>
        </w:rPr>
        <w:t>engaging in</w:t>
      </w:r>
      <w:r w:rsidR="00587051" w:rsidRPr="00983193">
        <w:rPr>
          <w:rFonts w:ascii="Times New Roman" w:hAnsi="Times New Roman" w:cs="Times New Roman"/>
          <w:color w:val="000000" w:themeColor="text1"/>
          <w:sz w:val="23"/>
          <w:szCs w:val="23"/>
          <w:lang w:val="en-US"/>
        </w:rPr>
        <w:t xml:space="preserve"> </w:t>
      </w:r>
      <w:r w:rsidR="00D01436" w:rsidRPr="00983193">
        <w:rPr>
          <w:rFonts w:ascii="Times New Roman" w:hAnsi="Times New Roman" w:cs="Times New Roman"/>
          <w:color w:val="000000" w:themeColor="text1"/>
          <w:sz w:val="23"/>
          <w:szCs w:val="23"/>
          <w:lang w:val="en-US"/>
        </w:rPr>
        <w:t xml:space="preserve">a comparison between two among the most </w:t>
      </w:r>
      <w:r w:rsidR="00587051">
        <w:rPr>
          <w:rFonts w:ascii="Times New Roman" w:hAnsi="Times New Roman" w:cs="Times New Roman"/>
          <w:color w:val="000000" w:themeColor="text1"/>
          <w:sz w:val="23"/>
          <w:szCs w:val="23"/>
          <w:lang w:val="en-US"/>
        </w:rPr>
        <w:t xml:space="preserve">commonly </w:t>
      </w:r>
      <w:r w:rsidR="00D01436" w:rsidRPr="00983193">
        <w:rPr>
          <w:rFonts w:ascii="Times New Roman" w:hAnsi="Times New Roman" w:cs="Times New Roman"/>
          <w:color w:val="000000" w:themeColor="text1"/>
          <w:sz w:val="23"/>
          <w:szCs w:val="23"/>
          <w:lang w:val="en-US"/>
        </w:rPr>
        <w:t>utilized IC measurement methods</w:t>
      </w:r>
      <w:r w:rsidR="00587051">
        <w:rPr>
          <w:rFonts w:ascii="Times New Roman" w:hAnsi="Times New Roman" w:cs="Times New Roman"/>
          <w:color w:val="000000" w:themeColor="text1"/>
          <w:sz w:val="23"/>
          <w:szCs w:val="23"/>
          <w:lang w:val="en-US"/>
        </w:rPr>
        <w:t>,</w:t>
      </w:r>
      <w:r w:rsidR="00D01436" w:rsidRPr="00983193">
        <w:rPr>
          <w:rFonts w:ascii="Times New Roman" w:hAnsi="Times New Roman" w:cs="Times New Roman"/>
          <w:color w:val="000000" w:themeColor="text1"/>
          <w:sz w:val="23"/>
          <w:szCs w:val="23"/>
          <w:lang w:val="en-US"/>
        </w:rPr>
        <w:t xml:space="preserve"> </w:t>
      </w:r>
      <w:r w:rsidR="00587051">
        <w:rPr>
          <w:rFonts w:ascii="Times New Roman" w:hAnsi="Times New Roman" w:cs="Times New Roman"/>
          <w:color w:val="000000" w:themeColor="text1"/>
          <w:sz w:val="23"/>
          <w:szCs w:val="23"/>
          <w:lang w:val="en-US"/>
        </w:rPr>
        <w:t xml:space="preserve">the </w:t>
      </w:r>
      <w:r w:rsidR="00D01436" w:rsidRPr="00983193">
        <w:rPr>
          <w:rFonts w:ascii="Times New Roman" w:hAnsi="Times New Roman" w:cs="Times New Roman"/>
          <w:color w:val="000000" w:themeColor="text1"/>
          <w:sz w:val="23"/>
          <w:szCs w:val="23"/>
          <w:lang w:val="en-US"/>
        </w:rPr>
        <w:t>M</w:t>
      </w:r>
      <w:r w:rsidR="006C1B92">
        <w:rPr>
          <w:rFonts w:ascii="Times New Roman" w:hAnsi="Times New Roman" w:cs="Times New Roman"/>
          <w:color w:val="000000" w:themeColor="text1"/>
          <w:sz w:val="23"/>
          <w:szCs w:val="23"/>
          <w:lang w:val="en-US"/>
        </w:rPr>
        <w:t>t</w:t>
      </w:r>
      <w:r w:rsidR="00587051">
        <w:rPr>
          <w:rFonts w:ascii="Times New Roman" w:hAnsi="Times New Roman" w:cs="Times New Roman"/>
          <w:color w:val="000000" w:themeColor="text1"/>
          <w:sz w:val="23"/>
          <w:szCs w:val="23"/>
          <w:lang w:val="en-US"/>
        </w:rPr>
        <w:t>B</w:t>
      </w:r>
      <w:r w:rsidR="00D01436" w:rsidRPr="00983193">
        <w:rPr>
          <w:rFonts w:ascii="Times New Roman" w:hAnsi="Times New Roman" w:cs="Times New Roman"/>
          <w:color w:val="000000" w:themeColor="text1"/>
          <w:sz w:val="23"/>
          <w:szCs w:val="23"/>
          <w:lang w:val="en-US"/>
        </w:rPr>
        <w:t xml:space="preserve"> and VAIC</w:t>
      </w:r>
      <w:r w:rsidR="00587051">
        <w:rPr>
          <w:rFonts w:ascii="Times New Roman" w:hAnsi="Times New Roman" w:cs="Times New Roman"/>
          <w:color w:val="000000" w:themeColor="text1"/>
          <w:sz w:val="23"/>
          <w:szCs w:val="23"/>
          <w:lang w:val="en-US"/>
        </w:rPr>
        <w:t xml:space="preserve"> approaches,</w:t>
      </w:r>
      <w:r w:rsidR="00D01436" w:rsidRPr="00983193">
        <w:rPr>
          <w:rFonts w:ascii="Times New Roman" w:hAnsi="Times New Roman" w:cs="Times New Roman"/>
          <w:color w:val="000000" w:themeColor="text1"/>
          <w:sz w:val="23"/>
          <w:szCs w:val="23"/>
          <w:lang w:val="en-US"/>
        </w:rPr>
        <w:t xml:space="preserve"> in the context of Italian listed companies, in order to </w:t>
      </w:r>
      <w:r w:rsidR="00587051">
        <w:rPr>
          <w:rFonts w:ascii="Times New Roman" w:hAnsi="Times New Roman" w:cs="Times New Roman"/>
          <w:color w:val="000000" w:themeColor="text1"/>
          <w:sz w:val="23"/>
          <w:szCs w:val="23"/>
          <w:lang w:val="en-US"/>
        </w:rPr>
        <w:t>gauge which is</w:t>
      </w:r>
      <w:r w:rsidR="00587051" w:rsidRPr="00983193">
        <w:rPr>
          <w:rFonts w:ascii="Times New Roman" w:hAnsi="Times New Roman" w:cs="Times New Roman"/>
          <w:color w:val="000000" w:themeColor="text1"/>
          <w:sz w:val="23"/>
          <w:szCs w:val="23"/>
          <w:lang w:val="en-US"/>
        </w:rPr>
        <w:t xml:space="preserve"> </w:t>
      </w:r>
      <w:r w:rsidR="00D01436" w:rsidRPr="00983193">
        <w:rPr>
          <w:rFonts w:ascii="Times New Roman" w:hAnsi="Times New Roman" w:cs="Times New Roman"/>
          <w:color w:val="000000" w:themeColor="text1"/>
          <w:sz w:val="23"/>
          <w:szCs w:val="23"/>
          <w:lang w:val="en-US"/>
        </w:rPr>
        <w:t xml:space="preserve">the more suitable </w:t>
      </w:r>
      <w:r w:rsidR="00587051">
        <w:rPr>
          <w:rFonts w:ascii="Times New Roman" w:hAnsi="Times New Roman" w:cs="Times New Roman"/>
          <w:color w:val="000000" w:themeColor="text1"/>
          <w:sz w:val="23"/>
          <w:szCs w:val="23"/>
          <w:lang w:val="en-US"/>
        </w:rPr>
        <w:t>for capturing</w:t>
      </w:r>
      <w:r w:rsidR="00D01436" w:rsidRPr="00983193">
        <w:rPr>
          <w:rFonts w:ascii="Times New Roman" w:hAnsi="Times New Roman" w:cs="Times New Roman"/>
          <w:color w:val="000000" w:themeColor="text1"/>
          <w:sz w:val="23"/>
          <w:szCs w:val="23"/>
          <w:lang w:val="en-US"/>
        </w:rPr>
        <w:t xml:space="preserve"> IC value. </w:t>
      </w:r>
      <w:r w:rsidR="008C3B14" w:rsidRPr="00983193">
        <w:rPr>
          <w:rFonts w:ascii="Times New Roman" w:hAnsi="Times New Roman" w:cs="Times New Roman"/>
          <w:color w:val="000000" w:themeColor="text1"/>
          <w:sz w:val="23"/>
          <w:szCs w:val="23"/>
          <w:lang w:val="en-US"/>
        </w:rPr>
        <w:t>Moreover,</w:t>
      </w:r>
      <w:r w:rsidR="00D01436" w:rsidRPr="00983193">
        <w:rPr>
          <w:rFonts w:ascii="Times New Roman" w:hAnsi="Times New Roman" w:cs="Times New Roman"/>
          <w:color w:val="000000" w:themeColor="text1"/>
          <w:sz w:val="23"/>
          <w:szCs w:val="23"/>
          <w:lang w:val="en-US"/>
        </w:rPr>
        <w:t xml:space="preserve"> </w:t>
      </w:r>
      <w:r w:rsidR="00587051">
        <w:rPr>
          <w:rFonts w:ascii="Times New Roman" w:hAnsi="Times New Roman" w:cs="Times New Roman"/>
          <w:color w:val="000000" w:themeColor="text1"/>
          <w:sz w:val="23"/>
          <w:szCs w:val="23"/>
          <w:lang w:val="en-US"/>
        </w:rPr>
        <w:t>the paper</w:t>
      </w:r>
      <w:r w:rsidR="00D01436" w:rsidRPr="00983193">
        <w:rPr>
          <w:rFonts w:ascii="Times New Roman" w:hAnsi="Times New Roman" w:cs="Times New Roman"/>
          <w:color w:val="000000" w:themeColor="text1"/>
          <w:sz w:val="23"/>
          <w:szCs w:val="23"/>
          <w:lang w:val="en-US"/>
        </w:rPr>
        <w:t xml:space="preserve"> tests potential explanatory factors </w:t>
      </w:r>
      <w:r w:rsidR="00587051">
        <w:rPr>
          <w:rFonts w:ascii="Times New Roman" w:hAnsi="Times New Roman" w:cs="Times New Roman"/>
          <w:color w:val="000000" w:themeColor="text1"/>
          <w:sz w:val="23"/>
          <w:szCs w:val="23"/>
          <w:lang w:val="en-US"/>
        </w:rPr>
        <w:t>of</w:t>
      </w:r>
      <w:r w:rsidR="00D01436" w:rsidRPr="00983193">
        <w:rPr>
          <w:rFonts w:ascii="Times New Roman" w:hAnsi="Times New Roman" w:cs="Times New Roman"/>
          <w:color w:val="000000" w:themeColor="text1"/>
          <w:sz w:val="23"/>
          <w:szCs w:val="23"/>
          <w:lang w:val="en-US"/>
        </w:rPr>
        <w:t xml:space="preserve"> the level of IC </w:t>
      </w:r>
      <w:r w:rsidR="00587051">
        <w:rPr>
          <w:rFonts w:ascii="Times New Roman" w:hAnsi="Times New Roman" w:cs="Times New Roman"/>
          <w:color w:val="000000" w:themeColor="text1"/>
          <w:sz w:val="23"/>
          <w:szCs w:val="23"/>
          <w:lang w:val="en-US"/>
        </w:rPr>
        <w:t xml:space="preserve">as </w:t>
      </w:r>
      <w:r w:rsidR="00D01436" w:rsidRPr="00983193">
        <w:rPr>
          <w:rFonts w:ascii="Times New Roman" w:hAnsi="Times New Roman" w:cs="Times New Roman"/>
          <w:color w:val="000000" w:themeColor="text1"/>
          <w:sz w:val="23"/>
          <w:szCs w:val="23"/>
          <w:lang w:val="en-US"/>
        </w:rPr>
        <w:t xml:space="preserve">calculated </w:t>
      </w:r>
      <w:r w:rsidR="00587051">
        <w:rPr>
          <w:rFonts w:ascii="Times New Roman" w:hAnsi="Times New Roman" w:cs="Times New Roman"/>
          <w:color w:val="000000" w:themeColor="text1"/>
          <w:sz w:val="23"/>
          <w:szCs w:val="23"/>
          <w:lang w:val="en-US"/>
        </w:rPr>
        <w:t>using</w:t>
      </w:r>
      <w:r w:rsidR="00587051" w:rsidRPr="00983193">
        <w:rPr>
          <w:rFonts w:ascii="Times New Roman" w:hAnsi="Times New Roman" w:cs="Times New Roman"/>
          <w:color w:val="000000" w:themeColor="text1"/>
          <w:sz w:val="23"/>
          <w:szCs w:val="23"/>
          <w:lang w:val="en-US"/>
        </w:rPr>
        <w:t xml:space="preserve"> </w:t>
      </w:r>
      <w:r w:rsidR="00D01436" w:rsidRPr="00983193">
        <w:rPr>
          <w:rFonts w:ascii="Times New Roman" w:hAnsi="Times New Roman" w:cs="Times New Roman"/>
          <w:color w:val="000000" w:themeColor="text1"/>
          <w:sz w:val="23"/>
          <w:szCs w:val="23"/>
          <w:lang w:val="en-US"/>
        </w:rPr>
        <w:t xml:space="preserve">the </w:t>
      </w:r>
      <w:r w:rsidR="00587051">
        <w:rPr>
          <w:rFonts w:ascii="Times New Roman" w:hAnsi="Times New Roman" w:cs="Times New Roman"/>
          <w:color w:val="000000" w:themeColor="text1"/>
          <w:sz w:val="23"/>
          <w:szCs w:val="23"/>
          <w:lang w:val="en-US"/>
        </w:rPr>
        <w:t>two</w:t>
      </w:r>
      <w:r w:rsidR="00587051" w:rsidRPr="00983193">
        <w:rPr>
          <w:rFonts w:ascii="Times New Roman" w:hAnsi="Times New Roman" w:cs="Times New Roman"/>
          <w:color w:val="000000" w:themeColor="text1"/>
          <w:sz w:val="23"/>
          <w:szCs w:val="23"/>
          <w:lang w:val="en-US"/>
        </w:rPr>
        <w:t xml:space="preserve"> </w:t>
      </w:r>
      <w:r w:rsidR="00D01436" w:rsidRPr="00983193">
        <w:rPr>
          <w:rFonts w:ascii="Times New Roman" w:hAnsi="Times New Roman" w:cs="Times New Roman"/>
          <w:color w:val="000000" w:themeColor="text1"/>
          <w:sz w:val="23"/>
          <w:szCs w:val="23"/>
          <w:lang w:val="en-US"/>
        </w:rPr>
        <w:t>methods.</w:t>
      </w:r>
      <w:r w:rsidR="00871D8C" w:rsidRPr="00983193">
        <w:rPr>
          <w:rFonts w:ascii="Times New Roman" w:hAnsi="Times New Roman" w:cs="Times New Roman"/>
          <w:color w:val="000000" w:themeColor="text1"/>
          <w:sz w:val="23"/>
          <w:szCs w:val="23"/>
          <w:lang w:val="en-US"/>
        </w:rPr>
        <w:t xml:space="preserve"> </w:t>
      </w:r>
    </w:p>
    <w:p w14:paraId="0DE1632A" w14:textId="77777777" w:rsidR="001F53F3" w:rsidRPr="00983193" w:rsidRDefault="0068061D" w:rsidP="00B062BA">
      <w:pPr>
        <w:spacing w:after="0" w:line="240" w:lineRule="auto"/>
        <w:ind w:firstLine="284"/>
        <w:contextualSpacing/>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   </w:t>
      </w:r>
    </w:p>
    <w:p w14:paraId="1AA5FCC8" w14:textId="77777777" w:rsidR="00D21F1D" w:rsidRPr="00A53C54" w:rsidRDefault="00D21F1D" w:rsidP="00A53C54">
      <w:pPr>
        <w:pStyle w:val="ListParagraph"/>
        <w:numPr>
          <w:ilvl w:val="0"/>
          <w:numId w:val="1"/>
        </w:numPr>
        <w:spacing w:after="0" w:line="240" w:lineRule="auto"/>
        <w:ind w:left="357" w:hanging="357"/>
        <w:jc w:val="both"/>
        <w:rPr>
          <w:rFonts w:ascii="Times New Roman" w:eastAsia="Calibri" w:hAnsi="Times New Roman" w:cs="Times New Roman"/>
          <w:b/>
          <w:color w:val="000000" w:themeColor="text1"/>
          <w:sz w:val="23"/>
          <w:szCs w:val="23"/>
          <w:lang w:val="en-US"/>
        </w:rPr>
      </w:pPr>
      <w:r w:rsidRPr="00A53C54">
        <w:rPr>
          <w:rFonts w:ascii="Times New Roman" w:eastAsia="Calibri" w:hAnsi="Times New Roman" w:cs="Times New Roman"/>
          <w:b/>
          <w:color w:val="000000" w:themeColor="text1"/>
          <w:sz w:val="23"/>
          <w:szCs w:val="23"/>
          <w:lang w:val="en-US"/>
        </w:rPr>
        <w:t>Hypothesis development</w:t>
      </w:r>
    </w:p>
    <w:p w14:paraId="6CDF32CF" w14:textId="77777777" w:rsidR="00A530A4" w:rsidRPr="00983193" w:rsidRDefault="00A530A4" w:rsidP="00E3056D">
      <w:pPr>
        <w:spacing w:after="0" w:line="240" w:lineRule="auto"/>
        <w:jc w:val="both"/>
        <w:rPr>
          <w:rFonts w:ascii="Times New Roman" w:eastAsia="Calibri" w:hAnsi="Times New Roman" w:cs="Times New Roman"/>
          <w:color w:val="000000" w:themeColor="text1"/>
          <w:sz w:val="23"/>
          <w:szCs w:val="23"/>
          <w:lang w:val="en-US"/>
        </w:rPr>
      </w:pPr>
    </w:p>
    <w:p w14:paraId="49AD2B35" w14:textId="77777777" w:rsidR="00E3056D" w:rsidRPr="00983193" w:rsidRDefault="0085398D" w:rsidP="00A53C54">
      <w:pPr>
        <w:pStyle w:val="ListParagraph"/>
        <w:numPr>
          <w:ilvl w:val="1"/>
          <w:numId w:val="11"/>
        </w:numPr>
        <w:spacing w:after="0" w:line="240" w:lineRule="auto"/>
        <w:ind w:left="357" w:hanging="357"/>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Intangible assets</w:t>
      </w:r>
    </w:p>
    <w:p w14:paraId="135F5B69" w14:textId="77777777" w:rsidR="0085398D" w:rsidRPr="00983193" w:rsidRDefault="0085398D" w:rsidP="0085398D">
      <w:pPr>
        <w:spacing w:after="0" w:line="240" w:lineRule="auto"/>
        <w:jc w:val="both"/>
        <w:rPr>
          <w:rFonts w:ascii="Times New Roman" w:eastAsia="Calibri" w:hAnsi="Times New Roman" w:cs="Times New Roman"/>
          <w:color w:val="000000" w:themeColor="text1"/>
          <w:sz w:val="23"/>
          <w:szCs w:val="23"/>
          <w:lang w:val="en-US"/>
        </w:rPr>
      </w:pPr>
    </w:p>
    <w:p w14:paraId="4C4285BD" w14:textId="77777777" w:rsidR="00F76716" w:rsidRDefault="0085398D" w:rsidP="00F76716">
      <w:pPr>
        <w:spacing w:after="0" w:line="240" w:lineRule="auto"/>
        <w:contextualSpacing/>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 xml:space="preserve">Intangible assets are considered </w:t>
      </w:r>
      <w:r w:rsidR="00657B71">
        <w:rPr>
          <w:rFonts w:ascii="Times New Roman" w:eastAsia="Calibri" w:hAnsi="Times New Roman" w:cs="Times New Roman"/>
          <w:color w:val="000000" w:themeColor="text1"/>
          <w:sz w:val="23"/>
          <w:szCs w:val="23"/>
          <w:lang w:val="en-US"/>
        </w:rPr>
        <w:t xml:space="preserve">in the literature </w:t>
      </w:r>
      <w:r w:rsidRPr="00983193">
        <w:rPr>
          <w:rFonts w:ascii="Times New Roman" w:eastAsia="Calibri" w:hAnsi="Times New Roman" w:cs="Times New Roman"/>
          <w:color w:val="000000" w:themeColor="text1"/>
          <w:sz w:val="23"/>
          <w:szCs w:val="23"/>
          <w:lang w:val="en-US"/>
        </w:rPr>
        <w:t xml:space="preserve">as synonymous </w:t>
      </w:r>
      <w:r w:rsidR="0015354D">
        <w:rPr>
          <w:rFonts w:ascii="Times New Roman" w:eastAsia="Calibri" w:hAnsi="Times New Roman" w:cs="Times New Roman"/>
          <w:color w:val="000000" w:themeColor="text1"/>
          <w:sz w:val="23"/>
          <w:szCs w:val="23"/>
          <w:lang w:val="en-US"/>
        </w:rPr>
        <w:t>with</w:t>
      </w:r>
      <w:r w:rsidRPr="00983193">
        <w:rPr>
          <w:rFonts w:ascii="Times New Roman" w:eastAsia="Calibri" w:hAnsi="Times New Roman" w:cs="Times New Roman"/>
          <w:color w:val="000000" w:themeColor="text1"/>
          <w:sz w:val="23"/>
          <w:szCs w:val="23"/>
          <w:lang w:val="en-US"/>
        </w:rPr>
        <w:t xml:space="preserve"> IC (</w:t>
      </w:r>
      <w:r w:rsidR="00502CE7" w:rsidRPr="00983193">
        <w:rPr>
          <w:rFonts w:ascii="Times New Roman" w:eastAsia="Calibri" w:hAnsi="Times New Roman" w:cs="Times New Roman"/>
          <w:color w:val="000000" w:themeColor="text1"/>
          <w:sz w:val="23"/>
          <w:szCs w:val="23"/>
          <w:lang w:val="en-US"/>
        </w:rPr>
        <w:t xml:space="preserve">Guthrie and Petty, 2000; </w:t>
      </w:r>
      <w:r w:rsidRPr="00983193">
        <w:rPr>
          <w:rFonts w:ascii="Times New Roman" w:eastAsia="Calibri" w:hAnsi="Times New Roman" w:cs="Times New Roman"/>
          <w:color w:val="000000" w:themeColor="text1"/>
          <w:sz w:val="23"/>
          <w:szCs w:val="23"/>
          <w:lang w:val="en-US"/>
        </w:rPr>
        <w:t>Lev et al., 2001; Osinski e</w:t>
      </w:r>
      <w:r w:rsidR="00502CE7" w:rsidRPr="00983193">
        <w:rPr>
          <w:rFonts w:ascii="Times New Roman" w:eastAsia="Calibri" w:hAnsi="Times New Roman" w:cs="Times New Roman"/>
          <w:color w:val="000000" w:themeColor="text1"/>
          <w:sz w:val="23"/>
          <w:szCs w:val="23"/>
          <w:lang w:val="en-US"/>
        </w:rPr>
        <w:t xml:space="preserve">t al., 2017). </w:t>
      </w:r>
    </w:p>
    <w:p w14:paraId="2F117F26" w14:textId="77777777" w:rsidR="00E3056D" w:rsidRPr="00983193" w:rsidRDefault="00502CE7" w:rsidP="00F76716">
      <w:pPr>
        <w:spacing w:after="0" w:line="240" w:lineRule="auto"/>
        <w:contextualSpacing/>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 xml:space="preserve">Edvinsson </w:t>
      </w:r>
      <w:r w:rsidR="00314808">
        <w:rPr>
          <w:rFonts w:ascii="Times New Roman" w:eastAsia="Calibri" w:hAnsi="Times New Roman" w:cs="Times New Roman"/>
          <w:color w:val="000000" w:themeColor="text1"/>
          <w:sz w:val="23"/>
          <w:szCs w:val="23"/>
          <w:lang w:val="en-US"/>
        </w:rPr>
        <w:t xml:space="preserve">and Malone </w:t>
      </w:r>
      <w:r w:rsidRPr="00983193">
        <w:rPr>
          <w:rFonts w:ascii="Times New Roman" w:eastAsia="Calibri" w:hAnsi="Times New Roman" w:cs="Times New Roman"/>
          <w:color w:val="000000" w:themeColor="text1"/>
          <w:sz w:val="23"/>
          <w:szCs w:val="23"/>
          <w:lang w:val="en-US"/>
        </w:rPr>
        <w:t xml:space="preserve">(1997) and </w:t>
      </w:r>
      <w:r w:rsidR="00DE0B3D" w:rsidRPr="002D48FC">
        <w:rPr>
          <w:rFonts w:ascii="Times New Roman" w:eastAsia="Calibri" w:hAnsi="Times New Roman" w:cs="Times New Roman"/>
          <w:color w:val="000000" w:themeColor="text1"/>
          <w:sz w:val="23"/>
          <w:szCs w:val="23"/>
          <w:lang w:val="en-US"/>
        </w:rPr>
        <w:t xml:space="preserve">Lev and </w:t>
      </w:r>
      <w:r w:rsidRPr="002D48FC">
        <w:rPr>
          <w:rFonts w:ascii="Times New Roman" w:eastAsia="Calibri" w:hAnsi="Times New Roman" w:cs="Times New Roman"/>
          <w:color w:val="000000" w:themeColor="text1"/>
          <w:sz w:val="23"/>
          <w:szCs w:val="23"/>
          <w:lang w:val="en-US"/>
        </w:rPr>
        <w:t>Zambon (2003)</w:t>
      </w:r>
      <w:r w:rsidRPr="00983193">
        <w:rPr>
          <w:rFonts w:ascii="Times New Roman" w:eastAsia="Calibri" w:hAnsi="Times New Roman" w:cs="Times New Roman"/>
          <w:color w:val="000000" w:themeColor="text1"/>
          <w:sz w:val="23"/>
          <w:szCs w:val="23"/>
          <w:lang w:val="en-US"/>
        </w:rPr>
        <w:t xml:space="preserve"> argue that intangible assets are a relevant component of </w:t>
      </w:r>
      <w:r w:rsidR="00F76716">
        <w:rPr>
          <w:rFonts w:ascii="Times New Roman" w:eastAsia="Calibri" w:hAnsi="Times New Roman" w:cs="Times New Roman"/>
          <w:color w:val="000000" w:themeColor="text1"/>
          <w:sz w:val="23"/>
          <w:szCs w:val="23"/>
          <w:lang w:val="en-US"/>
        </w:rPr>
        <w:t>IC</w:t>
      </w:r>
      <w:r w:rsidR="00657B71">
        <w:rPr>
          <w:rFonts w:ascii="Times New Roman" w:eastAsia="Calibri" w:hAnsi="Times New Roman" w:cs="Times New Roman"/>
          <w:color w:val="000000" w:themeColor="text1"/>
          <w:sz w:val="23"/>
          <w:szCs w:val="23"/>
          <w:lang w:val="en-US"/>
        </w:rPr>
        <w:t>,</w:t>
      </w:r>
      <w:r w:rsidRPr="00983193">
        <w:rPr>
          <w:rFonts w:ascii="Times New Roman" w:eastAsia="Calibri" w:hAnsi="Times New Roman" w:cs="Times New Roman"/>
          <w:color w:val="000000" w:themeColor="text1"/>
          <w:sz w:val="23"/>
          <w:szCs w:val="23"/>
          <w:lang w:val="en-US"/>
        </w:rPr>
        <w:t xml:space="preserve"> and thus there is a substantial overlap between the two.</w:t>
      </w:r>
      <w:r w:rsidR="002903E8" w:rsidRPr="00983193">
        <w:rPr>
          <w:rFonts w:ascii="Times New Roman" w:eastAsia="Calibri" w:hAnsi="Times New Roman" w:cs="Times New Roman"/>
          <w:color w:val="000000" w:themeColor="text1"/>
          <w:sz w:val="23"/>
          <w:szCs w:val="23"/>
          <w:lang w:val="en-US"/>
        </w:rPr>
        <w:t xml:space="preserve"> Kok (2007</w:t>
      </w:r>
      <w:r w:rsidR="00AC20D4" w:rsidRPr="00983193">
        <w:rPr>
          <w:rFonts w:ascii="Times New Roman" w:eastAsia="Calibri" w:hAnsi="Times New Roman" w:cs="Times New Roman"/>
          <w:color w:val="000000" w:themeColor="text1"/>
          <w:sz w:val="23"/>
          <w:szCs w:val="23"/>
          <w:lang w:val="en-US"/>
        </w:rPr>
        <w:t>, p.184</w:t>
      </w:r>
      <w:r w:rsidR="002903E8" w:rsidRPr="00983193">
        <w:rPr>
          <w:rFonts w:ascii="Times New Roman" w:eastAsia="Calibri" w:hAnsi="Times New Roman" w:cs="Times New Roman"/>
          <w:color w:val="000000" w:themeColor="text1"/>
          <w:sz w:val="23"/>
          <w:szCs w:val="23"/>
          <w:lang w:val="en-US"/>
        </w:rPr>
        <w:t>) state</w:t>
      </w:r>
      <w:r w:rsidR="00657B71">
        <w:rPr>
          <w:rFonts w:ascii="Times New Roman" w:eastAsia="Calibri" w:hAnsi="Times New Roman" w:cs="Times New Roman"/>
          <w:color w:val="000000" w:themeColor="text1"/>
          <w:sz w:val="23"/>
          <w:szCs w:val="23"/>
          <w:lang w:val="en-US"/>
        </w:rPr>
        <w:t>s</w:t>
      </w:r>
      <w:r w:rsidR="002903E8" w:rsidRPr="00983193">
        <w:rPr>
          <w:rFonts w:ascii="Times New Roman" w:eastAsia="Calibri" w:hAnsi="Times New Roman" w:cs="Times New Roman"/>
          <w:color w:val="000000" w:themeColor="text1"/>
          <w:sz w:val="23"/>
          <w:szCs w:val="23"/>
          <w:lang w:val="en-US"/>
        </w:rPr>
        <w:t xml:space="preserve"> that “</w:t>
      </w:r>
      <w:r w:rsidR="00AC20D4" w:rsidRPr="00983193">
        <w:rPr>
          <w:rFonts w:ascii="Times New Roman" w:eastAsia="Calibri" w:hAnsi="Times New Roman" w:cs="Times New Roman"/>
          <w:color w:val="000000" w:themeColor="text1"/>
          <w:sz w:val="23"/>
          <w:szCs w:val="23"/>
          <w:lang w:val="en-US"/>
        </w:rPr>
        <w:t xml:space="preserve">intellectual assets are those knowledge-based items that the </w:t>
      </w:r>
      <w:r w:rsidR="00AC20D4" w:rsidRPr="009946C9">
        <w:rPr>
          <w:rFonts w:ascii="Times New Roman" w:eastAsia="Calibri" w:hAnsi="Times New Roman" w:cs="Times New Roman"/>
          <w:noProof/>
          <w:color w:val="000000" w:themeColor="text1"/>
          <w:sz w:val="23"/>
          <w:szCs w:val="23"/>
          <w:lang w:val="en-US"/>
        </w:rPr>
        <w:t>organi</w:t>
      </w:r>
      <w:r w:rsidR="009946C9">
        <w:rPr>
          <w:rFonts w:ascii="Times New Roman" w:eastAsia="Calibri" w:hAnsi="Times New Roman" w:cs="Times New Roman"/>
          <w:noProof/>
          <w:color w:val="000000" w:themeColor="text1"/>
          <w:sz w:val="23"/>
          <w:szCs w:val="23"/>
          <w:lang w:val="en-US"/>
        </w:rPr>
        <w:t>z</w:t>
      </w:r>
      <w:r w:rsidR="00AC20D4" w:rsidRPr="009946C9">
        <w:rPr>
          <w:rFonts w:ascii="Times New Roman" w:eastAsia="Calibri" w:hAnsi="Times New Roman" w:cs="Times New Roman"/>
          <w:noProof/>
          <w:color w:val="000000" w:themeColor="text1"/>
          <w:sz w:val="23"/>
          <w:szCs w:val="23"/>
          <w:lang w:val="en-US"/>
        </w:rPr>
        <w:t>ation</w:t>
      </w:r>
      <w:r w:rsidR="00AC20D4" w:rsidRPr="00983193">
        <w:rPr>
          <w:rFonts w:ascii="Times New Roman" w:eastAsia="Calibri" w:hAnsi="Times New Roman" w:cs="Times New Roman"/>
          <w:color w:val="000000" w:themeColor="text1"/>
          <w:sz w:val="23"/>
          <w:szCs w:val="23"/>
          <w:lang w:val="en-US"/>
        </w:rPr>
        <w:t xml:space="preserve"> owns that will produce a future stream of benefits for the organization” and that “</w:t>
      </w:r>
      <w:r w:rsidR="001F53F3" w:rsidRPr="00983193">
        <w:rPr>
          <w:rFonts w:ascii="Times New Roman" w:eastAsia="Calibri" w:hAnsi="Times New Roman" w:cs="Times New Roman"/>
          <w:color w:val="000000" w:themeColor="text1"/>
          <w:sz w:val="23"/>
          <w:szCs w:val="23"/>
          <w:lang w:val="en-US"/>
        </w:rPr>
        <w:t>i</w:t>
      </w:r>
      <w:r w:rsidR="00FE1BAF" w:rsidRPr="00983193">
        <w:rPr>
          <w:rFonts w:ascii="Times New Roman" w:eastAsia="Calibri" w:hAnsi="Times New Roman" w:cs="Times New Roman"/>
          <w:color w:val="000000" w:themeColor="text1"/>
          <w:sz w:val="23"/>
          <w:szCs w:val="23"/>
          <w:lang w:val="en-US"/>
        </w:rPr>
        <w:t xml:space="preserve">deally, the total </w:t>
      </w:r>
      <w:r w:rsidR="00AC20D4" w:rsidRPr="00983193">
        <w:rPr>
          <w:rFonts w:ascii="Times New Roman" w:eastAsia="Calibri" w:hAnsi="Times New Roman" w:cs="Times New Roman"/>
          <w:color w:val="000000" w:themeColor="text1"/>
          <w:sz w:val="23"/>
          <w:szCs w:val="23"/>
          <w:lang w:val="en-US"/>
        </w:rPr>
        <w:t xml:space="preserve">value of intellectual assets should be equal to the total intellectual capital”. </w:t>
      </w:r>
      <w:r w:rsidR="00657B71">
        <w:rPr>
          <w:rFonts w:ascii="Times New Roman" w:eastAsia="Calibri" w:hAnsi="Times New Roman" w:cs="Times New Roman"/>
          <w:color w:val="000000" w:themeColor="text1"/>
          <w:sz w:val="23"/>
          <w:szCs w:val="23"/>
          <w:lang w:val="en-US"/>
        </w:rPr>
        <w:t>A</w:t>
      </w:r>
      <w:r w:rsidR="00AC20D4" w:rsidRPr="00983193">
        <w:rPr>
          <w:rFonts w:ascii="Times New Roman" w:eastAsia="Calibri" w:hAnsi="Times New Roman" w:cs="Times New Roman"/>
          <w:color w:val="000000" w:themeColor="text1"/>
          <w:sz w:val="23"/>
          <w:szCs w:val="23"/>
          <w:lang w:val="en-US"/>
        </w:rPr>
        <w:t xml:space="preserve">s </w:t>
      </w:r>
      <w:r w:rsidR="00657B71" w:rsidRPr="00983193">
        <w:rPr>
          <w:rFonts w:ascii="Times New Roman" w:eastAsia="Calibri" w:hAnsi="Times New Roman" w:cs="Times New Roman"/>
          <w:color w:val="000000" w:themeColor="text1"/>
          <w:sz w:val="23"/>
          <w:szCs w:val="23"/>
          <w:lang w:val="en-US"/>
        </w:rPr>
        <w:t xml:space="preserve">Cazavan-Jeny (2004) </w:t>
      </w:r>
      <w:r w:rsidR="00AC20D4" w:rsidRPr="00983193">
        <w:rPr>
          <w:rFonts w:ascii="Times New Roman" w:eastAsia="Calibri" w:hAnsi="Times New Roman" w:cs="Times New Roman"/>
          <w:color w:val="000000" w:themeColor="text1"/>
          <w:sz w:val="23"/>
          <w:szCs w:val="23"/>
          <w:lang w:val="en-US"/>
        </w:rPr>
        <w:t>argue</w:t>
      </w:r>
      <w:r w:rsidR="00657B71">
        <w:rPr>
          <w:rFonts w:ascii="Times New Roman" w:eastAsia="Calibri" w:hAnsi="Times New Roman" w:cs="Times New Roman"/>
          <w:color w:val="000000" w:themeColor="text1"/>
          <w:sz w:val="23"/>
          <w:szCs w:val="23"/>
          <w:lang w:val="en-US"/>
        </w:rPr>
        <w:t>s</w:t>
      </w:r>
      <w:r w:rsidR="00463E56" w:rsidRPr="00983193">
        <w:rPr>
          <w:rFonts w:ascii="Times New Roman" w:eastAsia="Calibri" w:hAnsi="Times New Roman" w:cs="Times New Roman"/>
          <w:color w:val="000000" w:themeColor="text1"/>
          <w:sz w:val="23"/>
          <w:szCs w:val="23"/>
          <w:lang w:val="en-US"/>
        </w:rPr>
        <w:t xml:space="preserve"> and </w:t>
      </w:r>
      <w:r w:rsidR="00A4040B">
        <w:rPr>
          <w:rFonts w:ascii="Times New Roman" w:eastAsia="Calibri" w:hAnsi="Times New Roman" w:cs="Times New Roman"/>
          <w:color w:val="000000" w:themeColor="text1"/>
          <w:sz w:val="23"/>
          <w:szCs w:val="23"/>
          <w:lang w:val="en-US"/>
        </w:rPr>
        <w:t>finds,</w:t>
      </w:r>
      <w:r w:rsidR="00AC20D4" w:rsidRPr="00983193">
        <w:rPr>
          <w:rFonts w:ascii="Times New Roman" w:eastAsia="Calibri" w:hAnsi="Times New Roman" w:cs="Times New Roman"/>
          <w:color w:val="000000" w:themeColor="text1"/>
          <w:sz w:val="23"/>
          <w:szCs w:val="23"/>
          <w:lang w:val="en-US"/>
        </w:rPr>
        <w:t xml:space="preserve"> the intensity of intangible asset investments must be positively correlated with the </w:t>
      </w:r>
      <w:r w:rsidR="00AC20D4" w:rsidRPr="009946C9">
        <w:rPr>
          <w:rFonts w:ascii="Times New Roman" w:eastAsia="Calibri" w:hAnsi="Times New Roman" w:cs="Times New Roman"/>
          <w:noProof/>
          <w:color w:val="000000" w:themeColor="text1"/>
          <w:sz w:val="23"/>
          <w:szCs w:val="23"/>
          <w:lang w:val="en-US"/>
        </w:rPr>
        <w:t>M</w:t>
      </w:r>
      <w:r w:rsidR="00F76716">
        <w:rPr>
          <w:rFonts w:ascii="Times New Roman" w:eastAsia="Calibri" w:hAnsi="Times New Roman" w:cs="Times New Roman"/>
          <w:noProof/>
          <w:color w:val="000000" w:themeColor="text1"/>
          <w:sz w:val="23"/>
          <w:szCs w:val="23"/>
          <w:lang w:val="en-US"/>
        </w:rPr>
        <w:t>t</w:t>
      </w:r>
      <w:r w:rsidR="00AC20D4" w:rsidRPr="009946C9">
        <w:rPr>
          <w:rFonts w:ascii="Times New Roman" w:eastAsia="Calibri" w:hAnsi="Times New Roman" w:cs="Times New Roman"/>
          <w:noProof/>
          <w:color w:val="000000" w:themeColor="text1"/>
          <w:sz w:val="23"/>
          <w:szCs w:val="23"/>
          <w:lang w:val="en-US"/>
        </w:rPr>
        <w:t>B</w:t>
      </w:r>
      <w:r w:rsidR="00AC20D4" w:rsidRPr="00983193">
        <w:rPr>
          <w:rFonts w:ascii="Times New Roman" w:eastAsia="Calibri" w:hAnsi="Times New Roman" w:cs="Times New Roman"/>
          <w:color w:val="000000" w:themeColor="text1"/>
          <w:sz w:val="23"/>
          <w:szCs w:val="23"/>
          <w:lang w:val="en-US"/>
        </w:rPr>
        <w:t xml:space="preserve"> ratio </w:t>
      </w:r>
      <w:r w:rsidR="00657B71">
        <w:rPr>
          <w:rFonts w:ascii="Times New Roman" w:eastAsia="Calibri" w:hAnsi="Times New Roman" w:cs="Times New Roman"/>
          <w:color w:val="000000" w:themeColor="text1"/>
          <w:sz w:val="23"/>
          <w:szCs w:val="23"/>
          <w:lang w:val="en-US"/>
        </w:rPr>
        <w:t>as</w:t>
      </w:r>
      <w:r w:rsidR="00657B71" w:rsidRPr="00983193">
        <w:rPr>
          <w:rFonts w:ascii="Times New Roman" w:eastAsia="Calibri" w:hAnsi="Times New Roman" w:cs="Times New Roman"/>
          <w:color w:val="000000" w:themeColor="text1"/>
          <w:sz w:val="23"/>
          <w:szCs w:val="23"/>
          <w:lang w:val="en-US"/>
        </w:rPr>
        <w:t xml:space="preserve"> </w:t>
      </w:r>
      <w:r w:rsidR="00AC20D4" w:rsidRPr="00983193">
        <w:rPr>
          <w:rFonts w:ascii="Times New Roman" w:eastAsia="Calibri" w:hAnsi="Times New Roman" w:cs="Times New Roman"/>
          <w:color w:val="000000" w:themeColor="text1"/>
          <w:sz w:val="23"/>
          <w:szCs w:val="23"/>
          <w:lang w:val="en-US"/>
        </w:rPr>
        <w:t xml:space="preserve">the market is capable </w:t>
      </w:r>
      <w:r w:rsidR="00657B71">
        <w:rPr>
          <w:rFonts w:ascii="Times New Roman" w:eastAsia="Calibri" w:hAnsi="Times New Roman" w:cs="Times New Roman"/>
          <w:color w:val="000000" w:themeColor="text1"/>
          <w:sz w:val="23"/>
          <w:szCs w:val="23"/>
          <w:lang w:val="en-US"/>
        </w:rPr>
        <w:t>of valuing</w:t>
      </w:r>
      <w:r w:rsidR="00AC20D4" w:rsidRPr="00983193">
        <w:rPr>
          <w:rFonts w:ascii="Times New Roman" w:eastAsia="Calibri" w:hAnsi="Times New Roman" w:cs="Times New Roman"/>
          <w:color w:val="000000" w:themeColor="text1"/>
          <w:sz w:val="23"/>
          <w:szCs w:val="23"/>
          <w:lang w:val="en-US"/>
        </w:rPr>
        <w:t xml:space="preserve"> those intangible assets which are not adequately recognized in</w:t>
      </w:r>
      <w:r w:rsidR="009946C9">
        <w:rPr>
          <w:rFonts w:ascii="Times New Roman" w:eastAsia="Calibri" w:hAnsi="Times New Roman" w:cs="Times New Roman"/>
          <w:color w:val="000000" w:themeColor="text1"/>
          <w:sz w:val="23"/>
          <w:szCs w:val="23"/>
          <w:lang w:val="en-US"/>
        </w:rPr>
        <w:t xml:space="preserve"> the</w:t>
      </w:r>
      <w:r w:rsidR="00AC20D4" w:rsidRPr="00983193">
        <w:rPr>
          <w:rFonts w:ascii="Times New Roman" w:eastAsia="Calibri" w:hAnsi="Times New Roman" w:cs="Times New Roman"/>
          <w:color w:val="000000" w:themeColor="text1"/>
          <w:sz w:val="23"/>
          <w:szCs w:val="23"/>
          <w:lang w:val="en-US"/>
        </w:rPr>
        <w:t xml:space="preserve"> </w:t>
      </w:r>
      <w:r w:rsidR="00657B71">
        <w:rPr>
          <w:rFonts w:ascii="Times New Roman" w:eastAsia="Calibri" w:hAnsi="Times New Roman" w:cs="Times New Roman"/>
          <w:color w:val="000000" w:themeColor="text1"/>
          <w:sz w:val="23"/>
          <w:szCs w:val="23"/>
          <w:lang w:val="en-US"/>
        </w:rPr>
        <w:t xml:space="preserve">firm’s </w:t>
      </w:r>
      <w:r w:rsidR="00AC20D4" w:rsidRPr="009946C9">
        <w:rPr>
          <w:rFonts w:ascii="Times New Roman" w:eastAsia="Calibri" w:hAnsi="Times New Roman" w:cs="Times New Roman"/>
          <w:noProof/>
          <w:color w:val="000000" w:themeColor="text1"/>
          <w:sz w:val="23"/>
          <w:szCs w:val="23"/>
          <w:lang w:val="en-US"/>
        </w:rPr>
        <w:t>balance</w:t>
      </w:r>
      <w:r w:rsidR="00AC20D4" w:rsidRPr="00983193">
        <w:rPr>
          <w:rFonts w:ascii="Times New Roman" w:eastAsia="Calibri" w:hAnsi="Times New Roman" w:cs="Times New Roman"/>
          <w:color w:val="000000" w:themeColor="text1"/>
          <w:sz w:val="23"/>
          <w:szCs w:val="23"/>
          <w:lang w:val="en-US"/>
        </w:rPr>
        <w:t xml:space="preserve"> sheet.</w:t>
      </w:r>
    </w:p>
    <w:p w14:paraId="4D47A654" w14:textId="77777777" w:rsidR="00FE1BAF" w:rsidRPr="008948C5" w:rsidRDefault="00751A7D" w:rsidP="00F76716">
      <w:pPr>
        <w:spacing w:after="0" w:line="240" w:lineRule="auto"/>
        <w:contextualSpacing/>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 xml:space="preserve">   </w:t>
      </w:r>
      <w:r w:rsidR="00FE1BAF" w:rsidRPr="00983193">
        <w:rPr>
          <w:rFonts w:ascii="Times New Roman" w:eastAsia="Calibri" w:hAnsi="Times New Roman" w:cs="Times New Roman"/>
          <w:color w:val="000000" w:themeColor="text1"/>
          <w:sz w:val="23"/>
          <w:szCs w:val="23"/>
          <w:lang w:val="en-US"/>
        </w:rPr>
        <w:t xml:space="preserve">Goebel (2015) investigates the relationship between IC, proxied </w:t>
      </w:r>
      <w:r w:rsidR="00657B71">
        <w:rPr>
          <w:rFonts w:ascii="Times New Roman" w:eastAsia="Calibri" w:hAnsi="Times New Roman" w:cs="Times New Roman"/>
          <w:color w:val="000000" w:themeColor="text1"/>
          <w:sz w:val="23"/>
          <w:szCs w:val="23"/>
          <w:lang w:val="en-US"/>
        </w:rPr>
        <w:t>by</w:t>
      </w:r>
      <w:r w:rsidR="00657B71" w:rsidRPr="00983193">
        <w:rPr>
          <w:rFonts w:ascii="Times New Roman" w:eastAsia="Calibri" w:hAnsi="Times New Roman" w:cs="Times New Roman"/>
          <w:color w:val="000000" w:themeColor="text1"/>
          <w:sz w:val="23"/>
          <w:szCs w:val="23"/>
          <w:lang w:val="en-US"/>
        </w:rPr>
        <w:t xml:space="preserve"> </w:t>
      </w:r>
      <w:r w:rsidR="00FE1BAF" w:rsidRPr="00983193">
        <w:rPr>
          <w:rFonts w:ascii="Times New Roman" w:eastAsia="Calibri" w:hAnsi="Times New Roman" w:cs="Times New Roman"/>
          <w:color w:val="000000" w:themeColor="text1"/>
          <w:sz w:val="23"/>
          <w:szCs w:val="23"/>
          <w:lang w:val="en-US"/>
        </w:rPr>
        <w:t>LRVTB, and intangible assets, though finds no relation. Villalonga (2004) measures IC using R&amp;D, advertising</w:t>
      </w:r>
      <w:r w:rsidR="00B83983">
        <w:rPr>
          <w:rFonts w:ascii="Times New Roman" w:eastAsia="Calibri" w:hAnsi="Times New Roman" w:cs="Times New Roman"/>
          <w:color w:val="000000" w:themeColor="text1"/>
          <w:sz w:val="23"/>
          <w:szCs w:val="23"/>
          <w:lang w:val="en-US"/>
        </w:rPr>
        <w:t xml:space="preserve"> expenditures</w:t>
      </w:r>
      <w:r w:rsidR="00FE1BAF" w:rsidRPr="00983193">
        <w:rPr>
          <w:rFonts w:ascii="Times New Roman" w:eastAsia="Calibri" w:hAnsi="Times New Roman" w:cs="Times New Roman"/>
          <w:color w:val="000000" w:themeColor="text1"/>
          <w:sz w:val="23"/>
          <w:szCs w:val="23"/>
          <w:lang w:val="en-US"/>
        </w:rPr>
        <w:t xml:space="preserve"> (recognized in the income statement of the year) and (capitalized) intangible assets recognized on the balance sheet</w:t>
      </w:r>
      <w:r w:rsidR="00657B71">
        <w:rPr>
          <w:rFonts w:ascii="Times New Roman" w:eastAsia="Calibri" w:hAnsi="Times New Roman" w:cs="Times New Roman"/>
          <w:color w:val="000000" w:themeColor="text1"/>
          <w:sz w:val="23"/>
          <w:szCs w:val="23"/>
          <w:lang w:val="en-US"/>
        </w:rPr>
        <w:t>,</w:t>
      </w:r>
      <w:r w:rsidR="00FE1BAF" w:rsidRPr="00983193">
        <w:rPr>
          <w:rFonts w:ascii="Times New Roman" w:eastAsia="Calibri" w:hAnsi="Times New Roman" w:cs="Times New Roman"/>
          <w:color w:val="000000" w:themeColor="text1"/>
          <w:sz w:val="23"/>
          <w:szCs w:val="23"/>
          <w:lang w:val="en-US"/>
        </w:rPr>
        <w:t xml:space="preserve"> and finds that R&amp;D and advertising expenditures are important components of IC value </w:t>
      </w:r>
      <w:r w:rsidR="00657B71">
        <w:rPr>
          <w:rFonts w:ascii="Times New Roman" w:eastAsia="Calibri" w:hAnsi="Times New Roman" w:cs="Times New Roman"/>
          <w:color w:val="000000" w:themeColor="text1"/>
          <w:sz w:val="23"/>
          <w:szCs w:val="23"/>
          <w:lang w:val="en-US"/>
        </w:rPr>
        <w:t>as</w:t>
      </w:r>
      <w:r w:rsidR="00657B71" w:rsidRPr="00983193">
        <w:rPr>
          <w:rFonts w:ascii="Times New Roman" w:eastAsia="Calibri" w:hAnsi="Times New Roman" w:cs="Times New Roman"/>
          <w:color w:val="000000" w:themeColor="text1"/>
          <w:sz w:val="23"/>
          <w:szCs w:val="23"/>
          <w:lang w:val="en-US"/>
        </w:rPr>
        <w:t xml:space="preserve"> </w:t>
      </w:r>
      <w:r w:rsidR="00FE1BAF" w:rsidRPr="00983193">
        <w:rPr>
          <w:rFonts w:ascii="Times New Roman" w:eastAsia="Calibri" w:hAnsi="Times New Roman" w:cs="Times New Roman"/>
          <w:color w:val="000000" w:themeColor="text1"/>
          <w:sz w:val="23"/>
          <w:szCs w:val="23"/>
          <w:lang w:val="en-US"/>
        </w:rPr>
        <w:t>there is a positive association between</w:t>
      </w:r>
      <w:r w:rsidR="002E176F">
        <w:rPr>
          <w:rFonts w:ascii="Times New Roman" w:eastAsia="Calibri" w:hAnsi="Times New Roman" w:cs="Times New Roman"/>
          <w:color w:val="000000" w:themeColor="text1"/>
          <w:sz w:val="23"/>
          <w:szCs w:val="23"/>
          <w:lang w:val="en-US"/>
        </w:rPr>
        <w:t xml:space="preserve"> IC value and these</w:t>
      </w:r>
      <w:r w:rsidR="00B83983">
        <w:rPr>
          <w:rFonts w:ascii="Times New Roman" w:eastAsia="Calibri" w:hAnsi="Times New Roman" w:cs="Times New Roman"/>
          <w:color w:val="000000" w:themeColor="text1"/>
          <w:sz w:val="23"/>
          <w:szCs w:val="23"/>
          <w:lang w:val="en-US"/>
        </w:rPr>
        <w:t xml:space="preserve"> advertising</w:t>
      </w:r>
      <w:r w:rsidR="002E176F">
        <w:rPr>
          <w:rFonts w:ascii="Times New Roman" w:eastAsia="Calibri" w:hAnsi="Times New Roman" w:cs="Times New Roman"/>
          <w:color w:val="000000" w:themeColor="text1"/>
          <w:sz w:val="23"/>
          <w:szCs w:val="23"/>
          <w:lang w:val="en-US"/>
        </w:rPr>
        <w:t xml:space="preserve"> expenses.</w:t>
      </w:r>
    </w:p>
    <w:p w14:paraId="50C4AFF8" w14:textId="77777777" w:rsidR="00FE1BAF" w:rsidRPr="00983193" w:rsidRDefault="00751A7D" w:rsidP="00F76716">
      <w:pPr>
        <w:spacing w:after="0" w:line="240" w:lineRule="auto"/>
        <w:contextualSpacing/>
        <w:jc w:val="both"/>
        <w:rPr>
          <w:rFonts w:ascii="Times New Roman" w:eastAsia="Calibri" w:hAnsi="Times New Roman" w:cs="Times New Roman"/>
          <w:noProof/>
          <w:color w:val="000000" w:themeColor="text1"/>
          <w:sz w:val="23"/>
          <w:szCs w:val="23"/>
          <w:lang w:val="en-US"/>
        </w:rPr>
      </w:pPr>
      <w:r>
        <w:rPr>
          <w:rFonts w:ascii="Times New Roman" w:eastAsia="Calibri" w:hAnsi="Times New Roman" w:cs="Times New Roman"/>
          <w:color w:val="000000" w:themeColor="text1"/>
          <w:sz w:val="23"/>
          <w:szCs w:val="23"/>
          <w:lang w:val="en-US"/>
        </w:rPr>
        <w:t xml:space="preserve">   </w:t>
      </w:r>
      <w:r w:rsidR="00FE1BAF" w:rsidRPr="00983193">
        <w:rPr>
          <w:rFonts w:ascii="Times New Roman" w:eastAsia="Calibri" w:hAnsi="Times New Roman" w:cs="Times New Roman"/>
          <w:color w:val="000000" w:themeColor="text1"/>
          <w:sz w:val="23"/>
          <w:szCs w:val="23"/>
          <w:lang w:val="en-US"/>
        </w:rPr>
        <w:t>Thus, consistent with the existing literature (</w:t>
      </w:r>
      <w:r w:rsidR="00FE1BAF" w:rsidRPr="00983193">
        <w:rPr>
          <w:rFonts w:ascii="Times New Roman" w:eastAsia="Calibri" w:hAnsi="Times New Roman" w:cs="Times New Roman"/>
          <w:noProof/>
          <w:color w:val="000000" w:themeColor="text1"/>
          <w:sz w:val="23"/>
          <w:szCs w:val="23"/>
          <w:lang w:val="en-US"/>
        </w:rPr>
        <w:t>Edvinsson and Malone, 1997; Cazavan-Jeny, 2004;</w:t>
      </w:r>
      <w:r w:rsidR="00463E56" w:rsidRPr="00983193">
        <w:rPr>
          <w:rFonts w:ascii="Times New Roman" w:eastAsia="Calibri" w:hAnsi="Times New Roman" w:cs="Times New Roman"/>
          <w:noProof/>
          <w:color w:val="000000" w:themeColor="text1"/>
          <w:sz w:val="23"/>
          <w:szCs w:val="23"/>
          <w:lang w:val="en-US"/>
        </w:rPr>
        <w:t xml:space="preserve"> Kok, 2007; Lal Bhasin, 2012) </w:t>
      </w:r>
      <w:r w:rsidR="00FE1BAF" w:rsidRPr="00983193">
        <w:rPr>
          <w:rFonts w:ascii="Times New Roman" w:eastAsia="Calibri" w:hAnsi="Times New Roman" w:cs="Times New Roman"/>
          <w:noProof/>
          <w:color w:val="000000" w:themeColor="text1"/>
          <w:sz w:val="23"/>
          <w:szCs w:val="23"/>
          <w:lang w:val="en-US"/>
        </w:rPr>
        <w:t xml:space="preserve">the following hypothesis </w:t>
      </w:r>
      <w:r w:rsidR="00657B71">
        <w:rPr>
          <w:rFonts w:ascii="Times New Roman" w:eastAsia="Calibri" w:hAnsi="Times New Roman" w:cs="Times New Roman"/>
          <w:noProof/>
          <w:color w:val="000000" w:themeColor="text1"/>
          <w:sz w:val="23"/>
          <w:szCs w:val="23"/>
          <w:lang w:val="en-US"/>
        </w:rPr>
        <w:t>is stated</w:t>
      </w:r>
      <w:r w:rsidR="00FE1BAF" w:rsidRPr="00983193">
        <w:rPr>
          <w:rFonts w:ascii="Times New Roman" w:eastAsia="Calibri" w:hAnsi="Times New Roman" w:cs="Times New Roman"/>
          <w:noProof/>
          <w:color w:val="000000" w:themeColor="text1"/>
          <w:sz w:val="23"/>
          <w:szCs w:val="23"/>
          <w:lang w:val="en-US"/>
        </w:rPr>
        <w:t xml:space="preserve">: </w:t>
      </w:r>
    </w:p>
    <w:p w14:paraId="249F9390" w14:textId="77777777" w:rsidR="00FE1BAF" w:rsidRPr="00983193" w:rsidRDefault="00FE1BAF" w:rsidP="00FE1BAF">
      <w:pPr>
        <w:spacing w:after="0" w:line="240" w:lineRule="auto"/>
        <w:ind w:firstLine="709"/>
        <w:contextualSpacing/>
        <w:jc w:val="both"/>
        <w:rPr>
          <w:rFonts w:ascii="Times New Roman" w:eastAsia="Calibri" w:hAnsi="Times New Roman" w:cs="Times New Roman"/>
          <w:color w:val="000000" w:themeColor="text1"/>
          <w:sz w:val="23"/>
          <w:szCs w:val="23"/>
          <w:lang w:val="en-US"/>
        </w:rPr>
      </w:pPr>
    </w:p>
    <w:p w14:paraId="18ECC652" w14:textId="77777777" w:rsidR="00FE1BAF" w:rsidRPr="00983193" w:rsidRDefault="00FE1BAF" w:rsidP="00F76716">
      <w:pPr>
        <w:spacing w:after="0" w:line="240" w:lineRule="auto"/>
        <w:jc w:val="both"/>
        <w:rPr>
          <w:rFonts w:ascii="Times New Roman" w:eastAsia="Calibri" w:hAnsi="Times New Roman" w:cs="Times New Roman"/>
          <w:i/>
          <w:color w:val="000000" w:themeColor="text1"/>
          <w:sz w:val="23"/>
          <w:szCs w:val="23"/>
          <w:lang w:val="en-US"/>
        </w:rPr>
      </w:pPr>
      <w:r w:rsidRPr="00983193">
        <w:rPr>
          <w:rFonts w:ascii="Times New Roman" w:eastAsia="Calibri" w:hAnsi="Times New Roman" w:cs="Times New Roman"/>
          <w:i/>
          <w:color w:val="000000" w:themeColor="text1"/>
          <w:sz w:val="23"/>
          <w:szCs w:val="23"/>
          <w:lang w:val="en-US"/>
        </w:rPr>
        <w:t>H1</w:t>
      </w:r>
      <w:r w:rsidR="00EF0D7B" w:rsidRPr="00983193">
        <w:rPr>
          <w:rFonts w:ascii="Times New Roman" w:eastAsia="Calibri" w:hAnsi="Times New Roman" w:cs="Times New Roman"/>
          <w:i/>
          <w:color w:val="000000" w:themeColor="text1"/>
          <w:sz w:val="23"/>
          <w:szCs w:val="23"/>
          <w:lang w:val="en-US"/>
        </w:rPr>
        <w:t>a</w:t>
      </w:r>
      <w:r w:rsidRPr="00983193">
        <w:rPr>
          <w:rFonts w:ascii="Times New Roman" w:eastAsia="Calibri" w:hAnsi="Times New Roman" w:cs="Times New Roman"/>
          <w:i/>
          <w:color w:val="000000" w:themeColor="text1"/>
          <w:sz w:val="23"/>
          <w:szCs w:val="23"/>
          <w:lang w:val="en-US"/>
        </w:rPr>
        <w:t>: IC value</w:t>
      </w:r>
      <w:r w:rsidR="00657B71">
        <w:rPr>
          <w:rFonts w:ascii="Times New Roman" w:eastAsia="Calibri" w:hAnsi="Times New Roman" w:cs="Times New Roman"/>
          <w:i/>
          <w:color w:val="000000" w:themeColor="text1"/>
          <w:sz w:val="23"/>
          <w:szCs w:val="23"/>
          <w:lang w:val="en-US"/>
        </w:rPr>
        <w:t>, measured in terms of</w:t>
      </w:r>
      <w:r w:rsidR="00463E56" w:rsidRPr="00983193">
        <w:rPr>
          <w:rFonts w:ascii="Times New Roman" w:eastAsia="Calibri" w:hAnsi="Times New Roman" w:cs="Times New Roman"/>
          <w:i/>
          <w:color w:val="000000" w:themeColor="text1"/>
          <w:sz w:val="23"/>
          <w:szCs w:val="23"/>
          <w:lang w:val="en-US"/>
        </w:rPr>
        <w:t xml:space="preserve"> </w:t>
      </w:r>
      <w:r w:rsidR="00463E56" w:rsidRPr="009946C9">
        <w:rPr>
          <w:rFonts w:ascii="Times New Roman" w:eastAsia="Calibri" w:hAnsi="Times New Roman" w:cs="Times New Roman"/>
          <w:i/>
          <w:noProof/>
          <w:color w:val="000000" w:themeColor="text1"/>
          <w:sz w:val="23"/>
          <w:szCs w:val="23"/>
          <w:lang w:val="en-US"/>
        </w:rPr>
        <w:t>M</w:t>
      </w:r>
      <w:r w:rsidR="00DC02F5">
        <w:rPr>
          <w:rFonts w:ascii="Times New Roman" w:eastAsia="Calibri" w:hAnsi="Times New Roman" w:cs="Times New Roman"/>
          <w:i/>
          <w:noProof/>
          <w:color w:val="000000" w:themeColor="text1"/>
          <w:sz w:val="23"/>
          <w:szCs w:val="23"/>
          <w:lang w:val="en-US"/>
        </w:rPr>
        <w:t>t</w:t>
      </w:r>
      <w:r w:rsidR="00463E56" w:rsidRPr="009946C9">
        <w:rPr>
          <w:rFonts w:ascii="Times New Roman" w:eastAsia="Calibri" w:hAnsi="Times New Roman" w:cs="Times New Roman"/>
          <w:i/>
          <w:noProof/>
          <w:color w:val="000000" w:themeColor="text1"/>
          <w:sz w:val="23"/>
          <w:szCs w:val="23"/>
          <w:lang w:val="en-US"/>
        </w:rPr>
        <w:t>B</w:t>
      </w:r>
      <w:r w:rsidR="00657B71">
        <w:rPr>
          <w:rFonts w:ascii="Times New Roman" w:eastAsia="Calibri" w:hAnsi="Times New Roman" w:cs="Times New Roman"/>
          <w:i/>
          <w:noProof/>
          <w:color w:val="000000" w:themeColor="text1"/>
          <w:sz w:val="23"/>
          <w:szCs w:val="23"/>
          <w:lang w:val="en-US"/>
        </w:rPr>
        <w:t>,</w:t>
      </w:r>
      <w:r w:rsidRPr="00983193">
        <w:rPr>
          <w:rFonts w:ascii="Times New Roman" w:eastAsia="Calibri" w:hAnsi="Times New Roman" w:cs="Times New Roman"/>
          <w:i/>
          <w:color w:val="000000" w:themeColor="text1"/>
          <w:sz w:val="23"/>
          <w:szCs w:val="23"/>
          <w:lang w:val="en-US"/>
        </w:rPr>
        <w:t xml:space="preserve"> is positively associated with</w:t>
      </w:r>
      <w:r w:rsidRPr="00983193" w:rsidDel="00792A36">
        <w:rPr>
          <w:rFonts w:ascii="Times New Roman" w:eastAsia="Calibri" w:hAnsi="Times New Roman" w:cs="Times New Roman"/>
          <w:i/>
          <w:color w:val="000000" w:themeColor="text1"/>
          <w:sz w:val="23"/>
          <w:szCs w:val="23"/>
          <w:lang w:val="en-US"/>
        </w:rPr>
        <w:t xml:space="preserve"> </w:t>
      </w:r>
      <w:r w:rsidRPr="00983193">
        <w:rPr>
          <w:rFonts w:ascii="Times New Roman" w:eastAsia="Calibri" w:hAnsi="Times New Roman" w:cs="Times New Roman"/>
          <w:i/>
          <w:color w:val="000000" w:themeColor="text1"/>
          <w:sz w:val="23"/>
          <w:szCs w:val="23"/>
          <w:lang w:val="en-US"/>
        </w:rPr>
        <w:t>recognized (visible) intangible assets.</w:t>
      </w:r>
    </w:p>
    <w:p w14:paraId="4E80E472" w14:textId="77777777" w:rsidR="00BB6E5E" w:rsidRPr="00983193" w:rsidRDefault="00BB6E5E" w:rsidP="00FE1BAF">
      <w:pPr>
        <w:spacing w:after="0" w:line="240" w:lineRule="auto"/>
        <w:ind w:firstLine="284"/>
        <w:jc w:val="both"/>
        <w:rPr>
          <w:rFonts w:ascii="Times New Roman" w:eastAsia="Calibri" w:hAnsi="Times New Roman" w:cs="Times New Roman"/>
          <w:i/>
          <w:color w:val="000000" w:themeColor="text1"/>
          <w:sz w:val="23"/>
          <w:szCs w:val="23"/>
          <w:lang w:val="en-US"/>
        </w:rPr>
      </w:pPr>
    </w:p>
    <w:p w14:paraId="41C8CD25" w14:textId="77777777" w:rsidR="00E56740" w:rsidRDefault="00751A7D" w:rsidP="00F76716">
      <w:pPr>
        <w:spacing w:after="0" w:line="240" w:lineRule="auto"/>
        <w:contextualSpacing/>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 xml:space="preserve">   </w:t>
      </w:r>
      <w:r w:rsidR="001D6F12" w:rsidRPr="00983193">
        <w:rPr>
          <w:rFonts w:ascii="Times New Roman" w:eastAsia="Calibri" w:hAnsi="Times New Roman" w:cs="Times New Roman"/>
          <w:color w:val="000000" w:themeColor="text1"/>
          <w:sz w:val="23"/>
          <w:szCs w:val="23"/>
          <w:lang w:val="en-US"/>
        </w:rPr>
        <w:t>Here we consider the relationship between VAIC and i</w:t>
      </w:r>
      <w:r w:rsidR="001C19C1" w:rsidRPr="00983193">
        <w:rPr>
          <w:rFonts w:ascii="Times New Roman" w:eastAsia="Calibri" w:hAnsi="Times New Roman" w:cs="Times New Roman"/>
          <w:color w:val="000000" w:themeColor="text1"/>
          <w:sz w:val="23"/>
          <w:szCs w:val="23"/>
          <w:lang w:val="en-US"/>
        </w:rPr>
        <w:t>nvestment in intangible assets, that is</w:t>
      </w:r>
      <w:r w:rsidR="00657B71">
        <w:rPr>
          <w:rFonts w:ascii="Times New Roman" w:eastAsia="Calibri" w:hAnsi="Times New Roman" w:cs="Times New Roman"/>
          <w:color w:val="000000" w:themeColor="text1"/>
          <w:sz w:val="23"/>
          <w:szCs w:val="23"/>
          <w:lang w:val="en-US"/>
        </w:rPr>
        <w:t>,</w:t>
      </w:r>
      <w:r w:rsidR="001C19C1" w:rsidRPr="00983193">
        <w:rPr>
          <w:rFonts w:ascii="Times New Roman" w:eastAsia="Calibri" w:hAnsi="Times New Roman" w:cs="Times New Roman"/>
          <w:color w:val="000000" w:themeColor="text1"/>
          <w:sz w:val="23"/>
          <w:szCs w:val="23"/>
          <w:lang w:val="en-US"/>
        </w:rPr>
        <w:t xml:space="preserve"> a proxy </w:t>
      </w:r>
      <w:r w:rsidR="00657B71">
        <w:rPr>
          <w:rFonts w:ascii="Times New Roman" w:eastAsia="Calibri" w:hAnsi="Times New Roman" w:cs="Times New Roman"/>
          <w:color w:val="000000" w:themeColor="text1"/>
          <w:sz w:val="23"/>
          <w:szCs w:val="23"/>
          <w:lang w:val="en-US"/>
        </w:rPr>
        <w:t>for</w:t>
      </w:r>
      <w:r w:rsidR="001C19C1" w:rsidRPr="00983193">
        <w:rPr>
          <w:rFonts w:ascii="Times New Roman" w:eastAsia="Calibri" w:hAnsi="Times New Roman" w:cs="Times New Roman"/>
          <w:color w:val="000000" w:themeColor="text1"/>
          <w:sz w:val="23"/>
          <w:szCs w:val="23"/>
          <w:lang w:val="en-US"/>
        </w:rPr>
        <w:t xml:space="preserve"> </w:t>
      </w:r>
      <w:r w:rsidR="00E56740">
        <w:rPr>
          <w:rFonts w:ascii="Times New Roman" w:eastAsia="Calibri" w:hAnsi="Times New Roman" w:cs="Times New Roman"/>
          <w:color w:val="000000" w:themeColor="text1"/>
          <w:sz w:val="23"/>
          <w:szCs w:val="23"/>
          <w:lang w:val="en-US"/>
        </w:rPr>
        <w:t>IC</w:t>
      </w:r>
      <w:r w:rsidR="001C19C1" w:rsidRPr="00983193">
        <w:rPr>
          <w:rFonts w:ascii="Times New Roman" w:eastAsia="Calibri" w:hAnsi="Times New Roman" w:cs="Times New Roman"/>
          <w:color w:val="000000" w:themeColor="text1"/>
          <w:sz w:val="23"/>
          <w:szCs w:val="23"/>
          <w:lang w:val="en-US"/>
        </w:rPr>
        <w:t xml:space="preserve">. </w:t>
      </w:r>
      <w:r w:rsidR="00657B71" w:rsidRPr="00300BB6">
        <w:rPr>
          <w:rFonts w:ascii="Times New Roman" w:eastAsia="Calibri" w:hAnsi="Times New Roman" w:cs="Times New Roman"/>
          <w:color w:val="000000" w:themeColor="text1"/>
          <w:sz w:val="23"/>
          <w:szCs w:val="23"/>
          <w:lang w:val="en-US"/>
        </w:rPr>
        <w:t>Pulic</w:t>
      </w:r>
      <w:r w:rsidR="00657B71" w:rsidRPr="00983193">
        <w:rPr>
          <w:rFonts w:ascii="Times New Roman" w:eastAsia="Calibri" w:hAnsi="Times New Roman" w:cs="Times New Roman"/>
          <w:color w:val="000000" w:themeColor="text1"/>
          <w:sz w:val="23"/>
          <w:szCs w:val="23"/>
          <w:lang w:val="en-US"/>
        </w:rPr>
        <w:t xml:space="preserve"> (2000)</w:t>
      </w:r>
      <w:r w:rsidR="00657B71">
        <w:rPr>
          <w:rFonts w:ascii="Times New Roman" w:eastAsia="Calibri" w:hAnsi="Times New Roman" w:cs="Times New Roman"/>
          <w:color w:val="000000" w:themeColor="text1"/>
          <w:sz w:val="23"/>
          <w:szCs w:val="23"/>
          <w:lang w:val="en-US"/>
        </w:rPr>
        <w:t xml:space="preserve"> introduces </w:t>
      </w:r>
      <w:r w:rsidR="00383141" w:rsidRPr="00983193">
        <w:rPr>
          <w:rFonts w:ascii="Times New Roman" w:eastAsia="Calibri" w:hAnsi="Times New Roman" w:cs="Times New Roman"/>
          <w:color w:val="000000" w:themeColor="text1"/>
          <w:sz w:val="23"/>
          <w:szCs w:val="23"/>
          <w:lang w:val="en-US"/>
        </w:rPr>
        <w:t>VAIC</w:t>
      </w:r>
      <w:r w:rsidR="00657B71">
        <w:rPr>
          <w:rFonts w:ascii="Times New Roman" w:eastAsia="Calibri" w:hAnsi="Times New Roman" w:cs="Times New Roman"/>
          <w:color w:val="000000" w:themeColor="text1"/>
          <w:sz w:val="23"/>
          <w:szCs w:val="23"/>
          <w:lang w:val="en-US"/>
        </w:rPr>
        <w:t xml:space="preserve"> </w:t>
      </w:r>
      <w:r w:rsidR="00383141" w:rsidRPr="00983193">
        <w:rPr>
          <w:rFonts w:ascii="Times New Roman" w:eastAsia="Calibri" w:hAnsi="Times New Roman" w:cs="Times New Roman"/>
          <w:color w:val="000000" w:themeColor="text1"/>
          <w:sz w:val="23"/>
          <w:szCs w:val="23"/>
          <w:lang w:val="en-US"/>
        </w:rPr>
        <w:t>with the purpose of provid</w:t>
      </w:r>
      <w:r w:rsidR="00657B71">
        <w:rPr>
          <w:rFonts w:ascii="Times New Roman" w:eastAsia="Calibri" w:hAnsi="Times New Roman" w:cs="Times New Roman"/>
          <w:color w:val="000000" w:themeColor="text1"/>
          <w:sz w:val="23"/>
          <w:szCs w:val="23"/>
          <w:lang w:val="en-US"/>
        </w:rPr>
        <w:t>ing</w:t>
      </w:r>
      <w:r w:rsidR="00383141" w:rsidRPr="00983193">
        <w:rPr>
          <w:rFonts w:ascii="Times New Roman" w:eastAsia="Calibri" w:hAnsi="Times New Roman" w:cs="Times New Roman"/>
          <w:color w:val="000000" w:themeColor="text1"/>
          <w:sz w:val="23"/>
          <w:szCs w:val="23"/>
          <w:lang w:val="en-US"/>
        </w:rPr>
        <w:t xml:space="preserve"> information </w:t>
      </w:r>
      <w:r w:rsidR="00657B71">
        <w:rPr>
          <w:rFonts w:ascii="Times New Roman" w:eastAsia="Calibri" w:hAnsi="Times New Roman" w:cs="Times New Roman"/>
          <w:color w:val="000000" w:themeColor="text1"/>
          <w:sz w:val="23"/>
          <w:szCs w:val="23"/>
          <w:lang w:val="en-US"/>
        </w:rPr>
        <w:t>on</w:t>
      </w:r>
      <w:r w:rsidR="00657B71" w:rsidRPr="00983193">
        <w:rPr>
          <w:rFonts w:ascii="Times New Roman" w:eastAsia="Calibri" w:hAnsi="Times New Roman" w:cs="Times New Roman"/>
          <w:color w:val="000000" w:themeColor="text1"/>
          <w:sz w:val="23"/>
          <w:szCs w:val="23"/>
          <w:lang w:val="en-US"/>
        </w:rPr>
        <w:t xml:space="preserve"> </w:t>
      </w:r>
      <w:r w:rsidR="00383141" w:rsidRPr="00983193">
        <w:rPr>
          <w:rFonts w:ascii="Times New Roman" w:eastAsia="Calibri" w:hAnsi="Times New Roman" w:cs="Times New Roman"/>
          <w:color w:val="000000" w:themeColor="text1"/>
          <w:sz w:val="23"/>
          <w:szCs w:val="23"/>
          <w:lang w:val="en-US"/>
        </w:rPr>
        <w:t xml:space="preserve">value creation efficiency </w:t>
      </w:r>
      <w:r w:rsidR="00657B71">
        <w:rPr>
          <w:rFonts w:ascii="Times New Roman" w:eastAsia="Calibri" w:hAnsi="Times New Roman" w:cs="Times New Roman"/>
          <w:color w:val="000000" w:themeColor="text1"/>
          <w:sz w:val="23"/>
          <w:szCs w:val="23"/>
          <w:lang w:val="en-US"/>
        </w:rPr>
        <w:t>of</w:t>
      </w:r>
      <w:r w:rsidR="00657B71" w:rsidRPr="00983193">
        <w:rPr>
          <w:rFonts w:ascii="Times New Roman" w:eastAsia="Calibri" w:hAnsi="Times New Roman" w:cs="Times New Roman"/>
          <w:color w:val="000000" w:themeColor="text1"/>
          <w:sz w:val="23"/>
          <w:szCs w:val="23"/>
          <w:lang w:val="en-US"/>
        </w:rPr>
        <w:t xml:space="preserve"> </w:t>
      </w:r>
      <w:r w:rsidR="00657B71">
        <w:rPr>
          <w:rFonts w:ascii="Times New Roman" w:eastAsia="Calibri" w:hAnsi="Times New Roman" w:cs="Times New Roman"/>
          <w:color w:val="000000" w:themeColor="text1"/>
          <w:sz w:val="23"/>
          <w:szCs w:val="23"/>
          <w:lang w:val="en-US"/>
        </w:rPr>
        <w:t xml:space="preserve">a </w:t>
      </w:r>
      <w:r w:rsidR="00383141" w:rsidRPr="00983193">
        <w:rPr>
          <w:rFonts w:ascii="Times New Roman" w:eastAsia="Calibri" w:hAnsi="Times New Roman" w:cs="Times New Roman"/>
          <w:color w:val="000000" w:themeColor="text1"/>
          <w:sz w:val="23"/>
          <w:szCs w:val="23"/>
          <w:lang w:val="en-US"/>
        </w:rPr>
        <w:t xml:space="preserve">firm’s tangible and intangible assets. </w:t>
      </w:r>
      <w:r w:rsidR="00657B71">
        <w:rPr>
          <w:rFonts w:ascii="Times New Roman" w:eastAsia="Calibri" w:hAnsi="Times New Roman" w:cs="Times New Roman"/>
          <w:color w:val="000000" w:themeColor="text1"/>
          <w:sz w:val="23"/>
          <w:szCs w:val="23"/>
          <w:lang w:val="en-US"/>
        </w:rPr>
        <w:t>One</w:t>
      </w:r>
      <w:r w:rsidR="00657B71" w:rsidRPr="00983193">
        <w:rPr>
          <w:rFonts w:ascii="Times New Roman" w:eastAsia="Calibri" w:hAnsi="Times New Roman" w:cs="Times New Roman"/>
          <w:color w:val="000000" w:themeColor="text1"/>
          <w:sz w:val="23"/>
          <w:szCs w:val="23"/>
          <w:lang w:val="en-US"/>
        </w:rPr>
        <w:t xml:space="preserve"> </w:t>
      </w:r>
      <w:r w:rsidR="00383141" w:rsidRPr="00983193">
        <w:rPr>
          <w:rFonts w:ascii="Times New Roman" w:eastAsia="Calibri" w:hAnsi="Times New Roman" w:cs="Times New Roman"/>
          <w:color w:val="000000" w:themeColor="text1"/>
          <w:sz w:val="23"/>
          <w:szCs w:val="23"/>
          <w:lang w:val="en-US"/>
        </w:rPr>
        <w:t xml:space="preserve">drawback of this model </w:t>
      </w:r>
      <w:r w:rsidR="00657B71">
        <w:rPr>
          <w:rFonts w:ascii="Times New Roman" w:eastAsia="Calibri" w:hAnsi="Times New Roman" w:cs="Times New Roman"/>
          <w:color w:val="000000" w:themeColor="text1"/>
          <w:sz w:val="23"/>
          <w:szCs w:val="23"/>
          <w:lang w:val="en-US"/>
        </w:rPr>
        <w:t>is</w:t>
      </w:r>
      <w:r w:rsidR="00657B71" w:rsidRPr="00983193">
        <w:rPr>
          <w:rFonts w:ascii="Times New Roman" w:eastAsia="Calibri" w:hAnsi="Times New Roman" w:cs="Times New Roman"/>
          <w:color w:val="000000" w:themeColor="text1"/>
          <w:sz w:val="23"/>
          <w:szCs w:val="23"/>
          <w:lang w:val="en-US"/>
        </w:rPr>
        <w:t xml:space="preserve"> </w:t>
      </w:r>
      <w:r w:rsidR="00383141" w:rsidRPr="00983193">
        <w:rPr>
          <w:rFonts w:ascii="Times New Roman" w:eastAsia="Calibri" w:hAnsi="Times New Roman" w:cs="Times New Roman"/>
          <w:color w:val="000000" w:themeColor="text1"/>
          <w:sz w:val="23"/>
          <w:szCs w:val="23"/>
          <w:lang w:val="en-US"/>
        </w:rPr>
        <w:t xml:space="preserve">the use of basic financial information </w:t>
      </w:r>
      <w:r w:rsidR="00657B71">
        <w:rPr>
          <w:rFonts w:ascii="Times New Roman" w:eastAsia="Calibri" w:hAnsi="Times New Roman" w:cs="Times New Roman"/>
          <w:color w:val="000000" w:themeColor="text1"/>
          <w:sz w:val="23"/>
          <w:szCs w:val="23"/>
          <w:lang w:val="en-US"/>
        </w:rPr>
        <w:t>as</w:t>
      </w:r>
      <w:r w:rsidR="00383141" w:rsidRPr="00983193">
        <w:rPr>
          <w:rFonts w:ascii="Times New Roman" w:eastAsia="Calibri" w:hAnsi="Times New Roman" w:cs="Times New Roman"/>
          <w:color w:val="000000" w:themeColor="text1"/>
          <w:sz w:val="23"/>
          <w:szCs w:val="23"/>
          <w:lang w:val="en-US"/>
        </w:rPr>
        <w:t xml:space="preserve"> </w:t>
      </w:r>
      <w:r w:rsidR="00657B71">
        <w:rPr>
          <w:rFonts w:ascii="Times New Roman" w:eastAsia="Calibri" w:hAnsi="Times New Roman" w:cs="Times New Roman"/>
          <w:color w:val="000000" w:themeColor="text1"/>
          <w:sz w:val="23"/>
          <w:szCs w:val="23"/>
          <w:lang w:val="en-US"/>
        </w:rPr>
        <w:t>i</w:t>
      </w:r>
      <w:r w:rsidR="006D5DF2" w:rsidRPr="00983193">
        <w:rPr>
          <w:rFonts w:ascii="Times New Roman" w:eastAsia="Calibri" w:hAnsi="Times New Roman" w:cs="Times New Roman"/>
          <w:color w:val="000000" w:themeColor="text1"/>
          <w:sz w:val="23"/>
          <w:szCs w:val="23"/>
          <w:lang w:val="en-US"/>
        </w:rPr>
        <w:t>ntellectual capital is an intangible asset</w:t>
      </w:r>
      <w:r w:rsidR="009101BD" w:rsidRPr="00983193">
        <w:rPr>
          <w:rFonts w:ascii="Times New Roman" w:eastAsia="Calibri" w:hAnsi="Times New Roman" w:cs="Times New Roman"/>
          <w:color w:val="000000" w:themeColor="text1"/>
          <w:sz w:val="23"/>
          <w:szCs w:val="23"/>
          <w:lang w:val="en-US"/>
        </w:rPr>
        <w:t xml:space="preserve"> (El Bannany, 2008)</w:t>
      </w:r>
      <w:r w:rsidR="006D5DF2" w:rsidRPr="00983193">
        <w:rPr>
          <w:rFonts w:ascii="Times New Roman" w:eastAsia="Calibri" w:hAnsi="Times New Roman" w:cs="Times New Roman"/>
          <w:color w:val="000000" w:themeColor="text1"/>
          <w:sz w:val="23"/>
          <w:szCs w:val="23"/>
          <w:lang w:val="en-US"/>
        </w:rPr>
        <w:t xml:space="preserve">. </w:t>
      </w:r>
    </w:p>
    <w:p w14:paraId="4F72D537" w14:textId="750B1B82" w:rsidR="009C3646" w:rsidRPr="00983193" w:rsidRDefault="00241CFE" w:rsidP="00F76716">
      <w:pPr>
        <w:spacing w:after="0" w:line="240" w:lineRule="auto"/>
        <w:contextualSpacing/>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IC</w:t>
      </w:r>
      <w:r w:rsidRPr="00983193">
        <w:rPr>
          <w:rFonts w:ascii="Times New Roman" w:eastAsia="Calibri" w:hAnsi="Times New Roman" w:cs="Times New Roman"/>
          <w:color w:val="000000" w:themeColor="text1"/>
          <w:sz w:val="23"/>
          <w:szCs w:val="23"/>
          <w:lang w:val="en-US"/>
        </w:rPr>
        <w:t xml:space="preserve"> </w:t>
      </w:r>
      <w:r w:rsidR="006D5DF2" w:rsidRPr="00983193">
        <w:rPr>
          <w:rFonts w:ascii="Times New Roman" w:eastAsia="Calibri" w:hAnsi="Times New Roman" w:cs="Times New Roman"/>
          <w:color w:val="000000" w:themeColor="text1"/>
          <w:sz w:val="23"/>
          <w:szCs w:val="23"/>
          <w:lang w:val="en-US"/>
        </w:rPr>
        <w:t xml:space="preserve">covers the knowledge and experience which skilled staff use to gain a competitive advantage for the company through applying creative strategies. </w:t>
      </w:r>
      <w:r w:rsidR="00D744CA" w:rsidRPr="00983193">
        <w:rPr>
          <w:rFonts w:ascii="Times New Roman" w:eastAsia="Calibri" w:hAnsi="Times New Roman" w:cs="Times New Roman"/>
          <w:color w:val="000000" w:themeColor="text1"/>
          <w:sz w:val="23"/>
          <w:szCs w:val="23"/>
          <w:lang w:val="en-US"/>
        </w:rPr>
        <w:t xml:space="preserve">Thus, both physical and intellectual capital </w:t>
      </w:r>
      <w:r>
        <w:rPr>
          <w:rFonts w:ascii="Times New Roman" w:eastAsia="Calibri" w:hAnsi="Times New Roman" w:cs="Times New Roman"/>
          <w:noProof/>
          <w:color w:val="000000" w:themeColor="text1"/>
          <w:sz w:val="23"/>
          <w:szCs w:val="23"/>
          <w:lang w:val="en-US"/>
        </w:rPr>
        <w:t>are</w:t>
      </w:r>
      <w:r w:rsidR="00D744CA" w:rsidRPr="00983193">
        <w:rPr>
          <w:rFonts w:ascii="Times New Roman" w:eastAsia="Calibri" w:hAnsi="Times New Roman" w:cs="Times New Roman"/>
          <w:color w:val="000000" w:themeColor="text1"/>
          <w:sz w:val="23"/>
          <w:szCs w:val="23"/>
          <w:lang w:val="en-US"/>
        </w:rPr>
        <w:t xml:space="preserve"> important for creating </w:t>
      </w:r>
      <w:r>
        <w:rPr>
          <w:rFonts w:ascii="Times New Roman" w:eastAsia="Calibri" w:hAnsi="Times New Roman" w:cs="Times New Roman"/>
          <w:color w:val="000000" w:themeColor="text1"/>
          <w:sz w:val="23"/>
          <w:szCs w:val="23"/>
          <w:lang w:val="en-US"/>
        </w:rPr>
        <w:t xml:space="preserve">firm </w:t>
      </w:r>
      <w:r w:rsidR="00D744CA" w:rsidRPr="00983193">
        <w:rPr>
          <w:rFonts w:ascii="Times New Roman" w:eastAsia="Calibri" w:hAnsi="Times New Roman" w:cs="Times New Roman"/>
          <w:color w:val="000000" w:themeColor="text1"/>
          <w:sz w:val="23"/>
          <w:szCs w:val="23"/>
          <w:lang w:val="en-US"/>
        </w:rPr>
        <w:t>value.</w:t>
      </w:r>
      <w:r w:rsidR="006C046E" w:rsidRPr="00983193">
        <w:rPr>
          <w:rFonts w:ascii="Times New Roman" w:eastAsia="Calibri" w:hAnsi="Times New Roman" w:cs="Times New Roman"/>
          <w:color w:val="000000" w:themeColor="text1"/>
          <w:sz w:val="23"/>
          <w:szCs w:val="23"/>
          <w:lang w:val="en-US"/>
        </w:rPr>
        <w:t xml:space="preserve"> </w:t>
      </w:r>
      <w:r w:rsidR="00EC673E" w:rsidRPr="00983193">
        <w:rPr>
          <w:rFonts w:ascii="Times New Roman" w:eastAsia="Calibri" w:hAnsi="Times New Roman" w:cs="Times New Roman"/>
          <w:color w:val="000000" w:themeColor="text1"/>
          <w:sz w:val="23"/>
          <w:szCs w:val="23"/>
          <w:lang w:val="en-US"/>
        </w:rPr>
        <w:t>El Bannany (2008)</w:t>
      </w:r>
      <w:r>
        <w:rPr>
          <w:rFonts w:ascii="Times New Roman" w:eastAsia="Calibri" w:hAnsi="Times New Roman" w:cs="Times New Roman"/>
          <w:color w:val="000000" w:themeColor="text1"/>
          <w:sz w:val="23"/>
          <w:szCs w:val="23"/>
          <w:lang w:val="en-US"/>
        </w:rPr>
        <w:t xml:space="preserve"> argues that</w:t>
      </w:r>
      <w:r w:rsidR="00EC673E" w:rsidRPr="00983193">
        <w:rPr>
          <w:rFonts w:ascii="Times New Roman" w:eastAsia="Calibri" w:hAnsi="Times New Roman" w:cs="Times New Roman"/>
          <w:color w:val="000000" w:themeColor="text1"/>
          <w:sz w:val="23"/>
          <w:szCs w:val="23"/>
          <w:lang w:val="en-US"/>
        </w:rPr>
        <w:t xml:space="preserve"> measuring </w:t>
      </w:r>
      <w:r w:rsidR="00E56740">
        <w:rPr>
          <w:rFonts w:ascii="Times New Roman" w:eastAsia="Calibri" w:hAnsi="Times New Roman" w:cs="Times New Roman"/>
          <w:color w:val="000000" w:themeColor="text1"/>
          <w:sz w:val="23"/>
          <w:szCs w:val="23"/>
          <w:lang w:val="en-US"/>
        </w:rPr>
        <w:t>IC</w:t>
      </w:r>
      <w:r w:rsidR="00EC673E" w:rsidRPr="00983193">
        <w:rPr>
          <w:rFonts w:ascii="Times New Roman" w:eastAsia="Calibri" w:hAnsi="Times New Roman" w:cs="Times New Roman"/>
          <w:color w:val="000000" w:themeColor="text1"/>
          <w:sz w:val="23"/>
          <w:szCs w:val="23"/>
          <w:lang w:val="en-US"/>
        </w:rPr>
        <w:t xml:space="preserve"> performance </w:t>
      </w:r>
      <w:r>
        <w:rPr>
          <w:rFonts w:ascii="Times New Roman" w:eastAsia="Calibri" w:hAnsi="Times New Roman" w:cs="Times New Roman"/>
          <w:color w:val="000000" w:themeColor="text1"/>
          <w:sz w:val="23"/>
          <w:szCs w:val="23"/>
          <w:lang w:val="en-US"/>
        </w:rPr>
        <w:t>assumes</w:t>
      </w:r>
      <w:r w:rsidR="00EC673E" w:rsidRPr="00983193">
        <w:rPr>
          <w:rFonts w:ascii="Times New Roman" w:eastAsia="Calibri" w:hAnsi="Times New Roman" w:cs="Times New Roman"/>
          <w:color w:val="000000" w:themeColor="text1"/>
          <w:sz w:val="23"/>
          <w:szCs w:val="23"/>
          <w:lang w:val="en-US"/>
        </w:rPr>
        <w:t xml:space="preserve"> that the existence of physical capital is essential to allow human capital to contribute to creating added value. Human capital cannot act without physical capital</w:t>
      </w:r>
      <w:r>
        <w:rPr>
          <w:rFonts w:ascii="Times New Roman" w:eastAsia="Calibri" w:hAnsi="Times New Roman" w:cs="Times New Roman"/>
          <w:color w:val="000000" w:themeColor="text1"/>
          <w:sz w:val="23"/>
          <w:szCs w:val="23"/>
          <w:lang w:val="en-US"/>
        </w:rPr>
        <w:t>,</w:t>
      </w:r>
      <w:r w:rsidR="00EC673E" w:rsidRPr="00983193">
        <w:rPr>
          <w:rFonts w:ascii="Times New Roman" w:eastAsia="Calibri" w:hAnsi="Times New Roman" w:cs="Times New Roman"/>
          <w:color w:val="000000" w:themeColor="text1"/>
          <w:sz w:val="23"/>
          <w:szCs w:val="23"/>
          <w:lang w:val="en-US"/>
        </w:rPr>
        <w:t xml:space="preserve"> so this part </w:t>
      </w:r>
      <w:r>
        <w:rPr>
          <w:rFonts w:ascii="Times New Roman" w:eastAsia="Calibri" w:hAnsi="Times New Roman" w:cs="Times New Roman"/>
          <w:color w:val="000000" w:themeColor="text1"/>
          <w:sz w:val="23"/>
          <w:szCs w:val="23"/>
          <w:lang w:val="en-US"/>
        </w:rPr>
        <w:t xml:space="preserve">of IC </w:t>
      </w:r>
      <w:r w:rsidR="00EC673E" w:rsidRPr="00983193">
        <w:rPr>
          <w:rFonts w:ascii="Times New Roman" w:eastAsia="Calibri" w:hAnsi="Times New Roman" w:cs="Times New Roman"/>
          <w:color w:val="000000" w:themeColor="text1"/>
          <w:sz w:val="23"/>
          <w:szCs w:val="23"/>
          <w:lang w:val="en-US"/>
        </w:rPr>
        <w:t xml:space="preserve">cannot be ignored </w:t>
      </w:r>
      <w:r>
        <w:rPr>
          <w:rFonts w:ascii="Times New Roman" w:eastAsia="Calibri" w:hAnsi="Times New Roman" w:cs="Times New Roman"/>
          <w:color w:val="000000" w:themeColor="text1"/>
          <w:sz w:val="23"/>
          <w:szCs w:val="23"/>
          <w:lang w:val="en-US"/>
        </w:rPr>
        <w:t>when</w:t>
      </w:r>
      <w:r w:rsidR="00EC673E" w:rsidRPr="00983193">
        <w:rPr>
          <w:rFonts w:ascii="Times New Roman" w:eastAsia="Calibri" w:hAnsi="Times New Roman" w:cs="Times New Roman"/>
          <w:color w:val="000000" w:themeColor="text1"/>
          <w:sz w:val="23"/>
          <w:szCs w:val="23"/>
          <w:lang w:val="en-US"/>
        </w:rPr>
        <w:t xml:space="preserve"> constructing an index of </w:t>
      </w:r>
      <w:r w:rsidR="00E56740">
        <w:rPr>
          <w:rFonts w:ascii="Times New Roman" w:eastAsia="Calibri" w:hAnsi="Times New Roman" w:cs="Times New Roman"/>
          <w:color w:val="000000" w:themeColor="text1"/>
          <w:sz w:val="23"/>
          <w:szCs w:val="23"/>
          <w:lang w:val="en-US"/>
        </w:rPr>
        <w:t>IC</w:t>
      </w:r>
      <w:r w:rsidR="00EC673E" w:rsidRPr="00983193">
        <w:rPr>
          <w:rFonts w:ascii="Times New Roman" w:eastAsia="Calibri" w:hAnsi="Times New Roman" w:cs="Times New Roman"/>
          <w:color w:val="000000" w:themeColor="text1"/>
          <w:sz w:val="23"/>
          <w:szCs w:val="23"/>
          <w:lang w:val="en-US"/>
        </w:rPr>
        <w:t xml:space="preserve"> performance</w:t>
      </w:r>
      <w:r w:rsidR="00D97F76" w:rsidRPr="00983193">
        <w:rPr>
          <w:rFonts w:ascii="Times New Roman" w:eastAsia="Calibri" w:hAnsi="Times New Roman" w:cs="Times New Roman"/>
          <w:color w:val="000000" w:themeColor="text1"/>
          <w:sz w:val="23"/>
          <w:szCs w:val="23"/>
          <w:lang w:val="en-US"/>
        </w:rPr>
        <w:t xml:space="preserve">. </w:t>
      </w:r>
      <w:r w:rsidR="002868F8" w:rsidRPr="00983193">
        <w:rPr>
          <w:rFonts w:ascii="Times New Roman" w:eastAsia="Calibri" w:hAnsi="Times New Roman" w:cs="Times New Roman"/>
          <w:color w:val="000000" w:themeColor="text1"/>
          <w:sz w:val="23"/>
          <w:szCs w:val="23"/>
          <w:lang w:val="en-US"/>
        </w:rPr>
        <w:t>In</w:t>
      </w:r>
      <w:r>
        <w:rPr>
          <w:rFonts w:ascii="Times New Roman" w:eastAsia="Calibri" w:hAnsi="Times New Roman" w:cs="Times New Roman"/>
          <w:color w:val="000000" w:themeColor="text1"/>
          <w:sz w:val="23"/>
          <w:szCs w:val="23"/>
          <w:lang w:val="en-US"/>
        </w:rPr>
        <w:t>deed</w:t>
      </w:r>
      <w:r w:rsidR="002868F8" w:rsidRPr="00983193">
        <w:rPr>
          <w:rFonts w:ascii="Times New Roman" w:eastAsia="Calibri" w:hAnsi="Times New Roman" w:cs="Times New Roman"/>
          <w:color w:val="000000" w:themeColor="text1"/>
          <w:sz w:val="23"/>
          <w:szCs w:val="23"/>
          <w:lang w:val="en-US"/>
        </w:rPr>
        <w:t>, high</w:t>
      </w:r>
      <w:r>
        <w:rPr>
          <w:rFonts w:ascii="Times New Roman" w:eastAsia="Calibri" w:hAnsi="Times New Roman" w:cs="Times New Roman"/>
          <w:color w:val="000000" w:themeColor="text1"/>
          <w:sz w:val="23"/>
          <w:szCs w:val="23"/>
          <w:lang w:val="en-US"/>
        </w:rPr>
        <w:t>ly</w:t>
      </w:r>
      <w:r w:rsidR="002868F8" w:rsidRPr="00983193">
        <w:rPr>
          <w:rFonts w:ascii="Times New Roman" w:eastAsia="Calibri" w:hAnsi="Times New Roman" w:cs="Times New Roman"/>
          <w:color w:val="000000" w:themeColor="text1"/>
          <w:sz w:val="23"/>
          <w:szCs w:val="23"/>
          <w:lang w:val="en-US"/>
        </w:rPr>
        <w:t xml:space="preserve"> skilled </w:t>
      </w:r>
      <w:r w:rsidR="002868F8" w:rsidRPr="009946C9">
        <w:rPr>
          <w:rFonts w:ascii="Times New Roman" w:eastAsia="Calibri" w:hAnsi="Times New Roman" w:cs="Times New Roman"/>
          <w:noProof/>
          <w:color w:val="000000" w:themeColor="text1"/>
          <w:sz w:val="23"/>
          <w:szCs w:val="23"/>
          <w:lang w:val="en-US"/>
        </w:rPr>
        <w:t>employe</w:t>
      </w:r>
      <w:r w:rsidR="009946C9">
        <w:rPr>
          <w:rFonts w:ascii="Times New Roman" w:eastAsia="Calibri" w:hAnsi="Times New Roman" w:cs="Times New Roman"/>
          <w:noProof/>
          <w:color w:val="000000" w:themeColor="text1"/>
          <w:sz w:val="23"/>
          <w:szCs w:val="23"/>
          <w:lang w:val="en-US"/>
        </w:rPr>
        <w:t>e</w:t>
      </w:r>
      <w:r w:rsidR="002868F8" w:rsidRPr="009946C9">
        <w:rPr>
          <w:rFonts w:ascii="Times New Roman" w:eastAsia="Calibri" w:hAnsi="Times New Roman" w:cs="Times New Roman"/>
          <w:noProof/>
          <w:color w:val="000000" w:themeColor="text1"/>
          <w:sz w:val="23"/>
          <w:szCs w:val="23"/>
          <w:lang w:val="en-US"/>
        </w:rPr>
        <w:t>s</w:t>
      </w:r>
      <w:r w:rsidR="002868F8" w:rsidRPr="00983193">
        <w:rPr>
          <w:rFonts w:ascii="Times New Roman" w:eastAsia="Calibri" w:hAnsi="Times New Roman" w:cs="Times New Roman"/>
          <w:color w:val="000000" w:themeColor="text1"/>
          <w:sz w:val="23"/>
          <w:szCs w:val="23"/>
          <w:lang w:val="en-US"/>
        </w:rPr>
        <w:t xml:space="preserve"> </w:t>
      </w:r>
      <w:r>
        <w:rPr>
          <w:rFonts w:ascii="Times New Roman" w:eastAsia="Calibri" w:hAnsi="Times New Roman" w:cs="Times New Roman"/>
          <w:color w:val="000000" w:themeColor="text1"/>
          <w:sz w:val="23"/>
          <w:szCs w:val="23"/>
          <w:lang w:val="en-US"/>
        </w:rPr>
        <w:t>are</w:t>
      </w:r>
      <w:r w:rsidR="002868F8" w:rsidRPr="00983193">
        <w:rPr>
          <w:rFonts w:ascii="Times New Roman" w:eastAsia="Calibri" w:hAnsi="Times New Roman" w:cs="Times New Roman"/>
          <w:color w:val="000000" w:themeColor="text1"/>
          <w:sz w:val="23"/>
          <w:szCs w:val="23"/>
          <w:lang w:val="en-US"/>
        </w:rPr>
        <w:t xml:space="preserve"> not able to </w:t>
      </w:r>
      <w:r>
        <w:rPr>
          <w:rFonts w:ascii="Times New Roman" w:eastAsia="Calibri" w:hAnsi="Times New Roman" w:cs="Times New Roman"/>
          <w:noProof/>
          <w:color w:val="000000" w:themeColor="text1"/>
          <w:sz w:val="23"/>
          <w:szCs w:val="23"/>
          <w:lang w:val="en-US"/>
        </w:rPr>
        <w:t>demonstrate</w:t>
      </w:r>
      <w:r w:rsidRPr="00983193">
        <w:rPr>
          <w:rFonts w:ascii="Times New Roman" w:eastAsia="Calibri" w:hAnsi="Times New Roman" w:cs="Times New Roman"/>
          <w:color w:val="000000" w:themeColor="text1"/>
          <w:sz w:val="23"/>
          <w:szCs w:val="23"/>
          <w:lang w:val="en-US"/>
        </w:rPr>
        <w:t xml:space="preserve"> </w:t>
      </w:r>
      <w:r w:rsidR="002868F8" w:rsidRPr="00983193">
        <w:rPr>
          <w:rFonts w:ascii="Times New Roman" w:eastAsia="Calibri" w:hAnsi="Times New Roman" w:cs="Times New Roman"/>
          <w:color w:val="000000" w:themeColor="text1"/>
          <w:sz w:val="23"/>
          <w:szCs w:val="23"/>
          <w:lang w:val="en-US"/>
        </w:rPr>
        <w:t xml:space="preserve">their ability </w:t>
      </w:r>
      <w:r>
        <w:rPr>
          <w:rFonts w:ascii="Times New Roman" w:eastAsia="Calibri" w:hAnsi="Times New Roman" w:cs="Times New Roman"/>
          <w:color w:val="000000" w:themeColor="text1"/>
          <w:sz w:val="23"/>
          <w:szCs w:val="23"/>
          <w:lang w:val="en-US"/>
        </w:rPr>
        <w:t>to</w:t>
      </w:r>
      <w:r w:rsidRPr="00983193">
        <w:rPr>
          <w:rFonts w:ascii="Times New Roman" w:eastAsia="Calibri" w:hAnsi="Times New Roman" w:cs="Times New Roman"/>
          <w:color w:val="000000" w:themeColor="text1"/>
          <w:sz w:val="23"/>
          <w:szCs w:val="23"/>
          <w:lang w:val="en-US"/>
        </w:rPr>
        <w:t xml:space="preserve"> </w:t>
      </w:r>
      <w:r w:rsidR="002868F8" w:rsidRPr="00983193">
        <w:rPr>
          <w:rFonts w:ascii="Times New Roman" w:eastAsia="Calibri" w:hAnsi="Times New Roman" w:cs="Times New Roman"/>
          <w:color w:val="000000" w:themeColor="text1"/>
          <w:sz w:val="23"/>
          <w:szCs w:val="23"/>
          <w:lang w:val="en-US"/>
        </w:rPr>
        <w:t>creat</w:t>
      </w:r>
      <w:r>
        <w:rPr>
          <w:rFonts w:ascii="Times New Roman" w:eastAsia="Calibri" w:hAnsi="Times New Roman" w:cs="Times New Roman"/>
          <w:color w:val="000000" w:themeColor="text1"/>
          <w:sz w:val="23"/>
          <w:szCs w:val="23"/>
          <w:lang w:val="en-US"/>
        </w:rPr>
        <w:t>e</w:t>
      </w:r>
      <w:r w:rsidR="002868F8" w:rsidRPr="00983193">
        <w:rPr>
          <w:rFonts w:ascii="Times New Roman" w:eastAsia="Calibri" w:hAnsi="Times New Roman" w:cs="Times New Roman"/>
          <w:color w:val="000000" w:themeColor="text1"/>
          <w:sz w:val="23"/>
          <w:szCs w:val="23"/>
          <w:lang w:val="en-US"/>
        </w:rPr>
        <w:t xml:space="preserve"> value </w:t>
      </w:r>
      <w:r>
        <w:rPr>
          <w:rFonts w:ascii="Times New Roman" w:eastAsia="Calibri" w:hAnsi="Times New Roman" w:cs="Times New Roman"/>
          <w:color w:val="000000" w:themeColor="text1"/>
          <w:sz w:val="23"/>
          <w:szCs w:val="23"/>
          <w:lang w:val="en-US"/>
        </w:rPr>
        <w:t>in the absence of</w:t>
      </w:r>
      <w:r w:rsidRPr="00983193">
        <w:rPr>
          <w:rFonts w:ascii="Times New Roman" w:eastAsia="Calibri" w:hAnsi="Times New Roman" w:cs="Times New Roman"/>
          <w:color w:val="000000" w:themeColor="text1"/>
          <w:sz w:val="23"/>
          <w:szCs w:val="23"/>
          <w:lang w:val="en-US"/>
        </w:rPr>
        <w:t xml:space="preserve"> </w:t>
      </w:r>
      <w:r>
        <w:rPr>
          <w:rFonts w:ascii="Times New Roman" w:eastAsia="Calibri" w:hAnsi="Times New Roman" w:cs="Times New Roman"/>
          <w:color w:val="000000" w:themeColor="text1"/>
          <w:sz w:val="23"/>
          <w:szCs w:val="23"/>
          <w:lang w:val="en-US"/>
        </w:rPr>
        <w:t>certain</w:t>
      </w:r>
      <w:r w:rsidRPr="00983193">
        <w:rPr>
          <w:rFonts w:ascii="Times New Roman" w:eastAsia="Calibri" w:hAnsi="Times New Roman" w:cs="Times New Roman"/>
          <w:color w:val="000000" w:themeColor="text1"/>
          <w:sz w:val="23"/>
          <w:szCs w:val="23"/>
          <w:lang w:val="en-US"/>
        </w:rPr>
        <w:t xml:space="preserve"> </w:t>
      </w:r>
      <w:r w:rsidR="002868F8" w:rsidRPr="00983193">
        <w:rPr>
          <w:rFonts w:ascii="Times New Roman" w:eastAsia="Calibri" w:hAnsi="Times New Roman" w:cs="Times New Roman"/>
          <w:color w:val="000000" w:themeColor="text1"/>
          <w:sz w:val="23"/>
          <w:szCs w:val="23"/>
          <w:lang w:val="en-US"/>
        </w:rPr>
        <w:t xml:space="preserve">facilities </w:t>
      </w:r>
      <w:r>
        <w:rPr>
          <w:rFonts w:ascii="Times New Roman" w:eastAsia="Calibri" w:hAnsi="Times New Roman" w:cs="Times New Roman"/>
          <w:color w:val="000000" w:themeColor="text1"/>
          <w:sz w:val="23"/>
          <w:szCs w:val="23"/>
          <w:lang w:val="en-US"/>
        </w:rPr>
        <w:t>such as</w:t>
      </w:r>
      <w:r w:rsidR="002868F8" w:rsidRPr="00983193">
        <w:rPr>
          <w:rFonts w:ascii="Times New Roman" w:eastAsia="Calibri" w:hAnsi="Times New Roman" w:cs="Times New Roman"/>
          <w:color w:val="000000" w:themeColor="text1"/>
          <w:sz w:val="23"/>
          <w:szCs w:val="23"/>
          <w:lang w:val="en-US"/>
        </w:rPr>
        <w:t xml:space="preserve"> investments in technolog</w:t>
      </w:r>
      <w:r>
        <w:rPr>
          <w:rFonts w:ascii="Times New Roman" w:eastAsia="Calibri" w:hAnsi="Times New Roman" w:cs="Times New Roman"/>
          <w:color w:val="000000" w:themeColor="text1"/>
          <w:sz w:val="23"/>
          <w:szCs w:val="23"/>
          <w:lang w:val="en-US"/>
        </w:rPr>
        <w:t>y</w:t>
      </w:r>
      <w:r w:rsidR="002868F8" w:rsidRPr="00983193">
        <w:rPr>
          <w:rFonts w:ascii="Times New Roman" w:eastAsia="Calibri" w:hAnsi="Times New Roman" w:cs="Times New Roman"/>
          <w:color w:val="000000" w:themeColor="text1"/>
          <w:sz w:val="23"/>
          <w:szCs w:val="23"/>
          <w:lang w:val="en-US"/>
        </w:rPr>
        <w:t xml:space="preserve"> or IT</w:t>
      </w:r>
      <w:r w:rsidR="002868F8" w:rsidRPr="002D035E">
        <w:rPr>
          <w:rFonts w:ascii="Times New Roman" w:eastAsia="Calibri" w:hAnsi="Times New Roman" w:cs="Times New Roman"/>
          <w:color w:val="000000" w:themeColor="text1"/>
          <w:sz w:val="23"/>
          <w:szCs w:val="23"/>
          <w:lang w:val="en-US"/>
        </w:rPr>
        <w:t xml:space="preserve">. </w:t>
      </w:r>
      <w:r w:rsidR="00AE6DA8" w:rsidRPr="002D035E">
        <w:rPr>
          <w:rFonts w:ascii="Times New Roman" w:eastAsia="Calibri" w:hAnsi="Times New Roman" w:cs="Times New Roman"/>
          <w:color w:val="000000" w:themeColor="text1"/>
          <w:sz w:val="23"/>
          <w:szCs w:val="23"/>
          <w:lang w:val="en-US"/>
        </w:rPr>
        <w:t xml:space="preserve">In this sense, </w:t>
      </w:r>
      <w:r w:rsidR="00AE6DA8" w:rsidRPr="002D035E">
        <w:rPr>
          <w:rFonts w:ascii="Times New Roman" w:eastAsia="Calibri" w:hAnsi="Times New Roman" w:cs="Times New Roman"/>
          <w:noProof/>
          <w:color w:val="000000" w:themeColor="text1"/>
          <w:sz w:val="23"/>
          <w:szCs w:val="23"/>
          <w:lang w:val="en-US"/>
        </w:rPr>
        <w:t>Pulic</w:t>
      </w:r>
      <w:r w:rsidR="00AE6DA8" w:rsidRPr="002D035E">
        <w:rPr>
          <w:rFonts w:ascii="Times New Roman" w:eastAsia="Calibri" w:hAnsi="Times New Roman" w:cs="Times New Roman"/>
          <w:color w:val="000000" w:themeColor="text1"/>
          <w:sz w:val="23"/>
          <w:szCs w:val="23"/>
          <w:lang w:val="en-US"/>
        </w:rPr>
        <w:t xml:space="preserve"> </w:t>
      </w:r>
      <w:r w:rsidR="002D035E">
        <w:rPr>
          <w:rFonts w:ascii="Times New Roman" w:eastAsia="Calibri" w:hAnsi="Times New Roman" w:cs="Times New Roman"/>
          <w:color w:val="000000" w:themeColor="text1"/>
          <w:sz w:val="23"/>
          <w:szCs w:val="23"/>
          <w:lang w:val="en-US"/>
        </w:rPr>
        <w:lastRenderedPageBreak/>
        <w:t xml:space="preserve">importantly </w:t>
      </w:r>
      <w:r w:rsidR="00AE6DA8" w:rsidRPr="002D035E">
        <w:rPr>
          <w:rFonts w:ascii="Times New Roman" w:eastAsia="Calibri" w:hAnsi="Times New Roman" w:cs="Times New Roman"/>
          <w:color w:val="000000" w:themeColor="text1"/>
          <w:sz w:val="23"/>
          <w:szCs w:val="23"/>
          <w:lang w:val="en-US"/>
        </w:rPr>
        <w:t xml:space="preserve">creates </w:t>
      </w:r>
      <w:r w:rsidR="002D035E">
        <w:rPr>
          <w:rFonts w:ascii="Times New Roman" w:eastAsia="Calibri" w:hAnsi="Times New Roman" w:cs="Times New Roman"/>
          <w:color w:val="000000" w:themeColor="text1"/>
          <w:sz w:val="23"/>
          <w:szCs w:val="23"/>
          <w:lang w:val="en-US"/>
        </w:rPr>
        <w:t xml:space="preserve">a bridge </w:t>
      </w:r>
      <w:r w:rsidR="00AE6DA8" w:rsidRPr="002D035E">
        <w:rPr>
          <w:rFonts w:ascii="Times New Roman" w:eastAsia="Calibri" w:hAnsi="Times New Roman" w:cs="Times New Roman"/>
          <w:color w:val="000000" w:themeColor="text1"/>
          <w:sz w:val="23"/>
          <w:szCs w:val="23"/>
          <w:lang w:val="en-US"/>
        </w:rPr>
        <w:t xml:space="preserve">between the </w:t>
      </w:r>
      <w:r w:rsidR="002D035E">
        <w:rPr>
          <w:rFonts w:ascii="Times New Roman" w:eastAsia="Calibri" w:hAnsi="Times New Roman" w:cs="Times New Roman"/>
          <w:color w:val="000000" w:themeColor="text1"/>
          <w:sz w:val="23"/>
          <w:szCs w:val="23"/>
          <w:lang w:val="en-US"/>
        </w:rPr>
        <w:t>concept</w:t>
      </w:r>
      <w:r w:rsidR="002D035E" w:rsidRPr="002D035E">
        <w:rPr>
          <w:rFonts w:ascii="Times New Roman" w:eastAsia="Calibri" w:hAnsi="Times New Roman" w:cs="Times New Roman"/>
          <w:color w:val="000000" w:themeColor="text1"/>
          <w:sz w:val="23"/>
          <w:szCs w:val="23"/>
          <w:lang w:val="en-US"/>
        </w:rPr>
        <w:t xml:space="preserve"> </w:t>
      </w:r>
      <w:r w:rsidR="00AE6DA8" w:rsidRPr="002D035E">
        <w:rPr>
          <w:rFonts w:ascii="Times New Roman" w:eastAsia="Calibri" w:hAnsi="Times New Roman" w:cs="Times New Roman"/>
          <w:color w:val="000000" w:themeColor="text1"/>
          <w:sz w:val="23"/>
          <w:szCs w:val="23"/>
          <w:lang w:val="en-US"/>
        </w:rPr>
        <w:t xml:space="preserve">of value added and that of value creation in a knowledge economy context. He argues that in knowledge companies there is no need to modify accounting principles </w:t>
      </w:r>
      <w:r w:rsidR="002D035E">
        <w:rPr>
          <w:rFonts w:ascii="Times New Roman" w:eastAsia="Calibri" w:hAnsi="Times New Roman" w:cs="Times New Roman"/>
          <w:color w:val="000000" w:themeColor="text1"/>
          <w:sz w:val="23"/>
          <w:szCs w:val="23"/>
          <w:lang w:val="en-US"/>
        </w:rPr>
        <w:t xml:space="preserve">in order </w:t>
      </w:r>
      <w:r w:rsidR="00AE6DA8" w:rsidRPr="002D035E">
        <w:rPr>
          <w:rFonts w:ascii="Times New Roman" w:eastAsia="Calibri" w:hAnsi="Times New Roman" w:cs="Times New Roman"/>
          <w:color w:val="000000" w:themeColor="text1"/>
          <w:sz w:val="23"/>
          <w:szCs w:val="23"/>
          <w:lang w:val="en-US"/>
        </w:rPr>
        <w:t xml:space="preserve">to </w:t>
      </w:r>
      <w:r w:rsidR="002D035E">
        <w:rPr>
          <w:rFonts w:ascii="Times New Roman" w:eastAsia="Calibri" w:hAnsi="Times New Roman" w:cs="Times New Roman"/>
          <w:color w:val="000000" w:themeColor="text1"/>
          <w:sz w:val="23"/>
          <w:szCs w:val="23"/>
          <w:lang w:val="en-US"/>
        </w:rPr>
        <w:t>accommodate</w:t>
      </w:r>
      <w:r w:rsidR="002D035E" w:rsidRPr="002D035E">
        <w:rPr>
          <w:rFonts w:ascii="Times New Roman" w:eastAsia="Calibri" w:hAnsi="Times New Roman" w:cs="Times New Roman"/>
          <w:color w:val="000000" w:themeColor="text1"/>
          <w:sz w:val="23"/>
          <w:szCs w:val="23"/>
          <w:lang w:val="en-US"/>
        </w:rPr>
        <w:t xml:space="preserve"> </w:t>
      </w:r>
      <w:r w:rsidR="00AE6DA8" w:rsidRPr="002D035E">
        <w:rPr>
          <w:rFonts w:ascii="Times New Roman" w:eastAsia="Calibri" w:hAnsi="Times New Roman" w:cs="Times New Roman"/>
          <w:color w:val="000000" w:themeColor="text1"/>
          <w:sz w:val="23"/>
          <w:szCs w:val="23"/>
          <w:lang w:val="en-US"/>
        </w:rPr>
        <w:t>the existence of knowledge workers.</w:t>
      </w:r>
      <w:r w:rsidR="00AE6DA8" w:rsidRPr="00983193">
        <w:rPr>
          <w:rFonts w:ascii="Times New Roman" w:eastAsia="Calibri" w:hAnsi="Times New Roman" w:cs="Times New Roman"/>
          <w:color w:val="000000" w:themeColor="text1"/>
          <w:sz w:val="23"/>
          <w:szCs w:val="23"/>
          <w:lang w:val="en-US"/>
        </w:rPr>
        <w:t xml:space="preserve"> </w:t>
      </w:r>
      <w:r w:rsidR="002D035E">
        <w:rPr>
          <w:rFonts w:ascii="Times New Roman" w:eastAsia="Calibri" w:hAnsi="Times New Roman" w:cs="Times New Roman"/>
          <w:color w:val="000000" w:themeColor="text1"/>
          <w:sz w:val="23"/>
          <w:szCs w:val="23"/>
          <w:lang w:val="en-US"/>
        </w:rPr>
        <w:t>I</w:t>
      </w:r>
      <w:r w:rsidR="00AE6DA8" w:rsidRPr="00983193">
        <w:rPr>
          <w:rFonts w:ascii="Times New Roman" w:eastAsia="Calibri" w:hAnsi="Times New Roman" w:cs="Times New Roman"/>
          <w:color w:val="000000" w:themeColor="text1"/>
          <w:sz w:val="23"/>
          <w:szCs w:val="23"/>
          <w:lang w:val="en-US"/>
        </w:rPr>
        <w:t xml:space="preserve">nterpretation of the Value-Added Income Statement allows the productivity of knowledge workers and the creation of </w:t>
      </w:r>
      <w:r w:rsidR="002D035E">
        <w:rPr>
          <w:rFonts w:ascii="Times New Roman" w:eastAsia="Calibri" w:hAnsi="Times New Roman" w:cs="Times New Roman"/>
          <w:color w:val="000000" w:themeColor="text1"/>
          <w:sz w:val="23"/>
          <w:szCs w:val="23"/>
          <w:lang w:val="en-US"/>
        </w:rPr>
        <w:t xml:space="preserve">the </w:t>
      </w:r>
      <w:r w:rsidR="00AE6DA8" w:rsidRPr="00983193">
        <w:rPr>
          <w:rFonts w:ascii="Times New Roman" w:eastAsia="Calibri" w:hAnsi="Times New Roman" w:cs="Times New Roman"/>
          <w:color w:val="000000" w:themeColor="text1"/>
          <w:sz w:val="23"/>
          <w:szCs w:val="23"/>
          <w:lang w:val="en-US"/>
        </w:rPr>
        <w:t xml:space="preserve">new value generated from them to be measured. In this way, investments </w:t>
      </w:r>
      <w:r w:rsidR="002D035E">
        <w:rPr>
          <w:rFonts w:ascii="Times New Roman" w:eastAsia="Calibri" w:hAnsi="Times New Roman" w:cs="Times New Roman"/>
          <w:color w:val="000000" w:themeColor="text1"/>
          <w:sz w:val="23"/>
          <w:szCs w:val="23"/>
          <w:lang w:val="en-US"/>
        </w:rPr>
        <w:t>in</w:t>
      </w:r>
      <w:r w:rsidR="002D035E" w:rsidRPr="00983193">
        <w:rPr>
          <w:rFonts w:ascii="Times New Roman" w:eastAsia="Calibri" w:hAnsi="Times New Roman" w:cs="Times New Roman"/>
          <w:color w:val="000000" w:themeColor="text1"/>
          <w:sz w:val="23"/>
          <w:szCs w:val="23"/>
          <w:lang w:val="en-US"/>
        </w:rPr>
        <w:t xml:space="preserve"> </w:t>
      </w:r>
      <w:r w:rsidR="00AE6DA8" w:rsidRPr="00983193">
        <w:rPr>
          <w:rFonts w:ascii="Times New Roman" w:eastAsia="Calibri" w:hAnsi="Times New Roman" w:cs="Times New Roman"/>
          <w:color w:val="000000" w:themeColor="text1"/>
          <w:sz w:val="23"/>
          <w:szCs w:val="23"/>
          <w:lang w:val="en-US"/>
        </w:rPr>
        <w:t xml:space="preserve">knowledge to create value become </w:t>
      </w:r>
      <w:r w:rsidR="002D035E">
        <w:rPr>
          <w:rFonts w:ascii="Times New Roman" w:eastAsia="Calibri" w:hAnsi="Times New Roman" w:cs="Times New Roman"/>
          <w:color w:val="000000" w:themeColor="text1"/>
          <w:sz w:val="23"/>
          <w:szCs w:val="23"/>
          <w:lang w:val="en-US"/>
        </w:rPr>
        <w:t>a key</w:t>
      </w:r>
      <w:r w:rsidR="00AE6DA8" w:rsidRPr="00983193">
        <w:rPr>
          <w:rFonts w:ascii="Times New Roman" w:eastAsia="Calibri" w:hAnsi="Times New Roman" w:cs="Times New Roman"/>
          <w:color w:val="000000" w:themeColor="text1"/>
          <w:sz w:val="23"/>
          <w:szCs w:val="23"/>
          <w:lang w:val="en-US"/>
        </w:rPr>
        <w:t xml:space="preserve"> competitive strategy (Pulic, 1998, 2000, 2008).</w:t>
      </w:r>
      <w:r w:rsidR="001D6410" w:rsidRPr="00983193">
        <w:rPr>
          <w:rFonts w:ascii="Times New Roman" w:eastAsia="Calibri" w:hAnsi="Times New Roman" w:cs="Times New Roman"/>
          <w:color w:val="000000" w:themeColor="text1"/>
          <w:sz w:val="23"/>
          <w:szCs w:val="23"/>
          <w:lang w:val="en-US"/>
        </w:rPr>
        <w:t xml:space="preserve"> </w:t>
      </w:r>
      <w:r w:rsidR="002D035E">
        <w:rPr>
          <w:rFonts w:ascii="Times New Roman" w:eastAsia="Calibri" w:hAnsi="Times New Roman" w:cs="Times New Roman"/>
          <w:color w:val="000000" w:themeColor="text1"/>
          <w:sz w:val="23"/>
          <w:szCs w:val="23"/>
          <w:lang w:val="en-US"/>
        </w:rPr>
        <w:t>Underpinned by these arguments</w:t>
      </w:r>
      <w:r w:rsidR="001D6410" w:rsidRPr="00983193">
        <w:rPr>
          <w:rFonts w:ascii="Times New Roman" w:eastAsia="Calibri" w:hAnsi="Times New Roman" w:cs="Times New Roman"/>
          <w:color w:val="000000" w:themeColor="text1"/>
          <w:sz w:val="23"/>
          <w:szCs w:val="23"/>
          <w:lang w:val="en-US"/>
        </w:rPr>
        <w:t xml:space="preserve">, VAIC </w:t>
      </w:r>
      <w:r w:rsidR="00185669" w:rsidRPr="00983193">
        <w:rPr>
          <w:rFonts w:ascii="Times New Roman" w:eastAsia="Calibri" w:hAnsi="Times New Roman" w:cs="Times New Roman"/>
          <w:color w:val="000000" w:themeColor="text1"/>
          <w:sz w:val="23"/>
          <w:szCs w:val="23"/>
          <w:lang w:val="en-US"/>
        </w:rPr>
        <w:t xml:space="preserve">complements existing </w:t>
      </w:r>
      <w:r w:rsidR="002D035E">
        <w:rPr>
          <w:rFonts w:ascii="Times New Roman" w:eastAsia="Calibri" w:hAnsi="Times New Roman" w:cs="Times New Roman"/>
          <w:color w:val="000000" w:themeColor="text1"/>
          <w:sz w:val="23"/>
          <w:szCs w:val="23"/>
          <w:lang w:val="en-US"/>
        </w:rPr>
        <w:t xml:space="preserve">methods </w:t>
      </w:r>
      <w:r w:rsidR="00185669" w:rsidRPr="00983193">
        <w:rPr>
          <w:rFonts w:ascii="Times New Roman" w:eastAsia="Calibri" w:hAnsi="Times New Roman" w:cs="Times New Roman"/>
          <w:color w:val="000000" w:themeColor="text1"/>
          <w:sz w:val="23"/>
          <w:szCs w:val="23"/>
          <w:lang w:val="en-US"/>
        </w:rPr>
        <w:t xml:space="preserve">and </w:t>
      </w:r>
      <w:r w:rsidR="002D035E">
        <w:rPr>
          <w:rFonts w:ascii="Times New Roman" w:eastAsia="Calibri" w:hAnsi="Times New Roman" w:cs="Times New Roman"/>
          <w:color w:val="000000" w:themeColor="text1"/>
          <w:sz w:val="23"/>
          <w:szCs w:val="23"/>
          <w:lang w:val="en-US"/>
        </w:rPr>
        <w:t>thus</w:t>
      </w:r>
      <w:r w:rsidR="00185669" w:rsidRPr="00983193">
        <w:rPr>
          <w:rFonts w:ascii="Times New Roman" w:eastAsia="Calibri" w:hAnsi="Times New Roman" w:cs="Times New Roman"/>
          <w:color w:val="000000" w:themeColor="text1"/>
          <w:sz w:val="23"/>
          <w:szCs w:val="23"/>
          <w:lang w:val="en-US"/>
        </w:rPr>
        <w:t xml:space="preserve"> can be usefully included as </w:t>
      </w:r>
      <w:r w:rsidR="00185669" w:rsidRPr="009946C9">
        <w:rPr>
          <w:rFonts w:ascii="Times New Roman" w:eastAsia="Calibri" w:hAnsi="Times New Roman" w:cs="Times New Roman"/>
          <w:noProof/>
          <w:color w:val="000000" w:themeColor="text1"/>
          <w:sz w:val="23"/>
          <w:szCs w:val="23"/>
          <w:lang w:val="en-US"/>
        </w:rPr>
        <w:t>innovative</w:t>
      </w:r>
      <w:r w:rsidR="00185669" w:rsidRPr="00983193">
        <w:rPr>
          <w:rFonts w:ascii="Times New Roman" w:eastAsia="Calibri" w:hAnsi="Times New Roman" w:cs="Times New Roman"/>
          <w:color w:val="000000" w:themeColor="text1"/>
          <w:sz w:val="23"/>
          <w:szCs w:val="23"/>
          <w:lang w:val="en-US"/>
        </w:rPr>
        <w:t xml:space="preserve"> indicator of </w:t>
      </w:r>
      <w:r w:rsidR="00E56740">
        <w:rPr>
          <w:rFonts w:ascii="Times New Roman" w:eastAsia="Calibri" w:hAnsi="Times New Roman" w:cs="Times New Roman"/>
          <w:color w:val="000000" w:themeColor="text1"/>
          <w:sz w:val="23"/>
          <w:szCs w:val="23"/>
          <w:lang w:val="en-US"/>
        </w:rPr>
        <w:t>IC</w:t>
      </w:r>
      <w:r w:rsidR="00522E39">
        <w:rPr>
          <w:rFonts w:ascii="Times New Roman" w:eastAsia="Calibri" w:hAnsi="Times New Roman" w:cs="Times New Roman"/>
          <w:color w:val="000000" w:themeColor="text1"/>
          <w:sz w:val="23"/>
          <w:szCs w:val="23"/>
          <w:lang w:val="en-US"/>
        </w:rPr>
        <w:t xml:space="preserve"> efficiency</w:t>
      </w:r>
      <w:r w:rsidR="00185669" w:rsidRPr="00983193">
        <w:rPr>
          <w:rFonts w:ascii="Times New Roman" w:eastAsia="Calibri" w:hAnsi="Times New Roman" w:cs="Times New Roman"/>
          <w:color w:val="000000" w:themeColor="text1"/>
          <w:sz w:val="23"/>
          <w:szCs w:val="23"/>
          <w:lang w:val="en-US"/>
        </w:rPr>
        <w:t>.</w:t>
      </w:r>
      <w:r w:rsidR="0061142D" w:rsidRPr="00983193">
        <w:rPr>
          <w:rFonts w:ascii="Times New Roman" w:eastAsia="Calibri" w:hAnsi="Times New Roman" w:cs="Times New Roman"/>
          <w:color w:val="000000" w:themeColor="text1"/>
          <w:sz w:val="23"/>
          <w:szCs w:val="23"/>
          <w:lang w:val="en-US"/>
        </w:rPr>
        <w:t xml:space="preserve"> </w:t>
      </w:r>
      <w:r w:rsidR="002D035E">
        <w:rPr>
          <w:rFonts w:ascii="Times New Roman" w:eastAsia="Calibri" w:hAnsi="Times New Roman" w:cs="Times New Roman"/>
          <w:color w:val="000000" w:themeColor="text1"/>
          <w:sz w:val="23"/>
          <w:szCs w:val="23"/>
          <w:lang w:val="en-US"/>
        </w:rPr>
        <w:t xml:space="preserve">A review of the </w:t>
      </w:r>
      <w:r w:rsidR="009C3646" w:rsidRPr="00983193">
        <w:rPr>
          <w:rFonts w:ascii="Times New Roman" w:eastAsia="Calibri" w:hAnsi="Times New Roman" w:cs="Times New Roman"/>
          <w:color w:val="000000" w:themeColor="text1"/>
          <w:sz w:val="23"/>
          <w:szCs w:val="23"/>
          <w:lang w:val="en-US"/>
        </w:rPr>
        <w:t>literature reveal</w:t>
      </w:r>
      <w:r w:rsidR="002D035E">
        <w:rPr>
          <w:rFonts w:ascii="Times New Roman" w:eastAsia="Calibri" w:hAnsi="Times New Roman" w:cs="Times New Roman"/>
          <w:color w:val="000000" w:themeColor="text1"/>
          <w:sz w:val="23"/>
          <w:szCs w:val="23"/>
          <w:lang w:val="en-US"/>
        </w:rPr>
        <w:t>s</w:t>
      </w:r>
      <w:r w:rsidR="009C3646" w:rsidRPr="00983193">
        <w:rPr>
          <w:rFonts w:ascii="Times New Roman" w:eastAsia="Calibri" w:hAnsi="Times New Roman" w:cs="Times New Roman"/>
          <w:color w:val="000000" w:themeColor="text1"/>
          <w:sz w:val="23"/>
          <w:szCs w:val="23"/>
          <w:lang w:val="en-US"/>
        </w:rPr>
        <w:t xml:space="preserve"> the use of VAIC as both a dependent and an independent variable. </w:t>
      </w:r>
      <w:r w:rsidR="002D035E">
        <w:rPr>
          <w:rFonts w:ascii="Times New Roman" w:eastAsia="Calibri" w:hAnsi="Times New Roman" w:cs="Times New Roman"/>
          <w:color w:val="000000" w:themeColor="text1"/>
          <w:sz w:val="23"/>
          <w:szCs w:val="23"/>
          <w:lang w:val="en-US"/>
        </w:rPr>
        <w:t>However, i</w:t>
      </w:r>
      <w:r w:rsidR="009C3646" w:rsidRPr="00983193">
        <w:rPr>
          <w:rFonts w:ascii="Times New Roman" w:eastAsia="Calibri" w:hAnsi="Times New Roman" w:cs="Times New Roman"/>
          <w:color w:val="000000" w:themeColor="text1"/>
          <w:sz w:val="23"/>
          <w:szCs w:val="23"/>
          <w:lang w:val="en-US"/>
        </w:rPr>
        <w:t xml:space="preserve">t </w:t>
      </w:r>
      <w:r w:rsidR="002D035E">
        <w:rPr>
          <w:rFonts w:ascii="Times New Roman" w:eastAsia="Calibri" w:hAnsi="Times New Roman" w:cs="Times New Roman"/>
          <w:color w:val="000000" w:themeColor="text1"/>
          <w:sz w:val="23"/>
          <w:szCs w:val="23"/>
          <w:lang w:val="en-US"/>
        </w:rPr>
        <w:t>is</w:t>
      </w:r>
      <w:r w:rsidR="009C3646" w:rsidRPr="00983193">
        <w:rPr>
          <w:rFonts w:ascii="Times New Roman" w:eastAsia="Calibri" w:hAnsi="Times New Roman" w:cs="Times New Roman"/>
          <w:color w:val="000000" w:themeColor="text1"/>
          <w:sz w:val="23"/>
          <w:szCs w:val="23"/>
          <w:lang w:val="en-US"/>
        </w:rPr>
        <w:t xml:space="preserve"> included in this </w:t>
      </w:r>
      <w:r w:rsidR="002D035E">
        <w:rPr>
          <w:rFonts w:ascii="Times New Roman" w:eastAsia="Calibri" w:hAnsi="Times New Roman" w:cs="Times New Roman"/>
          <w:color w:val="000000" w:themeColor="text1"/>
          <w:sz w:val="23"/>
          <w:szCs w:val="23"/>
          <w:lang w:val="en-US"/>
        </w:rPr>
        <w:t>paper</w:t>
      </w:r>
      <w:r w:rsidR="002D035E" w:rsidRPr="00983193">
        <w:rPr>
          <w:rFonts w:ascii="Times New Roman" w:eastAsia="Calibri" w:hAnsi="Times New Roman" w:cs="Times New Roman"/>
          <w:color w:val="000000" w:themeColor="text1"/>
          <w:sz w:val="23"/>
          <w:szCs w:val="23"/>
          <w:lang w:val="en-US"/>
        </w:rPr>
        <w:t xml:space="preserve"> </w:t>
      </w:r>
      <w:r w:rsidR="009C3646" w:rsidRPr="00983193">
        <w:rPr>
          <w:rFonts w:ascii="Times New Roman" w:eastAsia="Calibri" w:hAnsi="Times New Roman" w:cs="Times New Roman"/>
          <w:color w:val="000000" w:themeColor="text1"/>
          <w:sz w:val="23"/>
          <w:szCs w:val="23"/>
          <w:lang w:val="en-US"/>
        </w:rPr>
        <w:t>as</w:t>
      </w:r>
      <w:r w:rsidR="009946C9">
        <w:rPr>
          <w:rFonts w:ascii="Times New Roman" w:eastAsia="Calibri" w:hAnsi="Times New Roman" w:cs="Times New Roman"/>
          <w:color w:val="000000" w:themeColor="text1"/>
          <w:sz w:val="23"/>
          <w:szCs w:val="23"/>
          <w:lang w:val="en-US"/>
        </w:rPr>
        <w:t xml:space="preserve"> an</w:t>
      </w:r>
      <w:r w:rsidR="009C3646" w:rsidRPr="00983193">
        <w:rPr>
          <w:rFonts w:ascii="Times New Roman" w:eastAsia="Calibri" w:hAnsi="Times New Roman" w:cs="Times New Roman"/>
          <w:color w:val="000000" w:themeColor="text1"/>
          <w:sz w:val="23"/>
          <w:szCs w:val="23"/>
          <w:lang w:val="en-US"/>
        </w:rPr>
        <w:t xml:space="preserve"> </w:t>
      </w:r>
      <w:r w:rsidR="009C3646" w:rsidRPr="009946C9">
        <w:rPr>
          <w:rFonts w:ascii="Times New Roman" w:eastAsia="Calibri" w:hAnsi="Times New Roman" w:cs="Times New Roman"/>
          <w:noProof/>
          <w:color w:val="000000" w:themeColor="text1"/>
          <w:sz w:val="23"/>
          <w:szCs w:val="23"/>
          <w:lang w:val="en-US"/>
        </w:rPr>
        <w:t>independent</w:t>
      </w:r>
      <w:r w:rsidR="009C3646" w:rsidRPr="00983193">
        <w:rPr>
          <w:rFonts w:ascii="Times New Roman" w:eastAsia="Calibri" w:hAnsi="Times New Roman" w:cs="Times New Roman"/>
          <w:color w:val="000000" w:themeColor="text1"/>
          <w:sz w:val="23"/>
          <w:szCs w:val="23"/>
          <w:lang w:val="en-US"/>
        </w:rPr>
        <w:t xml:space="preserve"> variable</w:t>
      </w:r>
      <w:r w:rsidR="00E56740">
        <w:rPr>
          <w:rFonts w:ascii="Times New Roman" w:eastAsia="Calibri" w:hAnsi="Times New Roman" w:cs="Times New Roman"/>
          <w:color w:val="000000" w:themeColor="text1"/>
          <w:sz w:val="23"/>
          <w:szCs w:val="23"/>
          <w:lang w:val="en-US"/>
        </w:rPr>
        <w:t>.</w:t>
      </w:r>
    </w:p>
    <w:p w14:paraId="036A717B" w14:textId="77777777" w:rsidR="00BB6E5E" w:rsidRPr="00983193" w:rsidRDefault="00751A7D" w:rsidP="00E56740">
      <w:pPr>
        <w:spacing w:after="0" w:line="240" w:lineRule="auto"/>
        <w:contextualSpacing/>
        <w:jc w:val="both"/>
        <w:rPr>
          <w:rFonts w:ascii="Times New Roman" w:eastAsia="Calibri" w:hAnsi="Times New Roman" w:cs="Times New Roman"/>
          <w:i/>
          <w:color w:val="000000" w:themeColor="text1"/>
          <w:sz w:val="23"/>
          <w:szCs w:val="23"/>
          <w:lang w:val="en-US"/>
        </w:rPr>
      </w:pPr>
      <w:r>
        <w:rPr>
          <w:rFonts w:ascii="Times New Roman" w:eastAsia="Calibri" w:hAnsi="Times New Roman" w:cs="Times New Roman"/>
          <w:color w:val="000000" w:themeColor="text1"/>
          <w:sz w:val="23"/>
          <w:szCs w:val="23"/>
          <w:lang w:val="en-US"/>
        </w:rPr>
        <w:t xml:space="preserve">   </w:t>
      </w:r>
      <w:r w:rsidR="00E55467" w:rsidRPr="00983193">
        <w:rPr>
          <w:rFonts w:ascii="Times New Roman" w:eastAsia="Calibri" w:hAnsi="Times New Roman" w:cs="Times New Roman"/>
          <w:color w:val="000000" w:themeColor="text1"/>
          <w:sz w:val="23"/>
          <w:szCs w:val="23"/>
          <w:lang w:val="en-US"/>
        </w:rPr>
        <w:t xml:space="preserve">VAIC </w:t>
      </w:r>
      <w:r w:rsidR="002D035E">
        <w:rPr>
          <w:rFonts w:ascii="Times New Roman" w:eastAsia="Calibri" w:hAnsi="Times New Roman" w:cs="Times New Roman"/>
          <w:color w:val="000000" w:themeColor="text1"/>
          <w:sz w:val="23"/>
          <w:szCs w:val="23"/>
          <w:lang w:val="en-US"/>
        </w:rPr>
        <w:t>is</w:t>
      </w:r>
      <w:r w:rsidR="002D035E" w:rsidRPr="00983193">
        <w:rPr>
          <w:rFonts w:ascii="Times New Roman" w:eastAsia="Calibri" w:hAnsi="Times New Roman" w:cs="Times New Roman"/>
          <w:color w:val="000000" w:themeColor="text1"/>
          <w:sz w:val="23"/>
          <w:szCs w:val="23"/>
          <w:lang w:val="en-US"/>
        </w:rPr>
        <w:t xml:space="preserve"> </w:t>
      </w:r>
      <w:r w:rsidR="00E55467" w:rsidRPr="00983193">
        <w:rPr>
          <w:rFonts w:ascii="Times New Roman" w:eastAsia="Calibri" w:hAnsi="Times New Roman" w:cs="Times New Roman"/>
          <w:color w:val="000000" w:themeColor="text1"/>
          <w:sz w:val="23"/>
          <w:szCs w:val="23"/>
          <w:lang w:val="en-US"/>
        </w:rPr>
        <w:t xml:space="preserve">tested by Pulic (2000) on UK companies </w:t>
      </w:r>
      <w:r w:rsidR="002D035E">
        <w:rPr>
          <w:rFonts w:ascii="Times New Roman" w:eastAsia="Calibri" w:hAnsi="Times New Roman" w:cs="Times New Roman"/>
          <w:color w:val="000000" w:themeColor="text1"/>
          <w:sz w:val="23"/>
          <w:szCs w:val="23"/>
          <w:lang w:val="en-US"/>
        </w:rPr>
        <w:t>for</w:t>
      </w:r>
      <w:r w:rsidR="002D035E" w:rsidRPr="00983193">
        <w:rPr>
          <w:rFonts w:ascii="Times New Roman" w:eastAsia="Calibri" w:hAnsi="Times New Roman" w:cs="Times New Roman"/>
          <w:color w:val="000000" w:themeColor="text1"/>
          <w:sz w:val="23"/>
          <w:szCs w:val="23"/>
          <w:lang w:val="en-US"/>
        </w:rPr>
        <w:t xml:space="preserve"> </w:t>
      </w:r>
      <w:r w:rsidR="00E55467" w:rsidRPr="00983193">
        <w:rPr>
          <w:rFonts w:ascii="Times New Roman" w:eastAsia="Calibri" w:hAnsi="Times New Roman" w:cs="Times New Roman"/>
          <w:color w:val="000000" w:themeColor="text1"/>
          <w:sz w:val="23"/>
          <w:szCs w:val="23"/>
          <w:lang w:val="en-US"/>
        </w:rPr>
        <w:t xml:space="preserve">the period 1992-1998. </w:t>
      </w:r>
      <w:r w:rsidR="008F08A6">
        <w:rPr>
          <w:rFonts w:ascii="Times New Roman" w:eastAsia="Calibri" w:hAnsi="Times New Roman" w:cs="Times New Roman"/>
          <w:color w:val="000000" w:themeColor="text1"/>
          <w:sz w:val="23"/>
          <w:szCs w:val="23"/>
          <w:lang w:val="en-US"/>
        </w:rPr>
        <w:t>The S</w:t>
      </w:r>
      <w:r w:rsidR="00E56740">
        <w:rPr>
          <w:rFonts w:ascii="Times New Roman" w:eastAsia="Calibri" w:hAnsi="Times New Roman" w:cs="Times New Roman"/>
          <w:color w:val="000000" w:themeColor="text1"/>
          <w:sz w:val="23"/>
          <w:szCs w:val="23"/>
          <w:lang w:val="en-US"/>
        </w:rPr>
        <w:t>c</w:t>
      </w:r>
      <w:r w:rsidR="008F08A6">
        <w:rPr>
          <w:rFonts w:ascii="Times New Roman" w:eastAsia="Calibri" w:hAnsi="Times New Roman" w:cs="Times New Roman"/>
          <w:color w:val="000000" w:themeColor="text1"/>
          <w:sz w:val="23"/>
          <w:szCs w:val="23"/>
          <w:lang w:val="en-US"/>
        </w:rPr>
        <w:t>holar</w:t>
      </w:r>
      <w:r w:rsidR="002D035E">
        <w:rPr>
          <w:rFonts w:ascii="Times New Roman" w:eastAsia="Calibri" w:hAnsi="Times New Roman" w:cs="Times New Roman"/>
          <w:color w:val="000000" w:themeColor="text1"/>
          <w:sz w:val="23"/>
          <w:szCs w:val="23"/>
          <w:lang w:val="en-US"/>
        </w:rPr>
        <w:t xml:space="preserve"> finds</w:t>
      </w:r>
      <w:r w:rsidR="00E55467" w:rsidRPr="00983193">
        <w:rPr>
          <w:rFonts w:ascii="Times New Roman" w:eastAsia="Calibri" w:hAnsi="Times New Roman" w:cs="Times New Roman"/>
          <w:color w:val="000000" w:themeColor="text1"/>
          <w:sz w:val="23"/>
          <w:szCs w:val="23"/>
          <w:lang w:val="en-US"/>
        </w:rPr>
        <w:t xml:space="preserve"> that the average values of VAIC and M</w:t>
      </w:r>
      <w:r w:rsidR="0061279F">
        <w:rPr>
          <w:rFonts w:ascii="Times New Roman" w:eastAsia="Calibri" w:hAnsi="Times New Roman" w:cs="Times New Roman"/>
          <w:color w:val="000000" w:themeColor="text1"/>
          <w:sz w:val="23"/>
          <w:szCs w:val="23"/>
          <w:lang w:val="en-US"/>
        </w:rPr>
        <w:t>t</w:t>
      </w:r>
      <w:r w:rsidR="00E55467" w:rsidRPr="00983193">
        <w:rPr>
          <w:rFonts w:ascii="Times New Roman" w:eastAsia="Calibri" w:hAnsi="Times New Roman" w:cs="Times New Roman"/>
          <w:color w:val="000000" w:themeColor="text1"/>
          <w:sz w:val="23"/>
          <w:szCs w:val="23"/>
          <w:lang w:val="en-US"/>
        </w:rPr>
        <w:t xml:space="preserve">B exhibit a high degree of </w:t>
      </w:r>
      <w:r w:rsidR="002D035E">
        <w:rPr>
          <w:rFonts w:ascii="Times New Roman" w:eastAsia="Calibri" w:hAnsi="Times New Roman" w:cs="Times New Roman"/>
          <w:color w:val="000000" w:themeColor="text1"/>
          <w:sz w:val="23"/>
          <w:szCs w:val="23"/>
          <w:lang w:val="en-US"/>
        </w:rPr>
        <w:t>similarity</w:t>
      </w:r>
      <w:r w:rsidR="00E55467" w:rsidRPr="00983193">
        <w:rPr>
          <w:rFonts w:ascii="Times New Roman" w:eastAsia="Calibri" w:hAnsi="Times New Roman" w:cs="Times New Roman"/>
          <w:color w:val="000000" w:themeColor="text1"/>
          <w:sz w:val="23"/>
          <w:szCs w:val="23"/>
          <w:lang w:val="en-US"/>
        </w:rPr>
        <w:t xml:space="preserve">. </w:t>
      </w:r>
      <w:r w:rsidR="002D035E">
        <w:rPr>
          <w:rFonts w:ascii="Times New Roman" w:eastAsia="Calibri" w:hAnsi="Times New Roman" w:cs="Times New Roman"/>
          <w:color w:val="000000" w:themeColor="text1"/>
          <w:sz w:val="23"/>
          <w:szCs w:val="23"/>
          <w:lang w:val="en-US"/>
        </w:rPr>
        <w:t>For</w:t>
      </w:r>
      <w:r w:rsidR="002D035E" w:rsidRPr="00983193">
        <w:rPr>
          <w:rFonts w:ascii="Times New Roman" w:eastAsia="Calibri" w:hAnsi="Times New Roman" w:cs="Times New Roman"/>
          <w:color w:val="000000" w:themeColor="text1"/>
          <w:sz w:val="23"/>
          <w:szCs w:val="23"/>
          <w:lang w:val="en-US"/>
        </w:rPr>
        <w:t xml:space="preserve"> </w:t>
      </w:r>
      <w:r w:rsidR="00E55467" w:rsidRPr="00983193">
        <w:rPr>
          <w:rFonts w:ascii="Times New Roman" w:eastAsia="Calibri" w:hAnsi="Times New Roman" w:cs="Times New Roman"/>
          <w:color w:val="000000" w:themeColor="text1"/>
          <w:sz w:val="23"/>
          <w:szCs w:val="23"/>
          <w:lang w:val="en-US"/>
        </w:rPr>
        <w:t xml:space="preserve">UK </w:t>
      </w:r>
      <w:r w:rsidR="00EF1F16" w:rsidRPr="00983193">
        <w:rPr>
          <w:rFonts w:ascii="Times New Roman" w:eastAsia="Calibri" w:hAnsi="Times New Roman" w:cs="Times New Roman"/>
          <w:color w:val="000000" w:themeColor="text1"/>
          <w:sz w:val="23"/>
          <w:szCs w:val="23"/>
          <w:lang w:val="en-US"/>
        </w:rPr>
        <w:t>firms</w:t>
      </w:r>
      <w:r w:rsidR="00E55467" w:rsidRPr="00983193">
        <w:rPr>
          <w:rFonts w:ascii="Times New Roman" w:eastAsia="Calibri" w:hAnsi="Times New Roman" w:cs="Times New Roman"/>
          <w:color w:val="000000" w:themeColor="text1"/>
          <w:sz w:val="23"/>
          <w:szCs w:val="23"/>
          <w:lang w:val="en-US"/>
        </w:rPr>
        <w:t xml:space="preserve">, similar results are obtained by Zeghal and Maaloul (2010) </w:t>
      </w:r>
      <w:r w:rsidR="002D035E">
        <w:rPr>
          <w:rFonts w:ascii="Times New Roman" w:eastAsia="Calibri" w:hAnsi="Times New Roman" w:cs="Times New Roman"/>
          <w:color w:val="000000" w:themeColor="text1"/>
          <w:sz w:val="23"/>
          <w:szCs w:val="23"/>
          <w:lang w:val="en-US"/>
        </w:rPr>
        <w:t>who</w:t>
      </w:r>
      <w:r w:rsidR="002D035E" w:rsidRPr="00983193">
        <w:rPr>
          <w:rFonts w:ascii="Times New Roman" w:eastAsia="Calibri" w:hAnsi="Times New Roman" w:cs="Times New Roman"/>
          <w:color w:val="000000" w:themeColor="text1"/>
          <w:sz w:val="23"/>
          <w:szCs w:val="23"/>
          <w:lang w:val="en-US"/>
        </w:rPr>
        <w:t xml:space="preserve"> </w:t>
      </w:r>
      <w:r w:rsidR="00E55467" w:rsidRPr="00983193">
        <w:rPr>
          <w:rFonts w:ascii="Times New Roman" w:eastAsia="Calibri" w:hAnsi="Times New Roman" w:cs="Times New Roman"/>
          <w:color w:val="000000" w:themeColor="text1"/>
          <w:sz w:val="23"/>
          <w:szCs w:val="23"/>
          <w:lang w:val="en-US"/>
        </w:rPr>
        <w:t>replicate the study using 2005 data.</w:t>
      </w:r>
      <w:r w:rsidR="003A62BE" w:rsidRPr="00983193">
        <w:rPr>
          <w:rFonts w:ascii="Times New Roman" w:eastAsia="Calibri" w:hAnsi="Times New Roman" w:cs="Times New Roman"/>
          <w:color w:val="000000" w:themeColor="text1"/>
          <w:sz w:val="23"/>
          <w:szCs w:val="23"/>
          <w:lang w:val="en-US"/>
        </w:rPr>
        <w:t xml:space="preserve"> </w:t>
      </w:r>
      <w:r w:rsidR="00E55467" w:rsidRPr="00983193">
        <w:rPr>
          <w:rFonts w:ascii="Times New Roman" w:eastAsia="Calibri" w:hAnsi="Times New Roman" w:cs="Times New Roman"/>
          <w:color w:val="000000" w:themeColor="text1"/>
          <w:sz w:val="23"/>
          <w:szCs w:val="23"/>
          <w:lang w:val="en-US"/>
        </w:rPr>
        <w:t xml:space="preserve">Chen et al. (2005) analyze the relationship between VAIC and </w:t>
      </w:r>
      <w:r w:rsidR="006C1B92">
        <w:rPr>
          <w:rFonts w:ascii="Times New Roman" w:eastAsia="Calibri" w:hAnsi="Times New Roman" w:cs="Times New Roman"/>
          <w:color w:val="000000" w:themeColor="text1"/>
          <w:sz w:val="23"/>
          <w:szCs w:val="23"/>
          <w:lang w:val="en-US"/>
        </w:rPr>
        <w:t>Mt</w:t>
      </w:r>
      <w:r w:rsidR="00E55467" w:rsidRPr="00983193">
        <w:rPr>
          <w:rFonts w:ascii="Times New Roman" w:eastAsia="Calibri" w:hAnsi="Times New Roman" w:cs="Times New Roman"/>
          <w:color w:val="000000" w:themeColor="text1"/>
          <w:sz w:val="23"/>
          <w:szCs w:val="23"/>
          <w:lang w:val="en-US"/>
        </w:rPr>
        <w:t>B</w:t>
      </w:r>
      <w:r w:rsidR="002D035E">
        <w:rPr>
          <w:rFonts w:ascii="Times New Roman" w:eastAsia="Calibri" w:hAnsi="Times New Roman" w:cs="Times New Roman"/>
          <w:color w:val="000000" w:themeColor="text1"/>
          <w:sz w:val="23"/>
          <w:szCs w:val="23"/>
          <w:lang w:val="en-US"/>
        </w:rPr>
        <w:t>,</w:t>
      </w:r>
      <w:r w:rsidR="00E55467" w:rsidRPr="00983193">
        <w:rPr>
          <w:rFonts w:ascii="Times New Roman" w:eastAsia="Calibri" w:hAnsi="Times New Roman" w:cs="Times New Roman"/>
          <w:color w:val="000000" w:themeColor="text1"/>
          <w:sz w:val="23"/>
          <w:szCs w:val="23"/>
          <w:lang w:val="en-US"/>
        </w:rPr>
        <w:t xml:space="preserve"> as well as corporate performance</w:t>
      </w:r>
      <w:r w:rsidR="002D035E">
        <w:rPr>
          <w:rFonts w:ascii="Times New Roman" w:eastAsia="Calibri" w:hAnsi="Times New Roman" w:cs="Times New Roman"/>
          <w:color w:val="000000" w:themeColor="text1"/>
          <w:sz w:val="23"/>
          <w:szCs w:val="23"/>
          <w:lang w:val="en-US"/>
        </w:rPr>
        <w:t>,</w:t>
      </w:r>
      <w:r w:rsidR="00E55467" w:rsidRPr="00983193">
        <w:rPr>
          <w:rFonts w:ascii="Times New Roman" w:eastAsia="Calibri" w:hAnsi="Times New Roman" w:cs="Times New Roman"/>
          <w:color w:val="000000" w:themeColor="text1"/>
          <w:sz w:val="23"/>
          <w:szCs w:val="23"/>
          <w:lang w:val="en-US"/>
        </w:rPr>
        <w:t xml:space="preserve"> for Taiwanese </w:t>
      </w:r>
      <w:r w:rsidR="002D035E">
        <w:rPr>
          <w:rFonts w:ascii="Times New Roman" w:eastAsia="Calibri" w:hAnsi="Times New Roman" w:cs="Times New Roman"/>
          <w:color w:val="000000" w:themeColor="text1"/>
          <w:sz w:val="23"/>
          <w:szCs w:val="23"/>
          <w:lang w:val="en-US"/>
        </w:rPr>
        <w:t xml:space="preserve">listed </w:t>
      </w:r>
      <w:r w:rsidR="00E55467" w:rsidRPr="00983193">
        <w:rPr>
          <w:rFonts w:ascii="Times New Roman" w:eastAsia="Calibri" w:hAnsi="Times New Roman" w:cs="Times New Roman"/>
          <w:color w:val="000000" w:themeColor="text1"/>
          <w:sz w:val="23"/>
          <w:szCs w:val="23"/>
          <w:lang w:val="en-US"/>
        </w:rPr>
        <w:t xml:space="preserve">companies </w:t>
      </w:r>
      <w:r w:rsidR="002D035E">
        <w:rPr>
          <w:rFonts w:ascii="Times New Roman" w:eastAsia="Calibri" w:hAnsi="Times New Roman" w:cs="Times New Roman"/>
          <w:color w:val="000000" w:themeColor="text1"/>
          <w:sz w:val="23"/>
          <w:szCs w:val="23"/>
          <w:lang w:val="en-US"/>
        </w:rPr>
        <w:t>over the period</w:t>
      </w:r>
      <w:r w:rsidR="002D035E" w:rsidRPr="00983193">
        <w:rPr>
          <w:rFonts w:ascii="Times New Roman" w:eastAsia="Calibri" w:hAnsi="Times New Roman" w:cs="Times New Roman"/>
          <w:color w:val="000000" w:themeColor="text1"/>
          <w:sz w:val="23"/>
          <w:szCs w:val="23"/>
          <w:lang w:val="en-US"/>
        </w:rPr>
        <w:t xml:space="preserve"> </w:t>
      </w:r>
      <w:r w:rsidR="00E55467" w:rsidRPr="00983193">
        <w:rPr>
          <w:rFonts w:ascii="Times New Roman" w:eastAsia="Calibri" w:hAnsi="Times New Roman" w:cs="Times New Roman"/>
          <w:color w:val="000000" w:themeColor="text1"/>
          <w:sz w:val="23"/>
          <w:szCs w:val="23"/>
          <w:lang w:val="en-US"/>
        </w:rPr>
        <w:t>1992-2002</w:t>
      </w:r>
      <w:r w:rsidR="002D035E">
        <w:rPr>
          <w:rFonts w:ascii="Times New Roman" w:eastAsia="Calibri" w:hAnsi="Times New Roman" w:cs="Times New Roman"/>
          <w:color w:val="000000" w:themeColor="text1"/>
          <w:sz w:val="23"/>
          <w:szCs w:val="23"/>
          <w:lang w:val="en-US"/>
        </w:rPr>
        <w:t xml:space="preserve"> and find</w:t>
      </w:r>
      <w:r w:rsidR="00E55467" w:rsidRPr="00983193">
        <w:rPr>
          <w:rFonts w:ascii="Times New Roman" w:eastAsia="Calibri" w:hAnsi="Times New Roman" w:cs="Times New Roman"/>
          <w:color w:val="000000" w:themeColor="text1"/>
          <w:sz w:val="23"/>
          <w:szCs w:val="23"/>
          <w:lang w:val="en-US"/>
        </w:rPr>
        <w:t xml:space="preserve"> that investors place</w:t>
      </w:r>
      <w:r w:rsidR="001855D6">
        <w:rPr>
          <w:rFonts w:ascii="Times New Roman" w:eastAsia="Calibri" w:hAnsi="Times New Roman" w:cs="Times New Roman"/>
          <w:color w:val="000000" w:themeColor="text1"/>
          <w:sz w:val="23"/>
          <w:szCs w:val="23"/>
          <w:lang w:val="en-US"/>
        </w:rPr>
        <w:t xml:space="preserve"> a</w:t>
      </w:r>
      <w:r w:rsidR="00E55467" w:rsidRPr="00983193">
        <w:rPr>
          <w:rFonts w:ascii="Times New Roman" w:eastAsia="Calibri" w:hAnsi="Times New Roman" w:cs="Times New Roman"/>
          <w:color w:val="000000" w:themeColor="text1"/>
          <w:sz w:val="23"/>
          <w:szCs w:val="23"/>
          <w:lang w:val="en-US"/>
        </w:rPr>
        <w:t xml:space="preserve"> </w:t>
      </w:r>
      <w:r w:rsidR="00E55467" w:rsidRPr="001855D6">
        <w:rPr>
          <w:rFonts w:ascii="Times New Roman" w:eastAsia="Calibri" w:hAnsi="Times New Roman" w:cs="Times New Roman"/>
          <w:noProof/>
          <w:color w:val="000000" w:themeColor="text1"/>
          <w:sz w:val="23"/>
          <w:szCs w:val="23"/>
          <w:lang w:val="en-US"/>
        </w:rPr>
        <w:t>higher</w:t>
      </w:r>
      <w:r w:rsidR="00E55467" w:rsidRPr="00983193">
        <w:rPr>
          <w:rFonts w:ascii="Times New Roman" w:eastAsia="Calibri" w:hAnsi="Times New Roman" w:cs="Times New Roman"/>
          <w:color w:val="000000" w:themeColor="text1"/>
          <w:sz w:val="23"/>
          <w:szCs w:val="23"/>
          <w:lang w:val="en-US"/>
        </w:rPr>
        <w:t xml:space="preserve"> value on firms with better IC efficiency, and that </w:t>
      </w:r>
      <w:r w:rsidR="002D035E">
        <w:rPr>
          <w:rFonts w:ascii="Times New Roman" w:eastAsia="Calibri" w:hAnsi="Times New Roman" w:cs="Times New Roman"/>
          <w:color w:val="000000" w:themeColor="text1"/>
          <w:sz w:val="23"/>
          <w:szCs w:val="23"/>
          <w:lang w:val="en-US"/>
        </w:rPr>
        <w:t xml:space="preserve">such </w:t>
      </w:r>
      <w:r w:rsidR="00E55467" w:rsidRPr="00983193">
        <w:rPr>
          <w:rFonts w:ascii="Times New Roman" w:eastAsia="Calibri" w:hAnsi="Times New Roman" w:cs="Times New Roman"/>
          <w:color w:val="000000" w:themeColor="text1"/>
          <w:sz w:val="23"/>
          <w:szCs w:val="23"/>
          <w:lang w:val="en-US"/>
        </w:rPr>
        <w:t>firm</w:t>
      </w:r>
      <w:r w:rsidR="002D035E">
        <w:rPr>
          <w:rFonts w:ascii="Times New Roman" w:eastAsia="Calibri" w:hAnsi="Times New Roman" w:cs="Times New Roman"/>
          <w:color w:val="000000" w:themeColor="text1"/>
          <w:sz w:val="23"/>
          <w:szCs w:val="23"/>
          <w:lang w:val="en-US"/>
        </w:rPr>
        <w:t>s</w:t>
      </w:r>
      <w:r w:rsidR="00E55467" w:rsidRPr="00983193">
        <w:rPr>
          <w:rFonts w:ascii="Times New Roman" w:eastAsia="Calibri" w:hAnsi="Times New Roman" w:cs="Times New Roman"/>
          <w:color w:val="000000" w:themeColor="text1"/>
          <w:sz w:val="23"/>
          <w:szCs w:val="23"/>
          <w:lang w:val="en-US"/>
        </w:rPr>
        <w:t xml:space="preserve"> yield greater profitability and revenue growth. </w:t>
      </w:r>
      <w:r w:rsidR="00B879CB" w:rsidRPr="00983193">
        <w:rPr>
          <w:rFonts w:ascii="Times New Roman" w:eastAsia="Calibri" w:hAnsi="Times New Roman" w:cs="Times New Roman"/>
          <w:color w:val="000000" w:themeColor="text1"/>
          <w:sz w:val="23"/>
          <w:szCs w:val="23"/>
          <w:lang w:val="en-US"/>
        </w:rPr>
        <w:t>To the best our knowledge</w:t>
      </w:r>
      <w:r w:rsidR="002D035E">
        <w:rPr>
          <w:rFonts w:ascii="Times New Roman" w:eastAsia="Calibri" w:hAnsi="Times New Roman" w:cs="Times New Roman"/>
          <w:color w:val="000000" w:themeColor="text1"/>
          <w:sz w:val="23"/>
          <w:szCs w:val="23"/>
          <w:lang w:val="en-US"/>
        </w:rPr>
        <w:t>,</w:t>
      </w:r>
      <w:r w:rsidR="00B879CB" w:rsidRPr="00983193">
        <w:rPr>
          <w:rFonts w:ascii="Times New Roman" w:eastAsia="Calibri" w:hAnsi="Times New Roman" w:cs="Times New Roman"/>
          <w:color w:val="000000" w:themeColor="text1"/>
          <w:sz w:val="23"/>
          <w:szCs w:val="23"/>
          <w:lang w:val="en-US"/>
        </w:rPr>
        <w:t xml:space="preserve"> </w:t>
      </w:r>
      <w:r w:rsidR="002D035E">
        <w:rPr>
          <w:rFonts w:ascii="Times New Roman" w:eastAsia="Calibri" w:hAnsi="Times New Roman" w:cs="Times New Roman"/>
          <w:color w:val="000000" w:themeColor="text1"/>
          <w:sz w:val="23"/>
          <w:szCs w:val="23"/>
          <w:lang w:val="en-US"/>
        </w:rPr>
        <w:t>no extant studies</w:t>
      </w:r>
      <w:r w:rsidR="00B879CB" w:rsidRPr="00983193">
        <w:rPr>
          <w:rFonts w:ascii="Times New Roman" w:eastAsia="Calibri" w:hAnsi="Times New Roman" w:cs="Times New Roman"/>
          <w:color w:val="000000" w:themeColor="text1"/>
          <w:sz w:val="23"/>
          <w:szCs w:val="23"/>
          <w:lang w:val="en-US"/>
        </w:rPr>
        <w:t xml:space="preserve"> test the relation between VAIC and </w:t>
      </w:r>
      <w:r w:rsidR="002D035E">
        <w:rPr>
          <w:rFonts w:ascii="Times New Roman" w:eastAsia="Calibri" w:hAnsi="Times New Roman" w:cs="Times New Roman"/>
          <w:color w:val="000000" w:themeColor="text1"/>
          <w:sz w:val="23"/>
          <w:szCs w:val="23"/>
          <w:lang w:val="en-US"/>
        </w:rPr>
        <w:t xml:space="preserve">the </w:t>
      </w:r>
      <w:r w:rsidR="00B879CB" w:rsidRPr="00983193">
        <w:rPr>
          <w:rFonts w:ascii="Times New Roman" w:eastAsia="Calibri" w:hAnsi="Times New Roman" w:cs="Times New Roman"/>
          <w:color w:val="000000" w:themeColor="text1"/>
          <w:sz w:val="23"/>
          <w:szCs w:val="23"/>
          <w:lang w:val="en-US"/>
        </w:rPr>
        <w:t>investment in intangible assets (</w:t>
      </w:r>
      <w:r w:rsidR="002D035E">
        <w:rPr>
          <w:rFonts w:ascii="Times New Roman" w:eastAsia="Calibri" w:hAnsi="Times New Roman" w:cs="Times New Roman"/>
          <w:color w:val="000000" w:themeColor="text1"/>
          <w:sz w:val="23"/>
          <w:szCs w:val="23"/>
          <w:lang w:val="en-US"/>
        </w:rPr>
        <w:t xml:space="preserve">as </w:t>
      </w:r>
      <w:r w:rsidR="00B879CB" w:rsidRPr="00983193">
        <w:rPr>
          <w:rFonts w:ascii="Times New Roman" w:eastAsia="Calibri" w:hAnsi="Times New Roman" w:cs="Times New Roman"/>
          <w:color w:val="000000" w:themeColor="text1"/>
          <w:sz w:val="23"/>
          <w:szCs w:val="23"/>
          <w:lang w:val="en-US"/>
        </w:rPr>
        <w:t xml:space="preserve">a proxy </w:t>
      </w:r>
      <w:r w:rsidR="002D035E">
        <w:rPr>
          <w:rFonts w:ascii="Times New Roman" w:eastAsia="Calibri" w:hAnsi="Times New Roman" w:cs="Times New Roman"/>
          <w:color w:val="000000" w:themeColor="text1"/>
          <w:sz w:val="23"/>
          <w:szCs w:val="23"/>
          <w:lang w:val="en-US"/>
        </w:rPr>
        <w:t>for</w:t>
      </w:r>
      <w:r w:rsidR="002D035E" w:rsidRPr="00983193">
        <w:rPr>
          <w:rFonts w:ascii="Times New Roman" w:eastAsia="Calibri" w:hAnsi="Times New Roman" w:cs="Times New Roman"/>
          <w:color w:val="000000" w:themeColor="text1"/>
          <w:sz w:val="23"/>
          <w:szCs w:val="23"/>
          <w:lang w:val="en-US"/>
        </w:rPr>
        <w:t xml:space="preserve"> </w:t>
      </w:r>
      <w:r w:rsidR="00B879CB" w:rsidRPr="00983193">
        <w:rPr>
          <w:rFonts w:ascii="Times New Roman" w:eastAsia="Calibri" w:hAnsi="Times New Roman" w:cs="Times New Roman"/>
          <w:color w:val="000000" w:themeColor="text1"/>
          <w:sz w:val="23"/>
          <w:szCs w:val="23"/>
          <w:lang w:val="en-US"/>
        </w:rPr>
        <w:t xml:space="preserve">intellectual capital). </w:t>
      </w:r>
      <w:r w:rsidR="002D035E">
        <w:rPr>
          <w:rFonts w:ascii="Times New Roman" w:eastAsia="Calibri" w:hAnsi="Times New Roman" w:cs="Times New Roman"/>
          <w:color w:val="000000" w:themeColor="text1"/>
          <w:sz w:val="23"/>
          <w:szCs w:val="23"/>
          <w:lang w:val="en-US"/>
        </w:rPr>
        <w:t>Thus</w:t>
      </w:r>
      <w:r w:rsidR="00EF36E7" w:rsidRPr="00983193">
        <w:rPr>
          <w:rFonts w:ascii="Times New Roman" w:eastAsia="Calibri" w:hAnsi="Times New Roman" w:cs="Times New Roman"/>
          <w:color w:val="000000" w:themeColor="text1"/>
          <w:sz w:val="23"/>
          <w:szCs w:val="23"/>
          <w:lang w:val="en-US"/>
        </w:rPr>
        <w:t>, it is argu</w:t>
      </w:r>
      <w:r w:rsidR="002D035E">
        <w:rPr>
          <w:rFonts w:ascii="Times New Roman" w:eastAsia="Calibri" w:hAnsi="Times New Roman" w:cs="Times New Roman"/>
          <w:color w:val="000000" w:themeColor="text1"/>
          <w:sz w:val="23"/>
          <w:szCs w:val="23"/>
          <w:lang w:val="en-US"/>
        </w:rPr>
        <w:t>ed</w:t>
      </w:r>
      <w:r w:rsidR="00EF36E7" w:rsidRPr="00983193">
        <w:rPr>
          <w:rFonts w:ascii="Times New Roman" w:eastAsia="Calibri" w:hAnsi="Times New Roman" w:cs="Times New Roman"/>
          <w:color w:val="000000" w:themeColor="text1"/>
          <w:sz w:val="23"/>
          <w:szCs w:val="23"/>
          <w:lang w:val="en-US"/>
        </w:rPr>
        <w:t xml:space="preserve"> that a relation between VAIC and investments in (recognized) intangible assets </w:t>
      </w:r>
      <w:r w:rsidR="00062E8E">
        <w:rPr>
          <w:rFonts w:ascii="Times New Roman" w:eastAsia="Calibri" w:hAnsi="Times New Roman" w:cs="Times New Roman"/>
          <w:color w:val="000000" w:themeColor="text1"/>
          <w:sz w:val="23"/>
          <w:szCs w:val="23"/>
          <w:lang w:val="en-US"/>
        </w:rPr>
        <w:t>should</w:t>
      </w:r>
      <w:r w:rsidR="00062E8E" w:rsidRPr="00983193">
        <w:rPr>
          <w:rFonts w:ascii="Times New Roman" w:eastAsia="Calibri" w:hAnsi="Times New Roman" w:cs="Times New Roman"/>
          <w:color w:val="000000" w:themeColor="text1"/>
          <w:sz w:val="23"/>
          <w:szCs w:val="23"/>
          <w:lang w:val="en-US"/>
        </w:rPr>
        <w:t xml:space="preserve"> </w:t>
      </w:r>
      <w:r w:rsidR="00EF36E7" w:rsidRPr="00983193">
        <w:rPr>
          <w:rFonts w:ascii="Times New Roman" w:eastAsia="Calibri" w:hAnsi="Times New Roman" w:cs="Times New Roman"/>
          <w:color w:val="000000" w:themeColor="text1"/>
          <w:sz w:val="23"/>
          <w:szCs w:val="23"/>
          <w:lang w:val="en-US"/>
        </w:rPr>
        <w:t xml:space="preserve">not exist, even though investments in IA are associated </w:t>
      </w:r>
      <w:r w:rsidR="00062E8E">
        <w:rPr>
          <w:rFonts w:ascii="Times New Roman" w:eastAsia="Calibri" w:hAnsi="Times New Roman" w:cs="Times New Roman"/>
          <w:color w:val="000000" w:themeColor="text1"/>
          <w:sz w:val="23"/>
          <w:szCs w:val="23"/>
          <w:lang w:val="en-US"/>
        </w:rPr>
        <w:t>with</w:t>
      </w:r>
      <w:r w:rsidR="00EF36E7" w:rsidRPr="00983193">
        <w:rPr>
          <w:rFonts w:ascii="Times New Roman" w:eastAsia="Calibri" w:hAnsi="Times New Roman" w:cs="Times New Roman"/>
          <w:color w:val="000000" w:themeColor="text1"/>
          <w:sz w:val="23"/>
          <w:szCs w:val="23"/>
          <w:lang w:val="en-US"/>
        </w:rPr>
        <w:t xml:space="preserve"> IC value. Thus, we hypothesize</w:t>
      </w:r>
      <w:r w:rsidR="00062E8E">
        <w:rPr>
          <w:rFonts w:ascii="Times New Roman" w:eastAsia="Calibri" w:hAnsi="Times New Roman" w:cs="Times New Roman"/>
          <w:color w:val="000000" w:themeColor="text1"/>
          <w:sz w:val="23"/>
          <w:szCs w:val="23"/>
          <w:lang w:val="en-US"/>
        </w:rPr>
        <w:t xml:space="preserve"> that there should be</w:t>
      </w:r>
      <w:r w:rsidR="00EF36E7" w:rsidRPr="00983193">
        <w:rPr>
          <w:rFonts w:ascii="Times New Roman" w:eastAsia="Calibri" w:hAnsi="Times New Roman" w:cs="Times New Roman"/>
          <w:color w:val="000000" w:themeColor="text1"/>
          <w:sz w:val="23"/>
          <w:szCs w:val="23"/>
          <w:lang w:val="en-US"/>
        </w:rPr>
        <w:t xml:space="preserve"> no relation between </w:t>
      </w:r>
      <w:r w:rsidR="00C565BB" w:rsidRPr="00983193">
        <w:rPr>
          <w:rFonts w:ascii="Times New Roman" w:eastAsia="Calibri" w:hAnsi="Times New Roman" w:cs="Times New Roman"/>
          <w:color w:val="000000" w:themeColor="text1"/>
          <w:sz w:val="23"/>
          <w:szCs w:val="23"/>
          <w:lang w:val="en-US"/>
        </w:rPr>
        <w:t>VAIC and investments in IA. Accordingly, our hypothesis is</w:t>
      </w:r>
      <w:r w:rsidR="00062E8E">
        <w:rPr>
          <w:rFonts w:ascii="Times New Roman" w:eastAsia="Calibri" w:hAnsi="Times New Roman" w:cs="Times New Roman"/>
          <w:color w:val="000000" w:themeColor="text1"/>
          <w:sz w:val="23"/>
          <w:szCs w:val="23"/>
          <w:lang w:val="en-US"/>
        </w:rPr>
        <w:t xml:space="preserve"> stated as follows</w:t>
      </w:r>
      <w:r w:rsidR="00C565BB" w:rsidRPr="00983193">
        <w:rPr>
          <w:rFonts w:ascii="Times New Roman" w:eastAsia="Calibri" w:hAnsi="Times New Roman" w:cs="Times New Roman"/>
          <w:color w:val="000000" w:themeColor="text1"/>
          <w:sz w:val="23"/>
          <w:szCs w:val="23"/>
          <w:lang w:val="en-US"/>
        </w:rPr>
        <w:t>:</w:t>
      </w:r>
    </w:p>
    <w:p w14:paraId="25902EA3" w14:textId="77777777" w:rsidR="00BB6E5E" w:rsidRPr="00983193" w:rsidRDefault="00BB6E5E" w:rsidP="00C565BB">
      <w:pPr>
        <w:spacing w:after="0" w:line="240" w:lineRule="auto"/>
        <w:jc w:val="both"/>
        <w:rPr>
          <w:rFonts w:ascii="Times New Roman" w:eastAsia="Calibri" w:hAnsi="Times New Roman" w:cs="Times New Roman"/>
          <w:i/>
          <w:color w:val="000000" w:themeColor="text1"/>
          <w:sz w:val="23"/>
          <w:szCs w:val="23"/>
          <w:lang w:val="en-US"/>
        </w:rPr>
      </w:pPr>
    </w:p>
    <w:p w14:paraId="2759EA79" w14:textId="77777777" w:rsidR="00FE1BAF" w:rsidRPr="00A53C54" w:rsidRDefault="00463E56" w:rsidP="00E56740">
      <w:pPr>
        <w:spacing w:after="0" w:line="240" w:lineRule="auto"/>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i/>
          <w:color w:val="000000" w:themeColor="text1"/>
          <w:sz w:val="23"/>
          <w:szCs w:val="23"/>
          <w:lang w:val="en-US"/>
        </w:rPr>
        <w:t>H1</w:t>
      </w:r>
      <w:r w:rsidR="00EF0D7B" w:rsidRPr="00983193">
        <w:rPr>
          <w:rFonts w:ascii="Times New Roman" w:eastAsia="Calibri" w:hAnsi="Times New Roman" w:cs="Times New Roman"/>
          <w:i/>
          <w:color w:val="000000" w:themeColor="text1"/>
          <w:sz w:val="23"/>
          <w:szCs w:val="23"/>
          <w:lang w:val="en-US"/>
        </w:rPr>
        <w:t>b</w:t>
      </w:r>
      <w:r w:rsidRPr="00983193">
        <w:rPr>
          <w:rFonts w:ascii="Times New Roman" w:eastAsia="Calibri" w:hAnsi="Times New Roman" w:cs="Times New Roman"/>
          <w:i/>
          <w:color w:val="000000" w:themeColor="text1"/>
          <w:sz w:val="23"/>
          <w:szCs w:val="23"/>
          <w:lang w:val="en-US"/>
        </w:rPr>
        <w:t>: IC value</w:t>
      </w:r>
      <w:r w:rsidR="00062E8E">
        <w:rPr>
          <w:rFonts w:ascii="Times New Roman" w:eastAsia="Calibri" w:hAnsi="Times New Roman" w:cs="Times New Roman"/>
          <w:i/>
          <w:color w:val="000000" w:themeColor="text1"/>
          <w:sz w:val="23"/>
          <w:szCs w:val="23"/>
          <w:lang w:val="en-US"/>
        </w:rPr>
        <w:t>, measured in terms of</w:t>
      </w:r>
      <w:r w:rsidRPr="00983193">
        <w:rPr>
          <w:rFonts w:ascii="Times New Roman" w:eastAsia="Calibri" w:hAnsi="Times New Roman" w:cs="Times New Roman"/>
          <w:i/>
          <w:color w:val="000000" w:themeColor="text1"/>
          <w:sz w:val="23"/>
          <w:szCs w:val="23"/>
          <w:lang w:val="en-US"/>
        </w:rPr>
        <w:t xml:space="preserve"> VAIC</w:t>
      </w:r>
      <w:r w:rsidR="00062E8E">
        <w:rPr>
          <w:rFonts w:ascii="Times New Roman" w:eastAsia="Calibri" w:hAnsi="Times New Roman" w:cs="Times New Roman"/>
          <w:i/>
          <w:color w:val="000000" w:themeColor="text1"/>
          <w:sz w:val="23"/>
          <w:szCs w:val="23"/>
          <w:lang w:val="en-US"/>
        </w:rPr>
        <w:t>,</w:t>
      </w:r>
      <w:r w:rsidRPr="00983193">
        <w:rPr>
          <w:rFonts w:ascii="Times New Roman" w:eastAsia="Calibri" w:hAnsi="Times New Roman" w:cs="Times New Roman"/>
          <w:i/>
          <w:color w:val="000000" w:themeColor="text1"/>
          <w:sz w:val="23"/>
          <w:szCs w:val="23"/>
          <w:lang w:val="en-US"/>
        </w:rPr>
        <w:t xml:space="preserve"> is </w:t>
      </w:r>
      <w:r w:rsidR="00EF36E7" w:rsidRPr="00983193">
        <w:rPr>
          <w:rFonts w:ascii="Times New Roman" w:eastAsia="Calibri" w:hAnsi="Times New Roman" w:cs="Times New Roman"/>
          <w:i/>
          <w:color w:val="000000" w:themeColor="text1"/>
          <w:sz w:val="23"/>
          <w:szCs w:val="23"/>
          <w:lang w:val="en-US"/>
        </w:rPr>
        <w:t>not</w:t>
      </w:r>
      <w:r w:rsidRPr="00983193">
        <w:rPr>
          <w:rFonts w:ascii="Times New Roman" w:eastAsia="Calibri" w:hAnsi="Times New Roman" w:cs="Times New Roman"/>
          <w:i/>
          <w:color w:val="000000" w:themeColor="text1"/>
          <w:sz w:val="23"/>
          <w:szCs w:val="23"/>
          <w:lang w:val="en-US"/>
        </w:rPr>
        <w:t xml:space="preserve"> associated with recognized (visible) intangible assets.</w:t>
      </w:r>
    </w:p>
    <w:p w14:paraId="3F84F3D5" w14:textId="77777777" w:rsidR="00E3056D" w:rsidRPr="00983193" w:rsidRDefault="00E3056D" w:rsidP="00FE1BAF">
      <w:pPr>
        <w:spacing w:after="0" w:line="240" w:lineRule="auto"/>
        <w:jc w:val="both"/>
        <w:rPr>
          <w:rFonts w:ascii="Times New Roman" w:eastAsia="Calibri" w:hAnsi="Times New Roman" w:cs="Times New Roman"/>
          <w:color w:val="000000" w:themeColor="text1"/>
          <w:sz w:val="23"/>
          <w:szCs w:val="23"/>
          <w:lang w:val="en-US"/>
        </w:rPr>
      </w:pPr>
    </w:p>
    <w:p w14:paraId="6A8AFDFB" w14:textId="77777777" w:rsidR="00E3056D" w:rsidRPr="0077755C" w:rsidRDefault="00FE1BAF" w:rsidP="00A53C54">
      <w:pPr>
        <w:pStyle w:val="ListParagraph"/>
        <w:numPr>
          <w:ilvl w:val="1"/>
          <w:numId w:val="11"/>
        </w:numPr>
        <w:spacing w:after="0" w:line="240" w:lineRule="auto"/>
        <w:ind w:left="357" w:hanging="357"/>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 xml:space="preserve"> </w:t>
      </w:r>
      <w:r w:rsidR="001F53F3" w:rsidRPr="0077755C">
        <w:rPr>
          <w:rFonts w:ascii="Times New Roman" w:eastAsia="Calibri" w:hAnsi="Times New Roman" w:cs="Times New Roman"/>
          <w:color w:val="000000" w:themeColor="text1"/>
          <w:sz w:val="23"/>
          <w:szCs w:val="23"/>
          <w:lang w:val="en-US"/>
        </w:rPr>
        <w:t>Profitability</w:t>
      </w:r>
    </w:p>
    <w:p w14:paraId="713E6A96" w14:textId="77777777" w:rsidR="001F53F3" w:rsidRPr="00983193" w:rsidRDefault="001F53F3" w:rsidP="001F53F3">
      <w:pPr>
        <w:spacing w:after="0" w:line="240" w:lineRule="auto"/>
        <w:jc w:val="both"/>
        <w:rPr>
          <w:rFonts w:ascii="Times New Roman" w:eastAsia="Calibri" w:hAnsi="Times New Roman" w:cs="Times New Roman"/>
          <w:color w:val="000000" w:themeColor="text1"/>
          <w:sz w:val="23"/>
          <w:szCs w:val="23"/>
          <w:lang w:val="en-US"/>
        </w:rPr>
      </w:pPr>
    </w:p>
    <w:p w14:paraId="028BE59F" w14:textId="77777777" w:rsidR="00A413E1" w:rsidRPr="00983193" w:rsidRDefault="00A413E1" w:rsidP="00EA674D">
      <w:pPr>
        <w:spacing w:after="0" w:line="240" w:lineRule="auto"/>
        <w:jc w:val="both"/>
        <w:rPr>
          <w:rFonts w:ascii="Times New Roman" w:eastAsia="Calibri" w:hAnsi="Times New Roman" w:cs="Times New Roman"/>
          <w:i/>
          <w:color w:val="000000" w:themeColor="text1"/>
          <w:sz w:val="23"/>
          <w:szCs w:val="23"/>
          <w:lang w:val="en-US"/>
        </w:rPr>
      </w:pPr>
      <w:r w:rsidRPr="00983193">
        <w:rPr>
          <w:rFonts w:ascii="Times New Roman" w:eastAsia="Calibri" w:hAnsi="Times New Roman" w:cs="Times New Roman"/>
          <w:color w:val="000000" w:themeColor="text1"/>
          <w:sz w:val="23"/>
          <w:szCs w:val="23"/>
          <w:lang w:val="en-US"/>
        </w:rPr>
        <w:t>Keenan and Aggestam (2001)</w:t>
      </w:r>
      <w:r w:rsidR="0077755C">
        <w:rPr>
          <w:rFonts w:ascii="Times New Roman" w:eastAsia="Calibri" w:hAnsi="Times New Roman" w:cs="Times New Roman"/>
          <w:color w:val="000000" w:themeColor="text1"/>
          <w:sz w:val="23"/>
          <w:szCs w:val="23"/>
          <w:lang w:val="en-US"/>
        </w:rPr>
        <w:t xml:space="preserve"> argue that</w:t>
      </w:r>
      <w:r w:rsidRPr="00983193">
        <w:rPr>
          <w:rFonts w:ascii="Times New Roman" w:eastAsia="Calibri" w:hAnsi="Times New Roman" w:cs="Times New Roman"/>
          <w:color w:val="000000" w:themeColor="text1"/>
          <w:sz w:val="23"/>
          <w:szCs w:val="23"/>
          <w:lang w:val="en-US"/>
        </w:rPr>
        <w:t xml:space="preserve"> focus</w:t>
      </w:r>
      <w:r w:rsidR="0077755C">
        <w:rPr>
          <w:rFonts w:ascii="Times New Roman" w:eastAsia="Calibri" w:hAnsi="Times New Roman" w:cs="Times New Roman"/>
          <w:color w:val="000000" w:themeColor="text1"/>
          <w:sz w:val="23"/>
          <w:szCs w:val="23"/>
          <w:lang w:val="en-US"/>
        </w:rPr>
        <w:t xml:space="preserve"> of firms</w:t>
      </w:r>
      <w:r w:rsidRPr="00983193">
        <w:rPr>
          <w:rFonts w:ascii="Times New Roman" w:eastAsia="Calibri" w:hAnsi="Times New Roman" w:cs="Times New Roman"/>
          <w:color w:val="000000" w:themeColor="text1"/>
          <w:sz w:val="23"/>
          <w:szCs w:val="23"/>
          <w:lang w:val="en-US"/>
        </w:rPr>
        <w:t xml:space="preserve"> on IC is important as it transforms more tangible physical and financial capital into added value and improved performance. Nicholson and Kiel (2004) </w:t>
      </w:r>
      <w:r w:rsidR="0077755C">
        <w:rPr>
          <w:rFonts w:ascii="Times New Roman" w:eastAsia="Calibri" w:hAnsi="Times New Roman" w:cs="Times New Roman"/>
          <w:color w:val="000000" w:themeColor="text1"/>
          <w:sz w:val="23"/>
          <w:szCs w:val="23"/>
          <w:lang w:val="en-US"/>
        </w:rPr>
        <w:t>argue</w:t>
      </w:r>
      <w:r w:rsidR="0077755C" w:rsidRPr="00983193">
        <w:rPr>
          <w:rFonts w:ascii="Times New Roman" w:eastAsia="Calibri" w:hAnsi="Times New Roman" w:cs="Times New Roman"/>
          <w:color w:val="000000" w:themeColor="text1"/>
          <w:sz w:val="23"/>
          <w:szCs w:val="23"/>
          <w:lang w:val="en-US"/>
        </w:rPr>
        <w:t xml:space="preserve"> </w:t>
      </w:r>
      <w:r w:rsidRPr="00983193">
        <w:rPr>
          <w:rFonts w:ascii="Times New Roman" w:eastAsia="Calibri" w:hAnsi="Times New Roman" w:cs="Times New Roman"/>
          <w:color w:val="000000" w:themeColor="text1"/>
          <w:sz w:val="23"/>
          <w:szCs w:val="23"/>
          <w:lang w:val="en-US"/>
        </w:rPr>
        <w:t>that firms must pay specific attention to IC when seeking to improve their performance. Cazavan-Jeny (2004) f</w:t>
      </w:r>
      <w:r w:rsidR="0077755C">
        <w:rPr>
          <w:rFonts w:ascii="Times New Roman" w:eastAsia="Calibri" w:hAnsi="Times New Roman" w:cs="Times New Roman"/>
          <w:color w:val="000000" w:themeColor="text1"/>
          <w:sz w:val="23"/>
          <w:szCs w:val="23"/>
          <w:lang w:val="en-US"/>
        </w:rPr>
        <w:t>i</w:t>
      </w:r>
      <w:r w:rsidRPr="00983193">
        <w:rPr>
          <w:rFonts w:ascii="Times New Roman" w:eastAsia="Calibri" w:hAnsi="Times New Roman" w:cs="Times New Roman"/>
          <w:color w:val="000000" w:themeColor="text1"/>
          <w:sz w:val="23"/>
          <w:szCs w:val="23"/>
          <w:lang w:val="en-US"/>
        </w:rPr>
        <w:t xml:space="preserve">nd </w:t>
      </w:r>
      <w:r w:rsidR="0077755C">
        <w:rPr>
          <w:rFonts w:ascii="Times New Roman" w:eastAsia="Calibri" w:hAnsi="Times New Roman" w:cs="Times New Roman"/>
          <w:color w:val="000000" w:themeColor="text1"/>
          <w:sz w:val="23"/>
          <w:szCs w:val="23"/>
          <w:lang w:val="en-US"/>
        </w:rPr>
        <w:t xml:space="preserve">in French firms </w:t>
      </w:r>
      <w:r w:rsidRPr="00983193">
        <w:rPr>
          <w:rFonts w:ascii="Times New Roman" w:eastAsia="Calibri" w:hAnsi="Times New Roman" w:cs="Times New Roman"/>
          <w:color w:val="000000" w:themeColor="text1"/>
          <w:sz w:val="23"/>
          <w:szCs w:val="23"/>
          <w:lang w:val="en-US"/>
        </w:rPr>
        <w:t>that profita</w:t>
      </w:r>
      <w:r w:rsidR="006C1B92">
        <w:rPr>
          <w:rFonts w:ascii="Times New Roman" w:eastAsia="Calibri" w:hAnsi="Times New Roman" w:cs="Times New Roman"/>
          <w:color w:val="000000" w:themeColor="text1"/>
          <w:sz w:val="23"/>
          <w:szCs w:val="23"/>
          <w:lang w:val="en-US"/>
        </w:rPr>
        <w:t>bility positively affects the Mt</w:t>
      </w:r>
      <w:r w:rsidRPr="00983193">
        <w:rPr>
          <w:rFonts w:ascii="Times New Roman" w:eastAsia="Calibri" w:hAnsi="Times New Roman" w:cs="Times New Roman"/>
          <w:color w:val="000000" w:themeColor="text1"/>
          <w:sz w:val="23"/>
          <w:szCs w:val="23"/>
          <w:lang w:val="en-US"/>
        </w:rPr>
        <w:t xml:space="preserve">B ratio. </w:t>
      </w:r>
      <w:r w:rsidR="0077755C">
        <w:rPr>
          <w:rFonts w:ascii="Times New Roman" w:eastAsia="Calibri" w:hAnsi="Times New Roman" w:cs="Times New Roman"/>
          <w:color w:val="000000" w:themeColor="text1"/>
          <w:sz w:val="23"/>
          <w:szCs w:val="23"/>
          <w:lang w:val="en-US"/>
        </w:rPr>
        <w:t>Consistent with this result,</w:t>
      </w:r>
      <w:r w:rsidRPr="00983193">
        <w:rPr>
          <w:rFonts w:ascii="Times New Roman" w:eastAsia="Calibri" w:hAnsi="Times New Roman" w:cs="Times New Roman"/>
          <w:color w:val="000000" w:themeColor="text1"/>
          <w:sz w:val="23"/>
          <w:szCs w:val="23"/>
          <w:lang w:val="en-US"/>
        </w:rPr>
        <w:t xml:space="preserve"> </w:t>
      </w:r>
      <w:r w:rsidRPr="00F12168">
        <w:rPr>
          <w:rFonts w:ascii="Times New Roman" w:eastAsia="Calibri" w:hAnsi="Times New Roman" w:cs="Times New Roman"/>
          <w:color w:val="000000" w:themeColor="text1"/>
          <w:sz w:val="23"/>
          <w:szCs w:val="23"/>
          <w:lang w:val="en-US"/>
        </w:rPr>
        <w:t>Forte</w:t>
      </w:r>
      <w:r w:rsidRPr="00983193">
        <w:rPr>
          <w:rFonts w:ascii="Times New Roman" w:eastAsia="Calibri" w:hAnsi="Times New Roman" w:cs="Times New Roman"/>
          <w:color w:val="000000" w:themeColor="text1"/>
          <w:sz w:val="23"/>
          <w:szCs w:val="23"/>
          <w:lang w:val="en-US"/>
        </w:rPr>
        <w:t xml:space="preserve"> et al. (2017)</w:t>
      </w:r>
      <w:r w:rsidR="001575E6" w:rsidRPr="00983193">
        <w:rPr>
          <w:rFonts w:ascii="Times New Roman" w:eastAsia="Calibri" w:hAnsi="Times New Roman" w:cs="Times New Roman"/>
          <w:color w:val="000000" w:themeColor="text1"/>
          <w:sz w:val="23"/>
          <w:szCs w:val="23"/>
          <w:lang w:val="en-US"/>
        </w:rPr>
        <w:t xml:space="preserve"> analyz</w:t>
      </w:r>
      <w:r w:rsidR="0077755C">
        <w:rPr>
          <w:rFonts w:ascii="Times New Roman" w:eastAsia="Calibri" w:hAnsi="Times New Roman" w:cs="Times New Roman"/>
          <w:color w:val="000000" w:themeColor="text1"/>
          <w:sz w:val="23"/>
          <w:szCs w:val="23"/>
          <w:lang w:val="en-US"/>
        </w:rPr>
        <w:t>e</w:t>
      </w:r>
      <w:r w:rsidR="001575E6" w:rsidRPr="00983193">
        <w:rPr>
          <w:rFonts w:ascii="Times New Roman" w:eastAsia="Calibri" w:hAnsi="Times New Roman" w:cs="Times New Roman"/>
          <w:color w:val="000000" w:themeColor="text1"/>
          <w:sz w:val="23"/>
          <w:szCs w:val="23"/>
          <w:lang w:val="en-US"/>
        </w:rPr>
        <w:t xml:space="preserve"> a sample of Italian listed companies </w:t>
      </w:r>
      <w:r w:rsidR="0077755C">
        <w:rPr>
          <w:rFonts w:ascii="Times New Roman" w:eastAsia="Calibri" w:hAnsi="Times New Roman" w:cs="Times New Roman"/>
          <w:color w:val="000000" w:themeColor="text1"/>
          <w:sz w:val="23"/>
          <w:szCs w:val="23"/>
          <w:lang w:val="en-US"/>
        </w:rPr>
        <w:t>for</w:t>
      </w:r>
      <w:r w:rsidR="001575E6" w:rsidRPr="00983193">
        <w:rPr>
          <w:rFonts w:ascii="Times New Roman" w:eastAsia="Calibri" w:hAnsi="Times New Roman" w:cs="Times New Roman"/>
          <w:color w:val="000000" w:themeColor="text1"/>
          <w:sz w:val="23"/>
          <w:szCs w:val="23"/>
          <w:lang w:val="en-US"/>
        </w:rPr>
        <w:t xml:space="preserve"> the period 2009-2013</w:t>
      </w:r>
      <w:r w:rsidR="0077755C">
        <w:rPr>
          <w:rFonts w:ascii="Times New Roman" w:eastAsia="Calibri" w:hAnsi="Times New Roman" w:cs="Times New Roman"/>
          <w:color w:val="000000" w:themeColor="text1"/>
          <w:sz w:val="23"/>
          <w:szCs w:val="23"/>
          <w:lang w:val="en-US"/>
        </w:rPr>
        <w:t>, and</w:t>
      </w:r>
      <w:r w:rsidR="001575E6" w:rsidRPr="00983193">
        <w:rPr>
          <w:rFonts w:ascii="Times New Roman" w:eastAsia="Calibri" w:hAnsi="Times New Roman" w:cs="Times New Roman"/>
          <w:color w:val="000000" w:themeColor="text1"/>
          <w:sz w:val="23"/>
          <w:szCs w:val="23"/>
          <w:lang w:val="en-US"/>
        </w:rPr>
        <w:t xml:space="preserve"> find tha</w:t>
      </w:r>
      <w:r w:rsidRPr="00983193">
        <w:rPr>
          <w:rFonts w:ascii="Times New Roman" w:eastAsia="Calibri" w:hAnsi="Times New Roman" w:cs="Times New Roman"/>
          <w:color w:val="000000" w:themeColor="text1"/>
          <w:sz w:val="23"/>
          <w:szCs w:val="23"/>
          <w:lang w:val="en-US"/>
        </w:rPr>
        <w:t>t profitability positively influence</w:t>
      </w:r>
      <w:r w:rsidR="0077755C">
        <w:rPr>
          <w:rFonts w:ascii="Times New Roman" w:eastAsia="Calibri" w:hAnsi="Times New Roman" w:cs="Times New Roman"/>
          <w:color w:val="000000" w:themeColor="text1"/>
          <w:sz w:val="23"/>
          <w:szCs w:val="23"/>
          <w:lang w:val="en-US"/>
        </w:rPr>
        <w:t>s</w:t>
      </w:r>
      <w:r w:rsidRPr="00983193">
        <w:rPr>
          <w:rFonts w:ascii="Times New Roman" w:eastAsia="Calibri" w:hAnsi="Times New Roman" w:cs="Times New Roman"/>
          <w:color w:val="000000" w:themeColor="text1"/>
          <w:sz w:val="23"/>
          <w:szCs w:val="23"/>
          <w:lang w:val="en-US"/>
        </w:rPr>
        <w:t xml:space="preserve"> the level of IC proxied </w:t>
      </w:r>
      <w:r w:rsidR="0077755C">
        <w:rPr>
          <w:rFonts w:ascii="Times New Roman" w:eastAsia="Calibri" w:hAnsi="Times New Roman" w:cs="Times New Roman"/>
          <w:color w:val="000000" w:themeColor="text1"/>
          <w:sz w:val="23"/>
          <w:szCs w:val="23"/>
          <w:lang w:val="en-US"/>
        </w:rPr>
        <w:t>by</w:t>
      </w:r>
      <w:r w:rsidR="0077755C" w:rsidRPr="00983193">
        <w:rPr>
          <w:rFonts w:ascii="Times New Roman" w:eastAsia="Calibri" w:hAnsi="Times New Roman" w:cs="Times New Roman"/>
          <w:color w:val="000000" w:themeColor="text1"/>
          <w:sz w:val="23"/>
          <w:szCs w:val="23"/>
          <w:lang w:val="en-US"/>
        </w:rPr>
        <w:t xml:space="preserve"> </w:t>
      </w:r>
      <w:r w:rsidR="006C1B92">
        <w:rPr>
          <w:rFonts w:ascii="Times New Roman" w:eastAsia="Calibri" w:hAnsi="Times New Roman" w:cs="Times New Roman"/>
          <w:color w:val="000000" w:themeColor="text1"/>
          <w:sz w:val="23"/>
          <w:szCs w:val="23"/>
          <w:lang w:val="en-US"/>
        </w:rPr>
        <w:t>Mt</w:t>
      </w:r>
      <w:r w:rsidR="001575E6" w:rsidRPr="00983193">
        <w:rPr>
          <w:rFonts w:ascii="Times New Roman" w:eastAsia="Calibri" w:hAnsi="Times New Roman" w:cs="Times New Roman"/>
          <w:color w:val="000000" w:themeColor="text1"/>
          <w:sz w:val="23"/>
          <w:szCs w:val="23"/>
          <w:lang w:val="en-US"/>
        </w:rPr>
        <w:t>B</w:t>
      </w:r>
      <w:r w:rsidRPr="00983193">
        <w:rPr>
          <w:rFonts w:ascii="Times New Roman" w:eastAsia="Calibri" w:hAnsi="Times New Roman" w:cs="Times New Roman"/>
          <w:color w:val="000000" w:themeColor="text1"/>
          <w:sz w:val="23"/>
          <w:szCs w:val="23"/>
          <w:lang w:val="en-US"/>
        </w:rPr>
        <w:t>.</w:t>
      </w:r>
      <w:r w:rsidR="00C20F03" w:rsidRPr="00983193">
        <w:rPr>
          <w:rFonts w:ascii="Times New Roman" w:eastAsia="Calibri" w:hAnsi="Times New Roman" w:cs="Times New Roman"/>
          <w:color w:val="000000" w:themeColor="text1"/>
          <w:sz w:val="23"/>
          <w:szCs w:val="23"/>
          <w:lang w:val="en-US"/>
        </w:rPr>
        <w:t xml:space="preserve"> </w:t>
      </w:r>
      <w:r w:rsidR="0077755C">
        <w:rPr>
          <w:rFonts w:ascii="Times New Roman" w:eastAsia="Calibri" w:hAnsi="Times New Roman" w:cs="Times New Roman"/>
          <w:color w:val="000000" w:themeColor="text1"/>
          <w:sz w:val="23"/>
          <w:szCs w:val="23"/>
          <w:lang w:val="en-US"/>
        </w:rPr>
        <w:t>Thus</w:t>
      </w:r>
      <w:r w:rsidR="00EA674D" w:rsidRPr="00983193">
        <w:rPr>
          <w:rFonts w:ascii="Times New Roman" w:eastAsia="Calibri" w:hAnsi="Times New Roman" w:cs="Times New Roman"/>
          <w:color w:val="000000" w:themeColor="text1"/>
          <w:sz w:val="23"/>
          <w:szCs w:val="23"/>
          <w:lang w:val="en-US"/>
        </w:rPr>
        <w:t xml:space="preserve">, </w:t>
      </w:r>
      <w:r w:rsidR="0077755C">
        <w:rPr>
          <w:rFonts w:ascii="Times New Roman" w:eastAsia="Calibri" w:hAnsi="Times New Roman" w:cs="Times New Roman"/>
          <w:color w:val="000000" w:themeColor="text1"/>
          <w:sz w:val="23"/>
          <w:szCs w:val="23"/>
          <w:lang w:val="en-US"/>
        </w:rPr>
        <w:t>we</w:t>
      </w:r>
      <w:r w:rsidR="00EA674D" w:rsidRPr="00983193">
        <w:rPr>
          <w:rFonts w:ascii="Times New Roman" w:eastAsia="Calibri" w:hAnsi="Times New Roman" w:cs="Times New Roman"/>
          <w:color w:val="000000" w:themeColor="text1"/>
          <w:sz w:val="23"/>
          <w:szCs w:val="23"/>
          <w:lang w:val="en-US"/>
        </w:rPr>
        <w:t xml:space="preserve"> hypothesize a positive relationship between the </w:t>
      </w:r>
      <w:r w:rsidR="00E56740">
        <w:rPr>
          <w:rFonts w:ascii="Times New Roman" w:eastAsia="Calibri" w:hAnsi="Times New Roman" w:cs="Times New Roman"/>
          <w:color w:val="000000" w:themeColor="text1"/>
          <w:sz w:val="23"/>
          <w:szCs w:val="23"/>
          <w:lang w:val="en-US"/>
        </w:rPr>
        <w:t>MtB</w:t>
      </w:r>
      <w:r w:rsidR="00EA674D" w:rsidRPr="00983193">
        <w:rPr>
          <w:rFonts w:ascii="Times New Roman" w:eastAsia="Calibri" w:hAnsi="Times New Roman" w:cs="Times New Roman"/>
          <w:color w:val="000000" w:themeColor="text1"/>
          <w:sz w:val="23"/>
          <w:szCs w:val="23"/>
          <w:lang w:val="en-US"/>
        </w:rPr>
        <w:t xml:space="preserve"> </w:t>
      </w:r>
      <w:r w:rsidR="0077755C">
        <w:rPr>
          <w:rFonts w:ascii="Times New Roman" w:eastAsia="Calibri" w:hAnsi="Times New Roman" w:cs="Times New Roman"/>
          <w:color w:val="000000" w:themeColor="text1"/>
          <w:sz w:val="23"/>
          <w:szCs w:val="23"/>
          <w:lang w:val="en-US"/>
        </w:rPr>
        <w:t xml:space="preserve">ratio </w:t>
      </w:r>
      <w:r w:rsidR="00EA674D" w:rsidRPr="00983193">
        <w:rPr>
          <w:rFonts w:ascii="Times New Roman" w:eastAsia="Calibri" w:hAnsi="Times New Roman" w:cs="Times New Roman"/>
          <w:color w:val="000000" w:themeColor="text1"/>
          <w:sz w:val="23"/>
          <w:szCs w:val="23"/>
          <w:lang w:val="en-US"/>
        </w:rPr>
        <w:t>and the firm profitability.</w:t>
      </w:r>
    </w:p>
    <w:p w14:paraId="4BF4B23E" w14:textId="77777777" w:rsidR="008F6EA5" w:rsidRPr="00983193" w:rsidRDefault="00751A7D" w:rsidP="000B2B0D">
      <w:pPr>
        <w:spacing w:after="0" w:line="240" w:lineRule="auto"/>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 xml:space="preserve">   </w:t>
      </w:r>
      <w:r w:rsidR="00E9386E" w:rsidRPr="00983193">
        <w:rPr>
          <w:rFonts w:ascii="Times New Roman" w:eastAsia="Calibri" w:hAnsi="Times New Roman" w:cs="Times New Roman"/>
          <w:color w:val="000000" w:themeColor="text1"/>
          <w:sz w:val="23"/>
          <w:szCs w:val="23"/>
          <w:lang w:val="en-US"/>
        </w:rPr>
        <w:t xml:space="preserve">Several studies investigate the relationship between IC value </w:t>
      </w:r>
      <w:r w:rsidR="0077755C">
        <w:rPr>
          <w:rFonts w:ascii="Times New Roman" w:eastAsia="Calibri" w:hAnsi="Times New Roman" w:cs="Times New Roman"/>
          <w:color w:val="000000" w:themeColor="text1"/>
          <w:sz w:val="23"/>
          <w:szCs w:val="23"/>
          <w:lang w:val="en-US"/>
        </w:rPr>
        <w:t>in terms of</w:t>
      </w:r>
      <w:r w:rsidR="00E9386E" w:rsidRPr="00983193">
        <w:rPr>
          <w:rFonts w:ascii="Times New Roman" w:eastAsia="Calibri" w:hAnsi="Times New Roman" w:cs="Times New Roman"/>
          <w:color w:val="000000" w:themeColor="text1"/>
          <w:sz w:val="23"/>
          <w:szCs w:val="23"/>
          <w:lang w:val="en-US"/>
        </w:rPr>
        <w:t xml:space="preserve"> VAIC and </w:t>
      </w:r>
      <w:r w:rsidR="005C7093" w:rsidRPr="00983193">
        <w:rPr>
          <w:rFonts w:ascii="Times New Roman" w:eastAsia="Calibri" w:hAnsi="Times New Roman" w:cs="Times New Roman"/>
          <w:color w:val="000000" w:themeColor="text1"/>
          <w:sz w:val="23"/>
          <w:szCs w:val="23"/>
          <w:lang w:val="en-US"/>
        </w:rPr>
        <w:t>firm profitability</w:t>
      </w:r>
      <w:r w:rsidR="00E9386E" w:rsidRPr="00983193">
        <w:rPr>
          <w:rFonts w:ascii="Times New Roman" w:eastAsia="Calibri" w:hAnsi="Times New Roman" w:cs="Times New Roman"/>
          <w:color w:val="000000" w:themeColor="text1"/>
          <w:sz w:val="23"/>
          <w:szCs w:val="23"/>
          <w:lang w:val="en-US"/>
        </w:rPr>
        <w:t xml:space="preserve"> (Firer and Williams</w:t>
      </w:r>
      <w:r w:rsidR="00E56740">
        <w:rPr>
          <w:rFonts w:ascii="Times New Roman" w:eastAsia="Calibri" w:hAnsi="Times New Roman" w:cs="Times New Roman"/>
          <w:color w:val="000000" w:themeColor="text1"/>
          <w:sz w:val="23"/>
          <w:szCs w:val="23"/>
          <w:lang w:val="en-US"/>
        </w:rPr>
        <w:t xml:space="preserve">, </w:t>
      </w:r>
      <w:r w:rsidR="00E9386E" w:rsidRPr="00983193">
        <w:rPr>
          <w:rFonts w:ascii="Times New Roman" w:eastAsia="Calibri" w:hAnsi="Times New Roman" w:cs="Times New Roman"/>
          <w:color w:val="000000" w:themeColor="text1"/>
          <w:sz w:val="23"/>
          <w:szCs w:val="23"/>
          <w:lang w:val="en-US"/>
        </w:rPr>
        <w:t xml:space="preserve">2003; </w:t>
      </w:r>
      <w:r w:rsidR="00E9386E" w:rsidRPr="0005246B">
        <w:rPr>
          <w:rFonts w:ascii="Times New Roman" w:eastAsia="Calibri" w:hAnsi="Times New Roman" w:cs="Times New Roman"/>
          <w:color w:val="000000" w:themeColor="text1"/>
          <w:sz w:val="23"/>
          <w:szCs w:val="23"/>
          <w:lang w:val="en-US"/>
        </w:rPr>
        <w:t>Mavridis</w:t>
      </w:r>
      <w:r w:rsidR="00E9386E" w:rsidRPr="00983193">
        <w:rPr>
          <w:rFonts w:ascii="Times New Roman" w:eastAsia="Calibri" w:hAnsi="Times New Roman" w:cs="Times New Roman"/>
          <w:color w:val="000000" w:themeColor="text1"/>
          <w:sz w:val="23"/>
          <w:szCs w:val="23"/>
          <w:lang w:val="en-US"/>
        </w:rPr>
        <w:t>, 2004; Chen et al., 2005; Gan and Saleh, 2008; Puntillo, 2009; Maditinos et al., 2011; Gigante, 2013; Morariu, 2014; Dženopoljac et al., 2016; Noradiva et al., 2016)</w:t>
      </w:r>
      <w:r w:rsidR="0077755C">
        <w:rPr>
          <w:rFonts w:ascii="Times New Roman" w:eastAsia="Calibri" w:hAnsi="Times New Roman" w:cs="Times New Roman"/>
          <w:color w:val="000000" w:themeColor="text1"/>
          <w:sz w:val="23"/>
          <w:szCs w:val="23"/>
          <w:lang w:val="en-US"/>
        </w:rPr>
        <w:t>,</w:t>
      </w:r>
      <w:r w:rsidR="006E456E" w:rsidRPr="00983193">
        <w:rPr>
          <w:rFonts w:ascii="Times New Roman" w:eastAsia="Calibri" w:hAnsi="Times New Roman" w:cs="Times New Roman"/>
          <w:color w:val="000000" w:themeColor="text1"/>
          <w:sz w:val="23"/>
          <w:szCs w:val="23"/>
          <w:lang w:val="en-US"/>
        </w:rPr>
        <w:t xml:space="preserve"> arguing that IC is </w:t>
      </w:r>
      <w:r w:rsidR="005C7093" w:rsidRPr="00983193">
        <w:rPr>
          <w:rFonts w:ascii="Times New Roman" w:eastAsia="Calibri" w:hAnsi="Times New Roman" w:cs="Times New Roman"/>
          <w:color w:val="000000" w:themeColor="text1"/>
          <w:sz w:val="23"/>
          <w:szCs w:val="23"/>
          <w:lang w:val="en-US"/>
        </w:rPr>
        <w:t>a relevant strategic asset</w:t>
      </w:r>
      <w:r w:rsidR="006E456E" w:rsidRPr="00983193">
        <w:rPr>
          <w:rFonts w:ascii="Times New Roman" w:eastAsia="Calibri" w:hAnsi="Times New Roman" w:cs="Times New Roman"/>
          <w:color w:val="000000" w:themeColor="text1"/>
          <w:sz w:val="23"/>
          <w:szCs w:val="23"/>
          <w:lang w:val="en-US"/>
        </w:rPr>
        <w:t xml:space="preserve"> which if appropriately managed </w:t>
      </w:r>
      <w:r w:rsidR="0077755C">
        <w:rPr>
          <w:rFonts w:ascii="Times New Roman" w:eastAsia="Calibri" w:hAnsi="Times New Roman" w:cs="Times New Roman"/>
          <w:color w:val="000000" w:themeColor="text1"/>
          <w:sz w:val="23"/>
          <w:szCs w:val="23"/>
          <w:lang w:val="en-US"/>
        </w:rPr>
        <w:t>can</w:t>
      </w:r>
      <w:r w:rsidR="0077755C" w:rsidRPr="00983193">
        <w:rPr>
          <w:rFonts w:ascii="Times New Roman" w:eastAsia="Calibri" w:hAnsi="Times New Roman" w:cs="Times New Roman"/>
          <w:color w:val="000000" w:themeColor="text1"/>
          <w:sz w:val="23"/>
          <w:szCs w:val="23"/>
          <w:lang w:val="en-US"/>
        </w:rPr>
        <w:t xml:space="preserve"> </w:t>
      </w:r>
      <w:r w:rsidR="006E456E" w:rsidRPr="00983193">
        <w:rPr>
          <w:rFonts w:ascii="Times New Roman" w:eastAsia="Calibri" w:hAnsi="Times New Roman" w:cs="Times New Roman"/>
          <w:color w:val="000000" w:themeColor="text1"/>
          <w:sz w:val="23"/>
          <w:szCs w:val="23"/>
          <w:lang w:val="en-US"/>
        </w:rPr>
        <w:t>lead to an improvement in firm</w:t>
      </w:r>
      <w:r w:rsidR="00060EA2" w:rsidRPr="00983193">
        <w:rPr>
          <w:rFonts w:ascii="Times New Roman" w:eastAsia="Calibri" w:hAnsi="Times New Roman" w:cs="Times New Roman"/>
          <w:color w:val="000000" w:themeColor="text1"/>
          <w:sz w:val="23"/>
          <w:szCs w:val="23"/>
          <w:lang w:val="en-US"/>
        </w:rPr>
        <w:t xml:space="preserve"> </w:t>
      </w:r>
      <w:r w:rsidR="006E456E" w:rsidRPr="00983193">
        <w:rPr>
          <w:rFonts w:ascii="Times New Roman" w:eastAsia="Calibri" w:hAnsi="Times New Roman" w:cs="Times New Roman"/>
          <w:color w:val="000000" w:themeColor="text1"/>
          <w:sz w:val="23"/>
          <w:szCs w:val="23"/>
          <w:lang w:val="en-US"/>
        </w:rPr>
        <w:t>performance.</w:t>
      </w:r>
      <w:r w:rsidR="000B2B0D" w:rsidRPr="00983193">
        <w:rPr>
          <w:rFonts w:ascii="Times New Roman" w:eastAsia="Calibri" w:hAnsi="Times New Roman" w:cs="Times New Roman"/>
          <w:color w:val="000000" w:themeColor="text1"/>
          <w:sz w:val="23"/>
          <w:szCs w:val="23"/>
          <w:lang w:val="en-US"/>
        </w:rPr>
        <w:t xml:space="preserve"> However, they </w:t>
      </w:r>
      <w:r w:rsidR="0077755C">
        <w:rPr>
          <w:rFonts w:ascii="Times New Roman" w:eastAsia="Calibri" w:hAnsi="Times New Roman" w:cs="Times New Roman"/>
          <w:color w:val="000000" w:themeColor="text1"/>
          <w:sz w:val="23"/>
          <w:szCs w:val="23"/>
          <w:lang w:val="en-US"/>
        </w:rPr>
        <w:t xml:space="preserve">specify </w:t>
      </w:r>
      <w:r w:rsidR="000B2B0D" w:rsidRPr="00983193">
        <w:rPr>
          <w:rFonts w:ascii="Times New Roman" w:eastAsia="Calibri" w:hAnsi="Times New Roman" w:cs="Times New Roman"/>
          <w:color w:val="000000" w:themeColor="text1"/>
          <w:sz w:val="23"/>
          <w:szCs w:val="23"/>
          <w:lang w:val="en-US"/>
        </w:rPr>
        <w:t>VAIC as</w:t>
      </w:r>
      <w:r w:rsidR="001855D6">
        <w:rPr>
          <w:rFonts w:ascii="Times New Roman" w:eastAsia="Calibri" w:hAnsi="Times New Roman" w:cs="Times New Roman"/>
          <w:color w:val="000000" w:themeColor="text1"/>
          <w:sz w:val="23"/>
          <w:szCs w:val="23"/>
          <w:lang w:val="en-US"/>
        </w:rPr>
        <w:t xml:space="preserve"> an</w:t>
      </w:r>
      <w:r w:rsidR="000B2B0D" w:rsidRPr="00983193">
        <w:rPr>
          <w:rFonts w:ascii="Times New Roman" w:eastAsia="Calibri" w:hAnsi="Times New Roman" w:cs="Times New Roman"/>
          <w:color w:val="000000" w:themeColor="text1"/>
          <w:sz w:val="23"/>
          <w:szCs w:val="23"/>
          <w:lang w:val="en-US"/>
        </w:rPr>
        <w:t xml:space="preserve"> </w:t>
      </w:r>
      <w:r w:rsidR="000B2B0D" w:rsidRPr="001855D6">
        <w:rPr>
          <w:rFonts w:ascii="Times New Roman" w:eastAsia="Calibri" w:hAnsi="Times New Roman" w:cs="Times New Roman"/>
          <w:noProof/>
          <w:color w:val="000000" w:themeColor="text1"/>
          <w:sz w:val="23"/>
          <w:szCs w:val="23"/>
          <w:lang w:val="en-US"/>
        </w:rPr>
        <w:t>independent</w:t>
      </w:r>
      <w:r w:rsidR="000B2B0D" w:rsidRPr="00983193">
        <w:rPr>
          <w:rFonts w:ascii="Times New Roman" w:eastAsia="Calibri" w:hAnsi="Times New Roman" w:cs="Times New Roman"/>
          <w:color w:val="000000" w:themeColor="text1"/>
          <w:sz w:val="23"/>
          <w:szCs w:val="23"/>
          <w:lang w:val="en-US"/>
        </w:rPr>
        <w:t xml:space="preserve"> </w:t>
      </w:r>
      <w:r w:rsidR="0077755C">
        <w:rPr>
          <w:rFonts w:ascii="Times New Roman" w:eastAsia="Calibri" w:hAnsi="Times New Roman" w:cs="Times New Roman"/>
          <w:color w:val="000000" w:themeColor="text1"/>
          <w:sz w:val="23"/>
          <w:szCs w:val="23"/>
          <w:lang w:val="en-US"/>
        </w:rPr>
        <w:t xml:space="preserve">rather than as a dependent </w:t>
      </w:r>
      <w:r w:rsidR="000B2B0D" w:rsidRPr="00983193">
        <w:rPr>
          <w:rFonts w:ascii="Times New Roman" w:eastAsia="Calibri" w:hAnsi="Times New Roman" w:cs="Times New Roman"/>
          <w:color w:val="000000" w:themeColor="text1"/>
          <w:sz w:val="23"/>
          <w:szCs w:val="23"/>
          <w:lang w:val="en-US"/>
        </w:rPr>
        <w:t xml:space="preserve">variable in order to </w:t>
      </w:r>
      <w:r w:rsidR="00427169">
        <w:rPr>
          <w:rFonts w:ascii="Times New Roman" w:eastAsia="Calibri" w:hAnsi="Times New Roman" w:cs="Times New Roman"/>
          <w:color w:val="000000" w:themeColor="text1"/>
          <w:sz w:val="23"/>
          <w:szCs w:val="23"/>
          <w:lang w:val="en-US"/>
        </w:rPr>
        <w:t>examine whether</w:t>
      </w:r>
      <w:r w:rsidR="000B2B0D" w:rsidRPr="00983193">
        <w:rPr>
          <w:rFonts w:ascii="Times New Roman" w:eastAsia="Calibri" w:hAnsi="Times New Roman" w:cs="Times New Roman"/>
          <w:color w:val="000000" w:themeColor="text1"/>
          <w:sz w:val="23"/>
          <w:szCs w:val="23"/>
          <w:lang w:val="en-US"/>
        </w:rPr>
        <w:t xml:space="preserve"> better IC management </w:t>
      </w:r>
      <w:r w:rsidR="000B2B0D" w:rsidRPr="001855D6">
        <w:rPr>
          <w:rFonts w:ascii="Times New Roman" w:eastAsia="Calibri" w:hAnsi="Times New Roman" w:cs="Times New Roman"/>
          <w:noProof/>
          <w:color w:val="000000" w:themeColor="text1"/>
          <w:sz w:val="23"/>
          <w:szCs w:val="23"/>
          <w:lang w:val="en-US"/>
        </w:rPr>
        <w:t>affect</w:t>
      </w:r>
      <w:r w:rsidR="001855D6">
        <w:rPr>
          <w:rFonts w:ascii="Times New Roman" w:eastAsia="Calibri" w:hAnsi="Times New Roman" w:cs="Times New Roman"/>
          <w:noProof/>
          <w:color w:val="000000" w:themeColor="text1"/>
          <w:sz w:val="23"/>
          <w:szCs w:val="23"/>
          <w:lang w:val="en-US"/>
        </w:rPr>
        <w:t>s</w:t>
      </w:r>
      <w:r w:rsidR="000B2B0D" w:rsidRPr="00983193">
        <w:rPr>
          <w:rFonts w:ascii="Times New Roman" w:eastAsia="Calibri" w:hAnsi="Times New Roman" w:cs="Times New Roman"/>
          <w:color w:val="000000" w:themeColor="text1"/>
          <w:sz w:val="23"/>
          <w:szCs w:val="23"/>
          <w:lang w:val="en-US"/>
        </w:rPr>
        <w:t xml:space="preserve"> the firm profitability.</w:t>
      </w:r>
      <w:r w:rsidR="006E456E" w:rsidRPr="00983193">
        <w:rPr>
          <w:rFonts w:ascii="Times New Roman" w:eastAsia="Calibri" w:hAnsi="Times New Roman" w:cs="Times New Roman"/>
          <w:color w:val="000000" w:themeColor="text1"/>
          <w:sz w:val="23"/>
          <w:szCs w:val="23"/>
          <w:lang w:val="en-US"/>
        </w:rPr>
        <w:t xml:space="preserve"> </w:t>
      </w:r>
      <w:r w:rsidR="00FC3725" w:rsidRPr="00983193">
        <w:rPr>
          <w:rFonts w:ascii="Times New Roman" w:eastAsia="Calibri" w:hAnsi="Times New Roman" w:cs="Times New Roman"/>
          <w:color w:val="000000" w:themeColor="text1"/>
          <w:sz w:val="23"/>
          <w:szCs w:val="23"/>
          <w:lang w:val="en-US"/>
        </w:rPr>
        <w:t xml:space="preserve">The majority of </w:t>
      </w:r>
      <w:r w:rsidR="00427169">
        <w:rPr>
          <w:rFonts w:ascii="Times New Roman" w:eastAsia="Calibri" w:hAnsi="Times New Roman" w:cs="Times New Roman"/>
          <w:color w:val="000000" w:themeColor="text1"/>
          <w:sz w:val="23"/>
          <w:szCs w:val="23"/>
          <w:lang w:val="en-US"/>
        </w:rPr>
        <w:t>empirical</w:t>
      </w:r>
      <w:r w:rsidR="00427169" w:rsidRPr="00983193">
        <w:rPr>
          <w:rFonts w:ascii="Times New Roman" w:eastAsia="Calibri" w:hAnsi="Times New Roman" w:cs="Times New Roman"/>
          <w:color w:val="000000" w:themeColor="text1"/>
          <w:sz w:val="23"/>
          <w:szCs w:val="23"/>
          <w:lang w:val="en-US"/>
        </w:rPr>
        <w:t xml:space="preserve"> </w:t>
      </w:r>
      <w:r w:rsidR="00FC3725" w:rsidRPr="00983193">
        <w:rPr>
          <w:rFonts w:ascii="Times New Roman" w:eastAsia="Calibri" w:hAnsi="Times New Roman" w:cs="Times New Roman"/>
          <w:color w:val="000000" w:themeColor="text1"/>
          <w:sz w:val="23"/>
          <w:szCs w:val="23"/>
          <w:lang w:val="en-US"/>
        </w:rPr>
        <w:t>studies f</w:t>
      </w:r>
      <w:r w:rsidR="00427169">
        <w:rPr>
          <w:rFonts w:ascii="Times New Roman" w:eastAsia="Calibri" w:hAnsi="Times New Roman" w:cs="Times New Roman"/>
          <w:color w:val="000000" w:themeColor="text1"/>
          <w:sz w:val="23"/>
          <w:szCs w:val="23"/>
          <w:lang w:val="en-US"/>
        </w:rPr>
        <w:t>i</w:t>
      </w:r>
      <w:r w:rsidR="00FC3725" w:rsidRPr="00983193">
        <w:rPr>
          <w:rFonts w:ascii="Times New Roman" w:eastAsia="Calibri" w:hAnsi="Times New Roman" w:cs="Times New Roman"/>
          <w:color w:val="000000" w:themeColor="text1"/>
          <w:sz w:val="23"/>
          <w:szCs w:val="23"/>
          <w:lang w:val="en-US"/>
        </w:rPr>
        <w:t>nd a positive relationship between VAIC</w:t>
      </w:r>
      <w:r w:rsidR="00427169">
        <w:rPr>
          <w:rFonts w:ascii="Times New Roman" w:eastAsia="Calibri" w:hAnsi="Times New Roman" w:cs="Times New Roman"/>
          <w:color w:val="000000" w:themeColor="text1"/>
          <w:sz w:val="23"/>
          <w:szCs w:val="23"/>
          <w:lang w:val="en-US"/>
        </w:rPr>
        <w:t>,</w:t>
      </w:r>
      <w:r w:rsidR="00FC3725" w:rsidRPr="00983193">
        <w:rPr>
          <w:rFonts w:ascii="Times New Roman" w:eastAsia="Calibri" w:hAnsi="Times New Roman" w:cs="Times New Roman"/>
          <w:color w:val="000000" w:themeColor="text1"/>
          <w:sz w:val="23"/>
          <w:szCs w:val="23"/>
          <w:lang w:val="en-US"/>
        </w:rPr>
        <w:t xml:space="preserve"> or its components</w:t>
      </w:r>
      <w:r w:rsidR="00427169">
        <w:rPr>
          <w:rFonts w:ascii="Times New Roman" w:eastAsia="Calibri" w:hAnsi="Times New Roman" w:cs="Times New Roman"/>
          <w:color w:val="000000" w:themeColor="text1"/>
          <w:sz w:val="23"/>
          <w:szCs w:val="23"/>
          <w:lang w:val="en-US"/>
        </w:rPr>
        <w:t>,</w:t>
      </w:r>
      <w:r w:rsidR="00FC3725" w:rsidRPr="00983193">
        <w:rPr>
          <w:rFonts w:ascii="Times New Roman" w:eastAsia="Calibri" w:hAnsi="Times New Roman" w:cs="Times New Roman"/>
          <w:color w:val="000000" w:themeColor="text1"/>
          <w:sz w:val="23"/>
          <w:szCs w:val="23"/>
          <w:lang w:val="en-US"/>
        </w:rPr>
        <w:t xml:space="preserve"> and firm market value, productivity and profitability (Morariu, 2014).</w:t>
      </w:r>
      <w:r w:rsidR="00427169">
        <w:rPr>
          <w:rFonts w:ascii="Times New Roman" w:eastAsia="Calibri" w:hAnsi="Times New Roman" w:cs="Times New Roman"/>
          <w:color w:val="000000" w:themeColor="text1"/>
          <w:sz w:val="23"/>
          <w:szCs w:val="23"/>
          <w:lang w:val="en-US"/>
        </w:rPr>
        <w:t xml:space="preserve"> </w:t>
      </w:r>
      <w:r w:rsidR="000B2B0D" w:rsidRPr="00983193">
        <w:rPr>
          <w:rFonts w:ascii="Times New Roman" w:eastAsia="Calibri" w:hAnsi="Times New Roman" w:cs="Times New Roman"/>
          <w:color w:val="000000" w:themeColor="text1"/>
          <w:sz w:val="23"/>
          <w:szCs w:val="23"/>
          <w:lang w:val="en-US"/>
        </w:rPr>
        <w:t>El-Bannany (2008)</w:t>
      </w:r>
      <w:r w:rsidR="00427169">
        <w:rPr>
          <w:rFonts w:ascii="Times New Roman" w:eastAsia="Calibri" w:hAnsi="Times New Roman" w:cs="Times New Roman"/>
          <w:color w:val="000000" w:themeColor="text1"/>
          <w:sz w:val="23"/>
          <w:szCs w:val="23"/>
          <w:lang w:val="en-US"/>
        </w:rPr>
        <w:t xml:space="preserve"> specify </w:t>
      </w:r>
      <w:r w:rsidR="000B2B0D" w:rsidRPr="00983193">
        <w:rPr>
          <w:rFonts w:ascii="Times New Roman" w:eastAsia="Calibri" w:hAnsi="Times New Roman" w:cs="Times New Roman"/>
          <w:color w:val="000000" w:themeColor="text1"/>
          <w:sz w:val="23"/>
          <w:szCs w:val="23"/>
          <w:lang w:val="en-US"/>
        </w:rPr>
        <w:t>VAIC as</w:t>
      </w:r>
      <w:r w:rsidR="001855D6">
        <w:rPr>
          <w:rFonts w:ascii="Times New Roman" w:eastAsia="Calibri" w:hAnsi="Times New Roman" w:cs="Times New Roman"/>
          <w:color w:val="000000" w:themeColor="text1"/>
          <w:sz w:val="23"/>
          <w:szCs w:val="23"/>
          <w:lang w:val="en-US"/>
        </w:rPr>
        <w:t xml:space="preserve"> the</w:t>
      </w:r>
      <w:r w:rsidR="000B2B0D" w:rsidRPr="00983193">
        <w:rPr>
          <w:rFonts w:ascii="Times New Roman" w:eastAsia="Calibri" w:hAnsi="Times New Roman" w:cs="Times New Roman"/>
          <w:color w:val="000000" w:themeColor="text1"/>
          <w:sz w:val="23"/>
          <w:szCs w:val="23"/>
          <w:lang w:val="en-US"/>
        </w:rPr>
        <w:t xml:space="preserve"> </w:t>
      </w:r>
      <w:r w:rsidR="000B2B0D" w:rsidRPr="001855D6">
        <w:rPr>
          <w:rFonts w:ascii="Times New Roman" w:eastAsia="Calibri" w:hAnsi="Times New Roman" w:cs="Times New Roman"/>
          <w:noProof/>
          <w:color w:val="000000" w:themeColor="text1"/>
          <w:sz w:val="23"/>
          <w:szCs w:val="23"/>
          <w:lang w:val="en-US"/>
        </w:rPr>
        <w:t>dependent</w:t>
      </w:r>
      <w:r w:rsidR="000B2B0D" w:rsidRPr="00983193">
        <w:rPr>
          <w:rFonts w:ascii="Times New Roman" w:eastAsia="Calibri" w:hAnsi="Times New Roman" w:cs="Times New Roman"/>
          <w:color w:val="000000" w:themeColor="text1"/>
          <w:sz w:val="23"/>
          <w:szCs w:val="23"/>
          <w:lang w:val="en-US"/>
        </w:rPr>
        <w:t xml:space="preserve"> variable</w:t>
      </w:r>
      <w:r w:rsidR="00427169">
        <w:rPr>
          <w:rFonts w:ascii="Times New Roman" w:eastAsia="Calibri" w:hAnsi="Times New Roman" w:cs="Times New Roman"/>
          <w:color w:val="000000" w:themeColor="text1"/>
          <w:sz w:val="23"/>
          <w:szCs w:val="23"/>
          <w:lang w:val="en-US"/>
        </w:rPr>
        <w:t xml:space="preserve"> in their model</w:t>
      </w:r>
      <w:r w:rsidR="000B2B0D" w:rsidRPr="00983193">
        <w:rPr>
          <w:rFonts w:ascii="Times New Roman" w:eastAsia="Calibri" w:hAnsi="Times New Roman" w:cs="Times New Roman"/>
          <w:color w:val="000000" w:themeColor="text1"/>
          <w:sz w:val="23"/>
          <w:szCs w:val="23"/>
          <w:lang w:val="en-US"/>
        </w:rPr>
        <w:t xml:space="preserve">, </w:t>
      </w:r>
      <w:r w:rsidR="00427169">
        <w:rPr>
          <w:rFonts w:ascii="Times New Roman" w:eastAsia="Calibri" w:hAnsi="Times New Roman" w:cs="Times New Roman"/>
          <w:color w:val="000000" w:themeColor="text1"/>
          <w:sz w:val="23"/>
          <w:szCs w:val="23"/>
          <w:lang w:val="en-US"/>
        </w:rPr>
        <w:t xml:space="preserve">and </w:t>
      </w:r>
      <w:r w:rsidR="000B2B0D" w:rsidRPr="00983193">
        <w:rPr>
          <w:rFonts w:ascii="Times New Roman" w:eastAsia="Calibri" w:hAnsi="Times New Roman" w:cs="Times New Roman"/>
          <w:color w:val="000000" w:themeColor="text1"/>
          <w:sz w:val="23"/>
          <w:szCs w:val="23"/>
          <w:lang w:val="en-US"/>
        </w:rPr>
        <w:t>f</w:t>
      </w:r>
      <w:r w:rsidR="00427169">
        <w:rPr>
          <w:rFonts w:ascii="Times New Roman" w:eastAsia="Calibri" w:hAnsi="Times New Roman" w:cs="Times New Roman"/>
          <w:color w:val="000000" w:themeColor="text1"/>
          <w:sz w:val="23"/>
          <w:szCs w:val="23"/>
          <w:lang w:val="en-US"/>
        </w:rPr>
        <w:t>i</w:t>
      </w:r>
      <w:r w:rsidR="000B2B0D" w:rsidRPr="00983193">
        <w:rPr>
          <w:rFonts w:ascii="Times New Roman" w:eastAsia="Calibri" w:hAnsi="Times New Roman" w:cs="Times New Roman"/>
          <w:color w:val="000000" w:themeColor="text1"/>
          <w:sz w:val="23"/>
          <w:szCs w:val="23"/>
          <w:lang w:val="en-US"/>
        </w:rPr>
        <w:t xml:space="preserve">nd that efficiency and profitability </w:t>
      </w:r>
      <w:r w:rsidR="00427169">
        <w:rPr>
          <w:rFonts w:ascii="Times New Roman" w:eastAsia="Calibri" w:hAnsi="Times New Roman" w:cs="Times New Roman"/>
          <w:color w:val="000000" w:themeColor="text1"/>
          <w:sz w:val="23"/>
          <w:szCs w:val="23"/>
          <w:lang w:val="en-US"/>
        </w:rPr>
        <w:t xml:space="preserve">in banks </w:t>
      </w:r>
      <w:r w:rsidR="000B2B0D" w:rsidRPr="00983193">
        <w:rPr>
          <w:rFonts w:ascii="Times New Roman" w:eastAsia="Calibri" w:hAnsi="Times New Roman" w:cs="Times New Roman"/>
          <w:color w:val="000000" w:themeColor="text1"/>
          <w:sz w:val="23"/>
          <w:szCs w:val="23"/>
          <w:lang w:val="en-US"/>
        </w:rPr>
        <w:t>have a positive impact on IC performance. Bramhandkar et al. (2007)</w:t>
      </w:r>
      <w:r w:rsidR="00427169">
        <w:rPr>
          <w:rFonts w:ascii="Times New Roman" w:eastAsia="Calibri" w:hAnsi="Times New Roman" w:cs="Times New Roman"/>
          <w:color w:val="000000" w:themeColor="text1"/>
          <w:sz w:val="23"/>
          <w:szCs w:val="23"/>
          <w:lang w:val="en-US"/>
        </w:rPr>
        <w:t xml:space="preserve"> study listed </w:t>
      </w:r>
      <w:r w:rsidR="00427169" w:rsidRPr="00983193">
        <w:rPr>
          <w:rFonts w:ascii="Times New Roman" w:eastAsia="Calibri" w:hAnsi="Times New Roman" w:cs="Times New Roman"/>
          <w:color w:val="000000" w:themeColor="text1"/>
          <w:sz w:val="23"/>
          <w:szCs w:val="23"/>
          <w:lang w:val="en-US"/>
        </w:rPr>
        <w:t xml:space="preserve">North American </w:t>
      </w:r>
      <w:r w:rsidR="000B2B0D" w:rsidRPr="00983193">
        <w:rPr>
          <w:rFonts w:ascii="Times New Roman" w:eastAsia="Calibri" w:hAnsi="Times New Roman" w:cs="Times New Roman"/>
          <w:color w:val="000000" w:themeColor="text1"/>
          <w:sz w:val="23"/>
          <w:szCs w:val="23"/>
          <w:lang w:val="en-US"/>
        </w:rPr>
        <w:t xml:space="preserve">drugs industry </w:t>
      </w:r>
      <w:r w:rsidR="00427169">
        <w:rPr>
          <w:rFonts w:ascii="Times New Roman" w:eastAsia="Calibri" w:hAnsi="Times New Roman" w:cs="Times New Roman"/>
          <w:color w:val="000000" w:themeColor="text1"/>
          <w:sz w:val="23"/>
          <w:szCs w:val="23"/>
          <w:lang w:val="en-US"/>
        </w:rPr>
        <w:t>firms and</w:t>
      </w:r>
      <w:r w:rsidR="000B2B0D" w:rsidRPr="00983193">
        <w:rPr>
          <w:rFonts w:ascii="Times New Roman" w:eastAsia="Calibri" w:hAnsi="Times New Roman" w:cs="Times New Roman"/>
          <w:color w:val="000000" w:themeColor="text1"/>
          <w:sz w:val="23"/>
          <w:szCs w:val="23"/>
          <w:lang w:val="en-US"/>
        </w:rPr>
        <w:t xml:space="preserve"> f</w:t>
      </w:r>
      <w:r w:rsidR="00427169">
        <w:rPr>
          <w:rFonts w:ascii="Times New Roman" w:eastAsia="Calibri" w:hAnsi="Times New Roman" w:cs="Times New Roman"/>
          <w:color w:val="000000" w:themeColor="text1"/>
          <w:sz w:val="23"/>
          <w:szCs w:val="23"/>
          <w:lang w:val="en-US"/>
        </w:rPr>
        <w:t>i</w:t>
      </w:r>
      <w:r w:rsidR="000B2B0D" w:rsidRPr="00983193">
        <w:rPr>
          <w:rFonts w:ascii="Times New Roman" w:eastAsia="Calibri" w:hAnsi="Times New Roman" w:cs="Times New Roman"/>
          <w:color w:val="000000" w:themeColor="text1"/>
          <w:sz w:val="23"/>
          <w:szCs w:val="23"/>
          <w:lang w:val="en-US"/>
        </w:rPr>
        <w:t>nd that better IC management</w:t>
      </w:r>
      <w:r w:rsidR="00FC3725" w:rsidRPr="00983193">
        <w:rPr>
          <w:rFonts w:ascii="Times New Roman" w:eastAsia="Calibri" w:hAnsi="Times New Roman" w:cs="Times New Roman"/>
          <w:color w:val="000000" w:themeColor="text1"/>
          <w:sz w:val="23"/>
          <w:szCs w:val="23"/>
          <w:lang w:val="en-US"/>
        </w:rPr>
        <w:t xml:space="preserve"> (calculated </w:t>
      </w:r>
      <w:r w:rsidR="00427169">
        <w:rPr>
          <w:rFonts w:ascii="Times New Roman" w:eastAsia="Calibri" w:hAnsi="Times New Roman" w:cs="Times New Roman"/>
          <w:color w:val="000000" w:themeColor="text1"/>
          <w:sz w:val="23"/>
          <w:szCs w:val="23"/>
          <w:lang w:val="en-US"/>
        </w:rPr>
        <w:t>using the</w:t>
      </w:r>
      <w:r w:rsidR="00427169" w:rsidRPr="00983193">
        <w:rPr>
          <w:rFonts w:ascii="Times New Roman" w:eastAsia="Calibri" w:hAnsi="Times New Roman" w:cs="Times New Roman"/>
          <w:color w:val="000000" w:themeColor="text1"/>
          <w:sz w:val="23"/>
          <w:szCs w:val="23"/>
          <w:lang w:val="en-US"/>
        </w:rPr>
        <w:t xml:space="preserve"> </w:t>
      </w:r>
      <w:r w:rsidR="00FC3725" w:rsidRPr="00983193">
        <w:rPr>
          <w:rFonts w:ascii="Times New Roman" w:eastAsia="Calibri" w:hAnsi="Times New Roman" w:cs="Times New Roman"/>
          <w:color w:val="000000" w:themeColor="text1"/>
          <w:sz w:val="23"/>
          <w:szCs w:val="23"/>
          <w:lang w:val="en-US"/>
        </w:rPr>
        <w:t>market capitalization approach)</w:t>
      </w:r>
      <w:r w:rsidR="000B2B0D" w:rsidRPr="00983193">
        <w:rPr>
          <w:rFonts w:ascii="Times New Roman" w:eastAsia="Calibri" w:hAnsi="Times New Roman" w:cs="Times New Roman"/>
          <w:color w:val="000000" w:themeColor="text1"/>
          <w:sz w:val="23"/>
          <w:szCs w:val="23"/>
          <w:lang w:val="en-US"/>
        </w:rPr>
        <w:t xml:space="preserve"> is correlated with better </w:t>
      </w:r>
      <w:r w:rsidR="00427169">
        <w:rPr>
          <w:rFonts w:ascii="Times New Roman" w:eastAsia="Calibri" w:hAnsi="Times New Roman" w:cs="Times New Roman"/>
          <w:color w:val="000000" w:themeColor="text1"/>
          <w:sz w:val="23"/>
          <w:szCs w:val="23"/>
          <w:lang w:val="en-US"/>
        </w:rPr>
        <w:t xml:space="preserve">stock </w:t>
      </w:r>
      <w:r w:rsidR="000B2B0D" w:rsidRPr="00983193">
        <w:rPr>
          <w:rFonts w:ascii="Times New Roman" w:eastAsia="Calibri" w:hAnsi="Times New Roman" w:cs="Times New Roman"/>
          <w:color w:val="000000" w:themeColor="text1"/>
          <w:sz w:val="23"/>
          <w:szCs w:val="23"/>
          <w:lang w:val="en-US"/>
        </w:rPr>
        <w:t>returns.</w:t>
      </w:r>
      <w:r w:rsidR="00C7333C" w:rsidRPr="00983193">
        <w:rPr>
          <w:rFonts w:ascii="Times New Roman" w:eastAsia="Calibri" w:hAnsi="Times New Roman" w:cs="Times New Roman"/>
          <w:color w:val="000000" w:themeColor="text1"/>
          <w:sz w:val="23"/>
          <w:szCs w:val="23"/>
          <w:lang w:val="en-US"/>
        </w:rPr>
        <w:t xml:space="preserve"> </w:t>
      </w:r>
    </w:p>
    <w:p w14:paraId="0566D82F" w14:textId="77777777" w:rsidR="00463C68" w:rsidRPr="00983193" w:rsidRDefault="00751A7D" w:rsidP="000B2B0D">
      <w:pPr>
        <w:spacing w:after="0" w:line="240" w:lineRule="auto"/>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 xml:space="preserve">   </w:t>
      </w:r>
      <w:r w:rsidR="00427169">
        <w:rPr>
          <w:rFonts w:ascii="Times New Roman" w:eastAsia="Calibri" w:hAnsi="Times New Roman" w:cs="Times New Roman"/>
          <w:color w:val="000000" w:themeColor="text1"/>
          <w:sz w:val="23"/>
          <w:szCs w:val="23"/>
          <w:lang w:val="en-US"/>
        </w:rPr>
        <w:t>On the basis of the extant literature</w:t>
      </w:r>
      <w:r w:rsidR="00C7333C" w:rsidRPr="00983193">
        <w:rPr>
          <w:rFonts w:ascii="Times New Roman" w:eastAsia="Calibri" w:hAnsi="Times New Roman" w:cs="Times New Roman"/>
          <w:color w:val="000000" w:themeColor="text1"/>
          <w:sz w:val="23"/>
          <w:szCs w:val="23"/>
          <w:lang w:val="en-US"/>
        </w:rPr>
        <w:t xml:space="preserve">, </w:t>
      </w:r>
      <w:r w:rsidR="00427169">
        <w:rPr>
          <w:rFonts w:ascii="Times New Roman" w:eastAsia="Calibri" w:hAnsi="Times New Roman" w:cs="Times New Roman"/>
          <w:color w:val="000000" w:themeColor="text1"/>
          <w:sz w:val="23"/>
          <w:szCs w:val="23"/>
          <w:lang w:val="en-US"/>
        </w:rPr>
        <w:t>we</w:t>
      </w:r>
      <w:r w:rsidR="00C7333C" w:rsidRPr="00983193">
        <w:rPr>
          <w:rFonts w:ascii="Times New Roman" w:eastAsia="Calibri" w:hAnsi="Times New Roman" w:cs="Times New Roman"/>
          <w:color w:val="000000" w:themeColor="text1"/>
          <w:sz w:val="23"/>
          <w:szCs w:val="23"/>
          <w:lang w:val="en-US"/>
        </w:rPr>
        <w:t xml:space="preserve"> hypothesize a positive relationship between VAIC and firm profitability, establishing the hypothesis:</w:t>
      </w:r>
    </w:p>
    <w:p w14:paraId="55803D84" w14:textId="77777777" w:rsidR="00C7333C" w:rsidRPr="00983193" w:rsidRDefault="00C7333C" w:rsidP="000B2B0D">
      <w:pPr>
        <w:spacing w:after="0" w:line="240" w:lineRule="auto"/>
        <w:jc w:val="both"/>
        <w:rPr>
          <w:rFonts w:ascii="Times New Roman" w:eastAsia="Calibri" w:hAnsi="Times New Roman" w:cs="Times New Roman"/>
          <w:color w:val="000000" w:themeColor="text1"/>
          <w:sz w:val="23"/>
          <w:szCs w:val="23"/>
          <w:lang w:val="en-US"/>
        </w:rPr>
      </w:pPr>
    </w:p>
    <w:p w14:paraId="33C4E4DE" w14:textId="77777777" w:rsidR="00463C68" w:rsidRPr="00983193" w:rsidRDefault="00463C68" w:rsidP="000B2B0D">
      <w:pPr>
        <w:spacing w:after="0" w:line="240" w:lineRule="auto"/>
        <w:jc w:val="both"/>
        <w:rPr>
          <w:rFonts w:ascii="Times New Roman" w:eastAsia="Calibri" w:hAnsi="Times New Roman" w:cs="Times New Roman"/>
          <w:color w:val="000000" w:themeColor="text1"/>
          <w:sz w:val="23"/>
          <w:szCs w:val="23"/>
          <w:lang w:val="en-US"/>
        </w:rPr>
      </w:pPr>
      <w:r w:rsidRPr="00983193">
        <w:rPr>
          <w:rFonts w:ascii="Times New Roman" w:hAnsi="Times New Roman" w:cs="Times New Roman"/>
          <w:bCs/>
          <w:i/>
          <w:iCs/>
          <w:color w:val="000000" w:themeColor="text1"/>
          <w:sz w:val="23"/>
          <w:szCs w:val="23"/>
          <w:lang w:val="en-US"/>
        </w:rPr>
        <w:t>H2: IC value is positively associated with firm profitability.</w:t>
      </w:r>
    </w:p>
    <w:p w14:paraId="238CF26A" w14:textId="77777777" w:rsidR="00E3056D" w:rsidRPr="00983193" w:rsidRDefault="00E3056D" w:rsidP="00516503">
      <w:pPr>
        <w:spacing w:after="0" w:line="240" w:lineRule="auto"/>
        <w:jc w:val="both"/>
        <w:rPr>
          <w:rFonts w:ascii="Times New Roman" w:eastAsia="Calibri" w:hAnsi="Times New Roman" w:cs="Times New Roman"/>
          <w:color w:val="000000" w:themeColor="text1"/>
          <w:sz w:val="23"/>
          <w:szCs w:val="23"/>
          <w:lang w:val="en-US"/>
        </w:rPr>
      </w:pPr>
    </w:p>
    <w:p w14:paraId="713C9735" w14:textId="77777777" w:rsidR="00E3056D" w:rsidRPr="00983193" w:rsidRDefault="00516503" w:rsidP="00A53C54">
      <w:pPr>
        <w:pStyle w:val="ListParagraph"/>
        <w:numPr>
          <w:ilvl w:val="1"/>
          <w:numId w:val="11"/>
        </w:numPr>
        <w:spacing w:after="0" w:line="240" w:lineRule="auto"/>
        <w:ind w:left="357" w:hanging="357"/>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Leverage</w:t>
      </w:r>
    </w:p>
    <w:p w14:paraId="3C81D021" w14:textId="77777777" w:rsidR="00D33DF0" w:rsidRPr="00983193" w:rsidRDefault="00D33DF0" w:rsidP="00D33DF0">
      <w:pPr>
        <w:spacing w:after="0" w:line="240" w:lineRule="auto"/>
        <w:jc w:val="both"/>
        <w:rPr>
          <w:rFonts w:ascii="Times New Roman" w:eastAsia="Calibri" w:hAnsi="Times New Roman" w:cs="Times New Roman"/>
          <w:color w:val="000000" w:themeColor="text1"/>
          <w:sz w:val="23"/>
          <w:szCs w:val="23"/>
          <w:lang w:val="en-US"/>
        </w:rPr>
      </w:pPr>
    </w:p>
    <w:p w14:paraId="5B1A4FD6" w14:textId="77777777" w:rsidR="00E56740" w:rsidRDefault="00E56740" w:rsidP="00AE6151">
      <w:pPr>
        <w:spacing w:after="0" w:line="240" w:lineRule="auto"/>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Some authors (</w:t>
      </w:r>
      <w:r w:rsidR="00D33DF0" w:rsidRPr="00983193">
        <w:rPr>
          <w:rFonts w:ascii="Times New Roman" w:eastAsia="Calibri" w:hAnsi="Times New Roman" w:cs="Times New Roman"/>
          <w:color w:val="000000" w:themeColor="text1"/>
          <w:sz w:val="23"/>
          <w:szCs w:val="23"/>
          <w:lang w:val="en-US"/>
        </w:rPr>
        <w:t>Keenan and Aggestam</w:t>
      </w:r>
      <w:r>
        <w:rPr>
          <w:rFonts w:ascii="Times New Roman" w:eastAsia="Calibri" w:hAnsi="Times New Roman" w:cs="Times New Roman"/>
          <w:color w:val="000000" w:themeColor="text1"/>
          <w:sz w:val="23"/>
          <w:szCs w:val="23"/>
          <w:lang w:val="en-US"/>
        </w:rPr>
        <w:t xml:space="preserve">, </w:t>
      </w:r>
      <w:r w:rsidR="00D33DF0" w:rsidRPr="00983193">
        <w:rPr>
          <w:rFonts w:ascii="Times New Roman" w:eastAsia="Calibri" w:hAnsi="Times New Roman" w:cs="Times New Roman"/>
          <w:color w:val="000000" w:themeColor="text1"/>
          <w:sz w:val="23"/>
          <w:szCs w:val="23"/>
          <w:lang w:val="en-US"/>
        </w:rPr>
        <w:t>200</w:t>
      </w:r>
      <w:r>
        <w:rPr>
          <w:rFonts w:ascii="Times New Roman" w:eastAsia="Calibri" w:hAnsi="Times New Roman" w:cs="Times New Roman"/>
          <w:color w:val="000000" w:themeColor="text1"/>
          <w:sz w:val="23"/>
          <w:szCs w:val="23"/>
          <w:lang w:val="en-US"/>
        </w:rPr>
        <w:t xml:space="preserve">1; </w:t>
      </w:r>
      <w:r w:rsidR="00D33DF0" w:rsidRPr="00983193">
        <w:rPr>
          <w:rFonts w:ascii="Times New Roman" w:eastAsia="Calibri" w:hAnsi="Times New Roman" w:cs="Times New Roman"/>
          <w:color w:val="000000" w:themeColor="text1"/>
          <w:sz w:val="23"/>
          <w:szCs w:val="23"/>
          <w:lang w:val="en-US"/>
        </w:rPr>
        <w:t>Goebel</w:t>
      </w:r>
      <w:r>
        <w:rPr>
          <w:rFonts w:ascii="Times New Roman" w:eastAsia="Calibri" w:hAnsi="Times New Roman" w:cs="Times New Roman"/>
          <w:color w:val="000000" w:themeColor="text1"/>
          <w:sz w:val="23"/>
          <w:szCs w:val="23"/>
          <w:lang w:val="en-US"/>
        </w:rPr>
        <w:t xml:space="preserve">, </w:t>
      </w:r>
      <w:r w:rsidR="00D33DF0" w:rsidRPr="00983193">
        <w:rPr>
          <w:rFonts w:ascii="Times New Roman" w:eastAsia="Calibri" w:hAnsi="Times New Roman" w:cs="Times New Roman"/>
          <w:color w:val="000000" w:themeColor="text1"/>
          <w:sz w:val="23"/>
          <w:szCs w:val="23"/>
          <w:lang w:val="en-US"/>
        </w:rPr>
        <w:t>2015) argue that high</w:t>
      </w:r>
      <w:r w:rsidR="001D30B1">
        <w:rPr>
          <w:rFonts w:ascii="Times New Roman" w:eastAsia="Calibri" w:hAnsi="Times New Roman" w:cs="Times New Roman"/>
          <w:color w:val="000000" w:themeColor="text1"/>
          <w:sz w:val="23"/>
          <w:szCs w:val="23"/>
          <w:lang w:val="en-US"/>
        </w:rPr>
        <w:t>ly</w:t>
      </w:r>
      <w:r w:rsidR="00D33DF0" w:rsidRPr="00983193">
        <w:rPr>
          <w:rFonts w:ascii="Times New Roman" w:eastAsia="Calibri" w:hAnsi="Times New Roman" w:cs="Times New Roman"/>
          <w:color w:val="000000" w:themeColor="text1"/>
          <w:sz w:val="23"/>
          <w:szCs w:val="23"/>
          <w:lang w:val="en-US"/>
        </w:rPr>
        <w:t xml:space="preserve"> leveraged firms are subject to the influence of lenders</w:t>
      </w:r>
      <w:r w:rsidR="001D30B1">
        <w:rPr>
          <w:rFonts w:ascii="Times New Roman" w:eastAsia="Calibri" w:hAnsi="Times New Roman" w:cs="Times New Roman"/>
          <w:color w:val="000000" w:themeColor="text1"/>
          <w:sz w:val="23"/>
          <w:szCs w:val="23"/>
          <w:lang w:val="en-US"/>
        </w:rPr>
        <w:t>,</w:t>
      </w:r>
      <w:r w:rsidR="00D33DF0" w:rsidRPr="00983193">
        <w:rPr>
          <w:rFonts w:ascii="Times New Roman" w:eastAsia="Calibri" w:hAnsi="Times New Roman" w:cs="Times New Roman"/>
          <w:color w:val="000000" w:themeColor="text1"/>
          <w:sz w:val="23"/>
          <w:szCs w:val="23"/>
          <w:lang w:val="en-US"/>
        </w:rPr>
        <w:t xml:space="preserve"> which </w:t>
      </w:r>
      <w:r w:rsidR="001D30B1">
        <w:rPr>
          <w:rFonts w:ascii="Times New Roman" w:eastAsia="Calibri" w:hAnsi="Times New Roman" w:cs="Times New Roman"/>
          <w:color w:val="000000" w:themeColor="text1"/>
          <w:sz w:val="23"/>
          <w:szCs w:val="23"/>
          <w:lang w:val="en-US"/>
        </w:rPr>
        <w:t>through</w:t>
      </w:r>
      <w:r w:rsidR="001D30B1" w:rsidRPr="00983193">
        <w:rPr>
          <w:rFonts w:ascii="Times New Roman" w:eastAsia="Calibri" w:hAnsi="Times New Roman" w:cs="Times New Roman"/>
          <w:color w:val="000000" w:themeColor="text1"/>
          <w:sz w:val="23"/>
          <w:szCs w:val="23"/>
          <w:lang w:val="en-US"/>
        </w:rPr>
        <w:t xml:space="preserve"> </w:t>
      </w:r>
      <w:r w:rsidR="00D33DF0" w:rsidRPr="00983193">
        <w:rPr>
          <w:rFonts w:ascii="Times New Roman" w:eastAsia="Calibri" w:hAnsi="Times New Roman" w:cs="Times New Roman"/>
          <w:color w:val="000000" w:themeColor="text1"/>
          <w:sz w:val="23"/>
          <w:szCs w:val="23"/>
          <w:lang w:val="en-US"/>
        </w:rPr>
        <w:t>their bargaining position exert a strong influence on the firm’s management</w:t>
      </w:r>
      <w:r w:rsidR="001D30B1">
        <w:rPr>
          <w:rFonts w:ascii="Times New Roman" w:eastAsia="Calibri" w:hAnsi="Times New Roman" w:cs="Times New Roman"/>
          <w:color w:val="000000" w:themeColor="text1"/>
          <w:sz w:val="23"/>
          <w:szCs w:val="23"/>
          <w:lang w:val="en-US"/>
        </w:rPr>
        <w:t>,</w:t>
      </w:r>
      <w:r w:rsidR="00D33DF0" w:rsidRPr="00983193">
        <w:rPr>
          <w:rFonts w:ascii="Times New Roman" w:eastAsia="Calibri" w:hAnsi="Times New Roman" w:cs="Times New Roman"/>
          <w:color w:val="000000" w:themeColor="text1"/>
          <w:sz w:val="23"/>
          <w:szCs w:val="23"/>
          <w:lang w:val="en-US"/>
        </w:rPr>
        <w:t xml:space="preserve"> </w:t>
      </w:r>
      <w:r w:rsidR="001D30B1">
        <w:rPr>
          <w:rFonts w:ascii="Times New Roman" w:eastAsia="Calibri" w:hAnsi="Times New Roman" w:cs="Times New Roman"/>
          <w:color w:val="000000" w:themeColor="text1"/>
          <w:sz w:val="23"/>
          <w:szCs w:val="23"/>
          <w:lang w:val="en-US"/>
        </w:rPr>
        <w:t>motivating</w:t>
      </w:r>
      <w:r w:rsidR="001D30B1" w:rsidRPr="00983193">
        <w:rPr>
          <w:rFonts w:ascii="Times New Roman" w:eastAsia="Calibri" w:hAnsi="Times New Roman" w:cs="Times New Roman"/>
          <w:color w:val="000000" w:themeColor="text1"/>
          <w:sz w:val="23"/>
          <w:szCs w:val="23"/>
          <w:lang w:val="en-US"/>
        </w:rPr>
        <w:t xml:space="preserve"> </w:t>
      </w:r>
      <w:r w:rsidR="00D33DF0" w:rsidRPr="00983193">
        <w:rPr>
          <w:rFonts w:ascii="Times New Roman" w:eastAsia="Calibri" w:hAnsi="Times New Roman" w:cs="Times New Roman"/>
          <w:color w:val="000000" w:themeColor="text1"/>
          <w:sz w:val="23"/>
          <w:szCs w:val="23"/>
          <w:lang w:val="en-US"/>
        </w:rPr>
        <w:t xml:space="preserve">them to </w:t>
      </w:r>
      <w:r w:rsidR="00D33DF0" w:rsidRPr="001855D6">
        <w:rPr>
          <w:rFonts w:ascii="Times New Roman" w:eastAsia="Calibri" w:hAnsi="Times New Roman" w:cs="Times New Roman"/>
          <w:noProof/>
          <w:color w:val="000000" w:themeColor="text1"/>
          <w:sz w:val="23"/>
          <w:szCs w:val="23"/>
          <w:lang w:val="en-US"/>
        </w:rPr>
        <w:t>increas</w:t>
      </w:r>
      <w:r w:rsidR="001855D6">
        <w:rPr>
          <w:rFonts w:ascii="Times New Roman" w:eastAsia="Calibri" w:hAnsi="Times New Roman" w:cs="Times New Roman"/>
          <w:noProof/>
          <w:color w:val="000000" w:themeColor="text1"/>
          <w:sz w:val="23"/>
          <w:szCs w:val="23"/>
          <w:lang w:val="en-US"/>
        </w:rPr>
        <w:t>e</w:t>
      </w:r>
      <w:r w:rsidR="00D33DF0" w:rsidRPr="00983193">
        <w:rPr>
          <w:rFonts w:ascii="Times New Roman" w:eastAsia="Calibri" w:hAnsi="Times New Roman" w:cs="Times New Roman"/>
          <w:color w:val="000000" w:themeColor="text1"/>
          <w:sz w:val="23"/>
          <w:szCs w:val="23"/>
          <w:lang w:val="en-US"/>
        </w:rPr>
        <w:t xml:space="preserve"> their investment in IC as well as encouraging them to better manage </w:t>
      </w:r>
      <w:r w:rsidR="001D30B1">
        <w:rPr>
          <w:rFonts w:ascii="Times New Roman" w:eastAsia="Calibri" w:hAnsi="Times New Roman" w:cs="Times New Roman"/>
          <w:color w:val="000000" w:themeColor="text1"/>
          <w:sz w:val="23"/>
          <w:szCs w:val="23"/>
          <w:lang w:val="en-US"/>
        </w:rPr>
        <w:t xml:space="preserve">their </w:t>
      </w:r>
      <w:r w:rsidR="00D33DF0" w:rsidRPr="00983193">
        <w:rPr>
          <w:rFonts w:ascii="Times New Roman" w:eastAsia="Calibri" w:hAnsi="Times New Roman" w:cs="Times New Roman"/>
          <w:color w:val="000000" w:themeColor="text1"/>
          <w:sz w:val="23"/>
          <w:szCs w:val="23"/>
          <w:lang w:val="en-US"/>
        </w:rPr>
        <w:t xml:space="preserve">IC resources given their </w:t>
      </w:r>
      <w:r w:rsidR="001D30B1">
        <w:rPr>
          <w:rFonts w:ascii="Times New Roman" w:eastAsia="Calibri" w:hAnsi="Times New Roman" w:cs="Times New Roman"/>
          <w:color w:val="000000" w:themeColor="text1"/>
          <w:sz w:val="23"/>
          <w:szCs w:val="23"/>
          <w:lang w:val="en-US"/>
        </w:rPr>
        <w:t>importance to</w:t>
      </w:r>
      <w:r w:rsidR="00D33DF0" w:rsidRPr="00983193">
        <w:rPr>
          <w:rFonts w:ascii="Times New Roman" w:eastAsia="Calibri" w:hAnsi="Times New Roman" w:cs="Times New Roman"/>
          <w:color w:val="000000" w:themeColor="text1"/>
          <w:sz w:val="23"/>
          <w:szCs w:val="23"/>
          <w:lang w:val="en-US"/>
        </w:rPr>
        <w:t xml:space="preserve"> value creation.</w:t>
      </w:r>
    </w:p>
    <w:p w14:paraId="1B75BA62" w14:textId="77777777" w:rsidR="00D33DF0" w:rsidRPr="00983193" w:rsidRDefault="00D33DF0" w:rsidP="00AE6151">
      <w:pPr>
        <w:spacing w:after="0" w:line="240" w:lineRule="auto"/>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lastRenderedPageBreak/>
        <w:t xml:space="preserve"> Moreover, this influence is </w:t>
      </w:r>
      <w:r w:rsidRPr="001855D6">
        <w:rPr>
          <w:rFonts w:ascii="Times New Roman" w:eastAsia="Calibri" w:hAnsi="Times New Roman" w:cs="Times New Roman"/>
          <w:noProof/>
          <w:color w:val="000000" w:themeColor="text1"/>
          <w:sz w:val="23"/>
          <w:szCs w:val="23"/>
          <w:lang w:val="en-US"/>
        </w:rPr>
        <w:t>particular</w:t>
      </w:r>
      <w:r w:rsidR="001D30B1">
        <w:rPr>
          <w:rFonts w:ascii="Times New Roman" w:eastAsia="Calibri" w:hAnsi="Times New Roman" w:cs="Times New Roman"/>
          <w:noProof/>
          <w:color w:val="000000" w:themeColor="text1"/>
          <w:sz w:val="23"/>
          <w:szCs w:val="23"/>
          <w:lang w:val="en-US"/>
        </w:rPr>
        <w:t>ly</w:t>
      </w:r>
      <w:r w:rsidRPr="00983193">
        <w:rPr>
          <w:rFonts w:ascii="Times New Roman" w:eastAsia="Calibri" w:hAnsi="Times New Roman" w:cs="Times New Roman"/>
          <w:color w:val="000000" w:themeColor="text1"/>
          <w:sz w:val="23"/>
          <w:szCs w:val="23"/>
          <w:lang w:val="en-US"/>
        </w:rPr>
        <w:t xml:space="preserve"> present in countries with insider governance systems (Dignam and Galanis, 2009; Goebel, 2015). Italian </w:t>
      </w:r>
      <w:r w:rsidR="001D30B1">
        <w:rPr>
          <w:rFonts w:ascii="Times New Roman" w:eastAsia="Calibri" w:hAnsi="Times New Roman" w:cs="Times New Roman"/>
          <w:color w:val="000000" w:themeColor="text1"/>
          <w:sz w:val="23"/>
          <w:szCs w:val="23"/>
          <w:lang w:val="en-US"/>
        </w:rPr>
        <w:t>firms are</w:t>
      </w:r>
      <w:r w:rsidRPr="00983193">
        <w:rPr>
          <w:rFonts w:ascii="Times New Roman" w:eastAsia="Calibri" w:hAnsi="Times New Roman" w:cs="Times New Roman"/>
          <w:color w:val="000000" w:themeColor="text1"/>
          <w:sz w:val="23"/>
          <w:szCs w:val="23"/>
          <w:lang w:val="en-US"/>
        </w:rPr>
        <w:t xml:space="preserve"> particularly affected by the presence of banks </w:t>
      </w:r>
      <w:r w:rsidR="001D30B1">
        <w:rPr>
          <w:rFonts w:ascii="Times New Roman" w:eastAsia="Calibri" w:hAnsi="Times New Roman" w:cs="Times New Roman"/>
          <w:color w:val="000000" w:themeColor="text1"/>
          <w:sz w:val="23"/>
          <w:szCs w:val="23"/>
          <w:lang w:val="en-US"/>
        </w:rPr>
        <w:t>as key</w:t>
      </w:r>
      <w:r w:rsidRPr="00983193">
        <w:rPr>
          <w:rFonts w:ascii="Times New Roman" w:eastAsia="Calibri" w:hAnsi="Times New Roman" w:cs="Times New Roman"/>
          <w:color w:val="000000" w:themeColor="text1"/>
          <w:sz w:val="23"/>
          <w:szCs w:val="23"/>
          <w:lang w:val="en-US"/>
        </w:rPr>
        <w:t xml:space="preserve"> stakeholders so a positive relationship </w:t>
      </w:r>
      <w:r w:rsidR="001D30B1">
        <w:rPr>
          <w:rFonts w:ascii="Times New Roman" w:eastAsia="Calibri" w:hAnsi="Times New Roman" w:cs="Times New Roman"/>
          <w:color w:val="000000" w:themeColor="text1"/>
          <w:sz w:val="23"/>
          <w:szCs w:val="23"/>
          <w:lang w:val="en-US"/>
        </w:rPr>
        <w:t>between leverage and</w:t>
      </w:r>
      <w:r w:rsidRPr="00983193">
        <w:rPr>
          <w:rFonts w:ascii="Times New Roman" w:eastAsia="Calibri" w:hAnsi="Times New Roman" w:cs="Times New Roman"/>
          <w:color w:val="000000" w:themeColor="text1"/>
          <w:sz w:val="23"/>
          <w:szCs w:val="23"/>
          <w:lang w:val="en-US"/>
        </w:rPr>
        <w:t xml:space="preserve"> IC value is expected. </w:t>
      </w:r>
    </w:p>
    <w:p w14:paraId="0E7BFBD3" w14:textId="77777777" w:rsidR="00D33DF0" w:rsidRPr="00983193" w:rsidRDefault="00751A7D" w:rsidP="00D33DF0">
      <w:pPr>
        <w:spacing w:after="0" w:line="240" w:lineRule="auto"/>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 xml:space="preserve">   </w:t>
      </w:r>
      <w:r w:rsidR="00D33DF0" w:rsidRPr="00983193">
        <w:rPr>
          <w:rFonts w:ascii="Times New Roman" w:eastAsia="Calibri" w:hAnsi="Times New Roman" w:cs="Times New Roman"/>
          <w:color w:val="000000" w:themeColor="text1"/>
          <w:sz w:val="23"/>
          <w:szCs w:val="23"/>
          <w:lang w:val="en-US"/>
        </w:rPr>
        <w:t>Goebel (2015) investigate</w:t>
      </w:r>
      <w:r w:rsidR="001D30B1">
        <w:rPr>
          <w:rFonts w:ascii="Times New Roman" w:eastAsia="Calibri" w:hAnsi="Times New Roman" w:cs="Times New Roman"/>
          <w:color w:val="000000" w:themeColor="text1"/>
          <w:sz w:val="23"/>
          <w:szCs w:val="23"/>
          <w:lang w:val="en-US"/>
        </w:rPr>
        <w:t>s</w:t>
      </w:r>
      <w:r w:rsidR="00D33DF0" w:rsidRPr="00983193">
        <w:rPr>
          <w:rFonts w:ascii="Times New Roman" w:eastAsia="Calibri" w:hAnsi="Times New Roman" w:cs="Times New Roman"/>
          <w:color w:val="000000" w:themeColor="text1"/>
          <w:sz w:val="23"/>
          <w:szCs w:val="23"/>
          <w:lang w:val="en-US"/>
        </w:rPr>
        <w:t xml:space="preserve"> the relationship between leverage and IC value, calculated as LRVTB, </w:t>
      </w:r>
      <w:r w:rsidR="001D30B1">
        <w:rPr>
          <w:rFonts w:ascii="Times New Roman" w:eastAsia="Calibri" w:hAnsi="Times New Roman" w:cs="Times New Roman"/>
          <w:color w:val="000000" w:themeColor="text1"/>
          <w:sz w:val="23"/>
          <w:szCs w:val="23"/>
          <w:lang w:val="en-US"/>
        </w:rPr>
        <w:t>in German firms and finds</w:t>
      </w:r>
      <w:r w:rsidR="001D30B1" w:rsidRPr="00983193">
        <w:rPr>
          <w:rFonts w:ascii="Times New Roman" w:eastAsia="Calibri" w:hAnsi="Times New Roman" w:cs="Times New Roman"/>
          <w:color w:val="000000" w:themeColor="text1"/>
          <w:sz w:val="23"/>
          <w:szCs w:val="23"/>
          <w:lang w:val="en-US"/>
        </w:rPr>
        <w:t xml:space="preserve"> </w:t>
      </w:r>
      <w:r w:rsidR="00D33DF0" w:rsidRPr="00983193">
        <w:rPr>
          <w:rFonts w:ascii="Times New Roman" w:eastAsia="Calibri" w:hAnsi="Times New Roman" w:cs="Times New Roman"/>
          <w:color w:val="000000" w:themeColor="text1"/>
          <w:sz w:val="23"/>
          <w:szCs w:val="23"/>
          <w:lang w:val="en-US"/>
        </w:rPr>
        <w:t xml:space="preserve">a positive relationship. </w:t>
      </w:r>
      <w:r w:rsidR="001D30B1">
        <w:rPr>
          <w:rFonts w:ascii="Times New Roman" w:eastAsia="Calibri" w:hAnsi="Times New Roman" w:cs="Times New Roman"/>
          <w:color w:val="000000" w:themeColor="text1"/>
          <w:sz w:val="23"/>
          <w:szCs w:val="23"/>
          <w:lang w:val="en-US"/>
        </w:rPr>
        <w:t>Further,</w:t>
      </w:r>
      <w:r w:rsidR="001D30B1" w:rsidRPr="00983193">
        <w:rPr>
          <w:rFonts w:ascii="Times New Roman" w:eastAsia="Calibri" w:hAnsi="Times New Roman" w:cs="Times New Roman"/>
          <w:color w:val="000000" w:themeColor="text1"/>
          <w:sz w:val="23"/>
          <w:szCs w:val="23"/>
          <w:lang w:val="en-US"/>
        </w:rPr>
        <w:t xml:space="preserve"> </w:t>
      </w:r>
      <w:r w:rsidR="00D33DF0" w:rsidRPr="000C3C81">
        <w:rPr>
          <w:rFonts w:ascii="Times New Roman" w:eastAsia="Calibri" w:hAnsi="Times New Roman" w:cs="Times New Roman"/>
          <w:color w:val="000000" w:themeColor="text1"/>
          <w:sz w:val="23"/>
          <w:szCs w:val="23"/>
          <w:lang w:val="en-US"/>
        </w:rPr>
        <w:t>Forte</w:t>
      </w:r>
      <w:r w:rsidR="00D33DF0" w:rsidRPr="00983193">
        <w:rPr>
          <w:rFonts w:ascii="Times New Roman" w:eastAsia="Calibri" w:hAnsi="Times New Roman" w:cs="Times New Roman"/>
          <w:color w:val="000000" w:themeColor="text1"/>
          <w:sz w:val="23"/>
          <w:szCs w:val="23"/>
          <w:lang w:val="en-US"/>
        </w:rPr>
        <w:t xml:space="preserve"> et al. (2017), in the Italian context </w:t>
      </w:r>
      <w:r w:rsidR="001D30B1">
        <w:rPr>
          <w:rFonts w:ascii="Times New Roman" w:eastAsia="Calibri" w:hAnsi="Times New Roman" w:cs="Times New Roman"/>
          <w:color w:val="000000" w:themeColor="text1"/>
          <w:sz w:val="23"/>
          <w:szCs w:val="23"/>
          <w:lang w:val="en-US"/>
        </w:rPr>
        <w:t>find</w:t>
      </w:r>
      <w:r w:rsidR="001D30B1" w:rsidRPr="00983193">
        <w:rPr>
          <w:rFonts w:ascii="Times New Roman" w:eastAsia="Calibri" w:hAnsi="Times New Roman" w:cs="Times New Roman"/>
          <w:color w:val="000000" w:themeColor="text1"/>
          <w:sz w:val="23"/>
          <w:szCs w:val="23"/>
          <w:lang w:val="en-US"/>
        </w:rPr>
        <w:t xml:space="preserve"> </w:t>
      </w:r>
      <w:r w:rsidR="00D33DF0" w:rsidRPr="00983193">
        <w:rPr>
          <w:rFonts w:ascii="Times New Roman" w:eastAsia="Calibri" w:hAnsi="Times New Roman" w:cs="Times New Roman"/>
          <w:color w:val="000000" w:themeColor="text1"/>
          <w:sz w:val="23"/>
          <w:szCs w:val="23"/>
          <w:lang w:val="en-US"/>
        </w:rPr>
        <w:t xml:space="preserve">a positive and significant relationship between firm leverage and IC value </w:t>
      </w:r>
      <w:r w:rsidR="001D30B1">
        <w:rPr>
          <w:rFonts w:ascii="Times New Roman" w:eastAsia="Calibri" w:hAnsi="Times New Roman" w:cs="Times New Roman"/>
          <w:color w:val="000000" w:themeColor="text1"/>
          <w:sz w:val="23"/>
          <w:szCs w:val="23"/>
          <w:lang w:val="en-US"/>
        </w:rPr>
        <w:t>measured in terms of</w:t>
      </w:r>
      <w:r w:rsidR="00BA14B0">
        <w:rPr>
          <w:rFonts w:ascii="Times New Roman" w:eastAsia="Calibri" w:hAnsi="Times New Roman" w:cs="Times New Roman"/>
          <w:color w:val="000000" w:themeColor="text1"/>
          <w:sz w:val="23"/>
          <w:szCs w:val="23"/>
          <w:lang w:val="en-US"/>
        </w:rPr>
        <w:t xml:space="preserve"> Mt</w:t>
      </w:r>
      <w:r w:rsidR="00AE7C30" w:rsidRPr="00983193">
        <w:rPr>
          <w:rFonts w:ascii="Times New Roman" w:eastAsia="Calibri" w:hAnsi="Times New Roman" w:cs="Times New Roman"/>
          <w:color w:val="000000" w:themeColor="text1"/>
          <w:sz w:val="23"/>
          <w:szCs w:val="23"/>
          <w:lang w:val="en-US"/>
        </w:rPr>
        <w:t>B</w:t>
      </w:r>
      <w:r w:rsidR="00D33DF0" w:rsidRPr="00983193">
        <w:rPr>
          <w:rFonts w:ascii="Times New Roman" w:eastAsia="Calibri" w:hAnsi="Times New Roman" w:cs="Times New Roman"/>
          <w:color w:val="000000" w:themeColor="text1"/>
          <w:sz w:val="23"/>
          <w:szCs w:val="23"/>
          <w:lang w:val="en-US"/>
        </w:rPr>
        <w:t>.</w:t>
      </w:r>
      <w:r w:rsidR="00530C97" w:rsidRPr="00983193">
        <w:rPr>
          <w:rFonts w:ascii="Times New Roman" w:eastAsia="Calibri" w:hAnsi="Times New Roman" w:cs="Times New Roman"/>
          <w:color w:val="000000" w:themeColor="text1"/>
          <w:sz w:val="23"/>
          <w:szCs w:val="23"/>
          <w:lang w:val="en-US"/>
        </w:rPr>
        <w:t xml:space="preserve"> Thus, </w:t>
      </w:r>
      <w:r w:rsidR="001D30B1">
        <w:rPr>
          <w:rFonts w:ascii="Times New Roman" w:eastAsia="Calibri" w:hAnsi="Times New Roman" w:cs="Times New Roman"/>
          <w:color w:val="000000" w:themeColor="text1"/>
          <w:sz w:val="23"/>
          <w:szCs w:val="23"/>
          <w:lang w:val="en-US"/>
        </w:rPr>
        <w:t>consistent with the extant literature,</w:t>
      </w:r>
      <w:r w:rsidR="00530C97" w:rsidRPr="00983193">
        <w:rPr>
          <w:rFonts w:ascii="Times New Roman" w:eastAsia="Calibri" w:hAnsi="Times New Roman" w:cs="Times New Roman"/>
          <w:color w:val="000000" w:themeColor="text1"/>
          <w:sz w:val="23"/>
          <w:szCs w:val="23"/>
          <w:lang w:val="en-US"/>
        </w:rPr>
        <w:t xml:space="preserve"> a positive </w:t>
      </w:r>
      <w:r w:rsidR="00530C97" w:rsidRPr="001855D6">
        <w:rPr>
          <w:rFonts w:ascii="Times New Roman" w:eastAsia="Calibri" w:hAnsi="Times New Roman" w:cs="Times New Roman"/>
          <w:noProof/>
          <w:color w:val="000000" w:themeColor="text1"/>
          <w:sz w:val="23"/>
          <w:szCs w:val="23"/>
          <w:lang w:val="en-US"/>
        </w:rPr>
        <w:t>relation</w:t>
      </w:r>
      <w:r w:rsidR="001855D6">
        <w:rPr>
          <w:rFonts w:ascii="Times New Roman" w:eastAsia="Calibri" w:hAnsi="Times New Roman" w:cs="Times New Roman"/>
          <w:noProof/>
          <w:color w:val="000000" w:themeColor="text1"/>
          <w:sz w:val="23"/>
          <w:szCs w:val="23"/>
          <w:lang w:val="en-US"/>
        </w:rPr>
        <w:t>ship</w:t>
      </w:r>
      <w:r w:rsidR="001855D6" w:rsidRPr="001855D6">
        <w:rPr>
          <w:rFonts w:ascii="Times New Roman" w:eastAsia="Calibri" w:hAnsi="Times New Roman" w:cs="Times New Roman"/>
          <w:noProof/>
          <w:color w:val="000000" w:themeColor="text1"/>
          <w:sz w:val="23"/>
          <w:szCs w:val="23"/>
          <w:lang w:val="en-US"/>
        </w:rPr>
        <w:t>ship</w:t>
      </w:r>
      <w:r w:rsidR="00530C97" w:rsidRPr="00983193">
        <w:rPr>
          <w:rFonts w:ascii="Times New Roman" w:eastAsia="Calibri" w:hAnsi="Times New Roman" w:cs="Times New Roman"/>
          <w:color w:val="000000" w:themeColor="text1"/>
          <w:sz w:val="23"/>
          <w:szCs w:val="23"/>
          <w:lang w:val="en-US"/>
        </w:rPr>
        <w:t xml:space="preserve"> </w:t>
      </w:r>
      <w:r w:rsidR="001D30B1">
        <w:rPr>
          <w:rFonts w:ascii="Times New Roman" w:eastAsia="Calibri" w:hAnsi="Times New Roman" w:cs="Times New Roman"/>
          <w:color w:val="000000" w:themeColor="text1"/>
          <w:sz w:val="23"/>
          <w:szCs w:val="23"/>
          <w:lang w:val="en-US"/>
        </w:rPr>
        <w:t xml:space="preserve">is expected </w:t>
      </w:r>
      <w:r w:rsidR="00530C97" w:rsidRPr="00983193">
        <w:rPr>
          <w:rFonts w:ascii="Times New Roman" w:eastAsia="Calibri" w:hAnsi="Times New Roman" w:cs="Times New Roman"/>
          <w:color w:val="000000" w:themeColor="text1"/>
          <w:sz w:val="23"/>
          <w:szCs w:val="23"/>
          <w:lang w:val="en-US"/>
        </w:rPr>
        <w:t xml:space="preserve">between </w:t>
      </w:r>
      <w:r w:rsidR="00BA14B0">
        <w:rPr>
          <w:rFonts w:ascii="Times New Roman" w:eastAsia="Calibri" w:hAnsi="Times New Roman" w:cs="Times New Roman"/>
          <w:color w:val="000000" w:themeColor="text1"/>
          <w:sz w:val="23"/>
          <w:szCs w:val="23"/>
          <w:lang w:val="en-US"/>
        </w:rPr>
        <w:t>Mt</w:t>
      </w:r>
      <w:r w:rsidR="00530C97" w:rsidRPr="00983193">
        <w:rPr>
          <w:rFonts w:ascii="Times New Roman" w:eastAsia="Calibri" w:hAnsi="Times New Roman" w:cs="Times New Roman"/>
          <w:color w:val="000000" w:themeColor="text1"/>
          <w:sz w:val="23"/>
          <w:szCs w:val="23"/>
          <w:lang w:val="en-US"/>
        </w:rPr>
        <w:t>B and leverage</w:t>
      </w:r>
      <w:r w:rsidR="001D30B1">
        <w:rPr>
          <w:rFonts w:ascii="Times New Roman" w:eastAsia="Calibri" w:hAnsi="Times New Roman" w:cs="Times New Roman"/>
          <w:color w:val="000000" w:themeColor="text1"/>
          <w:sz w:val="23"/>
          <w:szCs w:val="23"/>
          <w:lang w:val="en-US"/>
        </w:rPr>
        <w:t>:</w:t>
      </w:r>
    </w:p>
    <w:p w14:paraId="4578864C" w14:textId="77777777" w:rsidR="00591D66" w:rsidRPr="00983193" w:rsidRDefault="00591D66" w:rsidP="00930784">
      <w:pPr>
        <w:spacing w:after="0" w:line="240" w:lineRule="auto"/>
        <w:jc w:val="both"/>
        <w:rPr>
          <w:rFonts w:ascii="Times New Roman" w:eastAsia="Calibri" w:hAnsi="Times New Roman" w:cs="Times New Roman"/>
          <w:color w:val="000000" w:themeColor="text1"/>
          <w:sz w:val="23"/>
          <w:szCs w:val="23"/>
          <w:lang w:val="en-US"/>
        </w:rPr>
      </w:pPr>
    </w:p>
    <w:p w14:paraId="3BC4F7BD" w14:textId="77777777" w:rsidR="00591D66" w:rsidRPr="00E56740" w:rsidRDefault="00591D66" w:rsidP="00591D66">
      <w:pPr>
        <w:spacing w:after="0" w:line="240" w:lineRule="auto"/>
        <w:jc w:val="both"/>
        <w:rPr>
          <w:rFonts w:ascii="Times New Roman" w:eastAsia="Calibri" w:hAnsi="Times New Roman" w:cs="Times New Roman"/>
          <w:i/>
          <w:color w:val="000000" w:themeColor="text1"/>
          <w:sz w:val="23"/>
          <w:szCs w:val="23"/>
          <w:lang w:val="en-US"/>
        </w:rPr>
      </w:pPr>
      <w:r w:rsidRPr="00E56740">
        <w:rPr>
          <w:rFonts w:ascii="Times New Roman" w:eastAsia="Calibri" w:hAnsi="Times New Roman" w:cs="Times New Roman"/>
          <w:i/>
          <w:color w:val="000000" w:themeColor="text1"/>
          <w:sz w:val="23"/>
          <w:szCs w:val="23"/>
          <w:lang w:val="en-US"/>
        </w:rPr>
        <w:t>H3a: IC value</w:t>
      </w:r>
      <w:r w:rsidR="001D30B1">
        <w:rPr>
          <w:rFonts w:ascii="Times New Roman" w:eastAsia="Calibri" w:hAnsi="Times New Roman" w:cs="Times New Roman"/>
          <w:i/>
          <w:color w:val="000000" w:themeColor="text1"/>
          <w:sz w:val="23"/>
          <w:szCs w:val="23"/>
          <w:lang w:val="en-US"/>
        </w:rPr>
        <w:t>,</w:t>
      </w:r>
      <w:r w:rsidR="001D30B1" w:rsidRPr="001D30B1">
        <w:rPr>
          <w:rFonts w:ascii="Times New Roman" w:eastAsia="Calibri" w:hAnsi="Times New Roman" w:cs="Times New Roman"/>
          <w:i/>
          <w:color w:val="000000" w:themeColor="text1"/>
          <w:sz w:val="23"/>
          <w:szCs w:val="23"/>
          <w:lang w:val="en-US"/>
        </w:rPr>
        <w:t xml:space="preserve"> </w:t>
      </w:r>
      <w:r w:rsidR="001D30B1">
        <w:rPr>
          <w:rFonts w:ascii="Times New Roman" w:eastAsia="Calibri" w:hAnsi="Times New Roman" w:cs="Times New Roman"/>
          <w:i/>
          <w:color w:val="000000" w:themeColor="text1"/>
          <w:sz w:val="23"/>
          <w:szCs w:val="23"/>
          <w:lang w:val="en-US"/>
        </w:rPr>
        <w:t>measured in terms of</w:t>
      </w:r>
      <w:r w:rsidR="001D30B1" w:rsidRPr="00983193">
        <w:rPr>
          <w:rFonts w:ascii="Times New Roman" w:eastAsia="Calibri" w:hAnsi="Times New Roman" w:cs="Times New Roman"/>
          <w:i/>
          <w:color w:val="000000" w:themeColor="text1"/>
          <w:sz w:val="23"/>
          <w:szCs w:val="23"/>
          <w:lang w:val="en-US"/>
        </w:rPr>
        <w:t xml:space="preserve"> </w:t>
      </w:r>
      <w:r w:rsidR="001D30B1" w:rsidRPr="009946C9">
        <w:rPr>
          <w:rFonts w:ascii="Times New Roman" w:eastAsia="Calibri" w:hAnsi="Times New Roman" w:cs="Times New Roman"/>
          <w:i/>
          <w:noProof/>
          <w:color w:val="000000" w:themeColor="text1"/>
          <w:sz w:val="23"/>
          <w:szCs w:val="23"/>
          <w:lang w:val="en-US"/>
        </w:rPr>
        <w:t>M</w:t>
      </w:r>
      <w:r w:rsidR="00E253D2">
        <w:rPr>
          <w:rFonts w:ascii="Times New Roman" w:eastAsia="Calibri" w:hAnsi="Times New Roman" w:cs="Times New Roman"/>
          <w:i/>
          <w:noProof/>
          <w:color w:val="000000" w:themeColor="text1"/>
          <w:sz w:val="23"/>
          <w:szCs w:val="23"/>
          <w:lang w:val="en-US"/>
        </w:rPr>
        <w:t>t</w:t>
      </w:r>
      <w:r w:rsidR="001D30B1" w:rsidRPr="009946C9">
        <w:rPr>
          <w:rFonts w:ascii="Times New Roman" w:eastAsia="Calibri" w:hAnsi="Times New Roman" w:cs="Times New Roman"/>
          <w:i/>
          <w:noProof/>
          <w:color w:val="000000" w:themeColor="text1"/>
          <w:sz w:val="23"/>
          <w:szCs w:val="23"/>
          <w:lang w:val="en-US"/>
        </w:rPr>
        <w:t>B</w:t>
      </w:r>
      <w:r w:rsidR="001D30B1">
        <w:rPr>
          <w:rFonts w:ascii="Times New Roman" w:eastAsia="Calibri" w:hAnsi="Times New Roman" w:cs="Times New Roman"/>
          <w:i/>
          <w:noProof/>
          <w:color w:val="000000" w:themeColor="text1"/>
          <w:sz w:val="23"/>
          <w:szCs w:val="23"/>
          <w:lang w:val="en-US"/>
        </w:rPr>
        <w:t>,</w:t>
      </w:r>
      <w:r w:rsidR="001D30B1" w:rsidRPr="00983193">
        <w:rPr>
          <w:rFonts w:ascii="Times New Roman" w:eastAsia="Calibri" w:hAnsi="Times New Roman" w:cs="Times New Roman"/>
          <w:i/>
          <w:color w:val="000000" w:themeColor="text1"/>
          <w:sz w:val="23"/>
          <w:szCs w:val="23"/>
          <w:lang w:val="en-US"/>
        </w:rPr>
        <w:t xml:space="preserve"> </w:t>
      </w:r>
      <w:r w:rsidRPr="00E56740">
        <w:rPr>
          <w:rFonts w:ascii="Times New Roman" w:eastAsia="Calibri" w:hAnsi="Times New Roman" w:cs="Times New Roman"/>
          <w:i/>
          <w:color w:val="000000" w:themeColor="text1"/>
          <w:sz w:val="23"/>
          <w:szCs w:val="23"/>
          <w:lang w:val="en-US"/>
        </w:rPr>
        <w:t>is positively associated with firm leverage.</w:t>
      </w:r>
    </w:p>
    <w:p w14:paraId="0E60D73E" w14:textId="77777777" w:rsidR="00591D66" w:rsidRPr="00983193" w:rsidRDefault="00591D66" w:rsidP="00930784">
      <w:pPr>
        <w:spacing w:after="0" w:line="240" w:lineRule="auto"/>
        <w:jc w:val="both"/>
        <w:rPr>
          <w:rFonts w:ascii="Times New Roman" w:eastAsia="Calibri" w:hAnsi="Times New Roman" w:cs="Times New Roman"/>
          <w:color w:val="000000" w:themeColor="text1"/>
          <w:sz w:val="23"/>
          <w:szCs w:val="23"/>
          <w:lang w:val="en-US"/>
        </w:rPr>
      </w:pPr>
    </w:p>
    <w:p w14:paraId="342E273D" w14:textId="77777777" w:rsidR="00D33DF0" w:rsidRPr="00983193" w:rsidRDefault="00751A7D" w:rsidP="00D33DF0">
      <w:pPr>
        <w:spacing w:after="0" w:line="240" w:lineRule="auto"/>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 xml:space="preserve">   </w:t>
      </w:r>
      <w:r w:rsidR="004A1B60" w:rsidRPr="00983193">
        <w:rPr>
          <w:rFonts w:ascii="Times New Roman" w:eastAsia="Calibri" w:hAnsi="Times New Roman" w:cs="Times New Roman"/>
          <w:color w:val="000000" w:themeColor="text1"/>
          <w:sz w:val="23"/>
          <w:szCs w:val="23"/>
          <w:lang w:val="en-US"/>
        </w:rPr>
        <w:t xml:space="preserve">Leverage is the </w:t>
      </w:r>
      <w:r w:rsidR="001D30B1">
        <w:rPr>
          <w:rFonts w:ascii="Times New Roman" w:eastAsia="Calibri" w:hAnsi="Times New Roman" w:cs="Times New Roman"/>
          <w:color w:val="000000" w:themeColor="text1"/>
          <w:sz w:val="23"/>
          <w:szCs w:val="23"/>
          <w:lang w:val="en-US"/>
        </w:rPr>
        <w:t>proportion</w:t>
      </w:r>
      <w:r w:rsidR="001D30B1" w:rsidRPr="00983193">
        <w:rPr>
          <w:rFonts w:ascii="Times New Roman" w:eastAsia="Calibri" w:hAnsi="Times New Roman" w:cs="Times New Roman"/>
          <w:color w:val="000000" w:themeColor="text1"/>
          <w:sz w:val="23"/>
          <w:szCs w:val="23"/>
          <w:lang w:val="en-US"/>
        </w:rPr>
        <w:t xml:space="preserve"> </w:t>
      </w:r>
      <w:r w:rsidR="004A1B60" w:rsidRPr="00983193">
        <w:rPr>
          <w:rFonts w:ascii="Times New Roman" w:eastAsia="Calibri" w:hAnsi="Times New Roman" w:cs="Times New Roman"/>
          <w:color w:val="000000" w:themeColor="text1"/>
          <w:sz w:val="23"/>
          <w:szCs w:val="23"/>
          <w:lang w:val="en-US"/>
        </w:rPr>
        <w:t xml:space="preserve">of the firm’s assets that are financed by debt. Leverage results in interest costs that must be paid by the company. On one hand, leverage can increase </w:t>
      </w:r>
      <w:r w:rsidR="00140F9F">
        <w:rPr>
          <w:rFonts w:ascii="Times New Roman" w:eastAsia="Calibri" w:hAnsi="Times New Roman" w:cs="Times New Roman"/>
          <w:color w:val="000000" w:themeColor="text1"/>
          <w:sz w:val="23"/>
          <w:szCs w:val="23"/>
          <w:lang w:val="en-US"/>
        </w:rPr>
        <w:t xml:space="preserve">the </w:t>
      </w:r>
      <w:r w:rsidR="004A1B60" w:rsidRPr="00983193">
        <w:rPr>
          <w:rFonts w:ascii="Times New Roman" w:eastAsia="Calibri" w:hAnsi="Times New Roman" w:cs="Times New Roman"/>
          <w:color w:val="000000" w:themeColor="text1"/>
          <w:sz w:val="23"/>
          <w:szCs w:val="23"/>
          <w:lang w:val="en-US"/>
        </w:rPr>
        <w:t>firm’s ability to invest in information system</w:t>
      </w:r>
      <w:r w:rsidR="00416A8E">
        <w:rPr>
          <w:rFonts w:ascii="Times New Roman" w:eastAsia="Calibri" w:hAnsi="Times New Roman" w:cs="Times New Roman"/>
          <w:color w:val="000000" w:themeColor="text1"/>
          <w:sz w:val="23"/>
          <w:szCs w:val="23"/>
          <w:lang w:val="en-US"/>
        </w:rPr>
        <w:t>s</w:t>
      </w:r>
      <w:r w:rsidR="004A1B60" w:rsidRPr="00983193">
        <w:rPr>
          <w:rFonts w:ascii="Times New Roman" w:eastAsia="Calibri" w:hAnsi="Times New Roman" w:cs="Times New Roman"/>
          <w:color w:val="000000" w:themeColor="text1"/>
          <w:sz w:val="23"/>
          <w:szCs w:val="23"/>
          <w:lang w:val="en-US"/>
        </w:rPr>
        <w:t xml:space="preserve"> that enhance </w:t>
      </w:r>
      <w:r w:rsidR="00416A8E">
        <w:rPr>
          <w:rFonts w:ascii="Times New Roman" w:eastAsia="Calibri" w:hAnsi="Times New Roman" w:cs="Times New Roman"/>
          <w:color w:val="000000" w:themeColor="text1"/>
          <w:sz w:val="23"/>
          <w:szCs w:val="23"/>
          <w:lang w:val="en-US"/>
        </w:rPr>
        <w:t xml:space="preserve">the </w:t>
      </w:r>
      <w:r w:rsidR="004A1B60" w:rsidRPr="00983193">
        <w:rPr>
          <w:rFonts w:ascii="Times New Roman" w:eastAsia="Calibri" w:hAnsi="Times New Roman" w:cs="Times New Roman"/>
          <w:color w:val="000000" w:themeColor="text1"/>
          <w:sz w:val="23"/>
          <w:szCs w:val="23"/>
          <w:lang w:val="en-US"/>
        </w:rPr>
        <w:t xml:space="preserve">firm’s competitiveness and </w:t>
      </w:r>
      <w:r w:rsidR="00416A8E">
        <w:rPr>
          <w:rFonts w:ascii="Times New Roman" w:eastAsia="Calibri" w:hAnsi="Times New Roman" w:cs="Times New Roman"/>
          <w:color w:val="000000" w:themeColor="text1"/>
          <w:sz w:val="23"/>
          <w:szCs w:val="23"/>
          <w:lang w:val="en-US"/>
        </w:rPr>
        <w:t>performance</w:t>
      </w:r>
      <w:r w:rsidR="004A1B60" w:rsidRPr="00983193">
        <w:rPr>
          <w:rFonts w:ascii="Times New Roman" w:eastAsia="Calibri" w:hAnsi="Times New Roman" w:cs="Times New Roman"/>
          <w:color w:val="000000" w:themeColor="text1"/>
          <w:sz w:val="23"/>
          <w:szCs w:val="23"/>
          <w:lang w:val="en-US"/>
        </w:rPr>
        <w:t xml:space="preserve">. On the other hand, the installments </w:t>
      </w:r>
      <w:r w:rsidR="00416A8E">
        <w:rPr>
          <w:rFonts w:ascii="Times New Roman" w:eastAsia="Calibri" w:hAnsi="Times New Roman" w:cs="Times New Roman"/>
          <w:color w:val="000000" w:themeColor="text1"/>
          <w:sz w:val="23"/>
          <w:szCs w:val="23"/>
          <w:lang w:val="en-US"/>
        </w:rPr>
        <w:t xml:space="preserve">required in terms of </w:t>
      </w:r>
      <w:r w:rsidR="004A1B60" w:rsidRPr="00983193">
        <w:rPr>
          <w:rFonts w:ascii="Times New Roman" w:eastAsia="Calibri" w:hAnsi="Times New Roman" w:cs="Times New Roman"/>
          <w:color w:val="000000" w:themeColor="text1"/>
          <w:sz w:val="23"/>
          <w:szCs w:val="23"/>
          <w:lang w:val="en-US"/>
        </w:rPr>
        <w:t xml:space="preserve">the loan repayment and interest can also limit </w:t>
      </w:r>
      <w:r w:rsidR="00416A8E">
        <w:rPr>
          <w:rFonts w:ascii="Times New Roman" w:eastAsia="Calibri" w:hAnsi="Times New Roman" w:cs="Times New Roman"/>
          <w:color w:val="000000" w:themeColor="text1"/>
          <w:sz w:val="23"/>
          <w:szCs w:val="23"/>
          <w:lang w:val="en-US"/>
        </w:rPr>
        <w:t xml:space="preserve">the </w:t>
      </w:r>
      <w:r w:rsidR="004A1B60" w:rsidRPr="00983193">
        <w:rPr>
          <w:rFonts w:ascii="Times New Roman" w:eastAsia="Calibri" w:hAnsi="Times New Roman" w:cs="Times New Roman"/>
          <w:color w:val="000000" w:themeColor="text1"/>
          <w:sz w:val="23"/>
          <w:szCs w:val="23"/>
          <w:lang w:val="en-US"/>
        </w:rPr>
        <w:t xml:space="preserve">funding </w:t>
      </w:r>
      <w:r w:rsidR="00416A8E">
        <w:rPr>
          <w:rFonts w:ascii="Times New Roman" w:eastAsia="Calibri" w:hAnsi="Times New Roman" w:cs="Times New Roman"/>
          <w:color w:val="000000" w:themeColor="text1"/>
          <w:sz w:val="23"/>
          <w:szCs w:val="23"/>
          <w:lang w:val="en-US"/>
        </w:rPr>
        <w:t xml:space="preserve">available </w:t>
      </w:r>
      <w:r w:rsidR="004A1B60" w:rsidRPr="00983193">
        <w:rPr>
          <w:rFonts w:ascii="Times New Roman" w:eastAsia="Calibri" w:hAnsi="Times New Roman" w:cs="Times New Roman"/>
          <w:color w:val="000000" w:themeColor="text1"/>
          <w:sz w:val="23"/>
          <w:szCs w:val="23"/>
          <w:lang w:val="en-US"/>
        </w:rPr>
        <w:t xml:space="preserve">for human resources. </w:t>
      </w:r>
      <w:r w:rsidR="00416A8E">
        <w:rPr>
          <w:rFonts w:ascii="Times New Roman" w:eastAsia="Calibri" w:hAnsi="Times New Roman" w:cs="Times New Roman"/>
          <w:color w:val="000000" w:themeColor="text1"/>
          <w:sz w:val="23"/>
          <w:szCs w:val="23"/>
          <w:lang w:val="en-US"/>
        </w:rPr>
        <w:t>Further</w:t>
      </w:r>
      <w:r w:rsidR="00930784" w:rsidRPr="00983193">
        <w:rPr>
          <w:rFonts w:ascii="Times New Roman" w:eastAsia="Calibri" w:hAnsi="Times New Roman" w:cs="Times New Roman"/>
          <w:color w:val="000000" w:themeColor="text1"/>
          <w:sz w:val="23"/>
          <w:szCs w:val="23"/>
          <w:lang w:val="en-US"/>
        </w:rPr>
        <w:t xml:space="preserve">, </w:t>
      </w:r>
      <w:r w:rsidR="001B66A4" w:rsidRPr="00983193">
        <w:rPr>
          <w:rFonts w:ascii="Times New Roman" w:eastAsia="Calibri" w:hAnsi="Times New Roman" w:cs="Times New Roman"/>
          <w:color w:val="000000" w:themeColor="text1"/>
          <w:sz w:val="23"/>
          <w:szCs w:val="23"/>
          <w:lang w:val="en-US"/>
        </w:rPr>
        <w:t>l</w:t>
      </w:r>
      <w:r w:rsidR="00930784" w:rsidRPr="00983193">
        <w:rPr>
          <w:rFonts w:ascii="Times New Roman" w:eastAsia="Calibri" w:hAnsi="Times New Roman" w:cs="Times New Roman"/>
          <w:color w:val="000000" w:themeColor="text1"/>
          <w:sz w:val="23"/>
          <w:szCs w:val="23"/>
          <w:lang w:val="en-US"/>
        </w:rPr>
        <w:t xml:space="preserve">everage </w:t>
      </w:r>
      <w:r w:rsidR="00E45741">
        <w:rPr>
          <w:rFonts w:ascii="Times New Roman" w:eastAsia="Calibri" w:hAnsi="Times New Roman" w:cs="Times New Roman"/>
          <w:color w:val="000000" w:themeColor="text1"/>
          <w:sz w:val="23"/>
          <w:szCs w:val="23"/>
          <w:lang w:val="en-US"/>
        </w:rPr>
        <w:t>measures</w:t>
      </w:r>
      <w:r w:rsidR="00E45741" w:rsidRPr="00983193">
        <w:rPr>
          <w:rFonts w:ascii="Times New Roman" w:eastAsia="Calibri" w:hAnsi="Times New Roman" w:cs="Times New Roman"/>
          <w:color w:val="000000" w:themeColor="text1"/>
          <w:sz w:val="23"/>
          <w:szCs w:val="23"/>
          <w:lang w:val="en-US"/>
        </w:rPr>
        <w:t xml:space="preserve"> </w:t>
      </w:r>
      <w:r w:rsidR="00930784" w:rsidRPr="00983193">
        <w:rPr>
          <w:rFonts w:ascii="Times New Roman" w:eastAsia="Calibri" w:hAnsi="Times New Roman" w:cs="Times New Roman"/>
          <w:color w:val="000000" w:themeColor="text1"/>
          <w:sz w:val="23"/>
          <w:szCs w:val="23"/>
          <w:lang w:val="en-US"/>
        </w:rPr>
        <w:t xml:space="preserve">the proportion </w:t>
      </w:r>
      <w:r w:rsidR="00E45741">
        <w:rPr>
          <w:rFonts w:ascii="Times New Roman" w:eastAsia="Calibri" w:hAnsi="Times New Roman" w:cs="Times New Roman"/>
          <w:color w:val="000000" w:themeColor="text1"/>
          <w:sz w:val="23"/>
          <w:szCs w:val="23"/>
          <w:lang w:val="en-US"/>
        </w:rPr>
        <w:t xml:space="preserve">of financing represented by </w:t>
      </w:r>
      <w:r w:rsidR="00930784" w:rsidRPr="00983193">
        <w:rPr>
          <w:rFonts w:ascii="Times New Roman" w:eastAsia="Calibri" w:hAnsi="Times New Roman" w:cs="Times New Roman"/>
          <w:color w:val="000000" w:themeColor="text1"/>
          <w:sz w:val="23"/>
          <w:szCs w:val="23"/>
          <w:lang w:val="en-US"/>
        </w:rPr>
        <w:t xml:space="preserve">debt </w:t>
      </w:r>
      <w:r w:rsidR="00E45741">
        <w:rPr>
          <w:rFonts w:ascii="Times New Roman" w:eastAsia="Calibri" w:hAnsi="Times New Roman" w:cs="Times New Roman"/>
          <w:color w:val="000000" w:themeColor="text1"/>
          <w:sz w:val="23"/>
          <w:szCs w:val="23"/>
          <w:lang w:val="en-US"/>
        </w:rPr>
        <w:t xml:space="preserve">that the company employs </w:t>
      </w:r>
      <w:r w:rsidR="00930784" w:rsidRPr="00983193">
        <w:rPr>
          <w:rFonts w:ascii="Times New Roman" w:eastAsia="Calibri" w:hAnsi="Times New Roman" w:cs="Times New Roman"/>
          <w:color w:val="000000" w:themeColor="text1"/>
          <w:sz w:val="23"/>
          <w:szCs w:val="23"/>
          <w:lang w:val="en-US"/>
        </w:rPr>
        <w:t xml:space="preserve">to finance </w:t>
      </w:r>
      <w:r w:rsidR="00E45741">
        <w:rPr>
          <w:rFonts w:ascii="Times New Roman" w:eastAsia="Calibri" w:hAnsi="Times New Roman" w:cs="Times New Roman"/>
          <w:color w:val="000000" w:themeColor="text1"/>
          <w:sz w:val="23"/>
          <w:szCs w:val="23"/>
          <w:lang w:val="en-US"/>
        </w:rPr>
        <w:t>its</w:t>
      </w:r>
      <w:r w:rsidR="00930784" w:rsidRPr="00983193">
        <w:rPr>
          <w:rFonts w:ascii="Times New Roman" w:eastAsia="Calibri" w:hAnsi="Times New Roman" w:cs="Times New Roman"/>
          <w:color w:val="000000" w:themeColor="text1"/>
          <w:sz w:val="23"/>
          <w:szCs w:val="23"/>
          <w:lang w:val="en-US"/>
        </w:rPr>
        <w:t xml:space="preserve"> investment. The higher the </w:t>
      </w:r>
      <w:r w:rsidR="00E45741">
        <w:rPr>
          <w:rFonts w:ascii="Times New Roman" w:eastAsia="Calibri" w:hAnsi="Times New Roman" w:cs="Times New Roman"/>
          <w:color w:val="000000" w:themeColor="text1"/>
          <w:sz w:val="23"/>
          <w:szCs w:val="23"/>
          <w:lang w:val="en-US"/>
        </w:rPr>
        <w:t>degree</w:t>
      </w:r>
      <w:r w:rsidR="00E45741" w:rsidRPr="00983193">
        <w:rPr>
          <w:rFonts w:ascii="Times New Roman" w:eastAsia="Calibri" w:hAnsi="Times New Roman" w:cs="Times New Roman"/>
          <w:color w:val="000000" w:themeColor="text1"/>
          <w:sz w:val="23"/>
          <w:szCs w:val="23"/>
          <w:lang w:val="en-US"/>
        </w:rPr>
        <w:t xml:space="preserve"> </w:t>
      </w:r>
      <w:r w:rsidR="00930784" w:rsidRPr="00983193">
        <w:rPr>
          <w:rFonts w:ascii="Times New Roman" w:eastAsia="Calibri" w:hAnsi="Times New Roman" w:cs="Times New Roman"/>
          <w:color w:val="000000" w:themeColor="text1"/>
          <w:sz w:val="23"/>
          <w:szCs w:val="23"/>
          <w:lang w:val="en-US"/>
        </w:rPr>
        <w:t xml:space="preserve">of leverage, the </w:t>
      </w:r>
      <w:r w:rsidR="00E45741">
        <w:rPr>
          <w:rFonts w:ascii="Times New Roman" w:eastAsia="Calibri" w:hAnsi="Times New Roman" w:cs="Times New Roman"/>
          <w:color w:val="000000" w:themeColor="text1"/>
          <w:sz w:val="23"/>
          <w:szCs w:val="23"/>
          <w:lang w:val="en-US"/>
        </w:rPr>
        <w:t xml:space="preserve">greater </w:t>
      </w:r>
      <w:r w:rsidR="00930784" w:rsidRPr="00983193">
        <w:rPr>
          <w:rFonts w:ascii="Times New Roman" w:eastAsia="Calibri" w:hAnsi="Times New Roman" w:cs="Times New Roman"/>
          <w:color w:val="000000" w:themeColor="text1"/>
          <w:sz w:val="23"/>
          <w:szCs w:val="23"/>
          <w:lang w:val="en-US"/>
        </w:rPr>
        <w:t xml:space="preserve">the </w:t>
      </w:r>
      <w:r w:rsidR="00E45741">
        <w:rPr>
          <w:rFonts w:ascii="Times New Roman" w:eastAsia="Calibri" w:hAnsi="Times New Roman" w:cs="Times New Roman"/>
          <w:color w:val="000000" w:themeColor="text1"/>
          <w:sz w:val="23"/>
          <w:szCs w:val="23"/>
          <w:lang w:val="en-US"/>
        </w:rPr>
        <w:t xml:space="preserve">financial </w:t>
      </w:r>
      <w:r w:rsidR="00930784" w:rsidRPr="00983193">
        <w:rPr>
          <w:rFonts w:ascii="Times New Roman" w:eastAsia="Calibri" w:hAnsi="Times New Roman" w:cs="Times New Roman"/>
          <w:color w:val="000000" w:themeColor="text1"/>
          <w:sz w:val="23"/>
          <w:szCs w:val="23"/>
          <w:lang w:val="en-US"/>
        </w:rPr>
        <w:t xml:space="preserve">risk that </w:t>
      </w:r>
      <w:r w:rsidR="00E45741">
        <w:rPr>
          <w:rFonts w:ascii="Times New Roman" w:eastAsia="Calibri" w:hAnsi="Times New Roman" w:cs="Times New Roman"/>
          <w:color w:val="000000" w:themeColor="text1"/>
          <w:sz w:val="23"/>
          <w:szCs w:val="23"/>
          <w:lang w:val="en-US"/>
        </w:rPr>
        <w:t>it faces, and in return</w:t>
      </w:r>
      <w:r w:rsidR="00930784" w:rsidRPr="00983193">
        <w:rPr>
          <w:rFonts w:ascii="Times New Roman" w:eastAsia="Calibri" w:hAnsi="Times New Roman" w:cs="Times New Roman"/>
          <w:color w:val="000000" w:themeColor="text1"/>
          <w:sz w:val="23"/>
          <w:szCs w:val="23"/>
          <w:lang w:val="en-US"/>
        </w:rPr>
        <w:t xml:space="preserve"> investors will ask </w:t>
      </w:r>
      <w:r w:rsidR="00E45741">
        <w:rPr>
          <w:rFonts w:ascii="Times New Roman" w:eastAsia="Calibri" w:hAnsi="Times New Roman" w:cs="Times New Roman"/>
          <w:color w:val="000000" w:themeColor="text1"/>
          <w:sz w:val="23"/>
          <w:szCs w:val="23"/>
          <w:lang w:val="en-US"/>
        </w:rPr>
        <w:t>for greater</w:t>
      </w:r>
      <w:r w:rsidR="00930784" w:rsidRPr="00983193">
        <w:rPr>
          <w:rFonts w:ascii="Times New Roman" w:eastAsia="Calibri" w:hAnsi="Times New Roman" w:cs="Times New Roman"/>
          <w:color w:val="000000" w:themeColor="text1"/>
          <w:sz w:val="23"/>
          <w:szCs w:val="23"/>
          <w:lang w:val="en-US"/>
        </w:rPr>
        <w:t xml:space="preserve"> profit</w:t>
      </w:r>
      <w:r w:rsidR="00E45741">
        <w:rPr>
          <w:rFonts w:ascii="Times New Roman" w:eastAsia="Calibri" w:hAnsi="Times New Roman" w:cs="Times New Roman"/>
          <w:color w:val="000000" w:themeColor="text1"/>
          <w:sz w:val="23"/>
          <w:szCs w:val="23"/>
          <w:lang w:val="en-US"/>
        </w:rPr>
        <w:t>s to compensate</w:t>
      </w:r>
      <w:r w:rsidR="00930784" w:rsidRPr="00983193">
        <w:rPr>
          <w:rFonts w:ascii="Times New Roman" w:eastAsia="Calibri" w:hAnsi="Times New Roman" w:cs="Times New Roman"/>
          <w:color w:val="000000" w:themeColor="text1"/>
          <w:sz w:val="23"/>
          <w:szCs w:val="23"/>
          <w:lang w:val="en-US"/>
        </w:rPr>
        <w:t xml:space="preserve"> (</w:t>
      </w:r>
      <w:r w:rsidR="00930784" w:rsidRPr="0005246B">
        <w:rPr>
          <w:rFonts w:ascii="Times New Roman" w:eastAsia="Calibri" w:hAnsi="Times New Roman" w:cs="Times New Roman"/>
          <w:color w:val="000000" w:themeColor="text1"/>
          <w:sz w:val="23"/>
          <w:szCs w:val="23"/>
          <w:lang w:val="en-US"/>
        </w:rPr>
        <w:t>Suhermin</w:t>
      </w:r>
      <w:r w:rsidR="00930784" w:rsidRPr="00983193">
        <w:rPr>
          <w:rFonts w:ascii="Times New Roman" w:eastAsia="Calibri" w:hAnsi="Times New Roman" w:cs="Times New Roman"/>
          <w:color w:val="000000" w:themeColor="text1"/>
          <w:sz w:val="23"/>
          <w:szCs w:val="23"/>
          <w:lang w:val="en-US"/>
        </w:rPr>
        <w:t>, 2014).</w:t>
      </w:r>
      <w:r w:rsidR="001B66A4" w:rsidRPr="00983193">
        <w:rPr>
          <w:rFonts w:ascii="Times New Roman" w:eastAsia="Calibri" w:hAnsi="Times New Roman" w:cs="Times New Roman"/>
          <w:color w:val="000000" w:themeColor="text1"/>
          <w:sz w:val="23"/>
          <w:szCs w:val="23"/>
          <w:lang w:val="en-US"/>
        </w:rPr>
        <w:t xml:space="preserve"> </w:t>
      </w:r>
      <w:r w:rsidR="00E45741">
        <w:rPr>
          <w:rFonts w:ascii="Times New Roman" w:eastAsia="Calibri" w:hAnsi="Times New Roman" w:cs="Times New Roman"/>
          <w:color w:val="000000" w:themeColor="text1"/>
          <w:sz w:val="23"/>
          <w:szCs w:val="23"/>
          <w:lang w:val="en-US"/>
        </w:rPr>
        <w:t>To</w:t>
      </w:r>
      <w:r w:rsidR="001B66A4" w:rsidRPr="00983193">
        <w:rPr>
          <w:rFonts w:ascii="Times New Roman" w:eastAsia="Calibri" w:hAnsi="Times New Roman" w:cs="Times New Roman"/>
          <w:color w:val="000000" w:themeColor="text1"/>
          <w:sz w:val="23"/>
          <w:szCs w:val="23"/>
          <w:lang w:val="en-US"/>
        </w:rPr>
        <w:t xml:space="preserve"> </w:t>
      </w:r>
      <w:r w:rsidR="004A08F7" w:rsidRPr="00983193">
        <w:rPr>
          <w:rFonts w:ascii="Times New Roman" w:eastAsia="Calibri" w:hAnsi="Times New Roman" w:cs="Times New Roman"/>
          <w:color w:val="000000" w:themeColor="text1"/>
          <w:sz w:val="23"/>
          <w:szCs w:val="23"/>
          <w:lang w:val="en-US"/>
        </w:rPr>
        <w:t>the authors</w:t>
      </w:r>
      <w:r w:rsidR="001B66A4" w:rsidRPr="00983193">
        <w:rPr>
          <w:rFonts w:ascii="Times New Roman" w:eastAsia="Calibri" w:hAnsi="Times New Roman" w:cs="Times New Roman"/>
          <w:color w:val="000000" w:themeColor="text1"/>
          <w:sz w:val="23"/>
          <w:szCs w:val="23"/>
          <w:lang w:val="en-US"/>
        </w:rPr>
        <w:t xml:space="preserve"> best </w:t>
      </w:r>
      <w:r w:rsidR="00513A29" w:rsidRPr="00983193">
        <w:rPr>
          <w:rFonts w:ascii="Times New Roman" w:eastAsia="Calibri" w:hAnsi="Times New Roman" w:cs="Times New Roman"/>
          <w:color w:val="000000" w:themeColor="text1"/>
          <w:sz w:val="23"/>
          <w:szCs w:val="23"/>
          <w:lang w:val="en-US"/>
        </w:rPr>
        <w:t>knowledge,</w:t>
      </w:r>
      <w:r w:rsidR="001B66A4" w:rsidRPr="00983193">
        <w:rPr>
          <w:rFonts w:ascii="Times New Roman" w:eastAsia="Calibri" w:hAnsi="Times New Roman" w:cs="Times New Roman"/>
          <w:color w:val="000000" w:themeColor="text1"/>
          <w:sz w:val="23"/>
          <w:szCs w:val="23"/>
          <w:lang w:val="en-US"/>
        </w:rPr>
        <w:t xml:space="preserve"> </w:t>
      </w:r>
      <w:r w:rsidR="00E45741">
        <w:rPr>
          <w:rFonts w:ascii="Times New Roman" w:eastAsia="Calibri" w:hAnsi="Times New Roman" w:cs="Times New Roman"/>
          <w:color w:val="000000" w:themeColor="text1"/>
          <w:sz w:val="23"/>
          <w:szCs w:val="23"/>
          <w:lang w:val="en-US"/>
        </w:rPr>
        <w:t>there are no studies that</w:t>
      </w:r>
      <w:r w:rsidR="001B66A4" w:rsidRPr="00983193">
        <w:rPr>
          <w:rFonts w:ascii="Times New Roman" w:eastAsia="Calibri" w:hAnsi="Times New Roman" w:cs="Times New Roman"/>
          <w:color w:val="000000" w:themeColor="text1"/>
          <w:sz w:val="23"/>
          <w:szCs w:val="23"/>
          <w:lang w:val="en-US"/>
        </w:rPr>
        <w:t xml:space="preserve"> investigat</w:t>
      </w:r>
      <w:r w:rsidR="00E45741">
        <w:rPr>
          <w:rFonts w:ascii="Times New Roman" w:eastAsia="Calibri" w:hAnsi="Times New Roman" w:cs="Times New Roman"/>
          <w:color w:val="000000" w:themeColor="text1"/>
          <w:sz w:val="23"/>
          <w:szCs w:val="23"/>
          <w:lang w:val="en-US"/>
        </w:rPr>
        <w:t>e</w:t>
      </w:r>
      <w:r w:rsidR="001B66A4" w:rsidRPr="00983193">
        <w:rPr>
          <w:rFonts w:ascii="Times New Roman" w:eastAsia="Calibri" w:hAnsi="Times New Roman" w:cs="Times New Roman"/>
          <w:color w:val="000000" w:themeColor="text1"/>
          <w:sz w:val="23"/>
          <w:szCs w:val="23"/>
          <w:lang w:val="en-US"/>
        </w:rPr>
        <w:t xml:space="preserve"> the effect of leverage on VAIC as </w:t>
      </w:r>
      <w:r w:rsidR="00E45741">
        <w:rPr>
          <w:rFonts w:ascii="Times New Roman" w:eastAsia="Calibri" w:hAnsi="Times New Roman" w:cs="Times New Roman"/>
          <w:color w:val="000000" w:themeColor="text1"/>
          <w:sz w:val="23"/>
          <w:szCs w:val="23"/>
          <w:lang w:val="en-US"/>
        </w:rPr>
        <w:t xml:space="preserve">a </w:t>
      </w:r>
      <w:r w:rsidR="001B66A4" w:rsidRPr="001855D6">
        <w:rPr>
          <w:rFonts w:ascii="Times New Roman" w:eastAsia="Calibri" w:hAnsi="Times New Roman" w:cs="Times New Roman"/>
          <w:noProof/>
          <w:color w:val="000000" w:themeColor="text1"/>
          <w:sz w:val="23"/>
          <w:szCs w:val="23"/>
          <w:lang w:val="en-US"/>
        </w:rPr>
        <w:t>proxy</w:t>
      </w:r>
      <w:r w:rsidR="001B66A4" w:rsidRPr="00983193">
        <w:rPr>
          <w:rFonts w:ascii="Times New Roman" w:eastAsia="Calibri" w:hAnsi="Times New Roman" w:cs="Times New Roman"/>
          <w:color w:val="000000" w:themeColor="text1"/>
          <w:sz w:val="23"/>
          <w:szCs w:val="23"/>
          <w:lang w:val="en-US"/>
        </w:rPr>
        <w:t xml:space="preserve"> </w:t>
      </w:r>
      <w:r w:rsidR="00E45741">
        <w:rPr>
          <w:rFonts w:ascii="Times New Roman" w:eastAsia="Calibri" w:hAnsi="Times New Roman" w:cs="Times New Roman"/>
          <w:color w:val="000000" w:themeColor="text1"/>
          <w:sz w:val="23"/>
          <w:szCs w:val="23"/>
          <w:lang w:val="en-US"/>
        </w:rPr>
        <w:t>for</w:t>
      </w:r>
      <w:r w:rsidR="001B66A4" w:rsidRPr="00983193">
        <w:rPr>
          <w:rFonts w:ascii="Times New Roman" w:eastAsia="Calibri" w:hAnsi="Times New Roman" w:cs="Times New Roman"/>
          <w:color w:val="000000" w:themeColor="text1"/>
          <w:sz w:val="23"/>
          <w:szCs w:val="23"/>
          <w:lang w:val="en-US"/>
        </w:rPr>
        <w:t xml:space="preserve"> </w:t>
      </w:r>
      <w:r w:rsidR="00E56740">
        <w:rPr>
          <w:rFonts w:ascii="Times New Roman" w:eastAsia="Calibri" w:hAnsi="Times New Roman" w:cs="Times New Roman"/>
          <w:color w:val="000000" w:themeColor="text1"/>
          <w:sz w:val="23"/>
          <w:szCs w:val="23"/>
          <w:lang w:val="en-US"/>
        </w:rPr>
        <w:t>IC</w:t>
      </w:r>
      <w:r w:rsidR="00C91650" w:rsidRPr="00983193">
        <w:rPr>
          <w:rFonts w:ascii="Times New Roman" w:eastAsia="Calibri" w:hAnsi="Times New Roman" w:cs="Times New Roman"/>
          <w:color w:val="000000" w:themeColor="text1"/>
          <w:sz w:val="23"/>
          <w:szCs w:val="23"/>
          <w:lang w:val="en-US"/>
        </w:rPr>
        <w:t xml:space="preserve"> </w:t>
      </w:r>
      <w:r w:rsidR="00E45741">
        <w:rPr>
          <w:rFonts w:ascii="Times New Roman" w:eastAsia="Calibri" w:hAnsi="Times New Roman" w:cs="Times New Roman"/>
          <w:color w:val="000000" w:themeColor="text1"/>
          <w:sz w:val="23"/>
          <w:szCs w:val="23"/>
          <w:lang w:val="en-US"/>
        </w:rPr>
        <w:t>as the</w:t>
      </w:r>
      <w:r w:rsidR="00E45741" w:rsidRPr="00983193">
        <w:rPr>
          <w:rFonts w:ascii="Times New Roman" w:eastAsia="Calibri" w:hAnsi="Times New Roman" w:cs="Times New Roman"/>
          <w:color w:val="000000" w:themeColor="text1"/>
          <w:sz w:val="23"/>
          <w:szCs w:val="23"/>
          <w:lang w:val="en-US"/>
        </w:rPr>
        <w:t xml:space="preserve"> </w:t>
      </w:r>
      <w:r w:rsidR="00C91650" w:rsidRPr="00983193">
        <w:rPr>
          <w:rFonts w:ascii="Times New Roman" w:eastAsia="Calibri" w:hAnsi="Times New Roman" w:cs="Times New Roman"/>
          <w:color w:val="000000" w:themeColor="text1"/>
          <w:sz w:val="23"/>
          <w:szCs w:val="23"/>
          <w:lang w:val="en-US"/>
        </w:rPr>
        <w:t xml:space="preserve">prior literature </w:t>
      </w:r>
      <w:r w:rsidR="00513A29" w:rsidRPr="00983193">
        <w:rPr>
          <w:rFonts w:ascii="Times New Roman" w:eastAsia="Calibri" w:hAnsi="Times New Roman" w:cs="Times New Roman"/>
          <w:color w:val="000000" w:themeColor="text1"/>
          <w:sz w:val="23"/>
          <w:szCs w:val="23"/>
          <w:lang w:val="en-US"/>
        </w:rPr>
        <w:t xml:space="preserve">mainly </w:t>
      </w:r>
      <w:r w:rsidR="00E45741">
        <w:rPr>
          <w:rFonts w:ascii="Times New Roman" w:eastAsia="Calibri" w:hAnsi="Times New Roman" w:cs="Times New Roman"/>
          <w:color w:val="000000" w:themeColor="text1"/>
          <w:sz w:val="23"/>
          <w:szCs w:val="23"/>
          <w:lang w:val="en-US"/>
        </w:rPr>
        <w:t>specifies</w:t>
      </w:r>
      <w:r w:rsidR="00513A29" w:rsidRPr="00983193">
        <w:rPr>
          <w:rFonts w:ascii="Times New Roman" w:eastAsia="Calibri" w:hAnsi="Times New Roman" w:cs="Times New Roman"/>
          <w:color w:val="000000" w:themeColor="text1"/>
          <w:sz w:val="23"/>
          <w:szCs w:val="23"/>
          <w:lang w:val="en-US"/>
        </w:rPr>
        <w:t xml:space="preserve"> </w:t>
      </w:r>
      <w:r w:rsidR="00C91650" w:rsidRPr="00983193">
        <w:rPr>
          <w:rFonts w:ascii="Times New Roman" w:eastAsia="Calibri" w:hAnsi="Times New Roman" w:cs="Times New Roman"/>
          <w:color w:val="000000" w:themeColor="text1"/>
          <w:sz w:val="23"/>
          <w:szCs w:val="23"/>
          <w:lang w:val="en-US"/>
        </w:rPr>
        <w:t>VAIC as</w:t>
      </w:r>
      <w:r w:rsidR="001855D6">
        <w:rPr>
          <w:rFonts w:ascii="Times New Roman" w:eastAsia="Calibri" w:hAnsi="Times New Roman" w:cs="Times New Roman"/>
          <w:color w:val="000000" w:themeColor="text1"/>
          <w:sz w:val="23"/>
          <w:szCs w:val="23"/>
          <w:lang w:val="en-US"/>
        </w:rPr>
        <w:t xml:space="preserve"> </w:t>
      </w:r>
      <w:r w:rsidR="00E45741">
        <w:rPr>
          <w:rFonts w:ascii="Times New Roman" w:eastAsia="Calibri" w:hAnsi="Times New Roman" w:cs="Times New Roman"/>
          <w:color w:val="000000" w:themeColor="text1"/>
          <w:sz w:val="23"/>
          <w:szCs w:val="23"/>
          <w:lang w:val="en-US"/>
        </w:rPr>
        <w:t>an</w:t>
      </w:r>
      <w:r w:rsidR="00E45741" w:rsidRPr="00983193">
        <w:rPr>
          <w:rFonts w:ascii="Times New Roman" w:eastAsia="Calibri" w:hAnsi="Times New Roman" w:cs="Times New Roman"/>
          <w:color w:val="000000" w:themeColor="text1"/>
          <w:sz w:val="23"/>
          <w:szCs w:val="23"/>
          <w:lang w:val="en-US"/>
        </w:rPr>
        <w:t xml:space="preserve"> </w:t>
      </w:r>
      <w:r w:rsidR="00C91650" w:rsidRPr="001855D6">
        <w:rPr>
          <w:rFonts w:ascii="Times New Roman" w:eastAsia="Calibri" w:hAnsi="Times New Roman" w:cs="Times New Roman"/>
          <w:noProof/>
          <w:color w:val="000000" w:themeColor="text1"/>
          <w:sz w:val="23"/>
          <w:szCs w:val="23"/>
          <w:lang w:val="en-US"/>
        </w:rPr>
        <w:t>independent</w:t>
      </w:r>
      <w:r w:rsidR="00C91650" w:rsidRPr="00983193">
        <w:rPr>
          <w:rFonts w:ascii="Times New Roman" w:eastAsia="Calibri" w:hAnsi="Times New Roman" w:cs="Times New Roman"/>
          <w:color w:val="000000" w:themeColor="text1"/>
          <w:sz w:val="23"/>
          <w:szCs w:val="23"/>
          <w:lang w:val="en-US"/>
        </w:rPr>
        <w:t xml:space="preserve"> variable</w:t>
      </w:r>
      <w:r w:rsidR="00E45741">
        <w:rPr>
          <w:rFonts w:ascii="Times New Roman" w:eastAsia="Calibri" w:hAnsi="Times New Roman" w:cs="Times New Roman"/>
          <w:color w:val="000000" w:themeColor="text1"/>
          <w:sz w:val="23"/>
          <w:szCs w:val="23"/>
          <w:lang w:val="en-US"/>
        </w:rPr>
        <w:t xml:space="preserve"> in empirical studies</w:t>
      </w:r>
      <w:r w:rsidR="00F81BCF">
        <w:rPr>
          <w:rFonts w:ascii="Times New Roman" w:eastAsia="Calibri" w:hAnsi="Times New Roman" w:cs="Times New Roman"/>
          <w:color w:val="000000" w:themeColor="text1"/>
          <w:sz w:val="23"/>
          <w:szCs w:val="23"/>
          <w:lang w:val="en-US"/>
        </w:rPr>
        <w:t>.</w:t>
      </w:r>
      <w:r w:rsidR="00BF3B37" w:rsidRPr="00983193">
        <w:rPr>
          <w:rFonts w:ascii="Times New Roman" w:eastAsia="Calibri" w:hAnsi="Times New Roman" w:cs="Times New Roman"/>
          <w:color w:val="000000" w:themeColor="text1"/>
          <w:sz w:val="23"/>
          <w:szCs w:val="23"/>
          <w:lang w:val="en-US"/>
        </w:rPr>
        <w:t xml:space="preserve"> </w:t>
      </w:r>
      <w:r w:rsidR="00E45741">
        <w:rPr>
          <w:rFonts w:ascii="Times New Roman" w:eastAsia="Calibri" w:hAnsi="Times New Roman" w:cs="Times New Roman"/>
          <w:color w:val="000000" w:themeColor="text1"/>
          <w:sz w:val="23"/>
          <w:szCs w:val="23"/>
          <w:lang w:val="en-US"/>
        </w:rPr>
        <w:t>We might reasonably expect</w:t>
      </w:r>
      <w:r w:rsidR="00BF3B37" w:rsidRPr="00983193">
        <w:rPr>
          <w:rFonts w:ascii="Times New Roman" w:eastAsia="Calibri" w:hAnsi="Times New Roman" w:cs="Times New Roman"/>
          <w:color w:val="000000" w:themeColor="text1"/>
          <w:sz w:val="23"/>
          <w:szCs w:val="23"/>
          <w:lang w:val="en-US"/>
        </w:rPr>
        <w:t xml:space="preserve"> a negative </w:t>
      </w:r>
      <w:r w:rsidR="00E45741">
        <w:rPr>
          <w:rFonts w:ascii="Times New Roman" w:eastAsia="Calibri" w:hAnsi="Times New Roman" w:cs="Times New Roman"/>
          <w:color w:val="000000" w:themeColor="text1"/>
          <w:sz w:val="23"/>
          <w:szCs w:val="23"/>
          <w:lang w:val="en-US"/>
        </w:rPr>
        <w:t>relation between leverage and VAIC</w:t>
      </w:r>
      <w:r w:rsidR="00E45741" w:rsidRPr="00983193">
        <w:rPr>
          <w:rFonts w:ascii="Times New Roman" w:eastAsia="Calibri" w:hAnsi="Times New Roman" w:cs="Times New Roman"/>
          <w:color w:val="000000" w:themeColor="text1"/>
          <w:sz w:val="23"/>
          <w:szCs w:val="23"/>
          <w:lang w:val="en-US"/>
        </w:rPr>
        <w:t xml:space="preserve"> </w:t>
      </w:r>
      <w:r w:rsidR="00BF3B37" w:rsidRPr="00983193">
        <w:rPr>
          <w:rFonts w:ascii="Times New Roman" w:eastAsia="Calibri" w:hAnsi="Times New Roman" w:cs="Times New Roman"/>
          <w:color w:val="000000" w:themeColor="text1"/>
          <w:sz w:val="23"/>
          <w:szCs w:val="23"/>
          <w:lang w:val="en-US"/>
        </w:rPr>
        <w:t>as leverage impl</w:t>
      </w:r>
      <w:r w:rsidR="00E45741">
        <w:rPr>
          <w:rFonts w:ascii="Times New Roman" w:eastAsia="Calibri" w:hAnsi="Times New Roman" w:cs="Times New Roman"/>
          <w:color w:val="000000" w:themeColor="text1"/>
          <w:sz w:val="23"/>
          <w:szCs w:val="23"/>
          <w:lang w:val="en-US"/>
        </w:rPr>
        <w:t xml:space="preserve">ies </w:t>
      </w:r>
      <w:r w:rsidR="00C71564" w:rsidRPr="00983193">
        <w:rPr>
          <w:rFonts w:ascii="Times New Roman" w:eastAsia="Calibri" w:hAnsi="Times New Roman" w:cs="Times New Roman"/>
          <w:color w:val="000000" w:themeColor="text1"/>
          <w:sz w:val="23"/>
          <w:szCs w:val="23"/>
          <w:lang w:val="en-US"/>
        </w:rPr>
        <w:t xml:space="preserve">an increased use of capital that, given </w:t>
      </w:r>
      <w:r w:rsidR="00E45741">
        <w:rPr>
          <w:rFonts w:ascii="Times New Roman" w:eastAsia="Calibri" w:hAnsi="Times New Roman" w:cs="Times New Roman"/>
          <w:color w:val="000000" w:themeColor="text1"/>
          <w:sz w:val="23"/>
          <w:szCs w:val="23"/>
          <w:lang w:val="en-US"/>
        </w:rPr>
        <w:t xml:space="preserve">a </w:t>
      </w:r>
      <w:r w:rsidR="00C71564" w:rsidRPr="00983193">
        <w:rPr>
          <w:rFonts w:ascii="Times New Roman" w:eastAsia="Calibri" w:hAnsi="Times New Roman" w:cs="Times New Roman"/>
          <w:color w:val="000000" w:themeColor="text1"/>
          <w:sz w:val="23"/>
          <w:szCs w:val="23"/>
          <w:lang w:val="en-US"/>
        </w:rPr>
        <w:t xml:space="preserve">constant the level of value creation, </w:t>
      </w:r>
      <w:r w:rsidR="00E45741">
        <w:rPr>
          <w:rFonts w:ascii="Times New Roman" w:eastAsia="Calibri" w:hAnsi="Times New Roman" w:cs="Times New Roman"/>
          <w:color w:val="000000" w:themeColor="text1"/>
          <w:sz w:val="23"/>
          <w:szCs w:val="23"/>
          <w:lang w:val="en-US"/>
        </w:rPr>
        <w:t>should</w:t>
      </w:r>
      <w:r w:rsidR="00E45741" w:rsidRPr="00983193">
        <w:rPr>
          <w:rFonts w:ascii="Times New Roman" w:eastAsia="Calibri" w:hAnsi="Times New Roman" w:cs="Times New Roman"/>
          <w:color w:val="000000" w:themeColor="text1"/>
          <w:sz w:val="23"/>
          <w:szCs w:val="23"/>
          <w:lang w:val="en-US"/>
        </w:rPr>
        <w:t xml:space="preserve"> </w:t>
      </w:r>
      <w:r w:rsidR="00C71564" w:rsidRPr="00983193">
        <w:rPr>
          <w:rFonts w:ascii="Times New Roman" w:eastAsia="Calibri" w:hAnsi="Times New Roman" w:cs="Times New Roman"/>
          <w:color w:val="000000" w:themeColor="text1"/>
          <w:sz w:val="23"/>
          <w:szCs w:val="23"/>
          <w:lang w:val="en-US"/>
        </w:rPr>
        <w:t xml:space="preserve">reduce </w:t>
      </w:r>
      <w:r w:rsidR="00E45741">
        <w:rPr>
          <w:rFonts w:ascii="Times New Roman" w:eastAsia="Calibri" w:hAnsi="Times New Roman" w:cs="Times New Roman"/>
          <w:color w:val="000000" w:themeColor="text1"/>
          <w:sz w:val="23"/>
          <w:szCs w:val="23"/>
          <w:lang w:val="en-US"/>
        </w:rPr>
        <w:t>the</w:t>
      </w:r>
      <w:r w:rsidR="00E45741" w:rsidRPr="00983193">
        <w:rPr>
          <w:rFonts w:ascii="Times New Roman" w:eastAsia="Calibri" w:hAnsi="Times New Roman" w:cs="Times New Roman"/>
          <w:color w:val="000000" w:themeColor="text1"/>
          <w:sz w:val="23"/>
          <w:szCs w:val="23"/>
          <w:lang w:val="en-US"/>
        </w:rPr>
        <w:t xml:space="preserve"> </w:t>
      </w:r>
      <w:r w:rsidR="00C71564" w:rsidRPr="00983193">
        <w:rPr>
          <w:rFonts w:ascii="Times New Roman" w:eastAsia="Calibri" w:hAnsi="Times New Roman" w:cs="Times New Roman"/>
          <w:color w:val="000000" w:themeColor="text1"/>
          <w:sz w:val="23"/>
          <w:szCs w:val="23"/>
          <w:lang w:val="en-US"/>
        </w:rPr>
        <w:t xml:space="preserve">efficiency indicators </w:t>
      </w:r>
      <w:r w:rsidR="00E45741">
        <w:rPr>
          <w:rFonts w:ascii="Times New Roman" w:eastAsia="Calibri" w:hAnsi="Times New Roman" w:cs="Times New Roman"/>
          <w:color w:val="000000" w:themeColor="text1"/>
          <w:sz w:val="23"/>
          <w:szCs w:val="23"/>
          <w:lang w:val="en-US"/>
        </w:rPr>
        <w:t xml:space="preserve">that </w:t>
      </w:r>
      <w:r w:rsidR="00C71564" w:rsidRPr="00983193">
        <w:rPr>
          <w:rFonts w:ascii="Times New Roman" w:eastAsia="Calibri" w:hAnsi="Times New Roman" w:cs="Times New Roman"/>
          <w:color w:val="000000" w:themeColor="text1"/>
          <w:sz w:val="23"/>
          <w:szCs w:val="23"/>
          <w:lang w:val="en-US"/>
        </w:rPr>
        <w:t>constitut</w:t>
      </w:r>
      <w:r w:rsidR="00E45741">
        <w:rPr>
          <w:rFonts w:ascii="Times New Roman" w:eastAsia="Calibri" w:hAnsi="Times New Roman" w:cs="Times New Roman"/>
          <w:color w:val="000000" w:themeColor="text1"/>
          <w:sz w:val="23"/>
          <w:szCs w:val="23"/>
          <w:lang w:val="en-US"/>
        </w:rPr>
        <w:t>e</w:t>
      </w:r>
      <w:r w:rsidR="00C71564" w:rsidRPr="00983193">
        <w:rPr>
          <w:rFonts w:ascii="Times New Roman" w:eastAsia="Calibri" w:hAnsi="Times New Roman" w:cs="Times New Roman"/>
          <w:color w:val="000000" w:themeColor="text1"/>
          <w:sz w:val="23"/>
          <w:szCs w:val="23"/>
          <w:lang w:val="en-US"/>
        </w:rPr>
        <w:t xml:space="preserve"> VAIC</w:t>
      </w:r>
      <w:r w:rsidR="00B717DD" w:rsidRPr="00983193">
        <w:rPr>
          <w:rFonts w:ascii="Times New Roman" w:eastAsia="Calibri" w:hAnsi="Times New Roman" w:cs="Times New Roman"/>
          <w:color w:val="000000" w:themeColor="text1"/>
          <w:sz w:val="23"/>
          <w:szCs w:val="23"/>
          <w:lang w:val="en-US"/>
        </w:rPr>
        <w:t>.</w:t>
      </w:r>
      <w:r w:rsidR="0063701A" w:rsidRPr="00983193">
        <w:rPr>
          <w:rFonts w:ascii="Times New Roman" w:eastAsia="Calibri" w:hAnsi="Times New Roman" w:cs="Times New Roman"/>
          <w:color w:val="000000" w:themeColor="text1"/>
          <w:sz w:val="23"/>
          <w:szCs w:val="23"/>
          <w:lang w:val="en-US"/>
        </w:rPr>
        <w:t xml:space="preserve"> </w:t>
      </w:r>
      <w:r w:rsidR="00E87608">
        <w:rPr>
          <w:rFonts w:ascii="Times New Roman" w:eastAsia="Calibri" w:hAnsi="Times New Roman" w:cs="Times New Roman"/>
          <w:color w:val="000000" w:themeColor="text1"/>
          <w:sz w:val="23"/>
          <w:szCs w:val="23"/>
          <w:lang w:val="en-US"/>
        </w:rPr>
        <w:t>A negative relation may also</w:t>
      </w:r>
      <w:r w:rsidR="004831B2" w:rsidRPr="00983193">
        <w:rPr>
          <w:rFonts w:ascii="Times New Roman" w:eastAsia="Calibri" w:hAnsi="Times New Roman" w:cs="Times New Roman"/>
          <w:color w:val="000000" w:themeColor="text1"/>
          <w:sz w:val="23"/>
          <w:szCs w:val="23"/>
          <w:lang w:val="en-US"/>
        </w:rPr>
        <w:t xml:space="preserve"> </w:t>
      </w:r>
      <w:r w:rsidR="00300BB6">
        <w:rPr>
          <w:rFonts w:ascii="Times New Roman" w:eastAsia="Calibri" w:hAnsi="Times New Roman" w:cs="Times New Roman"/>
          <w:color w:val="000000" w:themeColor="text1"/>
          <w:sz w:val="23"/>
          <w:szCs w:val="23"/>
          <w:lang w:val="en-US"/>
        </w:rPr>
        <w:t xml:space="preserve">be </w:t>
      </w:r>
      <w:r w:rsidR="004831B2" w:rsidRPr="00983193">
        <w:rPr>
          <w:rFonts w:ascii="Times New Roman" w:eastAsia="Calibri" w:hAnsi="Times New Roman" w:cs="Times New Roman"/>
          <w:color w:val="000000" w:themeColor="text1"/>
          <w:sz w:val="23"/>
          <w:szCs w:val="23"/>
          <w:lang w:val="en-US"/>
        </w:rPr>
        <w:t xml:space="preserve">explained by a </w:t>
      </w:r>
      <w:r w:rsidR="009453AD" w:rsidRPr="00983193">
        <w:rPr>
          <w:rFonts w:ascii="Times New Roman" w:eastAsia="Calibri" w:hAnsi="Times New Roman" w:cs="Times New Roman"/>
          <w:color w:val="000000" w:themeColor="text1"/>
          <w:sz w:val="23"/>
          <w:szCs w:val="23"/>
          <w:lang w:val="en-US"/>
        </w:rPr>
        <w:t>lowe</w:t>
      </w:r>
      <w:r w:rsidR="004831B2" w:rsidRPr="00983193">
        <w:rPr>
          <w:rFonts w:ascii="Times New Roman" w:eastAsia="Calibri" w:hAnsi="Times New Roman" w:cs="Times New Roman"/>
          <w:color w:val="000000" w:themeColor="text1"/>
          <w:sz w:val="23"/>
          <w:szCs w:val="23"/>
          <w:lang w:val="en-US"/>
        </w:rPr>
        <w:t xml:space="preserve">r cost of debt </w:t>
      </w:r>
      <w:r w:rsidR="00E87608">
        <w:rPr>
          <w:rFonts w:ascii="Times New Roman" w:eastAsia="Calibri" w:hAnsi="Times New Roman" w:cs="Times New Roman"/>
          <w:color w:val="000000" w:themeColor="text1"/>
          <w:sz w:val="23"/>
          <w:szCs w:val="23"/>
          <w:lang w:val="en-US"/>
        </w:rPr>
        <w:t>than</w:t>
      </w:r>
      <w:r w:rsidR="004831B2" w:rsidRPr="00983193">
        <w:rPr>
          <w:rFonts w:ascii="Times New Roman" w:eastAsia="Calibri" w:hAnsi="Times New Roman" w:cs="Times New Roman"/>
          <w:color w:val="000000" w:themeColor="text1"/>
          <w:sz w:val="23"/>
          <w:szCs w:val="23"/>
          <w:lang w:val="en-US"/>
        </w:rPr>
        <w:t xml:space="preserve"> equity </w:t>
      </w:r>
      <w:r w:rsidR="00E87608">
        <w:rPr>
          <w:rFonts w:ascii="Times New Roman" w:eastAsia="Calibri" w:hAnsi="Times New Roman" w:cs="Times New Roman"/>
          <w:color w:val="000000" w:themeColor="text1"/>
          <w:sz w:val="23"/>
          <w:szCs w:val="23"/>
          <w:lang w:val="en-US"/>
        </w:rPr>
        <w:t>which may</w:t>
      </w:r>
      <w:r w:rsidR="004831B2" w:rsidRPr="00983193">
        <w:rPr>
          <w:rFonts w:ascii="Times New Roman" w:eastAsia="Calibri" w:hAnsi="Times New Roman" w:cs="Times New Roman"/>
          <w:color w:val="000000" w:themeColor="text1"/>
          <w:sz w:val="23"/>
          <w:szCs w:val="23"/>
          <w:lang w:val="en-US"/>
        </w:rPr>
        <w:t xml:space="preserve"> lead to </w:t>
      </w:r>
      <w:r w:rsidR="00E87608">
        <w:rPr>
          <w:rFonts w:ascii="Times New Roman" w:eastAsia="Calibri" w:hAnsi="Times New Roman" w:cs="Times New Roman"/>
          <w:color w:val="000000" w:themeColor="text1"/>
          <w:sz w:val="23"/>
          <w:szCs w:val="23"/>
          <w:lang w:val="en-US"/>
        </w:rPr>
        <w:t>reduced</w:t>
      </w:r>
      <w:r w:rsidR="004831B2" w:rsidRPr="00983193">
        <w:rPr>
          <w:rFonts w:ascii="Times New Roman" w:eastAsia="Calibri" w:hAnsi="Times New Roman" w:cs="Times New Roman"/>
          <w:color w:val="000000" w:themeColor="text1"/>
          <w:sz w:val="23"/>
          <w:szCs w:val="23"/>
          <w:lang w:val="en-US"/>
        </w:rPr>
        <w:t xml:space="preserve"> pressure for creating added value in order to </w:t>
      </w:r>
      <w:r w:rsidR="00E87608">
        <w:rPr>
          <w:rFonts w:ascii="Times New Roman" w:eastAsia="Calibri" w:hAnsi="Times New Roman" w:cs="Times New Roman"/>
          <w:color w:val="000000" w:themeColor="text1"/>
          <w:sz w:val="23"/>
          <w:szCs w:val="23"/>
          <w:lang w:val="en-US"/>
        </w:rPr>
        <w:t>compensate</w:t>
      </w:r>
      <w:r w:rsidR="004831B2" w:rsidRPr="00983193">
        <w:rPr>
          <w:rFonts w:ascii="Times New Roman" w:eastAsia="Calibri" w:hAnsi="Times New Roman" w:cs="Times New Roman"/>
          <w:color w:val="000000" w:themeColor="text1"/>
          <w:sz w:val="23"/>
          <w:szCs w:val="23"/>
          <w:lang w:val="en-US"/>
        </w:rPr>
        <w:t xml:space="preserve"> capital</w:t>
      </w:r>
      <w:r w:rsidR="00E87608">
        <w:rPr>
          <w:rFonts w:ascii="Times New Roman" w:eastAsia="Calibri" w:hAnsi="Times New Roman" w:cs="Times New Roman"/>
          <w:color w:val="000000" w:themeColor="text1"/>
          <w:sz w:val="23"/>
          <w:szCs w:val="23"/>
          <w:lang w:val="en-US"/>
        </w:rPr>
        <w:t xml:space="preserve"> providers</w:t>
      </w:r>
      <w:r w:rsidR="004831B2" w:rsidRPr="00983193">
        <w:rPr>
          <w:rFonts w:ascii="Times New Roman" w:eastAsia="Calibri" w:hAnsi="Times New Roman" w:cs="Times New Roman"/>
          <w:color w:val="000000" w:themeColor="text1"/>
          <w:sz w:val="23"/>
          <w:szCs w:val="23"/>
          <w:lang w:val="en-US"/>
        </w:rPr>
        <w:t>.</w:t>
      </w:r>
      <w:r w:rsidR="00E87608">
        <w:rPr>
          <w:rFonts w:ascii="Times New Roman" w:eastAsia="Calibri" w:hAnsi="Times New Roman" w:cs="Times New Roman"/>
          <w:color w:val="000000" w:themeColor="text1"/>
          <w:sz w:val="23"/>
          <w:szCs w:val="23"/>
          <w:lang w:val="en-US"/>
        </w:rPr>
        <w:t xml:space="preserve"> </w:t>
      </w:r>
      <w:r w:rsidR="0016653C" w:rsidRPr="00983193">
        <w:rPr>
          <w:rFonts w:ascii="Times New Roman" w:eastAsia="Calibri" w:hAnsi="Times New Roman" w:cs="Times New Roman"/>
          <w:color w:val="000000" w:themeColor="text1"/>
          <w:sz w:val="23"/>
          <w:szCs w:val="23"/>
          <w:lang w:val="en-US"/>
        </w:rPr>
        <w:t xml:space="preserve">Thus, </w:t>
      </w:r>
      <w:r w:rsidR="00E87608">
        <w:rPr>
          <w:rFonts w:ascii="Times New Roman" w:eastAsia="Calibri" w:hAnsi="Times New Roman" w:cs="Times New Roman"/>
          <w:color w:val="000000" w:themeColor="text1"/>
          <w:sz w:val="23"/>
          <w:szCs w:val="23"/>
          <w:lang w:val="en-US"/>
        </w:rPr>
        <w:t>we do not</w:t>
      </w:r>
      <w:r w:rsidR="0016653C" w:rsidRPr="00983193">
        <w:rPr>
          <w:rFonts w:ascii="Times New Roman" w:eastAsia="Calibri" w:hAnsi="Times New Roman" w:cs="Times New Roman"/>
          <w:color w:val="000000" w:themeColor="text1"/>
          <w:sz w:val="23"/>
          <w:szCs w:val="23"/>
          <w:lang w:val="en-US"/>
        </w:rPr>
        <w:t xml:space="preserve"> hypothesize any relation between the dependent variable VAIC and leverage.</w:t>
      </w:r>
    </w:p>
    <w:p w14:paraId="69A40E19" w14:textId="77777777" w:rsidR="0016653C" w:rsidRPr="00983193" w:rsidRDefault="0016653C" w:rsidP="00D33DF0">
      <w:pPr>
        <w:spacing w:after="0" w:line="240" w:lineRule="auto"/>
        <w:jc w:val="both"/>
        <w:rPr>
          <w:rFonts w:ascii="Times New Roman" w:eastAsia="Calibri" w:hAnsi="Times New Roman" w:cs="Times New Roman"/>
          <w:color w:val="000000" w:themeColor="text1"/>
          <w:sz w:val="23"/>
          <w:szCs w:val="23"/>
          <w:lang w:val="en-US"/>
        </w:rPr>
      </w:pPr>
    </w:p>
    <w:p w14:paraId="55BDC519" w14:textId="77777777" w:rsidR="00D33DF0" w:rsidRPr="00A53C54" w:rsidRDefault="00463E56" w:rsidP="00463E56">
      <w:pPr>
        <w:spacing w:after="0" w:line="240" w:lineRule="auto"/>
        <w:jc w:val="both"/>
        <w:rPr>
          <w:rFonts w:ascii="Times New Roman" w:eastAsia="Calibri" w:hAnsi="Times New Roman" w:cs="Times New Roman"/>
          <w:i/>
          <w:color w:val="000000" w:themeColor="text1"/>
          <w:sz w:val="23"/>
          <w:szCs w:val="23"/>
          <w:lang w:val="en-US"/>
        </w:rPr>
      </w:pPr>
      <w:r w:rsidRPr="00A53C54">
        <w:rPr>
          <w:rFonts w:ascii="Times New Roman" w:eastAsia="Calibri" w:hAnsi="Times New Roman" w:cs="Times New Roman"/>
          <w:i/>
          <w:color w:val="000000" w:themeColor="text1"/>
          <w:sz w:val="23"/>
          <w:szCs w:val="23"/>
          <w:lang w:val="en-US"/>
        </w:rPr>
        <w:t>H3</w:t>
      </w:r>
      <w:r w:rsidR="0016653C" w:rsidRPr="00A53C54">
        <w:rPr>
          <w:rFonts w:ascii="Times New Roman" w:eastAsia="Calibri" w:hAnsi="Times New Roman" w:cs="Times New Roman"/>
          <w:i/>
          <w:color w:val="000000" w:themeColor="text1"/>
          <w:sz w:val="23"/>
          <w:szCs w:val="23"/>
          <w:lang w:val="en-US"/>
        </w:rPr>
        <w:t>b</w:t>
      </w:r>
      <w:r w:rsidRPr="00A53C54">
        <w:rPr>
          <w:rFonts w:ascii="Times New Roman" w:eastAsia="Calibri" w:hAnsi="Times New Roman" w:cs="Times New Roman"/>
          <w:i/>
          <w:color w:val="000000" w:themeColor="text1"/>
          <w:sz w:val="23"/>
          <w:szCs w:val="23"/>
          <w:lang w:val="en-US"/>
        </w:rPr>
        <w:t>: IC value</w:t>
      </w:r>
      <w:r w:rsidR="003D79C7">
        <w:rPr>
          <w:rFonts w:ascii="Times New Roman" w:eastAsia="Calibri" w:hAnsi="Times New Roman" w:cs="Times New Roman"/>
          <w:i/>
          <w:color w:val="000000" w:themeColor="text1"/>
          <w:sz w:val="23"/>
          <w:szCs w:val="23"/>
          <w:lang w:val="en-US"/>
        </w:rPr>
        <w:t>, measured in term</w:t>
      </w:r>
      <w:r w:rsidR="00927678">
        <w:rPr>
          <w:rFonts w:ascii="Times New Roman" w:eastAsia="Calibri" w:hAnsi="Times New Roman" w:cs="Times New Roman"/>
          <w:i/>
          <w:color w:val="000000" w:themeColor="text1"/>
          <w:sz w:val="23"/>
          <w:szCs w:val="23"/>
          <w:lang w:val="en-US"/>
        </w:rPr>
        <w:t>s of VAIC,</w:t>
      </w:r>
      <w:r w:rsidRPr="00A53C54">
        <w:rPr>
          <w:rFonts w:ascii="Times New Roman" w:eastAsia="Calibri" w:hAnsi="Times New Roman" w:cs="Times New Roman"/>
          <w:i/>
          <w:color w:val="000000" w:themeColor="text1"/>
          <w:sz w:val="23"/>
          <w:szCs w:val="23"/>
          <w:lang w:val="en-US"/>
        </w:rPr>
        <w:t xml:space="preserve"> is </w:t>
      </w:r>
      <w:r w:rsidR="00927678">
        <w:rPr>
          <w:rFonts w:ascii="Times New Roman" w:eastAsia="Calibri" w:hAnsi="Times New Roman" w:cs="Times New Roman"/>
          <w:i/>
          <w:color w:val="000000" w:themeColor="text1"/>
          <w:sz w:val="23"/>
          <w:szCs w:val="23"/>
          <w:lang w:val="en-US"/>
        </w:rPr>
        <w:t>negatively</w:t>
      </w:r>
      <w:r w:rsidRPr="00A53C54">
        <w:rPr>
          <w:rFonts w:ascii="Times New Roman" w:eastAsia="Calibri" w:hAnsi="Times New Roman" w:cs="Times New Roman"/>
          <w:i/>
          <w:color w:val="000000" w:themeColor="text1"/>
          <w:sz w:val="23"/>
          <w:szCs w:val="23"/>
          <w:lang w:val="en-US"/>
        </w:rPr>
        <w:t xml:space="preserve"> associated with firm leverage.</w:t>
      </w:r>
    </w:p>
    <w:p w14:paraId="6C3F3F20" w14:textId="77777777" w:rsidR="00463E56" w:rsidRPr="00983193" w:rsidRDefault="00463E56" w:rsidP="00463E56">
      <w:pPr>
        <w:spacing w:after="0" w:line="240" w:lineRule="auto"/>
        <w:jc w:val="both"/>
        <w:rPr>
          <w:rFonts w:ascii="Times New Roman" w:eastAsia="Calibri" w:hAnsi="Times New Roman" w:cs="Times New Roman"/>
          <w:color w:val="000000" w:themeColor="text1"/>
          <w:sz w:val="23"/>
          <w:szCs w:val="23"/>
          <w:lang w:val="en-US"/>
        </w:rPr>
      </w:pPr>
    </w:p>
    <w:p w14:paraId="51658FCE" w14:textId="77777777" w:rsidR="00D33DF0" w:rsidRPr="00983193" w:rsidRDefault="00D33DF0" w:rsidP="00A53C54">
      <w:pPr>
        <w:pStyle w:val="ListParagraph"/>
        <w:numPr>
          <w:ilvl w:val="1"/>
          <w:numId w:val="11"/>
        </w:numPr>
        <w:spacing w:after="0" w:line="240" w:lineRule="auto"/>
        <w:ind w:left="357" w:hanging="357"/>
        <w:jc w:val="both"/>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Control variables</w:t>
      </w:r>
    </w:p>
    <w:p w14:paraId="404AC24E" w14:textId="77777777" w:rsidR="00D33DF0" w:rsidRPr="00983193" w:rsidRDefault="00D33DF0" w:rsidP="00D33DF0">
      <w:pPr>
        <w:spacing w:after="0" w:line="240" w:lineRule="auto"/>
        <w:jc w:val="both"/>
        <w:rPr>
          <w:rFonts w:ascii="Times New Roman" w:eastAsia="Calibri" w:hAnsi="Times New Roman" w:cs="Times New Roman"/>
          <w:color w:val="000000" w:themeColor="text1"/>
          <w:sz w:val="23"/>
          <w:szCs w:val="23"/>
          <w:lang w:val="en-US"/>
        </w:rPr>
      </w:pPr>
    </w:p>
    <w:p w14:paraId="0F0CF677" w14:textId="77777777" w:rsidR="00D33DF0" w:rsidRPr="00983193" w:rsidRDefault="00E87608" w:rsidP="00AB13E1">
      <w:pPr>
        <w:spacing w:after="0" w:line="240" w:lineRule="auto"/>
        <w:jc w:val="both"/>
        <w:rPr>
          <w:rFonts w:ascii="Times New Roman" w:eastAsia="Calibri" w:hAnsi="Times New Roman" w:cs="Times New Roman"/>
          <w:color w:val="000000" w:themeColor="text1"/>
          <w:sz w:val="23"/>
          <w:szCs w:val="23"/>
          <w:lang w:val="en-US"/>
        </w:rPr>
      </w:pPr>
      <w:r>
        <w:rPr>
          <w:rFonts w:ascii="Times New Roman" w:eastAsia="Calibri" w:hAnsi="Times New Roman" w:cs="Times New Roman"/>
          <w:color w:val="000000" w:themeColor="text1"/>
          <w:sz w:val="23"/>
          <w:szCs w:val="23"/>
          <w:lang w:val="en-US"/>
        </w:rPr>
        <w:t>In our models we add o</w:t>
      </w:r>
      <w:r w:rsidR="00F86D69" w:rsidRPr="00983193">
        <w:rPr>
          <w:rFonts w:ascii="Times New Roman" w:eastAsia="Calibri" w:hAnsi="Times New Roman" w:cs="Times New Roman"/>
          <w:color w:val="000000" w:themeColor="text1"/>
          <w:sz w:val="23"/>
          <w:szCs w:val="23"/>
          <w:lang w:val="en-US"/>
        </w:rPr>
        <w:t>ther variables as control</w:t>
      </w:r>
      <w:r>
        <w:rPr>
          <w:rFonts w:ascii="Times New Roman" w:eastAsia="Calibri" w:hAnsi="Times New Roman" w:cs="Times New Roman"/>
          <w:color w:val="000000" w:themeColor="text1"/>
          <w:sz w:val="23"/>
          <w:szCs w:val="23"/>
          <w:lang w:val="en-US"/>
        </w:rPr>
        <w:t>s</w:t>
      </w:r>
      <w:r w:rsidR="00F86D69" w:rsidRPr="00983193">
        <w:rPr>
          <w:rFonts w:ascii="Times New Roman" w:eastAsia="Calibri" w:hAnsi="Times New Roman" w:cs="Times New Roman"/>
          <w:color w:val="000000" w:themeColor="text1"/>
          <w:sz w:val="23"/>
          <w:szCs w:val="23"/>
          <w:lang w:val="en-US"/>
        </w:rPr>
        <w:t xml:space="preserve"> variables</w:t>
      </w:r>
      <w:r>
        <w:rPr>
          <w:rFonts w:ascii="Times New Roman" w:eastAsia="Calibri" w:hAnsi="Times New Roman" w:cs="Times New Roman"/>
          <w:color w:val="000000" w:themeColor="text1"/>
          <w:sz w:val="23"/>
          <w:szCs w:val="23"/>
          <w:lang w:val="en-US"/>
        </w:rPr>
        <w:t>.</w:t>
      </w:r>
      <w:r w:rsidR="00F86D69" w:rsidRPr="00983193">
        <w:rPr>
          <w:rFonts w:ascii="Times New Roman" w:eastAsia="Calibri" w:hAnsi="Times New Roman" w:cs="Times New Roman"/>
          <w:color w:val="000000" w:themeColor="text1"/>
          <w:sz w:val="23"/>
          <w:szCs w:val="23"/>
          <w:lang w:val="en-US"/>
        </w:rPr>
        <w:t xml:space="preserve"> </w:t>
      </w:r>
      <w:r>
        <w:rPr>
          <w:rFonts w:ascii="Times New Roman" w:eastAsia="Calibri" w:hAnsi="Times New Roman" w:cs="Times New Roman"/>
          <w:color w:val="000000" w:themeColor="text1"/>
          <w:sz w:val="23"/>
          <w:szCs w:val="23"/>
          <w:lang w:val="en-US"/>
        </w:rPr>
        <w:t>We add the variable firm size, consistent with</w:t>
      </w:r>
      <w:r w:rsidR="000212B7">
        <w:rPr>
          <w:rFonts w:ascii="Times New Roman" w:eastAsia="Calibri" w:hAnsi="Times New Roman" w:cs="Times New Roman"/>
          <w:color w:val="000000" w:themeColor="text1"/>
          <w:sz w:val="23"/>
          <w:szCs w:val="23"/>
          <w:lang w:val="en-US"/>
        </w:rPr>
        <w:t xml:space="preserve"> Pucci et al. (2015</w:t>
      </w:r>
      <w:r w:rsidR="00CD7875" w:rsidRPr="00983193">
        <w:rPr>
          <w:rFonts w:ascii="Times New Roman" w:eastAsia="Calibri" w:hAnsi="Times New Roman" w:cs="Times New Roman"/>
          <w:color w:val="000000" w:themeColor="text1"/>
          <w:sz w:val="23"/>
          <w:szCs w:val="23"/>
          <w:lang w:val="en-US"/>
        </w:rPr>
        <w:t xml:space="preserve">) who </w:t>
      </w:r>
      <w:r>
        <w:rPr>
          <w:rFonts w:ascii="Times New Roman" w:eastAsia="Calibri" w:hAnsi="Times New Roman" w:cs="Times New Roman"/>
          <w:color w:val="000000" w:themeColor="text1"/>
          <w:sz w:val="23"/>
          <w:szCs w:val="23"/>
          <w:lang w:val="en-US"/>
        </w:rPr>
        <w:t>argue that</w:t>
      </w:r>
      <w:r w:rsidR="00CD7875" w:rsidRPr="00983193">
        <w:rPr>
          <w:rFonts w:ascii="Times New Roman" w:eastAsia="Calibri" w:hAnsi="Times New Roman" w:cs="Times New Roman"/>
          <w:color w:val="000000" w:themeColor="text1"/>
          <w:sz w:val="23"/>
          <w:szCs w:val="23"/>
          <w:lang w:val="en-US"/>
        </w:rPr>
        <w:t xml:space="preserve"> </w:t>
      </w:r>
      <w:r>
        <w:rPr>
          <w:rFonts w:ascii="Times New Roman" w:eastAsia="Calibri" w:hAnsi="Times New Roman" w:cs="Times New Roman"/>
          <w:color w:val="000000" w:themeColor="text1"/>
          <w:sz w:val="23"/>
          <w:szCs w:val="23"/>
          <w:lang w:val="en-US"/>
        </w:rPr>
        <w:t xml:space="preserve">that </w:t>
      </w:r>
      <w:r w:rsidR="00CD7875" w:rsidRPr="00983193">
        <w:rPr>
          <w:rFonts w:ascii="Times New Roman" w:eastAsia="Calibri" w:hAnsi="Times New Roman" w:cs="Times New Roman"/>
          <w:color w:val="000000" w:themeColor="text1"/>
          <w:sz w:val="23"/>
          <w:szCs w:val="23"/>
          <w:lang w:val="en-US"/>
        </w:rPr>
        <w:t xml:space="preserve">size </w:t>
      </w:r>
      <w:r>
        <w:rPr>
          <w:rFonts w:ascii="Times New Roman" w:eastAsia="Calibri" w:hAnsi="Times New Roman" w:cs="Times New Roman"/>
          <w:color w:val="000000" w:themeColor="text1"/>
          <w:sz w:val="23"/>
          <w:szCs w:val="23"/>
          <w:lang w:val="en-US"/>
        </w:rPr>
        <w:t>should be related to</w:t>
      </w:r>
      <w:r w:rsidRPr="00983193">
        <w:rPr>
          <w:rFonts w:ascii="Times New Roman" w:eastAsia="Calibri" w:hAnsi="Times New Roman" w:cs="Times New Roman"/>
          <w:color w:val="000000" w:themeColor="text1"/>
          <w:sz w:val="23"/>
          <w:szCs w:val="23"/>
          <w:lang w:val="en-US"/>
        </w:rPr>
        <w:t xml:space="preserve"> </w:t>
      </w:r>
      <w:r w:rsidR="00CD7875" w:rsidRPr="00983193">
        <w:rPr>
          <w:rFonts w:ascii="Times New Roman" w:eastAsia="Calibri" w:hAnsi="Times New Roman" w:cs="Times New Roman"/>
          <w:color w:val="000000" w:themeColor="text1"/>
          <w:sz w:val="23"/>
          <w:szCs w:val="23"/>
          <w:lang w:val="en-US"/>
        </w:rPr>
        <w:t>IC value</w:t>
      </w:r>
      <w:r>
        <w:rPr>
          <w:rFonts w:ascii="Times New Roman" w:eastAsia="Calibri" w:hAnsi="Times New Roman" w:cs="Times New Roman"/>
          <w:color w:val="000000" w:themeColor="text1"/>
          <w:sz w:val="23"/>
          <w:szCs w:val="23"/>
          <w:lang w:val="en-US"/>
        </w:rPr>
        <w:t>, though they do not</w:t>
      </w:r>
      <w:r w:rsidR="00CD7875" w:rsidRPr="00983193">
        <w:rPr>
          <w:rFonts w:ascii="Times New Roman" w:eastAsia="Calibri" w:hAnsi="Times New Roman" w:cs="Times New Roman"/>
          <w:color w:val="000000" w:themeColor="text1"/>
          <w:sz w:val="23"/>
          <w:szCs w:val="23"/>
          <w:lang w:val="en-US"/>
        </w:rPr>
        <w:t xml:space="preserve"> find </w:t>
      </w:r>
      <w:r>
        <w:rPr>
          <w:rFonts w:ascii="Times New Roman" w:eastAsia="Calibri" w:hAnsi="Times New Roman" w:cs="Times New Roman"/>
          <w:color w:val="000000" w:themeColor="text1"/>
          <w:sz w:val="23"/>
          <w:szCs w:val="23"/>
          <w:lang w:val="en-US"/>
        </w:rPr>
        <w:t>it to be a significant determinant of</w:t>
      </w:r>
      <w:r w:rsidR="00CD7875" w:rsidRPr="00983193">
        <w:rPr>
          <w:rFonts w:ascii="Times New Roman" w:eastAsia="Calibri" w:hAnsi="Times New Roman" w:cs="Times New Roman"/>
          <w:color w:val="000000" w:themeColor="text1"/>
          <w:sz w:val="23"/>
          <w:szCs w:val="23"/>
          <w:lang w:val="en-US"/>
        </w:rPr>
        <w:t xml:space="preserve"> IC value</w:t>
      </w:r>
      <w:r>
        <w:rPr>
          <w:rFonts w:ascii="Times New Roman" w:eastAsia="Calibri" w:hAnsi="Times New Roman" w:cs="Times New Roman"/>
          <w:color w:val="000000" w:themeColor="text1"/>
          <w:sz w:val="23"/>
          <w:szCs w:val="23"/>
          <w:lang w:val="en-US"/>
        </w:rPr>
        <w:t>.</w:t>
      </w:r>
      <w:r w:rsidR="00CD7875" w:rsidRPr="00983193">
        <w:rPr>
          <w:rFonts w:ascii="Times New Roman" w:eastAsia="Calibri" w:hAnsi="Times New Roman" w:cs="Times New Roman"/>
          <w:color w:val="000000" w:themeColor="text1"/>
          <w:sz w:val="23"/>
          <w:szCs w:val="23"/>
          <w:lang w:val="en-US"/>
        </w:rPr>
        <w:t xml:space="preserve"> </w:t>
      </w:r>
      <w:r>
        <w:rPr>
          <w:rFonts w:ascii="Times New Roman" w:eastAsia="Calibri" w:hAnsi="Times New Roman" w:cs="Times New Roman"/>
          <w:color w:val="000000" w:themeColor="text1"/>
          <w:sz w:val="23"/>
          <w:szCs w:val="23"/>
          <w:lang w:val="en-US"/>
        </w:rPr>
        <w:t>Further,</w:t>
      </w:r>
      <w:r w:rsidR="00CD7875" w:rsidRPr="00983193">
        <w:rPr>
          <w:rFonts w:ascii="Times New Roman" w:eastAsia="Calibri" w:hAnsi="Times New Roman" w:cs="Times New Roman"/>
          <w:color w:val="000000" w:themeColor="text1"/>
          <w:sz w:val="23"/>
          <w:szCs w:val="23"/>
          <w:lang w:val="en-US"/>
        </w:rPr>
        <w:t xml:space="preserve"> Youndt et al. (2004) and Goebel (2015) </w:t>
      </w:r>
      <w:r>
        <w:rPr>
          <w:rFonts w:ascii="Times New Roman" w:eastAsia="Calibri" w:hAnsi="Times New Roman" w:cs="Times New Roman"/>
          <w:color w:val="000000" w:themeColor="text1"/>
          <w:sz w:val="23"/>
          <w:szCs w:val="23"/>
          <w:lang w:val="en-US"/>
        </w:rPr>
        <w:t>argue</w:t>
      </w:r>
      <w:r w:rsidR="00CD7875" w:rsidRPr="00983193">
        <w:rPr>
          <w:rFonts w:ascii="Times New Roman" w:eastAsia="Calibri" w:hAnsi="Times New Roman" w:cs="Times New Roman"/>
          <w:color w:val="000000" w:themeColor="text1"/>
          <w:sz w:val="23"/>
          <w:szCs w:val="23"/>
          <w:lang w:val="en-US"/>
        </w:rPr>
        <w:t xml:space="preserve"> that firm size </w:t>
      </w:r>
      <w:r>
        <w:rPr>
          <w:rFonts w:ascii="Times New Roman" w:eastAsia="Calibri" w:hAnsi="Times New Roman" w:cs="Times New Roman"/>
          <w:color w:val="000000" w:themeColor="text1"/>
          <w:sz w:val="23"/>
          <w:szCs w:val="23"/>
          <w:lang w:val="en-US"/>
        </w:rPr>
        <w:t>is</w:t>
      </w:r>
      <w:r w:rsidR="00CD7875" w:rsidRPr="00983193">
        <w:rPr>
          <w:rFonts w:ascii="Times New Roman" w:eastAsia="Calibri" w:hAnsi="Times New Roman" w:cs="Times New Roman"/>
          <w:color w:val="000000" w:themeColor="text1"/>
          <w:sz w:val="23"/>
          <w:szCs w:val="23"/>
          <w:lang w:val="en-US"/>
        </w:rPr>
        <w:t xml:space="preserve"> a positive driver of IC value, due to the advantages of better access to resources enjoyed by larger firms along with their greater market power. </w:t>
      </w:r>
      <w:r w:rsidR="00AB13E1" w:rsidRPr="00983193">
        <w:rPr>
          <w:rFonts w:ascii="Times New Roman" w:eastAsia="Calibri" w:hAnsi="Times New Roman" w:cs="Times New Roman"/>
          <w:color w:val="000000" w:themeColor="text1"/>
          <w:sz w:val="23"/>
          <w:szCs w:val="23"/>
          <w:lang w:val="en-US"/>
        </w:rPr>
        <w:t>Goebel f</w:t>
      </w:r>
      <w:r>
        <w:rPr>
          <w:rFonts w:ascii="Times New Roman" w:eastAsia="Calibri" w:hAnsi="Times New Roman" w:cs="Times New Roman"/>
          <w:color w:val="000000" w:themeColor="text1"/>
          <w:sz w:val="23"/>
          <w:szCs w:val="23"/>
          <w:lang w:val="en-US"/>
        </w:rPr>
        <w:t>i</w:t>
      </w:r>
      <w:r w:rsidR="00AB13E1" w:rsidRPr="00983193">
        <w:rPr>
          <w:rFonts w:ascii="Times New Roman" w:eastAsia="Calibri" w:hAnsi="Times New Roman" w:cs="Times New Roman"/>
          <w:color w:val="000000" w:themeColor="text1"/>
          <w:sz w:val="23"/>
          <w:szCs w:val="23"/>
          <w:lang w:val="en-US"/>
        </w:rPr>
        <w:t>nd</w:t>
      </w:r>
      <w:r>
        <w:rPr>
          <w:rFonts w:ascii="Times New Roman" w:eastAsia="Calibri" w:hAnsi="Times New Roman" w:cs="Times New Roman"/>
          <w:color w:val="000000" w:themeColor="text1"/>
          <w:sz w:val="23"/>
          <w:szCs w:val="23"/>
          <w:lang w:val="en-US"/>
        </w:rPr>
        <w:t>s</w:t>
      </w:r>
      <w:r w:rsidR="00AB13E1" w:rsidRPr="00983193">
        <w:rPr>
          <w:rFonts w:ascii="Times New Roman" w:eastAsia="Calibri" w:hAnsi="Times New Roman" w:cs="Times New Roman"/>
          <w:color w:val="000000" w:themeColor="text1"/>
          <w:sz w:val="23"/>
          <w:szCs w:val="23"/>
          <w:lang w:val="en-US"/>
        </w:rPr>
        <w:t xml:space="preserve"> a negative relationship between firm</w:t>
      </w:r>
      <w:r>
        <w:rPr>
          <w:rFonts w:ascii="Times New Roman" w:eastAsia="Calibri" w:hAnsi="Times New Roman" w:cs="Times New Roman"/>
          <w:color w:val="000000" w:themeColor="text1"/>
          <w:sz w:val="23"/>
          <w:szCs w:val="23"/>
          <w:lang w:val="en-US"/>
        </w:rPr>
        <w:t xml:space="preserve"> </w:t>
      </w:r>
      <w:r w:rsidR="00AB13E1" w:rsidRPr="00983193">
        <w:rPr>
          <w:rFonts w:ascii="Times New Roman" w:eastAsia="Calibri" w:hAnsi="Times New Roman" w:cs="Times New Roman"/>
          <w:color w:val="000000" w:themeColor="text1"/>
          <w:sz w:val="23"/>
          <w:szCs w:val="23"/>
          <w:lang w:val="en-US"/>
        </w:rPr>
        <w:t>size and IC value</w:t>
      </w:r>
      <w:r>
        <w:rPr>
          <w:rFonts w:ascii="Times New Roman" w:eastAsia="Calibri" w:hAnsi="Times New Roman" w:cs="Times New Roman"/>
          <w:color w:val="000000" w:themeColor="text1"/>
          <w:sz w:val="23"/>
          <w:szCs w:val="23"/>
          <w:lang w:val="en-US"/>
        </w:rPr>
        <w:t>,</w:t>
      </w:r>
      <w:r w:rsidR="00AB13E1" w:rsidRPr="00983193">
        <w:rPr>
          <w:rFonts w:ascii="Times New Roman" w:eastAsia="Calibri" w:hAnsi="Times New Roman" w:cs="Times New Roman"/>
          <w:color w:val="000000" w:themeColor="text1"/>
          <w:sz w:val="23"/>
          <w:szCs w:val="23"/>
          <w:lang w:val="en-US"/>
        </w:rPr>
        <w:t xml:space="preserve"> proxied </w:t>
      </w:r>
      <w:r>
        <w:rPr>
          <w:rFonts w:ascii="Times New Roman" w:eastAsia="Calibri" w:hAnsi="Times New Roman" w:cs="Times New Roman"/>
          <w:color w:val="000000" w:themeColor="text1"/>
          <w:sz w:val="23"/>
          <w:szCs w:val="23"/>
          <w:lang w:val="en-US"/>
        </w:rPr>
        <w:t>by</w:t>
      </w:r>
      <w:r w:rsidR="00AB13E1" w:rsidRPr="00983193">
        <w:rPr>
          <w:rFonts w:ascii="Times New Roman" w:eastAsia="Calibri" w:hAnsi="Times New Roman" w:cs="Times New Roman"/>
          <w:color w:val="000000" w:themeColor="text1"/>
          <w:sz w:val="23"/>
          <w:szCs w:val="23"/>
          <w:lang w:val="en-US"/>
        </w:rPr>
        <w:t xml:space="preserve"> LRVTB</w:t>
      </w:r>
      <w:r>
        <w:rPr>
          <w:rFonts w:ascii="Times New Roman" w:eastAsia="Calibri" w:hAnsi="Times New Roman" w:cs="Times New Roman"/>
          <w:color w:val="000000" w:themeColor="text1"/>
          <w:sz w:val="23"/>
          <w:szCs w:val="23"/>
          <w:lang w:val="en-US"/>
        </w:rPr>
        <w:t>, as do</w:t>
      </w:r>
      <w:r w:rsidR="0002459E">
        <w:rPr>
          <w:rFonts w:ascii="Times New Roman" w:eastAsia="Calibri" w:hAnsi="Times New Roman" w:cs="Times New Roman"/>
          <w:color w:val="000000" w:themeColor="text1"/>
          <w:sz w:val="23"/>
          <w:szCs w:val="23"/>
          <w:lang w:val="en-US"/>
        </w:rPr>
        <w:t xml:space="preserve"> as well as </w:t>
      </w:r>
      <w:r w:rsidR="0002459E" w:rsidRPr="000C3C81">
        <w:rPr>
          <w:rFonts w:ascii="Times New Roman" w:eastAsia="Calibri" w:hAnsi="Times New Roman" w:cs="Times New Roman"/>
          <w:color w:val="000000" w:themeColor="text1"/>
          <w:sz w:val="23"/>
          <w:szCs w:val="23"/>
          <w:lang w:val="en-US"/>
        </w:rPr>
        <w:t>Forte</w:t>
      </w:r>
      <w:r w:rsidR="0002459E">
        <w:rPr>
          <w:rFonts w:ascii="Times New Roman" w:eastAsia="Calibri" w:hAnsi="Times New Roman" w:cs="Times New Roman"/>
          <w:color w:val="000000" w:themeColor="text1"/>
          <w:sz w:val="23"/>
          <w:szCs w:val="23"/>
          <w:lang w:val="en-US"/>
        </w:rPr>
        <w:t xml:space="preserve"> et al.</w:t>
      </w:r>
      <w:r w:rsidR="00AB13E1" w:rsidRPr="00983193">
        <w:rPr>
          <w:rFonts w:ascii="Times New Roman" w:eastAsia="Calibri" w:hAnsi="Times New Roman" w:cs="Times New Roman"/>
          <w:color w:val="000000" w:themeColor="text1"/>
          <w:sz w:val="23"/>
          <w:szCs w:val="23"/>
          <w:lang w:val="en-US"/>
        </w:rPr>
        <w:t xml:space="preserve"> (2017) who </w:t>
      </w:r>
      <w:r>
        <w:rPr>
          <w:rFonts w:ascii="Times New Roman" w:eastAsia="Calibri" w:hAnsi="Times New Roman" w:cs="Times New Roman"/>
          <w:color w:val="000000" w:themeColor="text1"/>
          <w:sz w:val="23"/>
          <w:szCs w:val="23"/>
          <w:lang w:val="en-US"/>
        </w:rPr>
        <w:t>measure</w:t>
      </w:r>
      <w:r w:rsidR="00AB13E1" w:rsidRPr="00983193">
        <w:rPr>
          <w:rFonts w:ascii="Times New Roman" w:eastAsia="Calibri" w:hAnsi="Times New Roman" w:cs="Times New Roman"/>
          <w:color w:val="000000" w:themeColor="text1"/>
          <w:sz w:val="23"/>
          <w:szCs w:val="23"/>
          <w:lang w:val="en-US"/>
        </w:rPr>
        <w:t xml:space="preserve"> IC value </w:t>
      </w:r>
      <w:r>
        <w:rPr>
          <w:rFonts w:ascii="Times New Roman" w:eastAsia="Calibri" w:hAnsi="Times New Roman" w:cs="Times New Roman"/>
          <w:color w:val="000000" w:themeColor="text1"/>
          <w:sz w:val="23"/>
          <w:szCs w:val="23"/>
          <w:lang w:val="en-US"/>
        </w:rPr>
        <w:t>in terms of</w:t>
      </w:r>
      <w:r w:rsidRPr="00983193">
        <w:rPr>
          <w:rFonts w:ascii="Times New Roman" w:eastAsia="Calibri" w:hAnsi="Times New Roman" w:cs="Times New Roman"/>
          <w:color w:val="000000" w:themeColor="text1"/>
          <w:sz w:val="23"/>
          <w:szCs w:val="23"/>
          <w:lang w:val="en-US"/>
        </w:rPr>
        <w:t xml:space="preserve"> </w:t>
      </w:r>
      <w:r w:rsidR="00AB13E1" w:rsidRPr="001855D6">
        <w:rPr>
          <w:rFonts w:ascii="Times New Roman" w:eastAsia="Calibri" w:hAnsi="Times New Roman" w:cs="Times New Roman"/>
          <w:noProof/>
          <w:color w:val="000000" w:themeColor="text1"/>
          <w:sz w:val="23"/>
          <w:szCs w:val="23"/>
          <w:lang w:val="en-US"/>
        </w:rPr>
        <w:t>M</w:t>
      </w:r>
      <w:r w:rsidR="0002459E">
        <w:rPr>
          <w:rFonts w:ascii="Times New Roman" w:eastAsia="Calibri" w:hAnsi="Times New Roman" w:cs="Times New Roman"/>
          <w:noProof/>
          <w:color w:val="000000" w:themeColor="text1"/>
          <w:sz w:val="23"/>
          <w:szCs w:val="23"/>
          <w:lang w:val="en-US"/>
        </w:rPr>
        <w:t>t</w:t>
      </w:r>
      <w:r w:rsidR="00AB13E1" w:rsidRPr="001855D6">
        <w:rPr>
          <w:rFonts w:ascii="Times New Roman" w:eastAsia="Calibri" w:hAnsi="Times New Roman" w:cs="Times New Roman"/>
          <w:noProof/>
          <w:color w:val="000000" w:themeColor="text1"/>
          <w:sz w:val="23"/>
          <w:szCs w:val="23"/>
          <w:lang w:val="en-US"/>
        </w:rPr>
        <w:t>B</w:t>
      </w:r>
      <w:r w:rsidR="00AB13E1" w:rsidRPr="00983193">
        <w:rPr>
          <w:rFonts w:ascii="Times New Roman" w:eastAsia="Calibri" w:hAnsi="Times New Roman" w:cs="Times New Roman"/>
          <w:color w:val="000000" w:themeColor="text1"/>
          <w:sz w:val="23"/>
          <w:szCs w:val="23"/>
          <w:lang w:val="en-US"/>
        </w:rPr>
        <w:t>.</w:t>
      </w:r>
      <w:r>
        <w:rPr>
          <w:rFonts w:ascii="Times New Roman" w:eastAsia="Calibri" w:hAnsi="Times New Roman" w:cs="Times New Roman"/>
          <w:i/>
          <w:color w:val="000000" w:themeColor="text1"/>
          <w:sz w:val="23"/>
          <w:szCs w:val="23"/>
          <w:lang w:val="en-US"/>
        </w:rPr>
        <w:t xml:space="preserve"> </w:t>
      </w:r>
      <w:r>
        <w:rPr>
          <w:rFonts w:ascii="Times New Roman" w:eastAsia="Calibri" w:hAnsi="Times New Roman" w:cs="Times New Roman"/>
          <w:color w:val="000000" w:themeColor="text1"/>
          <w:sz w:val="23"/>
          <w:szCs w:val="23"/>
          <w:lang w:val="en-US"/>
        </w:rPr>
        <w:t>Firm growth is included as a control variable as</w:t>
      </w:r>
      <w:r w:rsidR="00A5738A" w:rsidRPr="00983193">
        <w:rPr>
          <w:rFonts w:ascii="Times New Roman" w:eastAsia="Calibri" w:hAnsi="Times New Roman" w:cs="Times New Roman"/>
          <w:color w:val="000000" w:themeColor="text1"/>
          <w:sz w:val="23"/>
          <w:szCs w:val="23"/>
          <w:lang w:val="en-US"/>
        </w:rPr>
        <w:t xml:space="preserve"> IC is recognized as pivotal driver for generating economic wealth and growth (Guthrie and Petty, 2000; Bontis, 2003)</w:t>
      </w:r>
      <w:r>
        <w:rPr>
          <w:rFonts w:ascii="Times New Roman" w:eastAsia="Calibri" w:hAnsi="Times New Roman" w:cs="Times New Roman"/>
          <w:color w:val="000000" w:themeColor="text1"/>
          <w:sz w:val="23"/>
          <w:szCs w:val="23"/>
          <w:lang w:val="en-US"/>
        </w:rPr>
        <w:t>. Thus,</w:t>
      </w:r>
      <w:r w:rsidR="00A5738A" w:rsidRPr="00983193">
        <w:rPr>
          <w:rFonts w:ascii="Times New Roman" w:eastAsia="Calibri" w:hAnsi="Times New Roman" w:cs="Times New Roman"/>
          <w:color w:val="000000" w:themeColor="text1"/>
          <w:sz w:val="23"/>
          <w:szCs w:val="23"/>
          <w:lang w:val="en-US"/>
        </w:rPr>
        <w:t xml:space="preserve"> a positive relationship between IC value and firm growth </w:t>
      </w:r>
      <w:r>
        <w:rPr>
          <w:rFonts w:ascii="Times New Roman" w:eastAsia="Calibri" w:hAnsi="Times New Roman" w:cs="Times New Roman"/>
          <w:color w:val="000000" w:themeColor="text1"/>
          <w:sz w:val="23"/>
          <w:szCs w:val="23"/>
          <w:lang w:val="en-US"/>
        </w:rPr>
        <w:t>signals market</w:t>
      </w:r>
      <w:r w:rsidR="00A5738A" w:rsidRPr="00983193">
        <w:rPr>
          <w:rFonts w:ascii="Times New Roman" w:eastAsia="Calibri" w:hAnsi="Times New Roman" w:cs="Times New Roman"/>
          <w:color w:val="000000" w:themeColor="text1"/>
          <w:sz w:val="23"/>
          <w:szCs w:val="23"/>
          <w:lang w:val="en-US"/>
        </w:rPr>
        <w:t xml:space="preserve"> recognition </w:t>
      </w:r>
      <w:r>
        <w:rPr>
          <w:rFonts w:ascii="Times New Roman" w:eastAsia="Calibri" w:hAnsi="Times New Roman" w:cs="Times New Roman"/>
          <w:color w:val="000000" w:themeColor="text1"/>
          <w:sz w:val="23"/>
          <w:szCs w:val="23"/>
          <w:lang w:val="en-US"/>
        </w:rPr>
        <w:t>that</w:t>
      </w:r>
      <w:r w:rsidR="00A5738A" w:rsidRPr="00983193">
        <w:rPr>
          <w:rFonts w:ascii="Times New Roman" w:eastAsia="Calibri" w:hAnsi="Times New Roman" w:cs="Times New Roman"/>
          <w:color w:val="000000" w:themeColor="text1"/>
          <w:sz w:val="23"/>
          <w:szCs w:val="23"/>
          <w:lang w:val="en-US"/>
        </w:rPr>
        <w:t xml:space="preserve"> greater IC investment drives the </w:t>
      </w:r>
      <w:r>
        <w:rPr>
          <w:rFonts w:ascii="Times New Roman" w:eastAsia="Calibri" w:hAnsi="Times New Roman" w:cs="Times New Roman"/>
          <w:color w:val="000000" w:themeColor="text1"/>
          <w:sz w:val="23"/>
          <w:szCs w:val="23"/>
          <w:lang w:val="en-US"/>
        </w:rPr>
        <w:t xml:space="preserve">firm </w:t>
      </w:r>
      <w:r w:rsidR="00A5738A" w:rsidRPr="00983193">
        <w:rPr>
          <w:rFonts w:ascii="Times New Roman" w:eastAsia="Calibri" w:hAnsi="Times New Roman" w:cs="Times New Roman"/>
          <w:color w:val="000000" w:themeColor="text1"/>
          <w:sz w:val="23"/>
          <w:szCs w:val="23"/>
          <w:lang w:val="en-US"/>
        </w:rPr>
        <w:t>growth.</w:t>
      </w:r>
      <w:r w:rsidR="00483556">
        <w:rPr>
          <w:rFonts w:ascii="Times New Roman" w:eastAsia="Calibri" w:hAnsi="Times New Roman" w:cs="Times New Roman"/>
          <w:color w:val="000000" w:themeColor="text1"/>
          <w:sz w:val="23"/>
          <w:szCs w:val="23"/>
          <w:lang w:val="en-US"/>
        </w:rPr>
        <w:t xml:space="preserve"> Firm age, or length of establishment, </w:t>
      </w:r>
      <w:r w:rsidR="00AB13E1" w:rsidRPr="00983193">
        <w:rPr>
          <w:rFonts w:ascii="Times New Roman" w:eastAsia="Calibri" w:hAnsi="Times New Roman" w:cs="Times New Roman"/>
          <w:color w:val="000000" w:themeColor="text1"/>
          <w:sz w:val="23"/>
          <w:szCs w:val="23"/>
          <w:lang w:val="en-US"/>
        </w:rPr>
        <w:t xml:space="preserve"> </w:t>
      </w:r>
      <w:r w:rsidR="00483556">
        <w:rPr>
          <w:rFonts w:ascii="Times New Roman" w:eastAsia="Calibri" w:hAnsi="Times New Roman" w:cs="Times New Roman"/>
          <w:color w:val="000000" w:themeColor="text1"/>
          <w:sz w:val="23"/>
          <w:szCs w:val="23"/>
          <w:lang w:val="en-US"/>
        </w:rPr>
        <w:t>is included</w:t>
      </w:r>
      <w:r w:rsidR="00AB13E1" w:rsidRPr="00983193">
        <w:rPr>
          <w:rFonts w:ascii="Times New Roman" w:eastAsia="Calibri" w:hAnsi="Times New Roman" w:cs="Times New Roman"/>
          <w:color w:val="000000" w:themeColor="text1"/>
          <w:sz w:val="23"/>
          <w:szCs w:val="23"/>
          <w:lang w:val="en-US"/>
        </w:rPr>
        <w:t xml:space="preserve"> as </w:t>
      </w:r>
      <w:r w:rsidR="00483556">
        <w:rPr>
          <w:rFonts w:ascii="Times New Roman" w:eastAsia="Calibri" w:hAnsi="Times New Roman" w:cs="Times New Roman"/>
          <w:color w:val="000000" w:themeColor="text1"/>
          <w:sz w:val="23"/>
          <w:szCs w:val="23"/>
          <w:lang w:val="en-US"/>
        </w:rPr>
        <w:t xml:space="preserve">a </w:t>
      </w:r>
      <w:r w:rsidR="00AB13E1" w:rsidRPr="00983193">
        <w:rPr>
          <w:rFonts w:ascii="Times New Roman" w:eastAsia="Calibri" w:hAnsi="Times New Roman" w:cs="Times New Roman"/>
          <w:color w:val="000000" w:themeColor="text1"/>
          <w:sz w:val="23"/>
          <w:szCs w:val="23"/>
          <w:lang w:val="en-US"/>
        </w:rPr>
        <w:t>control variable</w:t>
      </w:r>
      <w:r w:rsidR="00483556">
        <w:rPr>
          <w:rFonts w:ascii="Times New Roman" w:eastAsia="Calibri" w:hAnsi="Times New Roman" w:cs="Times New Roman"/>
          <w:color w:val="000000" w:themeColor="text1"/>
          <w:sz w:val="23"/>
          <w:szCs w:val="23"/>
          <w:lang w:val="en-US"/>
        </w:rPr>
        <w:t>, recognizing that</w:t>
      </w:r>
      <w:r w:rsidR="00AB13E1" w:rsidRPr="00983193">
        <w:rPr>
          <w:rFonts w:ascii="Times New Roman" w:eastAsia="Calibri" w:hAnsi="Times New Roman" w:cs="Times New Roman"/>
          <w:color w:val="000000" w:themeColor="text1"/>
          <w:sz w:val="23"/>
          <w:szCs w:val="23"/>
          <w:lang w:val="en-US"/>
        </w:rPr>
        <w:t xml:space="preserve"> companies develop IC value </w:t>
      </w:r>
      <w:r w:rsidR="00483556">
        <w:rPr>
          <w:rFonts w:ascii="Times New Roman" w:eastAsia="Calibri" w:hAnsi="Times New Roman" w:cs="Times New Roman"/>
          <w:color w:val="000000" w:themeColor="text1"/>
          <w:sz w:val="23"/>
          <w:szCs w:val="23"/>
          <w:lang w:val="en-US"/>
        </w:rPr>
        <w:t xml:space="preserve">cumulatively </w:t>
      </w:r>
      <w:r w:rsidR="00AB13E1" w:rsidRPr="00983193">
        <w:rPr>
          <w:rFonts w:ascii="Times New Roman" w:eastAsia="Calibri" w:hAnsi="Times New Roman" w:cs="Times New Roman"/>
          <w:color w:val="000000" w:themeColor="text1"/>
          <w:sz w:val="23"/>
          <w:szCs w:val="23"/>
          <w:lang w:val="en-US"/>
        </w:rPr>
        <w:t>over time (Nahapiet and Ghoshal, 1998)</w:t>
      </w:r>
      <w:r w:rsidR="00483556">
        <w:rPr>
          <w:rFonts w:ascii="Times New Roman" w:eastAsia="Calibri" w:hAnsi="Times New Roman" w:cs="Times New Roman"/>
          <w:color w:val="000000" w:themeColor="text1"/>
          <w:sz w:val="23"/>
          <w:szCs w:val="23"/>
          <w:lang w:val="en-US"/>
        </w:rPr>
        <w:t>,</w:t>
      </w:r>
      <w:r w:rsidR="00AB13E1" w:rsidRPr="00983193">
        <w:rPr>
          <w:rFonts w:ascii="Times New Roman" w:eastAsia="Calibri" w:hAnsi="Times New Roman" w:cs="Times New Roman"/>
          <w:color w:val="000000" w:themeColor="text1"/>
          <w:sz w:val="23"/>
          <w:szCs w:val="23"/>
          <w:lang w:val="en-US"/>
        </w:rPr>
        <w:t xml:space="preserve"> or </w:t>
      </w:r>
      <w:r w:rsidR="00483556">
        <w:rPr>
          <w:rFonts w:ascii="Times New Roman" w:eastAsia="Calibri" w:hAnsi="Times New Roman" w:cs="Times New Roman"/>
          <w:color w:val="000000" w:themeColor="text1"/>
          <w:sz w:val="23"/>
          <w:szCs w:val="23"/>
          <w:lang w:val="en-US"/>
        </w:rPr>
        <w:t xml:space="preserve">conversely, </w:t>
      </w:r>
      <w:r w:rsidR="00AB13E1" w:rsidRPr="00983193">
        <w:rPr>
          <w:rFonts w:ascii="Times New Roman" w:eastAsia="Calibri" w:hAnsi="Times New Roman" w:cs="Times New Roman"/>
          <w:color w:val="000000" w:themeColor="text1"/>
          <w:sz w:val="23"/>
          <w:szCs w:val="23"/>
          <w:lang w:val="en-US"/>
        </w:rPr>
        <w:t xml:space="preserve">as </w:t>
      </w:r>
      <w:r w:rsidR="00483556">
        <w:rPr>
          <w:rFonts w:ascii="Times New Roman" w:eastAsia="Calibri" w:hAnsi="Times New Roman" w:cs="Times New Roman"/>
          <w:color w:val="000000" w:themeColor="text1"/>
          <w:sz w:val="23"/>
          <w:szCs w:val="23"/>
          <w:lang w:val="en-US"/>
        </w:rPr>
        <w:t>argued</w:t>
      </w:r>
      <w:r w:rsidR="00483556" w:rsidRPr="00983193">
        <w:rPr>
          <w:rFonts w:ascii="Times New Roman" w:eastAsia="Calibri" w:hAnsi="Times New Roman" w:cs="Times New Roman"/>
          <w:color w:val="000000" w:themeColor="text1"/>
          <w:sz w:val="23"/>
          <w:szCs w:val="23"/>
          <w:lang w:val="en-US"/>
        </w:rPr>
        <w:t xml:space="preserve"> </w:t>
      </w:r>
      <w:r w:rsidR="00AB13E1" w:rsidRPr="00983193">
        <w:rPr>
          <w:rFonts w:ascii="Times New Roman" w:eastAsia="Calibri" w:hAnsi="Times New Roman" w:cs="Times New Roman"/>
          <w:color w:val="000000" w:themeColor="text1"/>
          <w:sz w:val="23"/>
          <w:szCs w:val="23"/>
          <w:lang w:val="en-US"/>
        </w:rPr>
        <w:t xml:space="preserve">by Leonard-Barton (1992), core competencies </w:t>
      </w:r>
      <w:r w:rsidR="00483556" w:rsidRPr="00983193">
        <w:rPr>
          <w:rFonts w:ascii="Times New Roman" w:eastAsia="Calibri" w:hAnsi="Times New Roman" w:cs="Times New Roman"/>
          <w:color w:val="000000" w:themeColor="text1"/>
          <w:sz w:val="23"/>
          <w:szCs w:val="23"/>
          <w:lang w:val="en-US"/>
        </w:rPr>
        <w:t>c</w:t>
      </w:r>
      <w:r w:rsidR="00483556">
        <w:rPr>
          <w:rFonts w:ascii="Times New Roman" w:eastAsia="Calibri" w:hAnsi="Times New Roman" w:cs="Times New Roman"/>
          <w:color w:val="000000" w:themeColor="text1"/>
          <w:sz w:val="23"/>
          <w:szCs w:val="23"/>
          <w:lang w:val="en-US"/>
        </w:rPr>
        <w:t>an</w:t>
      </w:r>
      <w:r w:rsidR="00483556" w:rsidRPr="00983193">
        <w:rPr>
          <w:rFonts w:ascii="Times New Roman" w:eastAsia="Calibri" w:hAnsi="Times New Roman" w:cs="Times New Roman"/>
          <w:color w:val="000000" w:themeColor="text1"/>
          <w:sz w:val="23"/>
          <w:szCs w:val="23"/>
          <w:lang w:val="en-US"/>
        </w:rPr>
        <w:t xml:space="preserve"> </w:t>
      </w:r>
      <w:r w:rsidR="00AB13E1" w:rsidRPr="00983193">
        <w:rPr>
          <w:rFonts w:ascii="Times New Roman" w:eastAsia="Calibri" w:hAnsi="Times New Roman" w:cs="Times New Roman"/>
          <w:color w:val="000000" w:themeColor="text1"/>
          <w:sz w:val="23"/>
          <w:szCs w:val="23"/>
          <w:lang w:val="en-US"/>
        </w:rPr>
        <w:t xml:space="preserve">inhibit firm growth </w:t>
      </w:r>
      <w:r w:rsidR="00483556">
        <w:rPr>
          <w:rFonts w:ascii="Times New Roman" w:eastAsia="Calibri" w:hAnsi="Times New Roman" w:cs="Times New Roman"/>
          <w:color w:val="000000" w:themeColor="text1"/>
          <w:sz w:val="23"/>
          <w:szCs w:val="23"/>
          <w:lang w:val="en-US"/>
        </w:rPr>
        <w:t>through time due to</w:t>
      </w:r>
      <w:r w:rsidR="00AB13E1" w:rsidRPr="00983193">
        <w:rPr>
          <w:rFonts w:ascii="Times New Roman" w:eastAsia="Calibri" w:hAnsi="Times New Roman" w:cs="Times New Roman"/>
          <w:color w:val="000000" w:themeColor="text1"/>
          <w:sz w:val="23"/>
          <w:szCs w:val="23"/>
          <w:lang w:val="en-US"/>
        </w:rPr>
        <w:t xml:space="preserve"> the</w:t>
      </w:r>
      <w:r w:rsidR="00483556">
        <w:rPr>
          <w:rFonts w:ascii="Times New Roman" w:eastAsia="Calibri" w:hAnsi="Times New Roman" w:cs="Times New Roman"/>
          <w:color w:val="000000" w:themeColor="text1"/>
          <w:sz w:val="23"/>
          <w:szCs w:val="23"/>
          <w:lang w:val="en-US"/>
        </w:rPr>
        <w:t>ir</w:t>
      </w:r>
      <w:r w:rsidR="00AB13E1" w:rsidRPr="00983193">
        <w:rPr>
          <w:rFonts w:ascii="Times New Roman" w:eastAsia="Calibri" w:hAnsi="Times New Roman" w:cs="Times New Roman"/>
          <w:color w:val="000000" w:themeColor="text1"/>
          <w:sz w:val="23"/>
          <w:szCs w:val="23"/>
          <w:lang w:val="en-US"/>
        </w:rPr>
        <w:t xml:space="preserve"> tendency to </w:t>
      </w:r>
      <w:r w:rsidR="00483556">
        <w:rPr>
          <w:rFonts w:ascii="Times New Roman" w:eastAsia="Calibri" w:hAnsi="Times New Roman" w:cs="Times New Roman"/>
          <w:color w:val="000000" w:themeColor="text1"/>
          <w:sz w:val="23"/>
          <w:szCs w:val="23"/>
          <w:lang w:val="en-US"/>
        </w:rPr>
        <w:t>convert</w:t>
      </w:r>
      <w:r w:rsidR="00483556" w:rsidRPr="00983193">
        <w:rPr>
          <w:rFonts w:ascii="Times New Roman" w:eastAsia="Calibri" w:hAnsi="Times New Roman" w:cs="Times New Roman"/>
          <w:color w:val="000000" w:themeColor="text1"/>
          <w:sz w:val="23"/>
          <w:szCs w:val="23"/>
          <w:lang w:val="en-US"/>
        </w:rPr>
        <w:t xml:space="preserve"> </w:t>
      </w:r>
      <w:r w:rsidR="00AB13E1" w:rsidRPr="00983193">
        <w:rPr>
          <w:rFonts w:ascii="Times New Roman" w:eastAsia="Calibri" w:hAnsi="Times New Roman" w:cs="Times New Roman"/>
          <w:color w:val="000000" w:themeColor="text1"/>
          <w:sz w:val="23"/>
          <w:szCs w:val="23"/>
          <w:lang w:val="en-US"/>
        </w:rPr>
        <w:t xml:space="preserve">them into core rigidities over the time. </w:t>
      </w:r>
    </w:p>
    <w:p w14:paraId="7F57FBAF" w14:textId="77777777" w:rsidR="00516503" w:rsidRPr="00983193" w:rsidRDefault="00516503" w:rsidP="00516503">
      <w:pPr>
        <w:spacing w:after="0" w:line="240" w:lineRule="auto"/>
        <w:jc w:val="both"/>
        <w:rPr>
          <w:rFonts w:ascii="Times New Roman" w:eastAsia="Calibri" w:hAnsi="Times New Roman" w:cs="Times New Roman"/>
          <w:color w:val="000000" w:themeColor="text1"/>
          <w:sz w:val="23"/>
          <w:szCs w:val="23"/>
          <w:lang w:val="en-US"/>
        </w:rPr>
      </w:pPr>
    </w:p>
    <w:p w14:paraId="6D5F5B36" w14:textId="77777777" w:rsidR="00EB353D" w:rsidRPr="00A53C54" w:rsidRDefault="00A80E4C" w:rsidP="00EB353D">
      <w:pPr>
        <w:spacing w:after="0" w:line="240" w:lineRule="auto"/>
        <w:jc w:val="both"/>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t>5.</w:t>
      </w:r>
      <w:r w:rsidR="00EB353D" w:rsidRPr="00A53C54">
        <w:rPr>
          <w:rFonts w:ascii="Times New Roman" w:hAnsi="Times New Roman" w:cs="Times New Roman"/>
          <w:b/>
          <w:color w:val="000000" w:themeColor="text1"/>
          <w:sz w:val="23"/>
          <w:szCs w:val="23"/>
          <w:lang w:val="en-US"/>
        </w:rPr>
        <w:t xml:space="preserve"> Research methodology and sample selection</w:t>
      </w:r>
    </w:p>
    <w:p w14:paraId="7E3B2385" w14:textId="77777777" w:rsidR="00B062BA" w:rsidRPr="00983193" w:rsidRDefault="00B062BA" w:rsidP="00EB353D">
      <w:pPr>
        <w:spacing w:after="0" w:line="240" w:lineRule="auto"/>
        <w:jc w:val="both"/>
        <w:rPr>
          <w:rFonts w:ascii="Times New Roman" w:hAnsi="Times New Roman" w:cs="Times New Roman"/>
          <w:color w:val="000000" w:themeColor="text1"/>
          <w:sz w:val="23"/>
          <w:szCs w:val="23"/>
          <w:lang w:val="en-US"/>
        </w:rPr>
      </w:pPr>
    </w:p>
    <w:p w14:paraId="3DCE9DBA" w14:textId="77777777" w:rsidR="00EB353D" w:rsidRDefault="00EB353D" w:rsidP="00EB353D">
      <w:pPr>
        <w:spacing w:after="0" w:line="240" w:lineRule="auto"/>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The study sample includes all Italian companies listed on the Electronic Market of the Milan Stock Exchange. Our study period commences in 2009 in order to avoid the direct effect of the global financial crisis on firm market </w:t>
      </w:r>
      <w:r w:rsidRPr="001855D6">
        <w:rPr>
          <w:rFonts w:ascii="Times New Roman" w:hAnsi="Times New Roman" w:cs="Times New Roman"/>
          <w:noProof/>
          <w:color w:val="000000" w:themeColor="text1"/>
          <w:sz w:val="23"/>
          <w:szCs w:val="23"/>
          <w:lang w:val="en-US"/>
        </w:rPr>
        <w:t>values</w:t>
      </w:r>
      <w:r w:rsidR="00E46925">
        <w:rPr>
          <w:rFonts w:ascii="Times New Roman" w:hAnsi="Times New Roman" w:cs="Times New Roman"/>
          <w:noProof/>
          <w:color w:val="000000" w:themeColor="text1"/>
          <w:sz w:val="23"/>
          <w:szCs w:val="23"/>
          <w:lang w:val="en-US"/>
        </w:rPr>
        <w:t>,</w:t>
      </w:r>
      <w:r w:rsidRPr="00983193">
        <w:rPr>
          <w:rFonts w:ascii="Times New Roman" w:hAnsi="Times New Roman" w:cs="Times New Roman"/>
          <w:color w:val="000000" w:themeColor="text1"/>
          <w:sz w:val="23"/>
          <w:szCs w:val="23"/>
          <w:lang w:val="en-US"/>
        </w:rPr>
        <w:t xml:space="preserve"> and extends to the year 201</w:t>
      </w:r>
      <w:r w:rsidR="00F95FA4" w:rsidRPr="00983193">
        <w:rPr>
          <w:rFonts w:ascii="Times New Roman" w:hAnsi="Times New Roman" w:cs="Times New Roman"/>
          <w:color w:val="000000" w:themeColor="text1"/>
          <w:sz w:val="23"/>
          <w:szCs w:val="23"/>
          <w:lang w:val="en-US"/>
        </w:rPr>
        <w:t>4</w:t>
      </w:r>
      <w:r w:rsidRPr="00983193">
        <w:rPr>
          <w:rFonts w:ascii="Times New Roman" w:hAnsi="Times New Roman" w:cs="Times New Roman"/>
          <w:color w:val="000000" w:themeColor="text1"/>
          <w:sz w:val="23"/>
          <w:szCs w:val="23"/>
          <w:lang w:val="en-US"/>
        </w:rPr>
        <w:t>.</w:t>
      </w:r>
      <w:r w:rsidR="00F95FA4" w:rsidRPr="00983193">
        <w:rPr>
          <w:rFonts w:ascii="Times New Roman" w:hAnsi="Times New Roman" w:cs="Times New Roman"/>
          <w:color w:val="000000" w:themeColor="text1"/>
          <w:sz w:val="23"/>
          <w:szCs w:val="23"/>
          <w:lang w:val="en-US"/>
        </w:rPr>
        <w:t xml:space="preserve"> </w:t>
      </w:r>
      <w:r w:rsidR="00E46925" w:rsidRPr="00983193">
        <w:rPr>
          <w:rFonts w:ascii="Times New Roman" w:hAnsi="Times New Roman" w:cs="Times New Roman"/>
          <w:color w:val="000000" w:themeColor="text1"/>
          <w:sz w:val="23"/>
          <w:szCs w:val="23"/>
          <w:lang w:val="en-US"/>
        </w:rPr>
        <w:t>A</w:t>
      </w:r>
      <w:r w:rsidR="00E46925">
        <w:rPr>
          <w:rFonts w:ascii="Times New Roman" w:hAnsi="Times New Roman" w:cs="Times New Roman"/>
          <w:color w:val="000000" w:themeColor="text1"/>
          <w:sz w:val="23"/>
          <w:szCs w:val="23"/>
          <w:lang w:val="en-US"/>
        </w:rPr>
        <w:t>ll of the a</w:t>
      </w:r>
      <w:r w:rsidR="00E46925" w:rsidRPr="00983193">
        <w:rPr>
          <w:rFonts w:ascii="Times New Roman" w:hAnsi="Times New Roman" w:cs="Times New Roman"/>
          <w:color w:val="000000" w:themeColor="text1"/>
          <w:sz w:val="23"/>
          <w:szCs w:val="23"/>
          <w:lang w:val="en-US"/>
        </w:rPr>
        <w:t>ccounting and financial market data are c</w:t>
      </w:r>
      <w:r w:rsidR="00E46925">
        <w:rPr>
          <w:rFonts w:ascii="Times New Roman" w:hAnsi="Times New Roman" w:cs="Times New Roman"/>
          <w:color w:val="000000" w:themeColor="text1"/>
          <w:sz w:val="23"/>
          <w:szCs w:val="23"/>
          <w:lang w:val="en-US"/>
        </w:rPr>
        <w:t>ollected from the AIDA Database</w:t>
      </w:r>
      <w:r w:rsidR="00E46925" w:rsidRPr="00983193">
        <w:rPr>
          <w:rFonts w:ascii="Times New Roman" w:hAnsi="Times New Roman" w:cs="Times New Roman"/>
          <w:color w:val="000000" w:themeColor="text1"/>
          <w:sz w:val="23"/>
          <w:szCs w:val="23"/>
          <w:lang w:val="en-US"/>
        </w:rPr>
        <w:t xml:space="preserve">. </w:t>
      </w:r>
      <w:r w:rsidR="00F95FA4" w:rsidRPr="00983193">
        <w:rPr>
          <w:rFonts w:ascii="Times New Roman" w:hAnsi="Times New Roman" w:cs="Times New Roman"/>
          <w:color w:val="000000" w:themeColor="text1"/>
          <w:sz w:val="23"/>
          <w:szCs w:val="23"/>
          <w:lang w:val="en-US"/>
        </w:rPr>
        <w:t xml:space="preserve">The </w:t>
      </w:r>
      <w:r w:rsidR="00E46925">
        <w:rPr>
          <w:rFonts w:ascii="Times New Roman" w:hAnsi="Times New Roman" w:cs="Times New Roman"/>
          <w:color w:val="000000" w:themeColor="text1"/>
          <w:sz w:val="23"/>
          <w:szCs w:val="23"/>
          <w:lang w:val="en-US"/>
        </w:rPr>
        <w:t>study sample ends</w:t>
      </w:r>
      <w:r w:rsidR="00F95FA4" w:rsidRPr="00983193">
        <w:rPr>
          <w:rFonts w:ascii="Times New Roman" w:hAnsi="Times New Roman" w:cs="Times New Roman"/>
          <w:color w:val="000000" w:themeColor="text1"/>
          <w:sz w:val="23"/>
          <w:szCs w:val="23"/>
          <w:lang w:val="en-US"/>
        </w:rPr>
        <w:t xml:space="preserve"> </w:t>
      </w:r>
      <w:r w:rsidR="00E46925">
        <w:rPr>
          <w:rFonts w:ascii="Times New Roman" w:hAnsi="Times New Roman" w:cs="Times New Roman"/>
          <w:color w:val="000000" w:themeColor="text1"/>
          <w:sz w:val="23"/>
          <w:szCs w:val="23"/>
          <w:lang w:val="en-US"/>
        </w:rPr>
        <w:t>in</w:t>
      </w:r>
      <w:r w:rsidR="00F95FA4" w:rsidRPr="00983193">
        <w:rPr>
          <w:rFonts w:ascii="Times New Roman" w:hAnsi="Times New Roman" w:cs="Times New Roman"/>
          <w:color w:val="000000" w:themeColor="text1"/>
          <w:sz w:val="23"/>
          <w:szCs w:val="23"/>
          <w:lang w:val="en-US"/>
        </w:rPr>
        <w:t xml:space="preserve"> 2014 </w:t>
      </w:r>
      <w:r w:rsidR="00E46925">
        <w:rPr>
          <w:rFonts w:ascii="Times New Roman" w:hAnsi="Times New Roman" w:cs="Times New Roman"/>
          <w:color w:val="000000" w:themeColor="text1"/>
          <w:sz w:val="23"/>
          <w:szCs w:val="23"/>
          <w:lang w:val="en-US"/>
        </w:rPr>
        <w:t>as</w:t>
      </w:r>
      <w:r w:rsidR="00E46925" w:rsidRPr="00983193">
        <w:rPr>
          <w:rFonts w:ascii="Times New Roman" w:hAnsi="Times New Roman" w:cs="Times New Roman"/>
          <w:color w:val="000000" w:themeColor="text1"/>
          <w:sz w:val="23"/>
          <w:szCs w:val="23"/>
          <w:lang w:val="en-US"/>
        </w:rPr>
        <w:t xml:space="preserve"> </w:t>
      </w:r>
      <w:r w:rsidR="00F95FA4" w:rsidRPr="00983193">
        <w:rPr>
          <w:rFonts w:ascii="Times New Roman" w:hAnsi="Times New Roman" w:cs="Times New Roman"/>
          <w:color w:val="000000" w:themeColor="text1"/>
          <w:sz w:val="23"/>
          <w:szCs w:val="23"/>
          <w:lang w:val="en-US"/>
        </w:rPr>
        <w:t xml:space="preserve">the </w:t>
      </w:r>
      <w:r w:rsidR="00E46925">
        <w:rPr>
          <w:rFonts w:ascii="Times New Roman" w:hAnsi="Times New Roman" w:cs="Times New Roman"/>
          <w:color w:val="000000" w:themeColor="text1"/>
          <w:sz w:val="23"/>
          <w:szCs w:val="23"/>
          <w:lang w:val="en-US"/>
        </w:rPr>
        <w:t xml:space="preserve">most recent </w:t>
      </w:r>
      <w:r w:rsidR="00F95FA4" w:rsidRPr="00983193">
        <w:rPr>
          <w:rFonts w:ascii="Times New Roman" w:hAnsi="Times New Roman" w:cs="Times New Roman"/>
          <w:color w:val="000000" w:themeColor="text1"/>
          <w:sz w:val="23"/>
          <w:szCs w:val="23"/>
          <w:lang w:val="en-US"/>
        </w:rPr>
        <w:t>return on ass</w:t>
      </w:r>
      <w:r w:rsidR="00A77E12" w:rsidRPr="00983193">
        <w:rPr>
          <w:rFonts w:ascii="Times New Roman" w:hAnsi="Times New Roman" w:cs="Times New Roman"/>
          <w:color w:val="000000" w:themeColor="text1"/>
          <w:sz w:val="23"/>
          <w:szCs w:val="23"/>
          <w:lang w:val="en-US"/>
        </w:rPr>
        <w:t xml:space="preserve">ets ratio </w:t>
      </w:r>
      <w:r w:rsidR="00E46925">
        <w:rPr>
          <w:rFonts w:ascii="Times New Roman" w:hAnsi="Times New Roman" w:cs="Times New Roman"/>
          <w:color w:val="000000" w:themeColor="text1"/>
          <w:sz w:val="23"/>
          <w:szCs w:val="23"/>
          <w:lang w:val="en-US"/>
        </w:rPr>
        <w:t>for</w:t>
      </w:r>
      <w:r w:rsidR="00A77E12" w:rsidRPr="00983193">
        <w:rPr>
          <w:rFonts w:ascii="Times New Roman" w:hAnsi="Times New Roman" w:cs="Times New Roman"/>
          <w:color w:val="000000" w:themeColor="text1"/>
          <w:sz w:val="23"/>
          <w:szCs w:val="23"/>
          <w:lang w:val="en-US"/>
        </w:rPr>
        <w:t xml:space="preserve"> the year </w:t>
      </w:r>
      <w:r w:rsidR="00E46925">
        <w:rPr>
          <w:rFonts w:ascii="Times New Roman" w:hAnsi="Times New Roman" w:cs="Times New Roman"/>
          <w:color w:val="000000" w:themeColor="text1"/>
          <w:sz w:val="23"/>
          <w:szCs w:val="23"/>
          <w:lang w:val="en-US"/>
        </w:rPr>
        <w:t>following</w:t>
      </w:r>
      <w:r w:rsidR="00E46925" w:rsidRPr="00983193">
        <w:rPr>
          <w:rFonts w:ascii="Times New Roman" w:hAnsi="Times New Roman" w:cs="Times New Roman"/>
          <w:color w:val="000000" w:themeColor="text1"/>
          <w:sz w:val="23"/>
          <w:szCs w:val="23"/>
          <w:lang w:val="en-US"/>
        </w:rPr>
        <w:t xml:space="preserve"> </w:t>
      </w:r>
      <w:r w:rsidR="00A77E12" w:rsidRPr="00983193">
        <w:rPr>
          <w:rFonts w:ascii="Times New Roman" w:hAnsi="Times New Roman" w:cs="Times New Roman"/>
          <w:color w:val="000000" w:themeColor="text1"/>
          <w:sz w:val="23"/>
          <w:szCs w:val="23"/>
          <w:lang w:val="en-US"/>
        </w:rPr>
        <w:t xml:space="preserve">that </w:t>
      </w:r>
      <w:r w:rsidR="00E46925">
        <w:rPr>
          <w:rFonts w:ascii="Times New Roman" w:hAnsi="Times New Roman" w:cs="Times New Roman"/>
          <w:color w:val="000000" w:themeColor="text1"/>
          <w:sz w:val="23"/>
          <w:szCs w:val="23"/>
          <w:lang w:val="en-US"/>
        </w:rPr>
        <w:t>in our</w:t>
      </w:r>
      <w:r w:rsidR="00A77E12" w:rsidRPr="00983193">
        <w:rPr>
          <w:rFonts w:ascii="Times New Roman" w:hAnsi="Times New Roman" w:cs="Times New Roman"/>
          <w:color w:val="000000" w:themeColor="text1"/>
          <w:sz w:val="23"/>
          <w:szCs w:val="23"/>
          <w:lang w:val="en-US"/>
        </w:rPr>
        <w:t xml:space="preserve"> analysis</w:t>
      </w:r>
      <w:r w:rsidR="00E46925">
        <w:rPr>
          <w:rFonts w:ascii="Times New Roman" w:hAnsi="Times New Roman" w:cs="Times New Roman"/>
          <w:color w:val="000000" w:themeColor="text1"/>
          <w:sz w:val="23"/>
          <w:szCs w:val="23"/>
          <w:lang w:val="en-US"/>
        </w:rPr>
        <w:t>,</w:t>
      </w:r>
      <w:r w:rsidR="00A77E12" w:rsidRPr="00983193">
        <w:rPr>
          <w:rFonts w:ascii="Times New Roman" w:hAnsi="Times New Roman" w:cs="Times New Roman"/>
          <w:color w:val="000000" w:themeColor="text1"/>
          <w:sz w:val="23"/>
          <w:szCs w:val="23"/>
          <w:lang w:val="en-US"/>
        </w:rPr>
        <w:t xml:space="preserve"> and the last year available on the AIDA Database at </w:t>
      </w:r>
      <w:r w:rsidR="00E46925">
        <w:rPr>
          <w:rFonts w:ascii="Times New Roman" w:hAnsi="Times New Roman" w:cs="Times New Roman"/>
          <w:color w:val="000000" w:themeColor="text1"/>
          <w:sz w:val="23"/>
          <w:szCs w:val="23"/>
          <w:lang w:val="en-US"/>
        </w:rPr>
        <w:t>the time of writing,</w:t>
      </w:r>
      <w:r w:rsidR="00A77E12" w:rsidRPr="00983193">
        <w:rPr>
          <w:rFonts w:ascii="Times New Roman" w:hAnsi="Times New Roman" w:cs="Times New Roman"/>
          <w:color w:val="000000" w:themeColor="text1"/>
          <w:sz w:val="23"/>
          <w:szCs w:val="23"/>
          <w:lang w:val="en-US"/>
        </w:rPr>
        <w:t xml:space="preserve"> </w:t>
      </w:r>
      <w:r w:rsidR="00E46925">
        <w:rPr>
          <w:rFonts w:ascii="Times New Roman" w:hAnsi="Times New Roman" w:cs="Times New Roman"/>
          <w:color w:val="000000" w:themeColor="text1"/>
          <w:sz w:val="23"/>
          <w:szCs w:val="23"/>
          <w:lang w:val="en-US"/>
        </w:rPr>
        <w:t>is</w:t>
      </w:r>
      <w:r w:rsidR="00E46925" w:rsidRPr="00983193">
        <w:rPr>
          <w:rFonts w:ascii="Times New Roman" w:hAnsi="Times New Roman" w:cs="Times New Roman"/>
          <w:color w:val="000000" w:themeColor="text1"/>
          <w:sz w:val="23"/>
          <w:szCs w:val="23"/>
          <w:lang w:val="en-US"/>
        </w:rPr>
        <w:t xml:space="preserve"> </w:t>
      </w:r>
      <w:r w:rsidR="00E46925">
        <w:rPr>
          <w:rFonts w:ascii="Times New Roman" w:hAnsi="Times New Roman" w:cs="Times New Roman"/>
          <w:color w:val="000000" w:themeColor="text1"/>
          <w:sz w:val="23"/>
          <w:szCs w:val="23"/>
          <w:lang w:val="en-US"/>
        </w:rPr>
        <w:t xml:space="preserve">for </w:t>
      </w:r>
      <w:r w:rsidR="00A77E12" w:rsidRPr="00983193">
        <w:rPr>
          <w:rFonts w:ascii="Times New Roman" w:hAnsi="Times New Roman" w:cs="Times New Roman"/>
          <w:color w:val="000000" w:themeColor="text1"/>
          <w:sz w:val="23"/>
          <w:szCs w:val="23"/>
          <w:lang w:val="en-US"/>
        </w:rPr>
        <w:t>the year 2015.</w:t>
      </w:r>
      <w:r w:rsidRPr="00983193">
        <w:rPr>
          <w:rFonts w:ascii="Times New Roman" w:hAnsi="Times New Roman" w:cs="Times New Roman"/>
          <w:color w:val="000000" w:themeColor="text1"/>
          <w:sz w:val="23"/>
          <w:szCs w:val="23"/>
          <w:lang w:val="en-US"/>
        </w:rPr>
        <w:t xml:space="preserve"> The sample initially include</w:t>
      </w:r>
      <w:r w:rsidR="00E46925">
        <w:rPr>
          <w:rFonts w:ascii="Times New Roman" w:hAnsi="Times New Roman" w:cs="Times New Roman"/>
          <w:color w:val="000000" w:themeColor="text1"/>
          <w:sz w:val="23"/>
          <w:szCs w:val="23"/>
          <w:lang w:val="en-US"/>
        </w:rPr>
        <w:t>s</w:t>
      </w:r>
      <w:r w:rsidRPr="00983193">
        <w:rPr>
          <w:rFonts w:ascii="Times New Roman" w:hAnsi="Times New Roman" w:cs="Times New Roman"/>
          <w:color w:val="000000" w:themeColor="text1"/>
          <w:sz w:val="23"/>
          <w:szCs w:val="23"/>
          <w:lang w:val="en-US"/>
        </w:rPr>
        <w:t xml:space="preserve"> </w:t>
      </w:r>
      <w:r w:rsidR="00BC4F5F" w:rsidRPr="00983193">
        <w:rPr>
          <w:rFonts w:ascii="Times New Roman" w:hAnsi="Times New Roman" w:cs="Times New Roman"/>
          <w:color w:val="000000" w:themeColor="text1"/>
          <w:sz w:val="23"/>
          <w:szCs w:val="23"/>
          <w:lang w:val="en-US"/>
        </w:rPr>
        <w:t>221</w:t>
      </w:r>
      <w:r w:rsidRPr="00983193">
        <w:rPr>
          <w:rFonts w:ascii="Times New Roman" w:hAnsi="Times New Roman" w:cs="Times New Roman"/>
          <w:color w:val="000000" w:themeColor="text1"/>
          <w:sz w:val="23"/>
          <w:szCs w:val="23"/>
          <w:lang w:val="en-US"/>
        </w:rPr>
        <w:t xml:space="preserve"> companies, representing all Italian firms listed </w:t>
      </w:r>
      <w:r w:rsidR="00E46925">
        <w:rPr>
          <w:rFonts w:ascii="Times New Roman" w:hAnsi="Times New Roman" w:cs="Times New Roman"/>
          <w:color w:val="000000" w:themeColor="text1"/>
          <w:sz w:val="23"/>
          <w:szCs w:val="23"/>
          <w:lang w:val="en-US"/>
        </w:rPr>
        <w:t>as at</w:t>
      </w:r>
      <w:r w:rsidRPr="00983193">
        <w:rPr>
          <w:rFonts w:ascii="Times New Roman" w:hAnsi="Times New Roman" w:cs="Times New Roman"/>
          <w:color w:val="000000" w:themeColor="text1"/>
          <w:sz w:val="23"/>
          <w:szCs w:val="23"/>
          <w:lang w:val="en-US"/>
        </w:rPr>
        <w:t xml:space="preserve"> 2009. From this sample, firms that were delisted due to mergers, acquisitions, or bankruptcy, and firms with missing data </w:t>
      </w:r>
      <w:r w:rsidR="00E46925">
        <w:rPr>
          <w:rFonts w:ascii="Times New Roman" w:hAnsi="Times New Roman" w:cs="Times New Roman"/>
          <w:color w:val="000000" w:themeColor="text1"/>
          <w:sz w:val="23"/>
          <w:szCs w:val="23"/>
          <w:lang w:val="en-US"/>
        </w:rPr>
        <w:t>a</w:t>
      </w:r>
      <w:r w:rsidRPr="00983193">
        <w:rPr>
          <w:rFonts w:ascii="Times New Roman" w:hAnsi="Times New Roman" w:cs="Times New Roman"/>
          <w:color w:val="000000" w:themeColor="text1"/>
          <w:sz w:val="23"/>
          <w:szCs w:val="23"/>
          <w:lang w:val="en-US"/>
        </w:rPr>
        <w:t xml:space="preserve">re removed, arriving at a final balanced panel of </w:t>
      </w:r>
      <w:r w:rsidR="00864012" w:rsidRPr="00983193">
        <w:rPr>
          <w:rFonts w:ascii="Times New Roman" w:hAnsi="Times New Roman" w:cs="Times New Roman"/>
          <w:color w:val="000000" w:themeColor="text1"/>
          <w:sz w:val="23"/>
          <w:szCs w:val="23"/>
          <w:lang w:val="en-US"/>
        </w:rPr>
        <w:t>122</w:t>
      </w:r>
      <w:r w:rsidRPr="00983193">
        <w:rPr>
          <w:rFonts w:ascii="Times New Roman" w:hAnsi="Times New Roman" w:cs="Times New Roman"/>
          <w:color w:val="000000" w:themeColor="text1"/>
          <w:sz w:val="23"/>
          <w:szCs w:val="23"/>
          <w:lang w:val="en-US"/>
        </w:rPr>
        <w:t xml:space="preserve"> listed firms, </w:t>
      </w:r>
      <w:r w:rsidR="00E46925">
        <w:rPr>
          <w:rFonts w:ascii="Times New Roman" w:hAnsi="Times New Roman" w:cs="Times New Roman"/>
          <w:color w:val="000000" w:themeColor="text1"/>
          <w:sz w:val="23"/>
          <w:szCs w:val="23"/>
          <w:lang w:val="en-US"/>
        </w:rPr>
        <w:t xml:space="preserve">thereby </w:t>
      </w:r>
      <w:r w:rsidRPr="00983193">
        <w:rPr>
          <w:rFonts w:ascii="Times New Roman" w:hAnsi="Times New Roman" w:cs="Times New Roman"/>
          <w:color w:val="000000" w:themeColor="text1"/>
          <w:sz w:val="23"/>
          <w:szCs w:val="23"/>
          <w:lang w:val="en-US"/>
        </w:rPr>
        <w:t xml:space="preserve">giving </w:t>
      </w:r>
      <w:r w:rsidR="008C3B14" w:rsidRPr="00983193">
        <w:rPr>
          <w:rFonts w:ascii="Times New Roman" w:hAnsi="Times New Roman" w:cs="Times New Roman"/>
          <w:color w:val="000000" w:themeColor="text1"/>
          <w:sz w:val="23"/>
          <w:szCs w:val="23"/>
          <w:lang w:val="en-US"/>
        </w:rPr>
        <w:t>732</w:t>
      </w:r>
      <w:r w:rsidRPr="00983193">
        <w:rPr>
          <w:rFonts w:ascii="Times New Roman" w:hAnsi="Times New Roman" w:cs="Times New Roman"/>
          <w:color w:val="000000" w:themeColor="text1"/>
          <w:sz w:val="23"/>
          <w:szCs w:val="23"/>
          <w:lang w:val="en-US"/>
        </w:rPr>
        <w:t xml:space="preserve"> firm-year observations, as shown in Table I. </w:t>
      </w:r>
    </w:p>
    <w:p w14:paraId="3A85BE84" w14:textId="77777777" w:rsidR="00E46925" w:rsidRDefault="00E46925" w:rsidP="00EB353D">
      <w:pPr>
        <w:spacing w:after="0" w:line="240" w:lineRule="auto"/>
        <w:jc w:val="both"/>
        <w:rPr>
          <w:rFonts w:ascii="Times New Roman" w:hAnsi="Times New Roman" w:cs="Times New Roman"/>
          <w:color w:val="000000" w:themeColor="text1"/>
          <w:sz w:val="23"/>
          <w:szCs w:val="23"/>
          <w:lang w:val="en-US"/>
        </w:rPr>
      </w:pPr>
    </w:p>
    <w:p w14:paraId="37EA8E8B" w14:textId="77777777" w:rsidR="00E46925" w:rsidRPr="00A53C54" w:rsidRDefault="00E46925" w:rsidP="00A53C54">
      <w:pPr>
        <w:spacing w:after="0" w:line="240" w:lineRule="auto"/>
        <w:jc w:val="center"/>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t>[Insert Table 1 here]</w:t>
      </w:r>
    </w:p>
    <w:p w14:paraId="3C6B3400" w14:textId="77777777" w:rsidR="00261559" w:rsidRPr="00983193" w:rsidRDefault="00751A7D" w:rsidP="00261559">
      <w:pPr>
        <w:spacing w:after="0" w:line="240" w:lineRule="auto"/>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85034C">
        <w:rPr>
          <w:rFonts w:ascii="Times New Roman" w:hAnsi="Times New Roman" w:cs="Times New Roman"/>
          <w:color w:val="000000" w:themeColor="text1"/>
          <w:sz w:val="23"/>
          <w:szCs w:val="23"/>
          <w:lang w:val="en-US"/>
        </w:rPr>
        <w:t>As discussed in the literature review above,</w:t>
      </w:r>
      <w:r w:rsidR="00631055" w:rsidRPr="00983193">
        <w:rPr>
          <w:rFonts w:ascii="Times New Roman" w:hAnsi="Times New Roman" w:cs="Times New Roman"/>
          <w:color w:val="000000" w:themeColor="text1"/>
          <w:sz w:val="23"/>
          <w:szCs w:val="23"/>
          <w:lang w:val="en-US"/>
        </w:rPr>
        <w:t xml:space="preserve"> </w:t>
      </w:r>
      <w:r w:rsidR="009D65BB" w:rsidRPr="00983193">
        <w:rPr>
          <w:rFonts w:ascii="Times New Roman" w:hAnsi="Times New Roman" w:cs="Times New Roman"/>
          <w:color w:val="000000" w:themeColor="text1"/>
          <w:sz w:val="23"/>
          <w:szCs w:val="23"/>
          <w:lang w:val="en-US"/>
        </w:rPr>
        <w:t xml:space="preserve">two </w:t>
      </w:r>
      <w:r w:rsidR="00C956BE">
        <w:rPr>
          <w:rFonts w:ascii="Times New Roman" w:hAnsi="Times New Roman" w:cs="Times New Roman"/>
          <w:color w:val="000000" w:themeColor="text1"/>
          <w:sz w:val="23"/>
          <w:szCs w:val="23"/>
          <w:lang w:val="en-US"/>
        </w:rPr>
        <w:t>alternative</w:t>
      </w:r>
      <w:r w:rsidR="00C956BE" w:rsidRPr="00983193">
        <w:rPr>
          <w:rFonts w:ascii="Times New Roman" w:hAnsi="Times New Roman" w:cs="Times New Roman"/>
          <w:color w:val="000000" w:themeColor="text1"/>
          <w:sz w:val="23"/>
          <w:szCs w:val="23"/>
          <w:lang w:val="en-US"/>
        </w:rPr>
        <w:t xml:space="preserve"> </w:t>
      </w:r>
      <w:r w:rsidR="009D65BB" w:rsidRPr="00983193">
        <w:rPr>
          <w:rFonts w:ascii="Times New Roman" w:hAnsi="Times New Roman" w:cs="Times New Roman"/>
          <w:color w:val="000000" w:themeColor="text1"/>
          <w:sz w:val="23"/>
          <w:szCs w:val="23"/>
          <w:lang w:val="en-US"/>
        </w:rPr>
        <w:t>dependent variables to measure IC value</w:t>
      </w:r>
      <w:r w:rsidR="00C956BE">
        <w:rPr>
          <w:rFonts w:ascii="Times New Roman" w:hAnsi="Times New Roman" w:cs="Times New Roman"/>
          <w:color w:val="000000" w:themeColor="text1"/>
          <w:sz w:val="23"/>
          <w:szCs w:val="23"/>
          <w:lang w:val="en-US"/>
        </w:rPr>
        <w:t>:</w:t>
      </w:r>
      <w:r w:rsidR="009D65BB" w:rsidRPr="00983193">
        <w:rPr>
          <w:rFonts w:ascii="Times New Roman" w:hAnsi="Times New Roman" w:cs="Times New Roman"/>
          <w:color w:val="000000" w:themeColor="text1"/>
          <w:sz w:val="23"/>
          <w:szCs w:val="23"/>
          <w:lang w:val="en-US"/>
        </w:rPr>
        <w:t xml:space="preserve"> </w:t>
      </w:r>
      <w:r w:rsidR="00C956BE">
        <w:rPr>
          <w:rFonts w:ascii="Times New Roman" w:hAnsi="Times New Roman" w:cs="Times New Roman"/>
          <w:color w:val="000000" w:themeColor="text1"/>
          <w:sz w:val="23"/>
          <w:szCs w:val="23"/>
          <w:lang w:val="en-US"/>
        </w:rPr>
        <w:t xml:space="preserve">(i) </w:t>
      </w:r>
      <w:r w:rsidR="009D65BB" w:rsidRPr="00983193">
        <w:rPr>
          <w:rFonts w:ascii="Times New Roman" w:hAnsi="Times New Roman" w:cs="Times New Roman"/>
          <w:color w:val="000000" w:themeColor="text1"/>
          <w:sz w:val="23"/>
          <w:szCs w:val="23"/>
          <w:lang w:val="en-US"/>
        </w:rPr>
        <w:t xml:space="preserve">the </w:t>
      </w:r>
      <w:r w:rsidR="00826468" w:rsidRPr="00983193">
        <w:rPr>
          <w:rFonts w:ascii="Times New Roman" w:hAnsi="Times New Roman" w:cs="Times New Roman"/>
          <w:color w:val="000000" w:themeColor="text1"/>
          <w:sz w:val="23"/>
          <w:szCs w:val="23"/>
          <w:lang w:val="en-US"/>
        </w:rPr>
        <w:t>market-to-book ratio</w:t>
      </w:r>
      <w:r w:rsidR="009D65BB" w:rsidRPr="00983193">
        <w:rPr>
          <w:rFonts w:ascii="Times New Roman" w:hAnsi="Times New Roman" w:cs="Times New Roman"/>
          <w:color w:val="000000" w:themeColor="text1"/>
          <w:sz w:val="23"/>
          <w:szCs w:val="23"/>
          <w:lang w:val="en-US"/>
        </w:rPr>
        <w:t xml:space="preserve"> (</w:t>
      </w:r>
      <w:r w:rsidR="00C956BE">
        <w:rPr>
          <w:rFonts w:ascii="Times New Roman" w:hAnsi="Times New Roman" w:cs="Times New Roman"/>
          <w:color w:val="000000" w:themeColor="text1"/>
          <w:sz w:val="23"/>
          <w:szCs w:val="23"/>
          <w:lang w:val="en-US"/>
        </w:rPr>
        <w:t>consistent with the</w:t>
      </w:r>
      <w:r w:rsidR="009D65BB" w:rsidRPr="00983193">
        <w:rPr>
          <w:rFonts w:ascii="Times New Roman" w:hAnsi="Times New Roman" w:cs="Times New Roman"/>
          <w:color w:val="000000" w:themeColor="text1"/>
          <w:sz w:val="23"/>
          <w:szCs w:val="23"/>
          <w:lang w:val="en-US"/>
        </w:rPr>
        <w:t xml:space="preserve"> market capitalization method)</w:t>
      </w:r>
      <w:r w:rsidR="00C956BE">
        <w:rPr>
          <w:rFonts w:ascii="Times New Roman" w:hAnsi="Times New Roman" w:cs="Times New Roman"/>
          <w:color w:val="000000" w:themeColor="text1"/>
          <w:sz w:val="23"/>
          <w:szCs w:val="23"/>
          <w:lang w:val="en-US"/>
        </w:rPr>
        <w:t xml:space="preserve"> and (ii)</w:t>
      </w:r>
      <w:r w:rsidR="009D65BB" w:rsidRPr="00983193">
        <w:rPr>
          <w:rFonts w:ascii="Times New Roman" w:hAnsi="Times New Roman" w:cs="Times New Roman"/>
          <w:color w:val="000000" w:themeColor="text1"/>
          <w:sz w:val="23"/>
          <w:szCs w:val="23"/>
          <w:lang w:val="en-US"/>
        </w:rPr>
        <w:t xml:space="preserve"> the VAIC (</w:t>
      </w:r>
      <w:r w:rsidR="00C956BE">
        <w:rPr>
          <w:rFonts w:ascii="Times New Roman" w:hAnsi="Times New Roman" w:cs="Times New Roman"/>
          <w:color w:val="000000" w:themeColor="text1"/>
          <w:sz w:val="23"/>
          <w:szCs w:val="23"/>
          <w:lang w:val="en-US"/>
        </w:rPr>
        <w:t>consistent with the</w:t>
      </w:r>
      <w:r w:rsidR="009D65BB" w:rsidRPr="00983193">
        <w:rPr>
          <w:rFonts w:ascii="Times New Roman" w:hAnsi="Times New Roman" w:cs="Times New Roman"/>
          <w:color w:val="000000" w:themeColor="text1"/>
          <w:sz w:val="23"/>
          <w:szCs w:val="23"/>
          <w:lang w:val="en-US"/>
        </w:rPr>
        <w:t xml:space="preserve"> return on assets method</w:t>
      </w:r>
      <w:r w:rsidR="00826468" w:rsidRPr="00983193">
        <w:rPr>
          <w:rFonts w:ascii="Times New Roman" w:hAnsi="Times New Roman" w:cs="Times New Roman"/>
          <w:color w:val="000000" w:themeColor="text1"/>
          <w:sz w:val="23"/>
          <w:szCs w:val="23"/>
          <w:lang w:val="en-US"/>
        </w:rPr>
        <w:t>)</w:t>
      </w:r>
      <w:r w:rsidR="009D65BB" w:rsidRPr="00983193">
        <w:rPr>
          <w:rFonts w:ascii="Times New Roman" w:hAnsi="Times New Roman" w:cs="Times New Roman"/>
          <w:color w:val="000000" w:themeColor="text1"/>
          <w:sz w:val="23"/>
          <w:szCs w:val="23"/>
          <w:lang w:val="en-US"/>
        </w:rPr>
        <w:t>. The market-to-book ratio is</w:t>
      </w:r>
      <w:r w:rsidR="00E11D90" w:rsidRPr="00983193">
        <w:rPr>
          <w:rFonts w:ascii="Times New Roman" w:hAnsi="Times New Roman" w:cs="Times New Roman"/>
          <w:color w:val="000000" w:themeColor="text1"/>
          <w:sz w:val="23"/>
          <w:szCs w:val="23"/>
          <w:lang w:val="en-US"/>
        </w:rPr>
        <w:t xml:space="preserve"> </w:t>
      </w:r>
      <w:r w:rsidR="00C956BE">
        <w:rPr>
          <w:rFonts w:ascii="Times New Roman" w:hAnsi="Times New Roman" w:cs="Times New Roman"/>
          <w:color w:val="000000" w:themeColor="text1"/>
          <w:sz w:val="23"/>
          <w:szCs w:val="23"/>
          <w:lang w:val="en-US"/>
        </w:rPr>
        <w:t>measured in terms of</w:t>
      </w:r>
      <w:r w:rsidR="00E11D90" w:rsidRPr="00983193">
        <w:rPr>
          <w:rFonts w:ascii="Times New Roman" w:hAnsi="Times New Roman" w:cs="Times New Roman"/>
          <w:color w:val="000000" w:themeColor="text1"/>
          <w:sz w:val="23"/>
          <w:szCs w:val="23"/>
          <w:lang w:val="en-US"/>
        </w:rPr>
        <w:t xml:space="preserve"> the mean of the </w:t>
      </w:r>
      <w:r w:rsidR="00C956BE">
        <w:rPr>
          <w:rFonts w:ascii="Times New Roman" w:hAnsi="Times New Roman" w:cs="Times New Roman"/>
          <w:color w:val="000000" w:themeColor="text1"/>
          <w:sz w:val="23"/>
          <w:szCs w:val="23"/>
          <w:lang w:val="en-US"/>
        </w:rPr>
        <w:t>opening</w:t>
      </w:r>
      <w:r w:rsidR="00C956BE" w:rsidRPr="00983193">
        <w:rPr>
          <w:rFonts w:ascii="Times New Roman" w:hAnsi="Times New Roman" w:cs="Times New Roman"/>
          <w:color w:val="000000" w:themeColor="text1"/>
          <w:sz w:val="23"/>
          <w:szCs w:val="23"/>
          <w:lang w:val="en-US"/>
        </w:rPr>
        <w:t xml:space="preserve"> </w:t>
      </w:r>
      <w:r w:rsidR="00E11D90" w:rsidRPr="00983193">
        <w:rPr>
          <w:rFonts w:ascii="Times New Roman" w:hAnsi="Times New Roman" w:cs="Times New Roman"/>
          <w:color w:val="000000" w:themeColor="text1"/>
          <w:sz w:val="23"/>
          <w:szCs w:val="23"/>
          <w:lang w:val="en-US"/>
        </w:rPr>
        <w:t xml:space="preserve">and </w:t>
      </w:r>
      <w:r w:rsidR="00C956BE">
        <w:rPr>
          <w:rFonts w:ascii="Times New Roman" w:hAnsi="Times New Roman" w:cs="Times New Roman"/>
          <w:color w:val="000000" w:themeColor="text1"/>
          <w:sz w:val="23"/>
          <w:szCs w:val="23"/>
          <w:lang w:val="en-US"/>
        </w:rPr>
        <w:t xml:space="preserve">closing </w:t>
      </w:r>
      <w:r w:rsidR="00E11D90" w:rsidRPr="00983193">
        <w:rPr>
          <w:rFonts w:ascii="Times New Roman" w:hAnsi="Times New Roman" w:cs="Times New Roman"/>
          <w:color w:val="000000" w:themeColor="text1"/>
          <w:sz w:val="23"/>
          <w:szCs w:val="23"/>
          <w:lang w:val="en-US"/>
        </w:rPr>
        <w:t xml:space="preserve">value of the market to book ratio. We use the mean </w:t>
      </w:r>
      <w:r w:rsidR="009D65BB" w:rsidRPr="00983193">
        <w:rPr>
          <w:rFonts w:ascii="Times New Roman" w:hAnsi="Times New Roman" w:cs="Times New Roman"/>
          <w:color w:val="000000" w:themeColor="text1"/>
          <w:sz w:val="23"/>
          <w:szCs w:val="23"/>
          <w:lang w:val="en-US"/>
        </w:rPr>
        <w:t xml:space="preserve">value of this ratio and not </w:t>
      </w:r>
      <w:r w:rsidR="00C956BE">
        <w:rPr>
          <w:rFonts w:ascii="Times New Roman" w:hAnsi="Times New Roman" w:cs="Times New Roman"/>
          <w:color w:val="000000" w:themeColor="text1"/>
          <w:sz w:val="23"/>
          <w:szCs w:val="23"/>
          <w:lang w:val="en-US"/>
        </w:rPr>
        <w:t>its closing</w:t>
      </w:r>
      <w:r w:rsidR="00C956BE" w:rsidRPr="00983193">
        <w:rPr>
          <w:rFonts w:ascii="Times New Roman" w:hAnsi="Times New Roman" w:cs="Times New Roman"/>
          <w:color w:val="000000" w:themeColor="text1"/>
          <w:sz w:val="23"/>
          <w:szCs w:val="23"/>
          <w:lang w:val="en-US"/>
        </w:rPr>
        <w:t xml:space="preserve"> </w:t>
      </w:r>
      <w:r w:rsidR="009D65BB" w:rsidRPr="00983193">
        <w:rPr>
          <w:rFonts w:ascii="Times New Roman" w:hAnsi="Times New Roman" w:cs="Times New Roman"/>
          <w:color w:val="000000" w:themeColor="text1"/>
          <w:sz w:val="23"/>
          <w:szCs w:val="23"/>
          <w:lang w:val="en-US"/>
        </w:rPr>
        <w:t xml:space="preserve">value </w:t>
      </w:r>
      <w:r w:rsidR="00E11D90" w:rsidRPr="00983193">
        <w:rPr>
          <w:rFonts w:ascii="Times New Roman" w:hAnsi="Times New Roman" w:cs="Times New Roman"/>
          <w:color w:val="000000" w:themeColor="text1"/>
          <w:sz w:val="23"/>
          <w:szCs w:val="23"/>
          <w:lang w:val="en-US"/>
        </w:rPr>
        <w:t xml:space="preserve">in order to </w:t>
      </w:r>
      <w:r w:rsidR="00C956BE">
        <w:rPr>
          <w:rFonts w:ascii="Times New Roman" w:hAnsi="Times New Roman" w:cs="Times New Roman"/>
          <w:color w:val="000000" w:themeColor="text1"/>
          <w:sz w:val="23"/>
          <w:szCs w:val="23"/>
          <w:lang w:val="en-US"/>
        </w:rPr>
        <w:t>smooth some of</w:t>
      </w:r>
      <w:r w:rsidR="00C956BE" w:rsidRPr="00983193">
        <w:rPr>
          <w:rFonts w:ascii="Times New Roman" w:hAnsi="Times New Roman" w:cs="Times New Roman"/>
          <w:color w:val="000000" w:themeColor="text1"/>
          <w:sz w:val="23"/>
          <w:szCs w:val="23"/>
          <w:lang w:val="en-US"/>
        </w:rPr>
        <w:t xml:space="preserve"> </w:t>
      </w:r>
      <w:r w:rsidR="009D65BB" w:rsidRPr="00983193">
        <w:rPr>
          <w:rFonts w:ascii="Times New Roman" w:hAnsi="Times New Roman" w:cs="Times New Roman"/>
          <w:color w:val="000000" w:themeColor="text1"/>
          <w:sz w:val="23"/>
          <w:szCs w:val="23"/>
          <w:lang w:val="en-US"/>
        </w:rPr>
        <w:t>its</w:t>
      </w:r>
      <w:r w:rsidR="00E11D90" w:rsidRPr="00983193">
        <w:rPr>
          <w:rFonts w:ascii="Times New Roman" w:hAnsi="Times New Roman" w:cs="Times New Roman"/>
          <w:color w:val="000000" w:themeColor="text1"/>
          <w:sz w:val="23"/>
          <w:szCs w:val="23"/>
          <w:lang w:val="en-US"/>
        </w:rPr>
        <w:t xml:space="preserve"> volatility in </w:t>
      </w:r>
      <w:r w:rsidR="00C956BE">
        <w:rPr>
          <w:rFonts w:ascii="Times New Roman" w:hAnsi="Times New Roman" w:cs="Times New Roman"/>
          <w:color w:val="000000" w:themeColor="text1"/>
          <w:sz w:val="23"/>
          <w:szCs w:val="23"/>
          <w:lang w:val="en-US"/>
        </w:rPr>
        <w:t>a given</w:t>
      </w:r>
      <w:r w:rsidR="00C956BE" w:rsidRPr="00983193">
        <w:rPr>
          <w:rFonts w:ascii="Times New Roman" w:hAnsi="Times New Roman" w:cs="Times New Roman"/>
          <w:color w:val="000000" w:themeColor="text1"/>
          <w:sz w:val="23"/>
          <w:szCs w:val="23"/>
          <w:lang w:val="en-US"/>
        </w:rPr>
        <w:t xml:space="preserve"> </w:t>
      </w:r>
      <w:r w:rsidR="00E11D90" w:rsidRPr="00983193">
        <w:rPr>
          <w:rFonts w:ascii="Times New Roman" w:hAnsi="Times New Roman" w:cs="Times New Roman"/>
          <w:color w:val="000000" w:themeColor="text1"/>
          <w:sz w:val="23"/>
          <w:szCs w:val="23"/>
          <w:lang w:val="en-US"/>
        </w:rPr>
        <w:t>year.</w:t>
      </w:r>
      <w:r w:rsidR="00261559" w:rsidRPr="00983193">
        <w:rPr>
          <w:rFonts w:ascii="Times New Roman" w:hAnsi="Times New Roman" w:cs="Times New Roman"/>
          <w:color w:val="000000" w:themeColor="text1"/>
          <w:sz w:val="23"/>
          <w:szCs w:val="23"/>
          <w:lang w:val="en-US"/>
        </w:rPr>
        <w:t xml:space="preserve"> In a departure from the recent </w:t>
      </w:r>
      <w:r w:rsidR="00C956BE">
        <w:rPr>
          <w:rFonts w:ascii="Times New Roman" w:hAnsi="Times New Roman" w:cs="Times New Roman"/>
          <w:color w:val="000000" w:themeColor="text1"/>
          <w:sz w:val="23"/>
          <w:szCs w:val="23"/>
          <w:lang w:val="en-US"/>
        </w:rPr>
        <w:t xml:space="preserve">extant </w:t>
      </w:r>
      <w:r w:rsidR="00261559" w:rsidRPr="00983193">
        <w:rPr>
          <w:rFonts w:ascii="Times New Roman" w:hAnsi="Times New Roman" w:cs="Times New Roman"/>
          <w:color w:val="000000" w:themeColor="text1"/>
          <w:sz w:val="23"/>
          <w:szCs w:val="23"/>
          <w:lang w:val="en-US"/>
        </w:rPr>
        <w:t>literature (Maditinos, 2011; Morariu, 2014; Goebel, 2015), this paper focuse</w:t>
      </w:r>
      <w:r w:rsidR="00C956BE">
        <w:rPr>
          <w:rFonts w:ascii="Times New Roman" w:hAnsi="Times New Roman" w:cs="Times New Roman"/>
          <w:color w:val="000000" w:themeColor="text1"/>
          <w:sz w:val="23"/>
          <w:szCs w:val="23"/>
          <w:lang w:val="en-US"/>
        </w:rPr>
        <w:t>s</w:t>
      </w:r>
      <w:r w:rsidR="00261559" w:rsidRPr="00983193">
        <w:rPr>
          <w:rFonts w:ascii="Times New Roman" w:hAnsi="Times New Roman" w:cs="Times New Roman"/>
          <w:color w:val="000000" w:themeColor="text1"/>
          <w:sz w:val="23"/>
          <w:szCs w:val="23"/>
          <w:lang w:val="en-US"/>
        </w:rPr>
        <w:t xml:space="preserve"> on the M</w:t>
      </w:r>
      <w:r w:rsidR="00144A5C">
        <w:rPr>
          <w:rFonts w:ascii="Times New Roman" w:hAnsi="Times New Roman" w:cs="Times New Roman"/>
          <w:color w:val="000000" w:themeColor="text1"/>
          <w:sz w:val="23"/>
          <w:szCs w:val="23"/>
          <w:lang w:val="en-US"/>
        </w:rPr>
        <w:t>t</w:t>
      </w:r>
      <w:r w:rsidR="00261559" w:rsidRPr="00983193">
        <w:rPr>
          <w:rFonts w:ascii="Times New Roman" w:hAnsi="Times New Roman" w:cs="Times New Roman"/>
          <w:color w:val="000000" w:themeColor="text1"/>
          <w:sz w:val="23"/>
          <w:szCs w:val="23"/>
          <w:lang w:val="en-US"/>
        </w:rPr>
        <w:t xml:space="preserve">B ratio for several reasons. It is expected that firm market and book values will </w:t>
      </w:r>
      <w:r w:rsidR="00C956BE">
        <w:rPr>
          <w:rFonts w:ascii="Times New Roman" w:hAnsi="Times New Roman" w:cs="Times New Roman"/>
          <w:color w:val="000000" w:themeColor="text1"/>
          <w:sz w:val="23"/>
          <w:szCs w:val="23"/>
          <w:lang w:val="en-US"/>
        </w:rPr>
        <w:t>not</w:t>
      </w:r>
      <w:r w:rsidR="00C956BE" w:rsidRPr="00983193">
        <w:rPr>
          <w:rFonts w:ascii="Times New Roman" w:hAnsi="Times New Roman" w:cs="Times New Roman"/>
          <w:color w:val="000000" w:themeColor="text1"/>
          <w:sz w:val="23"/>
          <w:szCs w:val="23"/>
          <w:lang w:val="en-US"/>
        </w:rPr>
        <w:t xml:space="preserve"> </w:t>
      </w:r>
      <w:r w:rsidR="00261559" w:rsidRPr="00983193">
        <w:rPr>
          <w:rFonts w:ascii="Times New Roman" w:hAnsi="Times New Roman" w:cs="Times New Roman"/>
          <w:color w:val="000000" w:themeColor="text1"/>
          <w:sz w:val="23"/>
          <w:szCs w:val="23"/>
          <w:lang w:val="en-US"/>
        </w:rPr>
        <w:t xml:space="preserve">be equal. </w:t>
      </w:r>
      <w:r w:rsidR="00C956BE">
        <w:rPr>
          <w:rFonts w:ascii="Times New Roman" w:hAnsi="Times New Roman" w:cs="Times New Roman"/>
          <w:color w:val="000000" w:themeColor="text1"/>
          <w:sz w:val="23"/>
          <w:szCs w:val="23"/>
          <w:lang w:val="en-US"/>
        </w:rPr>
        <w:t>T</w:t>
      </w:r>
      <w:r w:rsidR="00261559" w:rsidRPr="00983193">
        <w:rPr>
          <w:rFonts w:ascii="Times New Roman" w:hAnsi="Times New Roman" w:cs="Times New Roman"/>
          <w:color w:val="000000" w:themeColor="text1"/>
          <w:sz w:val="23"/>
          <w:szCs w:val="23"/>
          <w:lang w:val="en-US"/>
        </w:rPr>
        <w:t xml:space="preserve">he book values of publicly traded firms </w:t>
      </w:r>
      <w:r w:rsidR="00C956BE">
        <w:rPr>
          <w:rFonts w:ascii="Times New Roman" w:hAnsi="Times New Roman" w:cs="Times New Roman"/>
          <w:color w:val="000000" w:themeColor="text1"/>
          <w:sz w:val="23"/>
          <w:szCs w:val="23"/>
          <w:lang w:val="en-US"/>
        </w:rPr>
        <w:t>largely</w:t>
      </w:r>
      <w:r w:rsidR="00C956BE" w:rsidRPr="00983193">
        <w:rPr>
          <w:rFonts w:ascii="Times New Roman" w:hAnsi="Times New Roman" w:cs="Times New Roman"/>
          <w:color w:val="000000" w:themeColor="text1"/>
          <w:sz w:val="23"/>
          <w:szCs w:val="23"/>
          <w:lang w:val="en-US"/>
        </w:rPr>
        <w:t xml:space="preserve"> </w:t>
      </w:r>
      <w:r w:rsidR="00261559" w:rsidRPr="00983193">
        <w:rPr>
          <w:rFonts w:ascii="Times New Roman" w:hAnsi="Times New Roman" w:cs="Times New Roman"/>
          <w:color w:val="000000" w:themeColor="text1"/>
          <w:sz w:val="23"/>
          <w:szCs w:val="23"/>
          <w:lang w:val="en-US"/>
        </w:rPr>
        <w:t>reflect the value of the</w:t>
      </w:r>
      <w:r w:rsidR="00C956BE">
        <w:rPr>
          <w:rFonts w:ascii="Times New Roman" w:hAnsi="Times New Roman" w:cs="Times New Roman"/>
          <w:color w:val="000000" w:themeColor="text1"/>
          <w:sz w:val="23"/>
          <w:szCs w:val="23"/>
          <w:lang w:val="en-US"/>
        </w:rPr>
        <w:t>ir</w:t>
      </w:r>
      <w:r w:rsidR="00261559" w:rsidRPr="00983193">
        <w:rPr>
          <w:rFonts w:ascii="Times New Roman" w:hAnsi="Times New Roman" w:cs="Times New Roman"/>
          <w:color w:val="000000" w:themeColor="text1"/>
          <w:sz w:val="23"/>
          <w:szCs w:val="23"/>
          <w:lang w:val="en-US"/>
        </w:rPr>
        <w:t xml:space="preserve"> tangible and capital assets (Crăciun and Scriosteanu, 2008). </w:t>
      </w:r>
      <w:r w:rsidR="00C956BE">
        <w:rPr>
          <w:rFonts w:ascii="Times New Roman" w:hAnsi="Times New Roman" w:cs="Times New Roman"/>
          <w:color w:val="000000" w:themeColor="text1"/>
          <w:sz w:val="23"/>
          <w:szCs w:val="23"/>
          <w:lang w:val="en-US"/>
        </w:rPr>
        <w:t>However</w:t>
      </w:r>
      <w:r w:rsidR="00261559" w:rsidRPr="00983193">
        <w:rPr>
          <w:rFonts w:ascii="Times New Roman" w:hAnsi="Times New Roman" w:cs="Times New Roman"/>
          <w:color w:val="000000" w:themeColor="text1"/>
          <w:sz w:val="23"/>
          <w:szCs w:val="23"/>
          <w:lang w:val="en-US"/>
        </w:rPr>
        <w:t xml:space="preserve">, according to </w:t>
      </w:r>
      <w:r w:rsidR="00261559" w:rsidRPr="00983193">
        <w:rPr>
          <w:rFonts w:ascii="Times New Roman" w:hAnsi="Times New Roman" w:cs="Times New Roman"/>
          <w:i/>
          <w:color w:val="000000" w:themeColor="text1"/>
          <w:sz w:val="23"/>
          <w:szCs w:val="23"/>
          <w:lang w:val="en-US"/>
        </w:rPr>
        <w:t>IAS 38 (Intangible Assets)</w:t>
      </w:r>
      <w:r w:rsidR="00261559" w:rsidRPr="00983193">
        <w:rPr>
          <w:rFonts w:ascii="Times New Roman" w:hAnsi="Times New Roman" w:cs="Times New Roman"/>
          <w:color w:val="000000" w:themeColor="text1"/>
          <w:sz w:val="23"/>
          <w:szCs w:val="23"/>
          <w:lang w:val="en-US"/>
        </w:rPr>
        <w:t xml:space="preserve">, </w:t>
      </w:r>
      <w:r w:rsidR="00C956BE">
        <w:rPr>
          <w:rFonts w:ascii="Times New Roman" w:hAnsi="Times New Roman" w:cs="Times New Roman"/>
          <w:color w:val="000000" w:themeColor="text1"/>
          <w:sz w:val="23"/>
          <w:szCs w:val="23"/>
          <w:lang w:val="en-US"/>
        </w:rPr>
        <w:t>in contrast to</w:t>
      </w:r>
      <w:r w:rsidR="00C956BE" w:rsidRPr="00983193">
        <w:rPr>
          <w:rFonts w:ascii="Times New Roman" w:hAnsi="Times New Roman" w:cs="Times New Roman"/>
          <w:color w:val="000000" w:themeColor="text1"/>
          <w:sz w:val="23"/>
          <w:szCs w:val="23"/>
          <w:lang w:val="en-US"/>
        </w:rPr>
        <w:t xml:space="preserve"> </w:t>
      </w:r>
      <w:r w:rsidR="00261559" w:rsidRPr="00983193">
        <w:rPr>
          <w:rFonts w:ascii="Times New Roman" w:hAnsi="Times New Roman" w:cs="Times New Roman"/>
          <w:color w:val="000000" w:themeColor="text1"/>
          <w:sz w:val="23"/>
          <w:szCs w:val="23"/>
          <w:lang w:val="en-US"/>
        </w:rPr>
        <w:t>tangible assets</w:t>
      </w:r>
      <w:r w:rsidR="00C956BE">
        <w:rPr>
          <w:rFonts w:ascii="Times New Roman" w:hAnsi="Times New Roman" w:cs="Times New Roman"/>
          <w:color w:val="000000" w:themeColor="text1"/>
          <w:sz w:val="23"/>
          <w:szCs w:val="23"/>
          <w:lang w:val="en-US"/>
        </w:rPr>
        <w:t>,</w:t>
      </w:r>
      <w:r w:rsidR="00261559" w:rsidRPr="00983193">
        <w:rPr>
          <w:rFonts w:ascii="Times New Roman" w:hAnsi="Times New Roman" w:cs="Times New Roman"/>
          <w:color w:val="000000" w:themeColor="text1"/>
          <w:sz w:val="23"/>
          <w:szCs w:val="23"/>
          <w:lang w:val="en-US"/>
        </w:rPr>
        <w:t xml:space="preserve"> most IA are difficult to identify</w:t>
      </w:r>
      <w:r w:rsidR="00C956BE">
        <w:rPr>
          <w:rFonts w:ascii="Times New Roman" w:hAnsi="Times New Roman" w:cs="Times New Roman"/>
          <w:color w:val="000000" w:themeColor="text1"/>
          <w:sz w:val="23"/>
          <w:szCs w:val="23"/>
          <w:lang w:val="en-US"/>
        </w:rPr>
        <w:t>,</w:t>
      </w:r>
      <w:r w:rsidR="00261559" w:rsidRPr="00983193">
        <w:rPr>
          <w:rFonts w:ascii="Times New Roman" w:hAnsi="Times New Roman" w:cs="Times New Roman"/>
          <w:color w:val="000000" w:themeColor="text1"/>
          <w:sz w:val="23"/>
          <w:szCs w:val="23"/>
          <w:lang w:val="en-US"/>
        </w:rPr>
        <w:t xml:space="preserve"> and are recognized </w:t>
      </w:r>
      <w:r w:rsidR="00C956BE">
        <w:rPr>
          <w:rFonts w:ascii="Times New Roman" w:hAnsi="Times New Roman" w:cs="Times New Roman"/>
          <w:color w:val="000000" w:themeColor="text1"/>
          <w:sz w:val="23"/>
          <w:szCs w:val="23"/>
          <w:lang w:val="en-US"/>
        </w:rPr>
        <w:t>in</w:t>
      </w:r>
      <w:r w:rsidR="00C956BE" w:rsidRPr="00983193">
        <w:rPr>
          <w:rFonts w:ascii="Times New Roman" w:hAnsi="Times New Roman" w:cs="Times New Roman"/>
          <w:color w:val="000000" w:themeColor="text1"/>
          <w:sz w:val="23"/>
          <w:szCs w:val="23"/>
          <w:lang w:val="en-US"/>
        </w:rPr>
        <w:t xml:space="preserve"> </w:t>
      </w:r>
      <w:r w:rsidR="00261559" w:rsidRPr="00983193">
        <w:rPr>
          <w:rFonts w:ascii="Times New Roman" w:hAnsi="Times New Roman" w:cs="Times New Roman"/>
          <w:color w:val="000000" w:themeColor="text1"/>
          <w:sz w:val="23"/>
          <w:szCs w:val="23"/>
          <w:lang w:val="en-US"/>
        </w:rPr>
        <w:t>the statement of financial position only when they are purchased separately or as part of</w:t>
      </w:r>
      <w:r w:rsidR="001855D6">
        <w:rPr>
          <w:rFonts w:ascii="Times New Roman" w:hAnsi="Times New Roman" w:cs="Times New Roman"/>
          <w:color w:val="000000" w:themeColor="text1"/>
          <w:sz w:val="23"/>
          <w:szCs w:val="23"/>
          <w:lang w:val="en-US"/>
        </w:rPr>
        <w:t xml:space="preserve"> </w:t>
      </w:r>
      <w:r w:rsidR="00C956BE">
        <w:rPr>
          <w:rFonts w:ascii="Times New Roman" w:hAnsi="Times New Roman" w:cs="Times New Roman"/>
          <w:color w:val="000000" w:themeColor="text1"/>
          <w:sz w:val="23"/>
          <w:szCs w:val="23"/>
          <w:lang w:val="en-US"/>
        </w:rPr>
        <w:t>a</w:t>
      </w:r>
      <w:r w:rsidR="00261559" w:rsidRPr="00983193">
        <w:rPr>
          <w:rFonts w:ascii="Times New Roman" w:hAnsi="Times New Roman" w:cs="Times New Roman"/>
          <w:color w:val="000000" w:themeColor="text1"/>
          <w:sz w:val="23"/>
          <w:szCs w:val="23"/>
          <w:lang w:val="en-US"/>
        </w:rPr>
        <w:t xml:space="preserve"> </w:t>
      </w:r>
      <w:r w:rsidR="00261559" w:rsidRPr="001855D6">
        <w:rPr>
          <w:rFonts w:ascii="Times New Roman" w:hAnsi="Times New Roman" w:cs="Times New Roman"/>
          <w:noProof/>
          <w:color w:val="000000" w:themeColor="text1"/>
          <w:sz w:val="23"/>
          <w:szCs w:val="23"/>
          <w:lang w:val="en-US"/>
        </w:rPr>
        <w:t>business</w:t>
      </w:r>
      <w:r w:rsidR="00261559" w:rsidRPr="00983193">
        <w:rPr>
          <w:rFonts w:ascii="Times New Roman" w:hAnsi="Times New Roman" w:cs="Times New Roman"/>
          <w:color w:val="000000" w:themeColor="text1"/>
          <w:sz w:val="23"/>
          <w:szCs w:val="23"/>
          <w:lang w:val="en-US"/>
        </w:rPr>
        <w:t xml:space="preserve"> </w:t>
      </w:r>
      <w:r w:rsidR="00261559" w:rsidRPr="001855D6">
        <w:rPr>
          <w:rFonts w:ascii="Times New Roman" w:hAnsi="Times New Roman" w:cs="Times New Roman"/>
          <w:noProof/>
          <w:color w:val="000000" w:themeColor="text1"/>
          <w:sz w:val="23"/>
          <w:szCs w:val="23"/>
          <w:lang w:val="en-US"/>
        </w:rPr>
        <w:t>combination</w:t>
      </w:r>
      <w:r w:rsidR="00C956BE">
        <w:rPr>
          <w:rFonts w:ascii="Times New Roman" w:hAnsi="Times New Roman" w:cs="Times New Roman"/>
          <w:noProof/>
          <w:color w:val="000000" w:themeColor="text1"/>
          <w:sz w:val="23"/>
          <w:szCs w:val="23"/>
          <w:lang w:val="en-US"/>
        </w:rPr>
        <w:t>,</w:t>
      </w:r>
      <w:r w:rsidR="00261559" w:rsidRPr="00983193">
        <w:rPr>
          <w:rFonts w:ascii="Times New Roman" w:hAnsi="Times New Roman" w:cs="Times New Roman"/>
          <w:color w:val="000000" w:themeColor="text1"/>
          <w:sz w:val="23"/>
          <w:szCs w:val="23"/>
          <w:lang w:val="en-US"/>
        </w:rPr>
        <w:t xml:space="preserve"> but are not recognized when they are developed within the firm. Moreover, </w:t>
      </w:r>
      <w:r w:rsidR="00C956BE" w:rsidRPr="00983193">
        <w:rPr>
          <w:rFonts w:ascii="Times New Roman" w:hAnsi="Times New Roman" w:cs="Times New Roman"/>
          <w:color w:val="000000" w:themeColor="text1"/>
          <w:sz w:val="23"/>
          <w:szCs w:val="23"/>
          <w:lang w:val="en-US"/>
        </w:rPr>
        <w:t xml:space="preserve">Schiemann </w:t>
      </w:r>
      <w:r w:rsidR="00C956BE" w:rsidRPr="00983193">
        <w:rPr>
          <w:rFonts w:ascii="Times New Roman" w:hAnsi="Times New Roman" w:cs="Times New Roman"/>
          <w:i/>
          <w:color w:val="000000" w:themeColor="text1"/>
          <w:sz w:val="23"/>
          <w:szCs w:val="23"/>
          <w:lang w:val="en-US"/>
        </w:rPr>
        <w:t>et al</w:t>
      </w:r>
      <w:r w:rsidR="00C956BE">
        <w:rPr>
          <w:rFonts w:ascii="Times New Roman" w:hAnsi="Times New Roman" w:cs="Times New Roman"/>
          <w:color w:val="000000" w:themeColor="text1"/>
          <w:sz w:val="23"/>
          <w:szCs w:val="23"/>
          <w:lang w:val="en-US"/>
        </w:rPr>
        <w:t>.</w:t>
      </w:r>
      <w:r w:rsidR="00C956BE" w:rsidRPr="00983193">
        <w:rPr>
          <w:rFonts w:ascii="Times New Roman" w:hAnsi="Times New Roman" w:cs="Times New Roman"/>
          <w:color w:val="000000" w:themeColor="text1"/>
          <w:sz w:val="23"/>
          <w:szCs w:val="23"/>
          <w:lang w:val="en-US"/>
        </w:rPr>
        <w:t xml:space="preserve"> </w:t>
      </w:r>
      <w:r w:rsidR="00C956BE">
        <w:rPr>
          <w:rFonts w:ascii="Times New Roman" w:hAnsi="Times New Roman" w:cs="Times New Roman"/>
          <w:color w:val="000000" w:themeColor="text1"/>
          <w:sz w:val="23"/>
          <w:szCs w:val="23"/>
          <w:lang w:val="en-US"/>
        </w:rPr>
        <w:t>(2015) argue that</w:t>
      </w:r>
      <w:r w:rsidR="00C956BE" w:rsidRPr="00983193">
        <w:rPr>
          <w:rFonts w:ascii="Times New Roman" w:hAnsi="Times New Roman" w:cs="Times New Roman"/>
          <w:color w:val="000000" w:themeColor="text1"/>
          <w:sz w:val="23"/>
          <w:szCs w:val="23"/>
          <w:lang w:val="en-US"/>
        </w:rPr>
        <w:t xml:space="preserve"> </w:t>
      </w:r>
      <w:r w:rsidR="00261559" w:rsidRPr="00983193">
        <w:rPr>
          <w:rFonts w:ascii="Times New Roman" w:hAnsi="Times New Roman" w:cs="Times New Roman"/>
          <w:color w:val="000000" w:themeColor="text1"/>
          <w:sz w:val="23"/>
          <w:szCs w:val="23"/>
          <w:lang w:val="en-US"/>
        </w:rPr>
        <w:t>the future economic benefits arising from IA are uncertain</w:t>
      </w:r>
      <w:r w:rsidR="00FC29C7">
        <w:rPr>
          <w:rFonts w:ascii="Times New Roman" w:hAnsi="Times New Roman" w:cs="Times New Roman"/>
          <w:color w:val="000000" w:themeColor="text1"/>
          <w:sz w:val="23"/>
          <w:szCs w:val="23"/>
          <w:lang w:val="en-US"/>
        </w:rPr>
        <w:t>,</w:t>
      </w:r>
      <w:r w:rsidR="00261559" w:rsidRPr="00983193">
        <w:rPr>
          <w:rFonts w:ascii="Times New Roman" w:hAnsi="Times New Roman" w:cs="Times New Roman"/>
          <w:color w:val="000000" w:themeColor="text1"/>
          <w:sz w:val="23"/>
          <w:szCs w:val="23"/>
          <w:lang w:val="en-US"/>
        </w:rPr>
        <w:t xml:space="preserve"> thereby violating one of the requirements for asset recognition in the financial statements. </w:t>
      </w:r>
    </w:p>
    <w:p w14:paraId="77B6C51B" w14:textId="77777777" w:rsidR="00261559" w:rsidRPr="00983193" w:rsidRDefault="00751A7D" w:rsidP="00261559">
      <w:pPr>
        <w:spacing w:after="0" w:line="240" w:lineRule="auto"/>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261559" w:rsidRPr="00983193">
        <w:rPr>
          <w:rFonts w:ascii="Times New Roman" w:hAnsi="Times New Roman" w:cs="Times New Roman"/>
          <w:color w:val="000000" w:themeColor="text1"/>
          <w:sz w:val="23"/>
          <w:szCs w:val="23"/>
          <w:lang w:val="en-US"/>
        </w:rPr>
        <w:t xml:space="preserve">Thus, accounting standards give rise to inadequate IC accounting and to an “asymmetric recognition of intellectual capital in the financial statements” (Schiemann </w:t>
      </w:r>
      <w:r w:rsidR="00261559" w:rsidRPr="00983193">
        <w:rPr>
          <w:rFonts w:ascii="Times New Roman" w:hAnsi="Times New Roman" w:cs="Times New Roman"/>
          <w:i/>
          <w:color w:val="000000" w:themeColor="text1"/>
          <w:sz w:val="23"/>
          <w:szCs w:val="23"/>
          <w:lang w:val="en-US"/>
        </w:rPr>
        <w:t>et al.</w:t>
      </w:r>
      <w:r w:rsidR="00261559" w:rsidRPr="00983193">
        <w:rPr>
          <w:rFonts w:ascii="Times New Roman" w:hAnsi="Times New Roman" w:cs="Times New Roman"/>
          <w:color w:val="000000" w:themeColor="text1"/>
          <w:sz w:val="23"/>
          <w:szCs w:val="23"/>
          <w:lang w:val="en-US"/>
        </w:rPr>
        <w:t xml:space="preserve">, 2015, p.8). Hence, </w:t>
      </w:r>
      <w:r w:rsidR="00FC29C7">
        <w:rPr>
          <w:rFonts w:ascii="Times New Roman" w:hAnsi="Times New Roman" w:cs="Times New Roman"/>
          <w:color w:val="000000" w:themeColor="text1"/>
          <w:sz w:val="23"/>
          <w:szCs w:val="23"/>
          <w:lang w:val="en-US"/>
        </w:rPr>
        <w:t>one</w:t>
      </w:r>
      <w:r w:rsidR="00261559" w:rsidRPr="00983193">
        <w:rPr>
          <w:rFonts w:ascii="Times New Roman" w:hAnsi="Times New Roman" w:cs="Times New Roman"/>
          <w:color w:val="000000" w:themeColor="text1"/>
          <w:sz w:val="23"/>
          <w:szCs w:val="23"/>
          <w:lang w:val="en-US"/>
        </w:rPr>
        <w:t xml:space="preserve"> way to measure the value of IC is to assume that efficient financial markets inherently perform accurate </w:t>
      </w:r>
      <w:r w:rsidR="00FC29C7">
        <w:rPr>
          <w:rFonts w:ascii="Times New Roman" w:hAnsi="Times New Roman" w:cs="Times New Roman"/>
          <w:color w:val="000000" w:themeColor="text1"/>
          <w:sz w:val="23"/>
          <w:szCs w:val="23"/>
          <w:lang w:val="en-US"/>
        </w:rPr>
        <w:t xml:space="preserve">firm </w:t>
      </w:r>
      <w:r w:rsidR="00261559" w:rsidRPr="001855D6">
        <w:rPr>
          <w:rFonts w:ascii="Times New Roman" w:hAnsi="Times New Roman" w:cs="Times New Roman"/>
          <w:noProof/>
          <w:color w:val="000000" w:themeColor="text1"/>
          <w:sz w:val="23"/>
          <w:szCs w:val="23"/>
          <w:lang w:val="en-US"/>
        </w:rPr>
        <w:t>valuations</w:t>
      </w:r>
      <w:r w:rsidR="00261559" w:rsidRPr="00983193">
        <w:rPr>
          <w:rFonts w:ascii="Times New Roman" w:hAnsi="Times New Roman" w:cs="Times New Roman"/>
          <w:color w:val="000000" w:themeColor="text1"/>
          <w:sz w:val="23"/>
          <w:szCs w:val="23"/>
          <w:lang w:val="en-US"/>
        </w:rPr>
        <w:t xml:space="preserve"> and that any excess of market over book value will constitute a correct valuation of the firm’s IA (Lal Bhasin, 2012). Thus, when there is a large difference between a firm’s market and book values, that difference may be attributed to IC (Edvinsson and Malone, 1997; Brennan, 2001; Ordóñez de Pablos, 2003; Kok, 2007; Whiting and Miller, 2008; Lal Bhasin, 2012; Tseng </w:t>
      </w:r>
      <w:r w:rsidR="00261559" w:rsidRPr="00983193">
        <w:rPr>
          <w:rFonts w:ascii="Times New Roman" w:hAnsi="Times New Roman" w:cs="Times New Roman"/>
          <w:i/>
          <w:color w:val="000000" w:themeColor="text1"/>
          <w:sz w:val="23"/>
          <w:szCs w:val="23"/>
          <w:lang w:val="en-US"/>
        </w:rPr>
        <w:t>et al</w:t>
      </w:r>
      <w:r w:rsidR="00261559" w:rsidRPr="00983193">
        <w:rPr>
          <w:rFonts w:ascii="Times New Roman" w:hAnsi="Times New Roman" w:cs="Times New Roman"/>
          <w:color w:val="000000" w:themeColor="text1"/>
          <w:sz w:val="23"/>
          <w:szCs w:val="23"/>
          <w:lang w:val="en-US"/>
        </w:rPr>
        <w:t xml:space="preserve">., 2015). However, </w:t>
      </w:r>
      <w:r w:rsidR="003534E4">
        <w:rPr>
          <w:rFonts w:ascii="Times New Roman" w:hAnsi="Times New Roman" w:cs="Times New Roman"/>
          <w:color w:val="000000" w:themeColor="text1"/>
          <w:sz w:val="23"/>
          <w:szCs w:val="23"/>
          <w:lang w:val="en-US"/>
        </w:rPr>
        <w:t>a number of</w:t>
      </w:r>
      <w:r w:rsidR="003534E4" w:rsidRPr="00983193">
        <w:rPr>
          <w:rFonts w:ascii="Times New Roman" w:hAnsi="Times New Roman" w:cs="Times New Roman"/>
          <w:color w:val="000000" w:themeColor="text1"/>
          <w:sz w:val="23"/>
          <w:szCs w:val="23"/>
          <w:lang w:val="en-US"/>
        </w:rPr>
        <w:t xml:space="preserve"> </w:t>
      </w:r>
      <w:r w:rsidR="006C1B92">
        <w:rPr>
          <w:rFonts w:ascii="Times New Roman" w:hAnsi="Times New Roman" w:cs="Times New Roman"/>
          <w:color w:val="000000" w:themeColor="text1"/>
          <w:sz w:val="23"/>
          <w:szCs w:val="23"/>
          <w:lang w:val="en-US"/>
        </w:rPr>
        <w:t>shortcomings of the Mt</w:t>
      </w:r>
      <w:r w:rsidR="00261559" w:rsidRPr="00983193">
        <w:rPr>
          <w:rFonts w:ascii="Times New Roman" w:hAnsi="Times New Roman" w:cs="Times New Roman"/>
          <w:color w:val="000000" w:themeColor="text1"/>
          <w:sz w:val="23"/>
          <w:szCs w:val="23"/>
          <w:lang w:val="en-US"/>
        </w:rPr>
        <w:t>B ratio as an estimator of IC value may also be identified. Dumay (2012) and Goebel (2015) criticize th</w:t>
      </w:r>
      <w:r w:rsidR="006C1B92">
        <w:rPr>
          <w:rFonts w:ascii="Times New Roman" w:hAnsi="Times New Roman" w:cs="Times New Roman"/>
          <w:color w:val="000000" w:themeColor="text1"/>
          <w:sz w:val="23"/>
          <w:szCs w:val="23"/>
          <w:lang w:val="en-US"/>
        </w:rPr>
        <w:t>e Mt</w:t>
      </w:r>
      <w:r w:rsidR="00261559" w:rsidRPr="00983193">
        <w:rPr>
          <w:rFonts w:ascii="Times New Roman" w:hAnsi="Times New Roman" w:cs="Times New Roman"/>
          <w:color w:val="000000" w:themeColor="text1"/>
          <w:sz w:val="23"/>
          <w:szCs w:val="23"/>
          <w:lang w:val="en-US"/>
        </w:rPr>
        <w:t xml:space="preserve">B ratio as an indicator of IC value due to: (i) the application of </w:t>
      </w:r>
      <w:r w:rsidR="00261559" w:rsidRPr="001855D6">
        <w:rPr>
          <w:rFonts w:ascii="Times New Roman" w:hAnsi="Times New Roman" w:cs="Times New Roman"/>
          <w:noProof/>
          <w:color w:val="000000" w:themeColor="text1"/>
          <w:sz w:val="23"/>
          <w:szCs w:val="23"/>
          <w:lang w:val="en-US"/>
        </w:rPr>
        <w:t>historic</w:t>
      </w:r>
      <w:r w:rsidR="00261559" w:rsidRPr="00983193">
        <w:rPr>
          <w:rFonts w:ascii="Times New Roman" w:hAnsi="Times New Roman" w:cs="Times New Roman"/>
          <w:color w:val="000000" w:themeColor="text1"/>
          <w:sz w:val="23"/>
          <w:szCs w:val="23"/>
          <w:lang w:val="en-US"/>
        </w:rPr>
        <w:t xml:space="preserve"> cost accounting (which influences book value); and (ii) market value fluctuations being potentially driven by</w:t>
      </w:r>
      <w:r w:rsidR="001855D6">
        <w:rPr>
          <w:rFonts w:ascii="Times New Roman" w:hAnsi="Times New Roman" w:cs="Times New Roman"/>
          <w:color w:val="000000" w:themeColor="text1"/>
          <w:sz w:val="23"/>
          <w:szCs w:val="23"/>
          <w:lang w:val="en-US"/>
        </w:rPr>
        <w:t xml:space="preserve"> the</w:t>
      </w:r>
      <w:r w:rsidR="00261559" w:rsidRPr="00983193">
        <w:rPr>
          <w:rFonts w:ascii="Times New Roman" w:hAnsi="Times New Roman" w:cs="Times New Roman"/>
          <w:color w:val="000000" w:themeColor="text1"/>
          <w:sz w:val="23"/>
          <w:szCs w:val="23"/>
          <w:lang w:val="en-US"/>
        </w:rPr>
        <w:t xml:space="preserve"> </w:t>
      </w:r>
      <w:r w:rsidR="00261559" w:rsidRPr="001855D6">
        <w:rPr>
          <w:rFonts w:ascii="Times New Roman" w:hAnsi="Times New Roman" w:cs="Times New Roman"/>
          <w:noProof/>
          <w:color w:val="000000" w:themeColor="text1"/>
          <w:sz w:val="23"/>
          <w:szCs w:val="23"/>
          <w:lang w:val="en-US"/>
        </w:rPr>
        <w:t>environment</w:t>
      </w:r>
      <w:r w:rsidR="00261559" w:rsidRPr="00983193">
        <w:rPr>
          <w:rFonts w:ascii="Times New Roman" w:hAnsi="Times New Roman" w:cs="Times New Roman"/>
          <w:color w:val="000000" w:themeColor="text1"/>
          <w:sz w:val="23"/>
          <w:szCs w:val="23"/>
          <w:lang w:val="en-US"/>
        </w:rPr>
        <w:t xml:space="preserve"> or economic factors other than IC value. The study sample in this paper consists of listed firms which prepare their financial statements following IAS/IFRS, so the problem of </w:t>
      </w:r>
      <w:r w:rsidR="00261559" w:rsidRPr="001855D6">
        <w:rPr>
          <w:rFonts w:ascii="Times New Roman" w:hAnsi="Times New Roman" w:cs="Times New Roman"/>
          <w:noProof/>
          <w:color w:val="000000" w:themeColor="text1"/>
          <w:sz w:val="23"/>
          <w:szCs w:val="23"/>
          <w:lang w:val="en-US"/>
        </w:rPr>
        <w:t>historic</w:t>
      </w:r>
      <w:r w:rsidR="00261559" w:rsidRPr="00983193">
        <w:rPr>
          <w:rFonts w:ascii="Times New Roman" w:hAnsi="Times New Roman" w:cs="Times New Roman"/>
          <w:color w:val="000000" w:themeColor="text1"/>
          <w:sz w:val="23"/>
          <w:szCs w:val="23"/>
          <w:lang w:val="en-US"/>
        </w:rPr>
        <w:t xml:space="preserve"> cost accounting is at least partially avoided as most of the assets and liabilities are assessed at their “fair” values. </w:t>
      </w:r>
      <w:r w:rsidR="006C1B92">
        <w:rPr>
          <w:rFonts w:ascii="Times New Roman" w:hAnsi="Times New Roman" w:cs="Times New Roman"/>
          <w:color w:val="000000" w:themeColor="text1"/>
          <w:sz w:val="23"/>
          <w:szCs w:val="23"/>
          <w:lang w:val="en-US"/>
        </w:rPr>
        <w:t>Furthermore, the Mt</w:t>
      </w:r>
      <w:r w:rsidR="00261559" w:rsidRPr="00983193">
        <w:rPr>
          <w:rFonts w:ascii="Times New Roman" w:hAnsi="Times New Roman" w:cs="Times New Roman"/>
          <w:color w:val="000000" w:themeColor="text1"/>
          <w:sz w:val="23"/>
          <w:szCs w:val="23"/>
          <w:lang w:val="en-US"/>
        </w:rPr>
        <w:t xml:space="preserve">B ratio is measured in this paper as the mean MTB </w:t>
      </w:r>
      <w:r w:rsidR="003534E4">
        <w:rPr>
          <w:rFonts w:ascii="Times New Roman" w:hAnsi="Times New Roman" w:cs="Times New Roman"/>
          <w:color w:val="000000" w:themeColor="text1"/>
          <w:sz w:val="23"/>
          <w:szCs w:val="23"/>
          <w:lang w:val="en-US"/>
        </w:rPr>
        <w:t>of</w:t>
      </w:r>
      <w:r w:rsidR="003534E4" w:rsidRPr="00983193">
        <w:rPr>
          <w:rFonts w:ascii="Times New Roman" w:hAnsi="Times New Roman" w:cs="Times New Roman"/>
          <w:color w:val="000000" w:themeColor="text1"/>
          <w:sz w:val="23"/>
          <w:szCs w:val="23"/>
          <w:lang w:val="en-US"/>
        </w:rPr>
        <w:t xml:space="preserve"> </w:t>
      </w:r>
      <w:r w:rsidR="00261559" w:rsidRPr="00983193">
        <w:rPr>
          <w:rFonts w:ascii="Times New Roman" w:hAnsi="Times New Roman" w:cs="Times New Roman"/>
          <w:color w:val="000000" w:themeColor="text1"/>
          <w:sz w:val="23"/>
          <w:szCs w:val="23"/>
          <w:lang w:val="en-US"/>
        </w:rPr>
        <w:t xml:space="preserve">the </w:t>
      </w:r>
      <w:r w:rsidR="003534E4">
        <w:rPr>
          <w:rFonts w:ascii="Times New Roman" w:hAnsi="Times New Roman" w:cs="Times New Roman"/>
          <w:color w:val="000000" w:themeColor="text1"/>
          <w:sz w:val="23"/>
          <w:szCs w:val="23"/>
          <w:lang w:val="en-US"/>
        </w:rPr>
        <w:t>opening</w:t>
      </w:r>
      <w:r w:rsidR="003534E4" w:rsidRPr="00983193">
        <w:rPr>
          <w:rFonts w:ascii="Times New Roman" w:hAnsi="Times New Roman" w:cs="Times New Roman"/>
          <w:color w:val="000000" w:themeColor="text1"/>
          <w:sz w:val="23"/>
          <w:szCs w:val="23"/>
          <w:lang w:val="en-US"/>
        </w:rPr>
        <w:t xml:space="preserve"> </w:t>
      </w:r>
      <w:r w:rsidR="00261559" w:rsidRPr="00983193">
        <w:rPr>
          <w:rFonts w:ascii="Times New Roman" w:hAnsi="Times New Roman" w:cs="Times New Roman"/>
          <w:color w:val="000000" w:themeColor="text1"/>
          <w:sz w:val="23"/>
          <w:szCs w:val="23"/>
          <w:lang w:val="en-US"/>
        </w:rPr>
        <w:t xml:space="preserve">and </w:t>
      </w:r>
      <w:r w:rsidR="003534E4">
        <w:rPr>
          <w:rFonts w:ascii="Times New Roman" w:hAnsi="Times New Roman" w:cs="Times New Roman"/>
          <w:color w:val="000000" w:themeColor="text1"/>
          <w:sz w:val="23"/>
          <w:szCs w:val="23"/>
          <w:lang w:val="en-US"/>
        </w:rPr>
        <w:t>closing</w:t>
      </w:r>
      <w:r w:rsidR="00261559" w:rsidRPr="00983193">
        <w:rPr>
          <w:rFonts w:ascii="Times New Roman" w:hAnsi="Times New Roman" w:cs="Times New Roman"/>
          <w:color w:val="000000" w:themeColor="text1"/>
          <w:sz w:val="23"/>
          <w:szCs w:val="23"/>
          <w:lang w:val="en-US"/>
        </w:rPr>
        <w:t xml:space="preserve"> value, in order to reduce the effect of market value fluctuations. Finally, ease of calculation and the availability of data are also important considerations which render this measure one of the most widely used tools to evaluate IC among the alternatives (Ghosh and Wu, 2007; Godyn, 2013). The values of </w:t>
      </w:r>
      <w:r w:rsidR="003534E4">
        <w:rPr>
          <w:rFonts w:ascii="Times New Roman" w:hAnsi="Times New Roman" w:cs="Times New Roman"/>
          <w:color w:val="000000" w:themeColor="text1"/>
          <w:sz w:val="23"/>
          <w:szCs w:val="23"/>
          <w:lang w:val="en-US"/>
        </w:rPr>
        <w:t>firm</w:t>
      </w:r>
      <w:r w:rsidR="006C1B92">
        <w:rPr>
          <w:rFonts w:ascii="Times New Roman" w:hAnsi="Times New Roman" w:cs="Times New Roman"/>
          <w:color w:val="000000" w:themeColor="text1"/>
          <w:sz w:val="23"/>
          <w:szCs w:val="23"/>
          <w:lang w:val="en-US"/>
        </w:rPr>
        <w:t xml:space="preserve"> Mt</w:t>
      </w:r>
      <w:r w:rsidR="00261559" w:rsidRPr="00983193">
        <w:rPr>
          <w:rFonts w:ascii="Times New Roman" w:hAnsi="Times New Roman" w:cs="Times New Roman"/>
          <w:color w:val="000000" w:themeColor="text1"/>
          <w:sz w:val="23"/>
          <w:szCs w:val="23"/>
          <w:lang w:val="en-US"/>
        </w:rPr>
        <w:t>B ratio</w:t>
      </w:r>
      <w:r w:rsidR="003534E4">
        <w:rPr>
          <w:rFonts w:ascii="Times New Roman" w:hAnsi="Times New Roman" w:cs="Times New Roman"/>
          <w:color w:val="000000" w:themeColor="text1"/>
          <w:sz w:val="23"/>
          <w:szCs w:val="23"/>
          <w:lang w:val="en-US"/>
        </w:rPr>
        <w:t>s</w:t>
      </w:r>
      <w:r w:rsidR="00261559" w:rsidRPr="00983193">
        <w:rPr>
          <w:rFonts w:ascii="Times New Roman" w:hAnsi="Times New Roman" w:cs="Times New Roman"/>
          <w:color w:val="000000" w:themeColor="text1"/>
          <w:sz w:val="23"/>
          <w:szCs w:val="23"/>
          <w:lang w:val="en-US"/>
        </w:rPr>
        <w:t xml:space="preserve"> are provided by the AIDA Database.</w:t>
      </w:r>
    </w:p>
    <w:p w14:paraId="39B4863C" w14:textId="77777777" w:rsidR="00EB353D" w:rsidRPr="00983193" w:rsidRDefault="00751A7D" w:rsidP="00EB353D">
      <w:pPr>
        <w:spacing w:after="0" w:line="240" w:lineRule="auto"/>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310F81" w:rsidRPr="00983193">
        <w:rPr>
          <w:rFonts w:ascii="Times New Roman" w:hAnsi="Times New Roman" w:cs="Times New Roman"/>
          <w:color w:val="000000" w:themeColor="text1"/>
          <w:sz w:val="23"/>
          <w:szCs w:val="23"/>
          <w:lang w:val="en-US"/>
        </w:rPr>
        <w:t xml:space="preserve">The second </w:t>
      </w:r>
      <w:r w:rsidR="008E677D" w:rsidRPr="00983193">
        <w:rPr>
          <w:rFonts w:ascii="Times New Roman" w:hAnsi="Times New Roman" w:cs="Times New Roman"/>
          <w:color w:val="000000" w:themeColor="text1"/>
          <w:sz w:val="23"/>
          <w:szCs w:val="23"/>
          <w:lang w:val="en-US"/>
        </w:rPr>
        <w:t>measure used to measure IC value is</w:t>
      </w:r>
      <w:r w:rsidR="00310F81" w:rsidRPr="00983193">
        <w:rPr>
          <w:rFonts w:ascii="Times New Roman" w:hAnsi="Times New Roman" w:cs="Times New Roman"/>
          <w:color w:val="000000" w:themeColor="text1"/>
          <w:sz w:val="23"/>
          <w:szCs w:val="23"/>
          <w:lang w:val="en-US"/>
        </w:rPr>
        <w:t xml:space="preserve"> VAIC (Morariu, 2014)</w:t>
      </w:r>
      <w:r w:rsidR="00207165" w:rsidRPr="00983193">
        <w:rPr>
          <w:rFonts w:ascii="Times New Roman" w:hAnsi="Times New Roman" w:cs="Times New Roman"/>
          <w:color w:val="000000" w:themeColor="text1"/>
          <w:sz w:val="23"/>
          <w:szCs w:val="23"/>
          <w:lang w:val="en-US"/>
        </w:rPr>
        <w:t>. The literature review</w:t>
      </w:r>
      <w:r w:rsidR="00C30EE5">
        <w:rPr>
          <w:rFonts w:ascii="Times New Roman" w:hAnsi="Times New Roman" w:cs="Times New Roman"/>
          <w:color w:val="000000" w:themeColor="text1"/>
          <w:sz w:val="23"/>
          <w:szCs w:val="23"/>
          <w:lang w:val="en-US"/>
        </w:rPr>
        <w:t>ed</w:t>
      </w:r>
      <w:r w:rsidR="00207165" w:rsidRPr="00983193">
        <w:rPr>
          <w:rFonts w:ascii="Times New Roman" w:hAnsi="Times New Roman" w:cs="Times New Roman"/>
          <w:color w:val="000000" w:themeColor="text1"/>
          <w:sz w:val="23"/>
          <w:szCs w:val="23"/>
          <w:lang w:val="en-US"/>
        </w:rPr>
        <w:t xml:space="preserve"> reveal</w:t>
      </w:r>
      <w:r w:rsidR="00C30EE5">
        <w:rPr>
          <w:rFonts w:ascii="Times New Roman" w:hAnsi="Times New Roman" w:cs="Times New Roman"/>
          <w:color w:val="000000" w:themeColor="text1"/>
          <w:sz w:val="23"/>
          <w:szCs w:val="23"/>
          <w:lang w:val="en-US"/>
        </w:rPr>
        <w:t>s</w:t>
      </w:r>
      <w:r w:rsidR="00207165" w:rsidRPr="00983193">
        <w:rPr>
          <w:rFonts w:ascii="Times New Roman" w:hAnsi="Times New Roman" w:cs="Times New Roman"/>
          <w:color w:val="000000" w:themeColor="text1"/>
          <w:sz w:val="23"/>
          <w:szCs w:val="23"/>
          <w:lang w:val="en-US"/>
        </w:rPr>
        <w:t xml:space="preserve"> the use of VAIC as both a dependent and an independent variable. </w:t>
      </w:r>
      <w:r w:rsidR="00C30EE5">
        <w:rPr>
          <w:rFonts w:ascii="Times New Roman" w:hAnsi="Times New Roman" w:cs="Times New Roman"/>
          <w:color w:val="000000" w:themeColor="text1"/>
          <w:sz w:val="23"/>
          <w:szCs w:val="23"/>
          <w:lang w:val="en-US"/>
        </w:rPr>
        <w:t>In this study, i</w:t>
      </w:r>
      <w:r w:rsidR="00207165" w:rsidRPr="00983193">
        <w:rPr>
          <w:rFonts w:ascii="Times New Roman" w:hAnsi="Times New Roman" w:cs="Times New Roman"/>
          <w:color w:val="000000" w:themeColor="text1"/>
          <w:sz w:val="23"/>
          <w:szCs w:val="23"/>
          <w:lang w:val="en-US"/>
        </w:rPr>
        <w:t>t will be included as</w:t>
      </w:r>
      <w:r w:rsidR="001855D6">
        <w:rPr>
          <w:rFonts w:ascii="Times New Roman" w:hAnsi="Times New Roman" w:cs="Times New Roman"/>
          <w:color w:val="000000" w:themeColor="text1"/>
          <w:sz w:val="23"/>
          <w:szCs w:val="23"/>
          <w:lang w:val="en-US"/>
        </w:rPr>
        <w:t xml:space="preserve"> the</w:t>
      </w:r>
      <w:r w:rsidR="00207165" w:rsidRPr="00983193">
        <w:rPr>
          <w:rFonts w:ascii="Times New Roman" w:hAnsi="Times New Roman" w:cs="Times New Roman"/>
          <w:color w:val="000000" w:themeColor="text1"/>
          <w:sz w:val="23"/>
          <w:szCs w:val="23"/>
          <w:lang w:val="en-US"/>
        </w:rPr>
        <w:t xml:space="preserve"> </w:t>
      </w:r>
      <w:r w:rsidR="00207165" w:rsidRPr="001855D6">
        <w:rPr>
          <w:rFonts w:ascii="Times New Roman" w:hAnsi="Times New Roman" w:cs="Times New Roman"/>
          <w:noProof/>
          <w:color w:val="000000" w:themeColor="text1"/>
          <w:sz w:val="23"/>
          <w:szCs w:val="23"/>
          <w:lang w:val="en-US"/>
        </w:rPr>
        <w:t>dependent</w:t>
      </w:r>
      <w:r w:rsidR="00207165" w:rsidRPr="00983193">
        <w:rPr>
          <w:rFonts w:ascii="Times New Roman" w:hAnsi="Times New Roman" w:cs="Times New Roman"/>
          <w:color w:val="000000" w:themeColor="text1"/>
          <w:sz w:val="23"/>
          <w:szCs w:val="23"/>
          <w:lang w:val="en-US"/>
        </w:rPr>
        <w:t xml:space="preserve"> variable in order to test the extent to which it </w:t>
      </w:r>
      <w:r w:rsidR="00C30EE5">
        <w:rPr>
          <w:rFonts w:ascii="Times New Roman" w:hAnsi="Times New Roman" w:cs="Times New Roman"/>
          <w:color w:val="000000" w:themeColor="text1"/>
          <w:sz w:val="23"/>
          <w:szCs w:val="23"/>
          <w:lang w:val="en-US"/>
        </w:rPr>
        <w:t>is</w:t>
      </w:r>
      <w:r w:rsidR="00207165" w:rsidRPr="00983193">
        <w:rPr>
          <w:rFonts w:ascii="Times New Roman" w:hAnsi="Times New Roman" w:cs="Times New Roman"/>
          <w:color w:val="000000" w:themeColor="text1"/>
          <w:sz w:val="23"/>
          <w:szCs w:val="23"/>
          <w:lang w:val="en-US"/>
        </w:rPr>
        <w:t xml:space="preserve"> related to IC value</w:t>
      </w:r>
      <w:r w:rsidR="0014762E" w:rsidRPr="00983193">
        <w:rPr>
          <w:rFonts w:ascii="Times New Roman" w:hAnsi="Times New Roman" w:cs="Times New Roman"/>
          <w:color w:val="000000" w:themeColor="text1"/>
          <w:sz w:val="23"/>
          <w:szCs w:val="23"/>
          <w:lang w:val="en-US"/>
        </w:rPr>
        <w:t xml:space="preserve">. </w:t>
      </w:r>
      <w:r w:rsidR="007D35C1" w:rsidRPr="00983193">
        <w:rPr>
          <w:rFonts w:ascii="Times New Roman" w:hAnsi="Times New Roman" w:cs="Times New Roman"/>
          <w:color w:val="000000" w:themeColor="text1"/>
          <w:sz w:val="23"/>
          <w:szCs w:val="23"/>
          <w:lang w:val="en-US"/>
        </w:rPr>
        <w:t xml:space="preserve">The </w:t>
      </w:r>
      <w:r w:rsidR="00EB353D" w:rsidRPr="00983193">
        <w:rPr>
          <w:rFonts w:ascii="Times New Roman" w:hAnsi="Times New Roman" w:cs="Times New Roman"/>
          <w:color w:val="000000" w:themeColor="text1"/>
          <w:sz w:val="23"/>
          <w:szCs w:val="23"/>
          <w:lang w:val="en-US"/>
        </w:rPr>
        <w:t>dependent variable</w:t>
      </w:r>
      <w:r w:rsidR="00E63866" w:rsidRPr="00983193">
        <w:rPr>
          <w:rFonts w:ascii="Times New Roman" w:hAnsi="Times New Roman" w:cs="Times New Roman"/>
          <w:color w:val="000000" w:themeColor="text1"/>
          <w:sz w:val="23"/>
          <w:szCs w:val="23"/>
          <w:lang w:val="en-US"/>
        </w:rPr>
        <w:t>s</w:t>
      </w:r>
      <w:r w:rsidR="00EB353D" w:rsidRPr="00983193">
        <w:rPr>
          <w:rFonts w:ascii="Times New Roman" w:hAnsi="Times New Roman" w:cs="Times New Roman"/>
          <w:color w:val="000000" w:themeColor="text1"/>
          <w:sz w:val="23"/>
          <w:szCs w:val="23"/>
          <w:lang w:val="en-US"/>
        </w:rPr>
        <w:t xml:space="preserve"> (</w:t>
      </w:r>
      <w:r w:rsidR="006C1B92">
        <w:rPr>
          <w:rFonts w:ascii="Times New Roman" w:hAnsi="Times New Roman" w:cs="Times New Roman"/>
          <w:i/>
          <w:color w:val="000000" w:themeColor="text1"/>
          <w:sz w:val="23"/>
          <w:szCs w:val="23"/>
          <w:lang w:val="en-US"/>
        </w:rPr>
        <w:t>Mt</w:t>
      </w:r>
      <w:r w:rsidR="00EB353D" w:rsidRPr="00983193">
        <w:rPr>
          <w:rFonts w:ascii="Times New Roman" w:hAnsi="Times New Roman" w:cs="Times New Roman"/>
          <w:i/>
          <w:color w:val="000000" w:themeColor="text1"/>
          <w:sz w:val="23"/>
          <w:szCs w:val="23"/>
          <w:lang w:val="en-US"/>
        </w:rPr>
        <w:t>B</w:t>
      </w:r>
      <w:r w:rsidR="00E63866" w:rsidRPr="00983193">
        <w:rPr>
          <w:rFonts w:ascii="Times New Roman" w:hAnsi="Times New Roman" w:cs="Times New Roman"/>
          <w:i/>
          <w:color w:val="000000" w:themeColor="text1"/>
          <w:sz w:val="23"/>
          <w:szCs w:val="23"/>
          <w:lang w:val="en-US"/>
        </w:rPr>
        <w:t xml:space="preserve"> and VAIC</w:t>
      </w:r>
      <w:r w:rsidR="00EB353D" w:rsidRPr="00983193">
        <w:rPr>
          <w:rFonts w:ascii="Times New Roman" w:hAnsi="Times New Roman" w:cs="Times New Roman"/>
          <w:color w:val="000000" w:themeColor="text1"/>
          <w:sz w:val="23"/>
          <w:szCs w:val="23"/>
          <w:lang w:val="en-US"/>
        </w:rPr>
        <w:t>)</w:t>
      </w:r>
      <w:r w:rsidR="00E63866" w:rsidRPr="00983193">
        <w:rPr>
          <w:rFonts w:ascii="Times New Roman" w:hAnsi="Times New Roman" w:cs="Times New Roman"/>
          <w:color w:val="000000" w:themeColor="text1"/>
          <w:sz w:val="23"/>
          <w:szCs w:val="23"/>
          <w:lang w:val="en-US"/>
        </w:rPr>
        <w:t xml:space="preserve"> are</w:t>
      </w:r>
      <w:r w:rsidR="00EB353D" w:rsidRPr="00983193">
        <w:rPr>
          <w:rFonts w:ascii="Times New Roman" w:hAnsi="Times New Roman" w:cs="Times New Roman"/>
          <w:color w:val="000000" w:themeColor="text1"/>
          <w:sz w:val="23"/>
          <w:szCs w:val="23"/>
          <w:lang w:val="en-US"/>
        </w:rPr>
        <w:t xml:space="preserve"> continuous variable</w:t>
      </w:r>
      <w:r w:rsidR="00C30EE5">
        <w:rPr>
          <w:rFonts w:ascii="Times New Roman" w:hAnsi="Times New Roman" w:cs="Times New Roman"/>
          <w:color w:val="000000" w:themeColor="text1"/>
          <w:sz w:val="23"/>
          <w:szCs w:val="23"/>
          <w:lang w:val="en-US"/>
        </w:rPr>
        <w:t>s</w:t>
      </w:r>
      <w:r w:rsidR="00EB353D" w:rsidRPr="00983193">
        <w:rPr>
          <w:rFonts w:ascii="Times New Roman" w:hAnsi="Times New Roman" w:cs="Times New Roman"/>
          <w:color w:val="000000" w:themeColor="text1"/>
          <w:sz w:val="23"/>
          <w:szCs w:val="23"/>
          <w:lang w:val="en-US"/>
        </w:rPr>
        <w:t xml:space="preserve"> measured as </w:t>
      </w:r>
      <w:r w:rsidR="00E63866" w:rsidRPr="00983193">
        <w:rPr>
          <w:rFonts w:ascii="Times New Roman" w:hAnsi="Times New Roman" w:cs="Times New Roman"/>
          <w:color w:val="000000" w:themeColor="text1"/>
          <w:sz w:val="23"/>
          <w:szCs w:val="23"/>
          <w:lang w:val="en-US"/>
        </w:rPr>
        <w:t xml:space="preserve">follows. The market-to-book ratio </w:t>
      </w:r>
      <w:r w:rsidR="006C1B92">
        <w:rPr>
          <w:rFonts w:ascii="Times New Roman" w:hAnsi="Times New Roman" w:cs="Times New Roman"/>
          <w:color w:val="000000" w:themeColor="text1"/>
          <w:sz w:val="23"/>
          <w:szCs w:val="23"/>
          <w:lang w:val="en-US"/>
        </w:rPr>
        <w:t>(Mt</w:t>
      </w:r>
      <w:r w:rsidR="00E93444" w:rsidRPr="00983193">
        <w:rPr>
          <w:rFonts w:ascii="Times New Roman" w:hAnsi="Times New Roman" w:cs="Times New Roman"/>
          <w:color w:val="000000" w:themeColor="text1"/>
          <w:sz w:val="23"/>
          <w:szCs w:val="23"/>
          <w:lang w:val="en-US"/>
        </w:rPr>
        <w:t xml:space="preserve">B) </w:t>
      </w:r>
      <w:r w:rsidR="00E63866" w:rsidRPr="00983193">
        <w:rPr>
          <w:rFonts w:ascii="Times New Roman" w:hAnsi="Times New Roman" w:cs="Times New Roman"/>
          <w:color w:val="000000" w:themeColor="text1"/>
          <w:sz w:val="23"/>
          <w:szCs w:val="23"/>
          <w:lang w:val="en-US"/>
        </w:rPr>
        <w:t xml:space="preserve">is the </w:t>
      </w:r>
      <w:r w:rsidR="00EB353D" w:rsidRPr="00983193">
        <w:rPr>
          <w:rFonts w:ascii="Times New Roman" w:hAnsi="Times New Roman" w:cs="Times New Roman"/>
          <w:color w:val="000000" w:themeColor="text1"/>
          <w:sz w:val="23"/>
          <w:szCs w:val="23"/>
          <w:lang w:val="en-US"/>
        </w:rPr>
        <w:t xml:space="preserve">mean of the </w:t>
      </w:r>
      <w:r w:rsidR="00C30EE5">
        <w:rPr>
          <w:rFonts w:ascii="Times New Roman" w:hAnsi="Times New Roman" w:cs="Times New Roman"/>
          <w:color w:val="000000" w:themeColor="text1"/>
          <w:sz w:val="23"/>
          <w:szCs w:val="23"/>
          <w:lang w:val="en-US"/>
        </w:rPr>
        <w:t>opening</w:t>
      </w:r>
      <w:r w:rsidR="00C30EE5" w:rsidRPr="00983193">
        <w:rPr>
          <w:rFonts w:ascii="Times New Roman" w:hAnsi="Times New Roman" w:cs="Times New Roman"/>
          <w:color w:val="000000" w:themeColor="text1"/>
          <w:sz w:val="23"/>
          <w:szCs w:val="23"/>
          <w:lang w:val="en-US"/>
        </w:rPr>
        <w:t xml:space="preserve"> </w:t>
      </w:r>
      <w:r w:rsidR="00EB353D" w:rsidRPr="00983193">
        <w:rPr>
          <w:rFonts w:ascii="Times New Roman" w:hAnsi="Times New Roman" w:cs="Times New Roman"/>
          <w:color w:val="000000" w:themeColor="text1"/>
          <w:sz w:val="23"/>
          <w:szCs w:val="23"/>
          <w:lang w:val="en-US"/>
        </w:rPr>
        <w:t xml:space="preserve">and </w:t>
      </w:r>
      <w:r w:rsidR="00C30EE5">
        <w:rPr>
          <w:rFonts w:ascii="Times New Roman" w:hAnsi="Times New Roman" w:cs="Times New Roman"/>
          <w:color w:val="000000" w:themeColor="text1"/>
          <w:sz w:val="23"/>
          <w:szCs w:val="23"/>
          <w:lang w:val="en-US"/>
        </w:rPr>
        <w:t xml:space="preserve">closing </w:t>
      </w:r>
      <w:r w:rsidR="00EB353D" w:rsidRPr="00983193">
        <w:rPr>
          <w:rFonts w:ascii="Times New Roman" w:hAnsi="Times New Roman" w:cs="Times New Roman"/>
          <w:color w:val="000000" w:themeColor="text1"/>
          <w:sz w:val="23"/>
          <w:szCs w:val="23"/>
          <w:lang w:val="en-US"/>
        </w:rPr>
        <w:t>value of</w:t>
      </w:r>
      <w:r w:rsidR="001855D6">
        <w:rPr>
          <w:rFonts w:ascii="Times New Roman" w:hAnsi="Times New Roman" w:cs="Times New Roman"/>
          <w:color w:val="000000" w:themeColor="text1"/>
          <w:sz w:val="23"/>
          <w:szCs w:val="23"/>
          <w:lang w:val="en-US"/>
        </w:rPr>
        <w:t xml:space="preserve"> the</w:t>
      </w:r>
      <w:r w:rsidR="00EB353D" w:rsidRPr="00983193">
        <w:rPr>
          <w:rFonts w:ascii="Times New Roman" w:hAnsi="Times New Roman" w:cs="Times New Roman"/>
          <w:color w:val="000000" w:themeColor="text1"/>
          <w:sz w:val="23"/>
          <w:szCs w:val="23"/>
          <w:lang w:val="en-US"/>
        </w:rPr>
        <w:t xml:space="preserve"> </w:t>
      </w:r>
      <w:r w:rsidR="00EB353D" w:rsidRPr="001855D6">
        <w:rPr>
          <w:rFonts w:ascii="Times New Roman" w:hAnsi="Times New Roman" w:cs="Times New Roman"/>
          <w:noProof/>
          <w:color w:val="000000" w:themeColor="text1"/>
          <w:sz w:val="23"/>
          <w:szCs w:val="23"/>
          <w:lang w:val="en-US"/>
        </w:rPr>
        <w:t>market</w:t>
      </w:r>
      <w:r w:rsidR="00EB353D" w:rsidRPr="00983193">
        <w:rPr>
          <w:rFonts w:ascii="Times New Roman" w:hAnsi="Times New Roman" w:cs="Times New Roman"/>
          <w:color w:val="000000" w:themeColor="text1"/>
          <w:sz w:val="23"/>
          <w:szCs w:val="23"/>
          <w:lang w:val="en-US"/>
        </w:rPr>
        <w:t xml:space="preserve"> to book ratio in order to smooth </w:t>
      </w:r>
      <w:r w:rsidR="00C30EE5">
        <w:rPr>
          <w:rFonts w:ascii="Times New Roman" w:hAnsi="Times New Roman" w:cs="Times New Roman"/>
          <w:color w:val="000000" w:themeColor="text1"/>
          <w:sz w:val="23"/>
          <w:szCs w:val="23"/>
          <w:lang w:val="en-US"/>
        </w:rPr>
        <w:t xml:space="preserve">at least </w:t>
      </w:r>
      <w:r w:rsidR="00EB353D" w:rsidRPr="00983193">
        <w:rPr>
          <w:rFonts w:ascii="Times New Roman" w:hAnsi="Times New Roman" w:cs="Times New Roman"/>
          <w:color w:val="000000" w:themeColor="text1"/>
          <w:sz w:val="23"/>
          <w:szCs w:val="23"/>
          <w:lang w:val="en-US"/>
        </w:rPr>
        <w:t>some of the volatility in market value.</w:t>
      </w:r>
      <w:r w:rsidR="00207165" w:rsidRPr="00983193">
        <w:rPr>
          <w:rFonts w:ascii="Times New Roman" w:hAnsi="Times New Roman" w:cs="Times New Roman"/>
          <w:color w:val="000000" w:themeColor="text1"/>
          <w:sz w:val="23"/>
          <w:szCs w:val="23"/>
          <w:lang w:val="en-US"/>
        </w:rPr>
        <w:t xml:space="preserve"> </w:t>
      </w:r>
      <w:r w:rsidR="00C30EE5">
        <w:rPr>
          <w:rFonts w:ascii="Times New Roman" w:hAnsi="Times New Roman" w:cs="Times New Roman"/>
          <w:color w:val="000000" w:themeColor="text1"/>
          <w:sz w:val="23"/>
          <w:szCs w:val="23"/>
          <w:lang w:val="en-US"/>
        </w:rPr>
        <w:t>For</w:t>
      </w:r>
      <w:r w:rsidR="00C30EE5" w:rsidRPr="00983193">
        <w:rPr>
          <w:rFonts w:ascii="Times New Roman" w:hAnsi="Times New Roman" w:cs="Times New Roman"/>
          <w:color w:val="000000" w:themeColor="text1"/>
          <w:sz w:val="23"/>
          <w:szCs w:val="23"/>
          <w:lang w:val="en-US"/>
        </w:rPr>
        <w:t xml:space="preserve"> </w:t>
      </w:r>
      <w:r w:rsidR="007D35C1" w:rsidRPr="00983193">
        <w:rPr>
          <w:rFonts w:ascii="Times New Roman" w:hAnsi="Times New Roman" w:cs="Times New Roman"/>
          <w:color w:val="000000" w:themeColor="text1"/>
          <w:sz w:val="23"/>
          <w:szCs w:val="23"/>
          <w:lang w:val="en-US"/>
        </w:rPr>
        <w:t xml:space="preserve">the VAIC, three coefficients </w:t>
      </w:r>
      <w:r w:rsidR="00C30EE5">
        <w:rPr>
          <w:rFonts w:ascii="Times New Roman" w:hAnsi="Times New Roman" w:cs="Times New Roman"/>
          <w:color w:val="000000" w:themeColor="text1"/>
          <w:sz w:val="23"/>
          <w:szCs w:val="23"/>
          <w:lang w:val="en-US"/>
        </w:rPr>
        <w:t>a</w:t>
      </w:r>
      <w:r w:rsidR="007D35C1" w:rsidRPr="00983193">
        <w:rPr>
          <w:rFonts w:ascii="Times New Roman" w:hAnsi="Times New Roman" w:cs="Times New Roman"/>
          <w:color w:val="000000" w:themeColor="text1"/>
          <w:sz w:val="23"/>
          <w:szCs w:val="23"/>
          <w:lang w:val="en-US"/>
        </w:rPr>
        <w:t xml:space="preserve">re selected to measure the independent variables under consideration. The first coefficient is the </w:t>
      </w:r>
      <w:r w:rsidR="007D35C1" w:rsidRPr="00A53C54">
        <w:rPr>
          <w:rFonts w:ascii="Times New Roman" w:hAnsi="Times New Roman" w:cs="Times New Roman"/>
          <w:i/>
          <w:color w:val="000000" w:themeColor="text1"/>
          <w:sz w:val="23"/>
          <w:szCs w:val="23"/>
          <w:lang w:val="en-US"/>
        </w:rPr>
        <w:t>VAHU</w:t>
      </w:r>
      <w:r w:rsidR="007D35C1" w:rsidRPr="00983193">
        <w:rPr>
          <w:rFonts w:ascii="Times New Roman" w:hAnsi="Times New Roman" w:cs="Times New Roman"/>
          <w:color w:val="000000" w:themeColor="text1"/>
          <w:sz w:val="23"/>
          <w:szCs w:val="23"/>
          <w:lang w:val="en-US"/>
        </w:rPr>
        <w:t xml:space="preserve"> (</w:t>
      </w:r>
      <w:r w:rsidR="00C30EE5">
        <w:rPr>
          <w:rFonts w:ascii="Times New Roman" w:hAnsi="Times New Roman" w:cs="Times New Roman"/>
          <w:color w:val="000000" w:themeColor="text1"/>
          <w:sz w:val="23"/>
          <w:szCs w:val="23"/>
          <w:lang w:val="en-US"/>
        </w:rPr>
        <w:t>v</w:t>
      </w:r>
      <w:r w:rsidR="007D35C1" w:rsidRPr="00983193">
        <w:rPr>
          <w:rFonts w:ascii="Times New Roman" w:hAnsi="Times New Roman" w:cs="Times New Roman"/>
          <w:color w:val="000000" w:themeColor="text1"/>
          <w:sz w:val="23"/>
          <w:szCs w:val="23"/>
          <w:lang w:val="en-US"/>
        </w:rPr>
        <w:t xml:space="preserve">alue </w:t>
      </w:r>
      <w:r w:rsidR="00C30EE5">
        <w:rPr>
          <w:rFonts w:ascii="Times New Roman" w:hAnsi="Times New Roman" w:cs="Times New Roman"/>
          <w:color w:val="000000" w:themeColor="text1"/>
          <w:sz w:val="23"/>
          <w:szCs w:val="23"/>
          <w:lang w:val="en-US"/>
        </w:rPr>
        <w:t>a</w:t>
      </w:r>
      <w:r w:rsidR="007D35C1" w:rsidRPr="00983193">
        <w:rPr>
          <w:rFonts w:ascii="Times New Roman" w:hAnsi="Times New Roman" w:cs="Times New Roman"/>
          <w:color w:val="000000" w:themeColor="text1"/>
          <w:sz w:val="23"/>
          <w:szCs w:val="23"/>
          <w:lang w:val="en-US"/>
        </w:rPr>
        <w:t xml:space="preserve">dded </w:t>
      </w:r>
      <w:r w:rsidR="00C30EE5">
        <w:rPr>
          <w:rFonts w:ascii="Times New Roman" w:hAnsi="Times New Roman" w:cs="Times New Roman"/>
          <w:color w:val="000000" w:themeColor="text1"/>
          <w:sz w:val="23"/>
          <w:szCs w:val="23"/>
          <w:lang w:val="en-US"/>
        </w:rPr>
        <w:t>h</w:t>
      </w:r>
      <w:r w:rsidR="007D35C1" w:rsidRPr="00983193">
        <w:rPr>
          <w:rFonts w:ascii="Times New Roman" w:hAnsi="Times New Roman" w:cs="Times New Roman"/>
          <w:color w:val="000000" w:themeColor="text1"/>
          <w:sz w:val="23"/>
          <w:szCs w:val="23"/>
          <w:lang w:val="en-US"/>
        </w:rPr>
        <w:t xml:space="preserve">uman </w:t>
      </w:r>
      <w:r w:rsidR="00C30EE5">
        <w:rPr>
          <w:rFonts w:ascii="Times New Roman" w:hAnsi="Times New Roman" w:cs="Times New Roman"/>
          <w:color w:val="000000" w:themeColor="text1"/>
          <w:sz w:val="23"/>
          <w:szCs w:val="23"/>
          <w:lang w:val="en-US"/>
        </w:rPr>
        <w:t>c</w:t>
      </w:r>
      <w:r w:rsidR="007D35C1" w:rsidRPr="00983193">
        <w:rPr>
          <w:rFonts w:ascii="Times New Roman" w:hAnsi="Times New Roman" w:cs="Times New Roman"/>
          <w:color w:val="000000" w:themeColor="text1"/>
          <w:sz w:val="23"/>
          <w:szCs w:val="23"/>
          <w:lang w:val="en-US"/>
        </w:rPr>
        <w:t xml:space="preserve">apital) coefficient </w:t>
      </w:r>
      <w:r w:rsidR="00C30EE5">
        <w:rPr>
          <w:rFonts w:ascii="Times New Roman" w:hAnsi="Times New Roman" w:cs="Times New Roman"/>
          <w:color w:val="000000" w:themeColor="text1"/>
          <w:sz w:val="23"/>
          <w:szCs w:val="23"/>
          <w:lang w:val="en-US"/>
        </w:rPr>
        <w:t xml:space="preserve">which </w:t>
      </w:r>
      <w:r w:rsidR="007D35C1" w:rsidRPr="00983193">
        <w:rPr>
          <w:rFonts w:ascii="Times New Roman" w:hAnsi="Times New Roman" w:cs="Times New Roman"/>
          <w:color w:val="000000" w:themeColor="text1"/>
          <w:sz w:val="23"/>
          <w:szCs w:val="23"/>
          <w:lang w:val="en-US"/>
        </w:rPr>
        <w:t xml:space="preserve">equals value added scaled by human costs. These costs are </w:t>
      </w:r>
      <w:r w:rsidR="00C30EE5">
        <w:rPr>
          <w:rFonts w:ascii="Times New Roman" w:hAnsi="Times New Roman" w:cs="Times New Roman"/>
          <w:color w:val="000000" w:themeColor="text1"/>
          <w:sz w:val="23"/>
          <w:szCs w:val="23"/>
          <w:lang w:val="en-US"/>
        </w:rPr>
        <w:t>total</w:t>
      </w:r>
      <w:r w:rsidR="007D35C1" w:rsidRPr="00983193">
        <w:rPr>
          <w:rFonts w:ascii="Times New Roman" w:hAnsi="Times New Roman" w:cs="Times New Roman"/>
          <w:color w:val="000000" w:themeColor="text1"/>
          <w:sz w:val="23"/>
          <w:szCs w:val="23"/>
          <w:lang w:val="en-US"/>
        </w:rPr>
        <w:t xml:space="preserve"> expenditures for employees (total salaries and wages). The second coefficient is </w:t>
      </w:r>
      <w:r w:rsidR="007D35C1" w:rsidRPr="00A53C54">
        <w:rPr>
          <w:rFonts w:ascii="Times New Roman" w:hAnsi="Times New Roman" w:cs="Times New Roman"/>
          <w:i/>
          <w:color w:val="000000" w:themeColor="text1"/>
          <w:sz w:val="23"/>
          <w:szCs w:val="23"/>
          <w:lang w:val="en-US"/>
        </w:rPr>
        <w:t>SCVA</w:t>
      </w:r>
      <w:r w:rsidR="007D35C1" w:rsidRPr="00983193">
        <w:rPr>
          <w:rFonts w:ascii="Times New Roman" w:hAnsi="Times New Roman" w:cs="Times New Roman"/>
          <w:color w:val="000000" w:themeColor="text1"/>
          <w:sz w:val="23"/>
          <w:szCs w:val="23"/>
          <w:lang w:val="en-US"/>
        </w:rPr>
        <w:t xml:space="preserve">, the </w:t>
      </w:r>
      <w:r w:rsidR="00C30EE5">
        <w:rPr>
          <w:rFonts w:ascii="Times New Roman" w:hAnsi="Times New Roman" w:cs="Times New Roman"/>
          <w:color w:val="000000" w:themeColor="text1"/>
          <w:sz w:val="23"/>
          <w:szCs w:val="23"/>
          <w:lang w:val="en-US"/>
        </w:rPr>
        <w:t>v</w:t>
      </w:r>
      <w:r w:rsidR="007D35C1" w:rsidRPr="00983193">
        <w:rPr>
          <w:rFonts w:ascii="Times New Roman" w:hAnsi="Times New Roman" w:cs="Times New Roman"/>
          <w:color w:val="000000" w:themeColor="text1"/>
          <w:sz w:val="23"/>
          <w:szCs w:val="23"/>
          <w:lang w:val="en-US"/>
        </w:rPr>
        <w:t xml:space="preserve">alue added structural capital coefficient, </w:t>
      </w:r>
      <w:r w:rsidR="00C30EE5">
        <w:rPr>
          <w:rFonts w:ascii="Times New Roman" w:hAnsi="Times New Roman" w:cs="Times New Roman"/>
          <w:color w:val="000000" w:themeColor="text1"/>
          <w:sz w:val="23"/>
          <w:szCs w:val="23"/>
          <w:lang w:val="en-US"/>
        </w:rPr>
        <w:t xml:space="preserve">which </w:t>
      </w:r>
      <w:r w:rsidR="007D35C1" w:rsidRPr="00983193">
        <w:rPr>
          <w:rFonts w:ascii="Times New Roman" w:hAnsi="Times New Roman" w:cs="Times New Roman"/>
          <w:color w:val="000000" w:themeColor="text1"/>
          <w:sz w:val="23"/>
          <w:szCs w:val="23"/>
          <w:lang w:val="en-US"/>
        </w:rPr>
        <w:t xml:space="preserve">equals structural capital (SC) scaled by value added. </w:t>
      </w:r>
      <w:r w:rsidR="00C30EE5">
        <w:rPr>
          <w:rFonts w:ascii="Times New Roman" w:hAnsi="Times New Roman" w:cs="Times New Roman"/>
          <w:color w:val="000000" w:themeColor="text1"/>
          <w:sz w:val="23"/>
          <w:szCs w:val="23"/>
          <w:lang w:val="en-US"/>
        </w:rPr>
        <w:t xml:space="preserve">Here, </w:t>
      </w:r>
      <w:r w:rsidR="007D35C1" w:rsidRPr="00983193">
        <w:rPr>
          <w:rFonts w:ascii="Times New Roman" w:hAnsi="Times New Roman" w:cs="Times New Roman"/>
          <w:color w:val="000000" w:themeColor="text1"/>
          <w:sz w:val="23"/>
          <w:szCs w:val="23"/>
          <w:lang w:val="en-US"/>
        </w:rPr>
        <w:t xml:space="preserve">SC is equal to the value added of the company less expenditures for employees. </w:t>
      </w:r>
      <w:r w:rsidR="00C30EE5">
        <w:rPr>
          <w:rFonts w:ascii="Times New Roman" w:hAnsi="Times New Roman" w:cs="Times New Roman"/>
          <w:color w:val="000000" w:themeColor="text1"/>
          <w:sz w:val="23"/>
          <w:szCs w:val="23"/>
          <w:lang w:val="en-US"/>
        </w:rPr>
        <w:t>The</w:t>
      </w:r>
      <w:r w:rsidR="007D35C1" w:rsidRPr="00983193">
        <w:rPr>
          <w:rFonts w:ascii="Times New Roman" w:hAnsi="Times New Roman" w:cs="Times New Roman"/>
          <w:color w:val="000000" w:themeColor="text1"/>
          <w:sz w:val="23"/>
          <w:szCs w:val="23"/>
          <w:lang w:val="en-US"/>
        </w:rPr>
        <w:t xml:space="preserve"> third coefficient is </w:t>
      </w:r>
      <w:r w:rsidR="007D35C1" w:rsidRPr="00A53C54">
        <w:rPr>
          <w:rFonts w:ascii="Times New Roman" w:hAnsi="Times New Roman" w:cs="Times New Roman"/>
          <w:i/>
          <w:color w:val="000000" w:themeColor="text1"/>
          <w:sz w:val="23"/>
          <w:szCs w:val="23"/>
          <w:lang w:val="en-US"/>
        </w:rPr>
        <w:t>VACA</w:t>
      </w:r>
      <w:r w:rsidR="007D35C1" w:rsidRPr="00983193">
        <w:rPr>
          <w:rFonts w:ascii="Times New Roman" w:hAnsi="Times New Roman" w:cs="Times New Roman"/>
          <w:color w:val="000000" w:themeColor="text1"/>
          <w:sz w:val="23"/>
          <w:szCs w:val="23"/>
          <w:lang w:val="en-US"/>
        </w:rPr>
        <w:t>, the value</w:t>
      </w:r>
      <w:r w:rsidR="00C30EE5">
        <w:rPr>
          <w:rFonts w:ascii="Times New Roman" w:hAnsi="Times New Roman" w:cs="Times New Roman"/>
          <w:color w:val="000000" w:themeColor="text1"/>
          <w:sz w:val="23"/>
          <w:szCs w:val="23"/>
          <w:lang w:val="en-US"/>
        </w:rPr>
        <w:t xml:space="preserve"> </w:t>
      </w:r>
      <w:r w:rsidR="007D35C1" w:rsidRPr="00983193">
        <w:rPr>
          <w:rFonts w:ascii="Times New Roman" w:hAnsi="Times New Roman" w:cs="Times New Roman"/>
          <w:color w:val="000000" w:themeColor="text1"/>
          <w:sz w:val="23"/>
          <w:szCs w:val="23"/>
          <w:lang w:val="en-US"/>
        </w:rPr>
        <w:t>added capital employed coefficient. This coefficient is equal to the value added of the firm scaled by the book value of the equity (Morariu, 2014).</w:t>
      </w:r>
      <w:r w:rsidR="00C30EE5">
        <w:rPr>
          <w:rFonts w:ascii="Times New Roman" w:hAnsi="Times New Roman" w:cs="Times New Roman"/>
          <w:color w:val="000000" w:themeColor="text1"/>
          <w:sz w:val="23"/>
          <w:szCs w:val="23"/>
          <w:lang w:val="en-US"/>
        </w:rPr>
        <w:t xml:space="preserve"> T</w:t>
      </w:r>
      <w:r w:rsidR="007D35C1" w:rsidRPr="00983193">
        <w:rPr>
          <w:rFonts w:ascii="Times New Roman" w:hAnsi="Times New Roman" w:cs="Times New Roman"/>
          <w:color w:val="000000" w:themeColor="text1"/>
          <w:sz w:val="23"/>
          <w:szCs w:val="23"/>
          <w:lang w:val="en-US"/>
        </w:rPr>
        <w:t xml:space="preserve">he VAIC </w:t>
      </w:r>
      <w:r w:rsidR="00C30EE5">
        <w:rPr>
          <w:rFonts w:ascii="Times New Roman" w:hAnsi="Times New Roman" w:cs="Times New Roman"/>
          <w:color w:val="000000" w:themeColor="text1"/>
          <w:sz w:val="23"/>
          <w:szCs w:val="23"/>
          <w:lang w:val="en-US"/>
        </w:rPr>
        <w:t xml:space="preserve">dependent variable that we employ in our models </w:t>
      </w:r>
      <w:r w:rsidR="007D35C1" w:rsidRPr="00983193">
        <w:rPr>
          <w:rFonts w:ascii="Times New Roman" w:hAnsi="Times New Roman" w:cs="Times New Roman"/>
          <w:color w:val="000000" w:themeColor="text1"/>
          <w:sz w:val="23"/>
          <w:szCs w:val="23"/>
          <w:lang w:val="en-US"/>
        </w:rPr>
        <w:t>is the sum of</w:t>
      </w:r>
      <w:r w:rsidR="00261559" w:rsidRPr="00983193">
        <w:rPr>
          <w:rFonts w:ascii="Times New Roman" w:hAnsi="Times New Roman" w:cs="Times New Roman"/>
          <w:color w:val="000000" w:themeColor="text1"/>
          <w:sz w:val="23"/>
          <w:szCs w:val="23"/>
          <w:lang w:val="en-US"/>
        </w:rPr>
        <w:t xml:space="preserve"> the three coefficients</w:t>
      </w:r>
      <w:r w:rsidR="00C30EE5">
        <w:rPr>
          <w:rFonts w:ascii="Times New Roman" w:hAnsi="Times New Roman" w:cs="Times New Roman"/>
          <w:color w:val="000000" w:themeColor="text1"/>
          <w:sz w:val="23"/>
          <w:szCs w:val="23"/>
          <w:lang w:val="en-US"/>
        </w:rPr>
        <w:t>,</w:t>
      </w:r>
      <w:r w:rsidR="00261559" w:rsidRPr="00983193">
        <w:rPr>
          <w:rFonts w:ascii="Times New Roman" w:hAnsi="Times New Roman" w:cs="Times New Roman"/>
          <w:color w:val="000000" w:themeColor="text1"/>
          <w:sz w:val="23"/>
          <w:szCs w:val="23"/>
          <w:lang w:val="en-US"/>
        </w:rPr>
        <w:t xml:space="preserve"> </w:t>
      </w:r>
      <w:r w:rsidR="00261559" w:rsidRPr="00A53C54">
        <w:rPr>
          <w:rFonts w:ascii="Times New Roman" w:hAnsi="Times New Roman" w:cs="Times New Roman"/>
          <w:i/>
          <w:color w:val="000000" w:themeColor="text1"/>
          <w:sz w:val="23"/>
          <w:szCs w:val="23"/>
          <w:lang w:val="en-US"/>
        </w:rPr>
        <w:t>VAHU</w:t>
      </w:r>
      <w:r w:rsidR="00261559" w:rsidRPr="00983193">
        <w:rPr>
          <w:rFonts w:ascii="Times New Roman" w:hAnsi="Times New Roman" w:cs="Times New Roman"/>
          <w:color w:val="000000" w:themeColor="text1"/>
          <w:sz w:val="23"/>
          <w:szCs w:val="23"/>
          <w:lang w:val="en-US"/>
        </w:rPr>
        <w:t xml:space="preserve">, </w:t>
      </w:r>
      <w:r w:rsidR="00261559" w:rsidRPr="00A53C54">
        <w:rPr>
          <w:rFonts w:ascii="Times New Roman" w:hAnsi="Times New Roman" w:cs="Times New Roman"/>
          <w:i/>
          <w:color w:val="000000" w:themeColor="text1"/>
          <w:sz w:val="23"/>
          <w:szCs w:val="23"/>
          <w:lang w:val="en-US"/>
        </w:rPr>
        <w:t>SCVA</w:t>
      </w:r>
      <w:r w:rsidR="00261559" w:rsidRPr="00983193">
        <w:rPr>
          <w:rFonts w:ascii="Times New Roman" w:hAnsi="Times New Roman" w:cs="Times New Roman"/>
          <w:color w:val="000000" w:themeColor="text1"/>
          <w:sz w:val="23"/>
          <w:szCs w:val="23"/>
          <w:lang w:val="en-US"/>
        </w:rPr>
        <w:t xml:space="preserve">, and </w:t>
      </w:r>
      <w:r w:rsidR="007D35C1" w:rsidRPr="00A53C54">
        <w:rPr>
          <w:rFonts w:ascii="Times New Roman" w:hAnsi="Times New Roman" w:cs="Times New Roman"/>
          <w:i/>
          <w:color w:val="000000" w:themeColor="text1"/>
          <w:sz w:val="23"/>
          <w:szCs w:val="23"/>
          <w:lang w:val="en-US"/>
        </w:rPr>
        <w:t>VACA</w:t>
      </w:r>
      <w:r w:rsidR="007D35C1" w:rsidRPr="00983193">
        <w:rPr>
          <w:rFonts w:ascii="Times New Roman" w:hAnsi="Times New Roman" w:cs="Times New Roman"/>
          <w:color w:val="000000" w:themeColor="text1"/>
          <w:sz w:val="23"/>
          <w:szCs w:val="23"/>
          <w:lang w:val="en-US"/>
        </w:rPr>
        <w:t xml:space="preserve">. </w:t>
      </w:r>
      <w:r w:rsidR="00C30EE5">
        <w:rPr>
          <w:rFonts w:ascii="Times New Roman" w:hAnsi="Times New Roman" w:cs="Times New Roman"/>
          <w:color w:val="000000" w:themeColor="text1"/>
          <w:sz w:val="23"/>
          <w:szCs w:val="23"/>
          <w:lang w:val="en-US"/>
        </w:rPr>
        <w:t>Our two models are shown in Equations 1 and 2 below.</w:t>
      </w:r>
    </w:p>
    <w:p w14:paraId="5D8E7526" w14:textId="77777777" w:rsidR="00EB353D" w:rsidRPr="00983193" w:rsidRDefault="00EB353D" w:rsidP="00EB353D">
      <w:pPr>
        <w:spacing w:after="0" w:line="240" w:lineRule="auto"/>
        <w:ind w:firstLine="284"/>
        <w:jc w:val="both"/>
        <w:rPr>
          <w:rFonts w:ascii="Times New Roman" w:hAnsi="Times New Roman" w:cs="Times New Roman"/>
          <w:color w:val="000000" w:themeColor="text1"/>
          <w:sz w:val="23"/>
          <w:szCs w:val="23"/>
          <w:lang w:val="en-US"/>
        </w:rPr>
      </w:pPr>
    </w:p>
    <w:p w14:paraId="3D312C57" w14:textId="77777777" w:rsidR="00EB353D" w:rsidRPr="00983193" w:rsidRDefault="00983193" w:rsidP="00A53C54">
      <w:pPr>
        <w:spacing w:after="0" w:line="240" w:lineRule="auto"/>
        <w:ind w:left="284" w:right="567"/>
        <w:jc w:val="right"/>
        <w:rPr>
          <w:rFonts w:ascii="Times New Roman" w:hAnsi="Times New Roman" w:cs="Times New Roman"/>
          <w:color w:val="000000" w:themeColor="text1"/>
          <w:sz w:val="23"/>
          <w:szCs w:val="23"/>
          <w:lang w:val="en-US"/>
        </w:rPr>
      </w:pPr>
      <m:oMath>
        <m:r>
          <w:rPr>
            <w:rFonts w:ascii="Cambria Math" w:hAnsi="Cambria Math" w:cs="Times New Roman"/>
            <w:color w:val="000000" w:themeColor="text1"/>
            <w:sz w:val="23"/>
            <w:szCs w:val="23"/>
            <w:lang w:val="en-US"/>
          </w:rPr>
          <m:t>MTB=</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α</m:t>
            </m:r>
          </m:e>
          <m:sub>
            <m:r>
              <w:rPr>
                <w:rFonts w:ascii="Cambria Math" w:hAnsi="Cambria Math" w:cs="Times New Roman"/>
                <w:color w:val="000000" w:themeColor="text1"/>
                <w:sz w:val="23"/>
                <w:szCs w:val="23"/>
                <w:lang w:val="en-US"/>
              </w:rPr>
              <m:t>i,t</m:t>
            </m:r>
          </m:sub>
        </m:sSub>
        <m:r>
          <w:rPr>
            <w:rFonts w:ascii="Cambria Math" w:hAnsi="Cambria Math" w:cs="Times New Roman"/>
            <w:color w:val="000000" w:themeColor="text1"/>
            <w:sz w:val="23"/>
            <w:szCs w:val="23"/>
            <w:lang w:val="en-US"/>
          </w:rPr>
          <m:t>+</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β</m:t>
            </m:r>
          </m:e>
          <m:sub>
            <m:r>
              <w:rPr>
                <w:rFonts w:ascii="Cambria Math" w:hAnsi="Cambria Math" w:cs="Times New Roman"/>
                <w:color w:val="000000" w:themeColor="text1"/>
                <w:sz w:val="23"/>
                <w:szCs w:val="23"/>
                <w:lang w:val="en-US"/>
              </w:rPr>
              <m:t>1</m:t>
            </m:r>
          </m:sub>
        </m:sSub>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lnTINT</m:t>
            </m:r>
          </m:e>
          <m:sub>
            <m:r>
              <w:rPr>
                <w:rFonts w:ascii="Cambria Math" w:hAnsi="Cambria Math" w:cs="Times New Roman"/>
                <w:color w:val="000000" w:themeColor="text1"/>
                <w:sz w:val="23"/>
                <w:szCs w:val="23"/>
                <w:lang w:val="en-US"/>
              </w:rPr>
              <m:t>i,t</m:t>
            </m:r>
          </m:sub>
        </m:sSub>
        <m:r>
          <w:rPr>
            <w:rFonts w:ascii="Cambria Math" w:hAnsi="Cambria Math" w:cs="Times New Roman"/>
            <w:color w:val="000000" w:themeColor="text1"/>
            <w:sz w:val="23"/>
            <w:szCs w:val="23"/>
            <w:lang w:val="en-US"/>
          </w:rPr>
          <m:t>+</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β</m:t>
            </m:r>
          </m:e>
          <m:sub>
            <m:r>
              <w:rPr>
                <w:rFonts w:ascii="Cambria Math" w:hAnsi="Cambria Math" w:cs="Times New Roman"/>
                <w:color w:val="000000" w:themeColor="text1"/>
                <w:sz w:val="23"/>
                <w:szCs w:val="23"/>
                <w:lang w:val="en-US"/>
              </w:rPr>
              <m:t>2</m:t>
            </m:r>
          </m:sub>
        </m:sSub>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ROA</m:t>
            </m:r>
          </m:e>
          <m:sub>
            <m:r>
              <w:rPr>
                <w:rFonts w:ascii="Cambria Math" w:hAnsi="Cambria Math" w:cs="Times New Roman"/>
                <w:color w:val="000000" w:themeColor="text1"/>
                <w:sz w:val="23"/>
                <w:szCs w:val="23"/>
                <w:lang w:val="en-US"/>
              </w:rPr>
              <m:t>i,t</m:t>
            </m:r>
          </m:sub>
        </m:sSub>
        <m:r>
          <w:rPr>
            <w:rFonts w:ascii="Cambria Math" w:hAnsi="Cambria Math" w:cs="Times New Roman"/>
            <w:color w:val="000000" w:themeColor="text1"/>
            <w:sz w:val="23"/>
            <w:szCs w:val="23"/>
            <w:lang w:val="en-US"/>
          </w:rPr>
          <m:t>+</m:t>
        </m:r>
        <m:sSub>
          <m:sSubPr>
            <m:ctrlPr>
              <w:rPr>
                <w:rFonts w:ascii="Cambria Math" w:hAnsi="Cambria Math" w:cs="Times New Roman"/>
                <w:i/>
                <w:color w:val="000000" w:themeColor="text1"/>
                <w:sz w:val="23"/>
                <w:szCs w:val="23"/>
                <w:lang w:val="en-US"/>
              </w:rPr>
            </m:ctrlPr>
          </m:sSubPr>
          <m:e>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β</m:t>
                </m:r>
              </m:e>
              <m:sub>
                <m:r>
                  <w:rPr>
                    <w:rFonts w:ascii="Cambria Math" w:hAnsi="Cambria Math" w:cs="Times New Roman"/>
                    <w:color w:val="000000" w:themeColor="text1"/>
                    <w:sz w:val="23"/>
                    <w:szCs w:val="23"/>
                    <w:lang w:val="en-US"/>
                  </w:rPr>
                  <m:t>3</m:t>
                </m:r>
              </m:sub>
            </m:sSub>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LEV</m:t>
                </m:r>
              </m:e>
              <m:sub>
                <m:r>
                  <w:rPr>
                    <w:rFonts w:ascii="Cambria Math" w:hAnsi="Cambria Math" w:cs="Times New Roman"/>
                    <w:color w:val="000000" w:themeColor="text1"/>
                    <w:sz w:val="23"/>
                    <w:szCs w:val="23"/>
                    <w:lang w:val="en-US"/>
                  </w:rPr>
                  <m:t>i,t</m:t>
                </m:r>
              </m:sub>
            </m:sSub>
            <m:r>
              <w:rPr>
                <w:rFonts w:ascii="Cambria Math" w:hAnsi="Cambria Math" w:cs="Times New Roman"/>
                <w:color w:val="000000" w:themeColor="text1"/>
                <w:sz w:val="23"/>
                <w:szCs w:val="23"/>
                <w:lang w:val="en-US"/>
              </w:rPr>
              <m:t xml:space="preserve"> </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 β</m:t>
                </m:r>
              </m:e>
              <m:sub>
                <m:r>
                  <w:rPr>
                    <w:rFonts w:ascii="Cambria Math" w:hAnsi="Cambria Math" w:cs="Times New Roman"/>
                    <w:color w:val="000000" w:themeColor="text1"/>
                    <w:sz w:val="23"/>
                    <w:szCs w:val="23"/>
                    <w:lang w:val="en-US"/>
                  </w:rPr>
                  <m:t>4</m:t>
                </m:r>
              </m:sub>
            </m:sSub>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SIZE</m:t>
                </m:r>
              </m:e>
              <m:sub>
                <m:r>
                  <w:rPr>
                    <w:rFonts w:ascii="Cambria Math" w:hAnsi="Cambria Math" w:cs="Times New Roman"/>
                    <w:color w:val="000000" w:themeColor="text1"/>
                    <w:sz w:val="23"/>
                    <w:szCs w:val="23"/>
                    <w:lang w:val="en-US"/>
                  </w:rPr>
                  <m:t>i,t</m:t>
                </m:r>
              </m:sub>
            </m:sSub>
            <m:r>
              <w:rPr>
                <w:rFonts w:ascii="Cambria Math" w:hAnsi="Cambria Math" w:cs="Times New Roman"/>
                <w:color w:val="000000" w:themeColor="text1"/>
                <w:sz w:val="23"/>
                <w:szCs w:val="23"/>
                <w:lang w:val="en-US"/>
              </w:rPr>
              <m:t>+</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 xml:space="preserve"> β</m:t>
                </m:r>
              </m:e>
              <m:sub>
                <m:r>
                  <w:rPr>
                    <w:rFonts w:ascii="Cambria Math" w:hAnsi="Cambria Math" w:cs="Times New Roman"/>
                    <w:color w:val="000000" w:themeColor="text1"/>
                    <w:sz w:val="23"/>
                    <w:szCs w:val="23"/>
                    <w:lang w:val="en-US"/>
                  </w:rPr>
                  <m:t>5</m:t>
                </m:r>
              </m:sub>
            </m:sSub>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GROWTH</m:t>
                </m:r>
              </m:e>
              <m:sub>
                <m:r>
                  <w:rPr>
                    <w:rFonts w:ascii="Cambria Math" w:hAnsi="Cambria Math" w:cs="Times New Roman"/>
                    <w:color w:val="000000" w:themeColor="text1"/>
                    <w:sz w:val="23"/>
                    <w:szCs w:val="23"/>
                    <w:lang w:val="en-US"/>
                  </w:rPr>
                  <m:t>i,t</m:t>
                </m:r>
              </m:sub>
            </m:sSub>
          </m:e>
          <m:sub/>
        </m:sSub>
        <m:r>
          <w:rPr>
            <w:rFonts w:ascii="Cambria Math" w:hAnsi="Cambria Math" w:cs="Times New Roman"/>
            <w:color w:val="000000" w:themeColor="text1"/>
            <w:sz w:val="23"/>
            <w:szCs w:val="23"/>
            <w:lang w:val="en-US"/>
          </w:rPr>
          <m:t xml:space="preserve">+ </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 xml:space="preserve"> β</m:t>
            </m:r>
          </m:e>
          <m:sub>
            <m:r>
              <w:rPr>
                <w:rFonts w:ascii="Cambria Math" w:hAnsi="Cambria Math" w:cs="Times New Roman"/>
                <w:color w:val="000000" w:themeColor="text1"/>
                <w:sz w:val="23"/>
                <w:szCs w:val="23"/>
                <w:lang w:val="en-US"/>
              </w:rPr>
              <m:t>6</m:t>
            </m:r>
          </m:sub>
        </m:sSub>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lnAGE</m:t>
            </m:r>
          </m:e>
          <m:sub>
            <m:r>
              <w:rPr>
                <w:rFonts w:ascii="Cambria Math" w:hAnsi="Cambria Math" w:cs="Times New Roman"/>
                <w:color w:val="000000" w:themeColor="text1"/>
                <w:sz w:val="23"/>
                <w:szCs w:val="23"/>
                <w:lang w:val="en-US"/>
              </w:rPr>
              <m:t>i,t</m:t>
            </m:r>
          </m:sub>
        </m:sSub>
        <m:r>
          <w:rPr>
            <w:rFonts w:ascii="Cambria Math" w:hAnsi="Cambria Math" w:cs="Times New Roman"/>
            <w:color w:val="000000" w:themeColor="text1"/>
            <w:sz w:val="23"/>
            <w:szCs w:val="23"/>
            <w:lang w:val="en-US"/>
          </w:rPr>
          <m:t xml:space="preserve">+ </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ε</m:t>
            </m:r>
          </m:e>
          <m:sub>
            <m:r>
              <w:rPr>
                <w:rFonts w:ascii="Cambria Math" w:hAnsi="Cambria Math" w:cs="Times New Roman"/>
                <w:color w:val="000000" w:themeColor="text1"/>
                <w:sz w:val="23"/>
                <w:szCs w:val="23"/>
                <w:lang w:val="en-US"/>
              </w:rPr>
              <m:t>i,t</m:t>
            </m:r>
          </m:sub>
        </m:sSub>
      </m:oMath>
      <w:r w:rsidR="00EB353D" w:rsidRPr="00983193">
        <w:rPr>
          <w:rFonts w:ascii="Times New Roman" w:hAnsi="Times New Roman" w:cs="Times New Roman"/>
          <w:color w:val="000000" w:themeColor="text1"/>
          <w:sz w:val="23"/>
          <w:szCs w:val="23"/>
          <w:lang w:val="en-US"/>
        </w:rPr>
        <w:tab/>
      </w:r>
      <w:r w:rsidR="00EB353D" w:rsidRPr="00983193">
        <w:rPr>
          <w:rFonts w:ascii="Times New Roman" w:hAnsi="Times New Roman" w:cs="Times New Roman"/>
          <w:color w:val="000000" w:themeColor="text1"/>
          <w:sz w:val="23"/>
          <w:szCs w:val="23"/>
          <w:lang w:val="en-US"/>
        </w:rPr>
        <w:tab/>
      </w:r>
      <w:r w:rsidR="00EB353D" w:rsidRPr="00983193">
        <w:rPr>
          <w:rFonts w:ascii="Times New Roman" w:hAnsi="Times New Roman" w:cs="Times New Roman"/>
          <w:color w:val="000000" w:themeColor="text1"/>
          <w:sz w:val="23"/>
          <w:szCs w:val="23"/>
          <w:lang w:val="en-US"/>
        </w:rPr>
        <w:tab/>
      </w:r>
      <w:r w:rsidR="00EB353D" w:rsidRPr="00983193">
        <w:rPr>
          <w:rFonts w:ascii="Times New Roman" w:hAnsi="Times New Roman" w:cs="Times New Roman"/>
          <w:color w:val="000000" w:themeColor="text1"/>
          <w:sz w:val="23"/>
          <w:szCs w:val="23"/>
          <w:lang w:val="en-US"/>
        </w:rPr>
        <w:tab/>
      </w:r>
      <w:r w:rsidR="00EB353D" w:rsidRPr="00983193">
        <w:rPr>
          <w:rFonts w:ascii="Times New Roman" w:hAnsi="Times New Roman" w:cs="Times New Roman"/>
          <w:color w:val="000000" w:themeColor="text1"/>
          <w:sz w:val="23"/>
          <w:szCs w:val="23"/>
          <w:lang w:val="en-US"/>
        </w:rPr>
        <w:tab/>
      </w:r>
      <w:r w:rsidR="00EB353D" w:rsidRPr="00983193">
        <w:rPr>
          <w:rFonts w:ascii="Times New Roman" w:hAnsi="Times New Roman" w:cs="Times New Roman"/>
          <w:color w:val="000000" w:themeColor="text1"/>
          <w:sz w:val="23"/>
          <w:szCs w:val="23"/>
          <w:lang w:val="en-US"/>
        </w:rPr>
        <w:tab/>
        <w:t>(1)</w:t>
      </w:r>
    </w:p>
    <w:p w14:paraId="227ED0E9" w14:textId="77777777" w:rsidR="006D121B" w:rsidRPr="00983193" w:rsidRDefault="006D121B" w:rsidP="00EB353D">
      <w:pPr>
        <w:spacing w:after="0" w:line="240" w:lineRule="auto"/>
        <w:ind w:left="284" w:right="567"/>
        <w:jc w:val="both"/>
        <w:rPr>
          <w:rFonts w:ascii="Times New Roman" w:hAnsi="Times New Roman" w:cs="Times New Roman"/>
          <w:color w:val="000000" w:themeColor="text1"/>
          <w:sz w:val="23"/>
          <w:szCs w:val="23"/>
          <w:lang w:val="en-US"/>
        </w:rPr>
      </w:pPr>
    </w:p>
    <w:p w14:paraId="7621432C" w14:textId="77777777" w:rsidR="006D121B" w:rsidRPr="00983193" w:rsidRDefault="006D121B" w:rsidP="006D121B">
      <w:pPr>
        <w:spacing w:after="0" w:line="240" w:lineRule="auto"/>
        <w:ind w:firstLine="284"/>
        <w:jc w:val="both"/>
        <w:rPr>
          <w:rFonts w:ascii="Times New Roman" w:hAnsi="Times New Roman" w:cs="Times New Roman"/>
          <w:color w:val="000000" w:themeColor="text1"/>
          <w:sz w:val="23"/>
          <w:szCs w:val="23"/>
          <w:lang w:val="en-US"/>
        </w:rPr>
      </w:pPr>
    </w:p>
    <w:p w14:paraId="751AE897" w14:textId="77777777" w:rsidR="006D121B" w:rsidRPr="00983193" w:rsidRDefault="00983193" w:rsidP="00A53C54">
      <w:pPr>
        <w:spacing w:after="0" w:line="240" w:lineRule="auto"/>
        <w:ind w:left="284" w:right="567"/>
        <w:jc w:val="right"/>
        <w:rPr>
          <w:rFonts w:ascii="Times New Roman" w:hAnsi="Times New Roman" w:cs="Times New Roman"/>
          <w:color w:val="000000" w:themeColor="text1"/>
          <w:sz w:val="23"/>
          <w:szCs w:val="23"/>
          <w:lang w:val="en-US"/>
        </w:rPr>
      </w:pPr>
      <m:oMath>
        <m:r>
          <w:rPr>
            <w:rFonts w:ascii="Cambria Math" w:hAnsi="Cambria Math" w:cs="Times New Roman"/>
            <w:color w:val="000000" w:themeColor="text1"/>
            <w:sz w:val="23"/>
            <w:szCs w:val="23"/>
            <w:lang w:val="en-US"/>
          </w:rPr>
          <w:lastRenderedPageBreak/>
          <m:t>VAIC=</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α</m:t>
            </m:r>
          </m:e>
          <m:sub>
            <m:r>
              <w:rPr>
                <w:rFonts w:ascii="Cambria Math" w:hAnsi="Cambria Math" w:cs="Times New Roman"/>
                <w:color w:val="000000" w:themeColor="text1"/>
                <w:sz w:val="23"/>
                <w:szCs w:val="23"/>
                <w:lang w:val="en-US"/>
              </w:rPr>
              <m:t>i,t</m:t>
            </m:r>
          </m:sub>
        </m:sSub>
        <m:r>
          <w:rPr>
            <w:rFonts w:ascii="Cambria Math" w:hAnsi="Cambria Math" w:cs="Times New Roman"/>
            <w:color w:val="000000" w:themeColor="text1"/>
            <w:sz w:val="23"/>
            <w:szCs w:val="23"/>
            <w:lang w:val="en-US"/>
          </w:rPr>
          <m:t>+</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β</m:t>
            </m:r>
          </m:e>
          <m:sub>
            <m:r>
              <w:rPr>
                <w:rFonts w:ascii="Cambria Math" w:hAnsi="Cambria Math" w:cs="Times New Roman"/>
                <w:color w:val="000000" w:themeColor="text1"/>
                <w:sz w:val="23"/>
                <w:szCs w:val="23"/>
                <w:lang w:val="en-US"/>
              </w:rPr>
              <m:t>1</m:t>
            </m:r>
          </m:sub>
        </m:sSub>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lnTINT</m:t>
            </m:r>
          </m:e>
          <m:sub>
            <m:r>
              <w:rPr>
                <w:rFonts w:ascii="Cambria Math" w:hAnsi="Cambria Math" w:cs="Times New Roman"/>
                <w:color w:val="000000" w:themeColor="text1"/>
                <w:sz w:val="23"/>
                <w:szCs w:val="23"/>
                <w:lang w:val="en-US"/>
              </w:rPr>
              <m:t>i,t</m:t>
            </m:r>
          </m:sub>
        </m:sSub>
        <m:r>
          <w:rPr>
            <w:rFonts w:ascii="Cambria Math" w:hAnsi="Cambria Math" w:cs="Times New Roman"/>
            <w:color w:val="000000" w:themeColor="text1"/>
            <w:sz w:val="23"/>
            <w:szCs w:val="23"/>
            <w:lang w:val="en-US"/>
          </w:rPr>
          <m:t>+</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β</m:t>
            </m:r>
          </m:e>
          <m:sub>
            <m:r>
              <w:rPr>
                <w:rFonts w:ascii="Cambria Math" w:hAnsi="Cambria Math" w:cs="Times New Roman"/>
                <w:color w:val="000000" w:themeColor="text1"/>
                <w:sz w:val="23"/>
                <w:szCs w:val="23"/>
                <w:lang w:val="en-US"/>
              </w:rPr>
              <m:t>2</m:t>
            </m:r>
          </m:sub>
        </m:sSub>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ROA</m:t>
            </m:r>
          </m:e>
          <m:sub>
            <m:r>
              <w:rPr>
                <w:rFonts w:ascii="Cambria Math" w:hAnsi="Cambria Math" w:cs="Times New Roman"/>
                <w:color w:val="000000" w:themeColor="text1"/>
                <w:sz w:val="23"/>
                <w:szCs w:val="23"/>
                <w:lang w:val="en-US"/>
              </w:rPr>
              <m:t>i,t</m:t>
            </m:r>
          </m:sub>
        </m:sSub>
        <m:r>
          <w:rPr>
            <w:rFonts w:ascii="Cambria Math" w:hAnsi="Cambria Math" w:cs="Times New Roman"/>
            <w:color w:val="000000" w:themeColor="text1"/>
            <w:sz w:val="23"/>
            <w:szCs w:val="23"/>
            <w:lang w:val="en-US"/>
          </w:rPr>
          <m:t>+</m:t>
        </m:r>
        <m:sSub>
          <m:sSubPr>
            <m:ctrlPr>
              <w:rPr>
                <w:rFonts w:ascii="Cambria Math" w:hAnsi="Cambria Math" w:cs="Times New Roman"/>
                <w:i/>
                <w:color w:val="000000" w:themeColor="text1"/>
                <w:sz w:val="23"/>
                <w:szCs w:val="23"/>
                <w:lang w:val="en-US"/>
              </w:rPr>
            </m:ctrlPr>
          </m:sSubPr>
          <m:e>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β</m:t>
                </m:r>
              </m:e>
              <m:sub>
                <m:r>
                  <w:rPr>
                    <w:rFonts w:ascii="Cambria Math" w:hAnsi="Cambria Math" w:cs="Times New Roman"/>
                    <w:color w:val="000000" w:themeColor="text1"/>
                    <w:sz w:val="23"/>
                    <w:szCs w:val="23"/>
                    <w:lang w:val="en-US"/>
                  </w:rPr>
                  <m:t>3</m:t>
                </m:r>
              </m:sub>
            </m:sSub>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LEV</m:t>
                </m:r>
              </m:e>
              <m:sub>
                <m:r>
                  <w:rPr>
                    <w:rFonts w:ascii="Cambria Math" w:hAnsi="Cambria Math" w:cs="Times New Roman"/>
                    <w:color w:val="000000" w:themeColor="text1"/>
                    <w:sz w:val="23"/>
                    <w:szCs w:val="23"/>
                    <w:lang w:val="en-US"/>
                  </w:rPr>
                  <m:t>i,t</m:t>
                </m:r>
              </m:sub>
            </m:sSub>
            <m:r>
              <w:rPr>
                <w:rFonts w:ascii="Cambria Math" w:hAnsi="Cambria Math" w:cs="Times New Roman"/>
                <w:color w:val="000000" w:themeColor="text1"/>
                <w:sz w:val="23"/>
                <w:szCs w:val="23"/>
                <w:lang w:val="en-US"/>
              </w:rPr>
              <m:t xml:space="preserve"> </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 β</m:t>
                </m:r>
              </m:e>
              <m:sub>
                <m:r>
                  <w:rPr>
                    <w:rFonts w:ascii="Cambria Math" w:hAnsi="Cambria Math" w:cs="Times New Roman"/>
                    <w:color w:val="000000" w:themeColor="text1"/>
                    <w:sz w:val="23"/>
                    <w:szCs w:val="23"/>
                    <w:lang w:val="en-US"/>
                  </w:rPr>
                  <m:t>4</m:t>
                </m:r>
              </m:sub>
            </m:sSub>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SIZE</m:t>
                </m:r>
              </m:e>
              <m:sub>
                <m:r>
                  <w:rPr>
                    <w:rFonts w:ascii="Cambria Math" w:hAnsi="Cambria Math" w:cs="Times New Roman"/>
                    <w:color w:val="000000" w:themeColor="text1"/>
                    <w:sz w:val="23"/>
                    <w:szCs w:val="23"/>
                    <w:lang w:val="en-US"/>
                  </w:rPr>
                  <m:t>i,t</m:t>
                </m:r>
              </m:sub>
            </m:sSub>
            <m:r>
              <w:rPr>
                <w:rFonts w:ascii="Cambria Math" w:hAnsi="Cambria Math" w:cs="Times New Roman"/>
                <w:color w:val="000000" w:themeColor="text1"/>
                <w:sz w:val="23"/>
                <w:szCs w:val="23"/>
                <w:lang w:val="en-US"/>
              </w:rPr>
              <m:t>+</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 xml:space="preserve"> β</m:t>
                </m:r>
              </m:e>
              <m:sub>
                <m:r>
                  <w:rPr>
                    <w:rFonts w:ascii="Cambria Math" w:hAnsi="Cambria Math" w:cs="Times New Roman"/>
                    <w:color w:val="000000" w:themeColor="text1"/>
                    <w:sz w:val="23"/>
                    <w:szCs w:val="23"/>
                    <w:lang w:val="en-US"/>
                  </w:rPr>
                  <m:t>5</m:t>
                </m:r>
              </m:sub>
            </m:sSub>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GROWTH</m:t>
                </m:r>
              </m:e>
              <m:sub>
                <m:r>
                  <w:rPr>
                    <w:rFonts w:ascii="Cambria Math" w:hAnsi="Cambria Math" w:cs="Times New Roman"/>
                    <w:color w:val="000000" w:themeColor="text1"/>
                    <w:sz w:val="23"/>
                    <w:szCs w:val="23"/>
                    <w:lang w:val="en-US"/>
                  </w:rPr>
                  <m:t>i,t</m:t>
                </m:r>
              </m:sub>
            </m:sSub>
          </m:e>
          <m:sub/>
        </m:sSub>
        <m:r>
          <w:rPr>
            <w:rFonts w:ascii="Cambria Math" w:hAnsi="Cambria Math" w:cs="Times New Roman"/>
            <w:color w:val="000000" w:themeColor="text1"/>
            <w:sz w:val="23"/>
            <w:szCs w:val="23"/>
            <w:lang w:val="en-US"/>
          </w:rPr>
          <m:t xml:space="preserve">+ </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 xml:space="preserve"> β</m:t>
            </m:r>
          </m:e>
          <m:sub>
            <m:r>
              <w:rPr>
                <w:rFonts w:ascii="Cambria Math" w:hAnsi="Cambria Math" w:cs="Times New Roman"/>
                <w:color w:val="000000" w:themeColor="text1"/>
                <w:sz w:val="23"/>
                <w:szCs w:val="23"/>
                <w:lang w:val="en-US"/>
              </w:rPr>
              <m:t>6</m:t>
            </m:r>
          </m:sub>
        </m:sSub>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lnAGE</m:t>
            </m:r>
          </m:e>
          <m:sub>
            <m:r>
              <w:rPr>
                <w:rFonts w:ascii="Cambria Math" w:hAnsi="Cambria Math" w:cs="Times New Roman"/>
                <w:color w:val="000000" w:themeColor="text1"/>
                <w:sz w:val="23"/>
                <w:szCs w:val="23"/>
                <w:lang w:val="en-US"/>
              </w:rPr>
              <m:t>i,t</m:t>
            </m:r>
          </m:sub>
        </m:sSub>
        <m:r>
          <w:rPr>
            <w:rFonts w:ascii="Cambria Math" w:hAnsi="Cambria Math" w:cs="Times New Roman"/>
            <w:color w:val="000000" w:themeColor="text1"/>
            <w:sz w:val="23"/>
            <w:szCs w:val="23"/>
            <w:lang w:val="en-US"/>
          </w:rPr>
          <m:t xml:space="preserve"> + </m:t>
        </m:r>
        <m:sSub>
          <m:sSubPr>
            <m:ctrlPr>
              <w:rPr>
                <w:rFonts w:ascii="Cambria Math" w:hAnsi="Cambria Math" w:cs="Times New Roman"/>
                <w:i/>
                <w:color w:val="000000" w:themeColor="text1"/>
                <w:sz w:val="23"/>
                <w:szCs w:val="23"/>
                <w:lang w:val="en-US"/>
              </w:rPr>
            </m:ctrlPr>
          </m:sSubPr>
          <m:e>
            <m:r>
              <w:rPr>
                <w:rFonts w:ascii="Cambria Math" w:hAnsi="Cambria Math" w:cs="Times New Roman"/>
                <w:color w:val="000000" w:themeColor="text1"/>
                <w:sz w:val="23"/>
                <w:szCs w:val="23"/>
                <w:lang w:val="en-US"/>
              </w:rPr>
              <m:t>ε</m:t>
            </m:r>
          </m:e>
          <m:sub>
            <m:r>
              <w:rPr>
                <w:rFonts w:ascii="Cambria Math" w:hAnsi="Cambria Math" w:cs="Times New Roman"/>
                <w:color w:val="000000" w:themeColor="text1"/>
                <w:sz w:val="23"/>
                <w:szCs w:val="23"/>
                <w:lang w:val="en-US"/>
              </w:rPr>
              <m:t>i,t</m:t>
            </m:r>
          </m:sub>
        </m:sSub>
      </m:oMath>
      <w:r w:rsidR="006D121B" w:rsidRPr="00983193">
        <w:rPr>
          <w:rFonts w:ascii="Times New Roman" w:hAnsi="Times New Roman" w:cs="Times New Roman"/>
          <w:color w:val="000000" w:themeColor="text1"/>
          <w:sz w:val="23"/>
          <w:szCs w:val="23"/>
          <w:lang w:val="en-US"/>
        </w:rPr>
        <w:tab/>
      </w:r>
      <w:r w:rsidR="006D121B" w:rsidRPr="00983193">
        <w:rPr>
          <w:rFonts w:ascii="Times New Roman" w:hAnsi="Times New Roman" w:cs="Times New Roman"/>
          <w:color w:val="000000" w:themeColor="text1"/>
          <w:sz w:val="23"/>
          <w:szCs w:val="23"/>
          <w:lang w:val="en-US"/>
        </w:rPr>
        <w:tab/>
      </w:r>
      <w:r w:rsidR="006D121B" w:rsidRPr="00983193">
        <w:rPr>
          <w:rFonts w:ascii="Times New Roman" w:hAnsi="Times New Roman" w:cs="Times New Roman"/>
          <w:color w:val="000000" w:themeColor="text1"/>
          <w:sz w:val="23"/>
          <w:szCs w:val="23"/>
          <w:lang w:val="en-US"/>
        </w:rPr>
        <w:tab/>
      </w:r>
      <w:r w:rsidR="006D121B" w:rsidRPr="00983193">
        <w:rPr>
          <w:rFonts w:ascii="Times New Roman" w:hAnsi="Times New Roman" w:cs="Times New Roman"/>
          <w:color w:val="000000" w:themeColor="text1"/>
          <w:sz w:val="23"/>
          <w:szCs w:val="23"/>
          <w:lang w:val="en-US"/>
        </w:rPr>
        <w:tab/>
      </w:r>
      <w:r w:rsidR="006D121B" w:rsidRPr="00983193">
        <w:rPr>
          <w:rFonts w:ascii="Times New Roman" w:hAnsi="Times New Roman" w:cs="Times New Roman"/>
          <w:color w:val="000000" w:themeColor="text1"/>
          <w:sz w:val="23"/>
          <w:szCs w:val="23"/>
          <w:lang w:val="en-US"/>
        </w:rPr>
        <w:tab/>
      </w:r>
      <w:r w:rsidR="006D121B" w:rsidRPr="00983193">
        <w:rPr>
          <w:rFonts w:ascii="Times New Roman" w:hAnsi="Times New Roman" w:cs="Times New Roman"/>
          <w:color w:val="000000" w:themeColor="text1"/>
          <w:sz w:val="23"/>
          <w:szCs w:val="23"/>
          <w:lang w:val="en-US"/>
        </w:rPr>
        <w:tab/>
        <w:t>(</w:t>
      </w:r>
      <w:r w:rsidR="001461DA" w:rsidRPr="00983193">
        <w:rPr>
          <w:rFonts w:ascii="Times New Roman" w:hAnsi="Times New Roman" w:cs="Times New Roman"/>
          <w:color w:val="000000" w:themeColor="text1"/>
          <w:sz w:val="23"/>
          <w:szCs w:val="23"/>
          <w:lang w:val="en-US"/>
        </w:rPr>
        <w:t>2</w:t>
      </w:r>
      <w:r w:rsidR="006D121B" w:rsidRPr="00983193">
        <w:rPr>
          <w:rFonts w:ascii="Times New Roman" w:hAnsi="Times New Roman" w:cs="Times New Roman"/>
          <w:color w:val="000000" w:themeColor="text1"/>
          <w:sz w:val="23"/>
          <w:szCs w:val="23"/>
          <w:lang w:val="en-US"/>
        </w:rPr>
        <w:t>)</w:t>
      </w:r>
    </w:p>
    <w:p w14:paraId="2459E191" w14:textId="77777777" w:rsidR="006D121B" w:rsidRPr="00983193" w:rsidRDefault="006D121B" w:rsidP="00EB353D">
      <w:pPr>
        <w:spacing w:after="0" w:line="240" w:lineRule="auto"/>
        <w:ind w:left="284" w:right="567"/>
        <w:jc w:val="both"/>
        <w:rPr>
          <w:rFonts w:ascii="Times New Roman" w:hAnsi="Times New Roman" w:cs="Times New Roman"/>
          <w:color w:val="000000" w:themeColor="text1"/>
          <w:sz w:val="23"/>
          <w:szCs w:val="23"/>
          <w:lang w:val="en-US"/>
        </w:rPr>
      </w:pPr>
    </w:p>
    <w:p w14:paraId="272F4321" w14:textId="77777777" w:rsidR="00EB353D" w:rsidRPr="00983193" w:rsidRDefault="00EB353D" w:rsidP="00EB353D">
      <w:pPr>
        <w:spacing w:after="0" w:line="240" w:lineRule="auto"/>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Where </w:t>
      </w:r>
      <m:oMath>
        <m:r>
          <w:rPr>
            <w:rFonts w:ascii="Cambria Math" w:hAnsi="Cambria Math" w:cs="Times New Roman"/>
            <w:color w:val="000000" w:themeColor="text1"/>
            <w:sz w:val="23"/>
            <w:szCs w:val="23"/>
            <w:lang w:val="en-US"/>
          </w:rPr>
          <m:t>MTB</m:t>
        </m:r>
      </m:oMath>
      <w:r w:rsidR="006C1B92">
        <w:rPr>
          <w:rFonts w:ascii="Times New Roman" w:hAnsi="Times New Roman" w:cs="Times New Roman"/>
          <w:color w:val="000000" w:themeColor="text1"/>
          <w:sz w:val="23"/>
          <w:szCs w:val="23"/>
          <w:lang w:val="en-US"/>
        </w:rPr>
        <w:t xml:space="preserve"> = the mean Mt</w:t>
      </w:r>
      <w:r w:rsidRPr="00983193">
        <w:rPr>
          <w:rFonts w:ascii="Times New Roman" w:hAnsi="Times New Roman" w:cs="Times New Roman"/>
          <w:color w:val="000000" w:themeColor="text1"/>
          <w:sz w:val="23"/>
          <w:szCs w:val="23"/>
          <w:lang w:val="en-US"/>
        </w:rPr>
        <w:t>B</w:t>
      </w:r>
      <w:r w:rsidR="001461DA" w:rsidRPr="00983193">
        <w:rPr>
          <w:rFonts w:ascii="Times New Roman" w:hAnsi="Times New Roman" w:cs="Times New Roman"/>
          <w:color w:val="000000" w:themeColor="text1"/>
          <w:sz w:val="23"/>
          <w:szCs w:val="23"/>
          <w:lang w:val="en-US"/>
        </w:rPr>
        <w:t xml:space="preserve"> ratio over the financial year</w:t>
      </w:r>
      <w:r w:rsidRPr="00983193">
        <w:rPr>
          <w:rFonts w:ascii="Times New Roman" w:hAnsi="Times New Roman" w:cs="Times New Roman"/>
          <w:color w:val="000000" w:themeColor="text1"/>
          <w:sz w:val="23"/>
          <w:szCs w:val="23"/>
          <w:lang w:val="en-US"/>
        </w:rPr>
        <w:t>;</w:t>
      </w:r>
      <m:oMath>
        <m:r>
          <w:rPr>
            <w:rFonts w:ascii="Cambria Math" w:hAnsi="Cambria Math" w:cs="Times New Roman"/>
            <w:color w:val="000000" w:themeColor="text1"/>
            <w:sz w:val="23"/>
            <w:szCs w:val="23"/>
            <w:lang w:val="en-US"/>
          </w:rPr>
          <m:t xml:space="preserve"> lnTINT</m:t>
        </m:r>
      </m:oMath>
      <w:r w:rsidRPr="00983193">
        <w:rPr>
          <w:rFonts w:ascii="Times New Roman" w:hAnsi="Times New Roman" w:cs="Times New Roman"/>
          <w:color w:val="000000" w:themeColor="text1"/>
          <w:sz w:val="23"/>
          <w:szCs w:val="23"/>
          <w:lang w:val="en-US"/>
        </w:rPr>
        <w:t xml:space="preserve"> = </w:t>
      </w:r>
      <w:r w:rsidR="001461DA" w:rsidRPr="00983193">
        <w:rPr>
          <w:rFonts w:ascii="Times New Roman" w:hAnsi="Times New Roman" w:cs="Times New Roman"/>
          <w:color w:val="000000" w:themeColor="text1"/>
          <w:sz w:val="23"/>
          <w:szCs w:val="23"/>
          <w:lang w:val="en-US"/>
        </w:rPr>
        <w:t xml:space="preserve">the natural logarithm of the </w:t>
      </w:r>
      <w:r w:rsidRPr="00983193">
        <w:rPr>
          <w:rFonts w:ascii="Times New Roman" w:hAnsi="Times New Roman" w:cs="Times New Roman"/>
          <w:color w:val="000000" w:themeColor="text1"/>
          <w:sz w:val="23"/>
          <w:szCs w:val="23"/>
          <w:lang w:val="en-US"/>
        </w:rPr>
        <w:t>total intangibles assets</w:t>
      </w:r>
      <w:r w:rsidR="001461DA" w:rsidRPr="00983193">
        <w:rPr>
          <w:rFonts w:ascii="Times New Roman" w:hAnsi="Times New Roman" w:cs="Times New Roman"/>
          <w:color w:val="000000" w:themeColor="text1"/>
          <w:sz w:val="23"/>
          <w:szCs w:val="23"/>
          <w:lang w:val="en-US"/>
        </w:rPr>
        <w:t xml:space="preserve"> ratio, </w:t>
      </w:r>
      <w:r w:rsidR="0054344C">
        <w:rPr>
          <w:rFonts w:ascii="Times New Roman" w:hAnsi="Times New Roman" w:cs="Times New Roman"/>
          <w:color w:val="000000" w:themeColor="text1"/>
          <w:sz w:val="23"/>
          <w:szCs w:val="23"/>
          <w:lang w:val="en-US"/>
        </w:rPr>
        <w:t>measured as</w:t>
      </w:r>
      <w:r w:rsidR="001461DA" w:rsidRPr="00983193">
        <w:rPr>
          <w:rFonts w:ascii="Times New Roman" w:hAnsi="Times New Roman" w:cs="Times New Roman"/>
          <w:color w:val="000000" w:themeColor="text1"/>
          <w:sz w:val="23"/>
          <w:szCs w:val="23"/>
          <w:lang w:val="en-US"/>
        </w:rPr>
        <w:t xml:space="preserve"> total intangible assets </w:t>
      </w:r>
      <w:r w:rsidR="0054344C">
        <w:rPr>
          <w:rFonts w:ascii="Times New Roman" w:hAnsi="Times New Roman" w:cs="Times New Roman"/>
          <w:color w:val="000000" w:themeColor="text1"/>
          <w:sz w:val="23"/>
          <w:szCs w:val="23"/>
          <w:lang w:val="en-US"/>
        </w:rPr>
        <w:t>to</w:t>
      </w:r>
      <w:r w:rsidR="001461DA" w:rsidRPr="00983193">
        <w:rPr>
          <w:rFonts w:ascii="Times New Roman" w:hAnsi="Times New Roman" w:cs="Times New Roman"/>
          <w:color w:val="000000" w:themeColor="text1"/>
          <w:sz w:val="23"/>
          <w:szCs w:val="23"/>
          <w:lang w:val="en-US"/>
        </w:rPr>
        <w:t xml:space="preserve"> total assets</w:t>
      </w:r>
      <w:r w:rsidRPr="00983193">
        <w:rPr>
          <w:rFonts w:ascii="Times New Roman" w:hAnsi="Times New Roman" w:cs="Times New Roman"/>
          <w:color w:val="000000" w:themeColor="text1"/>
          <w:sz w:val="23"/>
          <w:szCs w:val="23"/>
          <w:lang w:val="en-US"/>
        </w:rPr>
        <w:t>;</w:t>
      </w:r>
      <w:r w:rsidR="001461DA" w:rsidRPr="00983193">
        <w:rPr>
          <w:rFonts w:ascii="Times New Roman" w:hAnsi="Times New Roman" w:cs="Times New Roman"/>
          <w:color w:val="000000" w:themeColor="text1"/>
          <w:sz w:val="23"/>
          <w:szCs w:val="23"/>
          <w:lang w:val="en-US"/>
        </w:rPr>
        <w:t xml:space="preserve"> </w:t>
      </w:r>
      <m:oMath>
        <m:r>
          <w:rPr>
            <w:rFonts w:ascii="Cambria Math" w:hAnsi="Cambria Math" w:cs="Times New Roman"/>
            <w:color w:val="000000" w:themeColor="text1"/>
            <w:sz w:val="23"/>
            <w:szCs w:val="23"/>
            <w:lang w:val="en-US"/>
          </w:rPr>
          <m:t>ROA</m:t>
        </m:r>
      </m:oMath>
      <w:r w:rsidR="001461DA" w:rsidRPr="00983193">
        <w:rPr>
          <w:rFonts w:ascii="Times New Roman" w:hAnsi="Times New Roman" w:cs="Times New Roman"/>
          <w:color w:val="000000" w:themeColor="text1"/>
          <w:sz w:val="23"/>
          <w:szCs w:val="23"/>
          <w:lang w:val="en-US"/>
        </w:rPr>
        <w:t xml:space="preserve"> = </w:t>
      </w:r>
      <w:r w:rsidR="0054344C">
        <w:rPr>
          <w:rFonts w:ascii="Times New Roman" w:hAnsi="Times New Roman" w:cs="Times New Roman"/>
          <w:color w:val="000000" w:themeColor="text1"/>
          <w:sz w:val="23"/>
          <w:szCs w:val="23"/>
          <w:lang w:val="en-US"/>
        </w:rPr>
        <w:t xml:space="preserve">the </w:t>
      </w:r>
      <w:r w:rsidR="001461DA" w:rsidRPr="00983193">
        <w:rPr>
          <w:rFonts w:ascii="Times New Roman" w:hAnsi="Times New Roman" w:cs="Times New Roman"/>
          <w:color w:val="000000" w:themeColor="text1"/>
          <w:sz w:val="23"/>
          <w:szCs w:val="23"/>
          <w:lang w:val="en-US"/>
        </w:rPr>
        <w:t xml:space="preserve">return on assets ratio; </w:t>
      </w:r>
      <m:oMath>
        <m:r>
          <w:rPr>
            <w:rFonts w:ascii="Cambria Math" w:hAnsi="Cambria Math" w:cs="Times New Roman"/>
            <w:color w:val="000000" w:themeColor="text1"/>
            <w:sz w:val="23"/>
            <w:szCs w:val="23"/>
            <w:lang w:val="en-US"/>
          </w:rPr>
          <m:t>LEV</m:t>
        </m:r>
      </m:oMath>
      <w:r w:rsidR="007C50F6" w:rsidRPr="00983193">
        <w:rPr>
          <w:rFonts w:ascii="Times New Roman" w:hAnsi="Times New Roman" w:cs="Times New Roman"/>
          <w:color w:val="000000" w:themeColor="text1"/>
          <w:sz w:val="23"/>
          <w:szCs w:val="23"/>
          <w:lang w:val="en-US"/>
        </w:rPr>
        <w:t xml:space="preserve"> = </w:t>
      </w:r>
      <w:r w:rsidR="0054344C">
        <w:rPr>
          <w:rFonts w:ascii="Times New Roman" w:hAnsi="Times New Roman" w:cs="Times New Roman"/>
          <w:color w:val="000000" w:themeColor="text1"/>
          <w:sz w:val="23"/>
          <w:szCs w:val="23"/>
          <w:lang w:val="en-US"/>
        </w:rPr>
        <w:t xml:space="preserve">the </w:t>
      </w:r>
      <w:r w:rsidR="007C50F6" w:rsidRPr="00983193">
        <w:rPr>
          <w:rFonts w:ascii="Times New Roman" w:hAnsi="Times New Roman" w:cs="Times New Roman"/>
          <w:color w:val="000000" w:themeColor="text1"/>
          <w:sz w:val="23"/>
          <w:szCs w:val="23"/>
          <w:lang w:val="en-US"/>
        </w:rPr>
        <w:t>debt-equity ratio;</w:t>
      </w:r>
      <w:r w:rsidRPr="00983193">
        <w:rPr>
          <w:rFonts w:ascii="Times New Roman" w:hAnsi="Times New Roman" w:cs="Times New Roman"/>
          <w:color w:val="000000" w:themeColor="text1"/>
          <w:sz w:val="23"/>
          <w:szCs w:val="23"/>
          <w:lang w:val="en-US"/>
        </w:rPr>
        <w:t xml:space="preserve"> </w:t>
      </w:r>
      <m:oMath>
        <m:r>
          <w:rPr>
            <w:rFonts w:ascii="Cambria Math" w:hAnsi="Cambria Math" w:cs="Times New Roman"/>
            <w:color w:val="000000" w:themeColor="text1"/>
            <w:sz w:val="23"/>
            <w:szCs w:val="23"/>
            <w:lang w:val="en-US"/>
          </w:rPr>
          <m:t>SIZE</m:t>
        </m:r>
      </m:oMath>
      <w:r w:rsidRPr="00983193">
        <w:rPr>
          <w:rFonts w:ascii="Times New Roman" w:hAnsi="Times New Roman" w:cs="Times New Roman"/>
          <w:color w:val="000000" w:themeColor="text1"/>
          <w:sz w:val="23"/>
          <w:szCs w:val="23"/>
          <w:lang w:val="en-US"/>
        </w:rPr>
        <w:t xml:space="preserve"> = </w:t>
      </w:r>
      <w:r w:rsidR="0054344C">
        <w:rPr>
          <w:rFonts w:ascii="Times New Roman" w:hAnsi="Times New Roman" w:cs="Times New Roman"/>
          <w:color w:val="000000" w:themeColor="text1"/>
          <w:sz w:val="23"/>
          <w:szCs w:val="23"/>
          <w:lang w:val="en-US"/>
        </w:rPr>
        <w:t xml:space="preserve">the </w:t>
      </w:r>
      <w:r w:rsidRPr="00983193">
        <w:rPr>
          <w:rFonts w:ascii="Times New Roman" w:hAnsi="Times New Roman" w:cs="Times New Roman"/>
          <w:color w:val="000000" w:themeColor="text1"/>
          <w:sz w:val="23"/>
          <w:szCs w:val="23"/>
          <w:lang w:val="en-US"/>
        </w:rPr>
        <w:t xml:space="preserve">natural logarithm of total assets; </w:t>
      </w:r>
      <m:oMath>
        <m:r>
          <w:rPr>
            <w:rFonts w:ascii="Cambria Math" w:hAnsi="Cambria Math" w:cs="Times New Roman"/>
            <w:color w:val="000000" w:themeColor="text1"/>
            <w:sz w:val="23"/>
            <w:szCs w:val="23"/>
            <w:lang w:val="en-US"/>
          </w:rPr>
          <m:t>GROWTH</m:t>
        </m:r>
      </m:oMath>
      <w:r w:rsidRPr="00983193">
        <w:rPr>
          <w:rFonts w:ascii="Times New Roman" w:hAnsi="Times New Roman" w:cs="Times New Roman"/>
          <w:color w:val="000000" w:themeColor="text1"/>
          <w:sz w:val="23"/>
          <w:szCs w:val="23"/>
          <w:lang w:val="en-US"/>
        </w:rPr>
        <w:t xml:space="preserve"> = </w:t>
      </w:r>
      <w:r w:rsidR="0054344C">
        <w:rPr>
          <w:rFonts w:ascii="Times New Roman" w:hAnsi="Times New Roman" w:cs="Times New Roman"/>
          <w:color w:val="000000" w:themeColor="text1"/>
          <w:sz w:val="23"/>
          <w:szCs w:val="23"/>
          <w:lang w:val="en-US"/>
        </w:rPr>
        <w:t xml:space="preserve">the </w:t>
      </w:r>
      <w:r w:rsidR="007C50F6" w:rsidRPr="00983193">
        <w:rPr>
          <w:rFonts w:ascii="Times New Roman" w:hAnsi="Times New Roman" w:cs="Times New Roman"/>
          <w:color w:val="000000" w:themeColor="text1"/>
          <w:sz w:val="23"/>
          <w:szCs w:val="23"/>
          <w:lang w:val="en-US"/>
        </w:rPr>
        <w:t>growth in sales</w:t>
      </w:r>
      <w:r w:rsidRPr="00983193">
        <w:rPr>
          <w:rFonts w:ascii="Times New Roman" w:hAnsi="Times New Roman" w:cs="Times New Roman"/>
          <w:color w:val="000000" w:themeColor="text1"/>
          <w:sz w:val="23"/>
          <w:szCs w:val="23"/>
          <w:lang w:val="en-US"/>
        </w:rPr>
        <w:t xml:space="preserve"> dummy variable; </w:t>
      </w:r>
      <m:oMath>
        <m:r>
          <w:rPr>
            <w:rFonts w:ascii="Cambria Math" w:hAnsi="Cambria Math" w:cs="Times New Roman"/>
            <w:color w:val="000000" w:themeColor="text1"/>
            <w:sz w:val="23"/>
            <w:szCs w:val="23"/>
            <w:lang w:val="en-US"/>
          </w:rPr>
          <m:t>lnAGE</m:t>
        </m:r>
      </m:oMath>
      <w:r w:rsidR="003B7412" w:rsidRPr="00983193">
        <w:rPr>
          <w:rFonts w:ascii="Times New Roman" w:hAnsi="Times New Roman" w:cs="Times New Roman"/>
          <w:color w:val="000000" w:themeColor="text1"/>
          <w:sz w:val="23"/>
          <w:szCs w:val="23"/>
          <w:lang w:val="en-US"/>
        </w:rPr>
        <w:t xml:space="preserve"> = </w:t>
      </w:r>
      <w:r w:rsidR="0054344C">
        <w:rPr>
          <w:rFonts w:ascii="Times New Roman" w:hAnsi="Times New Roman" w:cs="Times New Roman"/>
          <w:color w:val="000000" w:themeColor="text1"/>
          <w:sz w:val="23"/>
          <w:szCs w:val="23"/>
          <w:lang w:val="en-US"/>
        </w:rPr>
        <w:t xml:space="preserve">the </w:t>
      </w:r>
      <w:r w:rsidR="003B7412" w:rsidRPr="00983193">
        <w:rPr>
          <w:rFonts w:ascii="Times New Roman" w:hAnsi="Times New Roman" w:cs="Times New Roman"/>
          <w:color w:val="000000" w:themeColor="text1"/>
          <w:sz w:val="23"/>
          <w:szCs w:val="23"/>
          <w:lang w:val="en-US"/>
        </w:rPr>
        <w:t>natural logarithm of firm age</w:t>
      </w:r>
      <w:r w:rsidR="0054344C">
        <w:rPr>
          <w:rFonts w:ascii="Times New Roman" w:hAnsi="Times New Roman" w:cs="Times New Roman"/>
          <w:color w:val="000000" w:themeColor="text1"/>
          <w:sz w:val="23"/>
          <w:szCs w:val="23"/>
          <w:lang w:val="en-US"/>
        </w:rPr>
        <w:t xml:space="preserve"> in years</w:t>
      </w:r>
      <w:r w:rsidR="003B7412" w:rsidRPr="00983193">
        <w:rPr>
          <w:rFonts w:ascii="Times New Roman" w:hAnsi="Times New Roman" w:cs="Times New Roman"/>
          <w:color w:val="000000" w:themeColor="text1"/>
          <w:sz w:val="23"/>
          <w:szCs w:val="23"/>
          <w:lang w:val="en-US"/>
        </w:rPr>
        <w:t xml:space="preserve">; </w:t>
      </w:r>
      <w:r w:rsidRPr="00983193">
        <w:rPr>
          <w:rFonts w:ascii="Times New Roman" w:hAnsi="Times New Roman" w:cs="Times New Roman"/>
          <w:color w:val="000000" w:themeColor="text1"/>
          <w:sz w:val="23"/>
          <w:szCs w:val="23"/>
          <w:lang w:val="en-US"/>
        </w:rPr>
        <w:t xml:space="preserve">and </w:t>
      </w:r>
      <m:oMath>
        <m:r>
          <w:rPr>
            <w:rFonts w:ascii="Cambria Math" w:hAnsi="Cambria Math" w:cs="Times New Roman"/>
            <w:color w:val="000000" w:themeColor="text1"/>
            <w:sz w:val="23"/>
            <w:szCs w:val="23"/>
            <w:lang w:val="en-US"/>
          </w:rPr>
          <m:t>ε</m:t>
        </m:r>
      </m:oMath>
      <w:r w:rsidRPr="00983193">
        <w:rPr>
          <w:rFonts w:ascii="Times New Roman" w:hAnsi="Times New Roman" w:cs="Times New Roman"/>
          <w:color w:val="000000" w:themeColor="text1"/>
          <w:sz w:val="23"/>
          <w:szCs w:val="23"/>
          <w:lang w:val="en-US"/>
        </w:rPr>
        <w:t xml:space="preserve"> = </w:t>
      </w:r>
      <w:r w:rsidR="0054344C">
        <w:rPr>
          <w:rFonts w:ascii="Times New Roman" w:hAnsi="Times New Roman" w:cs="Times New Roman"/>
          <w:color w:val="000000" w:themeColor="text1"/>
          <w:sz w:val="23"/>
          <w:szCs w:val="23"/>
          <w:lang w:val="en-US"/>
        </w:rPr>
        <w:t xml:space="preserve">the </w:t>
      </w:r>
      <w:r w:rsidRPr="00983193">
        <w:rPr>
          <w:rFonts w:ascii="Times New Roman" w:hAnsi="Times New Roman" w:cs="Times New Roman"/>
          <w:color w:val="000000" w:themeColor="text1"/>
          <w:sz w:val="23"/>
          <w:szCs w:val="23"/>
          <w:lang w:val="en-US"/>
        </w:rPr>
        <w:t xml:space="preserve">model error term.  </w:t>
      </w:r>
    </w:p>
    <w:p w14:paraId="5B2F1F74" w14:textId="77777777" w:rsidR="00EB353D" w:rsidRDefault="00415DD5" w:rsidP="00EB353D">
      <w:pPr>
        <w:spacing w:after="0" w:line="240" w:lineRule="auto"/>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EB353D" w:rsidRPr="00983193">
        <w:rPr>
          <w:rFonts w:ascii="Times New Roman" w:hAnsi="Times New Roman" w:cs="Times New Roman"/>
          <w:color w:val="000000" w:themeColor="text1"/>
          <w:sz w:val="23"/>
          <w:szCs w:val="23"/>
          <w:lang w:val="en-US"/>
        </w:rPr>
        <w:t xml:space="preserve">Table </w:t>
      </w:r>
      <w:r w:rsidR="00B77DD9" w:rsidRPr="00983193">
        <w:rPr>
          <w:rFonts w:ascii="Times New Roman" w:hAnsi="Times New Roman" w:cs="Times New Roman"/>
          <w:color w:val="000000" w:themeColor="text1"/>
          <w:sz w:val="23"/>
          <w:szCs w:val="23"/>
          <w:lang w:val="en-US"/>
        </w:rPr>
        <w:t xml:space="preserve">II </w:t>
      </w:r>
      <w:r w:rsidR="00EB353D" w:rsidRPr="00983193">
        <w:rPr>
          <w:rFonts w:ascii="Times New Roman" w:hAnsi="Times New Roman" w:cs="Times New Roman"/>
          <w:color w:val="000000" w:themeColor="text1"/>
          <w:sz w:val="23"/>
          <w:szCs w:val="23"/>
          <w:lang w:val="en-US"/>
        </w:rPr>
        <w:t xml:space="preserve">provides detailed definitions </w:t>
      </w:r>
      <w:r w:rsidR="0054344C">
        <w:rPr>
          <w:rFonts w:ascii="Times New Roman" w:hAnsi="Times New Roman" w:cs="Times New Roman"/>
          <w:color w:val="000000" w:themeColor="text1"/>
          <w:sz w:val="23"/>
          <w:szCs w:val="23"/>
          <w:lang w:val="en-US"/>
        </w:rPr>
        <w:t>for</w:t>
      </w:r>
      <w:r w:rsidR="00EB353D" w:rsidRPr="00983193">
        <w:rPr>
          <w:rFonts w:ascii="Times New Roman" w:hAnsi="Times New Roman" w:cs="Times New Roman"/>
          <w:color w:val="000000" w:themeColor="text1"/>
          <w:sz w:val="23"/>
          <w:szCs w:val="23"/>
          <w:lang w:val="en-US"/>
        </w:rPr>
        <w:t xml:space="preserve"> the set of independent variables, along with a summary of </w:t>
      </w:r>
      <w:r w:rsidR="0054344C">
        <w:rPr>
          <w:rFonts w:ascii="Times New Roman" w:hAnsi="Times New Roman" w:cs="Times New Roman"/>
          <w:color w:val="000000" w:themeColor="text1"/>
          <w:sz w:val="23"/>
          <w:szCs w:val="23"/>
          <w:lang w:val="en-US"/>
        </w:rPr>
        <w:t xml:space="preserve">the </w:t>
      </w:r>
      <w:r w:rsidR="00EB353D" w:rsidRPr="00983193">
        <w:rPr>
          <w:rFonts w:ascii="Times New Roman" w:hAnsi="Times New Roman" w:cs="Times New Roman"/>
          <w:color w:val="000000" w:themeColor="text1"/>
          <w:sz w:val="23"/>
          <w:szCs w:val="23"/>
          <w:lang w:val="en-US"/>
        </w:rPr>
        <w:t>coefficient signs expected from theory and the hypotheses to be tested.</w:t>
      </w:r>
    </w:p>
    <w:p w14:paraId="39D69682" w14:textId="77777777" w:rsidR="009579D4" w:rsidRDefault="009579D4" w:rsidP="00EB353D">
      <w:pPr>
        <w:spacing w:after="0" w:line="240" w:lineRule="auto"/>
        <w:jc w:val="both"/>
        <w:rPr>
          <w:rFonts w:ascii="Times New Roman" w:hAnsi="Times New Roman" w:cs="Times New Roman"/>
          <w:color w:val="000000" w:themeColor="text1"/>
          <w:sz w:val="23"/>
          <w:szCs w:val="23"/>
          <w:lang w:val="en-US"/>
        </w:rPr>
      </w:pPr>
    </w:p>
    <w:p w14:paraId="7858CC3E" w14:textId="77777777" w:rsidR="009579D4" w:rsidRPr="00A53C54" w:rsidRDefault="009579D4" w:rsidP="00A53C54">
      <w:pPr>
        <w:spacing w:after="0" w:line="240" w:lineRule="auto"/>
        <w:jc w:val="center"/>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t>[Insert Table II here]</w:t>
      </w:r>
    </w:p>
    <w:p w14:paraId="01A0709F" w14:textId="77777777" w:rsidR="00EB353D" w:rsidRPr="00A53C54" w:rsidRDefault="00880A72" w:rsidP="00EB353D">
      <w:pPr>
        <w:spacing w:after="0" w:line="240" w:lineRule="auto"/>
        <w:jc w:val="both"/>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4"/>
          <w:szCs w:val="24"/>
          <w:lang w:val="en-US"/>
        </w:rPr>
        <w:t>6</w:t>
      </w:r>
      <w:r w:rsidR="00EB353D" w:rsidRPr="00A53C54">
        <w:rPr>
          <w:rFonts w:ascii="Times New Roman" w:hAnsi="Times New Roman" w:cs="Times New Roman"/>
          <w:b/>
          <w:color w:val="000000" w:themeColor="text1"/>
          <w:sz w:val="24"/>
          <w:szCs w:val="24"/>
          <w:lang w:val="en-US"/>
        </w:rPr>
        <w:t xml:space="preserve">. </w:t>
      </w:r>
      <w:r w:rsidR="00EB353D" w:rsidRPr="00A53C54">
        <w:rPr>
          <w:rFonts w:ascii="Times New Roman" w:hAnsi="Times New Roman" w:cs="Times New Roman"/>
          <w:b/>
          <w:color w:val="000000" w:themeColor="text1"/>
          <w:sz w:val="23"/>
          <w:szCs w:val="23"/>
          <w:lang w:val="en-US"/>
        </w:rPr>
        <w:t xml:space="preserve">Results and discussion </w:t>
      </w:r>
    </w:p>
    <w:p w14:paraId="030D2E40" w14:textId="77777777" w:rsidR="00EB353D" w:rsidRPr="00983193" w:rsidRDefault="00EB353D" w:rsidP="00EB353D">
      <w:pPr>
        <w:spacing w:after="0" w:line="240" w:lineRule="auto"/>
        <w:ind w:firstLine="284"/>
        <w:jc w:val="both"/>
        <w:rPr>
          <w:rFonts w:ascii="Times New Roman" w:hAnsi="Times New Roman" w:cs="Times New Roman"/>
          <w:color w:val="000000" w:themeColor="text1"/>
          <w:sz w:val="23"/>
          <w:szCs w:val="23"/>
          <w:lang w:val="en-US"/>
        </w:rPr>
      </w:pPr>
    </w:p>
    <w:p w14:paraId="2BB4005B" w14:textId="77777777" w:rsidR="00EB353D" w:rsidRPr="00A53C54" w:rsidRDefault="00880A72" w:rsidP="00EB353D">
      <w:pPr>
        <w:spacing w:after="0" w:line="240" w:lineRule="auto"/>
        <w:jc w:val="both"/>
        <w:rPr>
          <w:rFonts w:ascii="Times New Roman" w:hAnsi="Times New Roman" w:cs="Times New Roman"/>
          <w:color w:val="000000" w:themeColor="text1"/>
          <w:sz w:val="23"/>
          <w:szCs w:val="23"/>
          <w:lang w:val="en-US"/>
        </w:rPr>
      </w:pPr>
      <w:r w:rsidRPr="00A53C54">
        <w:rPr>
          <w:rFonts w:ascii="Times New Roman" w:hAnsi="Times New Roman" w:cs="Times New Roman"/>
          <w:color w:val="000000" w:themeColor="text1"/>
          <w:sz w:val="23"/>
          <w:szCs w:val="23"/>
          <w:lang w:val="en-US"/>
        </w:rPr>
        <w:t>6</w:t>
      </w:r>
      <w:r w:rsidR="00EB353D" w:rsidRPr="00A53C54">
        <w:rPr>
          <w:rFonts w:ascii="Times New Roman" w:hAnsi="Times New Roman" w:cs="Times New Roman"/>
          <w:color w:val="000000" w:themeColor="text1"/>
          <w:sz w:val="23"/>
          <w:szCs w:val="23"/>
          <w:lang w:val="en-US"/>
        </w:rPr>
        <w:t>.1 Descriptive statistics</w:t>
      </w:r>
    </w:p>
    <w:p w14:paraId="337E5D64" w14:textId="77777777" w:rsidR="00415DD5" w:rsidRDefault="00415DD5" w:rsidP="00EB353D">
      <w:pPr>
        <w:spacing w:after="0" w:line="240" w:lineRule="auto"/>
        <w:jc w:val="both"/>
        <w:rPr>
          <w:rFonts w:ascii="Times New Roman" w:hAnsi="Times New Roman" w:cs="Times New Roman"/>
          <w:color w:val="000000" w:themeColor="text1"/>
          <w:sz w:val="23"/>
          <w:szCs w:val="23"/>
          <w:lang w:val="en-US"/>
        </w:rPr>
      </w:pPr>
    </w:p>
    <w:p w14:paraId="11D1849C" w14:textId="77777777" w:rsidR="00B31989" w:rsidRDefault="00EB353D" w:rsidP="00B31989">
      <w:pPr>
        <w:spacing w:after="0" w:line="240" w:lineRule="auto"/>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Tables </w:t>
      </w:r>
      <w:r w:rsidR="006D7D1F" w:rsidRPr="00983193">
        <w:rPr>
          <w:rFonts w:ascii="Times New Roman" w:hAnsi="Times New Roman" w:cs="Times New Roman"/>
          <w:color w:val="000000" w:themeColor="text1"/>
          <w:sz w:val="23"/>
          <w:szCs w:val="23"/>
          <w:lang w:val="en-US"/>
        </w:rPr>
        <w:t>III</w:t>
      </w:r>
      <w:r w:rsidRPr="00983193">
        <w:rPr>
          <w:rFonts w:ascii="Times New Roman" w:hAnsi="Times New Roman" w:cs="Times New Roman"/>
          <w:color w:val="000000" w:themeColor="text1"/>
          <w:sz w:val="23"/>
          <w:szCs w:val="23"/>
          <w:lang w:val="en-US"/>
        </w:rPr>
        <w:t xml:space="preserve"> and </w:t>
      </w:r>
      <w:r w:rsidR="006D7D1F" w:rsidRPr="00983193">
        <w:rPr>
          <w:rFonts w:ascii="Times New Roman" w:hAnsi="Times New Roman" w:cs="Times New Roman"/>
          <w:color w:val="000000" w:themeColor="text1"/>
          <w:sz w:val="23"/>
          <w:szCs w:val="23"/>
          <w:lang w:val="en-US"/>
        </w:rPr>
        <w:t>IV</w:t>
      </w:r>
      <w:r w:rsidRPr="00983193">
        <w:rPr>
          <w:rFonts w:ascii="Times New Roman" w:hAnsi="Times New Roman" w:cs="Times New Roman"/>
          <w:color w:val="000000" w:themeColor="text1"/>
          <w:sz w:val="23"/>
          <w:szCs w:val="23"/>
          <w:lang w:val="en-US"/>
        </w:rPr>
        <w:t xml:space="preserve"> report the descriptive statistics for the continuous and dummy model variables, respectively, for the sample period 2009-201</w:t>
      </w:r>
      <w:r w:rsidR="006D7D1F" w:rsidRPr="00983193">
        <w:rPr>
          <w:rFonts w:ascii="Times New Roman" w:hAnsi="Times New Roman" w:cs="Times New Roman"/>
          <w:color w:val="000000" w:themeColor="text1"/>
          <w:sz w:val="23"/>
          <w:szCs w:val="23"/>
          <w:lang w:val="en-US"/>
        </w:rPr>
        <w:t>4</w:t>
      </w:r>
      <w:r w:rsidRPr="00983193">
        <w:rPr>
          <w:rFonts w:ascii="Times New Roman" w:hAnsi="Times New Roman" w:cs="Times New Roman"/>
          <w:color w:val="000000" w:themeColor="text1"/>
          <w:sz w:val="23"/>
          <w:szCs w:val="23"/>
          <w:lang w:val="en-US"/>
        </w:rPr>
        <w:t xml:space="preserve">. </w:t>
      </w:r>
      <w:r w:rsidR="00B31989" w:rsidRPr="00983193">
        <w:rPr>
          <w:rFonts w:ascii="Times New Roman" w:hAnsi="Times New Roman" w:cs="Times New Roman"/>
          <w:color w:val="000000" w:themeColor="text1"/>
          <w:sz w:val="23"/>
          <w:szCs w:val="23"/>
          <w:lang w:val="en-US"/>
        </w:rPr>
        <w:t xml:space="preserve">Table </w:t>
      </w:r>
      <w:r w:rsidR="000D52CF" w:rsidRPr="00983193">
        <w:rPr>
          <w:rFonts w:ascii="Times New Roman" w:hAnsi="Times New Roman" w:cs="Times New Roman"/>
          <w:color w:val="000000" w:themeColor="text1"/>
          <w:sz w:val="23"/>
          <w:szCs w:val="23"/>
          <w:lang w:val="en-US"/>
        </w:rPr>
        <w:t>III</w:t>
      </w:r>
      <w:r w:rsidR="006C1B92">
        <w:rPr>
          <w:rFonts w:ascii="Times New Roman" w:hAnsi="Times New Roman" w:cs="Times New Roman"/>
          <w:color w:val="000000" w:themeColor="text1"/>
          <w:sz w:val="23"/>
          <w:szCs w:val="23"/>
          <w:lang w:val="en-US"/>
        </w:rPr>
        <w:t xml:space="preserve"> shows that the Mt</w:t>
      </w:r>
      <w:r w:rsidR="00B31989" w:rsidRPr="00983193">
        <w:rPr>
          <w:rFonts w:ascii="Times New Roman" w:hAnsi="Times New Roman" w:cs="Times New Roman"/>
          <w:color w:val="000000" w:themeColor="text1"/>
          <w:sz w:val="23"/>
          <w:szCs w:val="23"/>
          <w:lang w:val="en-US"/>
        </w:rPr>
        <w:t>B ratio has a mean of 1.</w:t>
      </w:r>
      <w:r w:rsidR="000D52CF" w:rsidRPr="00983193">
        <w:rPr>
          <w:rFonts w:ascii="Times New Roman" w:hAnsi="Times New Roman" w:cs="Times New Roman"/>
          <w:color w:val="000000" w:themeColor="text1"/>
          <w:sz w:val="23"/>
          <w:szCs w:val="23"/>
          <w:lang w:val="en-US"/>
        </w:rPr>
        <w:t>47</w:t>
      </w:r>
      <w:r w:rsidR="00B31989" w:rsidRPr="00983193">
        <w:rPr>
          <w:rFonts w:ascii="Times New Roman" w:hAnsi="Times New Roman" w:cs="Times New Roman"/>
          <w:color w:val="000000" w:themeColor="text1"/>
          <w:sz w:val="23"/>
          <w:szCs w:val="23"/>
          <w:lang w:val="en-US"/>
        </w:rPr>
        <w:t xml:space="preserve">, and so </w:t>
      </w:r>
      <w:r w:rsidR="0054344C">
        <w:rPr>
          <w:rFonts w:ascii="Times New Roman" w:hAnsi="Times New Roman" w:cs="Times New Roman"/>
          <w:color w:val="000000" w:themeColor="text1"/>
          <w:sz w:val="23"/>
          <w:szCs w:val="23"/>
          <w:lang w:val="en-US"/>
        </w:rPr>
        <w:t xml:space="preserve">on average the </w:t>
      </w:r>
      <w:r w:rsidR="00B31989" w:rsidRPr="00983193">
        <w:rPr>
          <w:rFonts w:ascii="Times New Roman" w:hAnsi="Times New Roman" w:cs="Times New Roman"/>
          <w:color w:val="000000" w:themeColor="text1"/>
          <w:sz w:val="23"/>
          <w:szCs w:val="23"/>
          <w:lang w:val="en-US"/>
        </w:rPr>
        <w:t xml:space="preserve">market value exceeds </w:t>
      </w:r>
      <w:r w:rsidR="0054344C">
        <w:rPr>
          <w:rFonts w:ascii="Times New Roman" w:hAnsi="Times New Roman" w:cs="Times New Roman"/>
          <w:color w:val="000000" w:themeColor="text1"/>
          <w:sz w:val="23"/>
          <w:szCs w:val="23"/>
          <w:lang w:val="en-US"/>
        </w:rPr>
        <w:t xml:space="preserve">the </w:t>
      </w:r>
      <w:r w:rsidR="00B31989" w:rsidRPr="00983193">
        <w:rPr>
          <w:rFonts w:ascii="Times New Roman" w:hAnsi="Times New Roman" w:cs="Times New Roman"/>
          <w:color w:val="000000" w:themeColor="text1"/>
          <w:sz w:val="23"/>
          <w:szCs w:val="23"/>
          <w:lang w:val="en-US"/>
        </w:rPr>
        <w:t xml:space="preserve">book value </w:t>
      </w:r>
      <w:r w:rsidR="0054344C">
        <w:rPr>
          <w:rFonts w:ascii="Times New Roman" w:hAnsi="Times New Roman" w:cs="Times New Roman"/>
          <w:color w:val="000000" w:themeColor="text1"/>
          <w:sz w:val="23"/>
          <w:szCs w:val="23"/>
          <w:lang w:val="en-US"/>
        </w:rPr>
        <w:t>of</w:t>
      </w:r>
      <w:r w:rsidR="0054344C" w:rsidRPr="00983193">
        <w:rPr>
          <w:rFonts w:ascii="Times New Roman" w:hAnsi="Times New Roman" w:cs="Times New Roman"/>
          <w:color w:val="000000" w:themeColor="text1"/>
          <w:sz w:val="23"/>
          <w:szCs w:val="23"/>
          <w:lang w:val="en-US"/>
        </w:rPr>
        <w:t xml:space="preserve"> </w:t>
      </w:r>
      <w:r w:rsidR="00B31989" w:rsidRPr="00983193">
        <w:rPr>
          <w:rFonts w:ascii="Times New Roman" w:hAnsi="Times New Roman" w:cs="Times New Roman"/>
          <w:color w:val="000000" w:themeColor="text1"/>
          <w:sz w:val="23"/>
          <w:szCs w:val="23"/>
          <w:lang w:val="en-US"/>
        </w:rPr>
        <w:t>firm</w:t>
      </w:r>
      <w:r w:rsidR="0054344C">
        <w:rPr>
          <w:rFonts w:ascii="Times New Roman" w:hAnsi="Times New Roman" w:cs="Times New Roman"/>
          <w:color w:val="000000" w:themeColor="text1"/>
          <w:sz w:val="23"/>
          <w:szCs w:val="23"/>
          <w:lang w:val="en-US"/>
        </w:rPr>
        <w:t>s,</w:t>
      </w:r>
      <w:r w:rsidR="00B31989" w:rsidRPr="00983193">
        <w:rPr>
          <w:rFonts w:ascii="Times New Roman" w:hAnsi="Times New Roman" w:cs="Times New Roman"/>
          <w:color w:val="000000" w:themeColor="text1"/>
          <w:sz w:val="23"/>
          <w:szCs w:val="23"/>
          <w:lang w:val="en-US"/>
        </w:rPr>
        <w:t xml:space="preserve"> as expected, </w:t>
      </w:r>
      <w:r w:rsidR="0054344C">
        <w:rPr>
          <w:rFonts w:ascii="Times New Roman" w:hAnsi="Times New Roman" w:cs="Times New Roman"/>
          <w:color w:val="000000" w:themeColor="text1"/>
          <w:sz w:val="23"/>
          <w:szCs w:val="23"/>
          <w:lang w:val="en-US"/>
        </w:rPr>
        <w:t>and thus</w:t>
      </w:r>
      <w:r w:rsidR="00B31989" w:rsidRPr="00983193">
        <w:rPr>
          <w:rFonts w:ascii="Times New Roman" w:hAnsi="Times New Roman" w:cs="Times New Roman"/>
          <w:color w:val="000000" w:themeColor="text1"/>
          <w:sz w:val="23"/>
          <w:szCs w:val="23"/>
          <w:lang w:val="en-US"/>
        </w:rPr>
        <w:t xml:space="preserve"> firms </w:t>
      </w:r>
      <w:r w:rsidR="0054344C">
        <w:rPr>
          <w:rFonts w:ascii="Times New Roman" w:hAnsi="Times New Roman" w:cs="Times New Roman"/>
          <w:color w:val="000000" w:themeColor="text1"/>
          <w:sz w:val="23"/>
          <w:szCs w:val="23"/>
          <w:lang w:val="en-US"/>
        </w:rPr>
        <w:t>typically</w:t>
      </w:r>
      <w:r w:rsidR="00B31989" w:rsidRPr="00983193">
        <w:rPr>
          <w:rFonts w:ascii="Times New Roman" w:hAnsi="Times New Roman" w:cs="Times New Roman"/>
          <w:color w:val="000000" w:themeColor="text1"/>
          <w:sz w:val="23"/>
          <w:szCs w:val="23"/>
          <w:lang w:val="en-US"/>
        </w:rPr>
        <w:t xml:space="preserve"> create significant market value over their book value base. </w:t>
      </w:r>
      <w:r w:rsidR="00461DFC" w:rsidRPr="00983193">
        <w:rPr>
          <w:rFonts w:ascii="Times New Roman" w:hAnsi="Times New Roman" w:cs="Times New Roman"/>
          <w:color w:val="000000" w:themeColor="text1"/>
          <w:sz w:val="23"/>
          <w:szCs w:val="23"/>
          <w:lang w:val="en-US"/>
        </w:rPr>
        <w:t>This</w:t>
      </w:r>
      <w:r w:rsidR="00D32A9C" w:rsidRPr="00983193">
        <w:rPr>
          <w:rFonts w:ascii="Times New Roman" w:hAnsi="Times New Roman" w:cs="Times New Roman"/>
          <w:color w:val="000000" w:themeColor="text1"/>
          <w:sz w:val="23"/>
          <w:szCs w:val="23"/>
          <w:lang w:val="en-US"/>
        </w:rPr>
        <w:t xml:space="preserve"> finding</w:t>
      </w:r>
      <w:r w:rsidR="00B31989" w:rsidRPr="00983193">
        <w:rPr>
          <w:rFonts w:ascii="Times New Roman" w:hAnsi="Times New Roman" w:cs="Times New Roman"/>
          <w:color w:val="000000" w:themeColor="text1"/>
          <w:sz w:val="23"/>
          <w:szCs w:val="23"/>
          <w:lang w:val="en-US"/>
        </w:rPr>
        <w:t xml:space="preserve"> </w:t>
      </w:r>
      <w:r w:rsidR="00032A72" w:rsidRPr="00983193">
        <w:rPr>
          <w:rFonts w:ascii="Times New Roman" w:hAnsi="Times New Roman" w:cs="Times New Roman"/>
          <w:color w:val="000000" w:themeColor="text1"/>
          <w:sz w:val="23"/>
          <w:szCs w:val="23"/>
          <w:lang w:val="en-US"/>
        </w:rPr>
        <w:t>suggests</w:t>
      </w:r>
      <w:r w:rsidR="00B31989" w:rsidRPr="00983193">
        <w:rPr>
          <w:rFonts w:ascii="Times New Roman" w:hAnsi="Times New Roman" w:cs="Times New Roman"/>
          <w:color w:val="000000" w:themeColor="text1"/>
          <w:sz w:val="23"/>
          <w:szCs w:val="23"/>
          <w:lang w:val="en-US"/>
        </w:rPr>
        <w:t xml:space="preserve"> that in general substantial differences exist between company market and book values (Brennan and Connell, 2000). Lipunga (2014) highlights that such differences may be explained by </w:t>
      </w:r>
      <w:r w:rsidR="0054344C">
        <w:rPr>
          <w:rFonts w:ascii="Times New Roman" w:hAnsi="Times New Roman" w:cs="Times New Roman"/>
          <w:color w:val="000000" w:themeColor="text1"/>
          <w:sz w:val="23"/>
          <w:szCs w:val="23"/>
          <w:lang w:val="en-US"/>
        </w:rPr>
        <w:t xml:space="preserve">the existence of </w:t>
      </w:r>
      <w:r w:rsidR="00B31989" w:rsidRPr="00983193">
        <w:rPr>
          <w:rFonts w:ascii="Times New Roman" w:hAnsi="Times New Roman" w:cs="Times New Roman"/>
          <w:color w:val="000000" w:themeColor="text1"/>
          <w:sz w:val="23"/>
          <w:szCs w:val="23"/>
          <w:lang w:val="en-US"/>
        </w:rPr>
        <w:t xml:space="preserve">IC assets not recognized in company balance sheets (Brennan and Connell, 2000). Gan and Saleh (2008) argue that while some of these differences are attributable to the current value of physical and financial assets exceeding their historical cost, a large proportion is due to </w:t>
      </w:r>
      <w:r w:rsidR="0054344C">
        <w:rPr>
          <w:rFonts w:ascii="Times New Roman" w:hAnsi="Times New Roman" w:cs="Times New Roman"/>
          <w:color w:val="000000" w:themeColor="text1"/>
          <w:sz w:val="23"/>
          <w:szCs w:val="23"/>
          <w:lang w:val="en-US"/>
        </w:rPr>
        <w:t xml:space="preserve">the growth of </w:t>
      </w:r>
      <w:r w:rsidR="00B31989" w:rsidRPr="00983193">
        <w:rPr>
          <w:rFonts w:ascii="Times New Roman" w:hAnsi="Times New Roman" w:cs="Times New Roman"/>
          <w:color w:val="000000" w:themeColor="text1"/>
          <w:sz w:val="23"/>
          <w:szCs w:val="23"/>
          <w:lang w:val="en-US"/>
        </w:rPr>
        <w:t>IA. According to Abeysekera (</w:t>
      </w:r>
      <w:r w:rsidR="00B31989" w:rsidRPr="001855D6">
        <w:rPr>
          <w:rFonts w:ascii="Times New Roman" w:hAnsi="Times New Roman" w:cs="Times New Roman"/>
          <w:noProof/>
          <w:color w:val="000000" w:themeColor="text1"/>
          <w:sz w:val="23"/>
          <w:szCs w:val="23"/>
          <w:lang w:val="en-US"/>
        </w:rPr>
        <w:t>2007)</w:t>
      </w:r>
      <w:r w:rsidR="001855D6">
        <w:rPr>
          <w:rFonts w:ascii="Times New Roman" w:hAnsi="Times New Roman" w:cs="Times New Roman"/>
          <w:noProof/>
          <w:color w:val="000000" w:themeColor="text1"/>
          <w:sz w:val="23"/>
          <w:szCs w:val="23"/>
          <w:lang w:val="en-US"/>
        </w:rPr>
        <w:t>,</w:t>
      </w:r>
      <w:r w:rsidR="00B31989" w:rsidRPr="00983193">
        <w:rPr>
          <w:rFonts w:ascii="Times New Roman" w:hAnsi="Times New Roman" w:cs="Times New Roman"/>
          <w:color w:val="000000" w:themeColor="text1"/>
          <w:sz w:val="23"/>
          <w:szCs w:val="23"/>
          <w:lang w:val="en-US"/>
        </w:rPr>
        <w:t xml:space="preserve"> </w:t>
      </w:r>
      <w:r w:rsidR="0054344C">
        <w:rPr>
          <w:rFonts w:ascii="Times New Roman" w:hAnsi="Times New Roman" w:cs="Times New Roman"/>
          <w:color w:val="000000" w:themeColor="text1"/>
          <w:sz w:val="23"/>
          <w:szCs w:val="23"/>
          <w:lang w:val="en-US"/>
        </w:rPr>
        <w:t xml:space="preserve">the </w:t>
      </w:r>
      <w:r w:rsidR="00B31989" w:rsidRPr="00983193">
        <w:rPr>
          <w:rFonts w:ascii="Times New Roman" w:hAnsi="Times New Roman" w:cs="Times New Roman"/>
          <w:color w:val="000000" w:themeColor="text1"/>
          <w:sz w:val="23"/>
          <w:szCs w:val="23"/>
          <w:lang w:val="en-US"/>
        </w:rPr>
        <w:t xml:space="preserve">IC held by a firm can be thought of as a form of </w:t>
      </w:r>
      <w:r w:rsidR="0054344C">
        <w:rPr>
          <w:rFonts w:ascii="Times New Roman" w:hAnsi="Times New Roman" w:cs="Times New Roman"/>
          <w:color w:val="000000" w:themeColor="text1"/>
          <w:sz w:val="23"/>
          <w:szCs w:val="23"/>
          <w:lang w:val="en-US"/>
        </w:rPr>
        <w:t>“</w:t>
      </w:r>
      <w:r w:rsidR="00B31989" w:rsidRPr="00983193">
        <w:rPr>
          <w:rFonts w:ascii="Times New Roman" w:hAnsi="Times New Roman" w:cs="Times New Roman"/>
          <w:color w:val="000000" w:themeColor="text1"/>
          <w:sz w:val="23"/>
          <w:szCs w:val="23"/>
          <w:lang w:val="en-US"/>
        </w:rPr>
        <w:t>unaccounted capital</w:t>
      </w:r>
      <w:r w:rsidR="0054344C">
        <w:rPr>
          <w:rFonts w:ascii="Times New Roman" w:hAnsi="Times New Roman" w:cs="Times New Roman"/>
          <w:color w:val="000000" w:themeColor="text1"/>
          <w:sz w:val="23"/>
          <w:szCs w:val="23"/>
          <w:lang w:val="en-US"/>
        </w:rPr>
        <w:t>”</w:t>
      </w:r>
      <w:r w:rsidR="00B31989" w:rsidRPr="00983193">
        <w:rPr>
          <w:rFonts w:ascii="Times New Roman" w:hAnsi="Times New Roman" w:cs="Times New Roman"/>
          <w:color w:val="000000" w:themeColor="text1"/>
          <w:sz w:val="23"/>
          <w:szCs w:val="23"/>
          <w:lang w:val="en-US"/>
        </w:rPr>
        <w:t xml:space="preserve"> in accordance with the traditional accounting system </w:t>
      </w:r>
      <w:r w:rsidR="00B31989" w:rsidRPr="001855D6">
        <w:rPr>
          <w:rFonts w:ascii="Times New Roman" w:hAnsi="Times New Roman" w:cs="Times New Roman"/>
          <w:noProof/>
          <w:color w:val="000000" w:themeColor="text1"/>
          <w:sz w:val="23"/>
          <w:szCs w:val="23"/>
          <w:lang w:val="en-US"/>
        </w:rPr>
        <w:t>terminology</w:t>
      </w:r>
      <w:r w:rsidR="0054344C">
        <w:rPr>
          <w:rFonts w:ascii="Times New Roman" w:hAnsi="Times New Roman" w:cs="Times New Roman"/>
          <w:noProof/>
          <w:color w:val="000000" w:themeColor="text1"/>
          <w:sz w:val="23"/>
          <w:szCs w:val="23"/>
          <w:lang w:val="en-US"/>
        </w:rPr>
        <w:t>,</w:t>
      </w:r>
      <w:r w:rsidR="00B31989" w:rsidRPr="00983193">
        <w:rPr>
          <w:rFonts w:ascii="Times New Roman" w:hAnsi="Times New Roman" w:cs="Times New Roman"/>
          <w:color w:val="000000" w:themeColor="text1"/>
          <w:sz w:val="23"/>
          <w:szCs w:val="23"/>
          <w:lang w:val="en-US"/>
        </w:rPr>
        <w:t xml:space="preserve"> and may be described as the knowledge-based equity that supports the knowledge-based assets of a firm.</w:t>
      </w:r>
      <w:r w:rsidR="00D24D9F" w:rsidRPr="00983193">
        <w:rPr>
          <w:rFonts w:ascii="Times New Roman" w:hAnsi="Times New Roman" w:cs="Times New Roman"/>
          <w:color w:val="000000" w:themeColor="text1"/>
          <w:sz w:val="23"/>
          <w:szCs w:val="23"/>
          <w:lang w:val="en-US"/>
        </w:rPr>
        <w:t xml:space="preserve"> Thi</w:t>
      </w:r>
      <w:r w:rsidR="009D31DF" w:rsidRPr="00983193">
        <w:rPr>
          <w:rFonts w:ascii="Times New Roman" w:hAnsi="Times New Roman" w:cs="Times New Roman"/>
          <w:color w:val="000000" w:themeColor="text1"/>
          <w:sz w:val="23"/>
          <w:szCs w:val="23"/>
          <w:lang w:val="en-US"/>
        </w:rPr>
        <w:t xml:space="preserve">s knowledge generates a potential reserve that contributes to </w:t>
      </w:r>
      <w:r w:rsidR="0054344C">
        <w:rPr>
          <w:rFonts w:ascii="Times New Roman" w:hAnsi="Times New Roman" w:cs="Times New Roman"/>
          <w:noProof/>
          <w:color w:val="000000" w:themeColor="text1"/>
          <w:sz w:val="23"/>
          <w:szCs w:val="23"/>
          <w:lang w:val="en-US"/>
        </w:rPr>
        <w:t>growing future</w:t>
      </w:r>
      <w:r w:rsidR="009D31DF" w:rsidRPr="00983193">
        <w:rPr>
          <w:rFonts w:ascii="Times New Roman" w:hAnsi="Times New Roman" w:cs="Times New Roman"/>
          <w:color w:val="000000" w:themeColor="text1"/>
          <w:sz w:val="23"/>
          <w:szCs w:val="23"/>
          <w:lang w:val="en-US"/>
        </w:rPr>
        <w:t xml:space="preserve"> </w:t>
      </w:r>
      <w:r w:rsidR="004D75B3" w:rsidRPr="00983193">
        <w:rPr>
          <w:rFonts w:ascii="Times New Roman" w:hAnsi="Times New Roman" w:cs="Times New Roman"/>
          <w:color w:val="000000" w:themeColor="text1"/>
          <w:sz w:val="23"/>
          <w:szCs w:val="23"/>
          <w:lang w:val="en-US"/>
        </w:rPr>
        <w:t>revenues.</w:t>
      </w:r>
    </w:p>
    <w:p w14:paraId="2DD90424" w14:textId="77777777" w:rsidR="0054344C" w:rsidRDefault="0054344C" w:rsidP="0054344C">
      <w:pPr>
        <w:spacing w:after="0" w:line="240" w:lineRule="auto"/>
        <w:jc w:val="both"/>
        <w:rPr>
          <w:rFonts w:ascii="Times New Roman" w:hAnsi="Times New Roman" w:cs="Times New Roman"/>
          <w:color w:val="000000" w:themeColor="text1"/>
          <w:sz w:val="23"/>
          <w:szCs w:val="23"/>
          <w:lang w:val="en-US"/>
        </w:rPr>
      </w:pPr>
    </w:p>
    <w:p w14:paraId="7980A264" w14:textId="77777777" w:rsidR="0054344C" w:rsidRPr="008850F8" w:rsidRDefault="0054344C" w:rsidP="0054344C">
      <w:pPr>
        <w:spacing w:after="0" w:line="240" w:lineRule="auto"/>
        <w:jc w:val="center"/>
        <w:rPr>
          <w:rFonts w:ascii="Times New Roman" w:hAnsi="Times New Roman" w:cs="Times New Roman"/>
          <w:b/>
          <w:color w:val="000000" w:themeColor="text1"/>
          <w:sz w:val="23"/>
          <w:szCs w:val="23"/>
          <w:lang w:val="en-US"/>
        </w:rPr>
      </w:pPr>
      <w:r w:rsidRPr="008850F8">
        <w:rPr>
          <w:rFonts w:ascii="Times New Roman" w:hAnsi="Times New Roman" w:cs="Times New Roman"/>
          <w:b/>
          <w:color w:val="000000" w:themeColor="text1"/>
          <w:sz w:val="23"/>
          <w:szCs w:val="23"/>
          <w:lang w:val="en-US"/>
        </w:rPr>
        <w:t>[</w:t>
      </w:r>
      <w:r w:rsidRPr="007734A2">
        <w:rPr>
          <w:rFonts w:ascii="Times New Roman" w:hAnsi="Times New Roman" w:cs="Times New Roman"/>
          <w:b/>
          <w:color w:val="000000" w:themeColor="text1"/>
          <w:sz w:val="23"/>
          <w:szCs w:val="23"/>
          <w:lang w:val="en-US"/>
        </w:rPr>
        <w:t>Insert Tables III</w:t>
      </w:r>
      <w:r w:rsidRPr="008850F8">
        <w:rPr>
          <w:rFonts w:ascii="Times New Roman" w:hAnsi="Times New Roman" w:cs="Times New Roman"/>
          <w:b/>
          <w:color w:val="000000" w:themeColor="text1"/>
          <w:sz w:val="23"/>
          <w:szCs w:val="23"/>
          <w:lang w:val="en-US"/>
        </w:rPr>
        <w:t>]</w:t>
      </w:r>
    </w:p>
    <w:p w14:paraId="56E2DF8F" w14:textId="77777777" w:rsidR="0054344C" w:rsidRPr="00983193" w:rsidRDefault="0054344C" w:rsidP="00B31989">
      <w:pPr>
        <w:spacing w:after="0" w:line="240" w:lineRule="auto"/>
        <w:jc w:val="both"/>
        <w:rPr>
          <w:rFonts w:ascii="Times New Roman" w:hAnsi="Times New Roman" w:cs="Times New Roman"/>
          <w:color w:val="000000" w:themeColor="text1"/>
          <w:sz w:val="23"/>
          <w:szCs w:val="23"/>
          <w:lang w:val="en-US"/>
        </w:rPr>
      </w:pPr>
    </w:p>
    <w:p w14:paraId="58A75188" w14:textId="77777777" w:rsidR="00B31989" w:rsidRPr="00983193" w:rsidRDefault="00415DD5" w:rsidP="00B31989">
      <w:pPr>
        <w:spacing w:after="0" w:line="240" w:lineRule="auto"/>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274E35" w:rsidRPr="00983193">
        <w:rPr>
          <w:rFonts w:ascii="Times New Roman" w:hAnsi="Times New Roman" w:cs="Times New Roman"/>
          <w:color w:val="000000" w:themeColor="text1"/>
          <w:sz w:val="23"/>
          <w:szCs w:val="23"/>
          <w:lang w:val="en-US"/>
        </w:rPr>
        <w:t>The</w:t>
      </w:r>
      <w:r w:rsidR="00B31989" w:rsidRPr="00983193">
        <w:rPr>
          <w:rFonts w:ascii="Times New Roman" w:hAnsi="Times New Roman" w:cs="Times New Roman"/>
          <w:color w:val="000000" w:themeColor="text1"/>
          <w:sz w:val="23"/>
          <w:szCs w:val="23"/>
          <w:lang w:val="en-US"/>
        </w:rPr>
        <w:t xml:space="preserve"> sample firms have an intangible asset (</w:t>
      </w:r>
      <w:r w:rsidR="00274E35" w:rsidRPr="00A53C54">
        <w:rPr>
          <w:rFonts w:ascii="Times New Roman" w:hAnsi="Times New Roman" w:cs="Times New Roman"/>
          <w:i/>
          <w:noProof/>
          <w:color w:val="000000" w:themeColor="text1"/>
          <w:sz w:val="23"/>
          <w:szCs w:val="23"/>
          <w:lang w:val="en-US"/>
        </w:rPr>
        <w:t>ln</w:t>
      </w:r>
      <w:r w:rsidR="00B31989" w:rsidRPr="00A53C54">
        <w:rPr>
          <w:rFonts w:ascii="Times New Roman" w:hAnsi="Times New Roman" w:cs="Times New Roman"/>
          <w:i/>
          <w:noProof/>
          <w:color w:val="000000" w:themeColor="text1"/>
          <w:sz w:val="23"/>
          <w:szCs w:val="23"/>
          <w:lang w:val="en-US"/>
        </w:rPr>
        <w:t>TINT</w:t>
      </w:r>
      <w:r w:rsidR="00B31989" w:rsidRPr="00983193">
        <w:rPr>
          <w:rFonts w:ascii="Times New Roman" w:hAnsi="Times New Roman" w:cs="Times New Roman"/>
          <w:color w:val="000000" w:themeColor="text1"/>
          <w:sz w:val="23"/>
          <w:szCs w:val="23"/>
          <w:lang w:val="en-US"/>
        </w:rPr>
        <w:t xml:space="preserve">) ratio of </w:t>
      </w:r>
      <w:r w:rsidR="00274E35" w:rsidRPr="00983193">
        <w:rPr>
          <w:rFonts w:ascii="Times New Roman" w:hAnsi="Times New Roman" w:cs="Times New Roman"/>
          <w:color w:val="000000" w:themeColor="text1"/>
          <w:sz w:val="23"/>
          <w:szCs w:val="23"/>
          <w:lang w:val="en-US"/>
        </w:rPr>
        <w:t xml:space="preserve">-4.74 (the natural logarithm of the variable </w:t>
      </w:r>
      <w:r w:rsidR="00274E35" w:rsidRPr="00A53C54">
        <w:rPr>
          <w:rFonts w:ascii="Times New Roman" w:hAnsi="Times New Roman" w:cs="Times New Roman"/>
          <w:i/>
          <w:color w:val="000000" w:themeColor="text1"/>
          <w:sz w:val="23"/>
          <w:szCs w:val="23"/>
          <w:lang w:val="en-US"/>
        </w:rPr>
        <w:t>TINT</w:t>
      </w:r>
      <w:r w:rsidR="00274E35" w:rsidRPr="00983193">
        <w:rPr>
          <w:rFonts w:ascii="Times New Roman" w:hAnsi="Times New Roman" w:cs="Times New Roman"/>
          <w:color w:val="000000" w:themeColor="text1"/>
          <w:sz w:val="23"/>
          <w:szCs w:val="23"/>
          <w:lang w:val="en-US"/>
        </w:rPr>
        <w:t>)</w:t>
      </w:r>
      <w:r w:rsidR="00B31989" w:rsidRPr="00983193">
        <w:rPr>
          <w:rFonts w:ascii="Times New Roman" w:hAnsi="Times New Roman" w:cs="Times New Roman"/>
          <w:color w:val="000000" w:themeColor="text1"/>
          <w:sz w:val="23"/>
          <w:szCs w:val="23"/>
          <w:lang w:val="en-US"/>
        </w:rPr>
        <w:t xml:space="preserve">. </w:t>
      </w:r>
      <w:r w:rsidR="00E750B2" w:rsidRPr="00983193">
        <w:rPr>
          <w:rFonts w:ascii="Times New Roman" w:hAnsi="Times New Roman" w:cs="Times New Roman"/>
          <w:color w:val="000000" w:themeColor="text1"/>
          <w:sz w:val="23"/>
          <w:szCs w:val="23"/>
          <w:lang w:val="en-US"/>
        </w:rPr>
        <w:t xml:space="preserve">The sample firms have a mean </w:t>
      </w:r>
      <w:r w:rsidR="00E750B2" w:rsidRPr="00A53C54">
        <w:rPr>
          <w:rFonts w:ascii="Times New Roman" w:hAnsi="Times New Roman" w:cs="Times New Roman"/>
          <w:i/>
          <w:color w:val="000000" w:themeColor="text1"/>
          <w:sz w:val="23"/>
          <w:szCs w:val="23"/>
          <w:lang w:val="en-US"/>
        </w:rPr>
        <w:t xml:space="preserve">ROA </w:t>
      </w:r>
      <w:r w:rsidR="00E750B2" w:rsidRPr="00983193">
        <w:rPr>
          <w:rFonts w:ascii="Times New Roman" w:hAnsi="Times New Roman" w:cs="Times New Roman"/>
          <w:color w:val="000000" w:themeColor="text1"/>
          <w:sz w:val="23"/>
          <w:szCs w:val="23"/>
          <w:lang w:val="en-US"/>
        </w:rPr>
        <w:t xml:space="preserve">of 23.37%. Further, the scale of the </w:t>
      </w:r>
      <w:r w:rsidR="00CA3784">
        <w:rPr>
          <w:rFonts w:ascii="Times New Roman" w:hAnsi="Times New Roman" w:cs="Times New Roman"/>
          <w:color w:val="000000" w:themeColor="text1"/>
          <w:sz w:val="23"/>
          <w:szCs w:val="23"/>
          <w:lang w:val="en-US"/>
        </w:rPr>
        <w:t>ROA</w:t>
      </w:r>
      <w:r w:rsidR="00E750B2" w:rsidRPr="00983193">
        <w:rPr>
          <w:rFonts w:ascii="Times New Roman" w:hAnsi="Times New Roman" w:cs="Times New Roman"/>
          <w:color w:val="000000" w:themeColor="text1"/>
          <w:sz w:val="23"/>
          <w:szCs w:val="23"/>
          <w:lang w:val="en-US"/>
        </w:rPr>
        <w:t xml:space="preserve"> is greater than might be anticipated due to relatively low sample period equity values. </w:t>
      </w:r>
      <w:r w:rsidR="00B31989" w:rsidRPr="00983193">
        <w:rPr>
          <w:rFonts w:ascii="Times New Roman" w:hAnsi="Times New Roman" w:cs="Times New Roman"/>
          <w:color w:val="000000" w:themeColor="text1"/>
          <w:sz w:val="23"/>
          <w:szCs w:val="23"/>
          <w:lang w:val="en-US"/>
        </w:rPr>
        <w:t xml:space="preserve">Sample firm size is, on average, </w:t>
      </w:r>
      <w:r w:rsidR="00D94BEA">
        <w:rPr>
          <w:rFonts w:ascii="Times New Roman" w:hAnsi="Times New Roman" w:cs="Times New Roman"/>
          <w:color w:val="000000" w:themeColor="text1"/>
          <w:sz w:val="23"/>
          <w:szCs w:val="23"/>
          <w:lang w:val="en-US"/>
        </w:rPr>
        <w:t xml:space="preserve">€ </w:t>
      </w:r>
      <w:r w:rsidR="006E2C53" w:rsidRPr="00983193">
        <w:rPr>
          <w:rFonts w:ascii="Times New Roman" w:hAnsi="Times New Roman" w:cs="Times New Roman"/>
          <w:color w:val="000000" w:themeColor="text1"/>
          <w:sz w:val="23"/>
          <w:szCs w:val="23"/>
          <w:lang w:val="en-US"/>
        </w:rPr>
        <w:t>12.80</w:t>
      </w:r>
      <w:r w:rsidR="005F7028">
        <w:rPr>
          <w:rFonts w:ascii="Times New Roman" w:hAnsi="Times New Roman" w:cs="Times New Roman"/>
          <w:color w:val="000000" w:themeColor="text1"/>
          <w:sz w:val="23"/>
          <w:szCs w:val="23"/>
          <w:lang w:val="en-US"/>
        </w:rPr>
        <w:t>, in natural logarithm terms</w:t>
      </w:r>
      <w:r w:rsidR="006E2C53" w:rsidRPr="00983193">
        <w:rPr>
          <w:rFonts w:ascii="Times New Roman" w:hAnsi="Times New Roman" w:cs="Times New Roman"/>
          <w:color w:val="000000" w:themeColor="text1"/>
          <w:sz w:val="23"/>
          <w:szCs w:val="23"/>
          <w:lang w:val="en-US"/>
        </w:rPr>
        <w:t xml:space="preserve">. </w:t>
      </w:r>
      <w:r w:rsidR="00B31989" w:rsidRPr="00983193">
        <w:rPr>
          <w:rFonts w:ascii="Times New Roman" w:hAnsi="Times New Roman" w:cs="Times New Roman"/>
          <w:color w:val="000000" w:themeColor="text1"/>
          <w:sz w:val="23"/>
          <w:szCs w:val="23"/>
          <w:lang w:val="en-US"/>
        </w:rPr>
        <w:t xml:space="preserve">The </w:t>
      </w:r>
      <w:r w:rsidR="005F7028" w:rsidRPr="00983193">
        <w:rPr>
          <w:rFonts w:ascii="Times New Roman" w:hAnsi="Times New Roman" w:cs="Times New Roman"/>
          <w:color w:val="000000" w:themeColor="text1"/>
          <w:sz w:val="23"/>
          <w:szCs w:val="23"/>
          <w:lang w:val="en-US"/>
        </w:rPr>
        <w:t xml:space="preserve">mean </w:t>
      </w:r>
      <w:r w:rsidR="00B31989" w:rsidRPr="00A53C54">
        <w:rPr>
          <w:rFonts w:ascii="Times New Roman" w:hAnsi="Times New Roman" w:cs="Times New Roman"/>
          <w:i/>
          <w:color w:val="000000" w:themeColor="text1"/>
          <w:sz w:val="23"/>
          <w:szCs w:val="23"/>
          <w:lang w:val="en-US"/>
        </w:rPr>
        <w:t xml:space="preserve">AGE </w:t>
      </w:r>
      <w:r w:rsidR="00B31989" w:rsidRPr="00983193">
        <w:rPr>
          <w:rFonts w:ascii="Times New Roman" w:hAnsi="Times New Roman" w:cs="Times New Roman"/>
          <w:color w:val="000000" w:themeColor="text1"/>
          <w:sz w:val="23"/>
          <w:szCs w:val="23"/>
          <w:lang w:val="en-US"/>
        </w:rPr>
        <w:t>of</w:t>
      </w:r>
      <w:r w:rsidR="005F7028">
        <w:rPr>
          <w:rFonts w:ascii="Times New Roman" w:hAnsi="Times New Roman" w:cs="Times New Roman"/>
          <w:color w:val="000000" w:themeColor="text1"/>
          <w:sz w:val="23"/>
          <w:szCs w:val="23"/>
          <w:lang w:val="en-US"/>
        </w:rPr>
        <w:t xml:space="preserve"> the</w:t>
      </w:r>
      <w:r w:rsidR="00B31989" w:rsidRPr="00983193">
        <w:rPr>
          <w:rFonts w:ascii="Times New Roman" w:hAnsi="Times New Roman" w:cs="Times New Roman"/>
          <w:color w:val="000000" w:themeColor="text1"/>
          <w:sz w:val="23"/>
          <w:szCs w:val="23"/>
          <w:lang w:val="en-US"/>
        </w:rPr>
        <w:t xml:space="preserve"> </w:t>
      </w:r>
      <w:r w:rsidR="005F7028" w:rsidRPr="00983193">
        <w:rPr>
          <w:rFonts w:ascii="Times New Roman" w:hAnsi="Times New Roman" w:cs="Times New Roman"/>
          <w:color w:val="000000" w:themeColor="text1"/>
          <w:sz w:val="23"/>
          <w:szCs w:val="23"/>
          <w:lang w:val="en-US"/>
        </w:rPr>
        <w:t xml:space="preserve">sample </w:t>
      </w:r>
      <w:r w:rsidR="00B31989" w:rsidRPr="00983193">
        <w:rPr>
          <w:rFonts w:ascii="Times New Roman" w:hAnsi="Times New Roman" w:cs="Times New Roman"/>
          <w:color w:val="000000" w:themeColor="text1"/>
          <w:sz w:val="23"/>
          <w:szCs w:val="23"/>
          <w:lang w:val="en-US"/>
        </w:rPr>
        <w:t xml:space="preserve">companies </w:t>
      </w:r>
      <w:r w:rsidR="005F7028">
        <w:rPr>
          <w:rFonts w:ascii="Times New Roman" w:hAnsi="Times New Roman" w:cs="Times New Roman"/>
          <w:color w:val="000000" w:themeColor="text1"/>
          <w:sz w:val="23"/>
          <w:szCs w:val="23"/>
          <w:lang w:val="en-US"/>
        </w:rPr>
        <w:t xml:space="preserve">(length of establishment) </w:t>
      </w:r>
      <w:r w:rsidR="00B31989" w:rsidRPr="00983193">
        <w:rPr>
          <w:rFonts w:ascii="Times New Roman" w:hAnsi="Times New Roman" w:cs="Times New Roman"/>
          <w:color w:val="000000" w:themeColor="text1"/>
          <w:sz w:val="23"/>
          <w:szCs w:val="23"/>
          <w:lang w:val="en-US"/>
        </w:rPr>
        <w:t xml:space="preserve">is </w:t>
      </w:r>
      <w:r w:rsidR="006E2C53" w:rsidRPr="00983193">
        <w:rPr>
          <w:rFonts w:ascii="Times New Roman" w:hAnsi="Times New Roman" w:cs="Times New Roman"/>
          <w:color w:val="000000" w:themeColor="text1"/>
          <w:sz w:val="23"/>
          <w:szCs w:val="23"/>
          <w:lang w:val="en-US"/>
        </w:rPr>
        <w:t>3.31</w:t>
      </w:r>
      <w:r w:rsidR="00B31989" w:rsidRPr="00983193">
        <w:rPr>
          <w:rFonts w:ascii="Times New Roman" w:hAnsi="Times New Roman" w:cs="Times New Roman"/>
          <w:color w:val="000000" w:themeColor="text1"/>
          <w:sz w:val="23"/>
          <w:szCs w:val="23"/>
          <w:lang w:val="en-US"/>
        </w:rPr>
        <w:t xml:space="preserve"> (</w:t>
      </w:r>
      <w:r w:rsidR="005F7028">
        <w:rPr>
          <w:rFonts w:ascii="Times New Roman" w:hAnsi="Times New Roman" w:cs="Times New Roman"/>
          <w:color w:val="000000" w:themeColor="text1"/>
          <w:sz w:val="23"/>
          <w:szCs w:val="23"/>
          <w:lang w:val="en-US"/>
        </w:rPr>
        <w:t xml:space="preserve">or </w:t>
      </w:r>
      <w:r w:rsidR="006E2C53" w:rsidRPr="00983193">
        <w:rPr>
          <w:rFonts w:ascii="Times New Roman" w:hAnsi="Times New Roman" w:cs="Times New Roman"/>
          <w:color w:val="000000" w:themeColor="text1"/>
          <w:sz w:val="23"/>
          <w:szCs w:val="23"/>
          <w:lang w:val="en-US"/>
        </w:rPr>
        <w:t>27.38 years)</w:t>
      </w:r>
      <w:r w:rsidR="00214303" w:rsidRPr="00983193">
        <w:rPr>
          <w:rFonts w:ascii="Times New Roman" w:hAnsi="Times New Roman" w:cs="Times New Roman"/>
          <w:color w:val="000000" w:themeColor="text1"/>
          <w:sz w:val="23"/>
          <w:szCs w:val="23"/>
          <w:lang w:val="en-US"/>
        </w:rPr>
        <w:t xml:space="preserve">, suggesting that firms </w:t>
      </w:r>
      <w:r w:rsidR="005F7028">
        <w:rPr>
          <w:rFonts w:ascii="Times New Roman" w:hAnsi="Times New Roman" w:cs="Times New Roman"/>
          <w:color w:val="000000" w:themeColor="text1"/>
          <w:sz w:val="23"/>
          <w:szCs w:val="23"/>
          <w:lang w:val="en-US"/>
        </w:rPr>
        <w:t>on average are fairly established</w:t>
      </w:r>
      <w:r w:rsidR="00B31989" w:rsidRPr="00983193">
        <w:rPr>
          <w:rFonts w:ascii="Times New Roman" w:hAnsi="Times New Roman" w:cs="Times New Roman"/>
          <w:color w:val="000000" w:themeColor="text1"/>
          <w:sz w:val="23"/>
          <w:szCs w:val="23"/>
          <w:lang w:val="en-US"/>
        </w:rPr>
        <w:t xml:space="preserve">. </w:t>
      </w:r>
      <w:r w:rsidR="005F7028">
        <w:rPr>
          <w:rFonts w:ascii="Times New Roman" w:hAnsi="Times New Roman" w:cs="Times New Roman"/>
          <w:color w:val="000000" w:themeColor="text1"/>
          <w:sz w:val="23"/>
          <w:szCs w:val="23"/>
          <w:lang w:val="en-US"/>
        </w:rPr>
        <w:t>The sample</w:t>
      </w:r>
      <w:r w:rsidR="00B31989" w:rsidRPr="00983193">
        <w:rPr>
          <w:rFonts w:ascii="Times New Roman" w:hAnsi="Times New Roman" w:cs="Times New Roman"/>
          <w:color w:val="000000" w:themeColor="text1"/>
          <w:sz w:val="23"/>
          <w:szCs w:val="23"/>
          <w:lang w:val="en-US"/>
        </w:rPr>
        <w:t xml:space="preserve"> firms have a </w:t>
      </w:r>
      <w:r w:rsidR="00B31989" w:rsidRPr="003056C8">
        <w:rPr>
          <w:rFonts w:ascii="Times New Roman" w:hAnsi="Times New Roman" w:cs="Times New Roman"/>
          <w:noProof/>
          <w:color w:val="000000" w:themeColor="text1"/>
          <w:sz w:val="23"/>
          <w:szCs w:val="23"/>
          <w:lang w:val="en-US"/>
        </w:rPr>
        <w:t>mean</w:t>
      </w:r>
      <w:r w:rsidR="00B31989" w:rsidRPr="00983193">
        <w:rPr>
          <w:rFonts w:ascii="Times New Roman" w:hAnsi="Times New Roman" w:cs="Times New Roman"/>
          <w:color w:val="000000" w:themeColor="text1"/>
          <w:sz w:val="23"/>
          <w:szCs w:val="23"/>
          <w:lang w:val="en-US"/>
        </w:rPr>
        <w:t xml:space="preserve"> debt/equity ratio of </w:t>
      </w:r>
      <w:r w:rsidR="001B7D55" w:rsidRPr="00983193">
        <w:rPr>
          <w:rFonts w:ascii="Times New Roman" w:hAnsi="Times New Roman" w:cs="Times New Roman"/>
          <w:color w:val="000000" w:themeColor="text1"/>
          <w:sz w:val="23"/>
          <w:szCs w:val="23"/>
          <w:lang w:val="en-US"/>
        </w:rPr>
        <w:t xml:space="preserve">63%. </w:t>
      </w:r>
      <w:r w:rsidR="007B2A5C" w:rsidRPr="00983193">
        <w:rPr>
          <w:rFonts w:ascii="Times New Roman" w:hAnsi="Times New Roman" w:cs="Times New Roman"/>
          <w:color w:val="000000" w:themeColor="text1"/>
          <w:sz w:val="23"/>
          <w:szCs w:val="23"/>
          <w:lang w:val="en-US"/>
        </w:rPr>
        <w:t xml:space="preserve">Finally, the firms have a mean of Value-Added Intellectual Capital </w:t>
      </w:r>
      <w:r w:rsidR="005F7028">
        <w:rPr>
          <w:rFonts w:ascii="Times New Roman" w:hAnsi="Times New Roman" w:cs="Times New Roman"/>
          <w:color w:val="000000" w:themeColor="text1"/>
          <w:sz w:val="23"/>
          <w:szCs w:val="23"/>
          <w:lang w:val="en-US"/>
        </w:rPr>
        <w:t xml:space="preserve">Coefficient </w:t>
      </w:r>
      <w:r w:rsidR="007B2A5C" w:rsidRPr="00983193">
        <w:rPr>
          <w:rFonts w:ascii="Times New Roman" w:hAnsi="Times New Roman" w:cs="Times New Roman"/>
          <w:color w:val="000000" w:themeColor="text1"/>
          <w:sz w:val="23"/>
          <w:szCs w:val="23"/>
          <w:lang w:val="en-US"/>
        </w:rPr>
        <w:t>(</w:t>
      </w:r>
      <w:r w:rsidR="007B2A5C" w:rsidRPr="00A53C54">
        <w:rPr>
          <w:rFonts w:ascii="Times New Roman" w:hAnsi="Times New Roman" w:cs="Times New Roman"/>
          <w:i/>
          <w:color w:val="000000" w:themeColor="text1"/>
          <w:sz w:val="23"/>
          <w:szCs w:val="23"/>
          <w:lang w:val="en-US"/>
        </w:rPr>
        <w:t>VAIC</w:t>
      </w:r>
      <w:r w:rsidR="007B2A5C" w:rsidRPr="00983193">
        <w:rPr>
          <w:rFonts w:ascii="Times New Roman" w:hAnsi="Times New Roman" w:cs="Times New Roman"/>
          <w:color w:val="000000" w:themeColor="text1"/>
          <w:sz w:val="23"/>
          <w:szCs w:val="23"/>
          <w:lang w:val="en-US"/>
        </w:rPr>
        <w:t xml:space="preserve">) of </w:t>
      </w:r>
      <w:r w:rsidR="008A7FC9" w:rsidRPr="00983193">
        <w:rPr>
          <w:rFonts w:ascii="Times New Roman" w:hAnsi="Times New Roman" w:cs="Times New Roman"/>
          <w:color w:val="000000" w:themeColor="text1"/>
          <w:sz w:val="23"/>
          <w:szCs w:val="23"/>
          <w:lang w:val="en-US"/>
        </w:rPr>
        <w:t>2.14</w:t>
      </w:r>
      <w:r w:rsidR="005F7028">
        <w:rPr>
          <w:rFonts w:ascii="Times New Roman" w:hAnsi="Times New Roman" w:cs="Times New Roman"/>
          <w:color w:val="000000" w:themeColor="text1"/>
          <w:sz w:val="23"/>
          <w:szCs w:val="23"/>
          <w:lang w:val="en-US"/>
        </w:rPr>
        <w:t>,</w:t>
      </w:r>
      <w:r w:rsidR="00910660" w:rsidRPr="00983193">
        <w:rPr>
          <w:rFonts w:ascii="Times New Roman" w:hAnsi="Times New Roman" w:cs="Times New Roman"/>
          <w:color w:val="000000" w:themeColor="text1"/>
          <w:sz w:val="23"/>
          <w:szCs w:val="23"/>
          <w:lang w:val="en-US"/>
        </w:rPr>
        <w:t xml:space="preserve"> indicat</w:t>
      </w:r>
      <w:r w:rsidR="005F7028">
        <w:rPr>
          <w:rFonts w:ascii="Times New Roman" w:hAnsi="Times New Roman" w:cs="Times New Roman"/>
          <w:color w:val="000000" w:themeColor="text1"/>
          <w:sz w:val="23"/>
          <w:szCs w:val="23"/>
          <w:lang w:val="en-US"/>
        </w:rPr>
        <w:t>ing</w:t>
      </w:r>
      <w:r w:rsidR="00910660" w:rsidRPr="00983193">
        <w:rPr>
          <w:rFonts w:ascii="Times New Roman" w:hAnsi="Times New Roman" w:cs="Times New Roman"/>
          <w:color w:val="000000" w:themeColor="text1"/>
          <w:sz w:val="23"/>
          <w:szCs w:val="23"/>
          <w:lang w:val="en-US"/>
        </w:rPr>
        <w:t xml:space="preserve"> that the</w:t>
      </w:r>
      <w:r w:rsidR="005F7028">
        <w:rPr>
          <w:rFonts w:ascii="Times New Roman" w:hAnsi="Times New Roman" w:cs="Times New Roman"/>
          <w:color w:val="000000" w:themeColor="text1"/>
          <w:sz w:val="23"/>
          <w:szCs w:val="23"/>
          <w:lang w:val="en-US"/>
        </w:rPr>
        <w:t>y</w:t>
      </w:r>
      <w:r w:rsidR="00910660" w:rsidRPr="00983193">
        <w:rPr>
          <w:rFonts w:ascii="Times New Roman" w:hAnsi="Times New Roman" w:cs="Times New Roman"/>
          <w:color w:val="000000" w:themeColor="text1"/>
          <w:sz w:val="23"/>
          <w:szCs w:val="23"/>
          <w:lang w:val="en-US"/>
        </w:rPr>
        <w:t xml:space="preserve"> create, </w:t>
      </w:r>
      <w:r w:rsidR="005F7028">
        <w:rPr>
          <w:rFonts w:ascii="Times New Roman" w:hAnsi="Times New Roman" w:cs="Times New Roman"/>
          <w:color w:val="000000" w:themeColor="text1"/>
          <w:sz w:val="23"/>
          <w:szCs w:val="23"/>
          <w:lang w:val="en-US"/>
        </w:rPr>
        <w:t>o</w:t>
      </w:r>
      <w:r w:rsidR="00910660" w:rsidRPr="00983193">
        <w:rPr>
          <w:rFonts w:ascii="Times New Roman" w:hAnsi="Times New Roman" w:cs="Times New Roman"/>
          <w:color w:val="000000" w:themeColor="text1"/>
          <w:sz w:val="23"/>
          <w:szCs w:val="23"/>
          <w:lang w:val="en-US"/>
        </w:rPr>
        <w:t xml:space="preserve">n average, 2.14 euros </w:t>
      </w:r>
      <w:r w:rsidR="005F7028">
        <w:rPr>
          <w:rFonts w:ascii="Times New Roman" w:hAnsi="Times New Roman" w:cs="Times New Roman"/>
          <w:color w:val="000000" w:themeColor="text1"/>
          <w:sz w:val="23"/>
          <w:szCs w:val="23"/>
          <w:lang w:val="en-US"/>
        </w:rPr>
        <w:t>of firm value for each</w:t>
      </w:r>
      <w:r w:rsidR="00910660" w:rsidRPr="00983193">
        <w:rPr>
          <w:rFonts w:ascii="Times New Roman" w:hAnsi="Times New Roman" w:cs="Times New Roman"/>
          <w:color w:val="000000" w:themeColor="text1"/>
          <w:sz w:val="23"/>
          <w:szCs w:val="23"/>
          <w:lang w:val="en-US"/>
        </w:rPr>
        <w:t xml:space="preserve"> euro invested in the firm.</w:t>
      </w:r>
      <w:r w:rsidR="00CF16B4" w:rsidRPr="00983193">
        <w:rPr>
          <w:rFonts w:ascii="Times New Roman" w:hAnsi="Times New Roman" w:cs="Times New Roman"/>
          <w:color w:val="000000" w:themeColor="text1"/>
          <w:sz w:val="23"/>
          <w:szCs w:val="23"/>
          <w:lang w:val="en-US"/>
        </w:rPr>
        <w:t xml:space="preserve"> </w:t>
      </w:r>
      <w:r w:rsidR="00B31989" w:rsidRPr="00983193">
        <w:rPr>
          <w:rFonts w:ascii="Times New Roman" w:hAnsi="Times New Roman" w:cs="Times New Roman"/>
          <w:color w:val="000000" w:themeColor="text1"/>
          <w:sz w:val="23"/>
          <w:szCs w:val="23"/>
          <w:lang w:val="en-US"/>
        </w:rPr>
        <w:t xml:space="preserve">Table </w:t>
      </w:r>
      <w:r w:rsidR="00AB32CC" w:rsidRPr="00983193">
        <w:rPr>
          <w:rFonts w:ascii="Times New Roman" w:hAnsi="Times New Roman" w:cs="Times New Roman"/>
          <w:color w:val="000000" w:themeColor="text1"/>
          <w:sz w:val="23"/>
          <w:szCs w:val="23"/>
          <w:lang w:val="en-US"/>
        </w:rPr>
        <w:t>IV</w:t>
      </w:r>
      <w:r w:rsidR="00B31989" w:rsidRPr="00983193">
        <w:rPr>
          <w:rFonts w:ascii="Times New Roman" w:hAnsi="Times New Roman" w:cs="Times New Roman"/>
          <w:color w:val="000000" w:themeColor="text1"/>
          <w:sz w:val="23"/>
          <w:szCs w:val="23"/>
          <w:lang w:val="en-US"/>
        </w:rPr>
        <w:t xml:space="preserve"> shows that, on average, </w:t>
      </w:r>
      <w:r w:rsidR="00AB32CC" w:rsidRPr="00983193">
        <w:rPr>
          <w:rFonts w:ascii="Times New Roman" w:hAnsi="Times New Roman" w:cs="Times New Roman"/>
          <w:color w:val="000000" w:themeColor="text1"/>
          <w:sz w:val="23"/>
          <w:szCs w:val="23"/>
          <w:lang w:val="en-US"/>
        </w:rPr>
        <w:t xml:space="preserve">58.20% of the </w:t>
      </w:r>
      <w:r w:rsidR="00B31989" w:rsidRPr="00983193">
        <w:rPr>
          <w:rFonts w:ascii="Times New Roman" w:hAnsi="Times New Roman" w:cs="Times New Roman"/>
          <w:color w:val="000000" w:themeColor="text1"/>
          <w:sz w:val="23"/>
          <w:szCs w:val="23"/>
          <w:lang w:val="en-US"/>
        </w:rPr>
        <w:t xml:space="preserve">sample firms </w:t>
      </w:r>
      <w:r w:rsidR="00AB32CC" w:rsidRPr="00983193">
        <w:rPr>
          <w:rFonts w:ascii="Times New Roman" w:hAnsi="Times New Roman" w:cs="Times New Roman"/>
          <w:color w:val="000000" w:themeColor="text1"/>
          <w:sz w:val="23"/>
          <w:szCs w:val="23"/>
          <w:lang w:val="en-US"/>
        </w:rPr>
        <w:t>register an increase in revenue from</w:t>
      </w:r>
      <w:r w:rsidR="001855D6">
        <w:rPr>
          <w:rFonts w:ascii="Times New Roman" w:hAnsi="Times New Roman" w:cs="Times New Roman"/>
          <w:color w:val="000000" w:themeColor="text1"/>
          <w:sz w:val="23"/>
          <w:szCs w:val="23"/>
          <w:lang w:val="en-US"/>
        </w:rPr>
        <w:t xml:space="preserve"> the</w:t>
      </w:r>
      <w:r w:rsidR="00AB32CC" w:rsidRPr="00983193">
        <w:rPr>
          <w:rFonts w:ascii="Times New Roman" w:hAnsi="Times New Roman" w:cs="Times New Roman"/>
          <w:color w:val="000000" w:themeColor="text1"/>
          <w:sz w:val="23"/>
          <w:szCs w:val="23"/>
          <w:lang w:val="en-US"/>
        </w:rPr>
        <w:t xml:space="preserve"> </w:t>
      </w:r>
      <w:r w:rsidR="00AB32CC" w:rsidRPr="001855D6">
        <w:rPr>
          <w:rFonts w:ascii="Times New Roman" w:hAnsi="Times New Roman" w:cs="Times New Roman"/>
          <w:noProof/>
          <w:color w:val="000000" w:themeColor="text1"/>
          <w:sz w:val="23"/>
          <w:szCs w:val="23"/>
          <w:lang w:val="en-US"/>
        </w:rPr>
        <w:t>previous</w:t>
      </w:r>
      <w:r w:rsidR="00AB32CC" w:rsidRPr="00983193">
        <w:rPr>
          <w:rFonts w:ascii="Times New Roman" w:hAnsi="Times New Roman" w:cs="Times New Roman"/>
          <w:color w:val="000000" w:themeColor="text1"/>
          <w:sz w:val="23"/>
          <w:szCs w:val="23"/>
          <w:lang w:val="en-US"/>
        </w:rPr>
        <w:t xml:space="preserve"> year, suggesting that IC value</w:t>
      </w:r>
      <w:r w:rsidR="00EB7010">
        <w:rPr>
          <w:rFonts w:ascii="Times New Roman" w:hAnsi="Times New Roman" w:cs="Times New Roman"/>
          <w:color w:val="000000" w:themeColor="text1"/>
          <w:sz w:val="23"/>
          <w:szCs w:val="23"/>
          <w:lang w:val="en-US"/>
        </w:rPr>
        <w:t xml:space="preserve"> </w:t>
      </w:r>
      <w:r w:rsidR="00AB32CC" w:rsidRPr="00983193">
        <w:rPr>
          <w:rFonts w:ascii="Times New Roman" w:hAnsi="Times New Roman" w:cs="Times New Roman"/>
          <w:color w:val="000000" w:themeColor="text1"/>
          <w:sz w:val="23"/>
          <w:szCs w:val="23"/>
          <w:lang w:val="en-US"/>
        </w:rPr>
        <w:t xml:space="preserve">contributes to </w:t>
      </w:r>
      <w:r w:rsidR="00AB32CC" w:rsidRPr="001855D6">
        <w:rPr>
          <w:rFonts w:ascii="Times New Roman" w:hAnsi="Times New Roman" w:cs="Times New Roman"/>
          <w:noProof/>
          <w:color w:val="000000" w:themeColor="text1"/>
          <w:sz w:val="23"/>
          <w:szCs w:val="23"/>
          <w:lang w:val="en-US"/>
        </w:rPr>
        <w:t>increas</w:t>
      </w:r>
      <w:r w:rsidR="001855D6" w:rsidRPr="001855D6">
        <w:rPr>
          <w:rFonts w:ascii="Times New Roman" w:hAnsi="Times New Roman" w:cs="Times New Roman"/>
          <w:noProof/>
          <w:color w:val="000000" w:themeColor="text1"/>
          <w:sz w:val="23"/>
          <w:szCs w:val="23"/>
          <w:lang w:val="en-US"/>
        </w:rPr>
        <w:t>ing</w:t>
      </w:r>
      <w:r w:rsidR="00AB32CC" w:rsidRPr="00983193">
        <w:rPr>
          <w:rFonts w:ascii="Times New Roman" w:hAnsi="Times New Roman" w:cs="Times New Roman"/>
          <w:color w:val="000000" w:themeColor="text1"/>
          <w:sz w:val="23"/>
          <w:szCs w:val="23"/>
          <w:lang w:val="en-US"/>
        </w:rPr>
        <w:t xml:space="preserve"> </w:t>
      </w:r>
      <w:r w:rsidR="00EB7010">
        <w:rPr>
          <w:rFonts w:ascii="Times New Roman" w:hAnsi="Times New Roman" w:cs="Times New Roman"/>
          <w:color w:val="000000" w:themeColor="text1"/>
          <w:sz w:val="23"/>
          <w:szCs w:val="23"/>
          <w:lang w:val="en-US"/>
        </w:rPr>
        <w:t xml:space="preserve">firm </w:t>
      </w:r>
      <w:r w:rsidR="00AB32CC" w:rsidRPr="00983193">
        <w:rPr>
          <w:rFonts w:ascii="Times New Roman" w:hAnsi="Times New Roman" w:cs="Times New Roman"/>
          <w:color w:val="000000" w:themeColor="text1"/>
          <w:sz w:val="23"/>
          <w:szCs w:val="23"/>
          <w:lang w:val="en-US"/>
        </w:rPr>
        <w:t xml:space="preserve">revenues. </w:t>
      </w:r>
    </w:p>
    <w:p w14:paraId="25EFAD6B" w14:textId="77777777" w:rsidR="00B31989" w:rsidRPr="00983193" w:rsidRDefault="00B31989" w:rsidP="00B31989">
      <w:pPr>
        <w:spacing w:after="0" w:line="240" w:lineRule="auto"/>
        <w:jc w:val="both"/>
        <w:rPr>
          <w:rFonts w:ascii="Times New Roman" w:hAnsi="Times New Roman" w:cs="Times New Roman"/>
          <w:color w:val="000000" w:themeColor="text1"/>
          <w:sz w:val="23"/>
          <w:szCs w:val="23"/>
          <w:lang w:val="en-US"/>
        </w:rPr>
      </w:pPr>
    </w:p>
    <w:p w14:paraId="76DCA1A2" w14:textId="77777777" w:rsidR="00B31989" w:rsidRDefault="00880A72" w:rsidP="00B31989">
      <w:pPr>
        <w:spacing w:after="0" w:line="240" w:lineRule="auto"/>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6</w:t>
      </w:r>
      <w:r w:rsidR="00B31989" w:rsidRPr="00983193">
        <w:rPr>
          <w:rFonts w:ascii="Times New Roman" w:hAnsi="Times New Roman" w:cs="Times New Roman"/>
          <w:color w:val="000000" w:themeColor="text1"/>
          <w:sz w:val="23"/>
          <w:szCs w:val="23"/>
          <w:lang w:val="en-US"/>
        </w:rPr>
        <w:t>.2 Correlation analysis</w:t>
      </w:r>
    </w:p>
    <w:p w14:paraId="0931B3CC" w14:textId="77777777" w:rsidR="00415DD5" w:rsidRPr="00983193" w:rsidRDefault="00415DD5" w:rsidP="00B31989">
      <w:pPr>
        <w:spacing w:after="0" w:line="240" w:lineRule="auto"/>
        <w:jc w:val="both"/>
        <w:rPr>
          <w:rFonts w:ascii="Times New Roman" w:hAnsi="Times New Roman" w:cs="Times New Roman"/>
          <w:color w:val="000000" w:themeColor="text1"/>
          <w:sz w:val="23"/>
          <w:szCs w:val="23"/>
          <w:lang w:val="en-US"/>
        </w:rPr>
      </w:pPr>
    </w:p>
    <w:p w14:paraId="52CB5AF8" w14:textId="77777777" w:rsidR="00411B60" w:rsidRPr="00983193" w:rsidRDefault="00B31989" w:rsidP="00B31989">
      <w:pPr>
        <w:spacing w:after="0" w:line="240" w:lineRule="auto"/>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Table </w:t>
      </w:r>
      <w:r w:rsidR="00A63FAF">
        <w:rPr>
          <w:rFonts w:ascii="Times New Roman" w:hAnsi="Times New Roman" w:cs="Times New Roman"/>
          <w:color w:val="000000" w:themeColor="text1"/>
          <w:sz w:val="23"/>
          <w:szCs w:val="23"/>
          <w:lang w:val="en-US"/>
        </w:rPr>
        <w:t>I</w:t>
      </w:r>
      <w:r w:rsidRPr="00983193">
        <w:rPr>
          <w:rFonts w:ascii="Times New Roman" w:hAnsi="Times New Roman" w:cs="Times New Roman"/>
          <w:color w:val="000000" w:themeColor="text1"/>
          <w:sz w:val="23"/>
          <w:szCs w:val="23"/>
          <w:lang w:val="en-US"/>
        </w:rPr>
        <w:t>V presents a Pearson correlation matrix</w:t>
      </w:r>
      <w:r w:rsidR="00F7044F">
        <w:rPr>
          <w:rFonts w:ascii="Times New Roman" w:hAnsi="Times New Roman" w:cs="Times New Roman"/>
          <w:color w:val="000000" w:themeColor="text1"/>
          <w:sz w:val="23"/>
          <w:szCs w:val="23"/>
          <w:lang w:val="en-US"/>
        </w:rPr>
        <w:t xml:space="preserve"> for our model variables</w:t>
      </w:r>
      <w:r w:rsidRPr="00983193">
        <w:rPr>
          <w:rFonts w:ascii="Times New Roman" w:hAnsi="Times New Roman" w:cs="Times New Roman"/>
          <w:color w:val="000000" w:themeColor="text1"/>
          <w:sz w:val="23"/>
          <w:szCs w:val="23"/>
          <w:lang w:val="en-US"/>
        </w:rPr>
        <w:t xml:space="preserve">. </w:t>
      </w:r>
      <w:r w:rsidR="000657F3">
        <w:rPr>
          <w:rFonts w:ascii="Times New Roman" w:hAnsi="Times New Roman" w:cs="Times New Roman"/>
          <w:color w:val="000000" w:themeColor="text1"/>
          <w:sz w:val="23"/>
          <w:szCs w:val="23"/>
          <w:lang w:val="en-US"/>
        </w:rPr>
        <w:t>For the M</w:t>
      </w:r>
      <w:r w:rsidR="00692A2D">
        <w:rPr>
          <w:rFonts w:ascii="Times New Roman" w:hAnsi="Times New Roman" w:cs="Times New Roman"/>
          <w:color w:val="000000" w:themeColor="text1"/>
          <w:sz w:val="23"/>
          <w:szCs w:val="23"/>
          <w:lang w:val="en-US"/>
        </w:rPr>
        <w:t>t</w:t>
      </w:r>
      <w:r w:rsidR="000657F3">
        <w:rPr>
          <w:rFonts w:ascii="Times New Roman" w:hAnsi="Times New Roman" w:cs="Times New Roman"/>
          <w:color w:val="000000" w:themeColor="text1"/>
          <w:sz w:val="23"/>
          <w:szCs w:val="23"/>
          <w:lang w:val="en-US"/>
        </w:rPr>
        <w:t>B model, in Equation 1, t</w:t>
      </w:r>
      <w:r w:rsidRPr="00983193">
        <w:rPr>
          <w:rFonts w:ascii="Times New Roman" w:hAnsi="Times New Roman" w:cs="Times New Roman"/>
          <w:color w:val="000000" w:themeColor="text1"/>
          <w:sz w:val="23"/>
          <w:szCs w:val="23"/>
          <w:lang w:val="en-US"/>
        </w:rPr>
        <w:t xml:space="preserve">here is a positive correlation </w:t>
      </w:r>
      <w:r w:rsidR="0087793B" w:rsidRPr="00983193">
        <w:rPr>
          <w:rFonts w:ascii="Times New Roman" w:hAnsi="Times New Roman" w:cs="Times New Roman"/>
          <w:color w:val="000000" w:themeColor="text1"/>
          <w:sz w:val="23"/>
          <w:szCs w:val="23"/>
          <w:lang w:val="en-US"/>
        </w:rPr>
        <w:t xml:space="preserve">between the dependent variable </w:t>
      </w:r>
      <w:r w:rsidR="0087793B" w:rsidRPr="00A53C54">
        <w:rPr>
          <w:rFonts w:ascii="Times New Roman" w:hAnsi="Times New Roman" w:cs="Times New Roman"/>
          <w:i/>
          <w:color w:val="000000" w:themeColor="text1"/>
          <w:sz w:val="23"/>
          <w:szCs w:val="23"/>
          <w:lang w:val="en-US"/>
        </w:rPr>
        <w:t>M</w:t>
      </w:r>
      <w:r w:rsidR="00CA2404">
        <w:rPr>
          <w:rFonts w:ascii="Times New Roman" w:hAnsi="Times New Roman" w:cs="Times New Roman"/>
          <w:i/>
          <w:color w:val="000000" w:themeColor="text1"/>
          <w:sz w:val="23"/>
          <w:szCs w:val="23"/>
          <w:lang w:val="en-US"/>
        </w:rPr>
        <w:t>t</w:t>
      </w:r>
      <w:r w:rsidR="0087793B" w:rsidRPr="00A53C54">
        <w:rPr>
          <w:rFonts w:ascii="Times New Roman" w:hAnsi="Times New Roman" w:cs="Times New Roman"/>
          <w:i/>
          <w:color w:val="000000" w:themeColor="text1"/>
          <w:sz w:val="23"/>
          <w:szCs w:val="23"/>
          <w:lang w:val="en-US"/>
        </w:rPr>
        <w:t>B</w:t>
      </w:r>
      <w:r w:rsidR="0087793B" w:rsidRPr="00983193">
        <w:rPr>
          <w:rFonts w:ascii="Times New Roman" w:hAnsi="Times New Roman" w:cs="Times New Roman"/>
          <w:color w:val="000000" w:themeColor="text1"/>
          <w:sz w:val="23"/>
          <w:szCs w:val="23"/>
          <w:lang w:val="en-US"/>
        </w:rPr>
        <w:t xml:space="preserve"> and</w:t>
      </w:r>
      <w:r w:rsidRPr="00983193">
        <w:rPr>
          <w:rFonts w:ascii="Times New Roman" w:hAnsi="Times New Roman" w:cs="Times New Roman"/>
          <w:color w:val="000000" w:themeColor="text1"/>
          <w:sz w:val="23"/>
          <w:szCs w:val="23"/>
          <w:lang w:val="en-US"/>
        </w:rPr>
        <w:t xml:space="preserve"> </w:t>
      </w:r>
      <w:r w:rsidR="00701A83" w:rsidRPr="00A53C54">
        <w:rPr>
          <w:rFonts w:ascii="Times New Roman" w:hAnsi="Times New Roman" w:cs="Times New Roman"/>
          <w:i/>
          <w:noProof/>
          <w:color w:val="000000" w:themeColor="text1"/>
          <w:sz w:val="23"/>
          <w:szCs w:val="23"/>
          <w:lang w:val="en-US"/>
        </w:rPr>
        <w:t>lnTINT</w:t>
      </w:r>
      <w:r w:rsidR="00701A83" w:rsidRPr="00983193">
        <w:rPr>
          <w:rFonts w:ascii="Times New Roman" w:hAnsi="Times New Roman" w:cs="Times New Roman"/>
          <w:color w:val="000000" w:themeColor="text1"/>
          <w:sz w:val="23"/>
          <w:szCs w:val="23"/>
          <w:lang w:val="en-US"/>
        </w:rPr>
        <w:t xml:space="preserve"> (0.121, p=0.000)</w:t>
      </w:r>
      <w:r w:rsidR="0087793B" w:rsidRPr="00983193">
        <w:rPr>
          <w:rFonts w:ascii="Times New Roman" w:hAnsi="Times New Roman" w:cs="Times New Roman"/>
          <w:color w:val="000000" w:themeColor="text1"/>
          <w:sz w:val="23"/>
          <w:szCs w:val="23"/>
          <w:lang w:val="en-US"/>
        </w:rPr>
        <w:t xml:space="preserve">, and </w:t>
      </w:r>
      <w:r w:rsidR="0087793B" w:rsidRPr="00A53C54">
        <w:rPr>
          <w:rFonts w:ascii="Times New Roman" w:hAnsi="Times New Roman" w:cs="Times New Roman"/>
          <w:i/>
          <w:color w:val="000000" w:themeColor="text1"/>
          <w:sz w:val="23"/>
          <w:szCs w:val="23"/>
          <w:lang w:val="en-US"/>
        </w:rPr>
        <w:t>LEV</w:t>
      </w:r>
      <w:r w:rsidR="0087793B" w:rsidRPr="00983193">
        <w:rPr>
          <w:rFonts w:ascii="Times New Roman" w:hAnsi="Times New Roman" w:cs="Times New Roman"/>
          <w:color w:val="000000" w:themeColor="text1"/>
          <w:sz w:val="23"/>
          <w:szCs w:val="23"/>
          <w:lang w:val="en-US"/>
        </w:rPr>
        <w:t xml:space="preserve"> (0.358, p=0.000), while it is </w:t>
      </w:r>
      <w:r w:rsidR="00F7044F">
        <w:rPr>
          <w:rFonts w:ascii="Times New Roman" w:hAnsi="Times New Roman" w:cs="Times New Roman"/>
          <w:color w:val="000000" w:themeColor="text1"/>
          <w:sz w:val="23"/>
          <w:szCs w:val="23"/>
          <w:lang w:val="en-US"/>
        </w:rPr>
        <w:t xml:space="preserve">positive and </w:t>
      </w:r>
      <w:r w:rsidR="0087793B" w:rsidRPr="00983193">
        <w:rPr>
          <w:rFonts w:ascii="Times New Roman" w:hAnsi="Times New Roman" w:cs="Times New Roman"/>
          <w:color w:val="000000" w:themeColor="text1"/>
          <w:sz w:val="23"/>
          <w:szCs w:val="23"/>
          <w:lang w:val="en-US"/>
        </w:rPr>
        <w:t xml:space="preserve">weak </w:t>
      </w:r>
      <w:r w:rsidR="00F7044F">
        <w:rPr>
          <w:rFonts w:ascii="Times New Roman" w:hAnsi="Times New Roman" w:cs="Times New Roman"/>
          <w:color w:val="000000" w:themeColor="text1"/>
          <w:sz w:val="23"/>
          <w:szCs w:val="23"/>
          <w:lang w:val="en-US"/>
        </w:rPr>
        <w:t>in relation to</w:t>
      </w:r>
      <w:r w:rsidR="00F7044F" w:rsidRPr="00983193">
        <w:rPr>
          <w:rFonts w:ascii="Times New Roman" w:hAnsi="Times New Roman" w:cs="Times New Roman"/>
          <w:color w:val="000000" w:themeColor="text1"/>
          <w:sz w:val="23"/>
          <w:szCs w:val="23"/>
          <w:lang w:val="en-US"/>
        </w:rPr>
        <w:t xml:space="preserve"> </w:t>
      </w:r>
      <w:r w:rsidR="0087793B" w:rsidRPr="00A53C54">
        <w:rPr>
          <w:rFonts w:ascii="Times New Roman" w:hAnsi="Times New Roman" w:cs="Times New Roman"/>
          <w:i/>
          <w:color w:val="000000" w:themeColor="text1"/>
          <w:sz w:val="23"/>
          <w:szCs w:val="23"/>
          <w:lang w:val="en-US"/>
        </w:rPr>
        <w:t>GROWTH</w:t>
      </w:r>
      <w:r w:rsidR="0087793B" w:rsidRPr="00983193">
        <w:rPr>
          <w:rFonts w:ascii="Times New Roman" w:hAnsi="Times New Roman" w:cs="Times New Roman"/>
          <w:color w:val="000000" w:themeColor="text1"/>
          <w:sz w:val="23"/>
          <w:szCs w:val="23"/>
          <w:lang w:val="en-US"/>
        </w:rPr>
        <w:t xml:space="preserve"> (0.096, p=0.009). A </w:t>
      </w:r>
      <w:r w:rsidRPr="00983193">
        <w:rPr>
          <w:rFonts w:ascii="Times New Roman" w:hAnsi="Times New Roman" w:cs="Times New Roman"/>
          <w:color w:val="000000" w:themeColor="text1"/>
          <w:sz w:val="23"/>
          <w:szCs w:val="23"/>
          <w:lang w:val="en-US"/>
        </w:rPr>
        <w:t xml:space="preserve">negative correlation exists between </w:t>
      </w:r>
      <w:r w:rsidR="006C1B92">
        <w:rPr>
          <w:rFonts w:ascii="Times New Roman" w:hAnsi="Times New Roman" w:cs="Times New Roman"/>
          <w:i/>
          <w:color w:val="000000" w:themeColor="text1"/>
          <w:sz w:val="23"/>
          <w:szCs w:val="23"/>
          <w:lang w:val="en-US"/>
        </w:rPr>
        <w:t>Mt</w:t>
      </w:r>
      <w:r w:rsidRPr="00A53C54">
        <w:rPr>
          <w:rFonts w:ascii="Times New Roman" w:hAnsi="Times New Roman" w:cs="Times New Roman"/>
          <w:i/>
          <w:color w:val="000000" w:themeColor="text1"/>
          <w:sz w:val="23"/>
          <w:szCs w:val="23"/>
          <w:lang w:val="en-US"/>
        </w:rPr>
        <w:t>B</w:t>
      </w:r>
      <w:r w:rsidRPr="00983193">
        <w:rPr>
          <w:rFonts w:ascii="Times New Roman" w:hAnsi="Times New Roman" w:cs="Times New Roman"/>
          <w:color w:val="000000" w:themeColor="text1"/>
          <w:sz w:val="23"/>
          <w:szCs w:val="23"/>
          <w:lang w:val="en-US"/>
        </w:rPr>
        <w:t xml:space="preserve"> and </w:t>
      </w:r>
      <w:r w:rsidR="00852BA8" w:rsidRPr="00A53C54">
        <w:rPr>
          <w:rFonts w:ascii="Times New Roman" w:hAnsi="Times New Roman" w:cs="Times New Roman"/>
          <w:i/>
          <w:color w:val="000000" w:themeColor="text1"/>
          <w:sz w:val="23"/>
          <w:szCs w:val="23"/>
          <w:lang w:val="en-US"/>
        </w:rPr>
        <w:t>SIZE</w:t>
      </w:r>
      <w:r w:rsidR="00852BA8" w:rsidRPr="00983193">
        <w:rPr>
          <w:rFonts w:ascii="Times New Roman" w:hAnsi="Times New Roman" w:cs="Times New Roman"/>
          <w:color w:val="000000" w:themeColor="text1"/>
          <w:sz w:val="23"/>
          <w:szCs w:val="23"/>
          <w:lang w:val="en-US"/>
        </w:rPr>
        <w:t xml:space="preserve"> (-0.156, p=0.000), and </w:t>
      </w:r>
      <w:r w:rsidR="00F7044F">
        <w:rPr>
          <w:rFonts w:ascii="Times New Roman" w:hAnsi="Times New Roman" w:cs="Times New Roman"/>
          <w:color w:val="000000" w:themeColor="text1"/>
          <w:sz w:val="23"/>
          <w:szCs w:val="23"/>
          <w:lang w:val="en-US"/>
        </w:rPr>
        <w:t>firm</w:t>
      </w:r>
      <w:r w:rsidR="00F7044F" w:rsidRPr="00983193">
        <w:rPr>
          <w:rFonts w:ascii="Times New Roman" w:hAnsi="Times New Roman" w:cs="Times New Roman"/>
          <w:color w:val="000000" w:themeColor="text1"/>
          <w:sz w:val="23"/>
          <w:szCs w:val="23"/>
          <w:lang w:val="en-US"/>
        </w:rPr>
        <w:t xml:space="preserve"> </w:t>
      </w:r>
      <w:r w:rsidR="00852BA8" w:rsidRPr="00983193">
        <w:rPr>
          <w:rFonts w:ascii="Times New Roman" w:hAnsi="Times New Roman" w:cs="Times New Roman"/>
          <w:color w:val="000000" w:themeColor="text1"/>
          <w:sz w:val="23"/>
          <w:szCs w:val="23"/>
          <w:lang w:val="en-US"/>
        </w:rPr>
        <w:t>age (</w:t>
      </w:r>
      <w:r w:rsidR="00852BA8" w:rsidRPr="00A53C54">
        <w:rPr>
          <w:rFonts w:ascii="Times New Roman" w:hAnsi="Times New Roman" w:cs="Times New Roman"/>
          <w:i/>
          <w:noProof/>
          <w:color w:val="000000" w:themeColor="text1"/>
          <w:sz w:val="23"/>
          <w:szCs w:val="23"/>
          <w:lang w:val="en-US"/>
        </w:rPr>
        <w:t>lnAGE</w:t>
      </w:r>
      <w:r w:rsidR="00852BA8" w:rsidRPr="00983193">
        <w:rPr>
          <w:rFonts w:ascii="Times New Roman" w:hAnsi="Times New Roman" w:cs="Times New Roman"/>
          <w:color w:val="000000" w:themeColor="text1"/>
          <w:sz w:val="23"/>
          <w:szCs w:val="23"/>
          <w:lang w:val="en-US"/>
        </w:rPr>
        <w:t xml:space="preserve">) (-0.263, p= 0.000). </w:t>
      </w:r>
      <w:r w:rsidRPr="00983193">
        <w:rPr>
          <w:rFonts w:ascii="Times New Roman" w:hAnsi="Times New Roman" w:cs="Times New Roman"/>
          <w:color w:val="000000" w:themeColor="text1"/>
          <w:sz w:val="23"/>
          <w:szCs w:val="23"/>
          <w:lang w:val="en-US"/>
        </w:rPr>
        <w:t xml:space="preserve">The </w:t>
      </w:r>
      <w:r w:rsidR="00394498" w:rsidRPr="00983193">
        <w:rPr>
          <w:rFonts w:ascii="Times New Roman" w:hAnsi="Times New Roman" w:cs="Times New Roman"/>
          <w:color w:val="000000" w:themeColor="text1"/>
          <w:sz w:val="23"/>
          <w:szCs w:val="23"/>
          <w:lang w:val="en-US"/>
        </w:rPr>
        <w:t>moderate</w:t>
      </w:r>
      <w:r w:rsidRPr="00983193">
        <w:rPr>
          <w:rFonts w:ascii="Times New Roman" w:hAnsi="Times New Roman" w:cs="Times New Roman"/>
          <w:color w:val="000000" w:themeColor="text1"/>
          <w:sz w:val="23"/>
          <w:szCs w:val="23"/>
          <w:lang w:val="en-US"/>
        </w:rPr>
        <w:t xml:space="preserve"> negative correlation between </w:t>
      </w:r>
      <w:r w:rsidR="006C1B92">
        <w:rPr>
          <w:rFonts w:ascii="Times New Roman" w:hAnsi="Times New Roman" w:cs="Times New Roman"/>
          <w:i/>
          <w:color w:val="000000" w:themeColor="text1"/>
          <w:sz w:val="23"/>
          <w:szCs w:val="23"/>
          <w:lang w:val="en-US"/>
        </w:rPr>
        <w:t>Mt</w:t>
      </w:r>
      <w:r w:rsidRPr="00A53C54">
        <w:rPr>
          <w:rFonts w:ascii="Times New Roman" w:hAnsi="Times New Roman" w:cs="Times New Roman"/>
          <w:i/>
          <w:color w:val="000000" w:themeColor="text1"/>
          <w:sz w:val="23"/>
          <w:szCs w:val="23"/>
          <w:lang w:val="en-US"/>
        </w:rPr>
        <w:t>B</w:t>
      </w:r>
      <w:r w:rsidRPr="00983193">
        <w:rPr>
          <w:rFonts w:ascii="Times New Roman" w:hAnsi="Times New Roman" w:cs="Times New Roman"/>
          <w:color w:val="000000" w:themeColor="text1"/>
          <w:sz w:val="23"/>
          <w:szCs w:val="23"/>
          <w:lang w:val="en-US"/>
        </w:rPr>
        <w:t xml:space="preserve"> and </w:t>
      </w:r>
      <w:r w:rsidRPr="00A53C54">
        <w:rPr>
          <w:rFonts w:ascii="Times New Roman" w:hAnsi="Times New Roman" w:cs="Times New Roman"/>
          <w:i/>
          <w:color w:val="000000" w:themeColor="text1"/>
          <w:sz w:val="23"/>
          <w:szCs w:val="23"/>
          <w:lang w:val="en-US"/>
        </w:rPr>
        <w:t>AGE</w:t>
      </w:r>
      <w:r w:rsidRPr="00983193">
        <w:rPr>
          <w:rFonts w:ascii="Times New Roman" w:hAnsi="Times New Roman" w:cs="Times New Roman"/>
          <w:color w:val="000000" w:themeColor="text1"/>
          <w:sz w:val="23"/>
          <w:szCs w:val="23"/>
          <w:lang w:val="en-US"/>
        </w:rPr>
        <w:t xml:space="preserve"> may be explained </w:t>
      </w:r>
      <w:r w:rsidR="00F7044F">
        <w:rPr>
          <w:rFonts w:ascii="Times New Roman" w:hAnsi="Times New Roman" w:cs="Times New Roman"/>
          <w:color w:val="000000" w:themeColor="text1"/>
          <w:sz w:val="23"/>
          <w:szCs w:val="23"/>
          <w:lang w:val="en-US"/>
        </w:rPr>
        <w:t>by firms</w:t>
      </w:r>
      <w:r w:rsidRPr="00983193">
        <w:rPr>
          <w:rFonts w:ascii="Times New Roman" w:hAnsi="Times New Roman" w:cs="Times New Roman"/>
          <w:color w:val="000000" w:themeColor="text1"/>
          <w:sz w:val="23"/>
          <w:szCs w:val="23"/>
          <w:lang w:val="en-US"/>
        </w:rPr>
        <w:t xml:space="preserve"> incur</w:t>
      </w:r>
      <w:r w:rsidR="00F7044F">
        <w:rPr>
          <w:rFonts w:ascii="Times New Roman" w:hAnsi="Times New Roman" w:cs="Times New Roman"/>
          <w:color w:val="000000" w:themeColor="text1"/>
          <w:sz w:val="23"/>
          <w:szCs w:val="23"/>
          <w:lang w:val="en-US"/>
        </w:rPr>
        <w:t>ring</w:t>
      </w:r>
      <w:r w:rsidRPr="00983193">
        <w:rPr>
          <w:rFonts w:ascii="Times New Roman" w:hAnsi="Times New Roman" w:cs="Times New Roman"/>
          <w:color w:val="000000" w:themeColor="text1"/>
          <w:sz w:val="23"/>
          <w:szCs w:val="23"/>
          <w:lang w:val="en-US"/>
        </w:rPr>
        <w:t xml:space="preserve"> structural and process-related rigidities that are difficult to discard </w:t>
      </w:r>
      <w:r w:rsidR="00F7044F">
        <w:rPr>
          <w:rFonts w:ascii="Times New Roman" w:hAnsi="Times New Roman" w:cs="Times New Roman"/>
          <w:color w:val="000000" w:themeColor="text1"/>
          <w:sz w:val="23"/>
          <w:szCs w:val="23"/>
          <w:lang w:val="en-US"/>
        </w:rPr>
        <w:t xml:space="preserve">as they age </w:t>
      </w:r>
      <w:r w:rsidRPr="00983193">
        <w:rPr>
          <w:rFonts w:ascii="Times New Roman" w:hAnsi="Times New Roman" w:cs="Times New Roman"/>
          <w:color w:val="000000" w:themeColor="text1"/>
          <w:sz w:val="23"/>
          <w:szCs w:val="23"/>
          <w:lang w:val="en-US"/>
        </w:rPr>
        <w:t>(Loderer and Waelchli, 2010; Leonard-Barton, 1992). Finally, to test for potential multicollinearity issues, a Variance Inflation Factors, though not reported, was computed for all of the variables, however finding that the statistics are well below the threshold of 2 in each case</w:t>
      </w:r>
      <w:r w:rsidR="00C87DA9" w:rsidRPr="00983193">
        <w:rPr>
          <w:rFonts w:ascii="Times New Roman" w:hAnsi="Times New Roman" w:cs="Times New Roman"/>
          <w:color w:val="000000" w:themeColor="text1"/>
          <w:sz w:val="23"/>
          <w:szCs w:val="23"/>
          <w:lang w:val="en-US"/>
        </w:rPr>
        <w:t xml:space="preserve"> and in equations 1 and 2</w:t>
      </w:r>
      <w:r w:rsidRPr="00983193">
        <w:rPr>
          <w:rFonts w:ascii="Times New Roman" w:hAnsi="Times New Roman" w:cs="Times New Roman"/>
          <w:color w:val="000000" w:themeColor="text1"/>
          <w:sz w:val="23"/>
          <w:szCs w:val="23"/>
          <w:lang w:val="en-US"/>
        </w:rPr>
        <w:t xml:space="preserve">. </w:t>
      </w:r>
    </w:p>
    <w:p w14:paraId="5E6DCF55" w14:textId="77777777" w:rsidR="007734A2" w:rsidRDefault="007734A2" w:rsidP="00B31989">
      <w:pPr>
        <w:spacing w:after="0" w:line="240" w:lineRule="auto"/>
        <w:jc w:val="both"/>
        <w:rPr>
          <w:rFonts w:ascii="Times New Roman" w:hAnsi="Times New Roman" w:cs="Times New Roman"/>
          <w:color w:val="000000" w:themeColor="text1"/>
          <w:sz w:val="23"/>
          <w:szCs w:val="23"/>
          <w:lang w:val="en-US"/>
        </w:rPr>
      </w:pPr>
    </w:p>
    <w:p w14:paraId="35B7D7A8" w14:textId="77777777" w:rsidR="007734A2" w:rsidRPr="00A53C54" w:rsidRDefault="007734A2" w:rsidP="00A53C54">
      <w:pPr>
        <w:spacing w:after="0" w:line="240" w:lineRule="auto"/>
        <w:jc w:val="center"/>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t xml:space="preserve">[Insert Table </w:t>
      </w:r>
      <w:r w:rsidR="009312D0">
        <w:rPr>
          <w:rFonts w:ascii="Times New Roman" w:hAnsi="Times New Roman" w:cs="Times New Roman"/>
          <w:b/>
          <w:color w:val="000000" w:themeColor="text1"/>
          <w:sz w:val="23"/>
          <w:szCs w:val="23"/>
          <w:lang w:val="en-US"/>
        </w:rPr>
        <w:t>I</w:t>
      </w:r>
      <w:r w:rsidRPr="00A53C54">
        <w:rPr>
          <w:rFonts w:ascii="Times New Roman" w:hAnsi="Times New Roman" w:cs="Times New Roman"/>
          <w:b/>
          <w:color w:val="000000" w:themeColor="text1"/>
          <w:sz w:val="23"/>
          <w:szCs w:val="23"/>
          <w:lang w:val="en-US"/>
        </w:rPr>
        <w:t>V here]</w:t>
      </w:r>
    </w:p>
    <w:p w14:paraId="68D91175" w14:textId="77777777" w:rsidR="007734A2" w:rsidRDefault="007734A2" w:rsidP="00B31989">
      <w:pPr>
        <w:spacing w:after="0" w:line="240" w:lineRule="auto"/>
        <w:jc w:val="both"/>
        <w:rPr>
          <w:rFonts w:ascii="Times New Roman" w:hAnsi="Times New Roman" w:cs="Times New Roman"/>
          <w:color w:val="000000" w:themeColor="text1"/>
          <w:sz w:val="23"/>
          <w:szCs w:val="23"/>
          <w:lang w:val="en-US"/>
        </w:rPr>
      </w:pPr>
    </w:p>
    <w:p w14:paraId="6A7FB601" w14:textId="77777777" w:rsidR="00B31989" w:rsidRPr="00983193" w:rsidRDefault="00415DD5" w:rsidP="00B31989">
      <w:pPr>
        <w:spacing w:after="0" w:line="240" w:lineRule="auto"/>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411B60" w:rsidRPr="00983193">
        <w:rPr>
          <w:rFonts w:ascii="Times New Roman" w:hAnsi="Times New Roman" w:cs="Times New Roman"/>
          <w:color w:val="000000" w:themeColor="text1"/>
          <w:sz w:val="23"/>
          <w:szCs w:val="23"/>
          <w:lang w:val="en-US"/>
        </w:rPr>
        <w:t xml:space="preserve">For the </w:t>
      </w:r>
      <w:r w:rsidR="000657F3">
        <w:rPr>
          <w:rFonts w:ascii="Times New Roman" w:hAnsi="Times New Roman" w:cs="Times New Roman"/>
          <w:color w:val="000000" w:themeColor="text1"/>
          <w:sz w:val="23"/>
          <w:szCs w:val="23"/>
          <w:lang w:val="en-US"/>
        </w:rPr>
        <w:t>VAIC model in E</w:t>
      </w:r>
      <w:r w:rsidR="00411B60" w:rsidRPr="00983193">
        <w:rPr>
          <w:rFonts w:ascii="Times New Roman" w:hAnsi="Times New Roman" w:cs="Times New Roman"/>
          <w:color w:val="000000" w:themeColor="text1"/>
          <w:sz w:val="23"/>
          <w:szCs w:val="23"/>
          <w:lang w:val="en-US"/>
        </w:rPr>
        <w:t>quation 2 (using the VAIC as</w:t>
      </w:r>
      <w:r w:rsidR="001855D6">
        <w:rPr>
          <w:rFonts w:ascii="Times New Roman" w:hAnsi="Times New Roman" w:cs="Times New Roman"/>
          <w:color w:val="000000" w:themeColor="text1"/>
          <w:sz w:val="23"/>
          <w:szCs w:val="23"/>
          <w:lang w:val="en-US"/>
        </w:rPr>
        <w:t xml:space="preserve"> the</w:t>
      </w:r>
      <w:r w:rsidR="00411B60" w:rsidRPr="00983193">
        <w:rPr>
          <w:rFonts w:ascii="Times New Roman" w:hAnsi="Times New Roman" w:cs="Times New Roman"/>
          <w:color w:val="000000" w:themeColor="text1"/>
          <w:sz w:val="23"/>
          <w:szCs w:val="23"/>
          <w:lang w:val="en-US"/>
        </w:rPr>
        <w:t xml:space="preserve"> </w:t>
      </w:r>
      <w:r w:rsidR="00411B60" w:rsidRPr="001855D6">
        <w:rPr>
          <w:rFonts w:ascii="Times New Roman" w:hAnsi="Times New Roman" w:cs="Times New Roman"/>
          <w:noProof/>
          <w:color w:val="000000" w:themeColor="text1"/>
          <w:sz w:val="23"/>
          <w:szCs w:val="23"/>
          <w:lang w:val="en-US"/>
        </w:rPr>
        <w:t>dependent</w:t>
      </w:r>
      <w:r w:rsidR="00411B60" w:rsidRPr="00983193">
        <w:rPr>
          <w:rFonts w:ascii="Times New Roman" w:hAnsi="Times New Roman" w:cs="Times New Roman"/>
          <w:color w:val="000000" w:themeColor="text1"/>
          <w:sz w:val="23"/>
          <w:szCs w:val="23"/>
          <w:lang w:val="en-US"/>
        </w:rPr>
        <w:t xml:space="preserve"> variable) </w:t>
      </w:r>
      <w:r w:rsidR="00D322AC" w:rsidRPr="00983193">
        <w:rPr>
          <w:rFonts w:ascii="Times New Roman" w:hAnsi="Times New Roman" w:cs="Times New Roman"/>
          <w:color w:val="000000" w:themeColor="text1"/>
          <w:sz w:val="23"/>
          <w:szCs w:val="23"/>
          <w:lang w:val="en-US"/>
        </w:rPr>
        <w:t xml:space="preserve">Table V shows a </w:t>
      </w:r>
      <w:r w:rsidR="004259FD" w:rsidRPr="00983193">
        <w:rPr>
          <w:rFonts w:ascii="Times New Roman" w:hAnsi="Times New Roman" w:cs="Times New Roman"/>
          <w:color w:val="000000" w:themeColor="text1"/>
          <w:sz w:val="23"/>
          <w:szCs w:val="23"/>
          <w:lang w:val="en-US"/>
        </w:rPr>
        <w:t xml:space="preserve">moderate positive correlation between the dependent </w:t>
      </w:r>
      <w:r w:rsidR="004259FD" w:rsidRPr="00A53C54">
        <w:rPr>
          <w:rFonts w:ascii="Times New Roman" w:hAnsi="Times New Roman" w:cs="Times New Roman"/>
          <w:i/>
          <w:color w:val="000000" w:themeColor="text1"/>
          <w:sz w:val="23"/>
          <w:szCs w:val="23"/>
          <w:lang w:val="en-US"/>
        </w:rPr>
        <w:t>VAIC</w:t>
      </w:r>
      <w:r w:rsidR="004259FD" w:rsidRPr="00983193">
        <w:rPr>
          <w:rFonts w:ascii="Times New Roman" w:hAnsi="Times New Roman" w:cs="Times New Roman"/>
          <w:color w:val="000000" w:themeColor="text1"/>
          <w:sz w:val="23"/>
          <w:szCs w:val="23"/>
          <w:lang w:val="en-US"/>
        </w:rPr>
        <w:t xml:space="preserve"> and the independents </w:t>
      </w:r>
      <w:r w:rsidR="004259FD" w:rsidRPr="00A53C54">
        <w:rPr>
          <w:rFonts w:ascii="Times New Roman" w:hAnsi="Times New Roman" w:cs="Times New Roman"/>
          <w:i/>
          <w:color w:val="000000" w:themeColor="text1"/>
          <w:sz w:val="23"/>
          <w:szCs w:val="23"/>
          <w:lang w:val="en-US"/>
        </w:rPr>
        <w:t>ROA</w:t>
      </w:r>
      <w:r w:rsidR="004259FD" w:rsidRPr="00983193">
        <w:rPr>
          <w:rFonts w:ascii="Times New Roman" w:hAnsi="Times New Roman" w:cs="Times New Roman"/>
          <w:color w:val="000000" w:themeColor="text1"/>
          <w:sz w:val="23"/>
          <w:szCs w:val="23"/>
          <w:lang w:val="en-US"/>
        </w:rPr>
        <w:t xml:space="preserve"> (0.203, p=0.000) and </w:t>
      </w:r>
      <w:r w:rsidR="004259FD" w:rsidRPr="00A53C54">
        <w:rPr>
          <w:rFonts w:ascii="Times New Roman" w:hAnsi="Times New Roman" w:cs="Times New Roman"/>
          <w:i/>
          <w:color w:val="000000" w:themeColor="text1"/>
          <w:sz w:val="23"/>
          <w:szCs w:val="23"/>
          <w:lang w:val="en-US"/>
        </w:rPr>
        <w:t>SIZE</w:t>
      </w:r>
      <w:r w:rsidR="004259FD" w:rsidRPr="00983193">
        <w:rPr>
          <w:rFonts w:ascii="Times New Roman" w:hAnsi="Times New Roman" w:cs="Times New Roman"/>
          <w:color w:val="000000" w:themeColor="text1"/>
          <w:sz w:val="23"/>
          <w:szCs w:val="23"/>
          <w:lang w:val="en-US"/>
        </w:rPr>
        <w:t xml:space="preserve"> (0.106, p=0.004)</w:t>
      </w:r>
      <w:r w:rsidR="007C5638" w:rsidRPr="00983193">
        <w:rPr>
          <w:rFonts w:ascii="Times New Roman" w:hAnsi="Times New Roman" w:cs="Times New Roman"/>
          <w:color w:val="000000" w:themeColor="text1"/>
          <w:sz w:val="23"/>
          <w:szCs w:val="23"/>
          <w:lang w:val="en-US"/>
        </w:rPr>
        <w:t xml:space="preserve">. </w:t>
      </w:r>
      <w:r w:rsidR="003839BF" w:rsidRPr="00983193">
        <w:rPr>
          <w:rFonts w:ascii="Times New Roman" w:hAnsi="Times New Roman" w:cs="Times New Roman"/>
          <w:color w:val="000000" w:themeColor="text1"/>
          <w:sz w:val="23"/>
          <w:szCs w:val="23"/>
          <w:lang w:val="en-US"/>
        </w:rPr>
        <w:t xml:space="preserve">The correlation is </w:t>
      </w:r>
      <w:r w:rsidR="00A769F7">
        <w:rPr>
          <w:rFonts w:ascii="Times New Roman" w:hAnsi="Times New Roman" w:cs="Times New Roman"/>
          <w:color w:val="000000" w:themeColor="text1"/>
          <w:sz w:val="23"/>
          <w:szCs w:val="23"/>
          <w:lang w:val="en-US"/>
        </w:rPr>
        <w:t>in</w:t>
      </w:r>
      <w:r w:rsidR="003839BF" w:rsidRPr="00983193">
        <w:rPr>
          <w:rFonts w:ascii="Times New Roman" w:hAnsi="Times New Roman" w:cs="Times New Roman"/>
          <w:color w:val="000000" w:themeColor="text1"/>
          <w:sz w:val="23"/>
          <w:szCs w:val="23"/>
          <w:lang w:val="en-US"/>
        </w:rPr>
        <w:t xml:space="preserve">significant </w:t>
      </w:r>
      <w:r w:rsidR="00A769F7">
        <w:rPr>
          <w:rFonts w:ascii="Times New Roman" w:hAnsi="Times New Roman" w:cs="Times New Roman"/>
          <w:color w:val="000000" w:themeColor="text1"/>
          <w:sz w:val="23"/>
          <w:szCs w:val="23"/>
          <w:lang w:val="en-US"/>
        </w:rPr>
        <w:t>between</w:t>
      </w:r>
      <w:r w:rsidR="00A769F7" w:rsidRPr="00983193">
        <w:rPr>
          <w:rFonts w:ascii="Times New Roman" w:hAnsi="Times New Roman" w:cs="Times New Roman"/>
          <w:color w:val="000000" w:themeColor="text1"/>
          <w:sz w:val="23"/>
          <w:szCs w:val="23"/>
          <w:lang w:val="en-US"/>
        </w:rPr>
        <w:t xml:space="preserve"> </w:t>
      </w:r>
      <w:r w:rsidR="003839BF" w:rsidRPr="00A53C54">
        <w:rPr>
          <w:rFonts w:ascii="Times New Roman" w:hAnsi="Times New Roman" w:cs="Times New Roman"/>
          <w:i/>
          <w:color w:val="000000" w:themeColor="text1"/>
          <w:sz w:val="23"/>
          <w:szCs w:val="23"/>
          <w:lang w:val="en-US"/>
        </w:rPr>
        <w:t>VAIC</w:t>
      </w:r>
      <w:r w:rsidR="003839BF" w:rsidRPr="00983193">
        <w:rPr>
          <w:rFonts w:ascii="Times New Roman" w:hAnsi="Times New Roman" w:cs="Times New Roman"/>
          <w:color w:val="000000" w:themeColor="text1"/>
          <w:sz w:val="23"/>
          <w:szCs w:val="23"/>
          <w:lang w:val="en-US"/>
        </w:rPr>
        <w:t xml:space="preserve"> and the other </w:t>
      </w:r>
      <w:r w:rsidR="003839BF" w:rsidRPr="001855D6">
        <w:rPr>
          <w:rFonts w:ascii="Times New Roman" w:hAnsi="Times New Roman" w:cs="Times New Roman"/>
          <w:noProof/>
          <w:color w:val="000000" w:themeColor="text1"/>
          <w:sz w:val="23"/>
          <w:szCs w:val="23"/>
          <w:lang w:val="en-US"/>
        </w:rPr>
        <w:t>independent</w:t>
      </w:r>
      <w:r w:rsidR="003839BF" w:rsidRPr="00983193">
        <w:rPr>
          <w:rFonts w:ascii="Times New Roman" w:hAnsi="Times New Roman" w:cs="Times New Roman"/>
          <w:color w:val="000000" w:themeColor="text1"/>
          <w:sz w:val="23"/>
          <w:szCs w:val="23"/>
          <w:lang w:val="en-US"/>
        </w:rPr>
        <w:t xml:space="preserve"> variables. </w:t>
      </w:r>
      <w:r w:rsidR="007C5638" w:rsidRPr="00983193">
        <w:rPr>
          <w:rFonts w:ascii="Times New Roman" w:hAnsi="Times New Roman" w:cs="Times New Roman"/>
          <w:color w:val="000000" w:themeColor="text1"/>
          <w:sz w:val="23"/>
          <w:szCs w:val="23"/>
          <w:lang w:val="en-US"/>
        </w:rPr>
        <w:t xml:space="preserve">These </w:t>
      </w:r>
      <w:r w:rsidR="000F5B50" w:rsidRPr="00983193">
        <w:rPr>
          <w:rFonts w:ascii="Times New Roman" w:hAnsi="Times New Roman" w:cs="Times New Roman"/>
          <w:color w:val="000000" w:themeColor="text1"/>
          <w:sz w:val="23"/>
          <w:szCs w:val="23"/>
          <w:lang w:val="en-US"/>
        </w:rPr>
        <w:t>findings show</w:t>
      </w:r>
      <w:r w:rsidR="007C5638" w:rsidRPr="00983193">
        <w:rPr>
          <w:rFonts w:ascii="Times New Roman" w:hAnsi="Times New Roman" w:cs="Times New Roman"/>
          <w:color w:val="000000" w:themeColor="text1"/>
          <w:sz w:val="23"/>
          <w:szCs w:val="23"/>
          <w:lang w:val="en-US"/>
        </w:rPr>
        <w:t xml:space="preserve"> that </w:t>
      </w:r>
      <w:r w:rsidR="000F5B50" w:rsidRPr="00983193">
        <w:rPr>
          <w:rFonts w:ascii="Times New Roman" w:hAnsi="Times New Roman" w:cs="Times New Roman"/>
          <w:color w:val="000000" w:themeColor="text1"/>
          <w:sz w:val="23"/>
          <w:szCs w:val="23"/>
          <w:lang w:val="en-US"/>
        </w:rPr>
        <w:t xml:space="preserve">while </w:t>
      </w:r>
      <w:r w:rsidR="006C1B92">
        <w:rPr>
          <w:rFonts w:ascii="Times New Roman" w:hAnsi="Times New Roman" w:cs="Times New Roman"/>
          <w:i/>
          <w:color w:val="000000" w:themeColor="text1"/>
          <w:sz w:val="23"/>
          <w:szCs w:val="23"/>
          <w:lang w:val="en-US"/>
        </w:rPr>
        <w:t>Mt</w:t>
      </w:r>
      <w:r w:rsidR="007C5638" w:rsidRPr="00A53C54">
        <w:rPr>
          <w:rFonts w:ascii="Times New Roman" w:hAnsi="Times New Roman" w:cs="Times New Roman"/>
          <w:i/>
          <w:color w:val="000000" w:themeColor="text1"/>
          <w:sz w:val="23"/>
          <w:szCs w:val="23"/>
          <w:lang w:val="en-US"/>
        </w:rPr>
        <w:t>B</w:t>
      </w:r>
      <w:r w:rsidR="007C5638" w:rsidRPr="00983193">
        <w:rPr>
          <w:rFonts w:ascii="Times New Roman" w:hAnsi="Times New Roman" w:cs="Times New Roman"/>
          <w:color w:val="000000" w:themeColor="text1"/>
          <w:sz w:val="23"/>
          <w:szCs w:val="23"/>
          <w:lang w:val="en-US"/>
        </w:rPr>
        <w:t xml:space="preserve"> is not affected by the firm </w:t>
      </w:r>
      <w:r w:rsidR="007C5638" w:rsidRPr="00A53C54">
        <w:rPr>
          <w:rFonts w:ascii="Times New Roman" w:hAnsi="Times New Roman" w:cs="Times New Roman"/>
          <w:i/>
          <w:color w:val="000000" w:themeColor="text1"/>
          <w:sz w:val="23"/>
          <w:szCs w:val="23"/>
          <w:lang w:val="en-US"/>
        </w:rPr>
        <w:t>SIZE</w:t>
      </w:r>
      <w:r w:rsidR="000F5B50" w:rsidRPr="00983193">
        <w:rPr>
          <w:rFonts w:ascii="Times New Roman" w:hAnsi="Times New Roman" w:cs="Times New Roman"/>
          <w:color w:val="000000" w:themeColor="text1"/>
          <w:sz w:val="23"/>
          <w:szCs w:val="23"/>
          <w:lang w:val="en-US"/>
        </w:rPr>
        <w:t xml:space="preserve">, </w:t>
      </w:r>
      <w:r w:rsidR="000F5B50" w:rsidRPr="00A53C54">
        <w:rPr>
          <w:rFonts w:ascii="Times New Roman" w:hAnsi="Times New Roman" w:cs="Times New Roman"/>
          <w:i/>
          <w:color w:val="000000" w:themeColor="text1"/>
          <w:sz w:val="23"/>
          <w:szCs w:val="23"/>
          <w:lang w:val="en-US"/>
        </w:rPr>
        <w:t>VAIC</w:t>
      </w:r>
      <w:r w:rsidR="000F5B50" w:rsidRPr="00983193">
        <w:rPr>
          <w:rFonts w:ascii="Times New Roman" w:hAnsi="Times New Roman" w:cs="Times New Roman"/>
          <w:color w:val="000000" w:themeColor="text1"/>
          <w:sz w:val="23"/>
          <w:szCs w:val="23"/>
          <w:lang w:val="en-US"/>
        </w:rPr>
        <w:t xml:space="preserve"> is influenced by </w:t>
      </w:r>
      <w:r w:rsidR="00A769F7">
        <w:rPr>
          <w:rFonts w:ascii="Times New Roman" w:hAnsi="Times New Roman" w:cs="Times New Roman"/>
          <w:color w:val="000000" w:themeColor="text1"/>
          <w:sz w:val="23"/>
          <w:szCs w:val="23"/>
          <w:lang w:val="en-US"/>
        </w:rPr>
        <w:t xml:space="preserve">both </w:t>
      </w:r>
      <w:r w:rsidR="000F5B50" w:rsidRPr="00983193">
        <w:rPr>
          <w:rFonts w:ascii="Times New Roman" w:hAnsi="Times New Roman" w:cs="Times New Roman"/>
          <w:color w:val="000000" w:themeColor="text1"/>
          <w:sz w:val="23"/>
          <w:szCs w:val="23"/>
          <w:lang w:val="en-US"/>
        </w:rPr>
        <w:t>firm</w:t>
      </w:r>
      <w:r w:rsidR="00A769F7">
        <w:rPr>
          <w:rFonts w:ascii="Times New Roman" w:hAnsi="Times New Roman" w:cs="Times New Roman"/>
          <w:color w:val="000000" w:themeColor="text1"/>
          <w:sz w:val="23"/>
          <w:szCs w:val="23"/>
          <w:lang w:val="en-US"/>
        </w:rPr>
        <w:t xml:space="preserve"> </w:t>
      </w:r>
      <w:r w:rsidR="000F5B50" w:rsidRPr="00983193">
        <w:rPr>
          <w:rFonts w:ascii="Times New Roman" w:hAnsi="Times New Roman" w:cs="Times New Roman"/>
          <w:color w:val="000000" w:themeColor="text1"/>
          <w:sz w:val="23"/>
          <w:szCs w:val="23"/>
          <w:lang w:val="en-US"/>
        </w:rPr>
        <w:t>s</w:t>
      </w:r>
      <w:r w:rsidR="00A769F7">
        <w:rPr>
          <w:rFonts w:ascii="Times New Roman" w:hAnsi="Times New Roman" w:cs="Times New Roman"/>
          <w:color w:val="000000" w:themeColor="text1"/>
          <w:sz w:val="23"/>
          <w:szCs w:val="23"/>
          <w:lang w:val="en-US"/>
        </w:rPr>
        <w:t>cale</w:t>
      </w:r>
      <w:r w:rsidR="000F5B50" w:rsidRPr="00983193">
        <w:rPr>
          <w:rFonts w:ascii="Times New Roman" w:hAnsi="Times New Roman" w:cs="Times New Roman"/>
          <w:color w:val="000000" w:themeColor="text1"/>
          <w:sz w:val="23"/>
          <w:szCs w:val="23"/>
          <w:lang w:val="en-US"/>
        </w:rPr>
        <w:t xml:space="preserve"> and profitability.</w:t>
      </w:r>
      <w:r w:rsidR="00CF16B4" w:rsidRPr="00983193">
        <w:rPr>
          <w:rFonts w:ascii="Times New Roman" w:hAnsi="Times New Roman" w:cs="Times New Roman"/>
          <w:color w:val="000000" w:themeColor="text1"/>
          <w:sz w:val="23"/>
          <w:szCs w:val="23"/>
          <w:lang w:val="en-US"/>
        </w:rPr>
        <w:t xml:space="preserve"> Finally, the weak correlation between </w:t>
      </w:r>
      <w:r w:rsidR="00CF16B4" w:rsidRPr="00A53C54">
        <w:rPr>
          <w:rFonts w:ascii="Times New Roman" w:hAnsi="Times New Roman" w:cs="Times New Roman"/>
          <w:i/>
          <w:color w:val="000000" w:themeColor="text1"/>
          <w:sz w:val="23"/>
          <w:szCs w:val="23"/>
          <w:lang w:val="en-US"/>
        </w:rPr>
        <w:t>M</w:t>
      </w:r>
      <w:r w:rsidR="00E32751">
        <w:rPr>
          <w:rFonts w:ascii="Times New Roman" w:hAnsi="Times New Roman" w:cs="Times New Roman"/>
          <w:i/>
          <w:color w:val="000000" w:themeColor="text1"/>
          <w:sz w:val="23"/>
          <w:szCs w:val="23"/>
          <w:lang w:val="en-US"/>
        </w:rPr>
        <w:t>t</w:t>
      </w:r>
      <w:r w:rsidR="00CF16B4" w:rsidRPr="00A53C54">
        <w:rPr>
          <w:rFonts w:ascii="Times New Roman" w:hAnsi="Times New Roman" w:cs="Times New Roman"/>
          <w:i/>
          <w:color w:val="000000" w:themeColor="text1"/>
          <w:sz w:val="23"/>
          <w:szCs w:val="23"/>
          <w:lang w:val="en-US"/>
        </w:rPr>
        <w:t>B</w:t>
      </w:r>
      <w:r w:rsidR="00CF16B4" w:rsidRPr="00983193">
        <w:rPr>
          <w:rFonts w:ascii="Times New Roman" w:hAnsi="Times New Roman" w:cs="Times New Roman"/>
          <w:color w:val="000000" w:themeColor="text1"/>
          <w:sz w:val="23"/>
          <w:szCs w:val="23"/>
          <w:lang w:val="en-US"/>
        </w:rPr>
        <w:t xml:space="preserve"> and </w:t>
      </w:r>
      <w:r w:rsidR="00CF16B4" w:rsidRPr="00A53C54">
        <w:rPr>
          <w:rFonts w:ascii="Times New Roman" w:hAnsi="Times New Roman" w:cs="Times New Roman"/>
          <w:i/>
          <w:color w:val="000000" w:themeColor="text1"/>
          <w:sz w:val="23"/>
          <w:szCs w:val="23"/>
          <w:lang w:val="en-US"/>
        </w:rPr>
        <w:t>VAIC</w:t>
      </w:r>
      <w:r w:rsidR="00CF16B4" w:rsidRPr="00983193">
        <w:rPr>
          <w:rFonts w:ascii="Times New Roman" w:hAnsi="Times New Roman" w:cs="Times New Roman"/>
          <w:color w:val="000000" w:themeColor="text1"/>
          <w:sz w:val="23"/>
          <w:szCs w:val="23"/>
          <w:lang w:val="en-US"/>
        </w:rPr>
        <w:t xml:space="preserve"> </w:t>
      </w:r>
      <w:r w:rsidR="00A769F7" w:rsidRPr="00983193">
        <w:rPr>
          <w:rFonts w:ascii="Times New Roman" w:hAnsi="Times New Roman" w:cs="Times New Roman"/>
          <w:color w:val="000000" w:themeColor="text1"/>
          <w:sz w:val="23"/>
          <w:szCs w:val="23"/>
          <w:lang w:val="en-US"/>
        </w:rPr>
        <w:t xml:space="preserve">at </w:t>
      </w:r>
      <w:r w:rsidR="00A769F7">
        <w:rPr>
          <w:rFonts w:ascii="Times New Roman" w:hAnsi="Times New Roman" w:cs="Times New Roman"/>
          <w:color w:val="000000" w:themeColor="text1"/>
          <w:sz w:val="23"/>
          <w:szCs w:val="23"/>
          <w:lang w:val="en-US"/>
        </w:rPr>
        <w:t xml:space="preserve">the </w:t>
      </w:r>
      <w:r w:rsidR="00A769F7" w:rsidRPr="00983193">
        <w:rPr>
          <w:rFonts w:ascii="Times New Roman" w:hAnsi="Times New Roman" w:cs="Times New Roman"/>
          <w:color w:val="000000" w:themeColor="text1"/>
          <w:sz w:val="23"/>
          <w:szCs w:val="23"/>
          <w:lang w:val="en-US"/>
        </w:rPr>
        <w:t xml:space="preserve">5% level </w:t>
      </w:r>
      <w:r w:rsidR="00A769F7">
        <w:rPr>
          <w:rFonts w:ascii="Times New Roman" w:hAnsi="Times New Roman" w:cs="Times New Roman"/>
          <w:color w:val="000000" w:themeColor="text1"/>
          <w:sz w:val="23"/>
          <w:szCs w:val="23"/>
          <w:lang w:val="en-US"/>
        </w:rPr>
        <w:t>suggests</w:t>
      </w:r>
      <w:r w:rsidR="00A769F7" w:rsidRPr="00983193">
        <w:rPr>
          <w:rFonts w:ascii="Times New Roman" w:hAnsi="Times New Roman" w:cs="Times New Roman"/>
          <w:color w:val="000000" w:themeColor="text1"/>
          <w:sz w:val="23"/>
          <w:szCs w:val="23"/>
          <w:lang w:val="en-US"/>
        </w:rPr>
        <w:t xml:space="preserve"> </w:t>
      </w:r>
      <w:r w:rsidR="00CF16B4" w:rsidRPr="00983193">
        <w:rPr>
          <w:rFonts w:ascii="Times New Roman" w:hAnsi="Times New Roman" w:cs="Times New Roman"/>
          <w:color w:val="000000" w:themeColor="text1"/>
          <w:sz w:val="23"/>
          <w:szCs w:val="23"/>
          <w:lang w:val="en-US"/>
        </w:rPr>
        <w:t xml:space="preserve">that a higher level of IC </w:t>
      </w:r>
      <w:r w:rsidR="00A769F7">
        <w:rPr>
          <w:rFonts w:ascii="Times New Roman" w:hAnsi="Times New Roman" w:cs="Times New Roman"/>
          <w:color w:val="000000" w:themeColor="text1"/>
          <w:sz w:val="23"/>
          <w:szCs w:val="23"/>
          <w:lang w:val="en-US"/>
        </w:rPr>
        <w:t>is</w:t>
      </w:r>
      <w:r w:rsidR="00CF16B4" w:rsidRPr="00983193">
        <w:rPr>
          <w:rFonts w:ascii="Times New Roman" w:hAnsi="Times New Roman" w:cs="Times New Roman"/>
          <w:color w:val="000000" w:themeColor="text1"/>
          <w:sz w:val="23"/>
          <w:szCs w:val="23"/>
          <w:lang w:val="en-US"/>
        </w:rPr>
        <w:t xml:space="preserve"> associated with </w:t>
      </w:r>
      <w:r w:rsidR="00A769F7">
        <w:rPr>
          <w:rFonts w:ascii="Times New Roman" w:hAnsi="Times New Roman" w:cs="Times New Roman"/>
          <w:color w:val="000000" w:themeColor="text1"/>
          <w:sz w:val="23"/>
          <w:szCs w:val="23"/>
          <w:lang w:val="en-US"/>
        </w:rPr>
        <w:t xml:space="preserve">an </w:t>
      </w:r>
      <w:r w:rsidR="00CF16B4" w:rsidRPr="00983193">
        <w:rPr>
          <w:rFonts w:ascii="Times New Roman" w:hAnsi="Times New Roman" w:cs="Times New Roman"/>
          <w:color w:val="000000" w:themeColor="text1"/>
          <w:sz w:val="23"/>
          <w:szCs w:val="23"/>
          <w:lang w:val="en-US"/>
        </w:rPr>
        <w:t xml:space="preserve">increase </w:t>
      </w:r>
      <w:r w:rsidR="00A769F7">
        <w:rPr>
          <w:rFonts w:ascii="Times New Roman" w:hAnsi="Times New Roman" w:cs="Times New Roman"/>
          <w:color w:val="000000" w:themeColor="text1"/>
          <w:sz w:val="23"/>
          <w:szCs w:val="23"/>
          <w:lang w:val="en-US"/>
        </w:rPr>
        <w:t xml:space="preserve">in </w:t>
      </w:r>
      <w:r w:rsidR="00CF16B4" w:rsidRPr="00983193">
        <w:rPr>
          <w:rFonts w:ascii="Times New Roman" w:hAnsi="Times New Roman" w:cs="Times New Roman"/>
          <w:color w:val="000000" w:themeColor="text1"/>
          <w:sz w:val="23"/>
          <w:szCs w:val="23"/>
          <w:lang w:val="en-US"/>
        </w:rPr>
        <w:t>company value.</w:t>
      </w:r>
    </w:p>
    <w:p w14:paraId="407631E9" w14:textId="77777777" w:rsidR="00B31989" w:rsidRDefault="00880A72" w:rsidP="00B31989">
      <w:pPr>
        <w:spacing w:after="0" w:line="240" w:lineRule="auto"/>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6</w:t>
      </w:r>
      <w:r w:rsidR="00B31989" w:rsidRPr="00983193">
        <w:rPr>
          <w:rFonts w:ascii="Times New Roman" w:hAnsi="Times New Roman" w:cs="Times New Roman"/>
          <w:color w:val="000000" w:themeColor="text1"/>
          <w:sz w:val="23"/>
          <w:szCs w:val="23"/>
          <w:lang w:val="en-US"/>
        </w:rPr>
        <w:t>.3 Regression analysis</w:t>
      </w:r>
    </w:p>
    <w:p w14:paraId="1165808E" w14:textId="77777777" w:rsidR="00415DD5" w:rsidRPr="00983193" w:rsidRDefault="00415DD5" w:rsidP="00B31989">
      <w:pPr>
        <w:spacing w:after="0" w:line="240" w:lineRule="auto"/>
        <w:jc w:val="both"/>
        <w:rPr>
          <w:rFonts w:ascii="Times New Roman" w:hAnsi="Times New Roman" w:cs="Times New Roman"/>
          <w:color w:val="000000" w:themeColor="text1"/>
          <w:sz w:val="23"/>
          <w:szCs w:val="23"/>
          <w:lang w:val="en-US"/>
        </w:rPr>
      </w:pPr>
    </w:p>
    <w:p w14:paraId="7E0170F1" w14:textId="77777777" w:rsidR="00B31989" w:rsidRDefault="00411B60" w:rsidP="00B31989">
      <w:pPr>
        <w:spacing w:after="0" w:line="240" w:lineRule="auto"/>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Table V</w:t>
      </w:r>
      <w:r w:rsidR="00B31989" w:rsidRPr="00983193">
        <w:rPr>
          <w:rFonts w:ascii="Times New Roman" w:hAnsi="Times New Roman" w:cs="Times New Roman"/>
          <w:color w:val="000000" w:themeColor="text1"/>
          <w:sz w:val="23"/>
          <w:szCs w:val="23"/>
          <w:lang w:val="en-US"/>
        </w:rPr>
        <w:t xml:space="preserve"> </w:t>
      </w:r>
      <w:r w:rsidRPr="00983193">
        <w:rPr>
          <w:rFonts w:ascii="Times New Roman" w:hAnsi="Times New Roman" w:cs="Times New Roman"/>
          <w:color w:val="000000" w:themeColor="text1"/>
          <w:sz w:val="23"/>
          <w:szCs w:val="23"/>
          <w:lang w:val="en-US"/>
        </w:rPr>
        <w:t xml:space="preserve">presents the results of the </w:t>
      </w:r>
      <w:r w:rsidRPr="001855D6">
        <w:rPr>
          <w:rFonts w:ascii="Times New Roman" w:hAnsi="Times New Roman" w:cs="Times New Roman"/>
          <w:noProof/>
          <w:color w:val="000000" w:themeColor="text1"/>
          <w:sz w:val="23"/>
          <w:szCs w:val="23"/>
          <w:lang w:val="en-US"/>
        </w:rPr>
        <w:t>two</w:t>
      </w:r>
      <w:r w:rsidR="00A769F7">
        <w:rPr>
          <w:rFonts w:ascii="Times New Roman" w:hAnsi="Times New Roman" w:cs="Times New Roman"/>
          <w:noProof/>
          <w:color w:val="000000" w:themeColor="text1"/>
          <w:sz w:val="23"/>
          <w:szCs w:val="23"/>
          <w:lang w:val="en-US"/>
        </w:rPr>
        <w:t xml:space="preserve"> </w:t>
      </w:r>
      <w:r w:rsidRPr="001855D6">
        <w:rPr>
          <w:rFonts w:ascii="Times New Roman" w:hAnsi="Times New Roman" w:cs="Times New Roman"/>
          <w:noProof/>
          <w:color w:val="000000" w:themeColor="text1"/>
          <w:sz w:val="23"/>
          <w:szCs w:val="23"/>
          <w:lang w:val="en-US"/>
        </w:rPr>
        <w:t>panel</w:t>
      </w:r>
      <w:r w:rsidR="00B31989" w:rsidRPr="00983193">
        <w:rPr>
          <w:rFonts w:ascii="Times New Roman" w:hAnsi="Times New Roman" w:cs="Times New Roman"/>
          <w:color w:val="000000" w:themeColor="text1"/>
          <w:sz w:val="23"/>
          <w:szCs w:val="23"/>
          <w:lang w:val="en-US"/>
        </w:rPr>
        <w:t xml:space="preserve"> linear regression model</w:t>
      </w:r>
      <w:r w:rsidRPr="00983193">
        <w:rPr>
          <w:rFonts w:ascii="Times New Roman" w:hAnsi="Times New Roman" w:cs="Times New Roman"/>
          <w:color w:val="000000" w:themeColor="text1"/>
          <w:sz w:val="23"/>
          <w:szCs w:val="23"/>
          <w:lang w:val="en-US"/>
        </w:rPr>
        <w:t>s</w:t>
      </w:r>
      <w:r w:rsidR="00B31989" w:rsidRPr="00983193">
        <w:rPr>
          <w:rFonts w:ascii="Times New Roman" w:hAnsi="Times New Roman" w:cs="Times New Roman"/>
          <w:color w:val="000000" w:themeColor="text1"/>
          <w:sz w:val="23"/>
          <w:szCs w:val="23"/>
          <w:lang w:val="en-US"/>
        </w:rPr>
        <w:t xml:space="preserve"> to examine the relationship between the </w:t>
      </w:r>
      <w:r w:rsidR="006C1B92">
        <w:rPr>
          <w:rFonts w:ascii="Times New Roman" w:hAnsi="Times New Roman" w:cs="Times New Roman"/>
          <w:i/>
          <w:color w:val="000000" w:themeColor="text1"/>
          <w:sz w:val="23"/>
          <w:szCs w:val="23"/>
          <w:lang w:val="en-US"/>
        </w:rPr>
        <w:t>Mt</w:t>
      </w:r>
      <w:r w:rsidR="00B31989" w:rsidRPr="00A53C54">
        <w:rPr>
          <w:rFonts w:ascii="Times New Roman" w:hAnsi="Times New Roman" w:cs="Times New Roman"/>
          <w:i/>
          <w:color w:val="000000" w:themeColor="text1"/>
          <w:sz w:val="23"/>
          <w:szCs w:val="23"/>
          <w:lang w:val="en-US"/>
        </w:rPr>
        <w:t>B</w:t>
      </w:r>
      <w:r w:rsidR="00B31989" w:rsidRPr="00983193">
        <w:rPr>
          <w:rFonts w:ascii="Times New Roman" w:hAnsi="Times New Roman" w:cs="Times New Roman"/>
          <w:color w:val="000000" w:themeColor="text1"/>
          <w:sz w:val="23"/>
          <w:szCs w:val="23"/>
          <w:lang w:val="en-US"/>
        </w:rPr>
        <w:t xml:space="preserve"> ratio </w:t>
      </w:r>
      <w:r w:rsidRPr="00983193">
        <w:rPr>
          <w:rFonts w:ascii="Times New Roman" w:hAnsi="Times New Roman" w:cs="Times New Roman"/>
          <w:color w:val="000000" w:themeColor="text1"/>
          <w:sz w:val="23"/>
          <w:szCs w:val="23"/>
          <w:lang w:val="en-US"/>
        </w:rPr>
        <w:t xml:space="preserve">and </w:t>
      </w:r>
      <w:r w:rsidRPr="00A53C54">
        <w:rPr>
          <w:rFonts w:ascii="Times New Roman" w:hAnsi="Times New Roman" w:cs="Times New Roman"/>
          <w:i/>
          <w:color w:val="000000" w:themeColor="text1"/>
          <w:sz w:val="23"/>
          <w:szCs w:val="23"/>
          <w:lang w:val="en-US"/>
        </w:rPr>
        <w:t>VAIC</w:t>
      </w:r>
      <w:r w:rsidR="005D7277" w:rsidRPr="00983193">
        <w:rPr>
          <w:rFonts w:ascii="Times New Roman" w:hAnsi="Times New Roman" w:cs="Times New Roman"/>
          <w:color w:val="000000" w:themeColor="text1"/>
          <w:sz w:val="23"/>
          <w:szCs w:val="23"/>
          <w:lang w:val="en-US"/>
        </w:rPr>
        <w:t xml:space="preserve">, </w:t>
      </w:r>
      <w:r w:rsidR="005D7277" w:rsidRPr="001855D6">
        <w:rPr>
          <w:rFonts w:ascii="Times New Roman" w:hAnsi="Times New Roman" w:cs="Times New Roman"/>
          <w:noProof/>
          <w:color w:val="000000" w:themeColor="text1"/>
          <w:sz w:val="23"/>
          <w:szCs w:val="23"/>
          <w:lang w:val="en-US"/>
        </w:rPr>
        <w:t>proxies</w:t>
      </w:r>
      <w:r w:rsidR="005D7277" w:rsidRPr="00983193">
        <w:rPr>
          <w:rFonts w:ascii="Times New Roman" w:hAnsi="Times New Roman" w:cs="Times New Roman"/>
          <w:color w:val="000000" w:themeColor="text1"/>
          <w:sz w:val="23"/>
          <w:szCs w:val="23"/>
          <w:lang w:val="en-US"/>
        </w:rPr>
        <w:t xml:space="preserve"> </w:t>
      </w:r>
      <w:r w:rsidR="00A769F7">
        <w:rPr>
          <w:rFonts w:ascii="Times New Roman" w:hAnsi="Times New Roman" w:cs="Times New Roman"/>
          <w:color w:val="000000" w:themeColor="text1"/>
          <w:sz w:val="23"/>
          <w:szCs w:val="23"/>
          <w:lang w:val="en-US"/>
        </w:rPr>
        <w:t>for</w:t>
      </w:r>
      <w:r w:rsidR="005D7277" w:rsidRPr="00983193">
        <w:rPr>
          <w:rFonts w:ascii="Times New Roman" w:hAnsi="Times New Roman" w:cs="Times New Roman"/>
          <w:color w:val="000000" w:themeColor="text1"/>
          <w:sz w:val="23"/>
          <w:szCs w:val="23"/>
          <w:lang w:val="en-US"/>
        </w:rPr>
        <w:t xml:space="preserve"> IC value,</w:t>
      </w:r>
      <w:r w:rsidR="00AB20D9" w:rsidRPr="00983193">
        <w:rPr>
          <w:rFonts w:ascii="Times New Roman" w:hAnsi="Times New Roman" w:cs="Times New Roman"/>
          <w:color w:val="000000" w:themeColor="text1"/>
          <w:sz w:val="23"/>
          <w:szCs w:val="23"/>
          <w:lang w:val="en-US"/>
        </w:rPr>
        <w:t xml:space="preserve"> </w:t>
      </w:r>
      <w:r w:rsidR="00B31989" w:rsidRPr="00983193">
        <w:rPr>
          <w:rFonts w:ascii="Times New Roman" w:hAnsi="Times New Roman" w:cs="Times New Roman"/>
          <w:color w:val="000000" w:themeColor="text1"/>
          <w:sz w:val="23"/>
          <w:szCs w:val="23"/>
          <w:lang w:val="en-US"/>
        </w:rPr>
        <w:t xml:space="preserve">and </w:t>
      </w:r>
      <w:r w:rsidR="00A769F7">
        <w:rPr>
          <w:rFonts w:ascii="Times New Roman" w:hAnsi="Times New Roman" w:cs="Times New Roman"/>
          <w:color w:val="000000" w:themeColor="text1"/>
          <w:sz w:val="23"/>
          <w:szCs w:val="23"/>
          <w:lang w:val="en-US"/>
        </w:rPr>
        <w:t>potential</w:t>
      </w:r>
      <w:r w:rsidR="00A769F7" w:rsidRPr="00983193">
        <w:rPr>
          <w:rFonts w:ascii="Times New Roman" w:hAnsi="Times New Roman" w:cs="Times New Roman"/>
          <w:color w:val="000000" w:themeColor="text1"/>
          <w:sz w:val="23"/>
          <w:szCs w:val="23"/>
          <w:lang w:val="en-US"/>
        </w:rPr>
        <w:t xml:space="preserve"> </w:t>
      </w:r>
      <w:r w:rsidR="00B31989" w:rsidRPr="00983193">
        <w:rPr>
          <w:rFonts w:ascii="Times New Roman" w:hAnsi="Times New Roman" w:cs="Times New Roman"/>
          <w:color w:val="000000" w:themeColor="text1"/>
          <w:sz w:val="23"/>
          <w:szCs w:val="23"/>
          <w:lang w:val="en-US"/>
        </w:rPr>
        <w:t xml:space="preserve">explanatory variables. </w:t>
      </w:r>
      <w:r w:rsidR="00A769F7">
        <w:rPr>
          <w:rFonts w:ascii="Times New Roman" w:hAnsi="Times New Roman" w:cs="Times New Roman"/>
          <w:color w:val="000000" w:themeColor="text1"/>
          <w:sz w:val="23"/>
          <w:szCs w:val="23"/>
          <w:lang w:val="en-US"/>
        </w:rPr>
        <w:t>M</w:t>
      </w:r>
      <w:r w:rsidR="00B31989" w:rsidRPr="00983193">
        <w:rPr>
          <w:rFonts w:ascii="Times New Roman" w:hAnsi="Times New Roman" w:cs="Times New Roman"/>
          <w:color w:val="000000" w:themeColor="text1"/>
          <w:sz w:val="23"/>
          <w:szCs w:val="23"/>
          <w:lang w:val="en-US"/>
        </w:rPr>
        <w:t xml:space="preserve">odel </w:t>
      </w:r>
      <w:r w:rsidR="001B6FB1" w:rsidRPr="00983193">
        <w:rPr>
          <w:rFonts w:ascii="Times New Roman" w:hAnsi="Times New Roman" w:cs="Times New Roman"/>
          <w:color w:val="000000" w:themeColor="text1"/>
          <w:sz w:val="23"/>
          <w:szCs w:val="23"/>
          <w:lang w:val="en-US"/>
        </w:rPr>
        <w:t xml:space="preserve">1 has within, between and overall R-square </w:t>
      </w:r>
      <w:r w:rsidR="00A769F7">
        <w:rPr>
          <w:rFonts w:ascii="Times New Roman" w:hAnsi="Times New Roman" w:cs="Times New Roman"/>
          <w:color w:val="000000" w:themeColor="text1"/>
          <w:sz w:val="23"/>
          <w:szCs w:val="23"/>
          <w:lang w:val="en-US"/>
        </w:rPr>
        <w:t xml:space="preserve">statistics </w:t>
      </w:r>
      <w:r w:rsidR="001B6FB1" w:rsidRPr="00983193">
        <w:rPr>
          <w:rFonts w:ascii="Times New Roman" w:hAnsi="Times New Roman" w:cs="Times New Roman"/>
          <w:color w:val="000000" w:themeColor="text1"/>
          <w:sz w:val="23"/>
          <w:szCs w:val="23"/>
          <w:lang w:val="en-US"/>
        </w:rPr>
        <w:t xml:space="preserve">of 11.49%, 3.6%, and 3.78%, respectively. </w:t>
      </w:r>
      <w:r w:rsidR="00496903" w:rsidRPr="00983193">
        <w:rPr>
          <w:rFonts w:ascii="Times New Roman" w:hAnsi="Times New Roman" w:cs="Times New Roman"/>
          <w:color w:val="000000" w:themeColor="text1"/>
          <w:sz w:val="23"/>
          <w:szCs w:val="23"/>
          <w:lang w:val="en-US"/>
        </w:rPr>
        <w:t xml:space="preserve">The F-test (Prob&gt;F) </w:t>
      </w:r>
      <w:r w:rsidR="00A769F7">
        <w:rPr>
          <w:rFonts w:ascii="Times New Roman" w:hAnsi="Times New Roman" w:cs="Times New Roman"/>
          <w:color w:val="000000" w:themeColor="text1"/>
          <w:sz w:val="23"/>
          <w:szCs w:val="23"/>
          <w:lang w:val="en-US"/>
        </w:rPr>
        <w:t xml:space="preserve">for the model </w:t>
      </w:r>
      <w:r w:rsidR="00496903" w:rsidRPr="00983193">
        <w:rPr>
          <w:rFonts w:ascii="Times New Roman" w:hAnsi="Times New Roman" w:cs="Times New Roman"/>
          <w:color w:val="000000" w:themeColor="text1"/>
          <w:sz w:val="23"/>
          <w:szCs w:val="23"/>
          <w:lang w:val="en-US"/>
        </w:rPr>
        <w:t xml:space="preserve">is significant at </w:t>
      </w:r>
      <w:r w:rsidR="00A769F7">
        <w:rPr>
          <w:rFonts w:ascii="Times New Roman" w:hAnsi="Times New Roman" w:cs="Times New Roman"/>
          <w:color w:val="000000" w:themeColor="text1"/>
          <w:sz w:val="23"/>
          <w:szCs w:val="23"/>
          <w:lang w:val="en-US"/>
        </w:rPr>
        <w:t xml:space="preserve">the </w:t>
      </w:r>
      <w:r w:rsidR="00496903" w:rsidRPr="00983193">
        <w:rPr>
          <w:rFonts w:ascii="Times New Roman" w:hAnsi="Times New Roman" w:cs="Times New Roman"/>
          <w:color w:val="000000" w:themeColor="text1"/>
          <w:sz w:val="23"/>
          <w:szCs w:val="23"/>
          <w:lang w:val="en-US"/>
        </w:rPr>
        <w:t xml:space="preserve">1% level. </w:t>
      </w:r>
      <w:r w:rsidR="00A769F7">
        <w:rPr>
          <w:rFonts w:ascii="Times New Roman" w:hAnsi="Times New Roman" w:cs="Times New Roman"/>
          <w:color w:val="000000" w:themeColor="text1"/>
          <w:sz w:val="23"/>
          <w:szCs w:val="23"/>
          <w:lang w:val="en-US"/>
        </w:rPr>
        <w:t>M</w:t>
      </w:r>
      <w:r w:rsidR="00496903" w:rsidRPr="00983193">
        <w:rPr>
          <w:rFonts w:ascii="Times New Roman" w:hAnsi="Times New Roman" w:cs="Times New Roman"/>
          <w:color w:val="000000" w:themeColor="text1"/>
          <w:sz w:val="23"/>
          <w:szCs w:val="23"/>
          <w:lang w:val="en-US"/>
        </w:rPr>
        <w:t xml:space="preserve">odel 2 has within, between and overall R-square </w:t>
      </w:r>
      <w:r w:rsidR="00A769F7">
        <w:rPr>
          <w:rFonts w:ascii="Times New Roman" w:hAnsi="Times New Roman" w:cs="Times New Roman"/>
          <w:color w:val="000000" w:themeColor="text1"/>
          <w:sz w:val="23"/>
          <w:szCs w:val="23"/>
          <w:lang w:val="en-US"/>
        </w:rPr>
        <w:t xml:space="preserve">statistics </w:t>
      </w:r>
      <w:r w:rsidR="00496903" w:rsidRPr="00983193">
        <w:rPr>
          <w:rFonts w:ascii="Times New Roman" w:hAnsi="Times New Roman" w:cs="Times New Roman"/>
          <w:color w:val="000000" w:themeColor="text1"/>
          <w:sz w:val="23"/>
          <w:szCs w:val="23"/>
          <w:lang w:val="en-US"/>
        </w:rPr>
        <w:t xml:space="preserve">of </w:t>
      </w:r>
      <w:r w:rsidR="00C93555" w:rsidRPr="00983193">
        <w:rPr>
          <w:rFonts w:ascii="Times New Roman" w:hAnsi="Times New Roman" w:cs="Times New Roman"/>
          <w:color w:val="000000" w:themeColor="text1"/>
          <w:sz w:val="23"/>
          <w:szCs w:val="23"/>
          <w:lang w:val="en-US"/>
        </w:rPr>
        <w:t>3.80</w:t>
      </w:r>
      <w:r w:rsidR="00496903" w:rsidRPr="00983193">
        <w:rPr>
          <w:rFonts w:ascii="Times New Roman" w:hAnsi="Times New Roman" w:cs="Times New Roman"/>
          <w:color w:val="000000" w:themeColor="text1"/>
          <w:sz w:val="23"/>
          <w:szCs w:val="23"/>
          <w:lang w:val="en-US"/>
        </w:rPr>
        <w:t xml:space="preserve">%, </w:t>
      </w:r>
      <w:r w:rsidR="00C93555" w:rsidRPr="00983193">
        <w:rPr>
          <w:rFonts w:ascii="Times New Roman" w:hAnsi="Times New Roman" w:cs="Times New Roman"/>
          <w:color w:val="000000" w:themeColor="text1"/>
          <w:sz w:val="23"/>
          <w:szCs w:val="23"/>
          <w:lang w:val="en-US"/>
        </w:rPr>
        <w:t>3.04</w:t>
      </w:r>
      <w:r w:rsidR="00496903" w:rsidRPr="00983193">
        <w:rPr>
          <w:rFonts w:ascii="Times New Roman" w:hAnsi="Times New Roman" w:cs="Times New Roman"/>
          <w:color w:val="000000" w:themeColor="text1"/>
          <w:sz w:val="23"/>
          <w:szCs w:val="23"/>
          <w:lang w:val="en-US"/>
        </w:rPr>
        <w:t xml:space="preserve">%, and </w:t>
      </w:r>
      <w:r w:rsidR="00C93555" w:rsidRPr="00983193">
        <w:rPr>
          <w:rFonts w:ascii="Times New Roman" w:hAnsi="Times New Roman" w:cs="Times New Roman"/>
          <w:color w:val="000000" w:themeColor="text1"/>
          <w:sz w:val="23"/>
          <w:szCs w:val="23"/>
          <w:lang w:val="en-US"/>
        </w:rPr>
        <w:t>3.00</w:t>
      </w:r>
      <w:r w:rsidR="00496903" w:rsidRPr="00983193">
        <w:rPr>
          <w:rFonts w:ascii="Times New Roman" w:hAnsi="Times New Roman" w:cs="Times New Roman"/>
          <w:color w:val="000000" w:themeColor="text1"/>
          <w:sz w:val="23"/>
          <w:szCs w:val="23"/>
          <w:lang w:val="en-US"/>
        </w:rPr>
        <w:t xml:space="preserve">%, respectively. The </w:t>
      </w:r>
      <w:r w:rsidR="00A769F7">
        <w:rPr>
          <w:rFonts w:ascii="Times New Roman" w:hAnsi="Times New Roman" w:cs="Times New Roman"/>
          <w:color w:val="000000" w:themeColor="text1"/>
          <w:sz w:val="23"/>
          <w:szCs w:val="23"/>
          <w:lang w:val="en-US"/>
        </w:rPr>
        <w:t xml:space="preserve">model </w:t>
      </w:r>
      <w:r w:rsidR="00496903" w:rsidRPr="00983193">
        <w:rPr>
          <w:rFonts w:ascii="Times New Roman" w:hAnsi="Times New Roman" w:cs="Times New Roman"/>
          <w:color w:val="000000" w:themeColor="text1"/>
          <w:sz w:val="23"/>
          <w:szCs w:val="23"/>
          <w:lang w:val="en-US"/>
        </w:rPr>
        <w:t xml:space="preserve">F-test (Prob&gt;F) is significant at </w:t>
      </w:r>
      <w:r w:rsidR="00A769F7">
        <w:rPr>
          <w:rFonts w:ascii="Times New Roman" w:hAnsi="Times New Roman" w:cs="Times New Roman"/>
          <w:color w:val="000000" w:themeColor="text1"/>
          <w:sz w:val="23"/>
          <w:szCs w:val="23"/>
          <w:lang w:val="en-US"/>
        </w:rPr>
        <w:t xml:space="preserve">the </w:t>
      </w:r>
      <w:r w:rsidR="00496903" w:rsidRPr="00983193">
        <w:rPr>
          <w:rFonts w:ascii="Times New Roman" w:hAnsi="Times New Roman" w:cs="Times New Roman"/>
          <w:color w:val="000000" w:themeColor="text1"/>
          <w:sz w:val="23"/>
          <w:szCs w:val="23"/>
          <w:lang w:val="en-US"/>
        </w:rPr>
        <w:t xml:space="preserve">1% level. </w:t>
      </w:r>
      <w:r w:rsidR="00C93555" w:rsidRPr="00983193">
        <w:rPr>
          <w:rFonts w:ascii="Times New Roman" w:hAnsi="Times New Roman" w:cs="Times New Roman"/>
          <w:color w:val="000000" w:themeColor="text1"/>
          <w:sz w:val="23"/>
          <w:szCs w:val="23"/>
          <w:lang w:val="en-US"/>
        </w:rPr>
        <w:t xml:space="preserve">In order to compare the two </w:t>
      </w:r>
      <w:r w:rsidR="00227753" w:rsidRPr="00983193">
        <w:rPr>
          <w:rFonts w:ascii="Times New Roman" w:hAnsi="Times New Roman" w:cs="Times New Roman"/>
          <w:color w:val="000000" w:themeColor="text1"/>
          <w:sz w:val="23"/>
          <w:szCs w:val="23"/>
          <w:lang w:val="en-US"/>
        </w:rPr>
        <w:t>models,</w:t>
      </w:r>
      <w:r w:rsidR="00C93555" w:rsidRPr="00983193">
        <w:rPr>
          <w:rFonts w:ascii="Times New Roman" w:hAnsi="Times New Roman" w:cs="Times New Roman"/>
          <w:color w:val="000000" w:themeColor="text1"/>
          <w:sz w:val="23"/>
          <w:szCs w:val="23"/>
          <w:lang w:val="en-US"/>
        </w:rPr>
        <w:t xml:space="preserve"> we run the AIC and BIC test</w:t>
      </w:r>
      <w:r w:rsidR="00A769F7">
        <w:rPr>
          <w:rFonts w:ascii="Times New Roman" w:hAnsi="Times New Roman" w:cs="Times New Roman"/>
          <w:color w:val="000000" w:themeColor="text1"/>
          <w:sz w:val="23"/>
          <w:szCs w:val="23"/>
          <w:lang w:val="en-US"/>
        </w:rPr>
        <w:t>s</w:t>
      </w:r>
      <w:r w:rsidR="00C93555" w:rsidRPr="00983193">
        <w:rPr>
          <w:rFonts w:ascii="Times New Roman" w:hAnsi="Times New Roman" w:cs="Times New Roman"/>
          <w:color w:val="000000" w:themeColor="text1"/>
          <w:sz w:val="23"/>
          <w:szCs w:val="23"/>
          <w:lang w:val="en-US"/>
        </w:rPr>
        <w:t xml:space="preserve"> and </w:t>
      </w:r>
      <w:r w:rsidR="00FC1066">
        <w:rPr>
          <w:rFonts w:ascii="Times New Roman" w:hAnsi="Times New Roman" w:cs="Times New Roman"/>
          <w:color w:val="000000" w:themeColor="text1"/>
          <w:sz w:val="23"/>
          <w:szCs w:val="23"/>
          <w:lang w:val="en-US"/>
        </w:rPr>
        <w:t>examine</w:t>
      </w:r>
      <w:r w:rsidR="00C93555" w:rsidRPr="00983193">
        <w:rPr>
          <w:rFonts w:ascii="Times New Roman" w:hAnsi="Times New Roman" w:cs="Times New Roman"/>
          <w:color w:val="000000" w:themeColor="text1"/>
          <w:sz w:val="23"/>
          <w:szCs w:val="23"/>
          <w:lang w:val="en-US"/>
        </w:rPr>
        <w:t xml:space="preserve"> the lower value (the model in which the independent variables better explain the variation in the dependent variable). The AIC value for </w:t>
      </w:r>
      <w:r w:rsidR="00FC1066">
        <w:rPr>
          <w:rFonts w:ascii="Times New Roman" w:hAnsi="Times New Roman" w:cs="Times New Roman"/>
          <w:color w:val="000000" w:themeColor="text1"/>
          <w:sz w:val="23"/>
          <w:szCs w:val="23"/>
          <w:lang w:val="en-US"/>
        </w:rPr>
        <w:t>M</w:t>
      </w:r>
      <w:r w:rsidR="00C93555" w:rsidRPr="00983193">
        <w:rPr>
          <w:rFonts w:ascii="Times New Roman" w:hAnsi="Times New Roman" w:cs="Times New Roman"/>
          <w:color w:val="000000" w:themeColor="text1"/>
          <w:sz w:val="23"/>
          <w:szCs w:val="23"/>
          <w:lang w:val="en-US"/>
        </w:rPr>
        <w:t xml:space="preserve">odels 1 and 2 </w:t>
      </w:r>
      <w:r w:rsidR="00FC1066">
        <w:rPr>
          <w:rFonts w:ascii="Times New Roman" w:hAnsi="Times New Roman" w:cs="Times New Roman"/>
          <w:color w:val="000000" w:themeColor="text1"/>
          <w:sz w:val="23"/>
          <w:szCs w:val="23"/>
          <w:lang w:val="en-US"/>
        </w:rPr>
        <w:t>a</w:t>
      </w:r>
      <w:r w:rsidR="00C93555" w:rsidRPr="00983193">
        <w:rPr>
          <w:rFonts w:ascii="Times New Roman" w:hAnsi="Times New Roman" w:cs="Times New Roman"/>
          <w:color w:val="000000" w:themeColor="text1"/>
          <w:sz w:val="23"/>
          <w:szCs w:val="23"/>
          <w:lang w:val="en-US"/>
        </w:rPr>
        <w:t xml:space="preserve">re 1,757.95 and 3,639.601, respectively. The BIC value for </w:t>
      </w:r>
      <w:r w:rsidR="00FC1066">
        <w:rPr>
          <w:rFonts w:ascii="Times New Roman" w:hAnsi="Times New Roman" w:cs="Times New Roman"/>
          <w:color w:val="000000" w:themeColor="text1"/>
          <w:sz w:val="23"/>
          <w:szCs w:val="23"/>
          <w:lang w:val="en-US"/>
        </w:rPr>
        <w:t>M</w:t>
      </w:r>
      <w:r w:rsidR="00C93555" w:rsidRPr="00983193">
        <w:rPr>
          <w:rFonts w:ascii="Times New Roman" w:hAnsi="Times New Roman" w:cs="Times New Roman"/>
          <w:color w:val="000000" w:themeColor="text1"/>
          <w:sz w:val="23"/>
          <w:szCs w:val="23"/>
          <w:lang w:val="en-US"/>
        </w:rPr>
        <w:t xml:space="preserve">odels 1 and 2 </w:t>
      </w:r>
      <w:r w:rsidR="00FC1066">
        <w:rPr>
          <w:rFonts w:ascii="Times New Roman" w:hAnsi="Times New Roman" w:cs="Times New Roman"/>
          <w:color w:val="000000" w:themeColor="text1"/>
          <w:sz w:val="23"/>
          <w:szCs w:val="23"/>
          <w:lang w:val="en-US"/>
        </w:rPr>
        <w:t>a</w:t>
      </w:r>
      <w:r w:rsidR="00C93555" w:rsidRPr="00983193">
        <w:rPr>
          <w:rFonts w:ascii="Times New Roman" w:hAnsi="Times New Roman" w:cs="Times New Roman"/>
          <w:color w:val="000000" w:themeColor="text1"/>
          <w:sz w:val="23"/>
          <w:szCs w:val="23"/>
          <w:lang w:val="en-US"/>
        </w:rPr>
        <w:t xml:space="preserve">re 1,790.121 and 3,671.771, respectively. </w:t>
      </w:r>
      <w:r w:rsidR="00FC1066">
        <w:rPr>
          <w:rFonts w:ascii="Times New Roman" w:hAnsi="Times New Roman" w:cs="Times New Roman"/>
          <w:color w:val="000000" w:themeColor="text1"/>
          <w:sz w:val="23"/>
          <w:szCs w:val="23"/>
          <w:lang w:val="en-US"/>
        </w:rPr>
        <w:t xml:space="preserve">Thus, the </w:t>
      </w:r>
      <w:r w:rsidR="00C93555" w:rsidRPr="00983193">
        <w:rPr>
          <w:rFonts w:ascii="Times New Roman" w:hAnsi="Times New Roman" w:cs="Times New Roman"/>
          <w:color w:val="000000" w:themeColor="text1"/>
          <w:sz w:val="23"/>
          <w:szCs w:val="23"/>
          <w:lang w:val="en-US"/>
        </w:rPr>
        <w:t xml:space="preserve">variables in </w:t>
      </w:r>
      <w:r w:rsidR="00FC1066">
        <w:rPr>
          <w:rFonts w:ascii="Times New Roman" w:hAnsi="Times New Roman" w:cs="Times New Roman"/>
          <w:color w:val="000000" w:themeColor="text1"/>
          <w:sz w:val="23"/>
          <w:szCs w:val="23"/>
          <w:lang w:val="en-US"/>
        </w:rPr>
        <w:t>M</w:t>
      </w:r>
      <w:r w:rsidR="00C93555" w:rsidRPr="00983193">
        <w:rPr>
          <w:rFonts w:ascii="Times New Roman" w:hAnsi="Times New Roman" w:cs="Times New Roman"/>
          <w:color w:val="000000" w:themeColor="text1"/>
          <w:sz w:val="23"/>
          <w:szCs w:val="23"/>
          <w:lang w:val="en-US"/>
        </w:rPr>
        <w:t>odel 1 better explain the variation in the dependent variable</w:t>
      </w:r>
      <w:r w:rsidR="000A78F2" w:rsidRPr="00983193">
        <w:rPr>
          <w:rFonts w:ascii="Times New Roman" w:hAnsi="Times New Roman" w:cs="Times New Roman"/>
          <w:color w:val="000000" w:themeColor="text1"/>
          <w:sz w:val="23"/>
          <w:szCs w:val="23"/>
          <w:lang w:val="en-US"/>
        </w:rPr>
        <w:t xml:space="preserve"> than </w:t>
      </w:r>
      <w:r w:rsidR="00FC1066">
        <w:rPr>
          <w:rFonts w:ascii="Times New Roman" w:hAnsi="Times New Roman" w:cs="Times New Roman"/>
          <w:color w:val="000000" w:themeColor="text1"/>
          <w:sz w:val="23"/>
          <w:szCs w:val="23"/>
          <w:lang w:val="en-US"/>
        </w:rPr>
        <w:t>is the case for M</w:t>
      </w:r>
      <w:r w:rsidR="000A78F2" w:rsidRPr="00983193">
        <w:rPr>
          <w:rFonts w:ascii="Times New Roman" w:hAnsi="Times New Roman" w:cs="Times New Roman"/>
          <w:color w:val="000000" w:themeColor="text1"/>
          <w:sz w:val="23"/>
          <w:szCs w:val="23"/>
          <w:lang w:val="en-US"/>
        </w:rPr>
        <w:t>odel 2</w:t>
      </w:r>
      <w:r w:rsidR="00C93555" w:rsidRPr="00983193">
        <w:rPr>
          <w:rFonts w:ascii="Times New Roman" w:hAnsi="Times New Roman" w:cs="Times New Roman"/>
          <w:color w:val="000000" w:themeColor="text1"/>
          <w:sz w:val="23"/>
          <w:szCs w:val="23"/>
          <w:lang w:val="en-US"/>
        </w:rPr>
        <w:t>.</w:t>
      </w:r>
    </w:p>
    <w:p w14:paraId="1856D7F2" w14:textId="77777777" w:rsidR="007734A2" w:rsidRDefault="007734A2" w:rsidP="00B31989">
      <w:pPr>
        <w:spacing w:after="0" w:line="240" w:lineRule="auto"/>
        <w:jc w:val="both"/>
        <w:rPr>
          <w:rFonts w:ascii="Times New Roman" w:hAnsi="Times New Roman" w:cs="Times New Roman"/>
          <w:color w:val="000000" w:themeColor="text1"/>
          <w:sz w:val="23"/>
          <w:szCs w:val="23"/>
          <w:lang w:val="en-US"/>
        </w:rPr>
      </w:pPr>
    </w:p>
    <w:p w14:paraId="56A72545" w14:textId="77777777" w:rsidR="007734A2" w:rsidRPr="00A53C54" w:rsidRDefault="007734A2" w:rsidP="00A53C54">
      <w:pPr>
        <w:spacing w:after="0" w:line="240" w:lineRule="auto"/>
        <w:jc w:val="center"/>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t>[Insert Table V here]</w:t>
      </w:r>
    </w:p>
    <w:p w14:paraId="654DB768" w14:textId="77777777" w:rsidR="00B31989" w:rsidRPr="00983193" w:rsidRDefault="00B31989" w:rsidP="00B31989">
      <w:pPr>
        <w:spacing w:after="0" w:line="240" w:lineRule="auto"/>
        <w:jc w:val="both"/>
        <w:rPr>
          <w:rFonts w:ascii="Times New Roman" w:hAnsi="Times New Roman" w:cs="Times New Roman"/>
          <w:color w:val="000000" w:themeColor="text1"/>
          <w:sz w:val="23"/>
          <w:szCs w:val="23"/>
          <w:lang w:val="en-US"/>
        </w:rPr>
      </w:pPr>
    </w:p>
    <w:p w14:paraId="71820DD5" w14:textId="77777777" w:rsidR="00225E4F" w:rsidRPr="00983193" w:rsidRDefault="00FC1066" w:rsidP="00B31989">
      <w:pPr>
        <w:spacing w:after="0" w:line="240" w:lineRule="auto"/>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For Model 1 with </w:t>
      </w:r>
      <w:r w:rsidRPr="00A53C54">
        <w:rPr>
          <w:rFonts w:ascii="Times New Roman" w:hAnsi="Times New Roman" w:cs="Times New Roman"/>
          <w:i/>
          <w:color w:val="000000" w:themeColor="text1"/>
          <w:sz w:val="23"/>
          <w:szCs w:val="23"/>
          <w:lang w:val="en-US"/>
        </w:rPr>
        <w:t>M</w:t>
      </w:r>
      <w:r w:rsidR="000778B6">
        <w:rPr>
          <w:rFonts w:ascii="Times New Roman" w:hAnsi="Times New Roman" w:cs="Times New Roman"/>
          <w:i/>
          <w:color w:val="000000" w:themeColor="text1"/>
          <w:sz w:val="23"/>
          <w:szCs w:val="23"/>
          <w:lang w:val="en-US"/>
        </w:rPr>
        <w:t>t</w:t>
      </w:r>
      <w:r w:rsidRPr="00A53C54">
        <w:rPr>
          <w:rFonts w:ascii="Times New Roman" w:hAnsi="Times New Roman" w:cs="Times New Roman"/>
          <w:i/>
          <w:color w:val="000000" w:themeColor="text1"/>
          <w:sz w:val="23"/>
          <w:szCs w:val="23"/>
          <w:lang w:val="en-US"/>
        </w:rPr>
        <w:t>B</w:t>
      </w:r>
      <w:r>
        <w:rPr>
          <w:rFonts w:ascii="Times New Roman" w:hAnsi="Times New Roman" w:cs="Times New Roman"/>
          <w:color w:val="000000" w:themeColor="text1"/>
          <w:sz w:val="23"/>
          <w:szCs w:val="23"/>
          <w:lang w:val="en-US"/>
        </w:rPr>
        <w:t xml:space="preserve"> as the dependent, t</w:t>
      </w:r>
      <w:r w:rsidR="00B31989" w:rsidRPr="00983193">
        <w:rPr>
          <w:rFonts w:ascii="Times New Roman" w:hAnsi="Times New Roman" w:cs="Times New Roman"/>
          <w:color w:val="000000" w:themeColor="text1"/>
          <w:sz w:val="23"/>
          <w:szCs w:val="23"/>
          <w:lang w:val="en-US"/>
        </w:rPr>
        <w:t xml:space="preserve">he coefficient of </w:t>
      </w:r>
      <w:r w:rsidR="00E62D3E" w:rsidRPr="00A53C54">
        <w:rPr>
          <w:rFonts w:ascii="Times New Roman" w:hAnsi="Times New Roman" w:cs="Times New Roman"/>
          <w:i/>
          <w:noProof/>
          <w:color w:val="000000" w:themeColor="text1"/>
          <w:sz w:val="23"/>
          <w:szCs w:val="23"/>
          <w:lang w:val="en-US"/>
        </w:rPr>
        <w:t>ln</w:t>
      </w:r>
      <w:r w:rsidR="00B31989" w:rsidRPr="00A53C54">
        <w:rPr>
          <w:rFonts w:ascii="Times New Roman" w:hAnsi="Times New Roman" w:cs="Times New Roman"/>
          <w:i/>
          <w:noProof/>
          <w:color w:val="000000" w:themeColor="text1"/>
          <w:sz w:val="23"/>
          <w:szCs w:val="23"/>
          <w:lang w:val="en-US"/>
        </w:rPr>
        <w:t>TINT</w:t>
      </w:r>
      <w:r w:rsidR="00B31989" w:rsidRPr="00983193">
        <w:rPr>
          <w:rFonts w:ascii="Times New Roman" w:hAnsi="Times New Roman" w:cs="Times New Roman"/>
          <w:color w:val="000000" w:themeColor="text1"/>
          <w:sz w:val="23"/>
          <w:szCs w:val="23"/>
          <w:lang w:val="en-US"/>
        </w:rPr>
        <w:t xml:space="preserve"> </w:t>
      </w:r>
      <w:r w:rsidR="003D2413" w:rsidRPr="00983193">
        <w:rPr>
          <w:rFonts w:ascii="Times New Roman" w:hAnsi="Times New Roman" w:cs="Times New Roman"/>
          <w:color w:val="000000" w:themeColor="text1"/>
          <w:sz w:val="23"/>
          <w:szCs w:val="23"/>
          <w:lang w:val="en-US"/>
        </w:rPr>
        <w:t xml:space="preserve">in model 1 </w:t>
      </w:r>
      <w:r w:rsidR="0036029A" w:rsidRPr="00983193">
        <w:rPr>
          <w:rFonts w:ascii="Times New Roman" w:hAnsi="Times New Roman" w:cs="Times New Roman"/>
          <w:color w:val="000000" w:themeColor="text1"/>
          <w:sz w:val="23"/>
          <w:szCs w:val="23"/>
          <w:lang w:val="en-US"/>
        </w:rPr>
        <w:t xml:space="preserve">is </w:t>
      </w:r>
      <w:r w:rsidR="00B31989" w:rsidRPr="00983193">
        <w:rPr>
          <w:rFonts w:ascii="Times New Roman" w:hAnsi="Times New Roman" w:cs="Times New Roman"/>
          <w:color w:val="000000" w:themeColor="text1"/>
          <w:sz w:val="23"/>
          <w:szCs w:val="23"/>
          <w:lang w:val="en-US"/>
        </w:rPr>
        <w:t>positive</w:t>
      </w:r>
      <w:r w:rsidR="0036029A" w:rsidRPr="00983193">
        <w:rPr>
          <w:rFonts w:ascii="Times New Roman" w:hAnsi="Times New Roman" w:cs="Times New Roman"/>
          <w:color w:val="000000" w:themeColor="text1"/>
          <w:sz w:val="23"/>
          <w:szCs w:val="23"/>
          <w:lang w:val="en-US"/>
        </w:rPr>
        <w:t>, consistent with expectations,</w:t>
      </w:r>
      <w:r w:rsidR="00B31989" w:rsidRPr="00983193">
        <w:rPr>
          <w:rFonts w:ascii="Times New Roman" w:hAnsi="Times New Roman" w:cs="Times New Roman"/>
          <w:color w:val="000000" w:themeColor="text1"/>
          <w:sz w:val="23"/>
          <w:szCs w:val="23"/>
          <w:lang w:val="en-US"/>
        </w:rPr>
        <w:t xml:space="preserve"> and significant at the </w:t>
      </w:r>
      <w:r w:rsidR="00811A5F" w:rsidRPr="00983193">
        <w:rPr>
          <w:rFonts w:ascii="Times New Roman" w:hAnsi="Times New Roman" w:cs="Times New Roman"/>
          <w:color w:val="000000" w:themeColor="text1"/>
          <w:sz w:val="23"/>
          <w:szCs w:val="23"/>
          <w:lang w:val="en-US"/>
        </w:rPr>
        <w:t>5</w:t>
      </w:r>
      <w:r w:rsidR="00B31989" w:rsidRPr="00983193">
        <w:rPr>
          <w:rFonts w:ascii="Times New Roman" w:hAnsi="Times New Roman" w:cs="Times New Roman"/>
          <w:color w:val="000000" w:themeColor="text1"/>
          <w:sz w:val="23"/>
          <w:szCs w:val="23"/>
          <w:lang w:val="en-US"/>
        </w:rPr>
        <w:t xml:space="preserve">% level. </w:t>
      </w:r>
      <w:r w:rsidR="00D53034">
        <w:rPr>
          <w:rFonts w:ascii="Times New Roman" w:hAnsi="Times New Roman" w:cs="Times New Roman"/>
          <w:color w:val="000000" w:themeColor="text1"/>
          <w:sz w:val="23"/>
          <w:szCs w:val="23"/>
          <w:lang w:val="en-US"/>
        </w:rPr>
        <w:t>C</w:t>
      </w:r>
      <w:r w:rsidR="00B31989" w:rsidRPr="00983193">
        <w:rPr>
          <w:rFonts w:ascii="Times New Roman" w:hAnsi="Times New Roman" w:cs="Times New Roman"/>
          <w:color w:val="000000" w:themeColor="text1"/>
          <w:sz w:val="23"/>
          <w:szCs w:val="23"/>
          <w:lang w:val="en-US"/>
        </w:rPr>
        <w:t xml:space="preserve">onsistent with Stewart (1997), Brennan (2001) Ordóñez de Pablos (2003), </w:t>
      </w:r>
      <w:r w:rsidR="00D53034" w:rsidRPr="00983193">
        <w:rPr>
          <w:rFonts w:ascii="Times New Roman" w:hAnsi="Times New Roman" w:cs="Times New Roman"/>
          <w:color w:val="000000" w:themeColor="text1"/>
          <w:sz w:val="23"/>
          <w:szCs w:val="23"/>
          <w:lang w:val="en-US"/>
        </w:rPr>
        <w:t>Villalonga (2004)</w:t>
      </w:r>
      <w:r w:rsidR="00D53034">
        <w:rPr>
          <w:rFonts w:ascii="Times New Roman" w:hAnsi="Times New Roman" w:cs="Times New Roman"/>
          <w:color w:val="000000" w:themeColor="text1"/>
          <w:sz w:val="23"/>
          <w:szCs w:val="23"/>
          <w:lang w:val="en-US"/>
        </w:rPr>
        <w:t>,</w:t>
      </w:r>
      <w:r w:rsidR="00D53034" w:rsidRPr="00983193">
        <w:rPr>
          <w:rFonts w:ascii="Times New Roman" w:hAnsi="Times New Roman" w:cs="Times New Roman"/>
          <w:color w:val="000000" w:themeColor="text1"/>
          <w:sz w:val="23"/>
          <w:szCs w:val="23"/>
          <w:lang w:val="en-US"/>
        </w:rPr>
        <w:t xml:space="preserve"> and Cazavan-Jeny (</w:t>
      </w:r>
      <w:r w:rsidR="00D53034" w:rsidRPr="001855D6">
        <w:rPr>
          <w:rFonts w:ascii="Times New Roman" w:hAnsi="Times New Roman" w:cs="Times New Roman"/>
          <w:noProof/>
          <w:color w:val="000000" w:themeColor="text1"/>
          <w:sz w:val="23"/>
          <w:szCs w:val="23"/>
          <w:lang w:val="en-US"/>
        </w:rPr>
        <w:t>2004)</w:t>
      </w:r>
      <w:r w:rsidR="00D53034">
        <w:rPr>
          <w:rFonts w:ascii="Times New Roman" w:hAnsi="Times New Roman" w:cs="Times New Roman"/>
          <w:noProof/>
          <w:color w:val="000000" w:themeColor="text1"/>
          <w:sz w:val="23"/>
          <w:szCs w:val="23"/>
          <w:lang w:val="en-US"/>
        </w:rPr>
        <w:t xml:space="preserve">, </w:t>
      </w:r>
      <w:r w:rsidR="00B31989" w:rsidRPr="00983193">
        <w:rPr>
          <w:rFonts w:ascii="Times New Roman" w:hAnsi="Times New Roman" w:cs="Times New Roman"/>
          <w:color w:val="000000" w:themeColor="text1"/>
          <w:sz w:val="23"/>
          <w:szCs w:val="23"/>
          <w:lang w:val="en-US"/>
        </w:rPr>
        <w:t xml:space="preserve">this positive relationship underlines </w:t>
      </w:r>
      <w:r w:rsidR="00D53034">
        <w:rPr>
          <w:rFonts w:ascii="Times New Roman" w:hAnsi="Times New Roman" w:cs="Times New Roman"/>
          <w:color w:val="000000" w:themeColor="text1"/>
          <w:sz w:val="23"/>
          <w:szCs w:val="23"/>
          <w:lang w:val="en-US"/>
        </w:rPr>
        <w:t xml:space="preserve">the argument </w:t>
      </w:r>
      <w:r w:rsidR="00B31989" w:rsidRPr="00983193">
        <w:rPr>
          <w:rFonts w:ascii="Times New Roman" w:hAnsi="Times New Roman" w:cs="Times New Roman"/>
          <w:color w:val="000000" w:themeColor="text1"/>
          <w:sz w:val="23"/>
          <w:szCs w:val="23"/>
          <w:lang w:val="en-US"/>
        </w:rPr>
        <w:t xml:space="preserve">that the </w:t>
      </w:r>
      <w:r w:rsidR="00B31989" w:rsidRPr="00A53C54">
        <w:rPr>
          <w:rFonts w:ascii="Times New Roman" w:hAnsi="Times New Roman" w:cs="Times New Roman"/>
          <w:i/>
          <w:color w:val="000000" w:themeColor="text1"/>
          <w:sz w:val="23"/>
          <w:szCs w:val="23"/>
          <w:lang w:val="en-US"/>
        </w:rPr>
        <w:t>M</w:t>
      </w:r>
      <w:r w:rsidR="000778B6">
        <w:rPr>
          <w:rFonts w:ascii="Times New Roman" w:hAnsi="Times New Roman" w:cs="Times New Roman"/>
          <w:i/>
          <w:color w:val="000000" w:themeColor="text1"/>
          <w:sz w:val="23"/>
          <w:szCs w:val="23"/>
          <w:lang w:val="en-US"/>
        </w:rPr>
        <w:t>t</w:t>
      </w:r>
      <w:r w:rsidR="00B31989" w:rsidRPr="00A53C54">
        <w:rPr>
          <w:rFonts w:ascii="Times New Roman" w:hAnsi="Times New Roman" w:cs="Times New Roman"/>
          <w:i/>
          <w:color w:val="000000" w:themeColor="text1"/>
          <w:sz w:val="23"/>
          <w:szCs w:val="23"/>
          <w:lang w:val="en-US"/>
        </w:rPr>
        <w:t>B</w:t>
      </w:r>
      <w:r w:rsidR="00B31989" w:rsidRPr="00983193">
        <w:rPr>
          <w:rFonts w:ascii="Times New Roman" w:hAnsi="Times New Roman" w:cs="Times New Roman"/>
          <w:color w:val="000000" w:themeColor="text1"/>
          <w:sz w:val="23"/>
          <w:szCs w:val="23"/>
          <w:lang w:val="en-US"/>
        </w:rPr>
        <w:t xml:space="preserve"> ratio represents a</w:t>
      </w:r>
      <w:r w:rsidR="00D53034">
        <w:rPr>
          <w:rFonts w:ascii="Times New Roman" w:hAnsi="Times New Roman" w:cs="Times New Roman"/>
          <w:color w:val="000000" w:themeColor="text1"/>
          <w:sz w:val="23"/>
          <w:szCs w:val="23"/>
          <w:lang w:val="en-US"/>
        </w:rPr>
        <w:t xml:space="preserve"> fair</w:t>
      </w:r>
      <w:r w:rsidR="00B31989" w:rsidRPr="00983193">
        <w:rPr>
          <w:rFonts w:ascii="Times New Roman" w:hAnsi="Times New Roman" w:cs="Times New Roman"/>
          <w:color w:val="000000" w:themeColor="text1"/>
          <w:sz w:val="23"/>
          <w:szCs w:val="23"/>
          <w:lang w:val="en-US"/>
        </w:rPr>
        <w:t xml:space="preserve"> approximat</w:t>
      </w:r>
      <w:r w:rsidR="00D53034">
        <w:rPr>
          <w:rFonts w:ascii="Times New Roman" w:hAnsi="Times New Roman" w:cs="Times New Roman"/>
          <w:color w:val="000000" w:themeColor="text1"/>
          <w:sz w:val="23"/>
          <w:szCs w:val="23"/>
          <w:lang w:val="en-US"/>
        </w:rPr>
        <w:t>ion</w:t>
      </w:r>
      <w:r w:rsidR="00B31989" w:rsidRPr="00983193">
        <w:rPr>
          <w:rFonts w:ascii="Times New Roman" w:hAnsi="Times New Roman" w:cs="Times New Roman"/>
          <w:color w:val="000000" w:themeColor="text1"/>
          <w:sz w:val="23"/>
          <w:szCs w:val="23"/>
          <w:lang w:val="en-US"/>
        </w:rPr>
        <w:t xml:space="preserve"> of IC. </w:t>
      </w:r>
      <w:r w:rsidR="00D53034">
        <w:rPr>
          <w:rFonts w:ascii="Times New Roman" w:hAnsi="Times New Roman" w:cs="Times New Roman"/>
          <w:color w:val="000000" w:themeColor="text1"/>
          <w:sz w:val="23"/>
          <w:szCs w:val="23"/>
          <w:lang w:val="en-US"/>
        </w:rPr>
        <w:t>It</w:t>
      </w:r>
      <w:r w:rsidR="00930285" w:rsidRPr="00983193">
        <w:rPr>
          <w:rFonts w:ascii="Times New Roman" w:hAnsi="Times New Roman" w:cs="Times New Roman"/>
          <w:color w:val="000000" w:themeColor="text1"/>
          <w:sz w:val="23"/>
          <w:szCs w:val="23"/>
          <w:lang w:val="en-US"/>
        </w:rPr>
        <w:t xml:space="preserve"> also suggests that investors and financial markets may place</w:t>
      </w:r>
      <w:r w:rsidR="001855D6">
        <w:rPr>
          <w:rFonts w:ascii="Times New Roman" w:hAnsi="Times New Roman" w:cs="Times New Roman"/>
          <w:color w:val="000000" w:themeColor="text1"/>
          <w:sz w:val="23"/>
          <w:szCs w:val="23"/>
          <w:lang w:val="en-US"/>
        </w:rPr>
        <w:t xml:space="preserve"> </w:t>
      </w:r>
      <w:r w:rsidR="00D53034">
        <w:rPr>
          <w:rFonts w:ascii="Times New Roman" w:hAnsi="Times New Roman" w:cs="Times New Roman"/>
          <w:color w:val="000000" w:themeColor="text1"/>
          <w:sz w:val="23"/>
          <w:szCs w:val="23"/>
          <w:lang w:val="en-US"/>
        </w:rPr>
        <w:t>significant</w:t>
      </w:r>
      <w:r w:rsidR="00930285" w:rsidRPr="00983193">
        <w:rPr>
          <w:rFonts w:ascii="Times New Roman" w:hAnsi="Times New Roman" w:cs="Times New Roman"/>
          <w:color w:val="000000" w:themeColor="text1"/>
          <w:sz w:val="23"/>
          <w:szCs w:val="23"/>
          <w:lang w:val="en-US"/>
        </w:rPr>
        <w:t xml:space="preserve"> emphasis on investments in intangible assets. </w:t>
      </w:r>
      <w:r w:rsidR="00B31989" w:rsidRPr="00983193">
        <w:rPr>
          <w:rFonts w:ascii="Times New Roman" w:hAnsi="Times New Roman" w:cs="Times New Roman"/>
          <w:color w:val="000000" w:themeColor="text1"/>
          <w:sz w:val="23"/>
          <w:szCs w:val="23"/>
          <w:lang w:val="en-US"/>
        </w:rPr>
        <w:t>More specifically,</w:t>
      </w:r>
      <w:r w:rsidR="001855D6">
        <w:rPr>
          <w:rFonts w:ascii="Times New Roman" w:hAnsi="Times New Roman" w:cs="Times New Roman"/>
          <w:color w:val="000000" w:themeColor="text1"/>
          <w:sz w:val="23"/>
          <w:szCs w:val="23"/>
          <w:lang w:val="en-US"/>
        </w:rPr>
        <w:t xml:space="preserve"> the</w:t>
      </w:r>
      <w:r w:rsidR="00B31989" w:rsidRPr="00983193">
        <w:rPr>
          <w:rFonts w:ascii="Times New Roman" w:hAnsi="Times New Roman" w:cs="Times New Roman"/>
          <w:color w:val="000000" w:themeColor="text1"/>
          <w:sz w:val="23"/>
          <w:szCs w:val="23"/>
          <w:lang w:val="en-US"/>
        </w:rPr>
        <w:t xml:space="preserve"> </w:t>
      </w:r>
      <w:r w:rsidR="00B31989" w:rsidRPr="001855D6">
        <w:rPr>
          <w:rFonts w:ascii="Times New Roman" w:hAnsi="Times New Roman" w:cs="Times New Roman"/>
          <w:noProof/>
          <w:color w:val="000000" w:themeColor="text1"/>
          <w:sz w:val="23"/>
          <w:szCs w:val="23"/>
          <w:lang w:val="en-US"/>
        </w:rPr>
        <w:t>value</w:t>
      </w:r>
      <w:r w:rsidR="00B31989" w:rsidRPr="00983193">
        <w:rPr>
          <w:rFonts w:ascii="Times New Roman" w:hAnsi="Times New Roman" w:cs="Times New Roman"/>
          <w:color w:val="000000" w:themeColor="text1"/>
          <w:sz w:val="23"/>
          <w:szCs w:val="23"/>
          <w:lang w:val="en-US"/>
        </w:rPr>
        <w:t xml:space="preserve"> generated by intangibles </w:t>
      </w:r>
      <w:r w:rsidR="00D53034">
        <w:rPr>
          <w:rFonts w:ascii="Times New Roman" w:hAnsi="Times New Roman" w:cs="Times New Roman"/>
          <w:color w:val="000000" w:themeColor="text1"/>
          <w:sz w:val="23"/>
          <w:szCs w:val="23"/>
          <w:lang w:val="en-US"/>
        </w:rPr>
        <w:t>may</w:t>
      </w:r>
      <w:r w:rsidR="00B31989" w:rsidRPr="00983193">
        <w:rPr>
          <w:rFonts w:ascii="Times New Roman" w:hAnsi="Times New Roman" w:cs="Times New Roman"/>
          <w:color w:val="000000" w:themeColor="text1"/>
          <w:sz w:val="23"/>
          <w:szCs w:val="23"/>
          <w:lang w:val="en-US"/>
        </w:rPr>
        <w:t xml:space="preserve"> not always </w:t>
      </w:r>
      <w:r w:rsidR="00D53034">
        <w:rPr>
          <w:rFonts w:ascii="Times New Roman" w:hAnsi="Times New Roman" w:cs="Times New Roman"/>
          <w:color w:val="000000" w:themeColor="text1"/>
          <w:sz w:val="23"/>
          <w:szCs w:val="23"/>
          <w:lang w:val="en-US"/>
        </w:rPr>
        <w:t xml:space="preserve">be </w:t>
      </w:r>
      <w:r w:rsidR="00B31989" w:rsidRPr="00983193">
        <w:rPr>
          <w:rFonts w:ascii="Times New Roman" w:hAnsi="Times New Roman" w:cs="Times New Roman"/>
          <w:color w:val="000000" w:themeColor="text1"/>
          <w:sz w:val="23"/>
          <w:szCs w:val="23"/>
          <w:lang w:val="en-US"/>
        </w:rPr>
        <w:t xml:space="preserve">reflected in the financial statements, </w:t>
      </w:r>
      <w:r w:rsidR="00D53034">
        <w:rPr>
          <w:rFonts w:ascii="Times New Roman" w:hAnsi="Times New Roman" w:cs="Times New Roman"/>
          <w:color w:val="000000" w:themeColor="text1"/>
          <w:sz w:val="23"/>
          <w:szCs w:val="23"/>
          <w:lang w:val="en-US"/>
        </w:rPr>
        <w:t>while</w:t>
      </w:r>
      <w:r w:rsidR="00D53034" w:rsidRPr="00983193">
        <w:rPr>
          <w:rFonts w:ascii="Times New Roman" w:hAnsi="Times New Roman" w:cs="Times New Roman"/>
          <w:color w:val="000000" w:themeColor="text1"/>
          <w:sz w:val="23"/>
          <w:szCs w:val="23"/>
          <w:lang w:val="en-US"/>
        </w:rPr>
        <w:t xml:space="preserve"> </w:t>
      </w:r>
      <w:r w:rsidR="00B31989" w:rsidRPr="00983193">
        <w:rPr>
          <w:rFonts w:ascii="Times New Roman" w:hAnsi="Times New Roman" w:cs="Times New Roman"/>
          <w:color w:val="000000" w:themeColor="text1"/>
          <w:sz w:val="23"/>
          <w:szCs w:val="23"/>
          <w:lang w:val="en-US"/>
        </w:rPr>
        <w:t xml:space="preserve">forward-looking companies realize that such assets are an integral </w:t>
      </w:r>
      <w:r w:rsidR="00D53034">
        <w:rPr>
          <w:rFonts w:ascii="Times New Roman" w:hAnsi="Times New Roman" w:cs="Times New Roman"/>
          <w:color w:val="000000" w:themeColor="text1"/>
          <w:sz w:val="23"/>
          <w:szCs w:val="23"/>
          <w:lang w:val="en-US"/>
        </w:rPr>
        <w:t>facilitator</w:t>
      </w:r>
      <w:r w:rsidR="00D53034" w:rsidRPr="00983193">
        <w:rPr>
          <w:rFonts w:ascii="Times New Roman" w:hAnsi="Times New Roman" w:cs="Times New Roman"/>
          <w:color w:val="000000" w:themeColor="text1"/>
          <w:sz w:val="23"/>
          <w:szCs w:val="23"/>
          <w:lang w:val="en-US"/>
        </w:rPr>
        <w:t xml:space="preserve"> </w:t>
      </w:r>
      <w:r w:rsidR="00B31989" w:rsidRPr="00983193">
        <w:rPr>
          <w:rFonts w:ascii="Times New Roman" w:hAnsi="Times New Roman" w:cs="Times New Roman"/>
          <w:color w:val="000000" w:themeColor="text1"/>
          <w:sz w:val="23"/>
          <w:szCs w:val="23"/>
          <w:lang w:val="en-US"/>
        </w:rPr>
        <w:t xml:space="preserve">of the performance of their business. Thus, increasing investment in (recognized) IA tends to increase the market to book ratio in firms </w:t>
      </w:r>
      <w:r w:rsidR="00D53034">
        <w:rPr>
          <w:rFonts w:ascii="Times New Roman" w:hAnsi="Times New Roman" w:cs="Times New Roman"/>
          <w:color w:val="000000" w:themeColor="text1"/>
          <w:sz w:val="23"/>
          <w:szCs w:val="23"/>
          <w:lang w:val="en-US"/>
        </w:rPr>
        <w:t>as</w:t>
      </w:r>
      <w:r w:rsidR="00B31989" w:rsidRPr="00983193">
        <w:rPr>
          <w:rFonts w:ascii="Times New Roman" w:hAnsi="Times New Roman" w:cs="Times New Roman"/>
          <w:color w:val="000000" w:themeColor="text1"/>
          <w:sz w:val="23"/>
          <w:szCs w:val="23"/>
          <w:lang w:val="en-US"/>
        </w:rPr>
        <w:t xml:space="preserve"> financial market</w:t>
      </w:r>
      <w:r w:rsidR="00D53034">
        <w:rPr>
          <w:rFonts w:ascii="Times New Roman" w:hAnsi="Times New Roman" w:cs="Times New Roman"/>
          <w:color w:val="000000" w:themeColor="text1"/>
          <w:sz w:val="23"/>
          <w:szCs w:val="23"/>
          <w:lang w:val="en-US"/>
        </w:rPr>
        <w:t xml:space="preserve">s </w:t>
      </w:r>
      <w:r w:rsidR="00B31989" w:rsidRPr="00983193">
        <w:rPr>
          <w:rFonts w:ascii="Times New Roman" w:hAnsi="Times New Roman" w:cs="Times New Roman"/>
          <w:color w:val="000000" w:themeColor="text1"/>
          <w:sz w:val="23"/>
          <w:szCs w:val="23"/>
          <w:lang w:val="en-US"/>
        </w:rPr>
        <w:t xml:space="preserve"> “read” the signal of higher future firm value. </w:t>
      </w:r>
      <w:r w:rsidR="00D53034">
        <w:rPr>
          <w:rFonts w:ascii="Times New Roman" w:hAnsi="Times New Roman" w:cs="Times New Roman"/>
          <w:color w:val="000000" w:themeColor="text1"/>
          <w:sz w:val="23"/>
          <w:szCs w:val="23"/>
          <w:lang w:val="en-US"/>
        </w:rPr>
        <w:t>Thus</w:t>
      </w:r>
      <w:r w:rsidR="000D56DE" w:rsidRPr="00983193">
        <w:rPr>
          <w:rFonts w:ascii="Times New Roman" w:hAnsi="Times New Roman" w:cs="Times New Roman"/>
          <w:color w:val="000000" w:themeColor="text1"/>
          <w:sz w:val="23"/>
          <w:szCs w:val="23"/>
          <w:lang w:val="en-US"/>
        </w:rPr>
        <w:t xml:space="preserve">, hypothesis H1a is </w:t>
      </w:r>
      <w:r w:rsidR="00D53034">
        <w:rPr>
          <w:rFonts w:ascii="Times New Roman" w:hAnsi="Times New Roman" w:cs="Times New Roman"/>
          <w:color w:val="000000" w:themeColor="text1"/>
          <w:sz w:val="23"/>
          <w:szCs w:val="23"/>
          <w:lang w:val="en-US"/>
        </w:rPr>
        <w:t>supported</w:t>
      </w:r>
      <w:r w:rsidR="000D56DE" w:rsidRPr="00983193">
        <w:rPr>
          <w:rFonts w:ascii="Times New Roman" w:hAnsi="Times New Roman" w:cs="Times New Roman"/>
          <w:color w:val="000000" w:themeColor="text1"/>
          <w:sz w:val="23"/>
          <w:szCs w:val="23"/>
          <w:lang w:val="en-US"/>
        </w:rPr>
        <w:t xml:space="preserve">. </w:t>
      </w:r>
    </w:p>
    <w:p w14:paraId="2559AAA7" w14:textId="77777777" w:rsidR="00225E4F" w:rsidRPr="00983193" w:rsidRDefault="00415DD5" w:rsidP="00B31989">
      <w:pPr>
        <w:spacing w:after="0" w:line="240" w:lineRule="auto"/>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A413E1" w:rsidRPr="00983193">
        <w:rPr>
          <w:rFonts w:ascii="Times New Roman" w:hAnsi="Times New Roman" w:cs="Times New Roman"/>
          <w:color w:val="000000" w:themeColor="text1"/>
          <w:sz w:val="23"/>
          <w:szCs w:val="23"/>
          <w:lang w:val="en-US"/>
        </w:rPr>
        <w:t xml:space="preserve">The coefficient of the variable </w:t>
      </w:r>
      <w:r w:rsidR="00A413E1" w:rsidRPr="00A53C54">
        <w:rPr>
          <w:rFonts w:ascii="Times New Roman" w:hAnsi="Times New Roman" w:cs="Times New Roman"/>
          <w:i/>
          <w:color w:val="000000" w:themeColor="text1"/>
          <w:sz w:val="23"/>
          <w:szCs w:val="23"/>
          <w:lang w:val="en-US"/>
        </w:rPr>
        <w:t>ROA</w:t>
      </w:r>
      <w:r w:rsidR="00A413E1" w:rsidRPr="00983193">
        <w:rPr>
          <w:rFonts w:ascii="Times New Roman" w:hAnsi="Times New Roman" w:cs="Times New Roman"/>
          <w:color w:val="000000" w:themeColor="text1"/>
          <w:sz w:val="23"/>
          <w:szCs w:val="23"/>
          <w:lang w:val="en-US"/>
        </w:rPr>
        <w:t xml:space="preserve"> is positive, </w:t>
      </w:r>
      <w:r w:rsidR="001C5CBF" w:rsidRPr="00983193">
        <w:rPr>
          <w:rFonts w:ascii="Times New Roman" w:hAnsi="Times New Roman" w:cs="Times New Roman"/>
          <w:color w:val="000000" w:themeColor="text1"/>
          <w:sz w:val="23"/>
          <w:szCs w:val="23"/>
          <w:lang w:val="en-US"/>
        </w:rPr>
        <w:t>consistent with expectations</w:t>
      </w:r>
      <w:r w:rsidR="00A413E1" w:rsidRPr="00983193">
        <w:rPr>
          <w:rFonts w:ascii="Times New Roman" w:hAnsi="Times New Roman" w:cs="Times New Roman"/>
          <w:color w:val="000000" w:themeColor="text1"/>
          <w:sz w:val="23"/>
          <w:szCs w:val="23"/>
          <w:lang w:val="en-US"/>
        </w:rPr>
        <w:t xml:space="preserve">, </w:t>
      </w:r>
      <w:r w:rsidR="0036029A" w:rsidRPr="00983193">
        <w:rPr>
          <w:rFonts w:ascii="Times New Roman" w:hAnsi="Times New Roman" w:cs="Times New Roman"/>
          <w:color w:val="000000" w:themeColor="text1"/>
          <w:sz w:val="23"/>
          <w:szCs w:val="23"/>
          <w:lang w:val="en-US"/>
        </w:rPr>
        <w:t xml:space="preserve">and </w:t>
      </w:r>
      <w:r w:rsidR="00A413E1" w:rsidRPr="00983193">
        <w:rPr>
          <w:rFonts w:ascii="Times New Roman" w:hAnsi="Times New Roman" w:cs="Times New Roman"/>
          <w:color w:val="000000" w:themeColor="text1"/>
          <w:sz w:val="23"/>
          <w:szCs w:val="23"/>
          <w:lang w:val="en-US"/>
        </w:rPr>
        <w:t xml:space="preserve">significant at </w:t>
      </w:r>
      <w:r w:rsidR="00D53034">
        <w:rPr>
          <w:rFonts w:ascii="Times New Roman" w:hAnsi="Times New Roman" w:cs="Times New Roman"/>
          <w:color w:val="000000" w:themeColor="text1"/>
          <w:sz w:val="23"/>
          <w:szCs w:val="23"/>
          <w:lang w:val="en-US"/>
        </w:rPr>
        <w:t xml:space="preserve">the </w:t>
      </w:r>
      <w:r w:rsidR="00A413E1" w:rsidRPr="00983193">
        <w:rPr>
          <w:rFonts w:ascii="Times New Roman" w:hAnsi="Times New Roman" w:cs="Times New Roman"/>
          <w:color w:val="000000" w:themeColor="text1"/>
          <w:sz w:val="23"/>
          <w:szCs w:val="23"/>
          <w:lang w:val="en-US"/>
        </w:rPr>
        <w:t xml:space="preserve">5% level. </w:t>
      </w:r>
      <w:r w:rsidR="000D4A98" w:rsidRPr="00983193">
        <w:rPr>
          <w:rFonts w:ascii="Times New Roman" w:hAnsi="Times New Roman" w:cs="Times New Roman"/>
          <w:color w:val="000000" w:themeColor="text1"/>
          <w:sz w:val="23"/>
          <w:szCs w:val="23"/>
          <w:lang w:val="en-US"/>
        </w:rPr>
        <w:t xml:space="preserve">Thus, increasing firm profitability leads to an increase in firm </w:t>
      </w:r>
      <w:r w:rsidR="000D4A98" w:rsidRPr="00A53C54">
        <w:rPr>
          <w:rFonts w:ascii="Times New Roman" w:hAnsi="Times New Roman" w:cs="Times New Roman"/>
          <w:i/>
          <w:color w:val="000000" w:themeColor="text1"/>
          <w:sz w:val="23"/>
          <w:szCs w:val="23"/>
          <w:lang w:val="en-US"/>
        </w:rPr>
        <w:t>M</w:t>
      </w:r>
      <w:r w:rsidR="000778B6">
        <w:rPr>
          <w:rFonts w:ascii="Times New Roman" w:hAnsi="Times New Roman" w:cs="Times New Roman"/>
          <w:i/>
          <w:color w:val="000000" w:themeColor="text1"/>
          <w:sz w:val="23"/>
          <w:szCs w:val="23"/>
          <w:lang w:val="en-US"/>
        </w:rPr>
        <w:t>t</w:t>
      </w:r>
      <w:r w:rsidR="000D4A98" w:rsidRPr="00A53C54">
        <w:rPr>
          <w:rFonts w:ascii="Times New Roman" w:hAnsi="Times New Roman" w:cs="Times New Roman"/>
          <w:i/>
          <w:color w:val="000000" w:themeColor="text1"/>
          <w:sz w:val="23"/>
          <w:szCs w:val="23"/>
          <w:lang w:val="en-US"/>
        </w:rPr>
        <w:t>B</w:t>
      </w:r>
      <w:r w:rsidR="000D4A98" w:rsidRPr="00983193">
        <w:rPr>
          <w:rFonts w:ascii="Times New Roman" w:hAnsi="Times New Roman" w:cs="Times New Roman"/>
          <w:color w:val="000000" w:themeColor="text1"/>
          <w:sz w:val="23"/>
          <w:szCs w:val="23"/>
          <w:lang w:val="en-US"/>
        </w:rPr>
        <w:t xml:space="preserve"> ratios. </w:t>
      </w:r>
      <w:r w:rsidR="00A413E1" w:rsidRPr="00983193">
        <w:rPr>
          <w:rFonts w:ascii="Times New Roman" w:hAnsi="Times New Roman" w:cs="Times New Roman"/>
          <w:color w:val="000000" w:themeColor="text1"/>
          <w:sz w:val="23"/>
          <w:szCs w:val="23"/>
          <w:lang w:val="en-US"/>
        </w:rPr>
        <w:t xml:space="preserve">This finding is consistent with </w:t>
      </w:r>
      <w:r w:rsidR="00A035C6" w:rsidRPr="00983193">
        <w:rPr>
          <w:rFonts w:ascii="Times New Roman" w:hAnsi="Times New Roman" w:cs="Times New Roman"/>
          <w:color w:val="000000" w:themeColor="text1"/>
          <w:sz w:val="23"/>
          <w:szCs w:val="23"/>
          <w:lang w:val="en-US"/>
        </w:rPr>
        <w:t>Cazavan-Je</w:t>
      </w:r>
      <w:r w:rsidR="005865CA" w:rsidRPr="00983193">
        <w:rPr>
          <w:rFonts w:ascii="Times New Roman" w:hAnsi="Times New Roman" w:cs="Times New Roman"/>
          <w:color w:val="000000" w:themeColor="text1"/>
          <w:sz w:val="23"/>
          <w:szCs w:val="23"/>
          <w:lang w:val="en-US"/>
        </w:rPr>
        <w:t xml:space="preserve">ny (2004), Nicholson and Kiel (2004), and </w:t>
      </w:r>
      <w:r w:rsidR="005865CA" w:rsidRPr="000C3C81">
        <w:rPr>
          <w:rFonts w:ascii="Times New Roman" w:hAnsi="Times New Roman" w:cs="Times New Roman"/>
          <w:color w:val="000000" w:themeColor="text1"/>
          <w:sz w:val="23"/>
          <w:szCs w:val="23"/>
          <w:lang w:val="en-US"/>
        </w:rPr>
        <w:t>Forte</w:t>
      </w:r>
      <w:r w:rsidR="005865CA" w:rsidRPr="00983193">
        <w:rPr>
          <w:rFonts w:ascii="Times New Roman" w:hAnsi="Times New Roman" w:cs="Times New Roman"/>
          <w:color w:val="000000" w:themeColor="text1"/>
          <w:sz w:val="23"/>
          <w:szCs w:val="23"/>
          <w:lang w:val="en-US"/>
        </w:rPr>
        <w:t xml:space="preserve"> et al. (20</w:t>
      </w:r>
      <w:r w:rsidR="000D4A98" w:rsidRPr="00983193">
        <w:rPr>
          <w:rFonts w:ascii="Times New Roman" w:hAnsi="Times New Roman" w:cs="Times New Roman"/>
          <w:color w:val="000000" w:themeColor="text1"/>
          <w:sz w:val="23"/>
          <w:szCs w:val="23"/>
          <w:lang w:val="en-US"/>
        </w:rPr>
        <w:t xml:space="preserve">17). Accordingly, hypothesis H2 is </w:t>
      </w:r>
      <w:r w:rsidR="00D53034">
        <w:rPr>
          <w:rFonts w:ascii="Times New Roman" w:hAnsi="Times New Roman" w:cs="Times New Roman"/>
          <w:color w:val="000000" w:themeColor="text1"/>
          <w:sz w:val="23"/>
          <w:szCs w:val="23"/>
          <w:lang w:val="en-US"/>
        </w:rPr>
        <w:t>supported</w:t>
      </w:r>
      <w:r w:rsidR="000D4A98" w:rsidRPr="00983193">
        <w:rPr>
          <w:rFonts w:ascii="Times New Roman" w:hAnsi="Times New Roman" w:cs="Times New Roman"/>
          <w:color w:val="000000" w:themeColor="text1"/>
          <w:sz w:val="23"/>
          <w:szCs w:val="23"/>
          <w:lang w:val="en-US"/>
        </w:rPr>
        <w:t>.</w:t>
      </w:r>
      <w:r w:rsidR="00D53034">
        <w:rPr>
          <w:rFonts w:ascii="Times New Roman" w:hAnsi="Times New Roman" w:cs="Times New Roman"/>
          <w:color w:val="000000" w:themeColor="text1"/>
          <w:sz w:val="23"/>
          <w:szCs w:val="23"/>
          <w:lang w:val="en-US"/>
        </w:rPr>
        <w:t xml:space="preserve"> </w:t>
      </w:r>
      <w:r w:rsidR="00DB3019" w:rsidRPr="00983193">
        <w:rPr>
          <w:rFonts w:ascii="Times New Roman" w:hAnsi="Times New Roman" w:cs="Times New Roman"/>
          <w:color w:val="000000" w:themeColor="text1"/>
          <w:sz w:val="23"/>
          <w:szCs w:val="23"/>
          <w:lang w:val="en-US"/>
        </w:rPr>
        <w:t xml:space="preserve">The coefficient of the variable </w:t>
      </w:r>
      <w:r w:rsidR="00DB3019" w:rsidRPr="00A53C54">
        <w:rPr>
          <w:rFonts w:ascii="Times New Roman" w:hAnsi="Times New Roman" w:cs="Times New Roman"/>
          <w:i/>
          <w:color w:val="000000" w:themeColor="text1"/>
          <w:sz w:val="23"/>
          <w:szCs w:val="23"/>
          <w:lang w:val="en-US"/>
        </w:rPr>
        <w:t xml:space="preserve">LEV </w:t>
      </w:r>
      <w:r w:rsidR="00DB3019" w:rsidRPr="00983193">
        <w:rPr>
          <w:rFonts w:ascii="Times New Roman" w:hAnsi="Times New Roman" w:cs="Times New Roman"/>
          <w:color w:val="000000" w:themeColor="text1"/>
          <w:sz w:val="23"/>
          <w:szCs w:val="23"/>
          <w:lang w:val="en-US"/>
        </w:rPr>
        <w:t xml:space="preserve">is positive, consistent with expectations, </w:t>
      </w:r>
      <w:r w:rsidR="0036029A" w:rsidRPr="00983193">
        <w:rPr>
          <w:rFonts w:ascii="Times New Roman" w:hAnsi="Times New Roman" w:cs="Times New Roman"/>
          <w:color w:val="000000" w:themeColor="text1"/>
          <w:sz w:val="23"/>
          <w:szCs w:val="23"/>
          <w:lang w:val="en-US"/>
        </w:rPr>
        <w:t xml:space="preserve">and </w:t>
      </w:r>
      <w:r w:rsidR="00DB3019" w:rsidRPr="00983193">
        <w:rPr>
          <w:rFonts w:ascii="Times New Roman" w:hAnsi="Times New Roman" w:cs="Times New Roman"/>
          <w:color w:val="000000" w:themeColor="text1"/>
          <w:sz w:val="23"/>
          <w:szCs w:val="23"/>
          <w:lang w:val="en-US"/>
        </w:rPr>
        <w:t xml:space="preserve">significant at </w:t>
      </w:r>
      <w:r w:rsidR="00D53034">
        <w:rPr>
          <w:rFonts w:ascii="Times New Roman" w:hAnsi="Times New Roman" w:cs="Times New Roman"/>
          <w:color w:val="000000" w:themeColor="text1"/>
          <w:sz w:val="23"/>
          <w:szCs w:val="23"/>
          <w:lang w:val="en-US"/>
        </w:rPr>
        <w:t xml:space="preserve">the </w:t>
      </w:r>
      <w:r w:rsidR="00DB3019" w:rsidRPr="00983193">
        <w:rPr>
          <w:rFonts w:ascii="Times New Roman" w:hAnsi="Times New Roman" w:cs="Times New Roman"/>
          <w:color w:val="000000" w:themeColor="text1"/>
          <w:sz w:val="23"/>
          <w:szCs w:val="23"/>
          <w:lang w:val="en-US"/>
        </w:rPr>
        <w:t xml:space="preserve">1% level. </w:t>
      </w:r>
      <w:r w:rsidR="004C23AE" w:rsidRPr="00983193">
        <w:rPr>
          <w:rFonts w:ascii="Times New Roman" w:hAnsi="Times New Roman" w:cs="Times New Roman"/>
          <w:color w:val="000000" w:themeColor="text1"/>
          <w:sz w:val="23"/>
          <w:szCs w:val="23"/>
          <w:lang w:val="en-US"/>
        </w:rPr>
        <w:t>The finding is consistent with Goebel (2015)</w:t>
      </w:r>
      <w:r w:rsidR="006D4C96" w:rsidRPr="00983193">
        <w:rPr>
          <w:rFonts w:ascii="Times New Roman" w:hAnsi="Times New Roman" w:cs="Times New Roman"/>
          <w:color w:val="000000" w:themeColor="text1"/>
          <w:sz w:val="23"/>
          <w:szCs w:val="23"/>
          <w:lang w:val="en-US"/>
        </w:rPr>
        <w:t xml:space="preserve">, </w:t>
      </w:r>
      <w:r w:rsidR="004C23AE" w:rsidRPr="00983193">
        <w:rPr>
          <w:rFonts w:ascii="Times New Roman" w:hAnsi="Times New Roman" w:cs="Times New Roman"/>
          <w:color w:val="000000" w:themeColor="text1"/>
          <w:sz w:val="23"/>
          <w:szCs w:val="23"/>
          <w:lang w:val="en-US"/>
        </w:rPr>
        <w:t>Keenan and Aggestam (2001)</w:t>
      </w:r>
      <w:r w:rsidR="006D4C96" w:rsidRPr="00983193">
        <w:rPr>
          <w:rFonts w:ascii="Times New Roman" w:hAnsi="Times New Roman" w:cs="Times New Roman"/>
          <w:color w:val="000000" w:themeColor="text1"/>
          <w:sz w:val="23"/>
          <w:szCs w:val="23"/>
          <w:lang w:val="en-US"/>
        </w:rPr>
        <w:t xml:space="preserve">, and </w:t>
      </w:r>
      <w:r w:rsidR="006D4C96" w:rsidRPr="000C3C81">
        <w:rPr>
          <w:rFonts w:ascii="Times New Roman" w:hAnsi="Times New Roman" w:cs="Times New Roman"/>
          <w:color w:val="000000" w:themeColor="text1"/>
          <w:sz w:val="23"/>
          <w:szCs w:val="23"/>
          <w:lang w:val="en-US"/>
        </w:rPr>
        <w:t>Forte</w:t>
      </w:r>
      <w:r w:rsidR="006D4C96" w:rsidRPr="00983193">
        <w:rPr>
          <w:rFonts w:ascii="Times New Roman" w:hAnsi="Times New Roman" w:cs="Times New Roman"/>
          <w:color w:val="000000" w:themeColor="text1"/>
          <w:sz w:val="23"/>
          <w:szCs w:val="23"/>
          <w:lang w:val="en-US"/>
        </w:rPr>
        <w:t xml:space="preserve"> et al., (2017)</w:t>
      </w:r>
      <w:r w:rsidR="004C23AE" w:rsidRPr="00983193">
        <w:rPr>
          <w:rFonts w:ascii="Times New Roman" w:hAnsi="Times New Roman" w:cs="Times New Roman"/>
          <w:color w:val="000000" w:themeColor="text1"/>
          <w:sz w:val="23"/>
          <w:szCs w:val="23"/>
          <w:lang w:val="en-US"/>
        </w:rPr>
        <w:t>. Thus, lenders encourage more active monitoring of investment</w:t>
      </w:r>
      <w:r w:rsidR="008159BE">
        <w:rPr>
          <w:rFonts w:ascii="Times New Roman" w:hAnsi="Times New Roman" w:cs="Times New Roman"/>
          <w:color w:val="000000" w:themeColor="text1"/>
          <w:sz w:val="23"/>
          <w:szCs w:val="23"/>
          <w:lang w:val="en-US"/>
        </w:rPr>
        <w:t xml:space="preserve"> in</w:t>
      </w:r>
      <w:r w:rsidR="00D53034">
        <w:rPr>
          <w:rFonts w:ascii="Times New Roman" w:hAnsi="Times New Roman" w:cs="Times New Roman"/>
          <w:color w:val="000000" w:themeColor="text1"/>
          <w:sz w:val="23"/>
          <w:szCs w:val="23"/>
          <w:lang w:val="en-US"/>
        </w:rPr>
        <w:t>,</w:t>
      </w:r>
      <w:r w:rsidR="004C23AE" w:rsidRPr="00983193">
        <w:rPr>
          <w:rFonts w:ascii="Times New Roman" w:hAnsi="Times New Roman" w:cs="Times New Roman"/>
          <w:color w:val="000000" w:themeColor="text1"/>
          <w:sz w:val="23"/>
          <w:szCs w:val="23"/>
          <w:lang w:val="en-US"/>
        </w:rPr>
        <w:t xml:space="preserve"> and </w:t>
      </w:r>
      <w:r w:rsidR="00D53034">
        <w:rPr>
          <w:rFonts w:ascii="Times New Roman" w:hAnsi="Times New Roman" w:cs="Times New Roman"/>
          <w:color w:val="000000" w:themeColor="text1"/>
          <w:sz w:val="23"/>
          <w:szCs w:val="23"/>
          <w:lang w:val="en-US"/>
        </w:rPr>
        <w:t xml:space="preserve">the </w:t>
      </w:r>
      <w:r w:rsidR="004C23AE" w:rsidRPr="00983193">
        <w:rPr>
          <w:rFonts w:ascii="Times New Roman" w:hAnsi="Times New Roman" w:cs="Times New Roman"/>
          <w:color w:val="000000" w:themeColor="text1"/>
          <w:sz w:val="23"/>
          <w:szCs w:val="23"/>
          <w:lang w:val="en-US"/>
        </w:rPr>
        <w:t>management of</w:t>
      </w:r>
      <w:r w:rsidR="008159BE">
        <w:rPr>
          <w:rFonts w:ascii="Times New Roman" w:hAnsi="Times New Roman" w:cs="Times New Roman"/>
          <w:color w:val="000000" w:themeColor="text1"/>
          <w:sz w:val="23"/>
          <w:szCs w:val="23"/>
          <w:lang w:val="en-US"/>
        </w:rPr>
        <w:t>,</w:t>
      </w:r>
      <w:r w:rsidR="004C23AE" w:rsidRPr="00983193">
        <w:rPr>
          <w:rFonts w:ascii="Times New Roman" w:hAnsi="Times New Roman" w:cs="Times New Roman"/>
          <w:color w:val="000000" w:themeColor="text1"/>
          <w:sz w:val="23"/>
          <w:szCs w:val="23"/>
          <w:lang w:val="en-US"/>
        </w:rPr>
        <w:t xml:space="preserve"> IC value</w:t>
      </w:r>
      <w:r w:rsidR="00D53034">
        <w:rPr>
          <w:rFonts w:ascii="Times New Roman" w:hAnsi="Times New Roman" w:cs="Times New Roman"/>
          <w:color w:val="000000" w:themeColor="text1"/>
          <w:sz w:val="23"/>
          <w:szCs w:val="23"/>
          <w:lang w:val="en-US"/>
        </w:rPr>
        <w:t>,</w:t>
      </w:r>
      <w:r w:rsidR="004C23AE" w:rsidRPr="00983193">
        <w:rPr>
          <w:rFonts w:ascii="Times New Roman" w:hAnsi="Times New Roman" w:cs="Times New Roman"/>
          <w:color w:val="000000" w:themeColor="text1"/>
          <w:sz w:val="23"/>
          <w:szCs w:val="23"/>
          <w:lang w:val="en-US"/>
        </w:rPr>
        <w:t xml:space="preserve"> in firms. Accordingly, hypothesis H</w:t>
      </w:r>
      <w:r w:rsidR="006D4C96" w:rsidRPr="00983193">
        <w:rPr>
          <w:rFonts w:ascii="Times New Roman" w:hAnsi="Times New Roman" w:cs="Times New Roman"/>
          <w:color w:val="000000" w:themeColor="text1"/>
          <w:sz w:val="23"/>
          <w:szCs w:val="23"/>
          <w:lang w:val="en-US"/>
        </w:rPr>
        <w:t>3a</w:t>
      </w:r>
      <w:r w:rsidR="004C23AE" w:rsidRPr="00983193">
        <w:rPr>
          <w:rFonts w:ascii="Times New Roman" w:hAnsi="Times New Roman" w:cs="Times New Roman"/>
          <w:color w:val="000000" w:themeColor="text1"/>
          <w:sz w:val="23"/>
          <w:szCs w:val="23"/>
          <w:lang w:val="en-US"/>
        </w:rPr>
        <w:t xml:space="preserve"> is </w:t>
      </w:r>
      <w:r w:rsidR="008159BE">
        <w:rPr>
          <w:rFonts w:ascii="Times New Roman" w:hAnsi="Times New Roman" w:cs="Times New Roman"/>
          <w:color w:val="000000" w:themeColor="text1"/>
          <w:sz w:val="23"/>
          <w:szCs w:val="23"/>
          <w:lang w:val="en-US"/>
        </w:rPr>
        <w:t>supported</w:t>
      </w:r>
      <w:r w:rsidR="006A3D5D" w:rsidRPr="00983193">
        <w:rPr>
          <w:rFonts w:ascii="Times New Roman" w:hAnsi="Times New Roman" w:cs="Times New Roman"/>
          <w:color w:val="000000" w:themeColor="text1"/>
          <w:sz w:val="23"/>
          <w:szCs w:val="23"/>
          <w:lang w:val="en-US"/>
        </w:rPr>
        <w:t>.</w:t>
      </w:r>
    </w:p>
    <w:p w14:paraId="7BF48F52" w14:textId="77777777" w:rsidR="00644CCA" w:rsidRPr="00983193" w:rsidRDefault="00415DD5" w:rsidP="00B31989">
      <w:pPr>
        <w:spacing w:after="0" w:line="240" w:lineRule="auto"/>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8159BE">
        <w:rPr>
          <w:rFonts w:ascii="Times New Roman" w:hAnsi="Times New Roman" w:cs="Times New Roman"/>
          <w:color w:val="000000" w:themeColor="text1"/>
          <w:sz w:val="23"/>
          <w:szCs w:val="23"/>
          <w:lang w:val="en-US"/>
        </w:rPr>
        <w:t>With regard</w:t>
      </w:r>
      <w:r w:rsidR="00ED36F8" w:rsidRPr="00983193">
        <w:rPr>
          <w:rFonts w:ascii="Times New Roman" w:hAnsi="Times New Roman" w:cs="Times New Roman"/>
          <w:color w:val="000000" w:themeColor="text1"/>
          <w:sz w:val="23"/>
          <w:szCs w:val="23"/>
          <w:lang w:val="en-US"/>
        </w:rPr>
        <w:t xml:space="preserve"> </w:t>
      </w:r>
      <w:r w:rsidR="008159BE">
        <w:rPr>
          <w:rFonts w:ascii="Times New Roman" w:hAnsi="Times New Roman" w:cs="Times New Roman"/>
          <w:color w:val="000000" w:themeColor="text1"/>
          <w:sz w:val="23"/>
          <w:szCs w:val="23"/>
          <w:lang w:val="en-US"/>
        </w:rPr>
        <w:t xml:space="preserve">to the </w:t>
      </w:r>
      <w:r w:rsidR="00ED36F8" w:rsidRPr="00983193">
        <w:rPr>
          <w:rFonts w:ascii="Times New Roman" w:hAnsi="Times New Roman" w:cs="Times New Roman"/>
          <w:color w:val="000000" w:themeColor="text1"/>
          <w:sz w:val="23"/>
          <w:szCs w:val="23"/>
          <w:lang w:val="en-US"/>
        </w:rPr>
        <w:t>control variables in model 1</w:t>
      </w:r>
      <w:r w:rsidR="008159BE">
        <w:rPr>
          <w:rFonts w:ascii="Times New Roman" w:hAnsi="Times New Roman" w:cs="Times New Roman"/>
          <w:color w:val="000000" w:themeColor="text1"/>
          <w:sz w:val="23"/>
          <w:szCs w:val="23"/>
          <w:lang w:val="en-US"/>
        </w:rPr>
        <w:t>, t</w:t>
      </w:r>
      <w:r w:rsidR="00ED36F8" w:rsidRPr="00983193">
        <w:rPr>
          <w:rFonts w:ascii="Times New Roman" w:hAnsi="Times New Roman" w:cs="Times New Roman"/>
          <w:color w:val="000000" w:themeColor="text1"/>
          <w:sz w:val="23"/>
          <w:szCs w:val="23"/>
          <w:lang w:val="en-US"/>
        </w:rPr>
        <w:t xml:space="preserve">he coefficient of the variable </w:t>
      </w:r>
      <w:r w:rsidR="00ED36F8" w:rsidRPr="00A53C54">
        <w:rPr>
          <w:rFonts w:ascii="Times New Roman" w:hAnsi="Times New Roman" w:cs="Times New Roman"/>
          <w:i/>
          <w:color w:val="000000" w:themeColor="text1"/>
          <w:sz w:val="23"/>
          <w:szCs w:val="23"/>
          <w:lang w:val="en-US"/>
        </w:rPr>
        <w:t xml:space="preserve">SIZE </w:t>
      </w:r>
      <w:r w:rsidR="00ED36F8" w:rsidRPr="00983193">
        <w:rPr>
          <w:rFonts w:ascii="Times New Roman" w:hAnsi="Times New Roman" w:cs="Times New Roman"/>
          <w:color w:val="000000" w:themeColor="text1"/>
          <w:sz w:val="23"/>
          <w:szCs w:val="23"/>
          <w:lang w:val="en-US"/>
        </w:rPr>
        <w:t xml:space="preserve">is negative, contrary to expectations, and significant at </w:t>
      </w:r>
      <w:r w:rsidR="008159BE">
        <w:rPr>
          <w:rFonts w:ascii="Times New Roman" w:hAnsi="Times New Roman" w:cs="Times New Roman"/>
          <w:color w:val="000000" w:themeColor="text1"/>
          <w:sz w:val="23"/>
          <w:szCs w:val="23"/>
          <w:lang w:val="en-US"/>
        </w:rPr>
        <w:t xml:space="preserve">the </w:t>
      </w:r>
      <w:r w:rsidR="00ED36F8" w:rsidRPr="00983193">
        <w:rPr>
          <w:rFonts w:ascii="Times New Roman" w:hAnsi="Times New Roman" w:cs="Times New Roman"/>
          <w:color w:val="000000" w:themeColor="text1"/>
          <w:sz w:val="23"/>
          <w:szCs w:val="23"/>
          <w:lang w:val="en-US"/>
        </w:rPr>
        <w:t xml:space="preserve">1% level. </w:t>
      </w:r>
      <w:r w:rsidR="001B4796" w:rsidRPr="00983193">
        <w:rPr>
          <w:rFonts w:ascii="Times New Roman" w:hAnsi="Times New Roman" w:cs="Times New Roman"/>
          <w:color w:val="000000" w:themeColor="text1"/>
          <w:sz w:val="23"/>
          <w:szCs w:val="23"/>
          <w:lang w:val="en-US"/>
        </w:rPr>
        <w:t xml:space="preserve">Thus, it would appear that the </w:t>
      </w:r>
      <w:r w:rsidR="006C1B92">
        <w:rPr>
          <w:rFonts w:ascii="Times New Roman" w:hAnsi="Times New Roman" w:cs="Times New Roman"/>
          <w:i/>
          <w:color w:val="000000" w:themeColor="text1"/>
          <w:sz w:val="23"/>
          <w:szCs w:val="23"/>
          <w:lang w:val="en-US"/>
        </w:rPr>
        <w:t>Mt</w:t>
      </w:r>
      <w:r w:rsidR="001B4796" w:rsidRPr="00A53C54">
        <w:rPr>
          <w:rFonts w:ascii="Times New Roman" w:hAnsi="Times New Roman" w:cs="Times New Roman"/>
          <w:i/>
          <w:color w:val="000000" w:themeColor="text1"/>
          <w:sz w:val="23"/>
          <w:szCs w:val="23"/>
          <w:lang w:val="en-US"/>
        </w:rPr>
        <w:t>B</w:t>
      </w:r>
      <w:r w:rsidR="001B4796" w:rsidRPr="00983193">
        <w:rPr>
          <w:rFonts w:ascii="Times New Roman" w:hAnsi="Times New Roman" w:cs="Times New Roman"/>
          <w:color w:val="000000" w:themeColor="text1"/>
          <w:sz w:val="23"/>
          <w:szCs w:val="23"/>
          <w:lang w:val="en-US"/>
        </w:rPr>
        <w:t xml:space="preserve"> ratio falls as firm size increases, </w:t>
      </w:r>
      <w:r w:rsidR="008159BE">
        <w:rPr>
          <w:rFonts w:ascii="Times New Roman" w:hAnsi="Times New Roman" w:cs="Times New Roman"/>
          <w:color w:val="000000" w:themeColor="text1"/>
          <w:sz w:val="23"/>
          <w:szCs w:val="23"/>
          <w:lang w:val="en-US"/>
        </w:rPr>
        <w:t>suggesting</w:t>
      </w:r>
      <w:r w:rsidR="008159BE" w:rsidRPr="00983193">
        <w:rPr>
          <w:rFonts w:ascii="Times New Roman" w:hAnsi="Times New Roman" w:cs="Times New Roman"/>
          <w:color w:val="000000" w:themeColor="text1"/>
          <w:sz w:val="23"/>
          <w:szCs w:val="23"/>
          <w:lang w:val="en-US"/>
        </w:rPr>
        <w:t xml:space="preserve"> </w:t>
      </w:r>
      <w:r w:rsidR="001B4796" w:rsidRPr="00983193">
        <w:rPr>
          <w:rFonts w:ascii="Times New Roman" w:hAnsi="Times New Roman" w:cs="Times New Roman"/>
          <w:color w:val="000000" w:themeColor="text1"/>
          <w:sz w:val="23"/>
          <w:szCs w:val="23"/>
          <w:lang w:val="en-US"/>
        </w:rPr>
        <w:t>that due to their lower flexibility and greater complexity</w:t>
      </w:r>
      <w:r w:rsidR="008159BE">
        <w:rPr>
          <w:rFonts w:ascii="Times New Roman" w:hAnsi="Times New Roman" w:cs="Times New Roman"/>
          <w:color w:val="000000" w:themeColor="text1"/>
          <w:sz w:val="23"/>
          <w:szCs w:val="23"/>
          <w:lang w:val="en-US"/>
        </w:rPr>
        <w:t>,</w:t>
      </w:r>
      <w:r w:rsidR="001B4796" w:rsidRPr="00983193">
        <w:rPr>
          <w:rFonts w:ascii="Times New Roman" w:hAnsi="Times New Roman" w:cs="Times New Roman"/>
          <w:color w:val="000000" w:themeColor="text1"/>
          <w:sz w:val="23"/>
          <w:szCs w:val="23"/>
          <w:lang w:val="en-US"/>
        </w:rPr>
        <w:t xml:space="preserve"> </w:t>
      </w:r>
      <w:r w:rsidR="008159BE">
        <w:rPr>
          <w:rFonts w:ascii="Times New Roman" w:hAnsi="Times New Roman" w:cs="Times New Roman"/>
          <w:color w:val="000000" w:themeColor="text1"/>
          <w:sz w:val="23"/>
          <w:szCs w:val="23"/>
          <w:lang w:val="en-US"/>
        </w:rPr>
        <w:t>larger</w:t>
      </w:r>
      <w:r w:rsidR="008159BE" w:rsidRPr="00983193">
        <w:rPr>
          <w:rFonts w:ascii="Times New Roman" w:hAnsi="Times New Roman" w:cs="Times New Roman"/>
          <w:color w:val="000000" w:themeColor="text1"/>
          <w:sz w:val="23"/>
          <w:szCs w:val="23"/>
          <w:lang w:val="en-US"/>
        </w:rPr>
        <w:t xml:space="preserve"> firms </w:t>
      </w:r>
      <w:r w:rsidR="008159BE">
        <w:rPr>
          <w:rFonts w:ascii="Times New Roman" w:hAnsi="Times New Roman" w:cs="Times New Roman"/>
          <w:color w:val="000000" w:themeColor="text1"/>
          <w:sz w:val="23"/>
          <w:szCs w:val="23"/>
          <w:lang w:val="en-US"/>
        </w:rPr>
        <w:t>encounter</w:t>
      </w:r>
      <w:r w:rsidR="008159BE" w:rsidRPr="00983193">
        <w:rPr>
          <w:rFonts w:ascii="Times New Roman" w:hAnsi="Times New Roman" w:cs="Times New Roman"/>
          <w:color w:val="000000" w:themeColor="text1"/>
          <w:sz w:val="23"/>
          <w:szCs w:val="23"/>
          <w:lang w:val="en-US"/>
        </w:rPr>
        <w:t xml:space="preserve"> </w:t>
      </w:r>
      <w:r w:rsidR="001B4796" w:rsidRPr="00983193">
        <w:rPr>
          <w:rFonts w:ascii="Times New Roman" w:hAnsi="Times New Roman" w:cs="Times New Roman"/>
          <w:color w:val="000000" w:themeColor="text1"/>
          <w:sz w:val="23"/>
          <w:szCs w:val="23"/>
          <w:lang w:val="en-US"/>
        </w:rPr>
        <w:t xml:space="preserve">more difficulties in the development of </w:t>
      </w:r>
      <w:r w:rsidR="008159BE">
        <w:rPr>
          <w:rFonts w:ascii="Times New Roman" w:hAnsi="Times New Roman" w:cs="Times New Roman"/>
          <w:color w:val="000000" w:themeColor="text1"/>
          <w:sz w:val="23"/>
          <w:szCs w:val="23"/>
          <w:lang w:val="en-US"/>
        </w:rPr>
        <w:t xml:space="preserve">their </w:t>
      </w:r>
      <w:r w:rsidR="001B4796" w:rsidRPr="00983193">
        <w:rPr>
          <w:rFonts w:ascii="Times New Roman" w:hAnsi="Times New Roman" w:cs="Times New Roman"/>
          <w:color w:val="000000" w:themeColor="text1"/>
          <w:sz w:val="23"/>
          <w:szCs w:val="23"/>
          <w:lang w:val="en-US"/>
        </w:rPr>
        <w:t xml:space="preserve">IC (Goebel, 2015). From an empirical </w:t>
      </w:r>
      <w:r w:rsidR="008159BE">
        <w:rPr>
          <w:rFonts w:ascii="Times New Roman" w:hAnsi="Times New Roman" w:cs="Times New Roman"/>
          <w:color w:val="000000" w:themeColor="text1"/>
          <w:sz w:val="23"/>
          <w:szCs w:val="23"/>
          <w:lang w:val="en-US"/>
        </w:rPr>
        <w:t>perspective</w:t>
      </w:r>
      <w:r w:rsidR="001B4796" w:rsidRPr="00983193">
        <w:rPr>
          <w:rFonts w:ascii="Times New Roman" w:hAnsi="Times New Roman" w:cs="Times New Roman"/>
          <w:color w:val="000000" w:themeColor="text1"/>
          <w:sz w:val="23"/>
          <w:szCs w:val="23"/>
          <w:lang w:val="en-US"/>
        </w:rPr>
        <w:t xml:space="preserve">, this result is consistent with Goebel (2015) and </w:t>
      </w:r>
      <w:r w:rsidR="001B4796" w:rsidRPr="000C3C81">
        <w:rPr>
          <w:rFonts w:ascii="Times New Roman" w:hAnsi="Times New Roman" w:cs="Times New Roman"/>
          <w:color w:val="000000" w:themeColor="text1"/>
          <w:sz w:val="23"/>
          <w:szCs w:val="23"/>
          <w:lang w:val="en-US"/>
        </w:rPr>
        <w:t>Forte</w:t>
      </w:r>
      <w:r w:rsidR="001B4796" w:rsidRPr="00983193">
        <w:rPr>
          <w:rFonts w:ascii="Times New Roman" w:hAnsi="Times New Roman" w:cs="Times New Roman"/>
          <w:color w:val="000000" w:themeColor="text1"/>
          <w:sz w:val="23"/>
          <w:szCs w:val="23"/>
          <w:lang w:val="en-US"/>
        </w:rPr>
        <w:t xml:space="preserve"> et al. (2017), </w:t>
      </w:r>
      <w:r w:rsidR="008159BE">
        <w:rPr>
          <w:rFonts w:ascii="Times New Roman" w:hAnsi="Times New Roman" w:cs="Times New Roman"/>
          <w:color w:val="000000" w:themeColor="text1"/>
          <w:sz w:val="23"/>
          <w:szCs w:val="23"/>
          <w:lang w:val="en-US"/>
        </w:rPr>
        <w:t>though</w:t>
      </w:r>
      <w:r w:rsidR="001B4796" w:rsidRPr="00983193">
        <w:rPr>
          <w:rFonts w:ascii="Times New Roman" w:hAnsi="Times New Roman" w:cs="Times New Roman"/>
          <w:color w:val="000000" w:themeColor="text1"/>
          <w:sz w:val="23"/>
          <w:szCs w:val="23"/>
          <w:lang w:val="en-US"/>
        </w:rPr>
        <w:t xml:space="preserve"> </w:t>
      </w:r>
      <w:r w:rsidR="008159BE">
        <w:rPr>
          <w:rFonts w:ascii="Times New Roman" w:hAnsi="Times New Roman" w:cs="Times New Roman"/>
          <w:color w:val="000000" w:themeColor="text1"/>
          <w:sz w:val="23"/>
          <w:szCs w:val="23"/>
          <w:lang w:val="en-US"/>
        </w:rPr>
        <w:t>in</w:t>
      </w:r>
      <w:r w:rsidR="001B4796" w:rsidRPr="00983193">
        <w:rPr>
          <w:rFonts w:ascii="Times New Roman" w:hAnsi="Times New Roman" w:cs="Times New Roman"/>
          <w:color w:val="000000" w:themeColor="text1"/>
          <w:sz w:val="23"/>
          <w:szCs w:val="23"/>
          <w:lang w:val="en-US"/>
        </w:rPr>
        <w:t xml:space="preserve">consistent with Fama and French (2001). </w:t>
      </w:r>
      <w:r w:rsidR="00C12A84" w:rsidRPr="00983193">
        <w:rPr>
          <w:rFonts w:ascii="Times New Roman" w:hAnsi="Times New Roman" w:cs="Times New Roman"/>
          <w:color w:val="000000" w:themeColor="text1"/>
          <w:sz w:val="23"/>
          <w:szCs w:val="23"/>
          <w:lang w:val="en-US"/>
        </w:rPr>
        <w:t>Th</w:t>
      </w:r>
      <w:r w:rsidR="008159BE">
        <w:rPr>
          <w:rFonts w:ascii="Times New Roman" w:hAnsi="Times New Roman" w:cs="Times New Roman"/>
          <w:color w:val="000000" w:themeColor="text1"/>
          <w:sz w:val="23"/>
          <w:szCs w:val="23"/>
          <w:lang w:val="en-US"/>
        </w:rPr>
        <w:t>e</w:t>
      </w:r>
      <w:r w:rsidR="00C12A84" w:rsidRPr="00983193">
        <w:rPr>
          <w:rFonts w:ascii="Times New Roman" w:hAnsi="Times New Roman" w:cs="Times New Roman"/>
          <w:color w:val="000000" w:themeColor="text1"/>
          <w:sz w:val="23"/>
          <w:szCs w:val="23"/>
          <w:lang w:val="en-US"/>
        </w:rPr>
        <w:t xml:space="preserve"> finding may be also explained by larger firms not generat</w:t>
      </w:r>
      <w:r w:rsidR="008159BE">
        <w:rPr>
          <w:rFonts w:ascii="Times New Roman" w:hAnsi="Times New Roman" w:cs="Times New Roman"/>
          <w:color w:val="000000" w:themeColor="text1"/>
          <w:sz w:val="23"/>
          <w:szCs w:val="23"/>
          <w:lang w:val="en-US"/>
        </w:rPr>
        <w:t>ing</w:t>
      </w:r>
      <w:r w:rsidR="00C12A84" w:rsidRPr="00983193">
        <w:rPr>
          <w:rFonts w:ascii="Times New Roman" w:hAnsi="Times New Roman" w:cs="Times New Roman"/>
          <w:color w:val="000000" w:themeColor="text1"/>
          <w:sz w:val="23"/>
          <w:szCs w:val="23"/>
          <w:lang w:val="en-US"/>
        </w:rPr>
        <w:t xml:space="preserve"> higher IC value than </w:t>
      </w:r>
      <w:r w:rsidR="008159BE">
        <w:rPr>
          <w:rFonts w:ascii="Times New Roman" w:hAnsi="Times New Roman" w:cs="Times New Roman"/>
          <w:color w:val="000000" w:themeColor="text1"/>
          <w:sz w:val="23"/>
          <w:szCs w:val="23"/>
          <w:lang w:val="en-US"/>
        </w:rPr>
        <w:t>smaller</w:t>
      </w:r>
      <w:r w:rsidR="00C12A84" w:rsidRPr="00983193">
        <w:rPr>
          <w:rFonts w:ascii="Times New Roman" w:hAnsi="Times New Roman" w:cs="Times New Roman"/>
          <w:color w:val="000000" w:themeColor="text1"/>
          <w:sz w:val="23"/>
          <w:szCs w:val="23"/>
          <w:lang w:val="en-US"/>
        </w:rPr>
        <w:t xml:space="preserve"> companies</w:t>
      </w:r>
      <w:r w:rsidR="00953AC3" w:rsidRPr="00983193">
        <w:rPr>
          <w:rFonts w:ascii="Times New Roman" w:hAnsi="Times New Roman" w:cs="Times New Roman"/>
          <w:color w:val="000000" w:themeColor="text1"/>
          <w:sz w:val="23"/>
          <w:szCs w:val="23"/>
          <w:lang w:val="en-US"/>
        </w:rPr>
        <w:t xml:space="preserve"> as </w:t>
      </w:r>
      <w:r w:rsidR="008159BE">
        <w:rPr>
          <w:rFonts w:ascii="Times New Roman" w:hAnsi="Times New Roman" w:cs="Times New Roman"/>
          <w:color w:val="000000" w:themeColor="text1"/>
          <w:sz w:val="23"/>
          <w:szCs w:val="23"/>
          <w:lang w:val="en-US"/>
        </w:rPr>
        <w:t>greater</w:t>
      </w:r>
      <w:r w:rsidR="008159BE" w:rsidRPr="00983193">
        <w:rPr>
          <w:rFonts w:ascii="Times New Roman" w:hAnsi="Times New Roman" w:cs="Times New Roman"/>
          <w:color w:val="000000" w:themeColor="text1"/>
          <w:sz w:val="23"/>
          <w:szCs w:val="23"/>
          <w:lang w:val="en-US"/>
        </w:rPr>
        <w:t xml:space="preserve"> </w:t>
      </w:r>
      <w:r w:rsidR="00953AC3" w:rsidRPr="00983193">
        <w:rPr>
          <w:rFonts w:ascii="Times New Roman" w:hAnsi="Times New Roman" w:cs="Times New Roman"/>
          <w:color w:val="000000" w:themeColor="text1"/>
          <w:sz w:val="23"/>
          <w:szCs w:val="23"/>
          <w:lang w:val="en-US"/>
        </w:rPr>
        <w:t xml:space="preserve">size does not mean </w:t>
      </w:r>
      <w:r w:rsidR="008159BE">
        <w:rPr>
          <w:rFonts w:ascii="Times New Roman" w:hAnsi="Times New Roman" w:cs="Times New Roman"/>
          <w:color w:val="000000" w:themeColor="text1"/>
          <w:sz w:val="23"/>
          <w:szCs w:val="23"/>
          <w:lang w:val="en-US"/>
        </w:rPr>
        <w:t xml:space="preserve">a </w:t>
      </w:r>
      <w:r w:rsidR="00953AC3" w:rsidRPr="00983193">
        <w:rPr>
          <w:rFonts w:ascii="Times New Roman" w:hAnsi="Times New Roman" w:cs="Times New Roman"/>
          <w:color w:val="000000" w:themeColor="text1"/>
          <w:sz w:val="23"/>
          <w:szCs w:val="23"/>
          <w:lang w:val="en-US"/>
        </w:rPr>
        <w:t>high</w:t>
      </w:r>
      <w:r w:rsidR="008159BE">
        <w:rPr>
          <w:rFonts w:ascii="Times New Roman" w:hAnsi="Times New Roman" w:cs="Times New Roman"/>
          <w:color w:val="000000" w:themeColor="text1"/>
          <w:sz w:val="23"/>
          <w:szCs w:val="23"/>
          <w:lang w:val="en-US"/>
        </w:rPr>
        <w:t>er proportion of</w:t>
      </w:r>
      <w:r w:rsidR="00953AC3" w:rsidRPr="00983193">
        <w:rPr>
          <w:rFonts w:ascii="Times New Roman" w:hAnsi="Times New Roman" w:cs="Times New Roman"/>
          <w:color w:val="000000" w:themeColor="text1"/>
          <w:sz w:val="23"/>
          <w:szCs w:val="23"/>
          <w:lang w:val="en-US"/>
        </w:rPr>
        <w:t xml:space="preserve"> intangible assets</w:t>
      </w:r>
      <w:r w:rsidR="00880A72" w:rsidRPr="00983193">
        <w:rPr>
          <w:rFonts w:ascii="Times New Roman" w:hAnsi="Times New Roman" w:cs="Times New Roman"/>
          <w:color w:val="000000" w:themeColor="text1"/>
          <w:sz w:val="23"/>
          <w:szCs w:val="23"/>
          <w:lang w:val="en-US"/>
        </w:rPr>
        <w:t>.</w:t>
      </w:r>
      <w:r w:rsidR="008159BE">
        <w:rPr>
          <w:rFonts w:ascii="Times New Roman" w:hAnsi="Times New Roman" w:cs="Times New Roman"/>
          <w:color w:val="000000" w:themeColor="text1"/>
          <w:sz w:val="23"/>
          <w:szCs w:val="23"/>
          <w:lang w:val="en-US"/>
        </w:rPr>
        <w:t xml:space="preserve"> </w:t>
      </w:r>
      <w:r w:rsidR="00B31989" w:rsidRPr="00983193">
        <w:rPr>
          <w:rFonts w:ascii="Times New Roman" w:hAnsi="Times New Roman" w:cs="Times New Roman"/>
          <w:color w:val="000000" w:themeColor="text1"/>
          <w:sz w:val="23"/>
          <w:szCs w:val="23"/>
          <w:lang w:val="en-US"/>
        </w:rPr>
        <w:t xml:space="preserve">The coefficient of </w:t>
      </w:r>
      <w:r w:rsidR="0092712D" w:rsidRPr="00983193">
        <w:rPr>
          <w:rFonts w:ascii="Times New Roman" w:hAnsi="Times New Roman" w:cs="Times New Roman"/>
          <w:color w:val="000000" w:themeColor="text1"/>
          <w:sz w:val="23"/>
          <w:szCs w:val="23"/>
          <w:lang w:val="en-US"/>
        </w:rPr>
        <w:t xml:space="preserve">the variable </w:t>
      </w:r>
      <w:r w:rsidR="00B31989" w:rsidRPr="00A53C54">
        <w:rPr>
          <w:rFonts w:ascii="Times New Roman" w:hAnsi="Times New Roman" w:cs="Times New Roman"/>
          <w:i/>
          <w:color w:val="000000" w:themeColor="text1"/>
          <w:sz w:val="23"/>
          <w:szCs w:val="23"/>
          <w:lang w:val="en-US"/>
        </w:rPr>
        <w:t xml:space="preserve">AGE </w:t>
      </w:r>
      <w:r w:rsidR="00B31989" w:rsidRPr="00983193">
        <w:rPr>
          <w:rFonts w:ascii="Times New Roman" w:hAnsi="Times New Roman" w:cs="Times New Roman"/>
          <w:color w:val="000000" w:themeColor="text1"/>
          <w:sz w:val="23"/>
          <w:szCs w:val="23"/>
          <w:lang w:val="en-US"/>
        </w:rPr>
        <w:t xml:space="preserve">is </w:t>
      </w:r>
      <w:r w:rsidR="0092712D" w:rsidRPr="00983193">
        <w:rPr>
          <w:rFonts w:ascii="Times New Roman" w:hAnsi="Times New Roman" w:cs="Times New Roman"/>
          <w:color w:val="000000" w:themeColor="text1"/>
          <w:sz w:val="23"/>
          <w:szCs w:val="23"/>
          <w:lang w:val="en-US"/>
        </w:rPr>
        <w:t>positive</w:t>
      </w:r>
      <w:r w:rsidR="00B31989" w:rsidRPr="00983193">
        <w:rPr>
          <w:rFonts w:ascii="Times New Roman" w:hAnsi="Times New Roman" w:cs="Times New Roman"/>
          <w:color w:val="000000" w:themeColor="text1"/>
          <w:sz w:val="23"/>
          <w:szCs w:val="23"/>
          <w:lang w:val="en-US"/>
        </w:rPr>
        <w:t xml:space="preserve"> and significant</w:t>
      </w:r>
      <w:r w:rsidR="0092712D" w:rsidRPr="00983193">
        <w:rPr>
          <w:rFonts w:ascii="Times New Roman" w:hAnsi="Times New Roman" w:cs="Times New Roman"/>
          <w:color w:val="000000" w:themeColor="text1"/>
          <w:sz w:val="23"/>
          <w:szCs w:val="23"/>
          <w:lang w:val="en-US"/>
        </w:rPr>
        <w:t xml:space="preserve"> at </w:t>
      </w:r>
      <w:r w:rsidR="008159BE">
        <w:rPr>
          <w:rFonts w:ascii="Times New Roman" w:hAnsi="Times New Roman" w:cs="Times New Roman"/>
          <w:color w:val="000000" w:themeColor="text1"/>
          <w:sz w:val="23"/>
          <w:szCs w:val="23"/>
          <w:lang w:val="en-US"/>
        </w:rPr>
        <w:t xml:space="preserve">the </w:t>
      </w:r>
      <w:r w:rsidR="0092712D" w:rsidRPr="00983193">
        <w:rPr>
          <w:rFonts w:ascii="Times New Roman" w:hAnsi="Times New Roman" w:cs="Times New Roman"/>
          <w:color w:val="000000" w:themeColor="text1"/>
          <w:sz w:val="23"/>
          <w:szCs w:val="23"/>
          <w:lang w:val="en-US"/>
        </w:rPr>
        <w:t xml:space="preserve">10% level. </w:t>
      </w:r>
      <w:r w:rsidR="000008BC" w:rsidRPr="00983193">
        <w:rPr>
          <w:rFonts w:ascii="Times New Roman" w:hAnsi="Times New Roman" w:cs="Times New Roman"/>
          <w:color w:val="000000" w:themeColor="text1"/>
          <w:sz w:val="23"/>
          <w:szCs w:val="23"/>
          <w:lang w:val="en-US"/>
        </w:rPr>
        <w:t xml:space="preserve">The finding is not consistent with </w:t>
      </w:r>
      <w:r w:rsidR="008159BE">
        <w:rPr>
          <w:rFonts w:ascii="Times New Roman" w:hAnsi="Times New Roman" w:cs="Times New Roman"/>
          <w:color w:val="000000" w:themeColor="text1"/>
          <w:sz w:val="23"/>
          <w:szCs w:val="23"/>
          <w:lang w:val="en-US"/>
        </w:rPr>
        <w:t xml:space="preserve">the results of </w:t>
      </w:r>
      <w:r w:rsidR="000008BC" w:rsidRPr="00983193">
        <w:rPr>
          <w:rFonts w:ascii="Times New Roman" w:hAnsi="Times New Roman" w:cs="Times New Roman"/>
          <w:color w:val="000000" w:themeColor="text1"/>
          <w:sz w:val="23"/>
          <w:szCs w:val="23"/>
          <w:lang w:val="en-US"/>
        </w:rPr>
        <w:t xml:space="preserve">Loderer </w:t>
      </w:r>
      <w:r w:rsidR="000008BC" w:rsidRPr="00983193">
        <w:rPr>
          <w:rFonts w:ascii="Times New Roman" w:hAnsi="Times New Roman" w:cs="Times New Roman"/>
          <w:i/>
          <w:color w:val="000000" w:themeColor="text1"/>
          <w:sz w:val="23"/>
          <w:szCs w:val="23"/>
          <w:lang w:val="en-US"/>
        </w:rPr>
        <w:t>et al</w:t>
      </w:r>
      <w:r w:rsidR="000008BC" w:rsidRPr="00983193">
        <w:rPr>
          <w:rFonts w:ascii="Times New Roman" w:hAnsi="Times New Roman" w:cs="Times New Roman"/>
          <w:color w:val="000000" w:themeColor="text1"/>
          <w:sz w:val="23"/>
          <w:szCs w:val="23"/>
          <w:lang w:val="en-US"/>
        </w:rPr>
        <w:t xml:space="preserve">. (2016) </w:t>
      </w:r>
      <w:r w:rsidR="00E77D2F" w:rsidRPr="00983193">
        <w:rPr>
          <w:rFonts w:ascii="Times New Roman" w:hAnsi="Times New Roman" w:cs="Times New Roman"/>
          <w:color w:val="000000" w:themeColor="text1"/>
          <w:sz w:val="23"/>
          <w:szCs w:val="23"/>
          <w:lang w:val="en-US"/>
        </w:rPr>
        <w:t xml:space="preserve">and </w:t>
      </w:r>
      <w:r w:rsidR="00E77D2F" w:rsidRPr="000C3C81">
        <w:rPr>
          <w:rFonts w:ascii="Times New Roman" w:hAnsi="Times New Roman" w:cs="Times New Roman"/>
          <w:color w:val="000000" w:themeColor="text1"/>
          <w:sz w:val="23"/>
          <w:szCs w:val="23"/>
          <w:lang w:val="en-US"/>
        </w:rPr>
        <w:t>Forte</w:t>
      </w:r>
      <w:r w:rsidR="00E77D2F" w:rsidRPr="00983193">
        <w:rPr>
          <w:rFonts w:ascii="Times New Roman" w:hAnsi="Times New Roman" w:cs="Times New Roman"/>
          <w:color w:val="000000" w:themeColor="text1"/>
          <w:sz w:val="23"/>
          <w:szCs w:val="23"/>
          <w:lang w:val="en-US"/>
        </w:rPr>
        <w:t xml:space="preserve"> et al., (2017) </w:t>
      </w:r>
      <w:r w:rsidR="008159BE">
        <w:rPr>
          <w:rFonts w:ascii="Times New Roman" w:hAnsi="Times New Roman" w:cs="Times New Roman"/>
          <w:color w:val="000000" w:themeColor="text1"/>
          <w:sz w:val="23"/>
          <w:szCs w:val="23"/>
          <w:lang w:val="en-US"/>
        </w:rPr>
        <w:t xml:space="preserve">who </w:t>
      </w:r>
      <w:r w:rsidR="00B632DF" w:rsidRPr="00983193">
        <w:rPr>
          <w:rFonts w:ascii="Times New Roman" w:hAnsi="Times New Roman" w:cs="Times New Roman"/>
          <w:color w:val="000000" w:themeColor="text1"/>
          <w:sz w:val="23"/>
          <w:szCs w:val="23"/>
          <w:lang w:val="en-US"/>
        </w:rPr>
        <w:t>find</w:t>
      </w:r>
      <w:r w:rsidR="000008BC" w:rsidRPr="00983193">
        <w:rPr>
          <w:rFonts w:ascii="Times New Roman" w:hAnsi="Times New Roman" w:cs="Times New Roman"/>
          <w:color w:val="000000" w:themeColor="text1"/>
          <w:sz w:val="23"/>
          <w:szCs w:val="23"/>
          <w:lang w:val="en-US"/>
        </w:rPr>
        <w:t xml:space="preserve"> that younger firms invest more in R&amp;D and in radical innovation</w:t>
      </w:r>
      <w:r w:rsidR="008159BE">
        <w:rPr>
          <w:rFonts w:ascii="Times New Roman" w:hAnsi="Times New Roman" w:cs="Times New Roman"/>
          <w:color w:val="000000" w:themeColor="text1"/>
          <w:sz w:val="23"/>
          <w:szCs w:val="23"/>
          <w:lang w:val="en-US"/>
        </w:rPr>
        <w:t>,</w:t>
      </w:r>
      <w:r w:rsidR="000008BC" w:rsidRPr="00983193">
        <w:rPr>
          <w:rFonts w:ascii="Times New Roman" w:hAnsi="Times New Roman" w:cs="Times New Roman"/>
          <w:color w:val="000000" w:themeColor="text1"/>
          <w:sz w:val="23"/>
          <w:szCs w:val="23"/>
          <w:lang w:val="en-US"/>
        </w:rPr>
        <w:t xml:space="preserve"> while older firms concentrate their efforts more on incremental innovation and the better management of assets in place. The finding also </w:t>
      </w:r>
      <w:r w:rsidR="000008BC" w:rsidRPr="002F54F4">
        <w:rPr>
          <w:rFonts w:ascii="Times New Roman" w:hAnsi="Times New Roman" w:cs="Times New Roman"/>
          <w:noProof/>
          <w:color w:val="000000" w:themeColor="text1"/>
          <w:sz w:val="23"/>
          <w:szCs w:val="23"/>
          <w:lang w:val="en-US"/>
        </w:rPr>
        <w:t>suggest</w:t>
      </w:r>
      <w:r w:rsidR="002F54F4">
        <w:rPr>
          <w:rFonts w:ascii="Times New Roman" w:hAnsi="Times New Roman" w:cs="Times New Roman"/>
          <w:noProof/>
          <w:color w:val="000000" w:themeColor="text1"/>
          <w:sz w:val="23"/>
          <w:szCs w:val="23"/>
          <w:lang w:val="en-US"/>
        </w:rPr>
        <w:t>s</w:t>
      </w:r>
      <w:r w:rsidR="000008BC" w:rsidRPr="00983193">
        <w:rPr>
          <w:rFonts w:ascii="Times New Roman" w:hAnsi="Times New Roman" w:cs="Times New Roman"/>
          <w:color w:val="000000" w:themeColor="text1"/>
          <w:sz w:val="23"/>
          <w:szCs w:val="23"/>
          <w:lang w:val="en-US"/>
        </w:rPr>
        <w:t xml:space="preserve"> that </w:t>
      </w:r>
      <w:r w:rsidR="000008BC" w:rsidRPr="00A53C54">
        <w:rPr>
          <w:rFonts w:ascii="Times New Roman" w:hAnsi="Times New Roman" w:cs="Times New Roman"/>
          <w:i/>
          <w:color w:val="000000" w:themeColor="text1"/>
          <w:sz w:val="23"/>
          <w:szCs w:val="23"/>
          <w:lang w:val="en-US"/>
        </w:rPr>
        <w:t>M</w:t>
      </w:r>
      <w:r w:rsidR="000778B6">
        <w:rPr>
          <w:rFonts w:ascii="Times New Roman" w:hAnsi="Times New Roman" w:cs="Times New Roman"/>
          <w:i/>
          <w:color w:val="000000" w:themeColor="text1"/>
          <w:sz w:val="23"/>
          <w:szCs w:val="23"/>
          <w:lang w:val="en-US"/>
        </w:rPr>
        <w:t>t</w:t>
      </w:r>
      <w:r w:rsidR="000008BC" w:rsidRPr="00A53C54">
        <w:rPr>
          <w:rFonts w:ascii="Times New Roman" w:hAnsi="Times New Roman" w:cs="Times New Roman"/>
          <w:i/>
          <w:color w:val="000000" w:themeColor="text1"/>
          <w:sz w:val="23"/>
          <w:szCs w:val="23"/>
          <w:lang w:val="en-US"/>
        </w:rPr>
        <w:t>B</w:t>
      </w:r>
      <w:r w:rsidR="000008BC" w:rsidRPr="00983193">
        <w:rPr>
          <w:rFonts w:ascii="Times New Roman" w:hAnsi="Times New Roman" w:cs="Times New Roman"/>
          <w:color w:val="000000" w:themeColor="text1"/>
          <w:sz w:val="23"/>
          <w:szCs w:val="23"/>
          <w:lang w:val="en-US"/>
        </w:rPr>
        <w:t xml:space="preserve"> tends to increase over time </w:t>
      </w:r>
      <w:r w:rsidR="008159BE">
        <w:rPr>
          <w:rFonts w:ascii="Times New Roman" w:hAnsi="Times New Roman" w:cs="Times New Roman"/>
          <w:color w:val="000000" w:themeColor="text1"/>
          <w:sz w:val="23"/>
          <w:szCs w:val="23"/>
          <w:lang w:val="en-US"/>
        </w:rPr>
        <w:t>due to</w:t>
      </w:r>
      <w:r w:rsidR="000008BC" w:rsidRPr="00983193">
        <w:rPr>
          <w:rFonts w:ascii="Times New Roman" w:hAnsi="Times New Roman" w:cs="Times New Roman"/>
          <w:color w:val="000000" w:themeColor="text1"/>
          <w:sz w:val="23"/>
          <w:szCs w:val="23"/>
          <w:lang w:val="en-US"/>
        </w:rPr>
        <w:t xml:space="preserve"> the recognition in the balance sheet of those assets which are initially only ideas in production and</w:t>
      </w:r>
      <w:r w:rsidR="004F562A">
        <w:rPr>
          <w:rFonts w:ascii="Times New Roman" w:hAnsi="Times New Roman" w:cs="Times New Roman"/>
          <w:color w:val="000000" w:themeColor="text1"/>
          <w:sz w:val="23"/>
          <w:szCs w:val="23"/>
          <w:lang w:val="en-US"/>
        </w:rPr>
        <w:t xml:space="preserve"> </w:t>
      </w:r>
      <w:r w:rsidR="000008BC" w:rsidRPr="00983193">
        <w:rPr>
          <w:rFonts w:ascii="Times New Roman" w:hAnsi="Times New Roman" w:cs="Times New Roman"/>
          <w:color w:val="000000" w:themeColor="text1"/>
          <w:sz w:val="23"/>
          <w:szCs w:val="23"/>
          <w:lang w:val="en-US"/>
        </w:rPr>
        <w:t xml:space="preserve">to </w:t>
      </w:r>
      <w:r w:rsidR="004F562A">
        <w:rPr>
          <w:rFonts w:ascii="Times New Roman" w:hAnsi="Times New Roman" w:cs="Times New Roman"/>
          <w:color w:val="000000" w:themeColor="text1"/>
          <w:sz w:val="23"/>
          <w:szCs w:val="23"/>
          <w:lang w:val="en-US"/>
        </w:rPr>
        <w:t>growth in</w:t>
      </w:r>
      <w:r w:rsidR="000008BC" w:rsidRPr="00983193">
        <w:rPr>
          <w:rFonts w:ascii="Times New Roman" w:hAnsi="Times New Roman" w:cs="Times New Roman"/>
          <w:color w:val="000000" w:themeColor="text1"/>
          <w:sz w:val="23"/>
          <w:szCs w:val="23"/>
          <w:lang w:val="en-US"/>
        </w:rPr>
        <w:t xml:space="preserve"> firm reputation over the years</w:t>
      </w:r>
      <w:r w:rsidR="004F562A">
        <w:rPr>
          <w:rFonts w:ascii="Times New Roman" w:hAnsi="Times New Roman" w:cs="Times New Roman"/>
          <w:color w:val="000000" w:themeColor="text1"/>
          <w:sz w:val="23"/>
          <w:szCs w:val="23"/>
          <w:lang w:val="en-US"/>
        </w:rPr>
        <w:t xml:space="preserve">, consistent with </w:t>
      </w:r>
      <w:r w:rsidR="00B632DF" w:rsidRPr="00983193">
        <w:rPr>
          <w:rFonts w:ascii="Times New Roman" w:hAnsi="Times New Roman" w:cs="Times New Roman"/>
          <w:color w:val="000000" w:themeColor="text1"/>
          <w:sz w:val="23"/>
          <w:szCs w:val="23"/>
          <w:lang w:val="en-US"/>
        </w:rPr>
        <w:t>Nahapiet and Ghoshal (1998)</w:t>
      </w:r>
      <w:r w:rsidR="004F562A">
        <w:rPr>
          <w:rFonts w:ascii="Times New Roman" w:hAnsi="Times New Roman" w:cs="Times New Roman"/>
          <w:color w:val="000000" w:themeColor="text1"/>
          <w:sz w:val="23"/>
          <w:szCs w:val="23"/>
          <w:lang w:val="en-US"/>
        </w:rPr>
        <w:t xml:space="preserve">. </w:t>
      </w:r>
      <w:r w:rsidR="004F6ED0" w:rsidRPr="00983193">
        <w:rPr>
          <w:rFonts w:ascii="Times New Roman" w:hAnsi="Times New Roman" w:cs="Times New Roman"/>
          <w:color w:val="000000" w:themeColor="text1"/>
          <w:sz w:val="23"/>
          <w:szCs w:val="23"/>
          <w:lang w:val="en-US"/>
        </w:rPr>
        <w:t xml:space="preserve">Finally, the coefficient of the control dummy </w:t>
      </w:r>
      <w:r w:rsidR="004F6ED0" w:rsidRPr="00A53C54">
        <w:rPr>
          <w:rFonts w:ascii="Times New Roman" w:hAnsi="Times New Roman" w:cs="Times New Roman"/>
          <w:i/>
          <w:color w:val="000000" w:themeColor="text1"/>
          <w:sz w:val="23"/>
          <w:szCs w:val="23"/>
          <w:lang w:val="en-US"/>
        </w:rPr>
        <w:t>GROWTH</w:t>
      </w:r>
      <w:r w:rsidR="004F6ED0" w:rsidRPr="00983193">
        <w:rPr>
          <w:rFonts w:ascii="Times New Roman" w:hAnsi="Times New Roman" w:cs="Times New Roman"/>
          <w:color w:val="000000" w:themeColor="text1"/>
          <w:sz w:val="23"/>
          <w:szCs w:val="23"/>
          <w:lang w:val="en-US"/>
        </w:rPr>
        <w:t xml:space="preserve"> is positive and significant at </w:t>
      </w:r>
      <w:r w:rsidR="004F562A">
        <w:rPr>
          <w:rFonts w:ascii="Times New Roman" w:hAnsi="Times New Roman" w:cs="Times New Roman"/>
          <w:color w:val="000000" w:themeColor="text1"/>
          <w:sz w:val="23"/>
          <w:szCs w:val="23"/>
          <w:lang w:val="en-US"/>
        </w:rPr>
        <w:t xml:space="preserve">the </w:t>
      </w:r>
      <w:r w:rsidR="004F6ED0" w:rsidRPr="00983193">
        <w:rPr>
          <w:rFonts w:ascii="Times New Roman" w:hAnsi="Times New Roman" w:cs="Times New Roman"/>
          <w:color w:val="000000" w:themeColor="text1"/>
          <w:sz w:val="23"/>
          <w:szCs w:val="23"/>
          <w:lang w:val="en-US"/>
        </w:rPr>
        <w:t xml:space="preserve">5% level. </w:t>
      </w:r>
      <w:r w:rsidR="00B632DF" w:rsidRPr="00983193">
        <w:rPr>
          <w:rFonts w:ascii="Times New Roman" w:hAnsi="Times New Roman" w:cs="Times New Roman"/>
          <w:color w:val="000000" w:themeColor="text1"/>
          <w:sz w:val="23"/>
          <w:szCs w:val="23"/>
          <w:lang w:val="en-US"/>
        </w:rPr>
        <w:t xml:space="preserve">The </w:t>
      </w:r>
      <w:r w:rsidR="004F562A">
        <w:rPr>
          <w:rFonts w:ascii="Times New Roman" w:hAnsi="Times New Roman" w:cs="Times New Roman"/>
          <w:color w:val="000000" w:themeColor="text1"/>
          <w:sz w:val="23"/>
          <w:szCs w:val="23"/>
          <w:lang w:val="en-US"/>
        </w:rPr>
        <w:t>result is</w:t>
      </w:r>
      <w:r w:rsidR="00B632DF" w:rsidRPr="00983193">
        <w:rPr>
          <w:rFonts w:ascii="Times New Roman" w:hAnsi="Times New Roman" w:cs="Times New Roman"/>
          <w:color w:val="000000" w:themeColor="text1"/>
          <w:sz w:val="23"/>
          <w:szCs w:val="23"/>
          <w:lang w:val="en-US"/>
        </w:rPr>
        <w:t xml:space="preserve"> consistent with</w:t>
      </w:r>
      <w:r w:rsidR="002F54F4">
        <w:rPr>
          <w:rFonts w:ascii="Times New Roman" w:hAnsi="Times New Roman" w:cs="Times New Roman"/>
          <w:color w:val="000000" w:themeColor="text1"/>
          <w:sz w:val="23"/>
          <w:szCs w:val="23"/>
          <w:lang w:val="en-US"/>
        </w:rPr>
        <w:t xml:space="preserve"> the</w:t>
      </w:r>
      <w:r w:rsidR="00B632DF" w:rsidRPr="00983193">
        <w:rPr>
          <w:rFonts w:ascii="Times New Roman" w:hAnsi="Times New Roman" w:cs="Times New Roman"/>
          <w:color w:val="000000" w:themeColor="text1"/>
          <w:sz w:val="23"/>
          <w:szCs w:val="23"/>
          <w:lang w:val="en-US"/>
        </w:rPr>
        <w:t xml:space="preserve"> </w:t>
      </w:r>
      <w:r w:rsidR="00B632DF" w:rsidRPr="002F54F4">
        <w:rPr>
          <w:rFonts w:ascii="Times New Roman" w:hAnsi="Times New Roman" w:cs="Times New Roman"/>
          <w:noProof/>
          <w:color w:val="000000" w:themeColor="text1"/>
          <w:sz w:val="23"/>
          <w:szCs w:val="23"/>
          <w:lang w:val="en-US"/>
        </w:rPr>
        <w:t>prior</w:t>
      </w:r>
      <w:r w:rsidR="00B632DF" w:rsidRPr="00983193">
        <w:rPr>
          <w:rFonts w:ascii="Times New Roman" w:hAnsi="Times New Roman" w:cs="Times New Roman"/>
          <w:color w:val="000000" w:themeColor="text1"/>
          <w:sz w:val="23"/>
          <w:szCs w:val="23"/>
          <w:lang w:val="en-US"/>
        </w:rPr>
        <w:t xml:space="preserve"> literature (Guthrie and Petty, 2000; Bontis, 2003), </w:t>
      </w:r>
      <w:r w:rsidR="004F562A">
        <w:rPr>
          <w:rFonts w:ascii="Times New Roman" w:hAnsi="Times New Roman" w:cs="Times New Roman"/>
          <w:color w:val="000000" w:themeColor="text1"/>
          <w:sz w:val="23"/>
          <w:szCs w:val="23"/>
          <w:lang w:val="en-US"/>
        </w:rPr>
        <w:t>and</w:t>
      </w:r>
      <w:r w:rsidR="00B632DF" w:rsidRPr="00983193">
        <w:rPr>
          <w:rFonts w:ascii="Times New Roman" w:hAnsi="Times New Roman" w:cs="Times New Roman"/>
          <w:color w:val="000000" w:themeColor="text1"/>
          <w:sz w:val="23"/>
          <w:szCs w:val="23"/>
          <w:lang w:val="en-US"/>
        </w:rPr>
        <w:t xml:space="preserve"> suggests that </w:t>
      </w:r>
      <w:r w:rsidR="00F34FDF" w:rsidRPr="00983193">
        <w:rPr>
          <w:rFonts w:ascii="Times New Roman" w:hAnsi="Times New Roman" w:cs="Times New Roman"/>
          <w:color w:val="000000" w:themeColor="text1"/>
          <w:sz w:val="23"/>
          <w:szCs w:val="23"/>
          <w:lang w:val="en-US"/>
        </w:rPr>
        <w:t xml:space="preserve">financial markets “price” </w:t>
      </w:r>
      <w:r w:rsidR="004F562A" w:rsidRPr="00983193">
        <w:rPr>
          <w:rFonts w:ascii="Times New Roman" w:hAnsi="Times New Roman" w:cs="Times New Roman"/>
          <w:color w:val="000000" w:themeColor="text1"/>
          <w:sz w:val="23"/>
          <w:szCs w:val="23"/>
          <w:lang w:val="en-US"/>
        </w:rPr>
        <w:t xml:space="preserve">IC investments </w:t>
      </w:r>
      <w:r w:rsidR="00F34FDF" w:rsidRPr="00983193">
        <w:rPr>
          <w:rFonts w:ascii="Times New Roman" w:hAnsi="Times New Roman" w:cs="Times New Roman"/>
          <w:color w:val="000000" w:themeColor="text1"/>
          <w:sz w:val="23"/>
          <w:szCs w:val="23"/>
          <w:lang w:val="en-US"/>
        </w:rPr>
        <w:t>with an increase in market value</w:t>
      </w:r>
      <w:r w:rsidR="00154065" w:rsidRPr="00983193">
        <w:rPr>
          <w:rFonts w:ascii="Times New Roman" w:hAnsi="Times New Roman" w:cs="Times New Roman"/>
          <w:color w:val="000000" w:themeColor="text1"/>
          <w:sz w:val="23"/>
          <w:szCs w:val="23"/>
          <w:lang w:val="en-US"/>
        </w:rPr>
        <w:t xml:space="preserve">, </w:t>
      </w:r>
      <w:r w:rsidR="004F562A">
        <w:rPr>
          <w:rFonts w:ascii="Times New Roman" w:hAnsi="Times New Roman" w:cs="Times New Roman"/>
          <w:color w:val="000000" w:themeColor="text1"/>
          <w:sz w:val="23"/>
          <w:szCs w:val="23"/>
          <w:lang w:val="en-US"/>
        </w:rPr>
        <w:t xml:space="preserve">thereby </w:t>
      </w:r>
      <w:r w:rsidR="00154065" w:rsidRPr="00983193">
        <w:rPr>
          <w:rFonts w:ascii="Times New Roman" w:hAnsi="Times New Roman" w:cs="Times New Roman"/>
          <w:color w:val="000000" w:themeColor="text1"/>
          <w:sz w:val="23"/>
          <w:szCs w:val="23"/>
          <w:lang w:val="en-US"/>
        </w:rPr>
        <w:t xml:space="preserve">driving the firm growth. </w:t>
      </w:r>
      <w:r w:rsidR="00B632DF" w:rsidRPr="00983193">
        <w:rPr>
          <w:rFonts w:ascii="Times New Roman" w:hAnsi="Times New Roman" w:cs="Times New Roman"/>
          <w:color w:val="000000" w:themeColor="text1"/>
          <w:sz w:val="23"/>
          <w:szCs w:val="23"/>
          <w:lang w:val="en-US"/>
        </w:rPr>
        <w:t xml:space="preserve"> </w:t>
      </w:r>
    </w:p>
    <w:p w14:paraId="702B4801" w14:textId="77777777" w:rsidR="0098052D" w:rsidRPr="00983193" w:rsidRDefault="00415DD5" w:rsidP="006C4C3C">
      <w:pPr>
        <w:spacing w:after="0" w:line="240" w:lineRule="auto"/>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lastRenderedPageBreak/>
        <w:t xml:space="preserve">   </w:t>
      </w:r>
      <w:r w:rsidR="004F562A">
        <w:rPr>
          <w:rFonts w:ascii="Times New Roman" w:hAnsi="Times New Roman" w:cs="Times New Roman"/>
          <w:color w:val="000000" w:themeColor="text1"/>
          <w:sz w:val="23"/>
          <w:szCs w:val="23"/>
          <w:lang w:val="en-US"/>
        </w:rPr>
        <w:t xml:space="preserve">For Model 2 with </w:t>
      </w:r>
      <w:r w:rsidR="0037166B" w:rsidRPr="00A53C54">
        <w:rPr>
          <w:rFonts w:ascii="Times New Roman" w:hAnsi="Times New Roman" w:cs="Times New Roman"/>
          <w:i/>
          <w:color w:val="000000" w:themeColor="text1"/>
          <w:sz w:val="23"/>
          <w:szCs w:val="23"/>
          <w:lang w:val="en-US"/>
        </w:rPr>
        <w:t>VAIC</w:t>
      </w:r>
      <w:r w:rsidR="00154065" w:rsidRPr="00A53C54">
        <w:rPr>
          <w:rFonts w:ascii="Times New Roman" w:hAnsi="Times New Roman" w:cs="Times New Roman"/>
          <w:i/>
          <w:color w:val="000000" w:themeColor="text1"/>
          <w:sz w:val="23"/>
          <w:szCs w:val="23"/>
          <w:lang w:val="en-US"/>
        </w:rPr>
        <w:t xml:space="preserve"> </w:t>
      </w:r>
      <w:r w:rsidR="00154065" w:rsidRPr="00983193">
        <w:rPr>
          <w:rFonts w:ascii="Times New Roman" w:hAnsi="Times New Roman" w:cs="Times New Roman"/>
          <w:color w:val="000000" w:themeColor="text1"/>
          <w:sz w:val="23"/>
          <w:szCs w:val="23"/>
          <w:lang w:val="en-US"/>
        </w:rPr>
        <w:t xml:space="preserve">as </w:t>
      </w:r>
      <w:r w:rsidR="004F562A">
        <w:rPr>
          <w:rFonts w:ascii="Times New Roman" w:hAnsi="Times New Roman" w:cs="Times New Roman"/>
          <w:color w:val="000000" w:themeColor="text1"/>
          <w:sz w:val="23"/>
          <w:szCs w:val="23"/>
          <w:lang w:val="en-US"/>
        </w:rPr>
        <w:t xml:space="preserve">the </w:t>
      </w:r>
      <w:r w:rsidR="00154065" w:rsidRPr="00983193">
        <w:rPr>
          <w:rFonts w:ascii="Times New Roman" w:hAnsi="Times New Roman" w:cs="Times New Roman"/>
          <w:color w:val="000000" w:themeColor="text1"/>
          <w:sz w:val="23"/>
          <w:szCs w:val="23"/>
          <w:lang w:val="en-US"/>
        </w:rPr>
        <w:t>dependent</w:t>
      </w:r>
      <w:r w:rsidR="004F562A">
        <w:rPr>
          <w:rFonts w:ascii="Times New Roman" w:hAnsi="Times New Roman" w:cs="Times New Roman"/>
          <w:color w:val="000000" w:themeColor="text1"/>
          <w:sz w:val="23"/>
          <w:szCs w:val="23"/>
          <w:lang w:val="en-US"/>
        </w:rPr>
        <w:t>, t</w:t>
      </w:r>
      <w:r w:rsidR="00A80B93" w:rsidRPr="00983193">
        <w:rPr>
          <w:rFonts w:ascii="Times New Roman" w:hAnsi="Times New Roman" w:cs="Times New Roman"/>
          <w:color w:val="000000" w:themeColor="text1"/>
          <w:sz w:val="23"/>
          <w:szCs w:val="23"/>
          <w:lang w:val="en-US"/>
        </w:rPr>
        <w:t xml:space="preserve">he coefficient of the variable </w:t>
      </w:r>
      <w:r w:rsidR="00A80B93" w:rsidRPr="00A53C54">
        <w:rPr>
          <w:rFonts w:ascii="Times New Roman" w:hAnsi="Times New Roman" w:cs="Times New Roman"/>
          <w:i/>
          <w:noProof/>
          <w:color w:val="000000" w:themeColor="text1"/>
          <w:sz w:val="23"/>
          <w:szCs w:val="23"/>
          <w:lang w:val="en-US"/>
        </w:rPr>
        <w:t>lnTINT</w:t>
      </w:r>
      <w:r w:rsidR="00A80B93" w:rsidRPr="00983193">
        <w:rPr>
          <w:rFonts w:ascii="Times New Roman" w:hAnsi="Times New Roman" w:cs="Times New Roman"/>
          <w:color w:val="000000" w:themeColor="text1"/>
          <w:sz w:val="23"/>
          <w:szCs w:val="23"/>
          <w:lang w:val="en-US"/>
        </w:rPr>
        <w:t xml:space="preserve"> is negative </w:t>
      </w:r>
      <w:r w:rsidR="004F562A">
        <w:rPr>
          <w:rFonts w:ascii="Times New Roman" w:hAnsi="Times New Roman" w:cs="Times New Roman"/>
          <w:color w:val="000000" w:themeColor="text1"/>
          <w:sz w:val="23"/>
          <w:szCs w:val="23"/>
          <w:lang w:val="en-US"/>
        </w:rPr>
        <w:t>though</w:t>
      </w:r>
      <w:r w:rsidR="00A80B93" w:rsidRPr="00983193">
        <w:rPr>
          <w:rFonts w:ascii="Times New Roman" w:hAnsi="Times New Roman" w:cs="Times New Roman"/>
          <w:color w:val="000000" w:themeColor="text1"/>
          <w:sz w:val="23"/>
          <w:szCs w:val="23"/>
          <w:lang w:val="en-US"/>
        </w:rPr>
        <w:t xml:space="preserve"> significant. </w:t>
      </w:r>
      <w:r w:rsidR="00965085" w:rsidRPr="00983193">
        <w:rPr>
          <w:rFonts w:ascii="Times New Roman" w:hAnsi="Times New Roman" w:cs="Times New Roman"/>
          <w:color w:val="000000" w:themeColor="text1"/>
          <w:sz w:val="23"/>
          <w:szCs w:val="23"/>
          <w:lang w:val="en-US"/>
        </w:rPr>
        <w:t xml:space="preserve">As expected, investments in intangible assets </w:t>
      </w:r>
      <w:r w:rsidR="00965085" w:rsidRPr="002F54F4">
        <w:rPr>
          <w:rFonts w:ascii="Times New Roman" w:hAnsi="Times New Roman" w:cs="Times New Roman"/>
          <w:noProof/>
          <w:color w:val="000000" w:themeColor="text1"/>
          <w:sz w:val="23"/>
          <w:szCs w:val="23"/>
          <w:lang w:val="en-US"/>
        </w:rPr>
        <w:t>do</w:t>
      </w:r>
      <w:r w:rsidR="00965085" w:rsidRPr="00983193">
        <w:rPr>
          <w:rFonts w:ascii="Times New Roman" w:hAnsi="Times New Roman" w:cs="Times New Roman"/>
          <w:color w:val="000000" w:themeColor="text1"/>
          <w:sz w:val="23"/>
          <w:szCs w:val="23"/>
          <w:lang w:val="en-US"/>
        </w:rPr>
        <w:t xml:space="preserve"> not impact on </w:t>
      </w:r>
      <w:r w:rsidR="00965085" w:rsidRPr="00A53C54">
        <w:rPr>
          <w:rFonts w:ascii="Times New Roman" w:hAnsi="Times New Roman" w:cs="Times New Roman"/>
          <w:i/>
          <w:color w:val="000000" w:themeColor="text1"/>
          <w:sz w:val="23"/>
          <w:szCs w:val="23"/>
          <w:lang w:val="en-US"/>
        </w:rPr>
        <w:t>VAIC</w:t>
      </w:r>
      <w:r w:rsidR="00965085" w:rsidRPr="00983193">
        <w:rPr>
          <w:rFonts w:ascii="Times New Roman" w:hAnsi="Times New Roman" w:cs="Times New Roman"/>
          <w:color w:val="000000" w:themeColor="text1"/>
          <w:sz w:val="23"/>
          <w:szCs w:val="23"/>
          <w:lang w:val="en-US"/>
        </w:rPr>
        <w:t xml:space="preserve">. In fact, </w:t>
      </w:r>
      <w:r w:rsidR="00965085" w:rsidRPr="00A53C54">
        <w:rPr>
          <w:rFonts w:ascii="Times New Roman" w:hAnsi="Times New Roman" w:cs="Times New Roman"/>
          <w:i/>
          <w:color w:val="000000" w:themeColor="text1"/>
          <w:sz w:val="23"/>
          <w:szCs w:val="23"/>
          <w:lang w:val="en-US"/>
        </w:rPr>
        <w:t>VAIC</w:t>
      </w:r>
      <w:r w:rsidR="00965085" w:rsidRPr="00983193">
        <w:rPr>
          <w:rFonts w:ascii="Times New Roman" w:hAnsi="Times New Roman" w:cs="Times New Roman"/>
          <w:color w:val="000000" w:themeColor="text1"/>
          <w:sz w:val="23"/>
          <w:szCs w:val="23"/>
          <w:lang w:val="en-US"/>
        </w:rPr>
        <w:t xml:space="preserve"> measures how much new value (value added) </w:t>
      </w:r>
      <w:r w:rsidR="004F562A">
        <w:rPr>
          <w:rFonts w:ascii="Times New Roman" w:hAnsi="Times New Roman" w:cs="Times New Roman"/>
          <w:color w:val="000000" w:themeColor="text1"/>
          <w:sz w:val="23"/>
          <w:szCs w:val="23"/>
          <w:lang w:val="en-US"/>
        </w:rPr>
        <w:t>is</w:t>
      </w:r>
      <w:r w:rsidR="00965085" w:rsidRPr="00983193">
        <w:rPr>
          <w:rFonts w:ascii="Times New Roman" w:hAnsi="Times New Roman" w:cs="Times New Roman"/>
          <w:color w:val="000000" w:themeColor="text1"/>
          <w:sz w:val="23"/>
          <w:szCs w:val="23"/>
          <w:lang w:val="en-US"/>
        </w:rPr>
        <w:t xml:space="preserve"> created per monetary unit of resources</w:t>
      </w:r>
      <w:r w:rsidR="004F562A" w:rsidRPr="004F562A">
        <w:rPr>
          <w:rFonts w:ascii="Times New Roman" w:hAnsi="Times New Roman" w:cs="Times New Roman"/>
          <w:color w:val="000000" w:themeColor="text1"/>
          <w:sz w:val="23"/>
          <w:szCs w:val="23"/>
          <w:lang w:val="en-US"/>
        </w:rPr>
        <w:t xml:space="preserve"> </w:t>
      </w:r>
      <w:r w:rsidR="004F562A" w:rsidRPr="00983193">
        <w:rPr>
          <w:rFonts w:ascii="Times New Roman" w:hAnsi="Times New Roman" w:cs="Times New Roman"/>
          <w:color w:val="000000" w:themeColor="text1"/>
          <w:sz w:val="23"/>
          <w:szCs w:val="23"/>
          <w:lang w:val="en-US"/>
        </w:rPr>
        <w:t>invested</w:t>
      </w:r>
      <w:r w:rsidR="00965085" w:rsidRPr="00983193">
        <w:rPr>
          <w:rFonts w:ascii="Times New Roman" w:hAnsi="Times New Roman" w:cs="Times New Roman"/>
          <w:color w:val="000000" w:themeColor="text1"/>
          <w:sz w:val="23"/>
          <w:szCs w:val="23"/>
          <w:lang w:val="en-US"/>
        </w:rPr>
        <w:t xml:space="preserve">. </w:t>
      </w:r>
      <w:r w:rsidR="00B87429" w:rsidRPr="00983193">
        <w:rPr>
          <w:rFonts w:ascii="Times New Roman" w:hAnsi="Times New Roman" w:cs="Times New Roman"/>
          <w:color w:val="000000" w:themeColor="text1"/>
          <w:sz w:val="23"/>
          <w:szCs w:val="23"/>
          <w:lang w:val="en-US"/>
        </w:rPr>
        <w:t>Thus,</w:t>
      </w:r>
      <w:r w:rsidR="001E7C1B" w:rsidRPr="00983193">
        <w:rPr>
          <w:rFonts w:ascii="Times New Roman" w:hAnsi="Times New Roman" w:cs="Times New Roman"/>
          <w:color w:val="000000" w:themeColor="text1"/>
          <w:sz w:val="23"/>
          <w:szCs w:val="23"/>
          <w:lang w:val="en-US"/>
        </w:rPr>
        <w:t xml:space="preserve"> </w:t>
      </w:r>
      <w:r w:rsidR="00B87429" w:rsidRPr="00983193">
        <w:rPr>
          <w:rFonts w:ascii="Times New Roman" w:hAnsi="Times New Roman" w:cs="Times New Roman"/>
          <w:color w:val="000000" w:themeColor="text1"/>
          <w:sz w:val="23"/>
          <w:szCs w:val="23"/>
          <w:lang w:val="en-US"/>
        </w:rPr>
        <w:t xml:space="preserve">the </w:t>
      </w:r>
      <w:r w:rsidR="001E7C1B" w:rsidRPr="00983193">
        <w:rPr>
          <w:rFonts w:ascii="Times New Roman" w:hAnsi="Times New Roman" w:cs="Times New Roman"/>
          <w:color w:val="000000" w:themeColor="text1"/>
          <w:sz w:val="23"/>
          <w:szCs w:val="23"/>
          <w:lang w:val="en-US"/>
        </w:rPr>
        <w:t xml:space="preserve">H1b is </w:t>
      </w:r>
      <w:r w:rsidR="004F562A">
        <w:rPr>
          <w:rFonts w:ascii="Times New Roman" w:hAnsi="Times New Roman" w:cs="Times New Roman"/>
          <w:color w:val="000000" w:themeColor="text1"/>
          <w:sz w:val="23"/>
          <w:szCs w:val="23"/>
          <w:lang w:val="en-US"/>
        </w:rPr>
        <w:t>not supported</w:t>
      </w:r>
      <w:r w:rsidR="001E7C1B" w:rsidRPr="00983193">
        <w:rPr>
          <w:rFonts w:ascii="Times New Roman" w:hAnsi="Times New Roman" w:cs="Times New Roman"/>
          <w:color w:val="000000" w:themeColor="text1"/>
          <w:sz w:val="23"/>
          <w:szCs w:val="23"/>
          <w:lang w:val="en-US"/>
        </w:rPr>
        <w:t>.</w:t>
      </w:r>
      <w:r w:rsidR="004F562A">
        <w:rPr>
          <w:rFonts w:ascii="Times New Roman" w:hAnsi="Times New Roman" w:cs="Times New Roman"/>
          <w:color w:val="000000" w:themeColor="text1"/>
          <w:sz w:val="23"/>
          <w:szCs w:val="23"/>
          <w:lang w:val="en-US"/>
        </w:rPr>
        <w:t xml:space="preserve"> </w:t>
      </w:r>
      <w:r w:rsidR="005C26D8" w:rsidRPr="00983193">
        <w:rPr>
          <w:rFonts w:ascii="Times New Roman" w:hAnsi="Times New Roman" w:cs="Times New Roman"/>
          <w:color w:val="000000" w:themeColor="text1"/>
          <w:sz w:val="23"/>
          <w:szCs w:val="23"/>
          <w:lang w:val="en-US"/>
        </w:rPr>
        <w:t xml:space="preserve">The coefficient of the variable </w:t>
      </w:r>
      <w:r w:rsidR="005C26D8" w:rsidRPr="00A53C54">
        <w:rPr>
          <w:rFonts w:ascii="Times New Roman" w:hAnsi="Times New Roman" w:cs="Times New Roman"/>
          <w:i/>
          <w:color w:val="000000" w:themeColor="text1"/>
          <w:sz w:val="23"/>
          <w:szCs w:val="23"/>
          <w:lang w:val="en-US"/>
        </w:rPr>
        <w:t>ROA</w:t>
      </w:r>
      <w:r w:rsidR="005C26D8" w:rsidRPr="00983193">
        <w:rPr>
          <w:rFonts w:ascii="Times New Roman" w:hAnsi="Times New Roman" w:cs="Times New Roman"/>
          <w:color w:val="000000" w:themeColor="text1"/>
          <w:sz w:val="23"/>
          <w:szCs w:val="23"/>
          <w:lang w:val="en-US"/>
        </w:rPr>
        <w:t xml:space="preserve"> is positive, as expected, and significant at </w:t>
      </w:r>
      <w:r w:rsidR="004F562A">
        <w:rPr>
          <w:rFonts w:ascii="Times New Roman" w:hAnsi="Times New Roman" w:cs="Times New Roman"/>
          <w:color w:val="000000" w:themeColor="text1"/>
          <w:sz w:val="23"/>
          <w:szCs w:val="23"/>
          <w:lang w:val="en-US"/>
        </w:rPr>
        <w:t xml:space="preserve">the </w:t>
      </w:r>
      <w:r w:rsidR="005C26D8" w:rsidRPr="00983193">
        <w:rPr>
          <w:rFonts w:ascii="Times New Roman" w:hAnsi="Times New Roman" w:cs="Times New Roman"/>
          <w:color w:val="000000" w:themeColor="text1"/>
          <w:sz w:val="23"/>
          <w:szCs w:val="23"/>
          <w:lang w:val="en-US"/>
        </w:rPr>
        <w:t>1% level.</w:t>
      </w:r>
      <w:r w:rsidR="009F72BC" w:rsidRPr="00983193">
        <w:rPr>
          <w:rFonts w:ascii="Times New Roman" w:hAnsi="Times New Roman" w:cs="Times New Roman"/>
          <w:color w:val="000000" w:themeColor="text1"/>
          <w:sz w:val="23"/>
          <w:szCs w:val="23"/>
          <w:lang w:val="en-US"/>
        </w:rPr>
        <w:t xml:space="preserve"> The finding is consistent with</w:t>
      </w:r>
      <w:r w:rsidR="00A035C6" w:rsidRPr="00983193">
        <w:rPr>
          <w:rFonts w:ascii="Times New Roman" w:hAnsi="Times New Roman" w:cs="Times New Roman"/>
          <w:color w:val="000000" w:themeColor="text1"/>
          <w:sz w:val="23"/>
          <w:szCs w:val="23"/>
          <w:lang w:val="en-US"/>
        </w:rPr>
        <w:t xml:space="preserve"> El-</w:t>
      </w:r>
      <w:r w:rsidR="00A035C6" w:rsidRPr="00A71C5B">
        <w:rPr>
          <w:rFonts w:ascii="Times New Roman" w:hAnsi="Times New Roman" w:cs="Times New Roman"/>
          <w:noProof/>
          <w:color w:val="000000" w:themeColor="text1"/>
          <w:sz w:val="23"/>
          <w:szCs w:val="23"/>
          <w:lang w:val="en-US"/>
        </w:rPr>
        <w:t>Ba</w:t>
      </w:r>
      <w:r w:rsidR="006C4C3C" w:rsidRPr="00A71C5B">
        <w:rPr>
          <w:rFonts w:ascii="Times New Roman" w:hAnsi="Times New Roman" w:cs="Times New Roman"/>
          <w:noProof/>
          <w:color w:val="000000" w:themeColor="text1"/>
          <w:sz w:val="23"/>
          <w:szCs w:val="23"/>
          <w:lang w:val="en-US"/>
        </w:rPr>
        <w:t>nnany</w:t>
      </w:r>
      <w:r w:rsidR="006C4C3C" w:rsidRPr="00983193">
        <w:rPr>
          <w:rFonts w:ascii="Times New Roman" w:hAnsi="Times New Roman" w:cs="Times New Roman"/>
          <w:color w:val="000000" w:themeColor="text1"/>
          <w:sz w:val="23"/>
          <w:szCs w:val="23"/>
          <w:lang w:val="en-US"/>
        </w:rPr>
        <w:t xml:space="preserve"> (2008) </w:t>
      </w:r>
      <w:r w:rsidR="004F562A">
        <w:rPr>
          <w:rFonts w:ascii="Times New Roman" w:hAnsi="Times New Roman" w:cs="Times New Roman"/>
          <w:color w:val="000000" w:themeColor="text1"/>
          <w:sz w:val="23"/>
          <w:szCs w:val="23"/>
          <w:lang w:val="en-US"/>
        </w:rPr>
        <w:t>who finds for the</w:t>
      </w:r>
      <w:r w:rsidR="00A035C6" w:rsidRPr="00983193">
        <w:rPr>
          <w:rFonts w:ascii="Times New Roman" w:hAnsi="Times New Roman" w:cs="Times New Roman"/>
          <w:color w:val="000000" w:themeColor="text1"/>
          <w:sz w:val="23"/>
          <w:szCs w:val="23"/>
          <w:lang w:val="en-US"/>
        </w:rPr>
        <w:t xml:space="preserve"> UK banking sector</w:t>
      </w:r>
      <w:r w:rsidR="009F72BC" w:rsidRPr="00983193">
        <w:rPr>
          <w:rFonts w:ascii="Times New Roman" w:hAnsi="Times New Roman" w:cs="Times New Roman"/>
          <w:color w:val="000000" w:themeColor="text1"/>
          <w:sz w:val="23"/>
          <w:szCs w:val="23"/>
          <w:lang w:val="en-US"/>
        </w:rPr>
        <w:t xml:space="preserve"> a positive relationship between </w:t>
      </w:r>
      <w:r w:rsidR="009F72BC" w:rsidRPr="00A53C54">
        <w:rPr>
          <w:rFonts w:ascii="Times New Roman" w:hAnsi="Times New Roman" w:cs="Times New Roman"/>
          <w:i/>
          <w:color w:val="000000" w:themeColor="text1"/>
          <w:sz w:val="23"/>
          <w:szCs w:val="23"/>
          <w:lang w:val="en-US"/>
        </w:rPr>
        <w:t>VAIC</w:t>
      </w:r>
      <w:r w:rsidR="004F562A">
        <w:rPr>
          <w:rFonts w:ascii="Times New Roman" w:hAnsi="Times New Roman" w:cs="Times New Roman"/>
          <w:color w:val="000000" w:themeColor="text1"/>
          <w:sz w:val="23"/>
          <w:szCs w:val="23"/>
          <w:lang w:val="en-US"/>
        </w:rPr>
        <w:t>,</w:t>
      </w:r>
      <w:r w:rsidR="009F72BC" w:rsidRPr="00983193">
        <w:rPr>
          <w:rFonts w:ascii="Times New Roman" w:hAnsi="Times New Roman" w:cs="Times New Roman"/>
          <w:color w:val="000000" w:themeColor="text1"/>
          <w:sz w:val="23"/>
          <w:szCs w:val="23"/>
          <w:lang w:val="en-US"/>
        </w:rPr>
        <w:t xml:space="preserve"> or some of its components</w:t>
      </w:r>
      <w:r w:rsidR="004F562A">
        <w:rPr>
          <w:rFonts w:ascii="Times New Roman" w:hAnsi="Times New Roman" w:cs="Times New Roman"/>
          <w:color w:val="000000" w:themeColor="text1"/>
          <w:sz w:val="23"/>
          <w:szCs w:val="23"/>
          <w:lang w:val="en-US"/>
        </w:rPr>
        <w:t>,</w:t>
      </w:r>
      <w:r w:rsidR="009F72BC" w:rsidRPr="00983193">
        <w:rPr>
          <w:rFonts w:ascii="Times New Roman" w:hAnsi="Times New Roman" w:cs="Times New Roman"/>
          <w:color w:val="000000" w:themeColor="text1"/>
          <w:sz w:val="23"/>
          <w:szCs w:val="23"/>
          <w:lang w:val="en-US"/>
        </w:rPr>
        <w:t xml:space="preserve"> and firm profitability</w:t>
      </w:r>
      <w:r w:rsidR="006C4C3C" w:rsidRPr="00983193">
        <w:rPr>
          <w:rFonts w:ascii="Times New Roman" w:hAnsi="Times New Roman" w:cs="Times New Roman"/>
          <w:color w:val="000000" w:themeColor="text1"/>
          <w:sz w:val="23"/>
          <w:szCs w:val="23"/>
          <w:lang w:val="en-US"/>
        </w:rPr>
        <w:t>.</w:t>
      </w:r>
      <w:r w:rsidR="00A035C6" w:rsidRPr="00983193">
        <w:rPr>
          <w:rFonts w:ascii="Times New Roman" w:hAnsi="Times New Roman" w:cs="Times New Roman"/>
          <w:color w:val="000000" w:themeColor="text1"/>
          <w:sz w:val="23"/>
          <w:szCs w:val="23"/>
          <w:lang w:val="en-US"/>
        </w:rPr>
        <w:t xml:space="preserve"> Moreover, </w:t>
      </w:r>
      <w:r w:rsidR="004F562A">
        <w:rPr>
          <w:rFonts w:ascii="Times New Roman" w:hAnsi="Times New Roman" w:cs="Times New Roman"/>
          <w:color w:val="000000" w:themeColor="text1"/>
          <w:sz w:val="23"/>
          <w:szCs w:val="23"/>
          <w:lang w:val="en-US"/>
        </w:rPr>
        <w:t>our finding</w:t>
      </w:r>
      <w:r w:rsidR="00A035C6" w:rsidRPr="00983193">
        <w:rPr>
          <w:rFonts w:ascii="Times New Roman" w:hAnsi="Times New Roman" w:cs="Times New Roman"/>
          <w:color w:val="000000" w:themeColor="text1"/>
          <w:sz w:val="23"/>
          <w:szCs w:val="23"/>
          <w:lang w:val="en-US"/>
        </w:rPr>
        <w:t xml:space="preserve"> differ</w:t>
      </w:r>
      <w:r w:rsidR="004F562A">
        <w:rPr>
          <w:rFonts w:ascii="Times New Roman" w:hAnsi="Times New Roman" w:cs="Times New Roman"/>
          <w:color w:val="000000" w:themeColor="text1"/>
          <w:sz w:val="23"/>
          <w:szCs w:val="23"/>
          <w:lang w:val="en-US"/>
        </w:rPr>
        <w:t>s</w:t>
      </w:r>
      <w:r w:rsidR="00A035C6" w:rsidRPr="00983193">
        <w:rPr>
          <w:rFonts w:ascii="Times New Roman" w:hAnsi="Times New Roman" w:cs="Times New Roman"/>
          <w:color w:val="000000" w:themeColor="text1"/>
          <w:sz w:val="23"/>
          <w:szCs w:val="23"/>
          <w:lang w:val="en-US"/>
        </w:rPr>
        <w:t xml:space="preserve"> from previous studies</w:t>
      </w:r>
      <w:r w:rsidR="004F562A">
        <w:rPr>
          <w:rFonts w:ascii="Times New Roman" w:hAnsi="Times New Roman" w:cs="Times New Roman"/>
          <w:color w:val="000000" w:themeColor="text1"/>
          <w:sz w:val="23"/>
          <w:szCs w:val="23"/>
          <w:lang w:val="en-US"/>
        </w:rPr>
        <w:t xml:space="preserve"> as it finds </w:t>
      </w:r>
      <w:r w:rsidR="00B87429" w:rsidRPr="00983193">
        <w:rPr>
          <w:rFonts w:ascii="Times New Roman" w:hAnsi="Times New Roman" w:cs="Times New Roman"/>
          <w:color w:val="000000" w:themeColor="text1"/>
          <w:sz w:val="23"/>
          <w:szCs w:val="23"/>
          <w:lang w:val="en-US"/>
        </w:rPr>
        <w:t xml:space="preserve">a positive </w:t>
      </w:r>
      <w:r w:rsidR="00A035C6" w:rsidRPr="00983193">
        <w:rPr>
          <w:rFonts w:ascii="Times New Roman" w:hAnsi="Times New Roman" w:cs="Times New Roman"/>
          <w:color w:val="000000" w:themeColor="text1"/>
          <w:sz w:val="23"/>
          <w:szCs w:val="23"/>
          <w:lang w:val="en-US"/>
        </w:rPr>
        <w:t xml:space="preserve">relationship with profitability </w:t>
      </w:r>
      <w:r w:rsidR="004F562A">
        <w:rPr>
          <w:rFonts w:ascii="Times New Roman" w:hAnsi="Times New Roman" w:cs="Times New Roman"/>
          <w:color w:val="000000" w:themeColor="text1"/>
          <w:sz w:val="23"/>
          <w:szCs w:val="23"/>
          <w:lang w:val="en-US"/>
        </w:rPr>
        <w:t>when</w:t>
      </w:r>
      <w:r w:rsidR="00A035C6" w:rsidRPr="00983193">
        <w:rPr>
          <w:rFonts w:ascii="Times New Roman" w:hAnsi="Times New Roman" w:cs="Times New Roman"/>
          <w:color w:val="000000" w:themeColor="text1"/>
          <w:sz w:val="23"/>
          <w:szCs w:val="23"/>
          <w:lang w:val="en-US"/>
        </w:rPr>
        <w:t xml:space="preserve"> </w:t>
      </w:r>
      <w:r w:rsidR="00A035C6" w:rsidRPr="00A53C54">
        <w:rPr>
          <w:rFonts w:ascii="Times New Roman" w:hAnsi="Times New Roman" w:cs="Times New Roman"/>
          <w:i/>
          <w:color w:val="000000" w:themeColor="text1"/>
          <w:sz w:val="23"/>
          <w:szCs w:val="23"/>
          <w:lang w:val="en-US"/>
        </w:rPr>
        <w:t>VAIC</w:t>
      </w:r>
      <w:r w:rsidR="00A035C6" w:rsidRPr="00983193">
        <w:rPr>
          <w:rFonts w:ascii="Times New Roman" w:hAnsi="Times New Roman" w:cs="Times New Roman"/>
          <w:color w:val="000000" w:themeColor="text1"/>
          <w:sz w:val="23"/>
          <w:szCs w:val="23"/>
          <w:lang w:val="en-US"/>
        </w:rPr>
        <w:t xml:space="preserve"> </w:t>
      </w:r>
      <w:r w:rsidR="004F562A">
        <w:rPr>
          <w:rFonts w:ascii="Times New Roman" w:hAnsi="Times New Roman" w:cs="Times New Roman"/>
          <w:color w:val="000000" w:themeColor="text1"/>
          <w:sz w:val="23"/>
          <w:szCs w:val="23"/>
          <w:lang w:val="en-US"/>
        </w:rPr>
        <w:t xml:space="preserve">is specified </w:t>
      </w:r>
      <w:r w:rsidR="00A035C6" w:rsidRPr="00983193">
        <w:rPr>
          <w:rFonts w:ascii="Times New Roman" w:hAnsi="Times New Roman" w:cs="Times New Roman"/>
          <w:color w:val="000000" w:themeColor="text1"/>
          <w:sz w:val="23"/>
          <w:szCs w:val="23"/>
          <w:lang w:val="en-US"/>
        </w:rPr>
        <w:t xml:space="preserve">as dependent </w:t>
      </w:r>
      <w:r w:rsidR="004F562A">
        <w:rPr>
          <w:rFonts w:ascii="Times New Roman" w:hAnsi="Times New Roman" w:cs="Times New Roman"/>
          <w:color w:val="000000" w:themeColor="text1"/>
          <w:sz w:val="23"/>
          <w:szCs w:val="23"/>
          <w:lang w:val="en-US"/>
        </w:rPr>
        <w:t>rather than as an</w:t>
      </w:r>
      <w:r w:rsidR="00A035C6" w:rsidRPr="00983193">
        <w:rPr>
          <w:rFonts w:ascii="Times New Roman" w:hAnsi="Times New Roman" w:cs="Times New Roman"/>
          <w:color w:val="000000" w:themeColor="text1"/>
          <w:sz w:val="23"/>
          <w:szCs w:val="23"/>
          <w:lang w:val="en-US"/>
        </w:rPr>
        <w:t xml:space="preserve"> independent variable.</w:t>
      </w:r>
      <w:r w:rsidR="006C4C3C" w:rsidRPr="00983193">
        <w:rPr>
          <w:rFonts w:ascii="Times New Roman" w:hAnsi="Times New Roman" w:cs="Times New Roman"/>
          <w:color w:val="000000" w:themeColor="text1"/>
          <w:sz w:val="23"/>
          <w:szCs w:val="23"/>
          <w:lang w:val="en-US"/>
        </w:rPr>
        <w:t xml:space="preserve"> </w:t>
      </w:r>
      <w:r w:rsidR="004F562A">
        <w:rPr>
          <w:rFonts w:ascii="Times New Roman" w:hAnsi="Times New Roman" w:cs="Times New Roman"/>
          <w:color w:val="000000" w:themeColor="text1"/>
          <w:sz w:val="23"/>
          <w:szCs w:val="23"/>
          <w:lang w:val="en-US"/>
        </w:rPr>
        <w:t xml:space="preserve">This suggests </w:t>
      </w:r>
      <w:r w:rsidR="004C4964" w:rsidRPr="00983193">
        <w:rPr>
          <w:rFonts w:ascii="Times New Roman" w:hAnsi="Times New Roman" w:cs="Times New Roman"/>
          <w:color w:val="000000" w:themeColor="text1"/>
          <w:sz w:val="23"/>
          <w:szCs w:val="23"/>
          <w:lang w:val="en-US"/>
        </w:rPr>
        <w:t xml:space="preserve">that making profits </w:t>
      </w:r>
      <w:r w:rsidR="004F562A">
        <w:rPr>
          <w:rFonts w:ascii="Times New Roman" w:hAnsi="Times New Roman" w:cs="Times New Roman"/>
          <w:color w:val="000000" w:themeColor="text1"/>
          <w:sz w:val="23"/>
          <w:szCs w:val="23"/>
          <w:lang w:val="en-US"/>
        </w:rPr>
        <w:t>enables</w:t>
      </w:r>
      <w:r w:rsidR="004F562A" w:rsidRPr="00983193">
        <w:rPr>
          <w:rFonts w:ascii="Times New Roman" w:hAnsi="Times New Roman" w:cs="Times New Roman"/>
          <w:color w:val="000000" w:themeColor="text1"/>
          <w:sz w:val="23"/>
          <w:szCs w:val="23"/>
          <w:lang w:val="en-US"/>
        </w:rPr>
        <w:t xml:space="preserve"> </w:t>
      </w:r>
      <w:r w:rsidR="004F562A">
        <w:rPr>
          <w:rFonts w:ascii="Times New Roman" w:hAnsi="Times New Roman" w:cs="Times New Roman"/>
          <w:color w:val="000000" w:themeColor="text1"/>
          <w:sz w:val="23"/>
          <w:szCs w:val="23"/>
          <w:lang w:val="en-US"/>
        </w:rPr>
        <w:t xml:space="preserve">firm </w:t>
      </w:r>
      <w:r w:rsidR="004C4964" w:rsidRPr="00983193">
        <w:rPr>
          <w:rFonts w:ascii="Times New Roman" w:hAnsi="Times New Roman" w:cs="Times New Roman"/>
          <w:color w:val="000000" w:themeColor="text1"/>
          <w:sz w:val="23"/>
          <w:szCs w:val="23"/>
          <w:lang w:val="en-US"/>
        </w:rPr>
        <w:t xml:space="preserve">directors to undertake other useful activities such as encouraging staff to innovate which </w:t>
      </w:r>
      <w:r w:rsidR="004F562A">
        <w:rPr>
          <w:rFonts w:ascii="Times New Roman" w:hAnsi="Times New Roman" w:cs="Times New Roman"/>
          <w:color w:val="000000" w:themeColor="text1"/>
          <w:sz w:val="23"/>
          <w:szCs w:val="23"/>
          <w:lang w:val="en-US"/>
        </w:rPr>
        <w:t>may in turn</w:t>
      </w:r>
      <w:r w:rsidR="004F562A" w:rsidRPr="00983193">
        <w:rPr>
          <w:rFonts w:ascii="Times New Roman" w:hAnsi="Times New Roman" w:cs="Times New Roman"/>
          <w:color w:val="000000" w:themeColor="text1"/>
          <w:sz w:val="23"/>
          <w:szCs w:val="23"/>
          <w:lang w:val="en-US"/>
        </w:rPr>
        <w:t xml:space="preserve"> </w:t>
      </w:r>
      <w:r w:rsidR="004C4964" w:rsidRPr="00983193">
        <w:rPr>
          <w:rFonts w:ascii="Times New Roman" w:hAnsi="Times New Roman" w:cs="Times New Roman"/>
          <w:color w:val="000000" w:themeColor="text1"/>
          <w:sz w:val="23"/>
          <w:szCs w:val="23"/>
          <w:lang w:val="en-US"/>
        </w:rPr>
        <w:t xml:space="preserve">lead to increased </w:t>
      </w:r>
      <w:r w:rsidR="004F562A">
        <w:rPr>
          <w:rFonts w:ascii="Times New Roman" w:hAnsi="Times New Roman" w:cs="Times New Roman"/>
          <w:color w:val="000000" w:themeColor="text1"/>
          <w:sz w:val="23"/>
          <w:szCs w:val="23"/>
          <w:lang w:val="en-US"/>
        </w:rPr>
        <w:t xml:space="preserve">firm </w:t>
      </w:r>
      <w:r w:rsidR="004C4964" w:rsidRPr="00983193">
        <w:rPr>
          <w:rFonts w:ascii="Times New Roman" w:hAnsi="Times New Roman" w:cs="Times New Roman"/>
          <w:color w:val="000000" w:themeColor="text1"/>
          <w:sz w:val="23"/>
          <w:szCs w:val="23"/>
          <w:lang w:val="en-US"/>
        </w:rPr>
        <w:t xml:space="preserve">profitability (El-Bannany, 2008). </w:t>
      </w:r>
      <w:r w:rsidR="002718CA" w:rsidRPr="00983193">
        <w:rPr>
          <w:rFonts w:ascii="Times New Roman" w:hAnsi="Times New Roman" w:cs="Times New Roman"/>
          <w:color w:val="000000" w:themeColor="text1"/>
          <w:sz w:val="23"/>
          <w:szCs w:val="23"/>
          <w:lang w:val="en-US"/>
        </w:rPr>
        <w:t xml:space="preserve">Accordingly, hypothesis H2 is </w:t>
      </w:r>
      <w:r w:rsidR="009D4D70">
        <w:rPr>
          <w:rFonts w:ascii="Times New Roman" w:hAnsi="Times New Roman" w:cs="Times New Roman"/>
          <w:color w:val="000000" w:themeColor="text1"/>
          <w:sz w:val="23"/>
          <w:szCs w:val="23"/>
          <w:lang w:val="en-US"/>
        </w:rPr>
        <w:t>also supported</w:t>
      </w:r>
      <w:r w:rsidR="002718CA" w:rsidRPr="00983193">
        <w:rPr>
          <w:rFonts w:ascii="Times New Roman" w:hAnsi="Times New Roman" w:cs="Times New Roman"/>
          <w:color w:val="000000" w:themeColor="text1"/>
          <w:sz w:val="23"/>
          <w:szCs w:val="23"/>
          <w:lang w:val="en-US"/>
        </w:rPr>
        <w:t xml:space="preserve"> </w:t>
      </w:r>
      <w:r w:rsidR="009D4D70">
        <w:rPr>
          <w:rFonts w:ascii="Times New Roman" w:hAnsi="Times New Roman" w:cs="Times New Roman"/>
          <w:color w:val="000000" w:themeColor="text1"/>
          <w:sz w:val="23"/>
          <w:szCs w:val="23"/>
          <w:lang w:val="en-US"/>
        </w:rPr>
        <w:t>in</w:t>
      </w:r>
      <w:r w:rsidR="002718CA" w:rsidRPr="00983193">
        <w:rPr>
          <w:rFonts w:ascii="Times New Roman" w:hAnsi="Times New Roman" w:cs="Times New Roman"/>
          <w:color w:val="000000" w:themeColor="text1"/>
          <w:sz w:val="23"/>
          <w:szCs w:val="23"/>
          <w:lang w:val="en-US"/>
        </w:rPr>
        <w:t xml:space="preserve"> </w:t>
      </w:r>
      <w:r w:rsidR="009D4D70">
        <w:rPr>
          <w:rFonts w:ascii="Times New Roman" w:hAnsi="Times New Roman" w:cs="Times New Roman"/>
          <w:color w:val="000000" w:themeColor="text1"/>
          <w:sz w:val="23"/>
          <w:szCs w:val="23"/>
          <w:lang w:val="en-US"/>
        </w:rPr>
        <w:t>M</w:t>
      </w:r>
      <w:r w:rsidR="002718CA" w:rsidRPr="00983193">
        <w:rPr>
          <w:rFonts w:ascii="Times New Roman" w:hAnsi="Times New Roman" w:cs="Times New Roman"/>
          <w:color w:val="000000" w:themeColor="text1"/>
          <w:sz w:val="23"/>
          <w:szCs w:val="23"/>
          <w:lang w:val="en-US"/>
        </w:rPr>
        <w:t>odel 2.</w:t>
      </w:r>
      <w:r w:rsidR="009D4D70">
        <w:rPr>
          <w:rFonts w:ascii="Times New Roman" w:hAnsi="Times New Roman" w:cs="Times New Roman"/>
          <w:color w:val="000000" w:themeColor="text1"/>
          <w:sz w:val="23"/>
          <w:szCs w:val="23"/>
          <w:lang w:val="en-US"/>
        </w:rPr>
        <w:t xml:space="preserve"> </w:t>
      </w:r>
      <w:r w:rsidR="00BC3E74" w:rsidRPr="00983193">
        <w:rPr>
          <w:rFonts w:ascii="Times New Roman" w:hAnsi="Times New Roman" w:cs="Times New Roman"/>
          <w:color w:val="000000" w:themeColor="text1"/>
          <w:sz w:val="23"/>
          <w:szCs w:val="23"/>
          <w:lang w:val="en-US"/>
        </w:rPr>
        <w:t xml:space="preserve">The variable </w:t>
      </w:r>
      <w:r w:rsidR="00BC3E74" w:rsidRPr="00A53C54">
        <w:rPr>
          <w:rFonts w:ascii="Times New Roman" w:hAnsi="Times New Roman" w:cs="Times New Roman"/>
          <w:i/>
          <w:color w:val="000000" w:themeColor="text1"/>
          <w:sz w:val="23"/>
          <w:szCs w:val="23"/>
          <w:lang w:val="en-US"/>
        </w:rPr>
        <w:t xml:space="preserve">LEV </w:t>
      </w:r>
      <w:r w:rsidR="009D4D70">
        <w:rPr>
          <w:rFonts w:ascii="Times New Roman" w:hAnsi="Times New Roman" w:cs="Times New Roman"/>
          <w:color w:val="000000" w:themeColor="text1"/>
          <w:sz w:val="23"/>
          <w:szCs w:val="23"/>
          <w:lang w:val="en-US"/>
        </w:rPr>
        <w:t>has</w:t>
      </w:r>
      <w:r w:rsidR="009D4D70" w:rsidRPr="00983193">
        <w:rPr>
          <w:rFonts w:ascii="Times New Roman" w:hAnsi="Times New Roman" w:cs="Times New Roman"/>
          <w:color w:val="000000" w:themeColor="text1"/>
          <w:sz w:val="23"/>
          <w:szCs w:val="23"/>
          <w:lang w:val="en-US"/>
        </w:rPr>
        <w:t xml:space="preserve"> </w:t>
      </w:r>
      <w:r w:rsidR="00BC3E74" w:rsidRPr="00983193">
        <w:rPr>
          <w:rFonts w:ascii="Times New Roman" w:hAnsi="Times New Roman" w:cs="Times New Roman"/>
          <w:color w:val="000000" w:themeColor="text1"/>
          <w:sz w:val="23"/>
          <w:szCs w:val="23"/>
          <w:lang w:val="en-US"/>
        </w:rPr>
        <w:t>a negative sign</w:t>
      </w:r>
      <w:r w:rsidR="0059582A">
        <w:rPr>
          <w:rFonts w:ascii="Times New Roman" w:hAnsi="Times New Roman" w:cs="Times New Roman"/>
          <w:color w:val="000000" w:themeColor="text1"/>
          <w:sz w:val="23"/>
          <w:szCs w:val="23"/>
          <w:lang w:val="en-US"/>
        </w:rPr>
        <w:t>, as expected,</w:t>
      </w:r>
      <w:r w:rsidR="00BC3E74" w:rsidRPr="00983193">
        <w:rPr>
          <w:rFonts w:ascii="Times New Roman" w:hAnsi="Times New Roman" w:cs="Times New Roman"/>
          <w:color w:val="000000" w:themeColor="text1"/>
          <w:sz w:val="23"/>
          <w:szCs w:val="23"/>
          <w:lang w:val="en-US"/>
        </w:rPr>
        <w:t xml:space="preserve"> </w:t>
      </w:r>
      <w:r w:rsidR="009D4D70">
        <w:rPr>
          <w:rFonts w:ascii="Times New Roman" w:hAnsi="Times New Roman" w:cs="Times New Roman"/>
          <w:color w:val="000000" w:themeColor="text1"/>
          <w:sz w:val="23"/>
          <w:szCs w:val="23"/>
          <w:lang w:val="en-US"/>
        </w:rPr>
        <w:t xml:space="preserve">which is </w:t>
      </w:r>
      <w:r w:rsidR="00BC3E74" w:rsidRPr="00983193">
        <w:rPr>
          <w:rFonts w:ascii="Times New Roman" w:hAnsi="Times New Roman" w:cs="Times New Roman"/>
          <w:color w:val="000000" w:themeColor="text1"/>
          <w:sz w:val="23"/>
          <w:szCs w:val="23"/>
          <w:lang w:val="en-US"/>
        </w:rPr>
        <w:t xml:space="preserve">significant at </w:t>
      </w:r>
      <w:r w:rsidR="009D4D70">
        <w:rPr>
          <w:rFonts w:ascii="Times New Roman" w:hAnsi="Times New Roman" w:cs="Times New Roman"/>
          <w:color w:val="000000" w:themeColor="text1"/>
          <w:sz w:val="23"/>
          <w:szCs w:val="23"/>
          <w:lang w:val="en-US"/>
        </w:rPr>
        <w:t xml:space="preserve">the </w:t>
      </w:r>
      <w:r w:rsidR="00BC3E74" w:rsidRPr="00983193">
        <w:rPr>
          <w:rFonts w:ascii="Times New Roman" w:hAnsi="Times New Roman" w:cs="Times New Roman"/>
          <w:color w:val="000000" w:themeColor="text1"/>
          <w:sz w:val="23"/>
          <w:szCs w:val="23"/>
          <w:lang w:val="en-US"/>
        </w:rPr>
        <w:t>5% level</w:t>
      </w:r>
      <w:r w:rsidR="009D4D70">
        <w:rPr>
          <w:rFonts w:ascii="Times New Roman" w:hAnsi="Times New Roman" w:cs="Times New Roman"/>
          <w:color w:val="000000" w:themeColor="text1"/>
          <w:sz w:val="23"/>
          <w:szCs w:val="23"/>
          <w:lang w:val="en-US"/>
        </w:rPr>
        <w:t>,</w:t>
      </w:r>
      <w:r w:rsidR="00BC3E74" w:rsidRPr="00983193">
        <w:rPr>
          <w:rFonts w:ascii="Times New Roman" w:hAnsi="Times New Roman" w:cs="Times New Roman"/>
          <w:color w:val="000000" w:themeColor="text1"/>
          <w:sz w:val="23"/>
          <w:szCs w:val="23"/>
          <w:lang w:val="en-US"/>
        </w:rPr>
        <w:t xml:space="preserve"> </w:t>
      </w:r>
      <w:r w:rsidR="009451DB" w:rsidRPr="00983193">
        <w:rPr>
          <w:rFonts w:ascii="Times New Roman" w:hAnsi="Times New Roman" w:cs="Times New Roman"/>
          <w:color w:val="000000" w:themeColor="text1"/>
          <w:sz w:val="23"/>
          <w:szCs w:val="23"/>
          <w:lang w:val="en-US"/>
        </w:rPr>
        <w:t>suggest</w:t>
      </w:r>
      <w:r w:rsidR="009D4D70">
        <w:rPr>
          <w:rFonts w:ascii="Times New Roman" w:hAnsi="Times New Roman" w:cs="Times New Roman"/>
          <w:color w:val="000000" w:themeColor="text1"/>
          <w:sz w:val="23"/>
          <w:szCs w:val="23"/>
          <w:lang w:val="en-US"/>
        </w:rPr>
        <w:t>ing</w:t>
      </w:r>
      <w:r w:rsidR="009451DB" w:rsidRPr="00983193">
        <w:rPr>
          <w:rFonts w:ascii="Times New Roman" w:hAnsi="Times New Roman" w:cs="Times New Roman"/>
          <w:color w:val="000000" w:themeColor="text1"/>
          <w:sz w:val="23"/>
          <w:szCs w:val="23"/>
          <w:lang w:val="en-US"/>
        </w:rPr>
        <w:t xml:space="preserve"> that the higher </w:t>
      </w:r>
      <w:r w:rsidR="009D4D70">
        <w:rPr>
          <w:rFonts w:ascii="Times New Roman" w:hAnsi="Times New Roman" w:cs="Times New Roman"/>
          <w:color w:val="000000" w:themeColor="text1"/>
          <w:sz w:val="23"/>
          <w:szCs w:val="23"/>
          <w:lang w:val="en-US"/>
        </w:rPr>
        <w:t xml:space="preserve">is firm </w:t>
      </w:r>
      <w:r w:rsidR="009451DB" w:rsidRPr="00983193">
        <w:rPr>
          <w:rFonts w:ascii="Times New Roman" w:hAnsi="Times New Roman" w:cs="Times New Roman"/>
          <w:color w:val="000000" w:themeColor="text1"/>
          <w:sz w:val="23"/>
          <w:szCs w:val="23"/>
          <w:lang w:val="en-US"/>
        </w:rPr>
        <w:t xml:space="preserve">leverage, </w:t>
      </w:r>
      <w:r w:rsidR="009451DB" w:rsidRPr="00983193">
        <w:rPr>
          <w:rFonts w:ascii="Times New Roman" w:eastAsia="Calibri" w:hAnsi="Times New Roman" w:cs="Times New Roman"/>
          <w:color w:val="000000" w:themeColor="text1"/>
          <w:sz w:val="23"/>
          <w:szCs w:val="23"/>
          <w:lang w:val="en-US"/>
        </w:rPr>
        <w:t xml:space="preserve">the higher the firm’s dependence on </w:t>
      </w:r>
      <w:r w:rsidR="009451DB" w:rsidRPr="002F54F4">
        <w:rPr>
          <w:rFonts w:ascii="Times New Roman" w:eastAsia="Calibri" w:hAnsi="Times New Roman" w:cs="Times New Roman"/>
          <w:noProof/>
          <w:color w:val="000000" w:themeColor="text1"/>
          <w:sz w:val="23"/>
          <w:szCs w:val="23"/>
          <w:lang w:val="en-US"/>
        </w:rPr>
        <w:t>debt</w:t>
      </w:r>
      <w:r w:rsidR="009D4D70">
        <w:rPr>
          <w:rFonts w:ascii="Times New Roman" w:eastAsia="Calibri" w:hAnsi="Times New Roman" w:cs="Times New Roman"/>
          <w:noProof/>
          <w:color w:val="000000" w:themeColor="text1"/>
          <w:sz w:val="23"/>
          <w:szCs w:val="23"/>
          <w:lang w:val="en-US"/>
        </w:rPr>
        <w:t xml:space="preserve"> and </w:t>
      </w:r>
      <w:r w:rsidR="009D4D70">
        <w:rPr>
          <w:rFonts w:ascii="Times New Roman" w:eastAsia="Calibri" w:hAnsi="Times New Roman" w:cs="Times New Roman"/>
          <w:color w:val="000000" w:themeColor="text1"/>
          <w:sz w:val="23"/>
          <w:szCs w:val="23"/>
          <w:lang w:val="en-US"/>
        </w:rPr>
        <w:t>financial</w:t>
      </w:r>
      <w:r w:rsidR="009D4D70" w:rsidRPr="00983193">
        <w:rPr>
          <w:rFonts w:ascii="Times New Roman" w:eastAsia="Calibri" w:hAnsi="Times New Roman" w:cs="Times New Roman"/>
          <w:color w:val="000000" w:themeColor="text1"/>
          <w:sz w:val="23"/>
          <w:szCs w:val="23"/>
          <w:lang w:val="en-US"/>
        </w:rPr>
        <w:t xml:space="preserve"> </w:t>
      </w:r>
      <w:r w:rsidR="009451DB" w:rsidRPr="00983193">
        <w:rPr>
          <w:rFonts w:ascii="Times New Roman" w:eastAsia="Calibri" w:hAnsi="Times New Roman" w:cs="Times New Roman"/>
          <w:color w:val="000000" w:themeColor="text1"/>
          <w:sz w:val="23"/>
          <w:szCs w:val="23"/>
          <w:lang w:val="en-US"/>
        </w:rPr>
        <w:t>risk</w:t>
      </w:r>
      <w:r w:rsidR="009D4D70">
        <w:rPr>
          <w:rFonts w:ascii="Times New Roman" w:eastAsia="Calibri" w:hAnsi="Times New Roman" w:cs="Times New Roman"/>
          <w:color w:val="000000" w:themeColor="text1"/>
          <w:sz w:val="23"/>
          <w:szCs w:val="23"/>
          <w:lang w:val="en-US"/>
        </w:rPr>
        <w:t>, thereby</w:t>
      </w:r>
      <w:r w:rsidR="009451DB" w:rsidRPr="00983193">
        <w:rPr>
          <w:rFonts w:ascii="Times New Roman" w:eastAsia="Calibri" w:hAnsi="Times New Roman" w:cs="Times New Roman"/>
          <w:color w:val="000000" w:themeColor="text1"/>
          <w:sz w:val="23"/>
          <w:szCs w:val="23"/>
          <w:lang w:val="en-US"/>
        </w:rPr>
        <w:t xml:space="preserve"> negatively </w:t>
      </w:r>
      <w:r w:rsidR="009D4D70" w:rsidRPr="00983193">
        <w:rPr>
          <w:rFonts w:ascii="Times New Roman" w:eastAsia="Calibri" w:hAnsi="Times New Roman" w:cs="Times New Roman"/>
          <w:color w:val="000000" w:themeColor="text1"/>
          <w:sz w:val="23"/>
          <w:szCs w:val="23"/>
          <w:lang w:val="en-US"/>
        </w:rPr>
        <w:t>affect</w:t>
      </w:r>
      <w:r w:rsidR="009D4D70">
        <w:rPr>
          <w:rFonts w:ascii="Times New Roman" w:eastAsia="Calibri" w:hAnsi="Times New Roman" w:cs="Times New Roman"/>
          <w:color w:val="000000" w:themeColor="text1"/>
          <w:sz w:val="23"/>
          <w:szCs w:val="23"/>
          <w:lang w:val="en-US"/>
        </w:rPr>
        <w:t>ing</w:t>
      </w:r>
      <w:r w:rsidR="009D4D70" w:rsidRPr="00983193">
        <w:rPr>
          <w:rFonts w:ascii="Times New Roman" w:eastAsia="Calibri" w:hAnsi="Times New Roman" w:cs="Times New Roman"/>
          <w:color w:val="000000" w:themeColor="text1"/>
          <w:sz w:val="23"/>
          <w:szCs w:val="23"/>
          <w:lang w:val="en-US"/>
        </w:rPr>
        <w:t xml:space="preserve"> </w:t>
      </w:r>
      <w:r w:rsidR="009451DB" w:rsidRPr="00A53C54">
        <w:rPr>
          <w:rFonts w:ascii="Times New Roman" w:eastAsia="Calibri" w:hAnsi="Times New Roman" w:cs="Times New Roman"/>
          <w:i/>
          <w:color w:val="000000" w:themeColor="text1"/>
          <w:sz w:val="23"/>
          <w:szCs w:val="23"/>
          <w:lang w:val="en-US"/>
        </w:rPr>
        <w:t>VAIC</w:t>
      </w:r>
      <w:r w:rsidR="009451DB" w:rsidRPr="00983193">
        <w:rPr>
          <w:rFonts w:ascii="Times New Roman" w:eastAsia="Calibri" w:hAnsi="Times New Roman" w:cs="Times New Roman"/>
          <w:color w:val="000000" w:themeColor="text1"/>
          <w:sz w:val="23"/>
          <w:szCs w:val="23"/>
          <w:lang w:val="en-US"/>
        </w:rPr>
        <w:t>.</w:t>
      </w:r>
      <w:r w:rsidR="0043150D" w:rsidRPr="00983193">
        <w:rPr>
          <w:rFonts w:ascii="Times New Roman" w:eastAsia="Calibri" w:hAnsi="Times New Roman" w:cs="Times New Roman"/>
          <w:color w:val="000000" w:themeColor="text1"/>
          <w:sz w:val="23"/>
          <w:szCs w:val="23"/>
          <w:lang w:val="en-US"/>
        </w:rPr>
        <w:t xml:space="preserve"> </w:t>
      </w:r>
      <w:r w:rsidR="00525C61">
        <w:rPr>
          <w:rFonts w:ascii="Times New Roman" w:eastAsia="Calibri" w:hAnsi="Times New Roman" w:cs="Times New Roman"/>
          <w:color w:val="000000" w:themeColor="text1"/>
          <w:sz w:val="23"/>
          <w:szCs w:val="23"/>
          <w:lang w:val="en-US"/>
        </w:rPr>
        <w:t xml:space="preserve">Thus, our hypothesis H3b is supported by our findings. </w:t>
      </w:r>
      <w:r w:rsidR="005A5C5F" w:rsidRPr="00FA1D80">
        <w:rPr>
          <w:rFonts w:ascii="Times New Roman" w:eastAsia="Calibri" w:hAnsi="Times New Roman" w:cs="Times New Roman"/>
          <w:color w:val="000000" w:themeColor="text1"/>
          <w:sz w:val="23"/>
          <w:szCs w:val="23"/>
          <w:lang w:val="en-US"/>
        </w:rPr>
        <w:t xml:space="preserve">Another possible explanation </w:t>
      </w:r>
      <w:r w:rsidR="009D4D70">
        <w:rPr>
          <w:rFonts w:ascii="Times New Roman" w:eastAsia="Calibri" w:hAnsi="Times New Roman" w:cs="Times New Roman"/>
          <w:color w:val="000000" w:themeColor="text1"/>
          <w:sz w:val="23"/>
          <w:szCs w:val="23"/>
          <w:lang w:val="en-US"/>
        </w:rPr>
        <w:t>lies in</w:t>
      </w:r>
      <w:r w:rsidR="005A5C5F" w:rsidRPr="00FA1D80">
        <w:rPr>
          <w:rFonts w:ascii="Times New Roman" w:eastAsia="Calibri" w:hAnsi="Times New Roman" w:cs="Times New Roman"/>
          <w:color w:val="000000" w:themeColor="text1"/>
          <w:sz w:val="23"/>
          <w:szCs w:val="23"/>
          <w:lang w:val="en-US"/>
        </w:rPr>
        <w:t xml:space="preserve"> the cost of capital. As the cost of debt is </w:t>
      </w:r>
      <w:r w:rsidR="009D4D70">
        <w:rPr>
          <w:rFonts w:ascii="Times New Roman" w:eastAsia="Calibri" w:hAnsi="Times New Roman" w:cs="Times New Roman"/>
          <w:color w:val="000000" w:themeColor="text1"/>
          <w:sz w:val="23"/>
          <w:szCs w:val="23"/>
          <w:lang w:val="en-US"/>
        </w:rPr>
        <w:t>typically</w:t>
      </w:r>
      <w:r w:rsidR="009D4D70" w:rsidRPr="00FA1D80">
        <w:rPr>
          <w:rFonts w:ascii="Times New Roman" w:eastAsia="Calibri" w:hAnsi="Times New Roman" w:cs="Times New Roman"/>
          <w:color w:val="000000" w:themeColor="text1"/>
          <w:sz w:val="23"/>
          <w:szCs w:val="23"/>
          <w:lang w:val="en-US"/>
        </w:rPr>
        <w:t xml:space="preserve"> </w:t>
      </w:r>
      <w:r w:rsidR="005A5C5F" w:rsidRPr="00FA1D80">
        <w:rPr>
          <w:rFonts w:ascii="Times New Roman" w:eastAsia="Calibri" w:hAnsi="Times New Roman" w:cs="Times New Roman"/>
          <w:color w:val="000000" w:themeColor="text1"/>
          <w:sz w:val="23"/>
          <w:szCs w:val="23"/>
          <w:lang w:val="en-US"/>
        </w:rPr>
        <w:t xml:space="preserve">lower than the cost of equity, increased leverage implies a </w:t>
      </w:r>
      <w:r w:rsidR="009D4D70">
        <w:rPr>
          <w:rFonts w:ascii="Times New Roman" w:eastAsia="Calibri" w:hAnsi="Times New Roman" w:cs="Times New Roman"/>
          <w:color w:val="000000" w:themeColor="text1"/>
          <w:sz w:val="23"/>
          <w:szCs w:val="23"/>
          <w:lang w:val="en-US"/>
        </w:rPr>
        <w:t>reduction in the</w:t>
      </w:r>
      <w:r w:rsidR="005A5C5F" w:rsidRPr="00FA1D80">
        <w:rPr>
          <w:rFonts w:ascii="Times New Roman" w:eastAsia="Calibri" w:hAnsi="Times New Roman" w:cs="Times New Roman"/>
          <w:color w:val="000000" w:themeColor="text1"/>
          <w:sz w:val="23"/>
          <w:szCs w:val="23"/>
          <w:lang w:val="en-US"/>
        </w:rPr>
        <w:t xml:space="preserve"> average cost of capital and, consequently, a weaker pressure on managers to </w:t>
      </w:r>
      <w:r w:rsidR="009D4D70">
        <w:rPr>
          <w:rFonts w:ascii="Times New Roman" w:eastAsia="Calibri" w:hAnsi="Times New Roman" w:cs="Times New Roman"/>
          <w:color w:val="000000" w:themeColor="text1"/>
          <w:sz w:val="23"/>
          <w:szCs w:val="23"/>
          <w:lang w:val="en-US"/>
        </w:rPr>
        <w:t>generate returns for investors</w:t>
      </w:r>
      <w:r w:rsidR="005A5C5F" w:rsidRPr="00FA1D80">
        <w:rPr>
          <w:rFonts w:ascii="Times New Roman" w:eastAsia="Calibri" w:hAnsi="Times New Roman" w:cs="Times New Roman"/>
          <w:color w:val="000000" w:themeColor="text1"/>
          <w:sz w:val="23"/>
          <w:szCs w:val="23"/>
          <w:lang w:val="en-US"/>
        </w:rPr>
        <w:t xml:space="preserve">, hence reducing </w:t>
      </w:r>
      <w:r w:rsidR="005A5C5F" w:rsidRPr="00A53C54">
        <w:rPr>
          <w:rFonts w:ascii="Times New Roman" w:eastAsia="Calibri" w:hAnsi="Times New Roman" w:cs="Times New Roman"/>
          <w:color w:val="000000" w:themeColor="text1"/>
          <w:sz w:val="23"/>
          <w:szCs w:val="23"/>
          <w:lang w:val="en-US"/>
        </w:rPr>
        <w:t>structural capital</w:t>
      </w:r>
      <w:r w:rsidR="005A5C5F" w:rsidRPr="00FA1D80">
        <w:rPr>
          <w:rFonts w:ascii="Times New Roman" w:eastAsia="Calibri" w:hAnsi="Times New Roman" w:cs="Times New Roman"/>
          <w:color w:val="000000" w:themeColor="text1"/>
          <w:sz w:val="23"/>
          <w:szCs w:val="23"/>
          <w:lang w:val="en-US"/>
        </w:rPr>
        <w:t xml:space="preserve">, an important component of the growth of </w:t>
      </w:r>
      <w:r w:rsidR="005A5C5F" w:rsidRPr="00A53C54">
        <w:rPr>
          <w:rFonts w:ascii="Times New Roman" w:eastAsia="Calibri" w:hAnsi="Times New Roman" w:cs="Times New Roman"/>
          <w:i/>
          <w:color w:val="000000" w:themeColor="text1"/>
          <w:sz w:val="23"/>
          <w:szCs w:val="23"/>
          <w:lang w:val="en-US"/>
        </w:rPr>
        <w:t>VAIC</w:t>
      </w:r>
      <w:r w:rsidR="005A5C5F" w:rsidRPr="00FA1D80">
        <w:rPr>
          <w:rFonts w:ascii="Times New Roman" w:eastAsia="Calibri" w:hAnsi="Times New Roman" w:cs="Times New Roman"/>
          <w:color w:val="000000" w:themeColor="text1"/>
          <w:sz w:val="23"/>
          <w:szCs w:val="23"/>
          <w:lang w:val="en-US"/>
        </w:rPr>
        <w:t>.</w:t>
      </w:r>
      <w:r w:rsidR="009D4D70">
        <w:rPr>
          <w:rFonts w:ascii="Times New Roman" w:eastAsia="Calibri" w:hAnsi="Times New Roman" w:cs="Times New Roman"/>
          <w:color w:val="000000" w:themeColor="text1"/>
          <w:sz w:val="23"/>
          <w:szCs w:val="23"/>
          <w:lang w:val="en-US"/>
        </w:rPr>
        <w:t xml:space="preserve"> </w:t>
      </w:r>
      <w:r w:rsidR="0098052D" w:rsidRPr="00983193">
        <w:rPr>
          <w:rFonts w:ascii="Times New Roman" w:eastAsia="Calibri" w:hAnsi="Times New Roman" w:cs="Times New Roman"/>
          <w:color w:val="000000" w:themeColor="text1"/>
          <w:sz w:val="23"/>
          <w:szCs w:val="23"/>
          <w:lang w:val="en-US"/>
        </w:rPr>
        <w:t xml:space="preserve">The coefficient of the control variables </w:t>
      </w:r>
      <w:r w:rsidR="0098052D" w:rsidRPr="00A53C54">
        <w:rPr>
          <w:rFonts w:ascii="Times New Roman" w:eastAsia="Calibri" w:hAnsi="Times New Roman" w:cs="Times New Roman"/>
          <w:i/>
          <w:color w:val="000000" w:themeColor="text1"/>
          <w:sz w:val="23"/>
          <w:szCs w:val="23"/>
          <w:lang w:val="en-US"/>
        </w:rPr>
        <w:t>SIZE</w:t>
      </w:r>
      <w:r w:rsidR="0098052D" w:rsidRPr="00983193">
        <w:rPr>
          <w:rFonts w:ascii="Times New Roman" w:eastAsia="Calibri" w:hAnsi="Times New Roman" w:cs="Times New Roman"/>
          <w:color w:val="000000" w:themeColor="text1"/>
          <w:sz w:val="23"/>
          <w:szCs w:val="23"/>
          <w:lang w:val="en-US"/>
        </w:rPr>
        <w:t xml:space="preserve">, </w:t>
      </w:r>
      <w:r w:rsidR="0098052D" w:rsidRPr="00A53C54">
        <w:rPr>
          <w:rFonts w:ascii="Times New Roman" w:eastAsia="Calibri" w:hAnsi="Times New Roman" w:cs="Times New Roman"/>
          <w:i/>
          <w:noProof/>
          <w:color w:val="000000" w:themeColor="text1"/>
          <w:sz w:val="23"/>
          <w:szCs w:val="23"/>
          <w:lang w:val="en-US"/>
        </w:rPr>
        <w:t>lnAGE</w:t>
      </w:r>
      <w:r w:rsidR="0098052D" w:rsidRPr="00A53C54">
        <w:rPr>
          <w:rFonts w:ascii="Times New Roman" w:eastAsia="Calibri" w:hAnsi="Times New Roman" w:cs="Times New Roman"/>
          <w:i/>
          <w:color w:val="000000" w:themeColor="text1"/>
          <w:sz w:val="23"/>
          <w:szCs w:val="23"/>
          <w:lang w:val="en-US"/>
        </w:rPr>
        <w:t xml:space="preserve"> </w:t>
      </w:r>
      <w:r w:rsidR="0098052D" w:rsidRPr="00983193">
        <w:rPr>
          <w:rFonts w:ascii="Times New Roman" w:eastAsia="Calibri" w:hAnsi="Times New Roman" w:cs="Times New Roman"/>
          <w:color w:val="000000" w:themeColor="text1"/>
          <w:sz w:val="23"/>
          <w:szCs w:val="23"/>
          <w:lang w:val="en-US"/>
        </w:rPr>
        <w:t xml:space="preserve">and </w:t>
      </w:r>
      <w:r w:rsidR="0098052D" w:rsidRPr="00A53C54">
        <w:rPr>
          <w:rFonts w:ascii="Times New Roman" w:eastAsia="Calibri" w:hAnsi="Times New Roman" w:cs="Times New Roman"/>
          <w:i/>
          <w:color w:val="000000" w:themeColor="text1"/>
          <w:sz w:val="23"/>
          <w:szCs w:val="23"/>
          <w:lang w:val="en-US"/>
        </w:rPr>
        <w:t>GROWTH</w:t>
      </w:r>
      <w:r w:rsidR="0098052D" w:rsidRPr="00983193">
        <w:rPr>
          <w:rFonts w:ascii="Times New Roman" w:eastAsia="Calibri" w:hAnsi="Times New Roman" w:cs="Times New Roman"/>
          <w:color w:val="000000" w:themeColor="text1"/>
          <w:sz w:val="23"/>
          <w:szCs w:val="23"/>
          <w:lang w:val="en-US"/>
        </w:rPr>
        <w:t xml:space="preserve"> are </w:t>
      </w:r>
      <w:r w:rsidR="009D4D70">
        <w:rPr>
          <w:rFonts w:ascii="Times New Roman" w:eastAsia="Calibri" w:hAnsi="Times New Roman" w:cs="Times New Roman"/>
          <w:color w:val="000000" w:themeColor="text1"/>
          <w:sz w:val="23"/>
          <w:szCs w:val="23"/>
          <w:lang w:val="en-US"/>
        </w:rPr>
        <w:t>in</w:t>
      </w:r>
      <w:r w:rsidR="0098052D" w:rsidRPr="00983193">
        <w:rPr>
          <w:rFonts w:ascii="Times New Roman" w:eastAsia="Calibri" w:hAnsi="Times New Roman" w:cs="Times New Roman"/>
          <w:color w:val="000000" w:themeColor="text1"/>
          <w:sz w:val="23"/>
          <w:szCs w:val="23"/>
          <w:lang w:val="en-US"/>
        </w:rPr>
        <w:t xml:space="preserve">significant in </w:t>
      </w:r>
      <w:r w:rsidR="009D4D70">
        <w:rPr>
          <w:rFonts w:ascii="Times New Roman" w:eastAsia="Calibri" w:hAnsi="Times New Roman" w:cs="Times New Roman"/>
          <w:color w:val="000000" w:themeColor="text1"/>
          <w:sz w:val="23"/>
          <w:szCs w:val="23"/>
          <w:lang w:val="en-US"/>
        </w:rPr>
        <w:t>M</w:t>
      </w:r>
      <w:r w:rsidR="0098052D" w:rsidRPr="00983193">
        <w:rPr>
          <w:rFonts w:ascii="Times New Roman" w:eastAsia="Calibri" w:hAnsi="Times New Roman" w:cs="Times New Roman"/>
          <w:color w:val="000000" w:themeColor="text1"/>
          <w:sz w:val="23"/>
          <w:szCs w:val="23"/>
          <w:lang w:val="en-US"/>
        </w:rPr>
        <w:t>odel 2.</w:t>
      </w:r>
    </w:p>
    <w:p w14:paraId="47763B16" w14:textId="77777777" w:rsidR="001E7C1B" w:rsidRPr="00983193" w:rsidRDefault="001E7C1B" w:rsidP="00D8179C">
      <w:pPr>
        <w:spacing w:after="0" w:line="240" w:lineRule="auto"/>
        <w:jc w:val="both"/>
        <w:rPr>
          <w:rFonts w:ascii="Times New Roman" w:hAnsi="Times New Roman" w:cs="Times New Roman"/>
          <w:color w:val="000000" w:themeColor="text1"/>
          <w:sz w:val="23"/>
          <w:szCs w:val="23"/>
          <w:lang w:val="en-US"/>
        </w:rPr>
      </w:pPr>
    </w:p>
    <w:p w14:paraId="1DC5840D" w14:textId="77777777" w:rsidR="0072286C" w:rsidRPr="00A53C54" w:rsidRDefault="00B87429" w:rsidP="0072286C">
      <w:pPr>
        <w:spacing w:after="0" w:line="240" w:lineRule="auto"/>
        <w:jc w:val="both"/>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t>7</w:t>
      </w:r>
      <w:r w:rsidR="0072286C" w:rsidRPr="00A53C54">
        <w:rPr>
          <w:rFonts w:ascii="Times New Roman" w:hAnsi="Times New Roman" w:cs="Times New Roman"/>
          <w:b/>
          <w:color w:val="000000" w:themeColor="text1"/>
          <w:sz w:val="23"/>
          <w:szCs w:val="23"/>
          <w:lang w:val="en-US"/>
        </w:rPr>
        <w:t>. Conclusion</w:t>
      </w:r>
    </w:p>
    <w:p w14:paraId="3D679E05" w14:textId="77777777" w:rsidR="003926B6" w:rsidRPr="00983193" w:rsidRDefault="003926B6" w:rsidP="0072286C">
      <w:pPr>
        <w:spacing w:after="0" w:line="240" w:lineRule="auto"/>
        <w:jc w:val="both"/>
        <w:rPr>
          <w:rFonts w:ascii="Times New Roman" w:hAnsi="Times New Roman" w:cs="Times New Roman"/>
          <w:color w:val="000000" w:themeColor="text1"/>
          <w:sz w:val="23"/>
          <w:szCs w:val="23"/>
          <w:lang w:val="en-GB"/>
        </w:rPr>
      </w:pPr>
    </w:p>
    <w:p w14:paraId="4B26019A" w14:textId="77777777" w:rsidR="004D6E14" w:rsidRPr="00983193" w:rsidRDefault="005F25D8" w:rsidP="004D6E14">
      <w:pPr>
        <w:spacing w:after="0" w:line="240" w:lineRule="auto"/>
        <w:jc w:val="both"/>
        <w:rPr>
          <w:rFonts w:ascii="Times New Roman" w:hAnsi="Times New Roman" w:cs="Times New Roman"/>
          <w:color w:val="000000" w:themeColor="text1"/>
          <w:sz w:val="23"/>
          <w:szCs w:val="23"/>
          <w:lang w:val="en-GB"/>
        </w:rPr>
      </w:pPr>
      <w:r w:rsidRPr="006B0849">
        <w:rPr>
          <w:rFonts w:ascii="Times New Roman" w:hAnsi="Times New Roman" w:cs="Times New Roman"/>
          <w:color w:val="000000" w:themeColor="text1"/>
          <w:sz w:val="23"/>
          <w:szCs w:val="23"/>
          <w:lang w:val="en-GB"/>
        </w:rPr>
        <w:t>Liebowitz</w:t>
      </w:r>
      <w:r w:rsidRPr="00983193">
        <w:rPr>
          <w:rFonts w:ascii="Times New Roman" w:hAnsi="Times New Roman" w:cs="Times New Roman"/>
          <w:color w:val="000000" w:themeColor="text1"/>
          <w:sz w:val="23"/>
          <w:szCs w:val="23"/>
          <w:lang w:val="en-GB"/>
        </w:rPr>
        <w:t xml:space="preserve"> and </w:t>
      </w:r>
      <w:r w:rsidR="000547B1" w:rsidRPr="00983193">
        <w:rPr>
          <w:rFonts w:ascii="Times New Roman" w:hAnsi="Times New Roman" w:cs="Times New Roman"/>
          <w:color w:val="000000" w:themeColor="text1"/>
          <w:sz w:val="23"/>
          <w:szCs w:val="23"/>
          <w:lang w:val="en-GB"/>
        </w:rPr>
        <w:t>Suen (2000)</w:t>
      </w:r>
      <w:r w:rsidR="003D6CBF">
        <w:rPr>
          <w:rFonts w:ascii="Times New Roman" w:hAnsi="Times New Roman" w:cs="Times New Roman"/>
          <w:color w:val="000000" w:themeColor="text1"/>
          <w:sz w:val="23"/>
          <w:szCs w:val="23"/>
          <w:lang w:val="en-GB"/>
        </w:rPr>
        <w:t xml:space="preserve"> who</w:t>
      </w:r>
      <w:r w:rsidR="000547B1" w:rsidRPr="00983193">
        <w:rPr>
          <w:rFonts w:ascii="Times New Roman" w:hAnsi="Times New Roman" w:cs="Times New Roman"/>
          <w:color w:val="000000" w:themeColor="text1"/>
          <w:sz w:val="23"/>
          <w:szCs w:val="23"/>
          <w:lang w:val="en-GB"/>
        </w:rPr>
        <w:t xml:space="preserve"> review the metrics that have been proposed</w:t>
      </w:r>
      <w:r w:rsidR="003D6CBF">
        <w:rPr>
          <w:rFonts w:ascii="Times New Roman" w:hAnsi="Times New Roman" w:cs="Times New Roman"/>
          <w:color w:val="000000" w:themeColor="text1"/>
          <w:sz w:val="23"/>
          <w:szCs w:val="23"/>
          <w:lang w:val="en-GB"/>
        </w:rPr>
        <w:t xml:space="preserve"> or are</w:t>
      </w:r>
      <w:r w:rsidR="000547B1" w:rsidRPr="00983193">
        <w:rPr>
          <w:rFonts w:ascii="Times New Roman" w:hAnsi="Times New Roman" w:cs="Times New Roman"/>
          <w:color w:val="000000" w:themeColor="text1"/>
          <w:sz w:val="23"/>
          <w:szCs w:val="23"/>
          <w:lang w:val="en-GB"/>
        </w:rPr>
        <w:t xml:space="preserve"> use</w:t>
      </w:r>
      <w:r w:rsidR="003D6CBF">
        <w:rPr>
          <w:rFonts w:ascii="Times New Roman" w:hAnsi="Times New Roman" w:cs="Times New Roman"/>
          <w:color w:val="000000" w:themeColor="text1"/>
          <w:sz w:val="23"/>
          <w:szCs w:val="23"/>
          <w:lang w:val="en-GB"/>
        </w:rPr>
        <w:t>d</w:t>
      </w:r>
      <w:r w:rsidR="000547B1" w:rsidRPr="00983193">
        <w:rPr>
          <w:rFonts w:ascii="Times New Roman" w:hAnsi="Times New Roman" w:cs="Times New Roman"/>
          <w:color w:val="000000" w:themeColor="text1"/>
          <w:sz w:val="23"/>
          <w:szCs w:val="23"/>
          <w:lang w:val="en-GB"/>
        </w:rPr>
        <w:t xml:space="preserve"> for measuring intellectual capital, </w:t>
      </w:r>
      <w:r w:rsidR="00EB2234" w:rsidRPr="00983193">
        <w:rPr>
          <w:rFonts w:ascii="Times New Roman" w:hAnsi="Times New Roman" w:cs="Times New Roman"/>
          <w:color w:val="000000" w:themeColor="text1"/>
          <w:sz w:val="23"/>
          <w:szCs w:val="23"/>
          <w:lang w:val="en-GB"/>
        </w:rPr>
        <w:t xml:space="preserve">observe that </w:t>
      </w:r>
      <w:r w:rsidR="000547B1" w:rsidRPr="00983193">
        <w:rPr>
          <w:rFonts w:ascii="Times New Roman" w:hAnsi="Times New Roman" w:cs="Times New Roman"/>
          <w:color w:val="000000" w:themeColor="text1"/>
          <w:sz w:val="23"/>
          <w:szCs w:val="23"/>
          <w:lang w:val="en-GB"/>
        </w:rPr>
        <w:t>many of the</w:t>
      </w:r>
      <w:r w:rsidR="003D6CBF">
        <w:rPr>
          <w:rFonts w:ascii="Times New Roman" w:hAnsi="Times New Roman" w:cs="Times New Roman"/>
          <w:color w:val="000000" w:themeColor="text1"/>
          <w:sz w:val="23"/>
          <w:szCs w:val="23"/>
          <w:lang w:val="en-GB"/>
        </w:rPr>
        <w:t>se</w:t>
      </w:r>
      <w:r w:rsidR="000547B1" w:rsidRPr="00983193">
        <w:rPr>
          <w:rFonts w:ascii="Times New Roman" w:hAnsi="Times New Roman" w:cs="Times New Roman"/>
          <w:color w:val="000000" w:themeColor="text1"/>
          <w:sz w:val="23"/>
          <w:szCs w:val="23"/>
          <w:lang w:val="en-GB"/>
        </w:rPr>
        <w:t xml:space="preserve"> </w:t>
      </w:r>
      <w:r w:rsidR="00EB2234" w:rsidRPr="00983193">
        <w:rPr>
          <w:rFonts w:ascii="Times New Roman" w:hAnsi="Times New Roman" w:cs="Times New Roman"/>
          <w:color w:val="000000" w:themeColor="text1"/>
          <w:sz w:val="23"/>
          <w:szCs w:val="23"/>
          <w:lang w:val="en-GB"/>
        </w:rPr>
        <w:t xml:space="preserve">on IC are </w:t>
      </w:r>
      <w:r w:rsidR="000547B1" w:rsidRPr="00983193">
        <w:rPr>
          <w:rFonts w:ascii="Times New Roman" w:hAnsi="Times New Roman" w:cs="Times New Roman"/>
          <w:color w:val="000000" w:themeColor="text1"/>
          <w:sz w:val="23"/>
          <w:szCs w:val="23"/>
          <w:lang w:val="en-GB"/>
        </w:rPr>
        <w:t>readily</w:t>
      </w:r>
      <w:r w:rsidR="00EB2234" w:rsidRPr="00983193">
        <w:rPr>
          <w:rFonts w:ascii="Times New Roman" w:hAnsi="Times New Roman" w:cs="Times New Roman"/>
          <w:color w:val="000000" w:themeColor="text1"/>
          <w:sz w:val="23"/>
          <w:szCs w:val="23"/>
          <w:lang w:val="en-GB"/>
        </w:rPr>
        <w:t xml:space="preserve"> </w:t>
      </w:r>
      <w:r w:rsidR="003D6CBF">
        <w:rPr>
          <w:rFonts w:ascii="Times New Roman" w:hAnsi="Times New Roman" w:cs="Times New Roman"/>
          <w:color w:val="000000" w:themeColor="text1"/>
          <w:sz w:val="23"/>
          <w:szCs w:val="23"/>
          <w:lang w:val="en-GB"/>
        </w:rPr>
        <w:t>available to</w:t>
      </w:r>
      <w:r w:rsidR="00EB2234" w:rsidRPr="00983193">
        <w:rPr>
          <w:rFonts w:ascii="Times New Roman" w:hAnsi="Times New Roman" w:cs="Times New Roman"/>
          <w:color w:val="000000" w:themeColor="text1"/>
          <w:sz w:val="23"/>
          <w:szCs w:val="23"/>
          <w:lang w:val="en-GB"/>
        </w:rPr>
        <w:t xml:space="preserve"> stakeholders. The</w:t>
      </w:r>
      <w:r w:rsidR="003D6CBF">
        <w:rPr>
          <w:rFonts w:ascii="Times New Roman" w:hAnsi="Times New Roman" w:cs="Times New Roman"/>
          <w:color w:val="000000" w:themeColor="text1"/>
          <w:sz w:val="23"/>
          <w:szCs w:val="23"/>
          <w:lang w:val="en-GB"/>
        </w:rPr>
        <w:t>y</w:t>
      </w:r>
      <w:r w:rsidR="00EB2234" w:rsidRPr="00983193">
        <w:rPr>
          <w:rFonts w:ascii="Times New Roman" w:hAnsi="Times New Roman" w:cs="Times New Roman"/>
          <w:color w:val="000000" w:themeColor="text1"/>
          <w:sz w:val="23"/>
          <w:szCs w:val="23"/>
          <w:lang w:val="en-GB"/>
        </w:rPr>
        <w:t xml:space="preserve"> also note that most of the metrics proposed to measure IC value </w:t>
      </w:r>
      <w:r w:rsidR="003D6CBF">
        <w:rPr>
          <w:rFonts w:ascii="Times New Roman" w:hAnsi="Times New Roman" w:cs="Times New Roman"/>
          <w:color w:val="000000" w:themeColor="text1"/>
          <w:sz w:val="23"/>
          <w:szCs w:val="23"/>
          <w:lang w:val="en-GB"/>
        </w:rPr>
        <w:t>are poor at</w:t>
      </w:r>
      <w:r w:rsidR="00EB2234" w:rsidRPr="00983193">
        <w:rPr>
          <w:rFonts w:ascii="Times New Roman" w:hAnsi="Times New Roman" w:cs="Times New Roman"/>
          <w:color w:val="000000" w:themeColor="text1"/>
          <w:sz w:val="23"/>
          <w:szCs w:val="23"/>
          <w:lang w:val="en-GB"/>
        </w:rPr>
        <w:t xml:space="preserve"> determining the size and growth of </w:t>
      </w:r>
      <w:r w:rsidR="003D6CBF">
        <w:rPr>
          <w:rFonts w:ascii="Times New Roman" w:hAnsi="Times New Roman" w:cs="Times New Roman"/>
          <w:color w:val="000000" w:themeColor="text1"/>
          <w:sz w:val="23"/>
          <w:szCs w:val="23"/>
          <w:lang w:val="en-GB"/>
        </w:rPr>
        <w:t>an</w:t>
      </w:r>
      <w:r w:rsidR="00EB2234" w:rsidRPr="00983193">
        <w:rPr>
          <w:rFonts w:ascii="Times New Roman" w:hAnsi="Times New Roman" w:cs="Times New Roman"/>
          <w:color w:val="000000" w:themeColor="text1"/>
          <w:sz w:val="23"/>
          <w:szCs w:val="23"/>
          <w:lang w:val="en-GB"/>
        </w:rPr>
        <w:t xml:space="preserve"> organization’s knowledge. </w:t>
      </w:r>
      <w:r w:rsidR="00127326" w:rsidRPr="00983193">
        <w:rPr>
          <w:rFonts w:ascii="Times New Roman" w:hAnsi="Times New Roman" w:cs="Times New Roman"/>
          <w:color w:val="000000" w:themeColor="text1"/>
          <w:sz w:val="23"/>
          <w:szCs w:val="23"/>
          <w:lang w:val="en-GB"/>
        </w:rPr>
        <w:t>Moreover, most</w:t>
      </w:r>
      <w:r w:rsidR="000547B1" w:rsidRPr="00983193">
        <w:rPr>
          <w:rFonts w:ascii="Times New Roman" w:hAnsi="Times New Roman" w:cs="Times New Roman"/>
          <w:color w:val="000000" w:themeColor="text1"/>
          <w:sz w:val="23"/>
          <w:szCs w:val="23"/>
          <w:lang w:val="en-GB"/>
        </w:rPr>
        <w:t xml:space="preserve"> of the metrics are </w:t>
      </w:r>
      <w:r w:rsidR="003D6CBF">
        <w:rPr>
          <w:rFonts w:ascii="Times New Roman" w:hAnsi="Times New Roman" w:cs="Times New Roman"/>
          <w:color w:val="000000" w:themeColor="text1"/>
          <w:sz w:val="23"/>
          <w:szCs w:val="23"/>
          <w:lang w:val="en-GB"/>
        </w:rPr>
        <w:t>rather too simple,</w:t>
      </w:r>
      <w:r w:rsidR="000547B1" w:rsidRPr="00983193">
        <w:rPr>
          <w:rFonts w:ascii="Times New Roman" w:hAnsi="Times New Roman" w:cs="Times New Roman"/>
          <w:color w:val="000000" w:themeColor="text1"/>
          <w:sz w:val="23"/>
          <w:szCs w:val="23"/>
          <w:lang w:val="en-GB"/>
        </w:rPr>
        <w:t xml:space="preserve"> and do not address the types of knowledge that produce the most value-added benefits for </w:t>
      </w:r>
      <w:r w:rsidR="003D6CBF">
        <w:rPr>
          <w:rFonts w:ascii="Times New Roman" w:hAnsi="Times New Roman" w:cs="Times New Roman"/>
          <w:color w:val="000000" w:themeColor="text1"/>
          <w:sz w:val="23"/>
          <w:szCs w:val="23"/>
          <w:lang w:val="en-GB"/>
        </w:rPr>
        <w:t>an</w:t>
      </w:r>
      <w:r w:rsidR="000547B1" w:rsidRPr="00983193">
        <w:rPr>
          <w:rFonts w:ascii="Times New Roman" w:hAnsi="Times New Roman" w:cs="Times New Roman"/>
          <w:color w:val="000000" w:themeColor="text1"/>
          <w:sz w:val="23"/>
          <w:szCs w:val="23"/>
          <w:lang w:val="en-GB"/>
        </w:rPr>
        <w:t xml:space="preserve"> organization. </w:t>
      </w:r>
      <w:r w:rsidR="00127326" w:rsidRPr="00983193">
        <w:rPr>
          <w:rFonts w:ascii="Times New Roman" w:hAnsi="Times New Roman" w:cs="Times New Roman"/>
          <w:color w:val="000000" w:themeColor="text1"/>
          <w:sz w:val="23"/>
          <w:szCs w:val="23"/>
          <w:lang w:val="en-GB"/>
        </w:rPr>
        <w:t>Thus</w:t>
      </w:r>
      <w:r w:rsidR="003D6CBF">
        <w:rPr>
          <w:rFonts w:ascii="Times New Roman" w:hAnsi="Times New Roman" w:cs="Times New Roman"/>
          <w:color w:val="000000" w:themeColor="text1"/>
          <w:sz w:val="23"/>
          <w:szCs w:val="23"/>
          <w:lang w:val="en-GB"/>
        </w:rPr>
        <w:t>,</w:t>
      </w:r>
      <w:r w:rsidR="00127326" w:rsidRPr="00983193">
        <w:rPr>
          <w:rFonts w:ascii="Times New Roman" w:hAnsi="Times New Roman" w:cs="Times New Roman"/>
          <w:color w:val="000000" w:themeColor="text1"/>
          <w:sz w:val="23"/>
          <w:szCs w:val="23"/>
          <w:lang w:val="en-GB"/>
        </w:rPr>
        <w:t xml:space="preserve"> most of the </w:t>
      </w:r>
      <w:r w:rsidR="00425385">
        <w:rPr>
          <w:rFonts w:ascii="Times New Roman" w:hAnsi="Times New Roman" w:cs="Times New Roman"/>
          <w:color w:val="000000" w:themeColor="text1"/>
          <w:sz w:val="23"/>
          <w:szCs w:val="23"/>
          <w:lang w:val="en-GB"/>
        </w:rPr>
        <w:t xml:space="preserve">measurement </w:t>
      </w:r>
      <w:r w:rsidR="00127326" w:rsidRPr="00983193">
        <w:rPr>
          <w:rFonts w:ascii="Times New Roman" w:hAnsi="Times New Roman" w:cs="Times New Roman"/>
          <w:color w:val="000000" w:themeColor="text1"/>
          <w:sz w:val="23"/>
          <w:szCs w:val="23"/>
          <w:lang w:val="en-GB"/>
        </w:rPr>
        <w:t xml:space="preserve">methods proposed </w:t>
      </w:r>
      <w:r w:rsidR="00425385">
        <w:rPr>
          <w:rFonts w:ascii="Times New Roman" w:hAnsi="Times New Roman" w:cs="Times New Roman"/>
          <w:color w:val="000000" w:themeColor="text1"/>
          <w:sz w:val="23"/>
          <w:szCs w:val="23"/>
          <w:lang w:val="en-GB"/>
        </w:rPr>
        <w:t>in the extant IC literature remain</w:t>
      </w:r>
      <w:r w:rsidR="00127326" w:rsidRPr="00983193">
        <w:rPr>
          <w:rFonts w:ascii="Times New Roman" w:hAnsi="Times New Roman" w:cs="Times New Roman"/>
          <w:color w:val="000000" w:themeColor="text1"/>
          <w:sz w:val="23"/>
          <w:szCs w:val="23"/>
          <w:lang w:val="en-GB"/>
        </w:rPr>
        <w:t xml:space="preserve"> vague. </w:t>
      </w:r>
      <w:r w:rsidR="00EF67F9" w:rsidRPr="00983193">
        <w:rPr>
          <w:rFonts w:ascii="Times New Roman" w:hAnsi="Times New Roman" w:cs="Times New Roman"/>
          <w:color w:val="000000" w:themeColor="text1"/>
          <w:sz w:val="23"/>
          <w:szCs w:val="23"/>
          <w:lang w:val="en-GB"/>
        </w:rPr>
        <w:t xml:space="preserve">Osinski et al. (2017) present 44 methods for evaluating intangible assets which are grouped according to their corporate, economic or strategic management taxonomies. </w:t>
      </w:r>
      <w:r w:rsidR="00425385">
        <w:rPr>
          <w:rFonts w:ascii="Times New Roman" w:hAnsi="Times New Roman" w:cs="Times New Roman"/>
          <w:color w:val="000000" w:themeColor="text1"/>
          <w:sz w:val="23"/>
          <w:szCs w:val="23"/>
          <w:lang w:val="en-GB"/>
        </w:rPr>
        <w:t>Grounded in the extant literature,</w:t>
      </w:r>
      <w:r w:rsidR="006B34DC" w:rsidRPr="00983193">
        <w:rPr>
          <w:rFonts w:ascii="Times New Roman" w:hAnsi="Times New Roman" w:cs="Times New Roman"/>
          <w:color w:val="000000" w:themeColor="text1"/>
          <w:sz w:val="23"/>
          <w:szCs w:val="23"/>
          <w:lang w:val="en-GB"/>
        </w:rPr>
        <w:t xml:space="preserve"> and starting from the </w:t>
      </w:r>
      <w:r w:rsidR="00425385">
        <w:rPr>
          <w:rFonts w:ascii="Times New Roman" w:hAnsi="Times New Roman" w:cs="Times New Roman"/>
          <w:color w:val="000000" w:themeColor="text1"/>
          <w:sz w:val="23"/>
          <w:szCs w:val="23"/>
          <w:lang w:val="en-GB"/>
        </w:rPr>
        <w:t>argument</w:t>
      </w:r>
      <w:r w:rsidR="00425385" w:rsidRPr="00983193">
        <w:rPr>
          <w:rFonts w:ascii="Times New Roman" w:hAnsi="Times New Roman" w:cs="Times New Roman"/>
          <w:color w:val="000000" w:themeColor="text1"/>
          <w:sz w:val="23"/>
          <w:szCs w:val="23"/>
          <w:lang w:val="en-GB"/>
        </w:rPr>
        <w:t xml:space="preserve"> </w:t>
      </w:r>
      <w:r w:rsidR="006B34DC" w:rsidRPr="00983193">
        <w:rPr>
          <w:rFonts w:ascii="Times New Roman" w:hAnsi="Times New Roman" w:cs="Times New Roman"/>
          <w:color w:val="000000" w:themeColor="text1"/>
          <w:sz w:val="23"/>
          <w:szCs w:val="23"/>
          <w:lang w:val="en-GB"/>
        </w:rPr>
        <w:t xml:space="preserve">that the literature should </w:t>
      </w:r>
      <w:r w:rsidR="00425385">
        <w:rPr>
          <w:rFonts w:ascii="Times New Roman" w:hAnsi="Times New Roman" w:cs="Times New Roman"/>
          <w:color w:val="000000" w:themeColor="text1"/>
          <w:sz w:val="23"/>
          <w:szCs w:val="23"/>
          <w:lang w:val="en-GB"/>
        </w:rPr>
        <w:t xml:space="preserve">promote </w:t>
      </w:r>
      <w:r w:rsidR="006B34DC" w:rsidRPr="00983193">
        <w:rPr>
          <w:rFonts w:ascii="Times New Roman" w:hAnsi="Times New Roman" w:cs="Times New Roman"/>
          <w:color w:val="000000" w:themeColor="text1"/>
          <w:sz w:val="23"/>
          <w:szCs w:val="23"/>
          <w:lang w:val="en-GB"/>
        </w:rPr>
        <w:t>a readily obtain</w:t>
      </w:r>
      <w:r w:rsidR="00425385">
        <w:rPr>
          <w:rFonts w:ascii="Times New Roman" w:hAnsi="Times New Roman" w:cs="Times New Roman"/>
          <w:color w:val="000000" w:themeColor="text1"/>
          <w:sz w:val="23"/>
          <w:szCs w:val="23"/>
          <w:lang w:val="en-GB"/>
        </w:rPr>
        <w:t>able</w:t>
      </w:r>
      <w:r w:rsidR="006B34DC" w:rsidRPr="00983193">
        <w:rPr>
          <w:rFonts w:ascii="Times New Roman" w:hAnsi="Times New Roman" w:cs="Times New Roman"/>
          <w:color w:val="000000" w:themeColor="text1"/>
          <w:sz w:val="23"/>
          <w:szCs w:val="23"/>
          <w:lang w:val="en-GB"/>
        </w:rPr>
        <w:t xml:space="preserve"> method to measure IC value, the objective of this paper is to compare two </w:t>
      </w:r>
      <w:r w:rsidR="00375245" w:rsidRPr="00983193">
        <w:rPr>
          <w:rFonts w:ascii="Times New Roman" w:hAnsi="Times New Roman" w:cs="Times New Roman"/>
          <w:color w:val="000000" w:themeColor="text1"/>
          <w:sz w:val="23"/>
          <w:szCs w:val="23"/>
          <w:lang w:val="en-GB"/>
        </w:rPr>
        <w:t xml:space="preserve">of the most </w:t>
      </w:r>
      <w:r w:rsidR="00425385">
        <w:rPr>
          <w:rFonts w:ascii="Times New Roman" w:hAnsi="Times New Roman" w:cs="Times New Roman"/>
          <w:color w:val="000000" w:themeColor="text1"/>
          <w:sz w:val="23"/>
          <w:szCs w:val="23"/>
          <w:lang w:val="en-GB"/>
        </w:rPr>
        <w:t>commonly employed</w:t>
      </w:r>
      <w:r w:rsidR="00375245" w:rsidRPr="00983193">
        <w:rPr>
          <w:rFonts w:ascii="Times New Roman" w:hAnsi="Times New Roman" w:cs="Times New Roman"/>
          <w:color w:val="000000" w:themeColor="text1"/>
          <w:sz w:val="23"/>
          <w:szCs w:val="23"/>
          <w:lang w:val="en-GB"/>
        </w:rPr>
        <w:t xml:space="preserve"> methods to measure IC value</w:t>
      </w:r>
      <w:r w:rsidR="00D1360B" w:rsidRPr="00983193">
        <w:rPr>
          <w:rFonts w:ascii="Times New Roman" w:hAnsi="Times New Roman" w:cs="Times New Roman"/>
          <w:color w:val="000000" w:themeColor="text1"/>
          <w:sz w:val="23"/>
          <w:szCs w:val="23"/>
          <w:lang w:val="en-GB"/>
        </w:rPr>
        <w:t xml:space="preserve"> and</w:t>
      </w:r>
      <w:r w:rsidR="00425385">
        <w:rPr>
          <w:rFonts w:ascii="Times New Roman" w:hAnsi="Times New Roman" w:cs="Times New Roman"/>
          <w:color w:val="000000" w:themeColor="text1"/>
          <w:sz w:val="23"/>
          <w:szCs w:val="23"/>
          <w:lang w:val="en-GB"/>
        </w:rPr>
        <w:t xml:space="preserve"> to determine which is</w:t>
      </w:r>
      <w:r w:rsidR="00D1360B" w:rsidRPr="00983193">
        <w:rPr>
          <w:rFonts w:ascii="Times New Roman" w:hAnsi="Times New Roman" w:cs="Times New Roman"/>
          <w:color w:val="000000" w:themeColor="text1"/>
          <w:sz w:val="23"/>
          <w:szCs w:val="23"/>
          <w:lang w:val="en-GB"/>
        </w:rPr>
        <w:t xml:space="preserve"> a better predictor of this value </w:t>
      </w:r>
      <w:r w:rsidR="00425385">
        <w:rPr>
          <w:rFonts w:ascii="Times New Roman" w:hAnsi="Times New Roman" w:cs="Times New Roman"/>
          <w:color w:val="000000" w:themeColor="text1"/>
          <w:sz w:val="23"/>
          <w:szCs w:val="23"/>
          <w:lang w:val="en-GB"/>
        </w:rPr>
        <w:t>for</w:t>
      </w:r>
      <w:r w:rsidR="00D1360B" w:rsidRPr="00983193">
        <w:rPr>
          <w:rFonts w:ascii="Times New Roman" w:hAnsi="Times New Roman" w:cs="Times New Roman"/>
          <w:color w:val="000000" w:themeColor="text1"/>
          <w:sz w:val="23"/>
          <w:szCs w:val="23"/>
          <w:lang w:val="en-GB"/>
        </w:rPr>
        <w:t xml:space="preserve"> investors</w:t>
      </w:r>
      <w:r w:rsidR="00425385">
        <w:rPr>
          <w:rFonts w:ascii="Times New Roman" w:hAnsi="Times New Roman" w:cs="Times New Roman"/>
          <w:color w:val="000000" w:themeColor="text1"/>
          <w:sz w:val="23"/>
          <w:szCs w:val="23"/>
          <w:lang w:val="en-GB"/>
        </w:rPr>
        <w:t>.</w:t>
      </w:r>
      <w:r w:rsidR="00D1360B" w:rsidRPr="00983193">
        <w:rPr>
          <w:rFonts w:ascii="Times New Roman" w:hAnsi="Times New Roman" w:cs="Times New Roman"/>
          <w:color w:val="000000" w:themeColor="text1"/>
          <w:sz w:val="23"/>
          <w:szCs w:val="23"/>
          <w:lang w:val="en-GB"/>
        </w:rPr>
        <w:t xml:space="preserve"> The two methods are </w:t>
      </w:r>
      <w:r w:rsidR="00375245" w:rsidRPr="00983193">
        <w:rPr>
          <w:rFonts w:ascii="Times New Roman" w:hAnsi="Times New Roman" w:cs="Times New Roman"/>
          <w:color w:val="000000" w:themeColor="text1"/>
          <w:sz w:val="23"/>
          <w:szCs w:val="23"/>
          <w:lang w:val="en-GB"/>
        </w:rPr>
        <w:t xml:space="preserve">the </w:t>
      </w:r>
      <w:r w:rsidR="00425385">
        <w:rPr>
          <w:rFonts w:ascii="Times New Roman" w:hAnsi="Times New Roman" w:cs="Times New Roman"/>
          <w:color w:val="000000" w:themeColor="text1"/>
          <w:sz w:val="23"/>
          <w:szCs w:val="23"/>
          <w:lang w:val="en-GB"/>
        </w:rPr>
        <w:t>m</w:t>
      </w:r>
      <w:r w:rsidR="00375245" w:rsidRPr="00983193">
        <w:rPr>
          <w:rFonts w:ascii="Times New Roman" w:hAnsi="Times New Roman" w:cs="Times New Roman"/>
          <w:color w:val="000000" w:themeColor="text1"/>
          <w:sz w:val="23"/>
          <w:szCs w:val="23"/>
          <w:lang w:val="en-GB"/>
        </w:rPr>
        <w:t xml:space="preserve">arket to book ratio (Market Capitalization Approach) and </w:t>
      </w:r>
      <w:r w:rsidR="00D1360B" w:rsidRPr="00983193">
        <w:rPr>
          <w:rFonts w:ascii="Times New Roman" w:hAnsi="Times New Roman" w:cs="Times New Roman"/>
          <w:color w:val="000000" w:themeColor="text1"/>
          <w:sz w:val="23"/>
          <w:szCs w:val="23"/>
          <w:lang w:val="en-GB"/>
        </w:rPr>
        <w:t xml:space="preserve">the </w:t>
      </w:r>
      <w:r w:rsidR="00EC0E88" w:rsidRPr="00983193">
        <w:rPr>
          <w:rFonts w:ascii="Times New Roman" w:hAnsi="Times New Roman" w:cs="Times New Roman"/>
          <w:color w:val="000000" w:themeColor="text1"/>
          <w:sz w:val="23"/>
          <w:szCs w:val="23"/>
          <w:lang w:val="en-GB"/>
        </w:rPr>
        <w:t>VAIC (Return on Assets Met</w:t>
      </w:r>
      <w:r w:rsidR="00D1360B" w:rsidRPr="00983193">
        <w:rPr>
          <w:rFonts w:ascii="Times New Roman" w:hAnsi="Times New Roman" w:cs="Times New Roman"/>
          <w:color w:val="000000" w:themeColor="text1"/>
          <w:sz w:val="23"/>
          <w:szCs w:val="23"/>
          <w:lang w:val="en-GB"/>
        </w:rPr>
        <w:t xml:space="preserve">hod). </w:t>
      </w:r>
      <w:r w:rsidR="00425385">
        <w:rPr>
          <w:rFonts w:ascii="Times New Roman" w:hAnsi="Times New Roman" w:cs="Times New Roman"/>
          <w:color w:val="000000" w:themeColor="text1"/>
          <w:sz w:val="23"/>
          <w:szCs w:val="23"/>
          <w:lang w:val="en-GB"/>
        </w:rPr>
        <w:t>To</w:t>
      </w:r>
      <w:r w:rsidR="00425385" w:rsidRPr="00983193">
        <w:rPr>
          <w:rFonts w:ascii="Times New Roman" w:hAnsi="Times New Roman" w:cs="Times New Roman"/>
          <w:color w:val="000000" w:themeColor="text1"/>
          <w:sz w:val="23"/>
          <w:szCs w:val="23"/>
          <w:lang w:val="en-GB"/>
        </w:rPr>
        <w:t xml:space="preserve"> </w:t>
      </w:r>
      <w:r w:rsidR="00EC0E88" w:rsidRPr="00983193">
        <w:rPr>
          <w:rFonts w:ascii="Times New Roman" w:hAnsi="Times New Roman" w:cs="Times New Roman"/>
          <w:color w:val="000000" w:themeColor="text1"/>
          <w:sz w:val="23"/>
          <w:szCs w:val="23"/>
          <w:lang w:val="en-GB"/>
        </w:rPr>
        <w:t xml:space="preserve">our best knowledge, </w:t>
      </w:r>
      <w:r w:rsidR="00425385">
        <w:rPr>
          <w:rFonts w:ascii="Times New Roman" w:hAnsi="Times New Roman" w:cs="Times New Roman"/>
          <w:color w:val="000000" w:themeColor="text1"/>
          <w:sz w:val="23"/>
          <w:szCs w:val="23"/>
          <w:lang w:val="en-GB"/>
        </w:rPr>
        <w:t>an innovation of our</w:t>
      </w:r>
      <w:r w:rsidR="00425385" w:rsidRPr="00983193">
        <w:rPr>
          <w:rFonts w:ascii="Times New Roman" w:hAnsi="Times New Roman" w:cs="Times New Roman"/>
          <w:color w:val="000000" w:themeColor="text1"/>
          <w:sz w:val="23"/>
          <w:szCs w:val="23"/>
          <w:lang w:val="en-GB"/>
        </w:rPr>
        <w:t xml:space="preserve"> </w:t>
      </w:r>
      <w:r w:rsidR="004D6E14" w:rsidRPr="00983193">
        <w:rPr>
          <w:rFonts w:ascii="Times New Roman" w:hAnsi="Times New Roman" w:cs="Times New Roman"/>
          <w:color w:val="000000" w:themeColor="text1"/>
          <w:sz w:val="23"/>
          <w:szCs w:val="23"/>
          <w:lang w:val="en-GB"/>
        </w:rPr>
        <w:t xml:space="preserve">paper is </w:t>
      </w:r>
      <w:r w:rsidR="00425385">
        <w:rPr>
          <w:rFonts w:ascii="Times New Roman" w:hAnsi="Times New Roman" w:cs="Times New Roman"/>
          <w:color w:val="000000" w:themeColor="text1"/>
          <w:sz w:val="23"/>
          <w:szCs w:val="23"/>
          <w:lang w:val="en-GB"/>
        </w:rPr>
        <w:t xml:space="preserve">that it is </w:t>
      </w:r>
      <w:r w:rsidR="004D6E14" w:rsidRPr="00983193">
        <w:rPr>
          <w:rFonts w:ascii="Times New Roman" w:hAnsi="Times New Roman" w:cs="Times New Roman"/>
          <w:color w:val="000000" w:themeColor="text1"/>
          <w:sz w:val="23"/>
          <w:szCs w:val="23"/>
          <w:lang w:val="en-GB"/>
        </w:rPr>
        <w:t xml:space="preserve">the first </w:t>
      </w:r>
      <w:r w:rsidR="00425385">
        <w:rPr>
          <w:rFonts w:ascii="Times New Roman" w:hAnsi="Times New Roman" w:cs="Times New Roman"/>
          <w:color w:val="000000" w:themeColor="text1"/>
          <w:sz w:val="23"/>
          <w:szCs w:val="23"/>
          <w:lang w:val="en-GB"/>
        </w:rPr>
        <w:t xml:space="preserve">to </w:t>
      </w:r>
      <w:r w:rsidR="004D6E14" w:rsidRPr="00983193">
        <w:rPr>
          <w:rFonts w:ascii="Times New Roman" w:hAnsi="Times New Roman" w:cs="Times New Roman"/>
          <w:color w:val="000000" w:themeColor="text1"/>
          <w:sz w:val="23"/>
          <w:szCs w:val="23"/>
          <w:lang w:val="en-GB"/>
        </w:rPr>
        <w:t>compar</w:t>
      </w:r>
      <w:r w:rsidR="00425385">
        <w:rPr>
          <w:rFonts w:ascii="Times New Roman" w:hAnsi="Times New Roman" w:cs="Times New Roman"/>
          <w:color w:val="000000" w:themeColor="text1"/>
          <w:sz w:val="23"/>
          <w:szCs w:val="23"/>
          <w:lang w:val="en-GB"/>
        </w:rPr>
        <w:t>e</w:t>
      </w:r>
      <w:r w:rsidR="004D6E14" w:rsidRPr="00983193">
        <w:rPr>
          <w:rFonts w:ascii="Times New Roman" w:hAnsi="Times New Roman" w:cs="Times New Roman"/>
          <w:color w:val="000000" w:themeColor="text1"/>
          <w:sz w:val="23"/>
          <w:szCs w:val="23"/>
          <w:lang w:val="en-GB"/>
        </w:rPr>
        <w:t xml:space="preserve"> </w:t>
      </w:r>
      <w:r w:rsidR="00425385">
        <w:rPr>
          <w:rFonts w:ascii="Times New Roman" w:hAnsi="Times New Roman" w:cs="Times New Roman"/>
          <w:color w:val="000000" w:themeColor="text1"/>
          <w:sz w:val="23"/>
          <w:szCs w:val="23"/>
          <w:lang w:val="en-GB"/>
        </w:rPr>
        <w:t xml:space="preserve">the </w:t>
      </w:r>
      <w:r w:rsidR="004D6E14" w:rsidRPr="00983193">
        <w:rPr>
          <w:rFonts w:ascii="Times New Roman" w:hAnsi="Times New Roman" w:cs="Times New Roman"/>
          <w:color w:val="000000" w:themeColor="text1"/>
          <w:sz w:val="23"/>
          <w:szCs w:val="23"/>
          <w:lang w:val="en-GB"/>
        </w:rPr>
        <w:t xml:space="preserve">two </w:t>
      </w:r>
      <w:r w:rsidR="00425385">
        <w:rPr>
          <w:rFonts w:ascii="Times New Roman" w:hAnsi="Times New Roman" w:cs="Times New Roman"/>
          <w:color w:val="000000" w:themeColor="text1"/>
          <w:sz w:val="23"/>
          <w:szCs w:val="23"/>
          <w:lang w:val="en-GB"/>
        </w:rPr>
        <w:t>competing</w:t>
      </w:r>
      <w:r w:rsidR="00425385" w:rsidRPr="00983193">
        <w:rPr>
          <w:rFonts w:ascii="Times New Roman" w:hAnsi="Times New Roman" w:cs="Times New Roman"/>
          <w:color w:val="000000" w:themeColor="text1"/>
          <w:sz w:val="23"/>
          <w:szCs w:val="23"/>
          <w:lang w:val="en-GB"/>
        </w:rPr>
        <w:t xml:space="preserve"> </w:t>
      </w:r>
      <w:r w:rsidR="004D6E14" w:rsidRPr="00983193">
        <w:rPr>
          <w:rFonts w:ascii="Times New Roman" w:hAnsi="Times New Roman" w:cs="Times New Roman"/>
          <w:color w:val="000000" w:themeColor="text1"/>
          <w:sz w:val="23"/>
          <w:szCs w:val="23"/>
          <w:lang w:val="en-GB"/>
        </w:rPr>
        <w:t xml:space="preserve">methods </w:t>
      </w:r>
      <w:r w:rsidR="00425385">
        <w:rPr>
          <w:rFonts w:ascii="Times New Roman" w:hAnsi="Times New Roman" w:cs="Times New Roman"/>
          <w:color w:val="000000" w:themeColor="text1"/>
          <w:sz w:val="23"/>
          <w:szCs w:val="23"/>
          <w:lang w:val="en-GB"/>
        </w:rPr>
        <w:t>for proxying</w:t>
      </w:r>
      <w:r w:rsidR="00425385" w:rsidRPr="00983193">
        <w:rPr>
          <w:rFonts w:ascii="Times New Roman" w:hAnsi="Times New Roman" w:cs="Times New Roman"/>
          <w:color w:val="000000" w:themeColor="text1"/>
          <w:sz w:val="23"/>
          <w:szCs w:val="23"/>
          <w:lang w:val="en-GB"/>
        </w:rPr>
        <w:t xml:space="preserve"> </w:t>
      </w:r>
      <w:r w:rsidR="004D6E14" w:rsidRPr="00983193">
        <w:rPr>
          <w:rFonts w:ascii="Times New Roman" w:hAnsi="Times New Roman" w:cs="Times New Roman"/>
          <w:color w:val="000000" w:themeColor="text1"/>
          <w:sz w:val="23"/>
          <w:szCs w:val="23"/>
          <w:lang w:val="en-GB"/>
        </w:rPr>
        <w:t>IC value</w:t>
      </w:r>
      <w:r w:rsidR="00425385" w:rsidRPr="00983193">
        <w:rPr>
          <w:rFonts w:ascii="Times New Roman" w:hAnsi="Times New Roman" w:cs="Times New Roman"/>
          <w:color w:val="000000" w:themeColor="text1"/>
          <w:sz w:val="23"/>
          <w:szCs w:val="23"/>
          <w:lang w:val="en-GB"/>
        </w:rPr>
        <w:t xml:space="preserve"> </w:t>
      </w:r>
      <w:r w:rsidR="00EC0E88" w:rsidRPr="00983193">
        <w:rPr>
          <w:rFonts w:ascii="Times New Roman" w:hAnsi="Times New Roman" w:cs="Times New Roman"/>
          <w:color w:val="000000" w:themeColor="text1"/>
          <w:sz w:val="23"/>
          <w:szCs w:val="23"/>
          <w:lang w:val="en-GB"/>
        </w:rPr>
        <w:t xml:space="preserve">in </w:t>
      </w:r>
      <w:r w:rsidR="00425385">
        <w:rPr>
          <w:rFonts w:ascii="Times New Roman" w:hAnsi="Times New Roman" w:cs="Times New Roman"/>
          <w:color w:val="000000" w:themeColor="text1"/>
          <w:sz w:val="23"/>
          <w:szCs w:val="23"/>
          <w:lang w:val="en-GB"/>
        </w:rPr>
        <w:t>an</w:t>
      </w:r>
      <w:r w:rsidR="00425385" w:rsidRPr="00983193">
        <w:rPr>
          <w:rFonts w:ascii="Times New Roman" w:hAnsi="Times New Roman" w:cs="Times New Roman"/>
          <w:color w:val="000000" w:themeColor="text1"/>
          <w:sz w:val="23"/>
          <w:szCs w:val="23"/>
          <w:lang w:val="en-GB"/>
        </w:rPr>
        <w:t xml:space="preserve"> </w:t>
      </w:r>
      <w:r w:rsidR="00EC0E88" w:rsidRPr="00983193">
        <w:rPr>
          <w:rFonts w:ascii="Times New Roman" w:hAnsi="Times New Roman" w:cs="Times New Roman"/>
          <w:color w:val="000000" w:themeColor="text1"/>
          <w:sz w:val="23"/>
          <w:szCs w:val="23"/>
          <w:lang w:val="en-GB"/>
        </w:rPr>
        <w:t xml:space="preserve">Italian context. Moreover, </w:t>
      </w:r>
      <w:r w:rsidR="00425385">
        <w:rPr>
          <w:rFonts w:ascii="Times New Roman" w:hAnsi="Times New Roman" w:cs="Times New Roman"/>
          <w:color w:val="000000" w:themeColor="text1"/>
          <w:sz w:val="23"/>
          <w:szCs w:val="23"/>
          <w:lang w:val="en-GB"/>
        </w:rPr>
        <w:t>our</w:t>
      </w:r>
      <w:r w:rsidR="00425385" w:rsidRPr="00983193">
        <w:rPr>
          <w:rFonts w:ascii="Times New Roman" w:hAnsi="Times New Roman" w:cs="Times New Roman"/>
          <w:color w:val="000000" w:themeColor="text1"/>
          <w:sz w:val="23"/>
          <w:szCs w:val="23"/>
          <w:lang w:val="en-GB"/>
        </w:rPr>
        <w:t xml:space="preserve"> </w:t>
      </w:r>
      <w:r w:rsidR="00EC0E88" w:rsidRPr="00983193">
        <w:rPr>
          <w:rFonts w:ascii="Times New Roman" w:hAnsi="Times New Roman" w:cs="Times New Roman"/>
          <w:color w:val="000000" w:themeColor="text1"/>
          <w:sz w:val="23"/>
          <w:szCs w:val="23"/>
          <w:lang w:val="en-GB"/>
        </w:rPr>
        <w:t xml:space="preserve">study </w:t>
      </w:r>
      <w:r w:rsidR="00425385">
        <w:rPr>
          <w:rFonts w:ascii="Times New Roman" w:hAnsi="Times New Roman" w:cs="Times New Roman"/>
          <w:color w:val="000000" w:themeColor="text1"/>
          <w:sz w:val="23"/>
          <w:szCs w:val="23"/>
          <w:lang w:val="en-GB"/>
        </w:rPr>
        <w:t>innovates as it employs</w:t>
      </w:r>
      <w:r w:rsidR="00EC0E88" w:rsidRPr="00983193">
        <w:rPr>
          <w:rFonts w:ascii="Times New Roman" w:hAnsi="Times New Roman" w:cs="Times New Roman"/>
          <w:color w:val="000000" w:themeColor="text1"/>
          <w:sz w:val="23"/>
          <w:szCs w:val="23"/>
          <w:lang w:val="en-GB"/>
        </w:rPr>
        <w:t xml:space="preserve"> the VAIC as </w:t>
      </w:r>
      <w:r w:rsidR="00425385">
        <w:rPr>
          <w:rFonts w:ascii="Times New Roman" w:hAnsi="Times New Roman" w:cs="Times New Roman"/>
          <w:color w:val="000000" w:themeColor="text1"/>
          <w:sz w:val="23"/>
          <w:szCs w:val="23"/>
          <w:lang w:val="en-GB"/>
        </w:rPr>
        <w:t xml:space="preserve">a </w:t>
      </w:r>
      <w:r w:rsidR="00EC0E88" w:rsidRPr="00983193">
        <w:rPr>
          <w:rFonts w:ascii="Times New Roman" w:hAnsi="Times New Roman" w:cs="Times New Roman"/>
          <w:color w:val="000000" w:themeColor="text1"/>
          <w:sz w:val="23"/>
          <w:szCs w:val="23"/>
          <w:lang w:val="en-GB"/>
        </w:rPr>
        <w:t xml:space="preserve">dependent </w:t>
      </w:r>
      <w:r w:rsidR="00425385">
        <w:rPr>
          <w:rFonts w:ascii="Times New Roman" w:hAnsi="Times New Roman" w:cs="Times New Roman"/>
          <w:color w:val="000000" w:themeColor="text1"/>
          <w:sz w:val="23"/>
          <w:szCs w:val="23"/>
          <w:lang w:val="en-GB"/>
        </w:rPr>
        <w:t>rather than as an</w:t>
      </w:r>
      <w:r w:rsidR="00EC0E88" w:rsidRPr="00983193">
        <w:rPr>
          <w:rFonts w:ascii="Times New Roman" w:hAnsi="Times New Roman" w:cs="Times New Roman"/>
          <w:color w:val="000000" w:themeColor="text1"/>
          <w:sz w:val="23"/>
          <w:szCs w:val="23"/>
          <w:lang w:val="en-GB"/>
        </w:rPr>
        <w:t xml:space="preserve"> independent variable. </w:t>
      </w:r>
    </w:p>
    <w:p w14:paraId="0C185E58" w14:textId="77777777" w:rsidR="00EC0E88" w:rsidRPr="00983193" w:rsidRDefault="00415DD5" w:rsidP="004D6E14">
      <w:pPr>
        <w:spacing w:after="0" w:line="240" w:lineRule="auto"/>
        <w:jc w:val="both"/>
        <w:rPr>
          <w:rFonts w:ascii="Times New Roman" w:hAnsi="Times New Roman" w:cs="Times New Roman"/>
          <w:color w:val="000000" w:themeColor="text1"/>
          <w:sz w:val="23"/>
          <w:szCs w:val="23"/>
          <w:lang w:val="en-GB"/>
        </w:rPr>
      </w:pPr>
      <w:r>
        <w:rPr>
          <w:rFonts w:ascii="Times New Roman" w:hAnsi="Times New Roman" w:cs="Times New Roman"/>
          <w:noProof/>
          <w:color w:val="000000" w:themeColor="text1"/>
          <w:sz w:val="23"/>
          <w:szCs w:val="23"/>
          <w:lang w:val="en-GB"/>
        </w:rPr>
        <w:t xml:space="preserve">   </w:t>
      </w:r>
      <w:r w:rsidR="004B1B64" w:rsidRPr="002F54F4">
        <w:rPr>
          <w:rFonts w:ascii="Times New Roman" w:hAnsi="Times New Roman" w:cs="Times New Roman"/>
          <w:noProof/>
          <w:color w:val="000000" w:themeColor="text1"/>
          <w:sz w:val="23"/>
          <w:szCs w:val="23"/>
          <w:lang w:val="en-GB"/>
        </w:rPr>
        <w:t>Analy</w:t>
      </w:r>
      <w:r w:rsidR="002F54F4">
        <w:rPr>
          <w:rFonts w:ascii="Times New Roman" w:hAnsi="Times New Roman" w:cs="Times New Roman"/>
          <w:noProof/>
          <w:color w:val="000000" w:themeColor="text1"/>
          <w:sz w:val="23"/>
          <w:szCs w:val="23"/>
          <w:lang w:val="en-GB"/>
        </w:rPr>
        <w:t>z</w:t>
      </w:r>
      <w:r w:rsidR="004B1B64" w:rsidRPr="002F54F4">
        <w:rPr>
          <w:rFonts w:ascii="Times New Roman" w:hAnsi="Times New Roman" w:cs="Times New Roman"/>
          <w:noProof/>
          <w:color w:val="000000" w:themeColor="text1"/>
          <w:sz w:val="23"/>
          <w:szCs w:val="23"/>
          <w:lang w:val="en-GB"/>
        </w:rPr>
        <w:t>ing</w:t>
      </w:r>
      <w:r w:rsidR="004B1B64" w:rsidRPr="00983193">
        <w:rPr>
          <w:rFonts w:ascii="Times New Roman" w:hAnsi="Times New Roman" w:cs="Times New Roman"/>
          <w:color w:val="000000" w:themeColor="text1"/>
          <w:sz w:val="23"/>
          <w:szCs w:val="23"/>
          <w:lang w:val="en-GB"/>
        </w:rPr>
        <w:t xml:space="preserve"> a sample of 122 Italian non-listed firms for the period 2009-2014, </w:t>
      </w:r>
      <w:r w:rsidR="00425385">
        <w:rPr>
          <w:rFonts w:ascii="Times New Roman" w:hAnsi="Times New Roman" w:cs="Times New Roman"/>
          <w:color w:val="000000" w:themeColor="text1"/>
          <w:sz w:val="23"/>
          <w:szCs w:val="23"/>
          <w:lang w:val="en-GB"/>
        </w:rPr>
        <w:t>we estimate</w:t>
      </w:r>
      <w:r w:rsidR="004B1B64" w:rsidRPr="00983193">
        <w:rPr>
          <w:rFonts w:ascii="Times New Roman" w:hAnsi="Times New Roman" w:cs="Times New Roman"/>
          <w:color w:val="000000" w:themeColor="text1"/>
          <w:sz w:val="23"/>
          <w:szCs w:val="23"/>
          <w:lang w:val="en-GB"/>
        </w:rPr>
        <w:t xml:space="preserve"> two </w:t>
      </w:r>
      <w:r w:rsidR="00425385" w:rsidRPr="00983193">
        <w:rPr>
          <w:rFonts w:ascii="Times New Roman" w:hAnsi="Times New Roman" w:cs="Times New Roman"/>
          <w:color w:val="000000" w:themeColor="text1"/>
          <w:sz w:val="23"/>
          <w:szCs w:val="23"/>
          <w:lang w:val="en-GB"/>
        </w:rPr>
        <w:t xml:space="preserve">panel </w:t>
      </w:r>
      <w:r w:rsidR="004B1B64" w:rsidRPr="00983193">
        <w:rPr>
          <w:rFonts w:ascii="Times New Roman" w:hAnsi="Times New Roman" w:cs="Times New Roman"/>
          <w:color w:val="000000" w:themeColor="text1"/>
          <w:sz w:val="23"/>
          <w:szCs w:val="23"/>
          <w:lang w:val="en-GB"/>
        </w:rPr>
        <w:t xml:space="preserve">linear regression models. </w:t>
      </w:r>
      <w:r w:rsidR="00425385">
        <w:rPr>
          <w:rFonts w:ascii="Times New Roman" w:hAnsi="Times New Roman" w:cs="Times New Roman"/>
          <w:color w:val="000000" w:themeColor="text1"/>
          <w:sz w:val="23"/>
          <w:szCs w:val="23"/>
          <w:lang w:val="en-GB"/>
        </w:rPr>
        <w:t>Our</w:t>
      </w:r>
      <w:r w:rsidR="00425385" w:rsidRPr="00983193">
        <w:rPr>
          <w:rFonts w:ascii="Times New Roman" w:hAnsi="Times New Roman" w:cs="Times New Roman"/>
          <w:color w:val="000000" w:themeColor="text1"/>
          <w:sz w:val="23"/>
          <w:szCs w:val="23"/>
          <w:lang w:val="en-GB"/>
        </w:rPr>
        <w:t xml:space="preserve"> </w:t>
      </w:r>
      <w:r w:rsidR="004B1B64" w:rsidRPr="00983193">
        <w:rPr>
          <w:rFonts w:ascii="Times New Roman" w:hAnsi="Times New Roman" w:cs="Times New Roman"/>
          <w:color w:val="000000" w:themeColor="text1"/>
          <w:sz w:val="23"/>
          <w:szCs w:val="23"/>
          <w:lang w:val="en-GB"/>
        </w:rPr>
        <w:t xml:space="preserve">findings suggest that </w:t>
      </w:r>
      <w:r w:rsidR="006C1B92">
        <w:rPr>
          <w:rFonts w:ascii="Times New Roman" w:hAnsi="Times New Roman" w:cs="Times New Roman"/>
          <w:color w:val="000000" w:themeColor="text1"/>
          <w:sz w:val="23"/>
          <w:szCs w:val="23"/>
          <w:lang w:val="en-GB"/>
        </w:rPr>
        <w:t>Mt</w:t>
      </w:r>
      <w:r w:rsidR="004B1B64" w:rsidRPr="00983193">
        <w:rPr>
          <w:rFonts w:ascii="Times New Roman" w:hAnsi="Times New Roman" w:cs="Times New Roman"/>
          <w:color w:val="000000" w:themeColor="text1"/>
          <w:sz w:val="23"/>
          <w:szCs w:val="23"/>
          <w:lang w:val="en-GB"/>
        </w:rPr>
        <w:t xml:space="preserve">B is a better IC value </w:t>
      </w:r>
      <w:r w:rsidR="00373797" w:rsidRPr="00983193">
        <w:rPr>
          <w:rFonts w:ascii="Times New Roman" w:hAnsi="Times New Roman" w:cs="Times New Roman"/>
          <w:color w:val="000000" w:themeColor="text1"/>
          <w:sz w:val="23"/>
          <w:szCs w:val="23"/>
          <w:lang w:val="en-GB"/>
        </w:rPr>
        <w:t xml:space="preserve">predictor than VAIC as the </w:t>
      </w:r>
      <w:r w:rsidR="00425385">
        <w:rPr>
          <w:rFonts w:ascii="Times New Roman" w:hAnsi="Times New Roman" w:cs="Times New Roman"/>
          <w:color w:val="000000" w:themeColor="text1"/>
          <w:sz w:val="23"/>
          <w:szCs w:val="23"/>
          <w:lang w:val="en-GB"/>
        </w:rPr>
        <w:t>statistics power is</w:t>
      </w:r>
      <w:r w:rsidR="00373797" w:rsidRPr="00983193">
        <w:rPr>
          <w:rFonts w:ascii="Times New Roman" w:hAnsi="Times New Roman" w:cs="Times New Roman"/>
          <w:color w:val="000000" w:themeColor="text1"/>
          <w:sz w:val="23"/>
          <w:szCs w:val="23"/>
          <w:lang w:val="en-GB"/>
        </w:rPr>
        <w:t xml:space="preserve"> higher </w:t>
      </w:r>
      <w:r w:rsidR="00425385">
        <w:rPr>
          <w:rFonts w:ascii="Times New Roman" w:hAnsi="Times New Roman" w:cs="Times New Roman"/>
          <w:color w:val="000000" w:themeColor="text1"/>
          <w:sz w:val="23"/>
          <w:szCs w:val="23"/>
          <w:lang w:val="en-GB"/>
        </w:rPr>
        <w:t>for this specification than for</w:t>
      </w:r>
      <w:r w:rsidR="00373797" w:rsidRPr="00983193">
        <w:rPr>
          <w:rFonts w:ascii="Times New Roman" w:hAnsi="Times New Roman" w:cs="Times New Roman"/>
          <w:color w:val="000000" w:themeColor="text1"/>
          <w:sz w:val="23"/>
          <w:szCs w:val="23"/>
          <w:lang w:val="en-GB"/>
        </w:rPr>
        <w:t xml:space="preserve"> VAIC. Moreover, </w:t>
      </w:r>
      <w:r w:rsidR="00425385">
        <w:rPr>
          <w:rFonts w:ascii="Times New Roman" w:hAnsi="Times New Roman" w:cs="Times New Roman"/>
          <w:color w:val="000000" w:themeColor="text1"/>
          <w:sz w:val="23"/>
          <w:szCs w:val="23"/>
          <w:lang w:val="en-GB"/>
        </w:rPr>
        <w:t>our</w:t>
      </w:r>
      <w:r w:rsidR="00373797" w:rsidRPr="00983193">
        <w:rPr>
          <w:rFonts w:ascii="Times New Roman" w:hAnsi="Times New Roman" w:cs="Times New Roman"/>
          <w:color w:val="000000" w:themeColor="text1"/>
          <w:sz w:val="23"/>
          <w:szCs w:val="23"/>
          <w:lang w:val="en-GB"/>
        </w:rPr>
        <w:t xml:space="preserve"> findi</w:t>
      </w:r>
      <w:r w:rsidR="00331319" w:rsidRPr="00983193">
        <w:rPr>
          <w:rFonts w:ascii="Times New Roman" w:hAnsi="Times New Roman" w:cs="Times New Roman"/>
          <w:color w:val="000000" w:themeColor="text1"/>
          <w:sz w:val="23"/>
          <w:szCs w:val="23"/>
          <w:lang w:val="en-GB"/>
        </w:rPr>
        <w:t>ngs suggest that while the investment</w:t>
      </w:r>
      <w:r w:rsidR="00373797" w:rsidRPr="00983193">
        <w:rPr>
          <w:rFonts w:ascii="Times New Roman" w:hAnsi="Times New Roman" w:cs="Times New Roman"/>
          <w:color w:val="000000" w:themeColor="text1"/>
          <w:sz w:val="23"/>
          <w:szCs w:val="23"/>
          <w:lang w:val="en-GB"/>
        </w:rPr>
        <w:t xml:space="preserve"> in intangible assets</w:t>
      </w:r>
      <w:r w:rsidR="00425385">
        <w:rPr>
          <w:rFonts w:ascii="Times New Roman" w:hAnsi="Times New Roman" w:cs="Times New Roman"/>
          <w:color w:val="000000" w:themeColor="text1"/>
          <w:sz w:val="23"/>
          <w:szCs w:val="23"/>
          <w:lang w:val="en-GB"/>
        </w:rPr>
        <w:t>, which</w:t>
      </w:r>
      <w:r w:rsidR="008B1435" w:rsidRPr="00983193">
        <w:rPr>
          <w:rFonts w:ascii="Times New Roman" w:hAnsi="Times New Roman" w:cs="Times New Roman"/>
          <w:color w:val="000000" w:themeColor="text1"/>
          <w:sz w:val="23"/>
          <w:szCs w:val="23"/>
          <w:lang w:val="en-GB"/>
        </w:rPr>
        <w:t xml:space="preserve"> </w:t>
      </w:r>
      <w:r w:rsidR="00425385">
        <w:rPr>
          <w:rFonts w:ascii="Times New Roman" w:hAnsi="Times New Roman" w:cs="Times New Roman"/>
          <w:color w:val="000000" w:themeColor="text1"/>
          <w:sz w:val="23"/>
          <w:szCs w:val="23"/>
          <w:lang w:val="en-GB"/>
        </w:rPr>
        <w:t>are</w:t>
      </w:r>
      <w:r w:rsidR="008B1435" w:rsidRPr="00983193">
        <w:rPr>
          <w:rFonts w:ascii="Times New Roman" w:hAnsi="Times New Roman" w:cs="Times New Roman"/>
          <w:color w:val="000000" w:themeColor="text1"/>
          <w:sz w:val="23"/>
          <w:szCs w:val="23"/>
          <w:lang w:val="en-GB"/>
        </w:rPr>
        <w:t xml:space="preserve"> associated </w:t>
      </w:r>
      <w:r w:rsidR="002F54F4">
        <w:rPr>
          <w:rFonts w:ascii="Times New Roman" w:hAnsi="Times New Roman" w:cs="Times New Roman"/>
          <w:noProof/>
          <w:color w:val="000000" w:themeColor="text1"/>
          <w:sz w:val="23"/>
          <w:szCs w:val="23"/>
          <w:lang w:val="en-GB"/>
        </w:rPr>
        <w:t>with</w:t>
      </w:r>
      <w:r w:rsidR="008B1435" w:rsidRPr="00983193">
        <w:rPr>
          <w:rFonts w:ascii="Times New Roman" w:hAnsi="Times New Roman" w:cs="Times New Roman"/>
          <w:color w:val="000000" w:themeColor="text1"/>
          <w:sz w:val="23"/>
          <w:szCs w:val="23"/>
          <w:lang w:val="en-GB"/>
        </w:rPr>
        <w:t xml:space="preserve"> IC value</w:t>
      </w:r>
      <w:r w:rsidR="00425385">
        <w:rPr>
          <w:rFonts w:ascii="Times New Roman" w:hAnsi="Times New Roman" w:cs="Times New Roman"/>
          <w:color w:val="000000" w:themeColor="text1"/>
          <w:sz w:val="23"/>
          <w:szCs w:val="23"/>
          <w:lang w:val="en-GB"/>
        </w:rPr>
        <w:t>,</w:t>
      </w:r>
      <w:r w:rsidR="008B1435" w:rsidRPr="00983193">
        <w:rPr>
          <w:rFonts w:ascii="Times New Roman" w:hAnsi="Times New Roman" w:cs="Times New Roman"/>
          <w:color w:val="000000" w:themeColor="text1"/>
          <w:sz w:val="23"/>
          <w:szCs w:val="23"/>
          <w:lang w:val="en-GB"/>
        </w:rPr>
        <w:t xml:space="preserve"> </w:t>
      </w:r>
      <w:r w:rsidR="00425385">
        <w:rPr>
          <w:rFonts w:ascii="Times New Roman" w:hAnsi="Times New Roman" w:cs="Times New Roman"/>
          <w:color w:val="000000" w:themeColor="text1"/>
          <w:sz w:val="23"/>
          <w:szCs w:val="23"/>
          <w:lang w:val="en-GB"/>
        </w:rPr>
        <w:t xml:space="preserve">as </w:t>
      </w:r>
      <w:r w:rsidR="00A57B24" w:rsidRPr="00983193">
        <w:rPr>
          <w:rFonts w:ascii="Times New Roman" w:hAnsi="Times New Roman" w:cs="Times New Roman"/>
          <w:color w:val="000000" w:themeColor="text1"/>
          <w:sz w:val="23"/>
          <w:szCs w:val="23"/>
          <w:lang w:val="en-GB"/>
        </w:rPr>
        <w:t xml:space="preserve">disclosed </w:t>
      </w:r>
      <w:r w:rsidR="00A57B24" w:rsidRPr="002F54F4">
        <w:rPr>
          <w:rFonts w:ascii="Times New Roman" w:hAnsi="Times New Roman" w:cs="Times New Roman"/>
          <w:noProof/>
          <w:color w:val="000000" w:themeColor="text1"/>
          <w:sz w:val="23"/>
          <w:szCs w:val="23"/>
          <w:lang w:val="en-GB"/>
        </w:rPr>
        <w:t>in</w:t>
      </w:r>
      <w:r w:rsidR="00A57B24" w:rsidRPr="00983193">
        <w:rPr>
          <w:rFonts w:ascii="Times New Roman" w:hAnsi="Times New Roman" w:cs="Times New Roman"/>
          <w:color w:val="000000" w:themeColor="text1"/>
          <w:sz w:val="23"/>
          <w:szCs w:val="23"/>
          <w:lang w:val="en-GB"/>
        </w:rPr>
        <w:t xml:space="preserve"> the statement of financial position </w:t>
      </w:r>
      <w:r w:rsidR="00331319" w:rsidRPr="00983193">
        <w:rPr>
          <w:rFonts w:ascii="Times New Roman" w:hAnsi="Times New Roman" w:cs="Times New Roman"/>
          <w:color w:val="000000" w:themeColor="text1"/>
          <w:sz w:val="23"/>
          <w:szCs w:val="23"/>
          <w:lang w:val="en-GB"/>
        </w:rPr>
        <w:t>drives IC value</w:t>
      </w:r>
      <w:r w:rsidR="00425385">
        <w:rPr>
          <w:rFonts w:ascii="Times New Roman" w:hAnsi="Times New Roman" w:cs="Times New Roman"/>
          <w:color w:val="000000" w:themeColor="text1"/>
          <w:sz w:val="23"/>
          <w:szCs w:val="23"/>
          <w:lang w:val="en-GB"/>
        </w:rPr>
        <w:t xml:space="preserve"> in terms of</w:t>
      </w:r>
      <w:r w:rsidR="00331319" w:rsidRPr="00983193">
        <w:rPr>
          <w:rFonts w:ascii="Times New Roman" w:hAnsi="Times New Roman" w:cs="Times New Roman"/>
          <w:color w:val="000000" w:themeColor="text1"/>
          <w:sz w:val="23"/>
          <w:szCs w:val="23"/>
          <w:lang w:val="en-GB"/>
        </w:rPr>
        <w:t xml:space="preserve"> </w:t>
      </w:r>
      <w:r w:rsidR="00425385">
        <w:rPr>
          <w:rFonts w:ascii="Times New Roman" w:hAnsi="Times New Roman" w:cs="Times New Roman"/>
          <w:color w:val="000000" w:themeColor="text1"/>
          <w:sz w:val="23"/>
          <w:szCs w:val="23"/>
          <w:lang w:val="en-GB"/>
        </w:rPr>
        <w:t>the market to book ratio</w:t>
      </w:r>
      <w:r w:rsidR="00373797" w:rsidRPr="00983193">
        <w:rPr>
          <w:rFonts w:ascii="Times New Roman" w:hAnsi="Times New Roman" w:cs="Times New Roman"/>
          <w:color w:val="000000" w:themeColor="text1"/>
          <w:sz w:val="23"/>
          <w:szCs w:val="23"/>
          <w:lang w:val="en-GB"/>
        </w:rPr>
        <w:t xml:space="preserve">, </w:t>
      </w:r>
      <w:r w:rsidR="00331319" w:rsidRPr="00983193">
        <w:rPr>
          <w:rFonts w:ascii="Times New Roman" w:hAnsi="Times New Roman" w:cs="Times New Roman"/>
          <w:color w:val="000000" w:themeColor="text1"/>
          <w:sz w:val="23"/>
          <w:szCs w:val="23"/>
          <w:lang w:val="en-GB"/>
        </w:rPr>
        <w:t xml:space="preserve">these investments are not associated </w:t>
      </w:r>
      <w:r w:rsidR="00425385">
        <w:rPr>
          <w:rFonts w:ascii="Times New Roman" w:hAnsi="Times New Roman" w:cs="Times New Roman"/>
          <w:color w:val="000000" w:themeColor="text1"/>
          <w:sz w:val="23"/>
          <w:szCs w:val="23"/>
          <w:lang w:val="en-GB"/>
        </w:rPr>
        <w:t>with</w:t>
      </w:r>
      <w:r w:rsidR="00425385" w:rsidRPr="00983193">
        <w:rPr>
          <w:rFonts w:ascii="Times New Roman" w:hAnsi="Times New Roman" w:cs="Times New Roman"/>
          <w:color w:val="000000" w:themeColor="text1"/>
          <w:sz w:val="23"/>
          <w:szCs w:val="23"/>
          <w:lang w:val="en-GB"/>
        </w:rPr>
        <w:t xml:space="preserve"> </w:t>
      </w:r>
      <w:r w:rsidR="00331319" w:rsidRPr="00983193">
        <w:rPr>
          <w:rFonts w:ascii="Times New Roman" w:hAnsi="Times New Roman" w:cs="Times New Roman"/>
          <w:color w:val="000000" w:themeColor="text1"/>
          <w:sz w:val="23"/>
          <w:szCs w:val="23"/>
          <w:lang w:val="en-GB"/>
        </w:rPr>
        <w:t xml:space="preserve">VAIC, as expected. </w:t>
      </w:r>
      <w:r w:rsidR="00425385">
        <w:rPr>
          <w:rFonts w:ascii="Times New Roman" w:hAnsi="Times New Roman" w:cs="Times New Roman"/>
          <w:color w:val="000000" w:themeColor="text1"/>
          <w:sz w:val="23"/>
          <w:szCs w:val="23"/>
          <w:lang w:val="en-GB"/>
        </w:rPr>
        <w:t>This is the case e</w:t>
      </w:r>
      <w:r w:rsidR="00331319" w:rsidRPr="00983193">
        <w:rPr>
          <w:rFonts w:ascii="Times New Roman" w:hAnsi="Times New Roman" w:cs="Times New Roman"/>
          <w:color w:val="000000" w:themeColor="text1"/>
          <w:sz w:val="23"/>
          <w:szCs w:val="23"/>
          <w:lang w:val="en-GB"/>
        </w:rPr>
        <w:t xml:space="preserve">ven though one of the components of VAIC </w:t>
      </w:r>
      <w:r w:rsidR="00D74B25" w:rsidRPr="00983193">
        <w:rPr>
          <w:rFonts w:ascii="Times New Roman" w:hAnsi="Times New Roman" w:cs="Times New Roman"/>
          <w:color w:val="000000" w:themeColor="text1"/>
          <w:sz w:val="23"/>
          <w:szCs w:val="23"/>
          <w:lang w:val="en-GB"/>
        </w:rPr>
        <w:t xml:space="preserve">is </w:t>
      </w:r>
      <w:r w:rsidR="008724B4">
        <w:rPr>
          <w:rFonts w:ascii="Times New Roman" w:hAnsi="Times New Roman" w:cs="Times New Roman"/>
          <w:color w:val="000000" w:themeColor="text1"/>
          <w:sz w:val="23"/>
          <w:szCs w:val="23"/>
          <w:lang w:val="en-US"/>
        </w:rPr>
        <w:t>c</w:t>
      </w:r>
      <w:r w:rsidR="00D74B25" w:rsidRPr="00983193">
        <w:rPr>
          <w:rFonts w:ascii="Times New Roman" w:hAnsi="Times New Roman" w:cs="Times New Roman"/>
          <w:color w:val="000000" w:themeColor="text1"/>
          <w:sz w:val="23"/>
          <w:szCs w:val="23"/>
          <w:lang w:val="en-US"/>
        </w:rPr>
        <w:t>apital employed efficiency</w:t>
      </w:r>
      <w:r w:rsidR="00A57B24" w:rsidRPr="00983193">
        <w:rPr>
          <w:rFonts w:ascii="Times New Roman" w:hAnsi="Times New Roman" w:cs="Times New Roman"/>
          <w:color w:val="000000" w:themeColor="text1"/>
          <w:sz w:val="23"/>
          <w:szCs w:val="23"/>
          <w:lang w:val="en-GB"/>
        </w:rPr>
        <w:t xml:space="preserve"> including net equity.</w:t>
      </w:r>
    </w:p>
    <w:p w14:paraId="1DE810F1" w14:textId="77777777" w:rsidR="00415972" w:rsidRPr="00983193" w:rsidRDefault="00415DD5" w:rsidP="00415972">
      <w:pPr>
        <w:spacing w:after="0" w:line="240" w:lineRule="auto"/>
        <w:jc w:val="both"/>
        <w:rPr>
          <w:rFonts w:ascii="Times New Roman" w:hAnsi="Times New Roman" w:cs="Times New Roman"/>
          <w:color w:val="000000" w:themeColor="text1"/>
          <w:sz w:val="23"/>
          <w:szCs w:val="23"/>
          <w:lang w:val="en-GB"/>
        </w:rPr>
      </w:pPr>
      <w:r>
        <w:rPr>
          <w:rFonts w:ascii="Times New Roman" w:hAnsi="Times New Roman" w:cs="Times New Roman"/>
          <w:color w:val="000000" w:themeColor="text1"/>
          <w:sz w:val="23"/>
          <w:szCs w:val="23"/>
          <w:lang w:val="en-GB"/>
        </w:rPr>
        <w:t xml:space="preserve">   </w:t>
      </w:r>
      <w:r w:rsidR="00B5172B">
        <w:rPr>
          <w:rFonts w:ascii="Times New Roman" w:hAnsi="Times New Roman" w:cs="Times New Roman"/>
          <w:color w:val="000000" w:themeColor="text1"/>
          <w:sz w:val="23"/>
          <w:szCs w:val="23"/>
          <w:lang w:val="en-GB"/>
        </w:rPr>
        <w:t>More specifically</w:t>
      </w:r>
      <w:r w:rsidR="003C4376" w:rsidRPr="00B5172B">
        <w:rPr>
          <w:rFonts w:ascii="Times New Roman" w:hAnsi="Times New Roman" w:cs="Times New Roman"/>
          <w:color w:val="000000" w:themeColor="text1"/>
          <w:sz w:val="23"/>
          <w:szCs w:val="23"/>
          <w:lang w:val="en-GB"/>
        </w:rPr>
        <w:t>, t</w:t>
      </w:r>
      <w:r w:rsidR="00415972" w:rsidRPr="00B5172B">
        <w:rPr>
          <w:rFonts w:ascii="Times New Roman" w:hAnsi="Times New Roman" w:cs="Times New Roman"/>
          <w:color w:val="000000" w:themeColor="text1"/>
          <w:sz w:val="23"/>
          <w:szCs w:val="23"/>
          <w:lang w:val="en-GB"/>
        </w:rPr>
        <w:t>he IC measurement approach employed in Model 1 of this paper highlights how the excess of market capitalization over book value, generated by information sets far wider than the accounting system, measures the ‘covered’ portion of IC not currently represented in reported assets or expenses, at least to the extent that can be incorporated in market expectations.</w:t>
      </w:r>
      <w:r w:rsidR="00415972" w:rsidRPr="00983193">
        <w:rPr>
          <w:rFonts w:ascii="Times New Roman" w:hAnsi="Times New Roman" w:cs="Times New Roman"/>
          <w:color w:val="000000" w:themeColor="text1"/>
          <w:sz w:val="23"/>
          <w:szCs w:val="23"/>
          <w:lang w:val="en-GB"/>
        </w:rPr>
        <w:t xml:space="preserve"> </w:t>
      </w:r>
      <w:r w:rsidR="00B5172B">
        <w:rPr>
          <w:rFonts w:ascii="Times New Roman" w:hAnsi="Times New Roman" w:cs="Times New Roman"/>
          <w:color w:val="000000" w:themeColor="text1"/>
          <w:sz w:val="23"/>
          <w:szCs w:val="23"/>
          <w:lang w:val="en-GB"/>
        </w:rPr>
        <w:t>Thus</w:t>
      </w:r>
      <w:r w:rsidR="00415972" w:rsidRPr="00983193">
        <w:rPr>
          <w:rFonts w:ascii="Times New Roman" w:hAnsi="Times New Roman" w:cs="Times New Roman"/>
          <w:color w:val="000000" w:themeColor="text1"/>
          <w:sz w:val="23"/>
          <w:szCs w:val="23"/>
          <w:lang w:val="en-GB"/>
        </w:rPr>
        <w:t xml:space="preserve">, the study </w:t>
      </w:r>
      <w:r w:rsidR="00B5172B">
        <w:rPr>
          <w:rFonts w:ascii="Times New Roman" w:hAnsi="Times New Roman" w:cs="Times New Roman"/>
          <w:color w:val="000000" w:themeColor="text1"/>
          <w:sz w:val="23"/>
          <w:szCs w:val="23"/>
          <w:lang w:val="en-GB"/>
        </w:rPr>
        <w:t>adds</w:t>
      </w:r>
      <w:r w:rsidR="00B5172B" w:rsidRPr="00983193">
        <w:rPr>
          <w:rFonts w:ascii="Times New Roman" w:hAnsi="Times New Roman" w:cs="Times New Roman"/>
          <w:color w:val="000000" w:themeColor="text1"/>
          <w:sz w:val="23"/>
          <w:szCs w:val="23"/>
          <w:lang w:val="en-GB"/>
        </w:rPr>
        <w:t xml:space="preserve"> </w:t>
      </w:r>
      <w:r w:rsidR="00415972" w:rsidRPr="00983193">
        <w:rPr>
          <w:rFonts w:ascii="Times New Roman" w:hAnsi="Times New Roman" w:cs="Times New Roman"/>
          <w:color w:val="000000" w:themeColor="text1"/>
          <w:sz w:val="23"/>
          <w:szCs w:val="23"/>
          <w:lang w:val="en-GB"/>
        </w:rPr>
        <w:t xml:space="preserve">a critical approach to the extant research on the effect of IFRS adoption on the disclosure of intellectual capital. There </w:t>
      </w:r>
      <w:r w:rsidR="00B5172B">
        <w:rPr>
          <w:rFonts w:ascii="Times New Roman" w:hAnsi="Times New Roman" w:cs="Times New Roman"/>
          <w:color w:val="000000" w:themeColor="text1"/>
          <w:sz w:val="23"/>
          <w:szCs w:val="23"/>
          <w:lang w:val="en-GB"/>
        </w:rPr>
        <w:t>exist</w:t>
      </w:r>
      <w:r w:rsidR="00415972" w:rsidRPr="00983193">
        <w:rPr>
          <w:rFonts w:ascii="Times New Roman" w:hAnsi="Times New Roman" w:cs="Times New Roman"/>
          <w:color w:val="000000" w:themeColor="text1"/>
          <w:sz w:val="23"/>
          <w:szCs w:val="23"/>
          <w:lang w:val="en-GB"/>
        </w:rPr>
        <w:t xml:space="preserve"> limitations </w:t>
      </w:r>
      <w:r w:rsidR="00B5172B">
        <w:rPr>
          <w:rFonts w:ascii="Times New Roman" w:hAnsi="Times New Roman" w:cs="Times New Roman"/>
          <w:color w:val="000000" w:themeColor="text1"/>
          <w:sz w:val="23"/>
          <w:szCs w:val="23"/>
          <w:lang w:val="en-GB"/>
        </w:rPr>
        <w:t>in</w:t>
      </w:r>
      <w:r w:rsidR="00415972" w:rsidRPr="00983193">
        <w:rPr>
          <w:rFonts w:ascii="Times New Roman" w:hAnsi="Times New Roman" w:cs="Times New Roman"/>
          <w:color w:val="000000" w:themeColor="text1"/>
          <w:sz w:val="23"/>
          <w:szCs w:val="23"/>
          <w:lang w:val="en-GB"/>
        </w:rPr>
        <w:t xml:space="preserve"> the accounting perspective and </w:t>
      </w:r>
      <w:r w:rsidR="00B5172B">
        <w:rPr>
          <w:rFonts w:ascii="Times New Roman" w:hAnsi="Times New Roman" w:cs="Times New Roman"/>
          <w:color w:val="000000" w:themeColor="text1"/>
          <w:sz w:val="23"/>
          <w:szCs w:val="23"/>
          <w:lang w:val="en-GB"/>
        </w:rPr>
        <w:t>in</w:t>
      </w:r>
      <w:r w:rsidR="00415972" w:rsidRPr="00983193">
        <w:rPr>
          <w:rFonts w:ascii="Times New Roman" w:hAnsi="Times New Roman" w:cs="Times New Roman"/>
          <w:color w:val="000000" w:themeColor="text1"/>
          <w:sz w:val="23"/>
          <w:szCs w:val="23"/>
          <w:lang w:val="en-GB"/>
        </w:rPr>
        <w:t xml:space="preserve"> financial information when measuring IC value, especially with regard to the distorting effect of historical costs on the difference between </w:t>
      </w:r>
      <w:r w:rsidR="00B5172B">
        <w:rPr>
          <w:rFonts w:ascii="Times New Roman" w:hAnsi="Times New Roman" w:cs="Times New Roman"/>
          <w:color w:val="000000" w:themeColor="text1"/>
          <w:sz w:val="23"/>
          <w:szCs w:val="23"/>
          <w:lang w:val="en-GB"/>
        </w:rPr>
        <w:t xml:space="preserve">the </w:t>
      </w:r>
      <w:r w:rsidR="00415972" w:rsidRPr="00983193">
        <w:rPr>
          <w:rFonts w:ascii="Times New Roman" w:hAnsi="Times New Roman" w:cs="Times New Roman"/>
          <w:color w:val="000000" w:themeColor="text1"/>
          <w:sz w:val="23"/>
          <w:szCs w:val="23"/>
          <w:lang w:val="en-GB"/>
        </w:rPr>
        <w:t xml:space="preserve">market and book value, though Italian listed companies have prepared both consolidated and separate financial statements according to IFRS since 2005. As a consequence, assets and liabilities are </w:t>
      </w:r>
      <w:r w:rsidR="00B5172B">
        <w:rPr>
          <w:rFonts w:ascii="Times New Roman" w:hAnsi="Times New Roman" w:cs="Times New Roman"/>
          <w:color w:val="000000" w:themeColor="text1"/>
          <w:sz w:val="23"/>
          <w:szCs w:val="23"/>
          <w:lang w:val="en-GB"/>
        </w:rPr>
        <w:t>typical</w:t>
      </w:r>
      <w:r w:rsidR="00B5172B" w:rsidRPr="00983193">
        <w:rPr>
          <w:rFonts w:ascii="Times New Roman" w:hAnsi="Times New Roman" w:cs="Times New Roman"/>
          <w:color w:val="000000" w:themeColor="text1"/>
          <w:sz w:val="23"/>
          <w:szCs w:val="23"/>
          <w:lang w:val="en-GB"/>
        </w:rPr>
        <w:t xml:space="preserve">ly </w:t>
      </w:r>
      <w:r w:rsidR="00415972" w:rsidRPr="00983193">
        <w:rPr>
          <w:rFonts w:ascii="Times New Roman" w:hAnsi="Times New Roman" w:cs="Times New Roman"/>
          <w:color w:val="000000" w:themeColor="text1"/>
          <w:sz w:val="23"/>
          <w:szCs w:val="23"/>
          <w:lang w:val="en-GB"/>
        </w:rPr>
        <w:t xml:space="preserve">assessed at “fair” value, </w:t>
      </w:r>
      <w:r w:rsidR="00B5172B">
        <w:rPr>
          <w:rFonts w:ascii="Times New Roman" w:hAnsi="Times New Roman" w:cs="Times New Roman"/>
          <w:color w:val="000000" w:themeColor="text1"/>
          <w:sz w:val="23"/>
          <w:szCs w:val="23"/>
          <w:lang w:val="en-GB"/>
        </w:rPr>
        <w:t>and thus</w:t>
      </w:r>
      <w:r w:rsidR="00B5172B" w:rsidRPr="00983193">
        <w:rPr>
          <w:rFonts w:ascii="Times New Roman" w:hAnsi="Times New Roman" w:cs="Times New Roman"/>
          <w:color w:val="000000" w:themeColor="text1"/>
          <w:sz w:val="23"/>
          <w:szCs w:val="23"/>
          <w:lang w:val="en-GB"/>
        </w:rPr>
        <w:t xml:space="preserve"> </w:t>
      </w:r>
      <w:r w:rsidR="001B3D4D">
        <w:rPr>
          <w:rFonts w:ascii="Times New Roman" w:hAnsi="Times New Roman" w:cs="Times New Roman"/>
          <w:color w:val="000000" w:themeColor="text1"/>
          <w:sz w:val="23"/>
          <w:szCs w:val="23"/>
          <w:lang w:val="en-GB"/>
        </w:rPr>
        <w:t>do not</w:t>
      </w:r>
      <w:r w:rsidR="00415972" w:rsidRPr="00983193">
        <w:rPr>
          <w:rFonts w:ascii="Times New Roman" w:hAnsi="Times New Roman" w:cs="Times New Roman"/>
          <w:color w:val="000000" w:themeColor="text1"/>
          <w:sz w:val="23"/>
          <w:szCs w:val="23"/>
          <w:lang w:val="en-GB"/>
        </w:rPr>
        <w:t xml:space="preserve"> closely </w:t>
      </w:r>
      <w:r w:rsidR="001B3D4D">
        <w:rPr>
          <w:rFonts w:ascii="Times New Roman" w:hAnsi="Times New Roman" w:cs="Times New Roman"/>
          <w:color w:val="000000" w:themeColor="text1"/>
          <w:sz w:val="23"/>
          <w:szCs w:val="23"/>
          <w:lang w:val="en-GB"/>
        </w:rPr>
        <w:t>adhere</w:t>
      </w:r>
      <w:r w:rsidR="001B3D4D" w:rsidRPr="00983193">
        <w:rPr>
          <w:rFonts w:ascii="Times New Roman" w:hAnsi="Times New Roman" w:cs="Times New Roman"/>
          <w:color w:val="000000" w:themeColor="text1"/>
          <w:sz w:val="23"/>
          <w:szCs w:val="23"/>
          <w:lang w:val="en-GB"/>
        </w:rPr>
        <w:t xml:space="preserve"> </w:t>
      </w:r>
      <w:r w:rsidR="00415972" w:rsidRPr="00983193">
        <w:rPr>
          <w:rFonts w:ascii="Times New Roman" w:hAnsi="Times New Roman" w:cs="Times New Roman"/>
          <w:color w:val="000000" w:themeColor="text1"/>
          <w:sz w:val="23"/>
          <w:szCs w:val="23"/>
          <w:lang w:val="en-GB"/>
        </w:rPr>
        <w:t xml:space="preserve">to the historical cost convention. Thus, the </w:t>
      </w:r>
      <w:r w:rsidR="001B3D4D">
        <w:rPr>
          <w:rFonts w:ascii="Times New Roman" w:hAnsi="Times New Roman" w:cs="Times New Roman"/>
          <w:color w:val="000000" w:themeColor="text1"/>
          <w:sz w:val="23"/>
          <w:szCs w:val="23"/>
          <w:lang w:val="en-GB"/>
        </w:rPr>
        <w:t>residual</w:t>
      </w:r>
      <w:r w:rsidR="001B3D4D" w:rsidRPr="00983193">
        <w:rPr>
          <w:rFonts w:ascii="Times New Roman" w:hAnsi="Times New Roman" w:cs="Times New Roman"/>
          <w:color w:val="000000" w:themeColor="text1"/>
          <w:sz w:val="23"/>
          <w:szCs w:val="23"/>
          <w:lang w:val="en-GB"/>
        </w:rPr>
        <w:t xml:space="preserve"> </w:t>
      </w:r>
      <w:r w:rsidR="00415972" w:rsidRPr="00983193">
        <w:rPr>
          <w:rFonts w:ascii="Times New Roman" w:hAnsi="Times New Roman" w:cs="Times New Roman"/>
          <w:color w:val="000000" w:themeColor="text1"/>
          <w:sz w:val="23"/>
          <w:szCs w:val="23"/>
          <w:lang w:val="en-GB"/>
        </w:rPr>
        <w:t xml:space="preserve">positive difference between market and book value should reflect well the </w:t>
      </w:r>
      <w:r w:rsidR="001B3D4D">
        <w:rPr>
          <w:rFonts w:ascii="Times New Roman" w:hAnsi="Times New Roman" w:cs="Times New Roman"/>
          <w:color w:val="000000" w:themeColor="text1"/>
          <w:sz w:val="23"/>
          <w:szCs w:val="23"/>
          <w:lang w:val="en-GB"/>
        </w:rPr>
        <w:t>value</w:t>
      </w:r>
      <w:r w:rsidR="001B3D4D" w:rsidRPr="00983193">
        <w:rPr>
          <w:rFonts w:ascii="Times New Roman" w:hAnsi="Times New Roman" w:cs="Times New Roman"/>
          <w:color w:val="000000" w:themeColor="text1"/>
          <w:sz w:val="23"/>
          <w:szCs w:val="23"/>
          <w:lang w:val="en-GB"/>
        </w:rPr>
        <w:t xml:space="preserve"> </w:t>
      </w:r>
      <w:r w:rsidR="00415972" w:rsidRPr="00983193">
        <w:rPr>
          <w:rFonts w:ascii="Times New Roman" w:hAnsi="Times New Roman" w:cs="Times New Roman"/>
          <w:color w:val="000000" w:themeColor="text1"/>
          <w:sz w:val="23"/>
          <w:szCs w:val="23"/>
          <w:lang w:val="en-GB"/>
        </w:rPr>
        <w:t>of intangible resources that are as yet unrecognized in the financial statements but that financial markets</w:t>
      </w:r>
      <w:r w:rsidR="001B3D4D">
        <w:rPr>
          <w:rFonts w:ascii="Times New Roman" w:hAnsi="Times New Roman" w:cs="Times New Roman"/>
          <w:color w:val="000000" w:themeColor="text1"/>
          <w:sz w:val="23"/>
          <w:szCs w:val="23"/>
          <w:lang w:val="en-GB"/>
        </w:rPr>
        <w:t xml:space="preserve"> which</w:t>
      </w:r>
      <w:r w:rsidR="00415972" w:rsidRPr="00983193">
        <w:rPr>
          <w:rFonts w:ascii="Times New Roman" w:hAnsi="Times New Roman" w:cs="Times New Roman"/>
          <w:color w:val="000000" w:themeColor="text1"/>
          <w:sz w:val="23"/>
          <w:szCs w:val="23"/>
          <w:lang w:val="en-GB"/>
        </w:rPr>
        <w:t xml:space="preserve"> us</w:t>
      </w:r>
      <w:r w:rsidR="001B3D4D">
        <w:rPr>
          <w:rFonts w:ascii="Times New Roman" w:hAnsi="Times New Roman" w:cs="Times New Roman"/>
          <w:color w:val="000000" w:themeColor="text1"/>
          <w:sz w:val="23"/>
          <w:szCs w:val="23"/>
          <w:lang w:val="en-GB"/>
        </w:rPr>
        <w:t>e</w:t>
      </w:r>
      <w:r w:rsidR="00415972" w:rsidRPr="00983193">
        <w:rPr>
          <w:rFonts w:ascii="Times New Roman" w:hAnsi="Times New Roman" w:cs="Times New Roman"/>
          <w:color w:val="000000" w:themeColor="text1"/>
          <w:sz w:val="23"/>
          <w:szCs w:val="23"/>
          <w:lang w:val="en-GB"/>
        </w:rPr>
        <w:t xml:space="preserve"> other </w:t>
      </w:r>
      <w:r w:rsidR="001B3D4D">
        <w:rPr>
          <w:rFonts w:ascii="Times New Roman" w:hAnsi="Times New Roman" w:cs="Times New Roman"/>
          <w:color w:val="000000" w:themeColor="text1"/>
          <w:sz w:val="23"/>
          <w:szCs w:val="23"/>
          <w:lang w:val="en-GB"/>
        </w:rPr>
        <w:lastRenderedPageBreak/>
        <w:t xml:space="preserve">information </w:t>
      </w:r>
      <w:r w:rsidR="00415972" w:rsidRPr="00983193">
        <w:rPr>
          <w:rFonts w:ascii="Times New Roman" w:hAnsi="Times New Roman" w:cs="Times New Roman"/>
          <w:color w:val="000000" w:themeColor="text1"/>
          <w:sz w:val="23"/>
          <w:szCs w:val="23"/>
          <w:lang w:val="en-GB"/>
        </w:rPr>
        <w:t xml:space="preserve">sources manage to appraise </w:t>
      </w:r>
      <w:r w:rsidR="001B3D4D">
        <w:rPr>
          <w:rFonts w:ascii="Times New Roman" w:hAnsi="Times New Roman" w:cs="Times New Roman"/>
          <w:color w:val="000000" w:themeColor="text1"/>
          <w:sz w:val="23"/>
          <w:szCs w:val="23"/>
          <w:lang w:val="en-GB"/>
        </w:rPr>
        <w:t>when</w:t>
      </w:r>
      <w:r w:rsidR="00415972" w:rsidRPr="00983193">
        <w:rPr>
          <w:rFonts w:ascii="Times New Roman" w:hAnsi="Times New Roman" w:cs="Times New Roman"/>
          <w:color w:val="000000" w:themeColor="text1"/>
          <w:sz w:val="23"/>
          <w:szCs w:val="23"/>
          <w:lang w:val="en-GB"/>
        </w:rPr>
        <w:t xml:space="preserve"> assessing a company’s intellectual capital. In summary, the findings of this paper suggest that the M</w:t>
      </w:r>
      <w:r w:rsidR="0013685D">
        <w:rPr>
          <w:rFonts w:ascii="Times New Roman" w:hAnsi="Times New Roman" w:cs="Times New Roman"/>
          <w:color w:val="000000" w:themeColor="text1"/>
          <w:sz w:val="23"/>
          <w:szCs w:val="23"/>
          <w:lang w:val="en-GB"/>
        </w:rPr>
        <w:t>t</w:t>
      </w:r>
      <w:r w:rsidR="00415972" w:rsidRPr="00983193">
        <w:rPr>
          <w:rFonts w:ascii="Times New Roman" w:hAnsi="Times New Roman" w:cs="Times New Roman"/>
          <w:color w:val="000000" w:themeColor="text1"/>
          <w:sz w:val="23"/>
          <w:szCs w:val="23"/>
          <w:lang w:val="en-GB"/>
        </w:rPr>
        <w:t>B ratio is a good predictor of IC, despite the limitations of this ratio highlighted in the literature. Moreover, use of the M</w:t>
      </w:r>
      <w:r w:rsidR="0013685D">
        <w:rPr>
          <w:rFonts w:ascii="Times New Roman" w:hAnsi="Times New Roman" w:cs="Times New Roman"/>
          <w:color w:val="000000" w:themeColor="text1"/>
          <w:sz w:val="23"/>
          <w:szCs w:val="23"/>
          <w:lang w:val="en-GB"/>
        </w:rPr>
        <w:t>t</w:t>
      </w:r>
      <w:r w:rsidR="00415972" w:rsidRPr="00983193">
        <w:rPr>
          <w:rFonts w:ascii="Times New Roman" w:hAnsi="Times New Roman" w:cs="Times New Roman"/>
          <w:color w:val="000000" w:themeColor="text1"/>
          <w:sz w:val="23"/>
          <w:szCs w:val="23"/>
          <w:lang w:val="en-GB"/>
        </w:rPr>
        <w:t xml:space="preserve">B ratio is pervasive given its ease of calculation for investors. Many significant </w:t>
      </w:r>
      <w:r w:rsidR="001B3D4D">
        <w:rPr>
          <w:rFonts w:ascii="Times New Roman" w:hAnsi="Times New Roman" w:cs="Times New Roman"/>
          <w:color w:val="000000" w:themeColor="text1"/>
          <w:sz w:val="23"/>
          <w:szCs w:val="23"/>
          <w:lang w:val="en-GB"/>
        </w:rPr>
        <w:t xml:space="preserve">drivers of </w:t>
      </w:r>
      <w:r w:rsidR="00415972" w:rsidRPr="002F54F4">
        <w:rPr>
          <w:rFonts w:ascii="Times New Roman" w:hAnsi="Times New Roman" w:cs="Times New Roman"/>
          <w:noProof/>
          <w:color w:val="000000" w:themeColor="text1"/>
          <w:sz w:val="23"/>
          <w:szCs w:val="23"/>
          <w:lang w:val="en-GB"/>
        </w:rPr>
        <w:t>M</w:t>
      </w:r>
      <w:r w:rsidR="0013685D">
        <w:rPr>
          <w:rFonts w:ascii="Times New Roman" w:hAnsi="Times New Roman" w:cs="Times New Roman"/>
          <w:noProof/>
          <w:color w:val="000000" w:themeColor="text1"/>
          <w:sz w:val="23"/>
          <w:szCs w:val="23"/>
          <w:lang w:val="en-GB"/>
        </w:rPr>
        <w:t>t</w:t>
      </w:r>
      <w:r w:rsidR="00415972" w:rsidRPr="002F54F4">
        <w:rPr>
          <w:rFonts w:ascii="Times New Roman" w:hAnsi="Times New Roman" w:cs="Times New Roman"/>
          <w:noProof/>
          <w:color w:val="000000" w:themeColor="text1"/>
          <w:sz w:val="23"/>
          <w:szCs w:val="23"/>
          <w:lang w:val="en-GB"/>
        </w:rPr>
        <w:t>B</w:t>
      </w:r>
      <w:r w:rsidR="00415972" w:rsidRPr="00983193">
        <w:rPr>
          <w:rFonts w:ascii="Times New Roman" w:hAnsi="Times New Roman" w:cs="Times New Roman"/>
          <w:color w:val="000000" w:themeColor="text1"/>
          <w:sz w:val="23"/>
          <w:szCs w:val="23"/>
          <w:lang w:val="en-GB"/>
        </w:rPr>
        <w:t xml:space="preserve"> </w:t>
      </w:r>
      <w:r w:rsidR="001B3D4D">
        <w:rPr>
          <w:rFonts w:ascii="Times New Roman" w:hAnsi="Times New Roman" w:cs="Times New Roman"/>
          <w:color w:val="000000" w:themeColor="text1"/>
          <w:sz w:val="23"/>
          <w:szCs w:val="23"/>
          <w:lang w:val="en-GB"/>
        </w:rPr>
        <w:t>have been found. For example, when firms</w:t>
      </w:r>
      <w:r w:rsidR="00415972" w:rsidRPr="00983193">
        <w:rPr>
          <w:rFonts w:ascii="Times New Roman" w:hAnsi="Times New Roman" w:cs="Times New Roman"/>
          <w:color w:val="000000" w:themeColor="text1"/>
          <w:sz w:val="23"/>
          <w:szCs w:val="23"/>
          <w:lang w:val="en-GB"/>
        </w:rPr>
        <w:t xml:space="preserve"> increas</w:t>
      </w:r>
      <w:r w:rsidR="001B3D4D">
        <w:rPr>
          <w:rFonts w:ascii="Times New Roman" w:hAnsi="Times New Roman" w:cs="Times New Roman"/>
          <w:color w:val="000000" w:themeColor="text1"/>
          <w:sz w:val="23"/>
          <w:szCs w:val="23"/>
          <w:lang w:val="en-GB"/>
        </w:rPr>
        <w:t>e</w:t>
      </w:r>
      <w:r w:rsidR="00415972" w:rsidRPr="00983193">
        <w:rPr>
          <w:rFonts w:ascii="Times New Roman" w:hAnsi="Times New Roman" w:cs="Times New Roman"/>
          <w:color w:val="000000" w:themeColor="text1"/>
          <w:sz w:val="23"/>
          <w:szCs w:val="23"/>
          <w:lang w:val="en-GB"/>
        </w:rPr>
        <w:t xml:space="preserve"> </w:t>
      </w:r>
      <w:r w:rsidR="001B3D4D">
        <w:rPr>
          <w:rFonts w:ascii="Times New Roman" w:hAnsi="Times New Roman" w:cs="Times New Roman"/>
          <w:color w:val="000000" w:themeColor="text1"/>
          <w:sz w:val="23"/>
          <w:szCs w:val="23"/>
          <w:lang w:val="en-GB"/>
        </w:rPr>
        <w:t xml:space="preserve">their </w:t>
      </w:r>
      <w:r w:rsidR="00415972" w:rsidRPr="00983193">
        <w:rPr>
          <w:rFonts w:ascii="Times New Roman" w:hAnsi="Times New Roman" w:cs="Times New Roman"/>
          <w:color w:val="000000" w:themeColor="text1"/>
          <w:sz w:val="23"/>
          <w:szCs w:val="23"/>
          <w:lang w:val="en-GB"/>
        </w:rPr>
        <w:t>use of intangibles for a number of years sufficient to establish a “good” reputation</w:t>
      </w:r>
      <w:r w:rsidR="001B3D4D">
        <w:rPr>
          <w:rFonts w:ascii="Times New Roman" w:hAnsi="Times New Roman" w:cs="Times New Roman"/>
          <w:color w:val="000000" w:themeColor="text1"/>
          <w:sz w:val="23"/>
          <w:szCs w:val="23"/>
          <w:lang w:val="en-GB"/>
        </w:rPr>
        <w:t>,</w:t>
      </w:r>
      <w:r w:rsidR="00415972" w:rsidRPr="00983193">
        <w:rPr>
          <w:rFonts w:ascii="Times New Roman" w:hAnsi="Times New Roman" w:cs="Times New Roman"/>
          <w:color w:val="000000" w:themeColor="text1"/>
          <w:sz w:val="23"/>
          <w:szCs w:val="23"/>
          <w:lang w:val="en-GB"/>
        </w:rPr>
        <w:t xml:space="preserve"> the</w:t>
      </w:r>
      <w:r w:rsidR="001B3D4D">
        <w:rPr>
          <w:rFonts w:ascii="Times New Roman" w:hAnsi="Times New Roman" w:cs="Times New Roman"/>
          <w:color w:val="000000" w:themeColor="text1"/>
          <w:sz w:val="23"/>
          <w:szCs w:val="23"/>
          <w:lang w:val="en-GB"/>
        </w:rPr>
        <w:t>re</w:t>
      </w:r>
      <w:r w:rsidR="00415972" w:rsidRPr="00983193">
        <w:rPr>
          <w:rFonts w:ascii="Times New Roman" w:hAnsi="Times New Roman" w:cs="Times New Roman"/>
          <w:color w:val="000000" w:themeColor="text1"/>
          <w:sz w:val="23"/>
          <w:szCs w:val="23"/>
          <w:lang w:val="en-GB"/>
        </w:rPr>
        <w:t xml:space="preserve"> </w:t>
      </w:r>
      <w:r w:rsidR="001B3D4D">
        <w:rPr>
          <w:rFonts w:ascii="Times New Roman" w:hAnsi="Times New Roman" w:cs="Times New Roman"/>
          <w:color w:val="000000" w:themeColor="text1"/>
          <w:sz w:val="23"/>
          <w:szCs w:val="23"/>
          <w:lang w:val="en-GB"/>
        </w:rPr>
        <w:t xml:space="preserve">are </w:t>
      </w:r>
      <w:r w:rsidR="00415972" w:rsidRPr="00983193">
        <w:rPr>
          <w:rFonts w:ascii="Times New Roman" w:hAnsi="Times New Roman" w:cs="Times New Roman"/>
          <w:color w:val="000000" w:themeColor="text1"/>
          <w:sz w:val="23"/>
          <w:szCs w:val="23"/>
          <w:lang w:val="en-GB"/>
        </w:rPr>
        <w:t>consequent results in term of profitability and growth</w:t>
      </w:r>
      <w:r w:rsidR="001B3D4D">
        <w:rPr>
          <w:rFonts w:ascii="Times New Roman" w:hAnsi="Times New Roman" w:cs="Times New Roman"/>
          <w:color w:val="000000" w:themeColor="text1"/>
          <w:sz w:val="23"/>
          <w:szCs w:val="23"/>
          <w:lang w:val="en-GB"/>
        </w:rPr>
        <w:t>.</w:t>
      </w:r>
      <w:r w:rsidR="00415972" w:rsidRPr="00983193">
        <w:rPr>
          <w:rFonts w:ascii="Times New Roman" w:hAnsi="Times New Roman" w:cs="Times New Roman"/>
          <w:color w:val="000000" w:themeColor="text1"/>
          <w:sz w:val="23"/>
          <w:szCs w:val="23"/>
          <w:lang w:val="en-GB"/>
        </w:rPr>
        <w:t xml:space="preserve"> </w:t>
      </w:r>
      <w:r w:rsidR="001B3D4D">
        <w:rPr>
          <w:rFonts w:ascii="Times New Roman" w:hAnsi="Times New Roman" w:cs="Times New Roman"/>
          <w:color w:val="000000" w:themeColor="text1"/>
          <w:sz w:val="23"/>
          <w:szCs w:val="23"/>
          <w:lang w:val="en-GB"/>
        </w:rPr>
        <w:t>The</w:t>
      </w:r>
      <w:r w:rsidR="001B3D4D" w:rsidRPr="00983193">
        <w:rPr>
          <w:rFonts w:ascii="Times New Roman" w:hAnsi="Times New Roman" w:cs="Times New Roman"/>
          <w:color w:val="000000" w:themeColor="text1"/>
          <w:sz w:val="23"/>
          <w:szCs w:val="23"/>
          <w:lang w:val="en-GB"/>
        </w:rPr>
        <w:t xml:space="preserve"> </w:t>
      </w:r>
      <w:r w:rsidR="00415972" w:rsidRPr="00983193">
        <w:rPr>
          <w:rFonts w:ascii="Times New Roman" w:hAnsi="Times New Roman" w:cs="Times New Roman"/>
          <w:color w:val="000000" w:themeColor="text1"/>
          <w:sz w:val="23"/>
          <w:szCs w:val="23"/>
          <w:lang w:val="en-GB"/>
        </w:rPr>
        <w:t>empirical evidence show</w:t>
      </w:r>
      <w:r w:rsidR="001B3D4D">
        <w:rPr>
          <w:rFonts w:ascii="Times New Roman" w:hAnsi="Times New Roman" w:cs="Times New Roman"/>
          <w:color w:val="000000" w:themeColor="text1"/>
          <w:sz w:val="23"/>
          <w:szCs w:val="23"/>
          <w:lang w:val="en-GB"/>
        </w:rPr>
        <w:t>s</w:t>
      </w:r>
      <w:r w:rsidR="00415972" w:rsidRPr="00983193">
        <w:rPr>
          <w:rFonts w:ascii="Times New Roman" w:hAnsi="Times New Roman" w:cs="Times New Roman"/>
          <w:color w:val="000000" w:themeColor="text1"/>
          <w:sz w:val="23"/>
          <w:szCs w:val="23"/>
          <w:lang w:val="en-GB"/>
        </w:rPr>
        <w:t xml:space="preserve"> that </w:t>
      </w:r>
      <w:r w:rsidR="002F54F4" w:rsidRPr="002F54F4">
        <w:rPr>
          <w:rFonts w:ascii="Times New Roman" w:hAnsi="Times New Roman" w:cs="Times New Roman"/>
          <w:noProof/>
          <w:color w:val="000000" w:themeColor="text1"/>
          <w:sz w:val="23"/>
          <w:szCs w:val="23"/>
          <w:lang w:val="en-GB"/>
        </w:rPr>
        <w:t>M</w:t>
      </w:r>
      <w:r w:rsidR="0013685D">
        <w:rPr>
          <w:rFonts w:ascii="Times New Roman" w:hAnsi="Times New Roman" w:cs="Times New Roman"/>
          <w:noProof/>
          <w:color w:val="000000" w:themeColor="text1"/>
          <w:sz w:val="23"/>
          <w:szCs w:val="23"/>
          <w:lang w:val="en-GB"/>
        </w:rPr>
        <w:t>t</w:t>
      </w:r>
      <w:r w:rsidR="00415972" w:rsidRPr="002F54F4">
        <w:rPr>
          <w:rFonts w:ascii="Times New Roman" w:hAnsi="Times New Roman" w:cs="Times New Roman"/>
          <w:noProof/>
          <w:color w:val="000000" w:themeColor="text1"/>
          <w:sz w:val="23"/>
          <w:szCs w:val="23"/>
          <w:lang w:val="en-GB"/>
        </w:rPr>
        <w:t>B</w:t>
      </w:r>
      <w:r w:rsidR="00415972" w:rsidRPr="00983193">
        <w:rPr>
          <w:rFonts w:ascii="Times New Roman" w:hAnsi="Times New Roman" w:cs="Times New Roman"/>
          <w:color w:val="000000" w:themeColor="text1"/>
          <w:sz w:val="23"/>
          <w:szCs w:val="23"/>
          <w:lang w:val="en-GB"/>
        </w:rPr>
        <w:t xml:space="preserve"> is an </w:t>
      </w:r>
      <w:r w:rsidR="00415972" w:rsidRPr="00A71C5B">
        <w:rPr>
          <w:rFonts w:ascii="Times New Roman" w:hAnsi="Times New Roman" w:cs="Times New Roman"/>
          <w:noProof/>
          <w:color w:val="000000" w:themeColor="text1"/>
          <w:sz w:val="23"/>
          <w:szCs w:val="23"/>
          <w:lang w:val="en-GB"/>
        </w:rPr>
        <w:t>efficient</w:t>
      </w:r>
      <w:r w:rsidR="00415972" w:rsidRPr="00983193">
        <w:rPr>
          <w:rFonts w:ascii="Times New Roman" w:hAnsi="Times New Roman" w:cs="Times New Roman"/>
          <w:color w:val="000000" w:themeColor="text1"/>
          <w:sz w:val="23"/>
          <w:szCs w:val="23"/>
          <w:lang w:val="en-GB"/>
        </w:rPr>
        <w:t xml:space="preserve"> measure of the </w:t>
      </w:r>
      <w:r w:rsidR="00415972" w:rsidRPr="00983193">
        <w:rPr>
          <w:rFonts w:ascii="Times New Roman" w:hAnsi="Times New Roman" w:cs="Times New Roman"/>
          <w:i/>
          <w:color w:val="000000" w:themeColor="text1"/>
          <w:sz w:val="23"/>
          <w:szCs w:val="23"/>
          <w:lang w:val="en-GB"/>
        </w:rPr>
        <w:t>structural</w:t>
      </w:r>
      <w:r w:rsidR="00415972" w:rsidRPr="00983193">
        <w:rPr>
          <w:rFonts w:ascii="Times New Roman" w:hAnsi="Times New Roman" w:cs="Times New Roman"/>
          <w:color w:val="000000" w:themeColor="text1"/>
          <w:sz w:val="23"/>
          <w:szCs w:val="23"/>
          <w:lang w:val="en-GB"/>
        </w:rPr>
        <w:t xml:space="preserve"> attitude of the firm </w:t>
      </w:r>
      <w:r w:rsidR="00415972" w:rsidRPr="00983193">
        <w:rPr>
          <w:rFonts w:ascii="Times New Roman" w:hAnsi="Times New Roman" w:cs="Times New Roman"/>
          <w:i/>
          <w:color w:val="000000" w:themeColor="text1"/>
          <w:sz w:val="23"/>
          <w:szCs w:val="23"/>
          <w:lang w:val="en-GB"/>
        </w:rPr>
        <w:t>to creat</w:t>
      </w:r>
      <w:r w:rsidR="001B3D4D">
        <w:rPr>
          <w:rFonts w:ascii="Times New Roman" w:hAnsi="Times New Roman" w:cs="Times New Roman"/>
          <w:i/>
          <w:color w:val="000000" w:themeColor="text1"/>
          <w:sz w:val="23"/>
          <w:szCs w:val="23"/>
          <w:lang w:val="en-GB"/>
        </w:rPr>
        <w:t>ing</w:t>
      </w:r>
      <w:r w:rsidR="00415972" w:rsidRPr="00983193">
        <w:rPr>
          <w:rFonts w:ascii="Times New Roman" w:hAnsi="Times New Roman" w:cs="Times New Roman"/>
          <w:i/>
          <w:color w:val="000000" w:themeColor="text1"/>
          <w:sz w:val="23"/>
          <w:szCs w:val="23"/>
          <w:lang w:val="en-GB"/>
        </w:rPr>
        <w:t xml:space="preserve"> value using IC</w:t>
      </w:r>
      <w:r w:rsidR="00415972" w:rsidRPr="00983193">
        <w:rPr>
          <w:rFonts w:ascii="Times New Roman" w:hAnsi="Times New Roman" w:cs="Times New Roman"/>
          <w:color w:val="000000" w:themeColor="text1"/>
          <w:sz w:val="23"/>
          <w:szCs w:val="23"/>
          <w:lang w:val="en-GB"/>
        </w:rPr>
        <w:t xml:space="preserve">, even with increasing leverage. On the other hand, the same results clearly show that growth </w:t>
      </w:r>
      <w:r w:rsidR="00415972" w:rsidRPr="00983193">
        <w:rPr>
          <w:rFonts w:ascii="Times New Roman" w:hAnsi="Times New Roman" w:cs="Times New Roman"/>
          <w:i/>
          <w:color w:val="000000" w:themeColor="text1"/>
          <w:sz w:val="23"/>
          <w:szCs w:val="23"/>
          <w:lang w:val="en-GB"/>
        </w:rPr>
        <w:t xml:space="preserve">alone </w:t>
      </w:r>
      <w:r w:rsidR="00415972" w:rsidRPr="00983193">
        <w:rPr>
          <w:rFonts w:ascii="Times New Roman" w:hAnsi="Times New Roman" w:cs="Times New Roman"/>
          <w:color w:val="000000" w:themeColor="text1"/>
          <w:sz w:val="23"/>
          <w:szCs w:val="23"/>
          <w:lang w:val="en-GB"/>
        </w:rPr>
        <w:t xml:space="preserve">does not imply </w:t>
      </w:r>
      <w:r w:rsidR="001B3D4D">
        <w:rPr>
          <w:rFonts w:ascii="Times New Roman" w:hAnsi="Times New Roman" w:cs="Times New Roman"/>
          <w:color w:val="000000" w:themeColor="text1"/>
          <w:sz w:val="23"/>
          <w:szCs w:val="23"/>
          <w:lang w:val="en-GB"/>
        </w:rPr>
        <w:t xml:space="preserve">a </w:t>
      </w:r>
      <w:r w:rsidR="00415972" w:rsidRPr="00983193">
        <w:rPr>
          <w:rFonts w:ascii="Times New Roman" w:hAnsi="Times New Roman" w:cs="Times New Roman"/>
          <w:color w:val="000000" w:themeColor="text1"/>
          <w:sz w:val="23"/>
          <w:szCs w:val="23"/>
          <w:lang w:val="en-GB"/>
        </w:rPr>
        <w:t xml:space="preserve">better market </w:t>
      </w:r>
      <w:r w:rsidR="00415972" w:rsidRPr="00A72A4D">
        <w:rPr>
          <w:rFonts w:ascii="Times New Roman" w:hAnsi="Times New Roman" w:cs="Times New Roman"/>
          <w:noProof/>
          <w:color w:val="000000" w:themeColor="text1"/>
          <w:sz w:val="23"/>
          <w:szCs w:val="23"/>
          <w:lang w:val="en-GB"/>
        </w:rPr>
        <w:t>valuation</w:t>
      </w:r>
      <w:r w:rsidR="00415972" w:rsidRPr="00983193">
        <w:rPr>
          <w:rFonts w:ascii="Times New Roman" w:hAnsi="Times New Roman" w:cs="Times New Roman"/>
          <w:color w:val="000000" w:themeColor="text1"/>
          <w:sz w:val="23"/>
          <w:szCs w:val="23"/>
          <w:lang w:val="en-GB"/>
        </w:rPr>
        <w:t xml:space="preserve"> </w:t>
      </w:r>
      <w:r w:rsidR="001B3D4D">
        <w:rPr>
          <w:rFonts w:ascii="Times New Roman" w:hAnsi="Times New Roman" w:cs="Times New Roman"/>
          <w:color w:val="000000" w:themeColor="text1"/>
          <w:sz w:val="23"/>
          <w:szCs w:val="23"/>
          <w:lang w:val="en-GB"/>
        </w:rPr>
        <w:t xml:space="preserve">as </w:t>
      </w:r>
      <w:r w:rsidR="00415972" w:rsidRPr="00A72A4D">
        <w:rPr>
          <w:rFonts w:ascii="Times New Roman" w:hAnsi="Times New Roman" w:cs="Times New Roman"/>
          <w:noProof/>
          <w:color w:val="000000" w:themeColor="text1"/>
          <w:sz w:val="23"/>
          <w:szCs w:val="23"/>
          <w:lang w:val="en-GB"/>
        </w:rPr>
        <w:t>market</w:t>
      </w:r>
      <w:r w:rsidR="00415972" w:rsidRPr="00983193">
        <w:rPr>
          <w:rFonts w:ascii="Times New Roman" w:hAnsi="Times New Roman" w:cs="Times New Roman"/>
          <w:color w:val="000000" w:themeColor="text1"/>
          <w:sz w:val="23"/>
          <w:szCs w:val="23"/>
          <w:lang w:val="en-GB"/>
        </w:rPr>
        <w:t xml:space="preserve"> value will </w:t>
      </w:r>
      <w:r w:rsidR="001B3D4D">
        <w:rPr>
          <w:rFonts w:ascii="Times New Roman" w:hAnsi="Times New Roman" w:cs="Times New Roman"/>
          <w:color w:val="000000" w:themeColor="text1"/>
          <w:sz w:val="23"/>
          <w:szCs w:val="23"/>
          <w:lang w:val="en-GB"/>
        </w:rPr>
        <w:t>most likely fall,</w:t>
      </w:r>
      <w:r w:rsidR="00415972" w:rsidRPr="00983193">
        <w:rPr>
          <w:rFonts w:ascii="Times New Roman" w:hAnsi="Times New Roman" w:cs="Times New Roman"/>
          <w:color w:val="000000" w:themeColor="text1"/>
          <w:sz w:val="23"/>
          <w:szCs w:val="23"/>
          <w:lang w:val="en-GB"/>
        </w:rPr>
        <w:t xml:space="preserve"> even in </w:t>
      </w:r>
      <w:r w:rsidR="001B3D4D">
        <w:rPr>
          <w:rFonts w:ascii="Times New Roman" w:hAnsi="Times New Roman" w:cs="Times New Roman"/>
          <w:color w:val="000000" w:themeColor="text1"/>
          <w:sz w:val="23"/>
          <w:szCs w:val="23"/>
          <w:lang w:val="en-GB"/>
        </w:rPr>
        <w:t xml:space="preserve">the </w:t>
      </w:r>
      <w:r w:rsidR="00415972" w:rsidRPr="00983193">
        <w:rPr>
          <w:rFonts w:ascii="Times New Roman" w:hAnsi="Times New Roman" w:cs="Times New Roman"/>
          <w:color w:val="000000" w:themeColor="text1"/>
          <w:sz w:val="23"/>
          <w:szCs w:val="23"/>
          <w:lang w:val="en-GB"/>
        </w:rPr>
        <w:t xml:space="preserve">presence of greater </w:t>
      </w:r>
      <w:r w:rsidR="001B3D4D">
        <w:rPr>
          <w:rFonts w:ascii="Times New Roman" w:hAnsi="Times New Roman" w:cs="Times New Roman"/>
          <w:color w:val="000000" w:themeColor="text1"/>
          <w:sz w:val="23"/>
          <w:szCs w:val="23"/>
          <w:lang w:val="en-GB"/>
        </w:rPr>
        <w:t>firm scale</w:t>
      </w:r>
      <w:r w:rsidR="00415972" w:rsidRPr="00983193">
        <w:rPr>
          <w:rFonts w:ascii="Times New Roman" w:hAnsi="Times New Roman" w:cs="Times New Roman"/>
          <w:color w:val="000000" w:themeColor="text1"/>
          <w:sz w:val="23"/>
          <w:szCs w:val="23"/>
          <w:lang w:val="en-GB"/>
        </w:rPr>
        <w:t>, if</w:t>
      </w:r>
      <w:r w:rsidR="00A72A4D">
        <w:rPr>
          <w:rFonts w:ascii="Times New Roman" w:hAnsi="Times New Roman" w:cs="Times New Roman"/>
          <w:color w:val="000000" w:themeColor="text1"/>
          <w:sz w:val="23"/>
          <w:szCs w:val="23"/>
          <w:lang w:val="en-GB"/>
        </w:rPr>
        <w:t xml:space="preserve"> the</w:t>
      </w:r>
      <w:r w:rsidR="00415972" w:rsidRPr="00983193">
        <w:rPr>
          <w:rFonts w:ascii="Times New Roman" w:hAnsi="Times New Roman" w:cs="Times New Roman"/>
          <w:color w:val="000000" w:themeColor="text1"/>
          <w:sz w:val="23"/>
          <w:szCs w:val="23"/>
          <w:lang w:val="en-GB"/>
        </w:rPr>
        <w:t xml:space="preserve"> </w:t>
      </w:r>
      <w:r w:rsidR="00415972" w:rsidRPr="00A72A4D">
        <w:rPr>
          <w:rFonts w:ascii="Times New Roman" w:hAnsi="Times New Roman" w:cs="Times New Roman"/>
          <w:noProof/>
          <w:color w:val="000000" w:themeColor="text1"/>
          <w:sz w:val="23"/>
          <w:szCs w:val="23"/>
          <w:lang w:val="en-GB"/>
        </w:rPr>
        <w:t>firm</w:t>
      </w:r>
      <w:r w:rsidR="00415972" w:rsidRPr="00983193">
        <w:rPr>
          <w:rFonts w:ascii="Times New Roman" w:hAnsi="Times New Roman" w:cs="Times New Roman"/>
          <w:color w:val="000000" w:themeColor="text1"/>
          <w:sz w:val="23"/>
          <w:szCs w:val="23"/>
          <w:lang w:val="en-GB"/>
        </w:rPr>
        <w:t xml:space="preserve"> does not continue to invest in intangible resources.</w:t>
      </w:r>
    </w:p>
    <w:p w14:paraId="6ADE9F27" w14:textId="77777777" w:rsidR="00415972" w:rsidRPr="00983193" w:rsidRDefault="00415DD5" w:rsidP="00415972">
      <w:pPr>
        <w:spacing w:after="0" w:line="240" w:lineRule="auto"/>
        <w:jc w:val="both"/>
        <w:rPr>
          <w:rFonts w:ascii="Times New Roman" w:hAnsi="Times New Roman" w:cs="Times New Roman"/>
          <w:color w:val="000000" w:themeColor="text1"/>
          <w:sz w:val="23"/>
          <w:szCs w:val="23"/>
          <w:lang w:val="en-GB"/>
        </w:rPr>
      </w:pPr>
      <w:r>
        <w:rPr>
          <w:rFonts w:ascii="Times New Roman" w:hAnsi="Times New Roman" w:cs="Times New Roman"/>
          <w:color w:val="000000" w:themeColor="text1"/>
          <w:sz w:val="23"/>
          <w:szCs w:val="23"/>
          <w:lang w:val="en-GB"/>
        </w:rPr>
        <w:t xml:space="preserve">   </w:t>
      </w:r>
      <w:r w:rsidR="00925912">
        <w:rPr>
          <w:rFonts w:ascii="Times New Roman" w:hAnsi="Times New Roman" w:cs="Times New Roman"/>
          <w:color w:val="000000" w:themeColor="text1"/>
          <w:sz w:val="23"/>
          <w:szCs w:val="23"/>
          <w:lang w:val="en-GB"/>
        </w:rPr>
        <w:t>T</w:t>
      </w:r>
      <w:r w:rsidR="001B3D4D">
        <w:rPr>
          <w:rFonts w:ascii="Times New Roman" w:hAnsi="Times New Roman" w:cs="Times New Roman"/>
          <w:color w:val="000000" w:themeColor="text1"/>
          <w:sz w:val="23"/>
          <w:szCs w:val="23"/>
          <w:lang w:val="en-GB"/>
        </w:rPr>
        <w:t>he</w:t>
      </w:r>
      <w:r w:rsidR="00415972" w:rsidRPr="00983193">
        <w:rPr>
          <w:rFonts w:ascii="Times New Roman" w:hAnsi="Times New Roman" w:cs="Times New Roman"/>
          <w:color w:val="000000" w:themeColor="text1"/>
          <w:sz w:val="23"/>
          <w:szCs w:val="23"/>
          <w:lang w:val="en-GB"/>
        </w:rPr>
        <w:t xml:space="preserve"> VAIC </w:t>
      </w:r>
      <w:r w:rsidR="001B3D4D">
        <w:rPr>
          <w:rFonts w:ascii="Times New Roman" w:hAnsi="Times New Roman" w:cs="Times New Roman"/>
          <w:color w:val="000000" w:themeColor="text1"/>
          <w:sz w:val="23"/>
          <w:szCs w:val="23"/>
          <w:lang w:val="en-GB"/>
        </w:rPr>
        <w:t xml:space="preserve">used in Model 2 </w:t>
      </w:r>
      <w:r w:rsidR="00415972" w:rsidRPr="00983193">
        <w:rPr>
          <w:rFonts w:ascii="Times New Roman" w:hAnsi="Times New Roman" w:cs="Times New Roman"/>
          <w:color w:val="000000" w:themeColor="text1"/>
          <w:sz w:val="23"/>
          <w:szCs w:val="23"/>
          <w:lang w:val="en-GB"/>
        </w:rPr>
        <w:t xml:space="preserve">is a complex indicator of </w:t>
      </w:r>
      <w:r w:rsidR="00415972" w:rsidRPr="00983193">
        <w:rPr>
          <w:rFonts w:ascii="Times New Roman" w:hAnsi="Times New Roman" w:cs="Times New Roman"/>
          <w:i/>
          <w:color w:val="000000" w:themeColor="text1"/>
          <w:sz w:val="23"/>
          <w:szCs w:val="23"/>
          <w:lang w:val="en-GB"/>
        </w:rPr>
        <w:t xml:space="preserve">efficiency </w:t>
      </w:r>
      <w:r w:rsidR="001B3D4D">
        <w:rPr>
          <w:rFonts w:ascii="Times New Roman" w:hAnsi="Times New Roman" w:cs="Times New Roman"/>
          <w:color w:val="000000" w:themeColor="text1"/>
          <w:sz w:val="23"/>
          <w:szCs w:val="23"/>
          <w:lang w:val="en-GB"/>
        </w:rPr>
        <w:t>that</w:t>
      </w:r>
      <w:r w:rsidR="00415972" w:rsidRPr="00983193">
        <w:rPr>
          <w:rFonts w:ascii="Times New Roman" w:hAnsi="Times New Roman" w:cs="Times New Roman"/>
          <w:color w:val="000000" w:themeColor="text1"/>
          <w:sz w:val="23"/>
          <w:szCs w:val="23"/>
          <w:lang w:val="en-GB"/>
        </w:rPr>
        <w:t xml:space="preserve"> aim</w:t>
      </w:r>
      <w:r w:rsidR="001B3D4D">
        <w:rPr>
          <w:rFonts w:ascii="Times New Roman" w:hAnsi="Times New Roman" w:cs="Times New Roman"/>
          <w:color w:val="000000" w:themeColor="text1"/>
          <w:sz w:val="23"/>
          <w:szCs w:val="23"/>
          <w:lang w:val="en-GB"/>
        </w:rPr>
        <w:t>s</w:t>
      </w:r>
      <w:r w:rsidR="00415972" w:rsidRPr="00983193">
        <w:rPr>
          <w:rFonts w:ascii="Times New Roman" w:hAnsi="Times New Roman" w:cs="Times New Roman"/>
          <w:color w:val="000000" w:themeColor="text1"/>
          <w:sz w:val="23"/>
          <w:szCs w:val="23"/>
          <w:lang w:val="en-GB"/>
        </w:rPr>
        <w:t xml:space="preserve"> to compare </w:t>
      </w:r>
      <w:r w:rsidR="00D206E6">
        <w:rPr>
          <w:rFonts w:ascii="Times New Roman" w:hAnsi="Times New Roman" w:cs="Times New Roman"/>
          <w:color w:val="000000" w:themeColor="text1"/>
          <w:sz w:val="23"/>
          <w:szCs w:val="23"/>
          <w:lang w:val="en-GB"/>
        </w:rPr>
        <w:t xml:space="preserve">the </w:t>
      </w:r>
      <w:r w:rsidR="00415972" w:rsidRPr="00983193">
        <w:rPr>
          <w:rFonts w:ascii="Times New Roman" w:hAnsi="Times New Roman" w:cs="Times New Roman"/>
          <w:i/>
          <w:color w:val="000000" w:themeColor="text1"/>
          <w:sz w:val="23"/>
          <w:szCs w:val="23"/>
          <w:lang w:val="en-GB"/>
        </w:rPr>
        <w:t xml:space="preserve">actual firm performances. </w:t>
      </w:r>
      <w:r w:rsidR="001B3D4D">
        <w:rPr>
          <w:rFonts w:ascii="Times New Roman" w:hAnsi="Times New Roman" w:cs="Times New Roman"/>
          <w:color w:val="000000" w:themeColor="text1"/>
          <w:sz w:val="23"/>
          <w:szCs w:val="23"/>
          <w:lang w:val="en-GB"/>
        </w:rPr>
        <w:t>It is not suprising</w:t>
      </w:r>
      <w:r w:rsidR="00415972" w:rsidRPr="00983193">
        <w:rPr>
          <w:rFonts w:ascii="Times New Roman" w:hAnsi="Times New Roman" w:cs="Times New Roman"/>
          <w:color w:val="000000" w:themeColor="text1"/>
          <w:sz w:val="23"/>
          <w:szCs w:val="23"/>
          <w:lang w:val="en-GB"/>
        </w:rPr>
        <w:t xml:space="preserve"> that the only significant </w:t>
      </w:r>
      <w:r w:rsidR="001B3D4D">
        <w:rPr>
          <w:rFonts w:ascii="Times New Roman" w:hAnsi="Times New Roman" w:cs="Times New Roman"/>
          <w:color w:val="000000" w:themeColor="text1"/>
          <w:sz w:val="23"/>
          <w:szCs w:val="23"/>
          <w:lang w:val="en-GB"/>
        </w:rPr>
        <w:t>driver</w:t>
      </w:r>
      <w:r w:rsidR="009376AB">
        <w:rPr>
          <w:rFonts w:ascii="Times New Roman" w:hAnsi="Times New Roman" w:cs="Times New Roman"/>
          <w:color w:val="000000" w:themeColor="text1"/>
          <w:sz w:val="23"/>
          <w:szCs w:val="23"/>
          <w:lang w:val="en-GB"/>
        </w:rPr>
        <w:t>s</w:t>
      </w:r>
      <w:r w:rsidR="001B3D4D">
        <w:rPr>
          <w:rFonts w:ascii="Times New Roman" w:hAnsi="Times New Roman" w:cs="Times New Roman"/>
          <w:color w:val="000000" w:themeColor="text1"/>
          <w:sz w:val="23"/>
          <w:szCs w:val="23"/>
          <w:lang w:val="en-GB"/>
        </w:rPr>
        <w:t xml:space="preserve"> of</w:t>
      </w:r>
      <w:r w:rsidR="00415972" w:rsidRPr="00983193">
        <w:rPr>
          <w:rFonts w:ascii="Times New Roman" w:hAnsi="Times New Roman" w:cs="Times New Roman"/>
          <w:color w:val="000000" w:themeColor="text1"/>
          <w:sz w:val="23"/>
          <w:szCs w:val="23"/>
          <w:lang w:val="en-GB"/>
        </w:rPr>
        <w:t xml:space="preserve"> VAIC </w:t>
      </w:r>
      <w:r w:rsidR="009376AB">
        <w:rPr>
          <w:rFonts w:ascii="Times New Roman" w:hAnsi="Times New Roman" w:cs="Times New Roman"/>
          <w:color w:val="000000" w:themeColor="text1"/>
          <w:sz w:val="23"/>
          <w:szCs w:val="23"/>
          <w:lang w:val="en-GB"/>
        </w:rPr>
        <w:t>are</w:t>
      </w:r>
      <w:r w:rsidR="001B3D4D">
        <w:rPr>
          <w:rFonts w:ascii="Times New Roman" w:hAnsi="Times New Roman" w:cs="Times New Roman"/>
          <w:color w:val="000000" w:themeColor="text1"/>
          <w:sz w:val="23"/>
          <w:szCs w:val="23"/>
          <w:lang w:val="en-GB"/>
        </w:rPr>
        <w:t xml:space="preserve"> found to be</w:t>
      </w:r>
      <w:r w:rsidR="001B3D4D" w:rsidRPr="00983193">
        <w:rPr>
          <w:rFonts w:ascii="Times New Roman" w:hAnsi="Times New Roman" w:cs="Times New Roman"/>
          <w:color w:val="000000" w:themeColor="text1"/>
          <w:sz w:val="23"/>
          <w:szCs w:val="23"/>
          <w:lang w:val="en-GB"/>
        </w:rPr>
        <w:t xml:space="preserve"> </w:t>
      </w:r>
      <w:r w:rsidR="00415972" w:rsidRPr="00983193">
        <w:rPr>
          <w:rFonts w:ascii="Times New Roman" w:hAnsi="Times New Roman" w:cs="Times New Roman"/>
          <w:color w:val="000000" w:themeColor="text1"/>
          <w:sz w:val="23"/>
          <w:szCs w:val="23"/>
          <w:lang w:val="en-GB"/>
        </w:rPr>
        <w:t>ROA</w:t>
      </w:r>
      <w:r w:rsidR="009376AB">
        <w:rPr>
          <w:rFonts w:ascii="Times New Roman" w:hAnsi="Times New Roman" w:cs="Times New Roman"/>
          <w:color w:val="000000" w:themeColor="text1"/>
          <w:sz w:val="23"/>
          <w:szCs w:val="23"/>
          <w:lang w:val="en-GB"/>
        </w:rPr>
        <w:t xml:space="preserve"> and leverage</w:t>
      </w:r>
      <w:r w:rsidR="001B3D4D">
        <w:rPr>
          <w:rFonts w:ascii="Times New Roman" w:hAnsi="Times New Roman" w:cs="Times New Roman"/>
          <w:color w:val="000000" w:themeColor="text1"/>
          <w:sz w:val="23"/>
          <w:szCs w:val="23"/>
          <w:lang w:val="en-GB"/>
        </w:rPr>
        <w:t>.</w:t>
      </w:r>
      <w:r w:rsidR="00415972" w:rsidRPr="00983193">
        <w:rPr>
          <w:rFonts w:ascii="Times New Roman" w:hAnsi="Times New Roman" w:cs="Times New Roman"/>
          <w:color w:val="000000" w:themeColor="text1"/>
          <w:sz w:val="23"/>
          <w:szCs w:val="23"/>
          <w:lang w:val="en-GB"/>
        </w:rPr>
        <w:t xml:space="preserve"> </w:t>
      </w:r>
      <w:r w:rsidR="009376AB">
        <w:rPr>
          <w:rFonts w:ascii="Times New Roman" w:hAnsi="Times New Roman" w:cs="Times New Roman"/>
          <w:color w:val="000000" w:themeColor="text1"/>
          <w:sz w:val="23"/>
          <w:szCs w:val="23"/>
          <w:lang w:val="en-GB"/>
        </w:rPr>
        <w:t>T</w:t>
      </w:r>
      <w:r w:rsidR="00415972" w:rsidRPr="00983193">
        <w:rPr>
          <w:rFonts w:ascii="Times New Roman" w:hAnsi="Times New Roman" w:cs="Times New Roman"/>
          <w:color w:val="000000" w:themeColor="text1"/>
          <w:sz w:val="23"/>
          <w:szCs w:val="23"/>
          <w:lang w:val="en-GB"/>
        </w:rPr>
        <w:t xml:space="preserve">he negative </w:t>
      </w:r>
      <w:r w:rsidR="009376AB">
        <w:rPr>
          <w:rFonts w:ascii="Times New Roman" w:hAnsi="Times New Roman" w:cs="Times New Roman"/>
          <w:color w:val="000000" w:themeColor="text1"/>
          <w:sz w:val="23"/>
          <w:szCs w:val="23"/>
          <w:lang w:val="en-GB"/>
        </w:rPr>
        <w:t>relationship</w:t>
      </w:r>
      <w:r w:rsidR="009376AB" w:rsidRPr="00983193">
        <w:rPr>
          <w:rFonts w:ascii="Times New Roman" w:hAnsi="Times New Roman" w:cs="Times New Roman"/>
          <w:color w:val="000000" w:themeColor="text1"/>
          <w:sz w:val="23"/>
          <w:szCs w:val="23"/>
          <w:lang w:val="en-GB"/>
        </w:rPr>
        <w:t xml:space="preserve"> </w:t>
      </w:r>
      <w:r w:rsidR="00415972" w:rsidRPr="00983193">
        <w:rPr>
          <w:rFonts w:ascii="Times New Roman" w:hAnsi="Times New Roman" w:cs="Times New Roman"/>
          <w:color w:val="000000" w:themeColor="text1"/>
          <w:sz w:val="23"/>
          <w:szCs w:val="23"/>
          <w:lang w:val="en-GB"/>
        </w:rPr>
        <w:t xml:space="preserve">with leverage derives from the structure of the indicator that compares value added with the resources employed to “create” it, </w:t>
      </w:r>
      <w:r w:rsidR="009376AB">
        <w:rPr>
          <w:rFonts w:ascii="Times New Roman" w:hAnsi="Times New Roman" w:cs="Times New Roman"/>
          <w:color w:val="000000" w:themeColor="text1"/>
          <w:sz w:val="23"/>
          <w:szCs w:val="23"/>
          <w:lang w:val="en-GB"/>
        </w:rPr>
        <w:t>and thus</w:t>
      </w:r>
      <w:r w:rsidR="00415972" w:rsidRPr="00983193">
        <w:rPr>
          <w:rFonts w:ascii="Times New Roman" w:hAnsi="Times New Roman" w:cs="Times New Roman"/>
          <w:color w:val="000000" w:themeColor="text1"/>
          <w:sz w:val="23"/>
          <w:szCs w:val="23"/>
          <w:lang w:val="en-GB"/>
        </w:rPr>
        <w:t xml:space="preserve"> the more debt employed, the l</w:t>
      </w:r>
      <w:r w:rsidR="009376AB">
        <w:rPr>
          <w:rFonts w:ascii="Times New Roman" w:hAnsi="Times New Roman" w:cs="Times New Roman"/>
          <w:color w:val="000000" w:themeColor="text1"/>
          <w:sz w:val="23"/>
          <w:szCs w:val="23"/>
          <w:lang w:val="en-GB"/>
        </w:rPr>
        <w:t>ower</w:t>
      </w:r>
      <w:r w:rsidR="00415972" w:rsidRPr="00983193">
        <w:rPr>
          <w:rFonts w:ascii="Times New Roman" w:hAnsi="Times New Roman" w:cs="Times New Roman"/>
          <w:color w:val="000000" w:themeColor="text1"/>
          <w:sz w:val="23"/>
          <w:szCs w:val="23"/>
          <w:lang w:val="en-GB"/>
        </w:rPr>
        <w:t xml:space="preserve"> the avera</w:t>
      </w:r>
      <w:r w:rsidR="0053755A" w:rsidRPr="00983193">
        <w:rPr>
          <w:rFonts w:ascii="Times New Roman" w:hAnsi="Times New Roman" w:cs="Times New Roman"/>
          <w:color w:val="000000" w:themeColor="text1"/>
          <w:sz w:val="23"/>
          <w:szCs w:val="23"/>
          <w:lang w:val="en-GB"/>
        </w:rPr>
        <w:t>ge cost of capital</w:t>
      </w:r>
      <w:r w:rsidR="009376AB">
        <w:rPr>
          <w:rFonts w:ascii="Times New Roman" w:hAnsi="Times New Roman" w:cs="Times New Roman"/>
          <w:color w:val="000000" w:themeColor="text1"/>
          <w:sz w:val="23"/>
          <w:szCs w:val="23"/>
          <w:lang w:val="en-GB"/>
        </w:rPr>
        <w:t>,</w:t>
      </w:r>
      <w:r w:rsidR="0053755A" w:rsidRPr="00983193">
        <w:rPr>
          <w:rFonts w:ascii="Times New Roman" w:hAnsi="Times New Roman" w:cs="Times New Roman"/>
          <w:color w:val="000000" w:themeColor="text1"/>
          <w:sz w:val="23"/>
          <w:szCs w:val="23"/>
          <w:lang w:val="en-GB"/>
        </w:rPr>
        <w:t xml:space="preserve"> and the </w:t>
      </w:r>
      <w:r w:rsidR="009376AB">
        <w:rPr>
          <w:rFonts w:ascii="Times New Roman" w:hAnsi="Times New Roman" w:cs="Times New Roman"/>
          <w:color w:val="000000" w:themeColor="text1"/>
          <w:sz w:val="23"/>
          <w:szCs w:val="23"/>
          <w:lang w:val="en-GB"/>
        </w:rPr>
        <w:t>lower</w:t>
      </w:r>
      <w:r w:rsidR="009376AB" w:rsidRPr="00983193">
        <w:rPr>
          <w:rFonts w:ascii="Times New Roman" w:hAnsi="Times New Roman" w:cs="Times New Roman"/>
          <w:color w:val="000000" w:themeColor="text1"/>
          <w:sz w:val="23"/>
          <w:szCs w:val="23"/>
          <w:lang w:val="en-GB"/>
        </w:rPr>
        <w:t xml:space="preserve"> </w:t>
      </w:r>
      <w:r w:rsidR="00415972" w:rsidRPr="00983193">
        <w:rPr>
          <w:rFonts w:ascii="Times New Roman" w:hAnsi="Times New Roman" w:cs="Times New Roman"/>
          <w:color w:val="000000" w:themeColor="text1"/>
          <w:sz w:val="23"/>
          <w:szCs w:val="23"/>
          <w:lang w:val="en-GB"/>
        </w:rPr>
        <w:t xml:space="preserve">the share of VA which has to be created and distributed to financial investors to satisfy their </w:t>
      </w:r>
      <w:r w:rsidR="009376AB">
        <w:rPr>
          <w:rFonts w:ascii="Times New Roman" w:hAnsi="Times New Roman" w:cs="Times New Roman"/>
          <w:color w:val="000000" w:themeColor="text1"/>
          <w:sz w:val="23"/>
          <w:szCs w:val="23"/>
          <w:lang w:val="en-GB"/>
        </w:rPr>
        <w:t>compensation</w:t>
      </w:r>
      <w:r w:rsidR="009376AB" w:rsidRPr="00983193">
        <w:rPr>
          <w:rFonts w:ascii="Times New Roman" w:hAnsi="Times New Roman" w:cs="Times New Roman"/>
          <w:color w:val="000000" w:themeColor="text1"/>
          <w:sz w:val="23"/>
          <w:szCs w:val="23"/>
          <w:lang w:val="en-GB"/>
        </w:rPr>
        <w:t xml:space="preserve"> </w:t>
      </w:r>
      <w:r w:rsidR="00415972" w:rsidRPr="00983193">
        <w:rPr>
          <w:rFonts w:ascii="Times New Roman" w:hAnsi="Times New Roman" w:cs="Times New Roman"/>
          <w:color w:val="000000" w:themeColor="text1"/>
          <w:sz w:val="23"/>
          <w:szCs w:val="23"/>
          <w:lang w:val="en-GB"/>
        </w:rPr>
        <w:t xml:space="preserve">expectations. In other words, </w:t>
      </w:r>
      <w:r w:rsidR="009376AB">
        <w:rPr>
          <w:rFonts w:ascii="Times New Roman" w:hAnsi="Times New Roman" w:cs="Times New Roman"/>
          <w:color w:val="000000" w:themeColor="text1"/>
          <w:sz w:val="23"/>
          <w:szCs w:val="23"/>
          <w:lang w:val="en-GB"/>
        </w:rPr>
        <w:t xml:space="preserve">our </w:t>
      </w:r>
      <w:r w:rsidR="00415972" w:rsidRPr="00983193">
        <w:rPr>
          <w:rFonts w:ascii="Times New Roman" w:hAnsi="Times New Roman" w:cs="Times New Roman"/>
          <w:color w:val="000000" w:themeColor="text1"/>
          <w:sz w:val="23"/>
          <w:szCs w:val="23"/>
          <w:lang w:val="en-GB"/>
        </w:rPr>
        <w:t xml:space="preserve">results show that there is no significant relationship </w:t>
      </w:r>
      <w:r w:rsidR="009376AB">
        <w:rPr>
          <w:rFonts w:ascii="Times New Roman" w:hAnsi="Times New Roman" w:cs="Times New Roman"/>
          <w:color w:val="000000" w:themeColor="text1"/>
          <w:sz w:val="23"/>
          <w:szCs w:val="23"/>
          <w:lang w:val="en-GB"/>
        </w:rPr>
        <w:t>between</w:t>
      </w:r>
      <w:r w:rsidR="00415972" w:rsidRPr="00983193">
        <w:rPr>
          <w:rFonts w:ascii="Times New Roman" w:hAnsi="Times New Roman" w:cs="Times New Roman"/>
          <w:color w:val="000000" w:themeColor="text1"/>
          <w:sz w:val="23"/>
          <w:szCs w:val="23"/>
          <w:lang w:val="en-GB"/>
        </w:rPr>
        <w:t xml:space="preserve"> VAIC </w:t>
      </w:r>
      <w:r w:rsidR="009376AB">
        <w:rPr>
          <w:rFonts w:ascii="Times New Roman" w:hAnsi="Times New Roman" w:cs="Times New Roman"/>
          <w:color w:val="000000" w:themeColor="text1"/>
          <w:sz w:val="23"/>
          <w:szCs w:val="23"/>
          <w:lang w:val="en-GB"/>
        </w:rPr>
        <w:t>and</w:t>
      </w:r>
      <w:r w:rsidR="009376AB" w:rsidRPr="00983193">
        <w:rPr>
          <w:rFonts w:ascii="Times New Roman" w:hAnsi="Times New Roman" w:cs="Times New Roman"/>
          <w:color w:val="000000" w:themeColor="text1"/>
          <w:sz w:val="23"/>
          <w:szCs w:val="23"/>
          <w:lang w:val="en-GB"/>
        </w:rPr>
        <w:t xml:space="preserve"> </w:t>
      </w:r>
      <w:r w:rsidR="00415972" w:rsidRPr="00983193">
        <w:rPr>
          <w:rFonts w:ascii="Times New Roman" w:hAnsi="Times New Roman" w:cs="Times New Roman"/>
          <w:color w:val="000000" w:themeColor="text1"/>
          <w:sz w:val="23"/>
          <w:szCs w:val="23"/>
          <w:lang w:val="en-GB"/>
        </w:rPr>
        <w:t xml:space="preserve">specified firm policies </w:t>
      </w:r>
      <w:r w:rsidR="009376AB">
        <w:rPr>
          <w:rFonts w:ascii="Times New Roman" w:hAnsi="Times New Roman" w:cs="Times New Roman"/>
          <w:color w:val="000000" w:themeColor="text1"/>
          <w:sz w:val="23"/>
          <w:szCs w:val="23"/>
          <w:lang w:val="en-GB"/>
        </w:rPr>
        <w:t>such as</w:t>
      </w:r>
      <w:r w:rsidR="00415972" w:rsidRPr="00983193">
        <w:rPr>
          <w:rFonts w:ascii="Times New Roman" w:hAnsi="Times New Roman" w:cs="Times New Roman"/>
          <w:color w:val="000000" w:themeColor="text1"/>
          <w:sz w:val="23"/>
          <w:szCs w:val="23"/>
          <w:lang w:val="en-GB"/>
        </w:rPr>
        <w:t xml:space="preserve"> int</w:t>
      </w:r>
      <w:r w:rsidR="0053755A" w:rsidRPr="00983193">
        <w:rPr>
          <w:rFonts w:ascii="Times New Roman" w:hAnsi="Times New Roman" w:cs="Times New Roman"/>
          <w:color w:val="000000" w:themeColor="text1"/>
          <w:sz w:val="23"/>
          <w:szCs w:val="23"/>
          <w:lang w:val="en-GB"/>
        </w:rPr>
        <w:t>angible resources development</w:t>
      </w:r>
      <w:r w:rsidR="009376AB">
        <w:rPr>
          <w:rFonts w:ascii="Times New Roman" w:hAnsi="Times New Roman" w:cs="Times New Roman"/>
          <w:color w:val="000000" w:themeColor="text1"/>
          <w:sz w:val="23"/>
          <w:szCs w:val="23"/>
          <w:lang w:val="en-GB"/>
        </w:rPr>
        <w:t>,</w:t>
      </w:r>
      <w:r w:rsidR="0053755A" w:rsidRPr="00983193">
        <w:rPr>
          <w:rFonts w:ascii="Times New Roman" w:hAnsi="Times New Roman" w:cs="Times New Roman"/>
          <w:color w:val="000000" w:themeColor="text1"/>
          <w:sz w:val="23"/>
          <w:szCs w:val="23"/>
          <w:lang w:val="en-GB"/>
        </w:rPr>
        <w:t xml:space="preserve"> </w:t>
      </w:r>
      <w:r w:rsidR="00415972" w:rsidRPr="00983193">
        <w:rPr>
          <w:rFonts w:ascii="Times New Roman" w:hAnsi="Times New Roman" w:cs="Times New Roman"/>
          <w:color w:val="000000" w:themeColor="text1"/>
          <w:sz w:val="23"/>
          <w:szCs w:val="23"/>
          <w:lang w:val="en-GB"/>
        </w:rPr>
        <w:t xml:space="preserve">or with </w:t>
      </w:r>
      <w:r w:rsidR="00415972" w:rsidRPr="00A71C5B">
        <w:rPr>
          <w:rFonts w:ascii="Times New Roman" w:hAnsi="Times New Roman" w:cs="Times New Roman"/>
          <w:noProof/>
          <w:color w:val="000000" w:themeColor="text1"/>
          <w:sz w:val="23"/>
          <w:szCs w:val="23"/>
          <w:lang w:val="en-GB"/>
        </w:rPr>
        <w:t xml:space="preserve">other </w:t>
      </w:r>
      <w:r w:rsidR="00415972" w:rsidRPr="00A71C5B">
        <w:rPr>
          <w:rFonts w:ascii="Times New Roman" w:hAnsi="Times New Roman" w:cs="Times New Roman"/>
          <w:i/>
          <w:noProof/>
          <w:color w:val="000000" w:themeColor="text1"/>
          <w:sz w:val="23"/>
          <w:szCs w:val="23"/>
          <w:lang w:val="en-GB"/>
        </w:rPr>
        <w:t>structural</w:t>
      </w:r>
      <w:r w:rsidR="00FA1D80" w:rsidRPr="00A71C5B">
        <w:rPr>
          <w:rFonts w:ascii="Times New Roman" w:hAnsi="Times New Roman" w:cs="Times New Roman"/>
          <w:noProof/>
          <w:color w:val="000000" w:themeColor="text1"/>
          <w:sz w:val="23"/>
          <w:szCs w:val="23"/>
          <w:lang w:val="en-GB"/>
        </w:rPr>
        <w:t xml:space="preserve"> </w:t>
      </w:r>
      <w:r w:rsidR="00415972" w:rsidRPr="00A71C5B">
        <w:rPr>
          <w:rFonts w:ascii="Times New Roman" w:hAnsi="Times New Roman" w:cs="Times New Roman"/>
          <w:noProof/>
          <w:color w:val="000000" w:themeColor="text1"/>
          <w:sz w:val="23"/>
          <w:szCs w:val="23"/>
          <w:lang w:val="en-GB"/>
        </w:rPr>
        <w:t>firm characteristic</w:t>
      </w:r>
      <w:r w:rsidR="009376AB">
        <w:rPr>
          <w:rFonts w:ascii="Times New Roman" w:hAnsi="Times New Roman" w:cs="Times New Roman"/>
          <w:noProof/>
          <w:color w:val="000000" w:themeColor="text1"/>
          <w:sz w:val="23"/>
          <w:szCs w:val="23"/>
          <w:lang w:val="en-GB"/>
        </w:rPr>
        <w:t>s</w:t>
      </w:r>
      <w:r w:rsidR="00415972" w:rsidRPr="00983193">
        <w:rPr>
          <w:rFonts w:ascii="Times New Roman" w:hAnsi="Times New Roman" w:cs="Times New Roman"/>
          <w:color w:val="000000" w:themeColor="text1"/>
          <w:sz w:val="23"/>
          <w:szCs w:val="23"/>
          <w:lang w:val="en-GB"/>
        </w:rPr>
        <w:t xml:space="preserve"> </w:t>
      </w:r>
      <w:r w:rsidR="009376AB">
        <w:rPr>
          <w:rFonts w:ascii="Times New Roman" w:hAnsi="Times New Roman" w:cs="Times New Roman"/>
          <w:color w:val="000000" w:themeColor="text1"/>
          <w:sz w:val="23"/>
          <w:szCs w:val="23"/>
          <w:lang w:val="en-GB"/>
        </w:rPr>
        <w:t>such as firm</w:t>
      </w:r>
      <w:r w:rsidR="00415972" w:rsidRPr="00983193">
        <w:rPr>
          <w:rFonts w:ascii="Times New Roman" w:hAnsi="Times New Roman" w:cs="Times New Roman"/>
          <w:color w:val="000000" w:themeColor="text1"/>
          <w:sz w:val="23"/>
          <w:szCs w:val="23"/>
          <w:lang w:val="en-GB"/>
        </w:rPr>
        <w:t xml:space="preserve"> age or size.</w:t>
      </w:r>
    </w:p>
    <w:p w14:paraId="798C7E72" w14:textId="77777777" w:rsidR="00415972" w:rsidRPr="00A53C54" w:rsidRDefault="00415DD5" w:rsidP="00415972">
      <w:pPr>
        <w:spacing w:after="0" w:line="240" w:lineRule="auto"/>
        <w:jc w:val="both"/>
        <w:rPr>
          <w:rFonts w:ascii="Times New Roman" w:hAnsi="Times New Roman" w:cs="Times New Roman"/>
          <w:color w:val="000000" w:themeColor="text1"/>
          <w:sz w:val="23"/>
          <w:szCs w:val="23"/>
          <w:lang w:val="en-GB"/>
        </w:rPr>
      </w:pPr>
      <w:r>
        <w:rPr>
          <w:rFonts w:ascii="Times New Roman" w:hAnsi="Times New Roman" w:cs="Times New Roman"/>
          <w:color w:val="000000" w:themeColor="text1"/>
          <w:sz w:val="23"/>
          <w:szCs w:val="23"/>
          <w:lang w:val="en-GB"/>
        </w:rPr>
        <w:t xml:space="preserve">   </w:t>
      </w:r>
      <w:r w:rsidR="00415972" w:rsidRPr="00983193">
        <w:rPr>
          <w:rFonts w:ascii="Times New Roman" w:hAnsi="Times New Roman" w:cs="Times New Roman"/>
          <w:color w:val="000000" w:themeColor="text1"/>
          <w:sz w:val="23"/>
          <w:szCs w:val="23"/>
          <w:lang w:val="en-GB"/>
        </w:rPr>
        <w:t xml:space="preserve">Moreover, VAIC is not completely </w:t>
      </w:r>
      <w:r w:rsidR="009376AB">
        <w:rPr>
          <w:rFonts w:ascii="Times New Roman" w:hAnsi="Times New Roman" w:cs="Times New Roman"/>
          <w:color w:val="000000" w:themeColor="text1"/>
          <w:sz w:val="23"/>
          <w:szCs w:val="23"/>
          <w:lang w:val="en-GB"/>
        </w:rPr>
        <w:t>focused on</w:t>
      </w:r>
      <w:r w:rsidR="00415972" w:rsidRPr="00983193">
        <w:rPr>
          <w:rFonts w:ascii="Times New Roman" w:hAnsi="Times New Roman" w:cs="Times New Roman"/>
          <w:color w:val="000000" w:themeColor="text1"/>
          <w:sz w:val="23"/>
          <w:szCs w:val="23"/>
          <w:lang w:val="en-GB"/>
        </w:rPr>
        <w:t xml:space="preserve"> </w:t>
      </w:r>
      <w:r w:rsidR="00415972" w:rsidRPr="00A72A4D">
        <w:rPr>
          <w:rFonts w:ascii="Times New Roman" w:hAnsi="Times New Roman" w:cs="Times New Roman"/>
          <w:noProof/>
          <w:color w:val="000000" w:themeColor="text1"/>
          <w:sz w:val="23"/>
          <w:szCs w:val="23"/>
          <w:lang w:val="en-GB"/>
        </w:rPr>
        <w:t>measur</w:t>
      </w:r>
      <w:r w:rsidR="00A72A4D">
        <w:rPr>
          <w:rFonts w:ascii="Times New Roman" w:hAnsi="Times New Roman" w:cs="Times New Roman"/>
          <w:noProof/>
          <w:color w:val="000000" w:themeColor="text1"/>
          <w:sz w:val="23"/>
          <w:szCs w:val="23"/>
          <w:lang w:val="en-GB"/>
        </w:rPr>
        <w:t>ing</w:t>
      </w:r>
      <w:r w:rsidR="00415972" w:rsidRPr="00983193">
        <w:rPr>
          <w:rFonts w:ascii="Times New Roman" w:hAnsi="Times New Roman" w:cs="Times New Roman"/>
          <w:color w:val="000000" w:themeColor="text1"/>
          <w:sz w:val="23"/>
          <w:szCs w:val="23"/>
          <w:lang w:val="en-GB"/>
        </w:rPr>
        <w:t xml:space="preserve"> the impact on</w:t>
      </w:r>
      <w:r w:rsidR="00A72A4D">
        <w:rPr>
          <w:rFonts w:ascii="Times New Roman" w:hAnsi="Times New Roman" w:cs="Times New Roman"/>
          <w:color w:val="000000" w:themeColor="text1"/>
          <w:sz w:val="23"/>
          <w:szCs w:val="23"/>
          <w:lang w:val="en-GB"/>
        </w:rPr>
        <w:t xml:space="preserve"> the</w:t>
      </w:r>
      <w:r w:rsidR="00415972" w:rsidRPr="00983193">
        <w:rPr>
          <w:rFonts w:ascii="Times New Roman" w:hAnsi="Times New Roman" w:cs="Times New Roman"/>
          <w:color w:val="000000" w:themeColor="text1"/>
          <w:sz w:val="23"/>
          <w:szCs w:val="23"/>
          <w:lang w:val="en-GB"/>
        </w:rPr>
        <w:t xml:space="preserve"> </w:t>
      </w:r>
      <w:r w:rsidR="00415972" w:rsidRPr="00A72A4D">
        <w:rPr>
          <w:rFonts w:ascii="Times New Roman" w:hAnsi="Times New Roman" w:cs="Times New Roman"/>
          <w:noProof/>
          <w:color w:val="000000" w:themeColor="text1"/>
          <w:sz w:val="23"/>
          <w:szCs w:val="23"/>
          <w:lang w:val="en-GB"/>
        </w:rPr>
        <w:t>overall</w:t>
      </w:r>
      <w:r w:rsidR="00415972" w:rsidRPr="00983193">
        <w:rPr>
          <w:rFonts w:ascii="Times New Roman" w:hAnsi="Times New Roman" w:cs="Times New Roman"/>
          <w:color w:val="000000" w:themeColor="text1"/>
          <w:sz w:val="23"/>
          <w:szCs w:val="23"/>
          <w:lang w:val="en-GB"/>
        </w:rPr>
        <w:t xml:space="preserve"> efficiency of human and structural capital, but </w:t>
      </w:r>
      <w:r w:rsidR="00415972" w:rsidRPr="00A72A4D">
        <w:rPr>
          <w:rFonts w:ascii="Times New Roman" w:hAnsi="Times New Roman" w:cs="Times New Roman"/>
          <w:noProof/>
          <w:color w:val="000000" w:themeColor="text1"/>
          <w:sz w:val="23"/>
          <w:szCs w:val="23"/>
          <w:lang w:val="en-GB"/>
        </w:rPr>
        <w:t>instead</w:t>
      </w:r>
      <w:r w:rsidR="00A72A4D">
        <w:rPr>
          <w:rFonts w:ascii="Times New Roman" w:hAnsi="Times New Roman" w:cs="Times New Roman"/>
          <w:noProof/>
          <w:color w:val="000000" w:themeColor="text1"/>
          <w:sz w:val="23"/>
          <w:szCs w:val="23"/>
          <w:lang w:val="en-GB"/>
        </w:rPr>
        <w:t>,</w:t>
      </w:r>
      <w:r w:rsidR="00415972" w:rsidRPr="00983193">
        <w:rPr>
          <w:rFonts w:ascii="Times New Roman" w:hAnsi="Times New Roman" w:cs="Times New Roman"/>
          <w:color w:val="000000" w:themeColor="text1"/>
          <w:sz w:val="23"/>
          <w:szCs w:val="23"/>
          <w:lang w:val="en-GB"/>
        </w:rPr>
        <w:t xml:space="preserve"> it </w:t>
      </w:r>
      <w:r w:rsidR="009376AB" w:rsidRPr="00983193">
        <w:rPr>
          <w:rFonts w:ascii="Times New Roman" w:hAnsi="Times New Roman" w:cs="Times New Roman"/>
          <w:color w:val="000000" w:themeColor="text1"/>
          <w:sz w:val="23"/>
          <w:szCs w:val="23"/>
          <w:lang w:val="en-GB"/>
        </w:rPr>
        <w:t xml:space="preserve">also </w:t>
      </w:r>
      <w:r w:rsidR="00415972" w:rsidRPr="00983193">
        <w:rPr>
          <w:rFonts w:ascii="Times New Roman" w:hAnsi="Times New Roman" w:cs="Times New Roman"/>
          <w:color w:val="000000" w:themeColor="text1"/>
          <w:sz w:val="23"/>
          <w:szCs w:val="23"/>
          <w:lang w:val="en-GB"/>
        </w:rPr>
        <w:t>takes account of the contribution of physical capital. O</w:t>
      </w:r>
      <w:r w:rsidR="0053755A" w:rsidRPr="00983193">
        <w:rPr>
          <w:rFonts w:ascii="Times New Roman" w:hAnsi="Times New Roman" w:cs="Times New Roman"/>
          <w:color w:val="000000" w:themeColor="text1"/>
          <w:sz w:val="23"/>
          <w:szCs w:val="23"/>
          <w:lang w:val="en-GB"/>
        </w:rPr>
        <w:t xml:space="preserve">ne </w:t>
      </w:r>
      <w:r w:rsidR="009376AB">
        <w:rPr>
          <w:rFonts w:ascii="Times New Roman" w:hAnsi="Times New Roman" w:cs="Times New Roman"/>
          <w:color w:val="000000" w:themeColor="text1"/>
          <w:sz w:val="23"/>
          <w:szCs w:val="23"/>
          <w:lang w:val="en-GB"/>
        </w:rPr>
        <w:t>may</w:t>
      </w:r>
      <w:r w:rsidR="009376AB" w:rsidRPr="00983193">
        <w:rPr>
          <w:rFonts w:ascii="Times New Roman" w:hAnsi="Times New Roman" w:cs="Times New Roman"/>
          <w:color w:val="000000" w:themeColor="text1"/>
          <w:sz w:val="23"/>
          <w:szCs w:val="23"/>
          <w:lang w:val="en-GB"/>
        </w:rPr>
        <w:t xml:space="preserve"> </w:t>
      </w:r>
      <w:r w:rsidR="0053755A" w:rsidRPr="00983193">
        <w:rPr>
          <w:rFonts w:ascii="Times New Roman" w:hAnsi="Times New Roman" w:cs="Times New Roman"/>
          <w:color w:val="000000" w:themeColor="text1"/>
          <w:sz w:val="23"/>
          <w:szCs w:val="23"/>
          <w:lang w:val="en-GB"/>
        </w:rPr>
        <w:t xml:space="preserve">even doubt </w:t>
      </w:r>
      <w:r w:rsidR="00415972" w:rsidRPr="00983193">
        <w:rPr>
          <w:rFonts w:ascii="Times New Roman" w:hAnsi="Times New Roman" w:cs="Times New Roman"/>
          <w:color w:val="000000" w:themeColor="text1"/>
          <w:sz w:val="23"/>
          <w:szCs w:val="23"/>
          <w:lang w:val="en-GB"/>
        </w:rPr>
        <w:t xml:space="preserve">whether the </w:t>
      </w:r>
      <w:r w:rsidR="00415972" w:rsidRPr="00983193">
        <w:rPr>
          <w:rFonts w:ascii="Times New Roman" w:hAnsi="Times New Roman" w:cs="Times New Roman"/>
          <w:i/>
          <w:color w:val="000000" w:themeColor="text1"/>
          <w:sz w:val="23"/>
          <w:szCs w:val="23"/>
          <w:lang w:val="en-GB"/>
        </w:rPr>
        <w:t xml:space="preserve">real </w:t>
      </w:r>
      <w:r w:rsidR="00415972" w:rsidRPr="00983193">
        <w:rPr>
          <w:rFonts w:ascii="Times New Roman" w:hAnsi="Times New Roman" w:cs="Times New Roman"/>
          <w:color w:val="000000" w:themeColor="text1"/>
          <w:sz w:val="23"/>
          <w:szCs w:val="23"/>
          <w:lang w:val="en-GB"/>
        </w:rPr>
        <w:t xml:space="preserve">purpose of the method is to measure </w:t>
      </w:r>
      <w:r w:rsidR="00415972" w:rsidRPr="00A72A4D">
        <w:rPr>
          <w:rFonts w:ascii="Times New Roman" w:hAnsi="Times New Roman" w:cs="Times New Roman"/>
          <w:noProof/>
          <w:color w:val="000000" w:themeColor="text1"/>
          <w:sz w:val="23"/>
          <w:szCs w:val="23"/>
          <w:lang w:val="en-GB"/>
        </w:rPr>
        <w:t>IC</w:t>
      </w:r>
      <w:r w:rsidR="009376AB">
        <w:rPr>
          <w:rFonts w:ascii="Times New Roman" w:hAnsi="Times New Roman" w:cs="Times New Roman"/>
          <w:noProof/>
          <w:color w:val="000000" w:themeColor="text1"/>
          <w:sz w:val="23"/>
          <w:szCs w:val="23"/>
          <w:lang w:val="en-GB"/>
        </w:rPr>
        <w:t>;</w:t>
      </w:r>
      <w:r w:rsidR="00415972" w:rsidRPr="00983193">
        <w:rPr>
          <w:rFonts w:ascii="Times New Roman" w:hAnsi="Times New Roman" w:cs="Times New Roman"/>
          <w:color w:val="000000" w:themeColor="text1"/>
          <w:sz w:val="23"/>
          <w:szCs w:val="23"/>
          <w:lang w:val="en-GB"/>
        </w:rPr>
        <w:t xml:space="preserve"> it seems more appropriate to include VAIC in the very limited group of </w:t>
      </w:r>
      <w:r w:rsidR="00415972" w:rsidRPr="00A53C54">
        <w:rPr>
          <w:rFonts w:ascii="Times New Roman" w:hAnsi="Times New Roman" w:cs="Times New Roman"/>
          <w:color w:val="000000" w:themeColor="text1"/>
          <w:sz w:val="23"/>
          <w:szCs w:val="23"/>
          <w:lang w:val="en-GB"/>
        </w:rPr>
        <w:t>useful analytical tools employ</w:t>
      </w:r>
      <w:r w:rsidR="009376AB">
        <w:rPr>
          <w:rFonts w:ascii="Times New Roman" w:hAnsi="Times New Roman" w:cs="Times New Roman"/>
          <w:color w:val="000000" w:themeColor="text1"/>
          <w:sz w:val="23"/>
          <w:szCs w:val="23"/>
          <w:lang w:val="en-GB"/>
        </w:rPr>
        <w:t>ed</w:t>
      </w:r>
      <w:r w:rsidR="00415972" w:rsidRPr="00A53C54">
        <w:rPr>
          <w:rFonts w:ascii="Times New Roman" w:hAnsi="Times New Roman" w:cs="Times New Roman"/>
          <w:color w:val="000000" w:themeColor="text1"/>
          <w:sz w:val="23"/>
          <w:szCs w:val="23"/>
          <w:lang w:val="en-GB"/>
        </w:rPr>
        <w:t xml:space="preserve"> for </w:t>
      </w:r>
      <w:r w:rsidR="009376AB">
        <w:rPr>
          <w:rFonts w:ascii="Times New Roman" w:hAnsi="Times New Roman" w:cs="Times New Roman"/>
          <w:color w:val="000000" w:themeColor="text1"/>
          <w:sz w:val="23"/>
          <w:szCs w:val="23"/>
          <w:lang w:val="en-GB"/>
        </w:rPr>
        <w:t xml:space="preserve">the </w:t>
      </w:r>
      <w:r w:rsidR="00415972" w:rsidRPr="00A53C54">
        <w:rPr>
          <w:rFonts w:ascii="Times New Roman" w:hAnsi="Times New Roman" w:cs="Times New Roman"/>
          <w:color w:val="000000" w:themeColor="text1"/>
          <w:sz w:val="23"/>
          <w:szCs w:val="23"/>
          <w:lang w:val="en-GB"/>
        </w:rPr>
        <w:t xml:space="preserve">reclassification and interpretation of past </w:t>
      </w:r>
      <w:r w:rsidR="009376AB">
        <w:rPr>
          <w:rFonts w:ascii="Times New Roman" w:hAnsi="Times New Roman" w:cs="Times New Roman"/>
          <w:color w:val="000000" w:themeColor="text1"/>
          <w:sz w:val="23"/>
          <w:szCs w:val="23"/>
          <w:lang w:val="en-GB"/>
        </w:rPr>
        <w:t>reported</w:t>
      </w:r>
      <w:r w:rsidR="009376AB" w:rsidRPr="00A53C54">
        <w:rPr>
          <w:rFonts w:ascii="Times New Roman" w:hAnsi="Times New Roman" w:cs="Times New Roman"/>
          <w:color w:val="000000" w:themeColor="text1"/>
          <w:sz w:val="23"/>
          <w:szCs w:val="23"/>
          <w:lang w:val="en-GB"/>
        </w:rPr>
        <w:t xml:space="preserve"> </w:t>
      </w:r>
      <w:r w:rsidR="009376AB">
        <w:rPr>
          <w:rFonts w:ascii="Times New Roman" w:hAnsi="Times New Roman" w:cs="Times New Roman"/>
          <w:color w:val="000000" w:themeColor="text1"/>
          <w:sz w:val="23"/>
          <w:szCs w:val="23"/>
          <w:lang w:val="en-GB"/>
        </w:rPr>
        <w:t xml:space="preserve">firm </w:t>
      </w:r>
      <w:r w:rsidR="00415972" w:rsidRPr="00A53C54">
        <w:rPr>
          <w:rFonts w:ascii="Times New Roman" w:hAnsi="Times New Roman" w:cs="Times New Roman"/>
          <w:color w:val="000000" w:themeColor="text1"/>
          <w:sz w:val="23"/>
          <w:szCs w:val="23"/>
          <w:lang w:val="en-GB"/>
        </w:rPr>
        <w:t>financial performance.</w:t>
      </w:r>
      <w:r w:rsidR="0094153F" w:rsidRPr="00A53C54">
        <w:rPr>
          <w:rFonts w:ascii="Times New Roman" w:hAnsi="Times New Roman" w:cs="Times New Roman"/>
          <w:color w:val="000000" w:themeColor="text1"/>
          <w:sz w:val="23"/>
          <w:szCs w:val="23"/>
          <w:lang w:val="en-GB"/>
        </w:rPr>
        <w:t xml:space="preserve"> </w:t>
      </w:r>
      <w:r w:rsidR="009376AB">
        <w:rPr>
          <w:rFonts w:ascii="Times New Roman" w:hAnsi="Times New Roman" w:cs="Times New Roman"/>
          <w:color w:val="000000" w:themeColor="text1"/>
          <w:sz w:val="23"/>
          <w:szCs w:val="23"/>
          <w:lang w:val="en-GB"/>
        </w:rPr>
        <w:t>In contrast to</w:t>
      </w:r>
      <w:r w:rsidR="0094153F" w:rsidRPr="00A53C54">
        <w:rPr>
          <w:rFonts w:ascii="Times New Roman" w:hAnsi="Times New Roman" w:cs="Times New Roman"/>
          <w:color w:val="000000" w:themeColor="text1"/>
          <w:sz w:val="23"/>
          <w:szCs w:val="23"/>
          <w:lang w:val="en-GB"/>
        </w:rPr>
        <w:t xml:space="preserve"> </w:t>
      </w:r>
      <w:r w:rsidR="0094153F" w:rsidRPr="00A53C54">
        <w:rPr>
          <w:rFonts w:ascii="Times New Roman" w:hAnsi="Times New Roman" w:cs="Times New Roman"/>
          <w:noProof/>
          <w:color w:val="000000" w:themeColor="text1"/>
          <w:sz w:val="23"/>
          <w:szCs w:val="23"/>
          <w:lang w:val="en-GB"/>
        </w:rPr>
        <w:t>M</w:t>
      </w:r>
      <w:r w:rsidR="00EE2493">
        <w:rPr>
          <w:rFonts w:ascii="Times New Roman" w:hAnsi="Times New Roman" w:cs="Times New Roman"/>
          <w:noProof/>
          <w:color w:val="000000" w:themeColor="text1"/>
          <w:sz w:val="23"/>
          <w:szCs w:val="23"/>
          <w:lang w:val="en-GB"/>
        </w:rPr>
        <w:t>t</w:t>
      </w:r>
      <w:r w:rsidR="0094153F" w:rsidRPr="00A53C54">
        <w:rPr>
          <w:rFonts w:ascii="Times New Roman" w:hAnsi="Times New Roman" w:cs="Times New Roman"/>
          <w:noProof/>
          <w:color w:val="000000" w:themeColor="text1"/>
          <w:sz w:val="23"/>
          <w:szCs w:val="23"/>
          <w:lang w:val="en-GB"/>
        </w:rPr>
        <w:t>B</w:t>
      </w:r>
      <w:r w:rsidR="0094153F" w:rsidRPr="00A53C54">
        <w:rPr>
          <w:rFonts w:ascii="Times New Roman" w:hAnsi="Times New Roman" w:cs="Times New Roman"/>
          <w:color w:val="000000" w:themeColor="text1"/>
          <w:sz w:val="23"/>
          <w:szCs w:val="23"/>
          <w:lang w:val="en-GB"/>
        </w:rPr>
        <w:t xml:space="preserve">, VAIC is not readily obtained by stakeholders as it requires </w:t>
      </w:r>
      <w:r w:rsidR="009376AB">
        <w:rPr>
          <w:rFonts w:ascii="Times New Roman" w:hAnsi="Times New Roman" w:cs="Times New Roman"/>
          <w:color w:val="000000" w:themeColor="text1"/>
          <w:sz w:val="23"/>
          <w:szCs w:val="23"/>
          <w:lang w:val="en-GB"/>
        </w:rPr>
        <w:t xml:space="preserve">the </w:t>
      </w:r>
      <w:r w:rsidR="0094153F" w:rsidRPr="00A53C54">
        <w:rPr>
          <w:rFonts w:ascii="Times New Roman" w:hAnsi="Times New Roman" w:cs="Times New Roman"/>
          <w:color w:val="000000" w:themeColor="text1"/>
          <w:sz w:val="23"/>
          <w:szCs w:val="23"/>
          <w:lang w:val="en-GB"/>
        </w:rPr>
        <w:t>estimat</w:t>
      </w:r>
      <w:r w:rsidR="009376AB">
        <w:rPr>
          <w:rFonts w:ascii="Times New Roman" w:hAnsi="Times New Roman" w:cs="Times New Roman"/>
          <w:color w:val="000000" w:themeColor="text1"/>
          <w:sz w:val="23"/>
          <w:szCs w:val="23"/>
          <w:lang w:val="en-GB"/>
        </w:rPr>
        <w:t>ion of</w:t>
      </w:r>
      <w:r w:rsidR="0094153F" w:rsidRPr="00A53C54">
        <w:rPr>
          <w:rFonts w:ascii="Times New Roman" w:hAnsi="Times New Roman" w:cs="Times New Roman"/>
          <w:color w:val="000000" w:themeColor="text1"/>
          <w:sz w:val="23"/>
          <w:szCs w:val="23"/>
          <w:lang w:val="en-GB"/>
        </w:rPr>
        <w:t xml:space="preserve"> its components. </w:t>
      </w:r>
    </w:p>
    <w:p w14:paraId="1DDBCF2E" w14:textId="77777777" w:rsidR="00122E33" w:rsidRPr="00983193" w:rsidRDefault="00415DD5" w:rsidP="00415972">
      <w:pPr>
        <w:spacing w:after="0" w:line="240" w:lineRule="auto"/>
        <w:jc w:val="both"/>
        <w:rPr>
          <w:rFonts w:ascii="Times New Roman" w:hAnsi="Times New Roman" w:cs="Times New Roman"/>
          <w:color w:val="000000" w:themeColor="text1"/>
          <w:sz w:val="23"/>
          <w:szCs w:val="23"/>
          <w:lang w:val="en-GB"/>
        </w:rPr>
      </w:pPr>
      <w:r>
        <w:rPr>
          <w:rFonts w:ascii="Times New Roman" w:hAnsi="Times New Roman" w:cs="Times New Roman"/>
          <w:color w:val="000000" w:themeColor="text1"/>
          <w:sz w:val="23"/>
          <w:szCs w:val="23"/>
          <w:lang w:val="en-GB"/>
        </w:rPr>
        <w:t xml:space="preserve">   </w:t>
      </w:r>
      <w:r w:rsidR="0072286C" w:rsidRPr="00983193">
        <w:rPr>
          <w:rFonts w:ascii="Times New Roman" w:hAnsi="Times New Roman" w:cs="Times New Roman"/>
          <w:color w:val="000000" w:themeColor="text1"/>
          <w:sz w:val="23"/>
          <w:szCs w:val="23"/>
          <w:lang w:val="en-GB"/>
        </w:rPr>
        <w:t>The</w:t>
      </w:r>
      <w:r w:rsidR="00A57B24" w:rsidRPr="00983193">
        <w:rPr>
          <w:rFonts w:ascii="Times New Roman" w:hAnsi="Times New Roman" w:cs="Times New Roman"/>
          <w:color w:val="000000" w:themeColor="text1"/>
          <w:sz w:val="23"/>
          <w:szCs w:val="23"/>
          <w:lang w:val="en-GB"/>
        </w:rPr>
        <w:t>se</w:t>
      </w:r>
      <w:r w:rsidR="0072286C" w:rsidRPr="00983193">
        <w:rPr>
          <w:rFonts w:ascii="Times New Roman" w:hAnsi="Times New Roman" w:cs="Times New Roman"/>
          <w:color w:val="000000" w:themeColor="text1"/>
          <w:sz w:val="23"/>
          <w:szCs w:val="23"/>
          <w:lang w:val="en-GB"/>
        </w:rPr>
        <w:t xml:space="preserve"> results evidence the </w:t>
      </w:r>
      <w:r w:rsidR="00CD6CF5" w:rsidRPr="00983193">
        <w:rPr>
          <w:rFonts w:ascii="Times New Roman" w:hAnsi="Times New Roman" w:cs="Times New Roman"/>
          <w:color w:val="000000" w:themeColor="text1"/>
          <w:sz w:val="23"/>
          <w:szCs w:val="23"/>
          <w:lang w:val="en-GB"/>
        </w:rPr>
        <w:t xml:space="preserve">relevance of the </w:t>
      </w:r>
      <w:r w:rsidR="00025441">
        <w:rPr>
          <w:rFonts w:ascii="Times New Roman" w:hAnsi="Times New Roman" w:cs="Times New Roman"/>
          <w:color w:val="000000" w:themeColor="text1"/>
          <w:sz w:val="23"/>
          <w:szCs w:val="23"/>
          <w:lang w:val="en-GB"/>
        </w:rPr>
        <w:t xml:space="preserve">MtB (the </w:t>
      </w:r>
      <w:r w:rsidR="0072286C" w:rsidRPr="00983193">
        <w:rPr>
          <w:rFonts w:ascii="Times New Roman" w:hAnsi="Times New Roman" w:cs="Times New Roman"/>
          <w:color w:val="000000" w:themeColor="text1"/>
          <w:sz w:val="23"/>
          <w:szCs w:val="23"/>
          <w:lang w:val="en-GB"/>
        </w:rPr>
        <w:t>holistic effects</w:t>
      </w:r>
      <w:r w:rsidR="00025441">
        <w:rPr>
          <w:rFonts w:ascii="Times New Roman" w:hAnsi="Times New Roman" w:cs="Times New Roman"/>
          <w:color w:val="000000" w:themeColor="text1"/>
          <w:sz w:val="23"/>
          <w:szCs w:val="23"/>
          <w:lang w:val="en-GB"/>
        </w:rPr>
        <w:t>)</w:t>
      </w:r>
      <w:r w:rsidR="0072286C" w:rsidRPr="00983193">
        <w:rPr>
          <w:rFonts w:ascii="Times New Roman" w:hAnsi="Times New Roman" w:cs="Times New Roman"/>
          <w:color w:val="000000" w:themeColor="text1"/>
          <w:sz w:val="23"/>
          <w:szCs w:val="23"/>
          <w:lang w:val="en-GB"/>
        </w:rPr>
        <w:t xml:space="preserve"> </w:t>
      </w:r>
      <w:r w:rsidR="00CD6CF5" w:rsidRPr="00983193">
        <w:rPr>
          <w:rFonts w:ascii="Times New Roman" w:hAnsi="Times New Roman" w:cs="Times New Roman"/>
          <w:color w:val="000000" w:themeColor="text1"/>
          <w:sz w:val="23"/>
          <w:szCs w:val="23"/>
          <w:lang w:val="en-GB"/>
        </w:rPr>
        <w:t xml:space="preserve">compared to the </w:t>
      </w:r>
      <w:r w:rsidR="00025441">
        <w:rPr>
          <w:rFonts w:ascii="Times New Roman" w:hAnsi="Times New Roman" w:cs="Times New Roman"/>
          <w:color w:val="000000" w:themeColor="text1"/>
          <w:sz w:val="23"/>
          <w:szCs w:val="23"/>
          <w:lang w:val="en-GB"/>
        </w:rPr>
        <w:t>VAIC (</w:t>
      </w:r>
      <w:r w:rsidR="00CD6CF5" w:rsidRPr="00983193">
        <w:rPr>
          <w:rFonts w:ascii="Times New Roman" w:hAnsi="Times New Roman" w:cs="Times New Roman"/>
          <w:color w:val="000000" w:themeColor="text1"/>
          <w:sz w:val="23"/>
          <w:szCs w:val="23"/>
          <w:lang w:val="en-GB"/>
        </w:rPr>
        <w:t>return asset</w:t>
      </w:r>
      <w:r w:rsidR="009376AB">
        <w:rPr>
          <w:rFonts w:ascii="Times New Roman" w:hAnsi="Times New Roman" w:cs="Times New Roman"/>
          <w:color w:val="000000" w:themeColor="text1"/>
          <w:sz w:val="23"/>
          <w:szCs w:val="23"/>
          <w:lang w:val="en-GB"/>
        </w:rPr>
        <w:t>s</w:t>
      </w:r>
      <w:r w:rsidR="00CD6CF5" w:rsidRPr="00983193">
        <w:rPr>
          <w:rFonts w:ascii="Times New Roman" w:hAnsi="Times New Roman" w:cs="Times New Roman"/>
          <w:color w:val="000000" w:themeColor="text1"/>
          <w:sz w:val="23"/>
          <w:szCs w:val="23"/>
          <w:lang w:val="en-GB"/>
        </w:rPr>
        <w:t xml:space="preserve"> method</w:t>
      </w:r>
      <w:r w:rsidR="00025441">
        <w:rPr>
          <w:rFonts w:ascii="Times New Roman" w:hAnsi="Times New Roman" w:cs="Times New Roman"/>
          <w:color w:val="000000" w:themeColor="text1"/>
          <w:sz w:val="23"/>
          <w:szCs w:val="23"/>
          <w:lang w:val="en-GB"/>
        </w:rPr>
        <w:t>)</w:t>
      </w:r>
      <w:r w:rsidR="00CD6CF5" w:rsidRPr="00983193">
        <w:rPr>
          <w:rFonts w:ascii="Times New Roman" w:hAnsi="Times New Roman" w:cs="Times New Roman"/>
          <w:color w:val="000000" w:themeColor="text1"/>
          <w:sz w:val="23"/>
          <w:szCs w:val="23"/>
          <w:lang w:val="en-GB"/>
        </w:rPr>
        <w:t xml:space="preserve"> </w:t>
      </w:r>
      <w:r w:rsidR="0072286C" w:rsidRPr="00A72A4D">
        <w:rPr>
          <w:rFonts w:ascii="Times New Roman" w:hAnsi="Times New Roman" w:cs="Times New Roman"/>
          <w:noProof/>
          <w:color w:val="000000" w:themeColor="text1"/>
          <w:sz w:val="23"/>
          <w:szCs w:val="23"/>
          <w:lang w:val="en-GB"/>
        </w:rPr>
        <w:t>created</w:t>
      </w:r>
      <w:r w:rsidR="0072286C" w:rsidRPr="00983193">
        <w:rPr>
          <w:rFonts w:ascii="Times New Roman" w:hAnsi="Times New Roman" w:cs="Times New Roman"/>
          <w:color w:val="000000" w:themeColor="text1"/>
          <w:sz w:val="23"/>
          <w:szCs w:val="23"/>
          <w:lang w:val="en-GB"/>
        </w:rPr>
        <w:t xml:space="preserve"> by interaction between IC components which typically generate an overall value greater than the aggregate value of the individual estimates (Van der Meer-Kooistra and Zijlstra, 2001). </w:t>
      </w:r>
    </w:p>
    <w:p w14:paraId="14A7E39E" w14:textId="77777777" w:rsidR="0072286C" w:rsidRPr="00983193" w:rsidRDefault="00415DD5" w:rsidP="0072286C">
      <w:pPr>
        <w:spacing w:after="0" w:line="240" w:lineRule="auto"/>
        <w:jc w:val="both"/>
        <w:rPr>
          <w:rFonts w:ascii="Times New Roman" w:hAnsi="Times New Roman" w:cs="Times New Roman"/>
          <w:color w:val="000000" w:themeColor="text1"/>
          <w:sz w:val="23"/>
          <w:szCs w:val="23"/>
          <w:lang w:val="en-GB"/>
        </w:rPr>
      </w:pPr>
      <w:r>
        <w:rPr>
          <w:rFonts w:ascii="Times New Roman" w:hAnsi="Times New Roman" w:cs="Times New Roman"/>
          <w:color w:val="000000" w:themeColor="text1"/>
          <w:sz w:val="23"/>
          <w:szCs w:val="23"/>
          <w:lang w:val="en-GB"/>
        </w:rPr>
        <w:t xml:space="preserve">   </w:t>
      </w:r>
      <w:r w:rsidR="0072286C" w:rsidRPr="00983193">
        <w:rPr>
          <w:rFonts w:ascii="Times New Roman" w:hAnsi="Times New Roman" w:cs="Times New Roman"/>
          <w:color w:val="000000" w:themeColor="text1"/>
          <w:sz w:val="23"/>
          <w:szCs w:val="23"/>
          <w:lang w:val="en-GB"/>
        </w:rPr>
        <w:t xml:space="preserve">This study is subject to a number of limitations. First, the sample is restricted to </w:t>
      </w:r>
      <w:r w:rsidR="009376AB">
        <w:rPr>
          <w:rFonts w:ascii="Times New Roman" w:hAnsi="Times New Roman" w:cs="Times New Roman"/>
          <w:color w:val="000000" w:themeColor="text1"/>
          <w:sz w:val="23"/>
          <w:szCs w:val="23"/>
          <w:lang w:val="en-GB"/>
        </w:rPr>
        <w:t xml:space="preserve">a sample of </w:t>
      </w:r>
      <w:r w:rsidR="00A17CB7" w:rsidRPr="00983193">
        <w:rPr>
          <w:rFonts w:ascii="Times New Roman" w:hAnsi="Times New Roman" w:cs="Times New Roman"/>
          <w:color w:val="000000" w:themeColor="text1"/>
          <w:sz w:val="23"/>
          <w:szCs w:val="23"/>
          <w:lang w:val="en-GB"/>
        </w:rPr>
        <w:t>122</w:t>
      </w:r>
      <w:r w:rsidR="0072286C" w:rsidRPr="00983193">
        <w:rPr>
          <w:rFonts w:ascii="Times New Roman" w:hAnsi="Times New Roman" w:cs="Times New Roman"/>
          <w:color w:val="000000" w:themeColor="text1"/>
          <w:sz w:val="23"/>
          <w:szCs w:val="23"/>
          <w:lang w:val="en-GB"/>
        </w:rPr>
        <w:t xml:space="preserve"> Italian listed companies due to difficulties in obtaining a larger </w:t>
      </w:r>
      <w:r w:rsidR="0072286C" w:rsidRPr="00A71C5B">
        <w:rPr>
          <w:rFonts w:ascii="Times New Roman" w:hAnsi="Times New Roman" w:cs="Times New Roman"/>
          <w:noProof/>
          <w:color w:val="000000" w:themeColor="text1"/>
          <w:sz w:val="23"/>
          <w:szCs w:val="23"/>
          <w:lang w:val="en-GB"/>
        </w:rPr>
        <w:t>dataset</w:t>
      </w:r>
      <w:r w:rsidR="0072286C" w:rsidRPr="00983193">
        <w:rPr>
          <w:rFonts w:ascii="Times New Roman" w:hAnsi="Times New Roman" w:cs="Times New Roman"/>
          <w:color w:val="000000" w:themeColor="text1"/>
          <w:sz w:val="23"/>
          <w:szCs w:val="23"/>
          <w:lang w:val="en-GB"/>
        </w:rPr>
        <w:t>. Second, the M</w:t>
      </w:r>
      <w:r w:rsidR="00D757D8">
        <w:rPr>
          <w:rFonts w:ascii="Times New Roman" w:hAnsi="Times New Roman" w:cs="Times New Roman"/>
          <w:color w:val="000000" w:themeColor="text1"/>
          <w:sz w:val="23"/>
          <w:szCs w:val="23"/>
          <w:lang w:val="en-GB"/>
        </w:rPr>
        <w:t>t</w:t>
      </w:r>
      <w:r w:rsidR="0072286C" w:rsidRPr="00983193">
        <w:rPr>
          <w:rFonts w:ascii="Times New Roman" w:hAnsi="Times New Roman" w:cs="Times New Roman"/>
          <w:color w:val="000000" w:themeColor="text1"/>
          <w:sz w:val="23"/>
          <w:szCs w:val="23"/>
          <w:lang w:val="en-GB"/>
        </w:rPr>
        <w:t xml:space="preserve">B ratio measure employed as the dependent variable may suffer limitations as a result of historical cost accounting and equity market value fluctuations. </w:t>
      </w:r>
      <w:r w:rsidR="0094153F" w:rsidRPr="00983193">
        <w:rPr>
          <w:rFonts w:ascii="Times New Roman" w:hAnsi="Times New Roman" w:cs="Times New Roman"/>
          <w:color w:val="000000" w:themeColor="text1"/>
          <w:sz w:val="23"/>
          <w:szCs w:val="23"/>
          <w:lang w:val="en-GB"/>
        </w:rPr>
        <w:t xml:space="preserve">Third, investment in intangible assets </w:t>
      </w:r>
      <w:r w:rsidR="009376AB">
        <w:rPr>
          <w:rFonts w:ascii="Times New Roman" w:hAnsi="Times New Roman" w:cs="Times New Roman"/>
          <w:color w:val="000000" w:themeColor="text1"/>
          <w:sz w:val="23"/>
          <w:szCs w:val="23"/>
          <w:lang w:val="en-GB"/>
        </w:rPr>
        <w:t>may</w:t>
      </w:r>
      <w:r w:rsidR="009376AB" w:rsidRPr="00983193">
        <w:rPr>
          <w:rFonts w:ascii="Times New Roman" w:hAnsi="Times New Roman" w:cs="Times New Roman"/>
          <w:color w:val="000000" w:themeColor="text1"/>
          <w:sz w:val="23"/>
          <w:szCs w:val="23"/>
          <w:lang w:val="en-GB"/>
        </w:rPr>
        <w:t xml:space="preserve"> </w:t>
      </w:r>
      <w:r w:rsidR="0094153F" w:rsidRPr="00983193">
        <w:rPr>
          <w:rFonts w:ascii="Times New Roman" w:hAnsi="Times New Roman" w:cs="Times New Roman"/>
          <w:color w:val="000000" w:themeColor="text1"/>
          <w:sz w:val="23"/>
          <w:szCs w:val="23"/>
          <w:lang w:val="en-GB"/>
        </w:rPr>
        <w:t xml:space="preserve">not affect VAIC as </w:t>
      </w:r>
      <w:r w:rsidR="009376AB">
        <w:rPr>
          <w:rFonts w:ascii="Times New Roman" w:hAnsi="Times New Roman" w:cs="Times New Roman"/>
          <w:color w:val="000000" w:themeColor="text1"/>
          <w:sz w:val="23"/>
          <w:szCs w:val="23"/>
          <w:lang w:val="en-GB"/>
        </w:rPr>
        <w:t>the latter</w:t>
      </w:r>
      <w:r w:rsidR="009376AB" w:rsidRPr="00983193">
        <w:rPr>
          <w:rFonts w:ascii="Times New Roman" w:hAnsi="Times New Roman" w:cs="Times New Roman"/>
          <w:color w:val="000000" w:themeColor="text1"/>
          <w:sz w:val="23"/>
          <w:szCs w:val="23"/>
          <w:lang w:val="en-GB"/>
        </w:rPr>
        <w:t xml:space="preserve"> </w:t>
      </w:r>
      <w:r w:rsidR="009376AB">
        <w:rPr>
          <w:rFonts w:ascii="Times New Roman" w:hAnsi="Times New Roman" w:cs="Times New Roman"/>
          <w:color w:val="000000" w:themeColor="text1"/>
          <w:sz w:val="23"/>
          <w:szCs w:val="23"/>
          <w:lang w:val="en-GB"/>
        </w:rPr>
        <w:t>constitutes</w:t>
      </w:r>
      <w:r w:rsidR="009376AB" w:rsidRPr="00983193">
        <w:rPr>
          <w:rFonts w:ascii="Times New Roman" w:hAnsi="Times New Roman" w:cs="Times New Roman"/>
          <w:color w:val="000000" w:themeColor="text1"/>
          <w:sz w:val="23"/>
          <w:szCs w:val="23"/>
          <w:lang w:val="en-GB"/>
        </w:rPr>
        <w:t xml:space="preserve"> </w:t>
      </w:r>
      <w:r w:rsidR="008E2539" w:rsidRPr="00983193">
        <w:rPr>
          <w:rFonts w:ascii="Times New Roman" w:hAnsi="Times New Roman" w:cs="Times New Roman"/>
          <w:color w:val="000000" w:themeColor="text1"/>
          <w:sz w:val="23"/>
          <w:szCs w:val="23"/>
          <w:lang w:val="en-GB"/>
        </w:rPr>
        <w:t xml:space="preserve">an indirect way </w:t>
      </w:r>
      <w:r w:rsidR="009376AB">
        <w:rPr>
          <w:rFonts w:ascii="Times New Roman" w:hAnsi="Times New Roman" w:cs="Times New Roman"/>
          <w:color w:val="000000" w:themeColor="text1"/>
          <w:sz w:val="23"/>
          <w:szCs w:val="23"/>
          <w:lang w:val="en-GB"/>
        </w:rPr>
        <w:t>of</w:t>
      </w:r>
      <w:r w:rsidR="008E2539" w:rsidRPr="00983193">
        <w:rPr>
          <w:rFonts w:ascii="Times New Roman" w:hAnsi="Times New Roman" w:cs="Times New Roman"/>
          <w:color w:val="000000" w:themeColor="text1"/>
          <w:sz w:val="23"/>
          <w:szCs w:val="23"/>
          <w:lang w:val="en-GB"/>
        </w:rPr>
        <w:t xml:space="preserve"> measur</w:t>
      </w:r>
      <w:r w:rsidR="009376AB">
        <w:rPr>
          <w:rFonts w:ascii="Times New Roman" w:hAnsi="Times New Roman" w:cs="Times New Roman"/>
          <w:color w:val="000000" w:themeColor="text1"/>
          <w:sz w:val="23"/>
          <w:szCs w:val="23"/>
          <w:lang w:val="en-GB"/>
        </w:rPr>
        <w:t>ing</w:t>
      </w:r>
      <w:r w:rsidR="0094153F" w:rsidRPr="00983193">
        <w:rPr>
          <w:rFonts w:ascii="Times New Roman" w:hAnsi="Times New Roman" w:cs="Times New Roman"/>
          <w:color w:val="000000" w:themeColor="text1"/>
          <w:sz w:val="23"/>
          <w:szCs w:val="23"/>
          <w:lang w:val="en-GB"/>
        </w:rPr>
        <w:t xml:space="preserve"> IC value. </w:t>
      </w:r>
    </w:p>
    <w:p w14:paraId="07D3D7F4" w14:textId="77777777" w:rsidR="00B32E0C" w:rsidRPr="00A53C54" w:rsidRDefault="00415DD5" w:rsidP="00B32E0C">
      <w:pPr>
        <w:spacing w:after="0" w:line="240" w:lineRule="auto"/>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GB"/>
        </w:rPr>
        <w:t xml:space="preserve">   </w:t>
      </w:r>
      <w:r w:rsidR="0072286C" w:rsidRPr="00983193">
        <w:rPr>
          <w:rFonts w:ascii="Times New Roman" w:hAnsi="Times New Roman" w:cs="Times New Roman"/>
          <w:color w:val="000000" w:themeColor="text1"/>
          <w:sz w:val="23"/>
          <w:szCs w:val="23"/>
          <w:lang w:val="en-GB"/>
        </w:rPr>
        <w:t>This study has implications for academic researche</w:t>
      </w:r>
      <w:r w:rsidR="008E2539" w:rsidRPr="00983193">
        <w:rPr>
          <w:rFonts w:ascii="Times New Roman" w:hAnsi="Times New Roman" w:cs="Times New Roman"/>
          <w:color w:val="000000" w:themeColor="text1"/>
          <w:sz w:val="23"/>
          <w:szCs w:val="23"/>
          <w:lang w:val="en-GB"/>
        </w:rPr>
        <w:t xml:space="preserve">rs, </w:t>
      </w:r>
      <w:r w:rsidR="008E2539" w:rsidRPr="00A72A4D">
        <w:rPr>
          <w:rFonts w:ascii="Times New Roman" w:hAnsi="Times New Roman" w:cs="Times New Roman"/>
          <w:noProof/>
          <w:color w:val="000000" w:themeColor="text1"/>
          <w:sz w:val="23"/>
          <w:szCs w:val="23"/>
          <w:lang w:val="en-GB"/>
        </w:rPr>
        <w:t>practitioners</w:t>
      </w:r>
      <w:r w:rsidR="00A72A4D">
        <w:rPr>
          <w:rFonts w:ascii="Times New Roman" w:hAnsi="Times New Roman" w:cs="Times New Roman"/>
          <w:noProof/>
          <w:color w:val="000000" w:themeColor="text1"/>
          <w:sz w:val="23"/>
          <w:szCs w:val="23"/>
          <w:lang w:val="en-GB"/>
        </w:rPr>
        <w:t>,</w:t>
      </w:r>
      <w:r w:rsidR="008E2539" w:rsidRPr="00983193">
        <w:rPr>
          <w:rFonts w:ascii="Times New Roman" w:hAnsi="Times New Roman" w:cs="Times New Roman"/>
          <w:color w:val="000000" w:themeColor="text1"/>
          <w:sz w:val="23"/>
          <w:szCs w:val="23"/>
          <w:lang w:val="en-GB"/>
        </w:rPr>
        <w:t xml:space="preserve"> and </w:t>
      </w:r>
      <w:r w:rsidR="008974B4">
        <w:rPr>
          <w:rFonts w:ascii="Times New Roman" w:hAnsi="Times New Roman" w:cs="Times New Roman"/>
          <w:color w:val="000000" w:themeColor="text1"/>
          <w:sz w:val="23"/>
          <w:szCs w:val="23"/>
          <w:lang w:val="en-GB"/>
        </w:rPr>
        <w:t xml:space="preserve">firm </w:t>
      </w:r>
      <w:r w:rsidR="008E2539" w:rsidRPr="00983193">
        <w:rPr>
          <w:rFonts w:ascii="Times New Roman" w:hAnsi="Times New Roman" w:cs="Times New Roman"/>
          <w:color w:val="000000" w:themeColor="text1"/>
          <w:sz w:val="23"/>
          <w:szCs w:val="23"/>
          <w:lang w:val="en-GB"/>
        </w:rPr>
        <w:t xml:space="preserve">managers. </w:t>
      </w:r>
      <w:r w:rsidR="0072286C" w:rsidRPr="00983193">
        <w:rPr>
          <w:rFonts w:ascii="Times New Roman" w:hAnsi="Times New Roman" w:cs="Times New Roman"/>
          <w:color w:val="000000" w:themeColor="text1"/>
          <w:sz w:val="23"/>
          <w:szCs w:val="23"/>
          <w:lang w:val="en-GB"/>
        </w:rPr>
        <w:t>The approach employed allow</w:t>
      </w:r>
      <w:r w:rsidR="008974B4">
        <w:rPr>
          <w:rFonts w:ascii="Times New Roman" w:hAnsi="Times New Roman" w:cs="Times New Roman"/>
          <w:color w:val="000000" w:themeColor="text1"/>
          <w:sz w:val="23"/>
          <w:szCs w:val="23"/>
          <w:lang w:val="en-GB"/>
        </w:rPr>
        <w:t>s</w:t>
      </w:r>
      <w:r w:rsidR="0072286C" w:rsidRPr="00983193">
        <w:rPr>
          <w:rFonts w:ascii="Times New Roman" w:hAnsi="Times New Roman" w:cs="Times New Roman"/>
          <w:color w:val="000000" w:themeColor="text1"/>
          <w:sz w:val="23"/>
          <w:szCs w:val="23"/>
          <w:lang w:val="en-GB"/>
        </w:rPr>
        <w:t xml:space="preserve"> academic researchers to investigate </w:t>
      </w:r>
      <w:r w:rsidR="0094153F" w:rsidRPr="00983193">
        <w:rPr>
          <w:rFonts w:ascii="Times New Roman" w:hAnsi="Times New Roman" w:cs="Times New Roman"/>
          <w:color w:val="000000" w:themeColor="text1"/>
          <w:sz w:val="23"/>
          <w:szCs w:val="23"/>
          <w:lang w:val="en-GB"/>
        </w:rPr>
        <w:t xml:space="preserve">the best method </w:t>
      </w:r>
      <w:r w:rsidR="008974B4">
        <w:rPr>
          <w:rFonts w:ascii="Times New Roman" w:hAnsi="Times New Roman" w:cs="Times New Roman"/>
          <w:color w:val="000000" w:themeColor="text1"/>
          <w:sz w:val="23"/>
          <w:szCs w:val="23"/>
          <w:lang w:val="en-GB"/>
        </w:rPr>
        <w:t xml:space="preserve">of </w:t>
      </w:r>
      <w:r w:rsidR="0094153F" w:rsidRPr="00983193">
        <w:rPr>
          <w:rFonts w:ascii="Times New Roman" w:hAnsi="Times New Roman" w:cs="Times New Roman"/>
          <w:color w:val="000000" w:themeColor="text1"/>
          <w:sz w:val="23"/>
          <w:szCs w:val="23"/>
          <w:lang w:val="en-GB"/>
        </w:rPr>
        <w:t xml:space="preserve">measuring IC </w:t>
      </w:r>
      <w:r w:rsidR="008E2539" w:rsidRPr="00983193">
        <w:rPr>
          <w:rFonts w:ascii="Times New Roman" w:hAnsi="Times New Roman" w:cs="Times New Roman"/>
          <w:color w:val="000000" w:themeColor="text1"/>
          <w:sz w:val="23"/>
          <w:szCs w:val="23"/>
          <w:lang w:val="en-GB"/>
        </w:rPr>
        <w:t xml:space="preserve">value </w:t>
      </w:r>
      <w:r w:rsidR="008974B4">
        <w:rPr>
          <w:rFonts w:ascii="Times New Roman" w:hAnsi="Times New Roman" w:cs="Times New Roman"/>
          <w:color w:val="000000" w:themeColor="text1"/>
          <w:sz w:val="23"/>
          <w:szCs w:val="23"/>
          <w:lang w:val="en-GB"/>
        </w:rPr>
        <w:t>to</w:t>
      </w:r>
      <w:r w:rsidR="008974B4" w:rsidRPr="00983193">
        <w:rPr>
          <w:rFonts w:ascii="Times New Roman" w:hAnsi="Times New Roman" w:cs="Times New Roman"/>
          <w:color w:val="000000" w:themeColor="text1"/>
          <w:sz w:val="23"/>
          <w:szCs w:val="23"/>
          <w:lang w:val="en-GB"/>
        </w:rPr>
        <w:t xml:space="preserve"> </w:t>
      </w:r>
      <w:r w:rsidR="008E2539" w:rsidRPr="00983193">
        <w:rPr>
          <w:rFonts w:ascii="Times New Roman" w:hAnsi="Times New Roman" w:cs="Times New Roman"/>
          <w:color w:val="000000" w:themeColor="text1"/>
          <w:sz w:val="23"/>
          <w:szCs w:val="23"/>
          <w:lang w:val="en-GB"/>
        </w:rPr>
        <w:t xml:space="preserve">the benefit of investors. </w:t>
      </w:r>
      <w:r w:rsidR="008974B4">
        <w:rPr>
          <w:rFonts w:ascii="Times New Roman" w:hAnsi="Times New Roman" w:cs="Times New Roman"/>
          <w:color w:val="000000" w:themeColor="text1"/>
          <w:sz w:val="23"/>
          <w:szCs w:val="23"/>
          <w:lang w:val="en-GB"/>
        </w:rPr>
        <w:t>C</w:t>
      </w:r>
      <w:r w:rsidR="008E2539" w:rsidRPr="00983193">
        <w:rPr>
          <w:rFonts w:ascii="Times New Roman" w:hAnsi="Times New Roman" w:cs="Times New Roman"/>
          <w:color w:val="000000" w:themeColor="text1"/>
          <w:sz w:val="23"/>
          <w:szCs w:val="23"/>
          <w:lang w:val="en-GB"/>
        </w:rPr>
        <w:t xml:space="preserve">omparing two of the most </w:t>
      </w:r>
      <w:r w:rsidR="008974B4">
        <w:rPr>
          <w:rFonts w:ascii="Times New Roman" w:hAnsi="Times New Roman" w:cs="Times New Roman"/>
          <w:color w:val="000000" w:themeColor="text1"/>
          <w:sz w:val="23"/>
          <w:szCs w:val="23"/>
          <w:lang w:val="en-GB"/>
        </w:rPr>
        <w:t xml:space="preserve">common </w:t>
      </w:r>
      <w:r w:rsidR="008E2539" w:rsidRPr="00983193">
        <w:rPr>
          <w:rFonts w:ascii="Times New Roman" w:hAnsi="Times New Roman" w:cs="Times New Roman"/>
          <w:color w:val="000000" w:themeColor="text1"/>
          <w:sz w:val="23"/>
          <w:szCs w:val="23"/>
          <w:lang w:val="en-GB"/>
        </w:rPr>
        <w:t>method</w:t>
      </w:r>
      <w:r w:rsidR="008974B4">
        <w:rPr>
          <w:rFonts w:ascii="Times New Roman" w:hAnsi="Times New Roman" w:cs="Times New Roman"/>
          <w:color w:val="000000" w:themeColor="text1"/>
          <w:sz w:val="23"/>
          <w:szCs w:val="23"/>
          <w:lang w:val="en-GB"/>
        </w:rPr>
        <w:t>s</w:t>
      </w:r>
      <w:r w:rsidR="008E2539" w:rsidRPr="00983193">
        <w:rPr>
          <w:rFonts w:ascii="Times New Roman" w:hAnsi="Times New Roman" w:cs="Times New Roman"/>
          <w:color w:val="000000" w:themeColor="text1"/>
          <w:sz w:val="23"/>
          <w:szCs w:val="23"/>
          <w:lang w:val="en-GB"/>
        </w:rPr>
        <w:t xml:space="preserve"> </w:t>
      </w:r>
      <w:r w:rsidR="008974B4">
        <w:rPr>
          <w:rFonts w:ascii="Times New Roman" w:hAnsi="Times New Roman" w:cs="Times New Roman"/>
          <w:color w:val="000000" w:themeColor="text1"/>
          <w:sz w:val="23"/>
          <w:szCs w:val="23"/>
          <w:lang w:val="en-GB"/>
        </w:rPr>
        <w:t>applied in</w:t>
      </w:r>
      <w:r w:rsidR="008E2539" w:rsidRPr="00983193">
        <w:rPr>
          <w:rFonts w:ascii="Times New Roman" w:hAnsi="Times New Roman" w:cs="Times New Roman"/>
          <w:color w:val="000000" w:themeColor="text1"/>
          <w:sz w:val="23"/>
          <w:szCs w:val="23"/>
          <w:lang w:val="en-GB"/>
        </w:rPr>
        <w:t xml:space="preserve"> the literature to measure IC</w:t>
      </w:r>
      <w:r w:rsidR="008974B4">
        <w:rPr>
          <w:rFonts w:ascii="Times New Roman" w:hAnsi="Times New Roman" w:cs="Times New Roman"/>
          <w:color w:val="000000" w:themeColor="text1"/>
          <w:sz w:val="23"/>
          <w:szCs w:val="23"/>
          <w:lang w:val="en-GB"/>
        </w:rPr>
        <w:t xml:space="preserve"> should enable practitioners and investors</w:t>
      </w:r>
      <w:r w:rsidR="008E2539" w:rsidRPr="00983193">
        <w:rPr>
          <w:rFonts w:ascii="Times New Roman" w:hAnsi="Times New Roman" w:cs="Times New Roman"/>
          <w:color w:val="000000" w:themeColor="text1"/>
          <w:sz w:val="23"/>
          <w:szCs w:val="23"/>
          <w:lang w:val="en-GB"/>
        </w:rPr>
        <w:t xml:space="preserve"> </w:t>
      </w:r>
      <w:r w:rsidR="008974B4">
        <w:rPr>
          <w:rFonts w:ascii="Times New Roman" w:hAnsi="Times New Roman" w:cs="Times New Roman"/>
          <w:color w:val="000000" w:themeColor="text1"/>
          <w:sz w:val="23"/>
          <w:szCs w:val="23"/>
          <w:lang w:val="en-GB"/>
        </w:rPr>
        <w:t>to make more informed judgements</w:t>
      </w:r>
      <w:r w:rsidR="00121513" w:rsidRPr="00983193">
        <w:rPr>
          <w:rFonts w:ascii="Times New Roman" w:hAnsi="Times New Roman" w:cs="Times New Roman"/>
          <w:color w:val="000000" w:themeColor="text1"/>
          <w:sz w:val="23"/>
          <w:szCs w:val="23"/>
          <w:lang w:val="en-GB"/>
        </w:rPr>
        <w:t xml:space="preserve">. </w:t>
      </w:r>
      <w:r w:rsidR="008974B4">
        <w:rPr>
          <w:rFonts w:ascii="Times New Roman" w:hAnsi="Times New Roman" w:cs="Times New Roman"/>
          <w:color w:val="000000" w:themeColor="text1"/>
          <w:sz w:val="23"/>
          <w:szCs w:val="23"/>
          <w:lang w:val="en-GB"/>
        </w:rPr>
        <w:t>A</w:t>
      </w:r>
      <w:r w:rsidR="00D11B5C" w:rsidRPr="00983193">
        <w:rPr>
          <w:rFonts w:ascii="Times New Roman" w:hAnsi="Times New Roman" w:cs="Times New Roman"/>
          <w:color w:val="000000" w:themeColor="text1"/>
          <w:sz w:val="23"/>
          <w:szCs w:val="23"/>
          <w:lang w:val="en-GB"/>
        </w:rPr>
        <w:t xml:space="preserve">ccording to Omotayo (2015), it is essential for the management of a company to look for </w:t>
      </w:r>
      <w:r w:rsidR="008974B4">
        <w:rPr>
          <w:rFonts w:ascii="Times New Roman" w:hAnsi="Times New Roman" w:cs="Times New Roman"/>
          <w:color w:val="000000" w:themeColor="text1"/>
          <w:sz w:val="23"/>
          <w:szCs w:val="23"/>
          <w:lang w:val="en-GB"/>
        </w:rPr>
        <w:t>the</w:t>
      </w:r>
      <w:r w:rsidR="00D11B5C" w:rsidRPr="00983193">
        <w:rPr>
          <w:rFonts w:ascii="Times New Roman" w:hAnsi="Times New Roman" w:cs="Times New Roman"/>
          <w:color w:val="000000" w:themeColor="text1"/>
          <w:sz w:val="23"/>
          <w:szCs w:val="23"/>
          <w:lang w:val="en-GB"/>
        </w:rPr>
        <w:t xml:space="preserve"> means to gain, maintain, and manage knowledge in order to achieve higher levels of success.</w:t>
      </w:r>
      <w:r w:rsidR="00BF25BD" w:rsidRPr="00983193">
        <w:rPr>
          <w:rFonts w:ascii="Times New Roman" w:hAnsi="Times New Roman" w:cs="Times New Roman"/>
          <w:color w:val="000000" w:themeColor="text1"/>
          <w:sz w:val="23"/>
          <w:szCs w:val="23"/>
          <w:lang w:val="en-GB"/>
        </w:rPr>
        <w:t xml:space="preserve"> </w:t>
      </w:r>
      <w:r w:rsidR="008974B4">
        <w:rPr>
          <w:rFonts w:ascii="Times New Roman" w:hAnsi="Times New Roman" w:cs="Times New Roman"/>
          <w:color w:val="000000" w:themeColor="text1"/>
          <w:sz w:val="23"/>
          <w:szCs w:val="23"/>
          <w:lang w:val="en-GB"/>
        </w:rPr>
        <w:t>T</w:t>
      </w:r>
      <w:r w:rsidR="00BF25BD" w:rsidRPr="00983193">
        <w:rPr>
          <w:rFonts w:ascii="Times New Roman" w:hAnsi="Times New Roman" w:cs="Times New Roman"/>
          <w:color w:val="000000" w:themeColor="text1"/>
          <w:sz w:val="23"/>
          <w:szCs w:val="23"/>
          <w:lang w:val="en-GB"/>
        </w:rPr>
        <w:t>he Market Capitalization Approach (</w:t>
      </w:r>
      <w:r w:rsidR="008974B4">
        <w:rPr>
          <w:rFonts w:ascii="Times New Roman" w:hAnsi="Times New Roman" w:cs="Times New Roman"/>
          <w:color w:val="000000" w:themeColor="text1"/>
          <w:sz w:val="23"/>
          <w:szCs w:val="23"/>
          <w:lang w:val="en-GB"/>
        </w:rPr>
        <w:t>which includes</w:t>
      </w:r>
      <w:r w:rsidR="00BF25BD" w:rsidRPr="00983193">
        <w:rPr>
          <w:rFonts w:ascii="Times New Roman" w:hAnsi="Times New Roman" w:cs="Times New Roman"/>
          <w:color w:val="000000" w:themeColor="text1"/>
          <w:sz w:val="23"/>
          <w:szCs w:val="23"/>
          <w:lang w:val="en-GB"/>
        </w:rPr>
        <w:t xml:space="preserve"> </w:t>
      </w:r>
      <w:r w:rsidR="00BF25BD" w:rsidRPr="00A72A4D">
        <w:rPr>
          <w:rFonts w:ascii="Times New Roman" w:hAnsi="Times New Roman" w:cs="Times New Roman"/>
          <w:noProof/>
          <w:color w:val="000000" w:themeColor="text1"/>
          <w:sz w:val="23"/>
          <w:szCs w:val="23"/>
          <w:lang w:val="en-GB"/>
        </w:rPr>
        <w:t>M</w:t>
      </w:r>
      <w:r w:rsidR="00D757D8">
        <w:rPr>
          <w:rFonts w:ascii="Times New Roman" w:hAnsi="Times New Roman" w:cs="Times New Roman"/>
          <w:noProof/>
          <w:color w:val="000000" w:themeColor="text1"/>
          <w:sz w:val="23"/>
          <w:szCs w:val="23"/>
          <w:lang w:val="en-GB"/>
        </w:rPr>
        <w:t>t</w:t>
      </w:r>
      <w:r w:rsidR="00BF25BD" w:rsidRPr="00A72A4D">
        <w:rPr>
          <w:rFonts w:ascii="Times New Roman" w:hAnsi="Times New Roman" w:cs="Times New Roman"/>
          <w:noProof/>
          <w:color w:val="000000" w:themeColor="text1"/>
          <w:sz w:val="23"/>
          <w:szCs w:val="23"/>
          <w:lang w:val="en-GB"/>
        </w:rPr>
        <w:t>B</w:t>
      </w:r>
      <w:r w:rsidR="00BF25BD" w:rsidRPr="00983193">
        <w:rPr>
          <w:rFonts w:ascii="Times New Roman" w:hAnsi="Times New Roman" w:cs="Times New Roman"/>
          <w:color w:val="000000" w:themeColor="text1"/>
          <w:sz w:val="23"/>
          <w:szCs w:val="23"/>
          <w:lang w:val="en-GB"/>
        </w:rPr>
        <w:t xml:space="preserve"> methods) explain</w:t>
      </w:r>
      <w:r w:rsidR="008974B4">
        <w:rPr>
          <w:rFonts w:ascii="Times New Roman" w:hAnsi="Times New Roman" w:cs="Times New Roman"/>
          <w:color w:val="000000" w:themeColor="text1"/>
          <w:sz w:val="23"/>
          <w:szCs w:val="23"/>
          <w:lang w:val="en-GB"/>
        </w:rPr>
        <w:t>s</w:t>
      </w:r>
      <w:r w:rsidR="00BF25BD" w:rsidRPr="00983193">
        <w:rPr>
          <w:rFonts w:ascii="Times New Roman" w:hAnsi="Times New Roman" w:cs="Times New Roman"/>
          <w:color w:val="000000" w:themeColor="text1"/>
          <w:sz w:val="23"/>
          <w:szCs w:val="23"/>
          <w:lang w:val="en-GB"/>
        </w:rPr>
        <w:t xml:space="preserve"> that investment in intangible assets </w:t>
      </w:r>
      <w:r w:rsidR="008974B4">
        <w:rPr>
          <w:rFonts w:ascii="Times New Roman" w:hAnsi="Times New Roman" w:cs="Times New Roman"/>
          <w:color w:val="000000" w:themeColor="text1"/>
          <w:sz w:val="23"/>
          <w:szCs w:val="23"/>
          <w:lang w:val="en-GB"/>
        </w:rPr>
        <w:t xml:space="preserve">is </w:t>
      </w:r>
      <w:r w:rsidR="00BF25BD" w:rsidRPr="00983193">
        <w:rPr>
          <w:rFonts w:ascii="Times New Roman" w:hAnsi="Times New Roman" w:cs="Times New Roman"/>
          <w:color w:val="000000" w:themeColor="text1"/>
          <w:sz w:val="23"/>
          <w:szCs w:val="23"/>
          <w:lang w:val="en-GB"/>
        </w:rPr>
        <w:t xml:space="preserve">essential </w:t>
      </w:r>
      <w:r w:rsidR="008974B4">
        <w:rPr>
          <w:rFonts w:ascii="Times New Roman" w:hAnsi="Times New Roman" w:cs="Times New Roman"/>
          <w:color w:val="000000" w:themeColor="text1"/>
          <w:sz w:val="23"/>
          <w:szCs w:val="23"/>
          <w:lang w:val="en-GB"/>
        </w:rPr>
        <w:t>for the</w:t>
      </w:r>
      <w:r w:rsidR="008974B4" w:rsidRPr="00983193">
        <w:rPr>
          <w:rFonts w:ascii="Times New Roman" w:hAnsi="Times New Roman" w:cs="Times New Roman"/>
          <w:color w:val="000000" w:themeColor="text1"/>
          <w:sz w:val="23"/>
          <w:szCs w:val="23"/>
          <w:lang w:val="en-GB"/>
        </w:rPr>
        <w:t xml:space="preserve"> </w:t>
      </w:r>
      <w:r w:rsidR="00BF25BD" w:rsidRPr="00983193">
        <w:rPr>
          <w:rFonts w:ascii="Times New Roman" w:hAnsi="Times New Roman" w:cs="Times New Roman"/>
          <w:color w:val="000000" w:themeColor="text1"/>
          <w:sz w:val="23"/>
          <w:szCs w:val="23"/>
          <w:lang w:val="en-GB"/>
        </w:rPr>
        <w:t>generat</w:t>
      </w:r>
      <w:r w:rsidR="008974B4">
        <w:rPr>
          <w:rFonts w:ascii="Times New Roman" w:hAnsi="Times New Roman" w:cs="Times New Roman"/>
          <w:color w:val="000000" w:themeColor="text1"/>
          <w:sz w:val="23"/>
          <w:szCs w:val="23"/>
          <w:lang w:val="en-GB"/>
        </w:rPr>
        <w:t>ion of</w:t>
      </w:r>
      <w:r w:rsidR="00BF25BD" w:rsidRPr="00983193">
        <w:rPr>
          <w:rFonts w:ascii="Times New Roman" w:hAnsi="Times New Roman" w:cs="Times New Roman"/>
          <w:color w:val="000000" w:themeColor="text1"/>
          <w:sz w:val="23"/>
          <w:szCs w:val="23"/>
          <w:lang w:val="en-GB"/>
        </w:rPr>
        <w:t xml:space="preserve"> higher </w:t>
      </w:r>
      <w:r w:rsidR="008974B4">
        <w:rPr>
          <w:rFonts w:ascii="Times New Roman" w:hAnsi="Times New Roman" w:cs="Times New Roman"/>
          <w:color w:val="000000" w:themeColor="text1"/>
          <w:sz w:val="23"/>
          <w:szCs w:val="23"/>
          <w:lang w:val="en-GB"/>
        </w:rPr>
        <w:t xml:space="preserve">future </w:t>
      </w:r>
      <w:r w:rsidR="00BF25BD" w:rsidRPr="00983193">
        <w:rPr>
          <w:rFonts w:ascii="Times New Roman" w:hAnsi="Times New Roman" w:cs="Times New Roman"/>
          <w:color w:val="000000" w:themeColor="text1"/>
          <w:sz w:val="23"/>
          <w:szCs w:val="23"/>
          <w:lang w:val="en-GB"/>
        </w:rPr>
        <w:t>profits</w:t>
      </w:r>
      <w:r w:rsidR="00BF25BD" w:rsidRPr="008A086D">
        <w:rPr>
          <w:rFonts w:ascii="Times New Roman" w:hAnsi="Times New Roman" w:cs="Times New Roman"/>
          <w:color w:val="000000" w:themeColor="text1"/>
          <w:sz w:val="23"/>
          <w:szCs w:val="23"/>
          <w:lang w:val="en-GB"/>
        </w:rPr>
        <w:t xml:space="preserve">. </w:t>
      </w:r>
      <w:r w:rsidR="00B32E0C" w:rsidRPr="00A53C54">
        <w:rPr>
          <w:rFonts w:ascii="Times New Roman" w:hAnsi="Times New Roman" w:cs="Times New Roman"/>
          <w:color w:val="000000" w:themeColor="text1"/>
          <w:sz w:val="23"/>
          <w:szCs w:val="23"/>
          <w:lang w:val="en-US"/>
        </w:rPr>
        <w:t xml:space="preserve">The findings </w:t>
      </w:r>
      <w:r w:rsidR="008974B4">
        <w:rPr>
          <w:rFonts w:ascii="Times New Roman" w:hAnsi="Times New Roman" w:cs="Times New Roman"/>
          <w:color w:val="000000" w:themeColor="text1"/>
          <w:sz w:val="23"/>
          <w:szCs w:val="23"/>
          <w:lang w:val="en-US"/>
        </w:rPr>
        <w:t xml:space="preserve">of this paper </w:t>
      </w:r>
      <w:r w:rsidR="00B32E0C" w:rsidRPr="00A53C54">
        <w:rPr>
          <w:rFonts w:ascii="Times New Roman" w:hAnsi="Times New Roman" w:cs="Times New Roman"/>
          <w:color w:val="000000" w:themeColor="text1"/>
          <w:sz w:val="23"/>
          <w:szCs w:val="23"/>
          <w:lang w:val="en-US"/>
        </w:rPr>
        <w:t xml:space="preserve">suggest that managers should manage the risk that firm growth </w:t>
      </w:r>
      <w:r w:rsidR="00F81204">
        <w:rPr>
          <w:rFonts w:ascii="Times New Roman" w:hAnsi="Times New Roman" w:cs="Times New Roman"/>
          <w:color w:val="000000" w:themeColor="text1"/>
          <w:sz w:val="23"/>
          <w:szCs w:val="23"/>
          <w:lang w:val="en-US"/>
        </w:rPr>
        <w:t>may</w:t>
      </w:r>
      <w:r w:rsidR="00F81204" w:rsidRPr="00A53C54">
        <w:rPr>
          <w:rFonts w:ascii="Times New Roman" w:hAnsi="Times New Roman" w:cs="Times New Roman"/>
          <w:color w:val="000000" w:themeColor="text1"/>
          <w:sz w:val="23"/>
          <w:szCs w:val="23"/>
          <w:lang w:val="en-US"/>
        </w:rPr>
        <w:t xml:space="preserve"> </w:t>
      </w:r>
      <w:r w:rsidR="00B32E0C" w:rsidRPr="00A53C54">
        <w:rPr>
          <w:rFonts w:ascii="Times New Roman" w:hAnsi="Times New Roman" w:cs="Times New Roman"/>
          <w:color w:val="000000" w:themeColor="text1"/>
          <w:sz w:val="23"/>
          <w:szCs w:val="23"/>
          <w:lang w:val="en-US"/>
        </w:rPr>
        <w:t xml:space="preserve">lead to a decrease in IC value in the absence of a consistent IC-oriented investment strategy. </w:t>
      </w:r>
      <w:r w:rsidR="00F81204">
        <w:rPr>
          <w:rFonts w:ascii="Times New Roman" w:hAnsi="Times New Roman" w:cs="Times New Roman"/>
          <w:color w:val="000000" w:themeColor="text1"/>
          <w:sz w:val="23"/>
          <w:szCs w:val="23"/>
          <w:lang w:val="en-US"/>
        </w:rPr>
        <w:t>I</w:t>
      </w:r>
      <w:r w:rsidR="00F81204" w:rsidRPr="00C161AE">
        <w:rPr>
          <w:rFonts w:ascii="Times New Roman" w:hAnsi="Times New Roman" w:cs="Times New Roman"/>
          <w:color w:val="000000" w:themeColor="text1"/>
          <w:sz w:val="23"/>
          <w:szCs w:val="23"/>
          <w:lang w:val="en-US"/>
        </w:rPr>
        <w:t xml:space="preserve">n other words, </w:t>
      </w:r>
      <w:r w:rsidR="00F81204">
        <w:rPr>
          <w:rFonts w:ascii="Times New Roman" w:hAnsi="Times New Roman" w:cs="Times New Roman"/>
          <w:color w:val="000000" w:themeColor="text1"/>
          <w:sz w:val="23"/>
          <w:szCs w:val="23"/>
          <w:lang w:val="en-US"/>
        </w:rPr>
        <w:t>m</w:t>
      </w:r>
      <w:r w:rsidR="00B32E0C" w:rsidRPr="00A53C54">
        <w:rPr>
          <w:rFonts w:ascii="Times New Roman" w:hAnsi="Times New Roman" w:cs="Times New Roman"/>
          <w:color w:val="000000" w:themeColor="text1"/>
          <w:sz w:val="23"/>
          <w:szCs w:val="23"/>
          <w:lang w:val="en-US"/>
        </w:rPr>
        <w:t>anagers should avoid smoothing their IC investment as the company grows, in order to maintain a stable M</w:t>
      </w:r>
      <w:r w:rsidR="00D757D8">
        <w:rPr>
          <w:rFonts w:ascii="Times New Roman" w:hAnsi="Times New Roman" w:cs="Times New Roman"/>
          <w:color w:val="000000" w:themeColor="text1"/>
          <w:sz w:val="23"/>
          <w:szCs w:val="23"/>
          <w:lang w:val="en-US"/>
        </w:rPr>
        <w:t>t</w:t>
      </w:r>
      <w:r w:rsidR="00B32E0C" w:rsidRPr="00A53C54">
        <w:rPr>
          <w:rFonts w:ascii="Times New Roman" w:hAnsi="Times New Roman" w:cs="Times New Roman"/>
          <w:color w:val="000000" w:themeColor="text1"/>
          <w:sz w:val="23"/>
          <w:szCs w:val="23"/>
          <w:lang w:val="en-US"/>
        </w:rPr>
        <w:t xml:space="preserve">B ratio. Further, practitioners </w:t>
      </w:r>
      <w:r w:rsidR="00F81204">
        <w:rPr>
          <w:rFonts w:ascii="Times New Roman" w:hAnsi="Times New Roman" w:cs="Times New Roman"/>
          <w:color w:val="000000" w:themeColor="text1"/>
          <w:sz w:val="23"/>
          <w:szCs w:val="23"/>
          <w:lang w:val="en-US"/>
        </w:rPr>
        <w:t>such as</w:t>
      </w:r>
      <w:r w:rsidR="00F81204" w:rsidRPr="00A53C54">
        <w:rPr>
          <w:rFonts w:ascii="Times New Roman" w:hAnsi="Times New Roman" w:cs="Times New Roman"/>
          <w:color w:val="000000" w:themeColor="text1"/>
          <w:sz w:val="23"/>
          <w:szCs w:val="23"/>
          <w:lang w:val="en-US"/>
        </w:rPr>
        <w:t xml:space="preserve"> </w:t>
      </w:r>
      <w:r w:rsidR="00B32E0C" w:rsidRPr="00A53C54">
        <w:rPr>
          <w:rFonts w:ascii="Times New Roman" w:hAnsi="Times New Roman" w:cs="Times New Roman"/>
          <w:color w:val="000000" w:themeColor="text1"/>
          <w:sz w:val="23"/>
          <w:szCs w:val="23"/>
          <w:lang w:val="en-US"/>
        </w:rPr>
        <w:t xml:space="preserve">financial analysts should be conscious of the existence of different ways of measuring </w:t>
      </w:r>
      <w:r w:rsidR="00F81204">
        <w:rPr>
          <w:rFonts w:ascii="Times New Roman" w:hAnsi="Times New Roman" w:cs="Times New Roman"/>
          <w:color w:val="000000" w:themeColor="text1"/>
          <w:sz w:val="23"/>
          <w:szCs w:val="23"/>
          <w:lang w:val="en-US"/>
        </w:rPr>
        <w:t xml:space="preserve">firm </w:t>
      </w:r>
      <w:r w:rsidR="00B32E0C" w:rsidRPr="00A53C54">
        <w:rPr>
          <w:rFonts w:ascii="Times New Roman" w:hAnsi="Times New Roman" w:cs="Times New Roman"/>
          <w:color w:val="000000" w:themeColor="text1"/>
          <w:sz w:val="23"/>
          <w:szCs w:val="23"/>
          <w:lang w:val="en-US"/>
        </w:rPr>
        <w:t xml:space="preserve">performance, as </w:t>
      </w:r>
      <w:r w:rsidR="00F81204">
        <w:rPr>
          <w:rFonts w:ascii="Times New Roman" w:hAnsi="Times New Roman" w:cs="Times New Roman"/>
          <w:color w:val="000000" w:themeColor="text1"/>
          <w:sz w:val="23"/>
          <w:szCs w:val="23"/>
          <w:lang w:val="en-US"/>
        </w:rPr>
        <w:t>our</w:t>
      </w:r>
      <w:r w:rsidR="00B32E0C" w:rsidRPr="00A53C54">
        <w:rPr>
          <w:rFonts w:ascii="Times New Roman" w:hAnsi="Times New Roman" w:cs="Times New Roman"/>
          <w:color w:val="000000" w:themeColor="text1"/>
          <w:sz w:val="23"/>
          <w:szCs w:val="23"/>
          <w:lang w:val="en-US"/>
        </w:rPr>
        <w:t xml:space="preserve"> results show </w:t>
      </w:r>
      <w:r w:rsidR="00F81204">
        <w:rPr>
          <w:rFonts w:ascii="Times New Roman" w:hAnsi="Times New Roman" w:cs="Times New Roman"/>
          <w:color w:val="000000" w:themeColor="text1"/>
          <w:sz w:val="23"/>
          <w:szCs w:val="23"/>
          <w:lang w:val="en-US"/>
        </w:rPr>
        <w:t xml:space="preserve">a </w:t>
      </w:r>
      <w:r w:rsidR="00B32E0C" w:rsidRPr="00A53C54">
        <w:rPr>
          <w:rFonts w:ascii="Times New Roman" w:hAnsi="Times New Roman" w:cs="Times New Roman"/>
          <w:color w:val="000000" w:themeColor="text1"/>
          <w:sz w:val="23"/>
          <w:szCs w:val="23"/>
          <w:lang w:val="en-US"/>
        </w:rPr>
        <w:t xml:space="preserve">high correlation between indicator </w:t>
      </w:r>
      <w:r w:rsidR="00F81204">
        <w:rPr>
          <w:rFonts w:ascii="Times New Roman" w:hAnsi="Times New Roman" w:cs="Times New Roman"/>
          <w:color w:val="000000" w:themeColor="text1"/>
          <w:sz w:val="23"/>
          <w:szCs w:val="23"/>
          <w:lang w:val="en-US"/>
        </w:rPr>
        <w:t>such as</w:t>
      </w:r>
      <w:r w:rsidR="00F81204" w:rsidRPr="00A53C54">
        <w:rPr>
          <w:rFonts w:ascii="Times New Roman" w:hAnsi="Times New Roman" w:cs="Times New Roman"/>
          <w:color w:val="000000" w:themeColor="text1"/>
          <w:sz w:val="23"/>
          <w:szCs w:val="23"/>
          <w:lang w:val="en-US"/>
        </w:rPr>
        <w:t xml:space="preserve"> </w:t>
      </w:r>
      <w:r w:rsidR="00B32E0C" w:rsidRPr="00A53C54">
        <w:rPr>
          <w:rFonts w:ascii="Times New Roman" w:hAnsi="Times New Roman" w:cs="Times New Roman"/>
          <w:color w:val="000000" w:themeColor="text1"/>
          <w:sz w:val="23"/>
          <w:szCs w:val="23"/>
          <w:lang w:val="en-US"/>
        </w:rPr>
        <w:t>VAIC and ROA</w:t>
      </w:r>
      <w:r w:rsidR="00F81204">
        <w:rPr>
          <w:rFonts w:ascii="Times New Roman" w:hAnsi="Times New Roman" w:cs="Times New Roman"/>
          <w:color w:val="000000" w:themeColor="text1"/>
          <w:sz w:val="23"/>
          <w:szCs w:val="23"/>
          <w:lang w:val="en-US"/>
        </w:rPr>
        <w:t>.</w:t>
      </w:r>
      <w:r w:rsidR="00B32E0C" w:rsidRPr="00A53C54">
        <w:rPr>
          <w:rFonts w:ascii="Times New Roman" w:hAnsi="Times New Roman" w:cs="Times New Roman"/>
          <w:color w:val="000000" w:themeColor="text1"/>
          <w:sz w:val="23"/>
          <w:szCs w:val="23"/>
          <w:lang w:val="en-US"/>
        </w:rPr>
        <w:t xml:space="preserve"> </w:t>
      </w:r>
      <w:r w:rsidR="00F81204">
        <w:rPr>
          <w:rFonts w:ascii="Times New Roman" w:hAnsi="Times New Roman" w:cs="Times New Roman"/>
          <w:color w:val="000000" w:themeColor="text1"/>
          <w:sz w:val="23"/>
          <w:szCs w:val="23"/>
          <w:lang w:val="en-US"/>
        </w:rPr>
        <w:t>I</w:t>
      </w:r>
      <w:r w:rsidR="00B32E0C" w:rsidRPr="00A53C54">
        <w:rPr>
          <w:rFonts w:ascii="Times New Roman" w:hAnsi="Times New Roman" w:cs="Times New Roman"/>
          <w:color w:val="000000" w:themeColor="text1"/>
          <w:sz w:val="23"/>
          <w:szCs w:val="23"/>
          <w:lang w:val="en-US"/>
        </w:rPr>
        <w:t>t is worth explor</w:t>
      </w:r>
      <w:r w:rsidR="00F81204">
        <w:rPr>
          <w:rFonts w:ascii="Times New Roman" w:hAnsi="Times New Roman" w:cs="Times New Roman"/>
          <w:color w:val="000000" w:themeColor="text1"/>
          <w:sz w:val="23"/>
          <w:szCs w:val="23"/>
          <w:lang w:val="en-US"/>
        </w:rPr>
        <w:t>ing</w:t>
      </w:r>
      <w:r w:rsidR="00B32E0C" w:rsidRPr="00A53C54">
        <w:rPr>
          <w:rFonts w:ascii="Times New Roman" w:hAnsi="Times New Roman" w:cs="Times New Roman"/>
          <w:color w:val="000000" w:themeColor="text1"/>
          <w:sz w:val="23"/>
          <w:szCs w:val="23"/>
          <w:lang w:val="en-US"/>
        </w:rPr>
        <w:t xml:space="preserve"> from a </w:t>
      </w:r>
      <w:r w:rsidR="00F81204">
        <w:rPr>
          <w:rFonts w:ascii="Times New Roman" w:hAnsi="Times New Roman" w:cs="Times New Roman"/>
          <w:color w:val="000000" w:themeColor="text1"/>
          <w:sz w:val="23"/>
          <w:szCs w:val="23"/>
          <w:lang w:val="en-US"/>
        </w:rPr>
        <w:t xml:space="preserve">non-shareholder </w:t>
      </w:r>
      <w:r w:rsidR="00B32E0C" w:rsidRPr="00A53C54">
        <w:rPr>
          <w:rFonts w:ascii="Times New Roman" w:hAnsi="Times New Roman" w:cs="Times New Roman"/>
          <w:color w:val="000000" w:themeColor="text1"/>
          <w:sz w:val="23"/>
          <w:szCs w:val="23"/>
          <w:lang w:val="en-US"/>
        </w:rPr>
        <w:t xml:space="preserve">perspective the many facets of corporate performance, in order to take account of all stakeholders. </w:t>
      </w:r>
    </w:p>
    <w:p w14:paraId="65105DEA" w14:textId="77777777" w:rsidR="0037166B" w:rsidRPr="00A53C54" w:rsidRDefault="00415DD5" w:rsidP="0080040A">
      <w:pPr>
        <w:spacing w:after="0" w:line="240" w:lineRule="auto"/>
        <w:jc w:val="both"/>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t xml:space="preserve">   </w:t>
      </w:r>
      <w:r w:rsidR="0072286C" w:rsidRPr="00A53C54">
        <w:rPr>
          <w:rFonts w:ascii="Times New Roman" w:hAnsi="Times New Roman" w:cs="Times New Roman"/>
          <w:color w:val="000000" w:themeColor="text1"/>
          <w:sz w:val="23"/>
          <w:szCs w:val="23"/>
          <w:lang w:val="en-US"/>
        </w:rPr>
        <w:t xml:space="preserve">Finally, this study draws attention to avenues for future research. First, </w:t>
      </w:r>
      <w:r w:rsidR="00F81204">
        <w:rPr>
          <w:rFonts w:ascii="Times New Roman" w:hAnsi="Times New Roman" w:cs="Times New Roman"/>
          <w:color w:val="000000" w:themeColor="text1"/>
          <w:sz w:val="23"/>
          <w:szCs w:val="23"/>
          <w:lang w:val="en-US"/>
        </w:rPr>
        <w:t>where</w:t>
      </w:r>
      <w:r w:rsidR="0072286C" w:rsidRPr="00A53C54">
        <w:rPr>
          <w:rFonts w:ascii="Times New Roman" w:hAnsi="Times New Roman" w:cs="Times New Roman"/>
          <w:color w:val="000000" w:themeColor="text1"/>
          <w:sz w:val="23"/>
          <w:szCs w:val="23"/>
          <w:lang w:val="en-US"/>
        </w:rPr>
        <w:t xml:space="preserve"> data </w:t>
      </w:r>
      <w:r w:rsidR="00F81204">
        <w:rPr>
          <w:rFonts w:ascii="Times New Roman" w:hAnsi="Times New Roman" w:cs="Times New Roman"/>
          <w:color w:val="000000" w:themeColor="text1"/>
          <w:sz w:val="23"/>
          <w:szCs w:val="23"/>
          <w:lang w:val="en-US"/>
        </w:rPr>
        <w:t xml:space="preserve">is </w:t>
      </w:r>
      <w:r w:rsidR="0072286C" w:rsidRPr="00A53C54">
        <w:rPr>
          <w:rFonts w:ascii="Times New Roman" w:hAnsi="Times New Roman" w:cs="Times New Roman"/>
          <w:color w:val="000000" w:themeColor="text1"/>
          <w:sz w:val="23"/>
          <w:szCs w:val="23"/>
          <w:lang w:val="en-US"/>
        </w:rPr>
        <w:t>availab</w:t>
      </w:r>
      <w:r w:rsidR="00F81204">
        <w:rPr>
          <w:rFonts w:ascii="Times New Roman" w:hAnsi="Times New Roman" w:cs="Times New Roman"/>
          <w:color w:val="000000" w:themeColor="text1"/>
          <w:sz w:val="23"/>
          <w:szCs w:val="23"/>
          <w:lang w:val="en-US"/>
        </w:rPr>
        <w:t>le</w:t>
      </w:r>
      <w:r w:rsidR="0072286C" w:rsidRPr="00A53C54">
        <w:rPr>
          <w:rFonts w:ascii="Times New Roman" w:hAnsi="Times New Roman" w:cs="Times New Roman"/>
          <w:color w:val="000000" w:themeColor="text1"/>
          <w:sz w:val="23"/>
          <w:szCs w:val="23"/>
          <w:lang w:val="en-US"/>
        </w:rPr>
        <w:t xml:space="preserve">, other dependent variables might be adopted, such as Tobin’s q. Tobin’s q </w:t>
      </w:r>
      <w:r w:rsidR="00F81204">
        <w:rPr>
          <w:rFonts w:ascii="Times New Roman" w:hAnsi="Times New Roman" w:cs="Times New Roman"/>
          <w:color w:val="000000" w:themeColor="text1"/>
          <w:sz w:val="23"/>
          <w:szCs w:val="23"/>
          <w:lang w:val="en-US"/>
        </w:rPr>
        <w:t>measures the</w:t>
      </w:r>
      <w:r w:rsidR="0072286C" w:rsidRPr="00A53C54">
        <w:rPr>
          <w:rFonts w:ascii="Times New Roman" w:hAnsi="Times New Roman" w:cs="Times New Roman"/>
          <w:color w:val="000000" w:themeColor="text1"/>
          <w:sz w:val="23"/>
          <w:szCs w:val="23"/>
          <w:lang w:val="en-US"/>
        </w:rPr>
        <w:t xml:space="preserve"> ratio of market value over the replacement value of tangible assets, and in so doing may partially reduce the distortions associated with M</w:t>
      </w:r>
      <w:r w:rsidR="00D757D8">
        <w:rPr>
          <w:rFonts w:ascii="Times New Roman" w:hAnsi="Times New Roman" w:cs="Times New Roman"/>
          <w:color w:val="000000" w:themeColor="text1"/>
          <w:sz w:val="23"/>
          <w:szCs w:val="23"/>
          <w:lang w:val="en-US"/>
        </w:rPr>
        <w:t>t</w:t>
      </w:r>
      <w:r w:rsidR="0072286C" w:rsidRPr="00A53C54">
        <w:rPr>
          <w:rFonts w:ascii="Times New Roman" w:hAnsi="Times New Roman" w:cs="Times New Roman"/>
          <w:color w:val="000000" w:themeColor="text1"/>
          <w:sz w:val="23"/>
          <w:szCs w:val="23"/>
          <w:lang w:val="en-US"/>
        </w:rPr>
        <w:t xml:space="preserve">B, though </w:t>
      </w:r>
      <w:r w:rsidR="00F81204">
        <w:rPr>
          <w:rFonts w:ascii="Times New Roman" w:hAnsi="Times New Roman" w:cs="Times New Roman"/>
          <w:color w:val="000000" w:themeColor="text1"/>
          <w:sz w:val="23"/>
          <w:szCs w:val="23"/>
          <w:lang w:val="en-US"/>
        </w:rPr>
        <w:t xml:space="preserve">it </w:t>
      </w:r>
      <w:r w:rsidR="0072286C" w:rsidRPr="00A53C54">
        <w:rPr>
          <w:rFonts w:ascii="Times New Roman" w:hAnsi="Times New Roman" w:cs="Times New Roman"/>
          <w:color w:val="000000" w:themeColor="text1"/>
          <w:sz w:val="23"/>
          <w:szCs w:val="23"/>
          <w:lang w:val="en-US"/>
        </w:rPr>
        <w:t xml:space="preserve">may not </w:t>
      </w:r>
      <w:r w:rsidR="00F81204">
        <w:rPr>
          <w:rFonts w:ascii="Times New Roman" w:hAnsi="Times New Roman" w:cs="Times New Roman"/>
          <w:color w:val="000000" w:themeColor="text1"/>
          <w:sz w:val="23"/>
          <w:szCs w:val="23"/>
          <w:lang w:val="en-US"/>
        </w:rPr>
        <w:t>provide</w:t>
      </w:r>
      <w:r w:rsidR="00F81204" w:rsidRPr="00A53C54">
        <w:rPr>
          <w:rFonts w:ascii="Times New Roman" w:hAnsi="Times New Roman" w:cs="Times New Roman"/>
          <w:color w:val="000000" w:themeColor="text1"/>
          <w:sz w:val="23"/>
          <w:szCs w:val="23"/>
          <w:lang w:val="en-US"/>
        </w:rPr>
        <w:t xml:space="preserve"> </w:t>
      </w:r>
      <w:r w:rsidR="00F81204">
        <w:rPr>
          <w:rFonts w:ascii="Times New Roman" w:hAnsi="Times New Roman" w:cs="Times New Roman"/>
          <w:color w:val="000000" w:themeColor="text1"/>
          <w:sz w:val="23"/>
          <w:szCs w:val="23"/>
          <w:lang w:val="en-US"/>
        </w:rPr>
        <w:t>a precise</w:t>
      </w:r>
      <w:r w:rsidR="0072286C" w:rsidRPr="00A53C54">
        <w:rPr>
          <w:rFonts w:ascii="Times New Roman" w:hAnsi="Times New Roman" w:cs="Times New Roman"/>
          <w:color w:val="000000" w:themeColor="text1"/>
          <w:sz w:val="23"/>
          <w:szCs w:val="23"/>
          <w:lang w:val="en-US"/>
        </w:rPr>
        <w:t xml:space="preserve"> measure of IC value. Second, </w:t>
      </w:r>
      <w:r w:rsidR="00F81204">
        <w:rPr>
          <w:rFonts w:ascii="Times New Roman" w:hAnsi="Times New Roman" w:cs="Times New Roman"/>
          <w:color w:val="000000" w:themeColor="text1"/>
          <w:sz w:val="23"/>
          <w:szCs w:val="23"/>
          <w:lang w:val="en-US"/>
        </w:rPr>
        <w:t>further</w:t>
      </w:r>
      <w:r w:rsidR="00F81204" w:rsidRPr="00A53C54">
        <w:rPr>
          <w:rFonts w:ascii="Times New Roman" w:hAnsi="Times New Roman" w:cs="Times New Roman"/>
          <w:color w:val="000000" w:themeColor="text1"/>
          <w:sz w:val="23"/>
          <w:szCs w:val="23"/>
          <w:lang w:val="en-US"/>
        </w:rPr>
        <w:t xml:space="preserve"> </w:t>
      </w:r>
      <w:r w:rsidR="0072286C" w:rsidRPr="00A53C54">
        <w:rPr>
          <w:rFonts w:ascii="Times New Roman" w:hAnsi="Times New Roman" w:cs="Times New Roman"/>
          <w:color w:val="000000" w:themeColor="text1"/>
          <w:sz w:val="23"/>
          <w:szCs w:val="23"/>
          <w:lang w:val="en-US"/>
        </w:rPr>
        <w:t xml:space="preserve">sources of information available to financial investors regarding company intangible investment </w:t>
      </w:r>
      <w:r w:rsidR="0097353B" w:rsidRPr="00415DD5">
        <w:rPr>
          <w:rFonts w:ascii="Times New Roman" w:hAnsi="Times New Roman" w:cs="Times New Roman"/>
          <w:color w:val="000000" w:themeColor="text1"/>
          <w:sz w:val="23"/>
          <w:szCs w:val="23"/>
          <w:lang w:val="en-US"/>
        </w:rPr>
        <w:t>policies,</w:t>
      </w:r>
      <w:r w:rsidR="00D757D8">
        <w:rPr>
          <w:rFonts w:ascii="Times New Roman" w:hAnsi="Times New Roman" w:cs="Times New Roman"/>
          <w:color w:val="000000" w:themeColor="text1"/>
          <w:sz w:val="23"/>
          <w:szCs w:val="23"/>
          <w:lang w:val="en-US"/>
        </w:rPr>
        <w:t xml:space="preserve"> </w:t>
      </w:r>
      <w:r w:rsidR="0072286C" w:rsidRPr="00A53C54">
        <w:rPr>
          <w:rFonts w:ascii="Times New Roman" w:hAnsi="Times New Roman" w:cs="Times New Roman"/>
          <w:color w:val="000000" w:themeColor="text1"/>
          <w:sz w:val="23"/>
          <w:szCs w:val="23"/>
          <w:lang w:val="en-US"/>
        </w:rPr>
        <w:t>including narrative disclosures</w:t>
      </w:r>
      <w:r w:rsidR="00F81204">
        <w:rPr>
          <w:rFonts w:ascii="Times New Roman" w:hAnsi="Times New Roman" w:cs="Times New Roman"/>
          <w:color w:val="000000" w:themeColor="text1"/>
          <w:sz w:val="23"/>
          <w:szCs w:val="23"/>
          <w:lang w:val="en-US"/>
        </w:rPr>
        <w:t>,</w:t>
      </w:r>
      <w:r w:rsidR="0072286C" w:rsidRPr="00A53C54">
        <w:rPr>
          <w:rFonts w:ascii="Times New Roman" w:hAnsi="Times New Roman" w:cs="Times New Roman"/>
          <w:color w:val="000000" w:themeColor="text1"/>
          <w:sz w:val="23"/>
          <w:szCs w:val="23"/>
          <w:lang w:val="en-US"/>
        </w:rPr>
        <w:t xml:space="preserve"> might be explored, thus adopting a broader mixed methods perspective. Third, the methodological approach adopted in this paper may be replicated in an international comparative context for listed firms.  </w:t>
      </w:r>
    </w:p>
    <w:p w14:paraId="32C383F1" w14:textId="77777777" w:rsidR="00B22DEF" w:rsidRPr="00B22DEF" w:rsidRDefault="00B22DEF" w:rsidP="00B22DEF">
      <w:pPr>
        <w:spacing w:after="0" w:line="360" w:lineRule="auto"/>
        <w:contextualSpacing/>
        <w:jc w:val="both"/>
        <w:rPr>
          <w:rFonts w:ascii="Times New Roman" w:hAnsi="Times New Roman" w:cs="Times New Roman"/>
          <w:b/>
          <w:color w:val="000000" w:themeColor="text1"/>
          <w:sz w:val="23"/>
          <w:szCs w:val="23"/>
          <w:lang w:val="en-US"/>
        </w:rPr>
      </w:pPr>
      <w:r w:rsidRPr="00B22DEF">
        <w:rPr>
          <w:rFonts w:ascii="Times New Roman" w:hAnsi="Times New Roman" w:cs="Times New Roman"/>
          <w:b/>
          <w:color w:val="000000" w:themeColor="text1"/>
          <w:sz w:val="23"/>
          <w:szCs w:val="23"/>
          <w:lang w:val="en-US"/>
        </w:rPr>
        <w:lastRenderedPageBreak/>
        <w:t>References</w:t>
      </w:r>
    </w:p>
    <w:p w14:paraId="11A9924A"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Abeysekera, I. (2007), “Intellectual capital reporting between a developing and developed nation”, </w:t>
      </w:r>
      <w:r w:rsidRPr="00B22DEF">
        <w:rPr>
          <w:rFonts w:ascii="Times New Roman" w:hAnsi="Times New Roman" w:cs="Times New Roman"/>
          <w:i/>
          <w:color w:val="000000" w:themeColor="text1"/>
          <w:sz w:val="23"/>
          <w:szCs w:val="23"/>
          <w:lang w:val="en-US"/>
        </w:rPr>
        <w:t>Journal of Intellectual Capital</w:t>
      </w:r>
      <w:r w:rsidRPr="00B22DEF">
        <w:rPr>
          <w:rFonts w:ascii="Times New Roman" w:hAnsi="Times New Roman" w:cs="Times New Roman"/>
          <w:color w:val="000000" w:themeColor="text1"/>
          <w:sz w:val="23"/>
          <w:szCs w:val="23"/>
          <w:lang w:val="en-US"/>
        </w:rPr>
        <w:t>, Vol. 8 No. 2, pp. 329-345.</w:t>
      </w:r>
    </w:p>
    <w:p w14:paraId="315DDD47"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Anghel, I. (2008). Intellectual capital and intangible assets analysis and valuation. Theoretical and Applied Economics, 3(3), 75.</w:t>
      </w:r>
    </w:p>
    <w:p w14:paraId="78FEAFB3"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shd w:val="clear" w:color="auto" w:fill="FFFFFF"/>
          <w:lang w:val="en-US"/>
        </w:rPr>
        <w:t>Bhasin, M. L. (2012), “Measurement and disclosure of intellectual capital in a developing country: An exploratory study”, </w:t>
      </w:r>
      <w:r w:rsidRPr="00B22DEF">
        <w:rPr>
          <w:rFonts w:ascii="Times New Roman" w:hAnsi="Times New Roman" w:cs="Times New Roman"/>
          <w:i/>
          <w:iCs/>
          <w:color w:val="000000" w:themeColor="text1"/>
          <w:sz w:val="23"/>
          <w:szCs w:val="23"/>
          <w:shd w:val="clear" w:color="auto" w:fill="FFFFFF"/>
          <w:lang w:val="en-US"/>
        </w:rPr>
        <w:t>Australian Journal of Business and Management Research</w:t>
      </w:r>
      <w:r w:rsidRPr="00B22DEF">
        <w:rPr>
          <w:rFonts w:ascii="Times New Roman" w:hAnsi="Times New Roman" w:cs="Times New Roman"/>
          <w:color w:val="000000" w:themeColor="text1"/>
          <w:sz w:val="23"/>
          <w:szCs w:val="23"/>
          <w:shd w:val="clear" w:color="auto" w:fill="FFFFFF"/>
          <w:lang w:val="en-US"/>
        </w:rPr>
        <w:t xml:space="preserve">, Vol. </w:t>
      </w:r>
      <w:r w:rsidRPr="00B22DEF">
        <w:rPr>
          <w:rFonts w:ascii="Times New Roman" w:hAnsi="Times New Roman" w:cs="Times New Roman"/>
          <w:iCs/>
          <w:color w:val="000000" w:themeColor="text1"/>
          <w:sz w:val="23"/>
          <w:szCs w:val="23"/>
          <w:shd w:val="clear" w:color="auto" w:fill="FFFFFF"/>
          <w:lang w:val="en-US"/>
        </w:rPr>
        <w:t xml:space="preserve">2 No. </w:t>
      </w:r>
      <w:r w:rsidRPr="00B22DEF">
        <w:rPr>
          <w:rFonts w:ascii="Times New Roman" w:hAnsi="Times New Roman" w:cs="Times New Roman"/>
          <w:color w:val="000000" w:themeColor="text1"/>
          <w:sz w:val="23"/>
          <w:szCs w:val="23"/>
          <w:shd w:val="clear" w:color="auto" w:fill="FFFFFF"/>
          <w:lang w:val="en-US"/>
        </w:rPr>
        <w:t>08, pp. 63-75.</w:t>
      </w:r>
    </w:p>
    <w:p w14:paraId="5DA76E18"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Bontis, N. (2003), “Intellectual capital disclosure in Canadian corporations”, </w:t>
      </w:r>
      <w:r w:rsidRPr="00B22DEF">
        <w:rPr>
          <w:rFonts w:ascii="Times New Roman" w:hAnsi="Times New Roman" w:cs="Times New Roman"/>
          <w:i/>
          <w:color w:val="000000" w:themeColor="text1"/>
          <w:sz w:val="23"/>
          <w:szCs w:val="23"/>
          <w:lang w:val="en-US"/>
        </w:rPr>
        <w:t xml:space="preserve">Journal of Human Resource Costing &amp; Accounting, </w:t>
      </w:r>
      <w:r w:rsidRPr="00B22DEF">
        <w:rPr>
          <w:rFonts w:ascii="Times New Roman" w:hAnsi="Times New Roman" w:cs="Times New Roman"/>
          <w:color w:val="000000" w:themeColor="text1"/>
          <w:sz w:val="23"/>
          <w:szCs w:val="23"/>
          <w:lang w:val="en-US"/>
        </w:rPr>
        <w:t>Vol. 7 No. 1, pp. 9-20.</w:t>
      </w:r>
    </w:p>
    <w:p w14:paraId="7B378986"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Bramhandkar, A., Erickson, S. and Applebee, I. (2007), “Intellectual capital and organizational performance: an empirical study of the pharmaceutical industry”, </w:t>
      </w:r>
      <w:r w:rsidRPr="00B22DEF">
        <w:rPr>
          <w:rFonts w:ascii="Times New Roman" w:hAnsi="Times New Roman" w:cs="Times New Roman"/>
          <w:i/>
          <w:color w:val="000000" w:themeColor="text1"/>
          <w:sz w:val="23"/>
          <w:szCs w:val="23"/>
          <w:lang w:val="en-US"/>
        </w:rPr>
        <w:t>The Electronic Journal of</w:t>
      </w:r>
      <w:r w:rsidRPr="00B22DEF">
        <w:rPr>
          <w:rFonts w:ascii="Times New Roman" w:hAnsi="Times New Roman" w:cs="Times New Roman"/>
          <w:color w:val="000000" w:themeColor="text1"/>
          <w:sz w:val="23"/>
          <w:szCs w:val="23"/>
          <w:lang w:val="en-US"/>
        </w:rPr>
        <w:t xml:space="preserve"> </w:t>
      </w:r>
      <w:r w:rsidRPr="00B22DEF">
        <w:rPr>
          <w:rFonts w:ascii="Times New Roman" w:hAnsi="Times New Roman" w:cs="Times New Roman"/>
          <w:i/>
          <w:color w:val="000000" w:themeColor="text1"/>
          <w:sz w:val="23"/>
          <w:szCs w:val="23"/>
          <w:lang w:val="en-US"/>
        </w:rPr>
        <w:t>Knowledge Management</w:t>
      </w:r>
      <w:r w:rsidRPr="00B22DEF">
        <w:rPr>
          <w:rFonts w:ascii="Times New Roman" w:hAnsi="Times New Roman" w:cs="Times New Roman"/>
          <w:color w:val="000000" w:themeColor="text1"/>
          <w:sz w:val="23"/>
          <w:szCs w:val="23"/>
          <w:lang w:val="en-US"/>
        </w:rPr>
        <w:t>, Vol. 5 No. 4, pp. 357</w:t>
      </w:r>
      <w:r w:rsidRPr="00B22DEF">
        <w:rPr>
          <w:rFonts w:ascii="Cambria Math" w:hAnsi="Cambria Math" w:cs="Cambria Math"/>
          <w:color w:val="000000" w:themeColor="text1"/>
          <w:sz w:val="23"/>
          <w:szCs w:val="23"/>
          <w:lang w:val="en-US"/>
        </w:rPr>
        <w:t>‐</w:t>
      </w:r>
      <w:r w:rsidRPr="00B22DEF">
        <w:rPr>
          <w:rFonts w:ascii="Times New Roman" w:hAnsi="Times New Roman" w:cs="Times New Roman"/>
          <w:color w:val="000000" w:themeColor="text1"/>
          <w:sz w:val="23"/>
          <w:szCs w:val="23"/>
          <w:lang w:val="en-US"/>
        </w:rPr>
        <w:t xml:space="preserve">362. </w:t>
      </w:r>
    </w:p>
    <w:p w14:paraId="1CA3CEB8"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Brennan, N., &amp; Connell, B. (2000), “Intellectual capital: current issues and policy implications”, </w:t>
      </w:r>
      <w:r w:rsidRPr="00B22DEF">
        <w:rPr>
          <w:rFonts w:ascii="Times New Roman" w:hAnsi="Times New Roman" w:cs="Times New Roman"/>
          <w:i/>
          <w:color w:val="000000" w:themeColor="text1"/>
          <w:sz w:val="23"/>
          <w:szCs w:val="23"/>
          <w:lang w:val="en-US"/>
        </w:rPr>
        <w:t>Journal of Intellectual capital</w:t>
      </w:r>
      <w:r w:rsidRPr="00B22DEF">
        <w:rPr>
          <w:rFonts w:ascii="Times New Roman" w:hAnsi="Times New Roman" w:cs="Times New Roman"/>
          <w:color w:val="000000" w:themeColor="text1"/>
          <w:sz w:val="23"/>
          <w:szCs w:val="23"/>
          <w:lang w:val="en-US"/>
        </w:rPr>
        <w:t>, Vol. 1 No. 3, pp. 206-240.</w:t>
      </w:r>
    </w:p>
    <w:p w14:paraId="533E3831"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Brennan, N. (2001), “Reporting intellectual capital in annual reports: </w:t>
      </w:r>
      <w:r w:rsidRPr="00B22DEF">
        <w:rPr>
          <w:rFonts w:ascii="Times New Roman" w:hAnsi="Times New Roman" w:cs="Times New Roman"/>
          <w:noProof/>
          <w:color w:val="000000" w:themeColor="text1"/>
          <w:sz w:val="23"/>
          <w:szCs w:val="23"/>
          <w:lang w:val="en-US"/>
        </w:rPr>
        <w:t>evidence</w:t>
      </w:r>
      <w:r w:rsidRPr="00B22DEF">
        <w:rPr>
          <w:rFonts w:ascii="Times New Roman" w:hAnsi="Times New Roman" w:cs="Times New Roman"/>
          <w:color w:val="000000" w:themeColor="text1"/>
          <w:sz w:val="23"/>
          <w:szCs w:val="23"/>
          <w:lang w:val="en-US"/>
        </w:rPr>
        <w:t xml:space="preserve"> from Ireland”, </w:t>
      </w:r>
      <w:r w:rsidRPr="00B22DEF">
        <w:rPr>
          <w:rFonts w:ascii="Times New Roman" w:hAnsi="Times New Roman" w:cs="Times New Roman"/>
          <w:i/>
          <w:color w:val="000000" w:themeColor="text1"/>
          <w:sz w:val="23"/>
          <w:szCs w:val="23"/>
          <w:lang w:val="en-US"/>
        </w:rPr>
        <w:t>Accounting, Auditing &amp; Accountability Journal</w:t>
      </w:r>
      <w:r w:rsidRPr="00B22DEF">
        <w:rPr>
          <w:rFonts w:ascii="Times New Roman" w:hAnsi="Times New Roman" w:cs="Times New Roman"/>
          <w:color w:val="000000" w:themeColor="text1"/>
          <w:sz w:val="23"/>
          <w:szCs w:val="23"/>
          <w:lang w:val="en-US"/>
        </w:rPr>
        <w:t>, Vol. 14 No. 4, pp. 423-436.</w:t>
      </w:r>
    </w:p>
    <w:p w14:paraId="14FE975B"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rPr>
        <w:t xml:space="preserve">Castilla-Polo, F., Castilla-Polo, F., Ruiz-Rodríguez, C., &amp; Ruiz-Rodríguez, C. (2017). </w:t>
      </w:r>
      <w:r w:rsidRPr="00B22DEF">
        <w:rPr>
          <w:rFonts w:ascii="Times New Roman" w:hAnsi="Times New Roman" w:cs="Times New Roman"/>
          <w:color w:val="000000" w:themeColor="text1"/>
          <w:sz w:val="23"/>
          <w:szCs w:val="23"/>
          <w:lang w:val="en-US"/>
        </w:rPr>
        <w:t>Content analysis within intangible assets disclosure: a structured literature review. Journal of Intellectual Capital, 18(3), 506-543.</w:t>
      </w:r>
    </w:p>
    <w:p w14:paraId="06013296"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Cazavan-Jeny, A. (2004). Le ratio market-to-book et la reconnaissance des immatériels–une étude du marché français. Comptabilité-Contrôle-Audit, 10(2), 99-124.</w:t>
      </w:r>
    </w:p>
    <w:p w14:paraId="76FE64A1"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Chen, M. C., Cheng, S. J., &amp; Hwang, Y. (2005). An empirical investigation of the relationship between intellectual capital and firms’ market value and financial performance. Journal of intellectual capital, 6(2), 159-176.</w:t>
      </w:r>
    </w:p>
    <w:p w14:paraId="186760EA"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Crăciun, L. and Scriosteanu, A. (2008), “Cum se masoara capitalul intelectual?”, Analele Universităţii din Craiova-Seria Ştiinţe Economice, (XXXVI-3).</w:t>
      </w:r>
    </w:p>
    <w:p w14:paraId="50FD9E30"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Cronje, C. J., &amp; Moolman, S. (2013). Intellectual capital: Measurement, recognition and reporting. South African Journal of Economic and Management Sciences, 16(1), 1-12.</w:t>
      </w:r>
    </w:p>
    <w:p w14:paraId="2CAA8595" w14:textId="77777777" w:rsidR="00B22DEF" w:rsidRPr="00B22DEF" w:rsidRDefault="00B22DEF" w:rsidP="00B22DEF">
      <w:pPr>
        <w:spacing w:after="0" w:line="240" w:lineRule="auto"/>
        <w:ind w:left="397" w:hanging="397"/>
        <w:jc w:val="both"/>
        <w:rPr>
          <w:rFonts w:ascii="Times New Roman" w:hAnsi="Times New Roman" w:cs="Times New Roman"/>
          <w:i/>
          <w:color w:val="000000" w:themeColor="text1"/>
          <w:sz w:val="23"/>
          <w:szCs w:val="23"/>
          <w:lang w:val="en-US"/>
        </w:rPr>
      </w:pPr>
      <w:r w:rsidRPr="00B22DEF">
        <w:rPr>
          <w:rFonts w:ascii="Times New Roman" w:hAnsi="Times New Roman" w:cs="Times New Roman"/>
          <w:color w:val="000000" w:themeColor="text1"/>
          <w:sz w:val="23"/>
          <w:szCs w:val="23"/>
          <w:lang w:val="en-US"/>
        </w:rPr>
        <w:t xml:space="preserve">Dignam, A.J. and Galanis, M. (2009), </w:t>
      </w:r>
      <w:r w:rsidRPr="00B22DEF">
        <w:rPr>
          <w:rFonts w:ascii="Times New Roman" w:hAnsi="Times New Roman" w:cs="Times New Roman"/>
          <w:i/>
          <w:color w:val="000000" w:themeColor="text1"/>
          <w:sz w:val="23"/>
          <w:szCs w:val="23"/>
          <w:lang w:val="en-US"/>
        </w:rPr>
        <w:t>The globalization of corporate governance – Assessing the impact of globalization on corporate governance systems</w:t>
      </w:r>
      <w:r w:rsidRPr="00B22DEF">
        <w:rPr>
          <w:rFonts w:ascii="Times New Roman" w:hAnsi="Times New Roman" w:cs="Times New Roman"/>
          <w:color w:val="000000" w:themeColor="text1"/>
          <w:sz w:val="23"/>
          <w:szCs w:val="23"/>
          <w:lang w:val="en-US"/>
        </w:rPr>
        <w:t>, Ashgate, Farnham.</w:t>
      </w:r>
    </w:p>
    <w:p w14:paraId="24D37F6B"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Dženopoljac, V., Janoševic, S. and Bontis, N. (2016), “Intellectual capital and financial performance in the Serbian ICT industry”, </w:t>
      </w:r>
      <w:r w:rsidRPr="00B22DEF">
        <w:rPr>
          <w:rFonts w:ascii="Times New Roman" w:hAnsi="Times New Roman" w:cs="Times New Roman"/>
          <w:i/>
          <w:color w:val="000000" w:themeColor="text1"/>
          <w:sz w:val="23"/>
          <w:szCs w:val="23"/>
          <w:lang w:val="en-US"/>
        </w:rPr>
        <w:t>Journal of Intellectual Capital</w:t>
      </w:r>
      <w:r w:rsidRPr="00B22DEF">
        <w:rPr>
          <w:rFonts w:ascii="Times New Roman" w:hAnsi="Times New Roman" w:cs="Times New Roman"/>
          <w:color w:val="000000" w:themeColor="text1"/>
          <w:sz w:val="23"/>
          <w:szCs w:val="23"/>
          <w:lang w:val="en-US"/>
        </w:rPr>
        <w:t>, Vol. 17 No. 2, pp. 373-396.</w:t>
      </w:r>
    </w:p>
    <w:p w14:paraId="60CC00FD"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Dumay, J. C. (2009). Intellectual capital measurement: a critical approach. Journal of intellectual capital, 10(2), 190-210.</w:t>
      </w:r>
    </w:p>
    <w:p w14:paraId="0D4ED0F1"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Dumay, J.C. (2012), “Grand theories as barriers to using IC concepts”, </w:t>
      </w:r>
      <w:r w:rsidRPr="00B22DEF">
        <w:rPr>
          <w:rFonts w:ascii="Times New Roman" w:hAnsi="Times New Roman" w:cs="Times New Roman"/>
          <w:i/>
          <w:iCs/>
          <w:color w:val="000000" w:themeColor="text1"/>
          <w:sz w:val="23"/>
          <w:szCs w:val="23"/>
          <w:lang w:val="en-US"/>
        </w:rPr>
        <w:t>Journal of Intellectual Capital</w:t>
      </w:r>
      <w:r w:rsidRPr="00B22DEF">
        <w:rPr>
          <w:rFonts w:ascii="Times New Roman" w:hAnsi="Times New Roman" w:cs="Times New Roman"/>
          <w:color w:val="000000" w:themeColor="text1"/>
          <w:sz w:val="23"/>
          <w:szCs w:val="23"/>
          <w:lang w:val="en-US"/>
        </w:rPr>
        <w:t xml:space="preserve">, Vol. </w:t>
      </w:r>
      <w:r w:rsidRPr="00B22DEF">
        <w:rPr>
          <w:rFonts w:ascii="Times New Roman" w:hAnsi="Times New Roman" w:cs="Times New Roman"/>
          <w:iCs/>
          <w:color w:val="000000" w:themeColor="text1"/>
          <w:sz w:val="23"/>
          <w:szCs w:val="23"/>
          <w:lang w:val="en-US"/>
        </w:rPr>
        <w:t xml:space="preserve">13 No. </w:t>
      </w:r>
      <w:r w:rsidRPr="00B22DEF">
        <w:rPr>
          <w:rFonts w:ascii="Times New Roman" w:hAnsi="Times New Roman" w:cs="Times New Roman"/>
          <w:color w:val="000000" w:themeColor="text1"/>
          <w:sz w:val="23"/>
          <w:szCs w:val="23"/>
          <w:lang w:val="en-US"/>
        </w:rPr>
        <w:t>1, pp. 4-15.</w:t>
      </w:r>
    </w:p>
    <w:p w14:paraId="23B257AA"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Dumay, J. (2016). A critical reflection on the future of intellectual capital: from reporting to disclosure. Journal of Intellectual capital, 17(1), 168-184.</w:t>
      </w:r>
    </w:p>
    <w:p w14:paraId="0BD9CB62"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Dumay, J., Dumay, J., Guthrie, J., &amp; Guthrie, J. (2017). Involuntary disclosure of intellectual capital: is it relevant?. Journal of Intellectual Capital, 18(1), 29-44.</w:t>
      </w:r>
    </w:p>
    <w:p w14:paraId="3D5C320A"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Edvinsson, L. and Malone, M. S. (1997), </w:t>
      </w:r>
      <w:r w:rsidRPr="00B22DEF">
        <w:rPr>
          <w:rFonts w:ascii="Times New Roman" w:hAnsi="Times New Roman" w:cs="Times New Roman"/>
          <w:i/>
          <w:iCs/>
          <w:color w:val="000000" w:themeColor="text1"/>
          <w:sz w:val="23"/>
          <w:szCs w:val="23"/>
          <w:lang w:val="en-US"/>
        </w:rPr>
        <w:t>Intellectual capital: Realizing your company's true value by finding its hidden brainpower</w:t>
      </w:r>
      <w:r w:rsidRPr="00B22DEF">
        <w:rPr>
          <w:rFonts w:ascii="Times New Roman" w:hAnsi="Times New Roman" w:cs="Times New Roman"/>
          <w:color w:val="000000" w:themeColor="text1"/>
          <w:sz w:val="23"/>
          <w:szCs w:val="23"/>
          <w:lang w:val="en-US"/>
        </w:rPr>
        <w:t>, Harper Business, New York, NY..</w:t>
      </w:r>
    </w:p>
    <w:p w14:paraId="14F86F65"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El-Bannany, M. (2008), “A study of determinants of intellectual capital performance in banks: the UK case”, Journal of Intellectual Capital, Vol. 9, pp. 487-498.</w:t>
      </w:r>
    </w:p>
    <w:p w14:paraId="19D62D4A"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Fama, E. F., and French, K. R. (2001), “Disappearing dividends: changing firm characteristics or lower propensity to pay?”, </w:t>
      </w:r>
      <w:r w:rsidRPr="00B22DEF">
        <w:rPr>
          <w:rFonts w:ascii="Times New Roman" w:hAnsi="Times New Roman" w:cs="Times New Roman"/>
          <w:i/>
          <w:color w:val="000000" w:themeColor="text1"/>
          <w:sz w:val="23"/>
          <w:szCs w:val="23"/>
          <w:lang w:val="en-US"/>
        </w:rPr>
        <w:t>Journal of Financial economics</w:t>
      </w:r>
      <w:r w:rsidRPr="00B22DEF">
        <w:rPr>
          <w:rFonts w:ascii="Times New Roman" w:hAnsi="Times New Roman" w:cs="Times New Roman"/>
          <w:color w:val="000000" w:themeColor="text1"/>
          <w:sz w:val="23"/>
          <w:szCs w:val="23"/>
          <w:lang w:val="en-US"/>
        </w:rPr>
        <w:t>, Vol. 60 No.1, pp. 3-43.</w:t>
      </w:r>
    </w:p>
    <w:p w14:paraId="4894412E"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Ferchichi, J., &amp; Paturel, R. (2013). The effect of intellectual capital disclosure on the value creation: An empirical study using Tunisian annual reports. International Journal of Accounting and Financial Reporting, 3(1), 81.</w:t>
      </w:r>
    </w:p>
    <w:p w14:paraId="7A955E9E"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Firer, S. and Williams, M. (2003), “Intellectual capital and traditional measures of corporate performance”, Journal of Intellectual Capital, Vol. 4 No. 3, pp. 348-360.</w:t>
      </w:r>
    </w:p>
    <w:p w14:paraId="4F5BDC97"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lastRenderedPageBreak/>
        <w:t>Forte, W., Tucker, J., Matonti, G. and Nicolò, G. (2017), "Measuring the Intellectual Capital of Italian listed companies", Journal of Intellectual Capital, https://doi.org/10.1108/JIC-08-2016-0083.</w:t>
      </w:r>
    </w:p>
    <w:p w14:paraId="122A7D2D"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Gan, K., and Saleh, Z. (2008), “Intellectual capital and corporate performance of technology-intensive companies: Malaysia evidence”, </w:t>
      </w:r>
      <w:r w:rsidRPr="00B22DEF">
        <w:rPr>
          <w:rFonts w:ascii="Times New Roman" w:hAnsi="Times New Roman" w:cs="Times New Roman"/>
          <w:i/>
          <w:color w:val="000000" w:themeColor="text1"/>
          <w:sz w:val="23"/>
          <w:szCs w:val="23"/>
          <w:lang w:val="en-US"/>
        </w:rPr>
        <w:t>Asian journal of business and Accounting</w:t>
      </w:r>
      <w:r w:rsidRPr="00B22DEF">
        <w:rPr>
          <w:rFonts w:ascii="Times New Roman" w:hAnsi="Times New Roman" w:cs="Times New Roman"/>
          <w:color w:val="000000" w:themeColor="text1"/>
          <w:sz w:val="23"/>
          <w:szCs w:val="23"/>
          <w:lang w:val="en-US"/>
        </w:rPr>
        <w:t>, Vol. 1 No.1, pp. 113-130.</w:t>
      </w:r>
    </w:p>
    <w:p w14:paraId="0310E58B"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Ghosh, D., and Wu, A. (2007), “Intellectual capital and capital markets: additional evidence”, </w:t>
      </w:r>
      <w:r w:rsidRPr="00B22DEF">
        <w:rPr>
          <w:rFonts w:ascii="Times New Roman" w:hAnsi="Times New Roman" w:cs="Times New Roman"/>
          <w:i/>
          <w:color w:val="000000" w:themeColor="text1"/>
          <w:sz w:val="23"/>
          <w:szCs w:val="23"/>
          <w:lang w:val="en-US"/>
        </w:rPr>
        <w:t>Journal of Intellectual Capital</w:t>
      </w:r>
      <w:r w:rsidRPr="00B22DEF">
        <w:rPr>
          <w:rFonts w:ascii="Times New Roman" w:hAnsi="Times New Roman" w:cs="Times New Roman"/>
          <w:color w:val="000000" w:themeColor="text1"/>
          <w:sz w:val="23"/>
          <w:szCs w:val="23"/>
          <w:lang w:val="en-US"/>
        </w:rPr>
        <w:t>, Vol. 8 No. 2, pp. 216-235.</w:t>
      </w:r>
    </w:p>
    <w:p w14:paraId="3A42AFD5"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Gigante, G. (2013). Intellectual Capital and Bank Performance in Europe. Accounting and Finance Research, 2(4), 120.</w:t>
      </w:r>
    </w:p>
    <w:p w14:paraId="2B6049E9"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Godyn, J. (2013), “Intellectual Capital Valuation and Stock Market Performance in an Era of Financial Turmoil: Blue Chip Banks Listed in Stock Exchanges of the Visegrad Countries”, </w:t>
      </w:r>
      <w:r w:rsidRPr="00B22DEF">
        <w:rPr>
          <w:rFonts w:ascii="Times New Roman" w:hAnsi="Times New Roman" w:cs="Times New Roman"/>
          <w:i/>
          <w:iCs/>
          <w:color w:val="000000" w:themeColor="text1"/>
          <w:sz w:val="23"/>
          <w:szCs w:val="23"/>
          <w:lang w:val="en-US"/>
        </w:rPr>
        <w:t>Theory, Methodology, Practice</w:t>
      </w:r>
      <w:r w:rsidRPr="00B22DEF">
        <w:rPr>
          <w:rFonts w:ascii="Times New Roman" w:hAnsi="Times New Roman" w:cs="Times New Roman"/>
          <w:iCs/>
          <w:color w:val="000000" w:themeColor="text1"/>
          <w:sz w:val="23"/>
          <w:szCs w:val="23"/>
          <w:lang w:val="en-US"/>
        </w:rPr>
        <w:t>, Vol.</w:t>
      </w:r>
      <w:r w:rsidRPr="00B22DEF">
        <w:rPr>
          <w:rFonts w:ascii="Times New Roman" w:hAnsi="Times New Roman" w:cs="Times New Roman"/>
          <w:color w:val="000000" w:themeColor="text1"/>
          <w:sz w:val="23"/>
          <w:szCs w:val="23"/>
          <w:lang w:val="en-US"/>
        </w:rPr>
        <w:t> 9 No. 2, pp. 53-61.</w:t>
      </w:r>
    </w:p>
    <w:p w14:paraId="28003DB9"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Goebel, V. (2015), “Estimating a measure of intellectual capital value to test its determinants”, </w:t>
      </w:r>
      <w:r w:rsidRPr="00B22DEF">
        <w:rPr>
          <w:rFonts w:ascii="Times New Roman" w:hAnsi="Times New Roman" w:cs="Times New Roman"/>
          <w:i/>
          <w:iCs/>
          <w:color w:val="000000" w:themeColor="text1"/>
          <w:sz w:val="23"/>
          <w:szCs w:val="23"/>
          <w:lang w:val="en-US"/>
        </w:rPr>
        <w:t>Journal of Intellectual Capital</w:t>
      </w:r>
      <w:r w:rsidRPr="00B22DEF">
        <w:rPr>
          <w:rFonts w:ascii="Times New Roman" w:hAnsi="Times New Roman" w:cs="Times New Roman"/>
          <w:color w:val="000000" w:themeColor="text1"/>
          <w:sz w:val="23"/>
          <w:szCs w:val="23"/>
          <w:lang w:val="en-US"/>
        </w:rPr>
        <w:t xml:space="preserve">, Vol. </w:t>
      </w:r>
      <w:r w:rsidRPr="00B22DEF">
        <w:rPr>
          <w:rFonts w:ascii="Times New Roman" w:hAnsi="Times New Roman" w:cs="Times New Roman"/>
          <w:iCs/>
          <w:color w:val="000000" w:themeColor="text1"/>
          <w:sz w:val="23"/>
          <w:szCs w:val="23"/>
          <w:lang w:val="en-US"/>
        </w:rPr>
        <w:t xml:space="preserve">16 No. </w:t>
      </w:r>
      <w:r w:rsidRPr="00B22DEF">
        <w:rPr>
          <w:rFonts w:ascii="Times New Roman" w:hAnsi="Times New Roman" w:cs="Times New Roman"/>
          <w:color w:val="000000" w:themeColor="text1"/>
          <w:sz w:val="23"/>
          <w:szCs w:val="23"/>
          <w:lang w:val="en-US"/>
        </w:rPr>
        <w:t>1, pp. 101-120.</w:t>
      </w:r>
    </w:p>
    <w:p w14:paraId="2C4CA006"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Gogan, M. L. (2014). An innovative model for measuring intellectual capital. Procedia-Social and Behavioral Sciences, 124, 194-199.</w:t>
      </w:r>
    </w:p>
    <w:p w14:paraId="12A3DA67"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Guthrie, J. and Petty, R. (2000), “Intellectual capital: Australian annual reporting practices”, </w:t>
      </w:r>
      <w:r w:rsidRPr="00B22DEF">
        <w:rPr>
          <w:rFonts w:ascii="Times New Roman" w:hAnsi="Times New Roman" w:cs="Times New Roman"/>
          <w:i/>
          <w:color w:val="000000" w:themeColor="text1"/>
          <w:sz w:val="23"/>
          <w:szCs w:val="23"/>
          <w:lang w:val="en-US"/>
        </w:rPr>
        <w:t>Journal of intellectual capital</w:t>
      </w:r>
      <w:r w:rsidRPr="00B22DEF">
        <w:rPr>
          <w:rFonts w:ascii="Times New Roman" w:hAnsi="Times New Roman" w:cs="Times New Roman"/>
          <w:color w:val="000000" w:themeColor="text1"/>
          <w:sz w:val="23"/>
          <w:szCs w:val="23"/>
          <w:lang w:val="en-US"/>
        </w:rPr>
        <w:t>, Vol. 1 No. 3, pp. 241-251.</w:t>
      </w:r>
    </w:p>
    <w:p w14:paraId="32FE5B30"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rPr>
        <w:t xml:space="preserve">Guthrie, J., Ricceri, F., &amp; Dumay, J. (2012). </w:t>
      </w:r>
      <w:r w:rsidRPr="00B22DEF">
        <w:rPr>
          <w:rFonts w:ascii="Times New Roman" w:hAnsi="Times New Roman" w:cs="Times New Roman"/>
          <w:color w:val="000000" w:themeColor="text1"/>
          <w:sz w:val="23"/>
          <w:szCs w:val="23"/>
          <w:lang w:val="en-US"/>
        </w:rPr>
        <w:t>Reflections and projections: a decade of intellectual capital accounting research. The British Accounting Review, 44(2), 68-82.</w:t>
      </w:r>
    </w:p>
    <w:p w14:paraId="62FD1C00"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Iazzolino, G., &amp; Laise, D. (2013). Value added intellectual coefficient (VAIC) A methodological and critical review. Journal of Intellectual Capital, 14(4), 547-563.</w:t>
      </w:r>
    </w:p>
    <w:p w14:paraId="2328047E"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Jahanian, R., &amp; Salehi, R. (2013). Managing Intellectual Capital in Organizations. International Journal of Human Resource Studies, 3(4), 121.</w:t>
      </w:r>
    </w:p>
    <w:p w14:paraId="51411D1B"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Jurczak, J. (2008). Intellectual capital measurement methods. Economics and organization of enterprise, 1(1), 37-45.</w:t>
      </w:r>
    </w:p>
    <w:p w14:paraId="4A066BA6"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Kaplan, R. S. and Norton, D. P. (1996), </w:t>
      </w:r>
      <w:r w:rsidRPr="00B22DEF">
        <w:rPr>
          <w:rFonts w:ascii="Times New Roman" w:hAnsi="Times New Roman" w:cs="Times New Roman"/>
          <w:i/>
          <w:iCs/>
          <w:color w:val="000000" w:themeColor="text1"/>
          <w:sz w:val="23"/>
          <w:szCs w:val="23"/>
          <w:lang w:val="en-US"/>
        </w:rPr>
        <w:t>The balanced scorecard: translating strategy into action</w:t>
      </w:r>
      <w:r w:rsidRPr="00B22DEF">
        <w:rPr>
          <w:rFonts w:ascii="Times New Roman" w:hAnsi="Times New Roman" w:cs="Times New Roman"/>
          <w:color w:val="000000" w:themeColor="text1"/>
          <w:sz w:val="23"/>
          <w:szCs w:val="23"/>
          <w:lang w:val="en-US"/>
        </w:rPr>
        <w:t>. Harvard Business Press.</w:t>
      </w:r>
    </w:p>
    <w:p w14:paraId="735CAD26"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Keenan, J. and Aggestam, M. (2001), “Corporate governance and intellectual capital: some conceptualisations”, </w:t>
      </w:r>
      <w:r w:rsidRPr="00B22DEF">
        <w:rPr>
          <w:rFonts w:ascii="Times New Roman" w:hAnsi="Times New Roman" w:cs="Times New Roman"/>
          <w:i/>
          <w:iCs/>
          <w:color w:val="000000" w:themeColor="text1"/>
          <w:sz w:val="23"/>
          <w:szCs w:val="23"/>
          <w:lang w:val="en-US"/>
        </w:rPr>
        <w:t>Corporate Governance: An International Review</w:t>
      </w:r>
      <w:r w:rsidRPr="00B22DEF">
        <w:rPr>
          <w:rFonts w:ascii="Times New Roman" w:hAnsi="Times New Roman" w:cs="Times New Roman"/>
          <w:color w:val="000000" w:themeColor="text1"/>
          <w:sz w:val="23"/>
          <w:szCs w:val="23"/>
          <w:lang w:val="en-US"/>
        </w:rPr>
        <w:t xml:space="preserve">, Vol. </w:t>
      </w:r>
      <w:r w:rsidRPr="00B22DEF">
        <w:rPr>
          <w:rFonts w:ascii="Times New Roman" w:hAnsi="Times New Roman" w:cs="Times New Roman"/>
          <w:iCs/>
          <w:color w:val="000000" w:themeColor="text1"/>
          <w:sz w:val="23"/>
          <w:szCs w:val="23"/>
          <w:lang w:val="en-US"/>
        </w:rPr>
        <w:t xml:space="preserve">9 No. </w:t>
      </w:r>
      <w:r w:rsidRPr="00B22DEF">
        <w:rPr>
          <w:rFonts w:ascii="Times New Roman" w:hAnsi="Times New Roman" w:cs="Times New Roman"/>
          <w:color w:val="000000" w:themeColor="text1"/>
          <w:sz w:val="23"/>
          <w:szCs w:val="23"/>
          <w:lang w:val="en-US"/>
        </w:rPr>
        <w:t>4, 259-275.</w:t>
      </w:r>
    </w:p>
    <w:p w14:paraId="456B6F95"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Khalique, M., Bontis, N., Abdul Nassir bin Shaari, J., &amp; Hassan Md. Isa, A. (2015). Intellectual capital in small and medium enterprises in Pakistan. Journal of Intellectual Capital, 16(1), 224-238.</w:t>
      </w:r>
    </w:p>
    <w:p w14:paraId="45A48CCE"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Kok, A. (2007), “Intellectual capital management as part of knowledge management initiatives at institutions of higher learning”, </w:t>
      </w:r>
      <w:r w:rsidRPr="00B22DEF">
        <w:rPr>
          <w:rFonts w:ascii="Times New Roman" w:hAnsi="Times New Roman" w:cs="Times New Roman"/>
          <w:i/>
          <w:color w:val="000000" w:themeColor="text1"/>
          <w:sz w:val="23"/>
          <w:szCs w:val="23"/>
          <w:lang w:val="en-US"/>
        </w:rPr>
        <w:t>The electronic journal of Knowledge management</w:t>
      </w:r>
      <w:r w:rsidRPr="00B22DEF">
        <w:rPr>
          <w:rFonts w:ascii="Times New Roman" w:hAnsi="Times New Roman" w:cs="Times New Roman"/>
          <w:color w:val="000000" w:themeColor="text1"/>
          <w:sz w:val="23"/>
          <w:szCs w:val="23"/>
          <w:lang w:val="en-US"/>
        </w:rPr>
        <w:t>, Vol. 5 No. 2, pp. 181-192.</w:t>
      </w:r>
    </w:p>
    <w:p w14:paraId="54BAA755"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Leonard-Barton, D. (1992), “Core capabilities and core rigidities: A paradox in managing new product development”, </w:t>
      </w:r>
      <w:r w:rsidRPr="00B22DEF">
        <w:rPr>
          <w:rFonts w:ascii="Times New Roman" w:hAnsi="Times New Roman" w:cs="Times New Roman"/>
          <w:i/>
          <w:color w:val="000000" w:themeColor="text1"/>
          <w:sz w:val="23"/>
          <w:szCs w:val="23"/>
          <w:lang w:val="en-US"/>
        </w:rPr>
        <w:t>Strategic Management Journal</w:t>
      </w:r>
      <w:r w:rsidRPr="00B22DEF">
        <w:rPr>
          <w:rFonts w:ascii="Times New Roman" w:hAnsi="Times New Roman" w:cs="Times New Roman"/>
          <w:color w:val="000000" w:themeColor="text1"/>
          <w:sz w:val="23"/>
          <w:szCs w:val="23"/>
          <w:lang w:val="en-US"/>
        </w:rPr>
        <w:t>, Vol. 13-S1, pp. 111–125.</w:t>
      </w:r>
    </w:p>
    <w:p w14:paraId="17B24252"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Lev, B. (2001), Intangibles: Management, and Reporting, Brookings Institution Press, Washington, DC.</w:t>
      </w:r>
    </w:p>
    <w:p w14:paraId="2CA7007C"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Lev, B. and Zambon, S. (2003), “Intangibles and intellectual capital: an introduction to a special</w:t>
      </w:r>
    </w:p>
    <w:p w14:paraId="1DCA4D78"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issue”, European Accounting Review, Vol. 12 No. 4, pp. 597-603.</w:t>
      </w:r>
    </w:p>
    <w:p w14:paraId="750AC5D0"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Lev, B., Cañibano, L. and Marr, B. (2005), “An accounting perspective on intellectual capital”, </w:t>
      </w:r>
      <w:r w:rsidRPr="00B22DEF">
        <w:rPr>
          <w:rFonts w:ascii="Times New Roman" w:hAnsi="Times New Roman" w:cs="Times New Roman"/>
          <w:i/>
          <w:iCs/>
          <w:color w:val="000000" w:themeColor="text1"/>
          <w:sz w:val="23"/>
          <w:szCs w:val="23"/>
          <w:lang w:val="en-US"/>
        </w:rPr>
        <w:t>Perspectives on intellectual capital</w:t>
      </w:r>
      <w:r w:rsidRPr="00B22DEF">
        <w:rPr>
          <w:rFonts w:ascii="Times New Roman" w:hAnsi="Times New Roman" w:cs="Times New Roman"/>
          <w:color w:val="000000" w:themeColor="text1"/>
          <w:sz w:val="23"/>
          <w:szCs w:val="23"/>
          <w:lang w:val="en-US"/>
        </w:rPr>
        <w:t>, pp. 42-55.</w:t>
      </w:r>
    </w:p>
    <w:p w14:paraId="3953B8DF"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Liebowitz, J., &amp; Suen, C. Y. (2000). Developing knowledge management metrics for measuring intellectual capital. Journal of intellectual capital, 1(1), 54-67.</w:t>
      </w:r>
    </w:p>
    <w:p w14:paraId="5BE803AC"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Lipunga, A. M. (2014), “A Longitudinal Assessment of Intellectual Capital of Companies Listed on Malawi Stock Exchange”, </w:t>
      </w:r>
      <w:r w:rsidRPr="00B22DEF">
        <w:rPr>
          <w:rFonts w:ascii="Times New Roman" w:hAnsi="Times New Roman" w:cs="Times New Roman"/>
          <w:i/>
          <w:color w:val="000000" w:themeColor="text1"/>
          <w:sz w:val="23"/>
          <w:szCs w:val="23"/>
          <w:lang w:val="en-US"/>
        </w:rPr>
        <w:t>European Journal of Business and Management</w:t>
      </w:r>
      <w:r w:rsidRPr="00B22DEF">
        <w:rPr>
          <w:rFonts w:ascii="Times New Roman" w:hAnsi="Times New Roman" w:cs="Times New Roman"/>
          <w:color w:val="000000" w:themeColor="text1"/>
          <w:sz w:val="23"/>
          <w:szCs w:val="23"/>
          <w:lang w:val="en-US"/>
        </w:rPr>
        <w:t>, Vol. 6 No. 9, pp. 27-35.</w:t>
      </w:r>
    </w:p>
    <w:p w14:paraId="6EE1D451"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Loderer, C.F., and Waelchli, U. (2010), “Firm Age and Performance”, Available at SSRN: </w:t>
      </w:r>
      <w:hyperlink r:id="rId8" w:tgtFrame="_blank" w:history="1">
        <w:r w:rsidRPr="00B22DEF">
          <w:rPr>
            <w:rStyle w:val="Hyperlink"/>
            <w:rFonts w:ascii="Times New Roman" w:hAnsi="Times New Roman"/>
            <w:color w:val="000000" w:themeColor="text1"/>
            <w:sz w:val="23"/>
            <w:szCs w:val="23"/>
            <w:lang w:val="en-US"/>
          </w:rPr>
          <w:t>https://ssrn.com/abstract=1342248</w:t>
        </w:r>
      </w:hyperlink>
      <w:r w:rsidRPr="00B22DEF">
        <w:rPr>
          <w:rFonts w:ascii="Times New Roman" w:hAnsi="Times New Roman" w:cs="Times New Roman"/>
          <w:color w:val="000000" w:themeColor="text1"/>
          <w:sz w:val="23"/>
          <w:szCs w:val="23"/>
          <w:lang w:val="en-US"/>
        </w:rPr>
        <w:t>.</w:t>
      </w:r>
    </w:p>
    <w:p w14:paraId="689B2AC6"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Loderer, C.F., Stulz, R., and Waelchli, U. (2016), “Firm Rigidities and the Decline in Growth Opportunities”, </w:t>
      </w:r>
      <w:r w:rsidRPr="00B22DEF">
        <w:rPr>
          <w:rFonts w:ascii="Times New Roman" w:hAnsi="Times New Roman" w:cs="Times New Roman"/>
          <w:i/>
          <w:color w:val="000000" w:themeColor="text1"/>
          <w:sz w:val="23"/>
          <w:szCs w:val="23"/>
          <w:lang w:val="en-US"/>
        </w:rPr>
        <w:t>Management Science</w:t>
      </w:r>
      <w:r w:rsidRPr="00B22DEF">
        <w:rPr>
          <w:rFonts w:ascii="Times New Roman" w:hAnsi="Times New Roman" w:cs="Times New Roman"/>
          <w:color w:val="000000" w:themeColor="text1"/>
          <w:sz w:val="23"/>
          <w:szCs w:val="23"/>
          <w:lang w:val="en-US"/>
        </w:rPr>
        <w:t>, pp. 1 – 20.</w:t>
      </w:r>
    </w:p>
    <w:p w14:paraId="23C4D7CE"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Luthy, D. H. (1998, August), “Intellectual capital and its measurement”, In </w:t>
      </w:r>
      <w:r w:rsidRPr="00B22DEF">
        <w:rPr>
          <w:rFonts w:ascii="Times New Roman" w:hAnsi="Times New Roman" w:cs="Times New Roman"/>
          <w:i/>
          <w:iCs/>
          <w:color w:val="000000" w:themeColor="text1"/>
          <w:sz w:val="23"/>
          <w:szCs w:val="23"/>
          <w:lang w:val="en-US"/>
        </w:rPr>
        <w:t>Proceedings of the Asian Pacific Interdisciplinary Research in Accounting Conference (APIRA), Osaka, Japan</w:t>
      </w:r>
      <w:r w:rsidRPr="00B22DEF">
        <w:rPr>
          <w:rFonts w:ascii="Times New Roman" w:hAnsi="Times New Roman" w:cs="Times New Roman"/>
          <w:color w:val="000000" w:themeColor="text1"/>
          <w:sz w:val="23"/>
          <w:szCs w:val="23"/>
          <w:lang w:val="en-US"/>
        </w:rPr>
        <w:t>, pp. 16-17.</w:t>
      </w:r>
    </w:p>
    <w:p w14:paraId="5197C690"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Maditinos, D., Chatzoudes,D., Tsairidis, C. and Theriou, G. (2011), “The impact of intellectual capital on firms’ market value and financial performance”, </w:t>
      </w:r>
      <w:r w:rsidRPr="00B22DEF">
        <w:rPr>
          <w:rFonts w:ascii="Times New Roman" w:hAnsi="Times New Roman" w:cs="Times New Roman"/>
          <w:i/>
          <w:color w:val="000000" w:themeColor="text1"/>
          <w:sz w:val="23"/>
          <w:szCs w:val="23"/>
          <w:lang w:val="en-US"/>
        </w:rPr>
        <w:t>Journal of intellectual capital</w:t>
      </w:r>
      <w:r w:rsidRPr="00B22DEF">
        <w:rPr>
          <w:rFonts w:ascii="Times New Roman" w:hAnsi="Times New Roman" w:cs="Times New Roman"/>
          <w:color w:val="000000" w:themeColor="text1"/>
          <w:sz w:val="23"/>
          <w:szCs w:val="23"/>
          <w:lang w:val="en-US"/>
        </w:rPr>
        <w:t>, Vol. 12 No.1, pp.132-151.</w:t>
      </w:r>
    </w:p>
    <w:p w14:paraId="46A95C27"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lastRenderedPageBreak/>
        <w:t>Mavridis, D. G. (2004). The intellectual capital performance of the Japanese banking sector. Journal of Intellectual Capital, 5(1), 92-115.</w:t>
      </w:r>
    </w:p>
    <w:p w14:paraId="6A4115D6"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Morariu Maria Cristina, (2014) "Intellectual capital performance in the case of Romanian public companies", Journal of Intellectual Capital, Vol. 15 Issue: 3, pp.392-410, </w:t>
      </w:r>
      <w:hyperlink r:id="rId9" w:history="1">
        <w:r w:rsidRPr="00B22DEF">
          <w:rPr>
            <w:rStyle w:val="Hyperlink"/>
            <w:rFonts w:ascii="Times New Roman" w:hAnsi="Times New Roman"/>
            <w:color w:val="000000" w:themeColor="text1"/>
            <w:sz w:val="23"/>
            <w:szCs w:val="23"/>
            <w:lang w:val="en-US"/>
          </w:rPr>
          <w:t>https://doi.org/10.1108/JIC-05-2014-0061</w:t>
        </w:r>
      </w:hyperlink>
      <w:r w:rsidRPr="00B22DEF">
        <w:rPr>
          <w:rFonts w:ascii="Times New Roman" w:hAnsi="Times New Roman" w:cs="Times New Roman"/>
          <w:color w:val="000000" w:themeColor="text1"/>
          <w:sz w:val="23"/>
          <w:szCs w:val="23"/>
          <w:lang w:val="en-US"/>
        </w:rPr>
        <w:t>.</w:t>
      </w:r>
    </w:p>
    <w:p w14:paraId="5DEFB27E"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Nahapiet, J. and Ghoshal, S. (1998), “Social capital, intellectual capital, and the organizational advantage”, </w:t>
      </w:r>
      <w:r w:rsidRPr="00B22DEF">
        <w:rPr>
          <w:rFonts w:ascii="Times New Roman" w:hAnsi="Times New Roman" w:cs="Times New Roman"/>
          <w:i/>
          <w:iCs/>
          <w:color w:val="000000" w:themeColor="text1"/>
          <w:sz w:val="23"/>
          <w:szCs w:val="23"/>
          <w:lang w:val="en-US"/>
        </w:rPr>
        <w:t>Academy of management review</w:t>
      </w:r>
      <w:r w:rsidRPr="00B22DEF">
        <w:rPr>
          <w:rFonts w:ascii="Times New Roman" w:hAnsi="Times New Roman" w:cs="Times New Roman"/>
          <w:color w:val="000000" w:themeColor="text1"/>
          <w:sz w:val="23"/>
          <w:szCs w:val="23"/>
          <w:lang w:val="en-US"/>
        </w:rPr>
        <w:t xml:space="preserve">, Vol. </w:t>
      </w:r>
      <w:r w:rsidRPr="00B22DEF">
        <w:rPr>
          <w:rFonts w:ascii="Times New Roman" w:hAnsi="Times New Roman" w:cs="Times New Roman"/>
          <w:iCs/>
          <w:color w:val="000000" w:themeColor="text1"/>
          <w:sz w:val="23"/>
          <w:szCs w:val="23"/>
          <w:lang w:val="en-US"/>
        </w:rPr>
        <w:t xml:space="preserve">23 No. </w:t>
      </w:r>
      <w:r w:rsidRPr="00B22DEF">
        <w:rPr>
          <w:rFonts w:ascii="Times New Roman" w:hAnsi="Times New Roman" w:cs="Times New Roman"/>
          <w:color w:val="000000" w:themeColor="text1"/>
          <w:sz w:val="23"/>
          <w:szCs w:val="23"/>
          <w:lang w:val="en-US"/>
        </w:rPr>
        <w:t>2, pp. 242-266.</w:t>
      </w:r>
    </w:p>
    <w:p w14:paraId="4F9F805C"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Nicholson, G.J. and Kiel, G C. (2004), “A framework for diagnosing board effectiveness”, </w:t>
      </w:r>
      <w:r w:rsidRPr="00B22DEF">
        <w:rPr>
          <w:rFonts w:ascii="Times New Roman" w:hAnsi="Times New Roman" w:cs="Times New Roman"/>
          <w:i/>
          <w:color w:val="000000" w:themeColor="text1"/>
          <w:sz w:val="23"/>
          <w:szCs w:val="23"/>
          <w:lang w:val="en-US"/>
        </w:rPr>
        <w:t>Corporate Governance: An International Review</w:t>
      </w:r>
      <w:r w:rsidRPr="00B22DEF">
        <w:rPr>
          <w:rFonts w:ascii="Times New Roman" w:hAnsi="Times New Roman" w:cs="Times New Roman"/>
          <w:color w:val="000000" w:themeColor="text1"/>
          <w:sz w:val="23"/>
          <w:szCs w:val="23"/>
          <w:lang w:val="en-US"/>
        </w:rPr>
        <w:t>, Vol. 12 No. 4, pp. 442–460</w:t>
      </w:r>
    </w:p>
    <w:p w14:paraId="350C3B8A"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rPr>
        <w:t xml:space="preserve">Noradiva, H., Parastou, A., &amp; Azlina, A. (2016). </w:t>
      </w:r>
      <w:r w:rsidRPr="00B22DEF">
        <w:rPr>
          <w:rFonts w:ascii="Times New Roman" w:hAnsi="Times New Roman" w:cs="Times New Roman"/>
          <w:color w:val="000000" w:themeColor="text1"/>
          <w:sz w:val="23"/>
          <w:szCs w:val="23"/>
          <w:lang w:val="en-US"/>
        </w:rPr>
        <w:t>The Effects of Managerial Ownership on the Relationship between Intellectual Capital Performance and Firm Value. International Journal of Social Science and Humanity, 6(7), 514.</w:t>
      </w:r>
    </w:p>
    <w:p w14:paraId="3154E91C"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Omotayo, F.O. (2015), “Knowledge Management as an important tool in Organisational Management: A Review of Literature”, </w:t>
      </w:r>
      <w:r w:rsidRPr="00B22DEF">
        <w:rPr>
          <w:rFonts w:ascii="Times New Roman" w:hAnsi="Times New Roman" w:cs="Times New Roman"/>
          <w:i/>
          <w:color w:val="000000" w:themeColor="text1"/>
          <w:sz w:val="23"/>
          <w:szCs w:val="23"/>
          <w:lang w:val="en-US"/>
        </w:rPr>
        <w:t>Library Philosophy and Practice</w:t>
      </w:r>
      <w:r w:rsidRPr="00B22DEF">
        <w:rPr>
          <w:rFonts w:ascii="Times New Roman" w:hAnsi="Times New Roman" w:cs="Times New Roman"/>
          <w:color w:val="000000" w:themeColor="text1"/>
          <w:sz w:val="23"/>
          <w:szCs w:val="23"/>
          <w:lang w:val="en-US"/>
        </w:rPr>
        <w:t xml:space="preserve"> (e-journal). Paper 1238.</w:t>
      </w:r>
    </w:p>
    <w:p w14:paraId="217FB80E"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Ordóñez de Pablos, P. (2003), “Intellectual capital reporting in Spain: a comparative view”, </w:t>
      </w:r>
      <w:r w:rsidRPr="00B22DEF">
        <w:rPr>
          <w:rFonts w:ascii="Times New Roman" w:hAnsi="Times New Roman" w:cs="Times New Roman"/>
          <w:i/>
          <w:color w:val="000000" w:themeColor="text1"/>
          <w:sz w:val="23"/>
          <w:szCs w:val="23"/>
          <w:lang w:val="en-US"/>
        </w:rPr>
        <w:t>Journal of intellectual capital</w:t>
      </w:r>
      <w:r w:rsidRPr="00B22DEF">
        <w:rPr>
          <w:rFonts w:ascii="Times New Roman" w:hAnsi="Times New Roman" w:cs="Times New Roman"/>
          <w:color w:val="000000" w:themeColor="text1"/>
          <w:sz w:val="23"/>
          <w:szCs w:val="23"/>
          <w:lang w:val="en-US"/>
        </w:rPr>
        <w:t>, Vol. 4 No. 1, pp. 61-81.</w:t>
      </w:r>
    </w:p>
    <w:p w14:paraId="3BC4C59B"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Osinski, M., Osinski, M., Selig, P. M., Selig, P. M., Matos, F., Matos, F., ... &amp; Roman, D. J. (2017). Methods of evaluation of intangible assets and intellectual capital. Journal of Intellectual Capital, 18(3), 470-485.</w:t>
      </w:r>
    </w:p>
    <w:p w14:paraId="06DDA0F5"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Paździor, A., &amp; Paździor, M. (2012). Measurement of intellectual capital in a company. In International Conference management, knowledge and Learning.</w:t>
      </w:r>
    </w:p>
    <w:p w14:paraId="7F747BB7"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Pew Tan, H., Plowman, D., &amp; Hancock, P. (2007). Intellectual capital and financial returns of companies. Journal of Intellectual capital, 8(1), 76-95.</w:t>
      </w:r>
    </w:p>
    <w:p w14:paraId="32BB1BD5"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Pucci, T., Simoni, C., and Zanni, L. (2015), “Measuring the relationship between marketing assets, intellectual capital and firm performance”, </w:t>
      </w:r>
      <w:r w:rsidRPr="00B22DEF">
        <w:rPr>
          <w:rFonts w:ascii="Times New Roman" w:hAnsi="Times New Roman" w:cs="Times New Roman"/>
          <w:i/>
          <w:color w:val="000000" w:themeColor="text1"/>
          <w:sz w:val="23"/>
          <w:szCs w:val="23"/>
          <w:lang w:val="en-US"/>
        </w:rPr>
        <w:t>Journal of Management &amp; Governance</w:t>
      </w:r>
      <w:r w:rsidRPr="00B22DEF">
        <w:rPr>
          <w:rFonts w:ascii="Times New Roman" w:hAnsi="Times New Roman" w:cs="Times New Roman"/>
          <w:color w:val="000000" w:themeColor="text1"/>
          <w:sz w:val="23"/>
          <w:szCs w:val="23"/>
          <w:lang w:val="en-US"/>
        </w:rPr>
        <w:t>, Vol. 19 No. 3, pp. 589-616.</w:t>
      </w:r>
    </w:p>
    <w:p w14:paraId="4F279A10"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Pulic, A. (1998), “Measuring the performance of intellectual potential in the knowledge economy”, The 2nd World Congress on the Management of Intellectual Capital, Hamilton, ON, January 21-23.</w:t>
      </w:r>
    </w:p>
    <w:p w14:paraId="3D4E2FEE"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Pulic, A. (2000), “VAICt – an accounting tool for IC management”, International Journal of Technology Management, Vol. 20 Nos 5-8, pp. 702-714.</w:t>
      </w:r>
    </w:p>
    <w:p w14:paraId="7B918850"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Pulic, A. (2004). Intellectual capital–does it create or destroy value?. Measuring business excellence, 8(1), 62-68.</w:t>
      </w:r>
    </w:p>
    <w:p w14:paraId="19275083"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Pulic, A. (2008), The Principles of Intellectual Capital Efficiency. A Brief Description, Croatian Intellectual Capital Center, Zagreb.</w:t>
      </w:r>
    </w:p>
    <w:p w14:paraId="1448775A"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Puntillo, P. (2009). Intellectual capital and business performance. Evidence from Italian banking industry. Electronic Journal of Corporate Finance, 4(12), 97-115.</w:t>
      </w:r>
    </w:p>
    <w:p w14:paraId="3B176F4B"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Ramanauskaitė, A., &amp; Rudžionienė, K. (2013). Intellectual capital valuation: methods and their classification. Ekonomika, 92.</w:t>
      </w:r>
    </w:p>
    <w:p w14:paraId="0D15618C"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Schiemann, F., Richter, K., and Günther, T. (2015), “The relationship between recognised intangible assets and voluntary intellectual capital disclosure”, </w:t>
      </w:r>
      <w:r w:rsidRPr="00B22DEF">
        <w:rPr>
          <w:rFonts w:ascii="Times New Roman" w:hAnsi="Times New Roman" w:cs="Times New Roman"/>
          <w:i/>
          <w:color w:val="000000" w:themeColor="text1"/>
          <w:sz w:val="23"/>
          <w:szCs w:val="23"/>
          <w:lang w:val="en-US"/>
        </w:rPr>
        <w:t>Journal of Applied Accounting Research</w:t>
      </w:r>
      <w:r w:rsidRPr="00B22DEF">
        <w:rPr>
          <w:rFonts w:ascii="Times New Roman" w:hAnsi="Times New Roman" w:cs="Times New Roman"/>
          <w:color w:val="000000" w:themeColor="text1"/>
          <w:sz w:val="23"/>
          <w:szCs w:val="23"/>
          <w:lang w:val="en-US"/>
        </w:rPr>
        <w:t>, Vol. 16 No.2, pp. 240-264.</w:t>
      </w:r>
    </w:p>
    <w:p w14:paraId="084BEE69"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Stahle, P., Stahle, S. and Aho, S. (2011), “Value added intellectual coefficient (VAIC): a critical analysis”, Journal of Intellectual Capital, Vol. 12 No. 4, pp. 531-551.</w:t>
      </w:r>
    </w:p>
    <w:p w14:paraId="6405EE9C"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Stewart, T. (1997), </w:t>
      </w:r>
      <w:r w:rsidRPr="00B22DEF">
        <w:rPr>
          <w:rFonts w:ascii="Times New Roman" w:hAnsi="Times New Roman" w:cs="Times New Roman"/>
          <w:i/>
          <w:color w:val="000000" w:themeColor="text1"/>
          <w:sz w:val="23"/>
          <w:szCs w:val="23"/>
          <w:lang w:val="en-US"/>
        </w:rPr>
        <w:t>Intellectual Capital: The New Wealth of Nations</w:t>
      </w:r>
      <w:r w:rsidRPr="00B22DEF">
        <w:rPr>
          <w:rFonts w:ascii="Times New Roman" w:hAnsi="Times New Roman" w:cs="Times New Roman"/>
          <w:color w:val="000000" w:themeColor="text1"/>
          <w:sz w:val="23"/>
          <w:szCs w:val="23"/>
          <w:lang w:val="en-US"/>
        </w:rPr>
        <w:t>, Doubleday Dell Publishing Group, New York, NY.</w:t>
      </w:r>
    </w:p>
    <w:p w14:paraId="529FC6EA"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Suhermin, A. (2014). The effect of intellectual capital on stock price and company value in manufacturing companies listed in Indonesia Stock Exchange 2008-2012 with size and leverage as moderating variables. The Indonesian Accounting Review, 4(02), 157-168.</w:t>
      </w:r>
    </w:p>
    <w:p w14:paraId="569EDC98"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Sveiby, K. E. (2001). A knowledge-based theory of the firm to guide in strategy formulation. Journal of intellectual capital, 2(4), 344-358.</w:t>
      </w:r>
    </w:p>
    <w:p w14:paraId="2781880A"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Sydler, R., Haefliger, S., &amp; Pruksa, R. (2014). Measuring intellectual capital with financial figures: Can we predict firm profitability?. European Management Journal, 32(2), 244-259.</w:t>
      </w:r>
    </w:p>
    <w:p w14:paraId="2F4CB2CA"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lastRenderedPageBreak/>
        <w:t xml:space="preserve">Tseng, K.A., Lin, C.I. and Yen, S.W. (2015), "Contingencies of intellectual capitals and financial capital on value creation: Moderation of business cycles", </w:t>
      </w:r>
      <w:r w:rsidRPr="00B22DEF">
        <w:rPr>
          <w:rFonts w:ascii="Times New Roman" w:hAnsi="Times New Roman" w:cs="Times New Roman"/>
          <w:i/>
          <w:color w:val="000000" w:themeColor="text1"/>
          <w:sz w:val="23"/>
          <w:szCs w:val="23"/>
          <w:lang w:val="en-US"/>
        </w:rPr>
        <w:t>Journal of Intellectual Capital</w:t>
      </w:r>
      <w:r w:rsidRPr="00B22DEF">
        <w:rPr>
          <w:rFonts w:ascii="Times New Roman" w:hAnsi="Times New Roman" w:cs="Times New Roman"/>
          <w:color w:val="000000" w:themeColor="text1"/>
          <w:sz w:val="23"/>
          <w:szCs w:val="23"/>
          <w:lang w:val="en-US"/>
        </w:rPr>
        <w:t>, Vol. 16 No. 1, pp.156-173.</w:t>
      </w:r>
    </w:p>
    <w:p w14:paraId="2C73A9FA"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Van der Meer-Kooistra, J. and Zijlstra, S. M. (2001), “Reporting on intellectual capital”, </w:t>
      </w:r>
      <w:r w:rsidRPr="00B22DEF">
        <w:rPr>
          <w:rFonts w:ascii="Times New Roman" w:hAnsi="Times New Roman" w:cs="Times New Roman"/>
          <w:i/>
          <w:iCs/>
          <w:color w:val="000000" w:themeColor="text1"/>
          <w:sz w:val="23"/>
          <w:szCs w:val="23"/>
          <w:lang w:val="en-US"/>
        </w:rPr>
        <w:t>Accounting, Auditing &amp; Accountability Journal</w:t>
      </w:r>
      <w:r w:rsidRPr="00B22DEF">
        <w:rPr>
          <w:rFonts w:ascii="Times New Roman" w:hAnsi="Times New Roman" w:cs="Times New Roman"/>
          <w:color w:val="000000" w:themeColor="text1"/>
          <w:sz w:val="23"/>
          <w:szCs w:val="23"/>
          <w:lang w:val="en-US"/>
        </w:rPr>
        <w:t xml:space="preserve">, Vol. </w:t>
      </w:r>
      <w:r w:rsidRPr="00B22DEF">
        <w:rPr>
          <w:rFonts w:ascii="Times New Roman" w:hAnsi="Times New Roman" w:cs="Times New Roman"/>
          <w:iCs/>
          <w:color w:val="000000" w:themeColor="text1"/>
          <w:sz w:val="23"/>
          <w:szCs w:val="23"/>
          <w:lang w:val="en-US"/>
        </w:rPr>
        <w:t xml:space="preserve">14 No. </w:t>
      </w:r>
      <w:r w:rsidRPr="00B22DEF">
        <w:rPr>
          <w:rFonts w:ascii="Times New Roman" w:hAnsi="Times New Roman" w:cs="Times New Roman"/>
          <w:color w:val="000000" w:themeColor="text1"/>
          <w:sz w:val="23"/>
          <w:szCs w:val="23"/>
          <w:lang w:val="en-US"/>
        </w:rPr>
        <w:t>4, pp. 456-476.</w:t>
      </w:r>
    </w:p>
    <w:p w14:paraId="6C4CB74E"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Villalonga, B. (2004), “Intangible resources, Tobin’s q, and sustainability of performance differences”, </w:t>
      </w:r>
      <w:r w:rsidRPr="00B22DEF">
        <w:rPr>
          <w:rFonts w:ascii="Times New Roman" w:hAnsi="Times New Roman" w:cs="Times New Roman"/>
          <w:i/>
          <w:iCs/>
          <w:color w:val="000000" w:themeColor="text1"/>
          <w:sz w:val="23"/>
          <w:szCs w:val="23"/>
          <w:lang w:val="en-US"/>
        </w:rPr>
        <w:t>Journal of Economic Behavior &amp; Organization</w:t>
      </w:r>
      <w:r w:rsidRPr="00B22DEF">
        <w:rPr>
          <w:rFonts w:ascii="Times New Roman" w:hAnsi="Times New Roman" w:cs="Times New Roman"/>
          <w:color w:val="000000" w:themeColor="text1"/>
          <w:sz w:val="23"/>
          <w:szCs w:val="23"/>
          <w:lang w:val="en-US"/>
        </w:rPr>
        <w:t xml:space="preserve">, Vol. </w:t>
      </w:r>
      <w:r w:rsidRPr="00B22DEF">
        <w:rPr>
          <w:rFonts w:ascii="Times New Roman" w:hAnsi="Times New Roman" w:cs="Times New Roman"/>
          <w:iCs/>
          <w:color w:val="000000" w:themeColor="text1"/>
          <w:sz w:val="23"/>
          <w:szCs w:val="23"/>
          <w:lang w:val="en-US"/>
        </w:rPr>
        <w:t xml:space="preserve">54 No. </w:t>
      </w:r>
      <w:r w:rsidRPr="00B22DEF">
        <w:rPr>
          <w:rFonts w:ascii="Times New Roman" w:hAnsi="Times New Roman" w:cs="Times New Roman"/>
          <w:color w:val="000000" w:themeColor="text1"/>
          <w:sz w:val="23"/>
          <w:szCs w:val="23"/>
          <w:lang w:val="en-US"/>
        </w:rPr>
        <w:t>2, pp. 205-230.</w:t>
      </w:r>
    </w:p>
    <w:p w14:paraId="56212338"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Whiting, R.H. and Miller, J.C. (2008), “Voluntary disclosure of intellectual capital in New Zealand annual reports and the “hidden value”</w:t>
      </w:r>
      <w:r w:rsidRPr="00B22DEF">
        <w:rPr>
          <w:rFonts w:ascii="Times New Roman" w:hAnsi="Times New Roman" w:cs="Times New Roman"/>
          <w:i/>
          <w:color w:val="000000" w:themeColor="text1"/>
          <w:sz w:val="23"/>
          <w:szCs w:val="23"/>
          <w:lang w:val="en-US"/>
        </w:rPr>
        <w:t>. Journal of Human Resource Costing &amp; Accounting</w:t>
      </w:r>
      <w:r w:rsidRPr="00B22DEF">
        <w:rPr>
          <w:rFonts w:ascii="Times New Roman" w:hAnsi="Times New Roman" w:cs="Times New Roman"/>
          <w:color w:val="000000" w:themeColor="text1"/>
          <w:sz w:val="23"/>
          <w:szCs w:val="23"/>
          <w:lang w:val="en-US"/>
        </w:rPr>
        <w:t>, Vol. 12 No. 1, pp. 26-50.</w:t>
      </w:r>
    </w:p>
    <w:p w14:paraId="50510D29"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 xml:space="preserve">Youndt, M.A., Subramaniam, M. and Snell, S.A. (2004), “Intellectual Capital Profiles: An Examination of Investments and Returns“. </w:t>
      </w:r>
      <w:r w:rsidRPr="00B22DEF">
        <w:rPr>
          <w:rFonts w:ascii="Times New Roman" w:hAnsi="Times New Roman" w:cs="Times New Roman"/>
          <w:i/>
          <w:iCs/>
          <w:color w:val="000000" w:themeColor="text1"/>
          <w:sz w:val="23"/>
          <w:szCs w:val="23"/>
          <w:lang w:val="en-US"/>
        </w:rPr>
        <w:t>Journal of Management Studies</w:t>
      </w:r>
      <w:r w:rsidRPr="00B22DEF">
        <w:rPr>
          <w:rFonts w:ascii="Times New Roman" w:hAnsi="Times New Roman" w:cs="Times New Roman"/>
          <w:color w:val="000000" w:themeColor="text1"/>
          <w:sz w:val="23"/>
          <w:szCs w:val="23"/>
          <w:lang w:val="en-US"/>
        </w:rPr>
        <w:t xml:space="preserve">, Vol. </w:t>
      </w:r>
      <w:r w:rsidRPr="00B22DEF">
        <w:rPr>
          <w:rFonts w:ascii="Times New Roman" w:hAnsi="Times New Roman" w:cs="Times New Roman"/>
          <w:iCs/>
          <w:color w:val="000000" w:themeColor="text1"/>
          <w:sz w:val="23"/>
          <w:szCs w:val="23"/>
          <w:lang w:val="en-US"/>
        </w:rPr>
        <w:t>41 No.</w:t>
      </w:r>
      <w:r w:rsidRPr="00B22DEF">
        <w:rPr>
          <w:rFonts w:ascii="Times New Roman" w:hAnsi="Times New Roman" w:cs="Times New Roman"/>
          <w:color w:val="000000" w:themeColor="text1"/>
          <w:sz w:val="23"/>
          <w:szCs w:val="23"/>
          <w:lang w:val="en-US"/>
        </w:rPr>
        <w:t xml:space="preserve"> 2, pp. 335-361.</w:t>
      </w:r>
    </w:p>
    <w:p w14:paraId="5072B45C" w14:textId="77777777" w:rsidR="00B22DEF" w:rsidRPr="00B22DEF" w:rsidRDefault="00B22DEF" w:rsidP="00B22DEF">
      <w:pPr>
        <w:spacing w:after="0" w:line="240" w:lineRule="auto"/>
        <w:ind w:left="397" w:hanging="397"/>
        <w:jc w:val="both"/>
        <w:rPr>
          <w:rFonts w:ascii="Times New Roman" w:hAnsi="Times New Roman" w:cs="Times New Roman"/>
          <w:color w:val="000000" w:themeColor="text1"/>
          <w:sz w:val="23"/>
          <w:szCs w:val="23"/>
          <w:lang w:val="en-US"/>
        </w:rPr>
      </w:pPr>
      <w:r w:rsidRPr="00B22DEF">
        <w:rPr>
          <w:rFonts w:ascii="Times New Roman" w:hAnsi="Times New Roman" w:cs="Times New Roman"/>
          <w:color w:val="000000" w:themeColor="text1"/>
          <w:sz w:val="23"/>
          <w:szCs w:val="23"/>
          <w:lang w:val="en-US"/>
        </w:rPr>
        <w:t>Zeghal, D., &amp; Maaloul, A. (2010). Analysing value added as an indicator of intellectual capital and its consequences on company performance. Journal of Intellectual capital, 11(1), 39-60.</w:t>
      </w:r>
    </w:p>
    <w:p w14:paraId="5B7E1EC9" w14:textId="77777777" w:rsidR="0079595E" w:rsidRPr="00983193" w:rsidDel="00415DD5" w:rsidRDefault="0079595E" w:rsidP="00A53C54">
      <w:pPr>
        <w:spacing w:after="0" w:line="240" w:lineRule="auto"/>
        <w:ind w:left="397" w:hanging="397"/>
        <w:jc w:val="both"/>
        <w:rPr>
          <w:rFonts w:ascii="Times New Roman" w:hAnsi="Times New Roman" w:cs="Times New Roman"/>
          <w:color w:val="000000" w:themeColor="text1"/>
          <w:sz w:val="23"/>
          <w:szCs w:val="23"/>
          <w:lang w:val="en-US"/>
        </w:rPr>
      </w:pPr>
    </w:p>
    <w:p w14:paraId="106FFE68" w14:textId="77777777" w:rsidR="0079595E" w:rsidRPr="00983193" w:rsidDel="00415DD5" w:rsidRDefault="0079595E" w:rsidP="00A53C54">
      <w:pPr>
        <w:spacing w:after="0" w:line="240" w:lineRule="auto"/>
        <w:ind w:left="397" w:hanging="397"/>
        <w:jc w:val="both"/>
        <w:rPr>
          <w:rFonts w:ascii="Times New Roman" w:hAnsi="Times New Roman" w:cs="Times New Roman"/>
          <w:color w:val="000000" w:themeColor="text1"/>
          <w:sz w:val="23"/>
          <w:szCs w:val="23"/>
          <w:lang w:val="en-US"/>
        </w:rPr>
      </w:pPr>
    </w:p>
    <w:p w14:paraId="337F9926" w14:textId="77777777" w:rsidR="0079595E" w:rsidRPr="00983193" w:rsidDel="00415DD5" w:rsidRDefault="0079595E" w:rsidP="00A53C54">
      <w:pPr>
        <w:spacing w:after="0" w:line="240" w:lineRule="auto"/>
        <w:ind w:left="397" w:hanging="397"/>
        <w:jc w:val="both"/>
        <w:rPr>
          <w:rFonts w:ascii="Times New Roman" w:hAnsi="Times New Roman" w:cs="Times New Roman"/>
          <w:color w:val="000000" w:themeColor="text1"/>
          <w:sz w:val="23"/>
          <w:szCs w:val="23"/>
          <w:lang w:val="en-US"/>
        </w:rPr>
      </w:pPr>
    </w:p>
    <w:p w14:paraId="41231794" w14:textId="77777777" w:rsidR="008E38DA" w:rsidRPr="00983193" w:rsidDel="00415DD5" w:rsidRDefault="008E38DA" w:rsidP="00A53C54">
      <w:pPr>
        <w:spacing w:after="0" w:line="240" w:lineRule="auto"/>
        <w:ind w:left="397" w:hanging="397"/>
        <w:jc w:val="both"/>
        <w:rPr>
          <w:rFonts w:ascii="Times New Roman" w:hAnsi="Times New Roman" w:cs="Times New Roman"/>
          <w:color w:val="000000" w:themeColor="text1"/>
          <w:sz w:val="23"/>
          <w:szCs w:val="23"/>
          <w:lang w:val="en-US"/>
        </w:rPr>
      </w:pPr>
    </w:p>
    <w:p w14:paraId="7A4C5B42" w14:textId="77777777" w:rsidR="008E38DA" w:rsidRPr="00983193" w:rsidDel="00415DD5" w:rsidRDefault="008E38DA" w:rsidP="00A53C54">
      <w:pPr>
        <w:spacing w:after="0" w:line="240" w:lineRule="auto"/>
        <w:ind w:left="397" w:hanging="397"/>
        <w:jc w:val="both"/>
        <w:rPr>
          <w:rFonts w:ascii="Times New Roman" w:hAnsi="Times New Roman" w:cs="Times New Roman"/>
          <w:color w:val="000000" w:themeColor="text1"/>
          <w:sz w:val="23"/>
          <w:szCs w:val="23"/>
          <w:lang w:val="en-US"/>
        </w:rPr>
      </w:pPr>
    </w:p>
    <w:p w14:paraId="5E55F2A7" w14:textId="77777777" w:rsidR="008E38DA" w:rsidRPr="00983193" w:rsidDel="00415DD5" w:rsidRDefault="008E38DA" w:rsidP="00A53C54">
      <w:pPr>
        <w:spacing w:after="0" w:line="240" w:lineRule="auto"/>
        <w:ind w:left="397" w:hanging="397"/>
        <w:jc w:val="both"/>
        <w:rPr>
          <w:rFonts w:ascii="Times New Roman" w:hAnsi="Times New Roman" w:cs="Times New Roman"/>
          <w:color w:val="000000" w:themeColor="text1"/>
          <w:sz w:val="23"/>
          <w:szCs w:val="23"/>
          <w:lang w:val="en-US"/>
        </w:rPr>
      </w:pPr>
    </w:p>
    <w:p w14:paraId="224ADE4A" w14:textId="77777777" w:rsidR="006F45C2" w:rsidRPr="00983193" w:rsidDel="00415DD5" w:rsidRDefault="006F45C2" w:rsidP="00A53C54">
      <w:pPr>
        <w:spacing w:after="0" w:line="240" w:lineRule="auto"/>
        <w:ind w:left="397" w:hanging="397"/>
        <w:jc w:val="both"/>
        <w:rPr>
          <w:rFonts w:ascii="Times New Roman" w:hAnsi="Times New Roman" w:cs="Times New Roman"/>
          <w:color w:val="000000" w:themeColor="text1"/>
          <w:sz w:val="23"/>
          <w:szCs w:val="23"/>
          <w:lang w:val="en-US"/>
        </w:rPr>
      </w:pPr>
    </w:p>
    <w:p w14:paraId="2D3E8CC2" w14:textId="77777777" w:rsidR="006F45C2" w:rsidRPr="00983193" w:rsidDel="00415DD5" w:rsidRDefault="006F45C2" w:rsidP="00A53C54">
      <w:pPr>
        <w:spacing w:after="0" w:line="240" w:lineRule="auto"/>
        <w:ind w:left="397" w:hanging="397"/>
        <w:jc w:val="both"/>
        <w:rPr>
          <w:rFonts w:ascii="Times New Roman" w:hAnsi="Times New Roman" w:cs="Times New Roman"/>
          <w:color w:val="000000" w:themeColor="text1"/>
          <w:sz w:val="23"/>
          <w:szCs w:val="23"/>
          <w:lang w:val="en-US"/>
        </w:rPr>
      </w:pPr>
    </w:p>
    <w:p w14:paraId="53AABA14" w14:textId="77777777" w:rsidR="008E38DA" w:rsidRPr="00983193" w:rsidDel="00415DD5" w:rsidRDefault="008E38DA" w:rsidP="00A53C54">
      <w:pPr>
        <w:spacing w:after="0" w:line="240" w:lineRule="auto"/>
        <w:ind w:left="397" w:hanging="397"/>
        <w:jc w:val="both"/>
        <w:rPr>
          <w:rFonts w:ascii="Times New Roman" w:hAnsi="Times New Roman" w:cs="Times New Roman"/>
          <w:color w:val="000000" w:themeColor="text1"/>
          <w:sz w:val="23"/>
          <w:szCs w:val="23"/>
          <w:lang w:val="en-US"/>
        </w:rPr>
      </w:pPr>
    </w:p>
    <w:p w14:paraId="57B175AB" w14:textId="77777777" w:rsidR="00A54B09" w:rsidRPr="00983193" w:rsidDel="00415DD5" w:rsidRDefault="00A54B09" w:rsidP="00A53C54">
      <w:pPr>
        <w:spacing w:after="0" w:line="240" w:lineRule="auto"/>
        <w:ind w:left="397" w:hanging="397"/>
        <w:jc w:val="both"/>
        <w:rPr>
          <w:rFonts w:ascii="Times New Roman" w:hAnsi="Times New Roman" w:cs="Times New Roman"/>
          <w:color w:val="000000" w:themeColor="text1"/>
          <w:sz w:val="23"/>
          <w:szCs w:val="23"/>
          <w:lang w:val="en-US"/>
        </w:rPr>
      </w:pPr>
    </w:p>
    <w:p w14:paraId="4DFC0A3F" w14:textId="77777777" w:rsidR="00CD4DE9" w:rsidRPr="00983193" w:rsidDel="00415DD5" w:rsidRDefault="00CD4DE9" w:rsidP="00A53C54">
      <w:pPr>
        <w:spacing w:after="0" w:line="240" w:lineRule="auto"/>
        <w:ind w:left="397" w:hanging="397"/>
        <w:jc w:val="both"/>
        <w:rPr>
          <w:rFonts w:ascii="Times New Roman" w:hAnsi="Times New Roman" w:cs="Times New Roman"/>
          <w:color w:val="000000" w:themeColor="text1"/>
          <w:sz w:val="23"/>
          <w:szCs w:val="23"/>
          <w:lang w:val="en-US"/>
        </w:rPr>
      </w:pPr>
    </w:p>
    <w:p w14:paraId="5921E6A8" w14:textId="77777777" w:rsidR="00CD4DE9" w:rsidRPr="00983193" w:rsidDel="00415DD5" w:rsidRDefault="00CD4DE9" w:rsidP="00A53C54">
      <w:pPr>
        <w:spacing w:after="0" w:line="240" w:lineRule="auto"/>
        <w:ind w:left="397" w:hanging="397"/>
        <w:jc w:val="both"/>
        <w:rPr>
          <w:rFonts w:ascii="Times New Roman" w:hAnsi="Times New Roman" w:cs="Times New Roman"/>
          <w:color w:val="000000" w:themeColor="text1"/>
          <w:sz w:val="23"/>
          <w:szCs w:val="23"/>
          <w:lang w:val="en-US"/>
        </w:rPr>
      </w:pPr>
    </w:p>
    <w:p w14:paraId="049A97B9" w14:textId="77777777" w:rsidR="00CD4DE9" w:rsidRPr="00983193" w:rsidDel="00415DD5" w:rsidRDefault="00CD4DE9" w:rsidP="00A53C54">
      <w:pPr>
        <w:spacing w:after="0" w:line="240" w:lineRule="auto"/>
        <w:ind w:left="397" w:hanging="397"/>
        <w:jc w:val="both"/>
        <w:rPr>
          <w:rFonts w:ascii="Times New Roman" w:hAnsi="Times New Roman" w:cs="Times New Roman"/>
          <w:color w:val="000000" w:themeColor="text1"/>
          <w:sz w:val="23"/>
          <w:szCs w:val="23"/>
          <w:lang w:val="en-US"/>
        </w:rPr>
      </w:pPr>
    </w:p>
    <w:p w14:paraId="39BB3BC5" w14:textId="77777777" w:rsidR="00CD4DE9" w:rsidRPr="00983193" w:rsidDel="00DF4E49" w:rsidRDefault="00CD4DE9" w:rsidP="00A53C54">
      <w:pPr>
        <w:spacing w:after="0" w:line="240" w:lineRule="auto"/>
        <w:ind w:left="397" w:hanging="397"/>
        <w:jc w:val="both"/>
        <w:rPr>
          <w:rFonts w:ascii="Times New Roman" w:hAnsi="Times New Roman" w:cs="Times New Roman"/>
          <w:color w:val="000000" w:themeColor="text1"/>
          <w:sz w:val="23"/>
          <w:szCs w:val="23"/>
          <w:lang w:val="en-US"/>
        </w:rPr>
      </w:pPr>
    </w:p>
    <w:p w14:paraId="5EF0CACF" w14:textId="77777777" w:rsidR="00CD4DE9" w:rsidRPr="00983193" w:rsidDel="00415DD5" w:rsidRDefault="00CD4DE9" w:rsidP="00A53C54">
      <w:pPr>
        <w:spacing w:after="0" w:line="240" w:lineRule="auto"/>
        <w:ind w:left="397" w:hanging="397"/>
        <w:jc w:val="both"/>
        <w:rPr>
          <w:rFonts w:ascii="Times New Roman" w:hAnsi="Times New Roman" w:cs="Times New Roman"/>
          <w:color w:val="000000" w:themeColor="text1"/>
          <w:sz w:val="23"/>
          <w:szCs w:val="23"/>
          <w:lang w:val="en-US"/>
        </w:rPr>
      </w:pPr>
    </w:p>
    <w:p w14:paraId="56A143A9" w14:textId="77777777" w:rsidR="00CD4DE9" w:rsidRPr="00983193" w:rsidDel="00DF4E49" w:rsidRDefault="00CD4DE9" w:rsidP="00A53C54">
      <w:pPr>
        <w:spacing w:after="0" w:line="240" w:lineRule="auto"/>
        <w:ind w:left="397" w:hanging="397"/>
        <w:jc w:val="both"/>
        <w:rPr>
          <w:rFonts w:ascii="Times New Roman" w:hAnsi="Times New Roman" w:cs="Times New Roman"/>
          <w:color w:val="000000" w:themeColor="text1"/>
          <w:sz w:val="23"/>
          <w:szCs w:val="23"/>
          <w:lang w:val="en-US"/>
        </w:rPr>
      </w:pPr>
    </w:p>
    <w:p w14:paraId="03AD89C8" w14:textId="77777777" w:rsidR="00CD4DE9" w:rsidRPr="00983193" w:rsidDel="00DF4E49" w:rsidRDefault="00CD4DE9" w:rsidP="00A53C54">
      <w:pPr>
        <w:spacing w:after="0" w:line="240" w:lineRule="auto"/>
        <w:ind w:left="397" w:hanging="397"/>
        <w:jc w:val="both"/>
        <w:rPr>
          <w:rFonts w:ascii="Times New Roman" w:hAnsi="Times New Roman" w:cs="Times New Roman"/>
          <w:color w:val="000000" w:themeColor="text1"/>
          <w:sz w:val="23"/>
          <w:szCs w:val="23"/>
          <w:lang w:val="en-US"/>
        </w:rPr>
      </w:pPr>
    </w:p>
    <w:p w14:paraId="338B79E6" w14:textId="77777777" w:rsidR="00CD4DE9" w:rsidRPr="00983193" w:rsidDel="00415DD5" w:rsidRDefault="00CD4DE9" w:rsidP="00A53C54">
      <w:pPr>
        <w:spacing w:after="0" w:line="240" w:lineRule="auto"/>
        <w:ind w:left="397" w:hanging="397"/>
        <w:jc w:val="both"/>
        <w:rPr>
          <w:rFonts w:ascii="Times New Roman" w:hAnsi="Times New Roman" w:cs="Times New Roman"/>
          <w:color w:val="000000" w:themeColor="text1"/>
          <w:sz w:val="23"/>
          <w:szCs w:val="23"/>
          <w:lang w:val="en-US"/>
        </w:rPr>
      </w:pPr>
    </w:p>
    <w:p w14:paraId="08D047E5" w14:textId="77777777" w:rsidR="00CD4DE9" w:rsidRPr="00983193" w:rsidDel="00DF4E49" w:rsidRDefault="00CD4DE9" w:rsidP="00A53C54">
      <w:pPr>
        <w:spacing w:after="0" w:line="240" w:lineRule="auto"/>
        <w:ind w:left="397" w:hanging="397"/>
        <w:jc w:val="both"/>
        <w:rPr>
          <w:rFonts w:ascii="Times New Roman" w:hAnsi="Times New Roman" w:cs="Times New Roman"/>
          <w:color w:val="000000" w:themeColor="text1"/>
          <w:sz w:val="23"/>
          <w:szCs w:val="23"/>
          <w:lang w:val="en-US"/>
        </w:rPr>
      </w:pPr>
    </w:p>
    <w:p w14:paraId="3962DFC7" w14:textId="77777777" w:rsidR="00244A3A" w:rsidRDefault="00244A3A">
      <w:pPr>
        <w:rPr>
          <w:rFonts w:ascii="Times New Roman" w:hAnsi="Times New Roman" w:cs="Times New Roman"/>
          <w:color w:val="000000" w:themeColor="text1"/>
          <w:sz w:val="23"/>
          <w:szCs w:val="23"/>
          <w:lang w:val="en-US"/>
        </w:rPr>
      </w:pPr>
    </w:p>
    <w:p w14:paraId="212FA8FD" w14:textId="77777777" w:rsidR="00244A3A" w:rsidRDefault="00244A3A">
      <w:pPr>
        <w:rPr>
          <w:rFonts w:ascii="Times New Roman" w:hAnsi="Times New Roman" w:cs="Times New Roman"/>
          <w:color w:val="000000" w:themeColor="text1"/>
          <w:sz w:val="23"/>
          <w:szCs w:val="23"/>
          <w:lang w:val="en-US"/>
        </w:rPr>
      </w:pPr>
    </w:p>
    <w:p w14:paraId="3C72C7A1" w14:textId="77777777" w:rsidR="00244A3A" w:rsidRDefault="00244A3A">
      <w:pPr>
        <w:rPr>
          <w:rFonts w:ascii="Times New Roman" w:hAnsi="Times New Roman" w:cs="Times New Roman"/>
          <w:color w:val="000000" w:themeColor="text1"/>
          <w:sz w:val="23"/>
          <w:szCs w:val="23"/>
          <w:lang w:val="en-US"/>
        </w:rPr>
      </w:pPr>
    </w:p>
    <w:p w14:paraId="1A613D8A" w14:textId="77777777" w:rsidR="00244A3A" w:rsidRDefault="00244A3A">
      <w:pPr>
        <w:rPr>
          <w:rFonts w:ascii="Times New Roman" w:hAnsi="Times New Roman" w:cs="Times New Roman"/>
          <w:color w:val="000000" w:themeColor="text1"/>
          <w:sz w:val="23"/>
          <w:szCs w:val="23"/>
          <w:lang w:val="en-US"/>
        </w:rPr>
      </w:pPr>
    </w:p>
    <w:p w14:paraId="1F8286A4" w14:textId="77777777" w:rsidR="00244A3A" w:rsidRDefault="00244A3A">
      <w:pPr>
        <w:rPr>
          <w:rFonts w:ascii="Times New Roman" w:hAnsi="Times New Roman" w:cs="Times New Roman"/>
          <w:color w:val="000000" w:themeColor="text1"/>
          <w:sz w:val="23"/>
          <w:szCs w:val="23"/>
          <w:lang w:val="en-US"/>
        </w:rPr>
      </w:pPr>
    </w:p>
    <w:p w14:paraId="6D73FB32" w14:textId="77777777" w:rsidR="00244A3A" w:rsidRDefault="00244A3A">
      <w:pPr>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br w:type="page"/>
      </w:r>
    </w:p>
    <w:p w14:paraId="1578A128" w14:textId="77777777" w:rsidR="00EF1568" w:rsidRPr="00A53C54" w:rsidRDefault="00EF1568" w:rsidP="00EF1568">
      <w:pPr>
        <w:pStyle w:val="Caption"/>
        <w:spacing w:after="0"/>
        <w:ind w:firstLine="284"/>
        <w:jc w:val="both"/>
        <w:rPr>
          <w:rFonts w:ascii="Times New Roman" w:hAnsi="Times New Roman" w:cs="Times New Roman"/>
          <w:color w:val="000000" w:themeColor="text1"/>
          <w:sz w:val="23"/>
          <w:szCs w:val="23"/>
          <w:lang w:val="en-US"/>
        </w:rPr>
      </w:pPr>
      <w:r w:rsidRPr="00735C4D">
        <w:rPr>
          <w:rFonts w:ascii="Times New Roman" w:hAnsi="Times New Roman" w:cs="Times New Roman"/>
          <w:color w:val="000000" w:themeColor="text1"/>
          <w:sz w:val="23"/>
          <w:szCs w:val="23"/>
          <w:lang w:val="en-US"/>
        </w:rPr>
        <w:lastRenderedPageBreak/>
        <w:t xml:space="preserve">Figure </w:t>
      </w:r>
      <w:r>
        <w:rPr>
          <w:rFonts w:ascii="Times New Roman" w:hAnsi="Times New Roman" w:cs="Times New Roman"/>
          <w:color w:val="000000" w:themeColor="text1"/>
          <w:sz w:val="23"/>
          <w:szCs w:val="23"/>
        </w:rPr>
        <w:t>I</w:t>
      </w:r>
      <w:r>
        <w:rPr>
          <w:rFonts w:ascii="Times New Roman" w:hAnsi="Times New Roman" w:cs="Times New Roman"/>
          <w:color w:val="000000" w:themeColor="text1"/>
          <w:sz w:val="23"/>
          <w:szCs w:val="23"/>
          <w:lang w:val="en-US"/>
        </w:rPr>
        <w:t>.</w:t>
      </w:r>
      <w:r w:rsidRPr="00735C4D">
        <w:rPr>
          <w:rFonts w:ascii="Times New Roman" w:hAnsi="Times New Roman" w:cs="Times New Roman"/>
          <w:color w:val="000000" w:themeColor="text1"/>
          <w:sz w:val="23"/>
          <w:szCs w:val="23"/>
          <w:lang w:val="en-US"/>
        </w:rPr>
        <w:t xml:space="preserve"> IC </w:t>
      </w:r>
      <w:r>
        <w:rPr>
          <w:rFonts w:ascii="Times New Roman" w:hAnsi="Times New Roman" w:cs="Times New Roman"/>
          <w:color w:val="000000" w:themeColor="text1"/>
          <w:sz w:val="23"/>
          <w:szCs w:val="23"/>
          <w:lang w:val="en-US"/>
        </w:rPr>
        <w:t>V</w:t>
      </w:r>
      <w:r w:rsidRPr="00735C4D">
        <w:rPr>
          <w:rFonts w:ascii="Times New Roman" w:hAnsi="Times New Roman" w:cs="Times New Roman"/>
          <w:color w:val="000000" w:themeColor="text1"/>
          <w:sz w:val="23"/>
          <w:szCs w:val="23"/>
          <w:lang w:val="en-US"/>
        </w:rPr>
        <w:t xml:space="preserve">alue </w:t>
      </w:r>
      <w:r>
        <w:rPr>
          <w:rFonts w:ascii="Times New Roman" w:hAnsi="Times New Roman" w:cs="Times New Roman"/>
          <w:color w:val="000000" w:themeColor="text1"/>
          <w:sz w:val="23"/>
          <w:szCs w:val="23"/>
          <w:lang w:val="en-US"/>
        </w:rPr>
        <w:t>measurement models</w:t>
      </w:r>
    </w:p>
    <w:p w14:paraId="4FCB35E6" w14:textId="77777777" w:rsidR="00EF1568" w:rsidRPr="00983193" w:rsidRDefault="00EF1568" w:rsidP="00EF1568">
      <w:pPr>
        <w:keepNext/>
        <w:spacing w:after="0" w:line="240" w:lineRule="auto"/>
        <w:ind w:firstLine="284"/>
        <w:jc w:val="center"/>
        <w:rPr>
          <w:rFonts w:ascii="Times New Roman" w:hAnsi="Times New Roman" w:cs="Times New Roman"/>
          <w:color w:val="000000" w:themeColor="text1"/>
          <w:sz w:val="23"/>
          <w:szCs w:val="23"/>
        </w:rPr>
      </w:pPr>
      <w:r w:rsidRPr="00A53C54">
        <w:rPr>
          <w:rFonts w:ascii="Times New Roman" w:eastAsia="Calibri" w:hAnsi="Times New Roman" w:cs="Times New Roman"/>
          <w:noProof/>
          <w:color w:val="000000" w:themeColor="text1"/>
          <w:sz w:val="23"/>
          <w:szCs w:val="23"/>
          <w:lang w:val="en-GB" w:eastAsia="en-GB"/>
        </w:rPr>
        <w:drawing>
          <wp:inline distT="0" distB="0" distL="0" distR="0" wp14:anchorId="4342D131" wp14:editId="756012F3">
            <wp:extent cx="2600696" cy="2417663"/>
            <wp:effectExtent l="0" t="0" r="9525" b="1905"/>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849" cy="2417805"/>
                    </a:xfrm>
                    <a:prstGeom prst="rect">
                      <a:avLst/>
                    </a:prstGeom>
                    <a:noFill/>
                    <a:ln>
                      <a:noFill/>
                    </a:ln>
                  </pic:spPr>
                </pic:pic>
              </a:graphicData>
            </a:graphic>
          </wp:inline>
        </w:drawing>
      </w:r>
    </w:p>
    <w:p w14:paraId="41DFA580" w14:textId="77777777" w:rsidR="00EF1568" w:rsidRPr="00A53C54" w:rsidRDefault="00EF1568" w:rsidP="00A53C54">
      <w:pPr>
        <w:jc w:val="center"/>
        <w:rPr>
          <w:rFonts w:ascii="Times New Roman" w:hAnsi="Times New Roman" w:cs="Times New Roman"/>
          <w:color w:val="000000" w:themeColor="text1"/>
          <w:sz w:val="23"/>
          <w:szCs w:val="23"/>
          <w:lang w:val="en-US"/>
        </w:rPr>
      </w:pPr>
      <w:r w:rsidRPr="00A53C54">
        <w:rPr>
          <w:rFonts w:ascii="Times New Roman" w:hAnsi="Times New Roman" w:cs="Times New Roman"/>
          <w:color w:val="000000" w:themeColor="text1"/>
          <w:sz w:val="23"/>
          <w:szCs w:val="23"/>
          <w:lang w:val="en-US"/>
        </w:rPr>
        <w:t>Source: Sydl</w:t>
      </w:r>
      <w:r w:rsidRPr="00EF1568">
        <w:rPr>
          <w:rFonts w:ascii="Times New Roman" w:hAnsi="Times New Roman" w:cs="Times New Roman"/>
          <w:color w:val="000000" w:themeColor="text1"/>
          <w:sz w:val="23"/>
          <w:szCs w:val="23"/>
          <w:lang w:val="en-US"/>
        </w:rPr>
        <w:t>er et al. (2014), Sveiby (2001)</w:t>
      </w:r>
    </w:p>
    <w:p w14:paraId="3BDCFD63" w14:textId="77777777" w:rsidR="00EF1568" w:rsidRDefault="00EF1568">
      <w:pPr>
        <w:rPr>
          <w:rFonts w:ascii="Times New Roman" w:hAnsi="Times New Roman" w:cs="Times New Roman"/>
          <w:b/>
          <w:color w:val="000000" w:themeColor="text1"/>
          <w:sz w:val="23"/>
          <w:szCs w:val="23"/>
          <w:lang w:val="en-US"/>
        </w:rPr>
      </w:pPr>
      <w:r>
        <w:rPr>
          <w:rFonts w:ascii="Times New Roman" w:hAnsi="Times New Roman" w:cs="Times New Roman"/>
          <w:b/>
          <w:color w:val="000000" w:themeColor="text1"/>
          <w:sz w:val="23"/>
          <w:szCs w:val="23"/>
          <w:lang w:val="en-US"/>
        </w:rPr>
        <w:br w:type="page"/>
      </w:r>
    </w:p>
    <w:p w14:paraId="27F1894C" w14:textId="77777777" w:rsidR="00E46925" w:rsidRPr="00A53C54" w:rsidRDefault="00244A3A">
      <w:pPr>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lastRenderedPageBreak/>
        <w:t>Table I</w:t>
      </w:r>
      <w:r w:rsidR="007734A2" w:rsidRPr="007734A2">
        <w:rPr>
          <w:rFonts w:ascii="Times New Roman" w:hAnsi="Times New Roman" w:cs="Times New Roman"/>
          <w:b/>
          <w:color w:val="000000" w:themeColor="text1"/>
          <w:sz w:val="23"/>
          <w:szCs w:val="23"/>
          <w:lang w:val="en-US"/>
        </w:rPr>
        <w:t>.</w:t>
      </w:r>
      <w:r w:rsidRPr="00A53C54">
        <w:rPr>
          <w:rFonts w:ascii="Times New Roman" w:hAnsi="Times New Roman" w:cs="Times New Roman"/>
          <w:b/>
          <w:color w:val="000000" w:themeColor="text1"/>
          <w:sz w:val="23"/>
          <w:szCs w:val="23"/>
          <w:lang w:val="en-US"/>
        </w:rPr>
        <w:t xml:space="preserve"> Sample selection criteria</w:t>
      </w:r>
    </w:p>
    <w:tbl>
      <w:tblPr>
        <w:tblW w:w="9016" w:type="dxa"/>
        <w:tblLook w:val="00A0" w:firstRow="1" w:lastRow="0" w:firstColumn="1" w:lastColumn="0" w:noHBand="0" w:noVBand="0"/>
      </w:tblPr>
      <w:tblGrid>
        <w:gridCol w:w="7411"/>
        <w:gridCol w:w="1605"/>
      </w:tblGrid>
      <w:tr w:rsidR="00E46925" w:rsidRPr="00983193" w14:paraId="4C5B4DCD" w14:textId="77777777" w:rsidTr="009579D4">
        <w:tc>
          <w:tcPr>
            <w:tcW w:w="7411" w:type="dxa"/>
            <w:tcBorders>
              <w:bottom w:val="single" w:sz="4" w:space="0" w:color="auto"/>
            </w:tcBorders>
          </w:tcPr>
          <w:p w14:paraId="782CE346" w14:textId="77777777" w:rsidR="00E46925" w:rsidRPr="00A53C54" w:rsidRDefault="00E46925" w:rsidP="009579D4">
            <w:pPr>
              <w:keepNext/>
              <w:keepLines/>
              <w:spacing w:before="480"/>
              <w:outlineLvl w:val="0"/>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t>Sample reduction</w:t>
            </w:r>
            <w:r w:rsidR="00244A3A">
              <w:rPr>
                <w:rFonts w:ascii="Times New Roman" w:hAnsi="Times New Roman" w:cs="Times New Roman"/>
                <w:b/>
                <w:color w:val="000000" w:themeColor="text1"/>
                <w:sz w:val="23"/>
                <w:szCs w:val="23"/>
                <w:lang w:val="en-US"/>
              </w:rPr>
              <w:t xml:space="preserve"> action</w:t>
            </w:r>
          </w:p>
        </w:tc>
        <w:tc>
          <w:tcPr>
            <w:tcW w:w="1605" w:type="dxa"/>
            <w:tcBorders>
              <w:bottom w:val="single" w:sz="4" w:space="0" w:color="auto"/>
            </w:tcBorders>
            <w:vAlign w:val="bottom"/>
          </w:tcPr>
          <w:p w14:paraId="6D17FD3F" w14:textId="77777777" w:rsidR="00E46925" w:rsidRPr="00A53C54" w:rsidRDefault="00E46925" w:rsidP="009579D4">
            <w:pPr>
              <w:jc w:val="center"/>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t>Number of firms</w:t>
            </w:r>
          </w:p>
        </w:tc>
      </w:tr>
      <w:tr w:rsidR="00E46925" w:rsidRPr="00983193" w14:paraId="58AFFEAF" w14:textId="77777777" w:rsidTr="009579D4">
        <w:trPr>
          <w:trHeight w:val="502"/>
        </w:trPr>
        <w:tc>
          <w:tcPr>
            <w:tcW w:w="7411" w:type="dxa"/>
            <w:tcBorders>
              <w:top w:val="single" w:sz="4" w:space="0" w:color="auto"/>
            </w:tcBorders>
          </w:tcPr>
          <w:p w14:paraId="65C48B4F" w14:textId="77777777" w:rsidR="00E46925" w:rsidRPr="00983193" w:rsidRDefault="00E46925" w:rsidP="009579D4">
            <w:pP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Population of Italian firms </w:t>
            </w:r>
            <w:r w:rsidR="00F81204" w:rsidRPr="00983193">
              <w:rPr>
                <w:rFonts w:ascii="Times New Roman" w:hAnsi="Times New Roman" w:cs="Times New Roman"/>
                <w:color w:val="000000" w:themeColor="text1"/>
                <w:sz w:val="23"/>
                <w:szCs w:val="23"/>
                <w:lang w:val="en-US"/>
              </w:rPr>
              <w:t xml:space="preserve">listed </w:t>
            </w:r>
            <w:r w:rsidRPr="00983193">
              <w:rPr>
                <w:rFonts w:ascii="Times New Roman" w:hAnsi="Times New Roman" w:cs="Times New Roman"/>
                <w:color w:val="000000" w:themeColor="text1"/>
                <w:sz w:val="23"/>
                <w:szCs w:val="23"/>
                <w:lang w:val="en-US"/>
              </w:rPr>
              <w:t xml:space="preserve">on the Italian Stock Exchange in 2009 </w:t>
            </w:r>
          </w:p>
        </w:tc>
        <w:tc>
          <w:tcPr>
            <w:tcW w:w="1605" w:type="dxa"/>
            <w:tcBorders>
              <w:top w:val="single" w:sz="4" w:space="0" w:color="auto"/>
            </w:tcBorders>
          </w:tcPr>
          <w:p w14:paraId="40214DBC" w14:textId="77777777" w:rsidR="00E46925" w:rsidRPr="00983193" w:rsidRDefault="00E46925" w:rsidP="009579D4">
            <w:pPr>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221</w:t>
            </w:r>
          </w:p>
        </w:tc>
      </w:tr>
      <w:tr w:rsidR="00E46925" w:rsidRPr="00983193" w14:paraId="6AFFAE24" w14:textId="77777777" w:rsidTr="009579D4">
        <w:tc>
          <w:tcPr>
            <w:tcW w:w="7411" w:type="dxa"/>
          </w:tcPr>
          <w:p w14:paraId="72CA7429" w14:textId="77777777" w:rsidR="00E46925" w:rsidRPr="00983193" w:rsidRDefault="00E46925" w:rsidP="009579D4">
            <w:pP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Firms delisted after 2009 or subject to </w:t>
            </w:r>
            <w:r w:rsidRPr="001855D6">
              <w:rPr>
                <w:rFonts w:ascii="Times New Roman" w:hAnsi="Times New Roman" w:cs="Times New Roman"/>
                <w:noProof/>
                <w:color w:val="000000" w:themeColor="text1"/>
                <w:sz w:val="23"/>
                <w:szCs w:val="23"/>
                <w:lang w:val="en-US"/>
              </w:rPr>
              <w:t>a M&amp;A</w:t>
            </w:r>
            <w:r w:rsidRPr="00983193">
              <w:rPr>
                <w:rFonts w:ascii="Times New Roman" w:hAnsi="Times New Roman" w:cs="Times New Roman"/>
                <w:color w:val="000000" w:themeColor="text1"/>
                <w:sz w:val="23"/>
                <w:szCs w:val="23"/>
                <w:lang w:val="en-US"/>
              </w:rPr>
              <w:t xml:space="preserve"> </w:t>
            </w:r>
            <w:r w:rsidR="00F81204">
              <w:rPr>
                <w:rFonts w:ascii="Times New Roman" w:hAnsi="Times New Roman" w:cs="Times New Roman"/>
                <w:color w:val="000000" w:themeColor="text1"/>
                <w:sz w:val="23"/>
                <w:szCs w:val="23"/>
                <w:lang w:val="en-US"/>
              </w:rPr>
              <w:t>deals</w:t>
            </w:r>
          </w:p>
        </w:tc>
        <w:tc>
          <w:tcPr>
            <w:tcW w:w="1605" w:type="dxa"/>
          </w:tcPr>
          <w:p w14:paraId="5BD73B02" w14:textId="77777777" w:rsidR="00E46925" w:rsidRPr="00983193" w:rsidRDefault="00E46925" w:rsidP="009579D4">
            <w:pPr>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(14)</w:t>
            </w:r>
          </w:p>
        </w:tc>
      </w:tr>
      <w:tr w:rsidR="00E46925" w:rsidRPr="00983193" w14:paraId="6653F1C1" w14:textId="77777777" w:rsidTr="009579D4">
        <w:tc>
          <w:tcPr>
            <w:tcW w:w="7411" w:type="dxa"/>
          </w:tcPr>
          <w:p w14:paraId="6DC882ED" w14:textId="77777777" w:rsidR="00E46925" w:rsidRPr="00983193" w:rsidRDefault="00E46925" w:rsidP="009579D4">
            <w:pP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Firms with missing financial and/or governance data in one or more years</w:t>
            </w:r>
          </w:p>
        </w:tc>
        <w:tc>
          <w:tcPr>
            <w:tcW w:w="1605" w:type="dxa"/>
          </w:tcPr>
          <w:p w14:paraId="4053B502" w14:textId="77777777" w:rsidR="00E46925" w:rsidRPr="00983193" w:rsidRDefault="00E46925" w:rsidP="009579D4">
            <w:pPr>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(73)</w:t>
            </w:r>
          </w:p>
        </w:tc>
      </w:tr>
      <w:tr w:rsidR="00E46925" w:rsidRPr="00983193" w14:paraId="4BC7A502" w14:textId="77777777" w:rsidTr="009579D4">
        <w:tc>
          <w:tcPr>
            <w:tcW w:w="7411" w:type="dxa"/>
          </w:tcPr>
          <w:p w14:paraId="3D6E65C3" w14:textId="77777777" w:rsidR="00E46925" w:rsidRPr="00983193" w:rsidRDefault="00E46925" w:rsidP="009579D4">
            <w:pP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Firms with anomalies in the market to book ratio</w:t>
            </w:r>
          </w:p>
        </w:tc>
        <w:tc>
          <w:tcPr>
            <w:tcW w:w="1605" w:type="dxa"/>
          </w:tcPr>
          <w:p w14:paraId="4F42ABDA" w14:textId="77777777" w:rsidR="00E46925" w:rsidRPr="00983193" w:rsidRDefault="00E46925" w:rsidP="009579D4">
            <w:pPr>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(12)</w:t>
            </w:r>
          </w:p>
        </w:tc>
      </w:tr>
      <w:tr w:rsidR="00E46925" w:rsidRPr="00983193" w14:paraId="13858A6A" w14:textId="77777777" w:rsidTr="009579D4">
        <w:tc>
          <w:tcPr>
            <w:tcW w:w="7411" w:type="dxa"/>
            <w:tcBorders>
              <w:bottom w:val="single" w:sz="4" w:space="0" w:color="auto"/>
            </w:tcBorders>
          </w:tcPr>
          <w:p w14:paraId="45121D43" w14:textId="77777777" w:rsidR="00E46925" w:rsidRPr="00983193" w:rsidRDefault="00E46925" w:rsidP="009579D4">
            <w:pP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Final firm sample (balanced)</w:t>
            </w:r>
          </w:p>
        </w:tc>
        <w:tc>
          <w:tcPr>
            <w:tcW w:w="1605" w:type="dxa"/>
            <w:tcBorders>
              <w:bottom w:val="single" w:sz="4" w:space="0" w:color="auto"/>
            </w:tcBorders>
          </w:tcPr>
          <w:p w14:paraId="62F95D84" w14:textId="77777777" w:rsidR="00E46925" w:rsidRPr="00983193" w:rsidRDefault="00E46925" w:rsidP="009579D4">
            <w:pPr>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122</w:t>
            </w:r>
          </w:p>
        </w:tc>
      </w:tr>
      <w:tr w:rsidR="00E46925" w:rsidRPr="00983193" w14:paraId="6C541F21" w14:textId="77777777" w:rsidTr="009579D4">
        <w:tc>
          <w:tcPr>
            <w:tcW w:w="7411" w:type="dxa"/>
            <w:tcBorders>
              <w:top w:val="single" w:sz="4" w:space="0" w:color="auto"/>
              <w:bottom w:val="single" w:sz="4" w:space="0" w:color="auto"/>
            </w:tcBorders>
          </w:tcPr>
          <w:p w14:paraId="051BC8D9" w14:textId="77777777" w:rsidR="00E46925" w:rsidRPr="00983193" w:rsidRDefault="00E46925" w:rsidP="009579D4">
            <w:pP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Total firm-year observations (balanced sample)</w:t>
            </w:r>
          </w:p>
        </w:tc>
        <w:tc>
          <w:tcPr>
            <w:tcW w:w="1605" w:type="dxa"/>
            <w:tcBorders>
              <w:top w:val="single" w:sz="4" w:space="0" w:color="auto"/>
              <w:bottom w:val="single" w:sz="4" w:space="0" w:color="auto"/>
            </w:tcBorders>
          </w:tcPr>
          <w:p w14:paraId="15F4D320" w14:textId="77777777" w:rsidR="00E46925" w:rsidRPr="00983193" w:rsidDel="0001032D" w:rsidRDefault="00E46925" w:rsidP="009579D4">
            <w:pPr>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732</w:t>
            </w:r>
          </w:p>
        </w:tc>
      </w:tr>
    </w:tbl>
    <w:p w14:paraId="723B3124" w14:textId="77777777" w:rsidR="00E46925" w:rsidRPr="00983193" w:rsidRDefault="00E46925" w:rsidP="00E46925">
      <w:pPr>
        <w:spacing w:after="0" w:line="240" w:lineRule="auto"/>
        <w:jc w:val="center"/>
        <w:rPr>
          <w:color w:val="000000" w:themeColor="text1"/>
          <w:sz w:val="24"/>
          <w:szCs w:val="24"/>
          <w:lang w:val="en-US"/>
        </w:rPr>
      </w:pPr>
    </w:p>
    <w:p w14:paraId="63D93187" w14:textId="77777777" w:rsidR="00E46925" w:rsidRDefault="00E46925" w:rsidP="00A53C54">
      <w:pPr>
        <w:spacing w:after="0" w:line="240" w:lineRule="auto"/>
        <w:ind w:left="397" w:hanging="397"/>
        <w:jc w:val="both"/>
        <w:rPr>
          <w:rFonts w:ascii="Times New Roman" w:hAnsi="Times New Roman" w:cs="Times New Roman"/>
          <w:color w:val="000000" w:themeColor="text1"/>
          <w:sz w:val="23"/>
          <w:szCs w:val="23"/>
          <w:lang w:val="en-US"/>
        </w:rPr>
      </w:pPr>
    </w:p>
    <w:p w14:paraId="1E4E0733" w14:textId="77777777" w:rsidR="00E46925" w:rsidRDefault="00E46925" w:rsidP="00A53C54">
      <w:pPr>
        <w:spacing w:after="0" w:line="240" w:lineRule="auto"/>
        <w:ind w:left="397" w:hanging="397"/>
        <w:jc w:val="both"/>
        <w:rPr>
          <w:rFonts w:ascii="Times New Roman" w:hAnsi="Times New Roman" w:cs="Times New Roman"/>
          <w:color w:val="000000" w:themeColor="text1"/>
          <w:sz w:val="23"/>
          <w:szCs w:val="23"/>
          <w:lang w:val="en-US"/>
        </w:rPr>
      </w:pPr>
    </w:p>
    <w:p w14:paraId="3276EC5F" w14:textId="77777777" w:rsidR="00E46925" w:rsidRDefault="00E46925">
      <w:pPr>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br w:type="page"/>
      </w:r>
    </w:p>
    <w:p w14:paraId="1756BEDF" w14:textId="77777777" w:rsidR="009579D4" w:rsidRDefault="009579D4" w:rsidP="009579D4">
      <w:pPr>
        <w:spacing w:after="0" w:line="360" w:lineRule="auto"/>
        <w:jc w:val="both"/>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lastRenderedPageBreak/>
        <w:t>Table II. Variable measurement</w:t>
      </w:r>
    </w:p>
    <w:p w14:paraId="75E539FD" w14:textId="77777777" w:rsidR="00244A3A" w:rsidRPr="00A53C54" w:rsidRDefault="00244A3A" w:rsidP="009579D4">
      <w:pPr>
        <w:spacing w:after="0" w:line="360" w:lineRule="auto"/>
        <w:jc w:val="both"/>
        <w:rPr>
          <w:rFonts w:ascii="Times New Roman" w:hAnsi="Times New Roman" w:cs="Times New Roman"/>
          <w:b/>
          <w:color w:val="000000" w:themeColor="text1"/>
          <w:sz w:val="23"/>
          <w:szCs w:val="23"/>
          <w:lang w:val="en-US"/>
        </w:rPr>
      </w:pPr>
    </w:p>
    <w:tbl>
      <w:tblPr>
        <w:tblW w:w="5050" w:type="pct"/>
        <w:tblInd w:w="-114" w:type="dxa"/>
        <w:tblLayout w:type="fixed"/>
        <w:tblCellMar>
          <w:left w:w="28" w:type="dxa"/>
          <w:right w:w="28" w:type="dxa"/>
        </w:tblCellMar>
        <w:tblLook w:val="04A0" w:firstRow="1" w:lastRow="0" w:firstColumn="1" w:lastColumn="0" w:noHBand="0" w:noVBand="1"/>
      </w:tblPr>
      <w:tblGrid>
        <w:gridCol w:w="1289"/>
        <w:gridCol w:w="6055"/>
        <w:gridCol w:w="1214"/>
        <w:gridCol w:w="1176"/>
      </w:tblGrid>
      <w:tr w:rsidR="009579D4" w:rsidRPr="00F81204" w14:paraId="6F7844F7" w14:textId="77777777" w:rsidTr="009579D4">
        <w:tc>
          <w:tcPr>
            <w:tcW w:w="1296" w:type="dxa"/>
            <w:tcBorders>
              <w:top w:val="single" w:sz="4" w:space="0" w:color="auto"/>
              <w:bottom w:val="single" w:sz="4" w:space="0" w:color="auto"/>
            </w:tcBorders>
            <w:vAlign w:val="center"/>
          </w:tcPr>
          <w:p w14:paraId="75EE9BF6" w14:textId="77777777" w:rsidR="009579D4" w:rsidRPr="00A53C54" w:rsidRDefault="009579D4" w:rsidP="009579D4">
            <w:pPr>
              <w:widowControl w:val="0"/>
              <w:spacing w:after="0" w:line="320" w:lineRule="exact"/>
              <w:jc w:val="both"/>
              <w:rPr>
                <w:rFonts w:ascii="Times New Roman" w:eastAsia="MS Mincho" w:hAnsi="Times New Roman" w:cs="Times New Roman"/>
                <w:b/>
                <w:color w:val="000000" w:themeColor="text1"/>
                <w:sz w:val="23"/>
                <w:szCs w:val="23"/>
                <w:lang w:val="en-US" w:eastAsia="ja-JP"/>
              </w:rPr>
            </w:pPr>
            <w:r w:rsidRPr="00A53C54">
              <w:rPr>
                <w:rFonts w:ascii="Times New Roman" w:eastAsia="MS Mincho" w:hAnsi="Times New Roman" w:cs="Times New Roman"/>
                <w:b/>
                <w:color w:val="000000" w:themeColor="text1"/>
                <w:sz w:val="23"/>
                <w:szCs w:val="23"/>
                <w:lang w:val="en-US" w:eastAsia="ja-JP"/>
              </w:rPr>
              <w:t>Variable label</w:t>
            </w:r>
          </w:p>
        </w:tc>
        <w:tc>
          <w:tcPr>
            <w:tcW w:w="6091" w:type="dxa"/>
            <w:tcBorders>
              <w:top w:val="single" w:sz="4" w:space="0" w:color="auto"/>
              <w:bottom w:val="single" w:sz="4" w:space="0" w:color="auto"/>
            </w:tcBorders>
            <w:vAlign w:val="center"/>
          </w:tcPr>
          <w:p w14:paraId="5DE232B6" w14:textId="77777777" w:rsidR="009579D4" w:rsidRPr="00A53C54" w:rsidRDefault="009579D4" w:rsidP="009579D4">
            <w:pPr>
              <w:widowControl w:val="0"/>
              <w:spacing w:after="0" w:line="320" w:lineRule="exact"/>
              <w:jc w:val="both"/>
              <w:rPr>
                <w:rFonts w:ascii="Times New Roman" w:eastAsia="MS Mincho" w:hAnsi="Times New Roman" w:cs="Times New Roman"/>
                <w:b/>
                <w:color w:val="000000" w:themeColor="text1"/>
                <w:sz w:val="23"/>
                <w:szCs w:val="23"/>
                <w:lang w:val="en-US" w:eastAsia="ja-JP"/>
              </w:rPr>
            </w:pPr>
            <w:r w:rsidRPr="00A53C54">
              <w:rPr>
                <w:rFonts w:ascii="Times New Roman" w:eastAsia="MS Mincho" w:hAnsi="Times New Roman" w:cs="Times New Roman"/>
                <w:b/>
                <w:color w:val="000000" w:themeColor="text1"/>
                <w:sz w:val="23"/>
                <w:szCs w:val="23"/>
                <w:lang w:val="en-US" w:eastAsia="ja-JP"/>
              </w:rPr>
              <w:t>Variable description</w:t>
            </w:r>
          </w:p>
        </w:tc>
        <w:tc>
          <w:tcPr>
            <w:tcW w:w="1221" w:type="dxa"/>
            <w:tcBorders>
              <w:top w:val="single" w:sz="4" w:space="0" w:color="auto"/>
              <w:bottom w:val="single" w:sz="4" w:space="0" w:color="auto"/>
            </w:tcBorders>
          </w:tcPr>
          <w:p w14:paraId="49C0642E" w14:textId="77777777" w:rsidR="009579D4" w:rsidRPr="00A53C54" w:rsidRDefault="009579D4" w:rsidP="009579D4">
            <w:pPr>
              <w:widowControl w:val="0"/>
              <w:spacing w:after="0" w:line="320" w:lineRule="exact"/>
              <w:jc w:val="center"/>
              <w:rPr>
                <w:rFonts w:ascii="Times New Roman" w:eastAsia="MS Mincho" w:hAnsi="Times New Roman" w:cs="Times New Roman"/>
                <w:b/>
                <w:color w:val="000000" w:themeColor="text1"/>
                <w:sz w:val="23"/>
                <w:szCs w:val="23"/>
                <w:lang w:val="en-US" w:eastAsia="ja-JP"/>
              </w:rPr>
            </w:pPr>
            <w:r w:rsidRPr="00A53C54">
              <w:rPr>
                <w:rFonts w:ascii="Times New Roman" w:eastAsia="MS Mincho" w:hAnsi="Times New Roman" w:cs="Times New Roman"/>
                <w:b/>
                <w:color w:val="000000" w:themeColor="text1"/>
                <w:sz w:val="23"/>
                <w:szCs w:val="23"/>
                <w:lang w:val="en-US" w:eastAsia="ja-JP"/>
              </w:rPr>
              <w:t>Expected sign</w:t>
            </w:r>
          </w:p>
        </w:tc>
        <w:tc>
          <w:tcPr>
            <w:tcW w:w="1183" w:type="dxa"/>
            <w:tcBorders>
              <w:top w:val="single" w:sz="4" w:space="0" w:color="auto"/>
              <w:bottom w:val="single" w:sz="4" w:space="0" w:color="auto"/>
            </w:tcBorders>
            <w:vAlign w:val="center"/>
          </w:tcPr>
          <w:p w14:paraId="74D02069" w14:textId="77777777" w:rsidR="009579D4" w:rsidRPr="00A53C54" w:rsidRDefault="009579D4" w:rsidP="009579D4">
            <w:pPr>
              <w:widowControl w:val="0"/>
              <w:spacing w:after="0" w:line="320" w:lineRule="exact"/>
              <w:jc w:val="center"/>
              <w:rPr>
                <w:rFonts w:ascii="Times New Roman" w:eastAsia="MS Mincho" w:hAnsi="Times New Roman" w:cs="Times New Roman"/>
                <w:b/>
                <w:color w:val="000000" w:themeColor="text1"/>
                <w:sz w:val="23"/>
                <w:szCs w:val="23"/>
                <w:lang w:val="en-US" w:eastAsia="ja-JP"/>
              </w:rPr>
            </w:pPr>
            <w:r w:rsidRPr="00A53C54">
              <w:rPr>
                <w:rFonts w:ascii="Times New Roman" w:eastAsia="MS Mincho" w:hAnsi="Times New Roman" w:cs="Times New Roman"/>
                <w:b/>
                <w:color w:val="000000" w:themeColor="text1"/>
                <w:sz w:val="23"/>
                <w:szCs w:val="23"/>
                <w:lang w:val="en-US" w:eastAsia="ja-JP"/>
              </w:rPr>
              <w:t>Hypothesis</w:t>
            </w:r>
          </w:p>
        </w:tc>
      </w:tr>
      <w:tr w:rsidR="009579D4" w:rsidRPr="0005636E" w14:paraId="7BEEA144" w14:textId="77777777" w:rsidTr="009579D4">
        <w:tc>
          <w:tcPr>
            <w:tcW w:w="7387" w:type="dxa"/>
            <w:gridSpan w:val="2"/>
            <w:tcBorders>
              <w:top w:val="single" w:sz="4" w:space="0" w:color="auto"/>
            </w:tcBorders>
            <w:vAlign w:val="center"/>
          </w:tcPr>
          <w:p w14:paraId="73FABC6D" w14:textId="77777777" w:rsidR="009579D4" w:rsidRPr="00983193" w:rsidRDefault="00F81204" w:rsidP="009579D4">
            <w:pPr>
              <w:widowControl w:val="0"/>
              <w:spacing w:after="0" w:line="320" w:lineRule="exact"/>
              <w:jc w:val="both"/>
              <w:rPr>
                <w:rFonts w:ascii="Times New Roman" w:eastAsia="MS Mincho" w:hAnsi="Times New Roman" w:cs="Times New Roman"/>
                <w:i/>
                <w:color w:val="000000" w:themeColor="text1"/>
                <w:sz w:val="23"/>
                <w:szCs w:val="23"/>
                <w:lang w:val="en-US" w:eastAsia="ja-JP"/>
              </w:rPr>
            </w:pPr>
            <w:r>
              <w:rPr>
                <w:rFonts w:ascii="Times New Roman" w:eastAsia="MS Mincho" w:hAnsi="Times New Roman" w:cs="Times New Roman"/>
                <w:i/>
                <w:noProof/>
                <w:color w:val="000000" w:themeColor="text1"/>
                <w:sz w:val="23"/>
                <w:szCs w:val="23"/>
                <w:lang w:val="en-US" w:eastAsia="ja-JP"/>
              </w:rPr>
              <w:t>D</w:t>
            </w:r>
            <w:r w:rsidR="009579D4" w:rsidRPr="001855D6">
              <w:rPr>
                <w:rFonts w:ascii="Times New Roman" w:eastAsia="MS Mincho" w:hAnsi="Times New Roman" w:cs="Times New Roman"/>
                <w:i/>
                <w:noProof/>
                <w:color w:val="000000" w:themeColor="text1"/>
                <w:sz w:val="23"/>
                <w:szCs w:val="23"/>
                <w:lang w:val="en-US" w:eastAsia="ja-JP"/>
              </w:rPr>
              <w:t>ependent</w:t>
            </w:r>
            <w:r w:rsidR="009579D4" w:rsidRPr="00983193">
              <w:rPr>
                <w:rFonts w:ascii="Times New Roman" w:eastAsia="MS Mincho" w:hAnsi="Times New Roman" w:cs="Times New Roman"/>
                <w:i/>
                <w:color w:val="000000" w:themeColor="text1"/>
                <w:sz w:val="23"/>
                <w:szCs w:val="23"/>
                <w:lang w:val="en-US" w:eastAsia="ja-JP"/>
              </w:rPr>
              <w:t xml:space="preserve"> variable</w:t>
            </w:r>
          </w:p>
        </w:tc>
        <w:tc>
          <w:tcPr>
            <w:tcW w:w="1221" w:type="dxa"/>
            <w:tcBorders>
              <w:top w:val="single" w:sz="4" w:space="0" w:color="auto"/>
            </w:tcBorders>
          </w:tcPr>
          <w:p w14:paraId="751B95CF"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c>
          <w:tcPr>
            <w:tcW w:w="1183" w:type="dxa"/>
            <w:tcBorders>
              <w:top w:val="single" w:sz="4" w:space="0" w:color="auto"/>
            </w:tcBorders>
            <w:vAlign w:val="center"/>
          </w:tcPr>
          <w:p w14:paraId="3E4F1BE9"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r>
      <w:tr w:rsidR="009579D4" w:rsidRPr="00437209" w14:paraId="17F005BC" w14:textId="77777777" w:rsidTr="009579D4">
        <w:tc>
          <w:tcPr>
            <w:tcW w:w="1296" w:type="dxa"/>
            <w:tcBorders>
              <w:top w:val="single" w:sz="4" w:space="0" w:color="auto"/>
            </w:tcBorders>
            <w:vAlign w:val="center"/>
          </w:tcPr>
          <w:p w14:paraId="0CADB5ED" w14:textId="77777777" w:rsidR="009579D4" w:rsidRPr="00983193" w:rsidRDefault="009579D4" w:rsidP="009579D4">
            <w:pPr>
              <w:widowControl w:val="0"/>
              <w:spacing w:after="0" w:line="320" w:lineRule="exact"/>
              <w:jc w:val="both"/>
              <w:rPr>
                <w:rFonts w:ascii="Times New Roman" w:eastAsia="MS Mincho" w:hAnsi="Times New Roman" w:cs="Times New Roman"/>
                <w:i/>
                <w:color w:val="000000" w:themeColor="text1"/>
                <w:sz w:val="23"/>
                <w:szCs w:val="23"/>
                <w:lang w:val="en-US" w:eastAsia="ja-JP"/>
              </w:rPr>
            </w:pPr>
            <w:r w:rsidRPr="00983193">
              <w:rPr>
                <w:rFonts w:ascii="Times New Roman" w:eastAsia="MS Mincho" w:hAnsi="Times New Roman" w:cs="Times New Roman"/>
                <w:i/>
                <w:color w:val="000000" w:themeColor="text1"/>
                <w:sz w:val="23"/>
                <w:szCs w:val="23"/>
                <w:lang w:val="en-US" w:eastAsia="ja-JP"/>
              </w:rPr>
              <w:t>MTB</w:t>
            </w:r>
            <w:r w:rsidRPr="00983193">
              <w:rPr>
                <w:rFonts w:ascii="Times New Roman" w:eastAsia="MS Mincho" w:hAnsi="Times New Roman" w:cs="Times New Roman"/>
                <w:i/>
                <w:color w:val="000000" w:themeColor="text1"/>
                <w:sz w:val="23"/>
                <w:szCs w:val="23"/>
                <w:vertAlign w:val="subscript"/>
                <w:lang w:val="en-US" w:eastAsia="ja-JP"/>
              </w:rPr>
              <w:t>i.t</w:t>
            </w:r>
          </w:p>
        </w:tc>
        <w:tc>
          <w:tcPr>
            <w:tcW w:w="6091" w:type="dxa"/>
            <w:tcBorders>
              <w:top w:val="single" w:sz="4" w:space="0" w:color="auto"/>
            </w:tcBorders>
            <w:vAlign w:val="center"/>
          </w:tcPr>
          <w:p w14:paraId="7F290143" w14:textId="77777777" w:rsidR="009579D4" w:rsidRPr="00983193" w:rsidRDefault="009579D4" w:rsidP="009579D4">
            <w:pPr>
              <w:widowControl w:val="0"/>
              <w:spacing w:after="0" w:line="320" w:lineRule="exact"/>
              <w:jc w:val="both"/>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 xml:space="preserve">Market to book </w:t>
            </w:r>
            <w:r w:rsidR="00F81204">
              <w:rPr>
                <w:rFonts w:ascii="Times New Roman" w:eastAsia="MS Mincho" w:hAnsi="Times New Roman" w:cs="Times New Roman"/>
                <w:color w:val="000000" w:themeColor="text1"/>
                <w:sz w:val="23"/>
                <w:szCs w:val="23"/>
                <w:lang w:val="en-US" w:eastAsia="ja-JP"/>
              </w:rPr>
              <w:t xml:space="preserve">ratio </w:t>
            </w:r>
            <w:r w:rsidRPr="00983193">
              <w:rPr>
                <w:rFonts w:ascii="Times New Roman" w:eastAsia="MS Mincho" w:hAnsi="Times New Roman" w:cs="Times New Roman"/>
                <w:color w:val="000000" w:themeColor="text1"/>
                <w:sz w:val="23"/>
                <w:szCs w:val="23"/>
                <w:lang w:val="en-US" w:eastAsia="ja-JP"/>
              </w:rPr>
              <w:t xml:space="preserve">continuous dependent variable, computed as the mean of </w:t>
            </w:r>
            <w:r w:rsidR="00F81204">
              <w:rPr>
                <w:rFonts w:ascii="Times New Roman" w:eastAsia="MS Mincho" w:hAnsi="Times New Roman" w:cs="Times New Roman"/>
                <w:color w:val="000000" w:themeColor="text1"/>
                <w:sz w:val="23"/>
                <w:szCs w:val="23"/>
                <w:lang w:val="en-US" w:eastAsia="ja-JP"/>
              </w:rPr>
              <w:t>opening</w:t>
            </w:r>
            <w:r w:rsidRPr="00983193">
              <w:rPr>
                <w:rFonts w:ascii="Times New Roman" w:eastAsia="MS Mincho" w:hAnsi="Times New Roman" w:cs="Times New Roman"/>
                <w:color w:val="000000" w:themeColor="text1"/>
                <w:sz w:val="23"/>
                <w:szCs w:val="23"/>
                <w:lang w:val="en-US" w:eastAsia="ja-JP"/>
              </w:rPr>
              <w:t xml:space="preserve"> and </w:t>
            </w:r>
            <w:r w:rsidR="00F81204">
              <w:rPr>
                <w:rFonts w:ascii="Times New Roman" w:eastAsia="MS Mincho" w:hAnsi="Times New Roman" w:cs="Times New Roman"/>
                <w:color w:val="000000" w:themeColor="text1"/>
                <w:sz w:val="23"/>
                <w:szCs w:val="23"/>
                <w:lang w:val="en-US" w:eastAsia="ja-JP"/>
              </w:rPr>
              <w:t>closing</w:t>
            </w:r>
            <w:r w:rsidRPr="00983193">
              <w:rPr>
                <w:rFonts w:ascii="Times New Roman" w:eastAsia="MS Mincho" w:hAnsi="Times New Roman" w:cs="Times New Roman"/>
                <w:color w:val="000000" w:themeColor="text1"/>
                <w:sz w:val="23"/>
                <w:szCs w:val="23"/>
                <w:lang w:val="en-US" w:eastAsia="ja-JP"/>
              </w:rPr>
              <w:t xml:space="preserve"> value.</w:t>
            </w:r>
          </w:p>
        </w:tc>
        <w:tc>
          <w:tcPr>
            <w:tcW w:w="1221" w:type="dxa"/>
            <w:tcBorders>
              <w:top w:val="single" w:sz="4" w:space="0" w:color="auto"/>
            </w:tcBorders>
          </w:tcPr>
          <w:p w14:paraId="63226212"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c>
          <w:tcPr>
            <w:tcW w:w="1183" w:type="dxa"/>
            <w:tcBorders>
              <w:top w:val="single" w:sz="4" w:space="0" w:color="auto"/>
            </w:tcBorders>
            <w:vAlign w:val="center"/>
          </w:tcPr>
          <w:p w14:paraId="39193AC2"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r>
      <w:tr w:rsidR="009579D4" w:rsidRPr="00437209" w14:paraId="30E7C1E2" w14:textId="77777777" w:rsidTr="009579D4">
        <w:tc>
          <w:tcPr>
            <w:tcW w:w="1296" w:type="dxa"/>
            <w:tcBorders>
              <w:bottom w:val="single" w:sz="4" w:space="0" w:color="auto"/>
            </w:tcBorders>
            <w:vAlign w:val="center"/>
          </w:tcPr>
          <w:p w14:paraId="6E18CE4B" w14:textId="77777777" w:rsidR="009579D4" w:rsidRPr="00983193" w:rsidRDefault="009579D4" w:rsidP="009579D4">
            <w:pPr>
              <w:widowControl w:val="0"/>
              <w:spacing w:after="0" w:line="320" w:lineRule="exact"/>
              <w:jc w:val="both"/>
              <w:rPr>
                <w:rFonts w:ascii="Times New Roman" w:eastAsia="MS Mincho" w:hAnsi="Times New Roman" w:cs="Times New Roman"/>
                <w:i/>
                <w:color w:val="000000" w:themeColor="text1"/>
                <w:sz w:val="23"/>
                <w:szCs w:val="23"/>
                <w:lang w:val="en-US" w:eastAsia="ja-JP"/>
              </w:rPr>
            </w:pPr>
            <w:r w:rsidRPr="00983193">
              <w:rPr>
                <w:rFonts w:ascii="Times New Roman" w:eastAsia="MS Mincho" w:hAnsi="Times New Roman" w:cs="Times New Roman"/>
                <w:i/>
                <w:color w:val="000000" w:themeColor="text1"/>
                <w:sz w:val="23"/>
                <w:szCs w:val="23"/>
                <w:lang w:val="en-US" w:eastAsia="ja-JP"/>
              </w:rPr>
              <w:t>VAIC</w:t>
            </w:r>
            <w:r w:rsidRPr="00983193">
              <w:rPr>
                <w:rFonts w:ascii="Times New Roman" w:eastAsia="MS Mincho" w:hAnsi="Times New Roman" w:cs="Times New Roman"/>
                <w:i/>
                <w:color w:val="000000" w:themeColor="text1"/>
                <w:sz w:val="23"/>
                <w:szCs w:val="23"/>
                <w:vertAlign w:val="subscript"/>
                <w:lang w:val="en-US" w:eastAsia="ja-JP"/>
              </w:rPr>
              <w:t>i.t</w:t>
            </w:r>
          </w:p>
        </w:tc>
        <w:tc>
          <w:tcPr>
            <w:tcW w:w="6091" w:type="dxa"/>
            <w:tcBorders>
              <w:bottom w:val="single" w:sz="4" w:space="0" w:color="auto"/>
            </w:tcBorders>
            <w:vAlign w:val="center"/>
          </w:tcPr>
          <w:p w14:paraId="48AEFAA6" w14:textId="77777777" w:rsidR="009579D4" w:rsidRPr="00983193" w:rsidRDefault="009579D4" w:rsidP="009579D4">
            <w:pPr>
              <w:widowControl w:val="0"/>
              <w:spacing w:after="0" w:line="320" w:lineRule="exact"/>
              <w:jc w:val="both"/>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 xml:space="preserve">Value Added Intellectual </w:t>
            </w:r>
            <w:r w:rsidRPr="001855D6">
              <w:rPr>
                <w:rFonts w:ascii="Times New Roman" w:eastAsia="MS Mincho" w:hAnsi="Times New Roman" w:cs="Times New Roman"/>
                <w:noProof/>
                <w:color w:val="000000" w:themeColor="text1"/>
                <w:sz w:val="23"/>
                <w:szCs w:val="23"/>
                <w:lang w:val="en-US" w:eastAsia="ja-JP"/>
              </w:rPr>
              <w:t>Capital</w:t>
            </w:r>
            <w:r w:rsidRPr="00983193">
              <w:rPr>
                <w:rFonts w:ascii="Times New Roman" w:eastAsia="MS Mincho" w:hAnsi="Times New Roman" w:cs="Times New Roman"/>
                <w:color w:val="000000" w:themeColor="text1"/>
                <w:sz w:val="23"/>
                <w:szCs w:val="23"/>
                <w:lang w:val="en-US" w:eastAsia="ja-JP"/>
              </w:rPr>
              <w:t xml:space="preserve"> computed according to Morariu (2014)</w:t>
            </w:r>
            <w:r w:rsidR="00DD1916">
              <w:rPr>
                <w:rFonts w:ascii="Times New Roman" w:eastAsia="MS Mincho" w:hAnsi="Times New Roman" w:cs="Times New Roman"/>
                <w:color w:val="000000" w:themeColor="text1"/>
                <w:sz w:val="23"/>
                <w:szCs w:val="23"/>
                <w:lang w:val="en-US" w:eastAsia="ja-JP"/>
              </w:rPr>
              <w:t>.</w:t>
            </w:r>
          </w:p>
        </w:tc>
        <w:tc>
          <w:tcPr>
            <w:tcW w:w="1221" w:type="dxa"/>
            <w:tcBorders>
              <w:bottom w:val="single" w:sz="4" w:space="0" w:color="auto"/>
            </w:tcBorders>
          </w:tcPr>
          <w:p w14:paraId="7BD27F41"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c>
          <w:tcPr>
            <w:tcW w:w="1183" w:type="dxa"/>
            <w:tcBorders>
              <w:bottom w:val="single" w:sz="4" w:space="0" w:color="auto"/>
            </w:tcBorders>
            <w:vAlign w:val="center"/>
          </w:tcPr>
          <w:p w14:paraId="5568CF5B"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r>
      <w:tr w:rsidR="009579D4" w:rsidRPr="0005636E" w14:paraId="7BCA5C07" w14:textId="77777777" w:rsidTr="009579D4">
        <w:tc>
          <w:tcPr>
            <w:tcW w:w="7387" w:type="dxa"/>
            <w:gridSpan w:val="2"/>
            <w:tcBorders>
              <w:top w:val="single" w:sz="4" w:space="0" w:color="auto"/>
              <w:bottom w:val="single" w:sz="4" w:space="0" w:color="auto"/>
            </w:tcBorders>
            <w:vAlign w:val="center"/>
          </w:tcPr>
          <w:p w14:paraId="4605BD30" w14:textId="77777777" w:rsidR="009579D4" w:rsidRPr="00983193" w:rsidRDefault="009579D4" w:rsidP="009579D4">
            <w:pPr>
              <w:widowControl w:val="0"/>
              <w:spacing w:after="0" w:line="320" w:lineRule="exact"/>
              <w:jc w:val="both"/>
              <w:rPr>
                <w:rFonts w:ascii="Times New Roman" w:eastAsia="MS Mincho" w:hAnsi="Times New Roman" w:cs="Times New Roman"/>
                <w:i/>
                <w:color w:val="000000" w:themeColor="text1"/>
                <w:sz w:val="23"/>
                <w:szCs w:val="23"/>
                <w:lang w:val="en-US" w:eastAsia="ja-JP"/>
              </w:rPr>
            </w:pPr>
            <w:r w:rsidRPr="00983193">
              <w:rPr>
                <w:rFonts w:ascii="Times New Roman" w:eastAsia="MS Mincho" w:hAnsi="Times New Roman" w:cs="Times New Roman"/>
                <w:i/>
                <w:color w:val="000000" w:themeColor="text1"/>
                <w:sz w:val="23"/>
                <w:szCs w:val="23"/>
                <w:lang w:val="en-US" w:eastAsia="ja-JP"/>
              </w:rPr>
              <w:t>Independent variables</w:t>
            </w:r>
          </w:p>
        </w:tc>
        <w:tc>
          <w:tcPr>
            <w:tcW w:w="1221" w:type="dxa"/>
            <w:tcBorders>
              <w:top w:val="single" w:sz="4" w:space="0" w:color="auto"/>
              <w:bottom w:val="single" w:sz="4" w:space="0" w:color="auto"/>
            </w:tcBorders>
          </w:tcPr>
          <w:p w14:paraId="6537BC38"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c>
          <w:tcPr>
            <w:tcW w:w="1183" w:type="dxa"/>
            <w:tcBorders>
              <w:top w:val="single" w:sz="4" w:space="0" w:color="auto"/>
              <w:bottom w:val="single" w:sz="4" w:space="0" w:color="auto"/>
            </w:tcBorders>
            <w:vAlign w:val="center"/>
          </w:tcPr>
          <w:p w14:paraId="263C8BC2"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r>
      <w:tr w:rsidR="009579D4" w:rsidRPr="00983193" w14:paraId="5A77B3A0" w14:textId="77777777" w:rsidTr="009579D4">
        <w:tc>
          <w:tcPr>
            <w:tcW w:w="1296" w:type="dxa"/>
            <w:tcBorders>
              <w:top w:val="single" w:sz="4" w:space="0" w:color="auto"/>
            </w:tcBorders>
          </w:tcPr>
          <w:p w14:paraId="1D396E7C" w14:textId="77777777" w:rsidR="009579D4" w:rsidRPr="00983193" w:rsidRDefault="009579D4" w:rsidP="009579D4">
            <w:pPr>
              <w:widowControl w:val="0"/>
              <w:spacing w:after="0" w:line="320" w:lineRule="exact"/>
              <w:jc w:val="both"/>
              <w:rPr>
                <w:rFonts w:ascii="Times New Roman" w:eastAsia="MS Mincho" w:hAnsi="Times New Roman" w:cs="Times New Roman"/>
                <w:i/>
                <w:color w:val="000000" w:themeColor="text1"/>
                <w:sz w:val="23"/>
                <w:szCs w:val="23"/>
                <w:lang w:val="en-US" w:eastAsia="ja-JP"/>
              </w:rPr>
            </w:pPr>
            <w:r w:rsidRPr="00983193">
              <w:rPr>
                <w:rFonts w:ascii="Times New Roman" w:eastAsia="MS Mincho" w:hAnsi="Times New Roman" w:cs="Times New Roman"/>
                <w:i/>
                <w:color w:val="000000" w:themeColor="text1"/>
                <w:sz w:val="23"/>
                <w:szCs w:val="23"/>
                <w:lang w:val="en-US" w:eastAsia="ja-JP"/>
              </w:rPr>
              <w:t>lnTINT</w:t>
            </w:r>
            <w:r w:rsidRPr="00983193">
              <w:rPr>
                <w:rFonts w:ascii="Times New Roman" w:eastAsia="MS Mincho" w:hAnsi="Times New Roman" w:cs="Times New Roman"/>
                <w:i/>
                <w:color w:val="000000" w:themeColor="text1"/>
                <w:sz w:val="23"/>
                <w:szCs w:val="23"/>
                <w:vertAlign w:val="subscript"/>
                <w:lang w:val="en-US" w:eastAsia="ja-JP"/>
              </w:rPr>
              <w:t>i.t</w:t>
            </w:r>
          </w:p>
        </w:tc>
        <w:tc>
          <w:tcPr>
            <w:tcW w:w="6091" w:type="dxa"/>
            <w:tcBorders>
              <w:top w:val="single" w:sz="4" w:space="0" w:color="auto"/>
            </w:tcBorders>
            <w:vAlign w:val="center"/>
          </w:tcPr>
          <w:p w14:paraId="3F503AED" w14:textId="77777777" w:rsidR="009579D4" w:rsidRPr="00983193" w:rsidRDefault="009579D4" w:rsidP="009579D4">
            <w:pPr>
              <w:widowControl w:val="0"/>
              <w:spacing w:after="0" w:line="320" w:lineRule="exact"/>
              <w:jc w:val="both"/>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Intangible assets ratio, measured as the natural logarithm of intangible assets (El-Bannany, 2008)</w:t>
            </w:r>
            <w:r w:rsidR="00DD1916">
              <w:rPr>
                <w:rFonts w:ascii="Times New Roman" w:eastAsia="MS Mincho" w:hAnsi="Times New Roman" w:cs="Times New Roman"/>
                <w:color w:val="000000" w:themeColor="text1"/>
                <w:sz w:val="23"/>
                <w:szCs w:val="23"/>
                <w:lang w:val="en-US" w:eastAsia="ja-JP"/>
              </w:rPr>
              <w:t>,</w:t>
            </w:r>
            <w:r w:rsidRPr="00983193">
              <w:rPr>
                <w:rFonts w:ascii="Times New Roman" w:eastAsia="MS Mincho" w:hAnsi="Times New Roman" w:cs="Times New Roman"/>
                <w:color w:val="000000" w:themeColor="text1"/>
                <w:sz w:val="23"/>
                <w:szCs w:val="23"/>
                <w:lang w:val="en-US" w:eastAsia="ja-JP"/>
              </w:rPr>
              <w:t xml:space="preserve"> scaled by total assets at year t.</w:t>
            </w:r>
          </w:p>
        </w:tc>
        <w:tc>
          <w:tcPr>
            <w:tcW w:w="1221" w:type="dxa"/>
            <w:tcBorders>
              <w:top w:val="single" w:sz="4" w:space="0" w:color="auto"/>
            </w:tcBorders>
            <w:vAlign w:val="center"/>
          </w:tcPr>
          <w:p w14:paraId="03F17290"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w:t>
            </w:r>
          </w:p>
          <w:p w14:paraId="60C4B755"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w:t>
            </w:r>
          </w:p>
        </w:tc>
        <w:tc>
          <w:tcPr>
            <w:tcW w:w="1183" w:type="dxa"/>
            <w:tcBorders>
              <w:top w:val="single" w:sz="4" w:space="0" w:color="auto"/>
            </w:tcBorders>
            <w:vAlign w:val="center"/>
          </w:tcPr>
          <w:p w14:paraId="75BA1A7B"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H1a</w:t>
            </w:r>
          </w:p>
          <w:p w14:paraId="7F96E262"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H1b</w:t>
            </w:r>
          </w:p>
        </w:tc>
      </w:tr>
      <w:tr w:rsidR="009579D4" w:rsidRPr="00983193" w14:paraId="5EDC8BC7" w14:textId="77777777" w:rsidTr="009579D4">
        <w:tc>
          <w:tcPr>
            <w:tcW w:w="1296" w:type="dxa"/>
          </w:tcPr>
          <w:p w14:paraId="3D32DBDD" w14:textId="77777777" w:rsidR="009579D4" w:rsidRPr="00983193" w:rsidRDefault="009579D4" w:rsidP="009579D4">
            <w:pPr>
              <w:widowControl w:val="0"/>
              <w:spacing w:after="0" w:line="320" w:lineRule="exact"/>
              <w:jc w:val="both"/>
              <w:rPr>
                <w:rFonts w:ascii="Times New Roman" w:eastAsia="MS Mincho" w:hAnsi="Times New Roman" w:cs="Times New Roman"/>
                <w:i/>
                <w:color w:val="000000" w:themeColor="text1"/>
                <w:sz w:val="23"/>
                <w:szCs w:val="23"/>
                <w:lang w:val="en-US" w:eastAsia="ja-JP"/>
              </w:rPr>
            </w:pPr>
            <w:r w:rsidRPr="00983193">
              <w:rPr>
                <w:rFonts w:ascii="Times New Roman" w:eastAsia="MS Mincho" w:hAnsi="Times New Roman" w:cs="Times New Roman"/>
                <w:i/>
                <w:color w:val="000000" w:themeColor="text1"/>
                <w:sz w:val="23"/>
                <w:szCs w:val="23"/>
                <w:lang w:val="en-US" w:eastAsia="ja-JP"/>
              </w:rPr>
              <w:t>ROA</w:t>
            </w:r>
            <w:r w:rsidRPr="00983193">
              <w:rPr>
                <w:rFonts w:ascii="Times New Roman" w:eastAsia="MS Mincho" w:hAnsi="Times New Roman" w:cs="Times New Roman"/>
                <w:i/>
                <w:color w:val="000000" w:themeColor="text1"/>
                <w:sz w:val="23"/>
                <w:szCs w:val="23"/>
                <w:vertAlign w:val="subscript"/>
                <w:lang w:val="en-US" w:eastAsia="ja-JP"/>
              </w:rPr>
              <w:t>i.t</w:t>
            </w:r>
          </w:p>
        </w:tc>
        <w:tc>
          <w:tcPr>
            <w:tcW w:w="6091" w:type="dxa"/>
            <w:vAlign w:val="center"/>
          </w:tcPr>
          <w:p w14:paraId="632985D9" w14:textId="77777777" w:rsidR="009579D4" w:rsidRPr="00983193" w:rsidRDefault="009579D4" w:rsidP="009579D4">
            <w:pPr>
              <w:widowControl w:val="0"/>
              <w:spacing w:after="0" w:line="320" w:lineRule="exact"/>
              <w:jc w:val="both"/>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 xml:space="preserve">Firm profitability of the </w:t>
            </w:r>
            <w:r w:rsidR="00DD1916">
              <w:rPr>
                <w:rFonts w:ascii="Times New Roman" w:eastAsia="MS Mincho" w:hAnsi="Times New Roman" w:cs="Times New Roman"/>
                <w:color w:val="000000" w:themeColor="text1"/>
                <w:sz w:val="23"/>
                <w:szCs w:val="23"/>
                <w:lang w:val="en-US" w:eastAsia="ja-JP"/>
              </w:rPr>
              <w:t>following year</w:t>
            </w:r>
            <w:r w:rsidRPr="00983193">
              <w:rPr>
                <w:rFonts w:ascii="Times New Roman" w:eastAsia="MS Mincho" w:hAnsi="Times New Roman" w:cs="Times New Roman"/>
                <w:color w:val="000000" w:themeColor="text1"/>
                <w:sz w:val="23"/>
                <w:szCs w:val="23"/>
                <w:lang w:val="en-US" w:eastAsia="ja-JP"/>
              </w:rPr>
              <w:t xml:space="preserve">, measured as the return on assets. </w:t>
            </w:r>
          </w:p>
        </w:tc>
        <w:tc>
          <w:tcPr>
            <w:tcW w:w="1221" w:type="dxa"/>
            <w:vAlign w:val="center"/>
          </w:tcPr>
          <w:p w14:paraId="4B00CA7F"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w:t>
            </w:r>
          </w:p>
        </w:tc>
        <w:tc>
          <w:tcPr>
            <w:tcW w:w="1183" w:type="dxa"/>
            <w:vAlign w:val="center"/>
          </w:tcPr>
          <w:p w14:paraId="78653CDB"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H2</w:t>
            </w:r>
          </w:p>
        </w:tc>
      </w:tr>
      <w:tr w:rsidR="009579D4" w:rsidRPr="00983193" w14:paraId="6F9AEE02" w14:textId="77777777" w:rsidTr="009579D4">
        <w:tc>
          <w:tcPr>
            <w:tcW w:w="1296" w:type="dxa"/>
            <w:hideMark/>
          </w:tcPr>
          <w:p w14:paraId="4DEB32A0" w14:textId="77777777" w:rsidR="009579D4" w:rsidRPr="00983193" w:rsidRDefault="009579D4" w:rsidP="009579D4">
            <w:pPr>
              <w:widowControl w:val="0"/>
              <w:spacing w:after="0" w:line="320" w:lineRule="exact"/>
              <w:jc w:val="both"/>
              <w:rPr>
                <w:rFonts w:ascii="Times New Roman" w:eastAsia="MS Mincho" w:hAnsi="Times New Roman" w:cs="Times New Roman"/>
                <w:i/>
                <w:color w:val="000000" w:themeColor="text1"/>
                <w:sz w:val="23"/>
                <w:szCs w:val="23"/>
                <w:lang w:val="en-US" w:eastAsia="ja-JP"/>
              </w:rPr>
            </w:pPr>
            <w:r w:rsidRPr="00983193">
              <w:rPr>
                <w:rFonts w:ascii="Times New Roman" w:eastAsia="MS Mincho" w:hAnsi="Times New Roman" w:cs="Times New Roman"/>
                <w:i/>
                <w:color w:val="000000" w:themeColor="text1"/>
                <w:sz w:val="23"/>
                <w:szCs w:val="23"/>
                <w:lang w:val="en-US" w:eastAsia="ja-JP"/>
              </w:rPr>
              <w:t>LEV</w:t>
            </w:r>
            <w:r w:rsidRPr="00983193">
              <w:rPr>
                <w:rFonts w:ascii="Times New Roman" w:eastAsia="MS Mincho" w:hAnsi="Times New Roman" w:cs="Times New Roman"/>
                <w:i/>
                <w:color w:val="000000" w:themeColor="text1"/>
                <w:sz w:val="23"/>
                <w:szCs w:val="23"/>
                <w:vertAlign w:val="subscript"/>
                <w:lang w:val="en-US" w:eastAsia="ja-JP"/>
              </w:rPr>
              <w:t>i.t</w:t>
            </w:r>
          </w:p>
        </w:tc>
        <w:tc>
          <w:tcPr>
            <w:tcW w:w="6091" w:type="dxa"/>
            <w:vAlign w:val="center"/>
            <w:hideMark/>
          </w:tcPr>
          <w:p w14:paraId="5301FC17" w14:textId="77777777" w:rsidR="009579D4" w:rsidRPr="00983193" w:rsidRDefault="009579D4" w:rsidP="009579D4">
            <w:pPr>
              <w:widowControl w:val="0"/>
              <w:spacing w:after="0" w:line="320" w:lineRule="exact"/>
              <w:jc w:val="both"/>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 xml:space="preserve">Firm leverage, measured in terms of the debt-equity ratio. The variable is winsorized at </w:t>
            </w:r>
            <w:r w:rsidR="00DD1916">
              <w:rPr>
                <w:rFonts w:ascii="Times New Roman" w:eastAsia="MS Mincho" w:hAnsi="Times New Roman" w:cs="Times New Roman"/>
                <w:color w:val="000000" w:themeColor="text1"/>
                <w:sz w:val="23"/>
                <w:szCs w:val="23"/>
                <w:lang w:val="en-US" w:eastAsia="ja-JP"/>
              </w:rPr>
              <w:t xml:space="preserve">the </w:t>
            </w:r>
            <w:r w:rsidRPr="00983193">
              <w:rPr>
                <w:rFonts w:ascii="Times New Roman" w:eastAsia="MS Mincho" w:hAnsi="Times New Roman" w:cs="Times New Roman"/>
                <w:color w:val="000000" w:themeColor="text1"/>
                <w:sz w:val="23"/>
                <w:szCs w:val="23"/>
                <w:lang w:val="en-US" w:eastAsia="ja-JP"/>
              </w:rPr>
              <w:t>1% level in order to remove</w:t>
            </w:r>
            <w:r w:rsidR="00DD1916">
              <w:rPr>
                <w:rFonts w:ascii="Times New Roman" w:eastAsia="MS Mincho" w:hAnsi="Times New Roman" w:cs="Times New Roman"/>
                <w:color w:val="000000" w:themeColor="text1"/>
                <w:sz w:val="23"/>
                <w:szCs w:val="23"/>
                <w:lang w:val="en-US" w:eastAsia="ja-JP"/>
              </w:rPr>
              <w:t xml:space="preserve"> </w:t>
            </w:r>
            <w:r w:rsidRPr="00983193">
              <w:rPr>
                <w:rFonts w:ascii="Times New Roman" w:eastAsia="MS Mincho" w:hAnsi="Times New Roman" w:cs="Times New Roman"/>
                <w:color w:val="000000" w:themeColor="text1"/>
                <w:sz w:val="23"/>
                <w:szCs w:val="23"/>
                <w:lang w:val="en-US" w:eastAsia="ja-JP"/>
              </w:rPr>
              <w:t>outliers.</w:t>
            </w:r>
          </w:p>
        </w:tc>
        <w:tc>
          <w:tcPr>
            <w:tcW w:w="1221" w:type="dxa"/>
            <w:vAlign w:val="center"/>
            <w:hideMark/>
          </w:tcPr>
          <w:p w14:paraId="0E30E1A4"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w:t>
            </w:r>
          </w:p>
          <w:p w14:paraId="044CF78B"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w:t>
            </w:r>
          </w:p>
        </w:tc>
        <w:tc>
          <w:tcPr>
            <w:tcW w:w="1183" w:type="dxa"/>
            <w:vAlign w:val="center"/>
            <w:hideMark/>
          </w:tcPr>
          <w:p w14:paraId="17C1545C"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H3a</w:t>
            </w:r>
          </w:p>
          <w:p w14:paraId="6ECDFE1F"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H3b</w:t>
            </w:r>
          </w:p>
        </w:tc>
      </w:tr>
      <w:tr w:rsidR="009579D4" w:rsidRPr="0005636E" w14:paraId="37DAC07E" w14:textId="77777777" w:rsidTr="009579D4">
        <w:tc>
          <w:tcPr>
            <w:tcW w:w="7387" w:type="dxa"/>
            <w:gridSpan w:val="2"/>
            <w:tcBorders>
              <w:top w:val="single" w:sz="4" w:space="0" w:color="auto"/>
              <w:bottom w:val="single" w:sz="4" w:space="0" w:color="auto"/>
            </w:tcBorders>
          </w:tcPr>
          <w:p w14:paraId="25A9C195" w14:textId="77777777" w:rsidR="009579D4" w:rsidRPr="00983193" w:rsidRDefault="009579D4" w:rsidP="009579D4">
            <w:pPr>
              <w:widowControl w:val="0"/>
              <w:spacing w:after="0" w:line="320" w:lineRule="exact"/>
              <w:jc w:val="both"/>
              <w:rPr>
                <w:rFonts w:ascii="Times New Roman" w:eastAsia="MS Mincho" w:hAnsi="Times New Roman" w:cs="Times New Roman"/>
                <w:i/>
                <w:color w:val="000000" w:themeColor="text1"/>
                <w:sz w:val="23"/>
                <w:szCs w:val="23"/>
                <w:lang w:val="en-US" w:eastAsia="ja-JP"/>
              </w:rPr>
            </w:pPr>
            <w:r w:rsidRPr="00983193">
              <w:rPr>
                <w:rFonts w:ascii="Times New Roman" w:eastAsia="MS Mincho" w:hAnsi="Times New Roman" w:cs="Times New Roman"/>
                <w:i/>
                <w:color w:val="000000" w:themeColor="text1"/>
                <w:sz w:val="23"/>
                <w:szCs w:val="23"/>
                <w:lang w:val="en-US" w:eastAsia="ja-JP"/>
              </w:rPr>
              <w:t>Control variables</w:t>
            </w:r>
          </w:p>
        </w:tc>
        <w:tc>
          <w:tcPr>
            <w:tcW w:w="1221" w:type="dxa"/>
            <w:tcBorders>
              <w:top w:val="single" w:sz="4" w:space="0" w:color="auto"/>
              <w:bottom w:val="single" w:sz="4" w:space="0" w:color="auto"/>
            </w:tcBorders>
            <w:vAlign w:val="center"/>
          </w:tcPr>
          <w:p w14:paraId="7C743888"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c>
          <w:tcPr>
            <w:tcW w:w="1183" w:type="dxa"/>
            <w:tcBorders>
              <w:top w:val="single" w:sz="4" w:space="0" w:color="auto"/>
              <w:bottom w:val="single" w:sz="4" w:space="0" w:color="auto"/>
            </w:tcBorders>
            <w:vAlign w:val="center"/>
          </w:tcPr>
          <w:p w14:paraId="11A9BD95"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r>
      <w:tr w:rsidR="009579D4" w:rsidRPr="00983193" w14:paraId="058CB0AC" w14:textId="77777777" w:rsidTr="009579D4">
        <w:tc>
          <w:tcPr>
            <w:tcW w:w="1296" w:type="dxa"/>
            <w:tcBorders>
              <w:top w:val="single" w:sz="4" w:space="0" w:color="auto"/>
            </w:tcBorders>
          </w:tcPr>
          <w:p w14:paraId="5E176090" w14:textId="77777777" w:rsidR="009579D4" w:rsidRPr="00983193" w:rsidRDefault="009579D4" w:rsidP="009579D4">
            <w:pPr>
              <w:widowControl w:val="0"/>
              <w:spacing w:after="0" w:line="320" w:lineRule="exact"/>
              <w:jc w:val="both"/>
              <w:rPr>
                <w:rFonts w:ascii="Times New Roman" w:eastAsia="MS Mincho" w:hAnsi="Times New Roman" w:cs="Times New Roman"/>
                <w:i/>
                <w:color w:val="000000" w:themeColor="text1"/>
                <w:sz w:val="23"/>
                <w:szCs w:val="23"/>
                <w:lang w:val="en-US" w:eastAsia="ja-JP"/>
              </w:rPr>
            </w:pPr>
            <w:r w:rsidRPr="00983193">
              <w:rPr>
                <w:rFonts w:ascii="Times New Roman" w:hAnsi="Times New Roman" w:cs="Times New Roman"/>
                <w:i/>
                <w:color w:val="000000" w:themeColor="text1"/>
                <w:sz w:val="23"/>
                <w:szCs w:val="23"/>
              </w:rPr>
              <w:t>SIZE</w:t>
            </w:r>
            <w:r w:rsidRPr="00983193">
              <w:rPr>
                <w:rFonts w:ascii="Times New Roman" w:eastAsia="MS Mincho" w:hAnsi="Times New Roman" w:cs="Times New Roman"/>
                <w:i/>
                <w:color w:val="000000" w:themeColor="text1"/>
                <w:sz w:val="23"/>
                <w:szCs w:val="23"/>
                <w:vertAlign w:val="subscript"/>
                <w:lang w:val="en-US" w:eastAsia="ja-JP"/>
              </w:rPr>
              <w:t>i.t</w:t>
            </w:r>
          </w:p>
        </w:tc>
        <w:tc>
          <w:tcPr>
            <w:tcW w:w="6091" w:type="dxa"/>
            <w:tcBorders>
              <w:top w:val="single" w:sz="4" w:space="0" w:color="auto"/>
            </w:tcBorders>
          </w:tcPr>
          <w:p w14:paraId="41E05665" w14:textId="77777777" w:rsidR="009579D4" w:rsidRPr="00983193" w:rsidRDefault="009579D4" w:rsidP="009579D4">
            <w:pPr>
              <w:widowControl w:val="0"/>
              <w:spacing w:after="0" w:line="320" w:lineRule="exact"/>
              <w:jc w:val="both"/>
              <w:rPr>
                <w:rFonts w:ascii="Times New Roman" w:eastAsia="MS Mincho" w:hAnsi="Times New Roman" w:cs="Times New Roman"/>
                <w:color w:val="000000" w:themeColor="text1"/>
                <w:sz w:val="23"/>
                <w:szCs w:val="23"/>
                <w:lang w:val="en-US" w:eastAsia="ja-JP"/>
              </w:rPr>
            </w:pPr>
            <w:r w:rsidRPr="00983193">
              <w:rPr>
                <w:rFonts w:ascii="Times New Roman" w:hAnsi="Times New Roman" w:cs="Times New Roman"/>
                <w:color w:val="000000" w:themeColor="text1"/>
                <w:sz w:val="23"/>
                <w:szCs w:val="23"/>
                <w:lang w:val="en-US"/>
              </w:rPr>
              <w:t>Firm size, measured as the natural logarithm of total assets at year t.</w:t>
            </w:r>
          </w:p>
        </w:tc>
        <w:tc>
          <w:tcPr>
            <w:tcW w:w="1221" w:type="dxa"/>
            <w:tcBorders>
              <w:top w:val="single" w:sz="4" w:space="0" w:color="auto"/>
            </w:tcBorders>
          </w:tcPr>
          <w:p w14:paraId="565F319D"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hAnsi="Times New Roman" w:cs="Times New Roman"/>
                <w:color w:val="000000" w:themeColor="text1"/>
                <w:sz w:val="23"/>
                <w:szCs w:val="23"/>
              </w:rPr>
              <w:t>+</w:t>
            </w:r>
          </w:p>
        </w:tc>
        <w:tc>
          <w:tcPr>
            <w:tcW w:w="1183" w:type="dxa"/>
            <w:tcBorders>
              <w:top w:val="single" w:sz="4" w:space="0" w:color="auto"/>
            </w:tcBorders>
          </w:tcPr>
          <w:p w14:paraId="1CFF3478"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r>
      <w:tr w:rsidR="009579D4" w:rsidRPr="00983193" w14:paraId="7C3FCCE5" w14:textId="77777777" w:rsidTr="009579D4">
        <w:tc>
          <w:tcPr>
            <w:tcW w:w="1296" w:type="dxa"/>
          </w:tcPr>
          <w:p w14:paraId="01625822" w14:textId="77777777" w:rsidR="009579D4" w:rsidRPr="00983193" w:rsidRDefault="009579D4" w:rsidP="009579D4">
            <w:pPr>
              <w:widowControl w:val="0"/>
              <w:spacing w:after="0" w:line="320" w:lineRule="exact"/>
              <w:jc w:val="both"/>
              <w:rPr>
                <w:rFonts w:ascii="Times New Roman" w:eastAsia="MS Mincho" w:hAnsi="Times New Roman" w:cs="Times New Roman"/>
                <w:i/>
                <w:color w:val="000000" w:themeColor="text1"/>
                <w:sz w:val="23"/>
                <w:szCs w:val="23"/>
                <w:lang w:val="en-US" w:eastAsia="ja-JP"/>
              </w:rPr>
            </w:pPr>
            <w:r w:rsidRPr="00983193">
              <w:rPr>
                <w:rFonts w:ascii="Times New Roman" w:eastAsia="MS Mincho" w:hAnsi="Times New Roman" w:cs="Times New Roman"/>
                <w:i/>
                <w:color w:val="000000" w:themeColor="text1"/>
                <w:sz w:val="23"/>
                <w:szCs w:val="23"/>
                <w:lang w:val="en-US" w:eastAsia="ja-JP"/>
              </w:rPr>
              <w:t>GROW</w:t>
            </w:r>
            <w:r w:rsidRPr="00983193">
              <w:rPr>
                <w:rFonts w:ascii="Times New Roman" w:eastAsia="MS Mincho" w:hAnsi="Times New Roman" w:cs="Times New Roman"/>
                <w:i/>
                <w:color w:val="000000" w:themeColor="text1"/>
                <w:sz w:val="23"/>
                <w:szCs w:val="23"/>
                <w:vertAlign w:val="subscript"/>
                <w:lang w:val="en-US" w:eastAsia="ja-JP"/>
              </w:rPr>
              <w:t>i.t</w:t>
            </w:r>
          </w:p>
        </w:tc>
        <w:tc>
          <w:tcPr>
            <w:tcW w:w="6091" w:type="dxa"/>
            <w:vAlign w:val="center"/>
          </w:tcPr>
          <w:p w14:paraId="34DBB2D2" w14:textId="77777777" w:rsidR="009579D4" w:rsidRPr="00983193" w:rsidRDefault="009579D4" w:rsidP="009579D4">
            <w:pPr>
              <w:widowControl w:val="0"/>
              <w:spacing w:after="0" w:line="320" w:lineRule="exact"/>
              <w:jc w:val="both"/>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 xml:space="preserve">Growth in revenues dummy variable. The variable takes the value of 1 if the revenues of year t+1 are higher than revenues in year t, scaled by </w:t>
            </w:r>
            <w:r w:rsidR="00DD1916">
              <w:rPr>
                <w:rFonts w:ascii="Times New Roman" w:eastAsia="MS Mincho" w:hAnsi="Times New Roman" w:cs="Times New Roman"/>
                <w:color w:val="000000" w:themeColor="text1"/>
                <w:sz w:val="23"/>
                <w:szCs w:val="23"/>
                <w:lang w:val="en-US" w:eastAsia="ja-JP"/>
              </w:rPr>
              <w:t xml:space="preserve">the </w:t>
            </w:r>
            <w:r w:rsidRPr="00983193">
              <w:rPr>
                <w:rFonts w:ascii="Times New Roman" w:eastAsia="MS Mincho" w:hAnsi="Times New Roman" w:cs="Times New Roman"/>
                <w:color w:val="000000" w:themeColor="text1"/>
                <w:sz w:val="23"/>
                <w:szCs w:val="23"/>
                <w:lang w:val="en-US" w:eastAsia="ja-JP"/>
              </w:rPr>
              <w:t xml:space="preserve">revenues in year t.  The variable takes the value 0 otherwise. </w:t>
            </w:r>
          </w:p>
        </w:tc>
        <w:tc>
          <w:tcPr>
            <w:tcW w:w="1221" w:type="dxa"/>
            <w:vAlign w:val="center"/>
          </w:tcPr>
          <w:p w14:paraId="6B67EB0B"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w:t>
            </w:r>
          </w:p>
        </w:tc>
        <w:tc>
          <w:tcPr>
            <w:tcW w:w="1183" w:type="dxa"/>
            <w:vAlign w:val="center"/>
          </w:tcPr>
          <w:p w14:paraId="0CB0F8A7"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r>
      <w:tr w:rsidR="009579D4" w:rsidRPr="00983193" w14:paraId="30F461CF" w14:textId="77777777" w:rsidTr="009579D4">
        <w:tc>
          <w:tcPr>
            <w:tcW w:w="1296" w:type="dxa"/>
            <w:tcBorders>
              <w:bottom w:val="single" w:sz="4" w:space="0" w:color="auto"/>
            </w:tcBorders>
          </w:tcPr>
          <w:p w14:paraId="36A4702B" w14:textId="77777777" w:rsidR="009579D4" w:rsidRPr="00983193" w:rsidRDefault="009579D4" w:rsidP="009579D4">
            <w:pPr>
              <w:widowControl w:val="0"/>
              <w:spacing w:after="0" w:line="320" w:lineRule="exact"/>
              <w:jc w:val="both"/>
              <w:rPr>
                <w:rFonts w:ascii="Times New Roman" w:eastAsia="MS Mincho" w:hAnsi="Times New Roman" w:cs="Times New Roman"/>
                <w:i/>
                <w:color w:val="000000" w:themeColor="text1"/>
                <w:sz w:val="23"/>
                <w:szCs w:val="23"/>
                <w:lang w:val="en-US" w:eastAsia="ja-JP"/>
              </w:rPr>
            </w:pPr>
            <w:r w:rsidRPr="00983193">
              <w:rPr>
                <w:rFonts w:ascii="Times New Roman" w:eastAsia="MS Mincho" w:hAnsi="Times New Roman" w:cs="Times New Roman"/>
                <w:i/>
                <w:color w:val="000000" w:themeColor="text1"/>
                <w:sz w:val="23"/>
                <w:szCs w:val="23"/>
                <w:lang w:val="en-US" w:eastAsia="ja-JP"/>
              </w:rPr>
              <w:t>lnAGE</w:t>
            </w:r>
            <w:r w:rsidRPr="00983193">
              <w:rPr>
                <w:rFonts w:ascii="Times New Roman" w:eastAsia="MS Mincho" w:hAnsi="Times New Roman" w:cs="Times New Roman"/>
                <w:i/>
                <w:color w:val="000000" w:themeColor="text1"/>
                <w:sz w:val="23"/>
                <w:szCs w:val="23"/>
                <w:vertAlign w:val="subscript"/>
                <w:lang w:val="en-US" w:eastAsia="ja-JP"/>
              </w:rPr>
              <w:t>i.t</w:t>
            </w:r>
          </w:p>
        </w:tc>
        <w:tc>
          <w:tcPr>
            <w:tcW w:w="6091" w:type="dxa"/>
            <w:tcBorders>
              <w:bottom w:val="single" w:sz="4" w:space="0" w:color="auto"/>
            </w:tcBorders>
            <w:vAlign w:val="center"/>
          </w:tcPr>
          <w:p w14:paraId="5D6FE894" w14:textId="77777777" w:rsidR="009579D4" w:rsidRPr="00983193" w:rsidRDefault="009579D4" w:rsidP="009579D4">
            <w:pPr>
              <w:widowControl w:val="0"/>
              <w:spacing w:after="0" w:line="320" w:lineRule="exact"/>
              <w:jc w:val="both"/>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The natural logarithm of the firm’s length of establishment in years since its foundation date.</w:t>
            </w:r>
          </w:p>
        </w:tc>
        <w:tc>
          <w:tcPr>
            <w:tcW w:w="1221" w:type="dxa"/>
            <w:tcBorders>
              <w:bottom w:val="single" w:sz="4" w:space="0" w:color="auto"/>
            </w:tcBorders>
            <w:vAlign w:val="center"/>
          </w:tcPr>
          <w:p w14:paraId="293A5022"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r w:rsidRPr="00983193">
              <w:rPr>
                <w:rFonts w:ascii="Times New Roman" w:eastAsia="MS Mincho" w:hAnsi="Times New Roman" w:cs="Times New Roman"/>
                <w:color w:val="000000" w:themeColor="text1"/>
                <w:sz w:val="23"/>
                <w:szCs w:val="23"/>
                <w:lang w:val="en-US" w:eastAsia="ja-JP"/>
              </w:rPr>
              <w:t>-</w:t>
            </w:r>
          </w:p>
        </w:tc>
        <w:tc>
          <w:tcPr>
            <w:tcW w:w="1183" w:type="dxa"/>
            <w:tcBorders>
              <w:bottom w:val="single" w:sz="4" w:space="0" w:color="auto"/>
            </w:tcBorders>
            <w:vAlign w:val="center"/>
          </w:tcPr>
          <w:p w14:paraId="3D20DE13" w14:textId="77777777" w:rsidR="009579D4" w:rsidRPr="00983193" w:rsidRDefault="009579D4" w:rsidP="009579D4">
            <w:pPr>
              <w:widowControl w:val="0"/>
              <w:spacing w:after="0" w:line="320" w:lineRule="exact"/>
              <w:jc w:val="center"/>
              <w:rPr>
                <w:rFonts w:ascii="Times New Roman" w:eastAsia="MS Mincho" w:hAnsi="Times New Roman" w:cs="Times New Roman"/>
                <w:color w:val="000000" w:themeColor="text1"/>
                <w:sz w:val="23"/>
                <w:szCs w:val="23"/>
                <w:lang w:val="en-US" w:eastAsia="ja-JP"/>
              </w:rPr>
            </w:pPr>
          </w:p>
        </w:tc>
      </w:tr>
    </w:tbl>
    <w:p w14:paraId="2A59130C" w14:textId="77777777" w:rsidR="009579D4" w:rsidRPr="00983193" w:rsidRDefault="009579D4" w:rsidP="009579D4">
      <w:pPr>
        <w:spacing w:after="0" w:line="240" w:lineRule="auto"/>
        <w:ind w:firstLine="284"/>
        <w:jc w:val="both"/>
        <w:rPr>
          <w:rFonts w:ascii="Times New Roman" w:hAnsi="Times New Roman" w:cs="Times New Roman"/>
          <w:color w:val="000000" w:themeColor="text1"/>
          <w:sz w:val="23"/>
          <w:szCs w:val="23"/>
          <w:lang w:val="en-US"/>
        </w:rPr>
      </w:pPr>
    </w:p>
    <w:p w14:paraId="363C8CD3" w14:textId="77777777" w:rsidR="007734A2" w:rsidRDefault="007734A2">
      <w:pPr>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br w:type="page"/>
      </w:r>
    </w:p>
    <w:p w14:paraId="4BF34FD8" w14:textId="77777777" w:rsidR="007734A2" w:rsidRPr="00A53C54" w:rsidRDefault="007734A2" w:rsidP="007734A2">
      <w:pPr>
        <w:spacing w:after="0" w:line="240" w:lineRule="auto"/>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lastRenderedPageBreak/>
        <w:t xml:space="preserve">Table III. Descriptive statistics for the continuous </w:t>
      </w:r>
      <w:r w:rsidR="00797ECF">
        <w:rPr>
          <w:rFonts w:ascii="Times New Roman" w:hAnsi="Times New Roman" w:cs="Times New Roman"/>
          <w:b/>
          <w:color w:val="000000" w:themeColor="text1"/>
          <w:sz w:val="23"/>
          <w:szCs w:val="23"/>
          <w:lang w:val="en-US"/>
        </w:rPr>
        <w:t xml:space="preserve">and dichotomous </w:t>
      </w:r>
      <w:r w:rsidRPr="00A53C54">
        <w:rPr>
          <w:rFonts w:ascii="Times New Roman" w:hAnsi="Times New Roman" w:cs="Times New Roman"/>
          <w:b/>
          <w:color w:val="000000" w:themeColor="text1"/>
          <w:sz w:val="23"/>
          <w:szCs w:val="23"/>
          <w:lang w:val="en-US"/>
        </w:rPr>
        <w:t>model variables</w:t>
      </w:r>
    </w:p>
    <w:p w14:paraId="504AFF76" w14:textId="77777777" w:rsidR="007734A2" w:rsidRPr="00983193" w:rsidRDefault="007734A2" w:rsidP="007734A2">
      <w:pPr>
        <w:spacing w:after="0" w:line="240" w:lineRule="auto"/>
        <w:rPr>
          <w:rFonts w:ascii="Times New Roman" w:hAnsi="Times New Roman" w:cs="Times New Roman"/>
          <w:color w:val="000000" w:themeColor="text1"/>
          <w:sz w:val="23"/>
          <w:szCs w:val="23"/>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16"/>
        <w:gridCol w:w="904"/>
        <w:gridCol w:w="711"/>
        <w:gridCol w:w="876"/>
        <w:gridCol w:w="779"/>
        <w:gridCol w:w="900"/>
        <w:gridCol w:w="865"/>
        <w:gridCol w:w="926"/>
        <w:gridCol w:w="887"/>
        <w:gridCol w:w="887"/>
        <w:gridCol w:w="887"/>
      </w:tblGrid>
      <w:tr w:rsidR="007734A2" w:rsidRPr="00983193" w14:paraId="0CC6D2B1" w14:textId="77777777" w:rsidTr="00221E18">
        <w:tc>
          <w:tcPr>
            <w:tcW w:w="8800" w:type="dxa"/>
            <w:gridSpan w:val="10"/>
            <w:tcBorders>
              <w:top w:val="single" w:sz="4" w:space="0" w:color="auto"/>
            </w:tcBorders>
          </w:tcPr>
          <w:p w14:paraId="68374495" w14:textId="77777777" w:rsidR="007734A2" w:rsidRPr="00983193" w:rsidRDefault="007734A2" w:rsidP="00F7044F">
            <w:pPr>
              <w:spacing w:line="240" w:lineRule="exact"/>
              <w:jc w:val="both"/>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 xml:space="preserve">Full sample (Obs: 732 = 122 companies) </w:t>
            </w:r>
          </w:p>
        </w:tc>
        <w:tc>
          <w:tcPr>
            <w:tcW w:w="894" w:type="dxa"/>
            <w:tcBorders>
              <w:top w:val="single" w:sz="4" w:space="0" w:color="auto"/>
            </w:tcBorders>
          </w:tcPr>
          <w:p w14:paraId="2B4EE57E" w14:textId="77777777" w:rsidR="007734A2" w:rsidRPr="00983193" w:rsidRDefault="007734A2" w:rsidP="00F7044F">
            <w:pPr>
              <w:spacing w:line="240" w:lineRule="exact"/>
              <w:jc w:val="right"/>
              <w:rPr>
                <w:rFonts w:ascii="Times New Roman" w:hAnsi="Times New Roman" w:cs="Times New Roman"/>
                <w:color w:val="000000" w:themeColor="text1"/>
                <w:sz w:val="23"/>
                <w:szCs w:val="23"/>
                <w:lang w:val="en-US"/>
              </w:rPr>
            </w:pPr>
          </w:p>
        </w:tc>
      </w:tr>
      <w:tr w:rsidR="007734A2" w:rsidRPr="00983193" w14:paraId="3D134847" w14:textId="77777777" w:rsidTr="00221E18">
        <w:tc>
          <w:tcPr>
            <w:tcW w:w="1015" w:type="dxa"/>
            <w:tcBorders>
              <w:bottom w:val="single" w:sz="4" w:space="0" w:color="auto"/>
            </w:tcBorders>
          </w:tcPr>
          <w:p w14:paraId="428D8174" w14:textId="77777777" w:rsidR="007734A2" w:rsidRPr="00983193" w:rsidRDefault="007734A2" w:rsidP="00F7044F">
            <w:pPr>
              <w:spacing w:line="240" w:lineRule="exact"/>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Variables</w:t>
            </w:r>
          </w:p>
        </w:tc>
        <w:tc>
          <w:tcPr>
            <w:tcW w:w="911" w:type="dxa"/>
            <w:tcBorders>
              <w:bottom w:val="single" w:sz="4" w:space="0" w:color="auto"/>
            </w:tcBorders>
          </w:tcPr>
          <w:p w14:paraId="49AC1EF9" w14:textId="77777777" w:rsidR="007734A2" w:rsidRPr="00983193" w:rsidRDefault="007734A2" w:rsidP="00F7044F">
            <w:pPr>
              <w:spacing w:line="240" w:lineRule="exact"/>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Mean</w:t>
            </w:r>
          </w:p>
        </w:tc>
        <w:tc>
          <w:tcPr>
            <w:tcW w:w="716" w:type="dxa"/>
            <w:tcBorders>
              <w:bottom w:val="single" w:sz="4" w:space="0" w:color="auto"/>
            </w:tcBorders>
          </w:tcPr>
          <w:p w14:paraId="6B2D1C82" w14:textId="77777777" w:rsidR="007734A2" w:rsidRPr="00983193" w:rsidRDefault="007734A2" w:rsidP="00F7044F">
            <w:pPr>
              <w:spacing w:line="240" w:lineRule="exact"/>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St. error</w:t>
            </w:r>
          </w:p>
        </w:tc>
        <w:tc>
          <w:tcPr>
            <w:tcW w:w="879" w:type="dxa"/>
            <w:tcBorders>
              <w:bottom w:val="single" w:sz="4" w:space="0" w:color="auto"/>
            </w:tcBorders>
          </w:tcPr>
          <w:p w14:paraId="3CAB9034" w14:textId="77777777" w:rsidR="007734A2" w:rsidRPr="00983193" w:rsidRDefault="007734A2" w:rsidP="00F7044F">
            <w:pPr>
              <w:spacing w:line="240" w:lineRule="exact"/>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Median</w:t>
            </w:r>
          </w:p>
        </w:tc>
        <w:tc>
          <w:tcPr>
            <w:tcW w:w="786" w:type="dxa"/>
            <w:tcBorders>
              <w:bottom w:val="single" w:sz="4" w:space="0" w:color="auto"/>
            </w:tcBorders>
          </w:tcPr>
          <w:p w14:paraId="1CC7E0CD" w14:textId="77777777" w:rsidR="007734A2" w:rsidRPr="00983193" w:rsidRDefault="007734A2" w:rsidP="00F7044F">
            <w:pPr>
              <w:spacing w:line="240" w:lineRule="exact"/>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St. dev.</w:t>
            </w:r>
          </w:p>
        </w:tc>
        <w:tc>
          <w:tcPr>
            <w:tcW w:w="900" w:type="dxa"/>
            <w:tcBorders>
              <w:bottom w:val="single" w:sz="4" w:space="0" w:color="auto"/>
            </w:tcBorders>
          </w:tcPr>
          <w:p w14:paraId="3B07DE02" w14:textId="77777777" w:rsidR="007734A2" w:rsidRPr="00983193" w:rsidRDefault="007734A2" w:rsidP="00F7044F">
            <w:pPr>
              <w:spacing w:line="240" w:lineRule="exact"/>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Variance</w:t>
            </w:r>
          </w:p>
        </w:tc>
        <w:tc>
          <w:tcPr>
            <w:tcW w:w="871" w:type="dxa"/>
            <w:tcBorders>
              <w:bottom w:val="single" w:sz="4" w:space="0" w:color="auto"/>
            </w:tcBorders>
          </w:tcPr>
          <w:p w14:paraId="37DCBBC8" w14:textId="77777777" w:rsidR="007734A2" w:rsidRPr="00983193" w:rsidRDefault="007734A2" w:rsidP="00F7044F">
            <w:pPr>
              <w:spacing w:line="240" w:lineRule="exact"/>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Min</w:t>
            </w:r>
          </w:p>
        </w:tc>
        <w:tc>
          <w:tcPr>
            <w:tcW w:w="934" w:type="dxa"/>
            <w:tcBorders>
              <w:bottom w:val="single" w:sz="4" w:space="0" w:color="auto"/>
            </w:tcBorders>
          </w:tcPr>
          <w:p w14:paraId="2A1CC551" w14:textId="77777777" w:rsidR="007734A2" w:rsidRPr="00983193" w:rsidRDefault="007734A2" w:rsidP="00F7044F">
            <w:pPr>
              <w:spacing w:line="240" w:lineRule="exact"/>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Max</w:t>
            </w:r>
          </w:p>
        </w:tc>
        <w:tc>
          <w:tcPr>
            <w:tcW w:w="894" w:type="dxa"/>
            <w:tcBorders>
              <w:bottom w:val="single" w:sz="4" w:space="0" w:color="auto"/>
            </w:tcBorders>
          </w:tcPr>
          <w:p w14:paraId="2CCA9037" w14:textId="77777777" w:rsidR="007734A2" w:rsidRPr="00983193" w:rsidRDefault="007734A2" w:rsidP="00F7044F">
            <w:pPr>
              <w:spacing w:line="240" w:lineRule="exact"/>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25%</w:t>
            </w:r>
          </w:p>
        </w:tc>
        <w:tc>
          <w:tcPr>
            <w:tcW w:w="894" w:type="dxa"/>
            <w:tcBorders>
              <w:bottom w:val="single" w:sz="4" w:space="0" w:color="auto"/>
            </w:tcBorders>
          </w:tcPr>
          <w:p w14:paraId="720B5502" w14:textId="77777777" w:rsidR="007734A2" w:rsidRPr="00983193" w:rsidRDefault="007734A2" w:rsidP="00F7044F">
            <w:pPr>
              <w:spacing w:line="240" w:lineRule="exact"/>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50%</w:t>
            </w:r>
          </w:p>
        </w:tc>
        <w:tc>
          <w:tcPr>
            <w:tcW w:w="894" w:type="dxa"/>
            <w:tcBorders>
              <w:bottom w:val="single" w:sz="4" w:space="0" w:color="auto"/>
            </w:tcBorders>
          </w:tcPr>
          <w:p w14:paraId="37C9356C" w14:textId="77777777" w:rsidR="007734A2" w:rsidRPr="00983193" w:rsidRDefault="007734A2" w:rsidP="00F7044F">
            <w:pPr>
              <w:spacing w:line="240" w:lineRule="exact"/>
              <w:jc w:val="center"/>
              <w:rPr>
                <w:rFonts w:ascii="Times New Roman" w:hAnsi="Times New Roman" w:cs="Times New Roman"/>
                <w:color w:val="000000" w:themeColor="text1"/>
                <w:sz w:val="23"/>
                <w:szCs w:val="23"/>
                <w:lang w:val="en-US"/>
              </w:rPr>
            </w:pPr>
            <w:r w:rsidRPr="00983193">
              <w:rPr>
                <w:rFonts w:ascii="Times New Roman" w:hAnsi="Times New Roman" w:cs="Times New Roman"/>
                <w:color w:val="000000" w:themeColor="text1"/>
                <w:sz w:val="23"/>
                <w:szCs w:val="23"/>
                <w:lang w:val="en-US"/>
              </w:rPr>
              <w:t>75%</w:t>
            </w:r>
          </w:p>
        </w:tc>
      </w:tr>
      <w:tr w:rsidR="00915A3C" w:rsidRPr="00204BEA" w14:paraId="6294B718" w14:textId="77777777" w:rsidTr="00221E18">
        <w:trPr>
          <w:trHeight w:val="236"/>
        </w:trPr>
        <w:tc>
          <w:tcPr>
            <w:tcW w:w="4307" w:type="dxa"/>
            <w:gridSpan w:val="5"/>
            <w:tcBorders>
              <w:top w:val="single" w:sz="4" w:space="0" w:color="auto"/>
            </w:tcBorders>
          </w:tcPr>
          <w:p w14:paraId="27C88FAE" w14:textId="77777777" w:rsidR="00915A3C" w:rsidRPr="00A53C54" w:rsidRDefault="00915A3C" w:rsidP="00A53C54">
            <w:pPr>
              <w:spacing w:line="240" w:lineRule="exact"/>
              <w:jc w:val="both"/>
              <w:rPr>
                <w:rFonts w:ascii="Times New Roman" w:eastAsia="Times New Roman" w:hAnsi="Times New Roman" w:cs="Times New Roman"/>
                <w:i/>
                <w:color w:val="000000" w:themeColor="text1"/>
                <w:sz w:val="23"/>
                <w:szCs w:val="23"/>
                <w:lang w:val="en-GB"/>
              </w:rPr>
            </w:pPr>
            <w:r w:rsidRPr="00A53C54">
              <w:rPr>
                <w:rFonts w:ascii="Times New Roman" w:eastAsia="Times New Roman" w:hAnsi="Times New Roman" w:cs="Times New Roman"/>
                <w:i/>
                <w:color w:val="000000" w:themeColor="text1"/>
                <w:sz w:val="23"/>
                <w:szCs w:val="23"/>
                <w:lang w:val="en-GB"/>
              </w:rPr>
              <w:t>Panel A): Continuous variables</w:t>
            </w:r>
          </w:p>
        </w:tc>
        <w:tc>
          <w:tcPr>
            <w:tcW w:w="900" w:type="dxa"/>
            <w:tcBorders>
              <w:top w:val="single" w:sz="4" w:space="0" w:color="auto"/>
            </w:tcBorders>
          </w:tcPr>
          <w:p w14:paraId="543CCF6A" w14:textId="77777777" w:rsidR="00915A3C" w:rsidRPr="00A53C54" w:rsidRDefault="00915A3C" w:rsidP="00F7044F">
            <w:pPr>
              <w:spacing w:after="200" w:line="240" w:lineRule="exact"/>
              <w:jc w:val="center"/>
              <w:rPr>
                <w:rFonts w:ascii="Times New Roman" w:eastAsia="Times New Roman" w:hAnsi="Times New Roman" w:cs="Times New Roman"/>
                <w:i/>
                <w:color w:val="000000" w:themeColor="text1"/>
                <w:sz w:val="23"/>
                <w:szCs w:val="23"/>
                <w:lang w:val="en-GB"/>
              </w:rPr>
            </w:pPr>
          </w:p>
        </w:tc>
        <w:tc>
          <w:tcPr>
            <w:tcW w:w="871" w:type="dxa"/>
            <w:tcBorders>
              <w:top w:val="single" w:sz="4" w:space="0" w:color="auto"/>
            </w:tcBorders>
          </w:tcPr>
          <w:p w14:paraId="3BEE011B" w14:textId="77777777" w:rsidR="00915A3C" w:rsidRPr="00A53C54" w:rsidRDefault="00915A3C" w:rsidP="00F7044F">
            <w:pPr>
              <w:spacing w:after="200" w:line="240" w:lineRule="exact"/>
              <w:jc w:val="center"/>
              <w:rPr>
                <w:rFonts w:ascii="Times New Roman" w:eastAsia="Times New Roman" w:hAnsi="Times New Roman" w:cs="Times New Roman"/>
                <w:i/>
                <w:color w:val="000000" w:themeColor="text1"/>
                <w:sz w:val="23"/>
                <w:szCs w:val="23"/>
                <w:lang w:val="en-GB"/>
              </w:rPr>
            </w:pPr>
          </w:p>
        </w:tc>
        <w:tc>
          <w:tcPr>
            <w:tcW w:w="934" w:type="dxa"/>
            <w:tcBorders>
              <w:top w:val="single" w:sz="4" w:space="0" w:color="auto"/>
            </w:tcBorders>
          </w:tcPr>
          <w:p w14:paraId="34AD3C5B" w14:textId="77777777" w:rsidR="00915A3C" w:rsidRPr="00A53C54" w:rsidRDefault="00915A3C" w:rsidP="00F7044F">
            <w:pPr>
              <w:spacing w:after="200" w:line="240" w:lineRule="exact"/>
              <w:jc w:val="center"/>
              <w:rPr>
                <w:rFonts w:ascii="Times New Roman" w:eastAsia="Times New Roman" w:hAnsi="Times New Roman" w:cs="Times New Roman"/>
                <w:i/>
                <w:color w:val="000000" w:themeColor="text1"/>
                <w:sz w:val="23"/>
                <w:szCs w:val="23"/>
                <w:lang w:val="en-GB"/>
              </w:rPr>
            </w:pPr>
          </w:p>
        </w:tc>
        <w:tc>
          <w:tcPr>
            <w:tcW w:w="894" w:type="dxa"/>
            <w:tcBorders>
              <w:top w:val="single" w:sz="4" w:space="0" w:color="auto"/>
            </w:tcBorders>
          </w:tcPr>
          <w:p w14:paraId="74F136D6" w14:textId="77777777" w:rsidR="00915A3C" w:rsidRPr="00A53C54" w:rsidRDefault="00915A3C" w:rsidP="00F7044F">
            <w:pPr>
              <w:spacing w:after="200" w:line="240" w:lineRule="exact"/>
              <w:jc w:val="center"/>
              <w:rPr>
                <w:rFonts w:ascii="Times New Roman" w:eastAsia="Times New Roman" w:hAnsi="Times New Roman" w:cs="Times New Roman"/>
                <w:i/>
                <w:color w:val="000000" w:themeColor="text1"/>
                <w:sz w:val="23"/>
                <w:szCs w:val="23"/>
                <w:lang w:val="en-GB"/>
              </w:rPr>
            </w:pPr>
          </w:p>
        </w:tc>
        <w:tc>
          <w:tcPr>
            <w:tcW w:w="894" w:type="dxa"/>
            <w:tcBorders>
              <w:top w:val="single" w:sz="4" w:space="0" w:color="auto"/>
            </w:tcBorders>
          </w:tcPr>
          <w:p w14:paraId="64D1B064" w14:textId="77777777" w:rsidR="00915A3C" w:rsidRPr="00A53C54" w:rsidRDefault="00915A3C" w:rsidP="00F7044F">
            <w:pPr>
              <w:spacing w:after="200" w:line="240" w:lineRule="exact"/>
              <w:jc w:val="center"/>
              <w:rPr>
                <w:rFonts w:ascii="Times New Roman" w:eastAsia="Times New Roman" w:hAnsi="Times New Roman" w:cs="Times New Roman"/>
                <w:i/>
                <w:color w:val="000000" w:themeColor="text1"/>
                <w:sz w:val="23"/>
                <w:szCs w:val="23"/>
                <w:lang w:val="en-GB"/>
              </w:rPr>
            </w:pPr>
          </w:p>
        </w:tc>
        <w:tc>
          <w:tcPr>
            <w:tcW w:w="894" w:type="dxa"/>
            <w:tcBorders>
              <w:top w:val="single" w:sz="4" w:space="0" w:color="auto"/>
            </w:tcBorders>
          </w:tcPr>
          <w:p w14:paraId="5B68E7E2" w14:textId="77777777" w:rsidR="00915A3C" w:rsidRPr="00A53C54" w:rsidRDefault="00915A3C" w:rsidP="00F7044F">
            <w:pPr>
              <w:spacing w:after="200" w:line="240" w:lineRule="exact"/>
              <w:jc w:val="center"/>
              <w:rPr>
                <w:rFonts w:ascii="Times New Roman" w:eastAsia="Times New Roman" w:hAnsi="Times New Roman" w:cs="Times New Roman"/>
                <w:i/>
                <w:color w:val="000000" w:themeColor="text1"/>
                <w:sz w:val="23"/>
                <w:szCs w:val="23"/>
                <w:lang w:val="en-GB"/>
              </w:rPr>
            </w:pPr>
          </w:p>
        </w:tc>
      </w:tr>
      <w:tr w:rsidR="007734A2" w:rsidRPr="00983193" w14:paraId="76433E25" w14:textId="77777777" w:rsidTr="00221E18">
        <w:trPr>
          <w:trHeight w:val="236"/>
        </w:trPr>
        <w:tc>
          <w:tcPr>
            <w:tcW w:w="1015" w:type="dxa"/>
            <w:tcBorders>
              <w:top w:val="single" w:sz="4" w:space="0" w:color="auto"/>
            </w:tcBorders>
          </w:tcPr>
          <w:p w14:paraId="7E41066E" w14:textId="77777777" w:rsidR="007734A2" w:rsidRPr="00983193" w:rsidRDefault="007734A2" w:rsidP="00F7044F">
            <w:pPr>
              <w:spacing w:line="240" w:lineRule="exact"/>
              <w:rPr>
                <w:rFonts w:ascii="Times New Roman" w:eastAsia="Times New Roman" w:hAnsi="Times New Roman" w:cs="Times New Roman"/>
                <w:i/>
                <w:color w:val="000000" w:themeColor="text1"/>
                <w:sz w:val="23"/>
                <w:szCs w:val="23"/>
              </w:rPr>
            </w:pPr>
            <w:r w:rsidRPr="00983193">
              <w:rPr>
                <w:rFonts w:ascii="Times New Roman" w:eastAsia="Times New Roman" w:hAnsi="Times New Roman" w:cs="Times New Roman"/>
                <w:i/>
                <w:color w:val="000000" w:themeColor="text1"/>
                <w:sz w:val="23"/>
                <w:szCs w:val="23"/>
              </w:rPr>
              <w:t>MTB</w:t>
            </w:r>
          </w:p>
        </w:tc>
        <w:tc>
          <w:tcPr>
            <w:tcW w:w="911" w:type="dxa"/>
            <w:tcBorders>
              <w:top w:val="single" w:sz="4" w:space="0" w:color="auto"/>
            </w:tcBorders>
          </w:tcPr>
          <w:p w14:paraId="1FA0ADB0"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1.47</w:t>
            </w:r>
          </w:p>
        </w:tc>
        <w:tc>
          <w:tcPr>
            <w:tcW w:w="716" w:type="dxa"/>
            <w:tcBorders>
              <w:top w:val="single" w:sz="4" w:space="0" w:color="auto"/>
            </w:tcBorders>
          </w:tcPr>
          <w:p w14:paraId="7233F900"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0.06</w:t>
            </w:r>
          </w:p>
        </w:tc>
        <w:tc>
          <w:tcPr>
            <w:tcW w:w="879" w:type="dxa"/>
            <w:tcBorders>
              <w:top w:val="single" w:sz="4" w:space="0" w:color="auto"/>
            </w:tcBorders>
          </w:tcPr>
          <w:p w14:paraId="4EE45A74"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0.98</w:t>
            </w:r>
          </w:p>
        </w:tc>
        <w:tc>
          <w:tcPr>
            <w:tcW w:w="786" w:type="dxa"/>
            <w:tcBorders>
              <w:top w:val="single" w:sz="4" w:space="0" w:color="auto"/>
            </w:tcBorders>
          </w:tcPr>
          <w:p w14:paraId="296EEBE2"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1.54</w:t>
            </w:r>
          </w:p>
        </w:tc>
        <w:tc>
          <w:tcPr>
            <w:tcW w:w="900" w:type="dxa"/>
            <w:tcBorders>
              <w:top w:val="single" w:sz="4" w:space="0" w:color="auto"/>
            </w:tcBorders>
          </w:tcPr>
          <w:p w14:paraId="1F5C0B7B"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2.37</w:t>
            </w:r>
          </w:p>
        </w:tc>
        <w:tc>
          <w:tcPr>
            <w:tcW w:w="871" w:type="dxa"/>
            <w:tcBorders>
              <w:top w:val="single" w:sz="4" w:space="0" w:color="auto"/>
            </w:tcBorders>
          </w:tcPr>
          <w:p w14:paraId="29312103"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-0.53</w:t>
            </w:r>
          </w:p>
        </w:tc>
        <w:tc>
          <w:tcPr>
            <w:tcW w:w="934" w:type="dxa"/>
            <w:tcBorders>
              <w:top w:val="single" w:sz="4" w:space="0" w:color="auto"/>
            </w:tcBorders>
          </w:tcPr>
          <w:p w14:paraId="5CCC33D3"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12.75</w:t>
            </w:r>
          </w:p>
        </w:tc>
        <w:tc>
          <w:tcPr>
            <w:tcW w:w="894" w:type="dxa"/>
            <w:tcBorders>
              <w:top w:val="single" w:sz="4" w:space="0" w:color="auto"/>
            </w:tcBorders>
          </w:tcPr>
          <w:p w14:paraId="20ED0749"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0.57</w:t>
            </w:r>
          </w:p>
        </w:tc>
        <w:tc>
          <w:tcPr>
            <w:tcW w:w="894" w:type="dxa"/>
            <w:tcBorders>
              <w:top w:val="single" w:sz="4" w:space="0" w:color="auto"/>
            </w:tcBorders>
          </w:tcPr>
          <w:p w14:paraId="403D48FF"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0.98</w:t>
            </w:r>
          </w:p>
        </w:tc>
        <w:tc>
          <w:tcPr>
            <w:tcW w:w="894" w:type="dxa"/>
            <w:tcBorders>
              <w:top w:val="single" w:sz="4" w:space="0" w:color="auto"/>
            </w:tcBorders>
          </w:tcPr>
          <w:p w14:paraId="0A263170"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1.83</w:t>
            </w:r>
          </w:p>
        </w:tc>
      </w:tr>
      <w:tr w:rsidR="007734A2" w:rsidRPr="00983193" w14:paraId="42726DC3" w14:textId="77777777" w:rsidTr="00221E18">
        <w:tc>
          <w:tcPr>
            <w:tcW w:w="1015" w:type="dxa"/>
          </w:tcPr>
          <w:p w14:paraId="0CB414F2" w14:textId="77777777" w:rsidR="007734A2" w:rsidRPr="00983193" w:rsidRDefault="007734A2" w:rsidP="00F7044F">
            <w:pPr>
              <w:spacing w:line="240" w:lineRule="exact"/>
              <w:rPr>
                <w:rFonts w:ascii="Times New Roman" w:eastAsia="Times New Roman" w:hAnsi="Times New Roman" w:cs="Times New Roman"/>
                <w:i/>
                <w:color w:val="000000" w:themeColor="text1"/>
                <w:sz w:val="23"/>
                <w:szCs w:val="23"/>
              </w:rPr>
            </w:pPr>
            <w:r w:rsidRPr="00983193">
              <w:rPr>
                <w:rFonts w:ascii="Times New Roman" w:eastAsia="Times New Roman" w:hAnsi="Times New Roman" w:cs="Times New Roman"/>
                <w:i/>
                <w:color w:val="000000" w:themeColor="text1"/>
                <w:sz w:val="23"/>
                <w:szCs w:val="23"/>
              </w:rPr>
              <w:t>VAIC</w:t>
            </w:r>
          </w:p>
        </w:tc>
        <w:tc>
          <w:tcPr>
            <w:tcW w:w="911" w:type="dxa"/>
          </w:tcPr>
          <w:p w14:paraId="739432FF"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2.14</w:t>
            </w:r>
          </w:p>
        </w:tc>
        <w:tc>
          <w:tcPr>
            <w:tcW w:w="716" w:type="dxa"/>
          </w:tcPr>
          <w:p w14:paraId="17754B7D"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0.15</w:t>
            </w:r>
          </w:p>
        </w:tc>
        <w:tc>
          <w:tcPr>
            <w:tcW w:w="879" w:type="dxa"/>
          </w:tcPr>
          <w:p w14:paraId="09DDAECA"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1.74</w:t>
            </w:r>
          </w:p>
        </w:tc>
        <w:tc>
          <w:tcPr>
            <w:tcW w:w="786" w:type="dxa"/>
          </w:tcPr>
          <w:p w14:paraId="18872D96"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3.96</w:t>
            </w:r>
          </w:p>
        </w:tc>
        <w:tc>
          <w:tcPr>
            <w:tcW w:w="900" w:type="dxa"/>
          </w:tcPr>
          <w:p w14:paraId="14ECA1CC"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15.68</w:t>
            </w:r>
          </w:p>
        </w:tc>
        <w:tc>
          <w:tcPr>
            <w:tcW w:w="871" w:type="dxa"/>
          </w:tcPr>
          <w:p w14:paraId="5507BB77"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-12.80</w:t>
            </w:r>
          </w:p>
        </w:tc>
        <w:tc>
          <w:tcPr>
            <w:tcW w:w="934" w:type="dxa"/>
          </w:tcPr>
          <w:p w14:paraId="24AFB274"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22.49</w:t>
            </w:r>
          </w:p>
        </w:tc>
        <w:tc>
          <w:tcPr>
            <w:tcW w:w="894" w:type="dxa"/>
          </w:tcPr>
          <w:p w14:paraId="035DC70A"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0.88</w:t>
            </w:r>
          </w:p>
        </w:tc>
        <w:tc>
          <w:tcPr>
            <w:tcW w:w="894" w:type="dxa"/>
          </w:tcPr>
          <w:p w14:paraId="3FA97544"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1.74</w:t>
            </w:r>
          </w:p>
        </w:tc>
        <w:tc>
          <w:tcPr>
            <w:tcW w:w="894" w:type="dxa"/>
          </w:tcPr>
          <w:p w14:paraId="6304991A"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2.79</w:t>
            </w:r>
          </w:p>
        </w:tc>
      </w:tr>
      <w:tr w:rsidR="007734A2" w:rsidRPr="00983193" w14:paraId="6D966A93" w14:textId="77777777" w:rsidTr="00221E18">
        <w:tc>
          <w:tcPr>
            <w:tcW w:w="1015" w:type="dxa"/>
          </w:tcPr>
          <w:p w14:paraId="3AE99A39" w14:textId="77777777" w:rsidR="007734A2" w:rsidRPr="00983193" w:rsidRDefault="007734A2" w:rsidP="00F7044F">
            <w:pPr>
              <w:spacing w:line="240" w:lineRule="exact"/>
              <w:rPr>
                <w:rFonts w:ascii="Times New Roman" w:eastAsia="Times New Roman" w:hAnsi="Times New Roman" w:cs="Times New Roman"/>
                <w:i/>
                <w:color w:val="000000" w:themeColor="text1"/>
                <w:sz w:val="23"/>
                <w:szCs w:val="23"/>
              </w:rPr>
            </w:pPr>
            <w:r w:rsidRPr="00983193">
              <w:rPr>
                <w:rFonts w:ascii="Times New Roman" w:eastAsia="Times New Roman" w:hAnsi="Times New Roman" w:cs="Times New Roman"/>
                <w:i/>
                <w:color w:val="000000" w:themeColor="text1"/>
                <w:sz w:val="23"/>
                <w:szCs w:val="23"/>
              </w:rPr>
              <w:t>lnTINT</w:t>
            </w:r>
          </w:p>
        </w:tc>
        <w:tc>
          <w:tcPr>
            <w:tcW w:w="911" w:type="dxa"/>
          </w:tcPr>
          <w:p w14:paraId="2ECE4204"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-4.74</w:t>
            </w:r>
          </w:p>
        </w:tc>
        <w:tc>
          <w:tcPr>
            <w:tcW w:w="716" w:type="dxa"/>
          </w:tcPr>
          <w:p w14:paraId="39C76DF8"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0.10</w:t>
            </w:r>
          </w:p>
        </w:tc>
        <w:tc>
          <w:tcPr>
            <w:tcW w:w="879" w:type="dxa"/>
          </w:tcPr>
          <w:p w14:paraId="32D286C1"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-4.32</w:t>
            </w:r>
          </w:p>
        </w:tc>
        <w:tc>
          <w:tcPr>
            <w:tcW w:w="786" w:type="dxa"/>
          </w:tcPr>
          <w:p w14:paraId="518874C7"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2.68</w:t>
            </w:r>
          </w:p>
        </w:tc>
        <w:tc>
          <w:tcPr>
            <w:tcW w:w="900" w:type="dxa"/>
          </w:tcPr>
          <w:p w14:paraId="7AF4C7E3"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7.18</w:t>
            </w:r>
          </w:p>
        </w:tc>
        <w:tc>
          <w:tcPr>
            <w:tcW w:w="871" w:type="dxa"/>
          </w:tcPr>
          <w:p w14:paraId="1BA54840"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-14.54</w:t>
            </w:r>
          </w:p>
        </w:tc>
        <w:tc>
          <w:tcPr>
            <w:tcW w:w="934" w:type="dxa"/>
          </w:tcPr>
          <w:p w14:paraId="2ED19199"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-0.54</w:t>
            </w:r>
          </w:p>
        </w:tc>
        <w:tc>
          <w:tcPr>
            <w:tcW w:w="894" w:type="dxa"/>
          </w:tcPr>
          <w:p w14:paraId="38CB65F6"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-6.27</w:t>
            </w:r>
          </w:p>
        </w:tc>
        <w:tc>
          <w:tcPr>
            <w:tcW w:w="894" w:type="dxa"/>
          </w:tcPr>
          <w:p w14:paraId="6E135DDD"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-4.32</w:t>
            </w:r>
          </w:p>
        </w:tc>
        <w:tc>
          <w:tcPr>
            <w:tcW w:w="894" w:type="dxa"/>
          </w:tcPr>
          <w:p w14:paraId="7804DCC5"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-2.59</w:t>
            </w:r>
          </w:p>
        </w:tc>
      </w:tr>
      <w:tr w:rsidR="007734A2" w:rsidRPr="00983193" w14:paraId="3ABB6B6D" w14:textId="77777777" w:rsidTr="00221E18">
        <w:tc>
          <w:tcPr>
            <w:tcW w:w="1015" w:type="dxa"/>
          </w:tcPr>
          <w:p w14:paraId="3E8370BB" w14:textId="77777777" w:rsidR="007734A2" w:rsidRPr="00983193" w:rsidRDefault="007734A2" w:rsidP="00F7044F">
            <w:pPr>
              <w:spacing w:line="240" w:lineRule="exact"/>
              <w:rPr>
                <w:rFonts w:ascii="Times New Roman" w:eastAsia="Times New Roman" w:hAnsi="Times New Roman" w:cs="Times New Roman"/>
                <w:i/>
                <w:color w:val="000000" w:themeColor="text1"/>
                <w:sz w:val="23"/>
                <w:szCs w:val="23"/>
              </w:rPr>
            </w:pPr>
            <w:r w:rsidRPr="00983193">
              <w:rPr>
                <w:rFonts w:ascii="Times New Roman" w:eastAsia="Times New Roman" w:hAnsi="Times New Roman" w:cs="Times New Roman"/>
                <w:i/>
                <w:color w:val="000000" w:themeColor="text1"/>
                <w:sz w:val="23"/>
                <w:szCs w:val="23"/>
              </w:rPr>
              <w:t>ROA</w:t>
            </w:r>
          </w:p>
        </w:tc>
        <w:tc>
          <w:tcPr>
            <w:tcW w:w="911" w:type="dxa"/>
          </w:tcPr>
          <w:p w14:paraId="53887BFE"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0.00</w:t>
            </w:r>
          </w:p>
        </w:tc>
        <w:tc>
          <w:tcPr>
            <w:tcW w:w="716" w:type="dxa"/>
          </w:tcPr>
          <w:p w14:paraId="360992BF"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0.00</w:t>
            </w:r>
          </w:p>
        </w:tc>
        <w:tc>
          <w:tcPr>
            <w:tcW w:w="879" w:type="dxa"/>
          </w:tcPr>
          <w:p w14:paraId="284F6A34"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0.00</w:t>
            </w:r>
          </w:p>
        </w:tc>
        <w:tc>
          <w:tcPr>
            <w:tcW w:w="786" w:type="dxa"/>
          </w:tcPr>
          <w:p w14:paraId="09AA04F1"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0.09</w:t>
            </w:r>
          </w:p>
        </w:tc>
        <w:tc>
          <w:tcPr>
            <w:tcW w:w="900" w:type="dxa"/>
          </w:tcPr>
          <w:p w14:paraId="5A8C3FEE"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0.01</w:t>
            </w:r>
          </w:p>
        </w:tc>
        <w:tc>
          <w:tcPr>
            <w:tcW w:w="871" w:type="dxa"/>
          </w:tcPr>
          <w:p w14:paraId="517D7802"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-0.99</w:t>
            </w:r>
          </w:p>
        </w:tc>
        <w:tc>
          <w:tcPr>
            <w:tcW w:w="934" w:type="dxa"/>
          </w:tcPr>
          <w:p w14:paraId="5571C9CE"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0.25</w:t>
            </w:r>
          </w:p>
        </w:tc>
        <w:tc>
          <w:tcPr>
            <w:tcW w:w="894" w:type="dxa"/>
          </w:tcPr>
          <w:p w14:paraId="0957BEF4"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-0.02</w:t>
            </w:r>
          </w:p>
        </w:tc>
        <w:tc>
          <w:tcPr>
            <w:tcW w:w="894" w:type="dxa"/>
          </w:tcPr>
          <w:p w14:paraId="06454553"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0.00</w:t>
            </w:r>
          </w:p>
        </w:tc>
        <w:tc>
          <w:tcPr>
            <w:tcW w:w="894" w:type="dxa"/>
          </w:tcPr>
          <w:p w14:paraId="2A813AD9"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0.04</w:t>
            </w:r>
          </w:p>
        </w:tc>
      </w:tr>
      <w:tr w:rsidR="007734A2" w:rsidRPr="00983193" w14:paraId="51A6E733" w14:textId="77777777" w:rsidTr="00221E18">
        <w:tc>
          <w:tcPr>
            <w:tcW w:w="1015" w:type="dxa"/>
          </w:tcPr>
          <w:p w14:paraId="43151136" w14:textId="77777777" w:rsidR="007734A2" w:rsidRPr="00983193" w:rsidRDefault="007734A2" w:rsidP="00F7044F">
            <w:pPr>
              <w:spacing w:line="240" w:lineRule="exact"/>
              <w:rPr>
                <w:rFonts w:ascii="Times New Roman" w:eastAsia="Times New Roman" w:hAnsi="Times New Roman" w:cs="Times New Roman"/>
                <w:i/>
                <w:color w:val="000000" w:themeColor="text1"/>
                <w:sz w:val="23"/>
                <w:szCs w:val="23"/>
              </w:rPr>
            </w:pPr>
            <w:r w:rsidRPr="00983193">
              <w:rPr>
                <w:rFonts w:ascii="Times New Roman" w:eastAsia="Times New Roman" w:hAnsi="Times New Roman" w:cs="Times New Roman"/>
                <w:i/>
                <w:color w:val="000000" w:themeColor="text1"/>
                <w:sz w:val="23"/>
                <w:szCs w:val="23"/>
              </w:rPr>
              <w:t>LEV</w:t>
            </w:r>
          </w:p>
        </w:tc>
        <w:tc>
          <w:tcPr>
            <w:tcW w:w="911" w:type="dxa"/>
          </w:tcPr>
          <w:p w14:paraId="1A420B94"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0.63</w:t>
            </w:r>
          </w:p>
        </w:tc>
        <w:tc>
          <w:tcPr>
            <w:tcW w:w="716" w:type="dxa"/>
          </w:tcPr>
          <w:p w14:paraId="72C2E0C3"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0.03</w:t>
            </w:r>
          </w:p>
        </w:tc>
        <w:tc>
          <w:tcPr>
            <w:tcW w:w="879" w:type="dxa"/>
          </w:tcPr>
          <w:p w14:paraId="39359B4A"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0.40</w:t>
            </w:r>
          </w:p>
        </w:tc>
        <w:tc>
          <w:tcPr>
            <w:tcW w:w="786" w:type="dxa"/>
          </w:tcPr>
          <w:p w14:paraId="589348DD"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0.87</w:t>
            </w:r>
          </w:p>
        </w:tc>
        <w:tc>
          <w:tcPr>
            <w:tcW w:w="900" w:type="dxa"/>
          </w:tcPr>
          <w:p w14:paraId="255F1E1A"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0.75</w:t>
            </w:r>
          </w:p>
        </w:tc>
        <w:tc>
          <w:tcPr>
            <w:tcW w:w="871" w:type="dxa"/>
          </w:tcPr>
          <w:p w14:paraId="4D12A0CA"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0.00</w:t>
            </w:r>
          </w:p>
        </w:tc>
        <w:tc>
          <w:tcPr>
            <w:tcW w:w="934" w:type="dxa"/>
          </w:tcPr>
          <w:p w14:paraId="5EAF3AF3"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5.36</w:t>
            </w:r>
          </w:p>
        </w:tc>
        <w:tc>
          <w:tcPr>
            <w:tcW w:w="894" w:type="dxa"/>
          </w:tcPr>
          <w:p w14:paraId="037566C1"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0.10</w:t>
            </w:r>
          </w:p>
        </w:tc>
        <w:tc>
          <w:tcPr>
            <w:tcW w:w="894" w:type="dxa"/>
          </w:tcPr>
          <w:p w14:paraId="49F3B1DC"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0.40</w:t>
            </w:r>
          </w:p>
        </w:tc>
        <w:tc>
          <w:tcPr>
            <w:tcW w:w="894" w:type="dxa"/>
          </w:tcPr>
          <w:p w14:paraId="24FB2428"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0.77</w:t>
            </w:r>
          </w:p>
        </w:tc>
      </w:tr>
      <w:tr w:rsidR="007734A2" w:rsidRPr="00983193" w14:paraId="77A5F341" w14:textId="77777777" w:rsidTr="00221E18">
        <w:tc>
          <w:tcPr>
            <w:tcW w:w="1015" w:type="dxa"/>
          </w:tcPr>
          <w:p w14:paraId="0B00731C" w14:textId="77777777" w:rsidR="007734A2" w:rsidRPr="00983193" w:rsidRDefault="007734A2" w:rsidP="00F7044F">
            <w:pPr>
              <w:spacing w:line="240" w:lineRule="exact"/>
              <w:rPr>
                <w:rFonts w:ascii="Times New Roman" w:eastAsia="Times New Roman" w:hAnsi="Times New Roman" w:cs="Times New Roman"/>
                <w:i/>
                <w:color w:val="000000" w:themeColor="text1"/>
                <w:sz w:val="23"/>
                <w:szCs w:val="23"/>
              </w:rPr>
            </w:pPr>
            <w:r w:rsidRPr="00983193">
              <w:rPr>
                <w:rFonts w:ascii="Times New Roman" w:eastAsia="Times New Roman" w:hAnsi="Times New Roman" w:cs="Times New Roman"/>
                <w:i/>
                <w:color w:val="000000" w:themeColor="text1"/>
                <w:sz w:val="23"/>
                <w:szCs w:val="23"/>
              </w:rPr>
              <w:t>SIZE</w:t>
            </w:r>
          </w:p>
        </w:tc>
        <w:tc>
          <w:tcPr>
            <w:tcW w:w="911" w:type="dxa"/>
          </w:tcPr>
          <w:p w14:paraId="2B4CBC02"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12.80</w:t>
            </w:r>
          </w:p>
        </w:tc>
        <w:tc>
          <w:tcPr>
            <w:tcW w:w="716" w:type="dxa"/>
          </w:tcPr>
          <w:p w14:paraId="39D57377"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0.06</w:t>
            </w:r>
          </w:p>
        </w:tc>
        <w:tc>
          <w:tcPr>
            <w:tcW w:w="879" w:type="dxa"/>
          </w:tcPr>
          <w:p w14:paraId="4CBB74CC"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12.60</w:t>
            </w:r>
          </w:p>
        </w:tc>
        <w:tc>
          <w:tcPr>
            <w:tcW w:w="786" w:type="dxa"/>
          </w:tcPr>
          <w:p w14:paraId="4E7C8469"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1.72</w:t>
            </w:r>
          </w:p>
        </w:tc>
        <w:tc>
          <w:tcPr>
            <w:tcW w:w="900" w:type="dxa"/>
          </w:tcPr>
          <w:p w14:paraId="19F082DE"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2.94</w:t>
            </w:r>
          </w:p>
        </w:tc>
        <w:tc>
          <w:tcPr>
            <w:tcW w:w="871" w:type="dxa"/>
          </w:tcPr>
          <w:p w14:paraId="3AD94681"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9.28</w:t>
            </w:r>
          </w:p>
        </w:tc>
        <w:tc>
          <w:tcPr>
            <w:tcW w:w="934" w:type="dxa"/>
          </w:tcPr>
          <w:p w14:paraId="3C72A41F"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18.30</w:t>
            </w:r>
          </w:p>
        </w:tc>
        <w:tc>
          <w:tcPr>
            <w:tcW w:w="894" w:type="dxa"/>
          </w:tcPr>
          <w:p w14:paraId="150F0A43"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11.63</w:t>
            </w:r>
          </w:p>
        </w:tc>
        <w:tc>
          <w:tcPr>
            <w:tcW w:w="894" w:type="dxa"/>
          </w:tcPr>
          <w:p w14:paraId="7D096D60"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12.60</w:t>
            </w:r>
          </w:p>
        </w:tc>
        <w:tc>
          <w:tcPr>
            <w:tcW w:w="894" w:type="dxa"/>
          </w:tcPr>
          <w:p w14:paraId="6DB5EF30"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13.56</w:t>
            </w:r>
          </w:p>
        </w:tc>
      </w:tr>
      <w:tr w:rsidR="007734A2" w:rsidRPr="00983193" w14:paraId="64BF2474" w14:textId="77777777" w:rsidTr="00221E18">
        <w:tc>
          <w:tcPr>
            <w:tcW w:w="1015" w:type="dxa"/>
            <w:tcBorders>
              <w:bottom w:val="single" w:sz="4" w:space="0" w:color="auto"/>
            </w:tcBorders>
          </w:tcPr>
          <w:p w14:paraId="3471F754" w14:textId="77777777" w:rsidR="007734A2" w:rsidRPr="00983193" w:rsidRDefault="007734A2" w:rsidP="00F7044F">
            <w:pPr>
              <w:spacing w:line="240" w:lineRule="exact"/>
              <w:rPr>
                <w:rFonts w:ascii="Times New Roman" w:eastAsia="Times New Roman" w:hAnsi="Times New Roman" w:cs="Times New Roman"/>
                <w:i/>
                <w:color w:val="000000" w:themeColor="text1"/>
                <w:sz w:val="23"/>
                <w:szCs w:val="23"/>
              </w:rPr>
            </w:pPr>
            <w:r w:rsidRPr="00983193">
              <w:rPr>
                <w:rFonts w:ascii="Times New Roman" w:eastAsia="Times New Roman" w:hAnsi="Times New Roman" w:cs="Times New Roman"/>
                <w:i/>
                <w:color w:val="000000" w:themeColor="text1"/>
                <w:sz w:val="23"/>
                <w:szCs w:val="23"/>
              </w:rPr>
              <w:t>lnAGE</w:t>
            </w:r>
          </w:p>
        </w:tc>
        <w:tc>
          <w:tcPr>
            <w:tcW w:w="911" w:type="dxa"/>
            <w:tcBorders>
              <w:bottom w:val="single" w:sz="4" w:space="0" w:color="auto"/>
            </w:tcBorders>
          </w:tcPr>
          <w:p w14:paraId="132A2EF4"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3.31</w:t>
            </w:r>
          </w:p>
        </w:tc>
        <w:tc>
          <w:tcPr>
            <w:tcW w:w="716" w:type="dxa"/>
            <w:tcBorders>
              <w:bottom w:val="single" w:sz="4" w:space="0" w:color="auto"/>
            </w:tcBorders>
          </w:tcPr>
          <w:p w14:paraId="54580D86"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0.03</w:t>
            </w:r>
          </w:p>
        </w:tc>
        <w:tc>
          <w:tcPr>
            <w:tcW w:w="879" w:type="dxa"/>
            <w:tcBorders>
              <w:bottom w:val="single" w:sz="4" w:space="0" w:color="auto"/>
            </w:tcBorders>
          </w:tcPr>
          <w:p w14:paraId="510BA113"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3.26</w:t>
            </w:r>
          </w:p>
        </w:tc>
        <w:tc>
          <w:tcPr>
            <w:tcW w:w="786" w:type="dxa"/>
            <w:tcBorders>
              <w:bottom w:val="single" w:sz="4" w:space="0" w:color="auto"/>
            </w:tcBorders>
          </w:tcPr>
          <w:p w14:paraId="462F361C"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0.75</w:t>
            </w:r>
          </w:p>
        </w:tc>
        <w:tc>
          <w:tcPr>
            <w:tcW w:w="900" w:type="dxa"/>
            <w:tcBorders>
              <w:bottom w:val="single" w:sz="4" w:space="0" w:color="auto"/>
            </w:tcBorders>
          </w:tcPr>
          <w:p w14:paraId="1C3BB2B5"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0.56</w:t>
            </w:r>
          </w:p>
        </w:tc>
        <w:tc>
          <w:tcPr>
            <w:tcW w:w="871" w:type="dxa"/>
            <w:tcBorders>
              <w:bottom w:val="single" w:sz="4" w:space="0" w:color="auto"/>
            </w:tcBorders>
          </w:tcPr>
          <w:p w14:paraId="394377C3"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1.39</w:t>
            </w:r>
          </w:p>
        </w:tc>
        <w:tc>
          <w:tcPr>
            <w:tcW w:w="934" w:type="dxa"/>
            <w:tcBorders>
              <w:bottom w:val="single" w:sz="4" w:space="0" w:color="auto"/>
            </w:tcBorders>
          </w:tcPr>
          <w:p w14:paraId="6C563B8B"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4.95</w:t>
            </w:r>
          </w:p>
        </w:tc>
        <w:tc>
          <w:tcPr>
            <w:tcW w:w="894" w:type="dxa"/>
            <w:tcBorders>
              <w:bottom w:val="single" w:sz="4" w:space="0" w:color="auto"/>
            </w:tcBorders>
          </w:tcPr>
          <w:p w14:paraId="43373D2E"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2.77</w:t>
            </w:r>
          </w:p>
        </w:tc>
        <w:tc>
          <w:tcPr>
            <w:tcW w:w="894" w:type="dxa"/>
            <w:tcBorders>
              <w:bottom w:val="single" w:sz="4" w:space="0" w:color="auto"/>
            </w:tcBorders>
          </w:tcPr>
          <w:p w14:paraId="3932E6F4"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3.26</w:t>
            </w:r>
          </w:p>
        </w:tc>
        <w:tc>
          <w:tcPr>
            <w:tcW w:w="894" w:type="dxa"/>
            <w:tcBorders>
              <w:bottom w:val="single" w:sz="4" w:space="0" w:color="auto"/>
            </w:tcBorders>
          </w:tcPr>
          <w:p w14:paraId="70D2DEED" w14:textId="77777777" w:rsidR="007734A2" w:rsidRPr="00983193" w:rsidRDefault="007734A2"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eastAsia="Times New Roman" w:hAnsi="Times New Roman" w:cs="Times New Roman"/>
                <w:color w:val="000000" w:themeColor="text1"/>
                <w:sz w:val="23"/>
                <w:szCs w:val="23"/>
              </w:rPr>
              <w:t>3.78</w:t>
            </w:r>
          </w:p>
        </w:tc>
      </w:tr>
      <w:tr w:rsidR="005D62D5" w:rsidRPr="00204BEA" w14:paraId="3F539D31" w14:textId="77777777" w:rsidTr="00A53C54">
        <w:tc>
          <w:tcPr>
            <w:tcW w:w="3521" w:type="dxa"/>
            <w:gridSpan w:val="4"/>
          </w:tcPr>
          <w:p w14:paraId="13E667CF" w14:textId="77777777" w:rsidR="005D62D5" w:rsidRPr="00A53C54" w:rsidRDefault="005D62D5" w:rsidP="00A53C54">
            <w:pPr>
              <w:spacing w:line="240" w:lineRule="exact"/>
              <w:jc w:val="both"/>
              <w:rPr>
                <w:rFonts w:ascii="Times New Roman" w:eastAsia="Times New Roman" w:hAnsi="Times New Roman" w:cs="Times New Roman"/>
                <w:color w:val="000000" w:themeColor="text1"/>
                <w:sz w:val="23"/>
                <w:szCs w:val="23"/>
                <w:lang w:val="en-GB"/>
              </w:rPr>
            </w:pPr>
            <w:r w:rsidRPr="00A53C54">
              <w:rPr>
                <w:rFonts w:ascii="Times New Roman" w:eastAsia="Times New Roman" w:hAnsi="Times New Roman" w:cs="Times New Roman"/>
                <w:i/>
                <w:color w:val="000000" w:themeColor="text1"/>
                <w:sz w:val="23"/>
                <w:szCs w:val="23"/>
                <w:lang w:val="en-GB"/>
              </w:rPr>
              <w:t>Panel B): Di</w:t>
            </w:r>
            <w:r w:rsidR="00204BEA" w:rsidRPr="00A53C54">
              <w:rPr>
                <w:rFonts w:ascii="Times New Roman" w:eastAsia="Times New Roman" w:hAnsi="Times New Roman" w:cs="Times New Roman"/>
                <w:i/>
                <w:color w:val="000000" w:themeColor="text1"/>
                <w:sz w:val="23"/>
                <w:szCs w:val="23"/>
                <w:lang w:val="en-GB"/>
              </w:rPr>
              <w:t>chot</w:t>
            </w:r>
            <w:r w:rsidRPr="00A53C54">
              <w:rPr>
                <w:rFonts w:ascii="Times New Roman" w:eastAsia="Times New Roman" w:hAnsi="Times New Roman" w:cs="Times New Roman"/>
                <w:i/>
                <w:color w:val="000000" w:themeColor="text1"/>
                <w:sz w:val="23"/>
                <w:szCs w:val="23"/>
                <w:lang w:val="en-GB"/>
              </w:rPr>
              <w:t>omous variables</w:t>
            </w:r>
          </w:p>
        </w:tc>
        <w:tc>
          <w:tcPr>
            <w:tcW w:w="786" w:type="dxa"/>
          </w:tcPr>
          <w:p w14:paraId="092938BC" w14:textId="77777777" w:rsidR="005D62D5" w:rsidRPr="00A53C54" w:rsidRDefault="005D62D5" w:rsidP="00F7044F">
            <w:pPr>
              <w:spacing w:after="200" w:line="240" w:lineRule="exact"/>
              <w:jc w:val="center"/>
              <w:rPr>
                <w:rFonts w:ascii="Times New Roman" w:eastAsia="Times New Roman" w:hAnsi="Times New Roman" w:cs="Times New Roman"/>
                <w:color w:val="000000" w:themeColor="text1"/>
                <w:sz w:val="23"/>
                <w:szCs w:val="23"/>
                <w:lang w:val="en-GB"/>
              </w:rPr>
            </w:pPr>
          </w:p>
        </w:tc>
        <w:tc>
          <w:tcPr>
            <w:tcW w:w="900" w:type="dxa"/>
          </w:tcPr>
          <w:p w14:paraId="0D72312F" w14:textId="77777777" w:rsidR="005D62D5" w:rsidRPr="00A53C54" w:rsidRDefault="005D62D5" w:rsidP="00F7044F">
            <w:pPr>
              <w:spacing w:after="200" w:line="240" w:lineRule="exact"/>
              <w:jc w:val="center"/>
              <w:rPr>
                <w:rFonts w:ascii="Times New Roman" w:eastAsia="Times New Roman" w:hAnsi="Times New Roman" w:cs="Times New Roman"/>
                <w:color w:val="000000" w:themeColor="text1"/>
                <w:sz w:val="23"/>
                <w:szCs w:val="23"/>
                <w:lang w:val="en-GB"/>
              </w:rPr>
            </w:pPr>
          </w:p>
        </w:tc>
        <w:tc>
          <w:tcPr>
            <w:tcW w:w="871" w:type="dxa"/>
          </w:tcPr>
          <w:p w14:paraId="70D583FB" w14:textId="77777777" w:rsidR="005D62D5" w:rsidRPr="00A53C54" w:rsidRDefault="005D62D5" w:rsidP="00F7044F">
            <w:pPr>
              <w:spacing w:after="200" w:line="240" w:lineRule="exact"/>
              <w:jc w:val="center"/>
              <w:rPr>
                <w:rFonts w:ascii="Times New Roman" w:eastAsia="Times New Roman" w:hAnsi="Times New Roman" w:cs="Times New Roman"/>
                <w:color w:val="000000" w:themeColor="text1"/>
                <w:sz w:val="23"/>
                <w:szCs w:val="23"/>
                <w:lang w:val="en-GB"/>
              </w:rPr>
            </w:pPr>
          </w:p>
        </w:tc>
        <w:tc>
          <w:tcPr>
            <w:tcW w:w="934" w:type="dxa"/>
          </w:tcPr>
          <w:p w14:paraId="4A351EF5" w14:textId="77777777" w:rsidR="005D62D5" w:rsidRPr="00A53C54" w:rsidRDefault="005D62D5" w:rsidP="00F7044F">
            <w:pPr>
              <w:spacing w:after="200" w:line="240" w:lineRule="exact"/>
              <w:jc w:val="center"/>
              <w:rPr>
                <w:rFonts w:ascii="Times New Roman" w:eastAsia="Times New Roman" w:hAnsi="Times New Roman" w:cs="Times New Roman"/>
                <w:color w:val="000000" w:themeColor="text1"/>
                <w:sz w:val="23"/>
                <w:szCs w:val="23"/>
                <w:lang w:val="en-GB"/>
              </w:rPr>
            </w:pPr>
          </w:p>
        </w:tc>
        <w:tc>
          <w:tcPr>
            <w:tcW w:w="894" w:type="dxa"/>
          </w:tcPr>
          <w:p w14:paraId="72F170B2" w14:textId="77777777" w:rsidR="005D62D5" w:rsidRPr="00A53C54" w:rsidRDefault="005D62D5" w:rsidP="00F7044F">
            <w:pPr>
              <w:spacing w:after="200" w:line="240" w:lineRule="exact"/>
              <w:jc w:val="center"/>
              <w:rPr>
                <w:rFonts w:ascii="Times New Roman" w:eastAsia="Times New Roman" w:hAnsi="Times New Roman" w:cs="Times New Roman"/>
                <w:color w:val="000000" w:themeColor="text1"/>
                <w:sz w:val="23"/>
                <w:szCs w:val="23"/>
                <w:lang w:val="en-GB"/>
              </w:rPr>
            </w:pPr>
          </w:p>
        </w:tc>
        <w:tc>
          <w:tcPr>
            <w:tcW w:w="894" w:type="dxa"/>
          </w:tcPr>
          <w:p w14:paraId="337D58BF" w14:textId="77777777" w:rsidR="005D62D5" w:rsidRPr="00A53C54" w:rsidRDefault="005D62D5" w:rsidP="00F7044F">
            <w:pPr>
              <w:spacing w:after="200" w:line="240" w:lineRule="exact"/>
              <w:jc w:val="center"/>
              <w:rPr>
                <w:rFonts w:ascii="Times New Roman" w:eastAsia="Times New Roman" w:hAnsi="Times New Roman" w:cs="Times New Roman"/>
                <w:color w:val="000000" w:themeColor="text1"/>
                <w:sz w:val="23"/>
                <w:szCs w:val="23"/>
                <w:lang w:val="en-GB"/>
              </w:rPr>
            </w:pPr>
          </w:p>
        </w:tc>
        <w:tc>
          <w:tcPr>
            <w:tcW w:w="894" w:type="dxa"/>
          </w:tcPr>
          <w:p w14:paraId="6AC2696E" w14:textId="77777777" w:rsidR="005D62D5" w:rsidRPr="00A53C54" w:rsidRDefault="005D62D5" w:rsidP="00F7044F">
            <w:pPr>
              <w:spacing w:after="200" w:line="240" w:lineRule="exact"/>
              <w:jc w:val="center"/>
              <w:rPr>
                <w:rFonts w:ascii="Times New Roman" w:eastAsia="Times New Roman" w:hAnsi="Times New Roman" w:cs="Times New Roman"/>
                <w:color w:val="000000" w:themeColor="text1"/>
                <w:sz w:val="23"/>
                <w:szCs w:val="23"/>
                <w:lang w:val="en-GB"/>
              </w:rPr>
            </w:pPr>
          </w:p>
        </w:tc>
      </w:tr>
      <w:tr w:rsidR="00221E18" w:rsidRPr="00204BEA" w14:paraId="1F498EEE" w14:textId="77777777" w:rsidTr="00A53C54">
        <w:tc>
          <w:tcPr>
            <w:tcW w:w="3521" w:type="dxa"/>
            <w:gridSpan w:val="4"/>
          </w:tcPr>
          <w:p w14:paraId="05C240CA" w14:textId="77777777" w:rsidR="00221E18" w:rsidRPr="00204BEA" w:rsidRDefault="00221E18" w:rsidP="005D62D5">
            <w:pPr>
              <w:spacing w:after="200" w:line="240" w:lineRule="exact"/>
              <w:jc w:val="both"/>
              <w:rPr>
                <w:rFonts w:ascii="Times New Roman" w:eastAsia="Times New Roman" w:hAnsi="Times New Roman" w:cs="Times New Roman"/>
                <w:i/>
                <w:color w:val="000000" w:themeColor="text1"/>
                <w:sz w:val="23"/>
                <w:szCs w:val="23"/>
                <w:lang w:val="en-GB"/>
              </w:rPr>
            </w:pPr>
          </w:p>
        </w:tc>
        <w:tc>
          <w:tcPr>
            <w:tcW w:w="786" w:type="dxa"/>
          </w:tcPr>
          <w:p w14:paraId="083C2CA6" w14:textId="77777777" w:rsidR="00221E18" w:rsidRPr="00204BEA" w:rsidRDefault="00221E18" w:rsidP="00F7044F">
            <w:pPr>
              <w:spacing w:after="200" w:line="240" w:lineRule="exact"/>
              <w:jc w:val="center"/>
              <w:rPr>
                <w:rFonts w:ascii="Times New Roman" w:eastAsia="Times New Roman" w:hAnsi="Times New Roman" w:cs="Times New Roman"/>
                <w:color w:val="000000" w:themeColor="text1"/>
                <w:sz w:val="23"/>
                <w:szCs w:val="23"/>
                <w:lang w:val="en-GB"/>
              </w:rPr>
            </w:pPr>
          </w:p>
        </w:tc>
        <w:tc>
          <w:tcPr>
            <w:tcW w:w="1771" w:type="dxa"/>
            <w:gridSpan w:val="2"/>
            <w:tcBorders>
              <w:bottom w:val="single" w:sz="4" w:space="0" w:color="auto"/>
              <w:right w:val="single" w:sz="4" w:space="0" w:color="auto"/>
            </w:tcBorders>
          </w:tcPr>
          <w:p w14:paraId="078996AD" w14:textId="77777777" w:rsidR="00221E18" w:rsidRPr="00204BEA" w:rsidRDefault="00221E18" w:rsidP="00F7044F">
            <w:pPr>
              <w:spacing w:after="200" w:line="240" w:lineRule="exact"/>
              <w:jc w:val="center"/>
              <w:rPr>
                <w:rFonts w:ascii="Times New Roman" w:eastAsia="Times New Roman" w:hAnsi="Times New Roman" w:cs="Times New Roman"/>
                <w:color w:val="000000" w:themeColor="text1"/>
                <w:sz w:val="23"/>
                <w:szCs w:val="23"/>
                <w:lang w:val="en-GB"/>
              </w:rPr>
            </w:pPr>
            <w:r>
              <w:rPr>
                <w:rFonts w:ascii="Times New Roman" w:eastAsia="Times New Roman" w:hAnsi="Times New Roman" w:cs="Times New Roman"/>
                <w:color w:val="000000" w:themeColor="text1"/>
                <w:sz w:val="23"/>
                <w:szCs w:val="23"/>
                <w:lang w:val="en-GB"/>
              </w:rPr>
              <w:t>0</w:t>
            </w:r>
          </w:p>
        </w:tc>
        <w:tc>
          <w:tcPr>
            <w:tcW w:w="1828" w:type="dxa"/>
            <w:gridSpan w:val="2"/>
            <w:tcBorders>
              <w:left w:val="single" w:sz="4" w:space="0" w:color="auto"/>
              <w:bottom w:val="single" w:sz="4" w:space="0" w:color="auto"/>
            </w:tcBorders>
          </w:tcPr>
          <w:p w14:paraId="4466316E" w14:textId="77777777" w:rsidR="00221E18" w:rsidRPr="00204BEA" w:rsidRDefault="00221E18" w:rsidP="00F7044F">
            <w:pPr>
              <w:spacing w:after="200" w:line="240" w:lineRule="exact"/>
              <w:jc w:val="center"/>
              <w:rPr>
                <w:rFonts w:ascii="Times New Roman" w:eastAsia="Times New Roman" w:hAnsi="Times New Roman" w:cs="Times New Roman"/>
                <w:color w:val="000000" w:themeColor="text1"/>
                <w:sz w:val="23"/>
                <w:szCs w:val="23"/>
                <w:lang w:val="en-GB"/>
              </w:rPr>
            </w:pPr>
            <w:r>
              <w:rPr>
                <w:rFonts w:ascii="Times New Roman" w:eastAsia="Times New Roman" w:hAnsi="Times New Roman" w:cs="Times New Roman"/>
                <w:color w:val="000000" w:themeColor="text1"/>
                <w:sz w:val="23"/>
                <w:szCs w:val="23"/>
                <w:lang w:val="en-GB"/>
              </w:rPr>
              <w:t>1</w:t>
            </w:r>
          </w:p>
        </w:tc>
        <w:tc>
          <w:tcPr>
            <w:tcW w:w="894" w:type="dxa"/>
          </w:tcPr>
          <w:p w14:paraId="1F8326D9" w14:textId="77777777" w:rsidR="00221E18" w:rsidRPr="00204BEA" w:rsidRDefault="00221E18" w:rsidP="00F7044F">
            <w:pPr>
              <w:spacing w:after="200" w:line="240" w:lineRule="exact"/>
              <w:jc w:val="center"/>
              <w:rPr>
                <w:rFonts w:ascii="Times New Roman" w:eastAsia="Times New Roman" w:hAnsi="Times New Roman" w:cs="Times New Roman"/>
                <w:color w:val="000000" w:themeColor="text1"/>
                <w:sz w:val="23"/>
                <w:szCs w:val="23"/>
                <w:lang w:val="en-GB"/>
              </w:rPr>
            </w:pPr>
          </w:p>
        </w:tc>
        <w:tc>
          <w:tcPr>
            <w:tcW w:w="894" w:type="dxa"/>
          </w:tcPr>
          <w:p w14:paraId="05761D2A" w14:textId="77777777" w:rsidR="00221E18" w:rsidRPr="00204BEA" w:rsidRDefault="00221E18" w:rsidP="00F7044F">
            <w:pPr>
              <w:spacing w:after="200" w:line="240" w:lineRule="exact"/>
              <w:jc w:val="center"/>
              <w:rPr>
                <w:rFonts w:ascii="Times New Roman" w:eastAsia="Times New Roman" w:hAnsi="Times New Roman" w:cs="Times New Roman"/>
                <w:color w:val="000000" w:themeColor="text1"/>
                <w:sz w:val="23"/>
                <w:szCs w:val="23"/>
                <w:lang w:val="en-GB"/>
              </w:rPr>
            </w:pPr>
          </w:p>
        </w:tc>
      </w:tr>
      <w:tr w:rsidR="00221E18" w:rsidRPr="00204BEA" w14:paraId="7C6732DF" w14:textId="77777777" w:rsidTr="00A53C54">
        <w:tc>
          <w:tcPr>
            <w:tcW w:w="3521" w:type="dxa"/>
            <w:gridSpan w:val="4"/>
          </w:tcPr>
          <w:p w14:paraId="63FCFC8D" w14:textId="77777777" w:rsidR="00221E18" w:rsidRPr="00204BEA" w:rsidRDefault="00221E18" w:rsidP="005D62D5">
            <w:pPr>
              <w:spacing w:after="200" w:line="240" w:lineRule="exact"/>
              <w:jc w:val="both"/>
              <w:rPr>
                <w:rFonts w:ascii="Times New Roman" w:eastAsia="Times New Roman" w:hAnsi="Times New Roman" w:cs="Times New Roman"/>
                <w:i/>
                <w:color w:val="000000" w:themeColor="text1"/>
                <w:sz w:val="23"/>
                <w:szCs w:val="23"/>
                <w:lang w:val="en-GB"/>
              </w:rPr>
            </w:pPr>
          </w:p>
        </w:tc>
        <w:tc>
          <w:tcPr>
            <w:tcW w:w="786" w:type="dxa"/>
          </w:tcPr>
          <w:p w14:paraId="7B71A0FC" w14:textId="77777777" w:rsidR="00221E18" w:rsidRPr="00204BEA" w:rsidRDefault="00221E18" w:rsidP="00F7044F">
            <w:pPr>
              <w:spacing w:after="200" w:line="240" w:lineRule="exact"/>
              <w:jc w:val="center"/>
              <w:rPr>
                <w:rFonts w:ascii="Times New Roman" w:eastAsia="Times New Roman" w:hAnsi="Times New Roman" w:cs="Times New Roman"/>
                <w:color w:val="000000" w:themeColor="text1"/>
                <w:sz w:val="23"/>
                <w:szCs w:val="23"/>
                <w:lang w:val="en-GB"/>
              </w:rPr>
            </w:pPr>
          </w:p>
        </w:tc>
        <w:tc>
          <w:tcPr>
            <w:tcW w:w="900" w:type="dxa"/>
            <w:tcBorders>
              <w:top w:val="single" w:sz="4" w:space="0" w:color="auto"/>
            </w:tcBorders>
          </w:tcPr>
          <w:p w14:paraId="5139D5BD" w14:textId="77777777" w:rsidR="00221E18" w:rsidRPr="00204BEA" w:rsidRDefault="00221E18" w:rsidP="00F7044F">
            <w:pPr>
              <w:spacing w:after="200" w:line="240" w:lineRule="exact"/>
              <w:jc w:val="center"/>
              <w:rPr>
                <w:rFonts w:ascii="Times New Roman" w:eastAsia="Times New Roman" w:hAnsi="Times New Roman" w:cs="Times New Roman"/>
                <w:color w:val="000000" w:themeColor="text1"/>
                <w:sz w:val="23"/>
                <w:szCs w:val="23"/>
                <w:lang w:val="en-GB"/>
              </w:rPr>
            </w:pPr>
            <w:r>
              <w:rPr>
                <w:rFonts w:ascii="Times New Roman" w:eastAsia="Times New Roman" w:hAnsi="Times New Roman" w:cs="Times New Roman"/>
                <w:color w:val="000000" w:themeColor="text1"/>
                <w:sz w:val="23"/>
                <w:szCs w:val="23"/>
                <w:lang w:val="en-GB"/>
              </w:rPr>
              <w:t>N.</w:t>
            </w:r>
          </w:p>
        </w:tc>
        <w:tc>
          <w:tcPr>
            <w:tcW w:w="871" w:type="dxa"/>
            <w:tcBorders>
              <w:top w:val="single" w:sz="4" w:space="0" w:color="auto"/>
              <w:right w:val="single" w:sz="4" w:space="0" w:color="auto"/>
            </w:tcBorders>
          </w:tcPr>
          <w:p w14:paraId="32C9869B" w14:textId="77777777" w:rsidR="00221E18" w:rsidRPr="00204BEA" w:rsidRDefault="00221E18" w:rsidP="00F7044F">
            <w:pPr>
              <w:spacing w:after="200" w:line="240" w:lineRule="exact"/>
              <w:jc w:val="center"/>
              <w:rPr>
                <w:rFonts w:ascii="Times New Roman" w:eastAsia="Times New Roman" w:hAnsi="Times New Roman" w:cs="Times New Roman"/>
                <w:color w:val="000000" w:themeColor="text1"/>
                <w:sz w:val="23"/>
                <w:szCs w:val="23"/>
                <w:lang w:val="en-GB"/>
              </w:rPr>
            </w:pPr>
            <w:r>
              <w:rPr>
                <w:rFonts w:ascii="Times New Roman" w:eastAsia="Times New Roman" w:hAnsi="Times New Roman" w:cs="Times New Roman"/>
                <w:color w:val="000000" w:themeColor="text1"/>
                <w:sz w:val="23"/>
                <w:szCs w:val="23"/>
                <w:lang w:val="en-GB"/>
              </w:rPr>
              <w:t>%</w:t>
            </w:r>
          </w:p>
        </w:tc>
        <w:tc>
          <w:tcPr>
            <w:tcW w:w="934" w:type="dxa"/>
            <w:tcBorders>
              <w:top w:val="single" w:sz="4" w:space="0" w:color="auto"/>
              <w:left w:val="single" w:sz="4" w:space="0" w:color="auto"/>
            </w:tcBorders>
          </w:tcPr>
          <w:p w14:paraId="783DC511" w14:textId="77777777" w:rsidR="00221E18" w:rsidRPr="00204BEA" w:rsidRDefault="00221E18" w:rsidP="00F7044F">
            <w:pPr>
              <w:spacing w:after="200" w:line="240" w:lineRule="exact"/>
              <w:jc w:val="center"/>
              <w:rPr>
                <w:rFonts w:ascii="Times New Roman" w:eastAsia="Times New Roman" w:hAnsi="Times New Roman" w:cs="Times New Roman"/>
                <w:color w:val="000000" w:themeColor="text1"/>
                <w:sz w:val="23"/>
                <w:szCs w:val="23"/>
                <w:lang w:val="en-GB"/>
              </w:rPr>
            </w:pPr>
            <w:r>
              <w:rPr>
                <w:rFonts w:ascii="Times New Roman" w:eastAsia="Times New Roman" w:hAnsi="Times New Roman" w:cs="Times New Roman"/>
                <w:color w:val="000000" w:themeColor="text1"/>
                <w:sz w:val="23"/>
                <w:szCs w:val="23"/>
                <w:lang w:val="en-GB"/>
              </w:rPr>
              <w:t>N.</w:t>
            </w:r>
          </w:p>
        </w:tc>
        <w:tc>
          <w:tcPr>
            <w:tcW w:w="894" w:type="dxa"/>
            <w:tcBorders>
              <w:top w:val="single" w:sz="4" w:space="0" w:color="auto"/>
            </w:tcBorders>
          </w:tcPr>
          <w:p w14:paraId="74BE186E" w14:textId="77777777" w:rsidR="00221E18" w:rsidRPr="00204BEA" w:rsidRDefault="00221E18" w:rsidP="00F7044F">
            <w:pPr>
              <w:spacing w:after="200" w:line="240" w:lineRule="exact"/>
              <w:jc w:val="center"/>
              <w:rPr>
                <w:rFonts w:ascii="Times New Roman" w:eastAsia="Times New Roman" w:hAnsi="Times New Roman" w:cs="Times New Roman"/>
                <w:color w:val="000000" w:themeColor="text1"/>
                <w:sz w:val="23"/>
                <w:szCs w:val="23"/>
                <w:lang w:val="en-GB"/>
              </w:rPr>
            </w:pPr>
            <w:r>
              <w:rPr>
                <w:rFonts w:ascii="Times New Roman" w:eastAsia="Times New Roman" w:hAnsi="Times New Roman" w:cs="Times New Roman"/>
                <w:color w:val="000000" w:themeColor="text1"/>
                <w:sz w:val="23"/>
                <w:szCs w:val="23"/>
                <w:lang w:val="en-GB"/>
              </w:rPr>
              <w:t>%</w:t>
            </w:r>
          </w:p>
        </w:tc>
        <w:tc>
          <w:tcPr>
            <w:tcW w:w="894" w:type="dxa"/>
          </w:tcPr>
          <w:p w14:paraId="3BBC2C85" w14:textId="77777777" w:rsidR="00221E18" w:rsidRPr="00204BEA" w:rsidRDefault="00221E18" w:rsidP="00F7044F">
            <w:pPr>
              <w:spacing w:after="200" w:line="240" w:lineRule="exact"/>
              <w:jc w:val="center"/>
              <w:rPr>
                <w:rFonts w:ascii="Times New Roman" w:eastAsia="Times New Roman" w:hAnsi="Times New Roman" w:cs="Times New Roman"/>
                <w:color w:val="000000" w:themeColor="text1"/>
                <w:sz w:val="23"/>
                <w:szCs w:val="23"/>
                <w:lang w:val="en-GB"/>
              </w:rPr>
            </w:pPr>
          </w:p>
        </w:tc>
        <w:tc>
          <w:tcPr>
            <w:tcW w:w="894" w:type="dxa"/>
          </w:tcPr>
          <w:p w14:paraId="3D04CE32" w14:textId="77777777" w:rsidR="00221E18" w:rsidRPr="00204BEA" w:rsidRDefault="00221E18" w:rsidP="00F7044F">
            <w:pPr>
              <w:spacing w:after="200" w:line="240" w:lineRule="exact"/>
              <w:jc w:val="center"/>
              <w:rPr>
                <w:rFonts w:ascii="Times New Roman" w:eastAsia="Times New Roman" w:hAnsi="Times New Roman" w:cs="Times New Roman"/>
                <w:color w:val="000000" w:themeColor="text1"/>
                <w:sz w:val="23"/>
                <w:szCs w:val="23"/>
                <w:lang w:val="en-GB"/>
              </w:rPr>
            </w:pPr>
          </w:p>
        </w:tc>
      </w:tr>
      <w:tr w:rsidR="00221E18" w:rsidRPr="00983193" w14:paraId="0080C89E" w14:textId="77777777" w:rsidTr="00A53C54">
        <w:tc>
          <w:tcPr>
            <w:tcW w:w="1015" w:type="dxa"/>
            <w:tcBorders>
              <w:bottom w:val="single" w:sz="4" w:space="0" w:color="auto"/>
            </w:tcBorders>
          </w:tcPr>
          <w:p w14:paraId="1E1785A2" w14:textId="77777777" w:rsidR="00221E18" w:rsidRPr="00983193" w:rsidRDefault="00221E18" w:rsidP="00F7044F">
            <w:pPr>
              <w:spacing w:line="240" w:lineRule="exact"/>
              <w:rPr>
                <w:rFonts w:ascii="Times New Roman" w:eastAsia="Times New Roman" w:hAnsi="Times New Roman" w:cs="Times New Roman"/>
                <w:i/>
                <w:color w:val="000000" w:themeColor="text1"/>
                <w:sz w:val="23"/>
                <w:szCs w:val="23"/>
              </w:rPr>
            </w:pPr>
            <w:r>
              <w:rPr>
                <w:rFonts w:ascii="Times New Roman" w:eastAsia="Times New Roman" w:hAnsi="Times New Roman" w:cs="Times New Roman"/>
                <w:i/>
                <w:color w:val="000000" w:themeColor="text1"/>
                <w:sz w:val="23"/>
                <w:szCs w:val="23"/>
              </w:rPr>
              <w:t>GROWTH</w:t>
            </w:r>
          </w:p>
        </w:tc>
        <w:tc>
          <w:tcPr>
            <w:tcW w:w="911" w:type="dxa"/>
            <w:tcBorders>
              <w:bottom w:val="single" w:sz="4" w:space="0" w:color="auto"/>
            </w:tcBorders>
          </w:tcPr>
          <w:p w14:paraId="076E4BA1" w14:textId="77777777" w:rsidR="00221E18" w:rsidRPr="00983193" w:rsidRDefault="00221E18" w:rsidP="00F7044F">
            <w:pPr>
              <w:spacing w:line="240" w:lineRule="exact"/>
              <w:jc w:val="center"/>
              <w:rPr>
                <w:rFonts w:ascii="Times New Roman" w:eastAsia="Times New Roman" w:hAnsi="Times New Roman" w:cs="Times New Roman"/>
                <w:color w:val="000000" w:themeColor="text1"/>
                <w:sz w:val="23"/>
                <w:szCs w:val="23"/>
              </w:rPr>
            </w:pPr>
          </w:p>
        </w:tc>
        <w:tc>
          <w:tcPr>
            <w:tcW w:w="716" w:type="dxa"/>
            <w:tcBorders>
              <w:bottom w:val="single" w:sz="4" w:space="0" w:color="auto"/>
            </w:tcBorders>
          </w:tcPr>
          <w:p w14:paraId="2D5826AC" w14:textId="77777777" w:rsidR="00221E18" w:rsidRPr="00983193" w:rsidRDefault="00221E18" w:rsidP="00F7044F">
            <w:pPr>
              <w:spacing w:line="240" w:lineRule="exact"/>
              <w:jc w:val="center"/>
              <w:rPr>
                <w:rFonts w:ascii="Times New Roman" w:eastAsia="Times New Roman" w:hAnsi="Times New Roman" w:cs="Times New Roman"/>
                <w:color w:val="000000" w:themeColor="text1"/>
                <w:sz w:val="23"/>
                <w:szCs w:val="23"/>
              </w:rPr>
            </w:pPr>
          </w:p>
        </w:tc>
        <w:tc>
          <w:tcPr>
            <w:tcW w:w="879" w:type="dxa"/>
            <w:tcBorders>
              <w:bottom w:val="single" w:sz="4" w:space="0" w:color="auto"/>
            </w:tcBorders>
          </w:tcPr>
          <w:p w14:paraId="29D05D64" w14:textId="77777777" w:rsidR="00221E18" w:rsidRPr="00983193" w:rsidRDefault="00221E18" w:rsidP="00F7044F">
            <w:pPr>
              <w:spacing w:line="240" w:lineRule="exact"/>
              <w:jc w:val="center"/>
              <w:rPr>
                <w:rFonts w:ascii="Times New Roman" w:eastAsia="Times New Roman" w:hAnsi="Times New Roman" w:cs="Times New Roman"/>
                <w:color w:val="000000" w:themeColor="text1"/>
                <w:sz w:val="23"/>
                <w:szCs w:val="23"/>
              </w:rPr>
            </w:pPr>
          </w:p>
        </w:tc>
        <w:tc>
          <w:tcPr>
            <w:tcW w:w="786" w:type="dxa"/>
            <w:tcBorders>
              <w:bottom w:val="single" w:sz="4" w:space="0" w:color="auto"/>
            </w:tcBorders>
          </w:tcPr>
          <w:p w14:paraId="399B950D" w14:textId="77777777" w:rsidR="00221E18" w:rsidRPr="00983193" w:rsidRDefault="00221E18" w:rsidP="00F7044F">
            <w:pPr>
              <w:spacing w:line="240" w:lineRule="exact"/>
              <w:jc w:val="center"/>
              <w:rPr>
                <w:rFonts w:ascii="Times New Roman" w:eastAsia="Times New Roman" w:hAnsi="Times New Roman" w:cs="Times New Roman"/>
                <w:color w:val="000000" w:themeColor="text1"/>
                <w:sz w:val="23"/>
                <w:szCs w:val="23"/>
              </w:rPr>
            </w:pPr>
          </w:p>
        </w:tc>
        <w:tc>
          <w:tcPr>
            <w:tcW w:w="900" w:type="dxa"/>
            <w:tcBorders>
              <w:bottom w:val="single" w:sz="4" w:space="0" w:color="auto"/>
            </w:tcBorders>
          </w:tcPr>
          <w:p w14:paraId="20B1F7C1" w14:textId="77777777" w:rsidR="00221E18" w:rsidRPr="00983193" w:rsidRDefault="00221E18"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hAnsi="Times New Roman" w:cs="Times New Roman"/>
                <w:color w:val="000000" w:themeColor="text1"/>
                <w:sz w:val="23"/>
                <w:szCs w:val="23"/>
                <w:lang w:val="en-US"/>
              </w:rPr>
              <w:t>306</w:t>
            </w:r>
          </w:p>
        </w:tc>
        <w:tc>
          <w:tcPr>
            <w:tcW w:w="871" w:type="dxa"/>
            <w:tcBorders>
              <w:bottom w:val="single" w:sz="4" w:space="0" w:color="auto"/>
              <w:right w:val="single" w:sz="4" w:space="0" w:color="auto"/>
            </w:tcBorders>
          </w:tcPr>
          <w:p w14:paraId="667A6D65" w14:textId="77777777" w:rsidR="00221E18" w:rsidRPr="00983193" w:rsidRDefault="00221E18"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hAnsi="Times New Roman" w:cs="Times New Roman"/>
                <w:color w:val="000000" w:themeColor="text1"/>
                <w:sz w:val="23"/>
                <w:szCs w:val="23"/>
                <w:lang w:val="en-US"/>
              </w:rPr>
              <w:t>41.80</w:t>
            </w:r>
          </w:p>
        </w:tc>
        <w:tc>
          <w:tcPr>
            <w:tcW w:w="934" w:type="dxa"/>
            <w:tcBorders>
              <w:left w:val="single" w:sz="4" w:space="0" w:color="auto"/>
              <w:bottom w:val="single" w:sz="4" w:space="0" w:color="auto"/>
            </w:tcBorders>
          </w:tcPr>
          <w:p w14:paraId="01C3A412" w14:textId="77777777" w:rsidR="00221E18" w:rsidRPr="00983193" w:rsidRDefault="00221E18"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hAnsi="Times New Roman" w:cs="Times New Roman"/>
                <w:color w:val="000000" w:themeColor="text1"/>
                <w:sz w:val="23"/>
                <w:szCs w:val="23"/>
                <w:lang w:val="en-US"/>
              </w:rPr>
              <w:t>426</w:t>
            </w:r>
          </w:p>
        </w:tc>
        <w:tc>
          <w:tcPr>
            <w:tcW w:w="894" w:type="dxa"/>
            <w:tcBorders>
              <w:bottom w:val="single" w:sz="4" w:space="0" w:color="auto"/>
            </w:tcBorders>
          </w:tcPr>
          <w:p w14:paraId="4979FAFD" w14:textId="77777777" w:rsidR="00221E18" w:rsidRPr="00983193" w:rsidRDefault="00221E18" w:rsidP="00F7044F">
            <w:pPr>
              <w:spacing w:line="240" w:lineRule="exact"/>
              <w:jc w:val="center"/>
              <w:rPr>
                <w:rFonts w:ascii="Times New Roman" w:eastAsia="Times New Roman" w:hAnsi="Times New Roman" w:cs="Times New Roman"/>
                <w:color w:val="000000" w:themeColor="text1"/>
                <w:sz w:val="23"/>
                <w:szCs w:val="23"/>
              </w:rPr>
            </w:pPr>
            <w:r w:rsidRPr="00983193">
              <w:rPr>
                <w:rFonts w:ascii="Times New Roman" w:hAnsi="Times New Roman" w:cs="Times New Roman"/>
                <w:color w:val="000000" w:themeColor="text1"/>
                <w:sz w:val="23"/>
                <w:szCs w:val="23"/>
                <w:lang w:val="en-US"/>
              </w:rPr>
              <w:t>58.20</w:t>
            </w:r>
          </w:p>
        </w:tc>
        <w:tc>
          <w:tcPr>
            <w:tcW w:w="894" w:type="dxa"/>
            <w:tcBorders>
              <w:bottom w:val="single" w:sz="4" w:space="0" w:color="auto"/>
            </w:tcBorders>
          </w:tcPr>
          <w:p w14:paraId="679E9B72" w14:textId="77777777" w:rsidR="00221E18" w:rsidRPr="00983193" w:rsidRDefault="00221E18" w:rsidP="00F7044F">
            <w:pPr>
              <w:spacing w:line="240" w:lineRule="exact"/>
              <w:jc w:val="center"/>
              <w:rPr>
                <w:rFonts w:ascii="Times New Roman" w:eastAsia="Times New Roman" w:hAnsi="Times New Roman" w:cs="Times New Roman"/>
                <w:color w:val="000000" w:themeColor="text1"/>
                <w:sz w:val="23"/>
                <w:szCs w:val="23"/>
              </w:rPr>
            </w:pPr>
          </w:p>
        </w:tc>
        <w:tc>
          <w:tcPr>
            <w:tcW w:w="894" w:type="dxa"/>
            <w:tcBorders>
              <w:bottom w:val="single" w:sz="4" w:space="0" w:color="auto"/>
            </w:tcBorders>
          </w:tcPr>
          <w:p w14:paraId="4ABE4599" w14:textId="77777777" w:rsidR="00221E18" w:rsidRPr="00983193" w:rsidRDefault="00221E18" w:rsidP="00F7044F">
            <w:pPr>
              <w:spacing w:line="240" w:lineRule="exact"/>
              <w:jc w:val="center"/>
              <w:rPr>
                <w:rFonts w:ascii="Times New Roman" w:eastAsia="Times New Roman" w:hAnsi="Times New Roman" w:cs="Times New Roman"/>
                <w:color w:val="000000" w:themeColor="text1"/>
                <w:sz w:val="23"/>
                <w:szCs w:val="23"/>
              </w:rPr>
            </w:pPr>
          </w:p>
        </w:tc>
      </w:tr>
      <w:tr w:rsidR="007734A2" w:rsidRPr="00A82D38" w14:paraId="0B50EEBF" w14:textId="77777777" w:rsidTr="00F7044F">
        <w:tc>
          <w:tcPr>
            <w:tcW w:w="9694" w:type="dxa"/>
            <w:gridSpan w:val="11"/>
            <w:tcBorders>
              <w:top w:val="single" w:sz="4" w:space="0" w:color="auto"/>
              <w:bottom w:val="single" w:sz="4" w:space="0" w:color="auto"/>
            </w:tcBorders>
          </w:tcPr>
          <w:p w14:paraId="679CF431" w14:textId="77777777" w:rsidR="007734A2" w:rsidRPr="00A53C54" w:rsidRDefault="007734A2" w:rsidP="00F7044F">
            <w:pPr>
              <w:spacing w:after="200" w:line="240" w:lineRule="exact"/>
              <w:jc w:val="both"/>
              <w:rPr>
                <w:rFonts w:ascii="Times New Roman" w:eastAsia="Times New Roman" w:hAnsi="Times New Roman" w:cs="Times New Roman"/>
                <w:color w:val="000000" w:themeColor="text1"/>
                <w:sz w:val="20"/>
                <w:szCs w:val="20"/>
                <w:lang w:val="en-US"/>
              </w:rPr>
            </w:pPr>
            <w:r w:rsidRPr="00A53C54">
              <w:rPr>
                <w:rFonts w:ascii="Times New Roman" w:eastAsia="Times New Roman" w:hAnsi="Times New Roman" w:cs="Times New Roman"/>
                <w:i/>
                <w:color w:val="000000" w:themeColor="text1"/>
                <w:sz w:val="20"/>
                <w:szCs w:val="20"/>
                <w:lang w:val="en-US"/>
              </w:rPr>
              <w:t>Note:</w:t>
            </w:r>
            <w:r w:rsidRPr="00A53C54">
              <w:rPr>
                <w:rFonts w:ascii="Times New Roman" w:eastAsia="Times New Roman" w:hAnsi="Times New Roman" w:cs="Times New Roman"/>
                <w:color w:val="000000" w:themeColor="text1"/>
                <w:sz w:val="20"/>
                <w:szCs w:val="20"/>
                <w:lang w:val="en-US"/>
              </w:rPr>
              <w:t xml:space="preserve"> This table reports the descriptive statistics </w:t>
            </w:r>
            <w:r w:rsidR="00DD1916">
              <w:rPr>
                <w:rFonts w:ascii="Times New Roman" w:eastAsia="Times New Roman" w:hAnsi="Times New Roman" w:cs="Times New Roman"/>
                <w:color w:val="000000" w:themeColor="text1"/>
                <w:sz w:val="20"/>
                <w:szCs w:val="20"/>
                <w:lang w:val="en-US"/>
              </w:rPr>
              <w:t>for</w:t>
            </w:r>
            <w:r w:rsidRPr="00A53C54">
              <w:rPr>
                <w:rFonts w:ascii="Times New Roman" w:eastAsia="Times New Roman" w:hAnsi="Times New Roman" w:cs="Times New Roman"/>
                <w:color w:val="000000" w:themeColor="text1"/>
                <w:sz w:val="20"/>
                <w:szCs w:val="20"/>
                <w:lang w:val="en-US"/>
              </w:rPr>
              <w:t xml:space="preserve"> the dependent and independent variables. 5%. Please see Table II for variable </w:t>
            </w:r>
            <w:r w:rsidR="00DD1916">
              <w:rPr>
                <w:rFonts w:ascii="Times New Roman" w:eastAsia="Times New Roman" w:hAnsi="Times New Roman" w:cs="Times New Roman"/>
                <w:color w:val="000000" w:themeColor="text1"/>
                <w:sz w:val="20"/>
                <w:szCs w:val="20"/>
                <w:lang w:val="en-US"/>
              </w:rPr>
              <w:t>definitions.</w:t>
            </w:r>
          </w:p>
        </w:tc>
      </w:tr>
    </w:tbl>
    <w:p w14:paraId="3AE3C664" w14:textId="77777777" w:rsidR="007734A2" w:rsidRPr="00983193" w:rsidRDefault="007734A2" w:rsidP="007734A2">
      <w:pPr>
        <w:spacing w:after="0" w:line="240" w:lineRule="auto"/>
        <w:rPr>
          <w:rFonts w:ascii="Times New Roman" w:hAnsi="Times New Roman" w:cs="Times New Roman"/>
          <w:color w:val="000000" w:themeColor="text1"/>
          <w:sz w:val="23"/>
          <w:szCs w:val="23"/>
          <w:lang w:val="en-US"/>
        </w:rPr>
      </w:pPr>
    </w:p>
    <w:p w14:paraId="4F3EBC39" w14:textId="77777777" w:rsidR="007734A2" w:rsidRDefault="007734A2" w:rsidP="007734A2">
      <w:pPr>
        <w:spacing w:after="0" w:line="240" w:lineRule="auto"/>
        <w:rPr>
          <w:rFonts w:ascii="Times New Roman" w:hAnsi="Times New Roman" w:cs="Times New Roman"/>
          <w:color w:val="000000" w:themeColor="text1"/>
          <w:sz w:val="23"/>
          <w:szCs w:val="23"/>
          <w:lang w:val="en-US"/>
        </w:rPr>
      </w:pPr>
    </w:p>
    <w:p w14:paraId="34C7C501" w14:textId="77777777" w:rsidR="007734A2" w:rsidRDefault="007734A2" w:rsidP="007734A2">
      <w:pPr>
        <w:spacing w:after="0" w:line="240" w:lineRule="auto"/>
        <w:rPr>
          <w:rFonts w:ascii="Times New Roman" w:hAnsi="Times New Roman" w:cs="Times New Roman"/>
          <w:color w:val="000000" w:themeColor="text1"/>
          <w:sz w:val="23"/>
          <w:szCs w:val="23"/>
          <w:lang w:val="en-US"/>
        </w:rPr>
      </w:pPr>
    </w:p>
    <w:p w14:paraId="6EDD7939" w14:textId="77777777" w:rsidR="007734A2" w:rsidRDefault="007734A2" w:rsidP="007734A2">
      <w:pPr>
        <w:spacing w:after="0" w:line="240" w:lineRule="auto"/>
        <w:rPr>
          <w:rFonts w:ascii="Times New Roman" w:hAnsi="Times New Roman" w:cs="Times New Roman"/>
          <w:color w:val="000000" w:themeColor="text1"/>
          <w:sz w:val="23"/>
          <w:szCs w:val="23"/>
          <w:lang w:val="en-US"/>
        </w:rPr>
      </w:pPr>
    </w:p>
    <w:p w14:paraId="418072F2" w14:textId="77777777" w:rsidR="007734A2" w:rsidRDefault="007734A2" w:rsidP="007734A2">
      <w:pPr>
        <w:spacing w:after="0" w:line="240" w:lineRule="auto"/>
        <w:rPr>
          <w:rFonts w:ascii="Times New Roman" w:hAnsi="Times New Roman" w:cs="Times New Roman"/>
          <w:color w:val="000000" w:themeColor="text1"/>
          <w:sz w:val="23"/>
          <w:szCs w:val="23"/>
          <w:lang w:val="en-US"/>
        </w:rPr>
      </w:pPr>
    </w:p>
    <w:p w14:paraId="77C695D6" w14:textId="77777777" w:rsidR="007734A2" w:rsidRDefault="007734A2">
      <w:pPr>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br w:type="page"/>
      </w:r>
    </w:p>
    <w:p w14:paraId="02FF7B61" w14:textId="77777777" w:rsidR="007734A2" w:rsidRPr="00A53C54" w:rsidRDefault="007734A2" w:rsidP="007734A2">
      <w:pPr>
        <w:spacing w:after="0" w:line="240" w:lineRule="auto"/>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lastRenderedPageBreak/>
        <w:t xml:space="preserve">Table </w:t>
      </w:r>
      <w:r w:rsidR="00D90ADA">
        <w:rPr>
          <w:rFonts w:ascii="Times New Roman" w:hAnsi="Times New Roman" w:cs="Times New Roman"/>
          <w:b/>
          <w:color w:val="000000" w:themeColor="text1"/>
          <w:sz w:val="23"/>
          <w:szCs w:val="23"/>
          <w:lang w:val="en-US"/>
        </w:rPr>
        <w:t>IV</w:t>
      </w:r>
      <w:r w:rsidRPr="00A53C54">
        <w:rPr>
          <w:rFonts w:ascii="Times New Roman" w:hAnsi="Times New Roman" w:cs="Times New Roman"/>
          <w:b/>
          <w:color w:val="000000" w:themeColor="text1"/>
          <w:sz w:val="23"/>
          <w:szCs w:val="23"/>
          <w:lang w:val="en-US"/>
        </w:rPr>
        <w:t>. Correlation matrix</w:t>
      </w:r>
    </w:p>
    <w:p w14:paraId="1E2CDA8F" w14:textId="77777777" w:rsidR="007734A2" w:rsidRPr="00983193" w:rsidRDefault="007734A2" w:rsidP="007734A2">
      <w:pPr>
        <w:spacing w:after="0" w:line="240" w:lineRule="auto"/>
        <w:rPr>
          <w:rFonts w:ascii="Times New Roman" w:hAnsi="Times New Roman" w:cs="Times New Roman"/>
          <w:color w:val="000000" w:themeColor="text1"/>
          <w:sz w:val="23"/>
          <w:szCs w:val="23"/>
          <w:lang w:val="en-US"/>
        </w:rPr>
      </w:pPr>
    </w:p>
    <w:tbl>
      <w:tblPr>
        <w:tblStyle w:val="TableGrid"/>
        <w:tblW w:w="34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06"/>
        <w:gridCol w:w="721"/>
        <w:gridCol w:w="723"/>
        <w:gridCol w:w="724"/>
        <w:gridCol w:w="726"/>
        <w:gridCol w:w="725"/>
        <w:gridCol w:w="725"/>
        <w:gridCol w:w="725"/>
        <w:gridCol w:w="806"/>
      </w:tblGrid>
      <w:tr w:rsidR="007734A2" w:rsidRPr="00983193" w14:paraId="0B7F66A4" w14:textId="77777777" w:rsidTr="00A53C54">
        <w:trPr>
          <w:trHeight w:val="237"/>
          <w:jc w:val="center"/>
        </w:trPr>
        <w:tc>
          <w:tcPr>
            <w:tcW w:w="565" w:type="pct"/>
            <w:tcBorders>
              <w:bottom w:val="single" w:sz="4" w:space="0" w:color="auto"/>
              <w:right w:val="single" w:sz="4" w:space="0" w:color="auto"/>
            </w:tcBorders>
            <w:tcMar>
              <w:left w:w="28" w:type="dxa"/>
              <w:right w:w="28" w:type="dxa"/>
            </w:tcMar>
          </w:tcPr>
          <w:p w14:paraId="39C95AC5"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p>
        </w:tc>
        <w:tc>
          <w:tcPr>
            <w:tcW w:w="551" w:type="pct"/>
            <w:tcBorders>
              <w:left w:val="single" w:sz="4" w:space="0" w:color="auto"/>
              <w:bottom w:val="single" w:sz="4" w:space="0" w:color="auto"/>
            </w:tcBorders>
            <w:tcMar>
              <w:left w:w="28" w:type="dxa"/>
              <w:right w:w="28" w:type="dxa"/>
            </w:tcMar>
            <w:vAlign w:val="bottom"/>
          </w:tcPr>
          <w:p w14:paraId="7CAC1898"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MTB</w:t>
            </w:r>
          </w:p>
        </w:tc>
        <w:tc>
          <w:tcPr>
            <w:tcW w:w="552" w:type="pct"/>
            <w:tcBorders>
              <w:bottom w:val="single" w:sz="4" w:space="0" w:color="auto"/>
            </w:tcBorders>
            <w:tcMar>
              <w:left w:w="28" w:type="dxa"/>
              <w:right w:w="28" w:type="dxa"/>
            </w:tcMar>
            <w:vAlign w:val="bottom"/>
          </w:tcPr>
          <w:p w14:paraId="71388809"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VAIC</w:t>
            </w:r>
          </w:p>
        </w:tc>
        <w:tc>
          <w:tcPr>
            <w:tcW w:w="553" w:type="pct"/>
            <w:tcBorders>
              <w:bottom w:val="single" w:sz="4" w:space="0" w:color="auto"/>
            </w:tcBorders>
            <w:tcMar>
              <w:left w:w="28" w:type="dxa"/>
              <w:right w:w="28" w:type="dxa"/>
            </w:tcMar>
            <w:vAlign w:val="bottom"/>
          </w:tcPr>
          <w:p w14:paraId="20C7B530"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lnTINT</w:t>
            </w:r>
          </w:p>
        </w:tc>
        <w:tc>
          <w:tcPr>
            <w:tcW w:w="554" w:type="pct"/>
            <w:tcBorders>
              <w:bottom w:val="single" w:sz="4" w:space="0" w:color="auto"/>
            </w:tcBorders>
            <w:tcMar>
              <w:left w:w="28" w:type="dxa"/>
              <w:right w:w="28" w:type="dxa"/>
            </w:tcMar>
            <w:vAlign w:val="bottom"/>
          </w:tcPr>
          <w:p w14:paraId="287EA5EA"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ROA</w:t>
            </w:r>
          </w:p>
        </w:tc>
        <w:tc>
          <w:tcPr>
            <w:tcW w:w="553" w:type="pct"/>
            <w:tcBorders>
              <w:bottom w:val="single" w:sz="4" w:space="0" w:color="auto"/>
            </w:tcBorders>
            <w:tcMar>
              <w:left w:w="28" w:type="dxa"/>
              <w:right w:w="28" w:type="dxa"/>
            </w:tcMar>
            <w:vAlign w:val="bottom"/>
          </w:tcPr>
          <w:p w14:paraId="1DAFD3AF"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SIZE</w:t>
            </w:r>
          </w:p>
        </w:tc>
        <w:tc>
          <w:tcPr>
            <w:tcW w:w="553" w:type="pct"/>
            <w:tcBorders>
              <w:bottom w:val="single" w:sz="4" w:space="0" w:color="auto"/>
            </w:tcBorders>
            <w:tcMar>
              <w:left w:w="28" w:type="dxa"/>
              <w:right w:w="28" w:type="dxa"/>
            </w:tcMar>
            <w:vAlign w:val="bottom"/>
          </w:tcPr>
          <w:p w14:paraId="7D589399"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LEV</w:t>
            </w:r>
          </w:p>
        </w:tc>
        <w:tc>
          <w:tcPr>
            <w:tcW w:w="553" w:type="pct"/>
            <w:tcBorders>
              <w:bottom w:val="single" w:sz="4" w:space="0" w:color="auto"/>
            </w:tcBorders>
            <w:tcMar>
              <w:left w:w="28" w:type="dxa"/>
              <w:right w:w="28" w:type="dxa"/>
            </w:tcMar>
            <w:vAlign w:val="bottom"/>
          </w:tcPr>
          <w:p w14:paraId="4A23492C"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lnAGE</w:t>
            </w:r>
          </w:p>
        </w:tc>
        <w:tc>
          <w:tcPr>
            <w:tcW w:w="565" w:type="pct"/>
            <w:tcBorders>
              <w:bottom w:val="single" w:sz="4" w:space="0" w:color="auto"/>
            </w:tcBorders>
            <w:tcMar>
              <w:left w:w="28" w:type="dxa"/>
              <w:right w:w="28" w:type="dxa"/>
            </w:tcMar>
            <w:vAlign w:val="bottom"/>
          </w:tcPr>
          <w:p w14:paraId="46BAE8BD"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GROWTH</w:t>
            </w:r>
          </w:p>
        </w:tc>
      </w:tr>
      <w:tr w:rsidR="007734A2" w:rsidRPr="00983193" w14:paraId="55AAAB17" w14:textId="77777777" w:rsidTr="00A53C54">
        <w:trPr>
          <w:trHeight w:val="251"/>
          <w:jc w:val="center"/>
        </w:trPr>
        <w:tc>
          <w:tcPr>
            <w:tcW w:w="565" w:type="pct"/>
            <w:tcBorders>
              <w:top w:val="single" w:sz="4" w:space="0" w:color="auto"/>
              <w:right w:val="single" w:sz="4" w:space="0" w:color="auto"/>
            </w:tcBorders>
            <w:tcMar>
              <w:left w:w="28" w:type="dxa"/>
              <w:right w:w="28" w:type="dxa"/>
            </w:tcMar>
          </w:tcPr>
          <w:p w14:paraId="31915C19"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MTB</w:t>
            </w:r>
          </w:p>
        </w:tc>
        <w:tc>
          <w:tcPr>
            <w:tcW w:w="551" w:type="pct"/>
            <w:tcBorders>
              <w:top w:val="single" w:sz="4" w:space="0" w:color="auto"/>
              <w:left w:val="single" w:sz="4" w:space="0" w:color="auto"/>
            </w:tcBorders>
            <w:tcMar>
              <w:left w:w="28" w:type="dxa"/>
              <w:right w:w="28" w:type="dxa"/>
            </w:tcMar>
          </w:tcPr>
          <w:p w14:paraId="3086FF9A"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1</w:t>
            </w:r>
          </w:p>
        </w:tc>
        <w:tc>
          <w:tcPr>
            <w:tcW w:w="552" w:type="pct"/>
            <w:tcBorders>
              <w:top w:val="single" w:sz="4" w:space="0" w:color="auto"/>
            </w:tcBorders>
            <w:tcMar>
              <w:left w:w="28" w:type="dxa"/>
              <w:right w:w="28" w:type="dxa"/>
            </w:tcMar>
          </w:tcPr>
          <w:p w14:paraId="46088C97"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0.087</w:t>
            </w:r>
            <w:r w:rsidRPr="00A53C54">
              <w:rPr>
                <w:rFonts w:ascii="Times New Roman" w:eastAsia="Times New Roman" w:hAnsi="Times New Roman" w:cs="Times New Roman"/>
                <w:color w:val="000000" w:themeColor="text1"/>
                <w:sz w:val="18"/>
                <w:szCs w:val="18"/>
                <w:vertAlign w:val="superscript"/>
              </w:rPr>
              <w:t>*</w:t>
            </w:r>
          </w:p>
        </w:tc>
        <w:tc>
          <w:tcPr>
            <w:tcW w:w="553" w:type="pct"/>
            <w:tcBorders>
              <w:top w:val="single" w:sz="4" w:space="0" w:color="auto"/>
            </w:tcBorders>
            <w:tcMar>
              <w:left w:w="28" w:type="dxa"/>
              <w:right w:w="28" w:type="dxa"/>
            </w:tcMar>
          </w:tcPr>
          <w:p w14:paraId="510647EF"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0.121</w:t>
            </w:r>
            <w:r w:rsidRPr="00A53C54">
              <w:rPr>
                <w:rFonts w:ascii="Times New Roman" w:eastAsia="Times New Roman" w:hAnsi="Times New Roman" w:cs="Times New Roman"/>
                <w:color w:val="000000" w:themeColor="text1"/>
                <w:sz w:val="18"/>
                <w:szCs w:val="18"/>
                <w:vertAlign w:val="superscript"/>
              </w:rPr>
              <w:t>**</w:t>
            </w:r>
          </w:p>
        </w:tc>
        <w:tc>
          <w:tcPr>
            <w:tcW w:w="554" w:type="pct"/>
            <w:tcBorders>
              <w:top w:val="single" w:sz="4" w:space="0" w:color="auto"/>
            </w:tcBorders>
            <w:tcMar>
              <w:left w:w="28" w:type="dxa"/>
              <w:right w:w="28" w:type="dxa"/>
            </w:tcMar>
          </w:tcPr>
          <w:p w14:paraId="790275CF"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-0.06</w:t>
            </w:r>
          </w:p>
        </w:tc>
        <w:tc>
          <w:tcPr>
            <w:tcW w:w="553" w:type="pct"/>
            <w:tcBorders>
              <w:top w:val="single" w:sz="4" w:space="0" w:color="auto"/>
            </w:tcBorders>
            <w:tcMar>
              <w:left w:w="28" w:type="dxa"/>
              <w:right w:w="28" w:type="dxa"/>
            </w:tcMar>
          </w:tcPr>
          <w:p w14:paraId="6E6E8C2B"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-,156</w:t>
            </w:r>
            <w:r w:rsidRPr="00A53C54">
              <w:rPr>
                <w:rFonts w:ascii="Times New Roman" w:eastAsia="Times New Roman" w:hAnsi="Times New Roman" w:cs="Times New Roman"/>
                <w:color w:val="000000" w:themeColor="text1"/>
                <w:sz w:val="18"/>
                <w:szCs w:val="18"/>
                <w:vertAlign w:val="superscript"/>
              </w:rPr>
              <w:t>**</w:t>
            </w:r>
          </w:p>
        </w:tc>
        <w:tc>
          <w:tcPr>
            <w:tcW w:w="553" w:type="pct"/>
            <w:tcBorders>
              <w:top w:val="single" w:sz="4" w:space="0" w:color="auto"/>
            </w:tcBorders>
            <w:tcMar>
              <w:left w:w="28" w:type="dxa"/>
              <w:right w:w="28" w:type="dxa"/>
            </w:tcMar>
          </w:tcPr>
          <w:p w14:paraId="22044522"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,358</w:t>
            </w:r>
            <w:r w:rsidRPr="00A53C54">
              <w:rPr>
                <w:rFonts w:ascii="Times New Roman" w:eastAsia="Times New Roman" w:hAnsi="Times New Roman" w:cs="Times New Roman"/>
                <w:color w:val="000000" w:themeColor="text1"/>
                <w:sz w:val="18"/>
                <w:szCs w:val="18"/>
                <w:vertAlign w:val="superscript"/>
              </w:rPr>
              <w:t>**</w:t>
            </w:r>
          </w:p>
        </w:tc>
        <w:tc>
          <w:tcPr>
            <w:tcW w:w="553" w:type="pct"/>
            <w:tcBorders>
              <w:top w:val="single" w:sz="4" w:space="0" w:color="auto"/>
            </w:tcBorders>
            <w:tcMar>
              <w:left w:w="28" w:type="dxa"/>
              <w:right w:w="28" w:type="dxa"/>
            </w:tcMar>
          </w:tcPr>
          <w:p w14:paraId="18DCF867"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-,263</w:t>
            </w:r>
            <w:r w:rsidRPr="00A53C54">
              <w:rPr>
                <w:rFonts w:ascii="Times New Roman" w:eastAsia="Times New Roman" w:hAnsi="Times New Roman" w:cs="Times New Roman"/>
                <w:color w:val="000000" w:themeColor="text1"/>
                <w:sz w:val="18"/>
                <w:szCs w:val="18"/>
                <w:vertAlign w:val="superscript"/>
              </w:rPr>
              <w:t>**</w:t>
            </w:r>
          </w:p>
        </w:tc>
        <w:tc>
          <w:tcPr>
            <w:tcW w:w="565" w:type="pct"/>
            <w:tcBorders>
              <w:top w:val="single" w:sz="4" w:space="0" w:color="auto"/>
              <w:right w:val="single" w:sz="4" w:space="0" w:color="auto"/>
            </w:tcBorders>
            <w:tcMar>
              <w:left w:w="28" w:type="dxa"/>
              <w:right w:w="28" w:type="dxa"/>
            </w:tcMar>
          </w:tcPr>
          <w:p w14:paraId="70325318"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,096</w:t>
            </w:r>
            <w:r w:rsidRPr="00A53C54">
              <w:rPr>
                <w:rFonts w:ascii="Times New Roman" w:eastAsia="Times New Roman" w:hAnsi="Times New Roman" w:cs="Times New Roman"/>
                <w:color w:val="000000" w:themeColor="text1"/>
                <w:sz w:val="18"/>
                <w:szCs w:val="18"/>
                <w:vertAlign w:val="superscript"/>
              </w:rPr>
              <w:t>**</w:t>
            </w:r>
          </w:p>
        </w:tc>
      </w:tr>
      <w:tr w:rsidR="007734A2" w:rsidRPr="00983193" w14:paraId="05DD2672" w14:textId="77777777" w:rsidTr="00A53C54">
        <w:trPr>
          <w:trHeight w:val="250"/>
          <w:jc w:val="center"/>
        </w:trPr>
        <w:tc>
          <w:tcPr>
            <w:tcW w:w="565" w:type="pct"/>
            <w:tcBorders>
              <w:right w:val="single" w:sz="4" w:space="0" w:color="auto"/>
            </w:tcBorders>
            <w:tcMar>
              <w:left w:w="28" w:type="dxa"/>
              <w:right w:w="28" w:type="dxa"/>
            </w:tcMar>
            <w:vAlign w:val="center"/>
          </w:tcPr>
          <w:p w14:paraId="0F727670"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p>
        </w:tc>
        <w:tc>
          <w:tcPr>
            <w:tcW w:w="551" w:type="pct"/>
            <w:tcBorders>
              <w:left w:val="single" w:sz="4" w:space="0" w:color="auto"/>
            </w:tcBorders>
            <w:tcMar>
              <w:left w:w="28" w:type="dxa"/>
              <w:right w:w="28" w:type="dxa"/>
            </w:tcMar>
          </w:tcPr>
          <w:p w14:paraId="35365B70"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p>
        </w:tc>
        <w:tc>
          <w:tcPr>
            <w:tcW w:w="552" w:type="pct"/>
            <w:tcMar>
              <w:left w:w="28" w:type="dxa"/>
              <w:right w:w="28" w:type="dxa"/>
            </w:tcMar>
          </w:tcPr>
          <w:p w14:paraId="015EACBC"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0.02</w:t>
            </w:r>
          </w:p>
        </w:tc>
        <w:tc>
          <w:tcPr>
            <w:tcW w:w="553" w:type="pct"/>
            <w:tcMar>
              <w:left w:w="28" w:type="dxa"/>
              <w:right w:w="28" w:type="dxa"/>
            </w:tcMar>
          </w:tcPr>
          <w:p w14:paraId="281561FE"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4" w:type="pct"/>
            <w:tcMar>
              <w:left w:w="28" w:type="dxa"/>
              <w:right w:w="28" w:type="dxa"/>
            </w:tcMar>
          </w:tcPr>
          <w:p w14:paraId="575D21DE"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0.12</w:t>
            </w:r>
          </w:p>
        </w:tc>
        <w:tc>
          <w:tcPr>
            <w:tcW w:w="553" w:type="pct"/>
            <w:tcMar>
              <w:left w:w="28" w:type="dxa"/>
              <w:right w:w="28" w:type="dxa"/>
            </w:tcMar>
          </w:tcPr>
          <w:p w14:paraId="2AE929C3"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3" w:type="pct"/>
            <w:tcMar>
              <w:left w:w="28" w:type="dxa"/>
              <w:right w:w="28" w:type="dxa"/>
            </w:tcMar>
          </w:tcPr>
          <w:p w14:paraId="4DF3F368"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3" w:type="pct"/>
            <w:tcMar>
              <w:left w:w="28" w:type="dxa"/>
              <w:right w:w="28" w:type="dxa"/>
            </w:tcMar>
          </w:tcPr>
          <w:p w14:paraId="22CDC742"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65" w:type="pct"/>
            <w:tcBorders>
              <w:right w:val="single" w:sz="4" w:space="0" w:color="auto"/>
            </w:tcBorders>
            <w:tcMar>
              <w:left w:w="28" w:type="dxa"/>
              <w:right w:w="28" w:type="dxa"/>
            </w:tcMar>
          </w:tcPr>
          <w:p w14:paraId="4B61E6B9"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0.01</w:t>
            </w:r>
          </w:p>
        </w:tc>
      </w:tr>
      <w:tr w:rsidR="007734A2" w:rsidRPr="00983193" w14:paraId="2CAB881C" w14:textId="77777777" w:rsidTr="00A53C54">
        <w:trPr>
          <w:jc w:val="center"/>
        </w:trPr>
        <w:tc>
          <w:tcPr>
            <w:tcW w:w="565" w:type="pct"/>
            <w:tcBorders>
              <w:right w:val="single" w:sz="4" w:space="0" w:color="auto"/>
            </w:tcBorders>
            <w:tcMar>
              <w:left w:w="28" w:type="dxa"/>
              <w:right w:w="28" w:type="dxa"/>
            </w:tcMar>
          </w:tcPr>
          <w:p w14:paraId="101891B9"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VAIC</w:t>
            </w:r>
          </w:p>
        </w:tc>
        <w:tc>
          <w:tcPr>
            <w:tcW w:w="551" w:type="pct"/>
            <w:tcBorders>
              <w:left w:val="single" w:sz="4" w:space="0" w:color="auto"/>
            </w:tcBorders>
            <w:tcMar>
              <w:left w:w="28" w:type="dxa"/>
              <w:right w:w="28" w:type="dxa"/>
            </w:tcMar>
          </w:tcPr>
          <w:p w14:paraId="199B236D"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0.087</w:t>
            </w:r>
            <w:r w:rsidRPr="00A53C54">
              <w:rPr>
                <w:rFonts w:ascii="Times New Roman" w:eastAsia="Times New Roman" w:hAnsi="Times New Roman" w:cs="Times New Roman"/>
                <w:color w:val="000000" w:themeColor="text1"/>
                <w:sz w:val="18"/>
                <w:szCs w:val="18"/>
                <w:vertAlign w:val="superscript"/>
              </w:rPr>
              <w:t>*</w:t>
            </w:r>
          </w:p>
        </w:tc>
        <w:tc>
          <w:tcPr>
            <w:tcW w:w="552" w:type="pct"/>
            <w:tcMar>
              <w:left w:w="28" w:type="dxa"/>
              <w:right w:w="28" w:type="dxa"/>
            </w:tcMar>
          </w:tcPr>
          <w:p w14:paraId="6FAACF6E"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1</w:t>
            </w:r>
          </w:p>
        </w:tc>
        <w:tc>
          <w:tcPr>
            <w:tcW w:w="553" w:type="pct"/>
            <w:tcMar>
              <w:left w:w="28" w:type="dxa"/>
              <w:right w:w="28" w:type="dxa"/>
            </w:tcMar>
          </w:tcPr>
          <w:p w14:paraId="06E4B011"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-0.04</w:t>
            </w:r>
          </w:p>
        </w:tc>
        <w:tc>
          <w:tcPr>
            <w:tcW w:w="554" w:type="pct"/>
            <w:tcMar>
              <w:left w:w="28" w:type="dxa"/>
              <w:right w:w="28" w:type="dxa"/>
            </w:tcMar>
          </w:tcPr>
          <w:p w14:paraId="0E432E75"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0.203</w:t>
            </w:r>
            <w:r w:rsidRPr="00A53C54">
              <w:rPr>
                <w:rFonts w:ascii="Times New Roman" w:eastAsia="Times New Roman" w:hAnsi="Times New Roman" w:cs="Times New Roman"/>
                <w:color w:val="000000" w:themeColor="text1"/>
                <w:sz w:val="18"/>
                <w:szCs w:val="18"/>
                <w:vertAlign w:val="superscript"/>
              </w:rPr>
              <w:t>**</w:t>
            </w:r>
          </w:p>
        </w:tc>
        <w:tc>
          <w:tcPr>
            <w:tcW w:w="553" w:type="pct"/>
            <w:tcMar>
              <w:left w:w="28" w:type="dxa"/>
              <w:right w:w="28" w:type="dxa"/>
            </w:tcMar>
          </w:tcPr>
          <w:p w14:paraId="4259ED69"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0.106</w:t>
            </w:r>
            <w:r w:rsidRPr="00A53C54">
              <w:rPr>
                <w:rFonts w:ascii="Times New Roman" w:eastAsia="Times New Roman" w:hAnsi="Times New Roman" w:cs="Times New Roman"/>
                <w:color w:val="000000" w:themeColor="text1"/>
                <w:sz w:val="18"/>
                <w:szCs w:val="18"/>
                <w:vertAlign w:val="superscript"/>
              </w:rPr>
              <w:t>**</w:t>
            </w:r>
          </w:p>
        </w:tc>
        <w:tc>
          <w:tcPr>
            <w:tcW w:w="553" w:type="pct"/>
            <w:tcMar>
              <w:left w:w="28" w:type="dxa"/>
              <w:right w:w="28" w:type="dxa"/>
            </w:tcMar>
          </w:tcPr>
          <w:p w14:paraId="0EF5A3BF"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0.02</w:t>
            </w:r>
          </w:p>
        </w:tc>
        <w:tc>
          <w:tcPr>
            <w:tcW w:w="553" w:type="pct"/>
            <w:tcMar>
              <w:left w:w="28" w:type="dxa"/>
              <w:right w:w="28" w:type="dxa"/>
            </w:tcMar>
          </w:tcPr>
          <w:p w14:paraId="00979E9F"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-0.02</w:t>
            </w:r>
          </w:p>
        </w:tc>
        <w:tc>
          <w:tcPr>
            <w:tcW w:w="565" w:type="pct"/>
            <w:tcBorders>
              <w:right w:val="single" w:sz="4" w:space="0" w:color="auto"/>
            </w:tcBorders>
            <w:tcMar>
              <w:left w:w="28" w:type="dxa"/>
              <w:right w:w="28" w:type="dxa"/>
            </w:tcMar>
          </w:tcPr>
          <w:p w14:paraId="53ACF122"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0.02</w:t>
            </w:r>
          </w:p>
        </w:tc>
      </w:tr>
      <w:tr w:rsidR="007734A2" w:rsidRPr="00983193" w14:paraId="2C098D68" w14:textId="77777777" w:rsidTr="00A53C54">
        <w:trPr>
          <w:jc w:val="center"/>
        </w:trPr>
        <w:tc>
          <w:tcPr>
            <w:tcW w:w="565" w:type="pct"/>
            <w:tcBorders>
              <w:right w:val="single" w:sz="4" w:space="0" w:color="auto"/>
            </w:tcBorders>
            <w:tcMar>
              <w:left w:w="28" w:type="dxa"/>
              <w:right w:w="28" w:type="dxa"/>
            </w:tcMar>
            <w:vAlign w:val="center"/>
          </w:tcPr>
          <w:p w14:paraId="4B91688C"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p>
        </w:tc>
        <w:tc>
          <w:tcPr>
            <w:tcW w:w="551" w:type="pct"/>
            <w:tcBorders>
              <w:left w:val="single" w:sz="4" w:space="0" w:color="auto"/>
            </w:tcBorders>
            <w:tcMar>
              <w:left w:w="28" w:type="dxa"/>
              <w:right w:w="28" w:type="dxa"/>
            </w:tcMar>
          </w:tcPr>
          <w:p w14:paraId="24649C8D"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0.02</w:t>
            </w:r>
          </w:p>
        </w:tc>
        <w:tc>
          <w:tcPr>
            <w:tcW w:w="552" w:type="pct"/>
            <w:tcMar>
              <w:left w:w="28" w:type="dxa"/>
              <w:right w:w="28" w:type="dxa"/>
            </w:tcMar>
          </w:tcPr>
          <w:p w14:paraId="42D690F5"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p>
        </w:tc>
        <w:tc>
          <w:tcPr>
            <w:tcW w:w="553" w:type="pct"/>
            <w:tcMar>
              <w:left w:w="28" w:type="dxa"/>
              <w:right w:w="28" w:type="dxa"/>
            </w:tcMar>
          </w:tcPr>
          <w:p w14:paraId="3C83E8A3"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0.33</w:t>
            </w:r>
          </w:p>
        </w:tc>
        <w:tc>
          <w:tcPr>
            <w:tcW w:w="554" w:type="pct"/>
            <w:tcMar>
              <w:left w:w="28" w:type="dxa"/>
              <w:right w:w="28" w:type="dxa"/>
            </w:tcMar>
          </w:tcPr>
          <w:p w14:paraId="2B8082B1"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3" w:type="pct"/>
            <w:tcMar>
              <w:left w:w="28" w:type="dxa"/>
              <w:right w:w="28" w:type="dxa"/>
            </w:tcMar>
          </w:tcPr>
          <w:p w14:paraId="7C229318"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3" w:type="pct"/>
            <w:tcMar>
              <w:left w:w="28" w:type="dxa"/>
              <w:right w:w="28" w:type="dxa"/>
            </w:tcMar>
          </w:tcPr>
          <w:p w14:paraId="5571F4E8"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0.53</w:t>
            </w:r>
          </w:p>
        </w:tc>
        <w:tc>
          <w:tcPr>
            <w:tcW w:w="553" w:type="pct"/>
            <w:tcMar>
              <w:left w:w="28" w:type="dxa"/>
              <w:right w:w="28" w:type="dxa"/>
            </w:tcMar>
          </w:tcPr>
          <w:p w14:paraId="0FCD456C"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0.59</w:t>
            </w:r>
          </w:p>
        </w:tc>
        <w:tc>
          <w:tcPr>
            <w:tcW w:w="565" w:type="pct"/>
            <w:tcBorders>
              <w:right w:val="single" w:sz="4" w:space="0" w:color="auto"/>
            </w:tcBorders>
            <w:tcMar>
              <w:left w:w="28" w:type="dxa"/>
              <w:right w:w="28" w:type="dxa"/>
            </w:tcMar>
          </w:tcPr>
          <w:p w14:paraId="50ECEB3E"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0.57</w:t>
            </w:r>
          </w:p>
        </w:tc>
      </w:tr>
      <w:tr w:rsidR="007734A2" w:rsidRPr="00983193" w14:paraId="31E3CD05" w14:textId="77777777" w:rsidTr="00A53C54">
        <w:trPr>
          <w:jc w:val="center"/>
        </w:trPr>
        <w:tc>
          <w:tcPr>
            <w:tcW w:w="565" w:type="pct"/>
            <w:tcBorders>
              <w:right w:val="single" w:sz="4" w:space="0" w:color="auto"/>
            </w:tcBorders>
            <w:tcMar>
              <w:left w:w="28" w:type="dxa"/>
              <w:right w:w="28" w:type="dxa"/>
            </w:tcMar>
          </w:tcPr>
          <w:p w14:paraId="05828722"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lnTINT</w:t>
            </w:r>
          </w:p>
        </w:tc>
        <w:tc>
          <w:tcPr>
            <w:tcW w:w="551" w:type="pct"/>
            <w:tcBorders>
              <w:left w:val="single" w:sz="4" w:space="0" w:color="auto"/>
            </w:tcBorders>
            <w:tcMar>
              <w:left w:w="28" w:type="dxa"/>
              <w:right w:w="28" w:type="dxa"/>
            </w:tcMar>
          </w:tcPr>
          <w:p w14:paraId="7B86C73D"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0.121</w:t>
            </w:r>
            <w:r w:rsidRPr="00A53C54">
              <w:rPr>
                <w:rFonts w:ascii="Times New Roman" w:eastAsia="Times New Roman" w:hAnsi="Times New Roman" w:cs="Times New Roman"/>
                <w:color w:val="000000" w:themeColor="text1"/>
                <w:sz w:val="18"/>
                <w:szCs w:val="18"/>
                <w:vertAlign w:val="superscript"/>
              </w:rPr>
              <w:t>**</w:t>
            </w:r>
          </w:p>
        </w:tc>
        <w:tc>
          <w:tcPr>
            <w:tcW w:w="552" w:type="pct"/>
            <w:tcMar>
              <w:left w:w="28" w:type="dxa"/>
              <w:right w:w="28" w:type="dxa"/>
            </w:tcMar>
          </w:tcPr>
          <w:p w14:paraId="7C966F95"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-0.04</w:t>
            </w:r>
          </w:p>
        </w:tc>
        <w:tc>
          <w:tcPr>
            <w:tcW w:w="553" w:type="pct"/>
            <w:tcMar>
              <w:left w:w="28" w:type="dxa"/>
              <w:right w:w="28" w:type="dxa"/>
            </w:tcMar>
          </w:tcPr>
          <w:p w14:paraId="3243B438"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1</w:t>
            </w:r>
          </w:p>
        </w:tc>
        <w:tc>
          <w:tcPr>
            <w:tcW w:w="554" w:type="pct"/>
            <w:tcMar>
              <w:left w:w="28" w:type="dxa"/>
              <w:right w:w="28" w:type="dxa"/>
            </w:tcMar>
          </w:tcPr>
          <w:p w14:paraId="6A65A361"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0.108</w:t>
            </w:r>
            <w:r w:rsidRPr="00A53C54">
              <w:rPr>
                <w:rFonts w:ascii="Times New Roman" w:eastAsia="Times New Roman" w:hAnsi="Times New Roman" w:cs="Times New Roman"/>
                <w:color w:val="000000" w:themeColor="text1"/>
                <w:sz w:val="18"/>
                <w:szCs w:val="18"/>
                <w:vertAlign w:val="superscript"/>
              </w:rPr>
              <w:t>**</w:t>
            </w:r>
          </w:p>
        </w:tc>
        <w:tc>
          <w:tcPr>
            <w:tcW w:w="553" w:type="pct"/>
            <w:tcMar>
              <w:left w:w="28" w:type="dxa"/>
              <w:right w:w="28" w:type="dxa"/>
            </w:tcMar>
          </w:tcPr>
          <w:p w14:paraId="5839B4AD"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-0.07</w:t>
            </w:r>
          </w:p>
        </w:tc>
        <w:tc>
          <w:tcPr>
            <w:tcW w:w="553" w:type="pct"/>
            <w:tcMar>
              <w:left w:w="28" w:type="dxa"/>
              <w:right w:w="28" w:type="dxa"/>
            </w:tcMar>
          </w:tcPr>
          <w:p w14:paraId="38D53507"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0.05</w:t>
            </w:r>
          </w:p>
        </w:tc>
        <w:tc>
          <w:tcPr>
            <w:tcW w:w="553" w:type="pct"/>
            <w:tcMar>
              <w:left w:w="28" w:type="dxa"/>
              <w:right w:w="28" w:type="dxa"/>
            </w:tcMar>
          </w:tcPr>
          <w:p w14:paraId="666021C3"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-0.165</w:t>
            </w:r>
            <w:r w:rsidRPr="00A53C54">
              <w:rPr>
                <w:rFonts w:ascii="Times New Roman" w:eastAsia="Times New Roman" w:hAnsi="Times New Roman" w:cs="Times New Roman"/>
                <w:color w:val="000000" w:themeColor="text1"/>
                <w:sz w:val="18"/>
                <w:szCs w:val="18"/>
                <w:vertAlign w:val="superscript"/>
              </w:rPr>
              <w:t>**</w:t>
            </w:r>
          </w:p>
        </w:tc>
        <w:tc>
          <w:tcPr>
            <w:tcW w:w="565" w:type="pct"/>
            <w:tcBorders>
              <w:right w:val="single" w:sz="4" w:space="0" w:color="auto"/>
            </w:tcBorders>
            <w:tcMar>
              <w:left w:w="28" w:type="dxa"/>
              <w:right w:w="28" w:type="dxa"/>
            </w:tcMar>
          </w:tcPr>
          <w:p w14:paraId="10FC15FA"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-0.01</w:t>
            </w:r>
          </w:p>
        </w:tc>
      </w:tr>
      <w:tr w:rsidR="007734A2" w:rsidRPr="00983193" w14:paraId="1BC7D027" w14:textId="77777777" w:rsidTr="00A53C54">
        <w:trPr>
          <w:jc w:val="center"/>
        </w:trPr>
        <w:tc>
          <w:tcPr>
            <w:tcW w:w="565" w:type="pct"/>
            <w:tcBorders>
              <w:right w:val="single" w:sz="4" w:space="0" w:color="auto"/>
            </w:tcBorders>
            <w:tcMar>
              <w:left w:w="28" w:type="dxa"/>
              <w:right w:w="28" w:type="dxa"/>
            </w:tcMar>
            <w:vAlign w:val="center"/>
          </w:tcPr>
          <w:p w14:paraId="0B3D114F"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p>
        </w:tc>
        <w:tc>
          <w:tcPr>
            <w:tcW w:w="551" w:type="pct"/>
            <w:tcBorders>
              <w:left w:val="single" w:sz="4" w:space="0" w:color="auto"/>
            </w:tcBorders>
            <w:tcMar>
              <w:left w:w="28" w:type="dxa"/>
              <w:right w:w="28" w:type="dxa"/>
            </w:tcMar>
          </w:tcPr>
          <w:p w14:paraId="40CDCB08"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2" w:type="pct"/>
            <w:tcMar>
              <w:left w:w="28" w:type="dxa"/>
              <w:right w:w="28" w:type="dxa"/>
            </w:tcMar>
          </w:tcPr>
          <w:p w14:paraId="31F2C8C0"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0.33</w:t>
            </w:r>
          </w:p>
        </w:tc>
        <w:tc>
          <w:tcPr>
            <w:tcW w:w="553" w:type="pct"/>
            <w:tcMar>
              <w:left w:w="28" w:type="dxa"/>
              <w:right w:w="28" w:type="dxa"/>
            </w:tcMar>
          </w:tcPr>
          <w:p w14:paraId="4A0C353B"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p>
        </w:tc>
        <w:tc>
          <w:tcPr>
            <w:tcW w:w="554" w:type="pct"/>
            <w:tcMar>
              <w:left w:w="28" w:type="dxa"/>
              <w:right w:w="28" w:type="dxa"/>
            </w:tcMar>
          </w:tcPr>
          <w:p w14:paraId="5162FD36"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3" w:type="pct"/>
            <w:tcMar>
              <w:left w:w="28" w:type="dxa"/>
              <w:right w:w="28" w:type="dxa"/>
            </w:tcMar>
          </w:tcPr>
          <w:p w14:paraId="5D98E638"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0.07</w:t>
            </w:r>
          </w:p>
        </w:tc>
        <w:tc>
          <w:tcPr>
            <w:tcW w:w="553" w:type="pct"/>
            <w:tcMar>
              <w:left w:w="28" w:type="dxa"/>
              <w:right w:w="28" w:type="dxa"/>
            </w:tcMar>
          </w:tcPr>
          <w:p w14:paraId="4DC4D7DF"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0.22</w:t>
            </w:r>
          </w:p>
        </w:tc>
        <w:tc>
          <w:tcPr>
            <w:tcW w:w="553" w:type="pct"/>
            <w:tcMar>
              <w:left w:w="28" w:type="dxa"/>
              <w:right w:w="28" w:type="dxa"/>
            </w:tcMar>
          </w:tcPr>
          <w:p w14:paraId="139A6493"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65" w:type="pct"/>
            <w:tcBorders>
              <w:right w:val="single" w:sz="4" w:space="0" w:color="auto"/>
            </w:tcBorders>
            <w:tcMar>
              <w:left w:w="28" w:type="dxa"/>
              <w:right w:w="28" w:type="dxa"/>
            </w:tcMar>
          </w:tcPr>
          <w:p w14:paraId="251117B9"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0.83</w:t>
            </w:r>
          </w:p>
        </w:tc>
      </w:tr>
      <w:tr w:rsidR="007734A2" w:rsidRPr="00983193" w14:paraId="5AB1984E" w14:textId="77777777" w:rsidTr="00A53C54">
        <w:trPr>
          <w:jc w:val="center"/>
        </w:trPr>
        <w:tc>
          <w:tcPr>
            <w:tcW w:w="565" w:type="pct"/>
            <w:tcBorders>
              <w:right w:val="single" w:sz="4" w:space="0" w:color="auto"/>
            </w:tcBorders>
            <w:tcMar>
              <w:left w:w="28" w:type="dxa"/>
              <w:right w:w="28" w:type="dxa"/>
            </w:tcMar>
          </w:tcPr>
          <w:p w14:paraId="5B8927A2"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ROA</w:t>
            </w:r>
          </w:p>
        </w:tc>
        <w:tc>
          <w:tcPr>
            <w:tcW w:w="551" w:type="pct"/>
            <w:tcBorders>
              <w:left w:val="single" w:sz="4" w:space="0" w:color="auto"/>
            </w:tcBorders>
            <w:tcMar>
              <w:left w:w="28" w:type="dxa"/>
              <w:right w:w="28" w:type="dxa"/>
            </w:tcMar>
          </w:tcPr>
          <w:p w14:paraId="37C245EC"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-0.06</w:t>
            </w:r>
          </w:p>
        </w:tc>
        <w:tc>
          <w:tcPr>
            <w:tcW w:w="552" w:type="pct"/>
            <w:tcMar>
              <w:left w:w="28" w:type="dxa"/>
              <w:right w:w="28" w:type="dxa"/>
            </w:tcMar>
          </w:tcPr>
          <w:p w14:paraId="330140EF"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0.203</w:t>
            </w:r>
            <w:r w:rsidRPr="00A53C54">
              <w:rPr>
                <w:rFonts w:ascii="Times New Roman" w:eastAsia="Times New Roman" w:hAnsi="Times New Roman" w:cs="Times New Roman"/>
                <w:color w:val="000000" w:themeColor="text1"/>
                <w:sz w:val="18"/>
                <w:szCs w:val="18"/>
                <w:vertAlign w:val="superscript"/>
              </w:rPr>
              <w:t>**</w:t>
            </w:r>
          </w:p>
        </w:tc>
        <w:tc>
          <w:tcPr>
            <w:tcW w:w="553" w:type="pct"/>
            <w:tcMar>
              <w:left w:w="28" w:type="dxa"/>
              <w:right w:w="28" w:type="dxa"/>
            </w:tcMar>
          </w:tcPr>
          <w:p w14:paraId="5224CE44"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0.108</w:t>
            </w:r>
            <w:r w:rsidRPr="00A53C54">
              <w:rPr>
                <w:rFonts w:ascii="Times New Roman" w:eastAsia="Times New Roman" w:hAnsi="Times New Roman" w:cs="Times New Roman"/>
                <w:color w:val="000000" w:themeColor="text1"/>
                <w:sz w:val="18"/>
                <w:szCs w:val="18"/>
                <w:vertAlign w:val="superscript"/>
              </w:rPr>
              <w:t>**</w:t>
            </w:r>
          </w:p>
        </w:tc>
        <w:tc>
          <w:tcPr>
            <w:tcW w:w="554" w:type="pct"/>
            <w:tcMar>
              <w:left w:w="28" w:type="dxa"/>
              <w:right w:w="28" w:type="dxa"/>
            </w:tcMar>
          </w:tcPr>
          <w:p w14:paraId="6909DE71"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1</w:t>
            </w:r>
          </w:p>
        </w:tc>
        <w:tc>
          <w:tcPr>
            <w:tcW w:w="553" w:type="pct"/>
            <w:tcMar>
              <w:left w:w="28" w:type="dxa"/>
              <w:right w:w="28" w:type="dxa"/>
            </w:tcMar>
          </w:tcPr>
          <w:p w14:paraId="3AA789CA"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0.171</w:t>
            </w:r>
            <w:r w:rsidRPr="00A53C54">
              <w:rPr>
                <w:rFonts w:ascii="Times New Roman" w:eastAsia="Times New Roman" w:hAnsi="Times New Roman" w:cs="Times New Roman"/>
                <w:color w:val="000000" w:themeColor="text1"/>
                <w:sz w:val="18"/>
                <w:szCs w:val="18"/>
                <w:vertAlign w:val="superscript"/>
              </w:rPr>
              <w:t>**</w:t>
            </w:r>
          </w:p>
        </w:tc>
        <w:tc>
          <w:tcPr>
            <w:tcW w:w="553" w:type="pct"/>
            <w:tcMar>
              <w:left w:w="28" w:type="dxa"/>
              <w:right w:w="28" w:type="dxa"/>
            </w:tcMar>
          </w:tcPr>
          <w:p w14:paraId="485DE412"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-0.04</w:t>
            </w:r>
          </w:p>
        </w:tc>
        <w:tc>
          <w:tcPr>
            <w:tcW w:w="553" w:type="pct"/>
            <w:tcMar>
              <w:left w:w="28" w:type="dxa"/>
              <w:right w:w="28" w:type="dxa"/>
            </w:tcMar>
          </w:tcPr>
          <w:p w14:paraId="550370A3"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0.00</w:t>
            </w:r>
          </w:p>
        </w:tc>
        <w:tc>
          <w:tcPr>
            <w:tcW w:w="565" w:type="pct"/>
            <w:tcBorders>
              <w:right w:val="single" w:sz="4" w:space="0" w:color="auto"/>
            </w:tcBorders>
            <w:tcMar>
              <w:left w:w="28" w:type="dxa"/>
              <w:right w:w="28" w:type="dxa"/>
            </w:tcMar>
          </w:tcPr>
          <w:p w14:paraId="0004FEDA"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0.03</w:t>
            </w:r>
          </w:p>
        </w:tc>
      </w:tr>
      <w:tr w:rsidR="007734A2" w:rsidRPr="00983193" w14:paraId="3FFBABD7" w14:textId="77777777" w:rsidTr="00A53C54">
        <w:trPr>
          <w:jc w:val="center"/>
        </w:trPr>
        <w:tc>
          <w:tcPr>
            <w:tcW w:w="565" w:type="pct"/>
            <w:tcBorders>
              <w:right w:val="single" w:sz="4" w:space="0" w:color="auto"/>
            </w:tcBorders>
            <w:tcMar>
              <w:left w:w="28" w:type="dxa"/>
              <w:right w:w="28" w:type="dxa"/>
            </w:tcMar>
            <w:vAlign w:val="center"/>
          </w:tcPr>
          <w:p w14:paraId="6A2CE17F"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p>
        </w:tc>
        <w:tc>
          <w:tcPr>
            <w:tcW w:w="551" w:type="pct"/>
            <w:tcBorders>
              <w:left w:val="single" w:sz="4" w:space="0" w:color="auto"/>
            </w:tcBorders>
            <w:tcMar>
              <w:left w:w="28" w:type="dxa"/>
              <w:right w:w="28" w:type="dxa"/>
            </w:tcMar>
          </w:tcPr>
          <w:p w14:paraId="56D3A1D2"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0.12</w:t>
            </w:r>
          </w:p>
        </w:tc>
        <w:tc>
          <w:tcPr>
            <w:tcW w:w="552" w:type="pct"/>
            <w:tcMar>
              <w:left w:w="28" w:type="dxa"/>
              <w:right w:w="28" w:type="dxa"/>
            </w:tcMar>
          </w:tcPr>
          <w:p w14:paraId="0FF3E995"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3" w:type="pct"/>
            <w:tcMar>
              <w:left w:w="28" w:type="dxa"/>
              <w:right w:w="28" w:type="dxa"/>
            </w:tcMar>
          </w:tcPr>
          <w:p w14:paraId="1B54A903"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4" w:type="pct"/>
            <w:tcMar>
              <w:left w:w="28" w:type="dxa"/>
              <w:right w:w="28" w:type="dxa"/>
            </w:tcMar>
          </w:tcPr>
          <w:p w14:paraId="19E48E31"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p>
        </w:tc>
        <w:tc>
          <w:tcPr>
            <w:tcW w:w="553" w:type="pct"/>
            <w:tcMar>
              <w:left w:w="28" w:type="dxa"/>
              <w:right w:w="28" w:type="dxa"/>
            </w:tcMar>
          </w:tcPr>
          <w:p w14:paraId="702FA6D2"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3" w:type="pct"/>
            <w:tcMar>
              <w:left w:w="28" w:type="dxa"/>
              <w:right w:w="28" w:type="dxa"/>
            </w:tcMar>
          </w:tcPr>
          <w:p w14:paraId="6F1FA8E4"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0.32</w:t>
            </w:r>
          </w:p>
        </w:tc>
        <w:tc>
          <w:tcPr>
            <w:tcW w:w="553" w:type="pct"/>
            <w:tcMar>
              <w:left w:w="28" w:type="dxa"/>
              <w:right w:w="28" w:type="dxa"/>
            </w:tcMar>
          </w:tcPr>
          <w:p w14:paraId="2C9F3488"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0.97</w:t>
            </w:r>
          </w:p>
        </w:tc>
        <w:tc>
          <w:tcPr>
            <w:tcW w:w="565" w:type="pct"/>
            <w:tcBorders>
              <w:right w:val="single" w:sz="4" w:space="0" w:color="auto"/>
            </w:tcBorders>
            <w:tcMar>
              <w:left w:w="28" w:type="dxa"/>
              <w:right w:w="28" w:type="dxa"/>
            </w:tcMar>
          </w:tcPr>
          <w:p w14:paraId="72AF0910"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0.37</w:t>
            </w:r>
          </w:p>
        </w:tc>
      </w:tr>
      <w:tr w:rsidR="007734A2" w:rsidRPr="00983193" w14:paraId="5B7DA77F" w14:textId="77777777" w:rsidTr="00A53C54">
        <w:trPr>
          <w:jc w:val="center"/>
        </w:trPr>
        <w:tc>
          <w:tcPr>
            <w:tcW w:w="565" w:type="pct"/>
            <w:tcBorders>
              <w:right w:val="single" w:sz="4" w:space="0" w:color="auto"/>
            </w:tcBorders>
            <w:tcMar>
              <w:left w:w="28" w:type="dxa"/>
              <w:right w:w="28" w:type="dxa"/>
            </w:tcMar>
          </w:tcPr>
          <w:p w14:paraId="34FC28DA"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SIZE</w:t>
            </w:r>
          </w:p>
        </w:tc>
        <w:tc>
          <w:tcPr>
            <w:tcW w:w="551" w:type="pct"/>
            <w:tcBorders>
              <w:left w:val="single" w:sz="4" w:space="0" w:color="auto"/>
            </w:tcBorders>
            <w:tcMar>
              <w:left w:w="28" w:type="dxa"/>
              <w:right w:w="28" w:type="dxa"/>
            </w:tcMar>
          </w:tcPr>
          <w:p w14:paraId="48B8138E"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-0.156</w:t>
            </w:r>
            <w:r w:rsidRPr="00A53C54">
              <w:rPr>
                <w:rFonts w:ascii="Times New Roman" w:eastAsia="Times New Roman" w:hAnsi="Times New Roman" w:cs="Times New Roman"/>
                <w:color w:val="000000" w:themeColor="text1"/>
                <w:sz w:val="18"/>
                <w:szCs w:val="18"/>
                <w:vertAlign w:val="superscript"/>
              </w:rPr>
              <w:t>**</w:t>
            </w:r>
          </w:p>
        </w:tc>
        <w:tc>
          <w:tcPr>
            <w:tcW w:w="552" w:type="pct"/>
            <w:tcMar>
              <w:left w:w="28" w:type="dxa"/>
              <w:right w:w="28" w:type="dxa"/>
            </w:tcMar>
          </w:tcPr>
          <w:p w14:paraId="58D2F8B0"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0.106</w:t>
            </w:r>
            <w:r w:rsidRPr="00A53C54">
              <w:rPr>
                <w:rFonts w:ascii="Times New Roman" w:eastAsia="Times New Roman" w:hAnsi="Times New Roman" w:cs="Times New Roman"/>
                <w:color w:val="000000" w:themeColor="text1"/>
                <w:sz w:val="18"/>
                <w:szCs w:val="18"/>
                <w:vertAlign w:val="superscript"/>
              </w:rPr>
              <w:t>**</w:t>
            </w:r>
          </w:p>
        </w:tc>
        <w:tc>
          <w:tcPr>
            <w:tcW w:w="553" w:type="pct"/>
            <w:tcMar>
              <w:left w:w="28" w:type="dxa"/>
              <w:right w:w="28" w:type="dxa"/>
            </w:tcMar>
          </w:tcPr>
          <w:p w14:paraId="309B6A6E"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-0.07</w:t>
            </w:r>
          </w:p>
        </w:tc>
        <w:tc>
          <w:tcPr>
            <w:tcW w:w="554" w:type="pct"/>
            <w:tcMar>
              <w:left w:w="28" w:type="dxa"/>
              <w:right w:w="28" w:type="dxa"/>
            </w:tcMar>
          </w:tcPr>
          <w:p w14:paraId="554EC66A"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0.171</w:t>
            </w:r>
            <w:r w:rsidRPr="00A53C54">
              <w:rPr>
                <w:rFonts w:ascii="Times New Roman" w:eastAsia="Times New Roman" w:hAnsi="Times New Roman" w:cs="Times New Roman"/>
                <w:color w:val="000000" w:themeColor="text1"/>
                <w:sz w:val="18"/>
                <w:szCs w:val="18"/>
                <w:vertAlign w:val="superscript"/>
              </w:rPr>
              <w:t>**</w:t>
            </w:r>
          </w:p>
        </w:tc>
        <w:tc>
          <w:tcPr>
            <w:tcW w:w="553" w:type="pct"/>
            <w:tcMar>
              <w:left w:w="28" w:type="dxa"/>
              <w:right w:w="28" w:type="dxa"/>
            </w:tcMar>
          </w:tcPr>
          <w:p w14:paraId="4A1EC326"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1</w:t>
            </w:r>
          </w:p>
        </w:tc>
        <w:tc>
          <w:tcPr>
            <w:tcW w:w="553" w:type="pct"/>
            <w:tcMar>
              <w:left w:w="28" w:type="dxa"/>
              <w:right w:w="28" w:type="dxa"/>
            </w:tcMar>
          </w:tcPr>
          <w:p w14:paraId="19315F33"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-0.080</w:t>
            </w:r>
            <w:r w:rsidRPr="00A53C54">
              <w:rPr>
                <w:rFonts w:ascii="Times New Roman" w:eastAsia="Times New Roman" w:hAnsi="Times New Roman" w:cs="Times New Roman"/>
                <w:color w:val="000000" w:themeColor="text1"/>
                <w:sz w:val="18"/>
                <w:szCs w:val="18"/>
                <w:vertAlign w:val="superscript"/>
              </w:rPr>
              <w:t>*</w:t>
            </w:r>
          </w:p>
        </w:tc>
        <w:tc>
          <w:tcPr>
            <w:tcW w:w="553" w:type="pct"/>
            <w:tcMar>
              <w:left w:w="28" w:type="dxa"/>
              <w:right w:w="28" w:type="dxa"/>
            </w:tcMar>
          </w:tcPr>
          <w:p w14:paraId="161DEB91"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0.107</w:t>
            </w:r>
            <w:r w:rsidRPr="00A53C54">
              <w:rPr>
                <w:rFonts w:ascii="Times New Roman" w:eastAsia="Times New Roman" w:hAnsi="Times New Roman" w:cs="Times New Roman"/>
                <w:color w:val="000000" w:themeColor="text1"/>
                <w:sz w:val="18"/>
                <w:szCs w:val="18"/>
                <w:vertAlign w:val="superscript"/>
              </w:rPr>
              <w:t>**</w:t>
            </w:r>
          </w:p>
        </w:tc>
        <w:tc>
          <w:tcPr>
            <w:tcW w:w="565" w:type="pct"/>
            <w:tcBorders>
              <w:right w:val="single" w:sz="4" w:space="0" w:color="auto"/>
            </w:tcBorders>
            <w:tcMar>
              <w:left w:w="28" w:type="dxa"/>
              <w:right w:w="28" w:type="dxa"/>
            </w:tcMar>
          </w:tcPr>
          <w:p w14:paraId="14E2CA75"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-0.01</w:t>
            </w:r>
          </w:p>
        </w:tc>
      </w:tr>
      <w:tr w:rsidR="007734A2" w:rsidRPr="00983193" w14:paraId="534056EF" w14:textId="77777777" w:rsidTr="00A53C54">
        <w:trPr>
          <w:jc w:val="center"/>
        </w:trPr>
        <w:tc>
          <w:tcPr>
            <w:tcW w:w="565" w:type="pct"/>
            <w:tcBorders>
              <w:right w:val="single" w:sz="4" w:space="0" w:color="auto"/>
            </w:tcBorders>
            <w:tcMar>
              <w:left w:w="28" w:type="dxa"/>
              <w:right w:w="28" w:type="dxa"/>
            </w:tcMar>
            <w:vAlign w:val="center"/>
          </w:tcPr>
          <w:p w14:paraId="7E8F876D"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p>
        </w:tc>
        <w:tc>
          <w:tcPr>
            <w:tcW w:w="551" w:type="pct"/>
            <w:tcBorders>
              <w:left w:val="single" w:sz="4" w:space="0" w:color="auto"/>
            </w:tcBorders>
            <w:tcMar>
              <w:left w:w="28" w:type="dxa"/>
              <w:right w:w="28" w:type="dxa"/>
            </w:tcMar>
          </w:tcPr>
          <w:p w14:paraId="634B6E0F"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2" w:type="pct"/>
            <w:tcMar>
              <w:left w:w="28" w:type="dxa"/>
              <w:right w:w="28" w:type="dxa"/>
            </w:tcMar>
          </w:tcPr>
          <w:p w14:paraId="5FCA3341"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3" w:type="pct"/>
            <w:tcMar>
              <w:left w:w="28" w:type="dxa"/>
              <w:right w:w="28" w:type="dxa"/>
            </w:tcMar>
          </w:tcPr>
          <w:p w14:paraId="6B1D1D7A"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0.07</w:t>
            </w:r>
          </w:p>
        </w:tc>
        <w:tc>
          <w:tcPr>
            <w:tcW w:w="554" w:type="pct"/>
            <w:tcMar>
              <w:left w:w="28" w:type="dxa"/>
              <w:right w:w="28" w:type="dxa"/>
            </w:tcMar>
          </w:tcPr>
          <w:p w14:paraId="5700BB7E"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3" w:type="pct"/>
            <w:tcMar>
              <w:left w:w="28" w:type="dxa"/>
              <w:right w:w="28" w:type="dxa"/>
            </w:tcMar>
          </w:tcPr>
          <w:p w14:paraId="5225B973"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p>
        </w:tc>
        <w:tc>
          <w:tcPr>
            <w:tcW w:w="553" w:type="pct"/>
            <w:tcMar>
              <w:left w:w="28" w:type="dxa"/>
              <w:right w:w="28" w:type="dxa"/>
            </w:tcMar>
          </w:tcPr>
          <w:p w14:paraId="0C48411B"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0.03</w:t>
            </w:r>
          </w:p>
        </w:tc>
        <w:tc>
          <w:tcPr>
            <w:tcW w:w="553" w:type="pct"/>
            <w:tcMar>
              <w:left w:w="28" w:type="dxa"/>
              <w:right w:w="28" w:type="dxa"/>
            </w:tcMar>
          </w:tcPr>
          <w:p w14:paraId="4AF6517F"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65" w:type="pct"/>
            <w:tcBorders>
              <w:right w:val="single" w:sz="4" w:space="0" w:color="auto"/>
            </w:tcBorders>
            <w:tcMar>
              <w:left w:w="28" w:type="dxa"/>
              <w:right w:w="28" w:type="dxa"/>
            </w:tcMar>
          </w:tcPr>
          <w:p w14:paraId="66A140D0"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0.84</w:t>
            </w:r>
          </w:p>
        </w:tc>
      </w:tr>
      <w:tr w:rsidR="007734A2" w:rsidRPr="00983193" w14:paraId="2EF7E285" w14:textId="77777777" w:rsidTr="00A53C54">
        <w:trPr>
          <w:jc w:val="center"/>
        </w:trPr>
        <w:tc>
          <w:tcPr>
            <w:tcW w:w="565" w:type="pct"/>
            <w:tcBorders>
              <w:right w:val="single" w:sz="4" w:space="0" w:color="auto"/>
            </w:tcBorders>
            <w:tcMar>
              <w:left w:w="28" w:type="dxa"/>
              <w:right w:w="28" w:type="dxa"/>
            </w:tcMar>
          </w:tcPr>
          <w:p w14:paraId="6653F3D3"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LEV</w:t>
            </w:r>
          </w:p>
        </w:tc>
        <w:tc>
          <w:tcPr>
            <w:tcW w:w="551" w:type="pct"/>
            <w:tcBorders>
              <w:left w:val="single" w:sz="4" w:space="0" w:color="auto"/>
            </w:tcBorders>
            <w:tcMar>
              <w:left w:w="28" w:type="dxa"/>
              <w:right w:w="28" w:type="dxa"/>
            </w:tcMar>
          </w:tcPr>
          <w:p w14:paraId="3DBDE029"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0.358</w:t>
            </w:r>
            <w:r w:rsidRPr="00A53C54">
              <w:rPr>
                <w:rFonts w:ascii="Times New Roman" w:eastAsia="Times New Roman" w:hAnsi="Times New Roman" w:cs="Times New Roman"/>
                <w:color w:val="000000" w:themeColor="text1"/>
                <w:sz w:val="18"/>
                <w:szCs w:val="18"/>
                <w:vertAlign w:val="superscript"/>
              </w:rPr>
              <w:t>**</w:t>
            </w:r>
          </w:p>
        </w:tc>
        <w:tc>
          <w:tcPr>
            <w:tcW w:w="552" w:type="pct"/>
            <w:tcMar>
              <w:left w:w="28" w:type="dxa"/>
              <w:right w:w="28" w:type="dxa"/>
            </w:tcMar>
          </w:tcPr>
          <w:p w14:paraId="384D5E0F"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0.02</w:t>
            </w:r>
          </w:p>
        </w:tc>
        <w:tc>
          <w:tcPr>
            <w:tcW w:w="553" w:type="pct"/>
            <w:tcMar>
              <w:left w:w="28" w:type="dxa"/>
              <w:right w:w="28" w:type="dxa"/>
            </w:tcMar>
          </w:tcPr>
          <w:p w14:paraId="0B1E4523"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0.05</w:t>
            </w:r>
          </w:p>
        </w:tc>
        <w:tc>
          <w:tcPr>
            <w:tcW w:w="554" w:type="pct"/>
            <w:tcMar>
              <w:left w:w="28" w:type="dxa"/>
              <w:right w:w="28" w:type="dxa"/>
            </w:tcMar>
          </w:tcPr>
          <w:p w14:paraId="234F0178"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-0.04</w:t>
            </w:r>
          </w:p>
        </w:tc>
        <w:tc>
          <w:tcPr>
            <w:tcW w:w="553" w:type="pct"/>
            <w:tcMar>
              <w:left w:w="28" w:type="dxa"/>
              <w:right w:w="28" w:type="dxa"/>
            </w:tcMar>
          </w:tcPr>
          <w:p w14:paraId="28F82373"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-0.080</w:t>
            </w:r>
            <w:r w:rsidRPr="00A53C54">
              <w:rPr>
                <w:rFonts w:ascii="Times New Roman" w:eastAsia="Times New Roman" w:hAnsi="Times New Roman" w:cs="Times New Roman"/>
                <w:color w:val="000000" w:themeColor="text1"/>
                <w:sz w:val="18"/>
                <w:szCs w:val="18"/>
                <w:vertAlign w:val="superscript"/>
              </w:rPr>
              <w:t>*</w:t>
            </w:r>
          </w:p>
        </w:tc>
        <w:tc>
          <w:tcPr>
            <w:tcW w:w="553" w:type="pct"/>
            <w:tcMar>
              <w:left w:w="28" w:type="dxa"/>
              <w:right w:w="28" w:type="dxa"/>
            </w:tcMar>
          </w:tcPr>
          <w:p w14:paraId="5274B7DC"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1</w:t>
            </w:r>
          </w:p>
        </w:tc>
        <w:tc>
          <w:tcPr>
            <w:tcW w:w="553" w:type="pct"/>
            <w:tcMar>
              <w:left w:w="28" w:type="dxa"/>
              <w:right w:w="28" w:type="dxa"/>
            </w:tcMar>
          </w:tcPr>
          <w:p w14:paraId="62BE5EE4"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-0.04</w:t>
            </w:r>
          </w:p>
        </w:tc>
        <w:tc>
          <w:tcPr>
            <w:tcW w:w="565" w:type="pct"/>
            <w:tcBorders>
              <w:right w:val="single" w:sz="4" w:space="0" w:color="auto"/>
            </w:tcBorders>
            <w:tcMar>
              <w:left w:w="28" w:type="dxa"/>
              <w:right w:w="28" w:type="dxa"/>
            </w:tcMar>
          </w:tcPr>
          <w:p w14:paraId="3C4B4737"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0.00</w:t>
            </w:r>
          </w:p>
        </w:tc>
      </w:tr>
      <w:tr w:rsidR="007734A2" w:rsidRPr="00983193" w14:paraId="53D55BC2" w14:textId="77777777" w:rsidTr="00A53C54">
        <w:trPr>
          <w:jc w:val="center"/>
        </w:trPr>
        <w:tc>
          <w:tcPr>
            <w:tcW w:w="565" w:type="pct"/>
            <w:tcBorders>
              <w:right w:val="single" w:sz="4" w:space="0" w:color="auto"/>
            </w:tcBorders>
            <w:tcMar>
              <w:left w:w="28" w:type="dxa"/>
              <w:right w:w="28" w:type="dxa"/>
            </w:tcMar>
            <w:vAlign w:val="center"/>
          </w:tcPr>
          <w:p w14:paraId="76B9E47A"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p>
        </w:tc>
        <w:tc>
          <w:tcPr>
            <w:tcW w:w="551" w:type="pct"/>
            <w:tcBorders>
              <w:left w:val="single" w:sz="4" w:space="0" w:color="auto"/>
            </w:tcBorders>
            <w:tcMar>
              <w:left w:w="28" w:type="dxa"/>
              <w:right w:w="28" w:type="dxa"/>
            </w:tcMar>
          </w:tcPr>
          <w:p w14:paraId="547F0631"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2" w:type="pct"/>
            <w:tcMar>
              <w:left w:w="28" w:type="dxa"/>
              <w:right w:w="28" w:type="dxa"/>
            </w:tcMar>
          </w:tcPr>
          <w:p w14:paraId="281D78F8"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0.53</w:t>
            </w:r>
          </w:p>
        </w:tc>
        <w:tc>
          <w:tcPr>
            <w:tcW w:w="553" w:type="pct"/>
            <w:tcMar>
              <w:left w:w="28" w:type="dxa"/>
              <w:right w:w="28" w:type="dxa"/>
            </w:tcMar>
          </w:tcPr>
          <w:p w14:paraId="0DB67C8B"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0.22</w:t>
            </w:r>
          </w:p>
        </w:tc>
        <w:tc>
          <w:tcPr>
            <w:tcW w:w="554" w:type="pct"/>
            <w:tcMar>
              <w:left w:w="28" w:type="dxa"/>
              <w:right w:w="28" w:type="dxa"/>
            </w:tcMar>
          </w:tcPr>
          <w:p w14:paraId="2CD487AF"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0.32</w:t>
            </w:r>
          </w:p>
        </w:tc>
        <w:tc>
          <w:tcPr>
            <w:tcW w:w="553" w:type="pct"/>
            <w:tcMar>
              <w:left w:w="28" w:type="dxa"/>
              <w:right w:w="28" w:type="dxa"/>
            </w:tcMar>
          </w:tcPr>
          <w:p w14:paraId="70661E56"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0.03</w:t>
            </w:r>
          </w:p>
        </w:tc>
        <w:tc>
          <w:tcPr>
            <w:tcW w:w="553" w:type="pct"/>
            <w:tcMar>
              <w:left w:w="28" w:type="dxa"/>
              <w:right w:w="28" w:type="dxa"/>
            </w:tcMar>
          </w:tcPr>
          <w:p w14:paraId="18A6BA50"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p>
        </w:tc>
        <w:tc>
          <w:tcPr>
            <w:tcW w:w="553" w:type="pct"/>
            <w:tcMar>
              <w:left w:w="28" w:type="dxa"/>
              <w:right w:w="28" w:type="dxa"/>
            </w:tcMar>
          </w:tcPr>
          <w:p w14:paraId="4F464649"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0.28</w:t>
            </w:r>
          </w:p>
        </w:tc>
        <w:tc>
          <w:tcPr>
            <w:tcW w:w="565" w:type="pct"/>
            <w:tcBorders>
              <w:right w:val="single" w:sz="4" w:space="0" w:color="auto"/>
            </w:tcBorders>
            <w:tcMar>
              <w:left w:w="28" w:type="dxa"/>
              <w:right w:w="28" w:type="dxa"/>
            </w:tcMar>
          </w:tcPr>
          <w:p w14:paraId="56033356"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0.89</w:t>
            </w:r>
          </w:p>
        </w:tc>
      </w:tr>
      <w:tr w:rsidR="007734A2" w:rsidRPr="00983193" w14:paraId="01960465" w14:textId="77777777" w:rsidTr="00A53C54">
        <w:trPr>
          <w:trHeight w:val="246"/>
          <w:jc w:val="center"/>
        </w:trPr>
        <w:tc>
          <w:tcPr>
            <w:tcW w:w="565" w:type="pct"/>
            <w:tcBorders>
              <w:right w:val="single" w:sz="4" w:space="0" w:color="auto"/>
            </w:tcBorders>
            <w:tcMar>
              <w:left w:w="28" w:type="dxa"/>
              <w:right w:w="28" w:type="dxa"/>
            </w:tcMar>
          </w:tcPr>
          <w:p w14:paraId="3B2E026F"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lnAGE</w:t>
            </w:r>
          </w:p>
        </w:tc>
        <w:tc>
          <w:tcPr>
            <w:tcW w:w="551" w:type="pct"/>
            <w:tcBorders>
              <w:left w:val="single" w:sz="4" w:space="0" w:color="auto"/>
            </w:tcBorders>
            <w:tcMar>
              <w:left w:w="28" w:type="dxa"/>
              <w:right w:w="28" w:type="dxa"/>
            </w:tcMar>
          </w:tcPr>
          <w:p w14:paraId="6F2037CF"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-0.263</w:t>
            </w:r>
            <w:r w:rsidRPr="00A53C54">
              <w:rPr>
                <w:rFonts w:ascii="Times New Roman" w:eastAsia="Times New Roman" w:hAnsi="Times New Roman" w:cs="Times New Roman"/>
                <w:color w:val="000000" w:themeColor="text1"/>
                <w:sz w:val="18"/>
                <w:szCs w:val="18"/>
                <w:vertAlign w:val="superscript"/>
              </w:rPr>
              <w:t>**</w:t>
            </w:r>
          </w:p>
        </w:tc>
        <w:tc>
          <w:tcPr>
            <w:tcW w:w="552" w:type="pct"/>
            <w:tcMar>
              <w:left w:w="28" w:type="dxa"/>
              <w:right w:w="28" w:type="dxa"/>
            </w:tcMar>
          </w:tcPr>
          <w:p w14:paraId="4209F816"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-0.02</w:t>
            </w:r>
          </w:p>
        </w:tc>
        <w:tc>
          <w:tcPr>
            <w:tcW w:w="553" w:type="pct"/>
            <w:tcMar>
              <w:left w:w="28" w:type="dxa"/>
              <w:right w:w="28" w:type="dxa"/>
            </w:tcMar>
          </w:tcPr>
          <w:p w14:paraId="137F2F73"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-0.165</w:t>
            </w:r>
            <w:r w:rsidRPr="00A53C54">
              <w:rPr>
                <w:rFonts w:ascii="Times New Roman" w:eastAsia="Times New Roman" w:hAnsi="Times New Roman" w:cs="Times New Roman"/>
                <w:color w:val="000000" w:themeColor="text1"/>
                <w:sz w:val="18"/>
                <w:szCs w:val="18"/>
                <w:vertAlign w:val="superscript"/>
              </w:rPr>
              <w:t>**</w:t>
            </w:r>
          </w:p>
        </w:tc>
        <w:tc>
          <w:tcPr>
            <w:tcW w:w="554" w:type="pct"/>
            <w:tcMar>
              <w:left w:w="28" w:type="dxa"/>
              <w:right w:w="28" w:type="dxa"/>
            </w:tcMar>
          </w:tcPr>
          <w:p w14:paraId="114BFEE2"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0.00</w:t>
            </w:r>
          </w:p>
        </w:tc>
        <w:tc>
          <w:tcPr>
            <w:tcW w:w="553" w:type="pct"/>
            <w:tcMar>
              <w:left w:w="28" w:type="dxa"/>
              <w:right w:w="28" w:type="dxa"/>
            </w:tcMar>
          </w:tcPr>
          <w:p w14:paraId="2B7DEF1B"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0.107</w:t>
            </w:r>
            <w:r w:rsidRPr="00A53C54">
              <w:rPr>
                <w:rFonts w:ascii="Times New Roman" w:eastAsia="Times New Roman" w:hAnsi="Times New Roman" w:cs="Times New Roman"/>
                <w:color w:val="000000" w:themeColor="text1"/>
                <w:sz w:val="18"/>
                <w:szCs w:val="18"/>
                <w:vertAlign w:val="superscript"/>
              </w:rPr>
              <w:t>**</w:t>
            </w:r>
          </w:p>
        </w:tc>
        <w:tc>
          <w:tcPr>
            <w:tcW w:w="553" w:type="pct"/>
            <w:tcMar>
              <w:left w:w="28" w:type="dxa"/>
              <w:right w:w="28" w:type="dxa"/>
            </w:tcMar>
          </w:tcPr>
          <w:p w14:paraId="194AB1D5"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-0.04</w:t>
            </w:r>
          </w:p>
        </w:tc>
        <w:tc>
          <w:tcPr>
            <w:tcW w:w="553" w:type="pct"/>
            <w:tcMar>
              <w:left w:w="28" w:type="dxa"/>
              <w:right w:w="28" w:type="dxa"/>
            </w:tcMar>
          </w:tcPr>
          <w:p w14:paraId="6194F5BE"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1</w:t>
            </w:r>
          </w:p>
        </w:tc>
        <w:tc>
          <w:tcPr>
            <w:tcW w:w="565" w:type="pct"/>
            <w:tcBorders>
              <w:right w:val="single" w:sz="4" w:space="0" w:color="auto"/>
            </w:tcBorders>
            <w:tcMar>
              <w:left w:w="28" w:type="dxa"/>
              <w:right w:w="28" w:type="dxa"/>
            </w:tcMar>
          </w:tcPr>
          <w:p w14:paraId="2AA47129"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-0.06</w:t>
            </w:r>
          </w:p>
        </w:tc>
      </w:tr>
      <w:tr w:rsidR="007734A2" w:rsidRPr="00983193" w14:paraId="3CC72F6D" w14:textId="77777777" w:rsidTr="00A53C54">
        <w:trPr>
          <w:trHeight w:val="246"/>
          <w:jc w:val="center"/>
        </w:trPr>
        <w:tc>
          <w:tcPr>
            <w:tcW w:w="565" w:type="pct"/>
            <w:tcBorders>
              <w:right w:val="single" w:sz="4" w:space="0" w:color="auto"/>
            </w:tcBorders>
            <w:tcMar>
              <w:left w:w="28" w:type="dxa"/>
              <w:right w:w="28" w:type="dxa"/>
            </w:tcMar>
            <w:vAlign w:val="center"/>
          </w:tcPr>
          <w:p w14:paraId="733349A4"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p>
        </w:tc>
        <w:tc>
          <w:tcPr>
            <w:tcW w:w="551" w:type="pct"/>
            <w:tcBorders>
              <w:left w:val="single" w:sz="4" w:space="0" w:color="auto"/>
            </w:tcBorders>
            <w:tcMar>
              <w:left w:w="28" w:type="dxa"/>
              <w:right w:w="28" w:type="dxa"/>
            </w:tcMar>
          </w:tcPr>
          <w:p w14:paraId="119D0634"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2" w:type="pct"/>
            <w:tcMar>
              <w:left w:w="28" w:type="dxa"/>
              <w:right w:w="28" w:type="dxa"/>
            </w:tcMar>
          </w:tcPr>
          <w:p w14:paraId="5003AE04"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0.59</w:t>
            </w:r>
          </w:p>
        </w:tc>
        <w:tc>
          <w:tcPr>
            <w:tcW w:w="553" w:type="pct"/>
            <w:tcMar>
              <w:left w:w="28" w:type="dxa"/>
              <w:right w:w="28" w:type="dxa"/>
            </w:tcMar>
          </w:tcPr>
          <w:p w14:paraId="3837A0FA"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4" w:type="pct"/>
            <w:tcMar>
              <w:left w:w="28" w:type="dxa"/>
              <w:right w:w="28" w:type="dxa"/>
            </w:tcMar>
          </w:tcPr>
          <w:p w14:paraId="49276246"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0.97</w:t>
            </w:r>
          </w:p>
        </w:tc>
        <w:tc>
          <w:tcPr>
            <w:tcW w:w="553" w:type="pct"/>
            <w:tcMar>
              <w:left w:w="28" w:type="dxa"/>
              <w:right w:w="28" w:type="dxa"/>
            </w:tcMar>
          </w:tcPr>
          <w:p w14:paraId="06F1EDE7"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0.00</w:t>
            </w:r>
          </w:p>
        </w:tc>
        <w:tc>
          <w:tcPr>
            <w:tcW w:w="553" w:type="pct"/>
            <w:tcMar>
              <w:left w:w="28" w:type="dxa"/>
              <w:right w:w="28" w:type="dxa"/>
            </w:tcMar>
          </w:tcPr>
          <w:p w14:paraId="0A405B90"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0.28</w:t>
            </w:r>
          </w:p>
        </w:tc>
        <w:tc>
          <w:tcPr>
            <w:tcW w:w="553" w:type="pct"/>
            <w:tcMar>
              <w:left w:w="28" w:type="dxa"/>
              <w:right w:w="28" w:type="dxa"/>
            </w:tcMar>
          </w:tcPr>
          <w:p w14:paraId="62054FF8"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p>
        </w:tc>
        <w:tc>
          <w:tcPr>
            <w:tcW w:w="565" w:type="pct"/>
            <w:tcBorders>
              <w:right w:val="single" w:sz="4" w:space="0" w:color="auto"/>
            </w:tcBorders>
            <w:tcMar>
              <w:left w:w="28" w:type="dxa"/>
              <w:right w:w="28" w:type="dxa"/>
            </w:tcMar>
          </w:tcPr>
          <w:p w14:paraId="00D9C0D4"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0.10</w:t>
            </w:r>
          </w:p>
        </w:tc>
      </w:tr>
      <w:tr w:rsidR="007734A2" w:rsidRPr="00983193" w14:paraId="0A0955D8" w14:textId="77777777" w:rsidTr="00A53C54">
        <w:trPr>
          <w:jc w:val="center"/>
        </w:trPr>
        <w:tc>
          <w:tcPr>
            <w:tcW w:w="565" w:type="pct"/>
            <w:tcBorders>
              <w:right w:val="single" w:sz="4" w:space="0" w:color="auto"/>
            </w:tcBorders>
            <w:tcMar>
              <w:left w:w="28" w:type="dxa"/>
              <w:right w:w="28" w:type="dxa"/>
            </w:tcMar>
          </w:tcPr>
          <w:p w14:paraId="40733B18" w14:textId="77777777" w:rsidR="007734A2" w:rsidRPr="00A53C54" w:rsidRDefault="007734A2" w:rsidP="00F7044F">
            <w:pPr>
              <w:spacing w:after="200" w:line="276" w:lineRule="auto"/>
              <w:jc w:val="center"/>
              <w:rPr>
                <w:rFonts w:ascii="Times New Roman" w:eastAsia="Times New Roman" w:hAnsi="Times New Roman" w:cs="Times New Roman"/>
                <w:i/>
                <w:color w:val="000000" w:themeColor="text1"/>
                <w:sz w:val="18"/>
                <w:szCs w:val="18"/>
              </w:rPr>
            </w:pPr>
            <w:r w:rsidRPr="00A53C54">
              <w:rPr>
                <w:rFonts w:ascii="Times New Roman" w:eastAsia="Times New Roman" w:hAnsi="Times New Roman" w:cs="Times New Roman"/>
                <w:i/>
                <w:color w:val="000000" w:themeColor="text1"/>
                <w:sz w:val="18"/>
                <w:szCs w:val="18"/>
              </w:rPr>
              <w:t>GROWTH</w:t>
            </w:r>
          </w:p>
        </w:tc>
        <w:tc>
          <w:tcPr>
            <w:tcW w:w="551" w:type="pct"/>
            <w:tcBorders>
              <w:left w:val="single" w:sz="4" w:space="0" w:color="auto"/>
            </w:tcBorders>
            <w:tcMar>
              <w:left w:w="28" w:type="dxa"/>
              <w:right w:w="28" w:type="dxa"/>
            </w:tcMar>
          </w:tcPr>
          <w:p w14:paraId="1FAEEC80"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0.096</w:t>
            </w:r>
            <w:r w:rsidRPr="00A53C54">
              <w:rPr>
                <w:rFonts w:ascii="Times New Roman" w:eastAsia="Times New Roman" w:hAnsi="Times New Roman" w:cs="Times New Roman"/>
                <w:color w:val="000000" w:themeColor="text1"/>
                <w:sz w:val="18"/>
                <w:szCs w:val="18"/>
                <w:vertAlign w:val="superscript"/>
              </w:rPr>
              <w:t>**</w:t>
            </w:r>
          </w:p>
        </w:tc>
        <w:tc>
          <w:tcPr>
            <w:tcW w:w="552" w:type="pct"/>
            <w:tcMar>
              <w:left w:w="28" w:type="dxa"/>
              <w:right w:w="28" w:type="dxa"/>
            </w:tcMar>
          </w:tcPr>
          <w:p w14:paraId="14B3A9BE"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0.02</w:t>
            </w:r>
          </w:p>
        </w:tc>
        <w:tc>
          <w:tcPr>
            <w:tcW w:w="553" w:type="pct"/>
            <w:tcMar>
              <w:left w:w="28" w:type="dxa"/>
              <w:right w:w="28" w:type="dxa"/>
            </w:tcMar>
          </w:tcPr>
          <w:p w14:paraId="4B839D30"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-0.001</w:t>
            </w:r>
          </w:p>
        </w:tc>
        <w:tc>
          <w:tcPr>
            <w:tcW w:w="554" w:type="pct"/>
            <w:tcMar>
              <w:left w:w="28" w:type="dxa"/>
              <w:right w:w="28" w:type="dxa"/>
            </w:tcMar>
          </w:tcPr>
          <w:p w14:paraId="13321900"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0.03</w:t>
            </w:r>
          </w:p>
        </w:tc>
        <w:tc>
          <w:tcPr>
            <w:tcW w:w="553" w:type="pct"/>
            <w:tcMar>
              <w:left w:w="28" w:type="dxa"/>
              <w:right w:w="28" w:type="dxa"/>
            </w:tcMar>
          </w:tcPr>
          <w:p w14:paraId="03F5D152"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-0.01</w:t>
            </w:r>
          </w:p>
        </w:tc>
        <w:tc>
          <w:tcPr>
            <w:tcW w:w="553" w:type="pct"/>
            <w:tcMar>
              <w:left w:w="28" w:type="dxa"/>
              <w:right w:w="28" w:type="dxa"/>
            </w:tcMar>
          </w:tcPr>
          <w:p w14:paraId="086BF2BC"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0.00</w:t>
            </w:r>
          </w:p>
        </w:tc>
        <w:tc>
          <w:tcPr>
            <w:tcW w:w="553" w:type="pct"/>
            <w:tcMar>
              <w:left w:w="28" w:type="dxa"/>
              <w:right w:w="28" w:type="dxa"/>
            </w:tcMar>
          </w:tcPr>
          <w:p w14:paraId="304BD5C3"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-0.06</w:t>
            </w:r>
          </w:p>
        </w:tc>
        <w:tc>
          <w:tcPr>
            <w:tcW w:w="565" w:type="pct"/>
            <w:tcBorders>
              <w:right w:val="single" w:sz="4" w:space="0" w:color="auto"/>
            </w:tcBorders>
            <w:tcMar>
              <w:left w:w="28" w:type="dxa"/>
              <w:right w:w="28" w:type="dxa"/>
            </w:tcMar>
          </w:tcPr>
          <w:p w14:paraId="68546DE8" w14:textId="77777777" w:rsidR="007734A2" w:rsidRPr="00A53C54" w:rsidRDefault="007734A2" w:rsidP="00F7044F">
            <w:pPr>
              <w:spacing w:after="200" w:line="276" w:lineRule="auto"/>
              <w:jc w:val="center"/>
              <w:rPr>
                <w:rFonts w:ascii="Times New Roman" w:hAnsi="Times New Roman" w:cs="Times New Roman"/>
                <w:color w:val="000000" w:themeColor="text1"/>
                <w:sz w:val="18"/>
                <w:szCs w:val="18"/>
                <w:lang w:val="en-US"/>
              </w:rPr>
            </w:pPr>
            <w:r w:rsidRPr="00A53C54">
              <w:rPr>
                <w:rFonts w:ascii="Times New Roman" w:eastAsia="Times New Roman" w:hAnsi="Times New Roman" w:cs="Times New Roman"/>
                <w:color w:val="000000" w:themeColor="text1"/>
                <w:sz w:val="18"/>
                <w:szCs w:val="18"/>
              </w:rPr>
              <w:t>1</w:t>
            </w:r>
          </w:p>
        </w:tc>
      </w:tr>
      <w:tr w:rsidR="007734A2" w:rsidRPr="00983193" w14:paraId="443B8561" w14:textId="77777777" w:rsidTr="00A53C54">
        <w:trPr>
          <w:jc w:val="center"/>
        </w:trPr>
        <w:tc>
          <w:tcPr>
            <w:tcW w:w="565" w:type="pct"/>
            <w:tcBorders>
              <w:bottom w:val="single" w:sz="4" w:space="0" w:color="auto"/>
              <w:right w:val="single" w:sz="4" w:space="0" w:color="auto"/>
            </w:tcBorders>
            <w:tcMar>
              <w:left w:w="28" w:type="dxa"/>
              <w:right w:w="28" w:type="dxa"/>
            </w:tcMar>
            <w:vAlign w:val="center"/>
          </w:tcPr>
          <w:p w14:paraId="232EFCE9"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p>
        </w:tc>
        <w:tc>
          <w:tcPr>
            <w:tcW w:w="551" w:type="pct"/>
            <w:tcBorders>
              <w:left w:val="single" w:sz="4" w:space="0" w:color="auto"/>
              <w:bottom w:val="single" w:sz="4" w:space="0" w:color="auto"/>
            </w:tcBorders>
            <w:tcMar>
              <w:left w:w="28" w:type="dxa"/>
              <w:right w:w="28" w:type="dxa"/>
            </w:tcMar>
          </w:tcPr>
          <w:p w14:paraId="5CA94E62"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0.01</w:t>
            </w:r>
          </w:p>
        </w:tc>
        <w:tc>
          <w:tcPr>
            <w:tcW w:w="552" w:type="pct"/>
            <w:tcBorders>
              <w:bottom w:val="single" w:sz="4" w:space="0" w:color="auto"/>
            </w:tcBorders>
            <w:tcMar>
              <w:left w:w="28" w:type="dxa"/>
              <w:right w:w="28" w:type="dxa"/>
            </w:tcMar>
          </w:tcPr>
          <w:p w14:paraId="6630FA56"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0.57</w:t>
            </w:r>
          </w:p>
        </w:tc>
        <w:tc>
          <w:tcPr>
            <w:tcW w:w="553" w:type="pct"/>
            <w:tcBorders>
              <w:bottom w:val="single" w:sz="4" w:space="0" w:color="auto"/>
            </w:tcBorders>
            <w:tcMar>
              <w:left w:w="28" w:type="dxa"/>
              <w:right w:w="28" w:type="dxa"/>
            </w:tcMar>
          </w:tcPr>
          <w:p w14:paraId="0000B54D"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0.83</w:t>
            </w:r>
          </w:p>
        </w:tc>
        <w:tc>
          <w:tcPr>
            <w:tcW w:w="554" w:type="pct"/>
            <w:tcBorders>
              <w:bottom w:val="single" w:sz="4" w:space="0" w:color="auto"/>
            </w:tcBorders>
            <w:tcMar>
              <w:left w:w="28" w:type="dxa"/>
              <w:right w:w="28" w:type="dxa"/>
            </w:tcMar>
          </w:tcPr>
          <w:p w14:paraId="3637E858"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0.37</w:t>
            </w:r>
          </w:p>
        </w:tc>
        <w:tc>
          <w:tcPr>
            <w:tcW w:w="553" w:type="pct"/>
            <w:tcBorders>
              <w:bottom w:val="single" w:sz="4" w:space="0" w:color="auto"/>
            </w:tcBorders>
            <w:tcMar>
              <w:left w:w="28" w:type="dxa"/>
              <w:right w:w="28" w:type="dxa"/>
            </w:tcMar>
          </w:tcPr>
          <w:p w14:paraId="19D9599B"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0.84</w:t>
            </w:r>
          </w:p>
        </w:tc>
        <w:tc>
          <w:tcPr>
            <w:tcW w:w="553" w:type="pct"/>
            <w:tcBorders>
              <w:bottom w:val="single" w:sz="4" w:space="0" w:color="auto"/>
            </w:tcBorders>
            <w:tcMar>
              <w:left w:w="28" w:type="dxa"/>
              <w:right w:w="28" w:type="dxa"/>
            </w:tcMar>
          </w:tcPr>
          <w:p w14:paraId="424F4435"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0.89</w:t>
            </w:r>
          </w:p>
        </w:tc>
        <w:tc>
          <w:tcPr>
            <w:tcW w:w="553" w:type="pct"/>
            <w:tcBorders>
              <w:bottom w:val="single" w:sz="4" w:space="0" w:color="auto"/>
            </w:tcBorders>
            <w:tcMar>
              <w:left w:w="28" w:type="dxa"/>
              <w:right w:w="28" w:type="dxa"/>
            </w:tcMar>
          </w:tcPr>
          <w:p w14:paraId="75F8883B"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r w:rsidRPr="00A53C54">
              <w:rPr>
                <w:rFonts w:ascii="Times New Roman" w:eastAsia="Times New Roman" w:hAnsi="Times New Roman" w:cs="Times New Roman"/>
                <w:i/>
                <w:color w:val="000000" w:themeColor="text1"/>
                <w:sz w:val="18"/>
                <w:szCs w:val="18"/>
              </w:rPr>
              <w:t>0.10</w:t>
            </w:r>
          </w:p>
        </w:tc>
        <w:tc>
          <w:tcPr>
            <w:tcW w:w="565" w:type="pct"/>
            <w:tcBorders>
              <w:bottom w:val="single" w:sz="4" w:space="0" w:color="auto"/>
              <w:right w:val="single" w:sz="4" w:space="0" w:color="auto"/>
            </w:tcBorders>
            <w:tcMar>
              <w:left w:w="28" w:type="dxa"/>
              <w:right w:w="28" w:type="dxa"/>
            </w:tcMar>
          </w:tcPr>
          <w:p w14:paraId="5A8F3D9D" w14:textId="77777777" w:rsidR="007734A2" w:rsidRPr="00A53C54" w:rsidRDefault="007734A2" w:rsidP="00F7044F">
            <w:pPr>
              <w:spacing w:after="200" w:line="276" w:lineRule="auto"/>
              <w:jc w:val="center"/>
              <w:rPr>
                <w:rFonts w:ascii="Times New Roman" w:hAnsi="Times New Roman" w:cs="Times New Roman"/>
                <w:i/>
                <w:color w:val="000000" w:themeColor="text1"/>
                <w:sz w:val="18"/>
                <w:szCs w:val="18"/>
                <w:lang w:val="en-US"/>
              </w:rPr>
            </w:pPr>
          </w:p>
        </w:tc>
      </w:tr>
      <w:tr w:rsidR="007734A2" w:rsidRPr="00983193" w14:paraId="42FD5C4F" w14:textId="77777777" w:rsidTr="00A53C54">
        <w:trPr>
          <w:jc w:val="center"/>
        </w:trPr>
        <w:tc>
          <w:tcPr>
            <w:tcW w:w="5000" w:type="pct"/>
            <w:gridSpan w:val="9"/>
            <w:tcBorders>
              <w:top w:val="single" w:sz="4" w:space="0" w:color="auto"/>
              <w:bottom w:val="single" w:sz="4" w:space="0" w:color="auto"/>
              <w:right w:val="single" w:sz="4" w:space="0" w:color="auto"/>
            </w:tcBorders>
            <w:tcMar>
              <w:left w:w="28" w:type="dxa"/>
              <w:right w:w="28" w:type="dxa"/>
            </w:tcMar>
          </w:tcPr>
          <w:p w14:paraId="3A78AFCF" w14:textId="77777777" w:rsidR="007734A2" w:rsidRPr="00A53C54" w:rsidRDefault="007734A2" w:rsidP="00F7044F">
            <w:pPr>
              <w:spacing w:after="200" w:line="276" w:lineRule="auto"/>
              <w:jc w:val="both"/>
              <w:rPr>
                <w:rFonts w:ascii="Times New Roman" w:eastAsia="Times New Roman" w:hAnsi="Times New Roman" w:cs="Times New Roman"/>
                <w:color w:val="000000" w:themeColor="text1"/>
                <w:sz w:val="20"/>
                <w:szCs w:val="20"/>
                <w:lang w:val="en-GB"/>
              </w:rPr>
            </w:pPr>
            <w:r w:rsidRPr="00A53C54">
              <w:rPr>
                <w:rFonts w:ascii="Times New Roman" w:eastAsia="Times New Roman" w:hAnsi="Times New Roman" w:cs="Times New Roman"/>
                <w:color w:val="000000" w:themeColor="text1"/>
                <w:sz w:val="20"/>
                <w:szCs w:val="20"/>
                <w:lang w:val="en-GB"/>
              </w:rPr>
              <w:t>Note: This table reports the Pearson (Spearman) correlation coefficient for the model variables below (above) the diagonal. The asterisks indicate statistical significance at the following levels: ** = 1%; * = 5%.</w:t>
            </w:r>
          </w:p>
        </w:tc>
      </w:tr>
    </w:tbl>
    <w:p w14:paraId="0CCB20D0" w14:textId="77777777" w:rsidR="007734A2" w:rsidRPr="00983193" w:rsidRDefault="007734A2" w:rsidP="007734A2">
      <w:pPr>
        <w:spacing w:after="0" w:line="240" w:lineRule="auto"/>
        <w:jc w:val="both"/>
        <w:rPr>
          <w:rFonts w:ascii="Times New Roman" w:hAnsi="Times New Roman" w:cs="Times New Roman"/>
          <w:color w:val="000000" w:themeColor="text1"/>
          <w:sz w:val="23"/>
          <w:szCs w:val="23"/>
          <w:lang w:val="en-US"/>
        </w:rPr>
      </w:pPr>
    </w:p>
    <w:p w14:paraId="67B6846E" w14:textId="77777777" w:rsidR="007734A2" w:rsidRDefault="007734A2">
      <w:pPr>
        <w:rPr>
          <w:rFonts w:ascii="Times New Roman" w:hAnsi="Times New Roman" w:cs="Times New Roman"/>
          <w:color w:val="000000" w:themeColor="text1"/>
          <w:sz w:val="23"/>
          <w:szCs w:val="23"/>
          <w:lang w:val="en-US"/>
        </w:rPr>
      </w:pPr>
      <w:r>
        <w:rPr>
          <w:rFonts w:ascii="Times New Roman" w:hAnsi="Times New Roman" w:cs="Times New Roman"/>
          <w:color w:val="000000" w:themeColor="text1"/>
          <w:sz w:val="23"/>
          <w:szCs w:val="23"/>
          <w:lang w:val="en-US"/>
        </w:rPr>
        <w:br w:type="page"/>
      </w:r>
    </w:p>
    <w:p w14:paraId="60036AFE" w14:textId="77777777" w:rsidR="007734A2" w:rsidRPr="00A53C54" w:rsidRDefault="007734A2" w:rsidP="007734A2">
      <w:pPr>
        <w:spacing w:after="0" w:line="240" w:lineRule="auto"/>
        <w:rPr>
          <w:rFonts w:ascii="Times New Roman" w:hAnsi="Times New Roman" w:cs="Times New Roman"/>
          <w:b/>
          <w:color w:val="000000" w:themeColor="text1"/>
          <w:sz w:val="23"/>
          <w:szCs w:val="23"/>
          <w:lang w:val="en-US"/>
        </w:rPr>
      </w:pPr>
      <w:r w:rsidRPr="00A53C54">
        <w:rPr>
          <w:rFonts w:ascii="Times New Roman" w:hAnsi="Times New Roman" w:cs="Times New Roman"/>
          <w:b/>
          <w:color w:val="000000" w:themeColor="text1"/>
          <w:sz w:val="23"/>
          <w:szCs w:val="23"/>
          <w:lang w:val="en-US"/>
        </w:rPr>
        <w:lastRenderedPageBreak/>
        <w:t>Table VI.</w:t>
      </w:r>
      <w:r w:rsidRPr="00A53C54">
        <w:rPr>
          <w:rFonts w:ascii="Times New Roman" w:hAnsi="Times New Roman" w:cs="Times New Roman"/>
          <w:b/>
          <w:color w:val="000000" w:themeColor="text1"/>
          <w:sz w:val="23"/>
          <w:szCs w:val="23"/>
          <w:lang w:val="en-US"/>
        </w:rPr>
        <w:tab/>
        <w:t>Linear panel regression models</w:t>
      </w:r>
    </w:p>
    <w:p w14:paraId="7E2C75DA" w14:textId="77777777" w:rsidR="007734A2" w:rsidRPr="00983193" w:rsidRDefault="007734A2" w:rsidP="007734A2">
      <w:pPr>
        <w:spacing w:after="0" w:line="240" w:lineRule="auto"/>
        <w:rPr>
          <w:rFonts w:ascii="Times New Roman" w:hAnsi="Times New Roman" w:cs="Times New Roman"/>
          <w:color w:val="000000" w:themeColor="text1"/>
          <w:sz w:val="23"/>
          <w:szCs w:val="23"/>
          <w:lang w:val="en-US"/>
        </w:rPr>
      </w:pPr>
    </w:p>
    <w:tbl>
      <w:tblPr>
        <w:tblStyle w:val="Grigliatabella3"/>
        <w:tblW w:w="5236" w:type="pct"/>
        <w:tblLayout w:type="fixed"/>
        <w:tblLook w:val="04A0" w:firstRow="1" w:lastRow="0" w:firstColumn="1" w:lastColumn="0" w:noHBand="0" w:noVBand="1"/>
      </w:tblPr>
      <w:tblGrid>
        <w:gridCol w:w="1284"/>
        <w:gridCol w:w="699"/>
        <w:gridCol w:w="1755"/>
        <w:gridCol w:w="1146"/>
        <w:gridCol w:w="727"/>
        <w:gridCol w:w="841"/>
        <w:gridCol w:w="1654"/>
        <w:gridCol w:w="1249"/>
        <w:gridCol w:w="727"/>
      </w:tblGrid>
      <w:tr w:rsidR="007734A2" w:rsidRPr="00EA5959" w14:paraId="48B69B1E" w14:textId="77777777" w:rsidTr="00F7044F">
        <w:trPr>
          <w:trHeight w:val="739"/>
        </w:trPr>
        <w:tc>
          <w:tcPr>
            <w:tcW w:w="2013" w:type="dxa"/>
            <w:gridSpan w:val="2"/>
            <w:tcBorders>
              <w:top w:val="single" w:sz="4" w:space="0" w:color="auto"/>
              <w:bottom w:val="single" w:sz="4" w:space="0" w:color="auto"/>
            </w:tcBorders>
            <w:tcMar>
              <w:left w:w="28" w:type="dxa"/>
              <w:right w:w="28" w:type="dxa"/>
            </w:tcMar>
          </w:tcPr>
          <w:p w14:paraId="0AB21566"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p>
        </w:tc>
        <w:tc>
          <w:tcPr>
            <w:tcW w:w="3685" w:type="dxa"/>
            <w:gridSpan w:val="3"/>
            <w:tcBorders>
              <w:top w:val="single" w:sz="4" w:space="0" w:color="auto"/>
              <w:bottom w:val="single" w:sz="4" w:space="0" w:color="auto"/>
            </w:tcBorders>
            <w:tcMar>
              <w:left w:w="28" w:type="dxa"/>
              <w:right w:w="28" w:type="dxa"/>
            </w:tcMar>
          </w:tcPr>
          <w:p w14:paraId="6CEB9E6D"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Model 1: MTB</w:t>
            </w:r>
          </w:p>
          <w:p w14:paraId="2629BA87"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Listed Firms= 122</w:t>
            </w:r>
          </w:p>
          <w:p w14:paraId="29E59B7F"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 xml:space="preserve">Obs: 732 </w:t>
            </w:r>
          </w:p>
        </w:tc>
        <w:tc>
          <w:tcPr>
            <w:tcW w:w="4537" w:type="dxa"/>
            <w:gridSpan w:val="4"/>
            <w:tcBorders>
              <w:top w:val="single" w:sz="4" w:space="0" w:color="auto"/>
              <w:bottom w:val="single" w:sz="4" w:space="0" w:color="auto"/>
            </w:tcBorders>
          </w:tcPr>
          <w:p w14:paraId="688B116E"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Model 2: VAIC</w:t>
            </w:r>
          </w:p>
          <w:p w14:paraId="3A288EF0"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Listed Firms= 122</w:t>
            </w:r>
          </w:p>
          <w:p w14:paraId="41006F32"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Obs: 732</w:t>
            </w:r>
          </w:p>
        </w:tc>
      </w:tr>
      <w:tr w:rsidR="007734A2" w:rsidRPr="00983193" w14:paraId="6A355AAE" w14:textId="77777777" w:rsidTr="00F7044F">
        <w:trPr>
          <w:trHeight w:val="390"/>
        </w:trPr>
        <w:tc>
          <w:tcPr>
            <w:tcW w:w="1304" w:type="dxa"/>
            <w:tcBorders>
              <w:top w:val="single" w:sz="4" w:space="0" w:color="auto"/>
              <w:bottom w:val="single" w:sz="4" w:space="0" w:color="auto"/>
            </w:tcBorders>
            <w:tcMar>
              <w:left w:w="28" w:type="dxa"/>
              <w:right w:w="28" w:type="dxa"/>
            </w:tcMar>
          </w:tcPr>
          <w:p w14:paraId="2069B274"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Variables</w:t>
            </w:r>
          </w:p>
        </w:tc>
        <w:tc>
          <w:tcPr>
            <w:tcW w:w="709" w:type="dxa"/>
            <w:tcBorders>
              <w:top w:val="single" w:sz="4" w:space="0" w:color="auto"/>
              <w:bottom w:val="single" w:sz="4" w:space="0" w:color="auto"/>
              <w:right w:val="single" w:sz="4" w:space="0" w:color="auto"/>
            </w:tcBorders>
            <w:tcMar>
              <w:left w:w="28" w:type="dxa"/>
              <w:right w:w="28" w:type="dxa"/>
            </w:tcMar>
          </w:tcPr>
          <w:p w14:paraId="11EFDCD7"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Exp. sign</w:t>
            </w:r>
          </w:p>
        </w:tc>
        <w:tc>
          <w:tcPr>
            <w:tcW w:w="1783" w:type="dxa"/>
            <w:tcBorders>
              <w:top w:val="single" w:sz="4" w:space="0" w:color="auto"/>
              <w:left w:val="single" w:sz="4" w:space="0" w:color="auto"/>
              <w:bottom w:val="single" w:sz="4" w:space="0" w:color="auto"/>
              <w:right w:val="nil"/>
            </w:tcBorders>
            <w:tcMar>
              <w:left w:w="28" w:type="dxa"/>
              <w:right w:w="28" w:type="dxa"/>
            </w:tcMar>
          </w:tcPr>
          <w:p w14:paraId="39F7EFA2"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Coeff.</w:t>
            </w:r>
          </w:p>
        </w:tc>
        <w:tc>
          <w:tcPr>
            <w:tcW w:w="1164" w:type="dxa"/>
            <w:tcBorders>
              <w:top w:val="single" w:sz="4" w:space="0" w:color="auto"/>
              <w:left w:val="nil"/>
              <w:bottom w:val="single" w:sz="4" w:space="0" w:color="auto"/>
              <w:right w:val="nil"/>
            </w:tcBorders>
            <w:tcMar>
              <w:left w:w="28" w:type="dxa"/>
              <w:right w:w="28" w:type="dxa"/>
            </w:tcMar>
          </w:tcPr>
          <w:p w14:paraId="77B0F749"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p-value</w:t>
            </w:r>
          </w:p>
        </w:tc>
        <w:tc>
          <w:tcPr>
            <w:tcW w:w="738" w:type="dxa"/>
            <w:tcBorders>
              <w:top w:val="single" w:sz="4" w:space="0" w:color="auto"/>
              <w:left w:val="nil"/>
              <w:bottom w:val="single" w:sz="4" w:space="0" w:color="auto"/>
              <w:right w:val="single" w:sz="4" w:space="0" w:color="auto"/>
            </w:tcBorders>
            <w:tcMar>
              <w:left w:w="28" w:type="dxa"/>
              <w:right w:w="28" w:type="dxa"/>
            </w:tcMar>
          </w:tcPr>
          <w:p w14:paraId="5B0B98C3"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p>
        </w:tc>
        <w:tc>
          <w:tcPr>
            <w:tcW w:w="851" w:type="dxa"/>
            <w:tcBorders>
              <w:top w:val="single" w:sz="4" w:space="0" w:color="auto"/>
              <w:left w:val="single" w:sz="4" w:space="0" w:color="auto"/>
              <w:bottom w:val="single" w:sz="4" w:space="0" w:color="auto"/>
              <w:right w:val="single" w:sz="4" w:space="0" w:color="auto"/>
            </w:tcBorders>
          </w:tcPr>
          <w:p w14:paraId="66F06ABF"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Exp. sign</w:t>
            </w:r>
          </w:p>
        </w:tc>
        <w:tc>
          <w:tcPr>
            <w:tcW w:w="1680" w:type="dxa"/>
            <w:tcBorders>
              <w:top w:val="single" w:sz="4" w:space="0" w:color="auto"/>
              <w:left w:val="single" w:sz="4" w:space="0" w:color="auto"/>
              <w:bottom w:val="single" w:sz="4" w:space="0" w:color="auto"/>
              <w:right w:val="nil"/>
            </w:tcBorders>
            <w:tcMar>
              <w:left w:w="28" w:type="dxa"/>
              <w:right w:w="28" w:type="dxa"/>
            </w:tcMar>
          </w:tcPr>
          <w:p w14:paraId="303C0F88"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Coeff.</w:t>
            </w:r>
          </w:p>
        </w:tc>
        <w:tc>
          <w:tcPr>
            <w:tcW w:w="1268" w:type="dxa"/>
            <w:tcBorders>
              <w:top w:val="single" w:sz="4" w:space="0" w:color="auto"/>
              <w:left w:val="nil"/>
              <w:bottom w:val="single" w:sz="4" w:space="0" w:color="auto"/>
              <w:right w:val="nil"/>
            </w:tcBorders>
            <w:tcMar>
              <w:left w:w="28" w:type="dxa"/>
              <w:right w:w="28" w:type="dxa"/>
            </w:tcMar>
          </w:tcPr>
          <w:p w14:paraId="0B2CAEB3"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p-value</w:t>
            </w:r>
          </w:p>
        </w:tc>
        <w:tc>
          <w:tcPr>
            <w:tcW w:w="738" w:type="dxa"/>
            <w:tcBorders>
              <w:top w:val="single" w:sz="4" w:space="0" w:color="auto"/>
              <w:left w:val="nil"/>
              <w:bottom w:val="single" w:sz="4" w:space="0" w:color="auto"/>
              <w:right w:val="single" w:sz="4" w:space="0" w:color="auto"/>
            </w:tcBorders>
            <w:tcMar>
              <w:left w:w="28" w:type="dxa"/>
              <w:right w:w="28" w:type="dxa"/>
            </w:tcMar>
          </w:tcPr>
          <w:p w14:paraId="4C36B7C8"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p>
        </w:tc>
      </w:tr>
      <w:tr w:rsidR="007734A2" w:rsidRPr="00983193" w14:paraId="44C4D202" w14:textId="77777777" w:rsidTr="00F7044F">
        <w:tc>
          <w:tcPr>
            <w:tcW w:w="1304" w:type="dxa"/>
            <w:tcBorders>
              <w:top w:val="single" w:sz="4" w:space="0" w:color="auto"/>
              <w:left w:val="single" w:sz="4" w:space="0" w:color="auto"/>
              <w:bottom w:val="nil"/>
              <w:right w:val="single" w:sz="4" w:space="0" w:color="auto"/>
            </w:tcBorders>
            <w:tcMar>
              <w:left w:w="28" w:type="dxa"/>
              <w:right w:w="28" w:type="dxa"/>
            </w:tcMar>
          </w:tcPr>
          <w:p w14:paraId="1BE4BC0D"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MS Mincho" w:hAnsi="Times New Roman" w:cs="Times New Roman"/>
                <w:color w:val="000000" w:themeColor="text1"/>
                <w:sz w:val="23"/>
                <w:szCs w:val="23"/>
                <w:lang w:val="en-GB" w:eastAsia="ja-JP"/>
              </w:rPr>
              <w:t>Constant</w:t>
            </w:r>
          </w:p>
        </w:tc>
        <w:tc>
          <w:tcPr>
            <w:tcW w:w="709" w:type="dxa"/>
            <w:tcBorders>
              <w:top w:val="single" w:sz="4" w:space="0" w:color="auto"/>
              <w:left w:val="single" w:sz="4" w:space="0" w:color="auto"/>
              <w:bottom w:val="nil"/>
              <w:right w:val="single" w:sz="4" w:space="0" w:color="auto"/>
            </w:tcBorders>
            <w:tcMar>
              <w:left w:w="28" w:type="dxa"/>
              <w:right w:w="28" w:type="dxa"/>
            </w:tcMar>
          </w:tcPr>
          <w:p w14:paraId="310EF559"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p>
        </w:tc>
        <w:tc>
          <w:tcPr>
            <w:tcW w:w="1783" w:type="dxa"/>
            <w:tcBorders>
              <w:top w:val="single" w:sz="4" w:space="0" w:color="auto"/>
              <w:left w:val="single" w:sz="4" w:space="0" w:color="auto"/>
              <w:bottom w:val="nil"/>
              <w:right w:val="nil"/>
            </w:tcBorders>
            <w:tcMar>
              <w:left w:w="28" w:type="dxa"/>
              <w:right w:w="28" w:type="dxa"/>
            </w:tcMar>
          </w:tcPr>
          <w:p w14:paraId="25E71AC5"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7.704</w:t>
            </w:r>
          </w:p>
        </w:tc>
        <w:tc>
          <w:tcPr>
            <w:tcW w:w="1164" w:type="dxa"/>
            <w:tcBorders>
              <w:top w:val="single" w:sz="4" w:space="0" w:color="auto"/>
              <w:left w:val="nil"/>
              <w:bottom w:val="nil"/>
              <w:right w:val="nil"/>
            </w:tcBorders>
            <w:tcMar>
              <w:left w:w="28" w:type="dxa"/>
              <w:right w:w="28" w:type="dxa"/>
            </w:tcMar>
          </w:tcPr>
          <w:p w14:paraId="2DFABD53"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0.000</w:t>
            </w:r>
          </w:p>
        </w:tc>
        <w:tc>
          <w:tcPr>
            <w:tcW w:w="738" w:type="dxa"/>
            <w:tcBorders>
              <w:top w:val="single" w:sz="4" w:space="0" w:color="auto"/>
              <w:left w:val="nil"/>
              <w:bottom w:val="nil"/>
              <w:right w:val="single" w:sz="4" w:space="0" w:color="auto"/>
            </w:tcBorders>
            <w:tcMar>
              <w:left w:w="28" w:type="dxa"/>
              <w:right w:w="28" w:type="dxa"/>
            </w:tcMar>
          </w:tcPr>
          <w:p w14:paraId="073DF71E"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w:t>
            </w:r>
          </w:p>
        </w:tc>
        <w:tc>
          <w:tcPr>
            <w:tcW w:w="851" w:type="dxa"/>
            <w:tcBorders>
              <w:top w:val="single" w:sz="4" w:space="0" w:color="auto"/>
              <w:left w:val="single" w:sz="4" w:space="0" w:color="auto"/>
              <w:bottom w:val="nil"/>
              <w:right w:val="single" w:sz="4" w:space="0" w:color="auto"/>
            </w:tcBorders>
          </w:tcPr>
          <w:p w14:paraId="6F3DE4D4"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p>
        </w:tc>
        <w:tc>
          <w:tcPr>
            <w:tcW w:w="1680" w:type="dxa"/>
            <w:tcBorders>
              <w:top w:val="single" w:sz="4" w:space="0" w:color="auto"/>
              <w:left w:val="single" w:sz="4" w:space="0" w:color="auto"/>
              <w:bottom w:val="nil"/>
              <w:right w:val="nil"/>
            </w:tcBorders>
            <w:tcMar>
              <w:left w:w="28" w:type="dxa"/>
              <w:right w:w="28" w:type="dxa"/>
            </w:tcMar>
          </w:tcPr>
          <w:p w14:paraId="34809C4A"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2.063</w:t>
            </w:r>
          </w:p>
        </w:tc>
        <w:tc>
          <w:tcPr>
            <w:tcW w:w="1268" w:type="dxa"/>
            <w:tcBorders>
              <w:top w:val="single" w:sz="4" w:space="0" w:color="auto"/>
              <w:left w:val="nil"/>
              <w:bottom w:val="nil"/>
              <w:right w:val="nil"/>
            </w:tcBorders>
            <w:tcMar>
              <w:left w:w="28" w:type="dxa"/>
              <w:right w:w="28" w:type="dxa"/>
            </w:tcMar>
          </w:tcPr>
          <w:p w14:paraId="44F8A5B7"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0.794</w:t>
            </w:r>
          </w:p>
        </w:tc>
        <w:tc>
          <w:tcPr>
            <w:tcW w:w="738" w:type="dxa"/>
            <w:tcBorders>
              <w:top w:val="single" w:sz="4" w:space="0" w:color="auto"/>
              <w:left w:val="nil"/>
              <w:bottom w:val="nil"/>
              <w:right w:val="single" w:sz="4" w:space="0" w:color="auto"/>
            </w:tcBorders>
            <w:tcMar>
              <w:left w:w="28" w:type="dxa"/>
              <w:right w:w="28" w:type="dxa"/>
            </w:tcMar>
          </w:tcPr>
          <w:p w14:paraId="11FA275D"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p>
        </w:tc>
      </w:tr>
      <w:tr w:rsidR="007734A2" w:rsidRPr="00983193" w14:paraId="65F4DF9F" w14:textId="77777777" w:rsidTr="00F7044F">
        <w:tc>
          <w:tcPr>
            <w:tcW w:w="1304" w:type="dxa"/>
            <w:tcBorders>
              <w:top w:val="nil"/>
              <w:left w:val="single" w:sz="4" w:space="0" w:color="auto"/>
              <w:bottom w:val="nil"/>
              <w:right w:val="single" w:sz="4" w:space="0" w:color="auto"/>
            </w:tcBorders>
            <w:tcMar>
              <w:left w:w="28" w:type="dxa"/>
              <w:right w:w="28" w:type="dxa"/>
            </w:tcMar>
          </w:tcPr>
          <w:p w14:paraId="4DB96B8B" w14:textId="77777777" w:rsidR="007734A2" w:rsidRPr="00A53C54" w:rsidRDefault="007734A2" w:rsidP="00F7044F">
            <w:pPr>
              <w:keepNext/>
              <w:keepLines/>
              <w:spacing w:after="200" w:line="276" w:lineRule="auto"/>
              <w:rPr>
                <w:rFonts w:ascii="Times New Roman" w:eastAsia="Calibri" w:hAnsi="Times New Roman" w:cs="Times New Roman"/>
                <w:i/>
                <w:color w:val="000000" w:themeColor="text1"/>
                <w:sz w:val="23"/>
                <w:szCs w:val="23"/>
                <w:lang w:val="en-US"/>
              </w:rPr>
            </w:pPr>
            <w:r w:rsidRPr="00A53C54">
              <w:rPr>
                <w:rFonts w:ascii="Times New Roman" w:eastAsia="MS Mincho" w:hAnsi="Times New Roman" w:cs="Times New Roman"/>
                <w:i/>
                <w:color w:val="000000" w:themeColor="text1"/>
                <w:sz w:val="23"/>
                <w:szCs w:val="23"/>
                <w:lang w:val="en-GB" w:eastAsia="ja-JP"/>
              </w:rPr>
              <w:t>lnTINT</w:t>
            </w:r>
          </w:p>
        </w:tc>
        <w:tc>
          <w:tcPr>
            <w:tcW w:w="709" w:type="dxa"/>
            <w:tcBorders>
              <w:top w:val="nil"/>
              <w:left w:val="single" w:sz="4" w:space="0" w:color="auto"/>
              <w:bottom w:val="nil"/>
              <w:right w:val="single" w:sz="4" w:space="0" w:color="auto"/>
            </w:tcBorders>
            <w:tcMar>
              <w:left w:w="28" w:type="dxa"/>
              <w:right w:w="28" w:type="dxa"/>
            </w:tcMar>
          </w:tcPr>
          <w:p w14:paraId="5D5FA503"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MS Mincho" w:hAnsi="Times New Roman" w:cs="Times New Roman"/>
                <w:color w:val="000000" w:themeColor="text1"/>
                <w:sz w:val="23"/>
                <w:szCs w:val="23"/>
                <w:lang w:val="en-GB" w:eastAsia="ja-JP"/>
              </w:rPr>
              <w:t>+</w:t>
            </w:r>
          </w:p>
        </w:tc>
        <w:tc>
          <w:tcPr>
            <w:tcW w:w="1783" w:type="dxa"/>
            <w:tcBorders>
              <w:top w:val="nil"/>
              <w:left w:val="single" w:sz="4" w:space="0" w:color="auto"/>
              <w:bottom w:val="nil"/>
              <w:right w:val="nil"/>
            </w:tcBorders>
            <w:tcMar>
              <w:left w:w="28" w:type="dxa"/>
              <w:right w:w="28" w:type="dxa"/>
            </w:tcMar>
          </w:tcPr>
          <w:p w14:paraId="394A450C"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0.098</w:t>
            </w:r>
          </w:p>
        </w:tc>
        <w:tc>
          <w:tcPr>
            <w:tcW w:w="1164" w:type="dxa"/>
            <w:tcBorders>
              <w:top w:val="nil"/>
              <w:left w:val="nil"/>
              <w:bottom w:val="nil"/>
              <w:right w:val="nil"/>
            </w:tcBorders>
            <w:tcMar>
              <w:left w:w="28" w:type="dxa"/>
              <w:right w:w="28" w:type="dxa"/>
            </w:tcMar>
          </w:tcPr>
          <w:p w14:paraId="7147B8D8"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0.021</w:t>
            </w:r>
          </w:p>
        </w:tc>
        <w:tc>
          <w:tcPr>
            <w:tcW w:w="738" w:type="dxa"/>
            <w:tcBorders>
              <w:top w:val="nil"/>
              <w:left w:val="nil"/>
              <w:bottom w:val="nil"/>
              <w:right w:val="single" w:sz="4" w:space="0" w:color="auto"/>
            </w:tcBorders>
            <w:tcMar>
              <w:left w:w="28" w:type="dxa"/>
              <w:right w:w="28" w:type="dxa"/>
            </w:tcMar>
          </w:tcPr>
          <w:p w14:paraId="678B2E5A"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w:t>
            </w:r>
          </w:p>
        </w:tc>
        <w:tc>
          <w:tcPr>
            <w:tcW w:w="851" w:type="dxa"/>
            <w:tcBorders>
              <w:top w:val="nil"/>
              <w:left w:val="single" w:sz="4" w:space="0" w:color="auto"/>
              <w:bottom w:val="nil"/>
              <w:right w:val="single" w:sz="4" w:space="0" w:color="auto"/>
            </w:tcBorders>
          </w:tcPr>
          <w:p w14:paraId="617E2482"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MS Mincho" w:hAnsi="Times New Roman" w:cs="Times New Roman"/>
                <w:color w:val="000000" w:themeColor="text1"/>
                <w:sz w:val="23"/>
                <w:szCs w:val="23"/>
                <w:lang w:val="en-GB" w:eastAsia="ja-JP"/>
              </w:rPr>
              <w:t>+/-</w:t>
            </w:r>
          </w:p>
        </w:tc>
        <w:tc>
          <w:tcPr>
            <w:tcW w:w="1680" w:type="dxa"/>
            <w:tcBorders>
              <w:top w:val="nil"/>
              <w:left w:val="single" w:sz="4" w:space="0" w:color="auto"/>
              <w:bottom w:val="nil"/>
              <w:right w:val="nil"/>
            </w:tcBorders>
            <w:tcMar>
              <w:left w:w="28" w:type="dxa"/>
              <w:right w:w="28" w:type="dxa"/>
            </w:tcMar>
          </w:tcPr>
          <w:p w14:paraId="3F4B8C0F"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-0.182</w:t>
            </w:r>
          </w:p>
        </w:tc>
        <w:tc>
          <w:tcPr>
            <w:tcW w:w="1268" w:type="dxa"/>
            <w:tcBorders>
              <w:top w:val="nil"/>
              <w:left w:val="nil"/>
              <w:bottom w:val="nil"/>
              <w:right w:val="nil"/>
            </w:tcBorders>
            <w:tcMar>
              <w:left w:w="28" w:type="dxa"/>
              <w:right w:w="28" w:type="dxa"/>
            </w:tcMar>
          </w:tcPr>
          <w:p w14:paraId="5048E674"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0.235</w:t>
            </w:r>
          </w:p>
        </w:tc>
        <w:tc>
          <w:tcPr>
            <w:tcW w:w="738" w:type="dxa"/>
            <w:tcBorders>
              <w:top w:val="nil"/>
              <w:left w:val="nil"/>
              <w:bottom w:val="nil"/>
              <w:right w:val="single" w:sz="4" w:space="0" w:color="auto"/>
            </w:tcBorders>
            <w:tcMar>
              <w:left w:w="28" w:type="dxa"/>
              <w:right w:w="28" w:type="dxa"/>
            </w:tcMar>
          </w:tcPr>
          <w:p w14:paraId="17BDC32A"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p>
        </w:tc>
      </w:tr>
      <w:tr w:rsidR="007734A2" w:rsidRPr="00983193" w14:paraId="68BDB1FE" w14:textId="77777777" w:rsidTr="00F7044F">
        <w:tc>
          <w:tcPr>
            <w:tcW w:w="1304" w:type="dxa"/>
            <w:tcBorders>
              <w:top w:val="nil"/>
              <w:left w:val="single" w:sz="4" w:space="0" w:color="auto"/>
              <w:bottom w:val="nil"/>
              <w:right w:val="single" w:sz="4" w:space="0" w:color="auto"/>
            </w:tcBorders>
            <w:tcMar>
              <w:left w:w="28" w:type="dxa"/>
              <w:right w:w="28" w:type="dxa"/>
            </w:tcMar>
          </w:tcPr>
          <w:p w14:paraId="7E33CDE5" w14:textId="77777777" w:rsidR="007734A2" w:rsidRPr="00A53C54" w:rsidRDefault="007734A2" w:rsidP="00F7044F">
            <w:pPr>
              <w:keepNext/>
              <w:keepLines/>
              <w:spacing w:after="200" w:line="276" w:lineRule="auto"/>
              <w:rPr>
                <w:rFonts w:ascii="Times New Roman" w:eastAsia="Calibri" w:hAnsi="Times New Roman" w:cs="Times New Roman"/>
                <w:i/>
                <w:color w:val="000000" w:themeColor="text1"/>
                <w:sz w:val="23"/>
                <w:szCs w:val="23"/>
                <w:lang w:val="en-US"/>
              </w:rPr>
            </w:pPr>
            <w:r w:rsidRPr="00A53C54">
              <w:rPr>
                <w:rFonts w:ascii="Times New Roman" w:eastAsia="MS Mincho" w:hAnsi="Times New Roman" w:cs="Times New Roman"/>
                <w:i/>
                <w:color w:val="000000" w:themeColor="text1"/>
                <w:sz w:val="23"/>
                <w:szCs w:val="23"/>
                <w:lang w:val="en-GB" w:eastAsia="ja-JP"/>
              </w:rPr>
              <w:t>ROA</w:t>
            </w:r>
          </w:p>
        </w:tc>
        <w:tc>
          <w:tcPr>
            <w:tcW w:w="709" w:type="dxa"/>
            <w:tcBorders>
              <w:top w:val="nil"/>
              <w:left w:val="single" w:sz="4" w:space="0" w:color="auto"/>
              <w:bottom w:val="nil"/>
              <w:right w:val="single" w:sz="4" w:space="0" w:color="auto"/>
            </w:tcBorders>
            <w:tcMar>
              <w:left w:w="28" w:type="dxa"/>
              <w:right w:w="28" w:type="dxa"/>
            </w:tcMar>
          </w:tcPr>
          <w:p w14:paraId="246EC30E"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MS Mincho" w:hAnsi="Times New Roman" w:cs="Times New Roman"/>
                <w:color w:val="000000" w:themeColor="text1"/>
                <w:sz w:val="23"/>
                <w:szCs w:val="23"/>
                <w:lang w:val="en-GB" w:eastAsia="ja-JP"/>
              </w:rPr>
              <w:t>+</w:t>
            </w:r>
          </w:p>
        </w:tc>
        <w:tc>
          <w:tcPr>
            <w:tcW w:w="1783" w:type="dxa"/>
            <w:tcBorders>
              <w:top w:val="nil"/>
              <w:left w:val="single" w:sz="4" w:space="0" w:color="auto"/>
              <w:bottom w:val="nil"/>
              <w:right w:val="nil"/>
            </w:tcBorders>
            <w:tcMar>
              <w:left w:w="28" w:type="dxa"/>
              <w:right w:w="28" w:type="dxa"/>
            </w:tcMar>
          </w:tcPr>
          <w:p w14:paraId="483DA31D"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2.613</w:t>
            </w:r>
          </w:p>
        </w:tc>
        <w:tc>
          <w:tcPr>
            <w:tcW w:w="1164" w:type="dxa"/>
            <w:tcBorders>
              <w:top w:val="nil"/>
              <w:left w:val="nil"/>
              <w:bottom w:val="nil"/>
              <w:right w:val="nil"/>
            </w:tcBorders>
            <w:tcMar>
              <w:left w:w="28" w:type="dxa"/>
              <w:right w:w="28" w:type="dxa"/>
            </w:tcMar>
          </w:tcPr>
          <w:p w14:paraId="7FA75DC2"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0.001</w:t>
            </w:r>
          </w:p>
        </w:tc>
        <w:tc>
          <w:tcPr>
            <w:tcW w:w="738" w:type="dxa"/>
            <w:tcBorders>
              <w:top w:val="nil"/>
              <w:left w:val="nil"/>
              <w:bottom w:val="nil"/>
              <w:right w:val="single" w:sz="4" w:space="0" w:color="auto"/>
            </w:tcBorders>
            <w:tcMar>
              <w:left w:w="28" w:type="dxa"/>
              <w:right w:w="28" w:type="dxa"/>
            </w:tcMar>
          </w:tcPr>
          <w:p w14:paraId="52C4CD97"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w:t>
            </w:r>
          </w:p>
        </w:tc>
        <w:tc>
          <w:tcPr>
            <w:tcW w:w="851" w:type="dxa"/>
            <w:tcBorders>
              <w:top w:val="nil"/>
              <w:left w:val="single" w:sz="4" w:space="0" w:color="auto"/>
              <w:bottom w:val="nil"/>
              <w:right w:val="single" w:sz="4" w:space="0" w:color="auto"/>
            </w:tcBorders>
          </w:tcPr>
          <w:p w14:paraId="63100C45"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MS Mincho" w:hAnsi="Times New Roman" w:cs="Times New Roman"/>
                <w:color w:val="000000" w:themeColor="text1"/>
                <w:sz w:val="23"/>
                <w:szCs w:val="23"/>
                <w:lang w:val="en-GB" w:eastAsia="ja-JP"/>
              </w:rPr>
              <w:t>+</w:t>
            </w:r>
          </w:p>
        </w:tc>
        <w:tc>
          <w:tcPr>
            <w:tcW w:w="1680" w:type="dxa"/>
            <w:tcBorders>
              <w:top w:val="nil"/>
              <w:left w:val="single" w:sz="4" w:space="0" w:color="auto"/>
              <w:bottom w:val="nil"/>
              <w:right w:val="nil"/>
            </w:tcBorders>
            <w:tcMar>
              <w:left w:w="28" w:type="dxa"/>
              <w:right w:w="28" w:type="dxa"/>
            </w:tcMar>
          </w:tcPr>
          <w:p w14:paraId="79B39AEA"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10.748</w:t>
            </w:r>
          </w:p>
        </w:tc>
        <w:tc>
          <w:tcPr>
            <w:tcW w:w="1268" w:type="dxa"/>
            <w:tcBorders>
              <w:top w:val="nil"/>
              <w:left w:val="nil"/>
              <w:bottom w:val="nil"/>
              <w:right w:val="nil"/>
            </w:tcBorders>
            <w:tcMar>
              <w:left w:w="28" w:type="dxa"/>
              <w:right w:w="28" w:type="dxa"/>
            </w:tcMar>
          </w:tcPr>
          <w:p w14:paraId="7A4AF9C4"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0.000</w:t>
            </w:r>
          </w:p>
        </w:tc>
        <w:tc>
          <w:tcPr>
            <w:tcW w:w="738" w:type="dxa"/>
            <w:tcBorders>
              <w:top w:val="nil"/>
              <w:left w:val="nil"/>
              <w:bottom w:val="nil"/>
              <w:right w:val="single" w:sz="4" w:space="0" w:color="auto"/>
            </w:tcBorders>
            <w:tcMar>
              <w:left w:w="28" w:type="dxa"/>
              <w:right w:w="28" w:type="dxa"/>
            </w:tcMar>
          </w:tcPr>
          <w:p w14:paraId="295CD0A9"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w:t>
            </w:r>
          </w:p>
        </w:tc>
      </w:tr>
      <w:tr w:rsidR="007734A2" w:rsidRPr="00983193" w14:paraId="03A6CFCE" w14:textId="77777777" w:rsidTr="00F7044F">
        <w:tc>
          <w:tcPr>
            <w:tcW w:w="1304" w:type="dxa"/>
            <w:tcBorders>
              <w:top w:val="nil"/>
              <w:left w:val="single" w:sz="4" w:space="0" w:color="auto"/>
              <w:bottom w:val="nil"/>
              <w:right w:val="single" w:sz="4" w:space="0" w:color="auto"/>
            </w:tcBorders>
            <w:tcMar>
              <w:left w:w="28" w:type="dxa"/>
              <w:right w:w="28" w:type="dxa"/>
            </w:tcMar>
          </w:tcPr>
          <w:p w14:paraId="50624BDE" w14:textId="77777777" w:rsidR="007734A2" w:rsidRPr="00A53C54" w:rsidRDefault="007734A2" w:rsidP="00F7044F">
            <w:pPr>
              <w:keepNext/>
              <w:keepLines/>
              <w:spacing w:after="200" w:line="276" w:lineRule="auto"/>
              <w:rPr>
                <w:rFonts w:ascii="Times New Roman" w:eastAsia="MS Mincho" w:hAnsi="Times New Roman" w:cs="Times New Roman"/>
                <w:i/>
                <w:color w:val="000000" w:themeColor="text1"/>
                <w:sz w:val="23"/>
                <w:szCs w:val="23"/>
                <w:lang w:val="en-GB" w:eastAsia="ja-JP"/>
              </w:rPr>
            </w:pPr>
            <w:r w:rsidRPr="00A53C54">
              <w:rPr>
                <w:rFonts w:ascii="Times New Roman" w:eastAsia="MS Mincho" w:hAnsi="Times New Roman" w:cs="Times New Roman"/>
                <w:i/>
                <w:color w:val="000000" w:themeColor="text1"/>
                <w:sz w:val="23"/>
                <w:szCs w:val="23"/>
                <w:lang w:val="en-GB" w:eastAsia="ja-JP"/>
              </w:rPr>
              <w:t>LEV</w:t>
            </w:r>
          </w:p>
        </w:tc>
        <w:tc>
          <w:tcPr>
            <w:tcW w:w="709" w:type="dxa"/>
            <w:tcBorders>
              <w:top w:val="nil"/>
              <w:left w:val="single" w:sz="4" w:space="0" w:color="auto"/>
              <w:bottom w:val="nil"/>
              <w:right w:val="single" w:sz="4" w:space="0" w:color="auto"/>
            </w:tcBorders>
            <w:tcMar>
              <w:left w:w="28" w:type="dxa"/>
              <w:right w:w="28" w:type="dxa"/>
            </w:tcMar>
          </w:tcPr>
          <w:p w14:paraId="66056162" w14:textId="77777777" w:rsidR="007734A2" w:rsidRPr="00983193" w:rsidRDefault="007734A2" w:rsidP="00F7044F">
            <w:pPr>
              <w:keepNext/>
              <w:keepLines/>
              <w:jc w:val="center"/>
              <w:rPr>
                <w:rFonts w:ascii="Times New Roman" w:eastAsia="MS Mincho" w:hAnsi="Times New Roman" w:cs="Times New Roman"/>
                <w:color w:val="000000" w:themeColor="text1"/>
                <w:sz w:val="23"/>
                <w:szCs w:val="23"/>
                <w:lang w:val="en-GB" w:eastAsia="ja-JP"/>
              </w:rPr>
            </w:pPr>
            <w:r w:rsidRPr="00983193">
              <w:rPr>
                <w:rFonts w:ascii="Times New Roman" w:eastAsia="MS Mincho" w:hAnsi="Times New Roman" w:cs="Times New Roman"/>
                <w:color w:val="000000" w:themeColor="text1"/>
                <w:sz w:val="23"/>
                <w:szCs w:val="23"/>
                <w:lang w:val="en-GB" w:eastAsia="ja-JP"/>
              </w:rPr>
              <w:t>+</w:t>
            </w:r>
          </w:p>
        </w:tc>
        <w:tc>
          <w:tcPr>
            <w:tcW w:w="1783" w:type="dxa"/>
            <w:tcBorders>
              <w:top w:val="nil"/>
              <w:left w:val="single" w:sz="4" w:space="0" w:color="auto"/>
              <w:bottom w:val="nil"/>
              <w:right w:val="nil"/>
            </w:tcBorders>
            <w:tcMar>
              <w:left w:w="28" w:type="dxa"/>
              <w:right w:w="28" w:type="dxa"/>
            </w:tcMar>
          </w:tcPr>
          <w:p w14:paraId="7775CF5B"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0.615</w:t>
            </w:r>
          </w:p>
        </w:tc>
        <w:tc>
          <w:tcPr>
            <w:tcW w:w="1164" w:type="dxa"/>
            <w:tcBorders>
              <w:top w:val="nil"/>
              <w:left w:val="nil"/>
              <w:bottom w:val="nil"/>
              <w:right w:val="nil"/>
            </w:tcBorders>
            <w:tcMar>
              <w:left w:w="28" w:type="dxa"/>
              <w:right w:w="28" w:type="dxa"/>
            </w:tcMar>
          </w:tcPr>
          <w:p w14:paraId="7DA0BF54"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0.000</w:t>
            </w:r>
          </w:p>
        </w:tc>
        <w:tc>
          <w:tcPr>
            <w:tcW w:w="738" w:type="dxa"/>
            <w:tcBorders>
              <w:top w:val="nil"/>
              <w:left w:val="nil"/>
              <w:bottom w:val="nil"/>
              <w:right w:val="single" w:sz="4" w:space="0" w:color="auto"/>
            </w:tcBorders>
            <w:tcMar>
              <w:left w:w="28" w:type="dxa"/>
              <w:right w:w="28" w:type="dxa"/>
            </w:tcMar>
          </w:tcPr>
          <w:p w14:paraId="1AD901AA"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w:t>
            </w:r>
          </w:p>
        </w:tc>
        <w:tc>
          <w:tcPr>
            <w:tcW w:w="851" w:type="dxa"/>
            <w:tcBorders>
              <w:top w:val="nil"/>
              <w:left w:val="single" w:sz="4" w:space="0" w:color="auto"/>
              <w:bottom w:val="nil"/>
              <w:right w:val="single" w:sz="4" w:space="0" w:color="auto"/>
            </w:tcBorders>
          </w:tcPr>
          <w:p w14:paraId="12218BE3"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w:t>
            </w:r>
          </w:p>
        </w:tc>
        <w:tc>
          <w:tcPr>
            <w:tcW w:w="1680" w:type="dxa"/>
            <w:tcBorders>
              <w:top w:val="nil"/>
              <w:left w:val="single" w:sz="4" w:space="0" w:color="auto"/>
              <w:bottom w:val="nil"/>
              <w:right w:val="nil"/>
            </w:tcBorders>
            <w:tcMar>
              <w:left w:w="28" w:type="dxa"/>
              <w:right w:w="28" w:type="dxa"/>
            </w:tcMar>
          </w:tcPr>
          <w:p w14:paraId="2C002EA0"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-0.592</w:t>
            </w:r>
          </w:p>
        </w:tc>
        <w:tc>
          <w:tcPr>
            <w:tcW w:w="1268" w:type="dxa"/>
            <w:tcBorders>
              <w:top w:val="nil"/>
              <w:left w:val="nil"/>
              <w:bottom w:val="nil"/>
              <w:right w:val="nil"/>
            </w:tcBorders>
            <w:tcMar>
              <w:left w:w="28" w:type="dxa"/>
              <w:right w:w="28" w:type="dxa"/>
            </w:tcMar>
          </w:tcPr>
          <w:p w14:paraId="1E097B95"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0.046</w:t>
            </w:r>
          </w:p>
        </w:tc>
        <w:tc>
          <w:tcPr>
            <w:tcW w:w="738" w:type="dxa"/>
            <w:tcBorders>
              <w:top w:val="nil"/>
              <w:left w:val="nil"/>
              <w:bottom w:val="nil"/>
              <w:right w:val="single" w:sz="4" w:space="0" w:color="auto"/>
            </w:tcBorders>
            <w:tcMar>
              <w:left w:w="28" w:type="dxa"/>
              <w:right w:w="28" w:type="dxa"/>
            </w:tcMar>
          </w:tcPr>
          <w:p w14:paraId="6CD6B33B"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w:t>
            </w:r>
          </w:p>
        </w:tc>
      </w:tr>
      <w:tr w:rsidR="007734A2" w:rsidRPr="00983193" w14:paraId="495C09B1" w14:textId="77777777" w:rsidTr="00F7044F">
        <w:tc>
          <w:tcPr>
            <w:tcW w:w="1304" w:type="dxa"/>
            <w:tcBorders>
              <w:top w:val="nil"/>
              <w:left w:val="single" w:sz="4" w:space="0" w:color="auto"/>
              <w:bottom w:val="nil"/>
              <w:right w:val="single" w:sz="4" w:space="0" w:color="auto"/>
            </w:tcBorders>
            <w:tcMar>
              <w:left w:w="28" w:type="dxa"/>
              <w:right w:w="28" w:type="dxa"/>
            </w:tcMar>
          </w:tcPr>
          <w:p w14:paraId="317EBE92" w14:textId="77777777" w:rsidR="007734A2" w:rsidRPr="00A53C54" w:rsidRDefault="007734A2" w:rsidP="00F7044F">
            <w:pPr>
              <w:keepNext/>
              <w:keepLines/>
              <w:spacing w:after="200" w:line="276" w:lineRule="auto"/>
              <w:rPr>
                <w:rFonts w:ascii="Times New Roman" w:eastAsia="MS Mincho" w:hAnsi="Times New Roman" w:cs="Times New Roman"/>
                <w:i/>
                <w:color w:val="000000" w:themeColor="text1"/>
                <w:sz w:val="23"/>
                <w:szCs w:val="23"/>
                <w:lang w:val="en-GB" w:eastAsia="ja-JP"/>
              </w:rPr>
            </w:pPr>
            <w:r w:rsidRPr="00A53C54">
              <w:rPr>
                <w:rFonts w:ascii="Times New Roman" w:eastAsia="MS Mincho" w:hAnsi="Times New Roman" w:cs="Times New Roman"/>
                <w:i/>
                <w:color w:val="000000" w:themeColor="text1"/>
                <w:sz w:val="23"/>
                <w:szCs w:val="23"/>
                <w:lang w:val="en-GB" w:eastAsia="ja-JP"/>
              </w:rPr>
              <w:t>SIZE</w:t>
            </w:r>
          </w:p>
        </w:tc>
        <w:tc>
          <w:tcPr>
            <w:tcW w:w="709" w:type="dxa"/>
            <w:tcBorders>
              <w:top w:val="nil"/>
              <w:left w:val="single" w:sz="4" w:space="0" w:color="auto"/>
              <w:bottom w:val="nil"/>
              <w:right w:val="single" w:sz="4" w:space="0" w:color="auto"/>
            </w:tcBorders>
            <w:tcMar>
              <w:left w:w="28" w:type="dxa"/>
              <w:right w:w="28" w:type="dxa"/>
            </w:tcMar>
          </w:tcPr>
          <w:p w14:paraId="6661AB5F" w14:textId="77777777" w:rsidR="007734A2" w:rsidRPr="00983193" w:rsidRDefault="007734A2" w:rsidP="00F7044F">
            <w:pPr>
              <w:keepNext/>
              <w:keepLines/>
              <w:jc w:val="center"/>
              <w:rPr>
                <w:rFonts w:ascii="Times New Roman" w:eastAsia="MS Mincho" w:hAnsi="Times New Roman" w:cs="Times New Roman"/>
                <w:color w:val="000000" w:themeColor="text1"/>
                <w:sz w:val="23"/>
                <w:szCs w:val="23"/>
                <w:lang w:val="en-GB" w:eastAsia="ja-JP"/>
              </w:rPr>
            </w:pPr>
          </w:p>
        </w:tc>
        <w:tc>
          <w:tcPr>
            <w:tcW w:w="1783" w:type="dxa"/>
            <w:tcBorders>
              <w:top w:val="nil"/>
              <w:left w:val="single" w:sz="4" w:space="0" w:color="auto"/>
              <w:bottom w:val="nil"/>
              <w:right w:val="nil"/>
            </w:tcBorders>
            <w:tcMar>
              <w:left w:w="28" w:type="dxa"/>
              <w:right w:w="28" w:type="dxa"/>
            </w:tcMar>
          </w:tcPr>
          <w:p w14:paraId="4BF84E87"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-0.660</w:t>
            </w:r>
          </w:p>
        </w:tc>
        <w:tc>
          <w:tcPr>
            <w:tcW w:w="1164" w:type="dxa"/>
            <w:tcBorders>
              <w:top w:val="nil"/>
              <w:left w:val="nil"/>
              <w:bottom w:val="nil"/>
              <w:right w:val="nil"/>
            </w:tcBorders>
            <w:tcMar>
              <w:left w:w="28" w:type="dxa"/>
              <w:right w:w="28" w:type="dxa"/>
            </w:tcMar>
          </w:tcPr>
          <w:p w14:paraId="0FE963EB"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0.000</w:t>
            </w:r>
          </w:p>
        </w:tc>
        <w:tc>
          <w:tcPr>
            <w:tcW w:w="738" w:type="dxa"/>
            <w:tcBorders>
              <w:top w:val="nil"/>
              <w:left w:val="nil"/>
              <w:bottom w:val="nil"/>
              <w:right w:val="single" w:sz="4" w:space="0" w:color="auto"/>
            </w:tcBorders>
            <w:tcMar>
              <w:left w:w="28" w:type="dxa"/>
              <w:right w:w="28" w:type="dxa"/>
            </w:tcMar>
          </w:tcPr>
          <w:p w14:paraId="07AADDCE"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w:t>
            </w:r>
          </w:p>
        </w:tc>
        <w:tc>
          <w:tcPr>
            <w:tcW w:w="851" w:type="dxa"/>
            <w:tcBorders>
              <w:top w:val="nil"/>
              <w:left w:val="single" w:sz="4" w:space="0" w:color="auto"/>
              <w:bottom w:val="nil"/>
              <w:right w:val="single" w:sz="4" w:space="0" w:color="auto"/>
            </w:tcBorders>
          </w:tcPr>
          <w:p w14:paraId="410BDA7D"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p>
        </w:tc>
        <w:tc>
          <w:tcPr>
            <w:tcW w:w="1680" w:type="dxa"/>
            <w:tcBorders>
              <w:top w:val="nil"/>
              <w:left w:val="single" w:sz="4" w:space="0" w:color="auto"/>
              <w:bottom w:val="nil"/>
              <w:right w:val="nil"/>
            </w:tcBorders>
            <w:tcMar>
              <w:left w:w="28" w:type="dxa"/>
              <w:right w:w="28" w:type="dxa"/>
            </w:tcMar>
          </w:tcPr>
          <w:p w14:paraId="7EC9BF27"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0.024</w:t>
            </w:r>
          </w:p>
        </w:tc>
        <w:tc>
          <w:tcPr>
            <w:tcW w:w="1268" w:type="dxa"/>
            <w:tcBorders>
              <w:top w:val="nil"/>
              <w:left w:val="nil"/>
              <w:bottom w:val="nil"/>
              <w:right w:val="nil"/>
            </w:tcBorders>
            <w:tcMar>
              <w:left w:w="28" w:type="dxa"/>
              <w:right w:w="28" w:type="dxa"/>
            </w:tcMar>
          </w:tcPr>
          <w:p w14:paraId="1CB741E4"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0.970</w:t>
            </w:r>
          </w:p>
        </w:tc>
        <w:tc>
          <w:tcPr>
            <w:tcW w:w="738" w:type="dxa"/>
            <w:tcBorders>
              <w:top w:val="nil"/>
              <w:left w:val="nil"/>
              <w:bottom w:val="nil"/>
              <w:right w:val="single" w:sz="4" w:space="0" w:color="auto"/>
            </w:tcBorders>
            <w:tcMar>
              <w:left w:w="28" w:type="dxa"/>
              <w:right w:w="28" w:type="dxa"/>
            </w:tcMar>
          </w:tcPr>
          <w:p w14:paraId="3D679215"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p>
        </w:tc>
      </w:tr>
      <w:tr w:rsidR="007734A2" w:rsidRPr="00983193" w14:paraId="2D3A2013" w14:textId="77777777" w:rsidTr="00F7044F">
        <w:tc>
          <w:tcPr>
            <w:tcW w:w="1304" w:type="dxa"/>
            <w:tcBorders>
              <w:top w:val="nil"/>
              <w:left w:val="single" w:sz="4" w:space="0" w:color="auto"/>
              <w:bottom w:val="nil"/>
              <w:right w:val="single" w:sz="4" w:space="0" w:color="auto"/>
            </w:tcBorders>
            <w:tcMar>
              <w:left w:w="28" w:type="dxa"/>
              <w:right w:w="28" w:type="dxa"/>
            </w:tcMar>
          </w:tcPr>
          <w:p w14:paraId="6AECB1E0" w14:textId="77777777" w:rsidR="007734A2" w:rsidRPr="00A53C54" w:rsidRDefault="007734A2" w:rsidP="00F7044F">
            <w:pPr>
              <w:keepNext/>
              <w:keepLines/>
              <w:spacing w:after="200" w:line="276" w:lineRule="auto"/>
              <w:rPr>
                <w:rFonts w:ascii="Times New Roman" w:eastAsia="MS Mincho" w:hAnsi="Times New Roman" w:cs="Times New Roman"/>
                <w:i/>
                <w:color w:val="000000" w:themeColor="text1"/>
                <w:sz w:val="23"/>
                <w:szCs w:val="23"/>
                <w:lang w:val="en-GB" w:eastAsia="ja-JP"/>
              </w:rPr>
            </w:pPr>
            <w:r w:rsidRPr="00A53C54">
              <w:rPr>
                <w:rFonts w:ascii="Times New Roman" w:eastAsia="MS Mincho" w:hAnsi="Times New Roman" w:cs="Times New Roman"/>
                <w:i/>
                <w:noProof/>
                <w:color w:val="000000" w:themeColor="text1"/>
                <w:sz w:val="23"/>
                <w:szCs w:val="23"/>
                <w:lang w:val="en-GB" w:eastAsia="ja-JP"/>
              </w:rPr>
              <w:t>lnAGE</w:t>
            </w:r>
          </w:p>
        </w:tc>
        <w:tc>
          <w:tcPr>
            <w:tcW w:w="709" w:type="dxa"/>
            <w:tcBorders>
              <w:top w:val="nil"/>
              <w:left w:val="single" w:sz="4" w:space="0" w:color="auto"/>
              <w:bottom w:val="nil"/>
              <w:right w:val="single" w:sz="4" w:space="0" w:color="auto"/>
            </w:tcBorders>
            <w:tcMar>
              <w:left w:w="28" w:type="dxa"/>
              <w:right w:w="28" w:type="dxa"/>
            </w:tcMar>
          </w:tcPr>
          <w:p w14:paraId="1570D1C4" w14:textId="77777777" w:rsidR="007734A2" w:rsidRPr="00983193" w:rsidRDefault="007734A2" w:rsidP="00F7044F">
            <w:pPr>
              <w:keepNext/>
              <w:keepLines/>
              <w:jc w:val="center"/>
              <w:rPr>
                <w:rFonts w:ascii="Times New Roman" w:eastAsia="MS Mincho" w:hAnsi="Times New Roman" w:cs="Times New Roman"/>
                <w:color w:val="000000" w:themeColor="text1"/>
                <w:sz w:val="23"/>
                <w:szCs w:val="23"/>
                <w:lang w:val="en-GB" w:eastAsia="ja-JP"/>
              </w:rPr>
            </w:pPr>
          </w:p>
        </w:tc>
        <w:tc>
          <w:tcPr>
            <w:tcW w:w="1783" w:type="dxa"/>
            <w:tcBorders>
              <w:top w:val="nil"/>
              <w:left w:val="single" w:sz="4" w:space="0" w:color="auto"/>
              <w:bottom w:val="nil"/>
              <w:right w:val="nil"/>
            </w:tcBorders>
            <w:tcMar>
              <w:left w:w="28" w:type="dxa"/>
              <w:right w:w="28" w:type="dxa"/>
            </w:tcMar>
          </w:tcPr>
          <w:p w14:paraId="242C1B8E"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0.664</w:t>
            </w:r>
          </w:p>
        </w:tc>
        <w:tc>
          <w:tcPr>
            <w:tcW w:w="1164" w:type="dxa"/>
            <w:tcBorders>
              <w:top w:val="nil"/>
              <w:left w:val="nil"/>
              <w:bottom w:val="nil"/>
              <w:right w:val="nil"/>
            </w:tcBorders>
            <w:tcMar>
              <w:left w:w="28" w:type="dxa"/>
              <w:right w:w="28" w:type="dxa"/>
            </w:tcMar>
          </w:tcPr>
          <w:p w14:paraId="4B29D7C6"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0.058</w:t>
            </w:r>
          </w:p>
        </w:tc>
        <w:tc>
          <w:tcPr>
            <w:tcW w:w="738" w:type="dxa"/>
            <w:tcBorders>
              <w:top w:val="nil"/>
              <w:left w:val="nil"/>
              <w:bottom w:val="nil"/>
              <w:right w:val="single" w:sz="4" w:space="0" w:color="auto"/>
            </w:tcBorders>
            <w:tcMar>
              <w:left w:w="28" w:type="dxa"/>
              <w:right w:w="28" w:type="dxa"/>
            </w:tcMar>
          </w:tcPr>
          <w:p w14:paraId="1F47A1D2"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w:t>
            </w:r>
          </w:p>
        </w:tc>
        <w:tc>
          <w:tcPr>
            <w:tcW w:w="851" w:type="dxa"/>
            <w:tcBorders>
              <w:top w:val="nil"/>
              <w:left w:val="single" w:sz="4" w:space="0" w:color="auto"/>
              <w:bottom w:val="nil"/>
              <w:right w:val="single" w:sz="4" w:space="0" w:color="auto"/>
            </w:tcBorders>
          </w:tcPr>
          <w:p w14:paraId="1A17B56E"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p>
        </w:tc>
        <w:tc>
          <w:tcPr>
            <w:tcW w:w="1680" w:type="dxa"/>
            <w:tcBorders>
              <w:top w:val="nil"/>
              <w:left w:val="single" w:sz="4" w:space="0" w:color="auto"/>
              <w:bottom w:val="nil"/>
              <w:right w:val="nil"/>
            </w:tcBorders>
            <w:tcMar>
              <w:left w:w="28" w:type="dxa"/>
              <w:right w:w="28" w:type="dxa"/>
            </w:tcMar>
          </w:tcPr>
          <w:p w14:paraId="1A980306"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-0.206</w:t>
            </w:r>
          </w:p>
        </w:tc>
        <w:tc>
          <w:tcPr>
            <w:tcW w:w="1268" w:type="dxa"/>
            <w:tcBorders>
              <w:top w:val="nil"/>
              <w:left w:val="nil"/>
              <w:bottom w:val="nil"/>
              <w:right w:val="nil"/>
            </w:tcBorders>
            <w:tcMar>
              <w:left w:w="28" w:type="dxa"/>
              <w:right w:w="28" w:type="dxa"/>
            </w:tcMar>
          </w:tcPr>
          <w:p w14:paraId="54B8AA49"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0.870</w:t>
            </w:r>
          </w:p>
        </w:tc>
        <w:tc>
          <w:tcPr>
            <w:tcW w:w="738" w:type="dxa"/>
            <w:tcBorders>
              <w:top w:val="nil"/>
              <w:left w:val="nil"/>
              <w:bottom w:val="nil"/>
              <w:right w:val="single" w:sz="4" w:space="0" w:color="auto"/>
            </w:tcBorders>
            <w:tcMar>
              <w:left w:w="28" w:type="dxa"/>
              <w:right w:w="28" w:type="dxa"/>
            </w:tcMar>
          </w:tcPr>
          <w:p w14:paraId="4B6999B2"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p>
        </w:tc>
      </w:tr>
      <w:tr w:rsidR="007734A2" w:rsidRPr="00983193" w14:paraId="74683B1E" w14:textId="77777777" w:rsidTr="00F7044F">
        <w:tc>
          <w:tcPr>
            <w:tcW w:w="1304" w:type="dxa"/>
            <w:tcBorders>
              <w:top w:val="nil"/>
              <w:left w:val="single" w:sz="4" w:space="0" w:color="auto"/>
              <w:bottom w:val="single" w:sz="4" w:space="0" w:color="auto"/>
              <w:right w:val="single" w:sz="4" w:space="0" w:color="auto"/>
            </w:tcBorders>
            <w:tcMar>
              <w:left w:w="28" w:type="dxa"/>
              <w:right w:w="28" w:type="dxa"/>
            </w:tcMar>
          </w:tcPr>
          <w:p w14:paraId="29ED4DA6" w14:textId="77777777" w:rsidR="007734A2" w:rsidRPr="00A53C54" w:rsidRDefault="007734A2" w:rsidP="00F7044F">
            <w:pPr>
              <w:keepNext/>
              <w:keepLines/>
              <w:spacing w:after="200" w:line="276" w:lineRule="auto"/>
              <w:rPr>
                <w:rFonts w:ascii="Times New Roman" w:eastAsia="Calibri" w:hAnsi="Times New Roman" w:cs="Times New Roman"/>
                <w:i/>
                <w:color w:val="000000" w:themeColor="text1"/>
                <w:sz w:val="23"/>
                <w:szCs w:val="23"/>
                <w:lang w:val="en-US"/>
              </w:rPr>
            </w:pPr>
            <w:r w:rsidRPr="00A53C54">
              <w:rPr>
                <w:rFonts w:ascii="Times New Roman" w:eastAsia="MS Mincho" w:hAnsi="Times New Roman" w:cs="Times New Roman"/>
                <w:i/>
                <w:color w:val="000000" w:themeColor="text1"/>
                <w:sz w:val="23"/>
                <w:szCs w:val="23"/>
                <w:lang w:val="en-GB" w:eastAsia="ja-JP"/>
              </w:rPr>
              <w:t>GROWTH</w:t>
            </w:r>
          </w:p>
        </w:tc>
        <w:tc>
          <w:tcPr>
            <w:tcW w:w="709" w:type="dxa"/>
            <w:tcBorders>
              <w:top w:val="nil"/>
              <w:left w:val="single" w:sz="4" w:space="0" w:color="auto"/>
              <w:bottom w:val="single" w:sz="4" w:space="0" w:color="auto"/>
              <w:right w:val="single" w:sz="4" w:space="0" w:color="auto"/>
            </w:tcBorders>
            <w:tcMar>
              <w:left w:w="28" w:type="dxa"/>
              <w:right w:w="28" w:type="dxa"/>
            </w:tcMar>
          </w:tcPr>
          <w:p w14:paraId="0FC89D7E" w14:textId="77777777" w:rsidR="007734A2" w:rsidRPr="00983193" w:rsidRDefault="007734A2" w:rsidP="00F7044F">
            <w:pPr>
              <w:keepNext/>
              <w:keepLines/>
              <w:jc w:val="center"/>
              <w:rPr>
                <w:rFonts w:ascii="Times New Roman" w:eastAsia="Calibri" w:hAnsi="Times New Roman" w:cs="Times New Roman"/>
                <w:color w:val="000000" w:themeColor="text1"/>
                <w:sz w:val="23"/>
                <w:szCs w:val="23"/>
                <w:lang w:val="en-US"/>
              </w:rPr>
            </w:pPr>
          </w:p>
        </w:tc>
        <w:tc>
          <w:tcPr>
            <w:tcW w:w="1783" w:type="dxa"/>
            <w:tcBorders>
              <w:top w:val="nil"/>
              <w:left w:val="single" w:sz="4" w:space="0" w:color="auto"/>
              <w:bottom w:val="single" w:sz="4" w:space="0" w:color="auto"/>
              <w:right w:val="nil"/>
            </w:tcBorders>
            <w:tcMar>
              <w:left w:w="28" w:type="dxa"/>
              <w:right w:w="28" w:type="dxa"/>
            </w:tcMar>
          </w:tcPr>
          <w:p w14:paraId="1E4EA97E"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0.163</w:t>
            </w:r>
          </w:p>
        </w:tc>
        <w:tc>
          <w:tcPr>
            <w:tcW w:w="1164" w:type="dxa"/>
            <w:tcBorders>
              <w:top w:val="nil"/>
              <w:left w:val="nil"/>
              <w:bottom w:val="single" w:sz="4" w:space="0" w:color="auto"/>
              <w:right w:val="nil"/>
            </w:tcBorders>
            <w:tcMar>
              <w:left w:w="28" w:type="dxa"/>
              <w:right w:w="28" w:type="dxa"/>
            </w:tcMar>
          </w:tcPr>
          <w:p w14:paraId="4AC8FB86"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0.039</w:t>
            </w:r>
          </w:p>
        </w:tc>
        <w:tc>
          <w:tcPr>
            <w:tcW w:w="738" w:type="dxa"/>
            <w:tcBorders>
              <w:top w:val="nil"/>
              <w:left w:val="nil"/>
              <w:bottom w:val="single" w:sz="4" w:space="0" w:color="auto"/>
              <w:right w:val="single" w:sz="4" w:space="0" w:color="auto"/>
            </w:tcBorders>
            <w:tcMar>
              <w:left w:w="28" w:type="dxa"/>
              <w:right w:w="28" w:type="dxa"/>
            </w:tcMar>
          </w:tcPr>
          <w:p w14:paraId="1B6618BA"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w:t>
            </w:r>
          </w:p>
        </w:tc>
        <w:tc>
          <w:tcPr>
            <w:tcW w:w="851" w:type="dxa"/>
            <w:tcBorders>
              <w:top w:val="nil"/>
              <w:left w:val="single" w:sz="4" w:space="0" w:color="auto"/>
              <w:bottom w:val="single" w:sz="4" w:space="0" w:color="auto"/>
              <w:right w:val="single" w:sz="4" w:space="0" w:color="auto"/>
            </w:tcBorders>
          </w:tcPr>
          <w:p w14:paraId="36CF5144"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p>
        </w:tc>
        <w:tc>
          <w:tcPr>
            <w:tcW w:w="1680" w:type="dxa"/>
            <w:tcBorders>
              <w:top w:val="nil"/>
              <w:left w:val="single" w:sz="4" w:space="0" w:color="auto"/>
              <w:bottom w:val="single" w:sz="4" w:space="0" w:color="auto"/>
              <w:right w:val="nil"/>
            </w:tcBorders>
            <w:tcMar>
              <w:left w:w="28" w:type="dxa"/>
              <w:right w:w="28" w:type="dxa"/>
            </w:tcMar>
          </w:tcPr>
          <w:p w14:paraId="4A6D724C"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-0.125</w:t>
            </w:r>
          </w:p>
        </w:tc>
        <w:tc>
          <w:tcPr>
            <w:tcW w:w="1268" w:type="dxa"/>
            <w:tcBorders>
              <w:top w:val="nil"/>
              <w:left w:val="nil"/>
              <w:bottom w:val="single" w:sz="4" w:space="0" w:color="auto"/>
              <w:right w:val="nil"/>
            </w:tcBorders>
            <w:tcMar>
              <w:left w:w="28" w:type="dxa"/>
              <w:right w:w="28" w:type="dxa"/>
            </w:tcMar>
          </w:tcPr>
          <w:p w14:paraId="63C6AA38" w14:textId="77777777" w:rsidR="007734A2" w:rsidRPr="00983193" w:rsidRDefault="007734A2" w:rsidP="00F7044F">
            <w:pPr>
              <w:keepNext/>
              <w:keepLines/>
              <w:jc w:val="right"/>
              <w:rPr>
                <w:rFonts w:ascii="Times New Roman" w:eastAsia="Calibri" w:hAnsi="Times New Roman" w:cs="Times New Roman"/>
                <w:color w:val="000000" w:themeColor="text1"/>
                <w:sz w:val="23"/>
                <w:szCs w:val="23"/>
                <w:lang w:val="en-US"/>
              </w:rPr>
            </w:pPr>
            <w:r w:rsidRPr="00983193">
              <w:rPr>
                <w:rFonts w:ascii="Times New Roman" w:eastAsia="Calibri" w:hAnsi="Times New Roman" w:cs="Times New Roman"/>
                <w:color w:val="000000" w:themeColor="text1"/>
                <w:sz w:val="23"/>
                <w:szCs w:val="23"/>
                <w:lang w:val="en-US"/>
              </w:rPr>
              <w:t>0.661</w:t>
            </w:r>
          </w:p>
        </w:tc>
        <w:tc>
          <w:tcPr>
            <w:tcW w:w="738" w:type="dxa"/>
            <w:tcBorders>
              <w:top w:val="nil"/>
              <w:left w:val="nil"/>
              <w:bottom w:val="single" w:sz="4" w:space="0" w:color="auto"/>
              <w:right w:val="single" w:sz="4" w:space="0" w:color="auto"/>
            </w:tcBorders>
            <w:tcMar>
              <w:left w:w="28" w:type="dxa"/>
              <w:right w:w="28" w:type="dxa"/>
            </w:tcMar>
          </w:tcPr>
          <w:p w14:paraId="577D13AA"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p>
        </w:tc>
      </w:tr>
      <w:tr w:rsidR="007734A2" w:rsidRPr="00EA5959" w14:paraId="1EEA7D0B" w14:textId="77777777" w:rsidTr="00F7044F">
        <w:tc>
          <w:tcPr>
            <w:tcW w:w="1304" w:type="dxa"/>
            <w:tcBorders>
              <w:top w:val="single" w:sz="4" w:space="0" w:color="auto"/>
              <w:bottom w:val="single" w:sz="4" w:space="0" w:color="auto"/>
            </w:tcBorders>
            <w:tcMar>
              <w:left w:w="28" w:type="dxa"/>
              <w:right w:w="28" w:type="dxa"/>
            </w:tcMar>
          </w:tcPr>
          <w:p w14:paraId="5DB0F059" w14:textId="77777777" w:rsidR="007734A2" w:rsidRPr="00983193" w:rsidRDefault="007734A2" w:rsidP="00F7044F">
            <w:pPr>
              <w:keepNext/>
              <w:keepLines/>
              <w:rPr>
                <w:rFonts w:ascii="Times New Roman" w:eastAsia="MS Mincho" w:hAnsi="Times New Roman" w:cs="Times New Roman"/>
                <w:i/>
                <w:color w:val="000000" w:themeColor="text1"/>
                <w:sz w:val="23"/>
                <w:szCs w:val="23"/>
                <w:lang w:val="en-GB" w:eastAsia="ja-JP"/>
              </w:rPr>
            </w:pPr>
          </w:p>
        </w:tc>
        <w:tc>
          <w:tcPr>
            <w:tcW w:w="709" w:type="dxa"/>
            <w:tcBorders>
              <w:top w:val="single" w:sz="4" w:space="0" w:color="auto"/>
              <w:bottom w:val="single" w:sz="4" w:space="0" w:color="auto"/>
            </w:tcBorders>
            <w:tcMar>
              <w:left w:w="28" w:type="dxa"/>
              <w:right w:w="28" w:type="dxa"/>
            </w:tcMar>
          </w:tcPr>
          <w:p w14:paraId="6801694F"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p>
        </w:tc>
        <w:tc>
          <w:tcPr>
            <w:tcW w:w="3685" w:type="dxa"/>
            <w:gridSpan w:val="3"/>
            <w:tcBorders>
              <w:top w:val="single" w:sz="4" w:space="0" w:color="auto"/>
              <w:bottom w:val="single" w:sz="4" w:space="0" w:color="auto"/>
            </w:tcBorders>
            <w:tcMar>
              <w:left w:w="28" w:type="dxa"/>
              <w:right w:w="28" w:type="dxa"/>
            </w:tcMar>
          </w:tcPr>
          <w:p w14:paraId="1931F9E2" w14:textId="77777777" w:rsidR="007734A2" w:rsidRPr="00983193" w:rsidRDefault="007734A2" w:rsidP="00F7044F">
            <w:pPr>
              <w:keepNext/>
              <w:keepLines/>
              <w:rPr>
                <w:rFonts w:ascii="Times New Roman" w:eastAsia="MS Mincho" w:hAnsi="Times New Roman" w:cs="Times New Roman"/>
                <w:i/>
                <w:color w:val="000000" w:themeColor="text1"/>
                <w:sz w:val="23"/>
                <w:szCs w:val="23"/>
                <w:lang w:val="en-GB" w:eastAsia="ja-JP"/>
              </w:rPr>
            </w:pPr>
            <w:r w:rsidRPr="00983193">
              <w:rPr>
                <w:rFonts w:ascii="Times New Roman" w:eastAsia="MS Mincho" w:hAnsi="Times New Roman" w:cs="Times New Roman"/>
                <w:i/>
                <w:color w:val="000000" w:themeColor="text1"/>
                <w:sz w:val="23"/>
                <w:szCs w:val="23"/>
                <w:lang w:val="en-GB" w:eastAsia="ja-JP"/>
              </w:rPr>
              <w:t>Model specification:</w:t>
            </w:r>
          </w:p>
          <w:p w14:paraId="2D4C0215" w14:textId="77777777" w:rsidR="007734A2" w:rsidRPr="00983193" w:rsidRDefault="007734A2" w:rsidP="00F7044F">
            <w:pPr>
              <w:keepNext/>
              <w:keepLines/>
              <w:rPr>
                <w:rFonts w:ascii="Times New Roman" w:eastAsia="MS Mincho" w:hAnsi="Times New Roman" w:cs="Times New Roman"/>
                <w:color w:val="000000" w:themeColor="text1"/>
                <w:sz w:val="23"/>
                <w:szCs w:val="23"/>
                <w:lang w:val="en-GB" w:eastAsia="ja-JP"/>
              </w:rPr>
            </w:pPr>
            <w:r w:rsidRPr="00983193">
              <w:rPr>
                <w:rFonts w:ascii="Times New Roman" w:eastAsia="MS Mincho" w:hAnsi="Times New Roman" w:cs="Times New Roman"/>
                <w:color w:val="000000" w:themeColor="text1"/>
                <w:sz w:val="23"/>
                <w:szCs w:val="23"/>
                <w:lang w:val="en-GB" w:eastAsia="ja-JP"/>
              </w:rPr>
              <w:t>R-square:</w:t>
            </w:r>
          </w:p>
          <w:p w14:paraId="57F8B532" w14:textId="77777777" w:rsidR="007734A2" w:rsidRPr="00983193" w:rsidRDefault="007734A2" w:rsidP="00F7044F">
            <w:pPr>
              <w:keepNext/>
              <w:keepLines/>
              <w:rPr>
                <w:rFonts w:ascii="Times New Roman" w:eastAsia="MS Mincho" w:hAnsi="Times New Roman" w:cs="Times New Roman"/>
                <w:color w:val="000000" w:themeColor="text1"/>
                <w:sz w:val="23"/>
                <w:szCs w:val="23"/>
                <w:lang w:val="en-GB" w:eastAsia="ja-JP"/>
              </w:rPr>
            </w:pPr>
            <w:r w:rsidRPr="00983193">
              <w:rPr>
                <w:rFonts w:ascii="Times New Roman" w:eastAsia="MS Mincho" w:hAnsi="Times New Roman" w:cs="Times New Roman"/>
                <w:color w:val="000000" w:themeColor="text1"/>
                <w:sz w:val="23"/>
                <w:szCs w:val="23"/>
                <w:lang w:val="en-GB" w:eastAsia="ja-JP"/>
              </w:rPr>
              <w:t>Within= 11.49%; Between= 3.6%; Overall= 3.78%</w:t>
            </w:r>
          </w:p>
          <w:p w14:paraId="7B4C29A2" w14:textId="77777777" w:rsidR="007734A2" w:rsidRPr="00983193" w:rsidRDefault="007734A2" w:rsidP="00F7044F">
            <w:pPr>
              <w:keepNext/>
              <w:keepLines/>
              <w:rPr>
                <w:rFonts w:ascii="Times New Roman" w:eastAsia="MS Mincho" w:hAnsi="Times New Roman" w:cs="Times New Roman"/>
                <w:color w:val="000000" w:themeColor="text1"/>
                <w:sz w:val="23"/>
                <w:szCs w:val="23"/>
                <w:lang w:val="en-GB" w:eastAsia="ja-JP"/>
              </w:rPr>
            </w:pPr>
            <w:r w:rsidRPr="00983193">
              <w:rPr>
                <w:rFonts w:ascii="Times New Roman" w:eastAsia="MS Mincho" w:hAnsi="Times New Roman" w:cs="Times New Roman"/>
                <w:color w:val="000000" w:themeColor="text1"/>
                <w:sz w:val="23"/>
                <w:szCs w:val="23"/>
                <w:lang w:val="en-GB" w:eastAsia="ja-JP"/>
              </w:rPr>
              <w:t>F(6, 604) = 13.06; Prob&gt; F= 0.000</w:t>
            </w:r>
          </w:p>
          <w:p w14:paraId="33E63053"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MS Mincho" w:hAnsi="Times New Roman" w:cs="Times New Roman"/>
                <w:color w:val="000000" w:themeColor="text1"/>
                <w:sz w:val="23"/>
                <w:szCs w:val="23"/>
                <w:lang w:val="en-GB" w:eastAsia="ja-JP"/>
              </w:rPr>
              <w:t>VIF &lt; 2% for all variables</w:t>
            </w:r>
          </w:p>
        </w:tc>
        <w:tc>
          <w:tcPr>
            <w:tcW w:w="851" w:type="dxa"/>
            <w:tcBorders>
              <w:top w:val="single" w:sz="4" w:space="0" w:color="auto"/>
              <w:bottom w:val="single" w:sz="4" w:space="0" w:color="auto"/>
            </w:tcBorders>
          </w:tcPr>
          <w:p w14:paraId="20D8BF63" w14:textId="77777777" w:rsidR="007734A2" w:rsidRPr="00983193" w:rsidRDefault="007734A2" w:rsidP="00F7044F">
            <w:pPr>
              <w:keepNext/>
              <w:keepLines/>
              <w:rPr>
                <w:rFonts w:ascii="Times New Roman" w:eastAsia="MS Mincho" w:hAnsi="Times New Roman" w:cs="Times New Roman"/>
                <w:i/>
                <w:color w:val="000000" w:themeColor="text1"/>
                <w:sz w:val="23"/>
                <w:szCs w:val="23"/>
                <w:lang w:val="en-GB" w:eastAsia="ja-JP"/>
              </w:rPr>
            </w:pPr>
          </w:p>
        </w:tc>
        <w:tc>
          <w:tcPr>
            <w:tcW w:w="3686" w:type="dxa"/>
            <w:gridSpan w:val="3"/>
            <w:tcBorders>
              <w:top w:val="single" w:sz="4" w:space="0" w:color="auto"/>
              <w:bottom w:val="single" w:sz="4" w:space="0" w:color="auto"/>
            </w:tcBorders>
            <w:tcMar>
              <w:left w:w="28" w:type="dxa"/>
              <w:right w:w="28" w:type="dxa"/>
            </w:tcMar>
          </w:tcPr>
          <w:p w14:paraId="36330DA2" w14:textId="77777777" w:rsidR="007734A2" w:rsidRPr="00983193" w:rsidRDefault="007734A2" w:rsidP="00F7044F">
            <w:pPr>
              <w:keepNext/>
              <w:keepLines/>
              <w:rPr>
                <w:rFonts w:ascii="Times New Roman" w:eastAsia="MS Mincho" w:hAnsi="Times New Roman" w:cs="Times New Roman"/>
                <w:i/>
                <w:color w:val="000000" w:themeColor="text1"/>
                <w:sz w:val="23"/>
                <w:szCs w:val="23"/>
                <w:lang w:val="en-GB" w:eastAsia="ja-JP"/>
              </w:rPr>
            </w:pPr>
            <w:r w:rsidRPr="00983193">
              <w:rPr>
                <w:rFonts w:ascii="Times New Roman" w:eastAsia="MS Mincho" w:hAnsi="Times New Roman" w:cs="Times New Roman"/>
                <w:i/>
                <w:color w:val="000000" w:themeColor="text1"/>
                <w:sz w:val="23"/>
                <w:szCs w:val="23"/>
                <w:lang w:val="en-GB" w:eastAsia="ja-JP"/>
              </w:rPr>
              <w:t>Model specification:</w:t>
            </w:r>
          </w:p>
          <w:p w14:paraId="5F9EE36E" w14:textId="77777777" w:rsidR="007734A2" w:rsidRPr="00983193" w:rsidRDefault="007734A2" w:rsidP="00F7044F">
            <w:pPr>
              <w:keepNext/>
              <w:keepLines/>
              <w:rPr>
                <w:rFonts w:ascii="Times New Roman" w:eastAsia="MS Mincho" w:hAnsi="Times New Roman" w:cs="Times New Roman"/>
                <w:color w:val="000000" w:themeColor="text1"/>
                <w:sz w:val="23"/>
                <w:szCs w:val="23"/>
                <w:lang w:val="en-GB" w:eastAsia="ja-JP"/>
              </w:rPr>
            </w:pPr>
            <w:r w:rsidRPr="00983193">
              <w:rPr>
                <w:rFonts w:ascii="Times New Roman" w:eastAsia="MS Mincho" w:hAnsi="Times New Roman" w:cs="Times New Roman"/>
                <w:color w:val="000000" w:themeColor="text1"/>
                <w:sz w:val="23"/>
                <w:szCs w:val="23"/>
                <w:lang w:val="en-GB" w:eastAsia="ja-JP"/>
              </w:rPr>
              <w:t>R-square:</w:t>
            </w:r>
          </w:p>
          <w:p w14:paraId="6D87DC28" w14:textId="77777777" w:rsidR="007734A2" w:rsidRPr="00983193" w:rsidRDefault="007734A2" w:rsidP="00F7044F">
            <w:pPr>
              <w:keepNext/>
              <w:keepLines/>
              <w:rPr>
                <w:rFonts w:ascii="Times New Roman" w:eastAsia="MS Mincho" w:hAnsi="Times New Roman" w:cs="Times New Roman"/>
                <w:color w:val="000000" w:themeColor="text1"/>
                <w:sz w:val="23"/>
                <w:szCs w:val="23"/>
                <w:lang w:val="en-GB" w:eastAsia="ja-JP"/>
              </w:rPr>
            </w:pPr>
            <w:r w:rsidRPr="00983193">
              <w:rPr>
                <w:rFonts w:ascii="Times New Roman" w:eastAsia="MS Mincho" w:hAnsi="Times New Roman" w:cs="Times New Roman"/>
                <w:color w:val="000000" w:themeColor="text1"/>
                <w:sz w:val="23"/>
                <w:szCs w:val="23"/>
                <w:lang w:val="en-GB" w:eastAsia="ja-JP"/>
              </w:rPr>
              <w:t>Within= 3.80%; Between= 3.04%; Overall= 3.00%</w:t>
            </w:r>
          </w:p>
          <w:p w14:paraId="1015EBA3" w14:textId="77777777" w:rsidR="007734A2" w:rsidRPr="00983193" w:rsidRDefault="007734A2" w:rsidP="00F7044F">
            <w:pPr>
              <w:keepNext/>
              <w:keepLines/>
              <w:rPr>
                <w:rFonts w:ascii="Times New Roman" w:eastAsia="MS Mincho" w:hAnsi="Times New Roman" w:cs="Times New Roman"/>
                <w:color w:val="000000" w:themeColor="text1"/>
                <w:sz w:val="23"/>
                <w:szCs w:val="23"/>
                <w:lang w:val="en-GB" w:eastAsia="ja-JP"/>
              </w:rPr>
            </w:pPr>
            <w:r w:rsidRPr="00983193">
              <w:rPr>
                <w:rFonts w:ascii="Times New Roman" w:eastAsia="MS Mincho" w:hAnsi="Times New Roman" w:cs="Times New Roman"/>
                <w:color w:val="000000" w:themeColor="text1"/>
                <w:sz w:val="23"/>
                <w:szCs w:val="23"/>
                <w:lang w:val="en-GB" w:eastAsia="ja-JP"/>
              </w:rPr>
              <w:t>F(6, 604) = 3.97; Prob&gt; F= 0.000</w:t>
            </w:r>
          </w:p>
          <w:p w14:paraId="33FD7E7E" w14:textId="77777777" w:rsidR="007734A2" w:rsidRPr="00983193" w:rsidRDefault="007734A2" w:rsidP="00F7044F">
            <w:pPr>
              <w:keepNext/>
              <w:keepLines/>
              <w:rPr>
                <w:rFonts w:ascii="Times New Roman" w:eastAsia="Calibri" w:hAnsi="Times New Roman" w:cs="Times New Roman"/>
                <w:color w:val="000000" w:themeColor="text1"/>
                <w:sz w:val="23"/>
                <w:szCs w:val="23"/>
                <w:lang w:val="en-US"/>
              </w:rPr>
            </w:pPr>
            <w:r w:rsidRPr="00983193">
              <w:rPr>
                <w:rFonts w:ascii="Times New Roman" w:eastAsia="MS Mincho" w:hAnsi="Times New Roman" w:cs="Times New Roman"/>
                <w:color w:val="000000" w:themeColor="text1"/>
                <w:sz w:val="23"/>
                <w:szCs w:val="23"/>
                <w:lang w:val="en-GB" w:eastAsia="ja-JP"/>
              </w:rPr>
              <w:t>VIF &lt; 2% for all variables</w:t>
            </w:r>
          </w:p>
        </w:tc>
      </w:tr>
    </w:tbl>
    <w:p w14:paraId="24CBDD99" w14:textId="77777777" w:rsidR="007734A2" w:rsidRPr="00983193" w:rsidRDefault="007734A2" w:rsidP="007734A2">
      <w:pPr>
        <w:spacing w:after="120" w:line="240" w:lineRule="auto"/>
        <w:jc w:val="both"/>
        <w:rPr>
          <w:rFonts w:ascii="Times New Roman" w:eastAsia="Futura Medium" w:hAnsi="Times New Roman" w:cs="Times New Roman"/>
          <w:color w:val="000000" w:themeColor="text1"/>
          <w:sz w:val="23"/>
          <w:szCs w:val="23"/>
          <w:lang w:val="en-GB" w:eastAsia="it-IT"/>
        </w:rPr>
      </w:pPr>
    </w:p>
    <w:p w14:paraId="3C00FED0" w14:textId="77777777" w:rsidR="007734A2" w:rsidRDefault="007734A2" w:rsidP="00A53C54">
      <w:pPr>
        <w:spacing w:after="0" w:line="240" w:lineRule="auto"/>
        <w:ind w:left="397" w:hanging="397"/>
        <w:jc w:val="both"/>
        <w:rPr>
          <w:rFonts w:ascii="Times New Roman" w:hAnsi="Times New Roman" w:cs="Times New Roman"/>
          <w:color w:val="000000" w:themeColor="text1"/>
          <w:sz w:val="23"/>
          <w:szCs w:val="23"/>
          <w:lang w:val="en-US"/>
        </w:rPr>
      </w:pPr>
    </w:p>
    <w:p w14:paraId="0D3C4F4D" w14:textId="77777777" w:rsidR="007734A2" w:rsidRDefault="007734A2" w:rsidP="00A53C54">
      <w:pPr>
        <w:spacing w:after="0" w:line="240" w:lineRule="auto"/>
        <w:ind w:left="397" w:hanging="397"/>
        <w:jc w:val="both"/>
        <w:rPr>
          <w:rFonts w:ascii="Times New Roman" w:hAnsi="Times New Roman" w:cs="Times New Roman"/>
          <w:color w:val="000000" w:themeColor="text1"/>
          <w:sz w:val="23"/>
          <w:szCs w:val="23"/>
          <w:lang w:val="en-US"/>
        </w:rPr>
      </w:pPr>
    </w:p>
    <w:p w14:paraId="5DBAF95D" w14:textId="77777777" w:rsidR="007734A2" w:rsidRDefault="007734A2" w:rsidP="00A53C54">
      <w:pPr>
        <w:spacing w:after="0" w:line="240" w:lineRule="auto"/>
        <w:ind w:left="397" w:hanging="397"/>
        <w:jc w:val="both"/>
        <w:rPr>
          <w:rFonts w:ascii="Times New Roman" w:hAnsi="Times New Roman" w:cs="Times New Roman"/>
          <w:color w:val="000000" w:themeColor="text1"/>
          <w:sz w:val="23"/>
          <w:szCs w:val="23"/>
          <w:lang w:val="en-US"/>
        </w:rPr>
      </w:pPr>
    </w:p>
    <w:p w14:paraId="68FD4E0F" w14:textId="77777777" w:rsidR="007734A2" w:rsidRDefault="007734A2" w:rsidP="00A53C54">
      <w:pPr>
        <w:spacing w:after="0" w:line="240" w:lineRule="auto"/>
        <w:ind w:left="397" w:hanging="397"/>
        <w:jc w:val="both"/>
        <w:rPr>
          <w:rFonts w:ascii="Times New Roman" w:hAnsi="Times New Roman" w:cs="Times New Roman"/>
          <w:color w:val="000000" w:themeColor="text1"/>
          <w:sz w:val="23"/>
          <w:szCs w:val="23"/>
          <w:lang w:val="en-US"/>
        </w:rPr>
      </w:pPr>
    </w:p>
    <w:p w14:paraId="58A87728" w14:textId="77777777" w:rsidR="00E46925" w:rsidRDefault="00E46925" w:rsidP="00A53C54">
      <w:pPr>
        <w:spacing w:after="0" w:line="240" w:lineRule="auto"/>
        <w:ind w:left="397" w:hanging="397"/>
        <w:jc w:val="both"/>
        <w:rPr>
          <w:rFonts w:ascii="Times New Roman" w:hAnsi="Times New Roman" w:cs="Times New Roman"/>
          <w:color w:val="000000" w:themeColor="text1"/>
          <w:sz w:val="23"/>
          <w:szCs w:val="23"/>
          <w:lang w:val="en-US"/>
        </w:rPr>
      </w:pPr>
    </w:p>
    <w:p w14:paraId="51F00DFA" w14:textId="77777777" w:rsidR="00CD4DE9" w:rsidRPr="00983193" w:rsidDel="00DF4E49" w:rsidRDefault="00CD4DE9" w:rsidP="00A53C54">
      <w:pPr>
        <w:spacing w:after="0" w:line="240" w:lineRule="auto"/>
        <w:ind w:left="397" w:hanging="397"/>
        <w:jc w:val="both"/>
        <w:rPr>
          <w:rFonts w:ascii="Times New Roman" w:hAnsi="Times New Roman" w:cs="Times New Roman"/>
          <w:color w:val="000000" w:themeColor="text1"/>
          <w:sz w:val="23"/>
          <w:szCs w:val="23"/>
          <w:lang w:val="en-US"/>
        </w:rPr>
      </w:pPr>
    </w:p>
    <w:p w14:paraId="0154FE80" w14:textId="77777777" w:rsidR="002C5E07" w:rsidRPr="00983193" w:rsidRDefault="002C5E07" w:rsidP="00A53C54">
      <w:pPr>
        <w:spacing w:after="0" w:line="240" w:lineRule="auto"/>
        <w:ind w:left="397" w:hanging="397"/>
        <w:jc w:val="both"/>
        <w:rPr>
          <w:rFonts w:ascii="Times New Roman" w:hAnsi="Times New Roman" w:cs="Times New Roman"/>
          <w:color w:val="000000" w:themeColor="text1"/>
          <w:sz w:val="23"/>
          <w:szCs w:val="23"/>
          <w:lang w:val="en-US"/>
        </w:rPr>
      </w:pPr>
    </w:p>
    <w:sectPr w:rsidR="002C5E07" w:rsidRPr="00983193">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2E3BA" w14:textId="77777777" w:rsidR="00FA3399" w:rsidRDefault="00FA3399" w:rsidP="00FD6B8F">
      <w:pPr>
        <w:spacing w:after="0" w:line="240" w:lineRule="auto"/>
      </w:pPr>
      <w:r>
        <w:separator/>
      </w:r>
    </w:p>
  </w:endnote>
  <w:endnote w:type="continuationSeparator" w:id="0">
    <w:p w14:paraId="2A4F1EFB" w14:textId="77777777" w:rsidR="00FA3399" w:rsidRDefault="00FA3399" w:rsidP="00FD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Medium">
    <w:charset w:val="00"/>
    <w:family w:val="swiss"/>
    <w:pitch w:val="variable"/>
    <w:sig w:usb0="800000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F481" w14:textId="77777777" w:rsidR="006726DC" w:rsidRDefault="006726DC" w:rsidP="000E7D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F8C43E" w14:textId="77777777" w:rsidR="006726DC" w:rsidRDefault="006726DC" w:rsidP="00FD6B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0B4D" w14:textId="77777777" w:rsidR="006726DC" w:rsidRDefault="006726DC" w:rsidP="000E7D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1161">
      <w:rPr>
        <w:rStyle w:val="PageNumber"/>
        <w:noProof/>
      </w:rPr>
      <w:t>1</w:t>
    </w:r>
    <w:r>
      <w:rPr>
        <w:rStyle w:val="PageNumber"/>
      </w:rPr>
      <w:fldChar w:fldCharType="end"/>
    </w:r>
  </w:p>
  <w:p w14:paraId="397981FC" w14:textId="77777777" w:rsidR="006726DC" w:rsidRDefault="006726DC" w:rsidP="00FD6B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FE140" w14:textId="77777777" w:rsidR="00FA3399" w:rsidRDefault="00FA3399" w:rsidP="00FD6B8F">
      <w:pPr>
        <w:spacing w:after="0" w:line="240" w:lineRule="auto"/>
      </w:pPr>
      <w:r>
        <w:separator/>
      </w:r>
    </w:p>
  </w:footnote>
  <w:footnote w:type="continuationSeparator" w:id="0">
    <w:p w14:paraId="2712B279" w14:textId="77777777" w:rsidR="00FA3399" w:rsidRDefault="00FA3399" w:rsidP="00FD6B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45F"/>
    <w:multiLevelType w:val="hybridMultilevel"/>
    <w:tmpl w:val="22AC8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D65EEB"/>
    <w:multiLevelType w:val="hybridMultilevel"/>
    <w:tmpl w:val="CA965A28"/>
    <w:lvl w:ilvl="0" w:tplc="D3B8F1FC">
      <w:start w:val="3"/>
      <w:numFmt w:val="decimal"/>
      <w:lvlText w:val="%1.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B234470"/>
    <w:multiLevelType w:val="hybridMultilevel"/>
    <w:tmpl w:val="CA965A28"/>
    <w:lvl w:ilvl="0" w:tplc="D3B8F1FC">
      <w:start w:val="3"/>
      <w:numFmt w:val="decimal"/>
      <w:lvlText w:val="%1.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BA5430F"/>
    <w:multiLevelType w:val="multilevel"/>
    <w:tmpl w:val="C48CB7A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E7B128E"/>
    <w:multiLevelType w:val="hybridMultilevel"/>
    <w:tmpl w:val="F056C1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FE43FF"/>
    <w:multiLevelType w:val="hybridMultilevel"/>
    <w:tmpl w:val="CA965A28"/>
    <w:lvl w:ilvl="0" w:tplc="D3B8F1FC">
      <w:start w:val="3"/>
      <w:numFmt w:val="decimal"/>
      <w:lvlText w:val="%1.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0196C08"/>
    <w:multiLevelType w:val="hybridMultilevel"/>
    <w:tmpl w:val="93E42064"/>
    <w:lvl w:ilvl="0" w:tplc="D3B8F1FC">
      <w:start w:val="3"/>
      <w:numFmt w:val="decimal"/>
      <w:lvlText w:val="%1.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33FE64AF"/>
    <w:multiLevelType w:val="hybridMultilevel"/>
    <w:tmpl w:val="B2F62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9F6B5E"/>
    <w:multiLevelType w:val="hybridMultilevel"/>
    <w:tmpl w:val="9528C172"/>
    <w:lvl w:ilvl="0" w:tplc="E59AC7D4">
      <w:start w:val="1"/>
      <w:numFmt w:val="bullet"/>
      <w:lvlText w:val=""/>
      <w:lvlJc w:val="left"/>
      <w:pPr>
        <w:ind w:left="720" w:hanging="360"/>
      </w:pPr>
      <w:rPr>
        <w:rFonts w:ascii="Times New Roman" w:hAnsi="Times New Roman" w:cs="Times New Roman" w:hint="default"/>
        <w:sz w:val="12"/>
        <w:szCs w:val="1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3F7230"/>
    <w:multiLevelType w:val="multilevel"/>
    <w:tmpl w:val="FA7C18EA"/>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ADD0E75"/>
    <w:multiLevelType w:val="hybridMultilevel"/>
    <w:tmpl w:val="2C703CD2"/>
    <w:lvl w:ilvl="0" w:tplc="D3B8F1FC">
      <w:start w:val="3"/>
      <w:numFmt w:val="decimal"/>
      <w:lvlText w:val="%1.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5CB54673"/>
    <w:multiLevelType w:val="hybridMultilevel"/>
    <w:tmpl w:val="E370B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230CB6"/>
    <w:multiLevelType w:val="hybridMultilevel"/>
    <w:tmpl w:val="37CCFBF6"/>
    <w:lvl w:ilvl="0" w:tplc="AF20E3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6636736F"/>
    <w:multiLevelType w:val="hybridMultilevel"/>
    <w:tmpl w:val="8F8A3A9E"/>
    <w:lvl w:ilvl="0" w:tplc="CA1041EE">
      <w:start w:val="3"/>
      <w:numFmt w:val="decimal"/>
      <w:lvlText w:val="%1.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D04345"/>
    <w:multiLevelType w:val="hybridMultilevel"/>
    <w:tmpl w:val="835CFE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F00010"/>
    <w:multiLevelType w:val="hybridMultilevel"/>
    <w:tmpl w:val="5E568D04"/>
    <w:lvl w:ilvl="0" w:tplc="4B78BE56">
      <w:start w:val="1"/>
      <w:numFmt w:val="bullet"/>
      <w:lvlText w:val=""/>
      <w:lvlJc w:val="left"/>
      <w:pPr>
        <w:ind w:left="720" w:hanging="360"/>
      </w:pPr>
      <w:rPr>
        <w:rFonts w:ascii="Symbol" w:hAnsi="Symbol" w:hint="default"/>
        <w:sz w:val="10"/>
        <w:szCs w:val="1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13"/>
  </w:num>
  <w:num w:numId="6">
    <w:abstractNumId w:val="1"/>
  </w:num>
  <w:num w:numId="7">
    <w:abstractNumId w:val="5"/>
  </w:num>
  <w:num w:numId="8">
    <w:abstractNumId w:val="14"/>
  </w:num>
  <w:num w:numId="9">
    <w:abstractNumId w:val="12"/>
  </w:num>
  <w:num w:numId="10">
    <w:abstractNumId w:val="9"/>
  </w:num>
  <w:num w:numId="11">
    <w:abstractNumId w:val="3"/>
  </w:num>
  <w:num w:numId="12">
    <w:abstractNumId w:val="11"/>
  </w:num>
  <w:num w:numId="13">
    <w:abstractNumId w:val="8"/>
  </w:num>
  <w:num w:numId="14">
    <w:abstractNumId w:val="1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printFormsDat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3MDIwMTAxMTGwNDJS0lEKTi0uzszPAykwrAUAwP3tJSwAAAA="/>
  </w:docVars>
  <w:rsids>
    <w:rsidRoot w:val="00097E98"/>
    <w:rsid w:val="000008BC"/>
    <w:rsid w:val="00002894"/>
    <w:rsid w:val="00002CDA"/>
    <w:rsid w:val="00003544"/>
    <w:rsid w:val="0000370A"/>
    <w:rsid w:val="00004465"/>
    <w:rsid w:val="0000672C"/>
    <w:rsid w:val="00007A14"/>
    <w:rsid w:val="000212B7"/>
    <w:rsid w:val="00022E35"/>
    <w:rsid w:val="0002459E"/>
    <w:rsid w:val="00025441"/>
    <w:rsid w:val="00032A72"/>
    <w:rsid w:val="00035588"/>
    <w:rsid w:val="00045083"/>
    <w:rsid w:val="0004562C"/>
    <w:rsid w:val="00051B36"/>
    <w:rsid w:val="0005246B"/>
    <w:rsid w:val="0005255E"/>
    <w:rsid w:val="000547B1"/>
    <w:rsid w:val="00056305"/>
    <w:rsid w:val="0005636E"/>
    <w:rsid w:val="00056D61"/>
    <w:rsid w:val="00056E08"/>
    <w:rsid w:val="00060EA2"/>
    <w:rsid w:val="00062E8E"/>
    <w:rsid w:val="00063696"/>
    <w:rsid w:val="000657F3"/>
    <w:rsid w:val="0006697E"/>
    <w:rsid w:val="00076B02"/>
    <w:rsid w:val="000778B6"/>
    <w:rsid w:val="000810A5"/>
    <w:rsid w:val="000827AF"/>
    <w:rsid w:val="00085560"/>
    <w:rsid w:val="00094E50"/>
    <w:rsid w:val="00096C09"/>
    <w:rsid w:val="00097E98"/>
    <w:rsid w:val="000A222E"/>
    <w:rsid w:val="000A3D3B"/>
    <w:rsid w:val="000A3FB0"/>
    <w:rsid w:val="000A78F2"/>
    <w:rsid w:val="000B04AE"/>
    <w:rsid w:val="000B2B0D"/>
    <w:rsid w:val="000B6E9A"/>
    <w:rsid w:val="000C0993"/>
    <w:rsid w:val="000C3C81"/>
    <w:rsid w:val="000C3F26"/>
    <w:rsid w:val="000C410B"/>
    <w:rsid w:val="000C60DB"/>
    <w:rsid w:val="000D0265"/>
    <w:rsid w:val="000D4A98"/>
    <w:rsid w:val="000D52CF"/>
    <w:rsid w:val="000D56DE"/>
    <w:rsid w:val="000E632E"/>
    <w:rsid w:val="000E7D30"/>
    <w:rsid w:val="000F5B50"/>
    <w:rsid w:val="000F7684"/>
    <w:rsid w:val="00100CF7"/>
    <w:rsid w:val="00103D1D"/>
    <w:rsid w:val="0010669D"/>
    <w:rsid w:val="00106795"/>
    <w:rsid w:val="00113A43"/>
    <w:rsid w:val="0011530F"/>
    <w:rsid w:val="00117C24"/>
    <w:rsid w:val="00120AD1"/>
    <w:rsid w:val="00121279"/>
    <w:rsid w:val="00121513"/>
    <w:rsid w:val="00122E33"/>
    <w:rsid w:val="00126F59"/>
    <w:rsid w:val="00127326"/>
    <w:rsid w:val="001358B1"/>
    <w:rsid w:val="0013685D"/>
    <w:rsid w:val="001372B5"/>
    <w:rsid w:val="00140C9D"/>
    <w:rsid w:val="00140F9F"/>
    <w:rsid w:val="00144485"/>
    <w:rsid w:val="00144A5C"/>
    <w:rsid w:val="001461DA"/>
    <w:rsid w:val="00147053"/>
    <w:rsid w:val="0014762E"/>
    <w:rsid w:val="0015354D"/>
    <w:rsid w:val="00154065"/>
    <w:rsid w:val="001575E6"/>
    <w:rsid w:val="00161B7B"/>
    <w:rsid w:val="00161E48"/>
    <w:rsid w:val="0016653C"/>
    <w:rsid w:val="0016665C"/>
    <w:rsid w:val="00167FA0"/>
    <w:rsid w:val="001854CB"/>
    <w:rsid w:val="001855D6"/>
    <w:rsid w:val="00185669"/>
    <w:rsid w:val="00186CC1"/>
    <w:rsid w:val="001A0309"/>
    <w:rsid w:val="001A36E1"/>
    <w:rsid w:val="001A5A4A"/>
    <w:rsid w:val="001A777A"/>
    <w:rsid w:val="001B3D4D"/>
    <w:rsid w:val="001B4796"/>
    <w:rsid w:val="001B66A4"/>
    <w:rsid w:val="001B6FB1"/>
    <w:rsid w:val="001B7D55"/>
    <w:rsid w:val="001C0999"/>
    <w:rsid w:val="001C19C1"/>
    <w:rsid w:val="001C5CBF"/>
    <w:rsid w:val="001D13B0"/>
    <w:rsid w:val="001D17C3"/>
    <w:rsid w:val="001D30B1"/>
    <w:rsid w:val="001D4456"/>
    <w:rsid w:val="001D5A82"/>
    <w:rsid w:val="001D6410"/>
    <w:rsid w:val="001D6F12"/>
    <w:rsid w:val="001E0AFD"/>
    <w:rsid w:val="001E43AD"/>
    <w:rsid w:val="001E7C1B"/>
    <w:rsid w:val="001F53F3"/>
    <w:rsid w:val="001F62CD"/>
    <w:rsid w:val="00204041"/>
    <w:rsid w:val="00204BEA"/>
    <w:rsid w:val="00207165"/>
    <w:rsid w:val="0021209D"/>
    <w:rsid w:val="00214050"/>
    <w:rsid w:val="00214303"/>
    <w:rsid w:val="00215D34"/>
    <w:rsid w:val="00221E18"/>
    <w:rsid w:val="00223C41"/>
    <w:rsid w:val="00225456"/>
    <w:rsid w:val="00225E4F"/>
    <w:rsid w:val="00226131"/>
    <w:rsid w:val="00226729"/>
    <w:rsid w:val="00227753"/>
    <w:rsid w:val="002361D8"/>
    <w:rsid w:val="0023736C"/>
    <w:rsid w:val="00240641"/>
    <w:rsid w:val="00241CFE"/>
    <w:rsid w:val="0024246D"/>
    <w:rsid w:val="00244A3A"/>
    <w:rsid w:val="002512FB"/>
    <w:rsid w:val="00251FE7"/>
    <w:rsid w:val="00260ED3"/>
    <w:rsid w:val="00261559"/>
    <w:rsid w:val="00263E9D"/>
    <w:rsid w:val="00264355"/>
    <w:rsid w:val="00265BC5"/>
    <w:rsid w:val="00271889"/>
    <w:rsid w:val="002718CA"/>
    <w:rsid w:val="00274AFA"/>
    <w:rsid w:val="00274E35"/>
    <w:rsid w:val="00275AC1"/>
    <w:rsid w:val="00282153"/>
    <w:rsid w:val="00282A66"/>
    <w:rsid w:val="0028623C"/>
    <w:rsid w:val="002868F8"/>
    <w:rsid w:val="002903E8"/>
    <w:rsid w:val="00294DD2"/>
    <w:rsid w:val="00295AF5"/>
    <w:rsid w:val="00296557"/>
    <w:rsid w:val="002A559B"/>
    <w:rsid w:val="002B01E4"/>
    <w:rsid w:val="002B0C11"/>
    <w:rsid w:val="002C02A6"/>
    <w:rsid w:val="002C426C"/>
    <w:rsid w:val="002C5E07"/>
    <w:rsid w:val="002C7EFB"/>
    <w:rsid w:val="002D035E"/>
    <w:rsid w:val="002D2E97"/>
    <w:rsid w:val="002D48FC"/>
    <w:rsid w:val="002D5914"/>
    <w:rsid w:val="002E176F"/>
    <w:rsid w:val="002E308C"/>
    <w:rsid w:val="002E6F03"/>
    <w:rsid w:val="002F2D88"/>
    <w:rsid w:val="002F54F4"/>
    <w:rsid w:val="002F5631"/>
    <w:rsid w:val="00300BB6"/>
    <w:rsid w:val="003056C8"/>
    <w:rsid w:val="00305EA0"/>
    <w:rsid w:val="00310F81"/>
    <w:rsid w:val="00312B68"/>
    <w:rsid w:val="00314808"/>
    <w:rsid w:val="0032079A"/>
    <w:rsid w:val="0032372F"/>
    <w:rsid w:val="00326A3C"/>
    <w:rsid w:val="003310CE"/>
    <w:rsid w:val="00331319"/>
    <w:rsid w:val="00333425"/>
    <w:rsid w:val="00335780"/>
    <w:rsid w:val="00340192"/>
    <w:rsid w:val="00343777"/>
    <w:rsid w:val="0034765A"/>
    <w:rsid w:val="00347F48"/>
    <w:rsid w:val="00353383"/>
    <w:rsid w:val="003534E4"/>
    <w:rsid w:val="0036029A"/>
    <w:rsid w:val="00365BC2"/>
    <w:rsid w:val="00365DFC"/>
    <w:rsid w:val="0036689D"/>
    <w:rsid w:val="0037166B"/>
    <w:rsid w:val="003724A6"/>
    <w:rsid w:val="00373797"/>
    <w:rsid w:val="00374ABA"/>
    <w:rsid w:val="00375245"/>
    <w:rsid w:val="003754D1"/>
    <w:rsid w:val="003767EF"/>
    <w:rsid w:val="003776F4"/>
    <w:rsid w:val="00383141"/>
    <w:rsid w:val="003839BF"/>
    <w:rsid w:val="003926B6"/>
    <w:rsid w:val="0039308E"/>
    <w:rsid w:val="00394498"/>
    <w:rsid w:val="003972DE"/>
    <w:rsid w:val="003A13DA"/>
    <w:rsid w:val="003A2C0C"/>
    <w:rsid w:val="003A62BE"/>
    <w:rsid w:val="003B1855"/>
    <w:rsid w:val="003B31B7"/>
    <w:rsid w:val="003B6499"/>
    <w:rsid w:val="003B7412"/>
    <w:rsid w:val="003C1150"/>
    <w:rsid w:val="003C4376"/>
    <w:rsid w:val="003D2413"/>
    <w:rsid w:val="003D6CBF"/>
    <w:rsid w:val="003D79C7"/>
    <w:rsid w:val="003E68E1"/>
    <w:rsid w:val="003F1C1E"/>
    <w:rsid w:val="004011AF"/>
    <w:rsid w:val="00401538"/>
    <w:rsid w:val="00405F68"/>
    <w:rsid w:val="00406FEA"/>
    <w:rsid w:val="00407BF7"/>
    <w:rsid w:val="00411B60"/>
    <w:rsid w:val="004139A8"/>
    <w:rsid w:val="00414661"/>
    <w:rsid w:val="00415972"/>
    <w:rsid w:val="00415DD5"/>
    <w:rsid w:val="004168B9"/>
    <w:rsid w:val="00416A8E"/>
    <w:rsid w:val="00424CC2"/>
    <w:rsid w:val="00425385"/>
    <w:rsid w:val="004259FD"/>
    <w:rsid w:val="004269E0"/>
    <w:rsid w:val="00426F94"/>
    <w:rsid w:val="00427169"/>
    <w:rsid w:val="0043150D"/>
    <w:rsid w:val="00436102"/>
    <w:rsid w:val="00436AEC"/>
    <w:rsid w:val="00436F07"/>
    <w:rsid w:val="00437209"/>
    <w:rsid w:val="004453D2"/>
    <w:rsid w:val="00455EBF"/>
    <w:rsid w:val="004575F6"/>
    <w:rsid w:val="004606FB"/>
    <w:rsid w:val="00461338"/>
    <w:rsid w:val="00461DFC"/>
    <w:rsid w:val="00463AF2"/>
    <w:rsid w:val="00463C68"/>
    <w:rsid w:val="00463E56"/>
    <w:rsid w:val="004720AE"/>
    <w:rsid w:val="004725CA"/>
    <w:rsid w:val="00473F52"/>
    <w:rsid w:val="004745E1"/>
    <w:rsid w:val="00475DA1"/>
    <w:rsid w:val="00476216"/>
    <w:rsid w:val="004770D6"/>
    <w:rsid w:val="00477E83"/>
    <w:rsid w:val="00482F9E"/>
    <w:rsid w:val="004831B2"/>
    <w:rsid w:val="00483556"/>
    <w:rsid w:val="00484C61"/>
    <w:rsid w:val="00485EEC"/>
    <w:rsid w:val="004964F5"/>
    <w:rsid w:val="00496903"/>
    <w:rsid w:val="00496C1E"/>
    <w:rsid w:val="004A08F7"/>
    <w:rsid w:val="004A1B60"/>
    <w:rsid w:val="004A6511"/>
    <w:rsid w:val="004A776E"/>
    <w:rsid w:val="004B1B64"/>
    <w:rsid w:val="004B2543"/>
    <w:rsid w:val="004C1AD1"/>
    <w:rsid w:val="004C1D62"/>
    <w:rsid w:val="004C23AE"/>
    <w:rsid w:val="004C4964"/>
    <w:rsid w:val="004D3710"/>
    <w:rsid w:val="004D60D6"/>
    <w:rsid w:val="004D6E14"/>
    <w:rsid w:val="004D75B3"/>
    <w:rsid w:val="004E032D"/>
    <w:rsid w:val="004E131B"/>
    <w:rsid w:val="004E6273"/>
    <w:rsid w:val="004E7EC3"/>
    <w:rsid w:val="004F4399"/>
    <w:rsid w:val="004F562A"/>
    <w:rsid w:val="004F5A82"/>
    <w:rsid w:val="004F6ED0"/>
    <w:rsid w:val="00501021"/>
    <w:rsid w:val="00502CE7"/>
    <w:rsid w:val="0051027E"/>
    <w:rsid w:val="00510C22"/>
    <w:rsid w:val="00513A29"/>
    <w:rsid w:val="00515581"/>
    <w:rsid w:val="00516503"/>
    <w:rsid w:val="00520C36"/>
    <w:rsid w:val="00522E39"/>
    <w:rsid w:val="005240CE"/>
    <w:rsid w:val="00524F3B"/>
    <w:rsid w:val="00525C61"/>
    <w:rsid w:val="00526DC6"/>
    <w:rsid w:val="00526E01"/>
    <w:rsid w:val="00530C97"/>
    <w:rsid w:val="00531B27"/>
    <w:rsid w:val="00532FF6"/>
    <w:rsid w:val="0053755A"/>
    <w:rsid w:val="0054344C"/>
    <w:rsid w:val="00544D87"/>
    <w:rsid w:val="00545260"/>
    <w:rsid w:val="0055003E"/>
    <w:rsid w:val="00551819"/>
    <w:rsid w:val="00555CEA"/>
    <w:rsid w:val="00555E4B"/>
    <w:rsid w:val="0057479B"/>
    <w:rsid w:val="00576E9A"/>
    <w:rsid w:val="00580D4E"/>
    <w:rsid w:val="005821B1"/>
    <w:rsid w:val="00583907"/>
    <w:rsid w:val="00586278"/>
    <w:rsid w:val="005865CA"/>
    <w:rsid w:val="00587051"/>
    <w:rsid w:val="005872A0"/>
    <w:rsid w:val="0059139D"/>
    <w:rsid w:val="00591D66"/>
    <w:rsid w:val="0059582A"/>
    <w:rsid w:val="00596AB7"/>
    <w:rsid w:val="00596C7C"/>
    <w:rsid w:val="005A055B"/>
    <w:rsid w:val="005A19D3"/>
    <w:rsid w:val="005A263A"/>
    <w:rsid w:val="005A5C5F"/>
    <w:rsid w:val="005A6E21"/>
    <w:rsid w:val="005A7967"/>
    <w:rsid w:val="005A7BE8"/>
    <w:rsid w:val="005C26D8"/>
    <w:rsid w:val="005C7093"/>
    <w:rsid w:val="005D3479"/>
    <w:rsid w:val="005D62D1"/>
    <w:rsid w:val="005D62D5"/>
    <w:rsid w:val="005D7277"/>
    <w:rsid w:val="005D79C3"/>
    <w:rsid w:val="005D7C84"/>
    <w:rsid w:val="005E32D4"/>
    <w:rsid w:val="005F25D8"/>
    <w:rsid w:val="005F4858"/>
    <w:rsid w:val="005F7028"/>
    <w:rsid w:val="005F7C0C"/>
    <w:rsid w:val="0061142D"/>
    <w:rsid w:val="00611DC3"/>
    <w:rsid w:val="006121B0"/>
    <w:rsid w:val="0061279F"/>
    <w:rsid w:val="00614CFF"/>
    <w:rsid w:val="00614FCC"/>
    <w:rsid w:val="0061656C"/>
    <w:rsid w:val="00631055"/>
    <w:rsid w:val="0063144B"/>
    <w:rsid w:val="006315F2"/>
    <w:rsid w:val="00636E29"/>
    <w:rsid w:val="0063701A"/>
    <w:rsid w:val="00637DA7"/>
    <w:rsid w:val="006401C2"/>
    <w:rsid w:val="0064198B"/>
    <w:rsid w:val="00643876"/>
    <w:rsid w:val="00644CCA"/>
    <w:rsid w:val="00653CBA"/>
    <w:rsid w:val="00657B71"/>
    <w:rsid w:val="00663285"/>
    <w:rsid w:val="00665C20"/>
    <w:rsid w:val="006726DC"/>
    <w:rsid w:val="0068061D"/>
    <w:rsid w:val="006844F4"/>
    <w:rsid w:val="006846F9"/>
    <w:rsid w:val="00692A2D"/>
    <w:rsid w:val="006976F5"/>
    <w:rsid w:val="006A3644"/>
    <w:rsid w:val="006A3D5D"/>
    <w:rsid w:val="006A57E3"/>
    <w:rsid w:val="006A7461"/>
    <w:rsid w:val="006B0849"/>
    <w:rsid w:val="006B34DC"/>
    <w:rsid w:val="006B64FC"/>
    <w:rsid w:val="006C046E"/>
    <w:rsid w:val="006C1B92"/>
    <w:rsid w:val="006C4C3C"/>
    <w:rsid w:val="006C6F19"/>
    <w:rsid w:val="006D121B"/>
    <w:rsid w:val="006D2BEA"/>
    <w:rsid w:val="006D3565"/>
    <w:rsid w:val="006D4C96"/>
    <w:rsid w:val="006D5DF2"/>
    <w:rsid w:val="006D7D1F"/>
    <w:rsid w:val="006E06B0"/>
    <w:rsid w:val="006E2C53"/>
    <w:rsid w:val="006E456E"/>
    <w:rsid w:val="006E4D1C"/>
    <w:rsid w:val="006E7303"/>
    <w:rsid w:val="006F45C2"/>
    <w:rsid w:val="006F5B29"/>
    <w:rsid w:val="0070172C"/>
    <w:rsid w:val="00701836"/>
    <w:rsid w:val="00701A83"/>
    <w:rsid w:val="00703E24"/>
    <w:rsid w:val="00706A2E"/>
    <w:rsid w:val="007132A2"/>
    <w:rsid w:val="00716B7A"/>
    <w:rsid w:val="00722228"/>
    <w:rsid w:val="0072286C"/>
    <w:rsid w:val="007244DF"/>
    <w:rsid w:val="00724ED9"/>
    <w:rsid w:val="00732C9F"/>
    <w:rsid w:val="00732DE5"/>
    <w:rsid w:val="007352FD"/>
    <w:rsid w:val="007474CE"/>
    <w:rsid w:val="00751A7D"/>
    <w:rsid w:val="00763C52"/>
    <w:rsid w:val="007734A2"/>
    <w:rsid w:val="00776A9A"/>
    <w:rsid w:val="0077755C"/>
    <w:rsid w:val="007867DD"/>
    <w:rsid w:val="00787C22"/>
    <w:rsid w:val="007907FE"/>
    <w:rsid w:val="00791B3F"/>
    <w:rsid w:val="0079494D"/>
    <w:rsid w:val="0079595E"/>
    <w:rsid w:val="00797ECF"/>
    <w:rsid w:val="007A01A7"/>
    <w:rsid w:val="007A27B6"/>
    <w:rsid w:val="007A3A6D"/>
    <w:rsid w:val="007A5517"/>
    <w:rsid w:val="007A56FE"/>
    <w:rsid w:val="007A6C72"/>
    <w:rsid w:val="007B1B3F"/>
    <w:rsid w:val="007B2A5C"/>
    <w:rsid w:val="007C50F6"/>
    <w:rsid w:val="007C5638"/>
    <w:rsid w:val="007C6824"/>
    <w:rsid w:val="007C7964"/>
    <w:rsid w:val="007D35C1"/>
    <w:rsid w:val="007D50DB"/>
    <w:rsid w:val="007E2D5A"/>
    <w:rsid w:val="007E3048"/>
    <w:rsid w:val="007F2738"/>
    <w:rsid w:val="007F29DF"/>
    <w:rsid w:val="007F6580"/>
    <w:rsid w:val="0080040A"/>
    <w:rsid w:val="00804B85"/>
    <w:rsid w:val="00810955"/>
    <w:rsid w:val="00811A5F"/>
    <w:rsid w:val="008125C4"/>
    <w:rsid w:val="00814383"/>
    <w:rsid w:val="008159BE"/>
    <w:rsid w:val="00817476"/>
    <w:rsid w:val="0082228D"/>
    <w:rsid w:val="008241C1"/>
    <w:rsid w:val="00826468"/>
    <w:rsid w:val="008339CA"/>
    <w:rsid w:val="00833D79"/>
    <w:rsid w:val="00840E8F"/>
    <w:rsid w:val="008423C1"/>
    <w:rsid w:val="00844642"/>
    <w:rsid w:val="0085034C"/>
    <w:rsid w:val="00851605"/>
    <w:rsid w:val="00852BA8"/>
    <w:rsid w:val="0085302E"/>
    <w:rsid w:val="0085398D"/>
    <w:rsid w:val="00853B62"/>
    <w:rsid w:val="00861045"/>
    <w:rsid w:val="00862D70"/>
    <w:rsid w:val="00864012"/>
    <w:rsid w:val="00866CCA"/>
    <w:rsid w:val="00870038"/>
    <w:rsid w:val="00871D8C"/>
    <w:rsid w:val="008724B4"/>
    <w:rsid w:val="008741E0"/>
    <w:rsid w:val="00876A18"/>
    <w:rsid w:val="0087793B"/>
    <w:rsid w:val="0088045B"/>
    <w:rsid w:val="00880A72"/>
    <w:rsid w:val="00880BEE"/>
    <w:rsid w:val="008908CE"/>
    <w:rsid w:val="00891161"/>
    <w:rsid w:val="0089244D"/>
    <w:rsid w:val="008924E9"/>
    <w:rsid w:val="008948C5"/>
    <w:rsid w:val="008974B4"/>
    <w:rsid w:val="00897BC9"/>
    <w:rsid w:val="008A086D"/>
    <w:rsid w:val="008A4966"/>
    <w:rsid w:val="008A7FC9"/>
    <w:rsid w:val="008B1435"/>
    <w:rsid w:val="008B5FCB"/>
    <w:rsid w:val="008C03E8"/>
    <w:rsid w:val="008C3B14"/>
    <w:rsid w:val="008C6F2F"/>
    <w:rsid w:val="008D335C"/>
    <w:rsid w:val="008E2539"/>
    <w:rsid w:val="008E38DA"/>
    <w:rsid w:val="008E677D"/>
    <w:rsid w:val="008F08A6"/>
    <w:rsid w:val="008F40C8"/>
    <w:rsid w:val="008F6EA5"/>
    <w:rsid w:val="0090616A"/>
    <w:rsid w:val="009101BD"/>
    <w:rsid w:val="00910660"/>
    <w:rsid w:val="00915A3C"/>
    <w:rsid w:val="00916FE2"/>
    <w:rsid w:val="009212C3"/>
    <w:rsid w:val="00921CD6"/>
    <w:rsid w:val="00925912"/>
    <w:rsid w:val="0092712D"/>
    <w:rsid w:val="00927678"/>
    <w:rsid w:val="00930285"/>
    <w:rsid w:val="00930784"/>
    <w:rsid w:val="009312D0"/>
    <w:rsid w:val="00931BE3"/>
    <w:rsid w:val="00932A4D"/>
    <w:rsid w:val="00934510"/>
    <w:rsid w:val="009345E8"/>
    <w:rsid w:val="009376AB"/>
    <w:rsid w:val="0094049D"/>
    <w:rsid w:val="0094153F"/>
    <w:rsid w:val="0094233A"/>
    <w:rsid w:val="009448A3"/>
    <w:rsid w:val="009451DB"/>
    <w:rsid w:val="009453AD"/>
    <w:rsid w:val="009474A4"/>
    <w:rsid w:val="00951559"/>
    <w:rsid w:val="00953AC3"/>
    <w:rsid w:val="00956022"/>
    <w:rsid w:val="009579D4"/>
    <w:rsid w:val="00962D6F"/>
    <w:rsid w:val="00962EC1"/>
    <w:rsid w:val="00963A36"/>
    <w:rsid w:val="00964941"/>
    <w:rsid w:val="00965085"/>
    <w:rsid w:val="009670CC"/>
    <w:rsid w:val="0097353B"/>
    <w:rsid w:val="00975461"/>
    <w:rsid w:val="00980475"/>
    <w:rsid w:val="0098052D"/>
    <w:rsid w:val="00980DE6"/>
    <w:rsid w:val="00983193"/>
    <w:rsid w:val="00983D46"/>
    <w:rsid w:val="00992762"/>
    <w:rsid w:val="009946C9"/>
    <w:rsid w:val="009A47B7"/>
    <w:rsid w:val="009A6554"/>
    <w:rsid w:val="009A7FBD"/>
    <w:rsid w:val="009B019E"/>
    <w:rsid w:val="009B3267"/>
    <w:rsid w:val="009C08E7"/>
    <w:rsid w:val="009C3646"/>
    <w:rsid w:val="009D2369"/>
    <w:rsid w:val="009D31DF"/>
    <w:rsid w:val="009D4D70"/>
    <w:rsid w:val="009D65BB"/>
    <w:rsid w:val="009E000A"/>
    <w:rsid w:val="009E6C1C"/>
    <w:rsid w:val="009F371E"/>
    <w:rsid w:val="009F37C7"/>
    <w:rsid w:val="009F72BC"/>
    <w:rsid w:val="00A01A46"/>
    <w:rsid w:val="00A035C6"/>
    <w:rsid w:val="00A107D1"/>
    <w:rsid w:val="00A113E0"/>
    <w:rsid w:val="00A14732"/>
    <w:rsid w:val="00A17B62"/>
    <w:rsid w:val="00A17CB7"/>
    <w:rsid w:val="00A22960"/>
    <w:rsid w:val="00A356D6"/>
    <w:rsid w:val="00A4040B"/>
    <w:rsid w:val="00A413E1"/>
    <w:rsid w:val="00A4216E"/>
    <w:rsid w:val="00A507EE"/>
    <w:rsid w:val="00A51FCA"/>
    <w:rsid w:val="00A530A4"/>
    <w:rsid w:val="00A53C54"/>
    <w:rsid w:val="00A54B09"/>
    <w:rsid w:val="00A5738A"/>
    <w:rsid w:val="00A57B24"/>
    <w:rsid w:val="00A601A5"/>
    <w:rsid w:val="00A63FAF"/>
    <w:rsid w:val="00A645D1"/>
    <w:rsid w:val="00A67C77"/>
    <w:rsid w:val="00A70B90"/>
    <w:rsid w:val="00A71578"/>
    <w:rsid w:val="00A71C5B"/>
    <w:rsid w:val="00A72A4D"/>
    <w:rsid w:val="00A75972"/>
    <w:rsid w:val="00A769F7"/>
    <w:rsid w:val="00A76C64"/>
    <w:rsid w:val="00A77E12"/>
    <w:rsid w:val="00A80B93"/>
    <w:rsid w:val="00A80E4C"/>
    <w:rsid w:val="00A82D38"/>
    <w:rsid w:val="00A9231D"/>
    <w:rsid w:val="00A92711"/>
    <w:rsid w:val="00A93330"/>
    <w:rsid w:val="00AA11FE"/>
    <w:rsid w:val="00AA5744"/>
    <w:rsid w:val="00AA5BA5"/>
    <w:rsid w:val="00AA5DBA"/>
    <w:rsid w:val="00AA76C3"/>
    <w:rsid w:val="00AB13E1"/>
    <w:rsid w:val="00AB20D9"/>
    <w:rsid w:val="00AB32CC"/>
    <w:rsid w:val="00AB53D0"/>
    <w:rsid w:val="00AC01AC"/>
    <w:rsid w:val="00AC19CE"/>
    <w:rsid w:val="00AC1E4B"/>
    <w:rsid w:val="00AC20D4"/>
    <w:rsid w:val="00AC4C2F"/>
    <w:rsid w:val="00AD3448"/>
    <w:rsid w:val="00AD4797"/>
    <w:rsid w:val="00AE0DDB"/>
    <w:rsid w:val="00AE1B46"/>
    <w:rsid w:val="00AE6151"/>
    <w:rsid w:val="00AE6DA8"/>
    <w:rsid w:val="00AE7C30"/>
    <w:rsid w:val="00AF07E7"/>
    <w:rsid w:val="00AF0E7D"/>
    <w:rsid w:val="00AF1769"/>
    <w:rsid w:val="00AF75BE"/>
    <w:rsid w:val="00B05872"/>
    <w:rsid w:val="00B062BA"/>
    <w:rsid w:val="00B147B8"/>
    <w:rsid w:val="00B16C69"/>
    <w:rsid w:val="00B20ADD"/>
    <w:rsid w:val="00B22DEF"/>
    <w:rsid w:val="00B24039"/>
    <w:rsid w:val="00B260CB"/>
    <w:rsid w:val="00B31989"/>
    <w:rsid w:val="00B3295A"/>
    <w:rsid w:val="00B32E0C"/>
    <w:rsid w:val="00B36630"/>
    <w:rsid w:val="00B37673"/>
    <w:rsid w:val="00B45DC9"/>
    <w:rsid w:val="00B5172B"/>
    <w:rsid w:val="00B541D9"/>
    <w:rsid w:val="00B632DF"/>
    <w:rsid w:val="00B67ED8"/>
    <w:rsid w:val="00B717DD"/>
    <w:rsid w:val="00B74E34"/>
    <w:rsid w:val="00B768E2"/>
    <w:rsid w:val="00B77DD9"/>
    <w:rsid w:val="00B83983"/>
    <w:rsid w:val="00B87429"/>
    <w:rsid w:val="00B879CB"/>
    <w:rsid w:val="00B93B5A"/>
    <w:rsid w:val="00B94492"/>
    <w:rsid w:val="00B95281"/>
    <w:rsid w:val="00B96DC2"/>
    <w:rsid w:val="00B976D0"/>
    <w:rsid w:val="00BA073D"/>
    <w:rsid w:val="00BA14B0"/>
    <w:rsid w:val="00BA28CA"/>
    <w:rsid w:val="00BA3434"/>
    <w:rsid w:val="00BA5B1B"/>
    <w:rsid w:val="00BA5EEA"/>
    <w:rsid w:val="00BB16C7"/>
    <w:rsid w:val="00BB4105"/>
    <w:rsid w:val="00BB4F48"/>
    <w:rsid w:val="00BB6E5E"/>
    <w:rsid w:val="00BB76ED"/>
    <w:rsid w:val="00BC1270"/>
    <w:rsid w:val="00BC3E74"/>
    <w:rsid w:val="00BC4F5F"/>
    <w:rsid w:val="00BC5273"/>
    <w:rsid w:val="00BC5AB7"/>
    <w:rsid w:val="00BC7791"/>
    <w:rsid w:val="00BD35E5"/>
    <w:rsid w:val="00BD4DE5"/>
    <w:rsid w:val="00BE0CC0"/>
    <w:rsid w:val="00BF1844"/>
    <w:rsid w:val="00BF25BD"/>
    <w:rsid w:val="00BF38C1"/>
    <w:rsid w:val="00BF3B37"/>
    <w:rsid w:val="00BF4D96"/>
    <w:rsid w:val="00BF4F69"/>
    <w:rsid w:val="00BF6E66"/>
    <w:rsid w:val="00C12A84"/>
    <w:rsid w:val="00C12DE4"/>
    <w:rsid w:val="00C20181"/>
    <w:rsid w:val="00C20F03"/>
    <w:rsid w:val="00C21F18"/>
    <w:rsid w:val="00C23777"/>
    <w:rsid w:val="00C30EE5"/>
    <w:rsid w:val="00C321C7"/>
    <w:rsid w:val="00C35CEA"/>
    <w:rsid w:val="00C3679E"/>
    <w:rsid w:val="00C501CB"/>
    <w:rsid w:val="00C5091D"/>
    <w:rsid w:val="00C54797"/>
    <w:rsid w:val="00C565BB"/>
    <w:rsid w:val="00C66A37"/>
    <w:rsid w:val="00C71564"/>
    <w:rsid w:val="00C7333C"/>
    <w:rsid w:val="00C73F61"/>
    <w:rsid w:val="00C74F7E"/>
    <w:rsid w:val="00C755C0"/>
    <w:rsid w:val="00C814E7"/>
    <w:rsid w:val="00C82652"/>
    <w:rsid w:val="00C87DA9"/>
    <w:rsid w:val="00C9018A"/>
    <w:rsid w:val="00C91650"/>
    <w:rsid w:val="00C916AA"/>
    <w:rsid w:val="00C93555"/>
    <w:rsid w:val="00C956BE"/>
    <w:rsid w:val="00C96E9E"/>
    <w:rsid w:val="00CA0BDA"/>
    <w:rsid w:val="00CA1D9C"/>
    <w:rsid w:val="00CA2404"/>
    <w:rsid w:val="00CA3784"/>
    <w:rsid w:val="00CA5201"/>
    <w:rsid w:val="00CA60CF"/>
    <w:rsid w:val="00CB0124"/>
    <w:rsid w:val="00CB59FD"/>
    <w:rsid w:val="00CB63AC"/>
    <w:rsid w:val="00CC0092"/>
    <w:rsid w:val="00CC1288"/>
    <w:rsid w:val="00CC3645"/>
    <w:rsid w:val="00CC7395"/>
    <w:rsid w:val="00CD013F"/>
    <w:rsid w:val="00CD4DE9"/>
    <w:rsid w:val="00CD5F19"/>
    <w:rsid w:val="00CD6CF5"/>
    <w:rsid w:val="00CD7875"/>
    <w:rsid w:val="00CE0AAE"/>
    <w:rsid w:val="00CE0D68"/>
    <w:rsid w:val="00CE2DC8"/>
    <w:rsid w:val="00CE61C8"/>
    <w:rsid w:val="00CF16B4"/>
    <w:rsid w:val="00CF235C"/>
    <w:rsid w:val="00CF6127"/>
    <w:rsid w:val="00CF6381"/>
    <w:rsid w:val="00CF7E14"/>
    <w:rsid w:val="00D01436"/>
    <w:rsid w:val="00D11B5C"/>
    <w:rsid w:val="00D126E2"/>
    <w:rsid w:val="00D1360B"/>
    <w:rsid w:val="00D13C35"/>
    <w:rsid w:val="00D1732F"/>
    <w:rsid w:val="00D17574"/>
    <w:rsid w:val="00D1774C"/>
    <w:rsid w:val="00D206E6"/>
    <w:rsid w:val="00D20A1D"/>
    <w:rsid w:val="00D21F1D"/>
    <w:rsid w:val="00D241BB"/>
    <w:rsid w:val="00D24D9F"/>
    <w:rsid w:val="00D255AE"/>
    <w:rsid w:val="00D3026A"/>
    <w:rsid w:val="00D31834"/>
    <w:rsid w:val="00D322AC"/>
    <w:rsid w:val="00D32A9C"/>
    <w:rsid w:val="00D33DF0"/>
    <w:rsid w:val="00D37A88"/>
    <w:rsid w:val="00D404F9"/>
    <w:rsid w:val="00D457CB"/>
    <w:rsid w:val="00D46C38"/>
    <w:rsid w:val="00D47C4D"/>
    <w:rsid w:val="00D53034"/>
    <w:rsid w:val="00D64159"/>
    <w:rsid w:val="00D656A7"/>
    <w:rsid w:val="00D658FF"/>
    <w:rsid w:val="00D66348"/>
    <w:rsid w:val="00D744CA"/>
    <w:rsid w:val="00D74B25"/>
    <w:rsid w:val="00D757D8"/>
    <w:rsid w:val="00D75B4C"/>
    <w:rsid w:val="00D80BA8"/>
    <w:rsid w:val="00D8132D"/>
    <w:rsid w:val="00D8179C"/>
    <w:rsid w:val="00D862F6"/>
    <w:rsid w:val="00D90478"/>
    <w:rsid w:val="00D904DE"/>
    <w:rsid w:val="00D90ADA"/>
    <w:rsid w:val="00D94BEA"/>
    <w:rsid w:val="00D97624"/>
    <w:rsid w:val="00D97F76"/>
    <w:rsid w:val="00DA2D44"/>
    <w:rsid w:val="00DA68BA"/>
    <w:rsid w:val="00DA7282"/>
    <w:rsid w:val="00DB3019"/>
    <w:rsid w:val="00DB52F0"/>
    <w:rsid w:val="00DB78DD"/>
    <w:rsid w:val="00DC02F5"/>
    <w:rsid w:val="00DD1916"/>
    <w:rsid w:val="00DD555E"/>
    <w:rsid w:val="00DD6905"/>
    <w:rsid w:val="00DD7D18"/>
    <w:rsid w:val="00DE0B3D"/>
    <w:rsid w:val="00DE1D9C"/>
    <w:rsid w:val="00DF05B8"/>
    <w:rsid w:val="00DF0C9C"/>
    <w:rsid w:val="00DF2384"/>
    <w:rsid w:val="00DF3F02"/>
    <w:rsid w:val="00DF4E49"/>
    <w:rsid w:val="00E031BF"/>
    <w:rsid w:val="00E11D90"/>
    <w:rsid w:val="00E123BF"/>
    <w:rsid w:val="00E253D2"/>
    <w:rsid w:val="00E259DC"/>
    <w:rsid w:val="00E262B7"/>
    <w:rsid w:val="00E27DA5"/>
    <w:rsid w:val="00E3056D"/>
    <w:rsid w:val="00E32751"/>
    <w:rsid w:val="00E328B7"/>
    <w:rsid w:val="00E37220"/>
    <w:rsid w:val="00E45741"/>
    <w:rsid w:val="00E46925"/>
    <w:rsid w:val="00E50445"/>
    <w:rsid w:val="00E55467"/>
    <w:rsid w:val="00E56687"/>
    <w:rsid w:val="00E56740"/>
    <w:rsid w:val="00E57C39"/>
    <w:rsid w:val="00E60118"/>
    <w:rsid w:val="00E60E3D"/>
    <w:rsid w:val="00E62666"/>
    <w:rsid w:val="00E62D3E"/>
    <w:rsid w:val="00E63866"/>
    <w:rsid w:val="00E70A00"/>
    <w:rsid w:val="00E71CCF"/>
    <w:rsid w:val="00E7391B"/>
    <w:rsid w:val="00E750B2"/>
    <w:rsid w:val="00E77D2F"/>
    <w:rsid w:val="00E804B9"/>
    <w:rsid w:val="00E81394"/>
    <w:rsid w:val="00E87578"/>
    <w:rsid w:val="00E87608"/>
    <w:rsid w:val="00E91A6A"/>
    <w:rsid w:val="00E93444"/>
    <w:rsid w:val="00E9386E"/>
    <w:rsid w:val="00E940F4"/>
    <w:rsid w:val="00E94C2F"/>
    <w:rsid w:val="00E96EB0"/>
    <w:rsid w:val="00E978B2"/>
    <w:rsid w:val="00EA4FB1"/>
    <w:rsid w:val="00EA5959"/>
    <w:rsid w:val="00EA646A"/>
    <w:rsid w:val="00EA674D"/>
    <w:rsid w:val="00EA7455"/>
    <w:rsid w:val="00EB09E1"/>
    <w:rsid w:val="00EB2234"/>
    <w:rsid w:val="00EB353D"/>
    <w:rsid w:val="00EB41B1"/>
    <w:rsid w:val="00EB5E62"/>
    <w:rsid w:val="00EB7010"/>
    <w:rsid w:val="00EC0DD9"/>
    <w:rsid w:val="00EC0E88"/>
    <w:rsid w:val="00EC3CBD"/>
    <w:rsid w:val="00EC3F51"/>
    <w:rsid w:val="00EC544A"/>
    <w:rsid w:val="00EC673E"/>
    <w:rsid w:val="00EC77A1"/>
    <w:rsid w:val="00ED20E1"/>
    <w:rsid w:val="00ED2BF4"/>
    <w:rsid w:val="00ED36F8"/>
    <w:rsid w:val="00ED391E"/>
    <w:rsid w:val="00ED5B8D"/>
    <w:rsid w:val="00ED610F"/>
    <w:rsid w:val="00ED664F"/>
    <w:rsid w:val="00ED677B"/>
    <w:rsid w:val="00ED79C3"/>
    <w:rsid w:val="00EE2493"/>
    <w:rsid w:val="00EF0A1B"/>
    <w:rsid w:val="00EF0D7B"/>
    <w:rsid w:val="00EF1568"/>
    <w:rsid w:val="00EF1F16"/>
    <w:rsid w:val="00EF36E7"/>
    <w:rsid w:val="00EF67F9"/>
    <w:rsid w:val="00F00AFC"/>
    <w:rsid w:val="00F10FC0"/>
    <w:rsid w:val="00F11AD5"/>
    <w:rsid w:val="00F12168"/>
    <w:rsid w:val="00F15F0A"/>
    <w:rsid w:val="00F21744"/>
    <w:rsid w:val="00F21C6B"/>
    <w:rsid w:val="00F244E9"/>
    <w:rsid w:val="00F249A2"/>
    <w:rsid w:val="00F33EB1"/>
    <w:rsid w:val="00F34FDF"/>
    <w:rsid w:val="00F362C1"/>
    <w:rsid w:val="00F412E7"/>
    <w:rsid w:val="00F42ED5"/>
    <w:rsid w:val="00F43B01"/>
    <w:rsid w:val="00F54820"/>
    <w:rsid w:val="00F54FFD"/>
    <w:rsid w:val="00F604D4"/>
    <w:rsid w:val="00F620BE"/>
    <w:rsid w:val="00F63D9A"/>
    <w:rsid w:val="00F654A2"/>
    <w:rsid w:val="00F7044F"/>
    <w:rsid w:val="00F73655"/>
    <w:rsid w:val="00F74847"/>
    <w:rsid w:val="00F76716"/>
    <w:rsid w:val="00F81204"/>
    <w:rsid w:val="00F81BCF"/>
    <w:rsid w:val="00F81FDA"/>
    <w:rsid w:val="00F86D69"/>
    <w:rsid w:val="00F90C7A"/>
    <w:rsid w:val="00F95FA4"/>
    <w:rsid w:val="00FA06A6"/>
    <w:rsid w:val="00FA1D80"/>
    <w:rsid w:val="00FA2E19"/>
    <w:rsid w:val="00FA3399"/>
    <w:rsid w:val="00FA4E78"/>
    <w:rsid w:val="00FB4CBF"/>
    <w:rsid w:val="00FC1066"/>
    <w:rsid w:val="00FC28BD"/>
    <w:rsid w:val="00FC29C7"/>
    <w:rsid w:val="00FC3725"/>
    <w:rsid w:val="00FC387E"/>
    <w:rsid w:val="00FC6A3F"/>
    <w:rsid w:val="00FD6B8F"/>
    <w:rsid w:val="00FE1BAF"/>
    <w:rsid w:val="00FE56E4"/>
    <w:rsid w:val="00FF36B5"/>
    <w:rsid w:val="00FF6DA4"/>
    <w:rsid w:val="00FF71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F4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E98"/>
    <w:rPr>
      <w:rFonts w:ascii="Tahoma" w:hAnsi="Tahoma" w:cs="Tahoma"/>
      <w:sz w:val="16"/>
      <w:szCs w:val="16"/>
    </w:rPr>
  </w:style>
  <w:style w:type="character" w:styleId="CommentReference">
    <w:name w:val="annotation reference"/>
    <w:basedOn w:val="DefaultParagraphFont"/>
    <w:uiPriority w:val="99"/>
    <w:semiHidden/>
    <w:unhideWhenUsed/>
    <w:rsid w:val="00461338"/>
    <w:rPr>
      <w:sz w:val="16"/>
      <w:szCs w:val="16"/>
    </w:rPr>
  </w:style>
  <w:style w:type="paragraph" w:styleId="CommentText">
    <w:name w:val="annotation text"/>
    <w:basedOn w:val="Normal"/>
    <w:link w:val="CommentTextChar"/>
    <w:uiPriority w:val="99"/>
    <w:semiHidden/>
    <w:unhideWhenUsed/>
    <w:rsid w:val="00461338"/>
    <w:pPr>
      <w:spacing w:line="240" w:lineRule="auto"/>
    </w:pPr>
    <w:rPr>
      <w:sz w:val="20"/>
      <w:szCs w:val="20"/>
    </w:rPr>
  </w:style>
  <w:style w:type="character" w:customStyle="1" w:styleId="CommentTextChar">
    <w:name w:val="Comment Text Char"/>
    <w:basedOn w:val="DefaultParagraphFont"/>
    <w:link w:val="CommentText"/>
    <w:uiPriority w:val="99"/>
    <w:semiHidden/>
    <w:rsid w:val="00461338"/>
    <w:rPr>
      <w:sz w:val="20"/>
      <w:szCs w:val="20"/>
    </w:rPr>
  </w:style>
  <w:style w:type="paragraph" w:styleId="CommentSubject">
    <w:name w:val="annotation subject"/>
    <w:basedOn w:val="CommentText"/>
    <w:next w:val="CommentText"/>
    <w:link w:val="CommentSubjectChar"/>
    <w:uiPriority w:val="99"/>
    <w:semiHidden/>
    <w:unhideWhenUsed/>
    <w:rsid w:val="00461338"/>
    <w:rPr>
      <w:b/>
      <w:bCs/>
    </w:rPr>
  </w:style>
  <w:style w:type="character" w:customStyle="1" w:styleId="CommentSubjectChar">
    <w:name w:val="Comment Subject Char"/>
    <w:basedOn w:val="CommentTextChar"/>
    <w:link w:val="CommentSubject"/>
    <w:uiPriority w:val="99"/>
    <w:semiHidden/>
    <w:rsid w:val="00461338"/>
    <w:rPr>
      <w:b/>
      <w:bCs/>
      <w:sz w:val="20"/>
      <w:szCs w:val="20"/>
    </w:rPr>
  </w:style>
  <w:style w:type="paragraph" w:styleId="ListParagraph">
    <w:name w:val="List Paragraph"/>
    <w:basedOn w:val="Normal"/>
    <w:uiPriority w:val="99"/>
    <w:qFormat/>
    <w:rsid w:val="00405F68"/>
    <w:pPr>
      <w:ind w:left="720"/>
      <w:contextualSpacing/>
    </w:pPr>
  </w:style>
  <w:style w:type="paragraph" w:styleId="Caption">
    <w:name w:val="caption"/>
    <w:basedOn w:val="Normal"/>
    <w:next w:val="Normal"/>
    <w:uiPriority w:val="35"/>
    <w:unhideWhenUsed/>
    <w:qFormat/>
    <w:rsid w:val="0016665C"/>
    <w:pPr>
      <w:spacing w:line="240" w:lineRule="auto"/>
    </w:pPr>
    <w:rPr>
      <w:b/>
      <w:bCs/>
      <w:color w:val="4F81BD" w:themeColor="accent1"/>
      <w:sz w:val="18"/>
      <w:szCs w:val="18"/>
    </w:rPr>
  </w:style>
  <w:style w:type="table" w:styleId="TableGrid">
    <w:name w:val="Table Grid"/>
    <w:basedOn w:val="TableNormal"/>
    <w:uiPriority w:val="59"/>
    <w:rsid w:val="00ED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6B8F"/>
    <w:pPr>
      <w:tabs>
        <w:tab w:val="center" w:pos="4819"/>
        <w:tab w:val="right" w:pos="9638"/>
      </w:tabs>
      <w:spacing w:after="0" w:line="240" w:lineRule="auto"/>
    </w:pPr>
  </w:style>
  <w:style w:type="character" w:customStyle="1" w:styleId="FooterChar">
    <w:name w:val="Footer Char"/>
    <w:basedOn w:val="DefaultParagraphFont"/>
    <w:link w:val="Footer"/>
    <w:uiPriority w:val="99"/>
    <w:rsid w:val="00FD6B8F"/>
  </w:style>
  <w:style w:type="character" w:styleId="PageNumber">
    <w:name w:val="page number"/>
    <w:basedOn w:val="DefaultParagraphFont"/>
    <w:uiPriority w:val="99"/>
    <w:semiHidden/>
    <w:unhideWhenUsed/>
    <w:rsid w:val="00FD6B8F"/>
  </w:style>
  <w:style w:type="table" w:customStyle="1" w:styleId="Grigliatabella3">
    <w:name w:val="Griglia tabella3"/>
    <w:basedOn w:val="TableNormal"/>
    <w:next w:val="TableGrid"/>
    <w:uiPriority w:val="59"/>
    <w:rsid w:val="00094E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A56FE"/>
    <w:rPr>
      <w:rFonts w:cs="Times New Roman"/>
      <w:color w:val="0563C1"/>
      <w:u w:val="single"/>
    </w:rPr>
  </w:style>
  <w:style w:type="character" w:styleId="PlaceholderText">
    <w:name w:val="Placeholder Text"/>
    <w:basedOn w:val="DefaultParagraphFont"/>
    <w:uiPriority w:val="99"/>
    <w:semiHidden/>
    <w:rsid w:val="00962EC1"/>
    <w:rPr>
      <w:color w:val="808080"/>
    </w:rPr>
  </w:style>
  <w:style w:type="paragraph" w:styleId="Revision">
    <w:name w:val="Revision"/>
    <w:hidden/>
    <w:uiPriority w:val="99"/>
    <w:semiHidden/>
    <w:rsid w:val="00815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15556">
      <w:bodyDiv w:val="1"/>
      <w:marLeft w:val="0"/>
      <w:marRight w:val="0"/>
      <w:marTop w:val="0"/>
      <w:marBottom w:val="0"/>
      <w:divBdr>
        <w:top w:val="none" w:sz="0" w:space="0" w:color="auto"/>
        <w:left w:val="none" w:sz="0" w:space="0" w:color="auto"/>
        <w:bottom w:val="none" w:sz="0" w:space="0" w:color="auto"/>
        <w:right w:val="none" w:sz="0" w:space="0" w:color="auto"/>
      </w:divBdr>
    </w:div>
    <w:div w:id="677731132">
      <w:bodyDiv w:val="1"/>
      <w:marLeft w:val="0"/>
      <w:marRight w:val="0"/>
      <w:marTop w:val="0"/>
      <w:marBottom w:val="0"/>
      <w:divBdr>
        <w:top w:val="none" w:sz="0" w:space="0" w:color="auto"/>
        <w:left w:val="none" w:sz="0" w:space="0" w:color="auto"/>
        <w:bottom w:val="none" w:sz="0" w:space="0" w:color="auto"/>
        <w:right w:val="none" w:sz="0" w:space="0" w:color="auto"/>
      </w:divBdr>
    </w:div>
    <w:div w:id="950094525">
      <w:bodyDiv w:val="1"/>
      <w:marLeft w:val="0"/>
      <w:marRight w:val="0"/>
      <w:marTop w:val="0"/>
      <w:marBottom w:val="0"/>
      <w:divBdr>
        <w:top w:val="none" w:sz="0" w:space="0" w:color="auto"/>
        <w:left w:val="none" w:sz="0" w:space="0" w:color="auto"/>
        <w:bottom w:val="none" w:sz="0" w:space="0" w:color="auto"/>
        <w:right w:val="none" w:sz="0" w:space="0" w:color="auto"/>
      </w:divBdr>
      <w:divsChild>
        <w:div w:id="1516455385">
          <w:marLeft w:val="0"/>
          <w:marRight w:val="0"/>
          <w:marTop w:val="0"/>
          <w:marBottom w:val="0"/>
          <w:divBdr>
            <w:top w:val="none" w:sz="0" w:space="0" w:color="auto"/>
            <w:left w:val="none" w:sz="0" w:space="0" w:color="auto"/>
            <w:bottom w:val="none" w:sz="0" w:space="0" w:color="auto"/>
            <w:right w:val="none" w:sz="0" w:space="0" w:color="auto"/>
          </w:divBdr>
          <w:divsChild>
            <w:div w:id="1694458192">
              <w:marLeft w:val="0"/>
              <w:marRight w:val="0"/>
              <w:marTop w:val="0"/>
              <w:marBottom w:val="0"/>
              <w:divBdr>
                <w:top w:val="none" w:sz="0" w:space="0" w:color="auto"/>
                <w:left w:val="none" w:sz="0" w:space="0" w:color="auto"/>
                <w:bottom w:val="none" w:sz="0" w:space="0" w:color="auto"/>
                <w:right w:val="none" w:sz="0" w:space="0" w:color="auto"/>
              </w:divBdr>
              <w:divsChild>
                <w:div w:id="19289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134224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doi.org/10.1108/JIC-05-2014-0061"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79C4-8645-452E-9856-03795C1C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12295</Words>
  <Characters>70087</Characters>
  <Application>Microsoft Office Word</Application>
  <DocSecurity>0</DocSecurity>
  <Lines>584</Lines>
  <Paragraphs>164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dc:creator>
  <cp:lastModifiedBy>Jon Tucker</cp:lastModifiedBy>
  <cp:revision>7</cp:revision>
  <cp:lastPrinted>2017-08-29T10:07:00Z</cp:lastPrinted>
  <dcterms:created xsi:type="dcterms:W3CDTF">2017-10-17T12:16:00Z</dcterms:created>
  <dcterms:modified xsi:type="dcterms:W3CDTF">2017-10-17T12:23:00Z</dcterms:modified>
</cp:coreProperties>
</file>