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147" w:rsidRPr="00DD2E2E" w:rsidRDefault="00E43147" w:rsidP="00E43147">
      <w:pPr>
        <w:tabs>
          <w:tab w:val="left" w:pos="270"/>
          <w:tab w:val="center" w:pos="4513"/>
        </w:tabs>
        <w:spacing w:after="0" w:line="480" w:lineRule="auto"/>
        <w:jc w:val="center"/>
        <w:rPr>
          <w:rFonts w:ascii="Arial" w:hAnsi="Arial" w:cs="Arial"/>
          <w:b/>
          <w:sz w:val="20"/>
          <w:szCs w:val="20"/>
        </w:rPr>
      </w:pPr>
      <w:r w:rsidRPr="00DD2E2E">
        <w:rPr>
          <w:rFonts w:ascii="Arial" w:hAnsi="Arial" w:cs="Arial"/>
          <w:b/>
          <w:sz w:val="20"/>
          <w:szCs w:val="20"/>
        </w:rPr>
        <w:t>TITLE PAGE</w:t>
      </w:r>
    </w:p>
    <w:p w:rsidR="00E43147" w:rsidRPr="00DD2E2E" w:rsidRDefault="00E43147" w:rsidP="00E43147">
      <w:pPr>
        <w:spacing w:after="0" w:line="480" w:lineRule="auto"/>
        <w:rPr>
          <w:rFonts w:ascii="Arial" w:hAnsi="Arial" w:cs="Arial"/>
          <w:sz w:val="20"/>
          <w:szCs w:val="20"/>
        </w:rPr>
      </w:pPr>
    </w:p>
    <w:p w:rsidR="00E43147" w:rsidRPr="00DD2E2E" w:rsidRDefault="00E43147" w:rsidP="00E43147">
      <w:pPr>
        <w:spacing w:after="0" w:line="480" w:lineRule="auto"/>
        <w:rPr>
          <w:rFonts w:ascii="Arial" w:hAnsi="Arial" w:cs="Arial"/>
          <w:sz w:val="20"/>
          <w:szCs w:val="20"/>
        </w:rPr>
      </w:pPr>
      <w:r w:rsidRPr="00DD2E2E">
        <w:rPr>
          <w:rFonts w:ascii="Arial" w:hAnsi="Arial" w:cs="Arial"/>
          <w:b/>
          <w:sz w:val="20"/>
          <w:szCs w:val="20"/>
        </w:rPr>
        <w:t>Title:</w:t>
      </w:r>
      <w:r w:rsidRPr="00DD2E2E">
        <w:rPr>
          <w:rFonts w:ascii="Arial" w:hAnsi="Arial" w:cs="Arial"/>
          <w:sz w:val="20"/>
          <w:szCs w:val="20"/>
        </w:rPr>
        <w:t xml:space="preserve"> Test-retest reliability and smallest detectable change of the Bristol Impact of Hypermobility (</w:t>
      </w:r>
      <w:proofErr w:type="spellStart"/>
      <w:r w:rsidRPr="00DD2E2E">
        <w:rPr>
          <w:rFonts w:ascii="Arial" w:hAnsi="Arial" w:cs="Arial"/>
          <w:sz w:val="20"/>
          <w:szCs w:val="20"/>
        </w:rPr>
        <w:t>BIoH</w:t>
      </w:r>
      <w:proofErr w:type="spellEnd"/>
      <w:r w:rsidRPr="00DD2E2E">
        <w:rPr>
          <w:rFonts w:ascii="Arial" w:hAnsi="Arial" w:cs="Arial"/>
          <w:sz w:val="20"/>
          <w:szCs w:val="20"/>
        </w:rPr>
        <w:t>) questionnaire</w:t>
      </w:r>
    </w:p>
    <w:p w:rsidR="00E43147" w:rsidRPr="00DD2E2E" w:rsidRDefault="00E43147" w:rsidP="00E43147">
      <w:pPr>
        <w:spacing w:after="0" w:line="480" w:lineRule="auto"/>
        <w:rPr>
          <w:rFonts w:ascii="Arial" w:hAnsi="Arial" w:cs="Arial"/>
          <w:sz w:val="20"/>
          <w:szCs w:val="20"/>
        </w:rPr>
      </w:pPr>
    </w:p>
    <w:p w:rsidR="00E43147" w:rsidRPr="00DD2E2E" w:rsidRDefault="00E43147" w:rsidP="00E43147">
      <w:pPr>
        <w:spacing w:after="0" w:line="480" w:lineRule="auto"/>
        <w:rPr>
          <w:rFonts w:ascii="Arial" w:hAnsi="Arial" w:cs="Arial"/>
          <w:sz w:val="20"/>
          <w:szCs w:val="20"/>
          <w:vertAlign w:val="superscript"/>
        </w:rPr>
      </w:pPr>
      <w:r w:rsidRPr="00DD2E2E">
        <w:rPr>
          <w:rFonts w:ascii="Arial" w:hAnsi="Arial" w:cs="Arial"/>
          <w:b/>
          <w:sz w:val="20"/>
          <w:szCs w:val="20"/>
        </w:rPr>
        <w:t>Author Names &amp; Affiliations:</w:t>
      </w:r>
      <w:r w:rsidRPr="00DD2E2E">
        <w:rPr>
          <w:rFonts w:ascii="Arial" w:hAnsi="Arial" w:cs="Arial"/>
          <w:sz w:val="20"/>
          <w:szCs w:val="20"/>
        </w:rPr>
        <w:t xml:space="preserve"> Palmer </w:t>
      </w:r>
      <w:proofErr w:type="gramStart"/>
      <w:r w:rsidRPr="00DD2E2E">
        <w:rPr>
          <w:rFonts w:ascii="Arial" w:hAnsi="Arial" w:cs="Arial"/>
          <w:sz w:val="20"/>
          <w:szCs w:val="20"/>
        </w:rPr>
        <w:t>S</w:t>
      </w:r>
      <w:r w:rsidRPr="00DD2E2E">
        <w:rPr>
          <w:rFonts w:ascii="Arial" w:hAnsi="Arial" w:cs="Arial"/>
          <w:sz w:val="20"/>
          <w:szCs w:val="20"/>
          <w:vertAlign w:val="superscript"/>
        </w:rPr>
        <w:t>a</w:t>
      </w:r>
      <w:proofErr w:type="gramEnd"/>
      <w:r w:rsidRPr="00DD2E2E">
        <w:rPr>
          <w:rFonts w:ascii="Arial" w:hAnsi="Arial" w:cs="Arial"/>
          <w:sz w:val="20"/>
          <w:szCs w:val="20"/>
        </w:rPr>
        <w:t>, Manns S</w:t>
      </w:r>
      <w:r w:rsidRPr="00DD2E2E">
        <w:rPr>
          <w:rFonts w:ascii="Arial" w:hAnsi="Arial" w:cs="Arial"/>
          <w:sz w:val="20"/>
          <w:szCs w:val="20"/>
          <w:vertAlign w:val="superscript"/>
        </w:rPr>
        <w:t>a</w:t>
      </w:r>
      <w:r w:rsidRPr="00DD2E2E">
        <w:rPr>
          <w:rFonts w:ascii="Arial" w:hAnsi="Arial" w:cs="Arial"/>
          <w:sz w:val="20"/>
          <w:szCs w:val="20"/>
        </w:rPr>
        <w:t>, Cramp F</w:t>
      </w:r>
      <w:r w:rsidRPr="00DD2E2E">
        <w:rPr>
          <w:rFonts w:ascii="Arial" w:hAnsi="Arial" w:cs="Arial"/>
          <w:sz w:val="20"/>
          <w:szCs w:val="20"/>
          <w:vertAlign w:val="superscript"/>
        </w:rPr>
        <w:t>a</w:t>
      </w:r>
      <w:r w:rsidRPr="00DD2E2E">
        <w:rPr>
          <w:rFonts w:ascii="Arial" w:hAnsi="Arial" w:cs="Arial"/>
          <w:sz w:val="20"/>
          <w:szCs w:val="20"/>
        </w:rPr>
        <w:t xml:space="preserve">, Lewis </w:t>
      </w:r>
      <w:proofErr w:type="spellStart"/>
      <w:r w:rsidRPr="00DD2E2E">
        <w:rPr>
          <w:rFonts w:ascii="Arial" w:hAnsi="Arial" w:cs="Arial"/>
          <w:sz w:val="20"/>
          <w:szCs w:val="20"/>
        </w:rPr>
        <w:t>R</w:t>
      </w:r>
      <w:r w:rsidRPr="00DD2E2E">
        <w:rPr>
          <w:rFonts w:ascii="Arial" w:hAnsi="Arial" w:cs="Arial"/>
          <w:sz w:val="20"/>
          <w:szCs w:val="20"/>
          <w:vertAlign w:val="superscript"/>
        </w:rPr>
        <w:t>b</w:t>
      </w:r>
      <w:proofErr w:type="spellEnd"/>
      <w:r w:rsidRPr="00DD2E2E">
        <w:rPr>
          <w:rFonts w:ascii="Arial" w:hAnsi="Arial" w:cs="Arial"/>
          <w:sz w:val="20"/>
          <w:szCs w:val="20"/>
        </w:rPr>
        <w:t xml:space="preserve">, Clark </w:t>
      </w:r>
      <w:proofErr w:type="spellStart"/>
      <w:r w:rsidRPr="00DD2E2E">
        <w:rPr>
          <w:rFonts w:ascii="Arial" w:hAnsi="Arial" w:cs="Arial"/>
          <w:sz w:val="20"/>
          <w:szCs w:val="20"/>
        </w:rPr>
        <w:t>EM</w:t>
      </w:r>
      <w:r w:rsidRPr="00DD2E2E">
        <w:rPr>
          <w:rFonts w:ascii="Arial" w:hAnsi="Arial" w:cs="Arial"/>
          <w:sz w:val="20"/>
          <w:szCs w:val="20"/>
          <w:vertAlign w:val="superscript"/>
        </w:rPr>
        <w:t>c</w:t>
      </w:r>
      <w:proofErr w:type="spellEnd"/>
    </w:p>
    <w:p w:rsidR="00E43147" w:rsidRPr="00DD2E2E" w:rsidRDefault="00E43147" w:rsidP="00E43147">
      <w:pPr>
        <w:spacing w:after="0" w:line="480" w:lineRule="auto"/>
        <w:rPr>
          <w:rFonts w:ascii="Arial" w:hAnsi="Arial" w:cs="Arial"/>
          <w:sz w:val="20"/>
          <w:szCs w:val="20"/>
        </w:rPr>
      </w:pPr>
      <w:proofErr w:type="spellStart"/>
      <w:proofErr w:type="gramStart"/>
      <w:r w:rsidRPr="00DD2E2E">
        <w:rPr>
          <w:rFonts w:ascii="Arial" w:hAnsi="Arial" w:cs="Arial"/>
          <w:sz w:val="20"/>
          <w:szCs w:val="20"/>
          <w:vertAlign w:val="superscript"/>
        </w:rPr>
        <w:t>a</w:t>
      </w:r>
      <w:r w:rsidRPr="00DD2E2E">
        <w:rPr>
          <w:rFonts w:ascii="Arial" w:hAnsi="Arial" w:cs="Arial"/>
          <w:sz w:val="20"/>
          <w:szCs w:val="20"/>
        </w:rPr>
        <w:t>Department</w:t>
      </w:r>
      <w:proofErr w:type="spellEnd"/>
      <w:proofErr w:type="gramEnd"/>
      <w:r w:rsidRPr="00DD2E2E">
        <w:rPr>
          <w:rFonts w:ascii="Arial" w:hAnsi="Arial" w:cs="Arial"/>
          <w:sz w:val="20"/>
          <w:szCs w:val="20"/>
        </w:rPr>
        <w:t xml:space="preserve"> of Allied Health Professions, University of the West of England, Bristol, BS16 1DD, UK. </w:t>
      </w:r>
    </w:p>
    <w:p w:rsidR="00E43147" w:rsidRPr="00DD2E2E" w:rsidRDefault="00E43147" w:rsidP="00E43147">
      <w:pPr>
        <w:spacing w:after="0" w:line="480" w:lineRule="auto"/>
        <w:rPr>
          <w:rFonts w:ascii="Arial" w:hAnsi="Arial" w:cs="Arial"/>
          <w:sz w:val="20"/>
          <w:szCs w:val="20"/>
        </w:rPr>
      </w:pPr>
      <w:proofErr w:type="spellStart"/>
      <w:proofErr w:type="gramStart"/>
      <w:r w:rsidRPr="00DD2E2E">
        <w:rPr>
          <w:rFonts w:ascii="Arial" w:hAnsi="Arial" w:cs="Arial"/>
          <w:sz w:val="20"/>
          <w:szCs w:val="20"/>
          <w:vertAlign w:val="superscript"/>
        </w:rPr>
        <w:t>b</w:t>
      </w:r>
      <w:r w:rsidRPr="00DD2E2E">
        <w:rPr>
          <w:rFonts w:ascii="Arial" w:hAnsi="Arial" w:cs="Arial"/>
          <w:sz w:val="20"/>
          <w:szCs w:val="20"/>
        </w:rPr>
        <w:t>Department</w:t>
      </w:r>
      <w:proofErr w:type="spellEnd"/>
      <w:proofErr w:type="gramEnd"/>
      <w:r w:rsidRPr="00DD2E2E">
        <w:rPr>
          <w:rFonts w:ascii="Arial" w:hAnsi="Arial" w:cs="Arial"/>
          <w:sz w:val="20"/>
          <w:szCs w:val="20"/>
        </w:rPr>
        <w:t xml:space="preserve"> of Physiotherapy, North Bristol NHS Trust, Southmead Hospital, Westbury-on-</w:t>
      </w:r>
      <w:proofErr w:type="spellStart"/>
      <w:r w:rsidRPr="00DD2E2E">
        <w:rPr>
          <w:rFonts w:ascii="Arial" w:hAnsi="Arial" w:cs="Arial"/>
          <w:sz w:val="20"/>
          <w:szCs w:val="20"/>
        </w:rPr>
        <w:t>Trym</w:t>
      </w:r>
      <w:proofErr w:type="spellEnd"/>
      <w:r w:rsidRPr="00DD2E2E">
        <w:rPr>
          <w:rFonts w:ascii="Arial" w:hAnsi="Arial" w:cs="Arial"/>
          <w:sz w:val="20"/>
          <w:szCs w:val="20"/>
        </w:rPr>
        <w:t xml:space="preserve">, Bristol, BS10 5NB, UK.  </w:t>
      </w:r>
    </w:p>
    <w:p w:rsidR="00E43147" w:rsidRPr="00DD2E2E" w:rsidRDefault="00E43147" w:rsidP="00E43147">
      <w:pPr>
        <w:spacing w:after="0" w:line="480" w:lineRule="auto"/>
        <w:rPr>
          <w:rFonts w:ascii="Arial" w:hAnsi="Arial" w:cs="Arial"/>
          <w:sz w:val="20"/>
          <w:szCs w:val="20"/>
        </w:rPr>
      </w:pPr>
      <w:proofErr w:type="spellStart"/>
      <w:proofErr w:type="gramStart"/>
      <w:r w:rsidRPr="00DD2E2E">
        <w:rPr>
          <w:rFonts w:ascii="Arial" w:hAnsi="Arial" w:cs="Arial"/>
          <w:sz w:val="20"/>
          <w:szCs w:val="20"/>
          <w:vertAlign w:val="superscript"/>
        </w:rPr>
        <w:t>c</w:t>
      </w:r>
      <w:r w:rsidRPr="00DD2E2E">
        <w:rPr>
          <w:rFonts w:ascii="Arial" w:hAnsi="Arial" w:cs="Arial"/>
          <w:sz w:val="20"/>
          <w:szCs w:val="20"/>
        </w:rPr>
        <w:t>Musculoskeletal</w:t>
      </w:r>
      <w:proofErr w:type="spellEnd"/>
      <w:proofErr w:type="gramEnd"/>
      <w:r w:rsidRPr="00DD2E2E">
        <w:rPr>
          <w:rFonts w:ascii="Arial" w:hAnsi="Arial" w:cs="Arial"/>
          <w:sz w:val="20"/>
          <w:szCs w:val="20"/>
        </w:rPr>
        <w:t xml:space="preserve"> Research Unit, University of Bristol, Southmead Hospital, Westbury-on-</w:t>
      </w:r>
      <w:proofErr w:type="spellStart"/>
      <w:r w:rsidRPr="00DD2E2E">
        <w:rPr>
          <w:rFonts w:ascii="Arial" w:hAnsi="Arial" w:cs="Arial"/>
          <w:sz w:val="20"/>
          <w:szCs w:val="20"/>
        </w:rPr>
        <w:t>Trym</w:t>
      </w:r>
      <w:proofErr w:type="spellEnd"/>
      <w:r w:rsidRPr="00DD2E2E">
        <w:rPr>
          <w:rFonts w:ascii="Arial" w:hAnsi="Arial" w:cs="Arial"/>
          <w:sz w:val="20"/>
          <w:szCs w:val="20"/>
        </w:rPr>
        <w:t xml:space="preserve">, Bristol, BS10 5NB, UK.  </w:t>
      </w:r>
    </w:p>
    <w:p w:rsidR="00E43147" w:rsidRPr="00DD2E2E" w:rsidRDefault="00E43147" w:rsidP="00E43147">
      <w:pPr>
        <w:spacing w:after="0" w:line="480" w:lineRule="auto"/>
        <w:rPr>
          <w:rFonts w:ascii="Arial" w:hAnsi="Arial" w:cs="Arial"/>
          <w:sz w:val="20"/>
          <w:szCs w:val="20"/>
        </w:rPr>
      </w:pPr>
    </w:p>
    <w:p w:rsidR="00E43147" w:rsidRPr="00DD2E2E" w:rsidRDefault="00E43147" w:rsidP="00E43147">
      <w:pPr>
        <w:spacing w:after="0" w:line="480" w:lineRule="auto"/>
        <w:rPr>
          <w:rFonts w:ascii="Arial" w:hAnsi="Arial" w:cs="Arial"/>
          <w:sz w:val="20"/>
          <w:szCs w:val="20"/>
        </w:rPr>
      </w:pPr>
      <w:r w:rsidRPr="00DD2E2E">
        <w:rPr>
          <w:rFonts w:ascii="Arial" w:hAnsi="Arial" w:cs="Arial"/>
          <w:b/>
          <w:sz w:val="20"/>
          <w:szCs w:val="20"/>
        </w:rPr>
        <w:t xml:space="preserve">Corresponding author: </w:t>
      </w:r>
      <w:r w:rsidRPr="00DD2E2E">
        <w:rPr>
          <w:rFonts w:ascii="Arial" w:hAnsi="Arial" w:cs="Arial"/>
          <w:sz w:val="20"/>
          <w:szCs w:val="20"/>
        </w:rPr>
        <w:t xml:space="preserve">Professor Shea Palmer, Department of Allied Health Professions, University of the West of England, Blackberry Hill, Bristol, UK, BS10 1DD. Tel: +44 (0)117 3288919. Email: </w:t>
      </w:r>
      <w:hyperlink r:id="rId5" w:history="1">
        <w:r w:rsidRPr="00DD2E2E">
          <w:rPr>
            <w:rStyle w:val="Hyperlink"/>
            <w:rFonts w:ascii="Arial" w:hAnsi="Arial" w:cs="Arial"/>
            <w:sz w:val="20"/>
            <w:szCs w:val="20"/>
          </w:rPr>
          <w:t>Shea.Palmer@uwe.ac.uk</w:t>
        </w:r>
      </w:hyperlink>
      <w:r w:rsidRPr="00DD2E2E">
        <w:rPr>
          <w:rFonts w:ascii="Arial" w:hAnsi="Arial" w:cs="Arial"/>
          <w:sz w:val="20"/>
          <w:szCs w:val="20"/>
        </w:rPr>
        <w:t>. ORCID ID: orcid.org/0000-0002-5190-3264,</w:t>
      </w:r>
    </w:p>
    <w:p w:rsidR="00E43147" w:rsidRDefault="00E43147" w:rsidP="00E43147">
      <w:pPr>
        <w:spacing w:after="0" w:line="480" w:lineRule="auto"/>
        <w:rPr>
          <w:rFonts w:ascii="Arial" w:hAnsi="Arial" w:cs="Arial"/>
          <w:b/>
          <w:sz w:val="20"/>
          <w:szCs w:val="20"/>
        </w:rPr>
      </w:pPr>
    </w:p>
    <w:p w:rsidR="00E43147" w:rsidRPr="00DD2E2E" w:rsidRDefault="00E43147" w:rsidP="00E43147">
      <w:pPr>
        <w:spacing w:after="0" w:line="480" w:lineRule="auto"/>
        <w:rPr>
          <w:rFonts w:ascii="Arial" w:hAnsi="Arial" w:cs="Arial"/>
          <w:sz w:val="20"/>
          <w:szCs w:val="20"/>
        </w:rPr>
      </w:pPr>
      <w:r w:rsidRPr="00DD2E2E">
        <w:rPr>
          <w:rFonts w:ascii="Arial" w:hAnsi="Arial" w:cs="Arial"/>
          <w:b/>
          <w:sz w:val="20"/>
          <w:szCs w:val="20"/>
        </w:rPr>
        <w:t xml:space="preserve">Keywords: </w:t>
      </w:r>
      <w:r w:rsidRPr="00DD2E2E">
        <w:rPr>
          <w:rFonts w:ascii="Arial" w:hAnsi="Arial" w:cs="Arial"/>
          <w:sz w:val="20"/>
          <w:szCs w:val="20"/>
        </w:rPr>
        <w:t>Benign hypermobility syndrome; Ehlers-</w:t>
      </w:r>
      <w:proofErr w:type="spellStart"/>
      <w:r w:rsidRPr="00DD2E2E">
        <w:rPr>
          <w:rFonts w:ascii="Arial" w:hAnsi="Arial" w:cs="Arial"/>
          <w:sz w:val="20"/>
          <w:szCs w:val="20"/>
        </w:rPr>
        <w:t>Danlos</w:t>
      </w:r>
      <w:proofErr w:type="spellEnd"/>
      <w:r w:rsidRPr="00DD2E2E">
        <w:rPr>
          <w:rFonts w:ascii="Arial" w:hAnsi="Arial" w:cs="Arial"/>
          <w:sz w:val="20"/>
          <w:szCs w:val="20"/>
        </w:rPr>
        <w:t xml:space="preserve"> Syndrome,</w:t>
      </w:r>
    </w:p>
    <w:p w:rsidR="00E43147" w:rsidRPr="00DD2E2E" w:rsidRDefault="00E43147" w:rsidP="00E43147">
      <w:pPr>
        <w:spacing w:after="0" w:line="480" w:lineRule="auto"/>
        <w:rPr>
          <w:rFonts w:ascii="Arial" w:hAnsi="Arial" w:cs="Arial"/>
          <w:sz w:val="20"/>
          <w:szCs w:val="20"/>
        </w:rPr>
      </w:pPr>
      <w:r w:rsidRPr="00DD2E2E">
        <w:rPr>
          <w:rFonts w:ascii="Arial" w:hAnsi="Arial" w:cs="Arial"/>
          <w:sz w:val="20"/>
          <w:szCs w:val="20"/>
        </w:rPr>
        <w:t xml:space="preserve">Hypermobility Type; Test-retest reliability; Questionnaire </w:t>
      </w:r>
    </w:p>
    <w:p w:rsidR="00E43147" w:rsidRPr="00DD2E2E" w:rsidRDefault="00E43147" w:rsidP="00E43147">
      <w:pPr>
        <w:spacing w:after="0" w:line="480" w:lineRule="auto"/>
        <w:rPr>
          <w:rFonts w:ascii="Arial" w:hAnsi="Arial" w:cs="Arial"/>
          <w:b/>
          <w:sz w:val="20"/>
          <w:szCs w:val="20"/>
        </w:rPr>
      </w:pPr>
    </w:p>
    <w:p w:rsidR="00E43147" w:rsidRPr="00DD2E2E" w:rsidRDefault="00E43147" w:rsidP="00E43147">
      <w:pPr>
        <w:spacing w:after="0" w:line="480" w:lineRule="auto"/>
        <w:rPr>
          <w:rFonts w:ascii="Arial" w:hAnsi="Arial" w:cs="Arial"/>
          <w:sz w:val="20"/>
          <w:szCs w:val="20"/>
        </w:rPr>
      </w:pPr>
      <w:r w:rsidRPr="00DD2E2E">
        <w:rPr>
          <w:rFonts w:ascii="Arial" w:hAnsi="Arial" w:cs="Arial"/>
          <w:b/>
          <w:sz w:val="20"/>
          <w:szCs w:val="20"/>
        </w:rPr>
        <w:t xml:space="preserve">Word count: </w:t>
      </w:r>
      <w:r>
        <w:rPr>
          <w:rFonts w:ascii="Arial" w:hAnsi="Arial" w:cs="Arial"/>
          <w:sz w:val="20"/>
          <w:szCs w:val="20"/>
        </w:rPr>
        <w:t>3,209</w:t>
      </w:r>
    </w:p>
    <w:p w:rsidR="00E43147" w:rsidRDefault="00E43147" w:rsidP="00E43147"/>
    <w:p w:rsidR="00E43147" w:rsidRDefault="00E43147">
      <w:pPr>
        <w:rPr>
          <w:rFonts w:ascii="Arial" w:hAnsi="Arial" w:cs="Arial"/>
          <w:b/>
          <w:sz w:val="20"/>
          <w:szCs w:val="20"/>
        </w:rPr>
      </w:pPr>
      <w:r>
        <w:rPr>
          <w:rFonts w:ascii="Arial" w:hAnsi="Arial" w:cs="Arial"/>
          <w:b/>
          <w:sz w:val="20"/>
          <w:szCs w:val="20"/>
        </w:rPr>
        <w:br w:type="page"/>
      </w:r>
    </w:p>
    <w:p w:rsidR="00E43147" w:rsidRPr="0046620F" w:rsidRDefault="00E43147" w:rsidP="00E43147">
      <w:pPr>
        <w:spacing w:after="0" w:line="480" w:lineRule="auto"/>
        <w:jc w:val="center"/>
        <w:rPr>
          <w:rFonts w:ascii="Arial" w:hAnsi="Arial" w:cs="Arial"/>
          <w:b/>
          <w:sz w:val="20"/>
          <w:szCs w:val="20"/>
        </w:rPr>
      </w:pPr>
      <w:r w:rsidRPr="0046620F">
        <w:rPr>
          <w:rFonts w:ascii="Arial" w:hAnsi="Arial" w:cs="Arial"/>
          <w:b/>
          <w:sz w:val="20"/>
          <w:szCs w:val="20"/>
        </w:rPr>
        <w:lastRenderedPageBreak/>
        <w:t>ABSTRACT</w:t>
      </w:r>
    </w:p>
    <w:p w:rsidR="00E43147" w:rsidRPr="0046620F" w:rsidRDefault="00E43147" w:rsidP="00E43147">
      <w:pPr>
        <w:spacing w:after="0" w:line="480" w:lineRule="auto"/>
        <w:rPr>
          <w:rFonts w:ascii="Arial" w:hAnsi="Arial" w:cs="Arial"/>
          <w:b/>
          <w:sz w:val="20"/>
          <w:szCs w:val="20"/>
        </w:rPr>
      </w:pPr>
    </w:p>
    <w:p w:rsidR="00E43147" w:rsidRPr="0046620F" w:rsidRDefault="00E43147" w:rsidP="00E43147">
      <w:pPr>
        <w:spacing w:after="0" w:line="480" w:lineRule="auto"/>
        <w:rPr>
          <w:rFonts w:ascii="Arial" w:hAnsi="Arial" w:cs="Arial"/>
          <w:b/>
          <w:sz w:val="20"/>
          <w:szCs w:val="20"/>
        </w:rPr>
      </w:pPr>
      <w:r w:rsidRPr="0046620F">
        <w:rPr>
          <w:rFonts w:ascii="Arial" w:hAnsi="Arial" w:cs="Arial"/>
          <w:b/>
          <w:sz w:val="20"/>
          <w:szCs w:val="20"/>
        </w:rPr>
        <w:t xml:space="preserve">Objective: </w:t>
      </w:r>
      <w:r w:rsidRPr="0046620F">
        <w:rPr>
          <w:rFonts w:ascii="Arial" w:hAnsi="Arial" w:cs="Arial"/>
          <w:sz w:val="20"/>
          <w:szCs w:val="20"/>
        </w:rPr>
        <w:t>The Bristol Impact of Hypermobility (</w:t>
      </w:r>
      <w:proofErr w:type="spellStart"/>
      <w:r w:rsidRPr="0046620F">
        <w:rPr>
          <w:rFonts w:ascii="Arial" w:hAnsi="Arial" w:cs="Arial"/>
          <w:sz w:val="20"/>
          <w:szCs w:val="20"/>
        </w:rPr>
        <w:t>BIoH</w:t>
      </w:r>
      <w:proofErr w:type="spellEnd"/>
      <w:r w:rsidRPr="0046620F">
        <w:rPr>
          <w:rFonts w:ascii="Arial" w:hAnsi="Arial" w:cs="Arial"/>
          <w:sz w:val="20"/>
          <w:szCs w:val="20"/>
        </w:rPr>
        <w:t>) questionnaire is a patient-reported outcome measure developed in conjunction with adults with Joint Hypermobility Syndrome (JHS). It has demonstrated strong concurrent validity with the Short Form-36 (SF-36) physical component score but other psychometric properties have yet to be established. This study aimed to determine its test-retest reliability and smallest detectable change (SDC).</w:t>
      </w:r>
    </w:p>
    <w:p w:rsidR="00E43147" w:rsidRPr="0046620F" w:rsidRDefault="00E43147" w:rsidP="00E43147">
      <w:pPr>
        <w:spacing w:after="0" w:line="480" w:lineRule="auto"/>
        <w:rPr>
          <w:rFonts w:ascii="Arial" w:hAnsi="Arial" w:cs="Arial"/>
          <w:b/>
          <w:sz w:val="20"/>
          <w:szCs w:val="20"/>
        </w:rPr>
      </w:pPr>
      <w:r w:rsidRPr="0046620F">
        <w:rPr>
          <w:rFonts w:ascii="Arial" w:hAnsi="Arial" w:cs="Arial"/>
          <w:b/>
          <w:sz w:val="20"/>
          <w:szCs w:val="20"/>
        </w:rPr>
        <w:t xml:space="preserve">Design: </w:t>
      </w:r>
      <w:r w:rsidRPr="0046620F">
        <w:rPr>
          <w:rFonts w:ascii="Arial" w:hAnsi="Arial" w:cs="Arial"/>
          <w:sz w:val="20"/>
          <w:szCs w:val="20"/>
        </w:rPr>
        <w:t>A test-retest reliability study.</w:t>
      </w:r>
    </w:p>
    <w:p w:rsidR="00E43147" w:rsidRPr="0046620F" w:rsidRDefault="00E43147" w:rsidP="00E43147">
      <w:pPr>
        <w:spacing w:after="0" w:line="480" w:lineRule="auto"/>
        <w:rPr>
          <w:rFonts w:ascii="Arial" w:hAnsi="Arial" w:cs="Arial"/>
          <w:sz w:val="20"/>
          <w:szCs w:val="20"/>
        </w:rPr>
      </w:pPr>
      <w:r w:rsidRPr="0046620F">
        <w:rPr>
          <w:rFonts w:ascii="Arial" w:hAnsi="Arial" w:cs="Arial"/>
          <w:b/>
          <w:sz w:val="20"/>
          <w:szCs w:val="20"/>
        </w:rPr>
        <w:t xml:space="preserve">Setting: </w:t>
      </w:r>
      <w:r w:rsidRPr="0046620F">
        <w:rPr>
          <w:rFonts w:ascii="Arial" w:hAnsi="Arial" w:cs="Arial"/>
          <w:sz w:val="20"/>
          <w:szCs w:val="20"/>
        </w:rPr>
        <w:t xml:space="preserve">Participants </w:t>
      </w:r>
      <w:proofErr w:type="gramStart"/>
      <w:r w:rsidRPr="0046620F">
        <w:rPr>
          <w:rFonts w:ascii="Arial" w:hAnsi="Arial" w:cs="Arial"/>
          <w:sz w:val="20"/>
          <w:szCs w:val="20"/>
        </w:rPr>
        <w:t>were recruited</w:t>
      </w:r>
      <w:proofErr w:type="gramEnd"/>
      <w:r w:rsidRPr="0046620F">
        <w:rPr>
          <w:rFonts w:ascii="Arial" w:hAnsi="Arial" w:cs="Arial"/>
          <w:sz w:val="20"/>
          <w:szCs w:val="20"/>
        </w:rPr>
        <w:t xml:space="preserve"> from the Hypermobility Syndromes Association, a patient organisation in the United Kingdom.</w:t>
      </w:r>
    </w:p>
    <w:p w:rsidR="00E43147" w:rsidRPr="0046620F" w:rsidRDefault="00E43147" w:rsidP="00E43147">
      <w:pPr>
        <w:spacing w:after="0" w:line="480" w:lineRule="auto"/>
        <w:rPr>
          <w:rFonts w:ascii="Arial" w:hAnsi="Arial" w:cs="Arial"/>
          <w:b/>
          <w:sz w:val="20"/>
          <w:szCs w:val="20"/>
        </w:rPr>
      </w:pPr>
      <w:r w:rsidRPr="0046620F">
        <w:rPr>
          <w:rFonts w:ascii="Arial" w:hAnsi="Arial" w:cs="Arial"/>
          <w:b/>
          <w:sz w:val="20"/>
          <w:szCs w:val="20"/>
        </w:rPr>
        <w:t>Patients:</w:t>
      </w:r>
      <w:r w:rsidRPr="0046620F">
        <w:rPr>
          <w:rFonts w:ascii="Arial" w:hAnsi="Arial" w:cs="Arial"/>
          <w:sz w:val="20"/>
          <w:szCs w:val="20"/>
        </w:rPr>
        <w:t xml:space="preserve"> Recruitment packs </w:t>
      </w:r>
      <w:proofErr w:type="gramStart"/>
      <w:r w:rsidRPr="0046620F">
        <w:rPr>
          <w:rFonts w:ascii="Arial" w:hAnsi="Arial" w:cs="Arial"/>
          <w:sz w:val="20"/>
          <w:szCs w:val="20"/>
        </w:rPr>
        <w:t>were sent</w:t>
      </w:r>
      <w:proofErr w:type="gramEnd"/>
      <w:r w:rsidRPr="0046620F">
        <w:rPr>
          <w:rFonts w:ascii="Arial" w:hAnsi="Arial" w:cs="Arial"/>
          <w:sz w:val="20"/>
          <w:szCs w:val="20"/>
        </w:rPr>
        <w:t xml:space="preserve"> to 1,080 adults who had given permission to be contacted about research.</w:t>
      </w:r>
    </w:p>
    <w:p w:rsidR="00E43147" w:rsidRPr="0046620F" w:rsidRDefault="00E43147" w:rsidP="00E43147">
      <w:pPr>
        <w:spacing w:after="0" w:line="480" w:lineRule="auto"/>
        <w:rPr>
          <w:rFonts w:ascii="Arial" w:hAnsi="Arial" w:cs="Arial"/>
          <w:sz w:val="20"/>
          <w:szCs w:val="20"/>
        </w:rPr>
      </w:pPr>
      <w:r w:rsidRPr="0046620F">
        <w:rPr>
          <w:rFonts w:ascii="Arial" w:hAnsi="Arial" w:cs="Arial"/>
          <w:b/>
          <w:sz w:val="20"/>
          <w:szCs w:val="20"/>
        </w:rPr>
        <w:t xml:space="preserve">Main Outcome Measures: </w:t>
      </w:r>
      <w:proofErr w:type="spellStart"/>
      <w:r w:rsidRPr="0046620F">
        <w:rPr>
          <w:rFonts w:ascii="Arial" w:hAnsi="Arial" w:cs="Arial"/>
          <w:sz w:val="20"/>
          <w:szCs w:val="20"/>
        </w:rPr>
        <w:t>BIoH</w:t>
      </w:r>
      <w:proofErr w:type="spellEnd"/>
      <w:r w:rsidRPr="0046620F">
        <w:rPr>
          <w:rFonts w:ascii="Arial" w:hAnsi="Arial" w:cs="Arial"/>
          <w:sz w:val="20"/>
          <w:szCs w:val="20"/>
        </w:rPr>
        <w:t xml:space="preserve"> and SF-36 questionnaires </w:t>
      </w:r>
      <w:proofErr w:type="gramStart"/>
      <w:r w:rsidRPr="0046620F">
        <w:rPr>
          <w:rFonts w:ascii="Arial" w:hAnsi="Arial" w:cs="Arial"/>
          <w:sz w:val="20"/>
          <w:szCs w:val="20"/>
        </w:rPr>
        <w:t>were administered at baseline and repeated two weeks later</w:t>
      </w:r>
      <w:proofErr w:type="gramEnd"/>
      <w:r w:rsidRPr="0046620F">
        <w:rPr>
          <w:rFonts w:ascii="Arial" w:hAnsi="Arial" w:cs="Arial"/>
          <w:sz w:val="20"/>
          <w:szCs w:val="20"/>
        </w:rPr>
        <w:t xml:space="preserve">. An 11-point global rating of change scale (-5 to +5) was also administered at two weeks. Test-retest analysis and calculation of the SDC </w:t>
      </w:r>
      <w:proofErr w:type="gramStart"/>
      <w:r w:rsidRPr="0046620F">
        <w:rPr>
          <w:rFonts w:ascii="Arial" w:hAnsi="Arial" w:cs="Arial"/>
          <w:sz w:val="20"/>
          <w:szCs w:val="20"/>
        </w:rPr>
        <w:t>was conducted</w:t>
      </w:r>
      <w:proofErr w:type="gramEnd"/>
      <w:r w:rsidRPr="0046620F">
        <w:rPr>
          <w:rFonts w:ascii="Arial" w:hAnsi="Arial" w:cs="Arial"/>
          <w:sz w:val="20"/>
          <w:szCs w:val="20"/>
        </w:rPr>
        <w:t xml:space="preserve"> on ‘stable’ patients (defined as global rating of change -1 to +1).</w:t>
      </w:r>
    </w:p>
    <w:p w:rsidR="00E43147" w:rsidRPr="0046620F" w:rsidRDefault="00E43147" w:rsidP="00E43147">
      <w:pPr>
        <w:spacing w:after="0" w:line="480" w:lineRule="auto"/>
        <w:rPr>
          <w:rFonts w:ascii="Arial" w:hAnsi="Arial" w:cs="Arial"/>
          <w:sz w:val="20"/>
          <w:szCs w:val="20"/>
        </w:rPr>
      </w:pPr>
      <w:r w:rsidRPr="0046620F">
        <w:rPr>
          <w:rFonts w:ascii="Arial" w:hAnsi="Arial" w:cs="Arial"/>
          <w:b/>
          <w:sz w:val="20"/>
          <w:szCs w:val="20"/>
        </w:rPr>
        <w:t xml:space="preserve">Results: </w:t>
      </w:r>
      <w:r w:rsidRPr="0046620F">
        <w:rPr>
          <w:rFonts w:ascii="Arial" w:hAnsi="Arial" w:cs="Arial"/>
          <w:sz w:val="20"/>
          <w:szCs w:val="20"/>
        </w:rPr>
        <w:t xml:space="preserve">462 responses </w:t>
      </w:r>
      <w:proofErr w:type="gramStart"/>
      <w:r w:rsidRPr="0046620F">
        <w:rPr>
          <w:rFonts w:ascii="Arial" w:hAnsi="Arial" w:cs="Arial"/>
          <w:sz w:val="20"/>
          <w:szCs w:val="20"/>
        </w:rPr>
        <w:t>were received</w:t>
      </w:r>
      <w:proofErr w:type="gramEnd"/>
      <w:r w:rsidRPr="0046620F">
        <w:rPr>
          <w:rFonts w:ascii="Arial" w:hAnsi="Arial" w:cs="Arial"/>
          <w:sz w:val="20"/>
          <w:szCs w:val="20"/>
        </w:rPr>
        <w:t xml:space="preserve">. </w:t>
      </w:r>
      <w:proofErr w:type="gramStart"/>
      <w:r w:rsidRPr="0046620F">
        <w:rPr>
          <w:rFonts w:ascii="Arial" w:hAnsi="Arial" w:cs="Arial"/>
          <w:sz w:val="20"/>
          <w:szCs w:val="20"/>
        </w:rPr>
        <w:t>233</w:t>
      </w:r>
      <w:proofErr w:type="gramEnd"/>
      <w:r w:rsidRPr="0046620F">
        <w:rPr>
          <w:rFonts w:ascii="Arial" w:hAnsi="Arial" w:cs="Arial"/>
          <w:sz w:val="20"/>
          <w:szCs w:val="20"/>
        </w:rPr>
        <w:t xml:space="preserve"> patients reported a ‘stable’ condition and were included in analysis (95% women; mean (SD) age 44.5 (13.9) years; </w:t>
      </w:r>
      <w:proofErr w:type="spellStart"/>
      <w:r w:rsidRPr="0046620F">
        <w:rPr>
          <w:rFonts w:ascii="Arial" w:hAnsi="Arial" w:cs="Arial"/>
          <w:sz w:val="20"/>
          <w:szCs w:val="20"/>
        </w:rPr>
        <w:t>BIoH</w:t>
      </w:r>
      <w:proofErr w:type="spellEnd"/>
      <w:r w:rsidRPr="0046620F">
        <w:rPr>
          <w:rFonts w:ascii="Arial" w:hAnsi="Arial" w:cs="Arial"/>
          <w:sz w:val="20"/>
          <w:szCs w:val="20"/>
        </w:rPr>
        <w:t xml:space="preserve"> score 223.6 (54.0)). The </w:t>
      </w:r>
      <w:proofErr w:type="spellStart"/>
      <w:r w:rsidRPr="0046620F">
        <w:rPr>
          <w:rFonts w:ascii="Arial" w:hAnsi="Arial" w:cs="Arial"/>
          <w:sz w:val="20"/>
          <w:szCs w:val="20"/>
        </w:rPr>
        <w:t>BIoH</w:t>
      </w:r>
      <w:proofErr w:type="spellEnd"/>
      <w:r w:rsidRPr="0046620F">
        <w:rPr>
          <w:rFonts w:ascii="Arial" w:hAnsi="Arial" w:cs="Arial"/>
          <w:sz w:val="20"/>
          <w:szCs w:val="20"/>
        </w:rPr>
        <w:t xml:space="preserve"> questionnaire demonstrated excellent test-retest reliability (ICC 0.923, 95% CI 0.900-0.940). The SDC was 42 points (equivalent to 19% of the mean baseline score). The SF-36 physical and mental component scores demonstrated poorer test-retest reliability and larger SDCs (as a proportion of the mean baseline scores).</w:t>
      </w:r>
    </w:p>
    <w:p w:rsidR="00E43147" w:rsidRPr="0046620F" w:rsidRDefault="00E43147" w:rsidP="00E43147">
      <w:pPr>
        <w:spacing w:after="0" w:line="480" w:lineRule="auto"/>
        <w:rPr>
          <w:rFonts w:ascii="Arial" w:hAnsi="Arial" w:cs="Arial"/>
          <w:sz w:val="20"/>
          <w:szCs w:val="20"/>
        </w:rPr>
      </w:pPr>
      <w:r w:rsidRPr="0046620F">
        <w:rPr>
          <w:rFonts w:ascii="Arial" w:hAnsi="Arial" w:cs="Arial"/>
          <w:b/>
          <w:sz w:val="20"/>
          <w:szCs w:val="20"/>
        </w:rPr>
        <w:t xml:space="preserve">Conclusion: </w:t>
      </w:r>
      <w:r w:rsidRPr="0046620F">
        <w:rPr>
          <w:rFonts w:ascii="Arial" w:hAnsi="Arial" w:cs="Arial"/>
          <w:sz w:val="20"/>
          <w:szCs w:val="20"/>
        </w:rPr>
        <w:t xml:space="preserve">The results provide further evidence of the potential of the </w:t>
      </w:r>
      <w:proofErr w:type="spellStart"/>
      <w:r w:rsidRPr="0046620F">
        <w:rPr>
          <w:rFonts w:ascii="Arial" w:hAnsi="Arial" w:cs="Arial"/>
          <w:sz w:val="20"/>
          <w:szCs w:val="20"/>
        </w:rPr>
        <w:t>BIoH</w:t>
      </w:r>
      <w:proofErr w:type="spellEnd"/>
      <w:r w:rsidRPr="0046620F">
        <w:rPr>
          <w:rFonts w:ascii="Arial" w:hAnsi="Arial" w:cs="Arial"/>
          <w:sz w:val="20"/>
          <w:szCs w:val="20"/>
        </w:rPr>
        <w:t xml:space="preserve"> questionnaire to underpin research and clinical practice for people with JHS.</w:t>
      </w:r>
    </w:p>
    <w:p w:rsidR="00E43147" w:rsidRPr="0046620F" w:rsidRDefault="00E43147" w:rsidP="00E43147">
      <w:pPr>
        <w:spacing w:after="0" w:line="480" w:lineRule="auto"/>
        <w:rPr>
          <w:rFonts w:ascii="Arial" w:hAnsi="Arial" w:cs="Arial"/>
          <w:b/>
          <w:sz w:val="20"/>
          <w:szCs w:val="20"/>
        </w:rPr>
      </w:pPr>
    </w:p>
    <w:p w:rsidR="00E43147" w:rsidRPr="0046620F" w:rsidRDefault="00E43147" w:rsidP="00E43147"/>
    <w:p w:rsidR="00E43147" w:rsidRDefault="00E43147">
      <w:pPr>
        <w:rPr>
          <w:rFonts w:ascii="Arial" w:hAnsi="Arial" w:cs="Arial"/>
          <w:b/>
          <w:sz w:val="20"/>
          <w:szCs w:val="20"/>
        </w:rPr>
      </w:pPr>
      <w:r>
        <w:rPr>
          <w:rFonts w:ascii="Arial" w:hAnsi="Arial" w:cs="Arial"/>
          <w:b/>
          <w:sz w:val="20"/>
          <w:szCs w:val="20"/>
        </w:rPr>
        <w:br w:type="page"/>
      </w:r>
    </w:p>
    <w:p w:rsidR="00E43147" w:rsidRPr="001C4697" w:rsidRDefault="00E43147" w:rsidP="00E43147">
      <w:pPr>
        <w:spacing w:after="0" w:line="480" w:lineRule="auto"/>
        <w:jc w:val="center"/>
        <w:rPr>
          <w:rFonts w:ascii="Arial" w:hAnsi="Arial" w:cs="Arial"/>
          <w:b/>
          <w:sz w:val="20"/>
          <w:szCs w:val="20"/>
        </w:rPr>
      </w:pPr>
      <w:r w:rsidRPr="001C4697">
        <w:rPr>
          <w:rFonts w:ascii="Arial" w:hAnsi="Arial" w:cs="Arial"/>
          <w:b/>
          <w:sz w:val="20"/>
          <w:szCs w:val="20"/>
        </w:rPr>
        <w:lastRenderedPageBreak/>
        <w:t>MANUSCRIPT</w:t>
      </w:r>
    </w:p>
    <w:p w:rsidR="00E43147" w:rsidRPr="001C4697" w:rsidRDefault="00E43147" w:rsidP="00E43147">
      <w:pPr>
        <w:spacing w:after="0" w:line="480" w:lineRule="auto"/>
        <w:rPr>
          <w:rFonts w:ascii="Arial" w:hAnsi="Arial" w:cs="Arial"/>
          <w:b/>
          <w:sz w:val="20"/>
          <w:szCs w:val="20"/>
        </w:rPr>
      </w:pPr>
    </w:p>
    <w:p w:rsidR="00E43147" w:rsidRPr="001C4697" w:rsidRDefault="00E43147" w:rsidP="00E43147">
      <w:pPr>
        <w:spacing w:after="0" w:line="480" w:lineRule="auto"/>
        <w:rPr>
          <w:rFonts w:ascii="Arial" w:hAnsi="Arial" w:cs="Arial"/>
          <w:b/>
          <w:sz w:val="20"/>
          <w:szCs w:val="20"/>
        </w:rPr>
      </w:pPr>
      <w:r w:rsidRPr="001C4697">
        <w:rPr>
          <w:rFonts w:ascii="Arial" w:hAnsi="Arial" w:cs="Arial"/>
          <w:b/>
          <w:sz w:val="20"/>
          <w:szCs w:val="20"/>
        </w:rPr>
        <w:t>INTRODUCTION</w:t>
      </w:r>
    </w:p>
    <w:p w:rsidR="00E43147" w:rsidRPr="001C4697" w:rsidRDefault="00E43147" w:rsidP="00E43147">
      <w:pPr>
        <w:spacing w:after="0" w:line="480" w:lineRule="auto"/>
        <w:rPr>
          <w:rFonts w:ascii="Arial" w:hAnsi="Arial" w:cs="Arial"/>
          <w:sz w:val="20"/>
          <w:szCs w:val="20"/>
        </w:rPr>
      </w:pPr>
      <w:r w:rsidRPr="001C4697">
        <w:rPr>
          <w:rFonts w:ascii="Arial" w:hAnsi="Arial" w:cs="Arial"/>
          <w:sz w:val="20"/>
          <w:szCs w:val="20"/>
        </w:rPr>
        <w:t>Joint Hypermobility Syndrome (JHS) is a heritable connective tissue disorder characterised by excessive joint range of motion and pain (Grahame, 2003). It was previously widely recognised that there was a lack of distinction in the clinical presentation of JHS and Ehlers-</w:t>
      </w:r>
      <w:proofErr w:type="spellStart"/>
      <w:r w:rsidRPr="001C4697">
        <w:rPr>
          <w:rFonts w:ascii="Arial" w:hAnsi="Arial" w:cs="Arial"/>
          <w:sz w:val="20"/>
          <w:szCs w:val="20"/>
        </w:rPr>
        <w:t>Danlos</w:t>
      </w:r>
      <w:proofErr w:type="spellEnd"/>
      <w:r w:rsidRPr="001C4697">
        <w:rPr>
          <w:rFonts w:ascii="Arial" w:hAnsi="Arial" w:cs="Arial"/>
          <w:sz w:val="20"/>
          <w:szCs w:val="20"/>
        </w:rPr>
        <w:t xml:space="preserve"> Syndrome, Hypermobility Type (EDS-HT) (Tinkle et al., 2009) and many authors considered them </w:t>
      </w:r>
      <w:proofErr w:type="gramStart"/>
      <w:r w:rsidRPr="001C4697">
        <w:rPr>
          <w:rFonts w:ascii="Arial" w:hAnsi="Arial" w:cs="Arial"/>
          <w:sz w:val="20"/>
          <w:szCs w:val="20"/>
        </w:rPr>
        <w:t>to be the</w:t>
      </w:r>
      <w:proofErr w:type="gramEnd"/>
      <w:r w:rsidRPr="001C4697">
        <w:rPr>
          <w:rFonts w:ascii="Arial" w:hAnsi="Arial" w:cs="Arial"/>
          <w:sz w:val="20"/>
          <w:szCs w:val="20"/>
        </w:rPr>
        <w:t xml:space="preserve"> same condition. Indeed recent revision of the classification of EDS has created a more specific diagnostic category to replace both of those terms, this being ‘hypermobile EDS’ (</w:t>
      </w:r>
      <w:proofErr w:type="spellStart"/>
      <w:r w:rsidRPr="001C4697">
        <w:rPr>
          <w:rFonts w:ascii="Arial" w:hAnsi="Arial" w:cs="Arial"/>
          <w:sz w:val="20"/>
          <w:szCs w:val="20"/>
        </w:rPr>
        <w:t>hEDS</w:t>
      </w:r>
      <w:proofErr w:type="spellEnd"/>
      <w:r w:rsidRPr="001C4697">
        <w:rPr>
          <w:rFonts w:ascii="Arial" w:hAnsi="Arial" w:cs="Arial"/>
          <w:sz w:val="20"/>
          <w:szCs w:val="20"/>
        </w:rPr>
        <w:t>) (</w:t>
      </w:r>
      <w:proofErr w:type="spellStart"/>
      <w:r w:rsidRPr="001C4697">
        <w:rPr>
          <w:rFonts w:ascii="Arial" w:hAnsi="Arial" w:cs="Arial"/>
          <w:sz w:val="20"/>
          <w:szCs w:val="20"/>
        </w:rPr>
        <w:t>Malfait</w:t>
      </w:r>
      <w:proofErr w:type="spellEnd"/>
      <w:r w:rsidRPr="001C4697">
        <w:rPr>
          <w:rFonts w:ascii="Arial" w:hAnsi="Arial" w:cs="Arial"/>
          <w:sz w:val="20"/>
          <w:szCs w:val="20"/>
        </w:rPr>
        <w:t xml:space="preserve"> et al., 2017). Where patients have symptomatic joint hypermobility but do not meet the diagnostic criteria for other syndromes, the term ‘Hypermobility Spectrum Disorder’ (HSD) has been adopted (</w:t>
      </w:r>
      <w:proofErr w:type="spellStart"/>
      <w:r w:rsidRPr="001C4697">
        <w:rPr>
          <w:rFonts w:ascii="Arial" w:hAnsi="Arial" w:cs="Arial"/>
          <w:sz w:val="20"/>
          <w:szCs w:val="20"/>
        </w:rPr>
        <w:t>Castori</w:t>
      </w:r>
      <w:proofErr w:type="spellEnd"/>
      <w:r w:rsidRPr="001C4697">
        <w:rPr>
          <w:rFonts w:ascii="Arial" w:hAnsi="Arial" w:cs="Arial"/>
          <w:sz w:val="20"/>
          <w:szCs w:val="20"/>
        </w:rPr>
        <w:t xml:space="preserve"> et al., 2017). As the research described in this paper pre-dated the new criteria the term JHS will be used.</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sz w:val="20"/>
          <w:szCs w:val="20"/>
        </w:rPr>
      </w:pPr>
      <w:r w:rsidRPr="001C4697">
        <w:rPr>
          <w:rFonts w:ascii="Arial" w:hAnsi="Arial" w:cs="Arial"/>
          <w:sz w:val="20"/>
          <w:szCs w:val="20"/>
        </w:rPr>
        <w:t xml:space="preserve">There is a distinct lack of good epidemiological data on the prevalence of JHS, although it is likely to be high in musculoskeletal services. For </w:t>
      </w:r>
      <w:proofErr w:type="gramStart"/>
      <w:r w:rsidRPr="001C4697">
        <w:rPr>
          <w:rFonts w:ascii="Arial" w:hAnsi="Arial" w:cs="Arial"/>
          <w:sz w:val="20"/>
          <w:szCs w:val="20"/>
        </w:rPr>
        <w:t>example</w:t>
      </w:r>
      <w:proofErr w:type="gramEnd"/>
      <w:r w:rsidRPr="001C4697">
        <w:rPr>
          <w:rFonts w:ascii="Arial" w:hAnsi="Arial" w:cs="Arial"/>
          <w:sz w:val="20"/>
          <w:szCs w:val="20"/>
        </w:rPr>
        <w:t xml:space="preserve"> 30% of a convenience sample of 150 patients screened in a musculoskeletal triage service in the United Kingdom (UK) (Connelly et al., 2015) met the Brighton diagnostic criteria (Grahame et al., 2000). It </w:t>
      </w:r>
      <w:proofErr w:type="gramStart"/>
      <w:r w:rsidRPr="001C4697">
        <w:rPr>
          <w:rFonts w:ascii="Arial" w:hAnsi="Arial" w:cs="Arial"/>
          <w:sz w:val="20"/>
          <w:szCs w:val="20"/>
        </w:rPr>
        <w:t>should be acknowledged</w:t>
      </w:r>
      <w:proofErr w:type="gramEnd"/>
      <w:r w:rsidRPr="001C4697">
        <w:rPr>
          <w:rFonts w:ascii="Arial" w:hAnsi="Arial" w:cs="Arial"/>
          <w:sz w:val="20"/>
          <w:szCs w:val="20"/>
        </w:rPr>
        <w:t xml:space="preserve">, however, that JHS may not have been the reason for referral and it is unlikely that many of these patients would have ordinarily received a diagnosis of JHS. The condition is associated with a wide range of problems including pain, fatigue, </w:t>
      </w:r>
      <w:proofErr w:type="gramStart"/>
      <w:r w:rsidRPr="001C4697">
        <w:rPr>
          <w:rFonts w:ascii="Arial" w:hAnsi="Arial" w:cs="Arial"/>
          <w:sz w:val="20"/>
          <w:szCs w:val="20"/>
        </w:rPr>
        <w:t>reduced</w:t>
      </w:r>
      <w:proofErr w:type="gramEnd"/>
      <w:r w:rsidRPr="001C4697">
        <w:rPr>
          <w:rFonts w:ascii="Arial" w:hAnsi="Arial" w:cs="Arial"/>
          <w:sz w:val="20"/>
          <w:szCs w:val="20"/>
        </w:rPr>
        <w:t xml:space="preserve"> proprioception and repeated cycles of injury (Terry et al., 2015). The psychological impact of JHS </w:t>
      </w:r>
      <w:proofErr w:type="gramStart"/>
      <w:r w:rsidRPr="001C4697">
        <w:rPr>
          <w:rFonts w:ascii="Arial" w:hAnsi="Arial" w:cs="Arial"/>
          <w:sz w:val="20"/>
          <w:szCs w:val="20"/>
        </w:rPr>
        <w:t>is also well recognised</w:t>
      </w:r>
      <w:proofErr w:type="gramEnd"/>
      <w:r w:rsidRPr="001C4697">
        <w:rPr>
          <w:rFonts w:ascii="Arial" w:hAnsi="Arial" w:cs="Arial"/>
          <w:sz w:val="20"/>
          <w:szCs w:val="20"/>
        </w:rPr>
        <w:t xml:space="preserve">, including agoraphobia, anxiety, </w:t>
      </w:r>
      <w:proofErr w:type="spellStart"/>
      <w:r w:rsidRPr="001C4697">
        <w:rPr>
          <w:rFonts w:ascii="Arial" w:hAnsi="Arial" w:cs="Arial"/>
          <w:sz w:val="20"/>
          <w:szCs w:val="20"/>
        </w:rPr>
        <w:t>catastrophisation</w:t>
      </w:r>
      <w:proofErr w:type="spellEnd"/>
      <w:r w:rsidRPr="001C4697">
        <w:rPr>
          <w:rFonts w:ascii="Arial" w:hAnsi="Arial" w:cs="Arial"/>
          <w:sz w:val="20"/>
          <w:szCs w:val="20"/>
        </w:rPr>
        <w:t>, depression, fear and panic disorders (Terry et al., 2015; Smith et al., 2014a).</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sz w:val="20"/>
          <w:szCs w:val="20"/>
        </w:rPr>
      </w:pPr>
      <w:r w:rsidRPr="001C4697">
        <w:rPr>
          <w:rFonts w:ascii="Arial" w:hAnsi="Arial" w:cs="Arial"/>
          <w:sz w:val="20"/>
          <w:szCs w:val="20"/>
        </w:rPr>
        <w:t>Physiotherapy, particularly exercise, is a mainstay of treatment for JHS (Hakim and Grahame, 2004; Keer and Grahame, 2003; Simmonds and Keer, 2007; Simmonds and Keer, 2008; Tinkle, 2008; Keer and Simmonds, 2011). The research evidence for the effectiveness of therapy is inconclusive however, with a limited number of low quality studies reported in the literature (Palmer et al., 2014; Smith et al., 2014b). A recent pilot randomised controlled trial (RCT) of a complex physiotherapy intervention demonstrated positive effects on a range of clinical outcomes (Palmer et al., 2016), although such effects have yet to be confirmed in an adequately powered clinical trial.</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sz w:val="20"/>
          <w:szCs w:val="20"/>
        </w:rPr>
      </w:pPr>
      <w:r w:rsidRPr="001C4697">
        <w:rPr>
          <w:rFonts w:ascii="Arial" w:hAnsi="Arial" w:cs="Arial"/>
          <w:sz w:val="20"/>
          <w:szCs w:val="20"/>
        </w:rPr>
        <w:t xml:space="preserve">A survey of physiotherapy practice in the UK (Palmer et al., 2015) suggested that there was a mismatch between what physiotherapists considered </w:t>
      </w:r>
      <w:proofErr w:type="gramStart"/>
      <w:r w:rsidRPr="001C4697">
        <w:rPr>
          <w:rFonts w:ascii="Arial" w:hAnsi="Arial" w:cs="Arial"/>
          <w:sz w:val="20"/>
          <w:szCs w:val="20"/>
        </w:rPr>
        <w:t>to be the</w:t>
      </w:r>
      <w:proofErr w:type="gramEnd"/>
      <w:r w:rsidRPr="001C4697">
        <w:rPr>
          <w:rFonts w:ascii="Arial" w:hAnsi="Arial" w:cs="Arial"/>
          <w:sz w:val="20"/>
          <w:szCs w:val="20"/>
        </w:rPr>
        <w:t xml:space="preserve"> aims of physiotherapy for JHS and the outcome measures that they used to assess the effectiveness of management. A condition-specific outcome measure </w:t>
      </w:r>
      <w:proofErr w:type="gramStart"/>
      <w:r w:rsidRPr="001C4697">
        <w:rPr>
          <w:rFonts w:ascii="Arial" w:hAnsi="Arial" w:cs="Arial"/>
          <w:sz w:val="20"/>
          <w:szCs w:val="20"/>
        </w:rPr>
        <w:t>has therefore recently been developed</w:t>
      </w:r>
      <w:proofErr w:type="gramEnd"/>
      <w:r w:rsidRPr="001C4697">
        <w:rPr>
          <w:rFonts w:ascii="Arial" w:hAnsi="Arial" w:cs="Arial"/>
          <w:sz w:val="20"/>
          <w:szCs w:val="20"/>
        </w:rPr>
        <w:t xml:space="preserve"> in close collaboration with adults with JHS in an attempt to more adequately capture the wide-ranging impact of the condition (Palmer et al., 2017).  The ‘Bristol Impact of Hypermobility’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gives a maximum score of 360, with higher scores representing more severe impact of the condition on the person’s life. It has strong concurrent validity (r=-0.725, n=615) with the physical component score of an established general health questionnaire, the Short Form-36 (SF-36) (Palmer et al., 2017). The SF-36 </w:t>
      </w:r>
      <w:proofErr w:type="gramStart"/>
      <w:r w:rsidRPr="001C4697">
        <w:rPr>
          <w:rFonts w:ascii="Arial" w:hAnsi="Arial" w:cs="Arial"/>
          <w:sz w:val="20"/>
          <w:szCs w:val="20"/>
        </w:rPr>
        <w:t>was chosen</w:t>
      </w:r>
      <w:proofErr w:type="gramEnd"/>
      <w:r w:rsidRPr="001C4697">
        <w:rPr>
          <w:rFonts w:ascii="Arial" w:hAnsi="Arial" w:cs="Arial"/>
          <w:sz w:val="20"/>
          <w:szCs w:val="20"/>
        </w:rPr>
        <w:t xml:space="preserve"> as a comparator as it has previously been demonstrated to be sensitive to change following an exercise intervention (Ferrell et al., 2004). Although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has demonstrated initial promise, it needs further evaluation before it </w:t>
      </w:r>
      <w:proofErr w:type="gramStart"/>
      <w:r w:rsidRPr="001C4697">
        <w:rPr>
          <w:rFonts w:ascii="Arial" w:hAnsi="Arial" w:cs="Arial"/>
          <w:sz w:val="20"/>
          <w:szCs w:val="20"/>
        </w:rPr>
        <w:t>can be used</w:t>
      </w:r>
      <w:proofErr w:type="gramEnd"/>
      <w:r w:rsidRPr="001C4697">
        <w:rPr>
          <w:rFonts w:ascii="Arial" w:hAnsi="Arial" w:cs="Arial"/>
          <w:sz w:val="20"/>
          <w:szCs w:val="20"/>
        </w:rPr>
        <w:t xml:space="preserve"> confidently to support future research and clinical practice in this area. Adequate test-retest reliability is an important psychometric property for an outcome measure, ensuring that scores are constant over time in those patients who report that their condition is stable (</w:t>
      </w:r>
      <w:proofErr w:type="spellStart"/>
      <w:r w:rsidRPr="001C4697">
        <w:rPr>
          <w:rFonts w:ascii="Arial" w:hAnsi="Arial" w:cs="Arial"/>
          <w:sz w:val="20"/>
          <w:szCs w:val="20"/>
        </w:rPr>
        <w:t>Polit</w:t>
      </w:r>
      <w:proofErr w:type="spellEnd"/>
      <w:r w:rsidRPr="001C4697">
        <w:rPr>
          <w:rFonts w:ascii="Arial" w:hAnsi="Arial" w:cs="Arial"/>
          <w:sz w:val="20"/>
          <w:szCs w:val="20"/>
        </w:rPr>
        <w:t>, 2014).</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sz w:val="20"/>
          <w:szCs w:val="20"/>
        </w:rPr>
      </w:pPr>
      <w:r w:rsidRPr="001C4697">
        <w:rPr>
          <w:rFonts w:ascii="Arial" w:hAnsi="Arial" w:cs="Arial"/>
          <w:sz w:val="20"/>
          <w:szCs w:val="20"/>
        </w:rPr>
        <w:t xml:space="preserve">This project therefore aimed to conduct a test-retest reliability evaluation of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over a two-week period and to calculate the smallest detectable change (SDC). Secondary aims were to conduct </w:t>
      </w:r>
      <w:proofErr w:type="gramStart"/>
      <w:r w:rsidRPr="001C4697">
        <w:rPr>
          <w:rFonts w:ascii="Arial" w:hAnsi="Arial" w:cs="Arial"/>
          <w:sz w:val="20"/>
          <w:szCs w:val="20"/>
        </w:rPr>
        <w:t>a limits</w:t>
      </w:r>
      <w:proofErr w:type="gramEnd"/>
      <w:r w:rsidRPr="001C4697">
        <w:rPr>
          <w:rFonts w:ascii="Arial" w:hAnsi="Arial" w:cs="Arial"/>
          <w:sz w:val="20"/>
          <w:szCs w:val="20"/>
        </w:rPr>
        <w:t xml:space="preserve"> of agreement analysis and an exploratory sensitivity to change analysis. Findings </w:t>
      </w:r>
      <w:proofErr w:type="gramStart"/>
      <w:r w:rsidRPr="001C4697">
        <w:rPr>
          <w:rFonts w:ascii="Arial" w:hAnsi="Arial" w:cs="Arial"/>
          <w:sz w:val="20"/>
          <w:szCs w:val="20"/>
        </w:rPr>
        <w:t>were compared</w:t>
      </w:r>
      <w:proofErr w:type="gramEnd"/>
      <w:r w:rsidRPr="001C4697">
        <w:rPr>
          <w:rFonts w:ascii="Arial" w:hAnsi="Arial" w:cs="Arial"/>
          <w:sz w:val="20"/>
          <w:szCs w:val="20"/>
        </w:rPr>
        <w:t xml:space="preserve"> with the SF-36.</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b/>
          <w:sz w:val="20"/>
          <w:szCs w:val="20"/>
        </w:rPr>
      </w:pPr>
      <w:r w:rsidRPr="001C4697">
        <w:rPr>
          <w:rFonts w:ascii="Arial" w:hAnsi="Arial" w:cs="Arial"/>
          <w:b/>
          <w:sz w:val="20"/>
          <w:szCs w:val="20"/>
        </w:rPr>
        <w:t>METHODS</w:t>
      </w:r>
    </w:p>
    <w:p w:rsidR="00E43147" w:rsidRPr="001C4697" w:rsidRDefault="00E43147" w:rsidP="00E43147">
      <w:pPr>
        <w:spacing w:after="0" w:line="480" w:lineRule="auto"/>
        <w:rPr>
          <w:rFonts w:ascii="Arial" w:hAnsi="Arial" w:cs="Arial"/>
          <w:sz w:val="20"/>
          <w:szCs w:val="20"/>
        </w:rPr>
      </w:pPr>
      <w:r w:rsidRPr="001C4697">
        <w:rPr>
          <w:rFonts w:ascii="Arial" w:hAnsi="Arial" w:cs="Arial"/>
          <w:sz w:val="20"/>
          <w:szCs w:val="20"/>
        </w:rPr>
        <w:t>This study received a favourable opinion from the Faculty of Health &amp; Applied Sciences Ethics Sub-Committee, University of the West of England, Bristol, UK (HAS/15/01/99).</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b/>
          <w:sz w:val="20"/>
          <w:szCs w:val="20"/>
        </w:rPr>
      </w:pPr>
      <w:r w:rsidRPr="001C4697">
        <w:rPr>
          <w:rFonts w:ascii="Arial" w:hAnsi="Arial" w:cs="Arial"/>
          <w:b/>
          <w:sz w:val="20"/>
          <w:szCs w:val="20"/>
        </w:rPr>
        <w:t>Recruitment</w:t>
      </w:r>
    </w:p>
    <w:p w:rsidR="00E43147" w:rsidRPr="001C4697" w:rsidRDefault="00E43147" w:rsidP="00E43147">
      <w:pPr>
        <w:spacing w:after="0" w:line="480" w:lineRule="auto"/>
        <w:rPr>
          <w:rFonts w:ascii="Arial" w:hAnsi="Arial" w:cs="Arial"/>
          <w:sz w:val="20"/>
          <w:szCs w:val="20"/>
        </w:rPr>
      </w:pPr>
      <w:r w:rsidRPr="001C4697">
        <w:rPr>
          <w:rFonts w:ascii="Arial" w:hAnsi="Arial" w:cs="Arial"/>
          <w:sz w:val="20"/>
          <w:szCs w:val="20"/>
        </w:rPr>
        <w:t xml:space="preserve">Recruitment packs </w:t>
      </w:r>
      <w:proofErr w:type="gramStart"/>
      <w:r w:rsidRPr="001C4697">
        <w:rPr>
          <w:rFonts w:ascii="Arial" w:hAnsi="Arial" w:cs="Arial"/>
          <w:sz w:val="20"/>
          <w:szCs w:val="20"/>
        </w:rPr>
        <w:t>were distributed</w:t>
      </w:r>
      <w:proofErr w:type="gramEnd"/>
      <w:r w:rsidRPr="001C4697">
        <w:rPr>
          <w:rFonts w:ascii="Arial" w:hAnsi="Arial" w:cs="Arial"/>
          <w:sz w:val="20"/>
          <w:szCs w:val="20"/>
        </w:rPr>
        <w:t xml:space="preserve"> to 1,080 adult members of the Hypermobility Syndromes Association (HMSA) who had given permission to be contacted about research. The HMSA is a </w:t>
      </w:r>
      <w:r w:rsidRPr="001C4697">
        <w:rPr>
          <w:rFonts w:ascii="Arial" w:hAnsi="Arial" w:cs="Arial"/>
          <w:sz w:val="20"/>
          <w:szCs w:val="20"/>
        </w:rPr>
        <w:lastRenderedPageBreak/>
        <w:t xml:space="preserve">patient organisation in the UK. Packs included a letter of invitation, information sheet, consent form, a brief demographic and screening questionnaire, and copies of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and SF-36v2 (</w:t>
      </w:r>
      <w:proofErr w:type="spellStart"/>
      <w:r w:rsidRPr="001C4697">
        <w:rPr>
          <w:rFonts w:ascii="Arial" w:hAnsi="Arial" w:cs="Arial"/>
          <w:sz w:val="20"/>
          <w:szCs w:val="20"/>
        </w:rPr>
        <w:t>OptumInsight</w:t>
      </w:r>
      <w:proofErr w:type="spellEnd"/>
      <w:r w:rsidRPr="001C4697">
        <w:rPr>
          <w:rFonts w:ascii="Arial" w:hAnsi="Arial" w:cs="Arial"/>
          <w:sz w:val="20"/>
          <w:szCs w:val="20"/>
        </w:rPr>
        <w:t xml:space="preserve"> Life Sciences Inc.) questionnaires. The information sheet included an invitation to contact the research team for additional information if required. Those willing to take part </w:t>
      </w:r>
      <w:proofErr w:type="gramStart"/>
      <w:r w:rsidRPr="001C4697">
        <w:rPr>
          <w:rFonts w:ascii="Arial" w:hAnsi="Arial" w:cs="Arial"/>
          <w:sz w:val="20"/>
          <w:szCs w:val="20"/>
        </w:rPr>
        <w:t>were asked</w:t>
      </w:r>
      <w:proofErr w:type="gramEnd"/>
      <w:r w:rsidRPr="001C4697">
        <w:rPr>
          <w:rFonts w:ascii="Arial" w:hAnsi="Arial" w:cs="Arial"/>
          <w:sz w:val="20"/>
          <w:szCs w:val="20"/>
        </w:rPr>
        <w:t xml:space="preserve"> to complete and return the consent form and questionnaires using a pre-paid envelope. Completion of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takes approximately 10 minutes (Palmer et al., 2017) and the SF-36 7-10 minutes (Coons et al., 2000). The inclusion criteria were: ≥16 years old; fulfilled two or more JHS screening questions (Hakim and Grahame, 2003) and/or received a formal diagnosis (by a healthcare professional) of JHS or EDS-HT; no other formally diagnosed conditions affecting physical function; written informed consent; complete baseline and follow-up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data. The JHS screening questionnaire has previously demonstrated 84% sensitivity and 80-89% specificity (Hakim and Grahame, 2003).</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sz w:val="20"/>
          <w:szCs w:val="20"/>
        </w:rPr>
      </w:pPr>
      <w:r w:rsidRPr="001C4697">
        <w:rPr>
          <w:rFonts w:ascii="Arial" w:hAnsi="Arial" w:cs="Arial"/>
          <w:sz w:val="20"/>
          <w:szCs w:val="20"/>
        </w:rPr>
        <w:t xml:space="preserve">Two weeks later repeat </w:t>
      </w:r>
      <w:proofErr w:type="spellStart"/>
      <w:r w:rsidRPr="001C4697">
        <w:rPr>
          <w:rFonts w:ascii="Arial" w:hAnsi="Arial" w:cs="Arial"/>
          <w:sz w:val="20"/>
          <w:szCs w:val="20"/>
        </w:rPr>
        <w:t>BIoH</w:t>
      </w:r>
      <w:proofErr w:type="spellEnd"/>
      <w:r w:rsidRPr="001C4697">
        <w:rPr>
          <w:rFonts w:ascii="Arial" w:hAnsi="Arial" w:cs="Arial"/>
          <w:sz w:val="20"/>
          <w:szCs w:val="20"/>
        </w:rPr>
        <w:t xml:space="preserve"> and SF-36 questionnaires were sent to consenting participants to complete independently, along with a global rating of change (GRC) scale (</w:t>
      </w:r>
      <w:proofErr w:type="spellStart"/>
      <w:r w:rsidRPr="001C4697">
        <w:rPr>
          <w:rFonts w:ascii="Arial" w:hAnsi="Arial" w:cs="Arial"/>
          <w:sz w:val="20"/>
          <w:szCs w:val="20"/>
        </w:rPr>
        <w:t>Kamper</w:t>
      </w:r>
      <w:proofErr w:type="spellEnd"/>
      <w:r w:rsidRPr="001C4697">
        <w:rPr>
          <w:rFonts w:ascii="Arial" w:hAnsi="Arial" w:cs="Arial"/>
          <w:sz w:val="20"/>
          <w:szCs w:val="20"/>
        </w:rPr>
        <w:t xml:space="preserve"> et al., 2009). A retest period of one to two weeks is typical for many test-retest studies (</w:t>
      </w:r>
      <w:proofErr w:type="spellStart"/>
      <w:r w:rsidRPr="001C4697">
        <w:rPr>
          <w:rFonts w:ascii="Arial" w:hAnsi="Arial" w:cs="Arial"/>
          <w:sz w:val="20"/>
          <w:szCs w:val="20"/>
        </w:rPr>
        <w:t>Polit</w:t>
      </w:r>
      <w:proofErr w:type="spellEnd"/>
      <w:r w:rsidRPr="001C4697">
        <w:rPr>
          <w:rFonts w:ascii="Arial" w:hAnsi="Arial" w:cs="Arial"/>
          <w:sz w:val="20"/>
          <w:szCs w:val="20"/>
        </w:rPr>
        <w:t xml:space="preserve">, 2014). To allow sufficient time for postal administration of the questionnaires and because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asks about the previous seven days, a period of two weeks was chosen. The GRC scale was an 11-point numerical rating scale which asked patients </w:t>
      </w:r>
      <w:r w:rsidRPr="001C4697">
        <w:rPr>
          <w:rFonts w:ascii="Arial" w:hAnsi="Arial" w:cs="Arial"/>
          <w:i/>
          <w:sz w:val="20"/>
          <w:szCs w:val="20"/>
        </w:rPr>
        <w:t>"With respect to your joint hypermobility, how would you describe yourself now compared with two weeks ago when you last completed this questionnaire (please circle a number)?"</w:t>
      </w:r>
      <w:r w:rsidRPr="001C4697">
        <w:rPr>
          <w:rFonts w:ascii="Arial" w:hAnsi="Arial" w:cs="Arial"/>
          <w:sz w:val="20"/>
          <w:szCs w:val="20"/>
        </w:rPr>
        <w:t xml:space="preserve"> Anchors were at </w:t>
      </w:r>
      <w:proofErr w:type="gramStart"/>
      <w:r w:rsidRPr="001C4697">
        <w:rPr>
          <w:rFonts w:ascii="Arial" w:hAnsi="Arial" w:cs="Arial"/>
          <w:sz w:val="20"/>
          <w:szCs w:val="20"/>
        </w:rPr>
        <w:t>-5</w:t>
      </w:r>
      <w:proofErr w:type="gramEnd"/>
      <w:r w:rsidRPr="001C4697">
        <w:rPr>
          <w:rFonts w:ascii="Arial" w:hAnsi="Arial" w:cs="Arial"/>
          <w:sz w:val="20"/>
          <w:szCs w:val="20"/>
        </w:rPr>
        <w:t xml:space="preserve"> (</w:t>
      </w:r>
      <w:r w:rsidRPr="001C4697">
        <w:rPr>
          <w:rFonts w:ascii="Arial" w:hAnsi="Arial" w:cs="Arial"/>
          <w:i/>
          <w:sz w:val="20"/>
          <w:szCs w:val="20"/>
        </w:rPr>
        <w:t>"Very much worse"</w:t>
      </w:r>
      <w:r w:rsidRPr="001C4697">
        <w:rPr>
          <w:rFonts w:ascii="Arial" w:hAnsi="Arial" w:cs="Arial"/>
          <w:sz w:val="20"/>
          <w:szCs w:val="20"/>
        </w:rPr>
        <w:t>), 0 (</w:t>
      </w:r>
      <w:r w:rsidRPr="001C4697">
        <w:rPr>
          <w:rFonts w:ascii="Arial" w:hAnsi="Arial" w:cs="Arial"/>
          <w:i/>
          <w:sz w:val="20"/>
          <w:szCs w:val="20"/>
        </w:rPr>
        <w:t>"Unchanged"</w:t>
      </w:r>
      <w:r w:rsidRPr="001C4697">
        <w:rPr>
          <w:rFonts w:ascii="Arial" w:hAnsi="Arial" w:cs="Arial"/>
          <w:sz w:val="20"/>
          <w:szCs w:val="20"/>
        </w:rPr>
        <w:t>) and +5 (</w:t>
      </w:r>
      <w:r w:rsidRPr="001C4697">
        <w:rPr>
          <w:rFonts w:ascii="Arial" w:hAnsi="Arial" w:cs="Arial"/>
          <w:i/>
          <w:sz w:val="20"/>
          <w:szCs w:val="20"/>
        </w:rPr>
        <w:t>"Very much better"</w:t>
      </w:r>
      <w:r w:rsidRPr="001C4697">
        <w:rPr>
          <w:rFonts w:ascii="Arial" w:hAnsi="Arial" w:cs="Arial"/>
          <w:sz w:val="20"/>
          <w:szCs w:val="20"/>
        </w:rPr>
        <w:t>).</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sz w:val="20"/>
          <w:szCs w:val="20"/>
        </w:rPr>
      </w:pPr>
      <w:r w:rsidRPr="001C4697">
        <w:rPr>
          <w:rFonts w:ascii="Arial" w:hAnsi="Arial" w:cs="Arial"/>
          <w:sz w:val="20"/>
          <w:szCs w:val="20"/>
        </w:rPr>
        <w:t xml:space="preserve">No formal sample size calculation </w:t>
      </w:r>
      <w:proofErr w:type="gramStart"/>
      <w:r w:rsidRPr="001C4697">
        <w:rPr>
          <w:rFonts w:ascii="Arial" w:hAnsi="Arial" w:cs="Arial"/>
          <w:sz w:val="20"/>
          <w:szCs w:val="20"/>
        </w:rPr>
        <w:t>was conducted</w:t>
      </w:r>
      <w:proofErr w:type="gramEnd"/>
      <w:r w:rsidRPr="001C4697">
        <w:rPr>
          <w:rFonts w:ascii="Arial" w:hAnsi="Arial" w:cs="Arial"/>
          <w:sz w:val="20"/>
          <w:szCs w:val="20"/>
        </w:rPr>
        <w:t xml:space="preserve">, although a minimum of 50 participants is recommended for limits of agreement analysis (Altman, 1991; </w:t>
      </w:r>
      <w:proofErr w:type="spellStart"/>
      <w:r w:rsidRPr="001C4697">
        <w:rPr>
          <w:rFonts w:ascii="Arial" w:hAnsi="Arial" w:cs="Arial"/>
          <w:sz w:val="20"/>
          <w:szCs w:val="20"/>
        </w:rPr>
        <w:t>Terwee</w:t>
      </w:r>
      <w:proofErr w:type="spellEnd"/>
      <w:r w:rsidRPr="001C4697">
        <w:rPr>
          <w:rFonts w:ascii="Arial" w:hAnsi="Arial" w:cs="Arial"/>
          <w:sz w:val="20"/>
          <w:szCs w:val="20"/>
        </w:rPr>
        <w:t xml:space="preserve"> et al., 2007). It </w:t>
      </w:r>
      <w:proofErr w:type="gramStart"/>
      <w:r w:rsidRPr="001C4697">
        <w:rPr>
          <w:rFonts w:ascii="Arial" w:hAnsi="Arial" w:cs="Arial"/>
          <w:sz w:val="20"/>
          <w:szCs w:val="20"/>
        </w:rPr>
        <w:t>was anticipated</w:t>
      </w:r>
      <w:proofErr w:type="gramEnd"/>
      <w:r w:rsidRPr="001C4697">
        <w:rPr>
          <w:rFonts w:ascii="Arial" w:hAnsi="Arial" w:cs="Arial"/>
          <w:sz w:val="20"/>
          <w:szCs w:val="20"/>
        </w:rPr>
        <w:t xml:space="preserve"> that many more participants would be recruited as a 42% response rate from HMSA members was previously achieved when initially developing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(Palmer et al., 2017).</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b/>
          <w:sz w:val="20"/>
          <w:szCs w:val="20"/>
        </w:rPr>
      </w:pPr>
      <w:r w:rsidRPr="001C4697">
        <w:rPr>
          <w:rFonts w:ascii="Arial" w:hAnsi="Arial" w:cs="Arial"/>
          <w:b/>
          <w:sz w:val="20"/>
          <w:szCs w:val="20"/>
        </w:rPr>
        <w:t>Data analysis</w:t>
      </w:r>
    </w:p>
    <w:p w:rsidR="00E43147" w:rsidRPr="001C4697" w:rsidRDefault="00E43147" w:rsidP="00E43147">
      <w:pPr>
        <w:spacing w:after="0" w:line="480" w:lineRule="auto"/>
        <w:rPr>
          <w:rFonts w:ascii="Arial" w:hAnsi="Arial" w:cs="Arial"/>
          <w:sz w:val="20"/>
          <w:szCs w:val="20"/>
        </w:rPr>
      </w:pPr>
      <w:r w:rsidRPr="001C4697">
        <w:rPr>
          <w:rFonts w:ascii="Arial" w:hAnsi="Arial" w:cs="Arial"/>
          <w:sz w:val="20"/>
          <w:szCs w:val="20"/>
        </w:rPr>
        <w:t xml:space="preserve">Data analysis </w:t>
      </w:r>
      <w:proofErr w:type="gramStart"/>
      <w:r w:rsidRPr="001C4697">
        <w:rPr>
          <w:rFonts w:ascii="Arial" w:hAnsi="Arial" w:cs="Arial"/>
          <w:sz w:val="20"/>
          <w:szCs w:val="20"/>
        </w:rPr>
        <w:t>was conducted</w:t>
      </w:r>
      <w:proofErr w:type="gramEnd"/>
      <w:r w:rsidRPr="001C4697">
        <w:rPr>
          <w:rFonts w:ascii="Arial" w:hAnsi="Arial" w:cs="Arial"/>
          <w:sz w:val="20"/>
          <w:szCs w:val="20"/>
        </w:rPr>
        <w:t xml:space="preserve"> using IBM SPSS Statistics (IBM Corp. Released 2015. IBM SPSS Statistics for Windows, Version 23.0. Armonk, NY: IBM Corp).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scoring </w:t>
      </w:r>
      <w:r w:rsidRPr="001C4697">
        <w:rPr>
          <w:rFonts w:ascii="Arial" w:hAnsi="Arial" w:cs="Arial"/>
          <w:sz w:val="20"/>
          <w:szCs w:val="20"/>
        </w:rPr>
        <w:lastRenderedPageBreak/>
        <w:t xml:space="preserve">guidelines </w:t>
      </w:r>
      <w:proofErr w:type="gramStart"/>
      <w:r w:rsidRPr="001C4697">
        <w:rPr>
          <w:rFonts w:ascii="Arial" w:hAnsi="Arial" w:cs="Arial"/>
          <w:sz w:val="20"/>
          <w:szCs w:val="20"/>
        </w:rPr>
        <w:t>were followed</w:t>
      </w:r>
      <w:proofErr w:type="gramEnd"/>
      <w:r w:rsidRPr="001C4697">
        <w:rPr>
          <w:rFonts w:ascii="Arial" w:hAnsi="Arial" w:cs="Arial"/>
          <w:sz w:val="20"/>
          <w:szCs w:val="20"/>
        </w:rPr>
        <w:t xml:space="preserve"> to calculate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scores (Palmer et al., 2017). SF-36 scoring software (Version 4.5. Lincoln, RI: </w:t>
      </w:r>
      <w:proofErr w:type="spellStart"/>
      <w:r w:rsidRPr="001C4697">
        <w:rPr>
          <w:rFonts w:ascii="Arial" w:hAnsi="Arial" w:cs="Arial"/>
          <w:sz w:val="20"/>
          <w:szCs w:val="20"/>
        </w:rPr>
        <w:t>OptumInsight</w:t>
      </w:r>
      <w:proofErr w:type="spellEnd"/>
      <w:r w:rsidRPr="001C4697">
        <w:rPr>
          <w:rFonts w:ascii="Arial" w:hAnsi="Arial" w:cs="Arial"/>
          <w:sz w:val="20"/>
          <w:szCs w:val="20"/>
        </w:rPr>
        <w:t xml:space="preserve"> Life Sciences Inc.) </w:t>
      </w:r>
      <w:proofErr w:type="gramStart"/>
      <w:r w:rsidRPr="001C4697">
        <w:rPr>
          <w:rFonts w:ascii="Arial" w:hAnsi="Arial" w:cs="Arial"/>
          <w:sz w:val="20"/>
          <w:szCs w:val="20"/>
        </w:rPr>
        <w:t>was</w:t>
      </w:r>
      <w:proofErr w:type="gramEnd"/>
      <w:r w:rsidRPr="001C4697">
        <w:rPr>
          <w:rFonts w:ascii="Arial" w:hAnsi="Arial" w:cs="Arial"/>
          <w:sz w:val="20"/>
          <w:szCs w:val="20"/>
        </w:rPr>
        <w:t xml:space="preserve"> used to calculate SF-36v2 component scores. Questionnaire data </w:t>
      </w:r>
      <w:proofErr w:type="gramStart"/>
      <w:r w:rsidRPr="001C4697">
        <w:rPr>
          <w:rFonts w:ascii="Arial" w:hAnsi="Arial" w:cs="Arial"/>
          <w:sz w:val="20"/>
          <w:szCs w:val="20"/>
        </w:rPr>
        <w:t>was manually entered</w:t>
      </w:r>
      <w:proofErr w:type="gramEnd"/>
      <w:r w:rsidRPr="001C4697">
        <w:rPr>
          <w:rFonts w:ascii="Arial" w:hAnsi="Arial" w:cs="Arial"/>
          <w:sz w:val="20"/>
          <w:szCs w:val="20"/>
        </w:rPr>
        <w:t xml:space="preserve"> into an SPSS spreadsheet (SM, PhD) and the accuracy of data entry was audited and verified by a second researcher (SP, PhD). </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sz w:val="20"/>
          <w:szCs w:val="20"/>
        </w:rPr>
      </w:pPr>
      <w:r w:rsidRPr="001C4697">
        <w:rPr>
          <w:rFonts w:ascii="Arial" w:hAnsi="Arial" w:cs="Arial"/>
          <w:sz w:val="20"/>
          <w:szCs w:val="20"/>
        </w:rPr>
        <w:t xml:space="preserve">The same analysis procedures </w:t>
      </w:r>
      <w:proofErr w:type="gramStart"/>
      <w:r w:rsidRPr="001C4697">
        <w:rPr>
          <w:rFonts w:ascii="Arial" w:hAnsi="Arial" w:cs="Arial"/>
          <w:sz w:val="20"/>
          <w:szCs w:val="20"/>
        </w:rPr>
        <w:t>were used</w:t>
      </w:r>
      <w:proofErr w:type="gramEnd"/>
      <w:r w:rsidRPr="001C4697">
        <w:rPr>
          <w:rFonts w:ascii="Arial" w:hAnsi="Arial" w:cs="Arial"/>
          <w:sz w:val="20"/>
          <w:szCs w:val="20"/>
        </w:rPr>
        <w:t xml:space="preserve"> for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and SF-36 questionnaires. Test-retest reliability analysis was conducted on ‘stable’ patients (defined as those who scored </w:t>
      </w:r>
      <w:proofErr w:type="gramStart"/>
      <w:r w:rsidRPr="001C4697">
        <w:rPr>
          <w:rFonts w:ascii="Arial" w:hAnsi="Arial" w:cs="Arial"/>
          <w:sz w:val="20"/>
          <w:szCs w:val="20"/>
        </w:rPr>
        <w:t>-1</w:t>
      </w:r>
      <w:proofErr w:type="gramEnd"/>
      <w:r w:rsidRPr="001C4697">
        <w:rPr>
          <w:rFonts w:ascii="Arial" w:hAnsi="Arial" w:cs="Arial"/>
          <w:sz w:val="20"/>
          <w:szCs w:val="20"/>
        </w:rPr>
        <w:t xml:space="preserve"> to +1 on the GRC score). This was to ensure that </w:t>
      </w:r>
      <w:proofErr w:type="gramStart"/>
      <w:r w:rsidRPr="001C4697">
        <w:rPr>
          <w:rFonts w:ascii="Arial" w:hAnsi="Arial" w:cs="Arial"/>
          <w:sz w:val="20"/>
          <w:szCs w:val="20"/>
        </w:rPr>
        <w:t>assessment of test-retest reliability was not contaminated by fluctuations in patients’ conditions, a common feature of JHS (Terry et al., 2015)</w:t>
      </w:r>
      <w:proofErr w:type="gramEnd"/>
      <w:r w:rsidRPr="001C4697">
        <w:rPr>
          <w:rFonts w:ascii="Arial" w:hAnsi="Arial" w:cs="Arial"/>
          <w:sz w:val="20"/>
          <w:szCs w:val="20"/>
        </w:rPr>
        <w:t xml:space="preserve">. A change of plus or minus one point on an 11-point GRC scale is considered </w:t>
      </w:r>
      <w:proofErr w:type="gramStart"/>
      <w:r w:rsidRPr="001C4697">
        <w:rPr>
          <w:rFonts w:ascii="Arial" w:hAnsi="Arial" w:cs="Arial"/>
          <w:sz w:val="20"/>
          <w:szCs w:val="20"/>
        </w:rPr>
        <w:t>to be clinically</w:t>
      </w:r>
      <w:proofErr w:type="gramEnd"/>
      <w:r w:rsidRPr="001C4697">
        <w:rPr>
          <w:rFonts w:ascii="Arial" w:hAnsi="Arial" w:cs="Arial"/>
          <w:sz w:val="20"/>
          <w:szCs w:val="20"/>
        </w:rPr>
        <w:t xml:space="preserve"> unimportant (</w:t>
      </w:r>
      <w:proofErr w:type="spellStart"/>
      <w:r w:rsidRPr="001C4697">
        <w:rPr>
          <w:rFonts w:ascii="Arial" w:hAnsi="Arial" w:cs="Arial"/>
          <w:sz w:val="20"/>
          <w:szCs w:val="20"/>
        </w:rPr>
        <w:t>Kamper</w:t>
      </w:r>
      <w:proofErr w:type="spellEnd"/>
      <w:r w:rsidRPr="001C4697">
        <w:rPr>
          <w:rFonts w:ascii="Arial" w:hAnsi="Arial" w:cs="Arial"/>
          <w:sz w:val="20"/>
          <w:szCs w:val="20"/>
        </w:rPr>
        <w:t xml:space="preserve"> et al., 2009). Descriptive statistics </w:t>
      </w:r>
      <w:proofErr w:type="gramStart"/>
      <w:r w:rsidRPr="001C4697">
        <w:rPr>
          <w:rFonts w:ascii="Arial" w:hAnsi="Arial" w:cs="Arial"/>
          <w:sz w:val="20"/>
          <w:szCs w:val="20"/>
        </w:rPr>
        <w:t>were used</w:t>
      </w:r>
      <w:proofErr w:type="gramEnd"/>
      <w:r w:rsidRPr="001C4697">
        <w:rPr>
          <w:rFonts w:ascii="Arial" w:hAnsi="Arial" w:cs="Arial"/>
          <w:sz w:val="20"/>
          <w:szCs w:val="20"/>
        </w:rPr>
        <w:t xml:space="preserve"> to compare the characteristics of ‘stable’ patients against the wider sample of patients who met the inclusion criteria. </w:t>
      </w:r>
      <w:proofErr w:type="spellStart"/>
      <w:r w:rsidRPr="001C4697">
        <w:rPr>
          <w:rFonts w:ascii="Arial" w:hAnsi="Arial" w:cs="Arial"/>
          <w:sz w:val="20"/>
          <w:szCs w:val="20"/>
        </w:rPr>
        <w:t>Intraclass</w:t>
      </w:r>
      <w:proofErr w:type="spellEnd"/>
      <w:r w:rsidRPr="001C4697">
        <w:rPr>
          <w:rFonts w:ascii="Arial" w:hAnsi="Arial" w:cs="Arial"/>
          <w:sz w:val="20"/>
          <w:szCs w:val="20"/>
        </w:rPr>
        <w:t xml:space="preserve"> Correlation Coefficient (ICC) (two-way mixed effects, single measure, absolute agreement) (Koo and Li, 2016), standard error of measurement (SEM) for agreement and SDC were calculated for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and SF-36 scores (</w:t>
      </w:r>
      <w:proofErr w:type="spellStart"/>
      <w:r w:rsidRPr="001C4697">
        <w:rPr>
          <w:rFonts w:ascii="Arial" w:hAnsi="Arial" w:cs="Arial"/>
          <w:sz w:val="20"/>
          <w:szCs w:val="20"/>
        </w:rPr>
        <w:t>Polit</w:t>
      </w:r>
      <w:proofErr w:type="spellEnd"/>
      <w:r w:rsidRPr="001C4697">
        <w:rPr>
          <w:rFonts w:ascii="Arial" w:hAnsi="Arial" w:cs="Arial"/>
          <w:sz w:val="20"/>
          <w:szCs w:val="20"/>
        </w:rPr>
        <w:t xml:space="preserve">, 2014). Details for calculation of the SEM and SDC are available in Table 3.  The 95% limits of agreement </w:t>
      </w:r>
      <w:proofErr w:type="gramStart"/>
      <w:r w:rsidRPr="001C4697">
        <w:rPr>
          <w:rFonts w:ascii="Arial" w:hAnsi="Arial" w:cs="Arial"/>
          <w:sz w:val="20"/>
          <w:szCs w:val="20"/>
        </w:rPr>
        <w:t>were plotted</w:t>
      </w:r>
      <w:proofErr w:type="gramEnd"/>
      <w:r w:rsidRPr="001C4697">
        <w:rPr>
          <w:rFonts w:ascii="Arial" w:hAnsi="Arial" w:cs="Arial"/>
          <w:sz w:val="20"/>
          <w:szCs w:val="20"/>
        </w:rPr>
        <w:t xml:space="preserve"> for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scores (Bland and Altman, 1986). </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sz w:val="20"/>
          <w:szCs w:val="20"/>
        </w:rPr>
      </w:pPr>
      <w:r w:rsidRPr="001C4697">
        <w:rPr>
          <w:rFonts w:ascii="Arial" w:hAnsi="Arial" w:cs="Arial"/>
          <w:sz w:val="20"/>
          <w:szCs w:val="20"/>
        </w:rPr>
        <w:t xml:space="preserve">An exploratory sensitivity to change analysis </w:t>
      </w:r>
      <w:proofErr w:type="gramStart"/>
      <w:r w:rsidRPr="001C4697">
        <w:rPr>
          <w:rFonts w:ascii="Arial" w:hAnsi="Arial" w:cs="Arial"/>
          <w:sz w:val="20"/>
          <w:szCs w:val="20"/>
        </w:rPr>
        <w:t>was conducted</w:t>
      </w:r>
      <w:proofErr w:type="gramEnd"/>
      <w:r w:rsidRPr="001C4697">
        <w:rPr>
          <w:rFonts w:ascii="Arial" w:hAnsi="Arial" w:cs="Arial"/>
          <w:sz w:val="20"/>
          <w:szCs w:val="20"/>
        </w:rPr>
        <w:t xml:space="preserve"> in all participants who met the inclusion criteria. A scatterplot explored the relationship between GRC score and change in </w:t>
      </w:r>
      <w:proofErr w:type="spellStart"/>
      <w:r w:rsidRPr="001C4697">
        <w:rPr>
          <w:rFonts w:ascii="Arial" w:hAnsi="Arial" w:cs="Arial"/>
          <w:sz w:val="20"/>
          <w:szCs w:val="20"/>
        </w:rPr>
        <w:t>BIoH</w:t>
      </w:r>
      <w:proofErr w:type="spellEnd"/>
      <w:r w:rsidRPr="001C4697">
        <w:rPr>
          <w:rFonts w:ascii="Arial" w:hAnsi="Arial" w:cs="Arial"/>
          <w:sz w:val="20"/>
          <w:szCs w:val="20"/>
        </w:rPr>
        <w:t xml:space="preserve"> score. Pearson’s correlation coefficients further explored the relationships between GRC scores and change in </w:t>
      </w:r>
      <w:proofErr w:type="spellStart"/>
      <w:r w:rsidRPr="001C4697">
        <w:rPr>
          <w:rFonts w:ascii="Arial" w:hAnsi="Arial" w:cs="Arial"/>
          <w:sz w:val="20"/>
          <w:szCs w:val="20"/>
        </w:rPr>
        <w:t>BIoH</w:t>
      </w:r>
      <w:proofErr w:type="spellEnd"/>
      <w:r w:rsidRPr="001C4697">
        <w:rPr>
          <w:rFonts w:ascii="Arial" w:hAnsi="Arial" w:cs="Arial"/>
          <w:sz w:val="20"/>
          <w:szCs w:val="20"/>
        </w:rPr>
        <w:t xml:space="preserve"> and SF-36 scores. </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b/>
          <w:sz w:val="20"/>
          <w:szCs w:val="20"/>
        </w:rPr>
      </w:pPr>
    </w:p>
    <w:p w:rsidR="00E43147" w:rsidRPr="001C4697" w:rsidRDefault="00E43147" w:rsidP="00E43147">
      <w:pPr>
        <w:spacing w:after="0" w:line="480" w:lineRule="auto"/>
        <w:rPr>
          <w:rFonts w:ascii="Arial" w:hAnsi="Arial" w:cs="Arial"/>
          <w:b/>
          <w:sz w:val="20"/>
          <w:szCs w:val="20"/>
        </w:rPr>
      </w:pPr>
      <w:r w:rsidRPr="001C4697">
        <w:rPr>
          <w:rFonts w:ascii="Arial" w:hAnsi="Arial" w:cs="Arial"/>
          <w:b/>
          <w:sz w:val="20"/>
          <w:szCs w:val="20"/>
        </w:rPr>
        <w:t>RESULTS</w:t>
      </w:r>
    </w:p>
    <w:p w:rsidR="00E43147" w:rsidRPr="001C4697" w:rsidRDefault="00E43147" w:rsidP="00E43147">
      <w:pPr>
        <w:spacing w:after="0" w:line="480" w:lineRule="auto"/>
        <w:rPr>
          <w:rFonts w:ascii="Arial" w:hAnsi="Arial" w:cs="Arial"/>
          <w:sz w:val="20"/>
          <w:szCs w:val="20"/>
        </w:rPr>
      </w:pPr>
      <w:proofErr w:type="gramStart"/>
      <w:r w:rsidRPr="001C4697">
        <w:rPr>
          <w:rFonts w:ascii="Arial" w:hAnsi="Arial" w:cs="Arial"/>
          <w:sz w:val="20"/>
          <w:szCs w:val="20"/>
        </w:rPr>
        <w:t>462</w:t>
      </w:r>
      <w:proofErr w:type="gramEnd"/>
      <w:r w:rsidRPr="001C4697">
        <w:rPr>
          <w:rFonts w:ascii="Arial" w:hAnsi="Arial" w:cs="Arial"/>
          <w:sz w:val="20"/>
          <w:szCs w:val="20"/>
        </w:rPr>
        <w:t xml:space="preserve"> responses were received from HMSA members (43% response rate). 99 were excluded on the following basis: 82 failed to return week two questionnaires; Seven had incomplete follow-up data; Five had been diagnosed with another connective tissue disease; Three were &lt;16 years; One could not be diagnosed with JHS </w:t>
      </w:r>
      <w:proofErr w:type="gramStart"/>
      <w:r w:rsidRPr="001C4697">
        <w:rPr>
          <w:rFonts w:ascii="Arial" w:hAnsi="Arial" w:cs="Arial"/>
          <w:sz w:val="20"/>
          <w:szCs w:val="20"/>
        </w:rPr>
        <w:t>on the basis of</w:t>
      </w:r>
      <w:proofErr w:type="gramEnd"/>
      <w:r w:rsidRPr="001C4697">
        <w:rPr>
          <w:rFonts w:ascii="Arial" w:hAnsi="Arial" w:cs="Arial"/>
          <w:sz w:val="20"/>
          <w:szCs w:val="20"/>
        </w:rPr>
        <w:t xml:space="preserve"> the screening questions; One had incomplete baseline data. </w:t>
      </w:r>
      <w:proofErr w:type="gramStart"/>
      <w:r w:rsidRPr="001C4697">
        <w:rPr>
          <w:rFonts w:ascii="Arial" w:hAnsi="Arial" w:cs="Arial"/>
          <w:sz w:val="20"/>
          <w:szCs w:val="20"/>
        </w:rPr>
        <w:t>A total of 363</w:t>
      </w:r>
      <w:proofErr w:type="gramEnd"/>
      <w:r w:rsidRPr="001C4697">
        <w:rPr>
          <w:rFonts w:ascii="Arial" w:hAnsi="Arial" w:cs="Arial"/>
          <w:sz w:val="20"/>
          <w:szCs w:val="20"/>
        </w:rPr>
        <w:t xml:space="preserve"> participants therefore met the inclusion criteria and completed baseline and follow-up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questionnaires. Of these, 233 scored between </w:t>
      </w:r>
      <w:proofErr w:type="gramStart"/>
      <w:r w:rsidRPr="001C4697">
        <w:rPr>
          <w:rFonts w:ascii="Arial" w:hAnsi="Arial" w:cs="Arial"/>
          <w:sz w:val="20"/>
          <w:szCs w:val="20"/>
        </w:rPr>
        <w:t>-1</w:t>
      </w:r>
      <w:proofErr w:type="gramEnd"/>
      <w:r w:rsidRPr="001C4697">
        <w:rPr>
          <w:rFonts w:ascii="Arial" w:hAnsi="Arial" w:cs="Arial"/>
          <w:sz w:val="20"/>
          <w:szCs w:val="20"/>
        </w:rPr>
        <w:t xml:space="preserve"> and +1 on the GRC score across the two-</w:t>
      </w:r>
      <w:r w:rsidRPr="001C4697">
        <w:rPr>
          <w:rFonts w:ascii="Arial" w:hAnsi="Arial" w:cs="Arial"/>
          <w:sz w:val="20"/>
          <w:szCs w:val="20"/>
        </w:rPr>
        <w:lastRenderedPageBreak/>
        <w:t xml:space="preserve">week study period and thus were classified as ‘stable’ for the purposes of the test-retest reliability analysis. Kolmogorov-Smirnov tests confirmed that data for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and SF-36 PCS conformed to a normal distribution at both baseline and two-weeks (n=233). Although the SF-36 MCS data deviated from normality (n=233), a pragmatic decision was made to use parametric analysis throughout as the choice of statistical approach for analysis of SF-36 data in people with chronic pain has previously been found to have no effect on the outcome (Torrance et al 2009).</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bCs/>
          <w:sz w:val="20"/>
          <w:szCs w:val="20"/>
        </w:rPr>
      </w:pPr>
      <w:r w:rsidRPr="001C4697">
        <w:rPr>
          <w:rFonts w:ascii="Arial" w:hAnsi="Arial" w:cs="Arial"/>
          <w:sz w:val="20"/>
          <w:szCs w:val="20"/>
        </w:rPr>
        <w:t>Table 1 illustrates that t</w:t>
      </w:r>
      <w:r w:rsidRPr="001C4697">
        <w:rPr>
          <w:rFonts w:ascii="Arial" w:hAnsi="Arial" w:cs="Arial"/>
          <w:bCs/>
          <w:sz w:val="20"/>
          <w:szCs w:val="20"/>
        </w:rPr>
        <w:t>here were no systematic differences between ‘stable’ participants (n=233) and the larger sample of participants who met the inclusion criteria (n=363), suggesting that the ‘stable’ patients were representative of the larger group from which they came. Table 2 presents information relating to the diagnostic make-up of the wider sample (n=363).</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sz w:val="20"/>
          <w:szCs w:val="20"/>
        </w:rPr>
      </w:pPr>
      <w:r w:rsidRPr="001C4697">
        <w:rPr>
          <w:rFonts w:ascii="Arial" w:hAnsi="Arial" w:cs="Arial"/>
          <w:sz w:val="20"/>
          <w:szCs w:val="20"/>
        </w:rPr>
        <w:t xml:space="preserve">The distribution of GRC scores across the full data set (n=363) can be seen in Figure 1. ‘No change’ was defined as a GRC score from </w:t>
      </w:r>
      <w:proofErr w:type="gramStart"/>
      <w:r w:rsidRPr="001C4697">
        <w:rPr>
          <w:rFonts w:ascii="Arial" w:hAnsi="Arial" w:cs="Arial"/>
          <w:sz w:val="20"/>
          <w:szCs w:val="20"/>
        </w:rPr>
        <w:t>-1</w:t>
      </w:r>
      <w:proofErr w:type="gramEnd"/>
      <w:r w:rsidRPr="001C4697">
        <w:rPr>
          <w:rFonts w:ascii="Arial" w:hAnsi="Arial" w:cs="Arial"/>
          <w:sz w:val="20"/>
          <w:szCs w:val="20"/>
        </w:rPr>
        <w:t xml:space="preserve"> to +1 (n=233). An ICC value of 0.923 (95% Confidence Interval (CI) 0.900-0.940) was calculated for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indicating excellent test-retest reliability (n=233). Corresponding values for the SF-36 Physical Component Score (PCS) and Mental Component Score (MCS) were ICC 0.887 (95% CI 0.855-0.912) and ICC 0.778 (95% CI 0.721-0.825) respectively (n=233).</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sz w:val="20"/>
          <w:szCs w:val="20"/>
        </w:rPr>
      </w:pPr>
      <w:r w:rsidRPr="001C4697">
        <w:rPr>
          <w:rFonts w:ascii="Arial" w:hAnsi="Arial" w:cs="Arial"/>
          <w:sz w:val="20"/>
          <w:szCs w:val="20"/>
        </w:rPr>
        <w:t xml:space="preserve">Calculations relevant to limits of agreement analysis are contained in Table 3. The mean difference in </w:t>
      </w:r>
      <w:proofErr w:type="spellStart"/>
      <w:r w:rsidRPr="001C4697">
        <w:rPr>
          <w:rFonts w:ascii="Arial" w:hAnsi="Arial" w:cs="Arial"/>
          <w:sz w:val="20"/>
          <w:szCs w:val="20"/>
        </w:rPr>
        <w:t>BIoH</w:t>
      </w:r>
      <w:proofErr w:type="spellEnd"/>
      <w:r w:rsidRPr="001C4697">
        <w:rPr>
          <w:rFonts w:ascii="Arial" w:hAnsi="Arial" w:cs="Arial"/>
          <w:sz w:val="20"/>
          <w:szCs w:val="20"/>
        </w:rPr>
        <w:t xml:space="preserve"> scores across the two weeks for ‘stable’ patients (n=233) was -3.26 points, suggesting a trend towards slightly lower scores on repeat testing. The 95% CI for </w:t>
      </w:r>
      <m:oMath>
        <m:acc>
          <m:accPr>
            <m:chr m:val="̅"/>
            <m:ctrlPr>
              <w:rPr>
                <w:rFonts w:ascii="Cambria Math" w:eastAsia="Arial Unicode MS" w:hAnsi="Cambria Math" w:cs="Arial Unicode MS"/>
                <w:i/>
                <w:sz w:val="20"/>
                <w:szCs w:val="20"/>
              </w:rPr>
            </m:ctrlPr>
          </m:accPr>
          <m:e>
            <m:r>
              <w:rPr>
                <w:rFonts w:ascii="Cambria Math" w:eastAsia="Arial Unicode MS" w:hAnsi="Cambria Math" w:cs="Arial Unicode MS"/>
                <w:sz w:val="20"/>
                <w:szCs w:val="20"/>
              </w:rPr>
              <m:t>d</m:t>
            </m:r>
          </m:e>
        </m:acc>
      </m:oMath>
      <w:r w:rsidRPr="001C4697">
        <w:rPr>
          <w:rFonts w:ascii="Arial" w:eastAsiaTheme="minorEastAsia" w:hAnsi="Arial" w:cs="Arial"/>
          <w:sz w:val="20"/>
          <w:szCs w:val="20"/>
        </w:rPr>
        <w:t xml:space="preserve"> for the BIoH questionnaire did not cross zero which confirms slight bias on repeated measurement (in this case a tendency towards a lower score at week two) (Rankin and Stokes, 1998). </w:t>
      </w:r>
      <w:r w:rsidRPr="001C4697">
        <w:rPr>
          <w:rFonts w:ascii="Arial" w:hAnsi="Arial" w:cs="Arial"/>
          <w:sz w:val="20"/>
          <w:szCs w:val="20"/>
        </w:rPr>
        <w:t xml:space="preserve">The SDC (1.96 SD of the difference scores) for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was calculated to be </w:t>
      </w:r>
      <w:r w:rsidRPr="001C4697">
        <w:rPr>
          <w:rFonts w:ascii="Arial" w:hAnsi="Arial" w:cs="Arial"/>
          <w:sz w:val="20"/>
          <w:szCs w:val="20"/>
        </w:rPr>
        <w:sym w:font="Symbol" w:char="F0B1"/>
      </w:r>
      <w:r w:rsidRPr="001C4697">
        <w:rPr>
          <w:rFonts w:ascii="Arial" w:hAnsi="Arial" w:cs="Arial"/>
          <w:sz w:val="20"/>
          <w:szCs w:val="20"/>
        </w:rPr>
        <w:t xml:space="preserve">42 points (equivalent to 12% of the maximum score (360 points) or 19% of the mean baseline score (223.6 points) observed in the current sample) (n=233). The corresponding values for the SF-36 PCS and MCS were </w:t>
      </w:r>
      <w:r w:rsidRPr="001C4697">
        <w:rPr>
          <w:rFonts w:ascii="Arial" w:hAnsi="Arial" w:cs="Arial"/>
          <w:sz w:val="20"/>
          <w:szCs w:val="20"/>
        </w:rPr>
        <w:sym w:font="Symbol" w:char="F0B1"/>
      </w:r>
      <w:r w:rsidRPr="001C4697">
        <w:rPr>
          <w:rFonts w:ascii="Arial" w:hAnsi="Arial" w:cs="Arial"/>
          <w:sz w:val="20"/>
          <w:szCs w:val="20"/>
        </w:rPr>
        <w:t xml:space="preserve">9 and </w:t>
      </w:r>
      <w:r w:rsidRPr="001C4697">
        <w:rPr>
          <w:rFonts w:ascii="Arial" w:hAnsi="Arial" w:cs="Arial"/>
          <w:sz w:val="20"/>
          <w:szCs w:val="20"/>
        </w:rPr>
        <w:sym w:font="Symbol" w:char="F0B1"/>
      </w:r>
      <w:r w:rsidRPr="001C4697">
        <w:rPr>
          <w:rFonts w:ascii="Arial" w:hAnsi="Arial" w:cs="Arial"/>
          <w:sz w:val="20"/>
          <w:szCs w:val="20"/>
        </w:rPr>
        <w:t xml:space="preserve">15 points respectively (equivalent to 9% and 15% of the maximum score (100 points) or 25% and 37% of the mean baseline scores (33.6 and 41.8 points) respectively) (n=233). </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sz w:val="20"/>
          <w:szCs w:val="20"/>
        </w:rPr>
      </w:pPr>
      <w:r w:rsidRPr="001C4697">
        <w:rPr>
          <w:rFonts w:ascii="Arial" w:hAnsi="Arial" w:cs="Arial"/>
          <w:sz w:val="20"/>
          <w:szCs w:val="20"/>
        </w:rPr>
        <w:lastRenderedPageBreak/>
        <w:t xml:space="preserve">The 95% limits of agreement </w:t>
      </w:r>
      <w:proofErr w:type="gramStart"/>
      <w:r w:rsidRPr="001C4697">
        <w:rPr>
          <w:rFonts w:ascii="Arial" w:hAnsi="Arial" w:cs="Arial"/>
          <w:sz w:val="20"/>
          <w:szCs w:val="20"/>
        </w:rPr>
        <w:t>were calculated</w:t>
      </w:r>
      <w:proofErr w:type="gramEnd"/>
      <w:r w:rsidRPr="001C4697">
        <w:rPr>
          <w:rFonts w:ascii="Arial" w:hAnsi="Arial" w:cs="Arial"/>
          <w:sz w:val="20"/>
          <w:szCs w:val="20"/>
        </w:rPr>
        <w:t xml:space="preserve"> as the mean difference ± the SDC. Figure 2 presents the limits of agreement plot for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(Bland and Altman, 1986) (n=233). It is difficult to identify clear trends but there is perhaps slightly greater between-days differences (the difference in score between baseline and week 2) in the region of the mean </w:t>
      </w:r>
      <w:proofErr w:type="spellStart"/>
      <w:r w:rsidRPr="001C4697">
        <w:rPr>
          <w:rFonts w:ascii="Arial" w:hAnsi="Arial" w:cs="Arial"/>
          <w:sz w:val="20"/>
          <w:szCs w:val="20"/>
        </w:rPr>
        <w:t>BIoH</w:t>
      </w:r>
      <w:proofErr w:type="spellEnd"/>
      <w:r w:rsidRPr="001C4697">
        <w:rPr>
          <w:rFonts w:ascii="Arial" w:hAnsi="Arial" w:cs="Arial"/>
          <w:sz w:val="20"/>
          <w:szCs w:val="20"/>
        </w:rPr>
        <w:t xml:space="preserve"> scores (the mean baseline score was 223.6). These differences seem to be smaller at either end of the range of between-days mean scores, particularly in the lower range.</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sz w:val="20"/>
          <w:szCs w:val="20"/>
        </w:rPr>
      </w:pPr>
      <w:r w:rsidRPr="001C4697">
        <w:rPr>
          <w:rFonts w:ascii="Arial" w:hAnsi="Arial" w:cs="Arial"/>
          <w:sz w:val="20"/>
          <w:szCs w:val="20"/>
        </w:rPr>
        <w:t xml:space="preserve">The relationship between the GRC score and change in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score across the two-week study period is illustrated in Figure 3 for all participants who met the inclusion criteria (n=363). This demonstrates a moderate negative correlation (Pearson’s correlation coefficient r=-0.493, p&lt;0.001), indicating that improvement measured by the GRC scale was associated with a decrease in the impact of the condition as measured by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Corresponding SF-36 values were r=0.186 (p&lt;0.001) and r=0.203 (p&lt;0.001) for the PCS and MCS respectively, indicating weak associations between GRC and improvement in disability as measured by the SF-36.</w:t>
      </w:r>
    </w:p>
    <w:p w:rsidR="00E43147" w:rsidRPr="001C4697" w:rsidRDefault="00E43147" w:rsidP="00E43147">
      <w:pPr>
        <w:spacing w:after="0" w:line="480" w:lineRule="auto"/>
        <w:rPr>
          <w:rFonts w:ascii="Arial" w:hAnsi="Arial" w:cs="Arial"/>
          <w:b/>
          <w:sz w:val="20"/>
          <w:szCs w:val="20"/>
        </w:rPr>
      </w:pPr>
      <w:bookmarkStart w:id="0" w:name="_GoBack"/>
      <w:bookmarkEnd w:id="0"/>
    </w:p>
    <w:p w:rsidR="00E43147" w:rsidRPr="001C4697" w:rsidRDefault="00E43147" w:rsidP="00E43147">
      <w:pPr>
        <w:spacing w:after="0" w:line="480" w:lineRule="auto"/>
        <w:rPr>
          <w:rFonts w:ascii="Arial" w:hAnsi="Arial" w:cs="Arial"/>
          <w:b/>
          <w:sz w:val="20"/>
          <w:szCs w:val="20"/>
        </w:rPr>
      </w:pPr>
    </w:p>
    <w:p w:rsidR="00E43147" w:rsidRPr="001C4697" w:rsidRDefault="00E43147" w:rsidP="00E43147">
      <w:pPr>
        <w:spacing w:after="0" w:line="480" w:lineRule="auto"/>
        <w:rPr>
          <w:rFonts w:ascii="Arial" w:hAnsi="Arial" w:cs="Arial"/>
          <w:b/>
          <w:sz w:val="20"/>
          <w:szCs w:val="20"/>
        </w:rPr>
      </w:pPr>
      <w:r w:rsidRPr="001C4697">
        <w:rPr>
          <w:rFonts w:ascii="Arial" w:hAnsi="Arial" w:cs="Arial"/>
          <w:b/>
          <w:sz w:val="20"/>
          <w:szCs w:val="20"/>
        </w:rPr>
        <w:t>DISCUSSION</w:t>
      </w:r>
    </w:p>
    <w:p w:rsidR="00E43147" w:rsidRPr="001C4697" w:rsidRDefault="00E43147" w:rsidP="00E43147">
      <w:pPr>
        <w:spacing w:after="0" w:line="480" w:lineRule="auto"/>
        <w:rPr>
          <w:rFonts w:ascii="Arial" w:hAnsi="Arial" w:cs="Arial"/>
          <w:sz w:val="20"/>
          <w:szCs w:val="20"/>
        </w:rPr>
      </w:pPr>
      <w:r w:rsidRPr="001C4697">
        <w:rPr>
          <w:rFonts w:ascii="Arial" w:hAnsi="Arial" w:cs="Arial"/>
          <w:sz w:val="20"/>
          <w:szCs w:val="20"/>
        </w:rPr>
        <w:t xml:space="preserve">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has demonstrated excellent test-retest reliability over a two-week period, with an ICC value of 0.923. Test-retest reliability coefficient values in excess of 0.85 </w:t>
      </w:r>
      <w:proofErr w:type="gramStart"/>
      <w:r w:rsidRPr="001C4697">
        <w:rPr>
          <w:rFonts w:ascii="Arial" w:hAnsi="Arial" w:cs="Arial"/>
          <w:sz w:val="20"/>
          <w:szCs w:val="20"/>
        </w:rPr>
        <w:t>have previously been recognised</w:t>
      </w:r>
      <w:proofErr w:type="gramEnd"/>
      <w:r w:rsidRPr="001C4697">
        <w:rPr>
          <w:rFonts w:ascii="Arial" w:hAnsi="Arial" w:cs="Arial"/>
          <w:sz w:val="20"/>
          <w:szCs w:val="20"/>
        </w:rPr>
        <w:t xml:space="preserve"> as indicating ‘excellent’ reliability (</w:t>
      </w:r>
      <w:proofErr w:type="spellStart"/>
      <w:r w:rsidRPr="001C4697">
        <w:rPr>
          <w:rFonts w:ascii="Arial" w:hAnsi="Arial" w:cs="Arial"/>
          <w:sz w:val="20"/>
          <w:szCs w:val="20"/>
        </w:rPr>
        <w:t>Polit</w:t>
      </w:r>
      <w:proofErr w:type="spellEnd"/>
      <w:r w:rsidRPr="001C4697">
        <w:rPr>
          <w:rFonts w:ascii="Arial" w:hAnsi="Arial" w:cs="Arial"/>
          <w:sz w:val="20"/>
          <w:szCs w:val="20"/>
        </w:rPr>
        <w:t xml:space="preserve">, 2014). In the present investigation </w:t>
      </w:r>
      <w:proofErr w:type="gramStart"/>
      <w:r w:rsidRPr="001C4697">
        <w:rPr>
          <w:rFonts w:ascii="Arial" w:hAnsi="Arial" w:cs="Arial"/>
          <w:sz w:val="20"/>
          <w:szCs w:val="20"/>
        </w:rPr>
        <w:t>even</w:t>
      </w:r>
      <w:proofErr w:type="gramEnd"/>
      <w:r w:rsidRPr="001C4697">
        <w:rPr>
          <w:rFonts w:ascii="Arial" w:hAnsi="Arial" w:cs="Arial"/>
          <w:sz w:val="20"/>
          <w:szCs w:val="20"/>
        </w:rPr>
        <w:t xml:space="preserve"> the lower boundary of the ICC 95% confidence interval for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was equal to 0.9 so this indicates that the questionnaire performed very strongly in this regard. The PCS of the SF-36 also performed very well with an ‘excellent’ ICC value of 0.887. The MCS performed less well, with an ICC value of 0.778, although this </w:t>
      </w:r>
      <w:proofErr w:type="gramStart"/>
      <w:r w:rsidRPr="001C4697">
        <w:rPr>
          <w:rFonts w:ascii="Arial" w:hAnsi="Arial" w:cs="Arial"/>
          <w:sz w:val="20"/>
          <w:szCs w:val="20"/>
        </w:rPr>
        <w:t>would still be classified</w:t>
      </w:r>
      <w:proofErr w:type="gramEnd"/>
      <w:r w:rsidRPr="001C4697">
        <w:rPr>
          <w:rFonts w:ascii="Arial" w:hAnsi="Arial" w:cs="Arial"/>
          <w:sz w:val="20"/>
          <w:szCs w:val="20"/>
        </w:rPr>
        <w:t xml:space="preserve"> as ‘adequate’ by many researchers (</w:t>
      </w:r>
      <w:proofErr w:type="spellStart"/>
      <w:r w:rsidRPr="001C4697">
        <w:rPr>
          <w:rFonts w:ascii="Arial" w:hAnsi="Arial" w:cs="Arial"/>
          <w:sz w:val="20"/>
          <w:szCs w:val="20"/>
        </w:rPr>
        <w:t>Polit</w:t>
      </w:r>
      <w:proofErr w:type="spellEnd"/>
      <w:r w:rsidRPr="001C4697">
        <w:rPr>
          <w:rFonts w:ascii="Arial" w:hAnsi="Arial" w:cs="Arial"/>
          <w:sz w:val="20"/>
          <w:szCs w:val="20"/>
        </w:rPr>
        <w:t xml:space="preserve">, 2014). </w:t>
      </w:r>
      <w:proofErr w:type="gramStart"/>
      <w:r w:rsidRPr="001C4697">
        <w:rPr>
          <w:rFonts w:ascii="Arial" w:hAnsi="Arial" w:cs="Arial"/>
          <w:sz w:val="20"/>
          <w:szCs w:val="20"/>
        </w:rPr>
        <w:t>So</w:t>
      </w:r>
      <w:proofErr w:type="gramEnd"/>
      <w:r w:rsidRPr="001C4697">
        <w:rPr>
          <w:rFonts w:ascii="Arial" w:hAnsi="Arial" w:cs="Arial"/>
          <w:sz w:val="20"/>
          <w:szCs w:val="20"/>
        </w:rPr>
        <w:t xml:space="preserve">, both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and SF-36 PCS demonstrated excellent test-retest reliability in the context of this study, with marginally better reliability for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sz w:val="20"/>
          <w:szCs w:val="20"/>
        </w:rPr>
      </w:pPr>
      <w:r w:rsidRPr="001C4697">
        <w:rPr>
          <w:rFonts w:ascii="Arial" w:hAnsi="Arial" w:cs="Arial"/>
          <w:sz w:val="20"/>
          <w:szCs w:val="20"/>
        </w:rPr>
        <w:t xml:space="preserve">The SDC values suggested that a change of 42 points or more on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w:t>
      </w:r>
      <w:proofErr w:type="gramStart"/>
      <w:r w:rsidRPr="001C4697">
        <w:rPr>
          <w:rFonts w:ascii="Arial" w:hAnsi="Arial" w:cs="Arial"/>
          <w:sz w:val="20"/>
          <w:szCs w:val="20"/>
        </w:rPr>
        <w:t>might be considered</w:t>
      </w:r>
      <w:proofErr w:type="gramEnd"/>
      <w:r w:rsidRPr="001C4697">
        <w:rPr>
          <w:rFonts w:ascii="Arial" w:hAnsi="Arial" w:cs="Arial"/>
          <w:sz w:val="20"/>
          <w:szCs w:val="20"/>
        </w:rPr>
        <w:t xml:space="preserve"> beyond measurement error (equivalent to 19% of the mean score observed in the current sample). A change of less than this is therefore unlikely to be important clinically. The corresponding </w:t>
      </w:r>
      <w:r w:rsidRPr="001C4697">
        <w:rPr>
          <w:rFonts w:ascii="Arial" w:hAnsi="Arial" w:cs="Arial"/>
          <w:sz w:val="20"/>
          <w:szCs w:val="20"/>
        </w:rPr>
        <w:lastRenderedPageBreak/>
        <w:t xml:space="preserve">SDC values for the SF-36 PCS and MCS were equivalent to 25% and 37% of the mean scores respectively. This suggests that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may be more sensitive to change, at least in terms of the relative magnitude of measurement error. </w:t>
      </w:r>
      <w:proofErr w:type="gramStart"/>
      <w:r w:rsidRPr="001C4697">
        <w:rPr>
          <w:rFonts w:ascii="Arial" w:hAnsi="Arial" w:cs="Arial"/>
          <w:sz w:val="20"/>
          <w:szCs w:val="20"/>
        </w:rPr>
        <w:t>However</w:t>
      </w:r>
      <w:proofErr w:type="gramEnd"/>
      <w:r w:rsidRPr="001C4697">
        <w:rPr>
          <w:rFonts w:ascii="Arial" w:hAnsi="Arial" w:cs="Arial"/>
          <w:sz w:val="20"/>
          <w:szCs w:val="20"/>
        </w:rPr>
        <w:t xml:space="preserve"> it should be acknowledged that these estimates are only based on the boundaries of error around the change score in ‘stable’ patients (Wright et al., 2012). The minimum clinically important difference would therefore need to </w:t>
      </w:r>
      <w:proofErr w:type="gramStart"/>
      <w:r w:rsidRPr="001C4697">
        <w:rPr>
          <w:rFonts w:ascii="Arial" w:hAnsi="Arial" w:cs="Arial"/>
          <w:sz w:val="20"/>
          <w:szCs w:val="20"/>
        </w:rPr>
        <w:t>be verified</w:t>
      </w:r>
      <w:proofErr w:type="gramEnd"/>
      <w:r w:rsidRPr="001C4697">
        <w:rPr>
          <w:rFonts w:ascii="Arial" w:hAnsi="Arial" w:cs="Arial"/>
          <w:sz w:val="20"/>
          <w:szCs w:val="20"/>
        </w:rPr>
        <w:t xml:space="preserve"> through analysis of sensitivity of change following interventions of known efficacy.</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sz w:val="20"/>
          <w:szCs w:val="20"/>
        </w:rPr>
      </w:pPr>
      <w:r w:rsidRPr="001C4697">
        <w:rPr>
          <w:rFonts w:ascii="Arial" w:hAnsi="Arial" w:cs="Arial"/>
          <w:sz w:val="20"/>
          <w:szCs w:val="20"/>
        </w:rPr>
        <w:t xml:space="preserve">A further preliminary analysis of sensitivity to change </w:t>
      </w:r>
      <w:proofErr w:type="gramStart"/>
      <w:r w:rsidRPr="001C4697">
        <w:rPr>
          <w:rFonts w:ascii="Arial" w:hAnsi="Arial" w:cs="Arial"/>
          <w:sz w:val="20"/>
          <w:szCs w:val="20"/>
        </w:rPr>
        <w:t>was performed</w:t>
      </w:r>
      <w:proofErr w:type="gramEnd"/>
      <w:r w:rsidRPr="001C4697">
        <w:rPr>
          <w:rFonts w:ascii="Arial" w:hAnsi="Arial" w:cs="Arial"/>
          <w:sz w:val="20"/>
          <w:szCs w:val="20"/>
        </w:rPr>
        <w:t xml:space="preserve"> by analysing the relationship between GRC scale scores and change in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and SF-36 values across the two-week study period. This suggested that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performed much better, with correlation values approaching -0.5 compared to values for the PCS and MCS in the region of 0.2. This supports an assumption that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may be more sensitive, although again this needs to be a very tentative interpretation until a more robust evaluation of sensitivity to change </w:t>
      </w:r>
      <w:proofErr w:type="gramStart"/>
      <w:r w:rsidRPr="001C4697">
        <w:rPr>
          <w:rFonts w:ascii="Arial" w:hAnsi="Arial" w:cs="Arial"/>
          <w:sz w:val="20"/>
          <w:szCs w:val="20"/>
        </w:rPr>
        <w:t>is conducted</w:t>
      </w:r>
      <w:proofErr w:type="gramEnd"/>
      <w:r w:rsidRPr="001C4697">
        <w:rPr>
          <w:rFonts w:ascii="Arial" w:hAnsi="Arial" w:cs="Arial"/>
          <w:sz w:val="20"/>
          <w:szCs w:val="20"/>
        </w:rPr>
        <w:t>.</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sz w:val="20"/>
          <w:szCs w:val="20"/>
        </w:rPr>
      </w:pPr>
      <w:r w:rsidRPr="001C4697">
        <w:rPr>
          <w:rFonts w:ascii="Arial" w:hAnsi="Arial" w:cs="Arial"/>
          <w:sz w:val="20"/>
          <w:szCs w:val="20"/>
        </w:rPr>
        <w:t xml:space="preserve">A number of different outcome measures </w:t>
      </w:r>
      <w:proofErr w:type="gramStart"/>
      <w:r w:rsidRPr="001C4697">
        <w:rPr>
          <w:rFonts w:ascii="Arial" w:hAnsi="Arial" w:cs="Arial"/>
          <w:sz w:val="20"/>
          <w:szCs w:val="20"/>
        </w:rPr>
        <w:t>have been used</w:t>
      </w:r>
      <w:proofErr w:type="gramEnd"/>
      <w:r w:rsidRPr="001C4697">
        <w:rPr>
          <w:rFonts w:ascii="Arial" w:hAnsi="Arial" w:cs="Arial"/>
          <w:sz w:val="20"/>
          <w:szCs w:val="20"/>
        </w:rPr>
        <w:t xml:space="preserve"> in previous JHS clinical trials. For example the patient-reported outcome measures used in previous trials of exercise for adults with JHS included in a recent systematic review (Palmer et al., 2014) were the SF-36 (Ferrell et al., 2004), the Arthritis Impact Measurement Scales 2 (AIMS-2) (</w:t>
      </w:r>
      <w:proofErr w:type="spellStart"/>
      <w:r w:rsidRPr="001C4697">
        <w:rPr>
          <w:rFonts w:ascii="Arial" w:hAnsi="Arial" w:cs="Arial"/>
          <w:sz w:val="20"/>
          <w:szCs w:val="20"/>
        </w:rPr>
        <w:t>Sahin</w:t>
      </w:r>
      <w:proofErr w:type="spellEnd"/>
      <w:r w:rsidRPr="001C4697">
        <w:rPr>
          <w:rFonts w:ascii="Arial" w:hAnsi="Arial" w:cs="Arial"/>
          <w:sz w:val="20"/>
          <w:szCs w:val="20"/>
        </w:rPr>
        <w:t xml:space="preserve"> et al., 2008) and a questionnaire developed by Barton and Bird (1996). Of those, only the SF-36 captured improvements following exercise (Ferrell et al., 2004). Only one of the five AIMS-2 subscales improved (</w:t>
      </w:r>
      <w:proofErr w:type="spellStart"/>
      <w:r w:rsidRPr="001C4697">
        <w:rPr>
          <w:rFonts w:ascii="Arial" w:hAnsi="Arial" w:cs="Arial"/>
          <w:sz w:val="20"/>
          <w:szCs w:val="20"/>
        </w:rPr>
        <w:t>Sahin</w:t>
      </w:r>
      <w:proofErr w:type="spellEnd"/>
      <w:r w:rsidRPr="001C4697">
        <w:rPr>
          <w:rFonts w:ascii="Arial" w:hAnsi="Arial" w:cs="Arial"/>
          <w:sz w:val="20"/>
          <w:szCs w:val="20"/>
        </w:rPr>
        <w:t xml:space="preserve"> et al., 2008), and no changes were evident in the questionnaire used by Barton and Bird (1996). The SF-36 questionnaire was thus a good candidate against which to compare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(Palmer et al., 2017). A fuller critical evaluation of these studies is available in the systematic review by Palmer et al (2014).</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sz w:val="20"/>
          <w:szCs w:val="20"/>
        </w:rPr>
      </w:pPr>
      <w:r w:rsidRPr="001C4697">
        <w:rPr>
          <w:rFonts w:ascii="Arial" w:hAnsi="Arial" w:cs="Arial"/>
          <w:sz w:val="20"/>
          <w:szCs w:val="20"/>
        </w:rPr>
        <w:t xml:space="preserve">The prevalence of pain </w:t>
      </w:r>
      <w:proofErr w:type="gramStart"/>
      <w:r w:rsidRPr="001C4697">
        <w:rPr>
          <w:rFonts w:ascii="Arial" w:hAnsi="Arial" w:cs="Arial"/>
          <w:sz w:val="20"/>
          <w:szCs w:val="20"/>
        </w:rPr>
        <w:t>was shown</w:t>
      </w:r>
      <w:proofErr w:type="gramEnd"/>
      <w:r w:rsidRPr="001C4697">
        <w:rPr>
          <w:rFonts w:ascii="Arial" w:hAnsi="Arial" w:cs="Arial"/>
          <w:sz w:val="20"/>
          <w:szCs w:val="20"/>
        </w:rPr>
        <w:t xml:space="preserve"> to be very high, with participants reporting pain in a mean of 8 out of 10 body areas, a similar prevalence to that previously observed (Palmer et al., 2017). This is perhaps unsurprising as participants in both studies </w:t>
      </w:r>
      <w:proofErr w:type="gramStart"/>
      <w:r w:rsidRPr="001C4697">
        <w:rPr>
          <w:rFonts w:ascii="Arial" w:hAnsi="Arial" w:cs="Arial"/>
          <w:sz w:val="20"/>
          <w:szCs w:val="20"/>
        </w:rPr>
        <w:t>were recruited</w:t>
      </w:r>
      <w:proofErr w:type="gramEnd"/>
      <w:r w:rsidRPr="001C4697">
        <w:rPr>
          <w:rFonts w:ascii="Arial" w:hAnsi="Arial" w:cs="Arial"/>
          <w:sz w:val="20"/>
          <w:szCs w:val="20"/>
        </w:rPr>
        <w:t xml:space="preserve"> from the same patient organisation. Nonetheless, it reinforces the observation that the pain experienced by those with JHS is widespread. </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sz w:val="20"/>
          <w:szCs w:val="20"/>
        </w:rPr>
      </w:pPr>
      <w:r w:rsidRPr="001C4697">
        <w:rPr>
          <w:rFonts w:ascii="Arial" w:hAnsi="Arial" w:cs="Arial"/>
          <w:sz w:val="20"/>
          <w:szCs w:val="20"/>
        </w:rPr>
        <w:lastRenderedPageBreak/>
        <w:t xml:space="preserve">Additional information related to the five-point screening questionnaire of Hakim and Grahame (2003) has been gathered, suggesting that some questions might be more discriminative than others (Table </w:t>
      </w:r>
      <w:proofErr w:type="gramStart"/>
      <w:r w:rsidRPr="001C4697">
        <w:rPr>
          <w:rFonts w:ascii="Arial" w:hAnsi="Arial" w:cs="Arial"/>
          <w:sz w:val="20"/>
          <w:szCs w:val="20"/>
        </w:rPr>
        <w:t>2)</w:t>
      </w:r>
      <w:proofErr w:type="gramEnd"/>
      <w:r w:rsidRPr="001C4697">
        <w:rPr>
          <w:rFonts w:ascii="Arial" w:hAnsi="Arial" w:cs="Arial"/>
          <w:sz w:val="20"/>
          <w:szCs w:val="20"/>
        </w:rPr>
        <w:t xml:space="preserve">. For example shoulder or kneecap dislocation </w:t>
      </w:r>
      <w:proofErr w:type="gramStart"/>
      <w:r w:rsidRPr="001C4697">
        <w:rPr>
          <w:rFonts w:ascii="Arial" w:hAnsi="Arial" w:cs="Arial"/>
          <w:sz w:val="20"/>
          <w:szCs w:val="20"/>
        </w:rPr>
        <w:t>was only reported</w:t>
      </w:r>
      <w:proofErr w:type="gramEnd"/>
      <w:r w:rsidRPr="001C4697">
        <w:rPr>
          <w:rFonts w:ascii="Arial" w:hAnsi="Arial" w:cs="Arial"/>
          <w:sz w:val="20"/>
          <w:szCs w:val="20"/>
        </w:rPr>
        <w:t xml:space="preserve"> by 38% of respondents. The original developers of the questionnaire found similarly low proportions for positive responses to that question, with only 20% and 38% of their cohorts giving an affirmative answer (Hakim and Grahame, 2003). The questionnaire now forms a supplementary part of the diagnostic criteria for </w:t>
      </w:r>
      <w:proofErr w:type="spellStart"/>
      <w:r w:rsidRPr="001C4697">
        <w:rPr>
          <w:rFonts w:ascii="Arial" w:hAnsi="Arial" w:cs="Arial"/>
          <w:sz w:val="20"/>
          <w:szCs w:val="20"/>
        </w:rPr>
        <w:t>hEDS</w:t>
      </w:r>
      <w:proofErr w:type="spellEnd"/>
      <w:r w:rsidRPr="001C4697">
        <w:rPr>
          <w:rFonts w:ascii="Arial" w:hAnsi="Arial" w:cs="Arial"/>
          <w:sz w:val="20"/>
          <w:szCs w:val="20"/>
        </w:rPr>
        <w:t xml:space="preserve"> in cases where the </w:t>
      </w:r>
      <w:proofErr w:type="spellStart"/>
      <w:r w:rsidRPr="001C4697">
        <w:rPr>
          <w:rFonts w:ascii="Arial" w:hAnsi="Arial" w:cs="Arial"/>
          <w:sz w:val="20"/>
          <w:szCs w:val="20"/>
        </w:rPr>
        <w:t>Beighton</w:t>
      </w:r>
      <w:proofErr w:type="spellEnd"/>
      <w:r w:rsidRPr="001C4697">
        <w:rPr>
          <w:rFonts w:ascii="Arial" w:hAnsi="Arial" w:cs="Arial"/>
          <w:sz w:val="20"/>
          <w:szCs w:val="20"/>
        </w:rPr>
        <w:t xml:space="preserve"> criteria is one point below the age-related cut-off (</w:t>
      </w:r>
      <w:proofErr w:type="spellStart"/>
      <w:r w:rsidRPr="001C4697">
        <w:rPr>
          <w:rFonts w:ascii="Arial" w:hAnsi="Arial" w:cs="Arial"/>
          <w:sz w:val="20"/>
          <w:szCs w:val="20"/>
        </w:rPr>
        <w:t>Malfait</w:t>
      </w:r>
      <w:proofErr w:type="spellEnd"/>
      <w:r w:rsidRPr="001C4697">
        <w:rPr>
          <w:rFonts w:ascii="Arial" w:hAnsi="Arial" w:cs="Arial"/>
          <w:sz w:val="20"/>
          <w:szCs w:val="20"/>
        </w:rPr>
        <w:t xml:space="preserve"> et al., 2017). As such, further evaluation of the psychometric properties of the five-point questionnaire </w:t>
      </w:r>
      <w:proofErr w:type="gramStart"/>
      <w:r w:rsidRPr="001C4697">
        <w:rPr>
          <w:rFonts w:ascii="Arial" w:hAnsi="Arial" w:cs="Arial"/>
          <w:sz w:val="20"/>
          <w:szCs w:val="20"/>
        </w:rPr>
        <w:t>is warranted</w:t>
      </w:r>
      <w:proofErr w:type="gramEnd"/>
      <w:r w:rsidRPr="001C4697">
        <w:rPr>
          <w:rFonts w:ascii="Arial" w:hAnsi="Arial" w:cs="Arial"/>
          <w:sz w:val="20"/>
          <w:szCs w:val="20"/>
        </w:rPr>
        <w:t xml:space="preserve"> and could include an evaluation of sensitivity and specificity against the primary diagnostic criteria. Although many experts have historically considered JHS and EDS-HT to be the same condition (Tinkle et al., 2009) it was interesting to note that the diagnostic label of JHS (92%) was more commonly reported by participants in this study than EDS-HT (63%). It </w:t>
      </w:r>
      <w:proofErr w:type="gramStart"/>
      <w:r w:rsidRPr="001C4697">
        <w:rPr>
          <w:rFonts w:ascii="Arial" w:hAnsi="Arial" w:cs="Arial"/>
          <w:sz w:val="20"/>
          <w:szCs w:val="20"/>
        </w:rPr>
        <w:t>is not known</w:t>
      </w:r>
      <w:proofErr w:type="gramEnd"/>
      <w:r w:rsidRPr="001C4697">
        <w:rPr>
          <w:rFonts w:ascii="Arial" w:hAnsi="Arial" w:cs="Arial"/>
          <w:sz w:val="20"/>
          <w:szCs w:val="20"/>
        </w:rPr>
        <w:t xml:space="preserve"> how many participants would meet the new diagnostic criteria for </w:t>
      </w:r>
      <w:proofErr w:type="spellStart"/>
      <w:r w:rsidRPr="001C4697">
        <w:rPr>
          <w:rFonts w:ascii="Arial" w:hAnsi="Arial" w:cs="Arial"/>
          <w:sz w:val="20"/>
          <w:szCs w:val="20"/>
        </w:rPr>
        <w:t>hEDS</w:t>
      </w:r>
      <w:proofErr w:type="spellEnd"/>
      <w:r w:rsidRPr="001C4697">
        <w:rPr>
          <w:rFonts w:ascii="Arial" w:hAnsi="Arial" w:cs="Arial"/>
          <w:sz w:val="20"/>
          <w:szCs w:val="20"/>
        </w:rPr>
        <w:t xml:space="preserve"> (</w:t>
      </w:r>
      <w:proofErr w:type="spellStart"/>
      <w:r w:rsidRPr="001C4697">
        <w:rPr>
          <w:rFonts w:ascii="Arial" w:hAnsi="Arial" w:cs="Arial"/>
          <w:sz w:val="20"/>
          <w:szCs w:val="20"/>
        </w:rPr>
        <w:t>Malfait</w:t>
      </w:r>
      <w:proofErr w:type="spellEnd"/>
      <w:r w:rsidRPr="001C4697">
        <w:rPr>
          <w:rFonts w:ascii="Arial" w:hAnsi="Arial" w:cs="Arial"/>
          <w:sz w:val="20"/>
          <w:szCs w:val="20"/>
        </w:rPr>
        <w:t xml:space="preserve"> et al., 2017).</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b/>
          <w:sz w:val="20"/>
          <w:szCs w:val="20"/>
        </w:rPr>
      </w:pPr>
      <w:r w:rsidRPr="001C4697">
        <w:rPr>
          <w:rFonts w:ascii="Arial" w:hAnsi="Arial" w:cs="Arial"/>
          <w:b/>
          <w:sz w:val="20"/>
          <w:szCs w:val="20"/>
        </w:rPr>
        <w:t>Strengths and limitations</w:t>
      </w:r>
    </w:p>
    <w:p w:rsidR="00E43147" w:rsidRPr="001C4697" w:rsidRDefault="00E43147" w:rsidP="00E43147">
      <w:pPr>
        <w:spacing w:after="0" w:line="480" w:lineRule="auto"/>
        <w:rPr>
          <w:rFonts w:ascii="Arial" w:hAnsi="Arial" w:cs="Arial"/>
          <w:sz w:val="20"/>
          <w:szCs w:val="20"/>
        </w:rPr>
      </w:pPr>
      <w:r w:rsidRPr="001C4697">
        <w:rPr>
          <w:rFonts w:ascii="Arial" w:hAnsi="Arial" w:cs="Arial"/>
          <w:sz w:val="20"/>
          <w:szCs w:val="20"/>
        </w:rPr>
        <w:t xml:space="preserve">The sample included in the present investigation was very similar to that included in initial validation of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(Palmer et al., 2017). This is perhaps not surprising as participants </w:t>
      </w:r>
      <w:proofErr w:type="gramStart"/>
      <w:r w:rsidRPr="001C4697">
        <w:rPr>
          <w:rFonts w:ascii="Arial" w:hAnsi="Arial" w:cs="Arial"/>
          <w:sz w:val="20"/>
          <w:szCs w:val="20"/>
        </w:rPr>
        <w:t>were recruited</w:t>
      </w:r>
      <w:proofErr w:type="gramEnd"/>
      <w:r w:rsidRPr="001C4697">
        <w:rPr>
          <w:rFonts w:ascii="Arial" w:hAnsi="Arial" w:cs="Arial"/>
          <w:sz w:val="20"/>
          <w:szCs w:val="20"/>
        </w:rPr>
        <w:t xml:space="preserve"> through the same patient organisation. The sample was slightly more ethnically diverse than that previously recruited by Palmer et al (2017), although it </w:t>
      </w:r>
      <w:proofErr w:type="gramStart"/>
      <w:r w:rsidRPr="001C4697">
        <w:rPr>
          <w:rFonts w:ascii="Arial" w:hAnsi="Arial" w:cs="Arial"/>
          <w:sz w:val="20"/>
          <w:szCs w:val="20"/>
        </w:rPr>
        <w:t>could still not be considered</w:t>
      </w:r>
      <w:proofErr w:type="gramEnd"/>
      <w:r w:rsidRPr="001C4697">
        <w:rPr>
          <w:rFonts w:ascii="Arial" w:hAnsi="Arial" w:cs="Arial"/>
          <w:sz w:val="20"/>
          <w:szCs w:val="20"/>
        </w:rPr>
        <w:t xml:space="preserve"> representative. For example 87.1% of the UK population described themselves as ‘white’ in the 2011 census (Office for National Statistics, 2013), as opposed to 95.3% of all eligible participants or 93.5% of ‘stable’ participants in the present investigation. The sample also lacked diversity in terms of sex (95% women) and educational attainment was much higher than might be expected (25% reported having a postgraduate degree). Although there is generally a lack of good epidemiological data in this area, </w:t>
      </w:r>
      <w:proofErr w:type="spellStart"/>
      <w:r w:rsidRPr="001C4697">
        <w:rPr>
          <w:rFonts w:ascii="Arial" w:hAnsi="Arial" w:cs="Arial"/>
          <w:sz w:val="20"/>
          <w:szCs w:val="20"/>
        </w:rPr>
        <w:t>Engelbert</w:t>
      </w:r>
      <w:proofErr w:type="spellEnd"/>
      <w:r w:rsidRPr="001C4697">
        <w:rPr>
          <w:rFonts w:ascii="Arial" w:hAnsi="Arial" w:cs="Arial"/>
          <w:sz w:val="20"/>
          <w:szCs w:val="20"/>
        </w:rPr>
        <w:t xml:space="preserve"> et al (2004) suggested that the prevalence of symptomatic joint hypermobility in adults might be 3.3% of women and 0.6% of men. This gives a woman: man ratio of approximately </w:t>
      </w:r>
      <w:proofErr w:type="gramStart"/>
      <w:r w:rsidRPr="001C4697">
        <w:rPr>
          <w:rFonts w:ascii="Arial" w:hAnsi="Arial" w:cs="Arial"/>
          <w:sz w:val="20"/>
          <w:szCs w:val="20"/>
        </w:rPr>
        <w:t>5.5 :</w:t>
      </w:r>
      <w:proofErr w:type="gramEnd"/>
      <w:r w:rsidRPr="001C4697">
        <w:rPr>
          <w:rFonts w:ascii="Arial" w:hAnsi="Arial" w:cs="Arial"/>
          <w:sz w:val="20"/>
          <w:szCs w:val="20"/>
        </w:rPr>
        <w:t xml:space="preserve"> 1, as opposed to the much higher 19 : 1 of respondents in the present investigation. This might limit the generalisability of study findings.</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sz w:val="20"/>
          <w:szCs w:val="20"/>
        </w:rPr>
      </w:pPr>
      <w:r w:rsidRPr="001C4697">
        <w:rPr>
          <w:rFonts w:ascii="Arial" w:hAnsi="Arial" w:cs="Arial"/>
          <w:sz w:val="20"/>
          <w:szCs w:val="20"/>
        </w:rPr>
        <w:lastRenderedPageBreak/>
        <w:t xml:space="preserve">Use of the five-point JHS screening questionnaire (Hakim and Grahame, 2003) was a strength of the study design. A limitation of the methodology used in the initial validation of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was that a diagnosis of JHS </w:t>
      </w:r>
      <w:proofErr w:type="gramStart"/>
      <w:r w:rsidRPr="001C4697">
        <w:rPr>
          <w:rFonts w:ascii="Arial" w:hAnsi="Arial" w:cs="Arial"/>
          <w:sz w:val="20"/>
          <w:szCs w:val="20"/>
        </w:rPr>
        <w:t>was self-declared</w:t>
      </w:r>
      <w:proofErr w:type="gramEnd"/>
      <w:r w:rsidRPr="001C4697">
        <w:rPr>
          <w:rFonts w:ascii="Arial" w:hAnsi="Arial" w:cs="Arial"/>
          <w:sz w:val="20"/>
          <w:szCs w:val="20"/>
        </w:rPr>
        <w:t xml:space="preserve"> (Palmer et al., 2017). Whilst the present investigation still relied upon self-report in relation to the screening questions, the questionnaire has previously exhibited high sensitivity and specificity for JHS (Hakim and Grahame, 2003). This increases confidence in relation to the diagnostic status of participants, although it cannot be assured for all </w:t>
      </w:r>
      <w:proofErr w:type="gramStart"/>
      <w:r w:rsidRPr="001C4697">
        <w:rPr>
          <w:rFonts w:ascii="Arial" w:hAnsi="Arial" w:cs="Arial"/>
          <w:sz w:val="20"/>
          <w:szCs w:val="20"/>
        </w:rPr>
        <w:t>individuals</w:t>
      </w:r>
      <w:proofErr w:type="gramEnd"/>
      <w:r w:rsidRPr="001C4697">
        <w:rPr>
          <w:rFonts w:ascii="Arial" w:hAnsi="Arial" w:cs="Arial"/>
          <w:sz w:val="20"/>
          <w:szCs w:val="20"/>
        </w:rPr>
        <w:t xml:space="preserve"> as sensitivity and specificity are 16% and 11-20% short of perfection respectively.</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b/>
          <w:sz w:val="20"/>
          <w:szCs w:val="20"/>
        </w:rPr>
      </w:pPr>
      <w:r w:rsidRPr="001C4697">
        <w:rPr>
          <w:rFonts w:ascii="Arial" w:hAnsi="Arial" w:cs="Arial"/>
          <w:b/>
          <w:sz w:val="20"/>
          <w:szCs w:val="20"/>
        </w:rPr>
        <w:t>Conclusion</w:t>
      </w:r>
    </w:p>
    <w:p w:rsidR="00E43147" w:rsidRPr="001C4697" w:rsidRDefault="00E43147" w:rsidP="00E43147">
      <w:pPr>
        <w:spacing w:after="0" w:line="480" w:lineRule="auto"/>
        <w:rPr>
          <w:rFonts w:ascii="Arial" w:hAnsi="Arial" w:cs="Arial"/>
          <w:sz w:val="20"/>
          <w:szCs w:val="20"/>
        </w:rPr>
      </w:pPr>
      <w:r w:rsidRPr="001C4697">
        <w:rPr>
          <w:rFonts w:ascii="Arial" w:hAnsi="Arial" w:cs="Arial"/>
          <w:sz w:val="20"/>
          <w:szCs w:val="20"/>
        </w:rPr>
        <w:t xml:space="preserve">The present investigation demonstrated that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performed better than the SF-36 PCS and MCS in terms of test-retest reliability.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SDC was also smaller than either SF-36 subscale (as a proportion of the mean baseline scores). In addition, there was a stronger correlation between change in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score and the GRC score than either the SF-36 PCS or MCS, suggesting that it may be more sensitive to change. However, as already suggested, analysis of sensitivity to change following interventions of known efficacy would be necessary to confirm such speculation. It is clear that, </w:t>
      </w:r>
      <w:proofErr w:type="gramStart"/>
      <w:r w:rsidRPr="001C4697">
        <w:rPr>
          <w:rFonts w:ascii="Arial" w:hAnsi="Arial" w:cs="Arial"/>
          <w:sz w:val="20"/>
          <w:szCs w:val="20"/>
        </w:rPr>
        <w:t>on the basis of</w:t>
      </w:r>
      <w:proofErr w:type="gramEnd"/>
      <w:r w:rsidRPr="001C4697">
        <w:rPr>
          <w:rFonts w:ascii="Arial" w:hAnsi="Arial" w:cs="Arial"/>
          <w:sz w:val="20"/>
          <w:szCs w:val="20"/>
        </w:rPr>
        <w:t xml:space="preserve"> the psychometric properties investigated in the present study,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performed very well when compared against the SF-36. The results provide further evidence of the psychometric properties of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enhancing confidence in its potential use for clinical research and practice.</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b/>
          <w:sz w:val="20"/>
          <w:szCs w:val="20"/>
        </w:rPr>
      </w:pPr>
      <w:r w:rsidRPr="001C4697">
        <w:rPr>
          <w:rFonts w:ascii="Arial" w:hAnsi="Arial" w:cs="Arial"/>
          <w:b/>
          <w:sz w:val="20"/>
          <w:szCs w:val="20"/>
        </w:rPr>
        <w:t>HIGHLIGHTS</w:t>
      </w:r>
    </w:p>
    <w:p w:rsidR="00E43147" w:rsidRPr="001C4697" w:rsidRDefault="00E43147" w:rsidP="00E43147">
      <w:pPr>
        <w:pStyle w:val="ListParagraph"/>
        <w:numPr>
          <w:ilvl w:val="0"/>
          <w:numId w:val="1"/>
        </w:numPr>
        <w:spacing w:after="0" w:line="480" w:lineRule="auto"/>
        <w:rPr>
          <w:rFonts w:ascii="Arial" w:hAnsi="Arial" w:cs="Arial"/>
          <w:sz w:val="20"/>
          <w:szCs w:val="20"/>
        </w:rPr>
      </w:pPr>
      <w:r w:rsidRPr="001C4697">
        <w:rPr>
          <w:rFonts w:ascii="Arial" w:hAnsi="Arial" w:cs="Arial"/>
          <w:sz w:val="20"/>
          <w:szCs w:val="20"/>
        </w:rPr>
        <w:t xml:space="preserve">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demonstrated excellent test-retest reliability.</w:t>
      </w:r>
    </w:p>
    <w:p w:rsidR="00E43147" w:rsidRPr="001C4697" w:rsidRDefault="00E43147" w:rsidP="00E43147">
      <w:pPr>
        <w:pStyle w:val="ListParagraph"/>
        <w:numPr>
          <w:ilvl w:val="0"/>
          <w:numId w:val="1"/>
        </w:numPr>
        <w:spacing w:after="0" w:line="480" w:lineRule="auto"/>
        <w:rPr>
          <w:rFonts w:ascii="Arial" w:hAnsi="Arial" w:cs="Arial"/>
          <w:sz w:val="20"/>
          <w:szCs w:val="20"/>
        </w:rPr>
      </w:pPr>
      <w:r w:rsidRPr="001C4697">
        <w:rPr>
          <w:rFonts w:ascii="Arial" w:hAnsi="Arial" w:cs="Arial"/>
          <w:sz w:val="20"/>
          <w:szCs w:val="20"/>
        </w:rPr>
        <w:t xml:space="preserve">The smallest detectable change </w:t>
      </w:r>
      <w:proofErr w:type="gramStart"/>
      <w:r w:rsidRPr="001C4697">
        <w:rPr>
          <w:rFonts w:ascii="Arial" w:hAnsi="Arial" w:cs="Arial"/>
          <w:sz w:val="20"/>
          <w:szCs w:val="20"/>
        </w:rPr>
        <w:t>was calculated</w:t>
      </w:r>
      <w:proofErr w:type="gramEnd"/>
      <w:r w:rsidRPr="001C4697">
        <w:rPr>
          <w:rFonts w:ascii="Arial" w:hAnsi="Arial" w:cs="Arial"/>
          <w:sz w:val="20"/>
          <w:szCs w:val="20"/>
        </w:rPr>
        <w:t xml:space="preserve"> to be 42 points.</w:t>
      </w:r>
    </w:p>
    <w:p w:rsidR="00E43147" w:rsidRPr="001C4697" w:rsidRDefault="00E43147" w:rsidP="00E43147">
      <w:pPr>
        <w:pStyle w:val="ListParagraph"/>
        <w:numPr>
          <w:ilvl w:val="0"/>
          <w:numId w:val="1"/>
        </w:numPr>
        <w:spacing w:after="0" w:line="480" w:lineRule="auto"/>
        <w:rPr>
          <w:rFonts w:ascii="Arial" w:hAnsi="Arial" w:cs="Arial"/>
          <w:sz w:val="20"/>
          <w:szCs w:val="20"/>
        </w:rPr>
      </w:pPr>
      <w:r w:rsidRPr="001C4697">
        <w:rPr>
          <w:rFonts w:ascii="Arial" w:hAnsi="Arial" w:cs="Arial"/>
          <w:sz w:val="20"/>
          <w:szCs w:val="20"/>
        </w:rPr>
        <w:t xml:space="preserve">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performed better than the SF-36.</w:t>
      </w:r>
    </w:p>
    <w:p w:rsidR="00E43147" w:rsidRPr="001C4697" w:rsidRDefault="00E43147" w:rsidP="00E43147">
      <w:pPr>
        <w:pStyle w:val="ListParagraph"/>
        <w:numPr>
          <w:ilvl w:val="0"/>
          <w:numId w:val="1"/>
        </w:numPr>
        <w:spacing w:after="0" w:line="480" w:lineRule="auto"/>
        <w:rPr>
          <w:rFonts w:ascii="Arial" w:hAnsi="Arial" w:cs="Arial"/>
          <w:sz w:val="20"/>
          <w:szCs w:val="20"/>
        </w:rPr>
      </w:pPr>
      <w:r w:rsidRPr="001C4697">
        <w:rPr>
          <w:rFonts w:ascii="Arial" w:hAnsi="Arial" w:cs="Arial"/>
          <w:sz w:val="20"/>
          <w:szCs w:val="20"/>
        </w:rPr>
        <w:t xml:space="preserve">Confidence in using the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for research and practice </w:t>
      </w:r>
      <w:proofErr w:type="gramStart"/>
      <w:r w:rsidRPr="001C4697">
        <w:rPr>
          <w:rFonts w:ascii="Arial" w:hAnsi="Arial" w:cs="Arial"/>
          <w:sz w:val="20"/>
          <w:szCs w:val="20"/>
        </w:rPr>
        <w:t>is enhanced</w:t>
      </w:r>
      <w:proofErr w:type="gramEnd"/>
      <w:r w:rsidRPr="001C4697">
        <w:rPr>
          <w:rFonts w:ascii="Arial" w:hAnsi="Arial" w:cs="Arial"/>
          <w:sz w:val="20"/>
          <w:szCs w:val="20"/>
        </w:rPr>
        <w:t>.</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spacing w:after="0" w:line="480" w:lineRule="auto"/>
        <w:rPr>
          <w:rFonts w:ascii="Arial" w:hAnsi="Arial" w:cs="Arial"/>
          <w:sz w:val="20"/>
          <w:szCs w:val="20"/>
        </w:rPr>
      </w:pPr>
      <w:r w:rsidRPr="001C4697">
        <w:rPr>
          <w:rFonts w:ascii="Arial" w:hAnsi="Arial" w:cs="Arial"/>
          <w:b/>
          <w:sz w:val="20"/>
          <w:szCs w:val="20"/>
        </w:rPr>
        <w:t>Acknowledgements:</w:t>
      </w:r>
      <w:r w:rsidRPr="001C4697">
        <w:rPr>
          <w:rFonts w:ascii="Arial" w:hAnsi="Arial" w:cs="Arial"/>
          <w:sz w:val="20"/>
          <w:szCs w:val="20"/>
        </w:rPr>
        <w:t xml:space="preserve"> We would like to acknowledge the assistance of the Hypermobility Syndromes Association in recruiting participants and to thank participants for taking part in the research. The </w:t>
      </w:r>
      <w:r w:rsidRPr="001C4697">
        <w:rPr>
          <w:rFonts w:ascii="Arial" w:hAnsi="Arial" w:cs="Arial"/>
          <w:sz w:val="20"/>
          <w:szCs w:val="20"/>
        </w:rPr>
        <w:lastRenderedPageBreak/>
        <w:t xml:space="preserve">Short-Form 36v2 questionnaire </w:t>
      </w:r>
      <w:proofErr w:type="gramStart"/>
      <w:r w:rsidRPr="001C4697">
        <w:rPr>
          <w:rFonts w:ascii="Arial" w:hAnsi="Arial" w:cs="Arial"/>
          <w:sz w:val="20"/>
          <w:szCs w:val="20"/>
        </w:rPr>
        <w:t>was used</w:t>
      </w:r>
      <w:proofErr w:type="gramEnd"/>
      <w:r w:rsidRPr="001C4697">
        <w:rPr>
          <w:rFonts w:ascii="Arial" w:hAnsi="Arial" w:cs="Arial"/>
          <w:sz w:val="20"/>
          <w:szCs w:val="20"/>
        </w:rPr>
        <w:t xml:space="preserve"> under license from </w:t>
      </w:r>
      <w:proofErr w:type="spellStart"/>
      <w:r w:rsidRPr="001C4697">
        <w:rPr>
          <w:rFonts w:ascii="Arial" w:hAnsi="Arial" w:cs="Arial"/>
          <w:sz w:val="20"/>
          <w:szCs w:val="20"/>
        </w:rPr>
        <w:t>OptumInsight</w:t>
      </w:r>
      <w:proofErr w:type="spellEnd"/>
      <w:r w:rsidRPr="001C4697">
        <w:rPr>
          <w:rFonts w:ascii="Arial" w:hAnsi="Arial" w:cs="Arial"/>
          <w:sz w:val="20"/>
          <w:szCs w:val="20"/>
        </w:rPr>
        <w:t xml:space="preserve"> Life Sciences </w:t>
      </w:r>
      <w:proofErr w:type="spellStart"/>
      <w:r w:rsidRPr="001C4697">
        <w:rPr>
          <w:rFonts w:ascii="Arial" w:hAnsi="Arial" w:cs="Arial"/>
          <w:sz w:val="20"/>
          <w:szCs w:val="20"/>
        </w:rPr>
        <w:t>Inc</w:t>
      </w:r>
      <w:proofErr w:type="spellEnd"/>
      <w:r w:rsidRPr="001C4697">
        <w:rPr>
          <w:rFonts w:ascii="Arial" w:hAnsi="Arial" w:cs="Arial"/>
          <w:sz w:val="20"/>
          <w:szCs w:val="20"/>
        </w:rPr>
        <w:t xml:space="preserve"> (license number QM013824).</w:t>
      </w:r>
    </w:p>
    <w:p w:rsidR="00E43147" w:rsidRPr="001C4697" w:rsidRDefault="00E43147" w:rsidP="00E43147">
      <w:pPr>
        <w:spacing w:after="0" w:line="480" w:lineRule="auto"/>
        <w:rPr>
          <w:rFonts w:ascii="Arial" w:hAnsi="Arial" w:cs="Arial"/>
          <w:sz w:val="20"/>
          <w:szCs w:val="20"/>
        </w:rPr>
      </w:pPr>
      <w:r w:rsidRPr="001C4697">
        <w:rPr>
          <w:rFonts w:ascii="Arial" w:hAnsi="Arial" w:cs="Arial"/>
          <w:b/>
          <w:sz w:val="20"/>
          <w:szCs w:val="20"/>
        </w:rPr>
        <w:t>Conflict of interest statement:</w:t>
      </w:r>
      <w:r w:rsidRPr="001C4697">
        <w:rPr>
          <w:rFonts w:ascii="Arial" w:hAnsi="Arial" w:cs="Arial"/>
          <w:sz w:val="20"/>
          <w:szCs w:val="20"/>
        </w:rPr>
        <w:t xml:space="preserve"> There are no conflicts of interest.</w:t>
      </w:r>
    </w:p>
    <w:p w:rsidR="00E43147" w:rsidRPr="001C4697" w:rsidRDefault="00E43147" w:rsidP="00E43147">
      <w:pPr>
        <w:spacing w:after="0" w:line="480" w:lineRule="auto"/>
        <w:rPr>
          <w:rFonts w:ascii="Arial" w:hAnsi="Arial" w:cs="Arial"/>
          <w:sz w:val="20"/>
          <w:szCs w:val="20"/>
        </w:rPr>
      </w:pPr>
      <w:r w:rsidRPr="001C4697">
        <w:rPr>
          <w:rFonts w:ascii="Arial" w:hAnsi="Arial" w:cs="Arial"/>
          <w:b/>
          <w:sz w:val="20"/>
          <w:szCs w:val="20"/>
        </w:rPr>
        <w:t>Funding support:</w:t>
      </w:r>
      <w:r w:rsidRPr="001C4697">
        <w:rPr>
          <w:rFonts w:ascii="Arial" w:hAnsi="Arial" w:cs="Arial"/>
          <w:sz w:val="20"/>
          <w:szCs w:val="20"/>
        </w:rPr>
        <w:t xml:space="preserve"> The study </w:t>
      </w:r>
      <w:proofErr w:type="gramStart"/>
      <w:r w:rsidRPr="001C4697">
        <w:rPr>
          <w:rFonts w:ascii="Arial" w:hAnsi="Arial" w:cs="Arial"/>
          <w:sz w:val="20"/>
          <w:szCs w:val="20"/>
        </w:rPr>
        <w:t>was supported</w:t>
      </w:r>
      <w:proofErr w:type="gramEnd"/>
      <w:r w:rsidRPr="001C4697">
        <w:rPr>
          <w:rFonts w:ascii="Arial" w:hAnsi="Arial" w:cs="Arial"/>
          <w:sz w:val="20"/>
          <w:szCs w:val="20"/>
        </w:rPr>
        <w:t xml:space="preserve"> by a small grant from the Faculty of Health &amp; Applied Sciences, University of the West of England, Bristol, UK.</w:t>
      </w:r>
    </w:p>
    <w:p w:rsidR="00E43147" w:rsidRPr="001C4697" w:rsidRDefault="00E43147" w:rsidP="00E43147">
      <w:pPr>
        <w:spacing w:after="0" w:line="480" w:lineRule="auto"/>
        <w:rPr>
          <w:rFonts w:ascii="Arial" w:hAnsi="Arial" w:cs="Arial"/>
          <w:sz w:val="20"/>
          <w:szCs w:val="20"/>
        </w:rPr>
      </w:pPr>
      <w:r w:rsidRPr="001C4697">
        <w:rPr>
          <w:rFonts w:ascii="Arial" w:hAnsi="Arial" w:cs="Arial"/>
          <w:b/>
          <w:sz w:val="20"/>
          <w:szCs w:val="20"/>
        </w:rPr>
        <w:t>Ethical Approval:</w:t>
      </w:r>
      <w:r w:rsidRPr="001C4697">
        <w:rPr>
          <w:rFonts w:ascii="Arial" w:hAnsi="Arial" w:cs="Arial"/>
          <w:sz w:val="20"/>
          <w:szCs w:val="20"/>
        </w:rPr>
        <w:t xml:space="preserve"> The study received a favourable opinion from the Faculty of Health &amp; Applied Sciences Ethics Sub-Committee at the University of the West of England, Bristol (HAS/15/01/99).</w:t>
      </w:r>
    </w:p>
    <w:p w:rsidR="00E43147" w:rsidRPr="001C4697" w:rsidRDefault="00E43147" w:rsidP="00E43147">
      <w:pPr>
        <w:rPr>
          <w:rFonts w:ascii="Arial" w:hAnsi="Arial" w:cs="Arial"/>
          <w:b/>
          <w:sz w:val="20"/>
          <w:szCs w:val="20"/>
        </w:rPr>
      </w:pPr>
      <w:r w:rsidRPr="001C4697">
        <w:rPr>
          <w:rFonts w:ascii="Arial" w:hAnsi="Arial" w:cs="Arial"/>
          <w:b/>
          <w:sz w:val="20"/>
          <w:szCs w:val="20"/>
        </w:rPr>
        <w:br w:type="page"/>
      </w:r>
    </w:p>
    <w:p w:rsidR="00E43147" w:rsidRPr="001C4697" w:rsidRDefault="00E43147" w:rsidP="00E43147">
      <w:pPr>
        <w:spacing w:after="0" w:line="480" w:lineRule="auto"/>
        <w:rPr>
          <w:rFonts w:ascii="Arial" w:hAnsi="Arial" w:cs="Arial"/>
          <w:b/>
          <w:sz w:val="20"/>
          <w:szCs w:val="20"/>
        </w:rPr>
      </w:pPr>
      <w:r w:rsidRPr="001C4697">
        <w:rPr>
          <w:rFonts w:ascii="Arial" w:hAnsi="Arial" w:cs="Arial"/>
          <w:b/>
          <w:sz w:val="20"/>
          <w:szCs w:val="20"/>
        </w:rPr>
        <w:lastRenderedPageBreak/>
        <w:t>REFERENCES</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t>Altman DG. Practical statistics for medical research. London: Chapman and Hall</w:t>
      </w:r>
      <w:proofErr w:type="gramStart"/>
      <w:r w:rsidRPr="001C4697">
        <w:rPr>
          <w:rFonts w:ascii="Arial" w:hAnsi="Arial" w:cs="Arial"/>
          <w:sz w:val="20"/>
          <w:szCs w:val="20"/>
        </w:rPr>
        <w:t>;</w:t>
      </w:r>
      <w:proofErr w:type="gramEnd"/>
      <w:r w:rsidRPr="001C4697">
        <w:rPr>
          <w:rFonts w:ascii="Arial" w:hAnsi="Arial" w:cs="Arial"/>
          <w:sz w:val="20"/>
          <w:szCs w:val="20"/>
        </w:rPr>
        <w:t xml:space="preserve"> 1991.</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t xml:space="preserve">Barton LM, Bird HA. Improving pain by the stabilization of </w:t>
      </w:r>
      <w:proofErr w:type="spellStart"/>
      <w:r w:rsidRPr="001C4697">
        <w:rPr>
          <w:rFonts w:ascii="Arial" w:hAnsi="Arial" w:cs="Arial"/>
          <w:sz w:val="20"/>
          <w:szCs w:val="20"/>
        </w:rPr>
        <w:t>hyperlax</w:t>
      </w:r>
      <w:proofErr w:type="spellEnd"/>
      <w:r w:rsidRPr="001C4697">
        <w:rPr>
          <w:rFonts w:ascii="Arial" w:hAnsi="Arial" w:cs="Arial"/>
          <w:sz w:val="20"/>
          <w:szCs w:val="20"/>
        </w:rPr>
        <w:t xml:space="preserve"> joints. J </w:t>
      </w:r>
      <w:proofErr w:type="spellStart"/>
      <w:r w:rsidRPr="001C4697">
        <w:rPr>
          <w:rFonts w:ascii="Arial" w:hAnsi="Arial" w:cs="Arial"/>
          <w:sz w:val="20"/>
          <w:szCs w:val="20"/>
        </w:rPr>
        <w:t>Orthop</w:t>
      </w:r>
      <w:proofErr w:type="spellEnd"/>
      <w:r w:rsidRPr="001C4697">
        <w:rPr>
          <w:rFonts w:ascii="Arial" w:hAnsi="Arial" w:cs="Arial"/>
          <w:sz w:val="20"/>
          <w:szCs w:val="20"/>
        </w:rPr>
        <w:t xml:space="preserve"> </w:t>
      </w:r>
      <w:proofErr w:type="spellStart"/>
      <w:r w:rsidRPr="001C4697">
        <w:rPr>
          <w:rFonts w:ascii="Arial" w:hAnsi="Arial" w:cs="Arial"/>
          <w:sz w:val="20"/>
          <w:szCs w:val="20"/>
        </w:rPr>
        <w:t>Rheumatol</w:t>
      </w:r>
      <w:proofErr w:type="spellEnd"/>
      <w:r w:rsidRPr="001C4697">
        <w:rPr>
          <w:rFonts w:ascii="Arial" w:hAnsi="Arial" w:cs="Arial"/>
          <w:sz w:val="20"/>
          <w:szCs w:val="20"/>
        </w:rPr>
        <w:t xml:space="preserve"> 1996; 9: 46-51.</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t>Bland JM, Altman DG. Statistical methods for assessing agreement between two methods of clinical measurement. Lancet 1986; i</w:t>
      </w:r>
      <w:proofErr w:type="gramStart"/>
      <w:r w:rsidRPr="001C4697">
        <w:rPr>
          <w:rFonts w:ascii="Arial" w:hAnsi="Arial" w:cs="Arial"/>
          <w:sz w:val="20"/>
          <w:szCs w:val="20"/>
        </w:rPr>
        <w:t>:307</w:t>
      </w:r>
      <w:proofErr w:type="gramEnd"/>
      <w:r w:rsidRPr="001C4697">
        <w:rPr>
          <w:rFonts w:ascii="Arial" w:hAnsi="Arial" w:cs="Arial"/>
          <w:sz w:val="20"/>
          <w:szCs w:val="20"/>
        </w:rPr>
        <w:t>-10.</w:t>
      </w:r>
    </w:p>
    <w:p w:rsidR="00E43147" w:rsidRPr="001C4697" w:rsidRDefault="00E43147" w:rsidP="00E43147">
      <w:pPr>
        <w:pStyle w:val="ListParagraph"/>
        <w:numPr>
          <w:ilvl w:val="0"/>
          <w:numId w:val="2"/>
        </w:numPr>
        <w:spacing w:after="0" w:line="480" w:lineRule="auto"/>
        <w:rPr>
          <w:rFonts w:ascii="Arial" w:hAnsi="Arial" w:cs="Arial"/>
          <w:sz w:val="20"/>
          <w:szCs w:val="20"/>
        </w:rPr>
      </w:pPr>
      <w:proofErr w:type="spellStart"/>
      <w:r w:rsidRPr="001C4697">
        <w:rPr>
          <w:rFonts w:ascii="Arial" w:hAnsi="Arial" w:cs="Arial"/>
          <w:sz w:val="20"/>
          <w:szCs w:val="20"/>
        </w:rPr>
        <w:t>Castori</w:t>
      </w:r>
      <w:proofErr w:type="spellEnd"/>
      <w:r w:rsidRPr="001C4697">
        <w:rPr>
          <w:rFonts w:ascii="Arial" w:hAnsi="Arial" w:cs="Arial"/>
          <w:sz w:val="20"/>
          <w:szCs w:val="20"/>
        </w:rPr>
        <w:t xml:space="preserve"> M, Tinkle B, Levy H, Grahame R, </w:t>
      </w:r>
      <w:proofErr w:type="spellStart"/>
      <w:r w:rsidRPr="001C4697">
        <w:rPr>
          <w:rFonts w:ascii="Arial" w:hAnsi="Arial" w:cs="Arial"/>
          <w:sz w:val="20"/>
          <w:szCs w:val="20"/>
        </w:rPr>
        <w:t>Malfait</w:t>
      </w:r>
      <w:proofErr w:type="spellEnd"/>
      <w:r w:rsidRPr="001C4697">
        <w:rPr>
          <w:rFonts w:ascii="Arial" w:hAnsi="Arial" w:cs="Arial"/>
          <w:sz w:val="20"/>
          <w:szCs w:val="20"/>
        </w:rPr>
        <w:t xml:space="preserve"> F, Hakim A. A framework for the classification of joint hypermobility and related conditions. Am J Med Genet C </w:t>
      </w:r>
      <w:proofErr w:type="spellStart"/>
      <w:r w:rsidRPr="001C4697">
        <w:rPr>
          <w:rFonts w:ascii="Arial" w:hAnsi="Arial" w:cs="Arial"/>
          <w:sz w:val="20"/>
          <w:szCs w:val="20"/>
        </w:rPr>
        <w:t>Semin</w:t>
      </w:r>
      <w:proofErr w:type="spellEnd"/>
      <w:r w:rsidRPr="001C4697">
        <w:rPr>
          <w:rFonts w:ascii="Arial" w:hAnsi="Arial" w:cs="Arial"/>
          <w:sz w:val="20"/>
          <w:szCs w:val="20"/>
        </w:rPr>
        <w:t xml:space="preserve"> Med Genet 2017</w:t>
      </w:r>
      <w:proofErr w:type="gramStart"/>
      <w:r w:rsidRPr="001C4697">
        <w:rPr>
          <w:rFonts w:ascii="Arial" w:hAnsi="Arial" w:cs="Arial"/>
          <w:sz w:val="20"/>
          <w:szCs w:val="20"/>
        </w:rPr>
        <w:t>;</w:t>
      </w:r>
      <w:proofErr w:type="gramEnd"/>
      <w:r w:rsidRPr="001C4697">
        <w:rPr>
          <w:rFonts w:ascii="Arial" w:hAnsi="Arial" w:cs="Arial"/>
          <w:sz w:val="20"/>
          <w:szCs w:val="20"/>
        </w:rPr>
        <w:t xml:space="preserve"> 175(1): 148-57.</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t>Connelly E, Hakim A, Davenport S, Simmonds J. A study exploring the prevalence of Joint Hypermobility Syndrome in patients attending a Musculoskeletal Triage Clinic. Physiotherapy Practice and Research 2015</w:t>
      </w:r>
      <w:proofErr w:type="gramStart"/>
      <w:r w:rsidRPr="001C4697">
        <w:rPr>
          <w:rFonts w:ascii="Arial" w:hAnsi="Arial" w:cs="Arial"/>
          <w:sz w:val="20"/>
          <w:szCs w:val="20"/>
        </w:rPr>
        <w:t>;</w:t>
      </w:r>
      <w:proofErr w:type="gramEnd"/>
      <w:r w:rsidRPr="001C4697">
        <w:rPr>
          <w:rFonts w:ascii="Arial" w:hAnsi="Arial" w:cs="Arial"/>
          <w:sz w:val="20"/>
          <w:szCs w:val="20"/>
        </w:rPr>
        <w:t xml:space="preserve"> 36(1): 43-53.</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t xml:space="preserve">Coons SJ, Rao S, </w:t>
      </w:r>
      <w:proofErr w:type="spellStart"/>
      <w:r w:rsidRPr="001C4697">
        <w:rPr>
          <w:rFonts w:ascii="Arial" w:hAnsi="Arial" w:cs="Arial"/>
          <w:sz w:val="20"/>
          <w:szCs w:val="20"/>
        </w:rPr>
        <w:t>Keininger</w:t>
      </w:r>
      <w:proofErr w:type="spellEnd"/>
      <w:r w:rsidRPr="001C4697">
        <w:rPr>
          <w:rFonts w:ascii="Arial" w:hAnsi="Arial" w:cs="Arial"/>
          <w:sz w:val="20"/>
          <w:szCs w:val="20"/>
        </w:rPr>
        <w:t xml:space="preserve"> DL, Hays RD. A comparative review of generic quality-of-life instruments. </w:t>
      </w:r>
      <w:proofErr w:type="spellStart"/>
      <w:r w:rsidRPr="001C4697">
        <w:rPr>
          <w:rFonts w:ascii="Arial" w:hAnsi="Arial" w:cs="Arial"/>
          <w:sz w:val="20"/>
          <w:szCs w:val="20"/>
        </w:rPr>
        <w:t>Pharmacoeconomics</w:t>
      </w:r>
      <w:proofErr w:type="spellEnd"/>
      <w:r w:rsidRPr="001C4697">
        <w:rPr>
          <w:rFonts w:ascii="Arial" w:hAnsi="Arial" w:cs="Arial"/>
          <w:sz w:val="20"/>
          <w:szCs w:val="20"/>
        </w:rPr>
        <w:t xml:space="preserve"> 2000; 17: 13-35.</w:t>
      </w:r>
    </w:p>
    <w:p w:rsidR="00E43147" w:rsidRPr="001C4697" w:rsidRDefault="00E43147" w:rsidP="00E43147">
      <w:pPr>
        <w:pStyle w:val="ListParagraph"/>
        <w:numPr>
          <w:ilvl w:val="0"/>
          <w:numId w:val="2"/>
        </w:numPr>
        <w:spacing w:after="0" w:line="480" w:lineRule="auto"/>
        <w:rPr>
          <w:rFonts w:ascii="Arial" w:hAnsi="Arial" w:cs="Arial"/>
          <w:sz w:val="20"/>
          <w:szCs w:val="20"/>
        </w:rPr>
      </w:pPr>
      <w:proofErr w:type="spellStart"/>
      <w:r w:rsidRPr="001C4697">
        <w:rPr>
          <w:rFonts w:ascii="Arial" w:hAnsi="Arial" w:cs="Arial"/>
          <w:sz w:val="20"/>
          <w:szCs w:val="20"/>
        </w:rPr>
        <w:t>Engelbert</w:t>
      </w:r>
      <w:proofErr w:type="spellEnd"/>
      <w:r w:rsidRPr="001C4697">
        <w:rPr>
          <w:rFonts w:ascii="Arial" w:hAnsi="Arial" w:cs="Arial"/>
          <w:sz w:val="20"/>
          <w:szCs w:val="20"/>
        </w:rPr>
        <w:t xml:space="preserve"> RH, </w:t>
      </w:r>
      <w:proofErr w:type="spellStart"/>
      <w:r w:rsidRPr="001C4697">
        <w:rPr>
          <w:rFonts w:ascii="Arial" w:hAnsi="Arial" w:cs="Arial"/>
          <w:sz w:val="20"/>
          <w:szCs w:val="20"/>
        </w:rPr>
        <w:t>Uiterwaal</w:t>
      </w:r>
      <w:proofErr w:type="spellEnd"/>
      <w:r w:rsidRPr="001C4697">
        <w:rPr>
          <w:rFonts w:ascii="Arial" w:hAnsi="Arial" w:cs="Arial"/>
          <w:sz w:val="20"/>
          <w:szCs w:val="20"/>
        </w:rPr>
        <w:t xml:space="preserve"> CS, van de </w:t>
      </w:r>
      <w:proofErr w:type="spellStart"/>
      <w:r w:rsidRPr="001C4697">
        <w:rPr>
          <w:rFonts w:ascii="Arial" w:hAnsi="Arial" w:cs="Arial"/>
          <w:sz w:val="20"/>
          <w:szCs w:val="20"/>
        </w:rPr>
        <w:t>Putte</w:t>
      </w:r>
      <w:proofErr w:type="spellEnd"/>
      <w:r w:rsidRPr="001C4697">
        <w:rPr>
          <w:rFonts w:ascii="Arial" w:hAnsi="Arial" w:cs="Arial"/>
          <w:sz w:val="20"/>
          <w:szCs w:val="20"/>
        </w:rPr>
        <w:t xml:space="preserve"> E, </w:t>
      </w:r>
      <w:proofErr w:type="spellStart"/>
      <w:r w:rsidRPr="001C4697">
        <w:rPr>
          <w:rFonts w:ascii="Arial" w:hAnsi="Arial" w:cs="Arial"/>
          <w:sz w:val="20"/>
          <w:szCs w:val="20"/>
        </w:rPr>
        <w:t>Helders</w:t>
      </w:r>
      <w:proofErr w:type="spellEnd"/>
      <w:r w:rsidRPr="001C4697">
        <w:rPr>
          <w:rFonts w:ascii="Arial" w:hAnsi="Arial" w:cs="Arial"/>
          <w:sz w:val="20"/>
          <w:szCs w:val="20"/>
        </w:rPr>
        <w:t xml:space="preserve"> PJ, </w:t>
      </w:r>
      <w:proofErr w:type="spellStart"/>
      <w:r w:rsidRPr="001C4697">
        <w:rPr>
          <w:rFonts w:ascii="Arial" w:hAnsi="Arial" w:cs="Arial"/>
          <w:sz w:val="20"/>
          <w:szCs w:val="20"/>
        </w:rPr>
        <w:t>Sakkers</w:t>
      </w:r>
      <w:proofErr w:type="spellEnd"/>
      <w:r w:rsidRPr="001C4697">
        <w:rPr>
          <w:rFonts w:ascii="Arial" w:hAnsi="Arial" w:cs="Arial"/>
          <w:sz w:val="20"/>
          <w:szCs w:val="20"/>
        </w:rPr>
        <w:t xml:space="preserve"> RJ, van </w:t>
      </w:r>
      <w:proofErr w:type="spellStart"/>
      <w:r w:rsidRPr="001C4697">
        <w:rPr>
          <w:rFonts w:ascii="Arial" w:hAnsi="Arial" w:cs="Arial"/>
          <w:sz w:val="20"/>
          <w:szCs w:val="20"/>
        </w:rPr>
        <w:t>Tintelen</w:t>
      </w:r>
      <w:proofErr w:type="spellEnd"/>
      <w:r w:rsidRPr="001C4697">
        <w:rPr>
          <w:rFonts w:ascii="Arial" w:hAnsi="Arial" w:cs="Arial"/>
          <w:sz w:val="20"/>
          <w:szCs w:val="20"/>
        </w:rPr>
        <w:t xml:space="preserve"> P, Bank </w:t>
      </w:r>
      <w:proofErr w:type="spellStart"/>
      <w:r w:rsidRPr="001C4697">
        <w:rPr>
          <w:rFonts w:ascii="Arial" w:hAnsi="Arial" w:cs="Arial"/>
          <w:sz w:val="20"/>
          <w:szCs w:val="20"/>
        </w:rPr>
        <w:t>RA.Pediatric</w:t>
      </w:r>
      <w:proofErr w:type="spellEnd"/>
      <w:r w:rsidRPr="001C4697">
        <w:rPr>
          <w:rFonts w:ascii="Arial" w:hAnsi="Arial" w:cs="Arial"/>
          <w:sz w:val="20"/>
          <w:szCs w:val="20"/>
        </w:rPr>
        <w:t xml:space="preserve"> generalized joint </w:t>
      </w:r>
      <w:proofErr w:type="spellStart"/>
      <w:r w:rsidRPr="001C4697">
        <w:rPr>
          <w:rFonts w:ascii="Arial" w:hAnsi="Arial" w:cs="Arial"/>
          <w:sz w:val="20"/>
          <w:szCs w:val="20"/>
        </w:rPr>
        <w:t>hypomobility</w:t>
      </w:r>
      <w:proofErr w:type="spellEnd"/>
      <w:r w:rsidRPr="001C4697">
        <w:rPr>
          <w:rFonts w:ascii="Arial" w:hAnsi="Arial" w:cs="Arial"/>
          <w:sz w:val="20"/>
          <w:szCs w:val="20"/>
        </w:rPr>
        <w:t xml:space="preserve"> and musculoskeletal complaints: a new entity? Clinical, biochemical, and </w:t>
      </w:r>
      <w:proofErr w:type="spellStart"/>
      <w:r w:rsidRPr="001C4697">
        <w:rPr>
          <w:rFonts w:ascii="Arial" w:hAnsi="Arial" w:cs="Arial"/>
          <w:sz w:val="20"/>
          <w:szCs w:val="20"/>
        </w:rPr>
        <w:t>osseal</w:t>
      </w:r>
      <w:proofErr w:type="spellEnd"/>
      <w:r w:rsidRPr="001C4697">
        <w:rPr>
          <w:rFonts w:ascii="Arial" w:hAnsi="Arial" w:cs="Arial"/>
          <w:sz w:val="20"/>
          <w:szCs w:val="20"/>
        </w:rPr>
        <w:t xml:space="preserve"> characteristics. </w:t>
      </w:r>
      <w:proofErr w:type="spellStart"/>
      <w:r w:rsidRPr="001C4697">
        <w:rPr>
          <w:rFonts w:ascii="Arial" w:hAnsi="Arial" w:cs="Arial"/>
          <w:sz w:val="20"/>
          <w:szCs w:val="20"/>
        </w:rPr>
        <w:t>Pediatrics</w:t>
      </w:r>
      <w:proofErr w:type="spellEnd"/>
      <w:r w:rsidRPr="001C4697">
        <w:rPr>
          <w:rFonts w:ascii="Arial" w:hAnsi="Arial" w:cs="Arial"/>
          <w:sz w:val="20"/>
          <w:szCs w:val="20"/>
        </w:rPr>
        <w:t xml:space="preserve"> 2004; 113(4): 714-9.</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t xml:space="preserve">Ferrell WR, Tennant N, </w:t>
      </w:r>
      <w:proofErr w:type="spellStart"/>
      <w:r w:rsidRPr="001C4697">
        <w:rPr>
          <w:rFonts w:ascii="Arial" w:hAnsi="Arial" w:cs="Arial"/>
          <w:sz w:val="20"/>
          <w:szCs w:val="20"/>
        </w:rPr>
        <w:t>Sturrock</w:t>
      </w:r>
      <w:proofErr w:type="spellEnd"/>
      <w:r w:rsidRPr="001C4697">
        <w:rPr>
          <w:rFonts w:ascii="Arial" w:hAnsi="Arial" w:cs="Arial"/>
          <w:sz w:val="20"/>
          <w:szCs w:val="20"/>
        </w:rPr>
        <w:t xml:space="preserve"> RD, Ashton L, Creed G, </w:t>
      </w:r>
      <w:proofErr w:type="spellStart"/>
      <w:r w:rsidRPr="001C4697">
        <w:rPr>
          <w:rFonts w:ascii="Arial" w:hAnsi="Arial" w:cs="Arial"/>
          <w:sz w:val="20"/>
          <w:szCs w:val="20"/>
        </w:rPr>
        <w:t>Brydson</w:t>
      </w:r>
      <w:proofErr w:type="spellEnd"/>
      <w:r w:rsidRPr="001C4697">
        <w:rPr>
          <w:rFonts w:ascii="Arial" w:hAnsi="Arial" w:cs="Arial"/>
          <w:sz w:val="20"/>
          <w:szCs w:val="20"/>
        </w:rPr>
        <w:t xml:space="preserve"> G, Rafferty D. Amelioration of symptoms by enhancement of proprioception in patients with joint hypermobility syndrome. Arthritis Rheum 2004; 50: 3323–8. </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t>Grahame R, Bird HA, Child A. The revised (Brighton 1998) criteria for the diagnosis of benign joint hypermobility syndrome (BJHS). Journal of Rheumatology 2000; 27: 1777-9.</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t xml:space="preserve">Grahame R. Hypermobility and hypermobility syndrome. In: Keer R, Grahame R (Editors) Hypermobility syndrome. Recognition and management for physiotherapists. Edinburgh: Butterworth-Heinemann; 2003. p. 1-14. </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t>Hakim AJ, Grahame R. A simple questionnaire to detect hypermobility: an adjunct to the assessment of patients with diffuse musculoskeletal pain. International Journal of Clinical Practice 2003; 57: 163-6.</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t>Hakim AJ, Grahame R. Non-musculoskeletal symptoms in joint hypermobility syndrome. Indirect evidence for autonomic dysfunction? Rheumatology 2004; 43(9): 1194-5.</w:t>
      </w:r>
    </w:p>
    <w:p w:rsidR="00E43147" w:rsidRPr="001C4697" w:rsidRDefault="00E43147" w:rsidP="00E43147">
      <w:pPr>
        <w:pStyle w:val="ListParagraph"/>
        <w:numPr>
          <w:ilvl w:val="0"/>
          <w:numId w:val="2"/>
        </w:numPr>
        <w:spacing w:after="0" w:line="480" w:lineRule="auto"/>
        <w:rPr>
          <w:rFonts w:ascii="Arial" w:hAnsi="Arial" w:cs="Arial"/>
          <w:sz w:val="20"/>
          <w:szCs w:val="20"/>
        </w:rPr>
      </w:pPr>
      <w:proofErr w:type="spellStart"/>
      <w:r w:rsidRPr="001C4697">
        <w:rPr>
          <w:rFonts w:ascii="Arial" w:hAnsi="Arial" w:cs="Arial"/>
          <w:sz w:val="20"/>
          <w:szCs w:val="20"/>
        </w:rPr>
        <w:lastRenderedPageBreak/>
        <w:t>Kamper</w:t>
      </w:r>
      <w:proofErr w:type="spellEnd"/>
      <w:r w:rsidRPr="001C4697">
        <w:rPr>
          <w:rFonts w:ascii="Arial" w:hAnsi="Arial" w:cs="Arial"/>
          <w:sz w:val="20"/>
          <w:szCs w:val="20"/>
        </w:rPr>
        <w:t xml:space="preserve"> SJ, Maher CG, Mackay G. Global Rating of Change Scales: A Review of Strengths and Weaknesses and Considerations for Design. J Man </w:t>
      </w:r>
      <w:proofErr w:type="spellStart"/>
      <w:r w:rsidRPr="001C4697">
        <w:rPr>
          <w:rFonts w:ascii="Arial" w:hAnsi="Arial" w:cs="Arial"/>
          <w:sz w:val="20"/>
          <w:szCs w:val="20"/>
        </w:rPr>
        <w:t>Manip</w:t>
      </w:r>
      <w:proofErr w:type="spellEnd"/>
      <w:r w:rsidRPr="001C4697">
        <w:rPr>
          <w:rFonts w:ascii="Arial" w:hAnsi="Arial" w:cs="Arial"/>
          <w:sz w:val="20"/>
          <w:szCs w:val="20"/>
        </w:rPr>
        <w:t xml:space="preserve"> </w:t>
      </w:r>
      <w:proofErr w:type="spellStart"/>
      <w:r w:rsidRPr="001C4697">
        <w:rPr>
          <w:rFonts w:ascii="Arial" w:hAnsi="Arial" w:cs="Arial"/>
          <w:sz w:val="20"/>
          <w:szCs w:val="20"/>
        </w:rPr>
        <w:t>Ther</w:t>
      </w:r>
      <w:proofErr w:type="spellEnd"/>
      <w:r w:rsidRPr="001C4697">
        <w:rPr>
          <w:rFonts w:ascii="Arial" w:hAnsi="Arial" w:cs="Arial"/>
          <w:sz w:val="20"/>
          <w:szCs w:val="20"/>
        </w:rPr>
        <w:t xml:space="preserve"> 2009; 17(3): 163-70. </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t>Keer R, Grahame R. Hypermobility syndrome. Recognition and management for physiotherapists. Edinburgh: Butterworth Heinemann; 2003.</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t>Keer R, Simmonds J. Joint protection and physical rehabilitation of the adult with hypermobility. Current Opinion in Rheumatology 2011; 23: 131-6.</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t xml:space="preserve">Koo TK, Li MY. A guideline of selecting and reporting </w:t>
      </w:r>
      <w:proofErr w:type="spellStart"/>
      <w:r w:rsidRPr="001C4697">
        <w:rPr>
          <w:rFonts w:ascii="Arial" w:hAnsi="Arial" w:cs="Arial"/>
          <w:sz w:val="20"/>
          <w:szCs w:val="20"/>
        </w:rPr>
        <w:t>intraclass</w:t>
      </w:r>
      <w:proofErr w:type="spellEnd"/>
      <w:r w:rsidRPr="001C4697">
        <w:rPr>
          <w:rFonts w:ascii="Arial" w:hAnsi="Arial" w:cs="Arial"/>
          <w:sz w:val="20"/>
          <w:szCs w:val="20"/>
        </w:rPr>
        <w:t xml:space="preserve"> correlation coefficients for reliability research. Journal of Chiropractic Medicine 2016; 15: 155-63.</w:t>
      </w:r>
    </w:p>
    <w:p w:rsidR="00E43147" w:rsidRPr="001C4697" w:rsidRDefault="00E43147" w:rsidP="00E43147">
      <w:pPr>
        <w:pStyle w:val="ListParagraph"/>
        <w:numPr>
          <w:ilvl w:val="0"/>
          <w:numId w:val="2"/>
        </w:numPr>
        <w:spacing w:after="0" w:line="480" w:lineRule="auto"/>
        <w:rPr>
          <w:rFonts w:ascii="Arial" w:hAnsi="Arial" w:cs="Arial"/>
          <w:sz w:val="20"/>
          <w:szCs w:val="20"/>
        </w:rPr>
      </w:pPr>
      <w:proofErr w:type="spellStart"/>
      <w:proofErr w:type="gramStart"/>
      <w:r w:rsidRPr="001C4697">
        <w:rPr>
          <w:rFonts w:ascii="Arial" w:hAnsi="Arial" w:cs="Arial"/>
          <w:sz w:val="20"/>
          <w:szCs w:val="20"/>
        </w:rPr>
        <w:t>Malfait</w:t>
      </w:r>
      <w:proofErr w:type="spellEnd"/>
      <w:r w:rsidRPr="001C4697">
        <w:rPr>
          <w:rFonts w:ascii="Arial" w:hAnsi="Arial" w:cs="Arial"/>
          <w:sz w:val="20"/>
          <w:szCs w:val="20"/>
        </w:rPr>
        <w:t xml:space="preserve"> F, </w:t>
      </w:r>
      <w:proofErr w:type="spellStart"/>
      <w:r w:rsidRPr="001C4697">
        <w:rPr>
          <w:rFonts w:ascii="Arial" w:hAnsi="Arial" w:cs="Arial"/>
          <w:sz w:val="20"/>
          <w:szCs w:val="20"/>
        </w:rPr>
        <w:t>Francomano</w:t>
      </w:r>
      <w:proofErr w:type="spellEnd"/>
      <w:r w:rsidRPr="001C4697">
        <w:rPr>
          <w:rFonts w:ascii="Arial" w:hAnsi="Arial" w:cs="Arial"/>
          <w:sz w:val="20"/>
          <w:szCs w:val="20"/>
        </w:rPr>
        <w:t xml:space="preserve"> C, Byers P, Belmont J, Berglund B, Black J, Bloom L, Bowen JM, Brady AF, Burrows NP, </w:t>
      </w:r>
      <w:proofErr w:type="spellStart"/>
      <w:r w:rsidRPr="001C4697">
        <w:rPr>
          <w:rFonts w:ascii="Arial" w:hAnsi="Arial" w:cs="Arial"/>
          <w:sz w:val="20"/>
          <w:szCs w:val="20"/>
        </w:rPr>
        <w:t>Castori</w:t>
      </w:r>
      <w:proofErr w:type="spellEnd"/>
      <w:r w:rsidRPr="001C4697">
        <w:rPr>
          <w:rFonts w:ascii="Arial" w:hAnsi="Arial" w:cs="Arial"/>
          <w:sz w:val="20"/>
          <w:szCs w:val="20"/>
        </w:rPr>
        <w:t xml:space="preserve"> M, Cohen H, </w:t>
      </w:r>
      <w:proofErr w:type="spellStart"/>
      <w:r w:rsidRPr="001C4697">
        <w:rPr>
          <w:rFonts w:ascii="Arial" w:hAnsi="Arial" w:cs="Arial"/>
          <w:sz w:val="20"/>
          <w:szCs w:val="20"/>
        </w:rPr>
        <w:t>Colombi</w:t>
      </w:r>
      <w:proofErr w:type="spellEnd"/>
      <w:r w:rsidRPr="001C4697">
        <w:rPr>
          <w:rFonts w:ascii="Arial" w:hAnsi="Arial" w:cs="Arial"/>
          <w:sz w:val="20"/>
          <w:szCs w:val="20"/>
        </w:rPr>
        <w:t xml:space="preserve"> M, </w:t>
      </w:r>
      <w:proofErr w:type="spellStart"/>
      <w:r w:rsidRPr="001C4697">
        <w:rPr>
          <w:rFonts w:ascii="Arial" w:hAnsi="Arial" w:cs="Arial"/>
          <w:sz w:val="20"/>
          <w:szCs w:val="20"/>
        </w:rPr>
        <w:t>Demirdas</w:t>
      </w:r>
      <w:proofErr w:type="spellEnd"/>
      <w:r w:rsidRPr="001C4697">
        <w:rPr>
          <w:rFonts w:ascii="Arial" w:hAnsi="Arial" w:cs="Arial"/>
          <w:sz w:val="20"/>
          <w:szCs w:val="20"/>
        </w:rPr>
        <w:t xml:space="preserve"> S, De Backer J, De </w:t>
      </w:r>
      <w:proofErr w:type="spellStart"/>
      <w:r w:rsidRPr="001C4697">
        <w:rPr>
          <w:rFonts w:ascii="Arial" w:hAnsi="Arial" w:cs="Arial"/>
          <w:sz w:val="20"/>
          <w:szCs w:val="20"/>
        </w:rPr>
        <w:t>Paepe</w:t>
      </w:r>
      <w:proofErr w:type="spellEnd"/>
      <w:r w:rsidRPr="001C4697">
        <w:rPr>
          <w:rFonts w:ascii="Arial" w:hAnsi="Arial" w:cs="Arial"/>
          <w:sz w:val="20"/>
          <w:szCs w:val="20"/>
        </w:rPr>
        <w:t xml:space="preserve"> A, </w:t>
      </w:r>
      <w:proofErr w:type="spellStart"/>
      <w:r w:rsidRPr="001C4697">
        <w:rPr>
          <w:rFonts w:ascii="Arial" w:hAnsi="Arial" w:cs="Arial"/>
          <w:sz w:val="20"/>
          <w:szCs w:val="20"/>
        </w:rPr>
        <w:t>Fournel-Gigleux</w:t>
      </w:r>
      <w:proofErr w:type="spellEnd"/>
      <w:r w:rsidRPr="001C4697">
        <w:rPr>
          <w:rFonts w:ascii="Arial" w:hAnsi="Arial" w:cs="Arial"/>
          <w:sz w:val="20"/>
          <w:szCs w:val="20"/>
        </w:rPr>
        <w:t xml:space="preserve"> S, Frank M, </w:t>
      </w:r>
      <w:proofErr w:type="spellStart"/>
      <w:r w:rsidRPr="001C4697">
        <w:rPr>
          <w:rFonts w:ascii="Arial" w:hAnsi="Arial" w:cs="Arial"/>
          <w:sz w:val="20"/>
          <w:szCs w:val="20"/>
        </w:rPr>
        <w:t>Ghali</w:t>
      </w:r>
      <w:proofErr w:type="spellEnd"/>
      <w:r w:rsidRPr="001C4697">
        <w:rPr>
          <w:rFonts w:ascii="Arial" w:hAnsi="Arial" w:cs="Arial"/>
          <w:sz w:val="20"/>
          <w:szCs w:val="20"/>
        </w:rPr>
        <w:t xml:space="preserve"> N, </w:t>
      </w:r>
      <w:proofErr w:type="spellStart"/>
      <w:r w:rsidRPr="001C4697">
        <w:rPr>
          <w:rFonts w:ascii="Arial" w:hAnsi="Arial" w:cs="Arial"/>
          <w:sz w:val="20"/>
          <w:szCs w:val="20"/>
        </w:rPr>
        <w:t>Giunta</w:t>
      </w:r>
      <w:proofErr w:type="spellEnd"/>
      <w:r w:rsidRPr="001C4697">
        <w:rPr>
          <w:rFonts w:ascii="Arial" w:hAnsi="Arial" w:cs="Arial"/>
          <w:sz w:val="20"/>
          <w:szCs w:val="20"/>
        </w:rPr>
        <w:t xml:space="preserve"> C, Grahame R, Hakim A, </w:t>
      </w:r>
      <w:proofErr w:type="spellStart"/>
      <w:r w:rsidRPr="001C4697">
        <w:rPr>
          <w:rFonts w:ascii="Arial" w:hAnsi="Arial" w:cs="Arial"/>
          <w:sz w:val="20"/>
          <w:szCs w:val="20"/>
        </w:rPr>
        <w:t>Jeunemaitre</w:t>
      </w:r>
      <w:proofErr w:type="spellEnd"/>
      <w:r w:rsidRPr="001C4697">
        <w:rPr>
          <w:rFonts w:ascii="Arial" w:hAnsi="Arial" w:cs="Arial"/>
          <w:sz w:val="20"/>
          <w:szCs w:val="20"/>
        </w:rPr>
        <w:t xml:space="preserve"> X, Johnson D, </w:t>
      </w:r>
      <w:proofErr w:type="spellStart"/>
      <w:r w:rsidRPr="001C4697">
        <w:rPr>
          <w:rFonts w:ascii="Arial" w:hAnsi="Arial" w:cs="Arial"/>
          <w:sz w:val="20"/>
          <w:szCs w:val="20"/>
        </w:rPr>
        <w:t>Juul-Kristensen</w:t>
      </w:r>
      <w:proofErr w:type="spellEnd"/>
      <w:r w:rsidRPr="001C4697">
        <w:rPr>
          <w:rFonts w:ascii="Arial" w:hAnsi="Arial" w:cs="Arial"/>
          <w:sz w:val="20"/>
          <w:szCs w:val="20"/>
        </w:rPr>
        <w:t xml:space="preserve"> B, </w:t>
      </w:r>
      <w:proofErr w:type="spellStart"/>
      <w:r w:rsidRPr="001C4697">
        <w:rPr>
          <w:rFonts w:ascii="Arial" w:hAnsi="Arial" w:cs="Arial"/>
          <w:sz w:val="20"/>
          <w:szCs w:val="20"/>
        </w:rPr>
        <w:t>Kapferer-Seebacher</w:t>
      </w:r>
      <w:proofErr w:type="spellEnd"/>
      <w:r w:rsidRPr="001C4697">
        <w:rPr>
          <w:rFonts w:ascii="Arial" w:hAnsi="Arial" w:cs="Arial"/>
          <w:sz w:val="20"/>
          <w:szCs w:val="20"/>
        </w:rPr>
        <w:t xml:space="preserve"> I, Kazkaz H, Kosho T, </w:t>
      </w:r>
      <w:proofErr w:type="spellStart"/>
      <w:r w:rsidRPr="001C4697">
        <w:rPr>
          <w:rFonts w:ascii="Arial" w:hAnsi="Arial" w:cs="Arial"/>
          <w:sz w:val="20"/>
          <w:szCs w:val="20"/>
        </w:rPr>
        <w:t>Lavallee</w:t>
      </w:r>
      <w:proofErr w:type="spellEnd"/>
      <w:r w:rsidRPr="001C4697">
        <w:rPr>
          <w:rFonts w:ascii="Arial" w:hAnsi="Arial" w:cs="Arial"/>
          <w:sz w:val="20"/>
          <w:szCs w:val="20"/>
        </w:rPr>
        <w:t xml:space="preserve"> ME, Levy H, Mendoza-</w:t>
      </w:r>
      <w:proofErr w:type="spellStart"/>
      <w:r w:rsidRPr="001C4697">
        <w:rPr>
          <w:rFonts w:ascii="Arial" w:hAnsi="Arial" w:cs="Arial"/>
          <w:sz w:val="20"/>
          <w:szCs w:val="20"/>
        </w:rPr>
        <w:t>Londono</w:t>
      </w:r>
      <w:proofErr w:type="spellEnd"/>
      <w:r w:rsidRPr="001C4697">
        <w:rPr>
          <w:rFonts w:ascii="Arial" w:hAnsi="Arial" w:cs="Arial"/>
          <w:sz w:val="20"/>
          <w:szCs w:val="20"/>
        </w:rPr>
        <w:t xml:space="preserve"> R, Pepin M, Pope FM, </w:t>
      </w:r>
      <w:proofErr w:type="spellStart"/>
      <w:r w:rsidRPr="001C4697">
        <w:rPr>
          <w:rFonts w:ascii="Arial" w:hAnsi="Arial" w:cs="Arial"/>
          <w:sz w:val="20"/>
          <w:szCs w:val="20"/>
        </w:rPr>
        <w:t>Reinstein</w:t>
      </w:r>
      <w:proofErr w:type="spellEnd"/>
      <w:r w:rsidRPr="001C4697">
        <w:rPr>
          <w:rFonts w:ascii="Arial" w:hAnsi="Arial" w:cs="Arial"/>
          <w:sz w:val="20"/>
          <w:szCs w:val="20"/>
        </w:rPr>
        <w:t xml:space="preserve"> E, Robert L, </w:t>
      </w:r>
      <w:proofErr w:type="spellStart"/>
      <w:r w:rsidRPr="001C4697">
        <w:rPr>
          <w:rFonts w:ascii="Arial" w:hAnsi="Arial" w:cs="Arial"/>
          <w:sz w:val="20"/>
          <w:szCs w:val="20"/>
        </w:rPr>
        <w:t>Rohrbach</w:t>
      </w:r>
      <w:proofErr w:type="spellEnd"/>
      <w:r w:rsidRPr="001C4697">
        <w:rPr>
          <w:rFonts w:ascii="Arial" w:hAnsi="Arial" w:cs="Arial"/>
          <w:sz w:val="20"/>
          <w:szCs w:val="20"/>
        </w:rPr>
        <w:t xml:space="preserve"> M, Sanders L, </w:t>
      </w:r>
      <w:proofErr w:type="spellStart"/>
      <w:r w:rsidRPr="001C4697">
        <w:rPr>
          <w:rFonts w:ascii="Arial" w:hAnsi="Arial" w:cs="Arial"/>
          <w:sz w:val="20"/>
          <w:szCs w:val="20"/>
        </w:rPr>
        <w:t>Sobey</w:t>
      </w:r>
      <w:proofErr w:type="spellEnd"/>
      <w:r w:rsidRPr="001C4697">
        <w:rPr>
          <w:rFonts w:ascii="Arial" w:hAnsi="Arial" w:cs="Arial"/>
          <w:sz w:val="20"/>
          <w:szCs w:val="20"/>
        </w:rPr>
        <w:t xml:space="preserve"> GJ, Van </w:t>
      </w:r>
      <w:proofErr w:type="spellStart"/>
      <w:r w:rsidRPr="001C4697">
        <w:rPr>
          <w:rFonts w:ascii="Arial" w:hAnsi="Arial" w:cs="Arial"/>
          <w:sz w:val="20"/>
          <w:szCs w:val="20"/>
        </w:rPr>
        <w:t>Damme</w:t>
      </w:r>
      <w:proofErr w:type="spellEnd"/>
      <w:r w:rsidRPr="001C4697">
        <w:rPr>
          <w:rFonts w:ascii="Arial" w:hAnsi="Arial" w:cs="Arial"/>
          <w:sz w:val="20"/>
          <w:szCs w:val="20"/>
        </w:rPr>
        <w:t xml:space="preserve"> T, </w:t>
      </w:r>
      <w:proofErr w:type="spellStart"/>
      <w:r w:rsidRPr="001C4697">
        <w:rPr>
          <w:rFonts w:ascii="Arial" w:hAnsi="Arial" w:cs="Arial"/>
          <w:sz w:val="20"/>
          <w:szCs w:val="20"/>
        </w:rPr>
        <w:t>Vandersteen</w:t>
      </w:r>
      <w:proofErr w:type="spellEnd"/>
      <w:r w:rsidRPr="001C4697">
        <w:rPr>
          <w:rFonts w:ascii="Arial" w:hAnsi="Arial" w:cs="Arial"/>
          <w:sz w:val="20"/>
          <w:szCs w:val="20"/>
        </w:rPr>
        <w:t xml:space="preserve"> A, van </w:t>
      </w:r>
      <w:proofErr w:type="spellStart"/>
      <w:r w:rsidRPr="001C4697">
        <w:rPr>
          <w:rFonts w:ascii="Arial" w:hAnsi="Arial" w:cs="Arial"/>
          <w:sz w:val="20"/>
          <w:szCs w:val="20"/>
        </w:rPr>
        <w:t>Mourik</w:t>
      </w:r>
      <w:proofErr w:type="spellEnd"/>
      <w:r w:rsidRPr="001C4697">
        <w:rPr>
          <w:rFonts w:ascii="Arial" w:hAnsi="Arial" w:cs="Arial"/>
          <w:sz w:val="20"/>
          <w:szCs w:val="20"/>
        </w:rPr>
        <w:t xml:space="preserve"> C, </w:t>
      </w:r>
      <w:proofErr w:type="spellStart"/>
      <w:r w:rsidRPr="001C4697">
        <w:rPr>
          <w:rFonts w:ascii="Arial" w:hAnsi="Arial" w:cs="Arial"/>
          <w:sz w:val="20"/>
          <w:szCs w:val="20"/>
        </w:rPr>
        <w:t>Voermans</w:t>
      </w:r>
      <w:proofErr w:type="spellEnd"/>
      <w:r w:rsidRPr="001C4697">
        <w:rPr>
          <w:rFonts w:ascii="Arial" w:hAnsi="Arial" w:cs="Arial"/>
          <w:sz w:val="20"/>
          <w:szCs w:val="20"/>
        </w:rPr>
        <w:t xml:space="preserve"> N, </w:t>
      </w:r>
      <w:proofErr w:type="spellStart"/>
      <w:r w:rsidRPr="001C4697">
        <w:rPr>
          <w:rFonts w:ascii="Arial" w:hAnsi="Arial" w:cs="Arial"/>
          <w:sz w:val="20"/>
          <w:szCs w:val="20"/>
        </w:rPr>
        <w:t>Wheeldon</w:t>
      </w:r>
      <w:proofErr w:type="spellEnd"/>
      <w:r w:rsidRPr="001C4697">
        <w:rPr>
          <w:rFonts w:ascii="Arial" w:hAnsi="Arial" w:cs="Arial"/>
          <w:sz w:val="20"/>
          <w:szCs w:val="20"/>
        </w:rPr>
        <w:t xml:space="preserve"> N, </w:t>
      </w:r>
      <w:proofErr w:type="spellStart"/>
      <w:r w:rsidRPr="001C4697">
        <w:rPr>
          <w:rFonts w:ascii="Arial" w:hAnsi="Arial" w:cs="Arial"/>
          <w:sz w:val="20"/>
          <w:szCs w:val="20"/>
        </w:rPr>
        <w:t>Zschocke</w:t>
      </w:r>
      <w:proofErr w:type="spellEnd"/>
      <w:r w:rsidRPr="001C4697">
        <w:rPr>
          <w:rFonts w:ascii="Arial" w:hAnsi="Arial" w:cs="Arial"/>
          <w:sz w:val="20"/>
          <w:szCs w:val="20"/>
        </w:rPr>
        <w:t xml:space="preserve"> J, Tinkle B.</w:t>
      </w:r>
      <w:proofErr w:type="gramEnd"/>
      <w:r w:rsidRPr="001C4697">
        <w:rPr>
          <w:rFonts w:ascii="Arial" w:hAnsi="Arial" w:cs="Arial"/>
          <w:sz w:val="20"/>
          <w:szCs w:val="20"/>
        </w:rPr>
        <w:t xml:space="preserve"> The 2017 international classification of the Ehlers-</w:t>
      </w:r>
      <w:proofErr w:type="spellStart"/>
      <w:r w:rsidRPr="001C4697">
        <w:rPr>
          <w:rFonts w:ascii="Arial" w:hAnsi="Arial" w:cs="Arial"/>
          <w:sz w:val="20"/>
          <w:szCs w:val="20"/>
        </w:rPr>
        <w:t>Danlos</w:t>
      </w:r>
      <w:proofErr w:type="spellEnd"/>
      <w:r w:rsidRPr="001C4697">
        <w:rPr>
          <w:rFonts w:ascii="Arial" w:hAnsi="Arial" w:cs="Arial"/>
          <w:sz w:val="20"/>
          <w:szCs w:val="20"/>
        </w:rPr>
        <w:t xml:space="preserve"> syndromes. Am J Med Genet Part C </w:t>
      </w:r>
      <w:proofErr w:type="spellStart"/>
      <w:r w:rsidRPr="001C4697">
        <w:rPr>
          <w:rFonts w:ascii="Arial" w:hAnsi="Arial" w:cs="Arial"/>
          <w:sz w:val="20"/>
          <w:szCs w:val="20"/>
        </w:rPr>
        <w:t>Semin</w:t>
      </w:r>
      <w:proofErr w:type="spellEnd"/>
      <w:r w:rsidRPr="001C4697">
        <w:rPr>
          <w:rFonts w:ascii="Arial" w:hAnsi="Arial" w:cs="Arial"/>
          <w:sz w:val="20"/>
          <w:szCs w:val="20"/>
        </w:rPr>
        <w:t xml:space="preserve"> Med Genet 2017</w:t>
      </w:r>
      <w:proofErr w:type="gramStart"/>
      <w:r w:rsidRPr="001C4697">
        <w:rPr>
          <w:rFonts w:ascii="Arial" w:hAnsi="Arial" w:cs="Arial"/>
          <w:sz w:val="20"/>
          <w:szCs w:val="20"/>
        </w:rPr>
        <w:t>;</w:t>
      </w:r>
      <w:proofErr w:type="gramEnd"/>
      <w:r w:rsidRPr="001C4697">
        <w:rPr>
          <w:rFonts w:ascii="Arial" w:hAnsi="Arial" w:cs="Arial"/>
          <w:sz w:val="20"/>
          <w:szCs w:val="20"/>
        </w:rPr>
        <w:t xml:space="preserve"> 175C: 8-26.</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t xml:space="preserve">Office for National Statistics. 2011 Census: Ethnic group, local authorities in the United Kingdom. London: Office for National Statistics; 2013. </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t>Palmer S, Bailey S, Barker L, Barney L, Elliott A. The effectiveness of therapeutic exercise for joint hypermobility syndrome: a systematic review. Physiotherapy 2014; 100: 220-7.</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t>Palmer S, Cramp F, Lewis R, Muhammad S, Clark E. Diagnosis, management and assessment of adults with joint hypermobility syndrome: a UK-wide survey of physiotherapy practice. Musculoskeletal Care 2015; 13(2): 101-11.</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t>Palmer S, Cramp F, Clark E, Lewis R, Brookes S, Hollingworth W, Welton N, Thom H, Terry R, Rimes KS, Horwood J. The feasibility of a randomised controlled trial of physiotherapy for adults with joint hypermobility syndrome. Health Technology Assessment 2016</w:t>
      </w:r>
      <w:proofErr w:type="gramStart"/>
      <w:r w:rsidRPr="001C4697">
        <w:rPr>
          <w:rFonts w:ascii="Arial" w:hAnsi="Arial" w:cs="Arial"/>
          <w:sz w:val="20"/>
          <w:szCs w:val="20"/>
        </w:rPr>
        <w:t>;</w:t>
      </w:r>
      <w:proofErr w:type="gramEnd"/>
      <w:r w:rsidRPr="001C4697">
        <w:rPr>
          <w:rFonts w:ascii="Arial" w:hAnsi="Arial" w:cs="Arial"/>
          <w:sz w:val="20"/>
          <w:szCs w:val="20"/>
        </w:rPr>
        <w:t xml:space="preserve"> 20(47).</w:t>
      </w:r>
    </w:p>
    <w:p w:rsidR="00E43147" w:rsidRPr="001C4697" w:rsidRDefault="00E43147" w:rsidP="00E43147">
      <w:pPr>
        <w:pStyle w:val="ListParagraph"/>
        <w:numPr>
          <w:ilvl w:val="0"/>
          <w:numId w:val="2"/>
        </w:numPr>
        <w:spacing w:after="0" w:line="480" w:lineRule="auto"/>
        <w:ind w:left="357" w:hanging="357"/>
        <w:rPr>
          <w:rFonts w:ascii="Arial" w:hAnsi="Arial" w:cs="Arial"/>
          <w:sz w:val="20"/>
          <w:szCs w:val="20"/>
        </w:rPr>
      </w:pPr>
      <w:r w:rsidRPr="001C4697">
        <w:rPr>
          <w:rFonts w:ascii="Arial" w:hAnsi="Arial" w:cs="Arial"/>
          <w:sz w:val="20"/>
          <w:szCs w:val="20"/>
        </w:rPr>
        <w:t>Palmer ST, Cramp F, Lewis R, Gould G, Clark EM. Development and initial validation of the Bristol Impact of Hypermobility (</w:t>
      </w:r>
      <w:proofErr w:type="spellStart"/>
      <w:r w:rsidRPr="001C4697">
        <w:rPr>
          <w:rFonts w:ascii="Arial" w:hAnsi="Arial" w:cs="Arial"/>
          <w:sz w:val="20"/>
          <w:szCs w:val="20"/>
        </w:rPr>
        <w:t>BIoH</w:t>
      </w:r>
      <w:proofErr w:type="spellEnd"/>
      <w:r w:rsidRPr="001C4697">
        <w:rPr>
          <w:rFonts w:ascii="Arial" w:hAnsi="Arial" w:cs="Arial"/>
          <w:sz w:val="20"/>
          <w:szCs w:val="20"/>
        </w:rPr>
        <w:t xml:space="preserve">) questionnaire. Physiotherapy 2017, 103(2):186-192. </w:t>
      </w:r>
    </w:p>
    <w:p w:rsidR="00E43147" w:rsidRPr="001C4697" w:rsidRDefault="00E43147" w:rsidP="00E43147">
      <w:pPr>
        <w:pStyle w:val="ListParagraph"/>
        <w:numPr>
          <w:ilvl w:val="0"/>
          <w:numId w:val="2"/>
        </w:numPr>
        <w:spacing w:after="0" w:line="480" w:lineRule="auto"/>
        <w:ind w:left="357" w:hanging="357"/>
        <w:rPr>
          <w:rFonts w:ascii="Arial" w:hAnsi="Arial" w:cs="Arial"/>
          <w:sz w:val="20"/>
          <w:szCs w:val="20"/>
        </w:rPr>
      </w:pPr>
      <w:proofErr w:type="spellStart"/>
      <w:r w:rsidRPr="001C4697">
        <w:rPr>
          <w:rFonts w:ascii="Arial" w:hAnsi="Arial" w:cs="Arial"/>
          <w:sz w:val="20"/>
          <w:szCs w:val="20"/>
        </w:rPr>
        <w:t>Polit</w:t>
      </w:r>
      <w:proofErr w:type="spellEnd"/>
      <w:r w:rsidRPr="001C4697">
        <w:rPr>
          <w:rFonts w:ascii="Arial" w:hAnsi="Arial" w:cs="Arial"/>
          <w:sz w:val="20"/>
          <w:szCs w:val="20"/>
        </w:rPr>
        <w:t xml:space="preserve"> DF. Getting serious about test-retest reliability: a critique of retest research and some recommendations. </w:t>
      </w:r>
      <w:proofErr w:type="spellStart"/>
      <w:r w:rsidRPr="001C4697">
        <w:rPr>
          <w:rFonts w:ascii="Arial" w:hAnsi="Arial" w:cs="Arial"/>
          <w:sz w:val="20"/>
          <w:szCs w:val="20"/>
        </w:rPr>
        <w:t>Qual</w:t>
      </w:r>
      <w:proofErr w:type="spellEnd"/>
      <w:r w:rsidRPr="001C4697">
        <w:rPr>
          <w:rFonts w:ascii="Arial" w:hAnsi="Arial" w:cs="Arial"/>
          <w:sz w:val="20"/>
          <w:szCs w:val="20"/>
        </w:rPr>
        <w:t xml:space="preserve"> Life Res 2014; 23: 1713-20.</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lastRenderedPageBreak/>
        <w:t>Rankin G, Stokes M. Reliability of assessment tools in rehabilitation: an illustration of appropriate statistical analyses. Clinical Rehabilitation 1998; 12: 187-99.</w:t>
      </w:r>
    </w:p>
    <w:p w:rsidR="00E43147" w:rsidRPr="001C4697" w:rsidRDefault="00E43147" w:rsidP="00E43147">
      <w:pPr>
        <w:pStyle w:val="ListParagraph"/>
        <w:numPr>
          <w:ilvl w:val="0"/>
          <w:numId w:val="2"/>
        </w:numPr>
        <w:spacing w:after="0" w:line="480" w:lineRule="auto"/>
        <w:rPr>
          <w:rFonts w:ascii="Arial" w:hAnsi="Arial" w:cs="Arial"/>
          <w:sz w:val="20"/>
          <w:szCs w:val="20"/>
        </w:rPr>
      </w:pPr>
      <w:proofErr w:type="spellStart"/>
      <w:r w:rsidRPr="001C4697">
        <w:rPr>
          <w:rFonts w:ascii="Arial" w:hAnsi="Arial" w:cs="Arial"/>
          <w:sz w:val="20"/>
          <w:szCs w:val="20"/>
        </w:rPr>
        <w:t>Sahin</w:t>
      </w:r>
      <w:proofErr w:type="spellEnd"/>
      <w:r w:rsidRPr="001C4697">
        <w:rPr>
          <w:rFonts w:ascii="Arial" w:hAnsi="Arial" w:cs="Arial"/>
          <w:sz w:val="20"/>
          <w:szCs w:val="20"/>
        </w:rPr>
        <w:t xml:space="preserve"> N, </w:t>
      </w:r>
      <w:proofErr w:type="spellStart"/>
      <w:r w:rsidRPr="001C4697">
        <w:rPr>
          <w:rFonts w:ascii="Arial" w:hAnsi="Arial" w:cs="Arial"/>
          <w:sz w:val="20"/>
          <w:szCs w:val="20"/>
        </w:rPr>
        <w:t>Baskent</w:t>
      </w:r>
      <w:proofErr w:type="spellEnd"/>
      <w:r w:rsidRPr="001C4697">
        <w:rPr>
          <w:rFonts w:ascii="Arial" w:hAnsi="Arial" w:cs="Arial"/>
          <w:sz w:val="20"/>
          <w:szCs w:val="20"/>
        </w:rPr>
        <w:t xml:space="preserve"> A, </w:t>
      </w:r>
      <w:proofErr w:type="spellStart"/>
      <w:r w:rsidRPr="001C4697">
        <w:rPr>
          <w:rFonts w:ascii="Arial" w:hAnsi="Arial" w:cs="Arial"/>
          <w:sz w:val="20"/>
          <w:szCs w:val="20"/>
        </w:rPr>
        <w:t>Cakmak</w:t>
      </w:r>
      <w:proofErr w:type="spellEnd"/>
      <w:r w:rsidRPr="001C4697">
        <w:rPr>
          <w:rFonts w:ascii="Arial" w:hAnsi="Arial" w:cs="Arial"/>
          <w:sz w:val="20"/>
          <w:szCs w:val="20"/>
        </w:rPr>
        <w:t xml:space="preserve"> A, </w:t>
      </w:r>
      <w:proofErr w:type="spellStart"/>
      <w:r w:rsidRPr="001C4697">
        <w:rPr>
          <w:rFonts w:ascii="Arial" w:hAnsi="Arial" w:cs="Arial"/>
          <w:sz w:val="20"/>
          <w:szCs w:val="20"/>
        </w:rPr>
        <w:t>Salli</w:t>
      </w:r>
      <w:proofErr w:type="spellEnd"/>
      <w:r w:rsidRPr="001C4697">
        <w:rPr>
          <w:rFonts w:ascii="Arial" w:hAnsi="Arial" w:cs="Arial"/>
          <w:sz w:val="20"/>
          <w:szCs w:val="20"/>
        </w:rPr>
        <w:t xml:space="preserve"> A, </w:t>
      </w:r>
      <w:proofErr w:type="spellStart"/>
      <w:r w:rsidRPr="001C4697">
        <w:rPr>
          <w:rFonts w:ascii="Arial" w:hAnsi="Arial" w:cs="Arial"/>
          <w:sz w:val="20"/>
          <w:szCs w:val="20"/>
        </w:rPr>
        <w:t>Ugurlu</w:t>
      </w:r>
      <w:proofErr w:type="spellEnd"/>
      <w:r w:rsidRPr="001C4697">
        <w:rPr>
          <w:rFonts w:ascii="Arial" w:hAnsi="Arial" w:cs="Arial"/>
          <w:sz w:val="20"/>
          <w:szCs w:val="20"/>
        </w:rPr>
        <w:t xml:space="preserve"> H, Berker E. Evaluation of knee proprioception and effects of proprioception exercise in patients with benign joint hypermobility syndrome. </w:t>
      </w:r>
      <w:proofErr w:type="spellStart"/>
      <w:r w:rsidRPr="001C4697">
        <w:rPr>
          <w:rFonts w:ascii="Arial" w:hAnsi="Arial" w:cs="Arial"/>
          <w:sz w:val="20"/>
          <w:szCs w:val="20"/>
        </w:rPr>
        <w:t>Rheumatol</w:t>
      </w:r>
      <w:proofErr w:type="spellEnd"/>
      <w:r w:rsidRPr="001C4697">
        <w:rPr>
          <w:rFonts w:ascii="Arial" w:hAnsi="Arial" w:cs="Arial"/>
          <w:sz w:val="20"/>
          <w:szCs w:val="20"/>
        </w:rPr>
        <w:t xml:space="preserve"> </w:t>
      </w:r>
      <w:proofErr w:type="spellStart"/>
      <w:r w:rsidRPr="001C4697">
        <w:rPr>
          <w:rFonts w:ascii="Arial" w:hAnsi="Arial" w:cs="Arial"/>
          <w:sz w:val="20"/>
          <w:szCs w:val="20"/>
        </w:rPr>
        <w:t>Int</w:t>
      </w:r>
      <w:proofErr w:type="spellEnd"/>
      <w:r w:rsidRPr="001C4697">
        <w:rPr>
          <w:rFonts w:ascii="Arial" w:hAnsi="Arial" w:cs="Arial"/>
          <w:sz w:val="20"/>
          <w:szCs w:val="20"/>
        </w:rPr>
        <w:t xml:space="preserve"> 2008; 28: 995-1000.</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t>Simmonds JV, Keer RJ. Hypermobility and hypermobility syndrome. Manual Therapy 2007; 12(2): 298-309.</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t>Simmonds JV, Keer RJ. Hypermobility and the hypermobility syndrome. Part 2: Assessment and management of hypermobility syndrome: illustrated via case studies. Manual Therapy 2008; 13(2): e1–11.</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t xml:space="preserve">Smith TO, Easton V, Bacon H, </w:t>
      </w:r>
      <w:proofErr w:type="spellStart"/>
      <w:r w:rsidRPr="001C4697">
        <w:rPr>
          <w:rFonts w:ascii="Arial" w:hAnsi="Arial" w:cs="Arial"/>
          <w:sz w:val="20"/>
          <w:szCs w:val="20"/>
        </w:rPr>
        <w:t>Jerman</w:t>
      </w:r>
      <w:proofErr w:type="spellEnd"/>
      <w:r w:rsidRPr="001C4697">
        <w:rPr>
          <w:rFonts w:ascii="Arial" w:hAnsi="Arial" w:cs="Arial"/>
          <w:sz w:val="20"/>
          <w:szCs w:val="20"/>
        </w:rPr>
        <w:t xml:space="preserve"> E, </w:t>
      </w:r>
      <w:proofErr w:type="spellStart"/>
      <w:r w:rsidRPr="001C4697">
        <w:rPr>
          <w:rFonts w:ascii="Arial" w:hAnsi="Arial" w:cs="Arial"/>
          <w:sz w:val="20"/>
          <w:szCs w:val="20"/>
        </w:rPr>
        <w:t>Armon</w:t>
      </w:r>
      <w:proofErr w:type="spellEnd"/>
      <w:r w:rsidRPr="001C4697">
        <w:rPr>
          <w:rFonts w:ascii="Arial" w:hAnsi="Arial" w:cs="Arial"/>
          <w:sz w:val="20"/>
          <w:szCs w:val="20"/>
        </w:rPr>
        <w:t xml:space="preserve"> K, Poland F, Macgregor AJ. The relationship between benign joint hypermobility syndrome and psychological distress: a systematic review and meta-analysis. Rheumatology (Oxford) 2014a; 53(1): 114-22.</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t xml:space="preserve">Smith TO, Bacon H, </w:t>
      </w:r>
      <w:proofErr w:type="spellStart"/>
      <w:r w:rsidRPr="001C4697">
        <w:rPr>
          <w:rFonts w:ascii="Arial" w:hAnsi="Arial" w:cs="Arial"/>
          <w:sz w:val="20"/>
          <w:szCs w:val="20"/>
        </w:rPr>
        <w:t>Jerman</w:t>
      </w:r>
      <w:proofErr w:type="spellEnd"/>
      <w:r w:rsidRPr="001C4697">
        <w:rPr>
          <w:rFonts w:ascii="Arial" w:hAnsi="Arial" w:cs="Arial"/>
          <w:sz w:val="20"/>
          <w:szCs w:val="20"/>
        </w:rPr>
        <w:t xml:space="preserve"> E, Easton V, </w:t>
      </w:r>
      <w:proofErr w:type="spellStart"/>
      <w:r w:rsidRPr="001C4697">
        <w:rPr>
          <w:rFonts w:ascii="Arial" w:hAnsi="Arial" w:cs="Arial"/>
          <w:sz w:val="20"/>
          <w:szCs w:val="20"/>
        </w:rPr>
        <w:t>Armon</w:t>
      </w:r>
      <w:proofErr w:type="spellEnd"/>
      <w:r w:rsidRPr="001C4697">
        <w:rPr>
          <w:rFonts w:ascii="Arial" w:hAnsi="Arial" w:cs="Arial"/>
          <w:sz w:val="20"/>
          <w:szCs w:val="20"/>
        </w:rPr>
        <w:t xml:space="preserve"> K, Poland F, Macgregor AJ. Physiotherapy and occupational therapy interventions for people with benign joint hypermobility syndrome: a systematic review of clinical trials. </w:t>
      </w:r>
      <w:proofErr w:type="spellStart"/>
      <w:r w:rsidRPr="001C4697">
        <w:rPr>
          <w:rFonts w:ascii="Arial" w:hAnsi="Arial" w:cs="Arial"/>
          <w:sz w:val="20"/>
          <w:szCs w:val="20"/>
        </w:rPr>
        <w:t>Disabil</w:t>
      </w:r>
      <w:proofErr w:type="spellEnd"/>
      <w:r w:rsidRPr="001C4697">
        <w:rPr>
          <w:rFonts w:ascii="Arial" w:hAnsi="Arial" w:cs="Arial"/>
          <w:sz w:val="20"/>
          <w:szCs w:val="20"/>
        </w:rPr>
        <w:t xml:space="preserve"> </w:t>
      </w:r>
      <w:proofErr w:type="spellStart"/>
      <w:r w:rsidRPr="001C4697">
        <w:rPr>
          <w:rFonts w:ascii="Arial" w:hAnsi="Arial" w:cs="Arial"/>
          <w:sz w:val="20"/>
          <w:szCs w:val="20"/>
        </w:rPr>
        <w:t>Rehabil</w:t>
      </w:r>
      <w:proofErr w:type="spellEnd"/>
      <w:r w:rsidRPr="001C4697">
        <w:rPr>
          <w:rFonts w:ascii="Arial" w:hAnsi="Arial" w:cs="Arial"/>
          <w:sz w:val="20"/>
          <w:szCs w:val="20"/>
        </w:rPr>
        <w:t xml:space="preserve"> 2014b</w:t>
      </w:r>
      <w:proofErr w:type="gramStart"/>
      <w:r w:rsidRPr="001C4697">
        <w:rPr>
          <w:rFonts w:ascii="Arial" w:hAnsi="Arial" w:cs="Arial"/>
          <w:sz w:val="20"/>
          <w:szCs w:val="20"/>
        </w:rPr>
        <w:t>;</w:t>
      </w:r>
      <w:proofErr w:type="gramEnd"/>
      <w:r w:rsidRPr="001C4697">
        <w:rPr>
          <w:rFonts w:ascii="Arial" w:hAnsi="Arial" w:cs="Arial"/>
          <w:sz w:val="20"/>
          <w:szCs w:val="20"/>
        </w:rPr>
        <w:t xml:space="preserve"> 36(10): 797-803.</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t>Terry R, Palmer S, Rimes K, Clark C, Simmonds J, Horwood J. Living with Joint Hypermobility Syndrome. Patient experiences of diagnosis, referral and self-care. Family Practice 2015; 32(3): 354-8.</w:t>
      </w:r>
    </w:p>
    <w:p w:rsidR="00E43147" w:rsidRPr="001C4697" w:rsidRDefault="00E43147" w:rsidP="00E43147">
      <w:pPr>
        <w:pStyle w:val="ListParagraph"/>
        <w:numPr>
          <w:ilvl w:val="0"/>
          <w:numId w:val="2"/>
        </w:numPr>
        <w:spacing w:after="0" w:line="480" w:lineRule="auto"/>
        <w:rPr>
          <w:rFonts w:ascii="Arial" w:hAnsi="Arial" w:cs="Arial"/>
          <w:sz w:val="20"/>
          <w:szCs w:val="20"/>
        </w:rPr>
      </w:pPr>
      <w:proofErr w:type="spellStart"/>
      <w:r w:rsidRPr="001C4697">
        <w:rPr>
          <w:rFonts w:ascii="Arial" w:hAnsi="Arial" w:cs="Arial"/>
          <w:sz w:val="20"/>
          <w:szCs w:val="20"/>
        </w:rPr>
        <w:t>Terwee</w:t>
      </w:r>
      <w:proofErr w:type="spellEnd"/>
      <w:r w:rsidRPr="001C4697">
        <w:rPr>
          <w:rFonts w:ascii="Arial" w:hAnsi="Arial" w:cs="Arial"/>
          <w:sz w:val="20"/>
          <w:szCs w:val="20"/>
        </w:rPr>
        <w:t xml:space="preserve"> CB, Bot SDM, de Boer MR, van der </w:t>
      </w:r>
      <w:proofErr w:type="spellStart"/>
      <w:r w:rsidRPr="001C4697">
        <w:rPr>
          <w:rFonts w:ascii="Arial" w:hAnsi="Arial" w:cs="Arial"/>
          <w:sz w:val="20"/>
          <w:szCs w:val="20"/>
        </w:rPr>
        <w:t>Windt</w:t>
      </w:r>
      <w:proofErr w:type="spellEnd"/>
      <w:r w:rsidRPr="001C4697">
        <w:rPr>
          <w:rFonts w:ascii="Arial" w:hAnsi="Arial" w:cs="Arial"/>
          <w:sz w:val="20"/>
          <w:szCs w:val="20"/>
        </w:rPr>
        <w:t xml:space="preserve"> DAWM, </w:t>
      </w:r>
      <w:proofErr w:type="spellStart"/>
      <w:r w:rsidRPr="001C4697">
        <w:rPr>
          <w:rFonts w:ascii="Arial" w:hAnsi="Arial" w:cs="Arial"/>
          <w:sz w:val="20"/>
          <w:szCs w:val="20"/>
        </w:rPr>
        <w:t>Knol</w:t>
      </w:r>
      <w:proofErr w:type="spellEnd"/>
      <w:r w:rsidRPr="001C4697">
        <w:rPr>
          <w:rFonts w:ascii="Arial" w:hAnsi="Arial" w:cs="Arial"/>
          <w:sz w:val="20"/>
          <w:szCs w:val="20"/>
        </w:rPr>
        <w:t xml:space="preserve"> DL, Dekker J, </w:t>
      </w:r>
      <w:proofErr w:type="spellStart"/>
      <w:r w:rsidRPr="001C4697">
        <w:rPr>
          <w:rFonts w:ascii="Arial" w:hAnsi="Arial" w:cs="Arial"/>
          <w:sz w:val="20"/>
          <w:szCs w:val="20"/>
        </w:rPr>
        <w:t>Bouter</w:t>
      </w:r>
      <w:proofErr w:type="spellEnd"/>
      <w:r w:rsidRPr="001C4697">
        <w:rPr>
          <w:rFonts w:ascii="Arial" w:hAnsi="Arial" w:cs="Arial"/>
          <w:sz w:val="20"/>
          <w:szCs w:val="20"/>
        </w:rPr>
        <w:t xml:space="preserve"> LM, de Vet HCW. Quality criteria </w:t>
      </w:r>
      <w:proofErr w:type="gramStart"/>
      <w:r w:rsidRPr="001C4697">
        <w:rPr>
          <w:rFonts w:ascii="Arial" w:hAnsi="Arial" w:cs="Arial"/>
          <w:sz w:val="20"/>
          <w:szCs w:val="20"/>
        </w:rPr>
        <w:t>were proposed</w:t>
      </w:r>
      <w:proofErr w:type="gramEnd"/>
      <w:r w:rsidRPr="001C4697">
        <w:rPr>
          <w:rFonts w:ascii="Arial" w:hAnsi="Arial" w:cs="Arial"/>
          <w:sz w:val="20"/>
          <w:szCs w:val="20"/>
        </w:rPr>
        <w:t xml:space="preserve"> for measurement properties of health status questionnaires. Journal of Clinical Epidemiology 2007; 60: 34-42.</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t>Tinkle BT. Issues and management of joint hypermobility. A guide for the Ehlers-</w:t>
      </w:r>
      <w:proofErr w:type="spellStart"/>
      <w:r w:rsidRPr="001C4697">
        <w:rPr>
          <w:rFonts w:ascii="Arial" w:hAnsi="Arial" w:cs="Arial"/>
          <w:sz w:val="20"/>
          <w:szCs w:val="20"/>
        </w:rPr>
        <w:t>Danlos</w:t>
      </w:r>
      <w:proofErr w:type="spellEnd"/>
      <w:r w:rsidRPr="001C4697">
        <w:rPr>
          <w:rFonts w:ascii="Arial" w:hAnsi="Arial" w:cs="Arial"/>
          <w:sz w:val="20"/>
          <w:szCs w:val="20"/>
        </w:rPr>
        <w:t xml:space="preserve"> Syndrome Hypermobility Type and the Hypermobility Syndrome. USA: Left Paw Press; 2008.</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t xml:space="preserve">Tinkle BT, Bird HA, Grahame R, </w:t>
      </w:r>
      <w:proofErr w:type="spellStart"/>
      <w:r w:rsidRPr="001C4697">
        <w:rPr>
          <w:rFonts w:ascii="Arial" w:hAnsi="Arial" w:cs="Arial"/>
          <w:sz w:val="20"/>
          <w:szCs w:val="20"/>
        </w:rPr>
        <w:t>Lavallee</w:t>
      </w:r>
      <w:proofErr w:type="spellEnd"/>
      <w:r w:rsidRPr="001C4697">
        <w:rPr>
          <w:rFonts w:ascii="Arial" w:hAnsi="Arial" w:cs="Arial"/>
          <w:sz w:val="20"/>
          <w:szCs w:val="20"/>
        </w:rPr>
        <w:t xml:space="preserve"> M, Levy HP, </w:t>
      </w:r>
      <w:proofErr w:type="spellStart"/>
      <w:r w:rsidRPr="001C4697">
        <w:rPr>
          <w:rFonts w:ascii="Arial" w:hAnsi="Arial" w:cs="Arial"/>
          <w:sz w:val="20"/>
          <w:szCs w:val="20"/>
        </w:rPr>
        <w:t>Sillence</w:t>
      </w:r>
      <w:proofErr w:type="spellEnd"/>
      <w:r w:rsidRPr="001C4697">
        <w:rPr>
          <w:rFonts w:ascii="Arial" w:hAnsi="Arial" w:cs="Arial"/>
          <w:sz w:val="20"/>
          <w:szCs w:val="20"/>
        </w:rPr>
        <w:t xml:space="preserve"> D. The lack of clinical distinction between hypermobility type of Ehlers-</w:t>
      </w:r>
      <w:proofErr w:type="spellStart"/>
      <w:r w:rsidRPr="001C4697">
        <w:rPr>
          <w:rFonts w:ascii="Arial" w:hAnsi="Arial" w:cs="Arial"/>
          <w:sz w:val="20"/>
          <w:szCs w:val="20"/>
        </w:rPr>
        <w:t>Danlos</w:t>
      </w:r>
      <w:proofErr w:type="spellEnd"/>
      <w:r w:rsidRPr="001C4697">
        <w:rPr>
          <w:rFonts w:ascii="Arial" w:hAnsi="Arial" w:cs="Arial"/>
          <w:sz w:val="20"/>
          <w:szCs w:val="20"/>
        </w:rPr>
        <w:t xml:space="preserve"> syndrome and the joint hypermobility syndrome. Am J Med </w:t>
      </w:r>
      <w:proofErr w:type="spellStart"/>
      <w:r w:rsidRPr="001C4697">
        <w:rPr>
          <w:rFonts w:ascii="Arial" w:hAnsi="Arial" w:cs="Arial"/>
          <w:sz w:val="20"/>
          <w:szCs w:val="20"/>
        </w:rPr>
        <w:t>Denet</w:t>
      </w:r>
      <w:proofErr w:type="spellEnd"/>
      <w:r w:rsidRPr="001C4697">
        <w:rPr>
          <w:rFonts w:ascii="Arial" w:hAnsi="Arial" w:cs="Arial"/>
          <w:sz w:val="20"/>
          <w:szCs w:val="20"/>
        </w:rPr>
        <w:t xml:space="preserve"> A 2009; </w:t>
      </w:r>
      <w:proofErr w:type="gramStart"/>
      <w:r w:rsidRPr="001C4697">
        <w:rPr>
          <w:rFonts w:ascii="Arial" w:hAnsi="Arial" w:cs="Arial"/>
          <w:sz w:val="20"/>
          <w:szCs w:val="20"/>
        </w:rPr>
        <w:t>149A(</w:t>
      </w:r>
      <w:proofErr w:type="gramEnd"/>
      <w:r w:rsidRPr="001C4697">
        <w:rPr>
          <w:rFonts w:ascii="Arial" w:hAnsi="Arial" w:cs="Arial"/>
          <w:sz w:val="20"/>
          <w:szCs w:val="20"/>
        </w:rPr>
        <w:t>11): 2368-70.</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t xml:space="preserve">Torrance N, Smith BH, Lee AJ, </w:t>
      </w:r>
      <w:proofErr w:type="spellStart"/>
      <w:r w:rsidRPr="001C4697">
        <w:rPr>
          <w:rFonts w:ascii="Arial" w:hAnsi="Arial" w:cs="Arial"/>
          <w:sz w:val="20"/>
          <w:szCs w:val="20"/>
        </w:rPr>
        <w:t>Aucott</w:t>
      </w:r>
      <w:proofErr w:type="spellEnd"/>
      <w:r w:rsidRPr="001C4697">
        <w:rPr>
          <w:rFonts w:ascii="Arial" w:hAnsi="Arial" w:cs="Arial"/>
          <w:sz w:val="20"/>
          <w:szCs w:val="20"/>
        </w:rPr>
        <w:t xml:space="preserve"> L, </w:t>
      </w:r>
      <w:proofErr w:type="spellStart"/>
      <w:r w:rsidRPr="001C4697">
        <w:rPr>
          <w:rFonts w:ascii="Arial" w:hAnsi="Arial" w:cs="Arial"/>
          <w:sz w:val="20"/>
          <w:szCs w:val="20"/>
        </w:rPr>
        <w:t>Cardy</w:t>
      </w:r>
      <w:proofErr w:type="spellEnd"/>
      <w:r w:rsidRPr="001C4697">
        <w:rPr>
          <w:rFonts w:ascii="Arial" w:hAnsi="Arial" w:cs="Arial"/>
          <w:sz w:val="20"/>
          <w:szCs w:val="20"/>
        </w:rPr>
        <w:t xml:space="preserve"> A, Bennett MI. Analysing the SF-36 in population-based research. A comparison of methods of statistical approaches using chronic pain as an example. Journal of Evaluation in Clinical Practice 2009; 15(2): 328-34.</w:t>
      </w:r>
    </w:p>
    <w:p w:rsidR="00E43147" w:rsidRPr="001C4697" w:rsidRDefault="00E43147" w:rsidP="00E43147">
      <w:pPr>
        <w:pStyle w:val="ListParagraph"/>
        <w:numPr>
          <w:ilvl w:val="0"/>
          <w:numId w:val="2"/>
        </w:numPr>
        <w:spacing w:after="0" w:line="480" w:lineRule="auto"/>
        <w:rPr>
          <w:rFonts w:ascii="Arial" w:hAnsi="Arial" w:cs="Arial"/>
          <w:sz w:val="20"/>
          <w:szCs w:val="20"/>
        </w:rPr>
      </w:pPr>
      <w:r w:rsidRPr="001C4697">
        <w:rPr>
          <w:rFonts w:ascii="Arial" w:hAnsi="Arial" w:cs="Arial"/>
          <w:sz w:val="20"/>
          <w:szCs w:val="20"/>
        </w:rPr>
        <w:lastRenderedPageBreak/>
        <w:t xml:space="preserve">Wright A, Hannon J, </w:t>
      </w:r>
      <w:proofErr w:type="spellStart"/>
      <w:r w:rsidRPr="001C4697">
        <w:rPr>
          <w:rFonts w:ascii="Arial" w:hAnsi="Arial" w:cs="Arial"/>
          <w:sz w:val="20"/>
          <w:szCs w:val="20"/>
        </w:rPr>
        <w:t>Hegedus</w:t>
      </w:r>
      <w:proofErr w:type="spellEnd"/>
      <w:r w:rsidRPr="001C4697">
        <w:rPr>
          <w:rFonts w:ascii="Arial" w:hAnsi="Arial" w:cs="Arial"/>
          <w:sz w:val="20"/>
          <w:szCs w:val="20"/>
        </w:rPr>
        <w:t xml:space="preserve"> EJ, </w:t>
      </w:r>
      <w:proofErr w:type="spellStart"/>
      <w:r w:rsidRPr="001C4697">
        <w:rPr>
          <w:rFonts w:ascii="Arial" w:hAnsi="Arial" w:cs="Arial"/>
          <w:sz w:val="20"/>
          <w:szCs w:val="20"/>
        </w:rPr>
        <w:t>Kavchak</w:t>
      </w:r>
      <w:proofErr w:type="spellEnd"/>
      <w:r w:rsidRPr="001C4697">
        <w:rPr>
          <w:rFonts w:ascii="Arial" w:hAnsi="Arial" w:cs="Arial"/>
          <w:sz w:val="20"/>
          <w:szCs w:val="20"/>
        </w:rPr>
        <w:t xml:space="preserve"> AE. </w:t>
      </w:r>
      <w:proofErr w:type="spellStart"/>
      <w:r w:rsidRPr="001C4697">
        <w:rPr>
          <w:rFonts w:ascii="Arial" w:hAnsi="Arial" w:cs="Arial"/>
          <w:sz w:val="20"/>
          <w:szCs w:val="20"/>
        </w:rPr>
        <w:t>Clinimetrics</w:t>
      </w:r>
      <w:proofErr w:type="spellEnd"/>
      <w:r w:rsidRPr="001C4697">
        <w:rPr>
          <w:rFonts w:ascii="Arial" w:hAnsi="Arial" w:cs="Arial"/>
          <w:sz w:val="20"/>
          <w:szCs w:val="20"/>
        </w:rPr>
        <w:t xml:space="preserve"> corner: a closer look at the minimal clinically important difference (MCID). Journal of Manual and Manipulative Therapy 2012; 20(3): 160-6.</w:t>
      </w:r>
    </w:p>
    <w:p w:rsidR="00E43147" w:rsidRPr="001C4697" w:rsidRDefault="00E43147" w:rsidP="00E43147">
      <w:pPr>
        <w:spacing w:after="0" w:line="480" w:lineRule="auto"/>
        <w:rPr>
          <w:rFonts w:ascii="Arial" w:hAnsi="Arial" w:cs="Arial"/>
          <w:sz w:val="20"/>
          <w:szCs w:val="20"/>
        </w:rPr>
      </w:pPr>
    </w:p>
    <w:p w:rsidR="00E43147" w:rsidRPr="001C4697" w:rsidRDefault="00E43147" w:rsidP="00E43147">
      <w:pPr>
        <w:rPr>
          <w:rFonts w:ascii="Arial" w:hAnsi="Arial" w:cs="Arial"/>
          <w:sz w:val="20"/>
          <w:szCs w:val="20"/>
        </w:rPr>
      </w:pPr>
      <w:r w:rsidRPr="001C4697">
        <w:rPr>
          <w:rFonts w:ascii="Arial" w:hAnsi="Arial" w:cs="Arial"/>
          <w:sz w:val="20"/>
          <w:szCs w:val="20"/>
        </w:rPr>
        <w:br w:type="page"/>
      </w:r>
    </w:p>
    <w:tbl>
      <w:tblPr>
        <w:tblStyle w:val="PlainTable4"/>
        <w:tblW w:w="5000" w:type="pct"/>
        <w:tblLook w:val="04A0" w:firstRow="1" w:lastRow="0" w:firstColumn="1" w:lastColumn="0" w:noHBand="0" w:noVBand="1"/>
      </w:tblPr>
      <w:tblGrid>
        <w:gridCol w:w="2670"/>
        <w:gridCol w:w="2670"/>
        <w:gridCol w:w="1890"/>
        <w:gridCol w:w="1796"/>
      </w:tblGrid>
      <w:tr w:rsidR="00E43147" w:rsidRPr="001C4697" w:rsidTr="00791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8" w:type="pct"/>
            <w:gridSpan w:val="2"/>
          </w:tcPr>
          <w:p w:rsidR="00E43147" w:rsidRPr="001C4697" w:rsidRDefault="00E43147" w:rsidP="00791E23">
            <w:pPr>
              <w:spacing w:line="480" w:lineRule="auto"/>
              <w:rPr>
                <w:rFonts w:ascii="Arial" w:hAnsi="Arial" w:cs="Arial"/>
                <w:b w:val="0"/>
                <w:sz w:val="20"/>
                <w:szCs w:val="20"/>
              </w:rPr>
            </w:pPr>
            <w:r w:rsidRPr="001C4697">
              <w:rPr>
                <w:rFonts w:ascii="Arial" w:hAnsi="Arial" w:cs="Arial"/>
                <w:sz w:val="20"/>
                <w:szCs w:val="20"/>
              </w:rPr>
              <w:lastRenderedPageBreak/>
              <w:t>Participant characteristics and baseline outcome scores</w:t>
            </w:r>
          </w:p>
        </w:tc>
        <w:tc>
          <w:tcPr>
            <w:tcW w:w="1047" w:type="pct"/>
          </w:tcPr>
          <w:p w:rsidR="00E43147" w:rsidRPr="001C4697" w:rsidRDefault="00E43147" w:rsidP="00791E23">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1C4697">
              <w:rPr>
                <w:rFonts w:ascii="Arial" w:hAnsi="Arial" w:cs="Arial"/>
                <w:sz w:val="20"/>
                <w:szCs w:val="20"/>
              </w:rPr>
              <w:t xml:space="preserve">All participants </w:t>
            </w:r>
          </w:p>
          <w:p w:rsidR="00E43147" w:rsidRPr="001C4697" w:rsidRDefault="00E43147" w:rsidP="00791E23">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1C4697">
              <w:rPr>
                <w:rFonts w:ascii="Arial" w:hAnsi="Arial" w:cs="Arial"/>
                <w:sz w:val="20"/>
                <w:szCs w:val="20"/>
              </w:rPr>
              <w:t>(n=363)</w:t>
            </w:r>
          </w:p>
        </w:tc>
        <w:tc>
          <w:tcPr>
            <w:tcW w:w="995" w:type="pct"/>
          </w:tcPr>
          <w:p w:rsidR="00E43147" w:rsidRPr="001C4697" w:rsidRDefault="00E43147" w:rsidP="00791E23">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1C4697">
              <w:rPr>
                <w:rFonts w:ascii="Arial" w:hAnsi="Arial" w:cs="Arial"/>
                <w:sz w:val="20"/>
                <w:szCs w:val="20"/>
              </w:rPr>
              <w:t>‘Stable’ participants (n=233)</w:t>
            </w:r>
          </w:p>
        </w:tc>
      </w:tr>
      <w:tr w:rsidR="00E43147" w:rsidRPr="001C4697" w:rsidTr="0079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8" w:type="pct"/>
            <w:gridSpan w:val="2"/>
          </w:tcPr>
          <w:p w:rsidR="00E43147" w:rsidRPr="001C4697" w:rsidRDefault="00E43147" w:rsidP="00791E23">
            <w:pPr>
              <w:spacing w:line="480" w:lineRule="auto"/>
              <w:rPr>
                <w:rFonts w:ascii="Arial" w:hAnsi="Arial" w:cs="Arial"/>
                <w:sz w:val="20"/>
                <w:szCs w:val="20"/>
              </w:rPr>
            </w:pPr>
            <w:r w:rsidRPr="001C4697">
              <w:rPr>
                <w:rFonts w:ascii="Arial" w:hAnsi="Arial" w:cs="Arial"/>
                <w:sz w:val="20"/>
                <w:szCs w:val="20"/>
              </w:rPr>
              <w:t xml:space="preserve">Age, mean </w:t>
            </w:r>
            <w:r w:rsidRPr="001C4697">
              <w:rPr>
                <w:rFonts w:ascii="Arial" w:hAnsi="Arial" w:cs="Arial"/>
                <w:sz w:val="20"/>
                <w:szCs w:val="20"/>
              </w:rPr>
              <w:sym w:font="Symbol" w:char="F0B1"/>
            </w:r>
            <w:r w:rsidRPr="001C4697">
              <w:rPr>
                <w:rFonts w:ascii="Arial" w:hAnsi="Arial" w:cs="Arial"/>
                <w:sz w:val="20"/>
                <w:szCs w:val="20"/>
              </w:rPr>
              <w:t xml:space="preserve"> SD (years)</w:t>
            </w:r>
          </w:p>
        </w:tc>
        <w:tc>
          <w:tcPr>
            <w:tcW w:w="1047"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43.8 </w:t>
            </w:r>
            <w:r w:rsidRPr="001C4697">
              <w:rPr>
                <w:rFonts w:ascii="Arial" w:hAnsi="Arial" w:cs="Arial"/>
                <w:sz w:val="20"/>
                <w:szCs w:val="20"/>
              </w:rPr>
              <w:sym w:font="Symbol" w:char="F0B1"/>
            </w:r>
            <w:r w:rsidRPr="001C4697">
              <w:rPr>
                <w:rFonts w:ascii="Arial" w:hAnsi="Arial" w:cs="Arial"/>
                <w:sz w:val="20"/>
                <w:szCs w:val="20"/>
              </w:rPr>
              <w:t xml:space="preserve"> 13.7</w:t>
            </w:r>
          </w:p>
        </w:tc>
        <w:tc>
          <w:tcPr>
            <w:tcW w:w="995"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44.5 </w:t>
            </w:r>
            <w:r w:rsidRPr="001C4697">
              <w:rPr>
                <w:rFonts w:ascii="Arial" w:hAnsi="Arial" w:cs="Arial"/>
                <w:sz w:val="20"/>
                <w:szCs w:val="20"/>
              </w:rPr>
              <w:sym w:font="Symbol" w:char="F0B1"/>
            </w:r>
            <w:r w:rsidRPr="001C4697">
              <w:rPr>
                <w:rFonts w:ascii="Arial" w:hAnsi="Arial" w:cs="Arial"/>
                <w:sz w:val="20"/>
                <w:szCs w:val="20"/>
              </w:rPr>
              <w:t xml:space="preserve"> 13.9</w:t>
            </w:r>
          </w:p>
        </w:tc>
      </w:tr>
      <w:tr w:rsidR="00E43147" w:rsidRPr="001C4697" w:rsidTr="00791E23">
        <w:tc>
          <w:tcPr>
            <w:cnfStyle w:val="001000000000" w:firstRow="0" w:lastRow="0" w:firstColumn="1" w:lastColumn="0" w:oddVBand="0" w:evenVBand="0" w:oddHBand="0" w:evenHBand="0" w:firstRowFirstColumn="0" w:firstRowLastColumn="0" w:lastRowFirstColumn="0" w:lastRowLastColumn="0"/>
            <w:tcW w:w="2958" w:type="pct"/>
            <w:gridSpan w:val="2"/>
          </w:tcPr>
          <w:p w:rsidR="00E43147" w:rsidRPr="001C4697" w:rsidRDefault="00E43147" w:rsidP="00791E23">
            <w:pPr>
              <w:spacing w:line="480" w:lineRule="auto"/>
              <w:rPr>
                <w:rFonts w:ascii="Arial" w:hAnsi="Arial" w:cs="Arial"/>
                <w:sz w:val="20"/>
                <w:szCs w:val="20"/>
              </w:rPr>
            </w:pPr>
            <w:r w:rsidRPr="001C4697">
              <w:rPr>
                <w:rFonts w:ascii="Arial" w:hAnsi="Arial" w:cs="Arial"/>
                <w:sz w:val="20"/>
                <w:szCs w:val="20"/>
              </w:rPr>
              <w:t>Sex, women : men (% women)</w:t>
            </w:r>
          </w:p>
        </w:tc>
        <w:tc>
          <w:tcPr>
            <w:tcW w:w="1047"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1C4697">
              <w:rPr>
                <w:rFonts w:ascii="Arial" w:hAnsi="Arial" w:cs="Arial"/>
                <w:sz w:val="20"/>
                <w:szCs w:val="20"/>
              </w:rPr>
              <w:t>346 :</w:t>
            </w:r>
            <w:proofErr w:type="gramEnd"/>
            <w:r w:rsidRPr="001C4697">
              <w:rPr>
                <w:rFonts w:ascii="Arial" w:hAnsi="Arial" w:cs="Arial"/>
                <w:sz w:val="20"/>
                <w:szCs w:val="20"/>
              </w:rPr>
              <w:t xml:space="preserve"> 17 (95.3%)</w:t>
            </w:r>
          </w:p>
        </w:tc>
        <w:tc>
          <w:tcPr>
            <w:tcW w:w="995"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1C4697">
              <w:rPr>
                <w:rFonts w:ascii="Arial" w:hAnsi="Arial" w:cs="Arial"/>
                <w:sz w:val="20"/>
                <w:szCs w:val="20"/>
              </w:rPr>
              <w:t>221 :</w:t>
            </w:r>
            <w:proofErr w:type="gramEnd"/>
            <w:r w:rsidRPr="001C4697">
              <w:rPr>
                <w:rFonts w:ascii="Arial" w:hAnsi="Arial" w:cs="Arial"/>
                <w:sz w:val="20"/>
                <w:szCs w:val="20"/>
              </w:rPr>
              <w:t xml:space="preserve"> 12 (94.8%)</w:t>
            </w:r>
          </w:p>
        </w:tc>
      </w:tr>
      <w:tr w:rsidR="00E43147" w:rsidRPr="001C4697" w:rsidTr="0079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pct"/>
            <w:vMerge w:val="restart"/>
          </w:tcPr>
          <w:p w:rsidR="00E43147" w:rsidRPr="001C4697" w:rsidRDefault="00E43147" w:rsidP="00791E23">
            <w:pPr>
              <w:spacing w:line="480" w:lineRule="auto"/>
              <w:rPr>
                <w:rFonts w:ascii="Arial" w:hAnsi="Arial" w:cs="Arial"/>
                <w:sz w:val="20"/>
                <w:szCs w:val="20"/>
              </w:rPr>
            </w:pPr>
            <w:r w:rsidRPr="001C4697">
              <w:rPr>
                <w:rFonts w:ascii="Arial" w:hAnsi="Arial" w:cs="Arial"/>
                <w:sz w:val="20"/>
                <w:szCs w:val="20"/>
              </w:rPr>
              <w:t>Relationship status, n (%)</w:t>
            </w:r>
          </w:p>
        </w:tc>
        <w:tc>
          <w:tcPr>
            <w:tcW w:w="1479"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Single</w:t>
            </w:r>
          </w:p>
        </w:tc>
        <w:tc>
          <w:tcPr>
            <w:tcW w:w="1047"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100 (27.6%)</w:t>
            </w:r>
          </w:p>
        </w:tc>
        <w:tc>
          <w:tcPr>
            <w:tcW w:w="995"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71 (30.5%)</w:t>
            </w:r>
          </w:p>
        </w:tc>
      </w:tr>
      <w:tr w:rsidR="00E43147" w:rsidRPr="001C4697" w:rsidTr="00791E23">
        <w:tc>
          <w:tcPr>
            <w:cnfStyle w:val="001000000000" w:firstRow="0" w:lastRow="0" w:firstColumn="1" w:lastColumn="0" w:oddVBand="0" w:evenVBand="0" w:oddHBand="0" w:evenHBand="0" w:firstRowFirstColumn="0" w:firstRowLastColumn="0" w:lastRowFirstColumn="0" w:lastRowLastColumn="0"/>
            <w:tcW w:w="1479" w:type="pct"/>
            <w:vMerge/>
          </w:tcPr>
          <w:p w:rsidR="00E43147" w:rsidRPr="001C4697" w:rsidRDefault="00E43147" w:rsidP="00791E23">
            <w:pPr>
              <w:spacing w:line="480" w:lineRule="auto"/>
              <w:rPr>
                <w:rFonts w:ascii="Arial" w:hAnsi="Arial" w:cs="Arial"/>
                <w:sz w:val="20"/>
                <w:szCs w:val="20"/>
              </w:rPr>
            </w:pPr>
          </w:p>
        </w:tc>
        <w:tc>
          <w:tcPr>
            <w:tcW w:w="1479"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1C4697">
              <w:rPr>
                <w:rFonts w:ascii="Arial" w:hAnsi="Arial" w:cs="Arial"/>
                <w:sz w:val="20"/>
                <w:szCs w:val="20"/>
              </w:rPr>
              <w:t>Marrried</w:t>
            </w:r>
            <w:proofErr w:type="spellEnd"/>
            <w:r w:rsidRPr="001C4697">
              <w:rPr>
                <w:rFonts w:ascii="Arial" w:hAnsi="Arial" w:cs="Arial"/>
                <w:sz w:val="20"/>
                <w:szCs w:val="20"/>
              </w:rPr>
              <w:t>/ partner</w:t>
            </w:r>
          </w:p>
        </w:tc>
        <w:tc>
          <w:tcPr>
            <w:tcW w:w="1047"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223 (61.6%)</w:t>
            </w:r>
          </w:p>
        </w:tc>
        <w:tc>
          <w:tcPr>
            <w:tcW w:w="995"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134 (57.5%)</w:t>
            </w:r>
          </w:p>
        </w:tc>
      </w:tr>
      <w:tr w:rsidR="00E43147" w:rsidRPr="001C4697" w:rsidTr="0079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pct"/>
            <w:vMerge/>
          </w:tcPr>
          <w:p w:rsidR="00E43147" w:rsidRPr="001C4697" w:rsidRDefault="00E43147" w:rsidP="00791E23">
            <w:pPr>
              <w:spacing w:line="480" w:lineRule="auto"/>
              <w:rPr>
                <w:rFonts w:ascii="Arial" w:hAnsi="Arial" w:cs="Arial"/>
                <w:sz w:val="20"/>
                <w:szCs w:val="20"/>
              </w:rPr>
            </w:pPr>
          </w:p>
        </w:tc>
        <w:tc>
          <w:tcPr>
            <w:tcW w:w="1479"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Divorced/ separated</w:t>
            </w:r>
          </w:p>
        </w:tc>
        <w:tc>
          <w:tcPr>
            <w:tcW w:w="1047"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30 (8.3%)</w:t>
            </w:r>
          </w:p>
        </w:tc>
        <w:tc>
          <w:tcPr>
            <w:tcW w:w="995"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21 (9.0%)</w:t>
            </w:r>
          </w:p>
        </w:tc>
      </w:tr>
      <w:tr w:rsidR="00E43147" w:rsidRPr="001C4697" w:rsidTr="00791E23">
        <w:tc>
          <w:tcPr>
            <w:cnfStyle w:val="001000000000" w:firstRow="0" w:lastRow="0" w:firstColumn="1" w:lastColumn="0" w:oddVBand="0" w:evenVBand="0" w:oddHBand="0" w:evenHBand="0" w:firstRowFirstColumn="0" w:firstRowLastColumn="0" w:lastRowFirstColumn="0" w:lastRowLastColumn="0"/>
            <w:tcW w:w="1479" w:type="pct"/>
            <w:vMerge/>
          </w:tcPr>
          <w:p w:rsidR="00E43147" w:rsidRPr="001C4697" w:rsidRDefault="00E43147" w:rsidP="00791E23">
            <w:pPr>
              <w:spacing w:line="480" w:lineRule="auto"/>
              <w:rPr>
                <w:rFonts w:ascii="Arial" w:hAnsi="Arial" w:cs="Arial"/>
                <w:sz w:val="20"/>
                <w:szCs w:val="20"/>
              </w:rPr>
            </w:pPr>
          </w:p>
        </w:tc>
        <w:tc>
          <w:tcPr>
            <w:tcW w:w="1479"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Widowed</w:t>
            </w:r>
          </w:p>
        </w:tc>
        <w:tc>
          <w:tcPr>
            <w:tcW w:w="1047"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7 (1.9%)</w:t>
            </w:r>
          </w:p>
        </w:tc>
        <w:tc>
          <w:tcPr>
            <w:tcW w:w="995"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5 (2.1%)</w:t>
            </w:r>
          </w:p>
        </w:tc>
      </w:tr>
      <w:tr w:rsidR="00E43147" w:rsidRPr="001C4697" w:rsidTr="0079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pct"/>
            <w:vMerge/>
          </w:tcPr>
          <w:p w:rsidR="00E43147" w:rsidRPr="001C4697" w:rsidRDefault="00E43147" w:rsidP="00791E23">
            <w:pPr>
              <w:spacing w:line="480" w:lineRule="auto"/>
              <w:rPr>
                <w:rFonts w:ascii="Arial" w:hAnsi="Arial" w:cs="Arial"/>
                <w:sz w:val="20"/>
                <w:szCs w:val="20"/>
              </w:rPr>
            </w:pPr>
          </w:p>
        </w:tc>
        <w:tc>
          <w:tcPr>
            <w:tcW w:w="1479"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Other</w:t>
            </w:r>
          </w:p>
        </w:tc>
        <w:tc>
          <w:tcPr>
            <w:tcW w:w="1047"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2 (0.6%)</w:t>
            </w:r>
          </w:p>
        </w:tc>
        <w:tc>
          <w:tcPr>
            <w:tcW w:w="995"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2 (0.9%)</w:t>
            </w:r>
          </w:p>
        </w:tc>
      </w:tr>
      <w:tr w:rsidR="00E43147" w:rsidRPr="001C4697" w:rsidTr="00791E23">
        <w:tc>
          <w:tcPr>
            <w:cnfStyle w:val="001000000000" w:firstRow="0" w:lastRow="0" w:firstColumn="1" w:lastColumn="0" w:oddVBand="0" w:evenVBand="0" w:oddHBand="0" w:evenHBand="0" w:firstRowFirstColumn="0" w:firstRowLastColumn="0" w:lastRowFirstColumn="0" w:lastRowLastColumn="0"/>
            <w:tcW w:w="1479" w:type="pct"/>
            <w:vMerge w:val="restart"/>
          </w:tcPr>
          <w:p w:rsidR="00E43147" w:rsidRPr="001C4697" w:rsidRDefault="00E43147" w:rsidP="00791E23">
            <w:pPr>
              <w:spacing w:line="480" w:lineRule="auto"/>
              <w:rPr>
                <w:rFonts w:ascii="Arial" w:hAnsi="Arial" w:cs="Arial"/>
                <w:sz w:val="20"/>
                <w:szCs w:val="20"/>
              </w:rPr>
            </w:pPr>
            <w:r w:rsidRPr="001C4697">
              <w:rPr>
                <w:rFonts w:ascii="Arial" w:hAnsi="Arial" w:cs="Arial"/>
                <w:sz w:val="20"/>
                <w:szCs w:val="20"/>
              </w:rPr>
              <w:t>Living arrangements, n (%)</w:t>
            </w:r>
          </w:p>
        </w:tc>
        <w:tc>
          <w:tcPr>
            <w:tcW w:w="1479"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Alone</w:t>
            </w:r>
          </w:p>
        </w:tc>
        <w:tc>
          <w:tcPr>
            <w:tcW w:w="1047"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61 (16.9%)</w:t>
            </w:r>
          </w:p>
        </w:tc>
        <w:tc>
          <w:tcPr>
            <w:tcW w:w="995"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45 (19.4%)</w:t>
            </w:r>
          </w:p>
        </w:tc>
      </w:tr>
      <w:tr w:rsidR="00E43147" w:rsidRPr="001C4697" w:rsidTr="0079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pct"/>
            <w:vMerge/>
          </w:tcPr>
          <w:p w:rsidR="00E43147" w:rsidRPr="001C4697" w:rsidRDefault="00E43147" w:rsidP="00791E23">
            <w:pPr>
              <w:spacing w:line="480" w:lineRule="auto"/>
              <w:rPr>
                <w:rFonts w:ascii="Arial" w:hAnsi="Arial" w:cs="Arial"/>
                <w:sz w:val="20"/>
                <w:szCs w:val="20"/>
              </w:rPr>
            </w:pPr>
          </w:p>
        </w:tc>
        <w:tc>
          <w:tcPr>
            <w:tcW w:w="1479"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With husband/ wife/ partner</w:t>
            </w:r>
          </w:p>
        </w:tc>
        <w:tc>
          <w:tcPr>
            <w:tcW w:w="1047"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222 (61.5%)</w:t>
            </w:r>
          </w:p>
        </w:tc>
        <w:tc>
          <w:tcPr>
            <w:tcW w:w="995"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132 (56.9%)</w:t>
            </w:r>
          </w:p>
        </w:tc>
      </w:tr>
      <w:tr w:rsidR="00E43147" w:rsidRPr="001C4697" w:rsidTr="00791E23">
        <w:tc>
          <w:tcPr>
            <w:cnfStyle w:val="001000000000" w:firstRow="0" w:lastRow="0" w:firstColumn="1" w:lastColumn="0" w:oddVBand="0" w:evenVBand="0" w:oddHBand="0" w:evenHBand="0" w:firstRowFirstColumn="0" w:firstRowLastColumn="0" w:lastRowFirstColumn="0" w:lastRowLastColumn="0"/>
            <w:tcW w:w="1479" w:type="pct"/>
            <w:vMerge/>
          </w:tcPr>
          <w:p w:rsidR="00E43147" w:rsidRPr="001C4697" w:rsidRDefault="00E43147" w:rsidP="00791E23">
            <w:pPr>
              <w:spacing w:line="480" w:lineRule="auto"/>
              <w:rPr>
                <w:rFonts w:ascii="Arial" w:hAnsi="Arial" w:cs="Arial"/>
                <w:sz w:val="20"/>
                <w:szCs w:val="20"/>
              </w:rPr>
            </w:pPr>
          </w:p>
        </w:tc>
        <w:tc>
          <w:tcPr>
            <w:tcW w:w="1479"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With somebody else</w:t>
            </w:r>
          </w:p>
        </w:tc>
        <w:tc>
          <w:tcPr>
            <w:tcW w:w="1047"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78 (21.6%)</w:t>
            </w:r>
          </w:p>
        </w:tc>
        <w:tc>
          <w:tcPr>
            <w:tcW w:w="995"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55 (23.7%)</w:t>
            </w:r>
          </w:p>
        </w:tc>
      </w:tr>
      <w:tr w:rsidR="00E43147" w:rsidRPr="001C4697" w:rsidTr="0079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pct"/>
            <w:vMerge w:val="restart"/>
          </w:tcPr>
          <w:p w:rsidR="00E43147" w:rsidRPr="001C4697" w:rsidRDefault="00E43147" w:rsidP="00791E23">
            <w:pPr>
              <w:spacing w:line="480" w:lineRule="auto"/>
              <w:rPr>
                <w:rFonts w:ascii="Arial" w:hAnsi="Arial" w:cs="Arial"/>
                <w:sz w:val="20"/>
                <w:szCs w:val="20"/>
              </w:rPr>
            </w:pPr>
            <w:r w:rsidRPr="001C4697">
              <w:rPr>
                <w:rFonts w:ascii="Arial" w:hAnsi="Arial" w:cs="Arial"/>
                <w:sz w:val="20"/>
                <w:szCs w:val="20"/>
              </w:rPr>
              <w:t>Education</w:t>
            </w:r>
          </w:p>
        </w:tc>
        <w:tc>
          <w:tcPr>
            <w:tcW w:w="1479"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Years at school, mean </w:t>
            </w:r>
            <w:r w:rsidRPr="001C4697">
              <w:rPr>
                <w:rFonts w:ascii="Arial" w:hAnsi="Arial" w:cs="Arial"/>
                <w:sz w:val="20"/>
                <w:szCs w:val="20"/>
              </w:rPr>
              <w:sym w:font="Symbol" w:char="F0B1"/>
            </w:r>
            <w:r w:rsidRPr="001C4697">
              <w:rPr>
                <w:rFonts w:ascii="Arial" w:hAnsi="Arial" w:cs="Arial"/>
                <w:sz w:val="20"/>
                <w:szCs w:val="20"/>
              </w:rPr>
              <w:t xml:space="preserve"> SD (years)</w:t>
            </w:r>
          </w:p>
        </w:tc>
        <w:tc>
          <w:tcPr>
            <w:tcW w:w="1047"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12.8 </w:t>
            </w:r>
            <w:r w:rsidRPr="001C4697">
              <w:rPr>
                <w:rFonts w:ascii="Arial" w:hAnsi="Arial" w:cs="Arial"/>
                <w:sz w:val="20"/>
                <w:szCs w:val="20"/>
              </w:rPr>
              <w:sym w:font="Symbol" w:char="F0B1"/>
            </w:r>
            <w:r w:rsidRPr="001C4697">
              <w:rPr>
                <w:rFonts w:ascii="Arial" w:hAnsi="Arial" w:cs="Arial"/>
                <w:sz w:val="20"/>
                <w:szCs w:val="20"/>
              </w:rPr>
              <w:t xml:space="preserve"> 1.5</w:t>
            </w:r>
          </w:p>
        </w:tc>
        <w:tc>
          <w:tcPr>
            <w:tcW w:w="995"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12.8 </w:t>
            </w:r>
            <w:r w:rsidRPr="001C4697">
              <w:rPr>
                <w:rFonts w:ascii="Arial" w:hAnsi="Arial" w:cs="Arial"/>
                <w:sz w:val="20"/>
                <w:szCs w:val="20"/>
              </w:rPr>
              <w:sym w:font="Symbol" w:char="F0B1"/>
            </w:r>
            <w:r w:rsidRPr="001C4697">
              <w:rPr>
                <w:rFonts w:ascii="Arial" w:hAnsi="Arial" w:cs="Arial"/>
                <w:sz w:val="20"/>
                <w:szCs w:val="20"/>
              </w:rPr>
              <w:t xml:space="preserve"> 1.5</w:t>
            </w:r>
          </w:p>
        </w:tc>
      </w:tr>
      <w:tr w:rsidR="00E43147" w:rsidRPr="001C4697" w:rsidTr="00791E23">
        <w:tc>
          <w:tcPr>
            <w:cnfStyle w:val="001000000000" w:firstRow="0" w:lastRow="0" w:firstColumn="1" w:lastColumn="0" w:oddVBand="0" w:evenVBand="0" w:oddHBand="0" w:evenHBand="0" w:firstRowFirstColumn="0" w:firstRowLastColumn="0" w:lastRowFirstColumn="0" w:lastRowLastColumn="0"/>
            <w:tcW w:w="1479" w:type="pct"/>
            <w:vMerge/>
          </w:tcPr>
          <w:p w:rsidR="00E43147" w:rsidRPr="001C4697" w:rsidRDefault="00E43147" w:rsidP="00791E23">
            <w:pPr>
              <w:spacing w:line="480" w:lineRule="auto"/>
              <w:rPr>
                <w:rFonts w:ascii="Arial" w:hAnsi="Arial" w:cs="Arial"/>
                <w:sz w:val="20"/>
                <w:szCs w:val="20"/>
              </w:rPr>
            </w:pPr>
          </w:p>
        </w:tc>
        <w:tc>
          <w:tcPr>
            <w:tcW w:w="1479"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College diploma or equivalent, n (%)</w:t>
            </w:r>
          </w:p>
        </w:tc>
        <w:tc>
          <w:tcPr>
            <w:tcW w:w="1047"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Yes 203 (67.2%)</w:t>
            </w:r>
          </w:p>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No 99 (32.8%)</w:t>
            </w:r>
          </w:p>
        </w:tc>
        <w:tc>
          <w:tcPr>
            <w:tcW w:w="995"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Yes 135 (67.8%)</w:t>
            </w:r>
          </w:p>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No 64 (32.2%)</w:t>
            </w:r>
          </w:p>
        </w:tc>
      </w:tr>
      <w:tr w:rsidR="00E43147" w:rsidRPr="001C4697" w:rsidTr="0079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pct"/>
            <w:vMerge/>
          </w:tcPr>
          <w:p w:rsidR="00E43147" w:rsidRPr="001C4697" w:rsidRDefault="00E43147" w:rsidP="00791E23">
            <w:pPr>
              <w:spacing w:line="480" w:lineRule="auto"/>
              <w:rPr>
                <w:rFonts w:ascii="Arial" w:hAnsi="Arial" w:cs="Arial"/>
                <w:sz w:val="20"/>
                <w:szCs w:val="20"/>
              </w:rPr>
            </w:pPr>
          </w:p>
        </w:tc>
        <w:tc>
          <w:tcPr>
            <w:tcW w:w="1479"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A university degree or equivalent, n (%)</w:t>
            </w:r>
          </w:p>
        </w:tc>
        <w:tc>
          <w:tcPr>
            <w:tcW w:w="1047"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Yes 175 (56.3%)</w:t>
            </w:r>
          </w:p>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No 136 (43.7%)</w:t>
            </w:r>
          </w:p>
        </w:tc>
        <w:tc>
          <w:tcPr>
            <w:tcW w:w="995"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Yes 114 (57.9%)</w:t>
            </w:r>
          </w:p>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No 83 (42.1%)</w:t>
            </w:r>
          </w:p>
        </w:tc>
      </w:tr>
      <w:tr w:rsidR="00E43147" w:rsidRPr="001C4697" w:rsidTr="00791E23">
        <w:tc>
          <w:tcPr>
            <w:cnfStyle w:val="001000000000" w:firstRow="0" w:lastRow="0" w:firstColumn="1" w:lastColumn="0" w:oddVBand="0" w:evenVBand="0" w:oddHBand="0" w:evenHBand="0" w:firstRowFirstColumn="0" w:firstRowLastColumn="0" w:lastRowFirstColumn="0" w:lastRowLastColumn="0"/>
            <w:tcW w:w="1479" w:type="pct"/>
            <w:vMerge/>
          </w:tcPr>
          <w:p w:rsidR="00E43147" w:rsidRPr="001C4697" w:rsidRDefault="00E43147" w:rsidP="00791E23">
            <w:pPr>
              <w:spacing w:line="480" w:lineRule="auto"/>
              <w:rPr>
                <w:rFonts w:ascii="Arial" w:hAnsi="Arial" w:cs="Arial"/>
                <w:sz w:val="20"/>
                <w:szCs w:val="20"/>
              </w:rPr>
            </w:pPr>
          </w:p>
        </w:tc>
        <w:tc>
          <w:tcPr>
            <w:tcW w:w="1479"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A postgraduate degree (e.g. PhD), n (%)</w:t>
            </w:r>
          </w:p>
        </w:tc>
        <w:tc>
          <w:tcPr>
            <w:tcW w:w="1047"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Yes 67 (25.0%)</w:t>
            </w:r>
          </w:p>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No 201 (75.0%)</w:t>
            </w:r>
          </w:p>
        </w:tc>
        <w:tc>
          <w:tcPr>
            <w:tcW w:w="995"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Yes 43 (25.1%)</w:t>
            </w:r>
          </w:p>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No 128 (74.9%)</w:t>
            </w:r>
          </w:p>
        </w:tc>
      </w:tr>
      <w:tr w:rsidR="00E43147" w:rsidRPr="001C4697" w:rsidTr="0079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pct"/>
            <w:vMerge w:val="restart"/>
          </w:tcPr>
          <w:p w:rsidR="00E43147" w:rsidRPr="001C4697" w:rsidRDefault="00E43147" w:rsidP="00791E23">
            <w:pPr>
              <w:spacing w:line="480" w:lineRule="auto"/>
              <w:rPr>
                <w:rFonts w:ascii="Arial" w:hAnsi="Arial" w:cs="Arial"/>
                <w:sz w:val="20"/>
                <w:szCs w:val="20"/>
              </w:rPr>
            </w:pPr>
            <w:r w:rsidRPr="001C4697">
              <w:rPr>
                <w:rFonts w:ascii="Arial" w:hAnsi="Arial" w:cs="Arial"/>
                <w:sz w:val="20"/>
                <w:szCs w:val="20"/>
              </w:rPr>
              <w:t>Paid job at present, n (%)</w:t>
            </w:r>
          </w:p>
        </w:tc>
        <w:tc>
          <w:tcPr>
            <w:tcW w:w="1479"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Yes</w:t>
            </w:r>
          </w:p>
        </w:tc>
        <w:tc>
          <w:tcPr>
            <w:tcW w:w="1047"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195 (54.5%)</w:t>
            </w:r>
          </w:p>
        </w:tc>
        <w:tc>
          <w:tcPr>
            <w:tcW w:w="995"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127 (55.2%)</w:t>
            </w:r>
          </w:p>
        </w:tc>
      </w:tr>
      <w:tr w:rsidR="00E43147" w:rsidRPr="001C4697" w:rsidTr="00791E23">
        <w:tc>
          <w:tcPr>
            <w:cnfStyle w:val="001000000000" w:firstRow="0" w:lastRow="0" w:firstColumn="1" w:lastColumn="0" w:oddVBand="0" w:evenVBand="0" w:oddHBand="0" w:evenHBand="0" w:firstRowFirstColumn="0" w:firstRowLastColumn="0" w:lastRowFirstColumn="0" w:lastRowLastColumn="0"/>
            <w:tcW w:w="1479" w:type="pct"/>
            <w:vMerge/>
          </w:tcPr>
          <w:p w:rsidR="00E43147" w:rsidRPr="001C4697" w:rsidRDefault="00E43147" w:rsidP="00791E23">
            <w:pPr>
              <w:spacing w:line="480" w:lineRule="auto"/>
              <w:rPr>
                <w:rFonts w:ascii="Arial" w:hAnsi="Arial" w:cs="Arial"/>
                <w:sz w:val="20"/>
                <w:szCs w:val="20"/>
              </w:rPr>
            </w:pPr>
          </w:p>
        </w:tc>
        <w:tc>
          <w:tcPr>
            <w:tcW w:w="1479"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No</w:t>
            </w:r>
          </w:p>
        </w:tc>
        <w:tc>
          <w:tcPr>
            <w:tcW w:w="1047"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163 (45.5%)</w:t>
            </w:r>
          </w:p>
        </w:tc>
        <w:tc>
          <w:tcPr>
            <w:tcW w:w="995"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103 (44.8%)</w:t>
            </w:r>
          </w:p>
        </w:tc>
      </w:tr>
      <w:tr w:rsidR="00E43147" w:rsidRPr="001C4697" w:rsidTr="0079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pct"/>
            <w:vMerge w:val="restart"/>
          </w:tcPr>
          <w:p w:rsidR="00E43147" w:rsidRPr="001C4697" w:rsidRDefault="00E43147" w:rsidP="00791E23">
            <w:pPr>
              <w:spacing w:line="480" w:lineRule="auto"/>
              <w:rPr>
                <w:rFonts w:ascii="Arial" w:hAnsi="Arial" w:cs="Arial"/>
                <w:sz w:val="20"/>
                <w:szCs w:val="20"/>
              </w:rPr>
            </w:pPr>
            <w:r w:rsidRPr="001C4697">
              <w:rPr>
                <w:rFonts w:ascii="Arial" w:hAnsi="Arial" w:cs="Arial"/>
                <w:sz w:val="20"/>
                <w:szCs w:val="20"/>
              </w:rPr>
              <w:t>Nature of paid job, n (%)</w:t>
            </w:r>
          </w:p>
        </w:tc>
        <w:tc>
          <w:tcPr>
            <w:tcW w:w="1479"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Part-time</w:t>
            </w:r>
          </w:p>
        </w:tc>
        <w:tc>
          <w:tcPr>
            <w:tcW w:w="1047"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88 (48.1%)</w:t>
            </w:r>
          </w:p>
        </w:tc>
        <w:tc>
          <w:tcPr>
            <w:tcW w:w="995"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59 (50.9%)</w:t>
            </w:r>
          </w:p>
        </w:tc>
      </w:tr>
      <w:tr w:rsidR="00E43147" w:rsidRPr="001C4697" w:rsidTr="00791E23">
        <w:tc>
          <w:tcPr>
            <w:cnfStyle w:val="001000000000" w:firstRow="0" w:lastRow="0" w:firstColumn="1" w:lastColumn="0" w:oddVBand="0" w:evenVBand="0" w:oddHBand="0" w:evenHBand="0" w:firstRowFirstColumn="0" w:firstRowLastColumn="0" w:lastRowFirstColumn="0" w:lastRowLastColumn="0"/>
            <w:tcW w:w="1479" w:type="pct"/>
            <w:vMerge/>
          </w:tcPr>
          <w:p w:rsidR="00E43147" w:rsidRPr="001C4697" w:rsidRDefault="00E43147" w:rsidP="00791E23">
            <w:pPr>
              <w:spacing w:line="480" w:lineRule="auto"/>
              <w:rPr>
                <w:rFonts w:ascii="Arial" w:hAnsi="Arial" w:cs="Arial"/>
                <w:sz w:val="20"/>
                <w:szCs w:val="20"/>
              </w:rPr>
            </w:pPr>
          </w:p>
        </w:tc>
        <w:tc>
          <w:tcPr>
            <w:tcW w:w="1479"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Full-time</w:t>
            </w:r>
          </w:p>
        </w:tc>
        <w:tc>
          <w:tcPr>
            <w:tcW w:w="1047"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95 (51.9%)</w:t>
            </w:r>
          </w:p>
        </w:tc>
        <w:tc>
          <w:tcPr>
            <w:tcW w:w="995"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57 (49.1%)</w:t>
            </w:r>
          </w:p>
        </w:tc>
      </w:tr>
      <w:tr w:rsidR="00E43147" w:rsidRPr="001C4697" w:rsidTr="0079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pct"/>
            <w:vMerge/>
          </w:tcPr>
          <w:p w:rsidR="00E43147" w:rsidRPr="001C4697" w:rsidRDefault="00E43147" w:rsidP="00791E23">
            <w:pPr>
              <w:spacing w:line="480" w:lineRule="auto"/>
              <w:rPr>
                <w:rFonts w:ascii="Arial" w:hAnsi="Arial" w:cs="Arial"/>
                <w:sz w:val="20"/>
                <w:szCs w:val="20"/>
              </w:rPr>
            </w:pPr>
          </w:p>
        </w:tc>
        <w:tc>
          <w:tcPr>
            <w:tcW w:w="1479"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Self-employed</w:t>
            </w:r>
          </w:p>
        </w:tc>
        <w:tc>
          <w:tcPr>
            <w:tcW w:w="1047"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30 (18.9%)</w:t>
            </w:r>
          </w:p>
        </w:tc>
        <w:tc>
          <w:tcPr>
            <w:tcW w:w="995"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21 (20.4%)</w:t>
            </w:r>
          </w:p>
        </w:tc>
      </w:tr>
      <w:tr w:rsidR="00E43147" w:rsidRPr="001C4697" w:rsidTr="00791E23">
        <w:tc>
          <w:tcPr>
            <w:cnfStyle w:val="001000000000" w:firstRow="0" w:lastRow="0" w:firstColumn="1" w:lastColumn="0" w:oddVBand="0" w:evenVBand="0" w:oddHBand="0" w:evenHBand="0" w:firstRowFirstColumn="0" w:firstRowLastColumn="0" w:lastRowFirstColumn="0" w:lastRowLastColumn="0"/>
            <w:tcW w:w="1479" w:type="pct"/>
            <w:vMerge/>
          </w:tcPr>
          <w:p w:rsidR="00E43147" w:rsidRPr="001C4697" w:rsidRDefault="00E43147" w:rsidP="00791E23">
            <w:pPr>
              <w:spacing w:line="480" w:lineRule="auto"/>
              <w:rPr>
                <w:rFonts w:ascii="Arial" w:hAnsi="Arial" w:cs="Arial"/>
                <w:sz w:val="20"/>
                <w:szCs w:val="20"/>
              </w:rPr>
            </w:pPr>
          </w:p>
        </w:tc>
        <w:tc>
          <w:tcPr>
            <w:tcW w:w="1479"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Employee</w:t>
            </w:r>
          </w:p>
        </w:tc>
        <w:tc>
          <w:tcPr>
            <w:tcW w:w="1047"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129 (81.1%)</w:t>
            </w:r>
          </w:p>
        </w:tc>
        <w:tc>
          <w:tcPr>
            <w:tcW w:w="995"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82 (79.6%)</w:t>
            </w:r>
          </w:p>
        </w:tc>
      </w:tr>
      <w:tr w:rsidR="00E43147" w:rsidRPr="001C4697" w:rsidTr="0079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pct"/>
            <w:vMerge w:val="restart"/>
          </w:tcPr>
          <w:p w:rsidR="00E43147" w:rsidRPr="001C4697" w:rsidRDefault="00E43147" w:rsidP="00791E23">
            <w:pPr>
              <w:spacing w:line="480" w:lineRule="auto"/>
              <w:rPr>
                <w:rFonts w:ascii="Arial" w:hAnsi="Arial" w:cs="Arial"/>
                <w:sz w:val="20"/>
                <w:szCs w:val="20"/>
              </w:rPr>
            </w:pPr>
            <w:r w:rsidRPr="001C4697">
              <w:rPr>
                <w:rFonts w:ascii="Arial" w:hAnsi="Arial" w:cs="Arial"/>
                <w:sz w:val="20"/>
                <w:szCs w:val="20"/>
              </w:rPr>
              <w:t>No paid job at present, n (%) *</w:t>
            </w:r>
          </w:p>
        </w:tc>
        <w:tc>
          <w:tcPr>
            <w:tcW w:w="1479"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Retired</w:t>
            </w:r>
          </w:p>
        </w:tc>
        <w:tc>
          <w:tcPr>
            <w:tcW w:w="1047"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45 (26.2%)</w:t>
            </w:r>
          </w:p>
        </w:tc>
        <w:tc>
          <w:tcPr>
            <w:tcW w:w="995"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32 (28.1%)</w:t>
            </w:r>
          </w:p>
        </w:tc>
      </w:tr>
      <w:tr w:rsidR="00E43147" w:rsidRPr="001C4697" w:rsidTr="00791E23">
        <w:tc>
          <w:tcPr>
            <w:cnfStyle w:val="001000000000" w:firstRow="0" w:lastRow="0" w:firstColumn="1" w:lastColumn="0" w:oddVBand="0" w:evenVBand="0" w:oddHBand="0" w:evenHBand="0" w:firstRowFirstColumn="0" w:firstRowLastColumn="0" w:lastRowFirstColumn="0" w:lastRowLastColumn="0"/>
            <w:tcW w:w="1479" w:type="pct"/>
            <w:vMerge/>
          </w:tcPr>
          <w:p w:rsidR="00E43147" w:rsidRPr="001C4697" w:rsidRDefault="00E43147" w:rsidP="00791E23">
            <w:pPr>
              <w:spacing w:line="480" w:lineRule="auto"/>
              <w:rPr>
                <w:rFonts w:ascii="Arial" w:hAnsi="Arial" w:cs="Arial"/>
                <w:sz w:val="20"/>
                <w:szCs w:val="20"/>
              </w:rPr>
            </w:pPr>
          </w:p>
        </w:tc>
        <w:tc>
          <w:tcPr>
            <w:tcW w:w="1479"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Unemployed and seeking work</w:t>
            </w:r>
          </w:p>
        </w:tc>
        <w:tc>
          <w:tcPr>
            <w:tcW w:w="1047"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15 (8.7%)</w:t>
            </w:r>
          </w:p>
        </w:tc>
        <w:tc>
          <w:tcPr>
            <w:tcW w:w="995"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11 (9.6%)</w:t>
            </w:r>
          </w:p>
        </w:tc>
      </w:tr>
      <w:tr w:rsidR="00E43147" w:rsidRPr="001C4697" w:rsidTr="0079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pct"/>
            <w:vMerge/>
          </w:tcPr>
          <w:p w:rsidR="00E43147" w:rsidRPr="001C4697" w:rsidRDefault="00E43147" w:rsidP="00791E23">
            <w:pPr>
              <w:spacing w:line="480" w:lineRule="auto"/>
              <w:rPr>
                <w:rFonts w:ascii="Arial" w:hAnsi="Arial" w:cs="Arial"/>
                <w:sz w:val="20"/>
                <w:szCs w:val="20"/>
              </w:rPr>
            </w:pPr>
          </w:p>
        </w:tc>
        <w:tc>
          <w:tcPr>
            <w:tcW w:w="1479"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Early retired due to sickness or disability</w:t>
            </w:r>
          </w:p>
        </w:tc>
        <w:tc>
          <w:tcPr>
            <w:tcW w:w="1047"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79 (45.9%)</w:t>
            </w:r>
          </w:p>
        </w:tc>
        <w:tc>
          <w:tcPr>
            <w:tcW w:w="995"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50 (43.9%)</w:t>
            </w:r>
          </w:p>
        </w:tc>
      </w:tr>
      <w:tr w:rsidR="00E43147" w:rsidRPr="001C4697" w:rsidTr="00791E23">
        <w:tc>
          <w:tcPr>
            <w:cnfStyle w:val="001000000000" w:firstRow="0" w:lastRow="0" w:firstColumn="1" w:lastColumn="0" w:oddVBand="0" w:evenVBand="0" w:oddHBand="0" w:evenHBand="0" w:firstRowFirstColumn="0" w:firstRowLastColumn="0" w:lastRowFirstColumn="0" w:lastRowLastColumn="0"/>
            <w:tcW w:w="1479" w:type="pct"/>
            <w:vMerge/>
          </w:tcPr>
          <w:p w:rsidR="00E43147" w:rsidRPr="001C4697" w:rsidRDefault="00E43147" w:rsidP="00791E23">
            <w:pPr>
              <w:spacing w:line="480" w:lineRule="auto"/>
              <w:rPr>
                <w:rFonts w:ascii="Arial" w:hAnsi="Arial" w:cs="Arial"/>
                <w:sz w:val="20"/>
                <w:szCs w:val="20"/>
              </w:rPr>
            </w:pPr>
          </w:p>
        </w:tc>
        <w:tc>
          <w:tcPr>
            <w:tcW w:w="1479"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Full time student</w:t>
            </w:r>
          </w:p>
        </w:tc>
        <w:tc>
          <w:tcPr>
            <w:tcW w:w="1047"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13 (7.6%)</w:t>
            </w:r>
          </w:p>
        </w:tc>
        <w:tc>
          <w:tcPr>
            <w:tcW w:w="995"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7 (6.1%)</w:t>
            </w:r>
          </w:p>
        </w:tc>
      </w:tr>
      <w:tr w:rsidR="00E43147" w:rsidRPr="001C4697" w:rsidTr="0079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pct"/>
            <w:vMerge/>
          </w:tcPr>
          <w:p w:rsidR="00E43147" w:rsidRPr="001C4697" w:rsidRDefault="00E43147" w:rsidP="00791E23">
            <w:pPr>
              <w:spacing w:line="480" w:lineRule="auto"/>
              <w:rPr>
                <w:rFonts w:ascii="Arial" w:hAnsi="Arial" w:cs="Arial"/>
                <w:sz w:val="20"/>
                <w:szCs w:val="20"/>
              </w:rPr>
            </w:pPr>
          </w:p>
        </w:tc>
        <w:tc>
          <w:tcPr>
            <w:tcW w:w="1479"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Doing voluntary work</w:t>
            </w:r>
          </w:p>
        </w:tc>
        <w:tc>
          <w:tcPr>
            <w:tcW w:w="1047"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22 (12.8%)</w:t>
            </w:r>
          </w:p>
        </w:tc>
        <w:tc>
          <w:tcPr>
            <w:tcW w:w="995"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15 (13.2%)</w:t>
            </w:r>
          </w:p>
        </w:tc>
      </w:tr>
      <w:tr w:rsidR="00E43147" w:rsidRPr="001C4697" w:rsidTr="00791E23">
        <w:tc>
          <w:tcPr>
            <w:cnfStyle w:val="001000000000" w:firstRow="0" w:lastRow="0" w:firstColumn="1" w:lastColumn="0" w:oddVBand="0" w:evenVBand="0" w:oddHBand="0" w:evenHBand="0" w:firstRowFirstColumn="0" w:firstRowLastColumn="0" w:lastRowFirstColumn="0" w:lastRowLastColumn="0"/>
            <w:tcW w:w="1479" w:type="pct"/>
            <w:vMerge/>
          </w:tcPr>
          <w:p w:rsidR="00E43147" w:rsidRPr="001C4697" w:rsidRDefault="00E43147" w:rsidP="00791E23">
            <w:pPr>
              <w:spacing w:line="480" w:lineRule="auto"/>
              <w:rPr>
                <w:rFonts w:ascii="Arial" w:hAnsi="Arial" w:cs="Arial"/>
                <w:sz w:val="20"/>
                <w:szCs w:val="20"/>
              </w:rPr>
            </w:pPr>
          </w:p>
        </w:tc>
        <w:tc>
          <w:tcPr>
            <w:tcW w:w="1479"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At home doing housework</w:t>
            </w:r>
          </w:p>
        </w:tc>
        <w:tc>
          <w:tcPr>
            <w:tcW w:w="1047" w:type="pct"/>
          </w:tcPr>
          <w:p w:rsidR="00E43147" w:rsidRPr="001C4697" w:rsidRDefault="00E43147" w:rsidP="00791E23">
            <w:pPr>
              <w:tabs>
                <w:tab w:val="center" w:pos="836"/>
              </w:tabs>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29 (16.9%)</w:t>
            </w:r>
            <w:r w:rsidRPr="001C4697">
              <w:rPr>
                <w:rFonts w:ascii="Arial" w:hAnsi="Arial" w:cs="Arial"/>
                <w:sz w:val="20"/>
                <w:szCs w:val="20"/>
              </w:rPr>
              <w:tab/>
            </w:r>
          </w:p>
        </w:tc>
        <w:tc>
          <w:tcPr>
            <w:tcW w:w="995"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22 (19.3%)</w:t>
            </w:r>
          </w:p>
        </w:tc>
      </w:tr>
      <w:tr w:rsidR="00E43147" w:rsidRPr="001C4697" w:rsidTr="0079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pct"/>
            <w:vMerge w:val="restart"/>
          </w:tcPr>
          <w:p w:rsidR="00E43147" w:rsidRPr="001C4697" w:rsidRDefault="00E43147" w:rsidP="00791E23">
            <w:pPr>
              <w:spacing w:line="480" w:lineRule="auto"/>
              <w:rPr>
                <w:rFonts w:ascii="Arial" w:hAnsi="Arial" w:cs="Arial"/>
                <w:sz w:val="20"/>
                <w:szCs w:val="20"/>
              </w:rPr>
            </w:pPr>
            <w:r w:rsidRPr="001C4697">
              <w:rPr>
                <w:rFonts w:ascii="Arial" w:hAnsi="Arial" w:cs="Arial"/>
                <w:sz w:val="20"/>
                <w:szCs w:val="20"/>
              </w:rPr>
              <w:t>Ethnicity, n (%)</w:t>
            </w:r>
          </w:p>
        </w:tc>
        <w:tc>
          <w:tcPr>
            <w:tcW w:w="1479"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White</w:t>
            </w:r>
          </w:p>
        </w:tc>
        <w:tc>
          <w:tcPr>
            <w:tcW w:w="1047"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344 (95.3%)</w:t>
            </w:r>
          </w:p>
        </w:tc>
        <w:tc>
          <w:tcPr>
            <w:tcW w:w="995"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216 (93.5%)</w:t>
            </w:r>
          </w:p>
        </w:tc>
      </w:tr>
      <w:tr w:rsidR="00E43147" w:rsidRPr="001C4697" w:rsidTr="00791E23">
        <w:tc>
          <w:tcPr>
            <w:cnfStyle w:val="001000000000" w:firstRow="0" w:lastRow="0" w:firstColumn="1" w:lastColumn="0" w:oddVBand="0" w:evenVBand="0" w:oddHBand="0" w:evenHBand="0" w:firstRowFirstColumn="0" w:firstRowLastColumn="0" w:lastRowFirstColumn="0" w:lastRowLastColumn="0"/>
            <w:tcW w:w="1479" w:type="pct"/>
            <w:vMerge/>
          </w:tcPr>
          <w:p w:rsidR="00E43147" w:rsidRPr="001C4697" w:rsidRDefault="00E43147" w:rsidP="00791E23">
            <w:pPr>
              <w:spacing w:line="480" w:lineRule="auto"/>
              <w:rPr>
                <w:rFonts w:ascii="Arial" w:hAnsi="Arial" w:cs="Arial"/>
                <w:sz w:val="20"/>
                <w:szCs w:val="20"/>
              </w:rPr>
            </w:pPr>
          </w:p>
        </w:tc>
        <w:tc>
          <w:tcPr>
            <w:tcW w:w="1479"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Mixed</w:t>
            </w:r>
          </w:p>
        </w:tc>
        <w:tc>
          <w:tcPr>
            <w:tcW w:w="1047"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6 (1.7%)</w:t>
            </w:r>
          </w:p>
        </w:tc>
        <w:tc>
          <w:tcPr>
            <w:tcW w:w="995"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6 (2.6%)</w:t>
            </w:r>
          </w:p>
        </w:tc>
      </w:tr>
      <w:tr w:rsidR="00E43147" w:rsidRPr="001C4697" w:rsidTr="0079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pct"/>
            <w:vMerge/>
          </w:tcPr>
          <w:p w:rsidR="00E43147" w:rsidRPr="001C4697" w:rsidRDefault="00E43147" w:rsidP="00791E23">
            <w:pPr>
              <w:spacing w:line="480" w:lineRule="auto"/>
              <w:rPr>
                <w:rFonts w:ascii="Arial" w:hAnsi="Arial" w:cs="Arial"/>
                <w:sz w:val="20"/>
                <w:szCs w:val="20"/>
              </w:rPr>
            </w:pPr>
          </w:p>
        </w:tc>
        <w:tc>
          <w:tcPr>
            <w:tcW w:w="1479"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Asian</w:t>
            </w:r>
          </w:p>
        </w:tc>
        <w:tc>
          <w:tcPr>
            <w:tcW w:w="1047"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2 (0.6%)</w:t>
            </w:r>
          </w:p>
        </w:tc>
        <w:tc>
          <w:tcPr>
            <w:tcW w:w="995"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2 (0.9%)</w:t>
            </w:r>
          </w:p>
        </w:tc>
      </w:tr>
      <w:tr w:rsidR="00E43147" w:rsidRPr="001C4697" w:rsidTr="00791E23">
        <w:tc>
          <w:tcPr>
            <w:cnfStyle w:val="001000000000" w:firstRow="0" w:lastRow="0" w:firstColumn="1" w:lastColumn="0" w:oddVBand="0" w:evenVBand="0" w:oddHBand="0" w:evenHBand="0" w:firstRowFirstColumn="0" w:firstRowLastColumn="0" w:lastRowFirstColumn="0" w:lastRowLastColumn="0"/>
            <w:tcW w:w="1479" w:type="pct"/>
            <w:vMerge/>
          </w:tcPr>
          <w:p w:rsidR="00E43147" w:rsidRPr="001C4697" w:rsidRDefault="00E43147" w:rsidP="00791E23">
            <w:pPr>
              <w:spacing w:line="480" w:lineRule="auto"/>
              <w:rPr>
                <w:rFonts w:ascii="Arial" w:hAnsi="Arial" w:cs="Arial"/>
                <w:sz w:val="20"/>
                <w:szCs w:val="20"/>
              </w:rPr>
            </w:pPr>
          </w:p>
        </w:tc>
        <w:tc>
          <w:tcPr>
            <w:tcW w:w="1479"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Black</w:t>
            </w:r>
          </w:p>
        </w:tc>
        <w:tc>
          <w:tcPr>
            <w:tcW w:w="1047"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2 (0.6%)</w:t>
            </w:r>
          </w:p>
        </w:tc>
        <w:tc>
          <w:tcPr>
            <w:tcW w:w="995"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2 (0.9%)</w:t>
            </w:r>
          </w:p>
        </w:tc>
      </w:tr>
      <w:tr w:rsidR="00E43147" w:rsidRPr="001C4697" w:rsidTr="0079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pct"/>
            <w:vMerge/>
          </w:tcPr>
          <w:p w:rsidR="00E43147" w:rsidRPr="001C4697" w:rsidRDefault="00E43147" w:rsidP="00791E23">
            <w:pPr>
              <w:spacing w:line="480" w:lineRule="auto"/>
              <w:rPr>
                <w:rFonts w:ascii="Arial" w:hAnsi="Arial" w:cs="Arial"/>
                <w:sz w:val="20"/>
                <w:szCs w:val="20"/>
              </w:rPr>
            </w:pPr>
          </w:p>
        </w:tc>
        <w:tc>
          <w:tcPr>
            <w:tcW w:w="1479"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Chinese</w:t>
            </w:r>
          </w:p>
        </w:tc>
        <w:tc>
          <w:tcPr>
            <w:tcW w:w="1047"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1 (0.3%)</w:t>
            </w:r>
          </w:p>
        </w:tc>
        <w:tc>
          <w:tcPr>
            <w:tcW w:w="995"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1 (0.4%)</w:t>
            </w:r>
          </w:p>
        </w:tc>
      </w:tr>
      <w:tr w:rsidR="00E43147" w:rsidRPr="001C4697" w:rsidTr="00791E23">
        <w:tc>
          <w:tcPr>
            <w:cnfStyle w:val="001000000000" w:firstRow="0" w:lastRow="0" w:firstColumn="1" w:lastColumn="0" w:oddVBand="0" w:evenVBand="0" w:oddHBand="0" w:evenHBand="0" w:firstRowFirstColumn="0" w:firstRowLastColumn="0" w:lastRowFirstColumn="0" w:lastRowLastColumn="0"/>
            <w:tcW w:w="1479" w:type="pct"/>
            <w:vMerge/>
          </w:tcPr>
          <w:p w:rsidR="00E43147" w:rsidRPr="001C4697" w:rsidRDefault="00E43147" w:rsidP="00791E23">
            <w:pPr>
              <w:spacing w:line="480" w:lineRule="auto"/>
              <w:rPr>
                <w:rFonts w:ascii="Arial" w:hAnsi="Arial" w:cs="Arial"/>
                <w:sz w:val="20"/>
                <w:szCs w:val="20"/>
              </w:rPr>
            </w:pPr>
          </w:p>
        </w:tc>
        <w:tc>
          <w:tcPr>
            <w:tcW w:w="1479"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Other </w:t>
            </w:r>
          </w:p>
        </w:tc>
        <w:tc>
          <w:tcPr>
            <w:tcW w:w="1047"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6 (1.7%)</w:t>
            </w:r>
          </w:p>
        </w:tc>
        <w:tc>
          <w:tcPr>
            <w:tcW w:w="995"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4 (1.7%)</w:t>
            </w:r>
          </w:p>
        </w:tc>
      </w:tr>
      <w:tr w:rsidR="00E43147" w:rsidRPr="001C4697" w:rsidTr="0079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8" w:type="pct"/>
            <w:gridSpan w:val="2"/>
          </w:tcPr>
          <w:p w:rsidR="00E43147" w:rsidRPr="001C4697" w:rsidRDefault="00E43147" w:rsidP="00791E23">
            <w:pPr>
              <w:spacing w:line="480" w:lineRule="auto"/>
              <w:rPr>
                <w:rFonts w:ascii="Arial" w:hAnsi="Arial" w:cs="Arial"/>
                <w:sz w:val="20"/>
                <w:szCs w:val="20"/>
              </w:rPr>
            </w:pPr>
            <w:r w:rsidRPr="001C4697">
              <w:rPr>
                <w:rFonts w:ascii="Arial" w:hAnsi="Arial" w:cs="Arial"/>
                <w:sz w:val="20"/>
                <w:szCs w:val="20"/>
              </w:rPr>
              <w:t xml:space="preserve">Baseline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score, mean </w:t>
            </w:r>
            <w:r w:rsidRPr="001C4697">
              <w:rPr>
                <w:rFonts w:ascii="Arial" w:hAnsi="Arial" w:cs="Arial"/>
                <w:sz w:val="20"/>
                <w:szCs w:val="20"/>
              </w:rPr>
              <w:sym w:font="Symbol" w:char="F0B1"/>
            </w:r>
            <w:r w:rsidRPr="001C4697">
              <w:rPr>
                <w:rFonts w:ascii="Arial" w:hAnsi="Arial" w:cs="Arial"/>
                <w:sz w:val="20"/>
                <w:szCs w:val="20"/>
              </w:rPr>
              <w:t xml:space="preserve"> SD</w:t>
            </w:r>
          </w:p>
        </w:tc>
        <w:tc>
          <w:tcPr>
            <w:tcW w:w="1047"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228.8 </w:t>
            </w:r>
            <w:r w:rsidRPr="001C4697">
              <w:rPr>
                <w:rFonts w:ascii="Arial" w:hAnsi="Arial" w:cs="Arial"/>
                <w:sz w:val="20"/>
                <w:szCs w:val="20"/>
              </w:rPr>
              <w:sym w:font="Symbol" w:char="F0B1"/>
            </w:r>
            <w:r w:rsidRPr="001C4697">
              <w:rPr>
                <w:rFonts w:ascii="Arial" w:hAnsi="Arial" w:cs="Arial"/>
                <w:sz w:val="20"/>
                <w:szCs w:val="20"/>
              </w:rPr>
              <w:t xml:space="preserve"> 53.8</w:t>
            </w:r>
          </w:p>
        </w:tc>
        <w:tc>
          <w:tcPr>
            <w:tcW w:w="995"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223.6 </w:t>
            </w:r>
            <w:r w:rsidRPr="001C4697">
              <w:rPr>
                <w:rFonts w:ascii="Arial" w:hAnsi="Arial" w:cs="Arial"/>
                <w:sz w:val="20"/>
                <w:szCs w:val="20"/>
              </w:rPr>
              <w:sym w:font="Symbol" w:char="F0B1"/>
            </w:r>
            <w:r w:rsidRPr="001C4697">
              <w:rPr>
                <w:rFonts w:ascii="Arial" w:hAnsi="Arial" w:cs="Arial"/>
                <w:sz w:val="20"/>
                <w:szCs w:val="20"/>
              </w:rPr>
              <w:t xml:space="preserve"> 54.0</w:t>
            </w:r>
          </w:p>
        </w:tc>
      </w:tr>
      <w:tr w:rsidR="00E43147" w:rsidRPr="001C4697" w:rsidTr="00791E23">
        <w:tc>
          <w:tcPr>
            <w:cnfStyle w:val="001000000000" w:firstRow="0" w:lastRow="0" w:firstColumn="1" w:lastColumn="0" w:oddVBand="0" w:evenVBand="0" w:oddHBand="0" w:evenHBand="0" w:firstRowFirstColumn="0" w:firstRowLastColumn="0" w:lastRowFirstColumn="0" w:lastRowLastColumn="0"/>
            <w:tcW w:w="2958" w:type="pct"/>
            <w:gridSpan w:val="2"/>
          </w:tcPr>
          <w:p w:rsidR="00E43147" w:rsidRPr="001C4697" w:rsidRDefault="00E43147" w:rsidP="00791E23">
            <w:pPr>
              <w:spacing w:line="480" w:lineRule="auto"/>
              <w:rPr>
                <w:rFonts w:ascii="Arial" w:hAnsi="Arial" w:cs="Arial"/>
                <w:sz w:val="20"/>
                <w:szCs w:val="20"/>
              </w:rPr>
            </w:pPr>
            <w:r w:rsidRPr="001C4697">
              <w:rPr>
                <w:rFonts w:ascii="Arial" w:hAnsi="Arial" w:cs="Arial"/>
                <w:sz w:val="20"/>
                <w:szCs w:val="20"/>
              </w:rPr>
              <w:t xml:space="preserve">Baseline </w:t>
            </w:r>
            <w:proofErr w:type="spellStart"/>
            <w:r w:rsidRPr="001C4697">
              <w:rPr>
                <w:rFonts w:ascii="Arial" w:hAnsi="Arial" w:cs="Arial"/>
                <w:sz w:val="20"/>
                <w:szCs w:val="20"/>
              </w:rPr>
              <w:t>BIoH</w:t>
            </w:r>
            <w:proofErr w:type="spellEnd"/>
            <w:r w:rsidRPr="001C4697">
              <w:rPr>
                <w:rFonts w:ascii="Arial" w:hAnsi="Arial" w:cs="Arial"/>
                <w:sz w:val="20"/>
                <w:szCs w:val="20"/>
              </w:rPr>
              <w:t xml:space="preserve"> score, range</w:t>
            </w:r>
          </w:p>
        </w:tc>
        <w:tc>
          <w:tcPr>
            <w:tcW w:w="1047"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42-326</w:t>
            </w:r>
          </w:p>
        </w:tc>
        <w:tc>
          <w:tcPr>
            <w:tcW w:w="995"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42-325</w:t>
            </w:r>
          </w:p>
        </w:tc>
      </w:tr>
      <w:tr w:rsidR="00E43147" w:rsidRPr="001C4697" w:rsidTr="0079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8" w:type="pct"/>
            <w:gridSpan w:val="2"/>
          </w:tcPr>
          <w:p w:rsidR="00E43147" w:rsidRPr="001C4697" w:rsidRDefault="00E43147" w:rsidP="00791E23">
            <w:pPr>
              <w:spacing w:line="480" w:lineRule="auto"/>
              <w:rPr>
                <w:rFonts w:ascii="Arial" w:hAnsi="Arial" w:cs="Arial"/>
                <w:sz w:val="20"/>
                <w:szCs w:val="20"/>
              </w:rPr>
            </w:pPr>
            <w:r w:rsidRPr="001C4697">
              <w:rPr>
                <w:rFonts w:ascii="Arial" w:hAnsi="Arial" w:cs="Arial"/>
                <w:sz w:val="20"/>
                <w:szCs w:val="20"/>
              </w:rPr>
              <w:t xml:space="preserve">Baseline number of body pain areas, mean </w:t>
            </w:r>
            <w:r w:rsidRPr="001C4697">
              <w:rPr>
                <w:rFonts w:ascii="Arial" w:hAnsi="Arial" w:cs="Arial"/>
                <w:sz w:val="20"/>
                <w:szCs w:val="20"/>
              </w:rPr>
              <w:sym w:font="Symbol" w:char="F0B1"/>
            </w:r>
            <w:r w:rsidRPr="001C4697">
              <w:rPr>
                <w:rFonts w:ascii="Arial" w:hAnsi="Arial" w:cs="Arial"/>
                <w:sz w:val="20"/>
                <w:szCs w:val="20"/>
              </w:rPr>
              <w:t xml:space="preserve"> SD</w:t>
            </w:r>
          </w:p>
        </w:tc>
        <w:tc>
          <w:tcPr>
            <w:tcW w:w="1047"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8.0 </w:t>
            </w:r>
            <w:r w:rsidRPr="001C4697">
              <w:rPr>
                <w:rFonts w:ascii="Arial" w:hAnsi="Arial" w:cs="Arial"/>
                <w:sz w:val="20"/>
                <w:szCs w:val="20"/>
              </w:rPr>
              <w:sym w:font="Symbol" w:char="F0B1"/>
            </w:r>
            <w:r w:rsidRPr="001C4697">
              <w:rPr>
                <w:rFonts w:ascii="Arial" w:hAnsi="Arial" w:cs="Arial"/>
                <w:sz w:val="20"/>
                <w:szCs w:val="20"/>
              </w:rPr>
              <w:t xml:space="preserve"> 2.1</w:t>
            </w:r>
          </w:p>
        </w:tc>
        <w:tc>
          <w:tcPr>
            <w:tcW w:w="995"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7.8 </w:t>
            </w:r>
            <w:r w:rsidRPr="001C4697">
              <w:rPr>
                <w:rFonts w:ascii="Arial" w:hAnsi="Arial" w:cs="Arial"/>
                <w:sz w:val="20"/>
                <w:szCs w:val="20"/>
              </w:rPr>
              <w:sym w:font="Symbol" w:char="F0B1"/>
            </w:r>
            <w:r w:rsidRPr="001C4697">
              <w:rPr>
                <w:rFonts w:ascii="Arial" w:hAnsi="Arial" w:cs="Arial"/>
                <w:sz w:val="20"/>
                <w:szCs w:val="20"/>
              </w:rPr>
              <w:t xml:space="preserve"> 2.1</w:t>
            </w:r>
          </w:p>
        </w:tc>
      </w:tr>
      <w:tr w:rsidR="00E43147" w:rsidRPr="001C4697" w:rsidTr="00791E23">
        <w:tc>
          <w:tcPr>
            <w:cnfStyle w:val="001000000000" w:firstRow="0" w:lastRow="0" w:firstColumn="1" w:lastColumn="0" w:oddVBand="0" w:evenVBand="0" w:oddHBand="0" w:evenHBand="0" w:firstRowFirstColumn="0" w:firstRowLastColumn="0" w:lastRowFirstColumn="0" w:lastRowLastColumn="0"/>
            <w:tcW w:w="2958" w:type="pct"/>
            <w:gridSpan w:val="2"/>
          </w:tcPr>
          <w:p w:rsidR="00E43147" w:rsidRPr="001C4697" w:rsidRDefault="00E43147" w:rsidP="00791E23">
            <w:pPr>
              <w:spacing w:line="480" w:lineRule="auto"/>
              <w:rPr>
                <w:rFonts w:ascii="Arial" w:hAnsi="Arial" w:cs="Arial"/>
                <w:sz w:val="20"/>
                <w:szCs w:val="20"/>
              </w:rPr>
            </w:pPr>
            <w:r w:rsidRPr="001C4697">
              <w:rPr>
                <w:rFonts w:ascii="Arial" w:hAnsi="Arial" w:cs="Arial"/>
                <w:sz w:val="20"/>
                <w:szCs w:val="20"/>
              </w:rPr>
              <w:t>Baseline SF-36 PCS</w:t>
            </w:r>
          </w:p>
        </w:tc>
        <w:tc>
          <w:tcPr>
            <w:tcW w:w="1047"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32.8 </w:t>
            </w:r>
            <w:r w:rsidRPr="001C4697">
              <w:rPr>
                <w:rFonts w:ascii="Arial" w:hAnsi="Arial" w:cs="Arial"/>
                <w:sz w:val="20"/>
                <w:szCs w:val="20"/>
              </w:rPr>
              <w:sym w:font="Symbol" w:char="F0B1"/>
            </w:r>
            <w:r w:rsidRPr="001C4697">
              <w:rPr>
                <w:rFonts w:ascii="Arial" w:hAnsi="Arial" w:cs="Arial"/>
                <w:sz w:val="20"/>
                <w:szCs w:val="20"/>
              </w:rPr>
              <w:t xml:space="preserve"> 8.9</w:t>
            </w:r>
          </w:p>
        </w:tc>
        <w:tc>
          <w:tcPr>
            <w:tcW w:w="995"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33.6 </w:t>
            </w:r>
            <w:r w:rsidRPr="001C4697">
              <w:rPr>
                <w:rFonts w:ascii="Arial" w:hAnsi="Arial" w:cs="Arial"/>
                <w:sz w:val="20"/>
                <w:szCs w:val="20"/>
              </w:rPr>
              <w:sym w:font="Symbol" w:char="F0B1"/>
            </w:r>
            <w:r w:rsidRPr="001C4697">
              <w:rPr>
                <w:rFonts w:ascii="Arial" w:hAnsi="Arial" w:cs="Arial"/>
                <w:sz w:val="20"/>
                <w:szCs w:val="20"/>
              </w:rPr>
              <w:t xml:space="preserve"> 9.2</w:t>
            </w:r>
          </w:p>
        </w:tc>
      </w:tr>
      <w:tr w:rsidR="00E43147" w:rsidRPr="001C4697" w:rsidTr="0079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8" w:type="pct"/>
            <w:gridSpan w:val="2"/>
          </w:tcPr>
          <w:p w:rsidR="00E43147" w:rsidRPr="001C4697" w:rsidRDefault="00E43147" w:rsidP="00791E23">
            <w:pPr>
              <w:spacing w:line="480" w:lineRule="auto"/>
              <w:rPr>
                <w:rFonts w:ascii="Arial" w:hAnsi="Arial" w:cs="Arial"/>
                <w:sz w:val="20"/>
                <w:szCs w:val="20"/>
              </w:rPr>
            </w:pPr>
            <w:r w:rsidRPr="001C4697">
              <w:rPr>
                <w:rFonts w:ascii="Arial" w:hAnsi="Arial" w:cs="Arial"/>
                <w:sz w:val="20"/>
                <w:szCs w:val="20"/>
              </w:rPr>
              <w:t>Baseline SF-36 MCS</w:t>
            </w:r>
          </w:p>
        </w:tc>
        <w:tc>
          <w:tcPr>
            <w:tcW w:w="1047"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41.7 </w:t>
            </w:r>
            <w:r w:rsidRPr="001C4697">
              <w:rPr>
                <w:rFonts w:ascii="Arial" w:hAnsi="Arial" w:cs="Arial"/>
                <w:sz w:val="20"/>
                <w:szCs w:val="20"/>
              </w:rPr>
              <w:sym w:font="Symbol" w:char="F0B1"/>
            </w:r>
            <w:r w:rsidRPr="001C4697">
              <w:rPr>
                <w:rFonts w:ascii="Arial" w:hAnsi="Arial" w:cs="Arial"/>
                <w:sz w:val="20"/>
                <w:szCs w:val="20"/>
              </w:rPr>
              <w:t xml:space="preserve"> 11.6</w:t>
            </w:r>
          </w:p>
        </w:tc>
        <w:tc>
          <w:tcPr>
            <w:tcW w:w="995"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41.9 </w:t>
            </w:r>
            <w:r w:rsidRPr="001C4697">
              <w:rPr>
                <w:rFonts w:ascii="Arial" w:hAnsi="Arial" w:cs="Arial"/>
                <w:sz w:val="20"/>
                <w:szCs w:val="20"/>
              </w:rPr>
              <w:sym w:font="Symbol" w:char="F0B1"/>
            </w:r>
            <w:r w:rsidRPr="001C4697">
              <w:rPr>
                <w:rFonts w:ascii="Arial" w:hAnsi="Arial" w:cs="Arial"/>
                <w:sz w:val="20"/>
                <w:szCs w:val="20"/>
              </w:rPr>
              <w:t xml:space="preserve"> 11.6</w:t>
            </w:r>
          </w:p>
        </w:tc>
      </w:tr>
    </w:tbl>
    <w:p w:rsidR="00E43147" w:rsidRPr="001C4697" w:rsidRDefault="00E43147" w:rsidP="00E43147">
      <w:pPr>
        <w:spacing w:after="0" w:line="480" w:lineRule="auto"/>
        <w:rPr>
          <w:rFonts w:ascii="Arial" w:hAnsi="Arial" w:cs="Arial"/>
          <w:sz w:val="20"/>
          <w:szCs w:val="20"/>
        </w:rPr>
      </w:pPr>
      <w:r w:rsidRPr="001C4697">
        <w:rPr>
          <w:rFonts w:ascii="Arial" w:hAnsi="Arial" w:cs="Arial"/>
          <w:b/>
          <w:sz w:val="20"/>
          <w:szCs w:val="20"/>
        </w:rPr>
        <w:t xml:space="preserve">Table 1. Characteristics and baseline outcome scores for all participants (n=363) and the subgroup of ‘stable’ participants (GRC score </w:t>
      </w:r>
      <w:proofErr w:type="gramStart"/>
      <w:r w:rsidRPr="001C4697">
        <w:rPr>
          <w:rFonts w:ascii="Arial" w:hAnsi="Arial" w:cs="Arial"/>
          <w:b/>
          <w:sz w:val="20"/>
          <w:szCs w:val="20"/>
        </w:rPr>
        <w:t>-1</w:t>
      </w:r>
      <w:proofErr w:type="gramEnd"/>
      <w:r w:rsidRPr="001C4697">
        <w:rPr>
          <w:rFonts w:ascii="Arial" w:hAnsi="Arial" w:cs="Arial"/>
          <w:b/>
          <w:sz w:val="20"/>
          <w:szCs w:val="20"/>
        </w:rPr>
        <w:t xml:space="preserve"> to +1, n=233).</w:t>
      </w:r>
      <w:r w:rsidRPr="001C4697">
        <w:rPr>
          <w:rFonts w:ascii="Arial" w:hAnsi="Arial" w:cs="Arial"/>
          <w:sz w:val="20"/>
          <w:szCs w:val="20"/>
        </w:rPr>
        <w:t xml:space="preserve"> </w:t>
      </w:r>
      <w:proofErr w:type="gramStart"/>
      <w:r w:rsidRPr="001C4697">
        <w:rPr>
          <w:rFonts w:ascii="Arial" w:hAnsi="Arial" w:cs="Arial"/>
          <w:sz w:val="20"/>
          <w:szCs w:val="20"/>
        </w:rPr>
        <w:t>%</w:t>
      </w:r>
      <w:proofErr w:type="gramEnd"/>
      <w:r w:rsidRPr="001C4697">
        <w:rPr>
          <w:rFonts w:ascii="Arial" w:hAnsi="Arial" w:cs="Arial"/>
          <w:sz w:val="20"/>
          <w:szCs w:val="20"/>
        </w:rPr>
        <w:t xml:space="preserve"> figures are expressed as a proportion of valid responses to each question. *Responders could choose more than one option so total </w:t>
      </w:r>
      <w:proofErr w:type="gramStart"/>
      <w:r w:rsidRPr="001C4697">
        <w:rPr>
          <w:rFonts w:ascii="Arial" w:hAnsi="Arial" w:cs="Arial"/>
          <w:sz w:val="20"/>
          <w:szCs w:val="20"/>
        </w:rPr>
        <w:t>%</w:t>
      </w:r>
      <w:proofErr w:type="gramEnd"/>
      <w:r w:rsidRPr="001C4697">
        <w:rPr>
          <w:rFonts w:ascii="Arial" w:hAnsi="Arial" w:cs="Arial"/>
          <w:sz w:val="20"/>
          <w:szCs w:val="20"/>
        </w:rPr>
        <w:t xml:space="preserve"> may be more than 100% (% is expressed as a proportion of those responding to this question, n=172 and n=114 respectively). MCS = mental component score; PCS = physical component score; SD = standard deviation; SF-36 = Short Form-36 questionnaire.</w:t>
      </w:r>
    </w:p>
    <w:p w:rsidR="00E43147" w:rsidRPr="001C4697" w:rsidRDefault="00E43147" w:rsidP="00E43147">
      <w:pPr>
        <w:rPr>
          <w:rFonts w:ascii="Arial" w:hAnsi="Arial" w:cs="Arial"/>
          <w:sz w:val="20"/>
          <w:szCs w:val="20"/>
        </w:rPr>
      </w:pPr>
    </w:p>
    <w:p w:rsidR="00E43147" w:rsidRPr="001C4697" w:rsidRDefault="00E43147" w:rsidP="00E43147">
      <w:pPr>
        <w:rPr>
          <w:sz w:val="20"/>
          <w:szCs w:val="20"/>
        </w:rPr>
      </w:pPr>
      <w:r w:rsidRPr="001C4697">
        <w:rPr>
          <w:sz w:val="20"/>
          <w:szCs w:val="20"/>
        </w:rPr>
        <w:br w:type="page"/>
      </w:r>
    </w:p>
    <w:tbl>
      <w:tblPr>
        <w:tblStyle w:val="PlainTable4"/>
        <w:tblW w:w="5000" w:type="pct"/>
        <w:tblLook w:val="04A0" w:firstRow="1" w:lastRow="0" w:firstColumn="1" w:lastColumn="0" w:noHBand="0" w:noVBand="1"/>
      </w:tblPr>
      <w:tblGrid>
        <w:gridCol w:w="2818"/>
        <w:gridCol w:w="4982"/>
        <w:gridCol w:w="1226"/>
      </w:tblGrid>
      <w:tr w:rsidR="00E43147" w:rsidRPr="001C4697" w:rsidTr="00791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pct"/>
            <w:gridSpan w:val="2"/>
          </w:tcPr>
          <w:p w:rsidR="00E43147" w:rsidRPr="001C4697" w:rsidRDefault="00E43147" w:rsidP="00791E23">
            <w:pPr>
              <w:rPr>
                <w:rFonts w:ascii="Arial" w:hAnsi="Arial" w:cs="Arial"/>
                <w:sz w:val="20"/>
                <w:szCs w:val="20"/>
              </w:rPr>
            </w:pPr>
            <w:r w:rsidRPr="001C4697">
              <w:rPr>
                <w:rFonts w:ascii="Arial" w:hAnsi="Arial" w:cs="Arial"/>
                <w:sz w:val="20"/>
                <w:szCs w:val="20"/>
              </w:rPr>
              <w:lastRenderedPageBreak/>
              <w:t>Criteria for diagnosis</w:t>
            </w:r>
          </w:p>
        </w:tc>
        <w:tc>
          <w:tcPr>
            <w:tcW w:w="679" w:type="pct"/>
          </w:tcPr>
          <w:p w:rsidR="00E43147" w:rsidRPr="001C4697" w:rsidRDefault="00E43147" w:rsidP="00791E2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‘Yes’ n </w:t>
            </w:r>
          </w:p>
          <w:p w:rsidR="00E43147" w:rsidRPr="001C4697" w:rsidRDefault="00E43147" w:rsidP="00791E2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w:t>
            </w:r>
          </w:p>
        </w:tc>
      </w:tr>
      <w:tr w:rsidR="00E43147" w:rsidRPr="001C4697" w:rsidTr="0079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pct"/>
            <w:vMerge w:val="restart"/>
          </w:tcPr>
          <w:p w:rsidR="00E43147" w:rsidRPr="001C4697" w:rsidRDefault="00E43147" w:rsidP="00791E23">
            <w:pPr>
              <w:rPr>
                <w:rFonts w:ascii="Arial" w:hAnsi="Arial" w:cs="Arial"/>
                <w:sz w:val="20"/>
                <w:szCs w:val="20"/>
              </w:rPr>
            </w:pPr>
            <w:r w:rsidRPr="001C4697">
              <w:rPr>
                <w:rFonts w:ascii="Arial" w:hAnsi="Arial" w:cs="Arial"/>
                <w:sz w:val="20"/>
                <w:szCs w:val="20"/>
              </w:rPr>
              <w:t>A. Hakim and Grahame (2003) criteria</w:t>
            </w:r>
          </w:p>
        </w:tc>
        <w:tc>
          <w:tcPr>
            <w:tcW w:w="2760" w:type="pct"/>
          </w:tcPr>
          <w:p w:rsidR="00E43147" w:rsidRPr="001C4697" w:rsidRDefault="00E43147" w:rsidP="00791E2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C4697">
              <w:rPr>
                <w:rFonts w:ascii="Arial" w:hAnsi="Arial" w:cs="Arial"/>
                <w:b/>
                <w:sz w:val="20"/>
                <w:szCs w:val="20"/>
              </w:rPr>
              <w:t>≥2/5 of the criteria</w:t>
            </w:r>
            <w:r w:rsidRPr="001C4697">
              <w:rPr>
                <w:rFonts w:ascii="Arial" w:eastAsia="Calibri" w:hAnsi="Arial" w:cs="Arial"/>
                <w:b/>
                <w:sz w:val="20"/>
                <w:szCs w:val="20"/>
                <w:lang w:eastAsia="zh-CN"/>
              </w:rPr>
              <w:t xml:space="preserve"> below</w:t>
            </w:r>
          </w:p>
        </w:tc>
        <w:tc>
          <w:tcPr>
            <w:tcW w:w="679" w:type="pct"/>
          </w:tcPr>
          <w:p w:rsidR="00E43147" w:rsidRPr="001C4697" w:rsidRDefault="00E43147" w:rsidP="00791E2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C4697">
              <w:rPr>
                <w:rFonts w:ascii="Arial" w:hAnsi="Arial" w:cs="Arial"/>
                <w:b/>
                <w:sz w:val="20"/>
                <w:szCs w:val="20"/>
              </w:rPr>
              <w:t xml:space="preserve">338/363 </w:t>
            </w:r>
          </w:p>
          <w:p w:rsidR="00E43147" w:rsidRPr="001C4697" w:rsidRDefault="00E43147" w:rsidP="00791E2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C4697">
              <w:rPr>
                <w:rFonts w:ascii="Arial" w:hAnsi="Arial" w:cs="Arial"/>
                <w:b/>
                <w:sz w:val="20"/>
                <w:szCs w:val="20"/>
              </w:rPr>
              <w:t>(93.1%)</w:t>
            </w:r>
          </w:p>
        </w:tc>
      </w:tr>
      <w:tr w:rsidR="00E43147" w:rsidRPr="001C4697" w:rsidTr="00791E23">
        <w:tc>
          <w:tcPr>
            <w:cnfStyle w:val="001000000000" w:firstRow="0" w:lastRow="0" w:firstColumn="1" w:lastColumn="0" w:oddVBand="0" w:evenVBand="0" w:oddHBand="0" w:evenHBand="0" w:firstRowFirstColumn="0" w:firstRowLastColumn="0" w:lastRowFirstColumn="0" w:lastRowLastColumn="0"/>
            <w:tcW w:w="1561" w:type="pct"/>
            <w:vMerge/>
          </w:tcPr>
          <w:p w:rsidR="00E43147" w:rsidRPr="001C4697" w:rsidRDefault="00E43147" w:rsidP="00791E23">
            <w:pPr>
              <w:rPr>
                <w:rFonts w:ascii="Arial" w:hAnsi="Arial" w:cs="Arial"/>
                <w:sz w:val="20"/>
                <w:szCs w:val="20"/>
              </w:rPr>
            </w:pPr>
          </w:p>
        </w:tc>
        <w:tc>
          <w:tcPr>
            <w:tcW w:w="2760" w:type="pct"/>
          </w:tcPr>
          <w:p w:rsidR="00E43147" w:rsidRPr="001C4697" w:rsidRDefault="00E43147" w:rsidP="00791E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eastAsia="Calibri" w:hAnsi="Arial" w:cs="Arial"/>
                <w:sz w:val="20"/>
                <w:szCs w:val="20"/>
                <w:lang w:eastAsia="zh-CN"/>
              </w:rPr>
              <w:t>1. Can you now (or could you ever) place your hands flat on the floor without bending your knees?</w:t>
            </w:r>
          </w:p>
        </w:tc>
        <w:tc>
          <w:tcPr>
            <w:tcW w:w="679" w:type="pct"/>
          </w:tcPr>
          <w:p w:rsidR="00E43147" w:rsidRPr="001C4697" w:rsidRDefault="00E43147" w:rsidP="00791E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312/361 </w:t>
            </w:r>
          </w:p>
          <w:p w:rsidR="00E43147" w:rsidRPr="001C4697" w:rsidRDefault="00E43147" w:rsidP="00791E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(86.4%)</w:t>
            </w:r>
          </w:p>
        </w:tc>
      </w:tr>
      <w:tr w:rsidR="00E43147" w:rsidRPr="001C4697" w:rsidTr="0079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pct"/>
            <w:vMerge/>
          </w:tcPr>
          <w:p w:rsidR="00E43147" w:rsidRPr="001C4697" w:rsidRDefault="00E43147" w:rsidP="00791E23">
            <w:pPr>
              <w:rPr>
                <w:rFonts w:ascii="Arial" w:hAnsi="Arial" w:cs="Arial"/>
                <w:sz w:val="20"/>
                <w:szCs w:val="20"/>
              </w:rPr>
            </w:pPr>
          </w:p>
        </w:tc>
        <w:tc>
          <w:tcPr>
            <w:tcW w:w="2760" w:type="pct"/>
          </w:tcPr>
          <w:p w:rsidR="00E43147" w:rsidRPr="001C4697" w:rsidRDefault="00E43147" w:rsidP="00791E2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eastAsia="Calibri" w:hAnsi="Arial" w:cs="Arial"/>
                <w:sz w:val="20"/>
                <w:szCs w:val="20"/>
                <w:lang w:eastAsia="zh-CN"/>
              </w:rPr>
              <w:t>2. Can you now (or could you ever) bend your thumb to touch your forearm?</w:t>
            </w:r>
          </w:p>
        </w:tc>
        <w:tc>
          <w:tcPr>
            <w:tcW w:w="679" w:type="pct"/>
          </w:tcPr>
          <w:p w:rsidR="00E43147" w:rsidRPr="001C4697" w:rsidRDefault="00E43147" w:rsidP="00791E2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280/363 </w:t>
            </w:r>
          </w:p>
          <w:p w:rsidR="00E43147" w:rsidRPr="001C4697" w:rsidRDefault="00E43147" w:rsidP="00791E2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(77.1%)</w:t>
            </w:r>
          </w:p>
        </w:tc>
      </w:tr>
      <w:tr w:rsidR="00E43147" w:rsidRPr="001C4697" w:rsidTr="00791E23">
        <w:tc>
          <w:tcPr>
            <w:cnfStyle w:val="001000000000" w:firstRow="0" w:lastRow="0" w:firstColumn="1" w:lastColumn="0" w:oddVBand="0" w:evenVBand="0" w:oddHBand="0" w:evenHBand="0" w:firstRowFirstColumn="0" w:firstRowLastColumn="0" w:lastRowFirstColumn="0" w:lastRowLastColumn="0"/>
            <w:tcW w:w="1561" w:type="pct"/>
            <w:vMerge/>
          </w:tcPr>
          <w:p w:rsidR="00E43147" w:rsidRPr="001C4697" w:rsidRDefault="00E43147" w:rsidP="00791E23">
            <w:pPr>
              <w:rPr>
                <w:rFonts w:ascii="Arial" w:hAnsi="Arial" w:cs="Arial"/>
                <w:sz w:val="20"/>
                <w:szCs w:val="20"/>
              </w:rPr>
            </w:pPr>
          </w:p>
        </w:tc>
        <w:tc>
          <w:tcPr>
            <w:tcW w:w="2760" w:type="pct"/>
          </w:tcPr>
          <w:p w:rsidR="00E43147" w:rsidRPr="001C4697" w:rsidRDefault="00E43147" w:rsidP="00791E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1C4697">
              <w:rPr>
                <w:rFonts w:ascii="Arial" w:eastAsia="Calibri" w:hAnsi="Arial" w:cs="Arial"/>
                <w:sz w:val="20"/>
                <w:szCs w:val="20"/>
                <w:lang w:eastAsia="zh-CN"/>
              </w:rPr>
              <w:t>3. As a child did you amuse your friends by contorting your body into strange shapes OR could you do the splits?</w:t>
            </w:r>
            <w:proofErr w:type="gramEnd"/>
          </w:p>
        </w:tc>
        <w:tc>
          <w:tcPr>
            <w:tcW w:w="679" w:type="pct"/>
          </w:tcPr>
          <w:p w:rsidR="00E43147" w:rsidRPr="001C4697" w:rsidRDefault="00E43147" w:rsidP="00791E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262/360 </w:t>
            </w:r>
          </w:p>
          <w:p w:rsidR="00E43147" w:rsidRPr="001C4697" w:rsidRDefault="00E43147" w:rsidP="00791E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(72.8%)</w:t>
            </w:r>
          </w:p>
        </w:tc>
      </w:tr>
      <w:tr w:rsidR="00E43147" w:rsidRPr="001C4697" w:rsidTr="0079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pct"/>
            <w:vMerge/>
          </w:tcPr>
          <w:p w:rsidR="00E43147" w:rsidRPr="001C4697" w:rsidRDefault="00E43147" w:rsidP="00791E23">
            <w:pPr>
              <w:rPr>
                <w:rFonts w:ascii="Arial" w:hAnsi="Arial" w:cs="Arial"/>
                <w:sz w:val="20"/>
                <w:szCs w:val="20"/>
              </w:rPr>
            </w:pPr>
          </w:p>
        </w:tc>
        <w:tc>
          <w:tcPr>
            <w:tcW w:w="2760" w:type="pct"/>
          </w:tcPr>
          <w:p w:rsidR="00E43147" w:rsidRPr="001C4697" w:rsidRDefault="00E43147" w:rsidP="00791E2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gramStart"/>
            <w:r w:rsidRPr="001C4697">
              <w:rPr>
                <w:rFonts w:ascii="Arial" w:eastAsia="Calibri" w:hAnsi="Arial" w:cs="Arial"/>
                <w:sz w:val="20"/>
                <w:szCs w:val="20"/>
                <w:lang w:eastAsia="zh-CN"/>
              </w:rPr>
              <w:t>4. As a child or teenager</w:t>
            </w:r>
            <w:proofErr w:type="gramEnd"/>
            <w:r w:rsidRPr="001C4697">
              <w:rPr>
                <w:rFonts w:ascii="Arial" w:eastAsia="Calibri" w:hAnsi="Arial" w:cs="Arial"/>
                <w:sz w:val="20"/>
                <w:szCs w:val="20"/>
                <w:lang w:eastAsia="zh-CN"/>
              </w:rPr>
              <w:t xml:space="preserve"> did your shoulder or kneecap dislocate on more than one occasion?</w:t>
            </w:r>
          </w:p>
        </w:tc>
        <w:tc>
          <w:tcPr>
            <w:tcW w:w="679" w:type="pct"/>
          </w:tcPr>
          <w:p w:rsidR="00E43147" w:rsidRPr="001C4697" w:rsidRDefault="00E43147" w:rsidP="00791E2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137/361 </w:t>
            </w:r>
          </w:p>
          <w:p w:rsidR="00E43147" w:rsidRPr="001C4697" w:rsidRDefault="00E43147" w:rsidP="00791E2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(38.0%)</w:t>
            </w:r>
          </w:p>
        </w:tc>
      </w:tr>
      <w:tr w:rsidR="00E43147" w:rsidRPr="001C4697" w:rsidTr="00791E23">
        <w:tc>
          <w:tcPr>
            <w:cnfStyle w:val="001000000000" w:firstRow="0" w:lastRow="0" w:firstColumn="1" w:lastColumn="0" w:oddVBand="0" w:evenVBand="0" w:oddHBand="0" w:evenHBand="0" w:firstRowFirstColumn="0" w:firstRowLastColumn="0" w:lastRowFirstColumn="0" w:lastRowLastColumn="0"/>
            <w:tcW w:w="1561" w:type="pct"/>
            <w:vMerge/>
          </w:tcPr>
          <w:p w:rsidR="00E43147" w:rsidRPr="001C4697" w:rsidRDefault="00E43147" w:rsidP="00791E23">
            <w:pPr>
              <w:rPr>
                <w:rFonts w:ascii="Arial" w:hAnsi="Arial" w:cs="Arial"/>
                <w:sz w:val="20"/>
                <w:szCs w:val="20"/>
              </w:rPr>
            </w:pPr>
          </w:p>
        </w:tc>
        <w:tc>
          <w:tcPr>
            <w:tcW w:w="2760" w:type="pct"/>
          </w:tcPr>
          <w:p w:rsidR="00E43147" w:rsidRPr="001C4697" w:rsidRDefault="00E43147" w:rsidP="00791E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eastAsia="Calibri" w:hAnsi="Arial" w:cs="Arial"/>
                <w:sz w:val="20"/>
                <w:szCs w:val="20"/>
                <w:lang w:eastAsia="zh-CN"/>
              </w:rPr>
              <w:t>5. Do you consider yourself double-jointed?</w:t>
            </w:r>
          </w:p>
        </w:tc>
        <w:tc>
          <w:tcPr>
            <w:tcW w:w="679" w:type="pct"/>
          </w:tcPr>
          <w:p w:rsidR="00E43147" w:rsidRPr="001C4697" w:rsidRDefault="00E43147" w:rsidP="00791E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249/359 </w:t>
            </w:r>
          </w:p>
          <w:p w:rsidR="00E43147" w:rsidRPr="001C4697" w:rsidRDefault="00E43147" w:rsidP="00791E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(69.4%)</w:t>
            </w:r>
          </w:p>
        </w:tc>
      </w:tr>
      <w:tr w:rsidR="00E43147" w:rsidRPr="001C4697" w:rsidTr="0079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pct"/>
            <w:vMerge w:val="restart"/>
          </w:tcPr>
          <w:p w:rsidR="00E43147" w:rsidRPr="001C4697" w:rsidRDefault="00E43147" w:rsidP="00791E23">
            <w:pPr>
              <w:rPr>
                <w:rFonts w:ascii="Arial" w:hAnsi="Arial" w:cs="Arial"/>
                <w:sz w:val="20"/>
                <w:szCs w:val="20"/>
              </w:rPr>
            </w:pPr>
            <w:r w:rsidRPr="001C4697">
              <w:rPr>
                <w:rFonts w:ascii="Arial" w:hAnsi="Arial" w:cs="Arial"/>
                <w:sz w:val="20"/>
                <w:szCs w:val="20"/>
              </w:rPr>
              <w:t>B. Have you received a formal diagnosis (from a healthcare professional) of:</w:t>
            </w:r>
          </w:p>
        </w:tc>
        <w:tc>
          <w:tcPr>
            <w:tcW w:w="2760" w:type="pct"/>
          </w:tcPr>
          <w:p w:rsidR="00E43147" w:rsidRPr="001C4697" w:rsidRDefault="00E43147" w:rsidP="00791E2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C4697">
              <w:rPr>
                <w:rFonts w:ascii="Arial" w:hAnsi="Arial" w:cs="Arial"/>
                <w:b/>
                <w:sz w:val="20"/>
                <w:szCs w:val="20"/>
              </w:rPr>
              <w:t>≥1 of the criteria below</w:t>
            </w:r>
          </w:p>
        </w:tc>
        <w:tc>
          <w:tcPr>
            <w:tcW w:w="679" w:type="pct"/>
          </w:tcPr>
          <w:p w:rsidR="00E43147" w:rsidRPr="001C4697" w:rsidRDefault="00E43147" w:rsidP="00791E2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C4697">
              <w:rPr>
                <w:rFonts w:ascii="Arial" w:hAnsi="Arial" w:cs="Arial"/>
                <w:b/>
                <w:sz w:val="20"/>
                <w:szCs w:val="20"/>
              </w:rPr>
              <w:t>351/363</w:t>
            </w:r>
          </w:p>
          <w:p w:rsidR="00E43147" w:rsidRPr="001C4697" w:rsidRDefault="00E43147" w:rsidP="00791E2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C4697">
              <w:rPr>
                <w:rFonts w:ascii="Arial" w:hAnsi="Arial" w:cs="Arial"/>
                <w:b/>
                <w:sz w:val="20"/>
                <w:szCs w:val="20"/>
              </w:rPr>
              <w:t>(96.7%)</w:t>
            </w:r>
          </w:p>
        </w:tc>
      </w:tr>
      <w:tr w:rsidR="00E43147" w:rsidRPr="001C4697" w:rsidTr="00791E23">
        <w:tc>
          <w:tcPr>
            <w:cnfStyle w:val="001000000000" w:firstRow="0" w:lastRow="0" w:firstColumn="1" w:lastColumn="0" w:oddVBand="0" w:evenVBand="0" w:oddHBand="0" w:evenHBand="0" w:firstRowFirstColumn="0" w:firstRowLastColumn="0" w:lastRowFirstColumn="0" w:lastRowLastColumn="0"/>
            <w:tcW w:w="1561" w:type="pct"/>
            <w:vMerge/>
          </w:tcPr>
          <w:p w:rsidR="00E43147" w:rsidRPr="001C4697" w:rsidRDefault="00E43147" w:rsidP="00791E23">
            <w:pPr>
              <w:rPr>
                <w:rFonts w:ascii="Arial" w:hAnsi="Arial" w:cs="Arial"/>
                <w:sz w:val="20"/>
                <w:szCs w:val="20"/>
              </w:rPr>
            </w:pPr>
          </w:p>
        </w:tc>
        <w:tc>
          <w:tcPr>
            <w:tcW w:w="2760" w:type="pct"/>
          </w:tcPr>
          <w:p w:rsidR="00E43147" w:rsidRPr="001C4697" w:rsidRDefault="00E43147" w:rsidP="00791E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1. Joint Hypermobility Syndrome</w:t>
            </w:r>
          </w:p>
        </w:tc>
        <w:tc>
          <w:tcPr>
            <w:tcW w:w="679" w:type="pct"/>
          </w:tcPr>
          <w:p w:rsidR="00E43147" w:rsidRPr="001C4697" w:rsidRDefault="00E43147" w:rsidP="00791E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286/310 </w:t>
            </w:r>
          </w:p>
          <w:p w:rsidR="00E43147" w:rsidRPr="001C4697" w:rsidRDefault="00E43147" w:rsidP="00791E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(92.3%)</w:t>
            </w:r>
          </w:p>
        </w:tc>
      </w:tr>
      <w:tr w:rsidR="00E43147" w:rsidRPr="001C4697" w:rsidTr="0079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pct"/>
            <w:vMerge/>
          </w:tcPr>
          <w:p w:rsidR="00E43147" w:rsidRPr="001C4697" w:rsidRDefault="00E43147" w:rsidP="00791E23">
            <w:pPr>
              <w:rPr>
                <w:rFonts w:ascii="Arial" w:hAnsi="Arial" w:cs="Arial"/>
                <w:sz w:val="20"/>
                <w:szCs w:val="20"/>
              </w:rPr>
            </w:pPr>
          </w:p>
        </w:tc>
        <w:tc>
          <w:tcPr>
            <w:tcW w:w="2760" w:type="pct"/>
          </w:tcPr>
          <w:p w:rsidR="00E43147" w:rsidRPr="001C4697" w:rsidRDefault="00E43147" w:rsidP="00791E2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2. Ehlers </w:t>
            </w:r>
            <w:proofErr w:type="spellStart"/>
            <w:r w:rsidRPr="001C4697">
              <w:rPr>
                <w:rFonts w:ascii="Arial" w:hAnsi="Arial" w:cs="Arial"/>
                <w:sz w:val="20"/>
                <w:szCs w:val="20"/>
              </w:rPr>
              <w:t>Danlos</w:t>
            </w:r>
            <w:proofErr w:type="spellEnd"/>
            <w:r w:rsidRPr="001C4697">
              <w:rPr>
                <w:rFonts w:ascii="Arial" w:hAnsi="Arial" w:cs="Arial"/>
                <w:sz w:val="20"/>
                <w:szCs w:val="20"/>
              </w:rPr>
              <w:t xml:space="preserve"> Syndrome – Hypermobility Type (formerly EDS-III)</w:t>
            </w:r>
          </w:p>
        </w:tc>
        <w:tc>
          <w:tcPr>
            <w:tcW w:w="679" w:type="pct"/>
          </w:tcPr>
          <w:p w:rsidR="00E43147" w:rsidRPr="001C4697" w:rsidRDefault="00E43147" w:rsidP="00791E2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189/302 </w:t>
            </w:r>
          </w:p>
          <w:p w:rsidR="00E43147" w:rsidRPr="001C4697" w:rsidRDefault="00E43147" w:rsidP="00791E2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(62.6%)</w:t>
            </w:r>
          </w:p>
        </w:tc>
      </w:tr>
      <w:tr w:rsidR="00E43147" w:rsidRPr="001C4697" w:rsidTr="00791E23">
        <w:tc>
          <w:tcPr>
            <w:cnfStyle w:val="001000000000" w:firstRow="0" w:lastRow="0" w:firstColumn="1" w:lastColumn="0" w:oddVBand="0" w:evenVBand="0" w:oddHBand="0" w:evenHBand="0" w:firstRowFirstColumn="0" w:firstRowLastColumn="0" w:lastRowFirstColumn="0" w:lastRowLastColumn="0"/>
            <w:tcW w:w="4321" w:type="pct"/>
            <w:gridSpan w:val="2"/>
          </w:tcPr>
          <w:p w:rsidR="00E43147" w:rsidRPr="001C4697" w:rsidRDefault="00E43147" w:rsidP="00791E23">
            <w:pPr>
              <w:rPr>
                <w:rFonts w:ascii="Arial" w:hAnsi="Arial" w:cs="Arial"/>
                <w:sz w:val="20"/>
                <w:szCs w:val="20"/>
              </w:rPr>
            </w:pPr>
            <w:r w:rsidRPr="001C4697">
              <w:rPr>
                <w:rFonts w:ascii="Arial" w:hAnsi="Arial" w:cs="Arial"/>
                <w:sz w:val="20"/>
                <w:szCs w:val="20"/>
              </w:rPr>
              <w:t>Met criteria A. and/or B.</w:t>
            </w:r>
          </w:p>
        </w:tc>
        <w:tc>
          <w:tcPr>
            <w:tcW w:w="679" w:type="pct"/>
          </w:tcPr>
          <w:p w:rsidR="00E43147" w:rsidRPr="001C4697" w:rsidRDefault="00E43147" w:rsidP="00791E23">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C4697">
              <w:rPr>
                <w:rFonts w:ascii="Arial" w:hAnsi="Arial" w:cs="Arial"/>
                <w:b/>
                <w:sz w:val="20"/>
                <w:szCs w:val="20"/>
              </w:rPr>
              <w:t>363/363</w:t>
            </w:r>
          </w:p>
          <w:p w:rsidR="00E43147" w:rsidRPr="001C4697" w:rsidRDefault="00E43147" w:rsidP="00791E23">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C4697">
              <w:rPr>
                <w:rFonts w:ascii="Arial" w:hAnsi="Arial" w:cs="Arial"/>
                <w:b/>
                <w:sz w:val="20"/>
                <w:szCs w:val="20"/>
              </w:rPr>
              <w:t>(100%)</w:t>
            </w:r>
          </w:p>
        </w:tc>
      </w:tr>
    </w:tbl>
    <w:p w:rsidR="00E43147" w:rsidRPr="001C4697" w:rsidRDefault="00E43147" w:rsidP="00E43147">
      <w:pPr>
        <w:rPr>
          <w:rFonts w:ascii="Arial" w:hAnsi="Arial" w:cs="Arial"/>
          <w:sz w:val="20"/>
          <w:szCs w:val="20"/>
        </w:rPr>
      </w:pPr>
      <w:r w:rsidRPr="001C4697">
        <w:rPr>
          <w:rFonts w:ascii="Arial" w:hAnsi="Arial" w:cs="Arial"/>
          <w:b/>
          <w:sz w:val="20"/>
          <w:szCs w:val="20"/>
        </w:rPr>
        <w:t>Table 2. Criteria used to confirm a diagnosis of JHS for all participants (n=363).</w:t>
      </w:r>
      <w:r w:rsidRPr="001C4697">
        <w:rPr>
          <w:rFonts w:ascii="Arial" w:hAnsi="Arial" w:cs="Arial"/>
          <w:sz w:val="20"/>
          <w:szCs w:val="20"/>
        </w:rPr>
        <w:t xml:space="preserve"> </w:t>
      </w:r>
      <w:proofErr w:type="gramStart"/>
      <w:r w:rsidRPr="001C4697">
        <w:rPr>
          <w:rFonts w:ascii="Arial" w:hAnsi="Arial" w:cs="Arial"/>
          <w:sz w:val="20"/>
          <w:szCs w:val="20"/>
        </w:rPr>
        <w:t>%</w:t>
      </w:r>
      <w:proofErr w:type="gramEnd"/>
      <w:r w:rsidRPr="001C4697">
        <w:rPr>
          <w:rFonts w:ascii="Arial" w:hAnsi="Arial" w:cs="Arial"/>
          <w:sz w:val="20"/>
          <w:szCs w:val="20"/>
        </w:rPr>
        <w:t xml:space="preserve"> figures are expressed as a proportion of valid responses to each question.</w:t>
      </w:r>
      <w:r w:rsidRPr="001C4697">
        <w:rPr>
          <w:rFonts w:ascii="Arial" w:hAnsi="Arial" w:cs="Arial"/>
          <w:sz w:val="20"/>
          <w:szCs w:val="20"/>
        </w:rPr>
        <w:br w:type="page"/>
      </w:r>
    </w:p>
    <w:tbl>
      <w:tblPr>
        <w:tblStyle w:val="PlainTable4"/>
        <w:tblW w:w="4808" w:type="pct"/>
        <w:tblLook w:val="04A0" w:firstRow="1" w:lastRow="0" w:firstColumn="1" w:lastColumn="0" w:noHBand="0" w:noVBand="1"/>
      </w:tblPr>
      <w:tblGrid>
        <w:gridCol w:w="2582"/>
        <w:gridCol w:w="1613"/>
        <w:gridCol w:w="818"/>
        <w:gridCol w:w="951"/>
        <w:gridCol w:w="951"/>
        <w:gridCol w:w="1764"/>
      </w:tblGrid>
      <w:tr w:rsidR="00E43147" w:rsidRPr="001C4697" w:rsidTr="00791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pct"/>
          </w:tcPr>
          <w:p w:rsidR="00E43147" w:rsidRPr="001C4697" w:rsidRDefault="00E43147" w:rsidP="00791E23">
            <w:pPr>
              <w:spacing w:line="480" w:lineRule="auto"/>
              <w:rPr>
                <w:rFonts w:ascii="Arial" w:hAnsi="Arial" w:cs="Arial"/>
                <w:sz w:val="20"/>
                <w:szCs w:val="20"/>
              </w:rPr>
            </w:pPr>
            <w:r w:rsidRPr="001C4697">
              <w:rPr>
                <w:rFonts w:ascii="Arial" w:hAnsi="Arial" w:cs="Arial"/>
                <w:sz w:val="20"/>
                <w:szCs w:val="20"/>
              </w:rPr>
              <w:lastRenderedPageBreak/>
              <w:t>Outcome measure</w:t>
            </w:r>
          </w:p>
        </w:tc>
        <w:tc>
          <w:tcPr>
            <w:tcW w:w="929" w:type="pct"/>
          </w:tcPr>
          <w:p w:rsidR="00E43147" w:rsidRPr="001C4697" w:rsidRDefault="00E43147" w:rsidP="00791E23">
            <w:pPr>
              <w:spacing w:line="480" w:lineRule="auto"/>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m:oMath>
              <m:acc>
                <m:accPr>
                  <m:chr m:val="̅"/>
                  <m:ctrlPr>
                    <w:rPr>
                      <w:rFonts w:ascii="Cambria Math" w:eastAsia="Arial Unicode MS" w:hAnsi="Cambria Math" w:cs="Arial Unicode MS"/>
                      <w:i/>
                      <w:sz w:val="20"/>
                      <w:szCs w:val="20"/>
                    </w:rPr>
                  </m:ctrlPr>
                </m:accPr>
                <m:e>
                  <m:r>
                    <m:rPr>
                      <m:sty m:val="bi"/>
                    </m:rPr>
                    <w:rPr>
                      <w:rFonts w:ascii="Cambria Math" w:eastAsia="Arial Unicode MS" w:hAnsi="Cambria Math" w:cs="Arial Unicode MS"/>
                      <w:sz w:val="20"/>
                      <w:szCs w:val="20"/>
                    </w:rPr>
                    <m:t>d</m:t>
                  </m:r>
                </m:e>
              </m:acc>
            </m:oMath>
            <w:r w:rsidRPr="001C4697">
              <w:rPr>
                <w:rFonts w:ascii="Arial Unicode MS" w:eastAsia="Arial Unicode MS" w:hAnsi="Arial Unicode MS" w:cs="Arial Unicode MS"/>
                <w:sz w:val="20"/>
                <w:szCs w:val="20"/>
              </w:rPr>
              <w:t xml:space="preserve"> </w:t>
            </w:r>
          </w:p>
          <w:p w:rsidR="00E43147" w:rsidRPr="001C4697" w:rsidRDefault="00E43147" w:rsidP="00791E23">
            <w:pPr>
              <w:spacing w:line="480" w:lineRule="auto"/>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1C4697">
              <w:rPr>
                <w:rFonts w:ascii="Arial Unicode MS" w:eastAsia="Arial Unicode MS" w:hAnsi="Arial Unicode MS" w:cs="Arial Unicode MS"/>
                <w:sz w:val="20"/>
                <w:szCs w:val="20"/>
              </w:rPr>
              <w:t>(95% CI)</w:t>
            </w:r>
          </w:p>
        </w:tc>
        <w:tc>
          <w:tcPr>
            <w:tcW w:w="471" w:type="pct"/>
          </w:tcPr>
          <w:p w:rsidR="00E43147" w:rsidRPr="001C4697" w:rsidRDefault="00E43147" w:rsidP="00791E23">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1C4697">
              <w:rPr>
                <w:rFonts w:ascii="Arial" w:hAnsi="Arial" w:cs="Arial"/>
                <w:sz w:val="20"/>
                <w:szCs w:val="20"/>
              </w:rPr>
              <w:t>SD</w:t>
            </w:r>
            <w:r w:rsidRPr="001C4697">
              <w:rPr>
                <w:rFonts w:ascii="Arial" w:hAnsi="Arial" w:cs="Arial"/>
                <w:sz w:val="20"/>
                <w:szCs w:val="20"/>
                <w:vertAlign w:val="subscript"/>
              </w:rPr>
              <w:t>diff</w:t>
            </w:r>
            <w:proofErr w:type="spellEnd"/>
          </w:p>
        </w:tc>
        <w:tc>
          <w:tcPr>
            <w:tcW w:w="548" w:type="pct"/>
          </w:tcPr>
          <w:p w:rsidR="00E43147" w:rsidRPr="001C4697" w:rsidRDefault="00E43147" w:rsidP="00791E23">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SEM</w:t>
            </w:r>
          </w:p>
        </w:tc>
        <w:tc>
          <w:tcPr>
            <w:tcW w:w="548" w:type="pct"/>
          </w:tcPr>
          <w:p w:rsidR="00E43147" w:rsidRPr="001C4697" w:rsidRDefault="00E43147" w:rsidP="00791E23">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SDC</w:t>
            </w:r>
          </w:p>
        </w:tc>
        <w:tc>
          <w:tcPr>
            <w:tcW w:w="1016" w:type="pct"/>
          </w:tcPr>
          <w:p w:rsidR="00E43147" w:rsidRPr="001C4697" w:rsidRDefault="00E43147" w:rsidP="00791E23">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95% </w:t>
            </w:r>
            <w:proofErr w:type="spellStart"/>
            <w:r w:rsidRPr="001C4697">
              <w:rPr>
                <w:rFonts w:ascii="Arial" w:hAnsi="Arial" w:cs="Arial"/>
                <w:sz w:val="20"/>
                <w:szCs w:val="20"/>
              </w:rPr>
              <w:t>LoA</w:t>
            </w:r>
            <w:proofErr w:type="spellEnd"/>
          </w:p>
        </w:tc>
      </w:tr>
      <w:tr w:rsidR="00E43147" w:rsidRPr="001C4697" w:rsidTr="0079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pct"/>
          </w:tcPr>
          <w:p w:rsidR="00E43147" w:rsidRPr="001C4697" w:rsidRDefault="00E43147" w:rsidP="00791E23">
            <w:pPr>
              <w:spacing w:line="480" w:lineRule="auto"/>
              <w:rPr>
                <w:rFonts w:ascii="Arial" w:hAnsi="Arial" w:cs="Arial"/>
                <w:sz w:val="20"/>
                <w:szCs w:val="20"/>
              </w:rPr>
            </w:pPr>
            <w:proofErr w:type="spellStart"/>
            <w:r w:rsidRPr="001C4697">
              <w:rPr>
                <w:rFonts w:ascii="Arial" w:hAnsi="Arial" w:cs="Arial"/>
                <w:sz w:val="20"/>
                <w:szCs w:val="20"/>
              </w:rPr>
              <w:t>BIoH</w:t>
            </w:r>
            <w:proofErr w:type="spellEnd"/>
            <w:r w:rsidRPr="001C4697">
              <w:rPr>
                <w:rFonts w:ascii="Arial" w:hAnsi="Arial" w:cs="Arial"/>
                <w:sz w:val="20"/>
                <w:szCs w:val="20"/>
              </w:rPr>
              <w:t xml:space="preserve"> </w:t>
            </w:r>
          </w:p>
          <w:p w:rsidR="00E43147" w:rsidRPr="001C4697" w:rsidRDefault="00E43147" w:rsidP="00791E23">
            <w:pPr>
              <w:spacing w:line="480" w:lineRule="auto"/>
              <w:rPr>
                <w:rFonts w:ascii="Arial" w:hAnsi="Arial" w:cs="Arial"/>
                <w:sz w:val="20"/>
                <w:szCs w:val="20"/>
              </w:rPr>
            </w:pPr>
            <w:r w:rsidRPr="001C4697">
              <w:rPr>
                <w:rFonts w:ascii="Arial" w:hAnsi="Arial" w:cs="Arial"/>
                <w:sz w:val="20"/>
                <w:szCs w:val="20"/>
              </w:rPr>
              <w:t>(max 360 points), n=233</w:t>
            </w:r>
          </w:p>
        </w:tc>
        <w:tc>
          <w:tcPr>
            <w:tcW w:w="929"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-3.26 </w:t>
            </w:r>
          </w:p>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(-5.98, -0.54)</w:t>
            </w:r>
          </w:p>
        </w:tc>
        <w:tc>
          <w:tcPr>
            <w:tcW w:w="471"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21.20</w:t>
            </w:r>
          </w:p>
        </w:tc>
        <w:tc>
          <w:tcPr>
            <w:tcW w:w="548"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14.99</w:t>
            </w:r>
          </w:p>
        </w:tc>
        <w:tc>
          <w:tcPr>
            <w:tcW w:w="548"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41.55</w:t>
            </w:r>
          </w:p>
        </w:tc>
        <w:tc>
          <w:tcPr>
            <w:tcW w:w="1016"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-44.81, 38.29</w:t>
            </w:r>
          </w:p>
        </w:tc>
      </w:tr>
      <w:tr w:rsidR="00E43147" w:rsidRPr="001C4697" w:rsidTr="00791E23">
        <w:tc>
          <w:tcPr>
            <w:cnfStyle w:val="001000000000" w:firstRow="0" w:lastRow="0" w:firstColumn="1" w:lastColumn="0" w:oddVBand="0" w:evenVBand="0" w:oddHBand="0" w:evenHBand="0" w:firstRowFirstColumn="0" w:firstRowLastColumn="0" w:lastRowFirstColumn="0" w:lastRowLastColumn="0"/>
            <w:tcW w:w="1488" w:type="pct"/>
          </w:tcPr>
          <w:p w:rsidR="00E43147" w:rsidRPr="001C4697" w:rsidRDefault="00E43147" w:rsidP="00791E23">
            <w:pPr>
              <w:spacing w:line="480" w:lineRule="auto"/>
              <w:rPr>
                <w:rFonts w:ascii="Arial" w:hAnsi="Arial" w:cs="Arial"/>
                <w:sz w:val="20"/>
                <w:szCs w:val="20"/>
              </w:rPr>
            </w:pPr>
            <w:r w:rsidRPr="001C4697">
              <w:rPr>
                <w:rFonts w:ascii="Arial" w:hAnsi="Arial" w:cs="Arial"/>
                <w:sz w:val="20"/>
                <w:szCs w:val="20"/>
              </w:rPr>
              <w:t xml:space="preserve">SF-36 PCS </w:t>
            </w:r>
          </w:p>
          <w:p w:rsidR="00E43147" w:rsidRPr="001C4697" w:rsidRDefault="00E43147" w:rsidP="00791E23">
            <w:pPr>
              <w:spacing w:line="480" w:lineRule="auto"/>
              <w:rPr>
                <w:rFonts w:ascii="Arial" w:hAnsi="Arial" w:cs="Arial"/>
                <w:sz w:val="20"/>
                <w:szCs w:val="20"/>
              </w:rPr>
            </w:pPr>
            <w:r w:rsidRPr="001C4697">
              <w:rPr>
                <w:rFonts w:ascii="Arial" w:hAnsi="Arial" w:cs="Arial"/>
                <w:sz w:val="20"/>
                <w:szCs w:val="20"/>
              </w:rPr>
              <w:t>(max 100 points), n=227</w:t>
            </w:r>
          </w:p>
        </w:tc>
        <w:tc>
          <w:tcPr>
            <w:tcW w:w="929"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0.00 </w:t>
            </w:r>
          </w:p>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(-0.57, 0.57)</w:t>
            </w:r>
          </w:p>
        </w:tc>
        <w:tc>
          <w:tcPr>
            <w:tcW w:w="471"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4.37</w:t>
            </w:r>
          </w:p>
        </w:tc>
        <w:tc>
          <w:tcPr>
            <w:tcW w:w="548"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3.09</w:t>
            </w:r>
          </w:p>
        </w:tc>
        <w:tc>
          <w:tcPr>
            <w:tcW w:w="548"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8.56</w:t>
            </w:r>
          </w:p>
        </w:tc>
        <w:tc>
          <w:tcPr>
            <w:tcW w:w="1016" w:type="pct"/>
          </w:tcPr>
          <w:p w:rsidR="00E43147" w:rsidRPr="001C4697" w:rsidRDefault="00E43147" w:rsidP="00791E2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697">
              <w:rPr>
                <w:rFonts w:ascii="Arial" w:hAnsi="Arial" w:cs="Arial"/>
                <w:sz w:val="20"/>
                <w:szCs w:val="20"/>
              </w:rPr>
              <w:t>-8.56, 8.57</w:t>
            </w:r>
          </w:p>
        </w:tc>
      </w:tr>
      <w:tr w:rsidR="00E43147" w:rsidRPr="001C4697" w:rsidTr="00791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pct"/>
          </w:tcPr>
          <w:p w:rsidR="00E43147" w:rsidRPr="001C4697" w:rsidRDefault="00E43147" w:rsidP="00791E23">
            <w:pPr>
              <w:spacing w:line="480" w:lineRule="auto"/>
              <w:rPr>
                <w:rFonts w:ascii="Arial" w:hAnsi="Arial" w:cs="Arial"/>
                <w:sz w:val="20"/>
                <w:szCs w:val="20"/>
              </w:rPr>
            </w:pPr>
            <w:r w:rsidRPr="001C4697">
              <w:rPr>
                <w:rFonts w:ascii="Arial" w:hAnsi="Arial" w:cs="Arial"/>
                <w:sz w:val="20"/>
                <w:szCs w:val="20"/>
              </w:rPr>
              <w:t xml:space="preserve">SF-36 MCS </w:t>
            </w:r>
          </w:p>
          <w:p w:rsidR="00E43147" w:rsidRPr="001C4697" w:rsidRDefault="00E43147" w:rsidP="00791E23">
            <w:pPr>
              <w:spacing w:line="480" w:lineRule="auto"/>
              <w:rPr>
                <w:rFonts w:ascii="Arial" w:hAnsi="Arial" w:cs="Arial"/>
                <w:sz w:val="20"/>
                <w:szCs w:val="20"/>
              </w:rPr>
            </w:pPr>
            <w:r w:rsidRPr="001C4697">
              <w:rPr>
                <w:rFonts w:ascii="Arial" w:hAnsi="Arial" w:cs="Arial"/>
                <w:sz w:val="20"/>
                <w:szCs w:val="20"/>
              </w:rPr>
              <w:t>(max 100 points), n=227</w:t>
            </w:r>
          </w:p>
        </w:tc>
        <w:tc>
          <w:tcPr>
            <w:tcW w:w="929"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 xml:space="preserve">0.55 </w:t>
            </w:r>
          </w:p>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(-0.48, 1.58)</w:t>
            </w:r>
          </w:p>
        </w:tc>
        <w:tc>
          <w:tcPr>
            <w:tcW w:w="471"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7.88</w:t>
            </w:r>
          </w:p>
        </w:tc>
        <w:tc>
          <w:tcPr>
            <w:tcW w:w="548"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5.57</w:t>
            </w:r>
          </w:p>
        </w:tc>
        <w:tc>
          <w:tcPr>
            <w:tcW w:w="548"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15.44</w:t>
            </w:r>
          </w:p>
        </w:tc>
        <w:tc>
          <w:tcPr>
            <w:tcW w:w="1016" w:type="pct"/>
          </w:tcPr>
          <w:p w:rsidR="00E43147" w:rsidRPr="001C4697" w:rsidRDefault="00E43147" w:rsidP="00791E2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4697">
              <w:rPr>
                <w:rFonts w:ascii="Arial" w:hAnsi="Arial" w:cs="Arial"/>
                <w:sz w:val="20"/>
                <w:szCs w:val="20"/>
              </w:rPr>
              <w:t>-14.89, 16.00</w:t>
            </w:r>
          </w:p>
        </w:tc>
      </w:tr>
    </w:tbl>
    <w:p w:rsidR="00E43147" w:rsidRPr="001C4697" w:rsidRDefault="00E43147" w:rsidP="00E43147">
      <w:pPr>
        <w:spacing w:after="0" w:line="480" w:lineRule="auto"/>
        <w:rPr>
          <w:rFonts w:ascii="Arial" w:hAnsi="Arial" w:cs="Arial"/>
          <w:sz w:val="20"/>
          <w:szCs w:val="20"/>
        </w:rPr>
      </w:pPr>
      <w:r w:rsidRPr="001C4697">
        <w:rPr>
          <w:rFonts w:ascii="Arial" w:hAnsi="Arial" w:cs="Arial"/>
          <w:b/>
          <w:sz w:val="20"/>
          <w:szCs w:val="20"/>
        </w:rPr>
        <w:t>Table 3. Calculations related to limits of agreement analysis.</w:t>
      </w:r>
      <w:r w:rsidRPr="001C4697">
        <w:rPr>
          <w:rFonts w:ascii="Arial" w:hAnsi="Arial" w:cs="Arial"/>
          <w:sz w:val="20"/>
          <w:szCs w:val="20"/>
        </w:rPr>
        <w:t xml:space="preserve"> </w:t>
      </w:r>
      <w:proofErr w:type="spellStart"/>
      <w:proofErr w:type="gramStart"/>
      <w:r w:rsidRPr="001C4697">
        <w:rPr>
          <w:rFonts w:ascii="Arial" w:hAnsi="Arial" w:cs="Arial"/>
          <w:sz w:val="20"/>
          <w:szCs w:val="20"/>
        </w:rPr>
        <w:t>BIoH</w:t>
      </w:r>
      <w:proofErr w:type="spellEnd"/>
      <w:r w:rsidRPr="001C4697">
        <w:rPr>
          <w:rFonts w:ascii="Arial" w:hAnsi="Arial" w:cs="Arial"/>
          <w:sz w:val="20"/>
          <w:szCs w:val="20"/>
        </w:rPr>
        <w:t xml:space="preserve"> = Bristol Impact of Hypermobility questionnaire; </w:t>
      </w:r>
      <w:r w:rsidRPr="001C4697">
        <w:rPr>
          <w:rFonts w:ascii="Arial" w:eastAsiaTheme="minorEastAsia" w:hAnsi="Arial" w:cs="Arial"/>
          <w:sz w:val="20"/>
          <w:szCs w:val="20"/>
        </w:rPr>
        <w:t xml:space="preserve">CI = confidence interval; </w:t>
      </w:r>
      <m:oMath>
        <m:acc>
          <m:accPr>
            <m:chr m:val="̅"/>
            <m:ctrlPr>
              <w:rPr>
                <w:rFonts w:ascii="Cambria Math" w:eastAsia="Arial Unicode MS" w:hAnsi="Cambria Math" w:cs="Arial"/>
                <w:i/>
                <w:sz w:val="20"/>
                <w:szCs w:val="20"/>
              </w:rPr>
            </m:ctrlPr>
          </m:accPr>
          <m:e>
            <m:r>
              <w:rPr>
                <w:rFonts w:ascii="Cambria Math" w:eastAsia="Arial Unicode MS" w:hAnsi="Cambria Math" w:cs="Arial"/>
                <w:sz w:val="20"/>
                <w:szCs w:val="20"/>
              </w:rPr>
              <m:t>d</m:t>
            </m:r>
          </m:e>
        </m:acc>
      </m:oMath>
      <w:r w:rsidRPr="001C4697">
        <w:rPr>
          <w:rFonts w:ascii="Arial" w:eastAsiaTheme="minorEastAsia" w:hAnsi="Arial" w:cs="Arial"/>
          <w:sz w:val="20"/>
          <w:szCs w:val="20"/>
        </w:rPr>
        <w:t xml:space="preserve"> = mean difference scores; LoA = Limits of agreement; </w:t>
      </w:r>
      <w:r w:rsidRPr="001C4697">
        <w:rPr>
          <w:rFonts w:ascii="Arial" w:hAnsi="Arial" w:cs="Arial"/>
          <w:sz w:val="20"/>
          <w:szCs w:val="20"/>
        </w:rPr>
        <w:t xml:space="preserve">MCS = mental component score; PCS = physical component score; SDC = Smallest Detectable Change (calculated as 1.96 x </w:t>
      </w:r>
      <w:proofErr w:type="spellStart"/>
      <w:r w:rsidRPr="001C4697">
        <w:rPr>
          <w:rFonts w:ascii="Arial" w:hAnsi="Arial" w:cs="Arial"/>
          <w:sz w:val="20"/>
          <w:szCs w:val="20"/>
        </w:rPr>
        <w:t>SD</w:t>
      </w:r>
      <w:r w:rsidRPr="001C4697">
        <w:rPr>
          <w:rFonts w:ascii="Arial" w:hAnsi="Arial" w:cs="Arial"/>
          <w:sz w:val="20"/>
          <w:szCs w:val="20"/>
          <w:vertAlign w:val="subscript"/>
        </w:rPr>
        <w:t>diff</w:t>
      </w:r>
      <w:proofErr w:type="spellEnd"/>
      <w:r w:rsidRPr="001C4697">
        <w:rPr>
          <w:rFonts w:ascii="Arial" w:hAnsi="Arial" w:cs="Arial"/>
          <w:sz w:val="20"/>
          <w:szCs w:val="20"/>
        </w:rPr>
        <w:t xml:space="preserve">); </w:t>
      </w:r>
      <w:proofErr w:type="spellStart"/>
      <w:r w:rsidRPr="001C4697">
        <w:rPr>
          <w:rFonts w:ascii="Arial" w:hAnsi="Arial" w:cs="Arial"/>
          <w:sz w:val="20"/>
          <w:szCs w:val="20"/>
        </w:rPr>
        <w:t>SD</w:t>
      </w:r>
      <w:r w:rsidRPr="001C4697">
        <w:rPr>
          <w:rFonts w:ascii="Arial" w:hAnsi="Arial" w:cs="Arial"/>
          <w:sz w:val="20"/>
          <w:szCs w:val="20"/>
          <w:vertAlign w:val="subscript"/>
        </w:rPr>
        <w:t>diff</w:t>
      </w:r>
      <w:proofErr w:type="spellEnd"/>
      <w:r w:rsidRPr="001C4697">
        <w:rPr>
          <w:rFonts w:ascii="Arial" w:hAnsi="Arial" w:cs="Arial"/>
          <w:sz w:val="20"/>
          <w:szCs w:val="20"/>
        </w:rPr>
        <w:t xml:space="preserve"> = standard deviation of difference scores (the difference in score between baseline and week 2); SEM = standard error of measurement (calculated as </w:t>
      </w:r>
      <w:proofErr w:type="spellStart"/>
      <w:r w:rsidRPr="001C4697">
        <w:rPr>
          <w:rFonts w:ascii="Arial" w:hAnsi="Arial" w:cs="Arial"/>
          <w:sz w:val="20"/>
          <w:szCs w:val="20"/>
        </w:rPr>
        <w:t>SD</w:t>
      </w:r>
      <w:r w:rsidRPr="001C4697">
        <w:rPr>
          <w:rFonts w:ascii="Arial" w:hAnsi="Arial" w:cs="Arial"/>
          <w:sz w:val="20"/>
          <w:szCs w:val="20"/>
          <w:vertAlign w:val="subscript"/>
        </w:rPr>
        <w:t>diff</w:t>
      </w:r>
      <w:proofErr w:type="spellEnd"/>
      <w:r w:rsidRPr="001C4697">
        <w:rPr>
          <w:rFonts w:ascii="Arial" w:hAnsi="Arial" w:cs="Arial"/>
          <w:sz w:val="20"/>
          <w:szCs w:val="20"/>
        </w:rPr>
        <w:t xml:space="preserve"> </w:t>
      </w:r>
      <w:r w:rsidRPr="001C4697">
        <w:rPr>
          <w:rFonts w:ascii="Arial" w:hAnsi="Arial" w:cs="Arial"/>
          <w:sz w:val="20"/>
          <w:szCs w:val="20"/>
        </w:rPr>
        <w:sym w:font="Symbol" w:char="F0B8"/>
      </w:r>
      <w:r w:rsidRPr="001C4697">
        <w:rPr>
          <w:rFonts w:ascii="Arial" w:hAnsi="Arial" w:cs="Arial"/>
          <w:sz w:val="20"/>
          <w:szCs w:val="20"/>
        </w:rPr>
        <w:t xml:space="preserve"> </w:t>
      </w:r>
      <w:r w:rsidRPr="001C4697">
        <w:rPr>
          <w:rFonts w:ascii="Arial" w:hAnsi="Arial" w:cs="Arial"/>
          <w:sz w:val="20"/>
          <w:szCs w:val="20"/>
        </w:rPr>
        <w:sym w:font="Symbol" w:char="F0D6"/>
      </w:r>
      <w:r w:rsidRPr="001C4697">
        <w:rPr>
          <w:rFonts w:ascii="Arial" w:hAnsi="Arial" w:cs="Arial"/>
          <w:sz w:val="20"/>
          <w:szCs w:val="20"/>
        </w:rPr>
        <w:t>2); SF-36 = Short Form-36 questionnaire.</w:t>
      </w:r>
      <w:proofErr w:type="gramEnd"/>
    </w:p>
    <w:p w:rsidR="00E43147" w:rsidRPr="001C4697" w:rsidRDefault="00E43147" w:rsidP="00E43147">
      <w:pPr>
        <w:rPr>
          <w:rFonts w:ascii="Arial" w:hAnsi="Arial" w:cs="Arial"/>
          <w:sz w:val="20"/>
          <w:szCs w:val="20"/>
        </w:rPr>
      </w:pPr>
      <w:r w:rsidRPr="001C4697">
        <w:rPr>
          <w:rFonts w:ascii="Arial" w:hAnsi="Arial" w:cs="Arial"/>
          <w:sz w:val="20"/>
          <w:szCs w:val="20"/>
        </w:rPr>
        <w:br w:type="page"/>
      </w:r>
    </w:p>
    <w:p w:rsidR="00E43147" w:rsidRPr="001C4697" w:rsidRDefault="00E43147" w:rsidP="00E43147">
      <w:pPr>
        <w:spacing w:after="0" w:line="480" w:lineRule="auto"/>
        <w:rPr>
          <w:rFonts w:ascii="Arial" w:hAnsi="Arial" w:cs="Arial"/>
          <w:sz w:val="20"/>
          <w:szCs w:val="20"/>
        </w:rPr>
      </w:pPr>
      <w:r w:rsidRPr="001C4697">
        <w:rPr>
          <w:noProof/>
          <w:sz w:val="20"/>
          <w:szCs w:val="20"/>
          <w:lang w:eastAsia="en-GB"/>
        </w:rPr>
        <w:lastRenderedPageBreak/>
        <w:drawing>
          <wp:inline distT="0" distB="0" distL="0" distR="0" wp14:anchorId="2662DEF9" wp14:editId="3A10C608">
            <wp:extent cx="5731510" cy="3750397"/>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750397"/>
                    </a:xfrm>
                    <a:prstGeom prst="rect">
                      <a:avLst/>
                    </a:prstGeom>
                    <a:noFill/>
                    <a:ln>
                      <a:noFill/>
                    </a:ln>
                  </pic:spPr>
                </pic:pic>
              </a:graphicData>
            </a:graphic>
          </wp:inline>
        </w:drawing>
      </w:r>
      <w:r w:rsidRPr="001C4697">
        <w:rPr>
          <w:rFonts w:ascii="Arial" w:hAnsi="Arial" w:cs="Arial"/>
          <w:sz w:val="20"/>
          <w:szCs w:val="20"/>
        </w:rPr>
        <w:t xml:space="preserve"> </w:t>
      </w:r>
    </w:p>
    <w:p w:rsidR="00E43147" w:rsidRPr="001C4697" w:rsidRDefault="00E43147" w:rsidP="00E43147">
      <w:pPr>
        <w:spacing w:after="0" w:line="480" w:lineRule="auto"/>
        <w:rPr>
          <w:rFonts w:ascii="Arial" w:hAnsi="Arial" w:cs="Arial"/>
          <w:sz w:val="20"/>
          <w:szCs w:val="20"/>
        </w:rPr>
      </w:pPr>
      <w:r w:rsidRPr="001C4697">
        <w:rPr>
          <w:rFonts w:ascii="Arial" w:hAnsi="Arial" w:cs="Arial"/>
          <w:b/>
          <w:sz w:val="20"/>
          <w:szCs w:val="20"/>
        </w:rPr>
        <w:t>Figure 1. Distribution of global rating of change scores for all participants (n=363).</w:t>
      </w:r>
      <w:r w:rsidRPr="001C4697">
        <w:rPr>
          <w:rFonts w:ascii="Arial" w:hAnsi="Arial" w:cs="Arial"/>
          <w:sz w:val="20"/>
          <w:szCs w:val="20"/>
        </w:rPr>
        <w:t xml:space="preserve"> </w:t>
      </w:r>
    </w:p>
    <w:p w:rsidR="00E43147" w:rsidRPr="001C4697" w:rsidRDefault="00E43147" w:rsidP="00E43147">
      <w:pPr>
        <w:rPr>
          <w:rFonts w:ascii="Arial" w:hAnsi="Arial" w:cs="Arial"/>
          <w:sz w:val="20"/>
          <w:szCs w:val="20"/>
        </w:rPr>
      </w:pPr>
      <w:r w:rsidRPr="001C4697">
        <w:rPr>
          <w:rFonts w:ascii="Arial" w:hAnsi="Arial" w:cs="Arial"/>
          <w:sz w:val="20"/>
          <w:szCs w:val="20"/>
        </w:rPr>
        <w:br w:type="page"/>
      </w:r>
    </w:p>
    <w:p w:rsidR="00E43147" w:rsidRPr="001C4697" w:rsidRDefault="00E43147" w:rsidP="00E43147">
      <w:pPr>
        <w:rPr>
          <w:rFonts w:ascii="Arial" w:hAnsi="Arial" w:cs="Arial"/>
          <w:sz w:val="20"/>
          <w:szCs w:val="20"/>
        </w:rPr>
      </w:pPr>
    </w:p>
    <w:p w:rsidR="00E43147" w:rsidRPr="001C4697" w:rsidRDefault="00E43147" w:rsidP="00E43147">
      <w:pPr>
        <w:spacing w:after="0" w:line="480" w:lineRule="auto"/>
        <w:rPr>
          <w:rFonts w:ascii="Arial" w:hAnsi="Arial" w:cs="Arial"/>
          <w:sz w:val="20"/>
          <w:szCs w:val="20"/>
        </w:rPr>
      </w:pPr>
      <w:r w:rsidRPr="001C4697">
        <w:rPr>
          <w:rFonts w:ascii="Arial" w:hAnsi="Arial" w:cs="Arial"/>
          <w:noProof/>
          <w:sz w:val="20"/>
          <w:szCs w:val="20"/>
          <w:lang w:eastAsia="en-GB"/>
        </w:rPr>
        <w:drawing>
          <wp:inline distT="0" distB="0" distL="0" distR="0" wp14:anchorId="3089F700" wp14:editId="37D58987">
            <wp:extent cx="5731510" cy="3748654"/>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748654"/>
                    </a:xfrm>
                    <a:prstGeom prst="rect">
                      <a:avLst/>
                    </a:prstGeom>
                    <a:noFill/>
                    <a:ln>
                      <a:noFill/>
                    </a:ln>
                  </pic:spPr>
                </pic:pic>
              </a:graphicData>
            </a:graphic>
          </wp:inline>
        </w:drawing>
      </w:r>
    </w:p>
    <w:p w:rsidR="00E43147" w:rsidRPr="001C4697" w:rsidRDefault="00E43147" w:rsidP="00E43147">
      <w:pPr>
        <w:spacing w:after="0" w:line="480" w:lineRule="auto"/>
        <w:rPr>
          <w:rFonts w:ascii="Arial" w:hAnsi="Arial" w:cs="Arial"/>
          <w:sz w:val="20"/>
          <w:szCs w:val="20"/>
        </w:rPr>
      </w:pPr>
      <w:r w:rsidRPr="001C4697">
        <w:rPr>
          <w:rFonts w:ascii="Arial" w:hAnsi="Arial" w:cs="Arial"/>
          <w:b/>
          <w:sz w:val="20"/>
          <w:szCs w:val="20"/>
        </w:rPr>
        <w:t xml:space="preserve">Figure 2. </w:t>
      </w:r>
      <w:proofErr w:type="spellStart"/>
      <w:r w:rsidRPr="001C4697">
        <w:rPr>
          <w:rFonts w:ascii="Arial" w:hAnsi="Arial" w:cs="Arial"/>
          <w:b/>
          <w:sz w:val="20"/>
          <w:szCs w:val="20"/>
        </w:rPr>
        <w:t>BIoH</w:t>
      </w:r>
      <w:proofErr w:type="spellEnd"/>
      <w:r w:rsidRPr="001C4697">
        <w:rPr>
          <w:rFonts w:ascii="Arial" w:hAnsi="Arial" w:cs="Arial"/>
          <w:b/>
          <w:sz w:val="20"/>
          <w:szCs w:val="20"/>
        </w:rPr>
        <w:t xml:space="preserve"> questionnaire limits of agreement plot for ‘stable’ participants (GRC score </w:t>
      </w:r>
      <w:proofErr w:type="gramStart"/>
      <w:r w:rsidRPr="001C4697">
        <w:rPr>
          <w:rFonts w:ascii="Arial" w:hAnsi="Arial" w:cs="Arial"/>
          <w:b/>
          <w:sz w:val="20"/>
          <w:szCs w:val="20"/>
        </w:rPr>
        <w:t>-1</w:t>
      </w:r>
      <w:proofErr w:type="gramEnd"/>
      <w:r w:rsidRPr="001C4697">
        <w:rPr>
          <w:rFonts w:ascii="Arial" w:hAnsi="Arial" w:cs="Arial"/>
          <w:b/>
          <w:sz w:val="20"/>
          <w:szCs w:val="20"/>
        </w:rPr>
        <w:t xml:space="preserve"> to +1, n=233). </w:t>
      </w:r>
      <w:r w:rsidRPr="001C4697">
        <w:rPr>
          <w:rFonts w:ascii="Arial" w:hAnsi="Arial" w:cs="Arial"/>
          <w:sz w:val="20"/>
          <w:szCs w:val="20"/>
        </w:rPr>
        <w:t xml:space="preserve">Mean between days </w:t>
      </w:r>
      <w:proofErr w:type="spellStart"/>
      <w:r w:rsidRPr="001C4697">
        <w:rPr>
          <w:rFonts w:ascii="Arial" w:hAnsi="Arial" w:cs="Arial"/>
          <w:sz w:val="20"/>
          <w:szCs w:val="20"/>
        </w:rPr>
        <w:t>BIoH</w:t>
      </w:r>
      <w:proofErr w:type="spellEnd"/>
      <w:r w:rsidRPr="001C4697">
        <w:rPr>
          <w:rFonts w:ascii="Arial" w:hAnsi="Arial" w:cs="Arial"/>
          <w:sz w:val="20"/>
          <w:szCs w:val="20"/>
        </w:rPr>
        <w:t xml:space="preserve"> scores are plotted against the between days difference in </w:t>
      </w:r>
      <w:proofErr w:type="spellStart"/>
      <w:r w:rsidRPr="001C4697">
        <w:rPr>
          <w:rFonts w:ascii="Arial" w:hAnsi="Arial" w:cs="Arial"/>
          <w:sz w:val="20"/>
          <w:szCs w:val="20"/>
        </w:rPr>
        <w:t>BIoH</w:t>
      </w:r>
      <w:proofErr w:type="spellEnd"/>
      <w:r w:rsidRPr="001C4697">
        <w:rPr>
          <w:rFonts w:ascii="Arial" w:hAnsi="Arial" w:cs="Arial"/>
          <w:sz w:val="20"/>
          <w:szCs w:val="20"/>
        </w:rPr>
        <w:t xml:space="preserve"> scores for each individual participant. The superimposed lines depict the mean difference score (solid line) and 95% limits of agreement (dashed lines).</w:t>
      </w:r>
      <w:r w:rsidRPr="001C4697">
        <w:rPr>
          <w:sz w:val="20"/>
          <w:szCs w:val="20"/>
        </w:rPr>
        <w:t xml:space="preserve"> </w:t>
      </w:r>
      <w:proofErr w:type="spellStart"/>
      <w:r w:rsidRPr="001C4697">
        <w:rPr>
          <w:rFonts w:ascii="Arial" w:hAnsi="Arial" w:cs="Arial"/>
          <w:sz w:val="20"/>
          <w:szCs w:val="20"/>
        </w:rPr>
        <w:t>LoA</w:t>
      </w:r>
      <w:proofErr w:type="spellEnd"/>
      <w:r w:rsidRPr="001C4697">
        <w:rPr>
          <w:rFonts w:ascii="Arial" w:hAnsi="Arial" w:cs="Arial"/>
          <w:sz w:val="20"/>
          <w:szCs w:val="20"/>
        </w:rPr>
        <w:t xml:space="preserve"> = Limit of Agreement. Mean diff = mean difference.</w:t>
      </w:r>
    </w:p>
    <w:p w:rsidR="00E43147" w:rsidRPr="001C4697" w:rsidRDefault="00E43147" w:rsidP="00E43147">
      <w:pPr>
        <w:rPr>
          <w:rFonts w:ascii="Arial" w:hAnsi="Arial" w:cs="Arial"/>
          <w:sz w:val="20"/>
          <w:szCs w:val="20"/>
        </w:rPr>
      </w:pPr>
      <w:r w:rsidRPr="001C4697">
        <w:rPr>
          <w:rFonts w:ascii="Arial" w:hAnsi="Arial" w:cs="Arial"/>
          <w:sz w:val="20"/>
          <w:szCs w:val="20"/>
        </w:rPr>
        <w:br w:type="page"/>
      </w:r>
    </w:p>
    <w:p w:rsidR="00E43147" w:rsidRPr="001C4697" w:rsidRDefault="00E43147" w:rsidP="00E43147">
      <w:pPr>
        <w:spacing w:after="0" w:line="480" w:lineRule="auto"/>
        <w:rPr>
          <w:rFonts w:ascii="Arial" w:hAnsi="Arial" w:cs="Arial"/>
          <w:b/>
          <w:sz w:val="20"/>
          <w:szCs w:val="20"/>
        </w:rPr>
      </w:pPr>
      <w:r w:rsidRPr="001C4697">
        <w:rPr>
          <w:rFonts w:ascii="Arial" w:hAnsi="Arial" w:cs="Arial"/>
          <w:b/>
          <w:noProof/>
          <w:sz w:val="20"/>
          <w:szCs w:val="20"/>
          <w:lang w:eastAsia="en-GB"/>
        </w:rPr>
        <w:lastRenderedPageBreak/>
        <w:drawing>
          <wp:inline distT="0" distB="0" distL="0" distR="0" wp14:anchorId="1609C14F" wp14:editId="0F49AF32">
            <wp:extent cx="5731510" cy="3748654"/>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748654"/>
                    </a:xfrm>
                    <a:prstGeom prst="rect">
                      <a:avLst/>
                    </a:prstGeom>
                    <a:noFill/>
                    <a:ln>
                      <a:noFill/>
                    </a:ln>
                  </pic:spPr>
                </pic:pic>
              </a:graphicData>
            </a:graphic>
          </wp:inline>
        </w:drawing>
      </w:r>
    </w:p>
    <w:p w:rsidR="00E43147" w:rsidRPr="001C4697" w:rsidRDefault="00E43147" w:rsidP="00E43147">
      <w:pPr>
        <w:spacing w:after="0" w:line="480" w:lineRule="auto"/>
        <w:rPr>
          <w:rFonts w:ascii="Arial" w:hAnsi="Arial" w:cs="Arial"/>
          <w:b/>
          <w:bCs/>
          <w:sz w:val="20"/>
          <w:szCs w:val="20"/>
        </w:rPr>
      </w:pPr>
      <w:r w:rsidRPr="001C4697">
        <w:rPr>
          <w:rFonts w:ascii="Arial" w:hAnsi="Arial" w:cs="Arial"/>
          <w:b/>
          <w:bCs/>
          <w:sz w:val="20"/>
          <w:szCs w:val="20"/>
        </w:rPr>
        <w:t xml:space="preserve">Figure 3. Scatterplot of global assessment of change score against change in </w:t>
      </w:r>
      <w:proofErr w:type="spellStart"/>
      <w:r w:rsidRPr="001C4697">
        <w:rPr>
          <w:rFonts w:ascii="Arial" w:hAnsi="Arial" w:cs="Arial"/>
          <w:b/>
          <w:bCs/>
          <w:sz w:val="20"/>
          <w:szCs w:val="20"/>
        </w:rPr>
        <w:t>BIoH</w:t>
      </w:r>
      <w:proofErr w:type="spellEnd"/>
      <w:r w:rsidRPr="001C4697">
        <w:rPr>
          <w:rFonts w:ascii="Arial" w:hAnsi="Arial" w:cs="Arial"/>
          <w:b/>
          <w:bCs/>
          <w:sz w:val="20"/>
          <w:szCs w:val="20"/>
        </w:rPr>
        <w:t xml:space="preserve"> questionnaire score for all participants (n=363).</w:t>
      </w:r>
    </w:p>
    <w:p w:rsidR="00E43147" w:rsidRPr="001C4697" w:rsidRDefault="00E43147" w:rsidP="00E43147">
      <w:pPr>
        <w:rPr>
          <w:rFonts w:ascii="Arial" w:hAnsi="Arial" w:cs="Arial"/>
          <w:bCs/>
          <w:sz w:val="20"/>
          <w:szCs w:val="20"/>
        </w:rPr>
      </w:pPr>
    </w:p>
    <w:p w:rsidR="00643A15" w:rsidRDefault="00643A15"/>
    <w:sectPr w:rsidR="00643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15709"/>
    <w:multiLevelType w:val="hybridMultilevel"/>
    <w:tmpl w:val="44F83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943629"/>
    <w:multiLevelType w:val="hybridMultilevel"/>
    <w:tmpl w:val="4ECEC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47"/>
    <w:rsid w:val="00643A15"/>
    <w:rsid w:val="00E4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BDCAE-E66D-48CA-95FB-F220D837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147"/>
    <w:rPr>
      <w:color w:val="0563C1" w:themeColor="hyperlink"/>
      <w:u w:val="single"/>
    </w:rPr>
  </w:style>
  <w:style w:type="paragraph" w:styleId="ListParagraph">
    <w:name w:val="List Paragraph"/>
    <w:basedOn w:val="Normal"/>
    <w:uiPriority w:val="34"/>
    <w:qFormat/>
    <w:rsid w:val="00E43147"/>
    <w:pPr>
      <w:ind w:left="720"/>
      <w:contextualSpacing/>
    </w:pPr>
  </w:style>
  <w:style w:type="table" w:styleId="PlainTable4">
    <w:name w:val="Plain Table 4"/>
    <w:basedOn w:val="TableNormal"/>
    <w:uiPriority w:val="44"/>
    <w:rsid w:val="00E431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Shea.Palmer@uwe.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5475</Words>
  <Characters>31208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Palmer</dc:creator>
  <cp:keywords/>
  <dc:description/>
  <cp:lastModifiedBy>Shea Palmer</cp:lastModifiedBy>
  <cp:revision>1</cp:revision>
  <dcterms:created xsi:type="dcterms:W3CDTF">2017-08-31T13:02:00Z</dcterms:created>
  <dcterms:modified xsi:type="dcterms:W3CDTF">2017-08-31T13:06:00Z</dcterms:modified>
</cp:coreProperties>
</file>