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C7BA3" w14:textId="77777777" w:rsidR="0032706E" w:rsidRDefault="0032706E" w:rsidP="0032706E">
      <w:pPr>
        <w:spacing w:after="0" w:line="240" w:lineRule="auto"/>
        <w:jc w:val="center"/>
        <w:rPr>
          <w:rFonts w:ascii="Times New Roman" w:hAnsi="Times New Roman"/>
          <w:b/>
          <w:sz w:val="28"/>
          <w:szCs w:val="28"/>
          <w:lang w:val="en-GB"/>
        </w:rPr>
      </w:pPr>
      <w:r w:rsidRPr="008C73C0">
        <w:rPr>
          <w:rFonts w:ascii="Times New Roman" w:hAnsi="Times New Roman"/>
          <w:b/>
          <w:sz w:val="28"/>
          <w:szCs w:val="28"/>
          <w:lang w:val="en-GB"/>
        </w:rPr>
        <w:t>Does business model experimentation in dynamic contexts enhance value capture?</w:t>
      </w:r>
    </w:p>
    <w:p w14:paraId="13800082" w14:textId="77777777" w:rsidR="0032706E" w:rsidRPr="008C73C0" w:rsidRDefault="0032706E" w:rsidP="0032706E">
      <w:pPr>
        <w:spacing w:after="0" w:line="240" w:lineRule="auto"/>
        <w:jc w:val="center"/>
        <w:rPr>
          <w:rFonts w:ascii="Times New Roman" w:hAnsi="Times New Roman"/>
          <w:b/>
          <w:sz w:val="28"/>
          <w:szCs w:val="28"/>
          <w:lang w:val="en-GB"/>
        </w:rPr>
      </w:pPr>
    </w:p>
    <w:p w14:paraId="30A046C1" w14:textId="77777777" w:rsidR="0032706E" w:rsidRPr="009326D1" w:rsidRDefault="0032706E" w:rsidP="0032706E">
      <w:pPr>
        <w:jc w:val="center"/>
        <w:rPr>
          <w:rStyle w:val="Emphasis"/>
          <w:rFonts w:ascii="Times New Roman" w:hAnsi="Times New Roman"/>
          <w:i w:val="0"/>
          <w:iCs/>
        </w:rPr>
      </w:pPr>
      <w:proofErr w:type="spellStart"/>
      <w:r>
        <w:rPr>
          <w:rStyle w:val="Emphasis"/>
          <w:rFonts w:ascii="Times New Roman" w:hAnsi="Times New Roman"/>
          <w:iCs/>
        </w:rPr>
        <w:t>Dr</w:t>
      </w:r>
      <w:proofErr w:type="spellEnd"/>
      <w:r>
        <w:rPr>
          <w:rStyle w:val="Emphasis"/>
          <w:rFonts w:ascii="Times New Roman" w:hAnsi="Times New Roman"/>
          <w:iCs/>
        </w:rPr>
        <w:t xml:space="preserve"> </w:t>
      </w:r>
      <w:proofErr w:type="spellStart"/>
      <w:r>
        <w:rPr>
          <w:rStyle w:val="Emphasis"/>
          <w:rFonts w:ascii="Times New Roman" w:hAnsi="Times New Roman"/>
          <w:iCs/>
        </w:rPr>
        <w:t>Ferran</w:t>
      </w:r>
      <w:proofErr w:type="spellEnd"/>
      <w:r>
        <w:rPr>
          <w:rStyle w:val="Emphasis"/>
          <w:rFonts w:ascii="Times New Roman" w:hAnsi="Times New Roman"/>
          <w:iCs/>
        </w:rPr>
        <w:t xml:space="preserve"> Vendrell-Herrero‡‡, P</w:t>
      </w:r>
      <w:r w:rsidRPr="009326D1">
        <w:rPr>
          <w:rStyle w:val="Emphasis"/>
          <w:rFonts w:ascii="Times New Roman" w:hAnsi="Times New Roman"/>
          <w:iCs/>
        </w:rPr>
        <w:t>r</w:t>
      </w:r>
      <w:r>
        <w:rPr>
          <w:rStyle w:val="Emphasis"/>
          <w:rFonts w:ascii="Times New Roman" w:hAnsi="Times New Roman"/>
          <w:iCs/>
        </w:rPr>
        <w:t>of.</w:t>
      </w:r>
      <w:r w:rsidRPr="009326D1">
        <w:rPr>
          <w:rStyle w:val="Emphasis"/>
          <w:rFonts w:ascii="Times New Roman" w:hAnsi="Times New Roman"/>
          <w:iCs/>
        </w:rPr>
        <w:t xml:space="preserve"> Glenn Parry†, </w:t>
      </w:r>
      <w:proofErr w:type="spellStart"/>
      <w:r w:rsidRPr="009326D1">
        <w:rPr>
          <w:rStyle w:val="Emphasis"/>
          <w:rFonts w:ascii="Times New Roman" w:hAnsi="Times New Roman"/>
          <w:iCs/>
        </w:rPr>
        <w:t>Dr</w:t>
      </w:r>
      <w:proofErr w:type="spellEnd"/>
      <w:r w:rsidRPr="009326D1">
        <w:rPr>
          <w:rStyle w:val="Emphasis"/>
          <w:rFonts w:ascii="Times New Roman" w:hAnsi="Times New Roman"/>
          <w:iCs/>
        </w:rPr>
        <w:t xml:space="preserve"> </w:t>
      </w:r>
      <w:r>
        <w:rPr>
          <w:rStyle w:val="Emphasis"/>
          <w:rFonts w:ascii="Times New Roman" w:hAnsi="Times New Roman"/>
          <w:iCs/>
        </w:rPr>
        <w:t xml:space="preserve">Marco </w:t>
      </w:r>
      <w:proofErr w:type="spellStart"/>
      <w:r>
        <w:rPr>
          <w:rStyle w:val="Emphasis"/>
          <w:rFonts w:ascii="Times New Roman" w:hAnsi="Times New Roman"/>
          <w:iCs/>
        </w:rPr>
        <w:t>Opazo</w:t>
      </w:r>
      <w:proofErr w:type="spellEnd"/>
      <w:r w:rsidRPr="009326D1">
        <w:rPr>
          <w:rStyle w:val="Emphasis"/>
          <w:rFonts w:ascii="Times New Roman" w:hAnsi="Times New Roman"/>
          <w:iCs/>
        </w:rPr>
        <w:t xml:space="preserve">‡*, and </w:t>
      </w:r>
      <w:proofErr w:type="spellStart"/>
      <w:r w:rsidRPr="009326D1">
        <w:rPr>
          <w:rStyle w:val="Emphasis"/>
          <w:rFonts w:ascii="Times New Roman" w:hAnsi="Times New Roman"/>
          <w:iCs/>
        </w:rPr>
        <w:t>Dr</w:t>
      </w:r>
      <w:proofErr w:type="spellEnd"/>
      <w:r w:rsidRPr="009326D1">
        <w:rPr>
          <w:rStyle w:val="Emphasis"/>
          <w:rFonts w:ascii="Times New Roman" w:hAnsi="Times New Roman"/>
          <w:iCs/>
        </w:rPr>
        <w:t xml:space="preserve"> Francisco J. </w:t>
      </w:r>
      <w:proofErr w:type="spellStart"/>
      <w:r w:rsidRPr="009326D1">
        <w:rPr>
          <w:rStyle w:val="Emphasis"/>
          <w:rFonts w:ascii="Times New Roman" w:hAnsi="Times New Roman"/>
          <w:iCs/>
        </w:rPr>
        <w:t>Sanchez</w:t>
      </w:r>
      <w:proofErr w:type="spellEnd"/>
      <w:r w:rsidRPr="009326D1">
        <w:rPr>
          <w:rStyle w:val="Emphasis"/>
          <w:rFonts w:ascii="Times New Roman" w:hAnsi="Times New Roman"/>
          <w:iCs/>
        </w:rPr>
        <w:t>-Montesinos</w:t>
      </w:r>
    </w:p>
    <w:p w14:paraId="0FC7378D" w14:textId="77777777" w:rsidR="0032706E" w:rsidRPr="001C3835" w:rsidRDefault="0032706E" w:rsidP="0032706E">
      <w:pPr>
        <w:jc w:val="center"/>
        <w:rPr>
          <w:rStyle w:val="Emphasis"/>
          <w:rFonts w:ascii="Times New Roman" w:hAnsi="Times New Roman"/>
          <w:iCs/>
          <w:lang w:val="en-US"/>
        </w:rPr>
      </w:pPr>
      <w:r w:rsidRPr="001C3835">
        <w:rPr>
          <w:rStyle w:val="Emphasis"/>
          <w:rFonts w:ascii="Times New Roman" w:hAnsi="Times New Roman"/>
          <w:iCs/>
          <w:lang w:val="en-US"/>
        </w:rPr>
        <w:t>‡‡ University of Birmingham</w:t>
      </w:r>
      <w:r>
        <w:rPr>
          <w:rStyle w:val="Emphasis"/>
          <w:rFonts w:ascii="Times New Roman" w:hAnsi="Times New Roman"/>
          <w:iCs/>
          <w:lang w:val="en-US"/>
        </w:rPr>
        <w:t xml:space="preserve">, </w:t>
      </w:r>
      <w:r w:rsidRPr="00F539D8">
        <w:rPr>
          <w:rFonts w:ascii="Times New Roman" w:hAnsi="Times New Roman"/>
          <w:i/>
          <w:lang w:val="en-US"/>
        </w:rPr>
        <w:t>B15 2TT</w:t>
      </w:r>
      <w:r>
        <w:rPr>
          <w:rFonts w:ascii="Times New Roman" w:hAnsi="Times New Roman"/>
          <w:i/>
          <w:lang w:val="en-US"/>
        </w:rPr>
        <w:t xml:space="preserve"> </w:t>
      </w:r>
      <w:r w:rsidRPr="001C3835">
        <w:rPr>
          <w:rFonts w:ascii="Times New Roman" w:hAnsi="Times New Roman"/>
          <w:i/>
          <w:lang w:val="en-GB"/>
        </w:rPr>
        <w:t>Birmingham</w:t>
      </w:r>
      <w:r>
        <w:rPr>
          <w:rFonts w:ascii="Times New Roman" w:hAnsi="Times New Roman"/>
          <w:i/>
          <w:lang w:val="en-GB"/>
        </w:rPr>
        <w:t>, United Kingdom</w:t>
      </w:r>
    </w:p>
    <w:p w14:paraId="68AAE31A" w14:textId="77777777" w:rsidR="0032706E" w:rsidRPr="00E8402B" w:rsidRDefault="0032706E" w:rsidP="0032706E">
      <w:pPr>
        <w:jc w:val="center"/>
        <w:rPr>
          <w:rStyle w:val="Emphasis"/>
          <w:rFonts w:ascii="Times New Roman" w:hAnsi="Times New Roman"/>
          <w:iCs/>
          <w:lang w:val="en-US"/>
        </w:rPr>
      </w:pPr>
      <w:r w:rsidRPr="001C3835">
        <w:rPr>
          <w:rStyle w:val="Emphasis"/>
          <w:rFonts w:ascii="Times New Roman" w:hAnsi="Times New Roman"/>
          <w:iCs/>
          <w:lang w:val="en-US"/>
        </w:rPr>
        <w:t xml:space="preserve">††Bristol Business School, </w:t>
      </w:r>
      <w:r w:rsidRPr="001C3835">
        <w:rPr>
          <w:rStyle w:val="Emphasis"/>
          <w:rFonts w:ascii="Times New Roman" w:hAnsi="Times New Roman"/>
          <w:iCs/>
          <w:lang w:val="en-GB"/>
        </w:rPr>
        <w:t>University</w:t>
      </w:r>
      <w:r w:rsidRPr="001C3835">
        <w:rPr>
          <w:rStyle w:val="Emphasis"/>
          <w:rFonts w:ascii="Times New Roman" w:hAnsi="Times New Roman"/>
          <w:iCs/>
          <w:lang w:val="en-US"/>
        </w:rPr>
        <w:t xml:space="preserve"> of</w:t>
      </w:r>
      <w:r w:rsidRPr="001C3835">
        <w:rPr>
          <w:rStyle w:val="Emphasis"/>
          <w:rFonts w:ascii="Times New Roman" w:hAnsi="Times New Roman"/>
          <w:iCs/>
          <w:lang w:val="en-GB"/>
        </w:rPr>
        <w:t xml:space="preserve"> the</w:t>
      </w:r>
      <w:r w:rsidRPr="001C3835">
        <w:rPr>
          <w:rStyle w:val="Emphasis"/>
          <w:rFonts w:ascii="Times New Roman" w:hAnsi="Times New Roman"/>
          <w:iCs/>
          <w:lang w:val="en-US"/>
        </w:rPr>
        <w:t xml:space="preserve"> West of England</w:t>
      </w:r>
      <w:r>
        <w:rPr>
          <w:rStyle w:val="Emphasis"/>
          <w:rFonts w:ascii="Times New Roman" w:hAnsi="Times New Roman"/>
          <w:iCs/>
          <w:lang w:val="en-US"/>
        </w:rPr>
        <w:t xml:space="preserve">, </w:t>
      </w:r>
      <w:r w:rsidRPr="00E8402B">
        <w:rPr>
          <w:rFonts w:ascii="Times New Roman" w:hAnsi="Times New Roman"/>
          <w:i/>
          <w:iCs/>
          <w:lang w:val="en-US"/>
        </w:rPr>
        <w:t>BS16 1QY</w:t>
      </w:r>
      <w:r>
        <w:rPr>
          <w:rFonts w:ascii="Times New Roman" w:hAnsi="Times New Roman"/>
          <w:i/>
          <w:iCs/>
          <w:lang w:val="en-US"/>
        </w:rPr>
        <w:t xml:space="preserve"> Bristol, </w:t>
      </w:r>
      <w:r>
        <w:rPr>
          <w:rFonts w:ascii="Times New Roman" w:hAnsi="Times New Roman"/>
          <w:i/>
          <w:lang w:val="en-GB"/>
        </w:rPr>
        <w:t>United Kingdom</w:t>
      </w:r>
    </w:p>
    <w:p w14:paraId="7ED75633" w14:textId="77777777" w:rsidR="0032706E" w:rsidRPr="009326D1" w:rsidRDefault="0032706E" w:rsidP="0032706E">
      <w:pPr>
        <w:jc w:val="center"/>
        <w:rPr>
          <w:rStyle w:val="Emphasis"/>
          <w:rFonts w:ascii="Times New Roman" w:hAnsi="Times New Roman"/>
          <w:iCs/>
          <w:lang w:val="en-US"/>
        </w:rPr>
      </w:pPr>
      <w:r w:rsidRPr="009326D1">
        <w:rPr>
          <w:rStyle w:val="Emphasis"/>
          <w:rFonts w:ascii="Times New Roman" w:hAnsi="Times New Roman"/>
          <w:iCs/>
          <w:lang w:val="en-US"/>
        </w:rPr>
        <w:t>‡*</w:t>
      </w:r>
      <w:r>
        <w:rPr>
          <w:rStyle w:val="Emphasis"/>
          <w:rFonts w:ascii="Times New Roman" w:hAnsi="Times New Roman"/>
          <w:iCs/>
          <w:lang w:val="en-US"/>
        </w:rPr>
        <w:t xml:space="preserve">University of </w:t>
      </w:r>
      <w:proofErr w:type="spellStart"/>
      <w:r>
        <w:rPr>
          <w:rStyle w:val="Emphasis"/>
          <w:rFonts w:ascii="Times New Roman" w:hAnsi="Times New Roman"/>
          <w:iCs/>
          <w:lang w:val="en-US"/>
        </w:rPr>
        <w:t>Deusto</w:t>
      </w:r>
      <w:proofErr w:type="spellEnd"/>
      <w:r w:rsidRPr="009326D1">
        <w:rPr>
          <w:rStyle w:val="Emphasis"/>
          <w:rFonts w:ascii="Times New Roman" w:hAnsi="Times New Roman"/>
          <w:iCs/>
          <w:lang w:val="en-US"/>
        </w:rPr>
        <w:t>,</w:t>
      </w:r>
      <w:r>
        <w:rPr>
          <w:rStyle w:val="Emphasis"/>
          <w:rFonts w:ascii="Times New Roman" w:hAnsi="Times New Roman"/>
          <w:iCs/>
          <w:lang w:val="en-US"/>
        </w:rPr>
        <w:t xml:space="preserve"> xxx</w:t>
      </w:r>
      <w:r w:rsidRPr="009326D1">
        <w:rPr>
          <w:rStyle w:val="Emphasis"/>
          <w:rFonts w:ascii="Times New Roman" w:hAnsi="Times New Roman"/>
          <w:iCs/>
          <w:lang w:val="en-US"/>
        </w:rPr>
        <w:t xml:space="preserve"> </w:t>
      </w:r>
      <w:r>
        <w:rPr>
          <w:rStyle w:val="Emphasis"/>
          <w:rFonts w:ascii="Times New Roman" w:hAnsi="Times New Roman"/>
          <w:iCs/>
          <w:lang w:val="en-US"/>
        </w:rPr>
        <w:t>Bilbao</w:t>
      </w:r>
      <w:r w:rsidRPr="009326D1">
        <w:rPr>
          <w:rStyle w:val="Emphasis"/>
          <w:rFonts w:ascii="Times New Roman" w:hAnsi="Times New Roman"/>
          <w:iCs/>
          <w:lang w:val="en-US"/>
        </w:rPr>
        <w:t>, Spain</w:t>
      </w:r>
    </w:p>
    <w:p w14:paraId="2612E91A" w14:textId="77777777" w:rsidR="0032706E" w:rsidRPr="009326D1" w:rsidRDefault="0032706E" w:rsidP="0032706E">
      <w:pPr>
        <w:jc w:val="center"/>
        <w:rPr>
          <w:rFonts w:ascii="Times New Roman" w:hAnsi="Times New Roman"/>
          <w:i/>
          <w:iCs/>
          <w:lang w:val="en-US"/>
        </w:rPr>
      </w:pPr>
      <w:r w:rsidRPr="001C3835">
        <w:rPr>
          <w:rStyle w:val="Emphasis"/>
          <w:rFonts w:ascii="Times New Roman" w:hAnsi="Times New Roman"/>
          <w:iCs/>
          <w:lang w:val="en-US"/>
        </w:rPr>
        <w:t>†</w:t>
      </w:r>
      <w:proofErr w:type="spellStart"/>
      <w:r w:rsidRPr="009326D1">
        <w:rPr>
          <w:rStyle w:val="Emphasis"/>
          <w:rFonts w:ascii="Times New Roman" w:hAnsi="Times New Roman"/>
          <w:iCs/>
          <w:lang w:val="en-US"/>
        </w:rPr>
        <w:t>Complutense</w:t>
      </w:r>
      <w:proofErr w:type="spellEnd"/>
      <w:r w:rsidRPr="009326D1">
        <w:rPr>
          <w:rStyle w:val="Emphasis"/>
          <w:rFonts w:ascii="Times New Roman" w:hAnsi="Times New Roman"/>
          <w:iCs/>
          <w:lang w:val="en-US"/>
        </w:rPr>
        <w:t xml:space="preserve"> University of Madrid, 28040 Madrid, Spain </w:t>
      </w:r>
    </w:p>
    <w:p w14:paraId="3E85469D" w14:textId="77777777" w:rsidR="0032706E" w:rsidRPr="002F4313" w:rsidRDefault="0032706E" w:rsidP="0032706E">
      <w:pPr>
        <w:ind w:left="567" w:right="566"/>
        <w:outlineLvl w:val="0"/>
        <w:rPr>
          <w:rFonts w:ascii="Times New Roman" w:hAnsi="Times New Roman"/>
          <w:b/>
        </w:rPr>
      </w:pPr>
      <w:proofErr w:type="spellStart"/>
      <w:r w:rsidRPr="002F4313">
        <w:rPr>
          <w:rFonts w:ascii="Times New Roman" w:hAnsi="Times New Roman"/>
          <w:b/>
        </w:rPr>
        <w:t>Abstract</w:t>
      </w:r>
      <w:proofErr w:type="spellEnd"/>
      <w:r w:rsidRPr="002F4313">
        <w:rPr>
          <w:rFonts w:ascii="Times New Roman" w:hAnsi="Times New Roman"/>
          <w:b/>
        </w:rPr>
        <w:t>:</w:t>
      </w:r>
    </w:p>
    <w:p w14:paraId="19F2C968" w14:textId="77777777" w:rsidR="0032706E" w:rsidRDefault="0032706E" w:rsidP="0032706E">
      <w:pPr>
        <w:ind w:left="567" w:right="566"/>
        <w:rPr>
          <w:rFonts w:ascii="Times New Roman" w:hAnsi="Times New Roman"/>
          <w:color w:val="000000"/>
          <w:lang w:val="en-GB"/>
        </w:rPr>
      </w:pPr>
      <w:r w:rsidRPr="00D90C72">
        <w:rPr>
          <w:rFonts w:ascii="Times New Roman" w:hAnsi="Times New Roman"/>
          <w:color w:val="000000"/>
          <w:lang w:val="en-GB"/>
        </w:rPr>
        <w:t xml:space="preserve">Established theory suggests that firms experiment with business models in dynamic contexts. However, the relationship between business model experimentation and organizational performance remains unclear. Barriers to empirical analysis exist as experimental business models are normally utilised by new market entrants and the unit of analysis to test a business model in dynamic contexts extends beyond traditional firm boundaries. To overcome these barriers, we propose an assessment of the economic value of business model experimentation in dynamic contexts by defining the unit of analysis at the industry level. Analysis draws upon a unique panel dataset from the recorded music industry composed of 414 observations from 32 countries for the period 1998–2010. Evidence is provided of the relationship between sales format diversity, taken as a proxy measure of business model experimentation, and industry revenues as the measure of value captured. Both measures have been validated by industry experts. The results show two optimal modes for maximising value capture in dynamic contexts. First, if a dominant format exists, a ‘network’ effect becomes prevalent which has a positive impact upon revenue. Second, when firms engage in experimentation leading to a highly diversified set of business models the industry sector becomes better able to capture value from diverse and changing consumer needs. </w:t>
      </w:r>
    </w:p>
    <w:p w14:paraId="1225627E" w14:textId="77777777" w:rsidR="0032706E" w:rsidRDefault="0032706E" w:rsidP="0032706E">
      <w:pPr>
        <w:ind w:left="567" w:right="566"/>
        <w:rPr>
          <w:rFonts w:ascii="Times New Roman" w:hAnsi="Times New Roman"/>
          <w:lang w:val="en-GB"/>
        </w:rPr>
      </w:pPr>
      <w:r w:rsidRPr="001C3835">
        <w:rPr>
          <w:rFonts w:ascii="Times New Roman" w:hAnsi="Times New Roman"/>
          <w:b/>
          <w:lang w:val="en-GB"/>
        </w:rPr>
        <w:t xml:space="preserve">Keywords: </w:t>
      </w:r>
      <w:r>
        <w:rPr>
          <w:rFonts w:ascii="Times New Roman" w:hAnsi="Times New Roman"/>
          <w:lang w:val="en-GB"/>
        </w:rPr>
        <w:t>Business model, E</w:t>
      </w:r>
      <w:r w:rsidRPr="001C3835">
        <w:rPr>
          <w:rFonts w:ascii="Times New Roman" w:hAnsi="Times New Roman"/>
          <w:lang w:val="en-GB"/>
        </w:rPr>
        <w:t>xperimentation, Value capture, Music industry, Format density</w:t>
      </w:r>
      <w:r>
        <w:rPr>
          <w:rFonts w:ascii="Times New Roman" w:hAnsi="Times New Roman"/>
          <w:lang w:val="en-GB"/>
        </w:rPr>
        <w:t>.</w:t>
      </w:r>
    </w:p>
    <w:p w14:paraId="3F4028BB" w14:textId="77777777" w:rsidR="0032706E" w:rsidRDefault="0032706E" w:rsidP="0032706E">
      <w:pPr>
        <w:ind w:left="567" w:right="566"/>
        <w:rPr>
          <w:rFonts w:ascii="Times New Roman" w:hAnsi="Times New Roman"/>
          <w:lang w:val="en-GB"/>
        </w:rPr>
      </w:pPr>
    </w:p>
    <w:p w14:paraId="1B67672D" w14:textId="77777777" w:rsidR="0032706E" w:rsidRDefault="0032706E" w:rsidP="0032706E">
      <w:pPr>
        <w:ind w:left="567" w:right="566"/>
        <w:rPr>
          <w:rFonts w:ascii="Times New Roman" w:hAnsi="Times New Roman"/>
          <w:lang w:val="en-GB"/>
        </w:rPr>
      </w:pPr>
    </w:p>
    <w:p w14:paraId="68EDE9A2" w14:textId="77777777" w:rsidR="0032706E" w:rsidRPr="004516F9" w:rsidRDefault="0032706E" w:rsidP="0032706E">
      <w:pPr>
        <w:spacing w:line="360" w:lineRule="auto"/>
        <w:jc w:val="both"/>
        <w:rPr>
          <w:rStyle w:val="Emphasis"/>
          <w:rFonts w:ascii="Times New Roman" w:hAnsi="Times New Roman"/>
          <w:b/>
          <w:i w:val="0"/>
          <w:iCs/>
          <w:sz w:val="24"/>
          <w:szCs w:val="24"/>
          <w:lang w:val="en-US"/>
        </w:rPr>
      </w:pPr>
      <w:r w:rsidRPr="004516F9">
        <w:rPr>
          <w:rStyle w:val="Emphasis"/>
          <w:rFonts w:ascii="Times New Roman" w:hAnsi="Times New Roman"/>
          <w:b/>
          <w:iCs/>
          <w:sz w:val="24"/>
          <w:szCs w:val="24"/>
          <w:lang w:val="en-US"/>
        </w:rPr>
        <w:t>Acknowledgement</w:t>
      </w:r>
    </w:p>
    <w:p w14:paraId="0A28E637" w14:textId="77777777" w:rsidR="0032706E" w:rsidRPr="005B75A7" w:rsidRDefault="0032706E" w:rsidP="0032706E">
      <w:pPr>
        <w:jc w:val="both"/>
        <w:rPr>
          <w:rFonts w:ascii="Times New Roman" w:hAnsi="Times New Roman"/>
          <w:iCs/>
          <w:color w:val="000000"/>
          <w:lang w:val="en-GB"/>
        </w:rPr>
      </w:pPr>
      <w:r w:rsidRPr="005B75A7">
        <w:rPr>
          <w:rFonts w:ascii="Times New Roman" w:hAnsi="Times New Roman"/>
          <w:iCs/>
          <w:color w:val="000000"/>
          <w:lang w:val="en-GB"/>
        </w:rPr>
        <w:t>The authors would like to acknowledge the guidance and review provided by Duane Ireland</w:t>
      </w:r>
      <w:r>
        <w:rPr>
          <w:rFonts w:ascii="Times New Roman" w:hAnsi="Times New Roman"/>
          <w:iCs/>
          <w:color w:val="000000"/>
          <w:lang w:val="en-GB"/>
        </w:rPr>
        <w:t xml:space="preserve">, </w:t>
      </w:r>
      <w:r w:rsidRPr="005B75A7">
        <w:rPr>
          <w:rFonts w:ascii="Times New Roman" w:hAnsi="Times New Roman"/>
          <w:iCs/>
          <w:color w:val="000000"/>
          <w:lang w:val="en-GB"/>
        </w:rPr>
        <w:t>Will Mitchell</w:t>
      </w:r>
      <w:r>
        <w:rPr>
          <w:rFonts w:ascii="Times New Roman" w:hAnsi="Times New Roman"/>
          <w:iCs/>
          <w:color w:val="000000"/>
          <w:lang w:val="en-GB"/>
        </w:rPr>
        <w:t xml:space="preserve">, Steve Tallman, </w:t>
      </w:r>
      <w:r w:rsidRPr="005B75A7">
        <w:rPr>
          <w:rFonts w:ascii="Times New Roman" w:hAnsi="Times New Roman"/>
          <w:iCs/>
          <w:color w:val="000000"/>
          <w:lang w:val="en-GB"/>
        </w:rPr>
        <w:t xml:space="preserve">and Nick </w:t>
      </w:r>
      <w:proofErr w:type="spellStart"/>
      <w:r w:rsidRPr="005B75A7">
        <w:rPr>
          <w:rFonts w:ascii="Times New Roman" w:hAnsi="Times New Roman"/>
          <w:iCs/>
          <w:color w:val="000000"/>
          <w:lang w:val="en-GB"/>
        </w:rPr>
        <w:t>Zubanov</w:t>
      </w:r>
      <w:proofErr w:type="spellEnd"/>
      <w:r w:rsidRPr="005B75A7">
        <w:rPr>
          <w:rFonts w:ascii="Times New Roman" w:hAnsi="Times New Roman"/>
          <w:iCs/>
          <w:color w:val="000000"/>
          <w:lang w:val="en-GB"/>
        </w:rPr>
        <w:t xml:space="preserve">. </w:t>
      </w:r>
      <w:proofErr w:type="spellStart"/>
      <w:r w:rsidRPr="005B75A7">
        <w:rPr>
          <w:rFonts w:ascii="Times New Roman" w:hAnsi="Times New Roman"/>
          <w:iCs/>
          <w:color w:val="000000"/>
          <w:lang w:val="en-GB"/>
        </w:rPr>
        <w:t>Ferran</w:t>
      </w:r>
      <w:proofErr w:type="spellEnd"/>
      <w:r w:rsidRPr="005B75A7">
        <w:rPr>
          <w:rFonts w:ascii="Times New Roman" w:hAnsi="Times New Roman"/>
          <w:iCs/>
          <w:color w:val="000000"/>
          <w:lang w:val="en-GB"/>
        </w:rPr>
        <w:t xml:space="preserve"> </w:t>
      </w:r>
      <w:proofErr w:type="spellStart"/>
      <w:r w:rsidRPr="005B75A7">
        <w:rPr>
          <w:rFonts w:ascii="Times New Roman" w:hAnsi="Times New Roman"/>
          <w:iCs/>
          <w:color w:val="000000"/>
          <w:lang w:val="en-GB"/>
        </w:rPr>
        <w:t>Vendrell</w:t>
      </w:r>
      <w:proofErr w:type="spellEnd"/>
      <w:r w:rsidRPr="005B75A7">
        <w:rPr>
          <w:rFonts w:ascii="Times New Roman" w:hAnsi="Times New Roman"/>
          <w:iCs/>
          <w:color w:val="000000"/>
          <w:lang w:val="en-GB"/>
        </w:rPr>
        <w:t xml:space="preserve">-Herrero and Oscar F. </w:t>
      </w:r>
      <w:proofErr w:type="spellStart"/>
      <w:r w:rsidRPr="005B75A7">
        <w:rPr>
          <w:rFonts w:ascii="Times New Roman" w:hAnsi="Times New Roman"/>
          <w:iCs/>
          <w:color w:val="000000"/>
          <w:lang w:val="en-GB"/>
        </w:rPr>
        <w:t>Bustinza</w:t>
      </w:r>
      <w:proofErr w:type="spellEnd"/>
      <w:r w:rsidRPr="005B75A7">
        <w:rPr>
          <w:rFonts w:ascii="Times New Roman" w:hAnsi="Times New Roman"/>
          <w:iCs/>
          <w:color w:val="000000"/>
          <w:lang w:val="en-GB"/>
        </w:rPr>
        <w:t xml:space="preserve"> acknowledge financial support from H2020-RISE project “MAKERS: Smart Manufacturing for EU Growth and Prosperity”, </w:t>
      </w:r>
      <w:r>
        <w:rPr>
          <w:rFonts w:ascii="Times New Roman" w:hAnsi="Times New Roman"/>
          <w:iCs/>
          <w:color w:val="000000"/>
          <w:lang w:val="en-GB"/>
        </w:rPr>
        <w:t xml:space="preserve">and </w:t>
      </w:r>
      <w:r w:rsidRPr="005B75A7">
        <w:rPr>
          <w:rFonts w:ascii="Times New Roman" w:hAnsi="Times New Roman"/>
          <w:iCs/>
          <w:color w:val="000000"/>
          <w:lang w:val="en-GB"/>
        </w:rPr>
        <w:t>grant ECO2014</w:t>
      </w:r>
      <w:r>
        <w:rPr>
          <w:rFonts w:ascii="Times New Roman" w:hAnsi="Times New Roman"/>
          <w:iCs/>
          <w:color w:val="000000"/>
          <w:lang w:val="en-GB"/>
        </w:rPr>
        <w:t>-58472-R</w:t>
      </w:r>
      <w:r w:rsidRPr="005B75A7">
        <w:rPr>
          <w:rFonts w:ascii="Times New Roman" w:hAnsi="Times New Roman"/>
          <w:iCs/>
          <w:color w:val="000000"/>
          <w:lang w:val="en-GB"/>
        </w:rPr>
        <w:t>.</w:t>
      </w:r>
    </w:p>
    <w:p w14:paraId="5E1470D8" w14:textId="77777777" w:rsidR="0032706E" w:rsidRDefault="0032706E" w:rsidP="0032706E">
      <w:pPr>
        <w:ind w:left="567" w:right="566"/>
        <w:rPr>
          <w:rFonts w:ascii="Times New Roman" w:hAnsi="Times New Roman"/>
          <w:lang w:val="en-GB"/>
        </w:rPr>
      </w:pPr>
    </w:p>
    <w:p w14:paraId="5139F665" w14:textId="77777777" w:rsidR="0032706E" w:rsidRDefault="0032706E" w:rsidP="0032706E">
      <w:pPr>
        <w:ind w:left="567" w:right="566"/>
        <w:rPr>
          <w:rFonts w:ascii="Times New Roman" w:hAnsi="Times New Roman"/>
          <w:lang w:val="en-GB"/>
        </w:rPr>
      </w:pPr>
    </w:p>
    <w:p w14:paraId="42F46343" w14:textId="0EDF237D" w:rsidR="0032706E" w:rsidRDefault="0032706E" w:rsidP="0032706E">
      <w:pPr>
        <w:ind w:left="1134"/>
        <w:rPr>
          <w:rFonts w:ascii="Times New Roman" w:hAnsi="Times New Roman"/>
          <w:b/>
          <w:iCs/>
          <w:lang w:val="en-US"/>
        </w:rPr>
      </w:pPr>
      <w:r>
        <w:rPr>
          <w:rFonts w:ascii="Times New Roman" w:hAnsi="Times New Roman"/>
          <w:b/>
          <w:iCs/>
          <w:lang w:val="en-US"/>
        </w:rPr>
        <w:lastRenderedPageBreak/>
        <w:t>BIOGRAPHICAL NOTE</w:t>
      </w:r>
    </w:p>
    <w:p w14:paraId="365D2C8E" w14:textId="28EE5082" w:rsidR="0032706E" w:rsidRPr="0032706E" w:rsidRDefault="0032706E" w:rsidP="0032706E">
      <w:pPr>
        <w:ind w:left="1134"/>
        <w:rPr>
          <w:rFonts w:ascii="Times New Roman" w:hAnsi="Times New Roman"/>
          <w:iCs/>
          <w:lang w:val="en-GB"/>
        </w:rPr>
      </w:pPr>
      <w:r>
        <w:rPr>
          <w:noProof/>
          <w:lang w:val="en-GB" w:eastAsia="en-GB"/>
        </w:rPr>
        <w:drawing>
          <wp:anchor distT="0" distB="0" distL="114300" distR="114300" simplePos="0" relativeHeight="251659264" behindDoc="0" locked="0" layoutInCell="1" allowOverlap="1" wp14:anchorId="4B50056A" wp14:editId="57EC9BE2">
            <wp:simplePos x="0" y="0"/>
            <wp:positionH relativeFrom="column">
              <wp:posOffset>-175260</wp:posOffset>
            </wp:positionH>
            <wp:positionV relativeFrom="paragraph">
              <wp:posOffset>33655</wp:posOffset>
            </wp:positionV>
            <wp:extent cx="800100" cy="800100"/>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1C3835">
        <w:rPr>
          <w:rFonts w:ascii="Times New Roman" w:hAnsi="Times New Roman"/>
          <w:b/>
          <w:iCs/>
          <w:lang w:val="en-US"/>
        </w:rPr>
        <w:t>Ferran</w:t>
      </w:r>
      <w:proofErr w:type="spellEnd"/>
      <w:r w:rsidRPr="001C3835">
        <w:rPr>
          <w:rFonts w:ascii="Times New Roman" w:hAnsi="Times New Roman"/>
          <w:b/>
          <w:iCs/>
          <w:lang w:val="en-US"/>
        </w:rPr>
        <w:t xml:space="preserve"> </w:t>
      </w:r>
      <w:proofErr w:type="spellStart"/>
      <w:r w:rsidRPr="001C3835">
        <w:rPr>
          <w:rFonts w:ascii="Times New Roman" w:hAnsi="Times New Roman"/>
          <w:b/>
          <w:iCs/>
          <w:lang w:val="en-US"/>
        </w:rPr>
        <w:t>Vendrell</w:t>
      </w:r>
      <w:proofErr w:type="spellEnd"/>
      <w:r w:rsidRPr="001C3835">
        <w:rPr>
          <w:rFonts w:ascii="Times New Roman" w:hAnsi="Times New Roman"/>
          <w:b/>
          <w:iCs/>
          <w:lang w:val="en-US"/>
        </w:rPr>
        <w:t>-Herrero</w:t>
      </w:r>
      <w:r w:rsidRPr="001C3835">
        <w:rPr>
          <w:rFonts w:ascii="Times New Roman" w:hAnsi="Times New Roman"/>
          <w:iCs/>
          <w:lang w:val="en-US"/>
        </w:rPr>
        <w:t>, Ph.D.</w:t>
      </w:r>
      <w:r>
        <w:rPr>
          <w:rFonts w:ascii="Times New Roman" w:hAnsi="Times New Roman"/>
          <w:iCs/>
          <w:lang w:val="en-US"/>
        </w:rPr>
        <w:t xml:space="preserve"> </w:t>
      </w:r>
      <w:r w:rsidRPr="001C3835">
        <w:rPr>
          <w:rFonts w:ascii="Times New Roman" w:hAnsi="Times New Roman"/>
          <w:iCs/>
          <w:lang w:val="en-US"/>
        </w:rPr>
        <w:t>(</w:t>
      </w:r>
      <w:proofErr w:type="spellStart"/>
      <w:r w:rsidRPr="001C3835">
        <w:rPr>
          <w:rFonts w:ascii="Times New Roman" w:hAnsi="Times New Roman"/>
          <w:iCs/>
          <w:lang w:val="en-US"/>
        </w:rPr>
        <w:t>Universitat</w:t>
      </w:r>
      <w:proofErr w:type="spellEnd"/>
      <w:r w:rsidRPr="001C3835">
        <w:rPr>
          <w:rFonts w:ascii="Times New Roman" w:hAnsi="Times New Roman"/>
          <w:iCs/>
          <w:lang w:val="en-US"/>
        </w:rPr>
        <w:t xml:space="preserve"> </w:t>
      </w:r>
      <w:proofErr w:type="spellStart"/>
      <w:r w:rsidRPr="001C3835">
        <w:rPr>
          <w:rFonts w:ascii="Times New Roman" w:hAnsi="Times New Roman"/>
          <w:iCs/>
          <w:lang w:val="en-US"/>
        </w:rPr>
        <w:t>Autonoma</w:t>
      </w:r>
      <w:proofErr w:type="spellEnd"/>
      <w:r w:rsidRPr="001C3835">
        <w:rPr>
          <w:rFonts w:ascii="Times New Roman" w:hAnsi="Times New Roman"/>
          <w:iCs/>
          <w:lang w:val="en-US"/>
        </w:rPr>
        <w:t xml:space="preserve"> de Barcelona) </w:t>
      </w:r>
      <w:r w:rsidRPr="00161A92">
        <w:rPr>
          <w:rFonts w:ascii="Times New Roman" w:hAnsi="Times New Roman"/>
          <w:iCs/>
          <w:lang w:val="en-GB"/>
        </w:rPr>
        <w:t xml:space="preserve">is a lecturer in managerial economics in the University </w:t>
      </w:r>
      <w:proofErr w:type="gramStart"/>
      <w:r w:rsidRPr="00161A92">
        <w:rPr>
          <w:rFonts w:ascii="Times New Roman" w:hAnsi="Times New Roman"/>
          <w:iCs/>
          <w:lang w:val="en-GB"/>
        </w:rPr>
        <w:t>of</w:t>
      </w:r>
      <w:proofErr w:type="gramEnd"/>
      <w:r w:rsidRPr="00161A92">
        <w:rPr>
          <w:rFonts w:ascii="Times New Roman" w:hAnsi="Times New Roman"/>
          <w:iCs/>
          <w:lang w:val="en-GB"/>
        </w:rPr>
        <w:t xml:space="preserve"> Birmingham, UK. His research focuses on the innovation dynamics of business models within creative industries as well the impact of digital technology in organisation of creative businesses. This has led him to assess empirically innovation policies, and to analyse recent changes in the business models of multinationals in the music, publishing and media sectors through close collaboration with industry partners. Across these themes he has made a distinctive contribution through publications in top academic journals, including the International Journal of Production Economics, </w:t>
      </w:r>
      <w:proofErr w:type="spellStart"/>
      <w:r w:rsidRPr="00161A92">
        <w:rPr>
          <w:rFonts w:ascii="Times New Roman" w:hAnsi="Times New Roman"/>
          <w:iCs/>
          <w:lang w:val="en-GB"/>
        </w:rPr>
        <w:t>Technovation</w:t>
      </w:r>
      <w:proofErr w:type="spellEnd"/>
      <w:r w:rsidRPr="00161A92">
        <w:rPr>
          <w:rFonts w:ascii="Times New Roman" w:hAnsi="Times New Roman"/>
          <w:iCs/>
          <w:lang w:val="en-GB"/>
        </w:rPr>
        <w:t xml:space="preserve">, Small Business Economics, Regional Studies and Supply Chain Management. Additionally, Dr </w:t>
      </w:r>
      <w:proofErr w:type="spellStart"/>
      <w:r w:rsidRPr="00161A92">
        <w:rPr>
          <w:rFonts w:ascii="Times New Roman" w:hAnsi="Times New Roman"/>
          <w:iCs/>
          <w:lang w:val="en-GB"/>
        </w:rPr>
        <w:t>Vendrell</w:t>
      </w:r>
      <w:proofErr w:type="spellEnd"/>
      <w:r w:rsidRPr="00161A92">
        <w:rPr>
          <w:rFonts w:ascii="Times New Roman" w:hAnsi="Times New Roman"/>
          <w:iCs/>
          <w:lang w:val="en-GB"/>
        </w:rPr>
        <w:t xml:space="preserve">-Herrero initiated and scientifically directs the International Conference on Business </w:t>
      </w:r>
      <w:proofErr w:type="spellStart"/>
      <w:r w:rsidRPr="00161A92">
        <w:rPr>
          <w:rFonts w:ascii="Times New Roman" w:hAnsi="Times New Roman"/>
          <w:iCs/>
          <w:lang w:val="en-GB"/>
        </w:rPr>
        <w:t>Servitization</w:t>
      </w:r>
      <w:proofErr w:type="spellEnd"/>
      <w:r w:rsidRPr="00161A92">
        <w:rPr>
          <w:rFonts w:ascii="Times New Roman" w:hAnsi="Times New Roman"/>
          <w:iCs/>
          <w:lang w:val="en-GB"/>
        </w:rPr>
        <w:t xml:space="preserve">, which is now into its fifth edition, and is actively involved in </w:t>
      </w:r>
      <w:proofErr w:type="gramStart"/>
      <w:r w:rsidRPr="00161A92">
        <w:rPr>
          <w:rFonts w:ascii="Times New Roman" w:hAnsi="Times New Roman"/>
          <w:iCs/>
          <w:lang w:val="en-GB"/>
        </w:rPr>
        <w:t>an</w:t>
      </w:r>
      <w:proofErr w:type="gramEnd"/>
      <w:r w:rsidRPr="00161A92">
        <w:rPr>
          <w:rFonts w:ascii="Times New Roman" w:hAnsi="Times New Roman"/>
          <w:iCs/>
          <w:lang w:val="en-GB"/>
        </w:rPr>
        <w:t xml:space="preserve"> Horizon 2020- Marie </w:t>
      </w:r>
      <w:proofErr w:type="spellStart"/>
      <w:r w:rsidRPr="00161A92">
        <w:rPr>
          <w:rFonts w:ascii="Times New Roman" w:hAnsi="Times New Roman"/>
          <w:iCs/>
          <w:lang w:val="en-GB"/>
        </w:rPr>
        <w:t>Skłodowska</w:t>
      </w:r>
      <w:proofErr w:type="spellEnd"/>
      <w:r w:rsidRPr="00161A92">
        <w:rPr>
          <w:rFonts w:ascii="Times New Roman" w:hAnsi="Times New Roman"/>
          <w:iCs/>
          <w:lang w:val="en-GB"/>
        </w:rPr>
        <w:t xml:space="preserve">-Curie Actions project called MAKERS on Smart Manufacturing for EU Growth and Prosperity. </w:t>
      </w:r>
    </w:p>
    <w:p w14:paraId="50639A6E" w14:textId="01F02486" w:rsidR="0032706E" w:rsidRPr="001C3835" w:rsidRDefault="0032706E" w:rsidP="0032706E">
      <w:pPr>
        <w:ind w:left="1134"/>
        <w:rPr>
          <w:rFonts w:ascii="Times New Roman" w:hAnsi="Times New Roman"/>
          <w:iCs/>
          <w:lang w:val="en-US"/>
        </w:rPr>
      </w:pPr>
      <w:r>
        <w:rPr>
          <w:noProof/>
          <w:lang w:val="en-GB" w:eastAsia="en-GB"/>
        </w:rPr>
        <w:drawing>
          <wp:anchor distT="0" distB="0" distL="114300" distR="114300" simplePos="0" relativeHeight="251660288" behindDoc="0" locked="0" layoutInCell="1" allowOverlap="1" wp14:anchorId="2B2507EB" wp14:editId="46AD7B8B">
            <wp:simplePos x="0" y="0"/>
            <wp:positionH relativeFrom="column">
              <wp:posOffset>-156210</wp:posOffset>
            </wp:positionH>
            <wp:positionV relativeFrom="paragraph">
              <wp:posOffset>635</wp:posOffset>
            </wp:positionV>
            <wp:extent cx="733425" cy="733425"/>
            <wp:effectExtent l="0" t="0" r="9525" b="9525"/>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page">
              <wp14:pctWidth>0</wp14:pctWidth>
            </wp14:sizeRelH>
            <wp14:sizeRelV relativeFrom="page">
              <wp14:pctHeight>0</wp14:pctHeight>
            </wp14:sizeRelV>
          </wp:anchor>
        </w:drawing>
      </w:r>
      <w:r w:rsidRPr="001C3835">
        <w:rPr>
          <w:rFonts w:ascii="Times New Roman" w:hAnsi="Times New Roman"/>
          <w:b/>
          <w:lang w:val="en-US"/>
        </w:rPr>
        <w:t>Glenn Parry</w:t>
      </w:r>
      <w:r w:rsidRPr="001C3835">
        <w:rPr>
          <w:rFonts w:ascii="Times New Roman" w:hAnsi="Times New Roman"/>
          <w:lang w:val="en-US"/>
        </w:rPr>
        <w:t>, Ph.D.</w:t>
      </w:r>
      <w:r>
        <w:rPr>
          <w:rFonts w:ascii="Times New Roman" w:hAnsi="Times New Roman"/>
          <w:lang w:val="en-US"/>
        </w:rPr>
        <w:t xml:space="preserve"> </w:t>
      </w:r>
      <w:r w:rsidRPr="001C3835">
        <w:rPr>
          <w:rFonts w:ascii="Times New Roman" w:hAnsi="Times New Roman"/>
          <w:lang w:val="en-US"/>
        </w:rPr>
        <w:t>(</w:t>
      </w:r>
      <w:proofErr w:type="spellStart"/>
      <w:r w:rsidRPr="001C3835">
        <w:rPr>
          <w:rFonts w:ascii="Times New Roman" w:hAnsi="Times New Roman"/>
          <w:lang w:val="en-US"/>
        </w:rPr>
        <w:t>Cantab</w:t>
      </w:r>
      <w:proofErr w:type="spellEnd"/>
      <w:r w:rsidRPr="001C3835">
        <w:rPr>
          <w:rFonts w:ascii="Times New Roman" w:hAnsi="Times New Roman"/>
          <w:lang w:val="en-US"/>
        </w:rPr>
        <w:t>) is a</w:t>
      </w:r>
      <w:r>
        <w:rPr>
          <w:rFonts w:ascii="Times New Roman" w:hAnsi="Times New Roman"/>
          <w:lang w:val="en-US"/>
        </w:rPr>
        <w:t xml:space="preserve"> </w:t>
      </w:r>
      <w:r w:rsidRPr="001C3835">
        <w:rPr>
          <w:rFonts w:ascii="Times New Roman" w:hAnsi="Times New Roman"/>
          <w:lang w:val="en-US"/>
        </w:rPr>
        <w:t xml:space="preserve">Professor of Strategy and Operations Management at the University of the West of England, UK. </w:t>
      </w:r>
      <w:r w:rsidRPr="001C3835">
        <w:rPr>
          <w:rFonts w:ascii="Times New Roman" w:hAnsi="Times New Roman"/>
          <w:iCs/>
          <w:lang w:val="en-US"/>
        </w:rPr>
        <w:t xml:space="preserve">His research is </w:t>
      </w:r>
      <w:proofErr w:type="spellStart"/>
      <w:r w:rsidRPr="001C3835">
        <w:rPr>
          <w:rFonts w:ascii="Times New Roman" w:hAnsi="Times New Roman"/>
          <w:iCs/>
          <w:lang w:val="en-US"/>
        </w:rPr>
        <w:t>characterised</w:t>
      </w:r>
      <w:proofErr w:type="spellEnd"/>
      <w:r w:rsidRPr="001C3835">
        <w:rPr>
          <w:rFonts w:ascii="Times New Roman" w:hAnsi="Times New Roman"/>
          <w:iCs/>
          <w:lang w:val="en-US"/>
        </w:rPr>
        <w:t xml:space="preserve"> by a strong industrial focus on process combined with the </w:t>
      </w:r>
      <w:proofErr w:type="spellStart"/>
      <w:r w:rsidRPr="001C3835">
        <w:rPr>
          <w:rFonts w:ascii="Times New Roman" w:hAnsi="Times New Roman"/>
          <w:iCs/>
          <w:lang w:val="en-US"/>
        </w:rPr>
        <w:t>rigour</w:t>
      </w:r>
      <w:proofErr w:type="spellEnd"/>
      <w:r w:rsidRPr="001C3835">
        <w:rPr>
          <w:rFonts w:ascii="Times New Roman" w:hAnsi="Times New Roman"/>
          <w:iCs/>
          <w:lang w:val="en-US"/>
        </w:rPr>
        <w:t xml:space="preserve"> of academic analysis. His work aims to capture leading practice, moving companies forward through transformations based upon data driven analysis. He has been published in a number of international </w:t>
      </w:r>
      <w:r>
        <w:rPr>
          <w:rFonts w:ascii="Times New Roman" w:hAnsi="Times New Roman"/>
          <w:iCs/>
          <w:lang w:val="en-US"/>
        </w:rPr>
        <w:t xml:space="preserve">journals and has published the </w:t>
      </w:r>
      <w:r w:rsidRPr="001C3835">
        <w:rPr>
          <w:rFonts w:ascii="Times New Roman" w:hAnsi="Times New Roman"/>
          <w:iCs/>
          <w:lang w:val="en-US"/>
        </w:rPr>
        <w:t>books, “Build to Order: The Road to the 5-day Car”, “Complex Engineering Service Systems” and "Service Design and Delivery" which was rank</w:t>
      </w:r>
      <w:r>
        <w:rPr>
          <w:rFonts w:ascii="Times New Roman" w:hAnsi="Times New Roman"/>
          <w:iCs/>
          <w:lang w:val="en-US"/>
        </w:rPr>
        <w:t xml:space="preserve">ed in The IIJ top 20 upcoming </w:t>
      </w:r>
      <w:r w:rsidRPr="001C3835">
        <w:rPr>
          <w:rFonts w:ascii="Times New Roman" w:hAnsi="Times New Roman"/>
          <w:iCs/>
          <w:lang w:val="en-US"/>
        </w:rPr>
        <w:t xml:space="preserve">books for innovators. He is currently involved in Enterprise Transformation, studying the move of complex engineering companies from product to service provision. </w:t>
      </w:r>
    </w:p>
    <w:p w14:paraId="5C62D4A0" w14:textId="7D5078C8" w:rsidR="0032706E" w:rsidRDefault="0032706E" w:rsidP="0032706E">
      <w:pPr>
        <w:ind w:left="1134"/>
        <w:rPr>
          <w:rFonts w:ascii="Times New Roman" w:hAnsi="Times New Roman"/>
          <w:iCs/>
          <w:lang w:val="en-US"/>
        </w:rPr>
      </w:pPr>
      <w:r>
        <w:rPr>
          <w:noProof/>
          <w:lang w:val="en-GB" w:eastAsia="en-GB"/>
        </w:rPr>
        <w:drawing>
          <wp:anchor distT="0" distB="0" distL="114300" distR="114300" simplePos="0" relativeHeight="251661312" behindDoc="0" locked="0" layoutInCell="1" allowOverlap="1" wp14:anchorId="08694DAE" wp14:editId="4AD5B8F1">
            <wp:simplePos x="0" y="0"/>
            <wp:positionH relativeFrom="column">
              <wp:posOffset>-13335</wp:posOffset>
            </wp:positionH>
            <wp:positionV relativeFrom="paragraph">
              <wp:posOffset>22225</wp:posOffset>
            </wp:positionV>
            <wp:extent cx="638175" cy="952500"/>
            <wp:effectExtent l="0" t="0" r="9525" b="0"/>
            <wp:wrapNone/>
            <wp:docPr id="4" name="irc_mi" descr="http://www.ugr.es/%7Eoscarfb/Oscar%20F.Busti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gr.es/%7Eoscarfb/Oscar%20F.Bustinz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952500"/>
                    </a:xfrm>
                    <a:prstGeom prst="rect">
                      <a:avLst/>
                    </a:prstGeom>
                    <a:noFill/>
                  </pic:spPr>
                </pic:pic>
              </a:graphicData>
            </a:graphic>
            <wp14:sizeRelH relativeFrom="page">
              <wp14:pctWidth>0</wp14:pctWidth>
            </wp14:sizeRelH>
            <wp14:sizeRelV relativeFrom="page">
              <wp14:pctHeight>0</wp14:pctHeight>
            </wp14:sizeRelV>
          </wp:anchor>
        </w:drawing>
      </w:r>
      <w:r w:rsidRPr="001C3835">
        <w:rPr>
          <w:rFonts w:ascii="Times New Roman" w:hAnsi="Times New Roman"/>
          <w:b/>
          <w:iCs/>
          <w:lang w:val="en-US"/>
        </w:rPr>
        <w:t xml:space="preserve">Oscar F. </w:t>
      </w:r>
      <w:proofErr w:type="spellStart"/>
      <w:r w:rsidRPr="001C3835">
        <w:rPr>
          <w:rFonts w:ascii="Times New Roman" w:hAnsi="Times New Roman"/>
          <w:b/>
          <w:iCs/>
          <w:lang w:val="en-US"/>
        </w:rPr>
        <w:t>Bustinza</w:t>
      </w:r>
      <w:proofErr w:type="spellEnd"/>
      <w:r w:rsidRPr="001C3835">
        <w:rPr>
          <w:rFonts w:ascii="Times New Roman" w:hAnsi="Times New Roman"/>
          <w:iCs/>
          <w:lang w:val="en-US"/>
        </w:rPr>
        <w:t>, Ph.D.</w:t>
      </w:r>
      <w:r>
        <w:rPr>
          <w:rFonts w:ascii="Times New Roman" w:hAnsi="Times New Roman"/>
          <w:iCs/>
          <w:lang w:val="en-US"/>
        </w:rPr>
        <w:t xml:space="preserve"> </w:t>
      </w:r>
      <w:r w:rsidRPr="001C3835">
        <w:rPr>
          <w:rFonts w:ascii="Times New Roman" w:hAnsi="Times New Roman"/>
          <w:iCs/>
          <w:lang w:val="en-US"/>
        </w:rPr>
        <w:t xml:space="preserve">(University of Granada) is an Associate Professor of strategy and operations management at the University </w:t>
      </w:r>
      <w:proofErr w:type="gramStart"/>
      <w:r w:rsidRPr="001C3835">
        <w:rPr>
          <w:rFonts w:ascii="Times New Roman" w:hAnsi="Times New Roman"/>
          <w:iCs/>
          <w:lang w:val="en-US"/>
        </w:rPr>
        <w:t>of</w:t>
      </w:r>
      <w:proofErr w:type="gramEnd"/>
      <w:r w:rsidRPr="001C3835">
        <w:rPr>
          <w:rFonts w:ascii="Times New Roman" w:hAnsi="Times New Roman"/>
          <w:iCs/>
          <w:lang w:val="en-US"/>
        </w:rPr>
        <w:t xml:space="preserve"> Granada, Spain. His work aims to capture successful business practices, analyzing drivers of firm’s boundaries choice and the leveraging of supplier, customer or inter-firm relationships based upon data driven analysis. Dr. </w:t>
      </w:r>
      <w:proofErr w:type="spellStart"/>
      <w:r w:rsidRPr="001C3835">
        <w:rPr>
          <w:rFonts w:ascii="Times New Roman" w:hAnsi="Times New Roman"/>
          <w:iCs/>
          <w:lang w:val="en-US"/>
        </w:rPr>
        <w:t>Bustinza’s</w:t>
      </w:r>
      <w:proofErr w:type="spellEnd"/>
      <w:r w:rsidRPr="001C3835">
        <w:rPr>
          <w:rFonts w:ascii="Times New Roman" w:hAnsi="Times New Roman"/>
          <w:iCs/>
          <w:lang w:val="en-US"/>
        </w:rPr>
        <w:t xml:space="preserve"> research has been published in the International Journal of Operations and Production Management, International Journal of Production Economics, Journal of Supply Chain Management, Supply Chain Managemen</w:t>
      </w:r>
      <w:r>
        <w:rPr>
          <w:rFonts w:ascii="Times New Roman" w:hAnsi="Times New Roman"/>
          <w:iCs/>
          <w:lang w:val="en-US"/>
        </w:rPr>
        <w:t>t</w:t>
      </w:r>
      <w:r w:rsidRPr="001C3835">
        <w:rPr>
          <w:rFonts w:ascii="Times New Roman" w:hAnsi="Times New Roman"/>
          <w:iCs/>
          <w:lang w:val="en-US"/>
        </w:rPr>
        <w:t>, and British Journal of Management among other outlets.</w:t>
      </w:r>
      <w:r w:rsidRPr="00113E1A">
        <w:rPr>
          <w:rFonts w:ascii="Times New Roman" w:hAnsi="Times New Roman"/>
          <w:iCs/>
          <w:lang w:val="en-US"/>
        </w:rPr>
        <w:t xml:space="preserve"> Dr. </w:t>
      </w:r>
      <w:proofErr w:type="spellStart"/>
      <w:r w:rsidRPr="00113E1A">
        <w:rPr>
          <w:rFonts w:ascii="Times New Roman" w:hAnsi="Times New Roman"/>
          <w:iCs/>
          <w:lang w:val="en-US"/>
        </w:rPr>
        <w:t>Bustinza</w:t>
      </w:r>
      <w:proofErr w:type="spellEnd"/>
      <w:r w:rsidRPr="00113E1A">
        <w:rPr>
          <w:rFonts w:ascii="Times New Roman" w:hAnsi="Times New Roman"/>
          <w:iCs/>
          <w:lang w:val="en-US"/>
        </w:rPr>
        <w:t xml:space="preserve"> is Principal Investigator on Service Innovation in MAKERS, a H2020 project that supports an EU-wide network of researchers. This over €1 million project is funded by the European Commission. </w:t>
      </w:r>
      <w:bookmarkStart w:id="0" w:name="_GoBack"/>
      <w:bookmarkEnd w:id="0"/>
    </w:p>
    <w:p w14:paraId="14433E15" w14:textId="77777777" w:rsidR="0032706E" w:rsidRDefault="0032706E" w:rsidP="0032706E">
      <w:pPr>
        <w:ind w:left="1134"/>
        <w:rPr>
          <w:rFonts w:ascii="Times New Roman" w:hAnsi="Times New Roman"/>
          <w:iCs/>
          <w:lang w:val="en-US"/>
        </w:rPr>
        <w:sectPr w:rsidR="0032706E" w:rsidSect="0032706E">
          <w:footerReference w:type="even" r:id="rId11"/>
          <w:footerReference w:type="default" r:id="rId12"/>
          <w:pgSz w:w="11906" w:h="16838"/>
          <w:pgMar w:top="1440" w:right="1440" w:bottom="1440" w:left="1440" w:header="709" w:footer="709" w:gutter="0"/>
          <w:cols w:space="708"/>
          <w:docGrid w:linePitch="360"/>
        </w:sectPr>
      </w:pPr>
      <w:r w:rsidRPr="00533696">
        <w:rPr>
          <w:b/>
          <w:noProof/>
          <w:lang w:val="en-GB" w:eastAsia="en-GB"/>
        </w:rPr>
        <w:drawing>
          <wp:anchor distT="0" distB="0" distL="114300" distR="114300" simplePos="0" relativeHeight="251662336" behindDoc="0" locked="0" layoutInCell="1" allowOverlap="1" wp14:anchorId="0424E041" wp14:editId="15BBC3E8">
            <wp:simplePos x="0" y="0"/>
            <wp:positionH relativeFrom="column">
              <wp:posOffset>22225</wp:posOffset>
            </wp:positionH>
            <wp:positionV relativeFrom="paragraph">
              <wp:posOffset>29482</wp:posOffset>
            </wp:positionV>
            <wp:extent cx="580462" cy="805543"/>
            <wp:effectExtent l="0" t="0" r="0" b="0"/>
            <wp:wrapNone/>
            <wp:docPr id="1" name="Imagen 1" descr="http://danielariasaranda.com/wp-content/uploads/2016/11/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nielariasaranda.com/wp-content/uploads/2016/11/PM.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462" cy="8055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3696">
        <w:rPr>
          <w:rFonts w:ascii="Times New Roman" w:hAnsi="Times New Roman"/>
          <w:b/>
          <w:iCs/>
          <w:lang w:val="en-US"/>
        </w:rPr>
        <w:t xml:space="preserve">Francisco </w:t>
      </w:r>
      <w:r>
        <w:rPr>
          <w:rFonts w:ascii="Times New Roman" w:hAnsi="Times New Roman"/>
          <w:b/>
          <w:iCs/>
          <w:lang w:val="en-US"/>
        </w:rPr>
        <w:t>J. Sanchez-</w:t>
      </w:r>
      <w:proofErr w:type="spellStart"/>
      <w:r w:rsidRPr="00533696">
        <w:rPr>
          <w:rFonts w:ascii="Times New Roman" w:hAnsi="Times New Roman"/>
          <w:b/>
          <w:iCs/>
          <w:lang w:val="en-US"/>
        </w:rPr>
        <w:t>Montesinos</w:t>
      </w:r>
      <w:proofErr w:type="spellEnd"/>
      <w:r>
        <w:rPr>
          <w:rFonts w:ascii="Times New Roman" w:hAnsi="Times New Roman"/>
          <w:iCs/>
          <w:lang w:val="en-US"/>
        </w:rPr>
        <w:t xml:space="preserve">, </w:t>
      </w:r>
      <w:r w:rsidRPr="001C3835">
        <w:rPr>
          <w:rFonts w:ascii="Times New Roman" w:hAnsi="Times New Roman"/>
          <w:iCs/>
          <w:lang w:val="en-US"/>
        </w:rPr>
        <w:t>Ph.D.</w:t>
      </w:r>
      <w:r>
        <w:rPr>
          <w:rFonts w:ascii="Times New Roman" w:hAnsi="Times New Roman"/>
          <w:iCs/>
          <w:lang w:val="en-US"/>
        </w:rPr>
        <w:t xml:space="preserve"> (University of Granada)</w:t>
      </w:r>
      <w:r w:rsidRPr="00533696">
        <w:rPr>
          <w:rFonts w:ascii="Times New Roman" w:hAnsi="Times New Roman"/>
          <w:iCs/>
          <w:lang w:val="en-US"/>
        </w:rPr>
        <w:t xml:space="preserve"> is a </w:t>
      </w:r>
      <w:r>
        <w:rPr>
          <w:rFonts w:ascii="Times New Roman" w:hAnsi="Times New Roman"/>
          <w:iCs/>
          <w:lang w:val="en-US"/>
        </w:rPr>
        <w:t>part-time professor</w:t>
      </w:r>
      <w:r w:rsidRPr="00533696">
        <w:rPr>
          <w:rFonts w:ascii="Times New Roman" w:hAnsi="Times New Roman"/>
          <w:iCs/>
          <w:lang w:val="en-US"/>
        </w:rPr>
        <w:t xml:space="preserve"> at the </w:t>
      </w:r>
      <w:proofErr w:type="spellStart"/>
      <w:r>
        <w:rPr>
          <w:rFonts w:ascii="Times New Roman" w:hAnsi="Times New Roman"/>
          <w:iCs/>
          <w:lang w:val="en-US"/>
        </w:rPr>
        <w:t>Complutense</w:t>
      </w:r>
      <w:proofErr w:type="spellEnd"/>
      <w:r>
        <w:rPr>
          <w:rFonts w:ascii="Times New Roman" w:hAnsi="Times New Roman"/>
          <w:iCs/>
          <w:lang w:val="en-US"/>
        </w:rPr>
        <w:t xml:space="preserve"> </w:t>
      </w:r>
      <w:r w:rsidRPr="00533696">
        <w:rPr>
          <w:rFonts w:ascii="Times New Roman" w:hAnsi="Times New Roman"/>
          <w:iCs/>
          <w:lang w:val="en-US"/>
        </w:rPr>
        <w:t xml:space="preserve">University of </w:t>
      </w:r>
      <w:r>
        <w:rPr>
          <w:rFonts w:ascii="Times New Roman" w:hAnsi="Times New Roman"/>
          <w:iCs/>
          <w:lang w:val="en-US"/>
        </w:rPr>
        <w:t>Madrid</w:t>
      </w:r>
      <w:r w:rsidRPr="00533696">
        <w:rPr>
          <w:rFonts w:ascii="Times New Roman" w:hAnsi="Times New Roman"/>
          <w:iCs/>
          <w:lang w:val="en-US"/>
        </w:rPr>
        <w:t xml:space="preserve">. His main areas of research are </w:t>
      </w:r>
      <w:proofErr w:type="spellStart"/>
      <w:r w:rsidRPr="00533696">
        <w:rPr>
          <w:rFonts w:ascii="Times New Roman" w:hAnsi="Times New Roman"/>
          <w:iCs/>
          <w:lang w:val="en-US"/>
        </w:rPr>
        <w:t>servitization</w:t>
      </w:r>
      <w:proofErr w:type="spellEnd"/>
      <w:r>
        <w:rPr>
          <w:rFonts w:ascii="Times New Roman" w:hAnsi="Times New Roman"/>
          <w:iCs/>
          <w:lang w:val="en-US"/>
        </w:rPr>
        <w:t xml:space="preserve">, absorptive capacity, and CRM. </w:t>
      </w:r>
      <w:r w:rsidRPr="00533696">
        <w:rPr>
          <w:rFonts w:ascii="Times New Roman" w:hAnsi="Times New Roman"/>
          <w:iCs/>
          <w:lang w:val="en-US"/>
        </w:rPr>
        <w:t xml:space="preserve">Over the last 10 years he has occupied senior </w:t>
      </w:r>
      <w:r>
        <w:rPr>
          <w:rFonts w:ascii="Times New Roman" w:hAnsi="Times New Roman"/>
          <w:iCs/>
          <w:lang w:val="en-US"/>
        </w:rPr>
        <w:t>management positions in diff</w:t>
      </w:r>
      <w:r w:rsidRPr="00533696">
        <w:rPr>
          <w:rFonts w:ascii="Times New Roman" w:hAnsi="Times New Roman"/>
          <w:iCs/>
          <w:lang w:val="en-US"/>
        </w:rPr>
        <w:t>erent industries in Spain</w:t>
      </w:r>
      <w:r>
        <w:rPr>
          <w:rFonts w:ascii="Times New Roman" w:hAnsi="Times New Roman"/>
          <w:iCs/>
          <w:lang w:val="en-US"/>
        </w:rPr>
        <w:t>.</w:t>
      </w:r>
    </w:p>
    <w:p w14:paraId="2668270B" w14:textId="77777777" w:rsidR="006C300A" w:rsidRDefault="006C300A" w:rsidP="00402A48">
      <w:pPr>
        <w:spacing w:after="0" w:line="240" w:lineRule="auto"/>
        <w:jc w:val="both"/>
        <w:rPr>
          <w:rFonts w:ascii="Arial" w:eastAsia="Times New Roman" w:hAnsi="Arial"/>
          <w:b/>
          <w:sz w:val="28"/>
          <w:szCs w:val="20"/>
          <w:lang w:val="en-GB"/>
        </w:rPr>
      </w:pPr>
    </w:p>
    <w:p w14:paraId="35B0D539" w14:textId="77777777" w:rsidR="009460C7" w:rsidRPr="00A12BB5" w:rsidRDefault="009460C7" w:rsidP="009460C7">
      <w:pPr>
        <w:pBdr>
          <w:top w:val="single" w:sz="12" w:space="4" w:color="auto"/>
          <w:bottom w:val="single" w:sz="12" w:space="4" w:color="auto"/>
        </w:pBdr>
        <w:spacing w:after="240" w:line="320" w:lineRule="atLeast"/>
        <w:rPr>
          <w:rFonts w:ascii="Arial" w:eastAsia="Times New Roman" w:hAnsi="Arial"/>
          <w:b/>
          <w:sz w:val="28"/>
          <w:szCs w:val="20"/>
          <w:lang w:val="en-GB"/>
        </w:rPr>
      </w:pPr>
      <w:r w:rsidRPr="00A12BB5">
        <w:rPr>
          <w:rFonts w:ascii="Arial" w:eastAsia="Times New Roman" w:hAnsi="Arial"/>
          <w:b/>
          <w:sz w:val="28"/>
          <w:szCs w:val="20"/>
          <w:lang w:val="en-GB"/>
        </w:rPr>
        <w:t>Does business model experimentation in dynamic contexts enhance value capture?</w:t>
      </w:r>
    </w:p>
    <w:p w14:paraId="5BF0B2BD" w14:textId="77777777" w:rsidR="009460C7" w:rsidRPr="00A12BB5" w:rsidRDefault="009460C7" w:rsidP="009460C7">
      <w:pPr>
        <w:widowControl w:val="0"/>
        <w:tabs>
          <w:tab w:val="left" w:pos="960"/>
        </w:tabs>
        <w:spacing w:line="200" w:lineRule="atLeast"/>
        <w:ind w:left="720" w:right="720"/>
        <w:jc w:val="both"/>
        <w:rPr>
          <w:rFonts w:ascii="Times New Roman" w:eastAsia="Times New Roman" w:hAnsi="Times New Roman"/>
          <w:b/>
          <w:bCs/>
          <w:sz w:val="18"/>
          <w:szCs w:val="20"/>
          <w:lang w:val="en-GB"/>
        </w:rPr>
      </w:pPr>
      <w:r w:rsidRPr="00A12BB5">
        <w:rPr>
          <w:rFonts w:ascii="Times New Roman" w:eastAsia="Times New Roman" w:hAnsi="Times New Roman"/>
          <w:b/>
          <w:bCs/>
          <w:sz w:val="18"/>
          <w:szCs w:val="20"/>
          <w:lang w:val="en-GB"/>
        </w:rPr>
        <w:t xml:space="preserve">Abstract: </w:t>
      </w:r>
      <w:r w:rsidRPr="00A12BB5">
        <w:rPr>
          <w:rFonts w:ascii="Times New Roman" w:eastAsia="Times New Roman" w:hAnsi="Times New Roman"/>
          <w:bCs/>
          <w:sz w:val="18"/>
          <w:szCs w:val="20"/>
          <w:lang w:val="en-GB"/>
        </w:rPr>
        <w:t>Established theory suggests that firms experiment with business models in dynamic contexts. However, the relationship between business model experimentation and organizational performance remains unclear. Barriers to empirical analysis exist as experimental business models are normally utilised by new market entrants and the unit of analysis to test a business model in dynamic contexts extends beyond traditional firm boundaries. To overcome these barriers, we propose an assessment of the economic value of business model experimentation in dynamic contexts by defining the unit of analysis at the industry level. Analysis draws upon a unique panel dataset from the recorded music industry composed of 414 observations from 32 countries for the period 1998–2010. Evidence is provided of the relationship between sales format diversity, taken as a proxy measure of business model experimentation, and industry revenues as the measure of value captured. Both measures have been validated by industry experts. The results show two optimal modes for maximising value capture in dynamic contexts. First, if a dominant format exists, a ‘network’ effect becomes prevalent which has a positive impact upon revenue. Second, when firms engage in experimentation leading to a highly diversified set of business models the industry sector becomes better able to capture value from diverse and changing consumer needs.</w:t>
      </w:r>
    </w:p>
    <w:p w14:paraId="3C05DDFE" w14:textId="77777777" w:rsidR="009460C7" w:rsidRPr="00A12BB5" w:rsidRDefault="009460C7" w:rsidP="009460C7">
      <w:pPr>
        <w:widowControl w:val="0"/>
        <w:tabs>
          <w:tab w:val="left" w:pos="960"/>
        </w:tabs>
        <w:spacing w:line="200" w:lineRule="atLeast"/>
        <w:ind w:left="720" w:right="720"/>
        <w:jc w:val="both"/>
        <w:rPr>
          <w:rFonts w:ascii="Times New Roman" w:eastAsia="Times New Roman" w:hAnsi="Times New Roman"/>
          <w:sz w:val="18"/>
          <w:szCs w:val="20"/>
          <w:lang w:val="en-GB"/>
        </w:rPr>
      </w:pPr>
      <w:r w:rsidRPr="00A12BB5">
        <w:rPr>
          <w:rFonts w:ascii="Times New Roman" w:eastAsia="Times New Roman" w:hAnsi="Times New Roman"/>
          <w:b/>
          <w:sz w:val="18"/>
          <w:szCs w:val="20"/>
          <w:lang w:val="en-GB"/>
        </w:rPr>
        <w:t xml:space="preserve">Keywords: </w:t>
      </w:r>
      <w:r w:rsidRPr="00A12BB5">
        <w:rPr>
          <w:rFonts w:ascii="Times New Roman" w:eastAsia="Times New Roman" w:hAnsi="Times New Roman"/>
          <w:sz w:val="18"/>
          <w:szCs w:val="20"/>
          <w:lang w:val="en-GB"/>
        </w:rPr>
        <w:t>Business model, Experimentation, Value capture, Music industry, Format density.</w:t>
      </w:r>
    </w:p>
    <w:p w14:paraId="4822313D" w14:textId="77777777" w:rsidR="009460C7" w:rsidRPr="00A12BB5" w:rsidRDefault="009460C7" w:rsidP="009460C7">
      <w:pPr>
        <w:widowControl w:val="0"/>
        <w:pBdr>
          <w:bottom w:val="single" w:sz="12" w:space="0" w:color="auto"/>
        </w:pBdr>
        <w:tabs>
          <w:tab w:val="left" w:pos="960"/>
        </w:tabs>
        <w:spacing w:after="0" w:line="240" w:lineRule="auto"/>
        <w:jc w:val="both"/>
        <w:rPr>
          <w:rFonts w:ascii="Times New Roman" w:eastAsia="Times New Roman" w:hAnsi="Times New Roman"/>
          <w:sz w:val="12"/>
          <w:szCs w:val="20"/>
          <w:lang w:val="en-GB"/>
        </w:rPr>
      </w:pPr>
    </w:p>
    <w:p w14:paraId="62C7D470" w14:textId="77777777" w:rsidR="009460C7" w:rsidRPr="00402A48" w:rsidRDefault="009460C7" w:rsidP="009460C7">
      <w:pPr>
        <w:keepNext/>
        <w:tabs>
          <w:tab w:val="left" w:pos="360"/>
        </w:tabs>
        <w:spacing w:before="480" w:after="120" w:line="240" w:lineRule="auto"/>
        <w:ind w:left="360" w:hanging="360"/>
        <w:rPr>
          <w:rFonts w:ascii="Times New Roman" w:eastAsia="Times New Roman" w:hAnsi="Times New Roman"/>
          <w:b/>
          <w:sz w:val="24"/>
          <w:szCs w:val="24"/>
          <w:lang w:val="en-GB"/>
        </w:rPr>
      </w:pPr>
      <w:r w:rsidRPr="00A12BB5">
        <w:rPr>
          <w:rFonts w:ascii="Times New Roman" w:eastAsia="Times New Roman" w:hAnsi="Times New Roman"/>
          <w:b/>
          <w:sz w:val="24"/>
          <w:szCs w:val="24"/>
          <w:lang w:val="en-GB"/>
        </w:rPr>
        <w:t>1     Introduction</w:t>
      </w:r>
    </w:p>
    <w:p w14:paraId="193736E6" w14:textId="77777777" w:rsidR="009460C7" w:rsidRDefault="009460C7" w:rsidP="00402A48">
      <w:pPr>
        <w:spacing w:after="0" w:line="240" w:lineRule="auto"/>
        <w:jc w:val="both"/>
        <w:rPr>
          <w:rFonts w:ascii="Arial" w:eastAsia="Times New Roman" w:hAnsi="Arial"/>
          <w:b/>
          <w:sz w:val="28"/>
          <w:szCs w:val="20"/>
          <w:lang w:val="en-GB"/>
        </w:rPr>
      </w:pPr>
    </w:p>
    <w:p w14:paraId="20B5C220" w14:textId="2D642D34" w:rsidR="00184458" w:rsidRDefault="00184458" w:rsidP="00402A48">
      <w:pPr>
        <w:spacing w:after="0" w:line="240" w:lineRule="auto"/>
        <w:jc w:val="both"/>
        <w:rPr>
          <w:rFonts w:ascii="Times New Roman" w:hAnsi="Times New Roman"/>
          <w:color w:val="000000"/>
          <w:sz w:val="24"/>
          <w:szCs w:val="24"/>
          <w:lang w:val="en-GB"/>
        </w:rPr>
      </w:pPr>
      <w:r w:rsidRPr="006F55DD">
        <w:rPr>
          <w:rFonts w:ascii="Times New Roman" w:hAnsi="Times New Roman"/>
          <w:color w:val="000000"/>
          <w:sz w:val="24"/>
          <w:szCs w:val="24"/>
          <w:lang w:val="en-GB"/>
        </w:rPr>
        <w:t>In December 2013 Amazon announced it was to develop aerial drone delivery technology by 2015. Whilst heavily critiqued in the media, the concept has the potential to transform retail operations</w:t>
      </w:r>
      <w:r w:rsidRPr="006F55DD">
        <w:rPr>
          <w:rStyle w:val="FootnoteReference"/>
          <w:rFonts w:ascii="Times New Roman" w:hAnsi="Times New Roman"/>
          <w:color w:val="000000"/>
          <w:sz w:val="24"/>
          <w:szCs w:val="24"/>
        </w:rPr>
        <w:footnoteReference w:id="1"/>
      </w:r>
      <w:proofErr w:type="gramStart"/>
      <w:r w:rsidRPr="006F55DD">
        <w:rPr>
          <w:rFonts w:ascii="Times New Roman" w:hAnsi="Times New Roman"/>
          <w:color w:val="000000"/>
          <w:sz w:val="24"/>
          <w:szCs w:val="24"/>
          <w:vertAlign w:val="superscript"/>
          <w:lang w:val="en-GB"/>
        </w:rPr>
        <w:t>,</w:t>
      </w:r>
      <w:r w:rsidRPr="006F55DD">
        <w:rPr>
          <w:rStyle w:val="FootnoteReference"/>
          <w:rFonts w:ascii="Times New Roman" w:hAnsi="Times New Roman"/>
          <w:color w:val="000000"/>
          <w:sz w:val="24"/>
          <w:szCs w:val="24"/>
          <w:lang w:val="en-GB"/>
        </w:rPr>
        <w:footnoteReference w:id="2"/>
      </w:r>
      <w:r w:rsidR="00CD275E">
        <w:rPr>
          <w:rFonts w:ascii="Times New Roman" w:hAnsi="Times New Roman"/>
          <w:color w:val="000000"/>
          <w:sz w:val="24"/>
          <w:szCs w:val="24"/>
          <w:lang w:val="en-GB"/>
        </w:rPr>
        <w:t>.</w:t>
      </w:r>
      <w:proofErr w:type="gramEnd"/>
      <w:r w:rsidRPr="006F55DD">
        <w:rPr>
          <w:rFonts w:ascii="Times New Roman" w:hAnsi="Times New Roman"/>
          <w:color w:val="000000"/>
          <w:sz w:val="24"/>
          <w:szCs w:val="24"/>
          <w:lang w:val="en-GB"/>
        </w:rPr>
        <w:t xml:space="preserve"> Why would Amazon, currently the largest and most successful retailer on the internet, experiment with new technology and an alternative business model for delivery? Perhaps the experiment was merely to bolster their marketing, but more positively it could be to protect their competitive position and prepare for technological disruption in the market. Technological disruption impacted negatively on Nokia, the world's leading manufacturer of mobile phones dur</w:t>
      </w:r>
      <w:r>
        <w:rPr>
          <w:rFonts w:ascii="Times New Roman" w:hAnsi="Times New Roman"/>
          <w:color w:val="000000"/>
          <w:sz w:val="24"/>
          <w:szCs w:val="24"/>
          <w:lang w:val="en-GB"/>
        </w:rPr>
        <w:t>ing the 90s</w:t>
      </w:r>
      <w:r w:rsidRPr="006F55DD">
        <w:rPr>
          <w:rFonts w:ascii="Times New Roman" w:hAnsi="Times New Roman"/>
          <w:color w:val="000000"/>
          <w:sz w:val="24"/>
          <w:szCs w:val="24"/>
          <w:lang w:val="en-GB"/>
        </w:rPr>
        <w:t>. Their managers were unable to react</w:t>
      </w:r>
      <w:r w:rsidR="00FE2DBE">
        <w:rPr>
          <w:rFonts w:ascii="Times New Roman" w:hAnsi="Times New Roman"/>
          <w:color w:val="000000"/>
          <w:sz w:val="24"/>
          <w:szCs w:val="24"/>
          <w:lang w:val="en-GB"/>
        </w:rPr>
        <w:t xml:space="preserve"> </w:t>
      </w:r>
      <w:r w:rsidRPr="006F55DD">
        <w:rPr>
          <w:rFonts w:ascii="Times New Roman" w:hAnsi="Times New Roman"/>
          <w:color w:val="000000"/>
          <w:sz w:val="24"/>
          <w:szCs w:val="24"/>
          <w:lang w:val="en-GB"/>
        </w:rPr>
        <w:t>to the numerous new Smartphones market entrants offering new innovations and technologies (McCray et al., 2011).</w:t>
      </w:r>
    </w:p>
    <w:p w14:paraId="77E4F8CC" w14:textId="234048C3" w:rsidR="00184458" w:rsidRDefault="00184458" w:rsidP="00320498">
      <w:pPr>
        <w:tabs>
          <w:tab w:val="left" w:pos="3402"/>
        </w:tabs>
        <w:spacing w:after="0" w:line="240" w:lineRule="auto"/>
        <w:ind w:firstLine="426"/>
        <w:jc w:val="both"/>
        <w:rPr>
          <w:rFonts w:ascii="Times New Roman" w:hAnsi="Times New Roman"/>
          <w:color w:val="000000"/>
          <w:sz w:val="24"/>
          <w:szCs w:val="24"/>
          <w:lang w:val="en-GB"/>
        </w:rPr>
      </w:pPr>
      <w:r w:rsidRPr="006F55DD">
        <w:rPr>
          <w:rFonts w:ascii="Times New Roman" w:hAnsi="Times New Roman"/>
          <w:color w:val="000000"/>
          <w:sz w:val="24"/>
          <w:szCs w:val="24"/>
          <w:lang w:val="en-GB"/>
        </w:rPr>
        <w:t>All industries are subject to disruptions that can affect their competitive landscape</w:t>
      </w:r>
      <w:r w:rsidR="00553798" w:rsidRPr="00553798">
        <w:rPr>
          <w:lang w:val="en-GB"/>
        </w:rPr>
        <w:t xml:space="preserve"> </w:t>
      </w:r>
      <w:r w:rsidR="00553798">
        <w:rPr>
          <w:lang w:val="en-GB"/>
        </w:rPr>
        <w:t>(</w:t>
      </w:r>
      <w:r w:rsidR="00553798" w:rsidRPr="00F61725">
        <w:rPr>
          <w:rFonts w:ascii="Times New Roman" w:hAnsi="Times New Roman"/>
          <w:color w:val="000000"/>
          <w:sz w:val="24"/>
          <w:szCs w:val="24"/>
          <w:lang w:val="en-GB"/>
        </w:rPr>
        <w:t>Vendrell-Herrero et al., 2017</w:t>
      </w:r>
      <w:r w:rsidR="007667F2" w:rsidRPr="00F61725">
        <w:rPr>
          <w:rFonts w:ascii="Times New Roman" w:hAnsi="Times New Roman"/>
          <w:color w:val="000000"/>
          <w:sz w:val="24"/>
          <w:szCs w:val="24"/>
          <w:lang w:val="en-GB"/>
        </w:rPr>
        <w:t xml:space="preserve">a; </w:t>
      </w:r>
      <w:r w:rsidR="00FE5E3A" w:rsidRPr="00F61725">
        <w:rPr>
          <w:rFonts w:ascii="Times New Roman" w:hAnsi="Times New Roman"/>
          <w:color w:val="000000"/>
          <w:sz w:val="24"/>
          <w:szCs w:val="24"/>
          <w:lang w:val="en-GB"/>
        </w:rPr>
        <w:t>2017b</w:t>
      </w:r>
      <w:r w:rsidR="00553798">
        <w:rPr>
          <w:rFonts w:ascii="Times New Roman" w:hAnsi="Times New Roman"/>
          <w:color w:val="000000"/>
          <w:sz w:val="24"/>
          <w:szCs w:val="24"/>
          <w:lang w:val="en-GB"/>
        </w:rPr>
        <w:t>)</w:t>
      </w:r>
      <w:r w:rsidRPr="006F55DD">
        <w:rPr>
          <w:rFonts w:ascii="Times New Roman" w:hAnsi="Times New Roman"/>
          <w:color w:val="000000"/>
          <w:sz w:val="24"/>
          <w:szCs w:val="24"/>
          <w:lang w:val="en-GB"/>
        </w:rPr>
        <w:t>, but the relationship between the business model and technological innovations still lacks theoretical and empirical underpinning</w:t>
      </w:r>
      <w:r w:rsidR="00F43980" w:rsidRPr="00F43980">
        <w:rPr>
          <w:rFonts w:ascii="Times New Roman" w:hAnsi="Times New Roman"/>
          <w:color w:val="000000"/>
          <w:sz w:val="24"/>
          <w:szCs w:val="24"/>
          <w:lang w:val="en-US"/>
        </w:rPr>
        <w:t xml:space="preserve"> </w:t>
      </w:r>
      <w:r w:rsidR="00F43980">
        <w:rPr>
          <w:rFonts w:ascii="Times New Roman" w:hAnsi="Times New Roman"/>
          <w:color w:val="000000"/>
          <w:sz w:val="24"/>
          <w:szCs w:val="24"/>
          <w:lang w:val="en-US"/>
        </w:rPr>
        <w:t>(</w:t>
      </w:r>
      <w:r w:rsidR="00F43980" w:rsidRPr="006F55DD">
        <w:rPr>
          <w:rFonts w:ascii="Times New Roman" w:hAnsi="Times New Roman"/>
          <w:color w:val="000000"/>
          <w:sz w:val="24"/>
          <w:szCs w:val="24"/>
          <w:lang w:val="en-US"/>
        </w:rPr>
        <w:t xml:space="preserve">Baden-Fuller and </w:t>
      </w:r>
      <w:proofErr w:type="spellStart"/>
      <w:r w:rsidR="00F43980" w:rsidRPr="006F55DD">
        <w:rPr>
          <w:rFonts w:ascii="Times New Roman" w:hAnsi="Times New Roman"/>
          <w:color w:val="000000"/>
          <w:sz w:val="24"/>
          <w:szCs w:val="24"/>
          <w:lang w:val="en-US"/>
        </w:rPr>
        <w:t>Haefliger</w:t>
      </w:r>
      <w:proofErr w:type="spellEnd"/>
      <w:r w:rsidR="00F43980">
        <w:rPr>
          <w:rFonts w:ascii="Times New Roman" w:hAnsi="Times New Roman"/>
          <w:color w:val="000000"/>
          <w:sz w:val="24"/>
          <w:szCs w:val="24"/>
          <w:lang w:val="en-US"/>
        </w:rPr>
        <w:t xml:space="preserve">, </w:t>
      </w:r>
      <w:r w:rsidR="00F43980" w:rsidRPr="006F55DD">
        <w:rPr>
          <w:rFonts w:ascii="Times New Roman" w:hAnsi="Times New Roman"/>
          <w:color w:val="000000"/>
          <w:sz w:val="24"/>
          <w:szCs w:val="24"/>
          <w:lang w:val="en-US"/>
        </w:rPr>
        <w:t>2013</w:t>
      </w:r>
      <w:r w:rsidR="00A10BAB">
        <w:rPr>
          <w:rFonts w:ascii="Times New Roman" w:hAnsi="Times New Roman"/>
          <w:color w:val="000000"/>
          <w:sz w:val="24"/>
          <w:szCs w:val="24"/>
          <w:lang w:val="en-US"/>
        </w:rPr>
        <w:t xml:space="preserve">; </w:t>
      </w:r>
      <w:proofErr w:type="spellStart"/>
      <w:r w:rsidR="00DE31F8">
        <w:rPr>
          <w:rFonts w:ascii="Times New Roman" w:hAnsi="Times New Roman"/>
          <w:color w:val="000000"/>
          <w:sz w:val="24"/>
          <w:szCs w:val="24"/>
          <w:lang w:val="en-US"/>
        </w:rPr>
        <w:t>Popa</w:t>
      </w:r>
      <w:proofErr w:type="spellEnd"/>
      <w:r w:rsidR="00DE31F8">
        <w:rPr>
          <w:rFonts w:ascii="Times New Roman" w:hAnsi="Times New Roman"/>
          <w:color w:val="000000"/>
          <w:sz w:val="24"/>
          <w:szCs w:val="24"/>
          <w:lang w:val="en-US"/>
        </w:rPr>
        <w:t xml:space="preserve"> et al., 2017</w:t>
      </w:r>
      <w:r w:rsidR="00F43980" w:rsidRPr="006F55DD">
        <w:rPr>
          <w:rFonts w:ascii="Times New Roman" w:hAnsi="Times New Roman"/>
          <w:color w:val="000000"/>
          <w:sz w:val="24"/>
          <w:szCs w:val="24"/>
          <w:lang w:val="en-US"/>
        </w:rPr>
        <w:t>)</w:t>
      </w:r>
      <w:r w:rsidRPr="006F55DD">
        <w:rPr>
          <w:rFonts w:ascii="Times New Roman" w:hAnsi="Times New Roman"/>
          <w:color w:val="000000"/>
          <w:sz w:val="24"/>
          <w:szCs w:val="24"/>
          <w:lang w:val="en-GB"/>
        </w:rPr>
        <w:t xml:space="preserve">. </w:t>
      </w:r>
      <w:r w:rsidR="00F43980">
        <w:rPr>
          <w:rFonts w:ascii="Times New Roman" w:hAnsi="Times New Roman"/>
          <w:color w:val="000000"/>
          <w:sz w:val="24"/>
          <w:szCs w:val="24"/>
          <w:lang w:val="en-GB"/>
        </w:rPr>
        <w:t>L</w:t>
      </w:r>
      <w:r w:rsidR="00304EF4">
        <w:rPr>
          <w:rFonts w:ascii="Times New Roman" w:hAnsi="Times New Roman"/>
          <w:color w:val="000000"/>
          <w:sz w:val="24"/>
          <w:szCs w:val="24"/>
          <w:lang w:val="en-GB"/>
        </w:rPr>
        <w:t xml:space="preserve">iterature is silent on the role of business models </w:t>
      </w:r>
      <w:r w:rsidR="00F43980">
        <w:rPr>
          <w:rFonts w:ascii="Times New Roman" w:hAnsi="Times New Roman"/>
          <w:color w:val="000000"/>
          <w:sz w:val="24"/>
          <w:szCs w:val="24"/>
          <w:lang w:val="en-GB"/>
        </w:rPr>
        <w:t>i</w:t>
      </w:r>
      <w:r w:rsidR="00304EF4">
        <w:rPr>
          <w:rFonts w:ascii="Times New Roman" w:hAnsi="Times New Roman"/>
          <w:color w:val="000000"/>
          <w:sz w:val="24"/>
          <w:szCs w:val="24"/>
          <w:lang w:val="en-GB"/>
        </w:rPr>
        <w:t xml:space="preserve">n industries with </w:t>
      </w:r>
      <w:r w:rsidR="00F43980">
        <w:rPr>
          <w:rFonts w:ascii="Times New Roman" w:hAnsi="Times New Roman"/>
          <w:color w:val="000000"/>
          <w:sz w:val="24"/>
          <w:szCs w:val="24"/>
          <w:lang w:val="en-GB"/>
        </w:rPr>
        <w:t>‘</w:t>
      </w:r>
      <w:r w:rsidR="00304EF4">
        <w:rPr>
          <w:rFonts w:ascii="Times New Roman" w:hAnsi="Times New Roman"/>
          <w:color w:val="000000"/>
          <w:sz w:val="24"/>
          <w:szCs w:val="24"/>
          <w:lang w:val="en-GB"/>
        </w:rPr>
        <w:t>dynamic contexts</w:t>
      </w:r>
      <w:r w:rsidR="00F43980">
        <w:rPr>
          <w:rFonts w:ascii="Times New Roman" w:hAnsi="Times New Roman"/>
          <w:color w:val="000000"/>
          <w:sz w:val="24"/>
          <w:szCs w:val="24"/>
          <w:lang w:val="en-GB"/>
        </w:rPr>
        <w:t>’ -</w:t>
      </w:r>
      <w:r w:rsidR="00304EF4">
        <w:rPr>
          <w:rFonts w:ascii="Times New Roman" w:hAnsi="Times New Roman"/>
          <w:color w:val="000000"/>
          <w:sz w:val="24"/>
          <w:szCs w:val="24"/>
          <w:lang w:val="en-GB"/>
        </w:rPr>
        <w:t xml:space="preserve"> characterized by </w:t>
      </w:r>
      <w:r w:rsidR="00F43980">
        <w:rPr>
          <w:rFonts w:ascii="Times New Roman" w:hAnsi="Times New Roman"/>
          <w:color w:val="000000"/>
          <w:sz w:val="24"/>
          <w:szCs w:val="24"/>
          <w:lang w:val="en-GB"/>
        </w:rPr>
        <w:t>existing in environments which are highly t</w:t>
      </w:r>
      <w:r w:rsidR="00304EF4">
        <w:rPr>
          <w:rFonts w:ascii="Times New Roman" w:hAnsi="Times New Roman"/>
          <w:color w:val="000000"/>
          <w:sz w:val="24"/>
          <w:szCs w:val="24"/>
          <w:lang w:val="en-GB"/>
        </w:rPr>
        <w:t>echnological</w:t>
      </w:r>
      <w:r w:rsidR="00F43980">
        <w:rPr>
          <w:rFonts w:ascii="Times New Roman" w:hAnsi="Times New Roman"/>
          <w:color w:val="000000"/>
          <w:sz w:val="24"/>
          <w:szCs w:val="24"/>
          <w:lang w:val="en-GB"/>
        </w:rPr>
        <w:t>ly dynamic</w:t>
      </w:r>
      <w:r w:rsidR="00304EF4">
        <w:rPr>
          <w:rFonts w:ascii="Times New Roman" w:hAnsi="Times New Roman"/>
          <w:color w:val="000000"/>
          <w:sz w:val="24"/>
          <w:szCs w:val="24"/>
          <w:lang w:val="en-GB"/>
        </w:rPr>
        <w:t xml:space="preserve"> and </w:t>
      </w:r>
      <w:r w:rsidR="00F43980">
        <w:rPr>
          <w:rFonts w:ascii="Times New Roman" w:hAnsi="Times New Roman"/>
          <w:color w:val="000000"/>
          <w:sz w:val="24"/>
          <w:szCs w:val="24"/>
          <w:lang w:val="en-GB"/>
        </w:rPr>
        <w:t xml:space="preserve">where multiple </w:t>
      </w:r>
      <w:r w:rsidR="00304EF4">
        <w:rPr>
          <w:rFonts w:ascii="Times New Roman" w:hAnsi="Times New Roman"/>
          <w:color w:val="000000"/>
          <w:sz w:val="24"/>
          <w:szCs w:val="24"/>
          <w:lang w:val="en-GB"/>
        </w:rPr>
        <w:t xml:space="preserve">different innovations </w:t>
      </w:r>
      <w:r w:rsidR="00F43980">
        <w:rPr>
          <w:rFonts w:ascii="Times New Roman" w:hAnsi="Times New Roman"/>
          <w:color w:val="000000"/>
          <w:sz w:val="24"/>
          <w:szCs w:val="24"/>
          <w:lang w:val="en-GB"/>
        </w:rPr>
        <w:t xml:space="preserve">may </w:t>
      </w:r>
      <w:r w:rsidR="00304EF4">
        <w:rPr>
          <w:rFonts w:ascii="Times New Roman" w:hAnsi="Times New Roman"/>
          <w:color w:val="000000"/>
          <w:sz w:val="24"/>
          <w:szCs w:val="24"/>
          <w:lang w:val="en-GB"/>
        </w:rPr>
        <w:t>tak</w:t>
      </w:r>
      <w:r w:rsidR="00F43980">
        <w:rPr>
          <w:rFonts w:ascii="Times New Roman" w:hAnsi="Times New Roman"/>
          <w:color w:val="000000"/>
          <w:sz w:val="24"/>
          <w:szCs w:val="24"/>
          <w:lang w:val="en-GB"/>
        </w:rPr>
        <w:t>e</w:t>
      </w:r>
      <w:r w:rsidR="00304EF4">
        <w:rPr>
          <w:rFonts w:ascii="Times New Roman" w:hAnsi="Times New Roman"/>
          <w:color w:val="000000"/>
          <w:sz w:val="24"/>
          <w:szCs w:val="24"/>
          <w:lang w:val="en-GB"/>
        </w:rPr>
        <w:t xml:space="preserve"> place simultaneously (</w:t>
      </w:r>
      <w:r w:rsidR="00304EF4" w:rsidRPr="00304EF4">
        <w:rPr>
          <w:rFonts w:ascii="Times New Roman" w:hAnsi="Times New Roman"/>
          <w:color w:val="000000"/>
          <w:sz w:val="24"/>
          <w:szCs w:val="24"/>
          <w:lang w:val="en-GB"/>
        </w:rPr>
        <w:t>Cruz-González</w:t>
      </w:r>
      <w:r w:rsidR="00304EF4">
        <w:rPr>
          <w:rFonts w:ascii="Times New Roman" w:hAnsi="Times New Roman"/>
          <w:color w:val="000000"/>
          <w:sz w:val="24"/>
          <w:szCs w:val="24"/>
          <w:lang w:val="en-GB"/>
        </w:rPr>
        <w:t xml:space="preserve"> et al., 2015)</w:t>
      </w:r>
      <w:r w:rsidR="00304EF4" w:rsidRPr="00304EF4">
        <w:rPr>
          <w:rFonts w:ascii="Times New Roman" w:hAnsi="Times New Roman"/>
          <w:color w:val="000000"/>
          <w:sz w:val="24"/>
          <w:szCs w:val="24"/>
          <w:lang w:val="en-GB"/>
        </w:rPr>
        <w:t>.</w:t>
      </w:r>
      <w:r w:rsidR="00304EF4">
        <w:rPr>
          <w:rFonts w:ascii="Times New Roman" w:hAnsi="Times New Roman"/>
          <w:color w:val="000000"/>
          <w:sz w:val="24"/>
          <w:szCs w:val="24"/>
          <w:lang w:val="en-GB"/>
        </w:rPr>
        <w:t xml:space="preserve"> Consequently, o</w:t>
      </w:r>
      <w:r w:rsidRPr="006F55DD">
        <w:rPr>
          <w:rFonts w:ascii="Times New Roman" w:hAnsi="Times New Roman"/>
          <w:color w:val="000000"/>
          <w:sz w:val="24"/>
          <w:szCs w:val="24"/>
          <w:lang w:val="en-GB"/>
        </w:rPr>
        <w:t>ne of the main research questions that arise from this debate is whether experimentation with business models in dynamic contexts provides a direct reward to a firm in terms of value capture (</w:t>
      </w:r>
      <w:proofErr w:type="spellStart"/>
      <w:r w:rsidRPr="006F55DD">
        <w:rPr>
          <w:rFonts w:ascii="Times New Roman" w:hAnsi="Times New Roman"/>
          <w:color w:val="000000"/>
          <w:sz w:val="24"/>
          <w:szCs w:val="24"/>
          <w:lang w:val="en-US"/>
        </w:rPr>
        <w:t>Chesbrough</w:t>
      </w:r>
      <w:proofErr w:type="spellEnd"/>
      <w:r w:rsidRPr="006F55DD">
        <w:rPr>
          <w:rFonts w:ascii="Times New Roman" w:hAnsi="Times New Roman"/>
          <w:color w:val="000000"/>
          <w:sz w:val="24"/>
          <w:szCs w:val="24"/>
          <w:lang w:val="en-GB"/>
        </w:rPr>
        <w:t>, 2010</w:t>
      </w:r>
      <w:r>
        <w:rPr>
          <w:rFonts w:ascii="Times New Roman" w:hAnsi="Times New Roman"/>
          <w:color w:val="000000"/>
          <w:sz w:val="24"/>
          <w:szCs w:val="24"/>
          <w:lang w:val="en-GB"/>
        </w:rPr>
        <w:t xml:space="preserve">; </w:t>
      </w:r>
      <w:r w:rsidR="00B37273">
        <w:rPr>
          <w:rFonts w:ascii="Times New Roman" w:hAnsi="Times New Roman"/>
          <w:color w:val="000000"/>
          <w:sz w:val="24"/>
          <w:szCs w:val="24"/>
          <w:lang w:val="en-GB"/>
        </w:rPr>
        <w:t>Lee et al., 2017</w:t>
      </w:r>
      <w:r w:rsidR="00A10BAB">
        <w:rPr>
          <w:rFonts w:ascii="Times New Roman" w:hAnsi="Times New Roman"/>
          <w:color w:val="000000"/>
          <w:sz w:val="24"/>
          <w:szCs w:val="24"/>
          <w:lang w:val="en-GB"/>
        </w:rPr>
        <w:t xml:space="preserve">; </w:t>
      </w:r>
      <w:r w:rsidR="004E3E69">
        <w:rPr>
          <w:rFonts w:ascii="Times New Roman" w:hAnsi="Times New Roman"/>
          <w:color w:val="000000"/>
          <w:sz w:val="24"/>
          <w:szCs w:val="24"/>
          <w:lang w:val="en-GB"/>
        </w:rPr>
        <w:t>Suarez et al., 2013;</w:t>
      </w:r>
      <w:r w:rsidR="00A45DF2">
        <w:rPr>
          <w:rFonts w:ascii="Times New Roman" w:hAnsi="Times New Roman"/>
          <w:color w:val="000000"/>
          <w:sz w:val="24"/>
          <w:szCs w:val="24"/>
          <w:lang w:val="en-GB"/>
        </w:rPr>
        <w:t xml:space="preserve"> </w:t>
      </w:r>
      <w:proofErr w:type="spellStart"/>
      <w:r>
        <w:rPr>
          <w:rFonts w:ascii="Times New Roman" w:hAnsi="Times New Roman"/>
          <w:color w:val="000000"/>
          <w:sz w:val="24"/>
          <w:szCs w:val="24"/>
          <w:lang w:val="en-GB"/>
        </w:rPr>
        <w:t>Velu</w:t>
      </w:r>
      <w:proofErr w:type="spellEnd"/>
      <w:r>
        <w:rPr>
          <w:rFonts w:ascii="Times New Roman" w:hAnsi="Times New Roman"/>
          <w:color w:val="000000"/>
          <w:sz w:val="24"/>
          <w:szCs w:val="24"/>
          <w:lang w:val="en-GB"/>
        </w:rPr>
        <w:t>, 2015</w:t>
      </w:r>
      <w:r w:rsidRPr="006F55DD">
        <w:rPr>
          <w:rFonts w:ascii="Times New Roman" w:hAnsi="Times New Roman"/>
          <w:color w:val="000000"/>
          <w:sz w:val="24"/>
          <w:szCs w:val="24"/>
          <w:lang w:val="en-GB"/>
        </w:rPr>
        <w:t>).</w:t>
      </w:r>
      <w:r w:rsidR="004E3E69">
        <w:rPr>
          <w:rFonts w:ascii="Times New Roman" w:hAnsi="Times New Roman"/>
          <w:color w:val="000000"/>
          <w:sz w:val="24"/>
          <w:szCs w:val="24"/>
          <w:lang w:val="en-GB"/>
        </w:rPr>
        <w:t xml:space="preserve"> </w:t>
      </w:r>
    </w:p>
    <w:p w14:paraId="749793F4" w14:textId="1091E1A8" w:rsidR="00920A78" w:rsidRDefault="00F43980" w:rsidP="00320498">
      <w:pPr>
        <w:spacing w:after="0" w:line="240" w:lineRule="auto"/>
        <w:ind w:firstLine="426"/>
        <w:jc w:val="both"/>
        <w:rPr>
          <w:rFonts w:ascii="Times New Roman" w:hAnsi="Times New Roman"/>
          <w:color w:val="000000"/>
          <w:sz w:val="24"/>
          <w:szCs w:val="24"/>
          <w:lang w:val="en-GB"/>
        </w:rPr>
      </w:pPr>
      <w:r>
        <w:rPr>
          <w:rFonts w:ascii="Times New Roman" w:hAnsi="Times New Roman"/>
          <w:color w:val="000000"/>
          <w:sz w:val="24"/>
          <w:szCs w:val="24"/>
          <w:lang w:val="en-GB"/>
        </w:rPr>
        <w:t>E</w:t>
      </w:r>
      <w:r w:rsidR="00184458" w:rsidRPr="006F55DD">
        <w:rPr>
          <w:rFonts w:ascii="Times New Roman" w:hAnsi="Times New Roman"/>
          <w:color w:val="000000"/>
          <w:sz w:val="24"/>
          <w:szCs w:val="24"/>
          <w:lang w:val="en-GB"/>
        </w:rPr>
        <w:t xml:space="preserve">xtant literature analyses business model experimentation and innovation within organizational boundaries </w:t>
      </w:r>
      <w:r w:rsidR="00920A78">
        <w:rPr>
          <w:rFonts w:ascii="Times New Roman" w:hAnsi="Times New Roman"/>
          <w:color w:val="000000"/>
          <w:sz w:val="24"/>
          <w:szCs w:val="24"/>
          <w:lang w:val="en-GB"/>
        </w:rPr>
        <w:t>(</w:t>
      </w:r>
      <w:proofErr w:type="spellStart"/>
      <w:r w:rsidR="00184458">
        <w:rPr>
          <w:rFonts w:ascii="Times New Roman" w:hAnsi="Times New Roman"/>
          <w:color w:val="000000"/>
          <w:sz w:val="24"/>
          <w:szCs w:val="24"/>
          <w:lang w:val="en-US"/>
        </w:rPr>
        <w:t>Chesbrough</w:t>
      </w:r>
      <w:proofErr w:type="spellEnd"/>
      <w:r w:rsidR="00184458">
        <w:rPr>
          <w:rFonts w:ascii="Times New Roman" w:hAnsi="Times New Roman"/>
          <w:color w:val="000000"/>
          <w:sz w:val="24"/>
          <w:szCs w:val="24"/>
          <w:lang w:val="en-US"/>
        </w:rPr>
        <w:t xml:space="preserve"> and Rosenbloom</w:t>
      </w:r>
      <w:r w:rsidR="00920A78">
        <w:rPr>
          <w:rFonts w:ascii="Times New Roman" w:hAnsi="Times New Roman"/>
          <w:color w:val="000000"/>
          <w:sz w:val="24"/>
          <w:szCs w:val="24"/>
          <w:lang w:val="en-US"/>
        </w:rPr>
        <w:t>,</w:t>
      </w:r>
      <w:r w:rsidR="00184458">
        <w:rPr>
          <w:rFonts w:ascii="Times New Roman" w:hAnsi="Times New Roman"/>
          <w:color w:val="000000"/>
          <w:sz w:val="24"/>
          <w:szCs w:val="24"/>
          <w:lang w:val="en-US"/>
        </w:rPr>
        <w:t xml:space="preserve"> </w:t>
      </w:r>
      <w:r w:rsidR="00184458" w:rsidRPr="006F55DD">
        <w:rPr>
          <w:rFonts w:ascii="Times New Roman" w:hAnsi="Times New Roman"/>
          <w:color w:val="000000"/>
          <w:sz w:val="24"/>
          <w:szCs w:val="24"/>
          <w:lang w:val="en-US"/>
        </w:rPr>
        <w:t>2002</w:t>
      </w:r>
      <w:r w:rsidR="00920A78">
        <w:rPr>
          <w:rFonts w:ascii="Times New Roman" w:hAnsi="Times New Roman"/>
          <w:color w:val="000000"/>
          <w:sz w:val="24"/>
          <w:szCs w:val="24"/>
          <w:lang w:val="en-US"/>
        </w:rPr>
        <w:t>)</w:t>
      </w:r>
      <w:r w:rsidR="00184458" w:rsidRPr="006F55DD">
        <w:rPr>
          <w:rFonts w:ascii="Times New Roman" w:hAnsi="Times New Roman"/>
          <w:color w:val="000000"/>
          <w:sz w:val="24"/>
          <w:szCs w:val="24"/>
          <w:lang w:val="en-GB"/>
        </w:rPr>
        <w:t>. However, this approach ha</w:t>
      </w:r>
      <w:r w:rsidR="00920A78">
        <w:rPr>
          <w:rFonts w:ascii="Times New Roman" w:hAnsi="Times New Roman"/>
          <w:color w:val="000000"/>
          <w:sz w:val="24"/>
          <w:szCs w:val="24"/>
          <w:lang w:val="en-GB"/>
        </w:rPr>
        <w:t>s</w:t>
      </w:r>
      <w:r w:rsidR="00184458" w:rsidRPr="006F55DD">
        <w:rPr>
          <w:rFonts w:ascii="Times New Roman" w:hAnsi="Times New Roman"/>
          <w:color w:val="000000"/>
          <w:sz w:val="24"/>
          <w:szCs w:val="24"/>
          <w:lang w:val="en-GB"/>
        </w:rPr>
        <w:t xml:space="preserve"> potential limitations as new entrants with greater flexibility and a first mover advantage (</w:t>
      </w:r>
      <w:r w:rsidR="00184458">
        <w:rPr>
          <w:rFonts w:ascii="Times New Roman" w:hAnsi="Times New Roman"/>
          <w:color w:val="000000"/>
          <w:sz w:val="24"/>
          <w:szCs w:val="24"/>
          <w:lang w:val="en-GB"/>
        </w:rPr>
        <w:t>Wan et al., 2015</w:t>
      </w:r>
      <w:r w:rsidR="00184458" w:rsidRPr="006F55DD">
        <w:rPr>
          <w:rFonts w:ascii="Times New Roman" w:hAnsi="Times New Roman"/>
          <w:color w:val="000000"/>
          <w:sz w:val="24"/>
          <w:szCs w:val="24"/>
          <w:lang w:val="en-GB"/>
        </w:rPr>
        <w:t xml:space="preserve">) have a greater propensity to experiment with new business models. </w:t>
      </w:r>
      <w:r w:rsidR="00920A78">
        <w:rPr>
          <w:rFonts w:ascii="Times New Roman" w:hAnsi="Times New Roman"/>
          <w:color w:val="000000"/>
          <w:sz w:val="24"/>
          <w:szCs w:val="24"/>
          <w:lang w:val="en-GB"/>
        </w:rPr>
        <w:t>E</w:t>
      </w:r>
      <w:r w:rsidR="00184458" w:rsidRPr="006F55DD">
        <w:rPr>
          <w:rFonts w:ascii="Times New Roman" w:hAnsi="Times New Roman"/>
          <w:color w:val="000000"/>
          <w:sz w:val="24"/>
          <w:szCs w:val="24"/>
          <w:lang w:val="en-GB"/>
        </w:rPr>
        <w:t xml:space="preserve">xamples of </w:t>
      </w:r>
      <w:r w:rsidR="00920A78">
        <w:rPr>
          <w:rFonts w:ascii="Times New Roman" w:hAnsi="Times New Roman"/>
          <w:color w:val="000000"/>
          <w:sz w:val="24"/>
          <w:szCs w:val="24"/>
          <w:lang w:val="en-GB"/>
        </w:rPr>
        <w:t>successful experimental new entrant business models</w:t>
      </w:r>
      <w:r w:rsidR="00184458" w:rsidRPr="006F55DD">
        <w:rPr>
          <w:rFonts w:ascii="Times New Roman" w:hAnsi="Times New Roman"/>
          <w:color w:val="000000"/>
          <w:sz w:val="24"/>
          <w:szCs w:val="24"/>
          <w:lang w:val="en-GB"/>
        </w:rPr>
        <w:t xml:space="preserve"> include Apple in smartphones, Ryanair and EasyJet in the low-cost airline market, retailers such as eBay and Amazon, t</w:t>
      </w:r>
      <w:r w:rsidR="00924DFA">
        <w:rPr>
          <w:rFonts w:ascii="Times New Roman" w:hAnsi="Times New Roman"/>
          <w:color w:val="000000"/>
          <w:sz w:val="24"/>
          <w:szCs w:val="24"/>
          <w:lang w:val="en-GB"/>
        </w:rPr>
        <w:t>axi firm Uber</w:t>
      </w:r>
      <w:r w:rsidR="00E3126E">
        <w:rPr>
          <w:rFonts w:ascii="Times New Roman" w:hAnsi="Times New Roman"/>
          <w:color w:val="000000"/>
          <w:sz w:val="24"/>
          <w:szCs w:val="24"/>
          <w:lang w:val="en-GB"/>
        </w:rPr>
        <w:t xml:space="preserve">, </w:t>
      </w:r>
      <w:r w:rsidR="008031FB" w:rsidRPr="00F40818">
        <w:rPr>
          <w:rFonts w:ascii="Times New Roman" w:hAnsi="Times New Roman"/>
          <w:color w:val="000000"/>
          <w:sz w:val="24"/>
          <w:szCs w:val="24"/>
          <w:lang w:val="en-GB"/>
        </w:rPr>
        <w:t>streaming media provider Netflix,</w:t>
      </w:r>
      <w:r w:rsidR="00924DFA" w:rsidRPr="00F40818">
        <w:rPr>
          <w:rFonts w:ascii="Times New Roman" w:hAnsi="Times New Roman"/>
          <w:color w:val="000000"/>
          <w:sz w:val="24"/>
          <w:szCs w:val="24"/>
          <w:lang w:val="en-GB"/>
        </w:rPr>
        <w:t xml:space="preserve"> and accommodation</w:t>
      </w:r>
      <w:r w:rsidR="00184458" w:rsidRPr="006F55DD">
        <w:rPr>
          <w:rFonts w:ascii="Times New Roman" w:hAnsi="Times New Roman"/>
          <w:color w:val="000000"/>
          <w:sz w:val="24"/>
          <w:szCs w:val="24"/>
          <w:lang w:val="en-GB"/>
        </w:rPr>
        <w:t xml:space="preserve"> provider </w:t>
      </w:r>
      <w:proofErr w:type="spellStart"/>
      <w:r w:rsidR="00184458" w:rsidRPr="006F55DD">
        <w:rPr>
          <w:rFonts w:ascii="Times New Roman" w:hAnsi="Times New Roman"/>
          <w:color w:val="000000"/>
          <w:sz w:val="24"/>
          <w:szCs w:val="24"/>
          <w:lang w:val="en-GB"/>
        </w:rPr>
        <w:t>AirBNB</w:t>
      </w:r>
      <w:proofErr w:type="spellEnd"/>
      <w:r w:rsidR="00184458" w:rsidRPr="006F55DD">
        <w:rPr>
          <w:rFonts w:ascii="Times New Roman" w:hAnsi="Times New Roman"/>
          <w:color w:val="000000"/>
          <w:sz w:val="24"/>
          <w:szCs w:val="24"/>
          <w:lang w:val="en-GB"/>
        </w:rPr>
        <w:t xml:space="preserve">. </w:t>
      </w:r>
    </w:p>
    <w:p w14:paraId="2629ACA3" w14:textId="5D793CDB" w:rsidR="00184458" w:rsidRPr="006F55DD" w:rsidRDefault="00F43980" w:rsidP="00402A48">
      <w:pPr>
        <w:spacing w:after="0" w:line="240" w:lineRule="auto"/>
        <w:ind w:firstLine="426"/>
        <w:jc w:val="both"/>
        <w:rPr>
          <w:rFonts w:ascii="Times New Roman" w:hAnsi="Times New Roman"/>
          <w:color w:val="000000"/>
          <w:sz w:val="24"/>
          <w:szCs w:val="24"/>
          <w:lang w:val="en-GB"/>
        </w:rPr>
      </w:pPr>
      <w:r>
        <w:rPr>
          <w:rFonts w:ascii="Times New Roman" w:hAnsi="Times New Roman"/>
          <w:color w:val="000000"/>
          <w:sz w:val="24"/>
          <w:szCs w:val="24"/>
          <w:lang w:val="en-GB"/>
        </w:rPr>
        <w:t xml:space="preserve">In order to address the challenge of collecting data from numerous new, diverse and often difficult to access actors, this work instead analyses a known dynamic market at the industry level. In seeking to link multiple firm activities with </w:t>
      </w:r>
      <w:r w:rsidR="00333DE6">
        <w:rPr>
          <w:rFonts w:ascii="Times New Roman" w:hAnsi="Times New Roman"/>
          <w:color w:val="000000"/>
          <w:sz w:val="24"/>
          <w:szCs w:val="24"/>
          <w:lang w:val="en-GB"/>
        </w:rPr>
        <w:t xml:space="preserve">sales </w:t>
      </w:r>
      <w:r>
        <w:rPr>
          <w:rFonts w:ascii="Times New Roman" w:hAnsi="Times New Roman"/>
          <w:color w:val="000000"/>
          <w:sz w:val="24"/>
          <w:szCs w:val="24"/>
          <w:lang w:val="en-GB"/>
        </w:rPr>
        <w:t>t</w:t>
      </w:r>
      <w:r w:rsidR="00184458" w:rsidRPr="006F55DD">
        <w:rPr>
          <w:rFonts w:ascii="Times New Roman" w:hAnsi="Times New Roman"/>
          <w:color w:val="000000"/>
          <w:sz w:val="24"/>
          <w:szCs w:val="24"/>
          <w:lang w:val="en-GB"/>
        </w:rPr>
        <w:t xml:space="preserve">he approach taken in this paper goes beyond organizational boundaries and analyses the relationship between business model experimentation and the value capture of an industry. </w:t>
      </w:r>
      <w:r>
        <w:rPr>
          <w:rFonts w:ascii="Times New Roman" w:hAnsi="Times New Roman"/>
          <w:color w:val="000000"/>
          <w:sz w:val="24"/>
          <w:szCs w:val="24"/>
          <w:lang w:val="en-GB"/>
        </w:rPr>
        <w:t>The industry chosen for study</w:t>
      </w:r>
      <w:r w:rsidR="002E6BDB">
        <w:rPr>
          <w:rFonts w:ascii="Times New Roman" w:hAnsi="Times New Roman"/>
          <w:color w:val="000000"/>
          <w:sz w:val="24"/>
          <w:szCs w:val="24"/>
          <w:lang w:val="en-GB"/>
        </w:rPr>
        <w:t xml:space="preserve"> is that of recorded music </w:t>
      </w:r>
      <w:r w:rsidR="002E6BDB" w:rsidRPr="00F40818">
        <w:rPr>
          <w:rFonts w:ascii="Times New Roman" w:hAnsi="Times New Roman"/>
          <w:color w:val="000000"/>
          <w:sz w:val="24"/>
          <w:szCs w:val="24"/>
          <w:lang w:val="en-GB"/>
        </w:rPr>
        <w:t xml:space="preserve">which, like television, experienced </w:t>
      </w:r>
      <w:r w:rsidRPr="00F40818">
        <w:rPr>
          <w:rFonts w:ascii="Times New Roman" w:hAnsi="Times New Roman"/>
          <w:color w:val="000000"/>
          <w:sz w:val="24"/>
          <w:szCs w:val="24"/>
          <w:lang w:val="en-GB"/>
        </w:rPr>
        <w:t>a revolution</w:t>
      </w:r>
      <w:r w:rsidRPr="006F55DD">
        <w:rPr>
          <w:rFonts w:ascii="Times New Roman" w:hAnsi="Times New Roman"/>
          <w:color w:val="000000"/>
          <w:sz w:val="24"/>
          <w:szCs w:val="24"/>
          <w:lang w:val="en-GB"/>
        </w:rPr>
        <w:t xml:space="preserve"> led by new digital business models (</w:t>
      </w:r>
      <w:r w:rsidRPr="005652D9">
        <w:rPr>
          <w:rFonts w:ascii="Times New Roman" w:hAnsi="Times New Roman"/>
          <w:color w:val="000000"/>
          <w:sz w:val="24"/>
          <w:szCs w:val="24"/>
          <w:lang w:val="en-GB"/>
        </w:rPr>
        <w:t>Choi and Perez, 2007</w:t>
      </w:r>
      <w:r w:rsidR="002E6BDB" w:rsidRPr="005652D9">
        <w:rPr>
          <w:rFonts w:ascii="Times New Roman" w:hAnsi="Times New Roman"/>
          <w:color w:val="000000"/>
          <w:sz w:val="24"/>
          <w:szCs w:val="24"/>
          <w:lang w:val="en-GB"/>
        </w:rPr>
        <w:t>;</w:t>
      </w:r>
      <w:r w:rsidR="005652D9">
        <w:rPr>
          <w:rFonts w:ascii="Times New Roman" w:hAnsi="Times New Roman"/>
          <w:sz w:val="24"/>
          <w:szCs w:val="24"/>
          <w:lang w:val="en-GB"/>
        </w:rPr>
        <w:t xml:space="preserve"> </w:t>
      </w:r>
      <w:r w:rsidR="005652D9" w:rsidRPr="005652D9">
        <w:rPr>
          <w:rFonts w:ascii="Times New Roman" w:hAnsi="Times New Roman"/>
          <w:sz w:val="24"/>
          <w:szCs w:val="24"/>
          <w:lang w:val="en-GB"/>
        </w:rPr>
        <w:t xml:space="preserve">Parry et al., 2018; </w:t>
      </w:r>
      <w:r w:rsidR="002E6BDB" w:rsidRPr="005652D9">
        <w:rPr>
          <w:rFonts w:ascii="Times New Roman" w:hAnsi="Times New Roman"/>
          <w:color w:val="000000"/>
          <w:sz w:val="24"/>
          <w:szCs w:val="24"/>
          <w:lang w:val="en-GB"/>
        </w:rPr>
        <w:t>Vendrell-Herrero, et al., 2018</w:t>
      </w:r>
      <w:r w:rsidRPr="006F55DD">
        <w:rPr>
          <w:rFonts w:ascii="Times New Roman" w:hAnsi="Times New Roman"/>
          <w:color w:val="000000"/>
          <w:sz w:val="24"/>
          <w:szCs w:val="24"/>
          <w:lang w:val="en-GB"/>
        </w:rPr>
        <w:t>)</w:t>
      </w:r>
      <w:r>
        <w:rPr>
          <w:rFonts w:ascii="Times New Roman" w:hAnsi="Times New Roman"/>
          <w:color w:val="000000"/>
          <w:sz w:val="24"/>
          <w:szCs w:val="24"/>
          <w:lang w:val="en-GB"/>
        </w:rPr>
        <w:t xml:space="preserve">. </w:t>
      </w:r>
      <w:r w:rsidR="00184458" w:rsidRPr="006F55DD">
        <w:rPr>
          <w:rFonts w:ascii="Times New Roman" w:hAnsi="Times New Roman"/>
          <w:color w:val="000000"/>
          <w:sz w:val="24"/>
          <w:szCs w:val="24"/>
          <w:lang w:val="en-GB"/>
        </w:rPr>
        <w:t xml:space="preserve">Longitudinal analysis of the recorded music industry is undertaken across thirty-two countries from 1998 to 2010, a period of time in which the industry incumbents, the leading major label firms </w:t>
      </w:r>
      <w:r w:rsidR="00920A78">
        <w:rPr>
          <w:rFonts w:ascii="Times New Roman" w:hAnsi="Times New Roman"/>
          <w:color w:val="000000"/>
          <w:sz w:val="24"/>
          <w:szCs w:val="24"/>
          <w:lang w:val="en-GB"/>
        </w:rPr>
        <w:t>of</w:t>
      </w:r>
      <w:r w:rsidR="00184458" w:rsidRPr="006F55DD">
        <w:rPr>
          <w:rFonts w:ascii="Times New Roman" w:hAnsi="Times New Roman"/>
          <w:color w:val="000000"/>
          <w:sz w:val="24"/>
          <w:szCs w:val="24"/>
          <w:lang w:val="en-GB"/>
        </w:rPr>
        <w:t xml:space="preserve"> Warner Music Group, Sony/BMG, Universal and EMI, suffered revenue loss</w:t>
      </w:r>
      <w:r>
        <w:rPr>
          <w:rFonts w:ascii="Times New Roman" w:hAnsi="Times New Roman"/>
          <w:color w:val="000000"/>
          <w:sz w:val="24"/>
          <w:szCs w:val="24"/>
          <w:lang w:val="en-GB"/>
        </w:rPr>
        <w:t xml:space="preserve"> and</w:t>
      </w:r>
      <w:r w:rsidR="00184458" w:rsidRPr="006F55DD">
        <w:rPr>
          <w:rFonts w:ascii="Times New Roman" w:hAnsi="Times New Roman"/>
          <w:color w:val="000000"/>
          <w:sz w:val="24"/>
          <w:szCs w:val="24"/>
          <w:lang w:val="en-GB"/>
        </w:rPr>
        <w:t xml:space="preserve"> </w:t>
      </w:r>
      <w:r>
        <w:rPr>
          <w:rFonts w:ascii="Times New Roman" w:hAnsi="Times New Roman"/>
          <w:color w:val="000000"/>
          <w:sz w:val="24"/>
          <w:szCs w:val="24"/>
          <w:lang w:val="en-GB"/>
        </w:rPr>
        <w:t xml:space="preserve">multiple </w:t>
      </w:r>
      <w:r w:rsidR="00184458" w:rsidRPr="006F55DD">
        <w:rPr>
          <w:rFonts w:ascii="Times New Roman" w:hAnsi="Times New Roman"/>
          <w:color w:val="000000"/>
          <w:sz w:val="24"/>
          <w:szCs w:val="24"/>
          <w:lang w:val="en-GB"/>
        </w:rPr>
        <w:t>technological disruptions (</w:t>
      </w:r>
      <w:r w:rsidR="002F0F46">
        <w:rPr>
          <w:rFonts w:ascii="Times New Roman" w:hAnsi="Times New Roman"/>
          <w:color w:val="000000"/>
          <w:sz w:val="24"/>
          <w:szCs w:val="24"/>
          <w:lang w:val="en-GB"/>
        </w:rPr>
        <w:t xml:space="preserve">Gilbert, 2015; </w:t>
      </w:r>
      <w:proofErr w:type="spellStart"/>
      <w:r w:rsidR="00184458" w:rsidRPr="006F55DD">
        <w:rPr>
          <w:rFonts w:ascii="Times New Roman" w:hAnsi="Times New Roman"/>
          <w:color w:val="000000"/>
          <w:sz w:val="24"/>
          <w:szCs w:val="24"/>
          <w:lang w:val="en-GB"/>
        </w:rPr>
        <w:t>Liebowitz</w:t>
      </w:r>
      <w:proofErr w:type="spellEnd"/>
      <w:r w:rsidR="00184458" w:rsidRPr="006F55DD">
        <w:rPr>
          <w:rFonts w:ascii="Times New Roman" w:hAnsi="Times New Roman"/>
          <w:color w:val="000000"/>
          <w:sz w:val="24"/>
          <w:szCs w:val="24"/>
          <w:lang w:val="en-GB"/>
        </w:rPr>
        <w:t xml:space="preserve">, 2014; </w:t>
      </w:r>
      <w:proofErr w:type="spellStart"/>
      <w:r w:rsidR="00184458" w:rsidRPr="006F55DD">
        <w:rPr>
          <w:rFonts w:ascii="Times New Roman" w:hAnsi="Times New Roman"/>
          <w:color w:val="000000"/>
          <w:sz w:val="24"/>
          <w:szCs w:val="24"/>
          <w:lang w:val="en-GB"/>
        </w:rPr>
        <w:t>Myrthianos</w:t>
      </w:r>
      <w:proofErr w:type="spellEnd"/>
      <w:r w:rsidR="00184458" w:rsidRPr="006F55DD">
        <w:rPr>
          <w:rFonts w:ascii="Times New Roman" w:hAnsi="Times New Roman"/>
          <w:color w:val="000000"/>
          <w:sz w:val="24"/>
          <w:szCs w:val="24"/>
          <w:lang w:val="en-GB"/>
        </w:rPr>
        <w:t xml:space="preserve"> et al., 2014). </w:t>
      </w:r>
      <w:r w:rsidR="00333DE6">
        <w:rPr>
          <w:rFonts w:ascii="Times New Roman" w:hAnsi="Times New Roman"/>
          <w:color w:val="000000"/>
          <w:sz w:val="24"/>
          <w:szCs w:val="24"/>
          <w:lang w:val="en-GB"/>
        </w:rPr>
        <w:t xml:space="preserve">Value capture is measured in terms of sales per capita to compensate for the different market sizes. </w:t>
      </w:r>
      <w:r w:rsidR="00094260">
        <w:rPr>
          <w:rFonts w:ascii="Times New Roman" w:hAnsi="Times New Roman"/>
          <w:color w:val="000000"/>
          <w:sz w:val="24"/>
          <w:szCs w:val="24"/>
          <w:lang w:val="en-GB"/>
        </w:rPr>
        <w:t>T</w:t>
      </w:r>
      <w:r w:rsidR="00094260" w:rsidRPr="006F55DD">
        <w:rPr>
          <w:rFonts w:ascii="Times New Roman" w:hAnsi="Times New Roman"/>
          <w:color w:val="000000"/>
          <w:sz w:val="24"/>
          <w:szCs w:val="24"/>
          <w:lang w:val="en-GB"/>
        </w:rPr>
        <w:t xml:space="preserve">he measure of business model experimentation is given as a proxy of the diversity of formats in which music is sold, a novel construct thereafter named </w:t>
      </w:r>
      <w:r w:rsidR="00094260" w:rsidRPr="006F55DD">
        <w:rPr>
          <w:rFonts w:ascii="Times New Roman" w:hAnsi="Times New Roman"/>
          <w:i/>
          <w:color w:val="000000"/>
          <w:sz w:val="24"/>
          <w:szCs w:val="24"/>
          <w:lang w:val="en-GB"/>
        </w:rPr>
        <w:t>Format Density</w:t>
      </w:r>
      <w:r w:rsidR="00094260">
        <w:rPr>
          <w:rFonts w:ascii="Times New Roman" w:hAnsi="Times New Roman"/>
          <w:color w:val="000000"/>
          <w:sz w:val="24"/>
          <w:szCs w:val="24"/>
          <w:lang w:val="en-GB"/>
        </w:rPr>
        <w:t xml:space="preserve">. The </w:t>
      </w:r>
      <w:r w:rsidR="00184458" w:rsidRPr="006F55DD">
        <w:rPr>
          <w:rFonts w:ascii="Times New Roman" w:hAnsi="Times New Roman"/>
          <w:color w:val="000000"/>
          <w:sz w:val="24"/>
          <w:szCs w:val="24"/>
          <w:lang w:val="en-GB"/>
        </w:rPr>
        <w:t>construct</w:t>
      </w:r>
      <w:r w:rsidR="00094260">
        <w:rPr>
          <w:rFonts w:ascii="Times New Roman" w:hAnsi="Times New Roman"/>
          <w:color w:val="000000"/>
          <w:sz w:val="24"/>
          <w:szCs w:val="24"/>
          <w:lang w:val="en-GB"/>
        </w:rPr>
        <w:t xml:space="preserve"> has been validated</w:t>
      </w:r>
      <w:r w:rsidR="00184458" w:rsidRPr="006F55DD">
        <w:rPr>
          <w:rFonts w:ascii="Times New Roman" w:hAnsi="Times New Roman"/>
          <w:color w:val="000000"/>
          <w:sz w:val="24"/>
          <w:szCs w:val="24"/>
          <w:lang w:val="en-GB"/>
        </w:rPr>
        <w:t xml:space="preserve"> by three senior managers from leading </w:t>
      </w:r>
      <w:r w:rsidR="00094260">
        <w:rPr>
          <w:rFonts w:ascii="Times New Roman" w:hAnsi="Times New Roman"/>
          <w:color w:val="000000"/>
          <w:sz w:val="24"/>
          <w:szCs w:val="24"/>
          <w:lang w:val="en-GB"/>
        </w:rPr>
        <w:t xml:space="preserve">global music </w:t>
      </w:r>
      <w:r w:rsidR="00184458" w:rsidRPr="006F55DD">
        <w:rPr>
          <w:rFonts w:ascii="Times New Roman" w:hAnsi="Times New Roman"/>
          <w:color w:val="000000"/>
          <w:sz w:val="24"/>
          <w:szCs w:val="24"/>
          <w:lang w:val="en-GB"/>
        </w:rPr>
        <w:t>firms and one academic expert</w:t>
      </w:r>
      <w:r w:rsidR="00184458" w:rsidRPr="006F55DD">
        <w:rPr>
          <w:rFonts w:ascii="Times New Roman" w:hAnsi="Times New Roman"/>
          <w:i/>
          <w:color w:val="000000"/>
          <w:sz w:val="24"/>
          <w:szCs w:val="24"/>
          <w:lang w:val="en-GB"/>
        </w:rPr>
        <w:t>.</w:t>
      </w:r>
    </w:p>
    <w:p w14:paraId="27D0ACE0" w14:textId="602E7BD9" w:rsidR="00184458" w:rsidRPr="006F55DD" w:rsidRDefault="00333DE6" w:rsidP="00402A48">
      <w:pPr>
        <w:spacing w:after="0" w:line="240" w:lineRule="auto"/>
        <w:ind w:firstLine="426"/>
        <w:jc w:val="both"/>
        <w:rPr>
          <w:rFonts w:ascii="Times New Roman" w:hAnsi="Times New Roman"/>
          <w:color w:val="000000"/>
          <w:sz w:val="24"/>
          <w:szCs w:val="24"/>
          <w:lang w:val="en-GB"/>
        </w:rPr>
      </w:pPr>
      <w:r>
        <w:rPr>
          <w:rFonts w:ascii="Times New Roman" w:hAnsi="Times New Roman"/>
          <w:color w:val="000000"/>
          <w:sz w:val="24"/>
          <w:szCs w:val="24"/>
          <w:lang w:val="en-GB"/>
        </w:rPr>
        <w:t>T</w:t>
      </w:r>
      <w:r w:rsidR="00184458" w:rsidRPr="006F55DD">
        <w:rPr>
          <w:rFonts w:ascii="Times New Roman" w:hAnsi="Times New Roman"/>
          <w:color w:val="000000"/>
          <w:sz w:val="24"/>
          <w:szCs w:val="24"/>
          <w:lang w:val="en-GB"/>
        </w:rPr>
        <w:t xml:space="preserve">he results of </w:t>
      </w:r>
      <w:r>
        <w:rPr>
          <w:rFonts w:ascii="Times New Roman" w:hAnsi="Times New Roman"/>
          <w:color w:val="000000"/>
          <w:sz w:val="24"/>
          <w:szCs w:val="24"/>
          <w:lang w:val="en-GB"/>
        </w:rPr>
        <w:t>our</w:t>
      </w:r>
      <w:r w:rsidR="00184458" w:rsidRPr="006F55DD">
        <w:rPr>
          <w:rFonts w:ascii="Times New Roman" w:hAnsi="Times New Roman"/>
          <w:color w:val="000000"/>
          <w:sz w:val="24"/>
          <w:szCs w:val="24"/>
          <w:lang w:val="en-GB"/>
        </w:rPr>
        <w:t xml:space="preserve"> quantitative analysis</w:t>
      </w:r>
      <w:r>
        <w:rPr>
          <w:rFonts w:ascii="Times New Roman" w:hAnsi="Times New Roman"/>
          <w:color w:val="000000"/>
          <w:sz w:val="24"/>
          <w:szCs w:val="24"/>
          <w:lang w:val="en-GB"/>
        </w:rPr>
        <w:t xml:space="preserve"> using Format Density and sales per capita</w:t>
      </w:r>
      <w:r w:rsidR="00184458" w:rsidRPr="006F55DD">
        <w:rPr>
          <w:rFonts w:ascii="Times New Roman" w:hAnsi="Times New Roman"/>
          <w:color w:val="000000"/>
          <w:sz w:val="24"/>
          <w:szCs w:val="24"/>
          <w:lang w:val="en-GB"/>
        </w:rPr>
        <w:t xml:space="preserve"> support extant theor</w:t>
      </w:r>
      <w:r w:rsidR="00920A78">
        <w:rPr>
          <w:rFonts w:ascii="Times New Roman" w:hAnsi="Times New Roman"/>
          <w:color w:val="000000"/>
          <w:sz w:val="24"/>
          <w:szCs w:val="24"/>
          <w:lang w:val="en-GB"/>
        </w:rPr>
        <w:t>y</w:t>
      </w:r>
      <w:r w:rsidR="00184458" w:rsidRPr="006F55DD">
        <w:rPr>
          <w:rFonts w:ascii="Times New Roman" w:hAnsi="Times New Roman"/>
          <w:color w:val="000000"/>
          <w:sz w:val="24"/>
          <w:szCs w:val="24"/>
          <w:lang w:val="en-GB"/>
        </w:rPr>
        <w:t xml:space="preserve"> (</w:t>
      </w:r>
      <w:proofErr w:type="spellStart"/>
      <w:r w:rsidR="00184458" w:rsidRPr="006F55DD">
        <w:rPr>
          <w:rFonts w:ascii="Times New Roman" w:hAnsi="Times New Roman"/>
          <w:color w:val="000000"/>
          <w:sz w:val="24"/>
          <w:szCs w:val="24"/>
          <w:lang w:val="en-GB"/>
        </w:rPr>
        <w:t>Chesbrough</w:t>
      </w:r>
      <w:proofErr w:type="spellEnd"/>
      <w:r w:rsidR="00184458" w:rsidRPr="006F55DD">
        <w:rPr>
          <w:rFonts w:ascii="Times New Roman" w:hAnsi="Times New Roman"/>
          <w:color w:val="000000"/>
          <w:sz w:val="24"/>
          <w:szCs w:val="24"/>
          <w:lang w:val="en-GB"/>
        </w:rPr>
        <w:t xml:space="preserve">, 2010; McGrath, 2010) which suggests that a positive relationship exists between business model experimentation and value capture in dynamic contexts. A high diversity of business models </w:t>
      </w:r>
      <w:r>
        <w:rPr>
          <w:rFonts w:ascii="Times New Roman" w:hAnsi="Times New Roman"/>
          <w:color w:val="000000"/>
          <w:sz w:val="24"/>
          <w:szCs w:val="24"/>
          <w:lang w:val="en-GB"/>
        </w:rPr>
        <w:t>is found</w:t>
      </w:r>
      <w:r w:rsidRPr="006F55DD">
        <w:rPr>
          <w:rFonts w:ascii="Times New Roman" w:hAnsi="Times New Roman"/>
          <w:color w:val="000000"/>
          <w:sz w:val="24"/>
          <w:szCs w:val="24"/>
          <w:lang w:val="en-GB"/>
        </w:rPr>
        <w:t xml:space="preserve"> </w:t>
      </w:r>
      <w:r w:rsidR="00184458" w:rsidRPr="006F55DD">
        <w:rPr>
          <w:rFonts w:ascii="Times New Roman" w:hAnsi="Times New Roman"/>
          <w:color w:val="000000"/>
          <w:sz w:val="24"/>
          <w:szCs w:val="24"/>
          <w:lang w:val="en-GB"/>
        </w:rPr>
        <w:t>to satisfy heterogeneous consumers with changing and complex needs</w:t>
      </w:r>
      <w:r>
        <w:rPr>
          <w:rFonts w:ascii="Times New Roman" w:hAnsi="Times New Roman"/>
          <w:color w:val="000000"/>
          <w:sz w:val="24"/>
          <w:szCs w:val="24"/>
          <w:lang w:val="en-GB"/>
        </w:rPr>
        <w:t xml:space="preserve"> (</w:t>
      </w:r>
      <w:r w:rsidRPr="00333DE6">
        <w:rPr>
          <w:rFonts w:ascii="Times New Roman" w:hAnsi="Times New Roman"/>
          <w:color w:val="000000"/>
          <w:sz w:val="24"/>
          <w:szCs w:val="24"/>
          <w:lang w:val="en-GB"/>
        </w:rPr>
        <w:t>Huff, 1990</w:t>
      </w:r>
      <w:r>
        <w:rPr>
          <w:rFonts w:ascii="Times New Roman" w:hAnsi="Times New Roman"/>
          <w:color w:val="000000"/>
          <w:sz w:val="24"/>
          <w:szCs w:val="24"/>
          <w:lang w:val="en-GB"/>
        </w:rPr>
        <w:t>)</w:t>
      </w:r>
      <w:r w:rsidR="00184458" w:rsidRPr="006F55DD">
        <w:rPr>
          <w:rFonts w:ascii="Times New Roman" w:hAnsi="Times New Roman"/>
          <w:color w:val="000000"/>
          <w:sz w:val="24"/>
          <w:szCs w:val="24"/>
          <w:lang w:val="en-GB"/>
        </w:rPr>
        <w:t>, a</w:t>
      </w:r>
      <w:r w:rsidR="004F187C">
        <w:rPr>
          <w:rFonts w:ascii="Times New Roman" w:hAnsi="Times New Roman"/>
          <w:color w:val="000000"/>
          <w:sz w:val="24"/>
          <w:szCs w:val="24"/>
          <w:lang w:val="en-GB"/>
        </w:rPr>
        <w:t>nd the</w:t>
      </w:r>
      <w:r w:rsidR="00184458" w:rsidRPr="006F55DD">
        <w:rPr>
          <w:rFonts w:ascii="Times New Roman" w:hAnsi="Times New Roman"/>
          <w:color w:val="000000"/>
          <w:sz w:val="24"/>
          <w:szCs w:val="24"/>
          <w:lang w:val="en-GB"/>
        </w:rPr>
        <w:t xml:space="preserve"> phenomenon </w:t>
      </w:r>
      <w:r w:rsidR="004F187C">
        <w:rPr>
          <w:rFonts w:ascii="Times New Roman" w:hAnsi="Times New Roman"/>
          <w:color w:val="000000"/>
          <w:sz w:val="24"/>
          <w:szCs w:val="24"/>
          <w:lang w:val="en-GB"/>
        </w:rPr>
        <w:t xml:space="preserve">of numerous offers being tried by consumers </w:t>
      </w:r>
      <w:r w:rsidR="00184458" w:rsidRPr="006F55DD">
        <w:rPr>
          <w:rFonts w:ascii="Times New Roman" w:hAnsi="Times New Roman"/>
          <w:color w:val="000000"/>
          <w:sz w:val="24"/>
          <w:szCs w:val="24"/>
          <w:lang w:val="en-GB"/>
        </w:rPr>
        <w:t xml:space="preserve">is encapsulated in this research using the term ‘taster effect’. However, the evidence also identifies that in the presence of ‘network effects’, where an offers value increases as more people use it, business model experimentation can initially lead to a reduction in revenues.  </w:t>
      </w:r>
    </w:p>
    <w:p w14:paraId="04C6993C" w14:textId="303A35CC" w:rsidR="00184458" w:rsidRDefault="00184458" w:rsidP="002F49EA">
      <w:pPr>
        <w:spacing w:after="0" w:line="240" w:lineRule="auto"/>
        <w:ind w:firstLine="426"/>
        <w:jc w:val="both"/>
        <w:rPr>
          <w:rFonts w:ascii="Times New Roman" w:hAnsi="Times New Roman"/>
          <w:color w:val="000000"/>
          <w:sz w:val="24"/>
          <w:szCs w:val="24"/>
          <w:lang w:val="en-GB"/>
        </w:rPr>
      </w:pPr>
      <w:r w:rsidRPr="006F55DD">
        <w:rPr>
          <w:rFonts w:ascii="Times New Roman" w:hAnsi="Times New Roman"/>
          <w:color w:val="000000"/>
          <w:sz w:val="24"/>
          <w:szCs w:val="24"/>
          <w:lang w:val="en-GB"/>
        </w:rPr>
        <w:t>This paper summarizes the literature on business models and sets the theoretical underpinning for the study. The second section describes the nature and evolution of the music industry and sets the contextual empirical hypothesis. Following this, the model specification and descriptive statistics are presented. Results are shown and the paper ends with academic contributions, managerial implications and future research avenues.</w:t>
      </w:r>
    </w:p>
    <w:p w14:paraId="174DB19E" w14:textId="77777777" w:rsidR="006432A1" w:rsidRDefault="006432A1" w:rsidP="002F49EA">
      <w:pPr>
        <w:spacing w:after="0" w:line="240" w:lineRule="auto"/>
        <w:outlineLvl w:val="0"/>
        <w:rPr>
          <w:rFonts w:ascii="Times New Roman" w:hAnsi="Times New Roman"/>
          <w:color w:val="000000"/>
          <w:lang w:val="en-GB"/>
        </w:rPr>
      </w:pPr>
    </w:p>
    <w:p w14:paraId="171DFBD9" w14:textId="77777777" w:rsidR="006432A1" w:rsidRDefault="006432A1" w:rsidP="002F49EA">
      <w:pPr>
        <w:spacing w:after="0" w:line="240" w:lineRule="auto"/>
        <w:outlineLvl w:val="0"/>
        <w:rPr>
          <w:rFonts w:ascii="Times New Roman" w:hAnsi="Times New Roman"/>
          <w:color w:val="000000"/>
          <w:lang w:val="en-GB"/>
        </w:rPr>
      </w:pPr>
    </w:p>
    <w:p w14:paraId="2F0529E8" w14:textId="1AA3C089" w:rsidR="00184458" w:rsidRDefault="00402A48" w:rsidP="002F49EA">
      <w:pPr>
        <w:spacing w:after="0" w:line="240" w:lineRule="auto"/>
        <w:outlineLvl w:val="0"/>
        <w:rPr>
          <w:rFonts w:ascii="Times New Roman" w:hAnsi="Times New Roman"/>
          <w:b/>
          <w:color w:val="000000"/>
          <w:sz w:val="24"/>
          <w:szCs w:val="24"/>
          <w:lang w:val="en-GB"/>
        </w:rPr>
      </w:pPr>
      <w:r w:rsidRPr="00402A48">
        <w:rPr>
          <w:rFonts w:ascii="Times New Roman" w:hAnsi="Times New Roman"/>
          <w:b/>
          <w:color w:val="000000"/>
          <w:sz w:val="24"/>
          <w:szCs w:val="24"/>
          <w:lang w:val="en-GB"/>
        </w:rPr>
        <w:t xml:space="preserve">2     </w:t>
      </w:r>
      <w:r w:rsidR="00184458" w:rsidRPr="00402A48">
        <w:rPr>
          <w:rFonts w:ascii="Times New Roman" w:hAnsi="Times New Roman"/>
          <w:b/>
          <w:color w:val="000000"/>
          <w:sz w:val="24"/>
          <w:szCs w:val="24"/>
          <w:lang w:val="en-GB"/>
        </w:rPr>
        <w:t>Theoretical underpinning</w:t>
      </w:r>
    </w:p>
    <w:p w14:paraId="34B05026" w14:textId="77777777" w:rsidR="00402A48" w:rsidRPr="00402A48" w:rsidRDefault="00402A48" w:rsidP="002F49EA">
      <w:pPr>
        <w:spacing w:after="0" w:line="240" w:lineRule="auto"/>
        <w:outlineLvl w:val="0"/>
        <w:rPr>
          <w:rFonts w:ascii="Times New Roman" w:hAnsi="Times New Roman"/>
          <w:b/>
          <w:color w:val="000000"/>
          <w:sz w:val="24"/>
          <w:szCs w:val="24"/>
          <w:lang w:val="en-GB"/>
        </w:rPr>
      </w:pPr>
    </w:p>
    <w:p w14:paraId="5BF946E4" w14:textId="6AFF8743" w:rsidR="00184458" w:rsidRDefault="00402A48" w:rsidP="002F49EA">
      <w:pPr>
        <w:spacing w:after="0" w:line="240" w:lineRule="auto"/>
        <w:outlineLvl w:val="0"/>
        <w:rPr>
          <w:rFonts w:ascii="Times New Roman" w:hAnsi="Times New Roman"/>
          <w:i/>
          <w:color w:val="000000"/>
          <w:sz w:val="24"/>
          <w:szCs w:val="24"/>
          <w:lang w:val="en-GB"/>
        </w:rPr>
      </w:pPr>
      <w:r w:rsidRPr="00402A48">
        <w:rPr>
          <w:rFonts w:ascii="Times New Roman" w:hAnsi="Times New Roman"/>
          <w:i/>
          <w:color w:val="000000"/>
          <w:sz w:val="24"/>
          <w:szCs w:val="24"/>
          <w:lang w:val="en-GB"/>
        </w:rPr>
        <w:t xml:space="preserve">2.1 </w:t>
      </w:r>
      <w:r w:rsidR="00184458" w:rsidRPr="00402A48">
        <w:rPr>
          <w:rFonts w:ascii="Times New Roman" w:hAnsi="Times New Roman"/>
          <w:i/>
          <w:color w:val="000000"/>
          <w:sz w:val="24"/>
          <w:szCs w:val="24"/>
          <w:lang w:val="en-GB"/>
        </w:rPr>
        <w:t>Business model and value</w:t>
      </w:r>
      <w:r w:rsidR="00583815" w:rsidRPr="00402A48">
        <w:rPr>
          <w:rFonts w:ascii="Times New Roman" w:hAnsi="Times New Roman"/>
          <w:i/>
          <w:color w:val="000000"/>
          <w:sz w:val="24"/>
          <w:szCs w:val="24"/>
          <w:lang w:val="en-GB"/>
        </w:rPr>
        <w:t xml:space="preserve"> capture</w:t>
      </w:r>
    </w:p>
    <w:p w14:paraId="67F4FDCA" w14:textId="77777777" w:rsidR="00402A48" w:rsidRPr="00402A48" w:rsidRDefault="00402A48" w:rsidP="002F49EA">
      <w:pPr>
        <w:spacing w:after="0" w:line="240" w:lineRule="auto"/>
        <w:outlineLvl w:val="0"/>
        <w:rPr>
          <w:rFonts w:ascii="Times New Roman" w:hAnsi="Times New Roman"/>
          <w:i/>
          <w:color w:val="000000"/>
          <w:sz w:val="24"/>
          <w:szCs w:val="24"/>
          <w:lang w:val="en-GB"/>
        </w:rPr>
      </w:pPr>
    </w:p>
    <w:p w14:paraId="5CA6FC09" w14:textId="74E23162" w:rsidR="00184458" w:rsidRPr="006F55DD" w:rsidRDefault="00184458" w:rsidP="002F49EA">
      <w:pPr>
        <w:spacing w:after="0" w:line="240" w:lineRule="auto"/>
        <w:jc w:val="both"/>
        <w:rPr>
          <w:rFonts w:ascii="Times New Roman" w:hAnsi="Times New Roman"/>
          <w:color w:val="000000"/>
          <w:sz w:val="24"/>
          <w:szCs w:val="24"/>
          <w:lang w:val="en-US"/>
        </w:rPr>
      </w:pPr>
      <w:r w:rsidRPr="006F55DD">
        <w:rPr>
          <w:rFonts w:ascii="Times New Roman" w:hAnsi="Times New Roman"/>
          <w:color w:val="000000"/>
          <w:sz w:val="24"/>
          <w:szCs w:val="24"/>
          <w:lang w:val="en-US"/>
        </w:rPr>
        <w:t>Business models are complex multidimensional dynamic concepts that are not easily defined, although there is design logic employed in their creation by managers and entrepreneurs (</w:t>
      </w:r>
      <w:proofErr w:type="spellStart"/>
      <w:r w:rsidRPr="006F55DD">
        <w:rPr>
          <w:rFonts w:ascii="Times New Roman" w:hAnsi="Times New Roman"/>
          <w:color w:val="000000"/>
          <w:sz w:val="24"/>
          <w:szCs w:val="24"/>
          <w:lang w:val="en-US"/>
        </w:rPr>
        <w:t>Nicolini</w:t>
      </w:r>
      <w:proofErr w:type="spellEnd"/>
      <w:r w:rsidRPr="006F55DD">
        <w:rPr>
          <w:rFonts w:ascii="Times New Roman" w:hAnsi="Times New Roman"/>
          <w:color w:val="000000"/>
          <w:sz w:val="24"/>
          <w:szCs w:val="24"/>
          <w:lang w:val="en-US"/>
        </w:rPr>
        <w:t xml:space="preserve">, 2009). </w:t>
      </w:r>
      <w:proofErr w:type="spellStart"/>
      <w:r w:rsidRPr="006F55DD">
        <w:rPr>
          <w:rFonts w:ascii="Times New Roman" w:hAnsi="Times New Roman"/>
          <w:color w:val="000000"/>
          <w:sz w:val="24"/>
          <w:szCs w:val="24"/>
          <w:lang w:val="en-US"/>
        </w:rPr>
        <w:t>Zott</w:t>
      </w:r>
      <w:proofErr w:type="spellEnd"/>
      <w:r w:rsidRPr="006F55DD">
        <w:rPr>
          <w:rFonts w:ascii="Times New Roman" w:hAnsi="Times New Roman"/>
          <w:color w:val="000000"/>
          <w:sz w:val="24"/>
          <w:szCs w:val="24"/>
          <w:lang w:val="en-US"/>
        </w:rPr>
        <w:t xml:space="preserve"> and Amit (2008, p.1) propose that “the business model is a structural template that describes the organization of a focal firm’s transactions with all of its external constituents in factor and product markets”. Business model complexity is encapsulated by </w:t>
      </w:r>
      <w:proofErr w:type="spellStart"/>
      <w:r w:rsidRPr="006F55DD">
        <w:rPr>
          <w:rFonts w:ascii="Times New Roman" w:hAnsi="Times New Roman"/>
          <w:color w:val="000000"/>
          <w:sz w:val="24"/>
          <w:szCs w:val="24"/>
          <w:lang w:val="en-US"/>
        </w:rPr>
        <w:t>Tuli</w:t>
      </w:r>
      <w:proofErr w:type="spellEnd"/>
      <w:r w:rsidRPr="006F55DD">
        <w:rPr>
          <w:rFonts w:ascii="Times New Roman" w:hAnsi="Times New Roman"/>
          <w:color w:val="000000"/>
          <w:sz w:val="24"/>
          <w:szCs w:val="24"/>
          <w:lang w:val="en-US"/>
        </w:rPr>
        <w:t xml:space="preserve"> et al. (2007, p.14) who state that “selling solutions is a complex exercise that involves the consideration of conﬂicting requirements of multiple stakeholders”. Consistent with this, </w:t>
      </w:r>
      <w:proofErr w:type="spellStart"/>
      <w:r w:rsidRPr="006F55DD">
        <w:rPr>
          <w:rFonts w:ascii="Times New Roman" w:hAnsi="Times New Roman"/>
          <w:color w:val="000000"/>
          <w:sz w:val="24"/>
          <w:szCs w:val="24"/>
          <w:lang w:val="en-US"/>
        </w:rPr>
        <w:t>Zott</w:t>
      </w:r>
      <w:proofErr w:type="spellEnd"/>
      <w:r w:rsidRPr="006F55DD">
        <w:rPr>
          <w:rFonts w:ascii="Times New Roman" w:hAnsi="Times New Roman"/>
          <w:color w:val="000000"/>
          <w:sz w:val="24"/>
          <w:szCs w:val="24"/>
          <w:lang w:val="en-US"/>
        </w:rPr>
        <w:t xml:space="preserve"> et al. (2011) present business models as capturing the value created arising from multiple sources. Others have linked the innovation aspect to the evolutionary nature of a business model (</w:t>
      </w:r>
      <w:proofErr w:type="spellStart"/>
      <w:r w:rsidRPr="006F55DD">
        <w:rPr>
          <w:rFonts w:ascii="Times New Roman" w:hAnsi="Times New Roman"/>
          <w:color w:val="000000"/>
          <w:sz w:val="24"/>
          <w:szCs w:val="24"/>
          <w:shd w:val="clear" w:color="auto" w:fill="FFFFFF"/>
          <w:lang w:val="en-GB"/>
        </w:rPr>
        <w:t>Aranguren</w:t>
      </w:r>
      <w:proofErr w:type="spellEnd"/>
      <w:r w:rsidRPr="006F55DD">
        <w:rPr>
          <w:rFonts w:ascii="Times New Roman" w:hAnsi="Times New Roman"/>
          <w:color w:val="000000"/>
          <w:sz w:val="24"/>
          <w:szCs w:val="24"/>
          <w:shd w:val="clear" w:color="auto" w:fill="FFFFFF"/>
          <w:lang w:val="en-GB"/>
        </w:rPr>
        <w:t xml:space="preserve"> et al., 2014; </w:t>
      </w:r>
      <w:proofErr w:type="spellStart"/>
      <w:r w:rsidRPr="006F55DD">
        <w:rPr>
          <w:rFonts w:ascii="Times New Roman" w:hAnsi="Times New Roman"/>
          <w:color w:val="000000"/>
          <w:sz w:val="24"/>
          <w:szCs w:val="24"/>
          <w:shd w:val="clear" w:color="auto" w:fill="FFFFFF"/>
          <w:lang w:val="en-GB"/>
        </w:rPr>
        <w:t>Ortin</w:t>
      </w:r>
      <w:proofErr w:type="spellEnd"/>
      <w:r w:rsidRPr="006F55DD">
        <w:rPr>
          <w:rFonts w:ascii="Times New Roman" w:hAnsi="Times New Roman"/>
          <w:color w:val="000000"/>
          <w:sz w:val="24"/>
          <w:szCs w:val="24"/>
          <w:shd w:val="clear" w:color="auto" w:fill="FFFFFF"/>
          <w:lang w:val="en-GB"/>
        </w:rPr>
        <w:t xml:space="preserve">-Angel and </w:t>
      </w:r>
      <w:proofErr w:type="spellStart"/>
      <w:r w:rsidRPr="006F55DD">
        <w:rPr>
          <w:rFonts w:ascii="Times New Roman" w:hAnsi="Times New Roman"/>
          <w:color w:val="000000"/>
          <w:sz w:val="24"/>
          <w:szCs w:val="24"/>
          <w:shd w:val="clear" w:color="auto" w:fill="FFFFFF"/>
          <w:lang w:val="en-GB"/>
        </w:rPr>
        <w:t>Vendrell</w:t>
      </w:r>
      <w:proofErr w:type="spellEnd"/>
      <w:r w:rsidRPr="006F55DD">
        <w:rPr>
          <w:rFonts w:ascii="Times New Roman" w:hAnsi="Times New Roman"/>
          <w:color w:val="000000"/>
          <w:sz w:val="24"/>
          <w:szCs w:val="24"/>
          <w:shd w:val="clear" w:color="auto" w:fill="FFFFFF"/>
          <w:lang w:val="en-GB"/>
        </w:rPr>
        <w:t>-Herrero, 2014)</w:t>
      </w:r>
      <w:r w:rsidRPr="006F55DD">
        <w:rPr>
          <w:rFonts w:ascii="Times New Roman" w:hAnsi="Times New Roman"/>
          <w:color w:val="000000"/>
          <w:sz w:val="24"/>
          <w:szCs w:val="24"/>
          <w:lang w:val="en-US"/>
        </w:rPr>
        <w:t>, where business models emerge rather than are planned, often as a consequence of firm dynamics (Schneider and Spieth, 2013). In this context innovation is presented as a reconfiguring of the firm’s capabilities to add value. Therefore, business models underpin and define the interaction of the value proposition, value realization in use of the proposition and value capture which by implication impacts on the way the organization is structured for future agility and flexibility (</w:t>
      </w:r>
      <w:proofErr w:type="spellStart"/>
      <w:r w:rsidRPr="006F55DD">
        <w:rPr>
          <w:rFonts w:ascii="Times New Roman" w:hAnsi="Times New Roman"/>
          <w:color w:val="000000"/>
          <w:sz w:val="24"/>
          <w:szCs w:val="24"/>
          <w:lang w:val="en-US"/>
        </w:rPr>
        <w:t>Osterwalder</w:t>
      </w:r>
      <w:proofErr w:type="spellEnd"/>
      <w:r w:rsidRPr="006F55DD">
        <w:rPr>
          <w:rFonts w:ascii="Times New Roman" w:hAnsi="Times New Roman"/>
          <w:color w:val="000000"/>
          <w:sz w:val="24"/>
          <w:szCs w:val="24"/>
          <w:lang w:val="en-US"/>
        </w:rPr>
        <w:t xml:space="preserve"> and </w:t>
      </w:r>
      <w:proofErr w:type="spellStart"/>
      <w:r w:rsidRPr="006F55DD">
        <w:rPr>
          <w:rFonts w:ascii="Times New Roman" w:hAnsi="Times New Roman"/>
          <w:color w:val="000000"/>
          <w:sz w:val="24"/>
          <w:szCs w:val="24"/>
          <w:lang w:val="en-US"/>
        </w:rPr>
        <w:t>Pigneur</w:t>
      </w:r>
      <w:proofErr w:type="spellEnd"/>
      <w:r w:rsidRPr="006F55DD">
        <w:rPr>
          <w:rFonts w:ascii="Times New Roman" w:hAnsi="Times New Roman"/>
          <w:color w:val="000000"/>
          <w:sz w:val="24"/>
          <w:szCs w:val="24"/>
          <w:lang w:val="en-US"/>
        </w:rPr>
        <w:t xml:space="preserve">, 2010). </w:t>
      </w:r>
    </w:p>
    <w:p w14:paraId="1763344D" w14:textId="23F9C017" w:rsidR="00184458" w:rsidRPr="006F55DD" w:rsidRDefault="00184458" w:rsidP="00402A48">
      <w:pPr>
        <w:spacing w:after="0" w:line="240" w:lineRule="auto"/>
        <w:ind w:firstLine="426"/>
        <w:jc w:val="both"/>
        <w:rPr>
          <w:rFonts w:ascii="Times New Roman" w:hAnsi="Times New Roman"/>
          <w:color w:val="000000"/>
          <w:sz w:val="24"/>
          <w:szCs w:val="24"/>
          <w:lang w:val="en-GB"/>
        </w:rPr>
      </w:pPr>
      <w:r w:rsidRPr="006F55DD">
        <w:rPr>
          <w:rFonts w:ascii="Times New Roman" w:hAnsi="Times New Roman"/>
          <w:color w:val="000000"/>
          <w:sz w:val="24"/>
          <w:szCs w:val="24"/>
          <w:lang w:val="en-US"/>
        </w:rPr>
        <w:t>Recent studies have developed the business models construct and describe how they may drive organizational thinking (see for ex</w:t>
      </w:r>
      <w:r>
        <w:rPr>
          <w:rFonts w:ascii="Times New Roman" w:hAnsi="Times New Roman"/>
          <w:color w:val="000000"/>
          <w:sz w:val="24"/>
          <w:szCs w:val="24"/>
          <w:lang w:val="en-US"/>
        </w:rPr>
        <w:t xml:space="preserve">ample </w:t>
      </w:r>
      <w:proofErr w:type="spellStart"/>
      <w:r w:rsidRPr="006F55DD">
        <w:rPr>
          <w:rFonts w:ascii="Times New Roman" w:hAnsi="Times New Roman"/>
          <w:color w:val="000000"/>
          <w:sz w:val="24"/>
          <w:szCs w:val="24"/>
          <w:lang w:val="en-US"/>
        </w:rPr>
        <w:t>Chesbrough</w:t>
      </w:r>
      <w:proofErr w:type="spellEnd"/>
      <w:r w:rsidRPr="006F55DD">
        <w:rPr>
          <w:rFonts w:ascii="Times New Roman" w:hAnsi="Times New Roman"/>
          <w:color w:val="000000"/>
          <w:sz w:val="24"/>
          <w:szCs w:val="24"/>
          <w:lang w:val="en-US"/>
        </w:rPr>
        <w:t xml:space="preserve"> and Rosenbloom, 2002; </w:t>
      </w:r>
      <w:proofErr w:type="spellStart"/>
      <w:r w:rsidRPr="006F55DD">
        <w:rPr>
          <w:rFonts w:ascii="Times New Roman" w:hAnsi="Times New Roman"/>
          <w:color w:val="000000"/>
          <w:sz w:val="24"/>
          <w:szCs w:val="24"/>
          <w:lang w:val="en-US"/>
        </w:rPr>
        <w:t>Osterwalder</w:t>
      </w:r>
      <w:proofErr w:type="spellEnd"/>
      <w:r w:rsidRPr="006F55DD">
        <w:rPr>
          <w:rFonts w:ascii="Times New Roman" w:hAnsi="Times New Roman"/>
          <w:color w:val="000000"/>
          <w:sz w:val="24"/>
          <w:szCs w:val="24"/>
          <w:lang w:val="en-US"/>
        </w:rPr>
        <w:t xml:space="preserve"> and </w:t>
      </w:r>
      <w:proofErr w:type="spellStart"/>
      <w:r w:rsidRPr="006F55DD">
        <w:rPr>
          <w:rFonts w:ascii="Times New Roman" w:hAnsi="Times New Roman"/>
          <w:color w:val="000000"/>
          <w:sz w:val="24"/>
          <w:szCs w:val="24"/>
          <w:lang w:val="en-US"/>
        </w:rPr>
        <w:t>Pigne</w:t>
      </w:r>
      <w:r w:rsidR="00F2646D">
        <w:rPr>
          <w:rFonts w:ascii="Times New Roman" w:hAnsi="Times New Roman"/>
          <w:color w:val="000000"/>
          <w:sz w:val="24"/>
          <w:szCs w:val="24"/>
          <w:lang w:val="en-US"/>
        </w:rPr>
        <w:t>ur</w:t>
      </w:r>
      <w:proofErr w:type="spellEnd"/>
      <w:r w:rsidR="00F2646D">
        <w:rPr>
          <w:rFonts w:ascii="Times New Roman" w:hAnsi="Times New Roman"/>
          <w:color w:val="000000"/>
          <w:sz w:val="24"/>
          <w:szCs w:val="24"/>
          <w:lang w:val="en-US"/>
        </w:rPr>
        <w:t>, 2010</w:t>
      </w:r>
      <w:r w:rsidRPr="006F55DD">
        <w:rPr>
          <w:rFonts w:ascii="Times New Roman" w:hAnsi="Times New Roman"/>
          <w:color w:val="000000"/>
          <w:sz w:val="24"/>
          <w:szCs w:val="24"/>
          <w:lang w:val="en-US"/>
        </w:rPr>
        <w:t xml:space="preserve">). Business model determination is not an exact science and generic templates are available, but are difficult to employ in practice as business models differ from firm to firm and from industry to industry. Problems arise if the focus of value creation and capture are not aligned with the markets served (Edelman and </w:t>
      </w:r>
      <w:proofErr w:type="spellStart"/>
      <w:r w:rsidRPr="006F55DD">
        <w:rPr>
          <w:rFonts w:ascii="Times New Roman" w:hAnsi="Times New Roman"/>
          <w:color w:val="000000"/>
          <w:sz w:val="24"/>
          <w:szCs w:val="24"/>
          <w:lang w:val="en-US"/>
        </w:rPr>
        <w:t>Yli-Renko</w:t>
      </w:r>
      <w:proofErr w:type="spellEnd"/>
      <w:r w:rsidRPr="006F55DD">
        <w:rPr>
          <w:rFonts w:ascii="Times New Roman" w:hAnsi="Times New Roman"/>
          <w:color w:val="000000"/>
          <w:sz w:val="24"/>
          <w:szCs w:val="24"/>
          <w:lang w:val="en-US"/>
        </w:rPr>
        <w:t xml:space="preserve">, 2010). An effective business model needs to take a systemic view of the firm and its interaction with the markets it serves, which requires a holistic (whole systems) view of the organization and its operation within the market environment. </w:t>
      </w:r>
    </w:p>
    <w:p w14:paraId="6B0D0A20" w14:textId="0A7AA49E" w:rsidR="00755FD2" w:rsidRPr="00CF24F9" w:rsidRDefault="00184458" w:rsidP="00402A48">
      <w:pPr>
        <w:spacing w:after="0" w:line="240" w:lineRule="auto"/>
        <w:ind w:firstLine="426"/>
        <w:jc w:val="both"/>
        <w:rPr>
          <w:rFonts w:ascii="Times New Roman" w:hAnsi="Times New Roman"/>
          <w:color w:val="000000"/>
          <w:sz w:val="24"/>
          <w:szCs w:val="24"/>
          <w:lang w:val="en-US"/>
        </w:rPr>
      </w:pPr>
      <w:r w:rsidRPr="006F55DD">
        <w:rPr>
          <w:rFonts w:ascii="Times New Roman" w:hAnsi="Times New Roman"/>
          <w:color w:val="000000"/>
          <w:sz w:val="24"/>
          <w:szCs w:val="24"/>
          <w:lang w:val="en-US"/>
        </w:rPr>
        <w:t xml:space="preserve">The coexistence of business models and technological innovations is a subject still underexplored. Baden-Fuller and </w:t>
      </w:r>
      <w:proofErr w:type="spellStart"/>
      <w:r w:rsidRPr="006F55DD">
        <w:rPr>
          <w:rFonts w:ascii="Times New Roman" w:hAnsi="Times New Roman"/>
          <w:color w:val="000000"/>
          <w:sz w:val="24"/>
          <w:szCs w:val="24"/>
          <w:lang w:val="en-US"/>
        </w:rPr>
        <w:t>Haefliger</w:t>
      </w:r>
      <w:proofErr w:type="spellEnd"/>
      <w:r w:rsidRPr="006F55DD">
        <w:rPr>
          <w:rFonts w:ascii="Times New Roman" w:hAnsi="Times New Roman"/>
          <w:color w:val="000000"/>
          <w:sz w:val="24"/>
          <w:szCs w:val="24"/>
          <w:lang w:val="en-US"/>
        </w:rPr>
        <w:t xml:space="preserve"> (2013) formulate a two-way relationship between business model and technology. First, business models mediate the relationship between existing technology and value capture. Second, developing new technology depends on the firm’s competitive positioning, </w:t>
      </w:r>
      <w:r w:rsidR="004F187C">
        <w:rPr>
          <w:rFonts w:ascii="Times New Roman" w:hAnsi="Times New Roman"/>
          <w:color w:val="000000"/>
          <w:sz w:val="24"/>
          <w:szCs w:val="24"/>
          <w:lang w:val="en-US"/>
        </w:rPr>
        <w:t xml:space="preserve">the context of technological changes affecting a given </w:t>
      </w:r>
      <w:r w:rsidR="00755FD2">
        <w:rPr>
          <w:rFonts w:ascii="Times New Roman" w:hAnsi="Times New Roman"/>
          <w:color w:val="000000"/>
          <w:sz w:val="24"/>
          <w:szCs w:val="24"/>
          <w:lang w:val="en-US"/>
        </w:rPr>
        <w:t>indust</w:t>
      </w:r>
      <w:r w:rsidR="004F187C">
        <w:rPr>
          <w:rFonts w:ascii="Times New Roman" w:hAnsi="Times New Roman"/>
          <w:color w:val="000000"/>
          <w:sz w:val="24"/>
          <w:szCs w:val="24"/>
          <w:lang w:val="en-US"/>
        </w:rPr>
        <w:t>ry</w:t>
      </w:r>
      <w:r w:rsidR="00755FD2">
        <w:rPr>
          <w:rFonts w:ascii="Times New Roman" w:hAnsi="Times New Roman"/>
          <w:color w:val="000000"/>
          <w:sz w:val="24"/>
          <w:szCs w:val="24"/>
          <w:lang w:val="en-US"/>
        </w:rPr>
        <w:t xml:space="preserve">, </w:t>
      </w:r>
      <w:r w:rsidRPr="006F55DD">
        <w:rPr>
          <w:rFonts w:ascii="Times New Roman" w:hAnsi="Times New Roman"/>
          <w:color w:val="000000"/>
          <w:sz w:val="24"/>
          <w:szCs w:val="24"/>
          <w:lang w:val="en-US"/>
        </w:rPr>
        <w:t>consumer engagement and ultimately their business model.</w:t>
      </w:r>
      <w:r w:rsidR="00755FD2">
        <w:rPr>
          <w:rFonts w:ascii="Times New Roman" w:hAnsi="Times New Roman"/>
          <w:color w:val="000000"/>
          <w:sz w:val="24"/>
          <w:szCs w:val="24"/>
          <w:lang w:val="en-US"/>
        </w:rPr>
        <w:t xml:space="preserve"> </w:t>
      </w:r>
      <w:r w:rsidR="00CF24F9">
        <w:rPr>
          <w:rFonts w:ascii="Times New Roman" w:hAnsi="Times New Roman"/>
          <w:color w:val="000000"/>
          <w:sz w:val="24"/>
          <w:szCs w:val="24"/>
          <w:lang w:val="en-US"/>
        </w:rPr>
        <w:t xml:space="preserve">In highly </w:t>
      </w:r>
      <w:r w:rsidR="00755FD2">
        <w:rPr>
          <w:rFonts w:ascii="Times New Roman" w:hAnsi="Times New Roman"/>
          <w:color w:val="000000"/>
          <w:sz w:val="24"/>
          <w:szCs w:val="24"/>
          <w:lang w:val="en-US"/>
        </w:rPr>
        <w:t xml:space="preserve">dynamic environments, consumer’s </w:t>
      </w:r>
      <w:r w:rsidR="00755FD2" w:rsidRPr="00755FD2">
        <w:rPr>
          <w:rFonts w:ascii="Times New Roman" w:hAnsi="Times New Roman"/>
          <w:color w:val="000000"/>
          <w:sz w:val="24"/>
          <w:szCs w:val="24"/>
          <w:lang w:val="en-US"/>
        </w:rPr>
        <w:t>desires and the value-in-use they experience from an offering change</w:t>
      </w:r>
      <w:r w:rsidR="00755FD2">
        <w:rPr>
          <w:rFonts w:ascii="Times New Roman" w:hAnsi="Times New Roman"/>
          <w:color w:val="000000"/>
          <w:sz w:val="24"/>
          <w:szCs w:val="24"/>
          <w:lang w:val="en-US"/>
        </w:rPr>
        <w:t xml:space="preserve"> quickly,</w:t>
      </w:r>
      <w:r w:rsidR="00CF24F9">
        <w:rPr>
          <w:rFonts w:ascii="Times New Roman" w:hAnsi="Times New Roman"/>
          <w:color w:val="000000"/>
          <w:sz w:val="24"/>
          <w:szCs w:val="24"/>
          <w:lang w:val="en-US"/>
        </w:rPr>
        <w:t xml:space="preserve"> </w:t>
      </w:r>
      <w:r w:rsidR="004F187C">
        <w:rPr>
          <w:rFonts w:ascii="Times New Roman" w:hAnsi="Times New Roman"/>
          <w:color w:val="000000"/>
          <w:sz w:val="24"/>
          <w:szCs w:val="24"/>
          <w:lang w:val="en-US"/>
        </w:rPr>
        <w:t>creating</w:t>
      </w:r>
      <w:r w:rsidR="00CF24F9">
        <w:rPr>
          <w:rFonts w:ascii="Times New Roman" w:hAnsi="Times New Roman"/>
          <w:color w:val="000000"/>
          <w:sz w:val="24"/>
          <w:szCs w:val="24"/>
          <w:lang w:val="en-US"/>
        </w:rPr>
        <w:t xml:space="preserve"> co-evolving consumer needs (McDonald et al., 2011)</w:t>
      </w:r>
      <w:r w:rsidR="00755FD2" w:rsidRPr="00755FD2">
        <w:rPr>
          <w:rFonts w:ascii="Times New Roman" w:hAnsi="Times New Roman"/>
          <w:color w:val="000000"/>
          <w:sz w:val="24"/>
          <w:szCs w:val="24"/>
          <w:lang w:val="en-US"/>
        </w:rPr>
        <w:t>.</w:t>
      </w:r>
      <w:r w:rsidR="004F187C" w:rsidRPr="004F187C">
        <w:rPr>
          <w:rFonts w:ascii="Times New Roman" w:hAnsi="Times New Roman"/>
          <w:color w:val="000000"/>
          <w:sz w:val="24"/>
          <w:szCs w:val="24"/>
          <w:lang w:val="en-US"/>
        </w:rPr>
        <w:t xml:space="preserve"> </w:t>
      </w:r>
      <w:r w:rsidR="004F187C">
        <w:rPr>
          <w:rFonts w:ascii="Times New Roman" w:hAnsi="Times New Roman"/>
          <w:color w:val="000000"/>
          <w:sz w:val="24"/>
          <w:szCs w:val="24"/>
          <w:lang w:val="en-US"/>
        </w:rPr>
        <w:t xml:space="preserve">Thus at </w:t>
      </w:r>
      <w:r w:rsidR="009309C3">
        <w:rPr>
          <w:rFonts w:ascii="Times New Roman" w:hAnsi="Times New Roman"/>
          <w:color w:val="000000"/>
          <w:sz w:val="24"/>
          <w:szCs w:val="24"/>
          <w:lang w:val="en-US"/>
        </w:rPr>
        <w:t>t</w:t>
      </w:r>
      <w:r w:rsidR="004F187C">
        <w:rPr>
          <w:rFonts w:ascii="Times New Roman" w:hAnsi="Times New Roman"/>
          <w:color w:val="000000"/>
          <w:sz w:val="24"/>
          <w:szCs w:val="24"/>
          <w:lang w:val="en-US"/>
        </w:rPr>
        <w:t>he industry level it may be expected that there is a high correlation between technological dynamism and consumer engagement.</w:t>
      </w:r>
    </w:p>
    <w:p w14:paraId="6099D0DD" w14:textId="77777777" w:rsidR="00A762C1" w:rsidRDefault="00184458" w:rsidP="00A762C1">
      <w:pPr>
        <w:spacing w:after="0" w:line="240" w:lineRule="auto"/>
        <w:ind w:firstLine="426"/>
        <w:jc w:val="both"/>
        <w:rPr>
          <w:rFonts w:ascii="Times New Roman" w:hAnsi="Times New Roman"/>
          <w:color w:val="000000"/>
          <w:sz w:val="24"/>
          <w:szCs w:val="24"/>
          <w:lang w:val="en-US"/>
        </w:rPr>
      </w:pPr>
      <w:r w:rsidRPr="006F55DD">
        <w:rPr>
          <w:rFonts w:ascii="Times New Roman" w:hAnsi="Times New Roman"/>
          <w:color w:val="000000"/>
          <w:sz w:val="24"/>
          <w:szCs w:val="24"/>
          <w:lang w:val="en-US"/>
        </w:rPr>
        <w:t xml:space="preserve">The relevance of business model experimentation by new entrants is described by </w:t>
      </w:r>
      <w:proofErr w:type="spellStart"/>
      <w:r w:rsidRPr="006F55DD">
        <w:rPr>
          <w:rFonts w:ascii="Times New Roman" w:hAnsi="Times New Roman"/>
          <w:color w:val="000000"/>
          <w:sz w:val="24"/>
          <w:szCs w:val="24"/>
          <w:lang w:val="en-US"/>
        </w:rPr>
        <w:t>Chesbrough</w:t>
      </w:r>
      <w:proofErr w:type="spellEnd"/>
      <w:r w:rsidRPr="006F55DD">
        <w:rPr>
          <w:rFonts w:ascii="Times New Roman" w:hAnsi="Times New Roman"/>
          <w:color w:val="000000"/>
          <w:sz w:val="24"/>
          <w:szCs w:val="24"/>
          <w:lang w:val="en-US"/>
        </w:rPr>
        <w:t xml:space="preserve"> (2010), who cites the example of Xerox in the 1980s, a company that made substantial research and development investment but discarded many of their new inventions as they did not fit with the firm’s strategy. Some of these inventions were successfully developed outside Xerox through corporate spin-offs, resulting in lost business opportunities to Xerox. </w:t>
      </w:r>
      <w:proofErr w:type="spellStart"/>
      <w:r w:rsidRPr="006F55DD">
        <w:rPr>
          <w:rFonts w:ascii="Times New Roman" w:hAnsi="Times New Roman"/>
          <w:color w:val="000000"/>
          <w:sz w:val="24"/>
          <w:szCs w:val="24"/>
          <w:lang w:val="en-US"/>
        </w:rPr>
        <w:t>Chesbrough</w:t>
      </w:r>
      <w:proofErr w:type="spellEnd"/>
      <w:r w:rsidRPr="006F55DD">
        <w:rPr>
          <w:rFonts w:ascii="Times New Roman" w:hAnsi="Times New Roman"/>
          <w:color w:val="000000"/>
          <w:sz w:val="24"/>
          <w:szCs w:val="24"/>
          <w:lang w:val="en-US"/>
        </w:rPr>
        <w:t xml:space="preserve"> (2010) stresses the significance of business model trial and error</w:t>
      </w:r>
      <w:r w:rsidR="00D220A1">
        <w:rPr>
          <w:rFonts w:ascii="Times New Roman" w:hAnsi="Times New Roman"/>
          <w:color w:val="000000"/>
          <w:sz w:val="24"/>
          <w:szCs w:val="24"/>
          <w:lang w:val="en-US"/>
        </w:rPr>
        <w:t>,</w:t>
      </w:r>
      <w:r w:rsidRPr="006F55DD">
        <w:rPr>
          <w:rFonts w:ascii="Times New Roman" w:hAnsi="Times New Roman"/>
          <w:color w:val="000000"/>
          <w:sz w:val="24"/>
          <w:szCs w:val="24"/>
          <w:lang w:val="en-US"/>
        </w:rPr>
        <w:t xml:space="preserve"> experimentation in environments with high technological uncertainty, and the need for managers to learn how to capture value efficiently. According to McGrath (2010)</w:t>
      </w:r>
      <w:r w:rsidRPr="006F55DD">
        <w:rPr>
          <w:rFonts w:ascii="Times New Roman" w:hAnsi="Times New Roman"/>
          <w:color w:val="000000"/>
          <w:sz w:val="24"/>
          <w:szCs w:val="24"/>
          <w:lang w:val="en-GB"/>
        </w:rPr>
        <w:t xml:space="preserve"> this process is completely different from the analytical approach normally taken by managers in stable environments, in which statistical predictions based on past observations are appropriate.</w:t>
      </w:r>
      <w:r w:rsidRPr="006F55DD">
        <w:rPr>
          <w:rFonts w:ascii="Times New Roman" w:hAnsi="Times New Roman"/>
          <w:color w:val="000000"/>
          <w:sz w:val="24"/>
          <w:szCs w:val="24"/>
          <w:lang w:val="en-US"/>
        </w:rPr>
        <w:t xml:space="preserve"> This leads to the following proposition:</w:t>
      </w:r>
    </w:p>
    <w:p w14:paraId="27F3331E" w14:textId="2778CE94" w:rsidR="00CD6F3C" w:rsidRPr="00A762C1" w:rsidRDefault="00184458" w:rsidP="002F49EA">
      <w:pPr>
        <w:spacing w:after="0" w:line="240" w:lineRule="auto"/>
        <w:ind w:firstLine="426"/>
        <w:jc w:val="both"/>
        <w:rPr>
          <w:rFonts w:ascii="Times New Roman" w:hAnsi="Times New Roman"/>
          <w:color w:val="000000"/>
          <w:sz w:val="24"/>
          <w:szCs w:val="24"/>
          <w:lang w:val="en-US"/>
        </w:rPr>
      </w:pPr>
      <w:r w:rsidRPr="006F55DD">
        <w:rPr>
          <w:rFonts w:ascii="Times New Roman" w:hAnsi="Times New Roman"/>
          <w:b/>
          <w:i/>
          <w:color w:val="000000"/>
          <w:sz w:val="24"/>
          <w:szCs w:val="24"/>
          <w:lang w:val="en-US"/>
        </w:rPr>
        <w:t>Proposition:</w:t>
      </w:r>
      <w:r w:rsidRPr="006F55DD">
        <w:rPr>
          <w:rFonts w:ascii="Times New Roman" w:hAnsi="Times New Roman"/>
          <w:i/>
          <w:color w:val="000000"/>
          <w:sz w:val="24"/>
          <w:szCs w:val="24"/>
          <w:lang w:val="en-US"/>
        </w:rPr>
        <w:t xml:space="preserve"> In dynamic contexts, with co-evolving consumer needs and new technologies, the coexistence of different business models leads toward successful processes of value capture at industry level.</w:t>
      </w:r>
    </w:p>
    <w:p w14:paraId="32171FE0" w14:textId="77777777" w:rsidR="00A762C1" w:rsidRPr="00D55612" w:rsidRDefault="00A762C1" w:rsidP="002F49EA">
      <w:pPr>
        <w:spacing w:after="0" w:line="240" w:lineRule="auto"/>
        <w:ind w:left="426" w:right="-1"/>
        <w:jc w:val="both"/>
        <w:rPr>
          <w:rFonts w:ascii="Times New Roman" w:hAnsi="Times New Roman"/>
          <w:i/>
          <w:color w:val="000000"/>
          <w:sz w:val="24"/>
          <w:szCs w:val="24"/>
          <w:lang w:val="en-US"/>
        </w:rPr>
      </w:pPr>
    </w:p>
    <w:p w14:paraId="374A52CA" w14:textId="77777777" w:rsidR="006B16EA" w:rsidRDefault="006B16EA" w:rsidP="002F49EA">
      <w:pPr>
        <w:spacing w:after="0" w:line="240" w:lineRule="auto"/>
        <w:outlineLvl w:val="0"/>
        <w:rPr>
          <w:rFonts w:ascii="Times New Roman" w:hAnsi="Times New Roman"/>
          <w:i/>
          <w:color w:val="000000"/>
          <w:sz w:val="24"/>
          <w:szCs w:val="24"/>
          <w:lang w:val="en-GB"/>
        </w:rPr>
      </w:pPr>
    </w:p>
    <w:p w14:paraId="11EE5E53" w14:textId="50CF2EFC" w:rsidR="00184458" w:rsidRPr="00CD6F3C" w:rsidRDefault="00CD6F3C" w:rsidP="002F49EA">
      <w:pPr>
        <w:spacing w:after="0" w:line="240" w:lineRule="auto"/>
        <w:outlineLvl w:val="0"/>
        <w:rPr>
          <w:rFonts w:ascii="Times New Roman" w:hAnsi="Times New Roman"/>
          <w:i/>
          <w:color w:val="000000"/>
          <w:sz w:val="24"/>
          <w:szCs w:val="24"/>
          <w:lang w:val="en-GB"/>
        </w:rPr>
      </w:pPr>
      <w:r w:rsidRPr="00CD6F3C">
        <w:rPr>
          <w:rFonts w:ascii="Times New Roman" w:hAnsi="Times New Roman"/>
          <w:i/>
          <w:color w:val="000000"/>
          <w:sz w:val="24"/>
          <w:szCs w:val="24"/>
          <w:lang w:val="en-GB"/>
        </w:rPr>
        <w:t xml:space="preserve">2.2     </w:t>
      </w:r>
      <w:r w:rsidR="00184458" w:rsidRPr="00CD6F3C">
        <w:rPr>
          <w:rFonts w:ascii="Times New Roman" w:hAnsi="Times New Roman"/>
          <w:i/>
          <w:color w:val="000000"/>
          <w:sz w:val="24"/>
          <w:szCs w:val="24"/>
          <w:lang w:val="en-GB"/>
        </w:rPr>
        <w:t>The context of the study: The recorded music industry</w:t>
      </w:r>
    </w:p>
    <w:p w14:paraId="2BF97D69" w14:textId="77777777" w:rsidR="00E5211D" w:rsidRDefault="00CD6F3C" w:rsidP="002F49EA">
      <w:pPr>
        <w:spacing w:after="0" w:line="240" w:lineRule="auto"/>
        <w:ind w:right="-1"/>
        <w:outlineLvl w:val="0"/>
        <w:rPr>
          <w:rFonts w:ascii="Times New Roman" w:hAnsi="Times New Roman"/>
          <w:i/>
          <w:color w:val="000000"/>
          <w:sz w:val="24"/>
          <w:szCs w:val="24"/>
          <w:lang w:val="en-GB"/>
        </w:rPr>
      </w:pPr>
      <w:r w:rsidRPr="00CD6F3C">
        <w:rPr>
          <w:rFonts w:ascii="Times New Roman" w:hAnsi="Times New Roman"/>
          <w:i/>
          <w:color w:val="000000"/>
          <w:sz w:val="24"/>
          <w:szCs w:val="24"/>
          <w:lang w:val="en-GB"/>
        </w:rPr>
        <w:t xml:space="preserve">          </w:t>
      </w:r>
    </w:p>
    <w:p w14:paraId="5FE3F8B6" w14:textId="3C6C6EED" w:rsidR="00184458" w:rsidRPr="00CD6F3C" w:rsidRDefault="00E5211D" w:rsidP="002F49EA">
      <w:pPr>
        <w:spacing w:after="0" w:line="240" w:lineRule="auto"/>
        <w:ind w:right="-1"/>
        <w:outlineLvl w:val="0"/>
        <w:rPr>
          <w:rFonts w:ascii="Times New Roman" w:hAnsi="Times New Roman"/>
          <w:i/>
          <w:color w:val="000000"/>
          <w:sz w:val="24"/>
          <w:szCs w:val="24"/>
          <w:lang w:val="en-GB"/>
        </w:rPr>
      </w:pPr>
      <w:r>
        <w:rPr>
          <w:rFonts w:ascii="Times New Roman" w:hAnsi="Times New Roman"/>
          <w:i/>
          <w:color w:val="000000"/>
          <w:sz w:val="24"/>
          <w:szCs w:val="24"/>
          <w:lang w:val="en-GB"/>
        </w:rPr>
        <w:t>2.2.1 Business</w:t>
      </w:r>
      <w:r w:rsidR="00184458" w:rsidRPr="00CD6F3C">
        <w:rPr>
          <w:rFonts w:ascii="Times New Roman" w:hAnsi="Times New Roman"/>
          <w:i/>
          <w:color w:val="000000"/>
          <w:sz w:val="24"/>
          <w:szCs w:val="24"/>
          <w:lang w:val="en-GB"/>
        </w:rPr>
        <w:t xml:space="preserve"> model experimentation in the recorded music industry</w:t>
      </w:r>
    </w:p>
    <w:p w14:paraId="6C0C3520" w14:textId="77777777" w:rsidR="00CD6F3C" w:rsidRDefault="00CD6F3C" w:rsidP="002F49EA">
      <w:pPr>
        <w:spacing w:after="0" w:line="240" w:lineRule="auto"/>
        <w:jc w:val="both"/>
        <w:rPr>
          <w:rFonts w:ascii="Times New Roman" w:hAnsi="Times New Roman"/>
          <w:color w:val="000000"/>
          <w:sz w:val="24"/>
          <w:szCs w:val="24"/>
          <w:lang w:val="en-GB"/>
        </w:rPr>
      </w:pPr>
    </w:p>
    <w:p w14:paraId="47C94299" w14:textId="45626D69" w:rsidR="00184458" w:rsidRPr="006F55DD" w:rsidRDefault="00184458" w:rsidP="002F49EA">
      <w:pPr>
        <w:spacing w:after="0" w:line="240" w:lineRule="auto"/>
        <w:jc w:val="both"/>
        <w:rPr>
          <w:rFonts w:ascii="Times New Roman" w:hAnsi="Times New Roman"/>
          <w:color w:val="000000"/>
          <w:sz w:val="24"/>
          <w:szCs w:val="24"/>
          <w:lang w:val="en-GB"/>
        </w:rPr>
      </w:pPr>
      <w:r w:rsidRPr="006F55DD">
        <w:rPr>
          <w:rFonts w:ascii="Times New Roman" w:hAnsi="Times New Roman"/>
          <w:color w:val="000000"/>
          <w:sz w:val="24"/>
          <w:szCs w:val="24"/>
          <w:lang w:val="en-GB"/>
        </w:rPr>
        <w:t xml:space="preserve">Previous research has employed various definitions of the terms </w:t>
      </w:r>
      <w:r w:rsidRPr="006F55DD">
        <w:rPr>
          <w:rFonts w:ascii="Times New Roman" w:hAnsi="Times New Roman"/>
          <w:i/>
          <w:color w:val="000000"/>
          <w:sz w:val="24"/>
          <w:szCs w:val="24"/>
          <w:lang w:val="en-GB"/>
        </w:rPr>
        <w:t>strategy, revenue model</w:t>
      </w:r>
      <w:r w:rsidRPr="006F55DD">
        <w:rPr>
          <w:rFonts w:ascii="Times New Roman" w:hAnsi="Times New Roman"/>
          <w:color w:val="000000"/>
          <w:sz w:val="24"/>
          <w:szCs w:val="24"/>
          <w:lang w:val="en-GB"/>
        </w:rPr>
        <w:t xml:space="preserve"> and </w:t>
      </w:r>
      <w:r w:rsidRPr="006F55DD">
        <w:rPr>
          <w:rFonts w:ascii="Times New Roman" w:hAnsi="Times New Roman"/>
          <w:i/>
          <w:color w:val="000000"/>
          <w:sz w:val="24"/>
          <w:szCs w:val="24"/>
          <w:lang w:val="en-GB"/>
        </w:rPr>
        <w:t>business model</w:t>
      </w:r>
      <w:r w:rsidRPr="006F55DD">
        <w:rPr>
          <w:rFonts w:ascii="Times New Roman" w:hAnsi="Times New Roman"/>
          <w:color w:val="000000"/>
          <w:sz w:val="24"/>
          <w:szCs w:val="24"/>
          <w:lang w:val="en-GB"/>
        </w:rPr>
        <w:t xml:space="preserve">, often using them interchangeably. Recently, DaSilva and </w:t>
      </w:r>
      <w:proofErr w:type="spellStart"/>
      <w:r w:rsidRPr="006F55DD">
        <w:rPr>
          <w:rFonts w:ascii="Times New Roman" w:hAnsi="Times New Roman"/>
          <w:color w:val="000000"/>
          <w:sz w:val="24"/>
          <w:szCs w:val="24"/>
          <w:lang w:val="en-GB"/>
        </w:rPr>
        <w:t>Trkman</w:t>
      </w:r>
      <w:proofErr w:type="spellEnd"/>
      <w:r w:rsidRPr="006F55DD">
        <w:rPr>
          <w:rFonts w:ascii="Times New Roman" w:hAnsi="Times New Roman"/>
          <w:color w:val="000000"/>
          <w:sz w:val="24"/>
          <w:szCs w:val="24"/>
          <w:lang w:val="en-GB"/>
        </w:rPr>
        <w:t xml:space="preserve"> (2014) have sought to clarify the definition of these terms, in particular differentiating the term </w:t>
      </w:r>
      <w:r w:rsidRPr="006F55DD">
        <w:rPr>
          <w:rFonts w:ascii="Times New Roman" w:hAnsi="Times New Roman"/>
          <w:i/>
          <w:color w:val="000000"/>
          <w:sz w:val="24"/>
          <w:szCs w:val="24"/>
          <w:lang w:val="en-GB"/>
        </w:rPr>
        <w:t>business model</w:t>
      </w:r>
      <w:r w:rsidRPr="006F55DD">
        <w:rPr>
          <w:rFonts w:ascii="Times New Roman" w:hAnsi="Times New Roman"/>
          <w:color w:val="000000"/>
          <w:sz w:val="24"/>
          <w:szCs w:val="24"/>
          <w:lang w:val="en-GB"/>
        </w:rPr>
        <w:t xml:space="preserve"> from the other two concepts. Their definition of a business model is developed from the resource based view and transaction cost economics, and is dependent upon two conditions. First, a business model is a description of the current [not future] resource base. Strategy is the enhancement of current resources through the exploitation of dynamic capabilities forms. Consequently, a business model is a short term perspective taken on firm resource management. Second, business models describe the mechanisms of value capture through monetary transactions, which is represented by the revenue model.</w:t>
      </w:r>
    </w:p>
    <w:p w14:paraId="0F0CBCC7" w14:textId="77777777" w:rsidR="00184458" w:rsidRPr="006F55DD" w:rsidRDefault="00184458" w:rsidP="00CD6F3C">
      <w:pPr>
        <w:spacing w:after="0" w:line="240" w:lineRule="auto"/>
        <w:ind w:firstLine="426"/>
        <w:jc w:val="both"/>
        <w:rPr>
          <w:rFonts w:ascii="Times New Roman" w:hAnsi="Times New Roman"/>
          <w:color w:val="000000"/>
          <w:sz w:val="24"/>
          <w:szCs w:val="24"/>
          <w:lang w:val="en-GB"/>
        </w:rPr>
      </w:pPr>
      <w:r w:rsidRPr="006F55DD">
        <w:rPr>
          <w:rFonts w:ascii="Times New Roman" w:hAnsi="Times New Roman"/>
          <w:color w:val="000000"/>
          <w:sz w:val="24"/>
          <w:szCs w:val="24"/>
          <w:lang w:val="en-GB"/>
        </w:rPr>
        <w:t xml:space="preserve">Following DaSilva and </w:t>
      </w:r>
      <w:proofErr w:type="spellStart"/>
      <w:r w:rsidRPr="006F55DD">
        <w:rPr>
          <w:rFonts w:ascii="Times New Roman" w:hAnsi="Times New Roman"/>
          <w:color w:val="000000"/>
          <w:sz w:val="24"/>
          <w:szCs w:val="24"/>
          <w:lang w:val="en-GB"/>
        </w:rPr>
        <w:t>Trkman’s</w:t>
      </w:r>
      <w:proofErr w:type="spellEnd"/>
      <w:r w:rsidRPr="006F55DD">
        <w:rPr>
          <w:rFonts w:ascii="Times New Roman" w:hAnsi="Times New Roman"/>
          <w:color w:val="000000"/>
          <w:sz w:val="24"/>
          <w:szCs w:val="24"/>
          <w:lang w:val="en-GB"/>
        </w:rPr>
        <w:t xml:space="preserve"> (2014) definition we consider that music format provides a good descriptor of a business model for the recorded music industry. Current resources in the recorded music industry are the records or songs. Available technology dictates the way resources (songs) can be configured for sale. In this sense digital technologies allow music to be presented to consumers in new formats such as downloads, streaming or ringtones (Mason and </w:t>
      </w:r>
      <w:proofErr w:type="gramStart"/>
      <w:r w:rsidRPr="006F55DD">
        <w:rPr>
          <w:rFonts w:ascii="Times New Roman" w:hAnsi="Times New Roman"/>
          <w:color w:val="000000"/>
          <w:sz w:val="24"/>
          <w:szCs w:val="24"/>
          <w:lang w:val="en-GB"/>
        </w:rPr>
        <w:t>Spring</w:t>
      </w:r>
      <w:proofErr w:type="gramEnd"/>
      <w:r w:rsidRPr="006F55DD">
        <w:rPr>
          <w:rFonts w:ascii="Times New Roman" w:hAnsi="Times New Roman"/>
          <w:color w:val="000000"/>
          <w:sz w:val="24"/>
          <w:szCs w:val="24"/>
          <w:lang w:val="en-GB"/>
        </w:rPr>
        <w:t>, 2011). Formats can be considered as business models as they are different propositions which produce direct and independent revenue streams or value capture mechanisms.</w:t>
      </w:r>
    </w:p>
    <w:p w14:paraId="482B8173" w14:textId="2C6FB74A" w:rsidR="00184458" w:rsidRDefault="00184458" w:rsidP="00CD6F3C">
      <w:pPr>
        <w:spacing w:after="0" w:line="240" w:lineRule="auto"/>
        <w:ind w:firstLine="426"/>
        <w:jc w:val="both"/>
        <w:rPr>
          <w:rFonts w:ascii="Times New Roman" w:hAnsi="Times New Roman"/>
          <w:color w:val="000000"/>
          <w:sz w:val="24"/>
          <w:szCs w:val="24"/>
          <w:lang w:val="en-GB"/>
        </w:rPr>
      </w:pPr>
      <w:r w:rsidRPr="006F55DD">
        <w:rPr>
          <w:rFonts w:ascii="Times New Roman" w:hAnsi="Times New Roman"/>
          <w:color w:val="000000"/>
          <w:sz w:val="24"/>
          <w:szCs w:val="24"/>
          <w:lang w:val="en-GB"/>
        </w:rPr>
        <w:t xml:space="preserve">Whilst the extant theory supports the view that formats are a good proxy for business model experimentation, the evidence provided by </w:t>
      </w:r>
      <w:proofErr w:type="spellStart"/>
      <w:r w:rsidRPr="006F55DD">
        <w:rPr>
          <w:rFonts w:ascii="Times New Roman" w:hAnsi="Times New Roman"/>
          <w:color w:val="000000"/>
          <w:sz w:val="24"/>
          <w:szCs w:val="24"/>
          <w:lang w:val="en-GB"/>
        </w:rPr>
        <w:t>Koukova</w:t>
      </w:r>
      <w:proofErr w:type="spellEnd"/>
      <w:r w:rsidRPr="006F55DD">
        <w:rPr>
          <w:rFonts w:ascii="Times New Roman" w:hAnsi="Times New Roman"/>
          <w:color w:val="000000"/>
          <w:sz w:val="24"/>
          <w:szCs w:val="24"/>
          <w:lang w:val="en-GB"/>
        </w:rPr>
        <w:t xml:space="preserve"> et al. (2012) suggests that a business model might contain a bundle of complementary formats. To address this conflict of opinion, industry experts were engaged. The empirical design of this research requires a characterisation of different business models and a measurement of each model’s ability to generate value. We sought to validate the approach based on expert knowledge (</w:t>
      </w:r>
      <w:proofErr w:type="spellStart"/>
      <w:r w:rsidR="00B80572">
        <w:rPr>
          <w:rFonts w:ascii="Times New Roman" w:hAnsi="Times New Roman"/>
          <w:color w:val="000000"/>
          <w:sz w:val="24"/>
          <w:szCs w:val="24"/>
          <w:lang w:val="en-GB"/>
        </w:rPr>
        <w:t>Velu</w:t>
      </w:r>
      <w:proofErr w:type="spellEnd"/>
      <w:r w:rsidR="00B80572">
        <w:rPr>
          <w:rFonts w:ascii="Times New Roman" w:hAnsi="Times New Roman"/>
          <w:color w:val="000000"/>
          <w:sz w:val="24"/>
          <w:szCs w:val="24"/>
          <w:lang w:val="en-GB"/>
        </w:rPr>
        <w:t>, 2015</w:t>
      </w:r>
      <w:r w:rsidRPr="006F55DD">
        <w:rPr>
          <w:rFonts w:ascii="Times New Roman" w:hAnsi="Times New Roman"/>
          <w:color w:val="000000"/>
          <w:sz w:val="24"/>
          <w:szCs w:val="24"/>
          <w:lang w:val="en-GB"/>
        </w:rPr>
        <w:t>). All experts have themselves either researched or worked in the industry for a significant time covering the period of the study. Experts possess “technical process orientated and interpretive knowledge referring to their specific professional sphere of activity” (</w:t>
      </w:r>
      <w:proofErr w:type="spellStart"/>
      <w:r w:rsidRPr="006F55DD">
        <w:rPr>
          <w:rFonts w:ascii="Times New Roman" w:hAnsi="Times New Roman"/>
          <w:color w:val="000000"/>
          <w:sz w:val="24"/>
          <w:szCs w:val="24"/>
          <w:lang w:val="en-GB"/>
        </w:rPr>
        <w:t>Bogner</w:t>
      </w:r>
      <w:proofErr w:type="spellEnd"/>
      <w:r w:rsidRPr="006F55DD">
        <w:rPr>
          <w:rFonts w:ascii="Times New Roman" w:hAnsi="Times New Roman"/>
          <w:color w:val="000000"/>
          <w:sz w:val="24"/>
          <w:szCs w:val="24"/>
          <w:lang w:val="en-GB"/>
        </w:rPr>
        <w:t xml:space="preserve"> and </w:t>
      </w:r>
      <w:proofErr w:type="spellStart"/>
      <w:r w:rsidRPr="006F55DD">
        <w:rPr>
          <w:rFonts w:ascii="Times New Roman" w:hAnsi="Times New Roman"/>
          <w:color w:val="000000"/>
          <w:sz w:val="24"/>
          <w:szCs w:val="24"/>
          <w:lang w:val="en-GB"/>
        </w:rPr>
        <w:t>Menz</w:t>
      </w:r>
      <w:proofErr w:type="spellEnd"/>
      <w:r w:rsidRPr="006F55DD">
        <w:rPr>
          <w:rFonts w:ascii="Times New Roman" w:hAnsi="Times New Roman"/>
          <w:color w:val="000000"/>
          <w:sz w:val="24"/>
          <w:szCs w:val="24"/>
          <w:lang w:val="en-GB"/>
        </w:rPr>
        <w:t>, 2009, p. 19)</w:t>
      </w:r>
      <w:r w:rsidRPr="006F55DD">
        <w:rPr>
          <w:rStyle w:val="FootnoteReference"/>
          <w:rFonts w:ascii="Times New Roman" w:hAnsi="Times New Roman"/>
          <w:color w:val="000000"/>
          <w:sz w:val="24"/>
          <w:szCs w:val="24"/>
          <w:lang w:val="en-GB"/>
        </w:rPr>
        <w:footnoteReference w:id="3"/>
      </w:r>
      <w:r w:rsidRPr="006F55DD">
        <w:rPr>
          <w:rFonts w:ascii="Times New Roman" w:hAnsi="Times New Roman"/>
          <w:color w:val="000000"/>
          <w:sz w:val="24"/>
          <w:szCs w:val="24"/>
          <w:lang w:val="en-GB"/>
        </w:rPr>
        <w:t xml:space="preserve">. </w:t>
      </w:r>
    </w:p>
    <w:p w14:paraId="4811F636" w14:textId="33C04D3A" w:rsidR="00184458" w:rsidRPr="006F55DD" w:rsidRDefault="00184458" w:rsidP="00CD6F3C">
      <w:pPr>
        <w:spacing w:after="0" w:line="240" w:lineRule="auto"/>
        <w:ind w:firstLine="426"/>
        <w:jc w:val="both"/>
        <w:rPr>
          <w:rFonts w:ascii="Times New Roman" w:hAnsi="Times New Roman"/>
          <w:color w:val="000000"/>
          <w:sz w:val="24"/>
          <w:szCs w:val="24"/>
          <w:lang w:val="en-GB"/>
        </w:rPr>
      </w:pPr>
      <w:r w:rsidRPr="006F55DD">
        <w:rPr>
          <w:rFonts w:ascii="Times New Roman" w:hAnsi="Times New Roman"/>
          <w:color w:val="000000"/>
          <w:sz w:val="24"/>
          <w:szCs w:val="24"/>
          <w:lang w:val="en-GB"/>
        </w:rPr>
        <w:t>In 2012 the construct for employing format as a proxy for business models was presented to the Senior Vice President of a global recorded music company and his business team (Expert 1), who accepted and confirmed that the assumptions made were acceptable. They agreed with the empirical design and that music formats were sufficiently independent and reflected different sources of revenue. Subsequent validation for the model was sought in February 2015 from three senior executives and academics with industry expertise in the industry during the time of data collection and analysis. Their responses all confirm that the assumptions and empirical design are valid. When discussing the direct link between music formats and business models</w:t>
      </w:r>
      <w:r w:rsidRPr="006F55DD" w:rsidDel="0044389C">
        <w:rPr>
          <w:rFonts w:ascii="Times New Roman" w:hAnsi="Times New Roman"/>
          <w:color w:val="000000"/>
          <w:sz w:val="24"/>
          <w:szCs w:val="24"/>
          <w:lang w:val="en-GB"/>
        </w:rPr>
        <w:t xml:space="preserve"> </w:t>
      </w:r>
      <w:r w:rsidRPr="006F55DD">
        <w:rPr>
          <w:rFonts w:ascii="Times New Roman" w:hAnsi="Times New Roman"/>
          <w:color w:val="000000"/>
          <w:sz w:val="24"/>
          <w:szCs w:val="24"/>
          <w:lang w:val="en-GB"/>
        </w:rPr>
        <w:t xml:space="preserve">one senior executive (Expert 2) agreed this was the case, but only “if streaming is a format”. Andrew </w:t>
      </w:r>
      <w:proofErr w:type="spellStart"/>
      <w:r w:rsidRPr="006F55DD">
        <w:rPr>
          <w:rFonts w:ascii="Times New Roman" w:hAnsi="Times New Roman"/>
          <w:color w:val="000000"/>
          <w:sz w:val="24"/>
          <w:szCs w:val="24"/>
          <w:lang w:val="en-GB"/>
        </w:rPr>
        <w:t>Dubber</w:t>
      </w:r>
      <w:proofErr w:type="spellEnd"/>
      <w:r w:rsidRPr="006F55DD">
        <w:rPr>
          <w:rFonts w:ascii="Times New Roman" w:hAnsi="Times New Roman"/>
          <w:color w:val="000000"/>
          <w:sz w:val="24"/>
          <w:szCs w:val="24"/>
          <w:lang w:val="en-GB"/>
        </w:rPr>
        <w:t xml:space="preserve">, Professor of Music Industry Innovation, Birmingham City University and Director of Music Tech Fest (Expert 3), had a different position suggesting that formats have interrelation, consistent with the findings of </w:t>
      </w:r>
      <w:proofErr w:type="spellStart"/>
      <w:r w:rsidRPr="006F55DD">
        <w:rPr>
          <w:rFonts w:ascii="Times New Roman" w:hAnsi="Times New Roman"/>
          <w:color w:val="000000"/>
          <w:sz w:val="24"/>
          <w:szCs w:val="24"/>
          <w:lang w:val="en-GB"/>
        </w:rPr>
        <w:t>Koukova</w:t>
      </w:r>
      <w:proofErr w:type="spellEnd"/>
      <w:r w:rsidRPr="006F55DD">
        <w:rPr>
          <w:rFonts w:ascii="Times New Roman" w:hAnsi="Times New Roman"/>
          <w:color w:val="000000"/>
          <w:sz w:val="24"/>
          <w:szCs w:val="24"/>
          <w:lang w:val="en-GB"/>
        </w:rPr>
        <w:t xml:space="preserve"> et al. (2012). Expert 3</w:t>
      </w:r>
      <w:r w:rsidR="00AF7A56">
        <w:rPr>
          <w:rFonts w:ascii="Times New Roman" w:hAnsi="Times New Roman"/>
          <w:color w:val="000000"/>
          <w:sz w:val="24"/>
          <w:szCs w:val="24"/>
          <w:lang w:val="en-GB"/>
        </w:rPr>
        <w:t xml:space="preserve"> </w:t>
      </w:r>
      <w:r w:rsidRPr="006F55DD">
        <w:rPr>
          <w:rFonts w:ascii="Times New Roman" w:hAnsi="Times New Roman"/>
          <w:color w:val="000000"/>
          <w:sz w:val="24"/>
          <w:szCs w:val="24"/>
          <w:lang w:val="en-GB"/>
        </w:rPr>
        <w:t xml:space="preserve">states “Bets are spread across the formats. The business model is a poker hand, not an individual card”. However, he adds “that said, you could reveal some interesting phenomena by compartmentalising”.  Another senior executive from the industry (Expert 4) agrees with the use of music format as a proxy for business models but she considers that “experimentation has been undertaken within the older more established companies but those initiatives that fail have also disappeared quite swiftly”. Overall, the assumption that music formats are linked to business model experimentation was validated by experts. </w:t>
      </w:r>
    </w:p>
    <w:p w14:paraId="741F62DC" w14:textId="77777777" w:rsidR="00184458" w:rsidRPr="006F55DD" w:rsidRDefault="00184458" w:rsidP="006432A1">
      <w:pPr>
        <w:spacing w:after="0" w:line="240" w:lineRule="auto"/>
        <w:ind w:firstLine="426"/>
        <w:jc w:val="both"/>
        <w:rPr>
          <w:rFonts w:ascii="Times New Roman" w:hAnsi="Times New Roman"/>
          <w:color w:val="000000"/>
          <w:sz w:val="24"/>
          <w:szCs w:val="24"/>
          <w:lang w:val="en-GB"/>
        </w:rPr>
      </w:pPr>
      <w:r w:rsidRPr="006F55DD">
        <w:rPr>
          <w:rFonts w:ascii="Times New Roman" w:hAnsi="Times New Roman"/>
          <w:color w:val="000000"/>
          <w:sz w:val="24"/>
          <w:szCs w:val="24"/>
          <w:lang w:val="en-GB"/>
        </w:rPr>
        <w:t xml:space="preserve">The measure of business model experimentation employed here can be constructed based on the relative dispersion of formats in a market. The construct is a novel way to describe business model experimentation, but the authors acknowledge the previous use of similar approaches to measure similar constructs. For example, </w:t>
      </w:r>
      <w:proofErr w:type="spellStart"/>
      <w:r w:rsidRPr="006F55DD">
        <w:rPr>
          <w:rFonts w:ascii="Times New Roman" w:hAnsi="Times New Roman"/>
          <w:color w:val="000000"/>
          <w:sz w:val="24"/>
          <w:szCs w:val="24"/>
          <w:lang w:val="en-GB"/>
        </w:rPr>
        <w:t>Bercovitz</w:t>
      </w:r>
      <w:proofErr w:type="spellEnd"/>
      <w:r w:rsidRPr="006F55DD">
        <w:rPr>
          <w:rFonts w:ascii="Times New Roman" w:hAnsi="Times New Roman"/>
          <w:color w:val="000000"/>
          <w:sz w:val="24"/>
          <w:szCs w:val="24"/>
          <w:lang w:val="en-GB"/>
        </w:rPr>
        <w:t xml:space="preserve"> and Mitchell (2007) used the number of product lines as a proxy of business scope, and Suarez et al. (2013) used the percentage of sales in service format to assess the linkage between the implementation of service business model and firm performance.</w:t>
      </w:r>
    </w:p>
    <w:p w14:paraId="5C687C92" w14:textId="77777777" w:rsidR="006B16EA" w:rsidRDefault="006B16EA" w:rsidP="006432A1">
      <w:pPr>
        <w:spacing w:after="0" w:line="240" w:lineRule="auto"/>
        <w:ind w:right="-1"/>
        <w:outlineLvl w:val="0"/>
        <w:rPr>
          <w:rFonts w:ascii="Times New Roman" w:hAnsi="Times New Roman"/>
          <w:b/>
          <w:color w:val="000000"/>
          <w:sz w:val="24"/>
          <w:lang w:val="en-GB"/>
        </w:rPr>
      </w:pPr>
    </w:p>
    <w:p w14:paraId="539E9BAD" w14:textId="77777777" w:rsidR="006B16EA" w:rsidRDefault="006B16EA" w:rsidP="006432A1">
      <w:pPr>
        <w:spacing w:after="0" w:line="240" w:lineRule="auto"/>
        <w:ind w:right="-1"/>
        <w:outlineLvl w:val="0"/>
        <w:rPr>
          <w:rFonts w:ascii="Times New Roman" w:hAnsi="Times New Roman"/>
          <w:b/>
          <w:color w:val="000000"/>
          <w:sz w:val="24"/>
          <w:lang w:val="en-GB"/>
        </w:rPr>
      </w:pPr>
    </w:p>
    <w:p w14:paraId="60843559" w14:textId="2F7FC468" w:rsidR="00184458" w:rsidRPr="00F83C03" w:rsidRDefault="00F83C03" w:rsidP="006432A1">
      <w:pPr>
        <w:spacing w:after="0" w:line="240" w:lineRule="auto"/>
        <w:ind w:right="-1"/>
        <w:outlineLvl w:val="0"/>
        <w:rPr>
          <w:rFonts w:ascii="Times New Roman" w:hAnsi="Times New Roman"/>
          <w:i/>
          <w:color w:val="000000"/>
          <w:sz w:val="24"/>
          <w:lang w:val="en-GB"/>
        </w:rPr>
      </w:pPr>
      <w:r w:rsidRPr="00F83C03">
        <w:rPr>
          <w:rFonts w:ascii="Times New Roman" w:hAnsi="Times New Roman"/>
          <w:i/>
          <w:color w:val="000000"/>
          <w:sz w:val="24"/>
          <w:lang w:val="en-GB"/>
        </w:rPr>
        <w:t xml:space="preserve">2.3 </w:t>
      </w:r>
      <w:r w:rsidR="00184458" w:rsidRPr="00F83C03">
        <w:rPr>
          <w:rFonts w:ascii="Times New Roman" w:hAnsi="Times New Roman"/>
          <w:i/>
          <w:color w:val="000000"/>
          <w:sz w:val="24"/>
          <w:lang w:val="en-GB"/>
        </w:rPr>
        <w:t>Value capture and empirical hypothesis development</w:t>
      </w:r>
    </w:p>
    <w:p w14:paraId="5358B51D" w14:textId="77777777" w:rsidR="00F83C03" w:rsidRPr="006F55DD" w:rsidRDefault="00F83C03" w:rsidP="006432A1">
      <w:pPr>
        <w:spacing w:after="0" w:line="240" w:lineRule="auto"/>
        <w:ind w:right="-1"/>
        <w:outlineLvl w:val="0"/>
        <w:rPr>
          <w:rFonts w:ascii="Times New Roman" w:hAnsi="Times New Roman"/>
          <w:b/>
          <w:color w:val="000000"/>
          <w:sz w:val="24"/>
          <w:lang w:val="en-GB"/>
        </w:rPr>
      </w:pPr>
    </w:p>
    <w:p w14:paraId="0154D87E" w14:textId="141D6459" w:rsidR="00F16E35" w:rsidRDefault="00184458" w:rsidP="00F16E35">
      <w:pPr>
        <w:spacing w:after="0" w:line="240" w:lineRule="auto"/>
        <w:jc w:val="both"/>
        <w:rPr>
          <w:rFonts w:ascii="Times New Roman" w:hAnsi="Times New Roman"/>
          <w:color w:val="000000"/>
          <w:sz w:val="24"/>
          <w:szCs w:val="24"/>
          <w:lang w:val="en-GB"/>
        </w:rPr>
      </w:pPr>
      <w:r w:rsidRPr="006F55DD">
        <w:rPr>
          <w:rFonts w:ascii="Times New Roman" w:hAnsi="Times New Roman"/>
          <w:color w:val="000000"/>
          <w:sz w:val="24"/>
          <w:szCs w:val="24"/>
          <w:lang w:val="en-GB"/>
        </w:rPr>
        <w:t>Empirical market data from the music industry</w:t>
      </w:r>
      <w:r w:rsidR="00F61725">
        <w:rPr>
          <w:rFonts w:ascii="Times New Roman" w:hAnsi="Times New Roman"/>
          <w:color w:val="000000"/>
          <w:sz w:val="24"/>
          <w:szCs w:val="24"/>
          <w:lang w:val="en-GB"/>
        </w:rPr>
        <w:t xml:space="preserve"> </w:t>
      </w:r>
      <w:r w:rsidR="00F61725" w:rsidRPr="00F61725">
        <w:rPr>
          <w:rFonts w:ascii="Times New Roman" w:hAnsi="Times New Roman"/>
          <w:color w:val="000000"/>
          <w:sz w:val="24"/>
          <w:szCs w:val="24"/>
          <w:lang w:val="en-GB"/>
        </w:rPr>
        <w:t>(IFPI, 2012)</w:t>
      </w:r>
      <w:r w:rsidRPr="006F55DD">
        <w:rPr>
          <w:rFonts w:ascii="Times New Roman" w:hAnsi="Times New Roman"/>
          <w:color w:val="000000"/>
          <w:sz w:val="24"/>
          <w:szCs w:val="24"/>
          <w:lang w:val="en-GB"/>
        </w:rPr>
        <w:t xml:space="preserve"> shows that total revenues, the accepted measure of value </w:t>
      </w:r>
      <w:r w:rsidR="00286067" w:rsidRPr="006F55DD">
        <w:rPr>
          <w:rFonts w:ascii="Times New Roman" w:hAnsi="Times New Roman"/>
          <w:color w:val="000000"/>
          <w:sz w:val="24"/>
          <w:szCs w:val="24"/>
          <w:lang w:val="en-GB"/>
        </w:rPr>
        <w:t>capture</w:t>
      </w:r>
      <w:r w:rsidR="00CD275E">
        <w:rPr>
          <w:rFonts w:ascii="Times New Roman" w:hAnsi="Times New Roman"/>
          <w:color w:val="000000"/>
          <w:sz w:val="24"/>
          <w:szCs w:val="24"/>
          <w:lang w:val="en-GB"/>
        </w:rPr>
        <w:t xml:space="preserve"> </w:t>
      </w:r>
      <w:r w:rsidRPr="006F55DD">
        <w:rPr>
          <w:rFonts w:ascii="Times New Roman" w:hAnsi="Times New Roman"/>
          <w:color w:val="000000"/>
          <w:sz w:val="24"/>
          <w:szCs w:val="24"/>
          <w:lang w:val="en-GB"/>
        </w:rPr>
        <w:t>have been in sharp decline since the sta</w:t>
      </w:r>
      <w:r w:rsidR="00F16E35">
        <w:rPr>
          <w:rFonts w:ascii="Times New Roman" w:hAnsi="Times New Roman"/>
          <w:color w:val="000000"/>
          <w:sz w:val="24"/>
          <w:szCs w:val="24"/>
          <w:lang w:val="en-GB"/>
        </w:rPr>
        <w:t xml:space="preserve">rt of the twenty first century, specifically since </w:t>
      </w:r>
      <w:r w:rsidR="00F16E35" w:rsidRPr="00F16E35">
        <w:rPr>
          <w:rFonts w:ascii="Times New Roman" w:hAnsi="Times New Roman"/>
          <w:color w:val="000000"/>
          <w:sz w:val="24"/>
          <w:szCs w:val="24"/>
          <w:lang w:val="en-GB"/>
        </w:rPr>
        <w:t>1999, a point in time concurrent with introduction of illegal file sharing services (</w:t>
      </w:r>
      <w:proofErr w:type="spellStart"/>
      <w:r w:rsidR="00F16E35" w:rsidRPr="00F16E35">
        <w:rPr>
          <w:rFonts w:ascii="Times New Roman" w:hAnsi="Times New Roman"/>
          <w:color w:val="000000"/>
          <w:sz w:val="24"/>
          <w:szCs w:val="24"/>
          <w:lang w:val="en-GB"/>
        </w:rPr>
        <w:t>Myrthianos</w:t>
      </w:r>
      <w:proofErr w:type="spellEnd"/>
      <w:r w:rsidR="00F16E35" w:rsidRPr="00F16E35">
        <w:rPr>
          <w:rFonts w:ascii="Times New Roman" w:hAnsi="Times New Roman"/>
          <w:color w:val="000000"/>
          <w:sz w:val="24"/>
          <w:szCs w:val="24"/>
          <w:lang w:val="en-GB"/>
        </w:rPr>
        <w:t xml:space="preserve"> et al., 2014).</w:t>
      </w:r>
      <w:r w:rsidR="00F16E35">
        <w:rPr>
          <w:rFonts w:ascii="Times New Roman" w:hAnsi="Times New Roman"/>
          <w:color w:val="000000"/>
          <w:sz w:val="24"/>
          <w:szCs w:val="24"/>
          <w:lang w:val="en-GB"/>
        </w:rPr>
        <w:t xml:space="preserve"> </w:t>
      </w:r>
      <w:r w:rsidRPr="006F55DD">
        <w:rPr>
          <w:rFonts w:ascii="Times New Roman" w:hAnsi="Times New Roman"/>
          <w:color w:val="000000"/>
          <w:sz w:val="24"/>
          <w:szCs w:val="24"/>
          <w:lang w:val="en-GB"/>
        </w:rPr>
        <w:t>Based on the substantial decrease in revenues the industry experimented with a multitude of new business models to reengage consumers at scale and recover the past levels of value capture.</w:t>
      </w:r>
    </w:p>
    <w:p w14:paraId="07256A40" w14:textId="7E8DC53B" w:rsidR="00184458" w:rsidRPr="006F55DD" w:rsidRDefault="00E67C5F" w:rsidP="00F16E35">
      <w:pPr>
        <w:spacing w:after="0" w:line="240" w:lineRule="auto"/>
        <w:ind w:firstLine="425"/>
        <w:jc w:val="both"/>
        <w:rPr>
          <w:rFonts w:ascii="Times New Roman" w:hAnsi="Times New Roman"/>
          <w:color w:val="000000"/>
          <w:sz w:val="24"/>
          <w:szCs w:val="24"/>
          <w:lang w:val="en-GB"/>
        </w:rPr>
      </w:pPr>
      <w:r w:rsidRPr="00F40818">
        <w:rPr>
          <w:rFonts w:ascii="Times New Roman" w:hAnsi="Times New Roman"/>
          <w:color w:val="000000"/>
          <w:sz w:val="24"/>
          <w:szCs w:val="24"/>
          <w:lang w:val="en-GB"/>
        </w:rPr>
        <w:t>Hybrid business models embraced predominantly in manufacturing</w:t>
      </w:r>
      <w:r>
        <w:rPr>
          <w:rFonts w:ascii="Times New Roman" w:hAnsi="Times New Roman"/>
          <w:color w:val="000000"/>
          <w:sz w:val="24"/>
          <w:szCs w:val="24"/>
          <w:lang w:val="en-GB"/>
        </w:rPr>
        <w:t xml:space="preserve"> (</w:t>
      </w:r>
      <w:proofErr w:type="spellStart"/>
      <w:r w:rsidR="005652D9">
        <w:rPr>
          <w:rFonts w:ascii="Times New Roman" w:hAnsi="Times New Roman"/>
          <w:color w:val="000000"/>
          <w:sz w:val="24"/>
          <w:szCs w:val="24"/>
          <w:lang w:val="en-GB"/>
        </w:rPr>
        <w:t>Kastalli</w:t>
      </w:r>
      <w:proofErr w:type="spellEnd"/>
      <w:r w:rsidR="005652D9">
        <w:rPr>
          <w:rFonts w:ascii="Times New Roman" w:hAnsi="Times New Roman"/>
          <w:color w:val="000000"/>
          <w:sz w:val="24"/>
          <w:szCs w:val="24"/>
          <w:lang w:val="en-GB"/>
        </w:rPr>
        <w:t xml:space="preserve"> and Van </w:t>
      </w:r>
      <w:proofErr w:type="spellStart"/>
      <w:r w:rsidR="005652D9">
        <w:rPr>
          <w:rFonts w:ascii="Times New Roman" w:hAnsi="Times New Roman"/>
          <w:color w:val="000000"/>
          <w:sz w:val="24"/>
          <w:szCs w:val="24"/>
          <w:lang w:val="en-GB"/>
        </w:rPr>
        <w:t>Looy</w:t>
      </w:r>
      <w:proofErr w:type="spellEnd"/>
      <w:r w:rsidR="005652D9">
        <w:rPr>
          <w:rFonts w:ascii="Times New Roman" w:hAnsi="Times New Roman"/>
          <w:color w:val="000000"/>
          <w:sz w:val="24"/>
          <w:szCs w:val="24"/>
          <w:lang w:val="en-GB"/>
        </w:rPr>
        <w:t xml:space="preserve">, 2013; </w:t>
      </w:r>
      <w:r w:rsidRPr="00F61725">
        <w:rPr>
          <w:rFonts w:ascii="Times New Roman" w:hAnsi="Times New Roman"/>
          <w:color w:val="000000"/>
          <w:sz w:val="24"/>
          <w:szCs w:val="24"/>
          <w:lang w:val="en-GB"/>
        </w:rPr>
        <w:t>Bustinza et al., 2017</w:t>
      </w:r>
      <w:r w:rsidR="00381350">
        <w:rPr>
          <w:rFonts w:ascii="Times New Roman" w:hAnsi="Times New Roman"/>
          <w:color w:val="000000"/>
          <w:sz w:val="24"/>
          <w:szCs w:val="24"/>
          <w:lang w:val="en-GB"/>
        </w:rPr>
        <w:t xml:space="preserve">; </w:t>
      </w:r>
      <w:r w:rsidR="00381350" w:rsidRPr="00381350">
        <w:rPr>
          <w:rFonts w:ascii="Times New Roman" w:hAnsi="Times New Roman"/>
          <w:color w:val="000000"/>
          <w:sz w:val="24"/>
          <w:szCs w:val="24"/>
          <w:lang w:val="en-GB"/>
        </w:rPr>
        <w:t>Rabetino</w:t>
      </w:r>
      <w:r w:rsidR="00381350">
        <w:rPr>
          <w:rFonts w:ascii="Times New Roman" w:hAnsi="Times New Roman"/>
          <w:color w:val="000000"/>
          <w:sz w:val="24"/>
          <w:szCs w:val="24"/>
          <w:lang w:val="en-GB"/>
        </w:rPr>
        <w:t xml:space="preserve"> et al., 2017) </w:t>
      </w:r>
      <w:r w:rsidR="00BA3EB8" w:rsidRPr="00F40818">
        <w:rPr>
          <w:rFonts w:ascii="Times New Roman" w:hAnsi="Times New Roman"/>
          <w:color w:val="000000"/>
          <w:sz w:val="24"/>
          <w:szCs w:val="24"/>
          <w:lang w:val="en-GB"/>
        </w:rPr>
        <w:t>have influenced</w:t>
      </w:r>
      <w:r w:rsidRPr="00F40818">
        <w:rPr>
          <w:rFonts w:ascii="Times New Roman" w:hAnsi="Times New Roman"/>
          <w:color w:val="000000"/>
          <w:sz w:val="24"/>
          <w:szCs w:val="24"/>
          <w:lang w:val="en-GB"/>
        </w:rPr>
        <w:t xml:space="preserve"> music industry in recent times.</w:t>
      </w:r>
      <w:r w:rsidRPr="00E67C5F">
        <w:rPr>
          <w:rFonts w:ascii="Times New Roman" w:hAnsi="Times New Roman"/>
          <w:color w:val="000000"/>
          <w:sz w:val="24"/>
          <w:szCs w:val="24"/>
          <w:lang w:val="en-GB"/>
        </w:rPr>
        <w:t xml:space="preserve"> These models usually consist of a service offering limited access to a music catalogue, with full access to large catalogue of music through a premi</w:t>
      </w:r>
      <w:r>
        <w:rPr>
          <w:rFonts w:ascii="Times New Roman" w:hAnsi="Times New Roman"/>
          <w:color w:val="000000"/>
          <w:sz w:val="24"/>
          <w:szCs w:val="24"/>
          <w:lang w:val="en-GB"/>
        </w:rPr>
        <w:t xml:space="preserve">um subscription (i.e. Spotify). </w:t>
      </w:r>
      <w:r w:rsidR="00184458" w:rsidRPr="006F55DD">
        <w:rPr>
          <w:rFonts w:ascii="Times New Roman" w:hAnsi="Times New Roman"/>
          <w:color w:val="000000"/>
          <w:sz w:val="24"/>
          <w:szCs w:val="24"/>
          <w:lang w:val="en-GB"/>
        </w:rPr>
        <w:t>The effectiveness of these models is still to be researched but evidence to date suggests that almost two thirds of UK consumers are willing to consider a subscription (Parry et al., 2012). Hybrid models have also been found to re-engage consumers with music, increasing sales across various formats (</w:t>
      </w:r>
      <w:proofErr w:type="spellStart"/>
      <w:r w:rsidR="00184458" w:rsidRPr="006F55DD">
        <w:rPr>
          <w:rFonts w:ascii="Times New Roman" w:hAnsi="Times New Roman"/>
          <w:color w:val="000000"/>
          <w:sz w:val="24"/>
          <w:szCs w:val="24"/>
          <w:lang w:val="en-GB"/>
        </w:rPr>
        <w:t>Aguiar</w:t>
      </w:r>
      <w:proofErr w:type="spellEnd"/>
      <w:r w:rsidR="00184458" w:rsidRPr="006F55DD">
        <w:rPr>
          <w:rFonts w:ascii="Times New Roman" w:hAnsi="Times New Roman"/>
          <w:color w:val="000000"/>
          <w:sz w:val="24"/>
          <w:szCs w:val="24"/>
          <w:lang w:val="en-GB"/>
        </w:rPr>
        <w:t xml:space="preserve"> and Martens, 2013). </w:t>
      </w:r>
    </w:p>
    <w:p w14:paraId="4169DA5D" w14:textId="7F5F29CF" w:rsidR="00184458" w:rsidRPr="006F55DD" w:rsidRDefault="00184458" w:rsidP="006432A1">
      <w:pPr>
        <w:spacing w:after="0" w:line="240" w:lineRule="auto"/>
        <w:ind w:firstLine="426"/>
        <w:jc w:val="both"/>
        <w:rPr>
          <w:rFonts w:ascii="Times New Roman" w:hAnsi="Times New Roman"/>
          <w:color w:val="000000"/>
          <w:sz w:val="24"/>
          <w:szCs w:val="24"/>
          <w:lang w:val="en-GB"/>
        </w:rPr>
      </w:pPr>
      <w:r w:rsidRPr="006F55DD">
        <w:rPr>
          <w:rFonts w:ascii="Times New Roman" w:hAnsi="Times New Roman"/>
          <w:color w:val="000000"/>
          <w:sz w:val="24"/>
          <w:szCs w:val="24"/>
          <w:lang w:val="en-GB"/>
        </w:rPr>
        <w:t xml:space="preserve">The music industry presents a suitable context for analysis of the theoretical proposition. It is a highly dynamic, influenced by new technology and there are a number of co-existing business </w:t>
      </w:r>
      <w:r>
        <w:rPr>
          <w:rFonts w:ascii="Times New Roman" w:hAnsi="Times New Roman"/>
          <w:color w:val="000000"/>
          <w:sz w:val="24"/>
          <w:szCs w:val="24"/>
          <w:lang w:val="en-GB"/>
        </w:rPr>
        <w:t>models (Bustinza et al., 2013</w:t>
      </w:r>
      <w:r w:rsidR="00583815">
        <w:rPr>
          <w:rFonts w:ascii="Times New Roman" w:hAnsi="Times New Roman"/>
          <w:color w:val="000000"/>
          <w:sz w:val="24"/>
          <w:szCs w:val="24"/>
          <w:lang w:val="en-GB"/>
        </w:rPr>
        <w:t>a; 2013</w:t>
      </w:r>
      <w:r>
        <w:rPr>
          <w:rFonts w:ascii="Times New Roman" w:hAnsi="Times New Roman"/>
          <w:color w:val="000000"/>
          <w:sz w:val="24"/>
          <w:szCs w:val="24"/>
          <w:lang w:val="en-GB"/>
        </w:rPr>
        <w:t>b</w:t>
      </w:r>
      <w:r w:rsidRPr="006F55DD">
        <w:rPr>
          <w:rFonts w:ascii="Times New Roman" w:hAnsi="Times New Roman"/>
          <w:color w:val="000000"/>
          <w:sz w:val="24"/>
          <w:szCs w:val="24"/>
          <w:lang w:val="en-GB"/>
        </w:rPr>
        <w:t>). In this context the proposition outlined earlier will be hold, if and only if countries with a diverse set of formats capture more value (have greater revenues) than those countries with a dominant format. This leads to the formulation of the empirical hypothesis.</w:t>
      </w:r>
    </w:p>
    <w:p w14:paraId="255AACC3" w14:textId="77777777" w:rsidR="00C6157A" w:rsidRDefault="00C6157A" w:rsidP="006432A1">
      <w:pPr>
        <w:spacing w:after="0" w:line="240" w:lineRule="auto"/>
        <w:ind w:left="426"/>
        <w:jc w:val="both"/>
        <w:rPr>
          <w:rFonts w:ascii="Times New Roman" w:hAnsi="Times New Roman"/>
          <w:b/>
          <w:i/>
          <w:color w:val="000000"/>
          <w:sz w:val="24"/>
          <w:szCs w:val="24"/>
          <w:lang w:val="en-GB"/>
        </w:rPr>
      </w:pPr>
    </w:p>
    <w:p w14:paraId="14EAF5B5" w14:textId="4B3402C2" w:rsidR="00184458" w:rsidRPr="006F55DD" w:rsidRDefault="00184458" w:rsidP="006432A1">
      <w:pPr>
        <w:spacing w:after="0" w:line="240" w:lineRule="auto"/>
        <w:ind w:left="426"/>
        <w:jc w:val="both"/>
        <w:rPr>
          <w:rFonts w:ascii="Times New Roman" w:hAnsi="Times New Roman"/>
          <w:i/>
          <w:color w:val="000000"/>
          <w:sz w:val="24"/>
          <w:szCs w:val="24"/>
          <w:lang w:val="en-GB"/>
        </w:rPr>
      </w:pPr>
      <w:r w:rsidRPr="006F55DD">
        <w:rPr>
          <w:rFonts w:ascii="Times New Roman" w:hAnsi="Times New Roman"/>
          <w:b/>
          <w:i/>
          <w:color w:val="000000"/>
          <w:sz w:val="24"/>
          <w:szCs w:val="24"/>
          <w:lang w:val="en-GB"/>
        </w:rPr>
        <w:t>Hypothesis 1:</w:t>
      </w:r>
      <w:r w:rsidRPr="006F55DD">
        <w:rPr>
          <w:rFonts w:ascii="Times New Roman" w:hAnsi="Times New Roman"/>
          <w:i/>
          <w:color w:val="000000"/>
          <w:sz w:val="24"/>
          <w:szCs w:val="24"/>
          <w:lang w:val="en-GB"/>
        </w:rPr>
        <w:t xml:space="preserve"> More format diversity will increase revenues per capita. </w:t>
      </w:r>
    </w:p>
    <w:p w14:paraId="3DEA5379" w14:textId="77777777" w:rsidR="006432A1" w:rsidRDefault="006432A1" w:rsidP="006432A1">
      <w:pPr>
        <w:spacing w:after="0" w:line="240" w:lineRule="auto"/>
        <w:jc w:val="both"/>
        <w:outlineLvl w:val="0"/>
        <w:rPr>
          <w:rFonts w:ascii="Times New Roman" w:hAnsi="Times New Roman"/>
          <w:b/>
          <w:color w:val="000000"/>
          <w:sz w:val="24"/>
          <w:szCs w:val="24"/>
          <w:lang w:val="en-GB"/>
        </w:rPr>
      </w:pPr>
    </w:p>
    <w:p w14:paraId="158C7955" w14:textId="77777777" w:rsidR="006432A1" w:rsidRDefault="006432A1" w:rsidP="006432A1">
      <w:pPr>
        <w:spacing w:after="0" w:line="240" w:lineRule="auto"/>
        <w:jc w:val="both"/>
        <w:outlineLvl w:val="0"/>
        <w:rPr>
          <w:rFonts w:ascii="Times New Roman" w:hAnsi="Times New Roman"/>
          <w:b/>
          <w:color w:val="000000"/>
          <w:sz w:val="24"/>
          <w:szCs w:val="24"/>
          <w:lang w:val="en-GB"/>
        </w:rPr>
      </w:pPr>
    </w:p>
    <w:p w14:paraId="4887C6DC" w14:textId="619112D6" w:rsidR="00E5211D" w:rsidRDefault="00E5211D" w:rsidP="006432A1">
      <w:pPr>
        <w:spacing w:after="0" w:line="240" w:lineRule="auto"/>
        <w:jc w:val="both"/>
        <w:outlineLvl w:val="0"/>
        <w:rPr>
          <w:rFonts w:ascii="Times New Roman" w:hAnsi="Times New Roman"/>
          <w:b/>
          <w:color w:val="000000"/>
          <w:sz w:val="26"/>
          <w:szCs w:val="26"/>
          <w:lang w:val="en-GB"/>
        </w:rPr>
      </w:pPr>
      <w:r>
        <w:rPr>
          <w:rFonts w:ascii="Times New Roman" w:hAnsi="Times New Roman"/>
          <w:b/>
          <w:color w:val="000000"/>
          <w:sz w:val="26"/>
          <w:szCs w:val="26"/>
          <w:lang w:val="en-GB"/>
        </w:rPr>
        <w:t xml:space="preserve">3     Method     </w:t>
      </w:r>
    </w:p>
    <w:p w14:paraId="7A9C7768" w14:textId="77777777" w:rsidR="00E5211D" w:rsidRDefault="00E5211D" w:rsidP="006432A1">
      <w:pPr>
        <w:spacing w:after="0" w:line="240" w:lineRule="auto"/>
        <w:jc w:val="both"/>
        <w:outlineLvl w:val="0"/>
        <w:rPr>
          <w:rFonts w:ascii="Times New Roman" w:hAnsi="Times New Roman"/>
          <w:b/>
          <w:color w:val="000000"/>
          <w:sz w:val="26"/>
          <w:szCs w:val="26"/>
          <w:lang w:val="en-GB"/>
        </w:rPr>
      </w:pPr>
    </w:p>
    <w:p w14:paraId="33AC65B5" w14:textId="7604D3ED" w:rsidR="00184458" w:rsidRPr="00E5211D" w:rsidRDefault="00E5211D" w:rsidP="006432A1">
      <w:pPr>
        <w:spacing w:after="0" w:line="240" w:lineRule="auto"/>
        <w:jc w:val="both"/>
        <w:outlineLvl w:val="0"/>
        <w:rPr>
          <w:rFonts w:ascii="Times New Roman" w:hAnsi="Times New Roman"/>
          <w:i/>
          <w:color w:val="000000"/>
          <w:sz w:val="26"/>
          <w:szCs w:val="26"/>
          <w:lang w:val="en-GB"/>
        </w:rPr>
      </w:pPr>
      <w:r w:rsidRPr="00E5211D">
        <w:rPr>
          <w:rFonts w:ascii="Times New Roman" w:hAnsi="Times New Roman"/>
          <w:i/>
          <w:color w:val="000000"/>
          <w:sz w:val="26"/>
          <w:szCs w:val="26"/>
          <w:lang w:val="en-GB"/>
        </w:rPr>
        <w:t xml:space="preserve">3.1 </w:t>
      </w:r>
      <w:r w:rsidR="00184458" w:rsidRPr="00E5211D">
        <w:rPr>
          <w:rFonts w:ascii="Times New Roman" w:hAnsi="Times New Roman"/>
          <w:i/>
          <w:color w:val="000000"/>
          <w:sz w:val="26"/>
          <w:szCs w:val="26"/>
          <w:lang w:val="en-GB"/>
        </w:rPr>
        <w:t>Empirical approach</w:t>
      </w:r>
    </w:p>
    <w:p w14:paraId="3243120D" w14:textId="77777777" w:rsidR="00E5211D" w:rsidRPr="006F55DD" w:rsidRDefault="00E5211D" w:rsidP="002F49EA">
      <w:pPr>
        <w:spacing w:after="0" w:line="240" w:lineRule="auto"/>
        <w:jc w:val="both"/>
        <w:outlineLvl w:val="0"/>
        <w:rPr>
          <w:rFonts w:ascii="Times New Roman" w:hAnsi="Times New Roman"/>
          <w:b/>
          <w:color w:val="000000"/>
          <w:sz w:val="26"/>
          <w:szCs w:val="26"/>
          <w:lang w:val="en-GB"/>
        </w:rPr>
      </w:pPr>
    </w:p>
    <w:p w14:paraId="33518636" w14:textId="68AA7F36" w:rsidR="00CF24F9" w:rsidRDefault="00184458" w:rsidP="002F49EA">
      <w:pPr>
        <w:spacing w:after="0" w:line="240" w:lineRule="auto"/>
        <w:jc w:val="both"/>
        <w:rPr>
          <w:rFonts w:ascii="Times New Roman" w:hAnsi="Times New Roman"/>
          <w:color w:val="000000"/>
          <w:sz w:val="24"/>
          <w:szCs w:val="24"/>
          <w:lang w:val="en-GB"/>
        </w:rPr>
      </w:pPr>
      <w:r w:rsidRPr="006F55DD">
        <w:rPr>
          <w:rFonts w:ascii="Times New Roman" w:hAnsi="Times New Roman"/>
          <w:color w:val="000000"/>
          <w:sz w:val="24"/>
          <w:szCs w:val="24"/>
          <w:lang w:val="en-GB"/>
        </w:rPr>
        <w:t>As discussed earlier the diversity of business models and the capture of value in highly dynamic contexts are phenomena observed beyond organizational boundaries (</w:t>
      </w:r>
      <w:proofErr w:type="spellStart"/>
      <w:r w:rsidRPr="006F55DD">
        <w:rPr>
          <w:rFonts w:ascii="Times New Roman" w:hAnsi="Times New Roman"/>
          <w:color w:val="000000"/>
          <w:sz w:val="24"/>
          <w:szCs w:val="24"/>
          <w:lang w:val="en-GB"/>
        </w:rPr>
        <w:t>Chesbrough</w:t>
      </w:r>
      <w:proofErr w:type="spellEnd"/>
      <w:r w:rsidRPr="006F55DD">
        <w:rPr>
          <w:rFonts w:ascii="Times New Roman" w:hAnsi="Times New Roman"/>
          <w:color w:val="000000"/>
          <w:sz w:val="24"/>
          <w:szCs w:val="24"/>
          <w:lang w:val="en-GB"/>
        </w:rPr>
        <w:t xml:space="preserve"> and Rosenbloom, 2002; </w:t>
      </w:r>
      <w:proofErr w:type="spellStart"/>
      <w:r w:rsidRPr="006F55DD">
        <w:rPr>
          <w:rFonts w:ascii="Times New Roman" w:hAnsi="Times New Roman"/>
          <w:color w:val="000000"/>
          <w:sz w:val="24"/>
          <w:szCs w:val="24"/>
          <w:lang w:val="en-GB"/>
        </w:rPr>
        <w:t>Chesbrough</w:t>
      </w:r>
      <w:proofErr w:type="spellEnd"/>
      <w:r w:rsidRPr="006F55DD">
        <w:rPr>
          <w:rFonts w:ascii="Times New Roman" w:hAnsi="Times New Roman"/>
          <w:color w:val="000000"/>
          <w:sz w:val="24"/>
          <w:szCs w:val="24"/>
          <w:lang w:val="en-GB"/>
        </w:rPr>
        <w:t>, 2010). The evolution of these variables can be seen by comparing different markets at different moments in time. This was achieved using a panel of 32 countries</w:t>
      </w:r>
      <w:r w:rsidRPr="006F55DD">
        <w:rPr>
          <w:rStyle w:val="FootnoteReference"/>
          <w:rFonts w:ascii="Times New Roman" w:hAnsi="Times New Roman"/>
          <w:color w:val="000000"/>
          <w:sz w:val="24"/>
          <w:szCs w:val="24"/>
          <w:lang w:val="en-GB"/>
        </w:rPr>
        <w:footnoteReference w:id="4"/>
      </w:r>
      <w:r w:rsidRPr="006F55DD">
        <w:rPr>
          <w:rFonts w:ascii="Times New Roman" w:hAnsi="Times New Roman"/>
          <w:color w:val="000000"/>
          <w:sz w:val="24"/>
          <w:szCs w:val="24"/>
          <w:lang w:val="en-GB"/>
        </w:rPr>
        <w:t xml:space="preserve"> for the period 1998–2010. The panel</w:t>
      </w:r>
      <w:r w:rsidR="002E337A">
        <w:rPr>
          <w:rFonts w:ascii="Times New Roman" w:hAnsi="Times New Roman"/>
          <w:color w:val="000000"/>
          <w:sz w:val="24"/>
          <w:szCs w:val="24"/>
          <w:lang w:val="en-GB"/>
        </w:rPr>
        <w:t xml:space="preserve"> </w:t>
      </w:r>
      <w:r w:rsidRPr="006F55DD">
        <w:rPr>
          <w:rFonts w:ascii="Times New Roman" w:hAnsi="Times New Roman"/>
          <w:color w:val="000000"/>
          <w:sz w:val="24"/>
          <w:szCs w:val="24"/>
          <w:lang w:val="en-GB"/>
        </w:rPr>
        <w:t xml:space="preserve">is not perfectly balanced since two observations are missing for the year 2010, and therefore the sample contains 414 country-year observations. The data that creates the panel is drawn from different sources. Data for the recorded music was received from industry firms and their trade body, the International Federation of the Phonographic Industry (IFPI). </w:t>
      </w:r>
    </w:p>
    <w:p w14:paraId="2E337359" w14:textId="77777777" w:rsidR="007F1476" w:rsidRDefault="001F042C" w:rsidP="00DA5CD9">
      <w:pPr>
        <w:spacing w:after="0" w:line="240" w:lineRule="auto"/>
        <w:ind w:firstLine="426"/>
        <w:jc w:val="both"/>
        <w:rPr>
          <w:rFonts w:ascii="Times New Roman" w:hAnsi="Times New Roman"/>
          <w:color w:val="000000"/>
          <w:sz w:val="24"/>
          <w:szCs w:val="24"/>
          <w:lang w:val="en-GB"/>
        </w:rPr>
      </w:pPr>
      <w:r w:rsidRPr="00C6736C">
        <w:rPr>
          <w:rFonts w:ascii="Times New Roman" w:hAnsi="Times New Roman"/>
          <w:sz w:val="24"/>
          <w:szCs w:val="24"/>
          <w:lang w:val="en-GB"/>
        </w:rPr>
        <w:t xml:space="preserve">Sales </w:t>
      </w:r>
      <w:r w:rsidR="00857A63" w:rsidRPr="00C6736C">
        <w:rPr>
          <w:rFonts w:ascii="Times New Roman" w:hAnsi="Times New Roman"/>
          <w:sz w:val="24"/>
          <w:szCs w:val="24"/>
          <w:lang w:val="en-GB"/>
        </w:rPr>
        <w:t xml:space="preserve">have been shown to be </w:t>
      </w:r>
      <w:r w:rsidRPr="00C6736C">
        <w:rPr>
          <w:rFonts w:ascii="Times New Roman" w:hAnsi="Times New Roman"/>
          <w:sz w:val="24"/>
          <w:szCs w:val="24"/>
          <w:lang w:val="en-GB"/>
        </w:rPr>
        <w:t>a good measure for assessing business models</w:t>
      </w:r>
      <w:r w:rsidR="00DB46BC" w:rsidRPr="00C6736C">
        <w:rPr>
          <w:rFonts w:ascii="Times New Roman" w:hAnsi="Times New Roman"/>
          <w:sz w:val="24"/>
          <w:szCs w:val="24"/>
          <w:lang w:val="en-GB"/>
        </w:rPr>
        <w:t xml:space="preserve"> (</w:t>
      </w:r>
      <w:r w:rsidR="00F2646D">
        <w:rPr>
          <w:rFonts w:ascii="Times New Roman" w:hAnsi="Times New Roman"/>
          <w:sz w:val="24"/>
          <w:szCs w:val="24"/>
          <w:lang w:val="en-GB"/>
        </w:rPr>
        <w:t>Suarez et al., 2013</w:t>
      </w:r>
      <w:r w:rsidR="00DB46BC" w:rsidRPr="00C6736C">
        <w:rPr>
          <w:rFonts w:ascii="Times New Roman" w:hAnsi="Times New Roman"/>
          <w:sz w:val="24"/>
          <w:szCs w:val="24"/>
          <w:lang w:val="en-GB"/>
        </w:rPr>
        <w:t>)</w:t>
      </w:r>
      <w:r w:rsidR="00857A63" w:rsidRPr="00C6736C">
        <w:rPr>
          <w:rFonts w:ascii="Times New Roman" w:hAnsi="Times New Roman"/>
          <w:sz w:val="24"/>
          <w:szCs w:val="24"/>
          <w:lang w:val="en-GB"/>
        </w:rPr>
        <w:t>, therefore</w:t>
      </w:r>
      <w:r w:rsidR="00526BC7" w:rsidRPr="00C6736C">
        <w:rPr>
          <w:rFonts w:ascii="Times New Roman" w:hAnsi="Times New Roman"/>
          <w:sz w:val="24"/>
          <w:szCs w:val="24"/>
          <w:lang w:val="en-GB"/>
        </w:rPr>
        <w:t xml:space="preserve"> t</w:t>
      </w:r>
      <w:r w:rsidR="00184458" w:rsidRPr="00C6736C">
        <w:rPr>
          <w:rFonts w:ascii="Times New Roman" w:hAnsi="Times New Roman"/>
          <w:sz w:val="24"/>
          <w:szCs w:val="24"/>
          <w:lang w:val="en-GB"/>
        </w:rPr>
        <w:t>he</w:t>
      </w:r>
      <w:r w:rsidR="00184458" w:rsidRPr="006F55DD">
        <w:rPr>
          <w:rFonts w:ascii="Times New Roman" w:hAnsi="Times New Roman"/>
          <w:color w:val="000000"/>
          <w:sz w:val="24"/>
          <w:szCs w:val="24"/>
          <w:lang w:val="en-GB"/>
        </w:rPr>
        <w:t xml:space="preserve"> dependent variable utilizes deflated industry sales figures</w:t>
      </w:r>
      <w:r w:rsidR="005734A0">
        <w:rPr>
          <w:rFonts w:ascii="Times New Roman" w:hAnsi="Times New Roman"/>
          <w:color w:val="000000"/>
          <w:sz w:val="24"/>
          <w:szCs w:val="24"/>
          <w:lang w:val="en-GB"/>
        </w:rPr>
        <w:t xml:space="preserve">, </w:t>
      </w:r>
      <w:r w:rsidR="005734A0">
        <w:rPr>
          <w:rFonts w:ascii="Times New Roman" w:hAnsi="Times New Roman"/>
          <w:i/>
          <w:color w:val="000000"/>
          <w:sz w:val="24"/>
          <w:szCs w:val="24"/>
          <w:lang w:val="en-GB"/>
        </w:rPr>
        <w:t>Sales</w:t>
      </w:r>
      <w:r w:rsidR="000A20F5">
        <w:rPr>
          <w:rFonts w:ascii="Times New Roman" w:hAnsi="Times New Roman"/>
          <w:color w:val="000000"/>
          <w:sz w:val="24"/>
          <w:szCs w:val="24"/>
          <w:lang w:val="en-GB"/>
        </w:rPr>
        <w:t xml:space="preserve">. The </w:t>
      </w:r>
      <w:r w:rsidR="004F187C">
        <w:rPr>
          <w:rFonts w:ascii="Times New Roman" w:hAnsi="Times New Roman"/>
          <w:color w:val="000000"/>
          <w:sz w:val="24"/>
          <w:szCs w:val="24"/>
          <w:lang w:val="en-GB"/>
        </w:rPr>
        <w:t>data collected was from countries with diverse population sizes</w:t>
      </w:r>
      <w:r w:rsidR="000A20F5">
        <w:rPr>
          <w:rFonts w:ascii="Times New Roman" w:hAnsi="Times New Roman"/>
          <w:color w:val="000000"/>
          <w:sz w:val="24"/>
          <w:szCs w:val="24"/>
          <w:lang w:val="en-GB"/>
        </w:rPr>
        <w:t xml:space="preserve">. </w:t>
      </w:r>
      <w:r w:rsidR="000F79A2">
        <w:rPr>
          <w:rFonts w:ascii="Times New Roman" w:hAnsi="Times New Roman"/>
          <w:color w:val="000000"/>
          <w:sz w:val="24"/>
          <w:szCs w:val="24"/>
          <w:lang w:val="en-GB"/>
        </w:rPr>
        <w:t>To overcome the potential dominant size effect</w:t>
      </w:r>
      <w:r w:rsidR="000A20F5" w:rsidRPr="006F55DD">
        <w:rPr>
          <w:rFonts w:ascii="Times New Roman" w:hAnsi="Times New Roman"/>
          <w:color w:val="000000"/>
          <w:sz w:val="24"/>
          <w:szCs w:val="24"/>
          <w:lang w:val="en-GB"/>
        </w:rPr>
        <w:t xml:space="preserve"> </w:t>
      </w:r>
      <w:r w:rsidR="000F79A2">
        <w:rPr>
          <w:rFonts w:ascii="Times New Roman" w:hAnsi="Times New Roman"/>
          <w:color w:val="000000"/>
          <w:sz w:val="24"/>
          <w:szCs w:val="24"/>
          <w:lang w:val="en-GB"/>
        </w:rPr>
        <w:t xml:space="preserve">we </w:t>
      </w:r>
      <w:r w:rsidR="00184458" w:rsidRPr="006F55DD">
        <w:rPr>
          <w:rFonts w:ascii="Times New Roman" w:hAnsi="Times New Roman"/>
          <w:color w:val="000000"/>
          <w:sz w:val="24"/>
          <w:szCs w:val="24"/>
          <w:lang w:val="en-GB"/>
        </w:rPr>
        <w:t xml:space="preserve">divided </w:t>
      </w:r>
      <w:r w:rsidR="000A20F5">
        <w:rPr>
          <w:rFonts w:ascii="Times New Roman" w:hAnsi="Times New Roman"/>
          <w:color w:val="000000"/>
          <w:sz w:val="24"/>
          <w:szCs w:val="24"/>
          <w:lang w:val="en-GB"/>
        </w:rPr>
        <w:t xml:space="preserve">total sales in the industry </w:t>
      </w:r>
      <w:r w:rsidR="00184458" w:rsidRPr="006F55DD">
        <w:rPr>
          <w:rFonts w:ascii="Times New Roman" w:hAnsi="Times New Roman"/>
          <w:color w:val="000000"/>
          <w:sz w:val="24"/>
          <w:szCs w:val="24"/>
          <w:lang w:val="en-GB"/>
        </w:rPr>
        <w:t>by total population to create a comparable unit across countries</w:t>
      </w:r>
      <w:r w:rsidR="00184458" w:rsidRPr="006F55DD">
        <w:rPr>
          <w:rStyle w:val="FootnoteReference"/>
          <w:rFonts w:ascii="Times New Roman" w:hAnsi="Times New Roman"/>
          <w:color w:val="000000"/>
          <w:sz w:val="24"/>
          <w:szCs w:val="24"/>
          <w:lang w:val="en-GB"/>
        </w:rPr>
        <w:footnoteReference w:id="5"/>
      </w:r>
      <w:r w:rsidR="005734A0">
        <w:rPr>
          <w:rFonts w:ascii="Times New Roman" w:hAnsi="Times New Roman"/>
          <w:color w:val="000000"/>
          <w:sz w:val="24"/>
          <w:szCs w:val="24"/>
          <w:lang w:val="en-GB"/>
        </w:rPr>
        <w:t xml:space="preserve">, </w:t>
      </w:r>
      <w:r w:rsidR="005734A0">
        <w:rPr>
          <w:rFonts w:ascii="Times New Roman" w:hAnsi="Times New Roman"/>
          <w:i/>
          <w:color w:val="000000"/>
          <w:sz w:val="24"/>
          <w:szCs w:val="24"/>
          <w:lang w:val="en-GB"/>
        </w:rPr>
        <w:t>Sales/population</w:t>
      </w:r>
      <w:r w:rsidR="009309C3">
        <w:rPr>
          <w:rFonts w:ascii="Times New Roman" w:hAnsi="Times New Roman"/>
          <w:color w:val="000000"/>
          <w:sz w:val="24"/>
          <w:szCs w:val="24"/>
          <w:lang w:val="en-GB"/>
        </w:rPr>
        <w:t xml:space="preserve"> (</w:t>
      </w:r>
      <w:proofErr w:type="spellStart"/>
      <w:r w:rsidR="00FB5EB5" w:rsidRPr="00FB5EB5">
        <w:rPr>
          <w:rFonts w:ascii="Times New Roman" w:hAnsi="Times New Roman"/>
          <w:color w:val="000000"/>
          <w:sz w:val="24"/>
          <w:szCs w:val="24"/>
          <w:lang w:val="en-GB"/>
        </w:rPr>
        <w:t>Applebaum</w:t>
      </w:r>
      <w:proofErr w:type="spellEnd"/>
      <w:r w:rsidR="00F2646D">
        <w:rPr>
          <w:rFonts w:ascii="Times New Roman" w:hAnsi="Times New Roman"/>
          <w:color w:val="000000"/>
          <w:sz w:val="24"/>
          <w:szCs w:val="24"/>
          <w:lang w:val="en-GB"/>
        </w:rPr>
        <w:t>, 1966</w:t>
      </w:r>
      <w:r w:rsidR="00FB5EB5">
        <w:rPr>
          <w:rFonts w:ascii="Times New Roman" w:hAnsi="Times New Roman"/>
          <w:color w:val="000000"/>
          <w:sz w:val="24"/>
          <w:szCs w:val="24"/>
          <w:lang w:val="en-GB"/>
        </w:rPr>
        <w:t>)</w:t>
      </w:r>
      <w:r w:rsidR="000A20F5">
        <w:rPr>
          <w:rFonts w:ascii="Times New Roman" w:hAnsi="Times New Roman"/>
          <w:color w:val="000000"/>
          <w:sz w:val="24"/>
          <w:szCs w:val="24"/>
          <w:lang w:val="en-GB"/>
        </w:rPr>
        <w:t xml:space="preserve">. </w:t>
      </w:r>
      <w:r w:rsidR="00184458" w:rsidRPr="006F55DD">
        <w:rPr>
          <w:rFonts w:ascii="Times New Roman" w:hAnsi="Times New Roman"/>
          <w:color w:val="000000"/>
          <w:sz w:val="24"/>
          <w:szCs w:val="24"/>
          <w:lang w:val="en-GB"/>
        </w:rPr>
        <w:t xml:space="preserve"> </w:t>
      </w:r>
      <w:r w:rsidR="000A20F5">
        <w:rPr>
          <w:rFonts w:ascii="Times New Roman" w:hAnsi="Times New Roman"/>
          <w:color w:val="000000"/>
          <w:sz w:val="24"/>
          <w:szCs w:val="24"/>
          <w:lang w:val="en-GB"/>
        </w:rPr>
        <w:t xml:space="preserve">Further to this, we </w:t>
      </w:r>
      <w:r w:rsidR="000F79A2">
        <w:rPr>
          <w:rFonts w:ascii="Times New Roman" w:hAnsi="Times New Roman"/>
          <w:color w:val="000000"/>
          <w:sz w:val="24"/>
          <w:szCs w:val="24"/>
          <w:lang w:val="en-GB"/>
        </w:rPr>
        <w:t xml:space="preserve">took the </w:t>
      </w:r>
      <w:r w:rsidR="000A20F5">
        <w:rPr>
          <w:rFonts w:ascii="Times New Roman" w:hAnsi="Times New Roman"/>
          <w:color w:val="000000"/>
          <w:sz w:val="24"/>
          <w:szCs w:val="24"/>
          <w:lang w:val="en-GB"/>
        </w:rPr>
        <w:t xml:space="preserve">log </w:t>
      </w:r>
      <w:r w:rsidR="000F79A2">
        <w:rPr>
          <w:rFonts w:ascii="Times New Roman" w:hAnsi="Times New Roman"/>
          <w:color w:val="000000"/>
          <w:sz w:val="24"/>
          <w:szCs w:val="24"/>
          <w:lang w:val="en-GB"/>
        </w:rPr>
        <w:t xml:space="preserve">of </w:t>
      </w:r>
      <w:r w:rsidR="005734A0">
        <w:rPr>
          <w:rFonts w:ascii="Times New Roman" w:hAnsi="Times New Roman"/>
          <w:color w:val="000000"/>
          <w:sz w:val="24"/>
          <w:szCs w:val="24"/>
          <w:lang w:val="en-GB"/>
        </w:rPr>
        <w:t>our</w:t>
      </w:r>
      <w:r w:rsidR="000A20F5">
        <w:rPr>
          <w:rFonts w:ascii="Times New Roman" w:hAnsi="Times New Roman"/>
          <w:color w:val="000000"/>
          <w:sz w:val="24"/>
          <w:szCs w:val="24"/>
          <w:lang w:val="en-GB"/>
        </w:rPr>
        <w:t xml:space="preserve"> dependent variable to reduce skewness and enhance estimation accuracy</w:t>
      </w:r>
      <w:r w:rsidR="005734A0">
        <w:rPr>
          <w:rFonts w:ascii="Times New Roman" w:hAnsi="Times New Roman"/>
          <w:color w:val="000000"/>
          <w:sz w:val="24"/>
          <w:szCs w:val="24"/>
          <w:lang w:val="en-GB"/>
        </w:rPr>
        <w:t xml:space="preserve">, </w:t>
      </w:r>
      <w:r w:rsidR="005734A0" w:rsidRPr="006F55DD">
        <w:rPr>
          <w:rFonts w:ascii="Times New Roman" w:hAnsi="Times New Roman"/>
          <w:i/>
          <w:color w:val="000000"/>
          <w:sz w:val="24"/>
          <w:szCs w:val="24"/>
          <w:lang w:val="en-GB"/>
        </w:rPr>
        <w:t>LN (Sales/population)</w:t>
      </w:r>
      <w:r w:rsidR="005734A0" w:rsidRPr="006F55DD">
        <w:rPr>
          <w:rFonts w:ascii="Times New Roman" w:hAnsi="Times New Roman"/>
          <w:color w:val="000000"/>
          <w:sz w:val="24"/>
          <w:szCs w:val="24"/>
          <w:lang w:val="en-GB"/>
        </w:rPr>
        <w:t>.</w:t>
      </w:r>
      <w:r w:rsidR="000A20F5">
        <w:rPr>
          <w:rFonts w:ascii="Times New Roman" w:hAnsi="Times New Roman"/>
          <w:color w:val="000000"/>
          <w:sz w:val="24"/>
          <w:szCs w:val="24"/>
          <w:lang w:val="en-GB"/>
        </w:rPr>
        <w:t xml:space="preserve"> This transformation facilitates the interpretation of the estimated coefficients and parameters will be interpreted as variations in percentage points of sales per inhabitant </w:t>
      </w:r>
      <w:r w:rsidR="000A20F5" w:rsidRPr="000A20F5">
        <w:rPr>
          <w:rFonts w:ascii="Times New Roman" w:hAnsi="Times New Roman"/>
          <w:color w:val="000000"/>
          <w:sz w:val="24"/>
          <w:szCs w:val="24"/>
          <w:lang w:val="en-GB"/>
        </w:rPr>
        <w:t>(Manning, 1998</w:t>
      </w:r>
      <w:r w:rsidR="000A20F5">
        <w:rPr>
          <w:rFonts w:ascii="Times New Roman" w:hAnsi="Times New Roman"/>
          <w:color w:val="000000"/>
          <w:sz w:val="24"/>
          <w:szCs w:val="24"/>
          <w:lang w:val="en-GB"/>
        </w:rPr>
        <w:t>)</w:t>
      </w:r>
      <w:r w:rsidR="00DA7802">
        <w:rPr>
          <w:rFonts w:ascii="Times New Roman" w:hAnsi="Times New Roman"/>
          <w:color w:val="000000"/>
          <w:sz w:val="24"/>
          <w:szCs w:val="24"/>
          <w:lang w:val="en-GB"/>
        </w:rPr>
        <w:t xml:space="preserve">. </w:t>
      </w:r>
      <w:r w:rsidR="00184458" w:rsidRPr="006F55DD">
        <w:rPr>
          <w:rFonts w:ascii="Times New Roman" w:hAnsi="Times New Roman"/>
          <w:color w:val="000000"/>
          <w:sz w:val="24"/>
          <w:szCs w:val="24"/>
          <w:lang w:val="en-GB"/>
        </w:rPr>
        <w:t xml:space="preserve">Table 1 presents descriptive statistics for this variable. The information is in US$ with a fixed exchange rate and is deflated to 2010 values. The average annual expenditure on music per capita is US$15.01. </w:t>
      </w:r>
    </w:p>
    <w:p w14:paraId="65CC871D" w14:textId="77777777" w:rsidR="007F1476" w:rsidRDefault="007F1476" w:rsidP="00DA5CD9">
      <w:pPr>
        <w:spacing w:after="0" w:line="240" w:lineRule="auto"/>
        <w:ind w:firstLine="426"/>
        <w:jc w:val="both"/>
        <w:rPr>
          <w:rFonts w:ascii="Times New Roman" w:hAnsi="Times New Roman"/>
          <w:color w:val="000000"/>
          <w:sz w:val="24"/>
          <w:szCs w:val="24"/>
          <w:lang w:val="en-GB"/>
        </w:rPr>
      </w:pPr>
    </w:p>
    <w:p w14:paraId="1BC7A3DE" w14:textId="77777777" w:rsidR="00DA5CD9" w:rsidRDefault="00DA5CD9" w:rsidP="00DA5CD9">
      <w:pPr>
        <w:spacing w:after="0" w:line="240" w:lineRule="auto"/>
        <w:jc w:val="both"/>
        <w:rPr>
          <w:rFonts w:ascii="Times New Roman" w:hAnsi="Times New Roman"/>
          <w:color w:val="000000"/>
          <w:sz w:val="24"/>
          <w:szCs w:val="24"/>
          <w:lang w:val="en-GB"/>
        </w:rPr>
      </w:pPr>
    </w:p>
    <w:p w14:paraId="215C65C0" w14:textId="77777777" w:rsidR="00DA5CD9" w:rsidRDefault="00DA5CD9" w:rsidP="00DA5CD9">
      <w:pPr>
        <w:spacing w:after="0" w:line="240" w:lineRule="auto"/>
        <w:jc w:val="both"/>
        <w:rPr>
          <w:rFonts w:ascii="Times New Roman" w:hAnsi="Times New Roman"/>
          <w:color w:val="000000"/>
          <w:sz w:val="24"/>
          <w:szCs w:val="24"/>
          <w:lang w:val="en-GB"/>
        </w:rPr>
      </w:pPr>
    </w:p>
    <w:p w14:paraId="469453ED" w14:textId="54E647C6" w:rsidR="00DA5CD9" w:rsidRPr="006F55DD" w:rsidRDefault="00DA5CD9" w:rsidP="00DA5CD9">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&lt;INSERT TABLE 1 ABOUT HERE&gt;</w:t>
      </w:r>
    </w:p>
    <w:p w14:paraId="03CE76F0" w14:textId="77777777" w:rsidR="00DA5CD9" w:rsidRDefault="00DA5CD9" w:rsidP="00DA5CD9">
      <w:pPr>
        <w:spacing w:after="0" w:line="240" w:lineRule="auto"/>
        <w:jc w:val="both"/>
        <w:rPr>
          <w:rFonts w:ascii="Times New Roman" w:hAnsi="Times New Roman"/>
          <w:sz w:val="24"/>
          <w:szCs w:val="24"/>
          <w:lang w:val="en-GB"/>
        </w:rPr>
      </w:pPr>
    </w:p>
    <w:p w14:paraId="2ABE629E" w14:textId="77777777" w:rsidR="00DA5CD9" w:rsidRDefault="00DA5CD9" w:rsidP="00DA5CD9">
      <w:pPr>
        <w:spacing w:after="0" w:line="240" w:lineRule="auto"/>
        <w:jc w:val="both"/>
        <w:rPr>
          <w:rFonts w:ascii="Times New Roman" w:hAnsi="Times New Roman"/>
          <w:sz w:val="24"/>
          <w:szCs w:val="24"/>
          <w:lang w:val="en-GB"/>
        </w:rPr>
      </w:pPr>
    </w:p>
    <w:p w14:paraId="1FC745AD" w14:textId="22B59268" w:rsidR="00184458" w:rsidRPr="006F55DD" w:rsidRDefault="00857A63" w:rsidP="002529EF">
      <w:pPr>
        <w:spacing w:after="0" w:line="240" w:lineRule="auto"/>
        <w:jc w:val="both"/>
        <w:rPr>
          <w:rFonts w:ascii="Times New Roman" w:hAnsi="Times New Roman"/>
          <w:color w:val="000000"/>
          <w:sz w:val="24"/>
          <w:szCs w:val="24"/>
          <w:lang w:val="en-GB"/>
        </w:rPr>
      </w:pPr>
      <w:r w:rsidRPr="00C6736C">
        <w:rPr>
          <w:rFonts w:ascii="Times New Roman" w:hAnsi="Times New Roman"/>
          <w:sz w:val="24"/>
          <w:szCs w:val="24"/>
          <w:lang w:val="en-GB"/>
        </w:rPr>
        <w:t xml:space="preserve">In the period analysed the </w:t>
      </w:r>
      <w:r w:rsidR="00526BC7" w:rsidRPr="00C6736C">
        <w:rPr>
          <w:rFonts w:ascii="Times New Roman" w:hAnsi="Times New Roman"/>
          <w:sz w:val="24"/>
          <w:szCs w:val="24"/>
          <w:lang w:val="en-GB"/>
        </w:rPr>
        <w:t>record</w:t>
      </w:r>
      <w:r w:rsidRPr="00C6736C">
        <w:rPr>
          <w:rFonts w:ascii="Times New Roman" w:hAnsi="Times New Roman"/>
          <w:sz w:val="24"/>
          <w:szCs w:val="24"/>
          <w:lang w:val="en-GB"/>
        </w:rPr>
        <w:t>ed</w:t>
      </w:r>
      <w:r w:rsidR="00526BC7" w:rsidRPr="00C6736C">
        <w:rPr>
          <w:rFonts w:ascii="Times New Roman" w:hAnsi="Times New Roman"/>
          <w:sz w:val="24"/>
          <w:szCs w:val="24"/>
          <w:lang w:val="en-GB"/>
        </w:rPr>
        <w:t xml:space="preserve"> music industry </w:t>
      </w:r>
      <w:r w:rsidRPr="00C6736C">
        <w:rPr>
          <w:rFonts w:ascii="Times New Roman" w:hAnsi="Times New Roman"/>
          <w:sz w:val="24"/>
          <w:szCs w:val="24"/>
          <w:lang w:val="en-GB"/>
        </w:rPr>
        <w:t>offering is characterised by offering a greater diversity</w:t>
      </w:r>
      <w:r w:rsidR="00526BC7" w:rsidRPr="00C6736C">
        <w:rPr>
          <w:rFonts w:ascii="Times New Roman" w:hAnsi="Times New Roman"/>
          <w:sz w:val="24"/>
          <w:szCs w:val="24"/>
          <w:lang w:val="en-GB"/>
        </w:rPr>
        <w:t xml:space="preserve"> of format</w:t>
      </w:r>
      <w:r w:rsidRPr="00C6736C">
        <w:rPr>
          <w:rFonts w:ascii="Times New Roman" w:hAnsi="Times New Roman"/>
          <w:sz w:val="24"/>
          <w:szCs w:val="24"/>
          <w:lang w:val="en-GB"/>
        </w:rPr>
        <w:t>s than were previously available to the market</w:t>
      </w:r>
      <w:r w:rsidR="00526BC7" w:rsidRPr="00C6736C">
        <w:rPr>
          <w:rFonts w:ascii="Times New Roman" w:hAnsi="Times New Roman"/>
          <w:sz w:val="24"/>
          <w:szCs w:val="24"/>
          <w:lang w:val="en-GB"/>
        </w:rPr>
        <w:t xml:space="preserve"> (</w:t>
      </w:r>
      <w:proofErr w:type="spellStart"/>
      <w:r w:rsidR="00526BC7" w:rsidRPr="00C6736C">
        <w:rPr>
          <w:rFonts w:ascii="Times New Roman" w:hAnsi="Times New Roman"/>
          <w:sz w:val="24"/>
          <w:szCs w:val="24"/>
          <w:lang w:val="en-GB"/>
        </w:rPr>
        <w:t>Nokelainen</w:t>
      </w:r>
      <w:proofErr w:type="spellEnd"/>
      <w:r w:rsidR="00526BC7" w:rsidRPr="00C6736C">
        <w:rPr>
          <w:rFonts w:ascii="Times New Roman" w:hAnsi="Times New Roman"/>
          <w:sz w:val="24"/>
          <w:szCs w:val="24"/>
          <w:lang w:val="en-GB"/>
        </w:rPr>
        <w:t xml:space="preserve"> and </w:t>
      </w:r>
      <w:proofErr w:type="spellStart"/>
      <w:r w:rsidR="00526BC7" w:rsidRPr="00C6736C">
        <w:rPr>
          <w:rFonts w:ascii="Times New Roman" w:hAnsi="Times New Roman"/>
          <w:sz w:val="24"/>
          <w:szCs w:val="24"/>
          <w:lang w:val="en-GB"/>
        </w:rPr>
        <w:t>Dedehayir</w:t>
      </w:r>
      <w:proofErr w:type="spellEnd"/>
      <w:r w:rsidR="00526BC7" w:rsidRPr="00C6736C">
        <w:rPr>
          <w:rFonts w:ascii="Times New Roman" w:hAnsi="Times New Roman"/>
          <w:sz w:val="24"/>
          <w:szCs w:val="24"/>
          <w:lang w:val="en-GB"/>
        </w:rPr>
        <w:t xml:space="preserve">, 2015). </w:t>
      </w:r>
      <w:r w:rsidRPr="00C6736C">
        <w:rPr>
          <w:rFonts w:ascii="Times New Roman" w:hAnsi="Times New Roman"/>
          <w:sz w:val="24"/>
          <w:szCs w:val="24"/>
          <w:lang w:val="en-GB"/>
        </w:rPr>
        <w:t>O</w:t>
      </w:r>
      <w:r w:rsidR="00526BC7" w:rsidRPr="00C6736C">
        <w:rPr>
          <w:rFonts w:ascii="Times New Roman" w:hAnsi="Times New Roman"/>
          <w:sz w:val="24"/>
          <w:szCs w:val="24"/>
          <w:lang w:val="en-GB"/>
        </w:rPr>
        <w:t>ur sample r</w:t>
      </w:r>
      <w:r w:rsidR="00184458" w:rsidRPr="00C6736C">
        <w:rPr>
          <w:rFonts w:ascii="Times New Roman" w:hAnsi="Times New Roman"/>
          <w:sz w:val="24"/>
          <w:szCs w:val="24"/>
          <w:lang w:val="en-GB"/>
        </w:rPr>
        <w:t xml:space="preserve">evenues are divided by </w:t>
      </w:r>
      <w:r w:rsidR="00184458" w:rsidRPr="006F55DD">
        <w:rPr>
          <w:rFonts w:ascii="Times New Roman" w:hAnsi="Times New Roman"/>
          <w:color w:val="000000"/>
          <w:sz w:val="24"/>
          <w:szCs w:val="24"/>
          <w:lang w:val="en-GB"/>
        </w:rPr>
        <w:t>22 sales formats</w:t>
      </w:r>
      <w:r w:rsidR="00184458" w:rsidRPr="006F55DD">
        <w:rPr>
          <w:rStyle w:val="FootnoteReference"/>
          <w:rFonts w:ascii="Times New Roman" w:hAnsi="Times New Roman"/>
          <w:color w:val="000000"/>
          <w:sz w:val="24"/>
          <w:szCs w:val="24"/>
          <w:lang w:val="en-GB"/>
        </w:rPr>
        <w:footnoteReference w:id="6"/>
      </w:r>
      <w:r w:rsidR="00184458" w:rsidRPr="006F55DD">
        <w:rPr>
          <w:rFonts w:ascii="Times New Roman" w:hAnsi="Times New Roman"/>
          <w:color w:val="000000"/>
          <w:sz w:val="24"/>
          <w:szCs w:val="24"/>
          <w:lang w:val="en-GB"/>
        </w:rPr>
        <w:t xml:space="preserve"> which, following validation of the construct by industry experts act as the proxy for business model experimentation and provide a measure of the relative market dispersion. The explicative variable measures the diversity of business models employed and is named </w:t>
      </w:r>
      <w:r w:rsidR="00184458" w:rsidRPr="006F55DD">
        <w:rPr>
          <w:rFonts w:ascii="Times New Roman" w:hAnsi="Times New Roman"/>
          <w:i/>
          <w:color w:val="000000"/>
          <w:sz w:val="24"/>
          <w:szCs w:val="24"/>
          <w:lang w:val="en-GB"/>
        </w:rPr>
        <w:t>Format Density</w:t>
      </w:r>
      <w:r w:rsidR="00184458" w:rsidRPr="006F55DD">
        <w:rPr>
          <w:rFonts w:ascii="Times New Roman" w:hAnsi="Times New Roman"/>
          <w:color w:val="000000"/>
          <w:sz w:val="24"/>
          <w:szCs w:val="24"/>
          <w:lang w:val="en-GB"/>
        </w:rPr>
        <w:t xml:space="preserve">. This is computed through the implementation of a </w:t>
      </w:r>
      <w:proofErr w:type="spellStart"/>
      <w:r w:rsidR="00184458" w:rsidRPr="006F55DD">
        <w:rPr>
          <w:rFonts w:ascii="Times New Roman" w:hAnsi="Times New Roman"/>
          <w:color w:val="000000"/>
          <w:sz w:val="24"/>
          <w:szCs w:val="24"/>
          <w:lang w:val="en-GB"/>
        </w:rPr>
        <w:t>Herfindahl</w:t>
      </w:r>
      <w:proofErr w:type="spellEnd"/>
      <w:r w:rsidR="00184458" w:rsidRPr="006F55DD">
        <w:rPr>
          <w:rFonts w:ascii="Times New Roman" w:hAnsi="Times New Roman"/>
          <w:color w:val="000000"/>
          <w:sz w:val="24"/>
          <w:szCs w:val="24"/>
          <w:lang w:val="en-GB"/>
        </w:rPr>
        <w:t xml:space="preserve"> (1950) index as depicted in Equation 1. This index has been widely used as a measure for industrial, trade and property concentration (Hirschman, 1964), but its use as a measure of business model experimentation is novel.</w:t>
      </w:r>
      <w:r w:rsidR="007D02BB">
        <w:rPr>
          <w:rFonts w:ascii="Times New Roman" w:hAnsi="Times New Roman"/>
          <w:color w:val="000000"/>
          <w:sz w:val="24"/>
          <w:szCs w:val="24"/>
          <w:lang w:val="en-GB"/>
        </w:rPr>
        <w:br/>
      </w:r>
      <w:r w:rsidR="00184458" w:rsidRPr="006F55DD">
        <w:rPr>
          <w:rFonts w:ascii="Times New Roman" w:hAnsi="Times New Roman"/>
          <w:color w:val="000000"/>
          <w:sz w:val="24"/>
          <w:szCs w:val="24"/>
          <w:lang w:val="en-GB"/>
        </w:rPr>
        <w:t xml:space="preserve">  </w:t>
      </w:r>
    </w:p>
    <w:p w14:paraId="2C00CF8F" w14:textId="2024DC33" w:rsidR="00C6736C" w:rsidRPr="001C3835" w:rsidRDefault="00C6736C" w:rsidP="00C6736C">
      <w:pPr>
        <w:spacing w:after="0" w:line="360" w:lineRule="auto"/>
        <w:jc w:val="center"/>
        <w:rPr>
          <w:rFonts w:ascii="Times New Roman" w:hAnsi="Times New Roman"/>
          <w:sz w:val="24"/>
          <w:szCs w:val="24"/>
          <w:lang w:val="en-GB"/>
        </w:rPr>
      </w:pPr>
      <w:r w:rsidRPr="00D75B69">
        <w:rPr>
          <w:rFonts w:ascii="Times New Roman" w:hAnsi="Times New Roman"/>
          <w:color w:val="000000"/>
          <w:sz w:val="24"/>
          <w:szCs w:val="24"/>
          <w:lang w:val="en-GB"/>
        </w:rPr>
        <w:fldChar w:fldCharType="begin"/>
      </w:r>
      <w:r w:rsidRPr="00D75B69">
        <w:rPr>
          <w:rFonts w:ascii="Times New Roman" w:hAnsi="Times New Roman"/>
          <w:color w:val="000000"/>
          <w:sz w:val="24"/>
          <w:szCs w:val="24"/>
          <w:lang w:val="en-GB"/>
        </w:rPr>
        <w:instrText xml:space="preserve"> QUOTE </w:instrText>
      </w:r>
      <m:oMath>
        <m:sSub>
          <m:sSubPr>
            <m:ctrlPr>
              <w:rPr>
                <w:rFonts w:ascii="Cambria Math" w:hAnsi="Cambria Math"/>
                <w:i/>
                <w:color w:val="000000"/>
                <w:sz w:val="24"/>
                <w:szCs w:val="24"/>
                <w:lang w:val="en-GB"/>
              </w:rPr>
            </m:ctrlPr>
          </m:sSubPr>
          <m:e>
            <m:r>
              <m:rPr>
                <m:sty m:val="p"/>
              </m:rPr>
              <w:rPr>
                <w:rFonts w:ascii="Cambria Math" w:hAnsi="Cambria Math"/>
                <w:color w:val="000000"/>
                <w:sz w:val="24"/>
                <w:szCs w:val="24"/>
                <w:lang w:val="en-GB"/>
              </w:rPr>
              <m:t>Format Density</m:t>
            </m:r>
          </m:e>
          <m:sub>
            <m:r>
              <m:rPr>
                <m:sty m:val="p"/>
              </m:rPr>
              <w:rPr>
                <w:rFonts w:ascii="Cambria Math" w:hAnsi="Cambria Math"/>
                <w:color w:val="000000"/>
                <w:sz w:val="24"/>
                <w:szCs w:val="24"/>
                <w:lang w:val="en-GB"/>
              </w:rPr>
              <m:t>it</m:t>
            </m:r>
          </m:sub>
        </m:sSub>
        <m:r>
          <m:rPr>
            <m:sty m:val="p"/>
          </m:rPr>
          <w:rPr>
            <w:rFonts w:ascii="Cambria Math" w:hAnsi="Cambria Math"/>
            <w:color w:val="000000"/>
            <w:sz w:val="24"/>
            <w:szCs w:val="24"/>
            <w:lang w:val="en-GB"/>
          </w:rPr>
          <m:t>= 10*</m:t>
        </m:r>
        <m:nary>
          <m:naryPr>
            <m:chr m:val="∑"/>
            <m:limLoc m:val="undOvr"/>
            <m:ctrlPr>
              <w:rPr>
                <w:rFonts w:ascii="Cambria Math" w:hAnsi="Cambria Math"/>
                <w:i/>
                <w:color w:val="000000"/>
                <w:sz w:val="24"/>
                <w:szCs w:val="24"/>
                <w:lang w:val="en-GB"/>
              </w:rPr>
            </m:ctrlPr>
          </m:naryPr>
          <m:sub>
            <m:r>
              <m:rPr>
                <m:sty m:val="p"/>
              </m:rPr>
              <w:rPr>
                <w:rFonts w:ascii="Cambria Math" w:hAnsi="Cambria Math"/>
                <w:color w:val="000000"/>
                <w:sz w:val="24"/>
                <w:szCs w:val="24"/>
                <w:lang w:val="en-GB"/>
              </w:rPr>
              <m:t>g=1</m:t>
            </m:r>
          </m:sub>
          <m:sup>
            <m:r>
              <m:rPr>
                <m:sty m:val="p"/>
              </m:rPr>
              <w:rPr>
                <w:rFonts w:ascii="Cambria Math" w:hAnsi="Cambria Math"/>
                <w:color w:val="000000"/>
                <w:sz w:val="24"/>
                <w:szCs w:val="24"/>
                <w:lang w:val="en-GB"/>
              </w:rPr>
              <m:t>22</m:t>
            </m:r>
          </m:sup>
          <m:e>
            <m:sSup>
              <m:sSupPr>
                <m:ctrlPr>
                  <w:rPr>
                    <w:rFonts w:ascii="Cambria Math" w:hAnsi="Cambria Math"/>
                    <w:i/>
                    <w:color w:val="000000"/>
                    <w:sz w:val="24"/>
                    <w:szCs w:val="24"/>
                    <w:lang w:val="en-GB"/>
                  </w:rPr>
                </m:ctrlPr>
              </m:sSupPr>
              <m:e>
                <m:d>
                  <m:dPr>
                    <m:ctrlPr>
                      <w:rPr>
                        <w:rFonts w:ascii="Cambria Math" w:hAnsi="Cambria Math"/>
                        <w:i/>
                        <w:color w:val="000000"/>
                        <w:sz w:val="24"/>
                        <w:szCs w:val="24"/>
                        <w:lang w:val="en-GB"/>
                      </w:rPr>
                    </m:ctrlPr>
                  </m:dPr>
                  <m:e>
                    <m:f>
                      <m:fPr>
                        <m:ctrlPr>
                          <w:rPr>
                            <w:rFonts w:ascii="Cambria Math" w:hAnsi="Cambria Math"/>
                            <w:i/>
                            <w:color w:val="000000"/>
                            <w:sz w:val="24"/>
                            <w:szCs w:val="24"/>
                            <w:lang w:val="en-GB"/>
                          </w:rPr>
                        </m:ctrlPr>
                      </m:fPr>
                      <m:num>
                        <m:sSub>
                          <m:sSubPr>
                            <m:ctrlPr>
                              <w:rPr>
                                <w:rFonts w:ascii="Cambria Math" w:hAnsi="Cambria Math"/>
                                <w:i/>
                                <w:color w:val="000000"/>
                                <w:sz w:val="24"/>
                                <w:szCs w:val="24"/>
                                <w:lang w:val="en-GB"/>
                              </w:rPr>
                            </m:ctrlPr>
                          </m:sSubPr>
                          <m:e>
                            <m:r>
                              <m:rPr>
                                <m:sty m:val="p"/>
                              </m:rPr>
                              <w:rPr>
                                <w:rFonts w:ascii="Cambria Math" w:hAnsi="Cambria Math"/>
                                <w:color w:val="000000"/>
                                <w:sz w:val="24"/>
                                <w:szCs w:val="24"/>
                                <w:lang w:val="en-GB"/>
                              </w:rPr>
                              <m:t>Sales format</m:t>
                            </m:r>
                          </m:e>
                          <m:sub>
                            <m:r>
                              <m:rPr>
                                <m:sty m:val="p"/>
                              </m:rPr>
                              <w:rPr>
                                <w:rFonts w:ascii="Cambria Math" w:hAnsi="Cambria Math"/>
                                <w:color w:val="000000"/>
                                <w:sz w:val="24"/>
                                <w:szCs w:val="24"/>
                                <w:lang w:val="en-GB"/>
                              </w:rPr>
                              <m:t>git</m:t>
                            </m:r>
                          </m:sub>
                        </m:sSub>
                      </m:num>
                      <m:den>
                        <m:sSub>
                          <m:sSubPr>
                            <m:ctrlPr>
                              <w:rPr>
                                <w:rFonts w:ascii="Cambria Math" w:hAnsi="Cambria Math"/>
                                <w:i/>
                                <w:color w:val="000000"/>
                                <w:sz w:val="24"/>
                                <w:szCs w:val="24"/>
                                <w:lang w:val="en-GB"/>
                              </w:rPr>
                            </m:ctrlPr>
                          </m:sSubPr>
                          <m:e>
                            <m:r>
                              <m:rPr>
                                <m:sty m:val="p"/>
                              </m:rPr>
                              <w:rPr>
                                <w:rFonts w:ascii="Cambria Math" w:hAnsi="Cambria Math"/>
                                <w:color w:val="000000"/>
                                <w:sz w:val="24"/>
                                <w:szCs w:val="24"/>
                                <w:lang w:val="en-GB"/>
                              </w:rPr>
                              <m:t>Total SALES</m:t>
                            </m:r>
                          </m:e>
                          <m:sub>
                            <m:r>
                              <m:rPr>
                                <m:sty m:val="p"/>
                              </m:rPr>
                              <w:rPr>
                                <w:rFonts w:ascii="Cambria Math" w:hAnsi="Cambria Math"/>
                                <w:color w:val="000000"/>
                                <w:sz w:val="24"/>
                                <w:szCs w:val="24"/>
                                <w:lang w:val="en-GB"/>
                              </w:rPr>
                              <m:t>it</m:t>
                            </m:r>
                          </m:sub>
                        </m:sSub>
                      </m:den>
                    </m:f>
                  </m:e>
                </m:d>
              </m:e>
              <m:sup>
                <m:r>
                  <m:rPr>
                    <m:sty m:val="p"/>
                  </m:rPr>
                  <w:rPr>
                    <w:rFonts w:ascii="Cambria Math" w:hAnsi="Cambria Math"/>
                    <w:color w:val="000000"/>
                    <w:sz w:val="24"/>
                    <w:szCs w:val="24"/>
                    <w:lang w:val="en-GB"/>
                  </w:rPr>
                  <m:t>2</m:t>
                </m:r>
              </m:sup>
            </m:sSup>
          </m:e>
        </m:nary>
      </m:oMath>
      <w:r w:rsidRPr="00D75B69">
        <w:rPr>
          <w:rFonts w:ascii="Times New Roman" w:hAnsi="Times New Roman"/>
          <w:color w:val="000000"/>
          <w:sz w:val="24"/>
          <w:szCs w:val="24"/>
          <w:lang w:val="en-GB"/>
        </w:rPr>
        <w:instrText xml:space="preserve"> </w:instrText>
      </w:r>
      <w:r w:rsidRPr="00D75B69">
        <w:rPr>
          <w:rFonts w:ascii="Times New Roman" w:hAnsi="Times New Roman"/>
          <w:color w:val="000000"/>
          <w:sz w:val="24"/>
          <w:szCs w:val="24"/>
          <w:lang w:val="en-GB"/>
        </w:rPr>
        <w:fldChar w:fldCharType="separate"/>
      </w:r>
      <m:oMath>
        <m:sSub>
          <m:sSubPr>
            <m:ctrlPr>
              <w:rPr>
                <w:rFonts w:ascii="Cambria Math" w:hAnsi="Cambria Math"/>
                <w:i/>
                <w:sz w:val="24"/>
                <w:szCs w:val="24"/>
                <w:lang w:val="en-GB"/>
              </w:rPr>
            </m:ctrlPr>
          </m:sSubPr>
          <m:e>
            <m:r>
              <m:rPr>
                <m:sty m:val="p"/>
              </m:rPr>
              <w:rPr>
                <w:rFonts w:ascii="Cambria Math" w:hAnsi="Cambria Math"/>
                <w:sz w:val="24"/>
                <w:szCs w:val="24"/>
                <w:lang w:val="en-GB"/>
              </w:rPr>
              <m:t>Format Density</m:t>
            </m:r>
          </m:e>
          <m:sub>
            <m:r>
              <m:rPr>
                <m:sty m:val="p"/>
              </m:rPr>
              <w:rPr>
                <w:rFonts w:ascii="Cambria Math" w:hAnsi="Cambria Math"/>
                <w:sz w:val="24"/>
                <w:szCs w:val="24"/>
                <w:lang w:val="en-GB"/>
              </w:rPr>
              <m:t>it</m:t>
            </m:r>
          </m:sub>
        </m:sSub>
        <m:r>
          <m:rPr>
            <m:sty m:val="p"/>
          </m:rPr>
          <w:rPr>
            <w:rFonts w:ascii="Cambria Math" w:hAnsi="Cambria Math"/>
            <w:sz w:val="24"/>
            <w:szCs w:val="24"/>
            <w:lang w:val="en-GB"/>
          </w:rPr>
          <m:t>= 10*</m:t>
        </m:r>
        <m:nary>
          <m:naryPr>
            <m:chr m:val="∑"/>
            <m:limLoc m:val="undOvr"/>
            <m:ctrlPr>
              <w:rPr>
                <w:rFonts w:ascii="Cambria Math" w:hAnsi="Cambria Math"/>
                <w:i/>
                <w:sz w:val="24"/>
                <w:szCs w:val="24"/>
                <w:lang w:val="en-GB"/>
              </w:rPr>
            </m:ctrlPr>
          </m:naryPr>
          <m:sub>
            <m:r>
              <m:rPr>
                <m:sty m:val="p"/>
              </m:rPr>
              <w:rPr>
                <w:rFonts w:ascii="Cambria Math" w:hAnsi="Cambria Math"/>
                <w:sz w:val="24"/>
                <w:szCs w:val="24"/>
                <w:lang w:val="en-GB"/>
              </w:rPr>
              <m:t>g=1</m:t>
            </m:r>
          </m:sub>
          <m:sup>
            <m:r>
              <m:rPr>
                <m:sty m:val="p"/>
              </m:rPr>
              <w:rPr>
                <w:rFonts w:ascii="Cambria Math" w:hAnsi="Cambria Math"/>
                <w:sz w:val="24"/>
                <w:szCs w:val="24"/>
                <w:lang w:val="en-GB"/>
              </w:rPr>
              <m:t>22</m:t>
            </m:r>
          </m:sup>
          <m:e>
            <m:sSup>
              <m:sSupPr>
                <m:ctrlPr>
                  <w:rPr>
                    <w:rFonts w:ascii="Cambria Math" w:hAnsi="Cambria Math"/>
                    <w:i/>
                    <w:sz w:val="24"/>
                    <w:szCs w:val="24"/>
                    <w:lang w:val="en-GB"/>
                  </w:rPr>
                </m:ctrlPr>
              </m:sSupPr>
              <m:e>
                <m:d>
                  <m:dPr>
                    <m:ctrlPr>
                      <w:rPr>
                        <w:rFonts w:ascii="Cambria Math" w:hAnsi="Cambria Math"/>
                        <w:i/>
                        <w:sz w:val="24"/>
                        <w:szCs w:val="24"/>
                        <w:lang w:val="en-GB"/>
                      </w:rPr>
                    </m:ctrlPr>
                  </m:dPr>
                  <m:e>
                    <m:f>
                      <m:fPr>
                        <m:ctrlPr>
                          <w:rPr>
                            <w:rFonts w:ascii="Cambria Math" w:hAnsi="Cambria Math"/>
                            <w:i/>
                            <w:sz w:val="24"/>
                            <w:szCs w:val="24"/>
                            <w:lang w:val="en-GB"/>
                          </w:rPr>
                        </m:ctrlPr>
                      </m:fPr>
                      <m:num>
                        <m:sSub>
                          <m:sSubPr>
                            <m:ctrlPr>
                              <w:rPr>
                                <w:rFonts w:ascii="Cambria Math" w:hAnsi="Cambria Math"/>
                                <w:i/>
                                <w:sz w:val="24"/>
                                <w:szCs w:val="24"/>
                                <w:lang w:val="en-GB"/>
                              </w:rPr>
                            </m:ctrlPr>
                          </m:sSubPr>
                          <m:e>
                            <m:r>
                              <m:rPr>
                                <m:sty m:val="p"/>
                              </m:rPr>
                              <w:rPr>
                                <w:rFonts w:ascii="Cambria Math" w:hAnsi="Cambria Math"/>
                                <w:sz w:val="24"/>
                                <w:szCs w:val="24"/>
                                <w:lang w:val="en-GB"/>
                              </w:rPr>
                              <m:t>Sales format</m:t>
                            </m:r>
                          </m:e>
                          <m:sub>
                            <m:r>
                              <m:rPr>
                                <m:sty m:val="p"/>
                              </m:rPr>
                              <w:rPr>
                                <w:rFonts w:ascii="Cambria Math" w:hAnsi="Cambria Math"/>
                                <w:sz w:val="24"/>
                                <w:szCs w:val="24"/>
                                <w:lang w:val="en-GB"/>
                              </w:rPr>
                              <m:t>git</m:t>
                            </m:r>
                          </m:sub>
                        </m:sSub>
                      </m:num>
                      <m:den>
                        <m:sSub>
                          <m:sSubPr>
                            <m:ctrlPr>
                              <w:rPr>
                                <w:rFonts w:ascii="Cambria Math" w:hAnsi="Cambria Math"/>
                                <w:i/>
                                <w:sz w:val="24"/>
                                <w:szCs w:val="24"/>
                                <w:lang w:val="en-GB"/>
                              </w:rPr>
                            </m:ctrlPr>
                          </m:sSubPr>
                          <m:e>
                            <m:r>
                              <m:rPr>
                                <m:sty m:val="p"/>
                              </m:rPr>
                              <w:rPr>
                                <w:rFonts w:ascii="Cambria Math" w:hAnsi="Cambria Math"/>
                                <w:sz w:val="24"/>
                                <w:szCs w:val="24"/>
                                <w:lang w:val="en-GB"/>
                              </w:rPr>
                              <m:t>Total SALES</m:t>
                            </m:r>
                          </m:e>
                          <m:sub>
                            <m:r>
                              <m:rPr>
                                <m:sty m:val="p"/>
                              </m:rPr>
                              <w:rPr>
                                <w:rFonts w:ascii="Cambria Math" w:hAnsi="Cambria Math"/>
                                <w:sz w:val="24"/>
                                <w:szCs w:val="24"/>
                                <w:lang w:val="en-GB"/>
                              </w:rPr>
                              <m:t>it</m:t>
                            </m:r>
                          </m:sub>
                        </m:sSub>
                      </m:den>
                    </m:f>
                  </m:e>
                </m:d>
              </m:e>
              <m:sup>
                <m:r>
                  <m:rPr>
                    <m:sty m:val="p"/>
                  </m:rPr>
                  <w:rPr>
                    <w:rFonts w:ascii="Cambria Math" w:hAnsi="Cambria Math"/>
                    <w:sz w:val="24"/>
                    <w:szCs w:val="24"/>
                    <w:lang w:val="en-GB"/>
                  </w:rPr>
                  <m:t>2</m:t>
                </m:r>
              </m:sup>
            </m:sSup>
          </m:e>
        </m:nary>
      </m:oMath>
      <w:r w:rsidRPr="001C3835">
        <w:rPr>
          <w:rFonts w:ascii="Times New Roman" w:eastAsia="Times New Roman" w:hAnsi="Times New Roman"/>
          <w:sz w:val="24"/>
          <w:szCs w:val="24"/>
          <w:lang w:val="en-GB"/>
        </w:rPr>
        <w:t xml:space="preserve"> (1)</w:t>
      </w:r>
    </w:p>
    <w:p w14:paraId="4175613F" w14:textId="36275A6C" w:rsidR="00184458" w:rsidRPr="006F55DD" w:rsidRDefault="00C6736C" w:rsidP="00B53C74">
      <w:pPr>
        <w:spacing w:after="0" w:line="240" w:lineRule="auto"/>
        <w:ind w:firstLine="426"/>
        <w:jc w:val="both"/>
        <w:rPr>
          <w:rFonts w:ascii="Times New Roman" w:hAnsi="Times New Roman"/>
          <w:color w:val="000000"/>
          <w:sz w:val="24"/>
          <w:szCs w:val="24"/>
          <w:lang w:val="en-GB"/>
        </w:rPr>
      </w:pPr>
      <w:r w:rsidRPr="00D75B69">
        <w:rPr>
          <w:rFonts w:ascii="Times New Roman" w:hAnsi="Times New Roman"/>
          <w:color w:val="000000"/>
          <w:sz w:val="24"/>
          <w:szCs w:val="24"/>
          <w:lang w:val="en-GB"/>
        </w:rPr>
        <w:fldChar w:fldCharType="end"/>
      </w:r>
      <w:r w:rsidR="00184458" w:rsidRPr="006F55DD">
        <w:rPr>
          <w:rFonts w:ascii="Times New Roman" w:hAnsi="Times New Roman"/>
          <w:color w:val="000000"/>
          <w:sz w:val="24"/>
          <w:szCs w:val="24"/>
          <w:lang w:val="en-GB"/>
        </w:rPr>
        <w:t xml:space="preserve">By construction the Format Density index can take values from 0 to 10. When the index takes values close to 10 there is a high concentration of sales in one dominant format, suggesting the existence of a network effect. When the index takes values close to zero there is very high heterogeneity in revenue from across the sales formats, meaning the market no-longer has a single format, and thus business models satisfy a wide range of consumer preferences. As shown in Table 1 the variable decreases significantly at an annual rate of -2.49 percent. On average it takes the value 6.51 with a standard deviation of 1.60. </w:t>
      </w:r>
    </w:p>
    <w:p w14:paraId="6FBEA426" w14:textId="77777777" w:rsidR="002529EF" w:rsidRDefault="00184458" w:rsidP="00B53C74">
      <w:pPr>
        <w:spacing w:after="0" w:line="240" w:lineRule="auto"/>
        <w:ind w:firstLine="426"/>
        <w:jc w:val="both"/>
        <w:rPr>
          <w:rFonts w:ascii="Times New Roman" w:hAnsi="Times New Roman"/>
          <w:color w:val="000000"/>
          <w:sz w:val="24"/>
          <w:szCs w:val="24"/>
          <w:lang w:val="en-GB"/>
        </w:rPr>
      </w:pPr>
      <w:r w:rsidRPr="006F55DD">
        <w:rPr>
          <w:rFonts w:ascii="Times New Roman" w:hAnsi="Times New Roman"/>
          <w:color w:val="000000"/>
          <w:sz w:val="24"/>
          <w:szCs w:val="24"/>
          <w:lang w:val="en-GB"/>
        </w:rPr>
        <w:t xml:space="preserve">Equation (2) formally presents the empirical model, where the subscript </w:t>
      </w:r>
      <w:r w:rsidRPr="006F55DD">
        <w:rPr>
          <w:rFonts w:ascii="Times New Roman" w:hAnsi="Times New Roman"/>
          <w:i/>
          <w:color w:val="000000"/>
          <w:sz w:val="24"/>
          <w:szCs w:val="24"/>
          <w:lang w:val="en-GB"/>
        </w:rPr>
        <w:t>i</w:t>
      </w:r>
      <w:r w:rsidRPr="006F55DD">
        <w:rPr>
          <w:rFonts w:ascii="Times New Roman" w:hAnsi="Times New Roman"/>
          <w:color w:val="000000"/>
          <w:sz w:val="24"/>
          <w:szCs w:val="24"/>
          <w:lang w:val="en-GB"/>
        </w:rPr>
        <w:t xml:space="preserve"> makes reference to the country and the subscript</w:t>
      </w:r>
      <w:r w:rsidRPr="006F55DD">
        <w:rPr>
          <w:rFonts w:ascii="Times New Roman" w:hAnsi="Times New Roman"/>
          <w:i/>
          <w:color w:val="000000"/>
          <w:sz w:val="24"/>
          <w:szCs w:val="24"/>
          <w:lang w:val="en-GB"/>
        </w:rPr>
        <w:t xml:space="preserve"> t</w:t>
      </w:r>
      <w:r w:rsidRPr="006F55DD">
        <w:rPr>
          <w:rFonts w:ascii="Times New Roman" w:hAnsi="Times New Roman"/>
          <w:color w:val="000000"/>
          <w:sz w:val="24"/>
          <w:szCs w:val="24"/>
          <w:lang w:val="en-GB"/>
        </w:rPr>
        <w:t xml:space="preserve"> makes reference to the year (from 1998 to 2010).</w:t>
      </w:r>
    </w:p>
    <w:p w14:paraId="4F207C90" w14:textId="7FAC30F3" w:rsidR="00184458" w:rsidRPr="006F55DD" w:rsidRDefault="00184458" w:rsidP="00B53C74">
      <w:pPr>
        <w:spacing w:after="0" w:line="240" w:lineRule="auto"/>
        <w:ind w:firstLine="426"/>
        <w:jc w:val="both"/>
        <w:rPr>
          <w:rFonts w:ascii="Times New Roman" w:hAnsi="Times New Roman"/>
          <w:color w:val="000000"/>
          <w:sz w:val="24"/>
          <w:szCs w:val="24"/>
          <w:lang w:val="en-GB"/>
        </w:rPr>
      </w:pPr>
      <w:r w:rsidRPr="006F55DD">
        <w:rPr>
          <w:rFonts w:ascii="Times New Roman" w:hAnsi="Times New Roman"/>
          <w:color w:val="000000"/>
          <w:sz w:val="24"/>
          <w:szCs w:val="24"/>
          <w:lang w:val="en-GB"/>
        </w:rPr>
        <w:t xml:space="preserve"> </w:t>
      </w:r>
    </w:p>
    <w:p w14:paraId="6D7EA9BF" w14:textId="04F6A152" w:rsidR="00C6736C" w:rsidRDefault="00A12917" w:rsidP="00AA0AD1">
      <w:pPr>
        <w:spacing w:after="0" w:line="360" w:lineRule="auto"/>
        <w:ind w:firstLine="426"/>
        <w:jc w:val="both"/>
        <w:rPr>
          <w:rFonts w:ascii="Times New Roman" w:hAnsi="Times New Roman"/>
          <w:color w:val="000000"/>
          <w:sz w:val="24"/>
          <w:szCs w:val="24"/>
          <w:lang w:val="en-GB"/>
        </w:rPr>
      </w:pPr>
      <m:oMath>
        <m:sSub>
          <m:sSubPr>
            <m:ctrlPr>
              <w:rPr>
                <w:rFonts w:ascii="Cambria Math" w:hAnsi="Cambria Math"/>
                <w:sz w:val="24"/>
                <w:szCs w:val="24"/>
                <w:lang w:val="en-GB"/>
              </w:rPr>
            </m:ctrlPr>
          </m:sSubPr>
          <m:e>
            <m:r>
              <m:rPr>
                <m:sty m:val="p"/>
              </m:rPr>
              <w:rPr>
                <w:rFonts w:ascii="Cambria Math" w:hAnsi="Cambria Math"/>
                <w:sz w:val="24"/>
                <w:szCs w:val="24"/>
                <w:lang w:val="en-GB"/>
              </w:rPr>
              <m:t>LN(Sales/Population)</m:t>
            </m:r>
          </m:e>
          <m:sub>
            <m:r>
              <m:rPr>
                <m:sty m:val="p"/>
              </m:rPr>
              <w:rPr>
                <w:rFonts w:ascii="Cambria Math" w:hAnsi="Cambria Math"/>
                <w:sz w:val="24"/>
                <w:szCs w:val="24"/>
                <w:lang w:val="en-GB"/>
              </w:rPr>
              <m:t>it</m:t>
            </m:r>
          </m:sub>
        </m:sSub>
        <m:r>
          <m:rPr>
            <m:sty m:val="p"/>
          </m:rPr>
          <w:rPr>
            <w:rFonts w:ascii="Cambria Math" w:hAnsi="Cambria Math"/>
            <w:sz w:val="24"/>
            <w:szCs w:val="24"/>
            <w:lang w:val="en-GB"/>
          </w:rPr>
          <m:t>=α+</m:t>
        </m:r>
        <m:sSub>
          <m:sSubPr>
            <m:ctrlPr>
              <w:rPr>
                <w:rFonts w:ascii="Cambria Math" w:hAnsi="Cambria Math"/>
                <w:sz w:val="24"/>
                <w:szCs w:val="24"/>
                <w:lang w:val="en-GB"/>
              </w:rPr>
            </m:ctrlPr>
          </m:sSubPr>
          <m:e>
            <m:r>
              <m:rPr>
                <m:sty m:val="p"/>
              </m:rPr>
              <w:rPr>
                <w:rFonts w:ascii="Cambria Math" w:hAnsi="Cambria Math"/>
                <w:sz w:val="24"/>
                <w:szCs w:val="24"/>
                <w:lang w:val="en-GB"/>
              </w:rPr>
              <m:t>β</m:t>
            </m:r>
          </m:e>
          <m:sub>
            <m:r>
              <m:rPr>
                <m:sty m:val="p"/>
              </m:rPr>
              <w:rPr>
                <w:rFonts w:ascii="Cambria Math" w:hAnsi="Cambria Math"/>
                <w:sz w:val="24"/>
                <w:szCs w:val="24"/>
                <w:lang w:val="en-GB"/>
              </w:rPr>
              <m:t>1</m:t>
            </m:r>
          </m:sub>
        </m:sSub>
        <m:sSub>
          <m:sSubPr>
            <m:ctrlPr>
              <w:rPr>
                <w:rFonts w:ascii="Cambria Math" w:hAnsi="Cambria Math"/>
                <w:sz w:val="24"/>
                <w:szCs w:val="24"/>
                <w:lang w:val="en-GB"/>
              </w:rPr>
            </m:ctrlPr>
          </m:sSubPr>
          <m:e>
            <m:r>
              <m:rPr>
                <m:sty m:val="p"/>
              </m:rPr>
              <w:rPr>
                <w:rFonts w:ascii="Cambria Math" w:hAnsi="Cambria Math"/>
                <w:sz w:val="24"/>
                <w:szCs w:val="24"/>
                <w:lang w:val="en-GB"/>
              </w:rPr>
              <m:t>Format Density</m:t>
            </m:r>
          </m:e>
          <m:sub>
            <m:r>
              <m:rPr>
                <m:sty m:val="p"/>
              </m:rPr>
              <w:rPr>
                <w:rFonts w:ascii="Cambria Math" w:hAnsi="Cambria Math"/>
                <w:sz w:val="24"/>
                <w:szCs w:val="24"/>
                <w:lang w:val="en-GB"/>
              </w:rPr>
              <m:t>it</m:t>
            </m:r>
          </m:sub>
        </m:sSub>
        <m:r>
          <m:rPr>
            <m:sty m:val="p"/>
          </m:rPr>
          <w:rPr>
            <w:rFonts w:ascii="Cambria Math" w:hAnsi="Cambria Math"/>
            <w:sz w:val="24"/>
            <w:szCs w:val="24"/>
            <w:lang w:val="en-GB"/>
          </w:rPr>
          <m:t>+</m:t>
        </m:r>
        <m:nary>
          <m:naryPr>
            <m:chr m:val="∑"/>
            <m:limLoc m:val="undOvr"/>
            <m:ctrlPr>
              <w:rPr>
                <w:rFonts w:ascii="Cambria Math" w:hAnsi="Cambria Math"/>
                <w:sz w:val="24"/>
                <w:szCs w:val="24"/>
                <w:lang w:val="en-GB"/>
              </w:rPr>
            </m:ctrlPr>
          </m:naryPr>
          <m:sub>
            <m:r>
              <m:rPr>
                <m:sty m:val="p"/>
              </m:rPr>
              <w:rPr>
                <w:rFonts w:ascii="Cambria Math" w:hAnsi="Cambria Math"/>
                <w:sz w:val="24"/>
                <w:szCs w:val="24"/>
                <w:lang w:val="en-GB"/>
              </w:rPr>
              <m:t>j=2</m:t>
            </m:r>
          </m:sub>
          <m:sup>
            <m:r>
              <m:rPr>
                <m:sty m:val="p"/>
              </m:rPr>
              <w:rPr>
                <w:rFonts w:ascii="Cambria Math" w:hAnsi="Cambria Math"/>
                <w:sz w:val="24"/>
                <w:szCs w:val="24"/>
                <w:lang w:val="en-GB"/>
              </w:rPr>
              <m:t>n</m:t>
            </m:r>
          </m:sup>
          <m:e>
            <m:sSub>
              <m:sSubPr>
                <m:ctrlPr>
                  <w:rPr>
                    <w:rFonts w:ascii="Cambria Math" w:hAnsi="Cambria Math"/>
                    <w:sz w:val="24"/>
                    <w:szCs w:val="24"/>
                    <w:lang w:val="en-GB"/>
                  </w:rPr>
                </m:ctrlPr>
              </m:sSubPr>
              <m:e>
                <m:r>
                  <m:rPr>
                    <m:sty m:val="p"/>
                  </m:rPr>
                  <w:rPr>
                    <w:rFonts w:ascii="Cambria Math" w:hAnsi="Cambria Math"/>
                    <w:sz w:val="24"/>
                    <w:szCs w:val="24"/>
                    <w:lang w:val="en-GB"/>
                  </w:rPr>
                  <m:t>β</m:t>
                </m:r>
              </m:e>
              <m:sub>
                <m:r>
                  <m:rPr>
                    <m:sty m:val="p"/>
                  </m:rPr>
                  <w:rPr>
                    <w:rFonts w:ascii="Cambria Math" w:hAnsi="Cambria Math"/>
                    <w:sz w:val="24"/>
                    <w:szCs w:val="24"/>
                    <w:lang w:val="en-GB"/>
                  </w:rPr>
                  <m:t>j</m:t>
                </m:r>
              </m:sub>
            </m:sSub>
            <m:sSub>
              <m:sSubPr>
                <m:ctrlPr>
                  <w:rPr>
                    <w:rFonts w:ascii="Cambria Math" w:hAnsi="Cambria Math"/>
                    <w:sz w:val="24"/>
                    <w:szCs w:val="24"/>
                    <w:lang w:val="en-GB"/>
                  </w:rPr>
                </m:ctrlPr>
              </m:sSubPr>
              <m:e>
                <m:r>
                  <m:rPr>
                    <m:sty m:val="p"/>
                  </m:rPr>
                  <w:rPr>
                    <w:rFonts w:ascii="Cambria Math" w:hAnsi="Cambria Math"/>
                    <w:sz w:val="24"/>
                    <w:szCs w:val="24"/>
                    <w:lang w:val="en-GB"/>
                  </w:rPr>
                  <m:t>X</m:t>
                </m:r>
              </m:e>
              <m:sub>
                <m:r>
                  <m:rPr>
                    <m:sty m:val="p"/>
                  </m:rPr>
                  <w:rPr>
                    <w:rFonts w:ascii="Cambria Math" w:hAnsi="Cambria Math"/>
                    <w:sz w:val="24"/>
                    <w:szCs w:val="24"/>
                    <w:lang w:val="en-GB"/>
                  </w:rPr>
                  <m:t>jit</m:t>
                </m:r>
              </m:sub>
            </m:sSub>
          </m:e>
        </m:nary>
        <m:r>
          <m:rPr>
            <m:sty m:val="p"/>
          </m:rPr>
          <w:rPr>
            <w:rFonts w:ascii="Cambria Math" w:hAnsi="Cambria Math"/>
            <w:sz w:val="24"/>
            <w:szCs w:val="24"/>
            <w:lang w:val="en-GB"/>
          </w:rPr>
          <m:t>+</m:t>
        </m:r>
        <m:sSub>
          <m:sSubPr>
            <m:ctrlPr>
              <w:rPr>
                <w:rFonts w:ascii="Cambria Math" w:hAnsi="Cambria Math"/>
                <w:sz w:val="24"/>
                <w:szCs w:val="24"/>
                <w:lang w:val="en-GB"/>
              </w:rPr>
            </m:ctrlPr>
          </m:sSubPr>
          <m:e>
            <m:r>
              <m:rPr>
                <m:sty m:val="p"/>
              </m:rPr>
              <w:rPr>
                <w:rFonts w:ascii="Cambria Math" w:hAnsi="Cambria Math"/>
                <w:sz w:val="24"/>
                <w:szCs w:val="24"/>
                <w:lang w:val="en-GB"/>
              </w:rPr>
              <m:t>v</m:t>
            </m:r>
          </m:e>
          <m:sub>
            <m:r>
              <m:rPr>
                <m:sty m:val="p"/>
              </m:rPr>
              <w:rPr>
                <w:rFonts w:ascii="Cambria Math" w:hAnsi="Cambria Math"/>
                <w:sz w:val="24"/>
                <w:szCs w:val="24"/>
                <w:lang w:val="en-GB"/>
              </w:rPr>
              <m:t>it</m:t>
            </m:r>
          </m:sub>
        </m:sSub>
      </m:oMath>
      <w:r w:rsidR="00C6736C" w:rsidRPr="001C3835">
        <w:rPr>
          <w:rFonts w:ascii="Times New Roman" w:eastAsia="Times New Roman" w:hAnsi="Times New Roman"/>
          <w:sz w:val="24"/>
          <w:szCs w:val="24"/>
          <w:lang w:val="en-GB"/>
        </w:rPr>
        <w:t xml:space="preserve">   (2)</w:t>
      </w:r>
    </w:p>
    <w:p w14:paraId="39219992" w14:textId="54BDDFDB" w:rsidR="00184458" w:rsidRDefault="00184458" w:rsidP="002F49EA">
      <w:pPr>
        <w:spacing w:after="0" w:line="240" w:lineRule="auto"/>
        <w:ind w:firstLine="426"/>
        <w:jc w:val="both"/>
        <w:rPr>
          <w:rFonts w:ascii="Times New Roman" w:hAnsi="Times New Roman"/>
          <w:color w:val="000000"/>
          <w:sz w:val="24"/>
          <w:szCs w:val="24"/>
          <w:lang w:val="en-GB"/>
        </w:rPr>
      </w:pPr>
      <w:r w:rsidRPr="006F55DD">
        <w:rPr>
          <w:rFonts w:ascii="Times New Roman" w:hAnsi="Times New Roman"/>
          <w:color w:val="000000"/>
          <w:sz w:val="24"/>
          <w:szCs w:val="24"/>
          <w:lang w:val="en-GB"/>
        </w:rPr>
        <w:t xml:space="preserve">The parameter </w:t>
      </w:r>
      <w:r w:rsidRPr="006F55DD">
        <w:rPr>
          <w:rFonts w:ascii="Times New Roman" w:hAnsi="Times New Roman"/>
          <w:i/>
          <w:color w:val="000000"/>
          <w:sz w:val="24"/>
          <w:szCs w:val="24"/>
          <w:lang w:val="en-GB"/>
        </w:rPr>
        <w:t>β</w:t>
      </w:r>
      <w:r w:rsidRPr="006F55DD">
        <w:rPr>
          <w:rFonts w:ascii="Times New Roman" w:hAnsi="Times New Roman"/>
          <w:i/>
          <w:color w:val="000000"/>
          <w:sz w:val="24"/>
          <w:szCs w:val="24"/>
          <w:vertAlign w:val="subscript"/>
          <w:lang w:val="en-GB"/>
        </w:rPr>
        <w:t>1</w:t>
      </w:r>
      <w:r w:rsidRPr="006F55DD">
        <w:rPr>
          <w:rFonts w:ascii="Times New Roman" w:hAnsi="Times New Roman"/>
          <w:color w:val="000000"/>
          <w:sz w:val="24"/>
          <w:szCs w:val="24"/>
          <w:lang w:val="en-GB"/>
        </w:rPr>
        <w:t xml:space="preserve"> empirically tests Hypothesis 1, which will be confirmed if the parameter is significantly smaller than zero (</w:t>
      </w:r>
      <w:r w:rsidRPr="006F55DD">
        <w:rPr>
          <w:rFonts w:ascii="Times New Roman" w:hAnsi="Times New Roman"/>
          <w:i/>
          <w:color w:val="000000"/>
          <w:sz w:val="24"/>
          <w:szCs w:val="24"/>
          <w:lang w:val="en-GB"/>
        </w:rPr>
        <w:t>β</w:t>
      </w:r>
      <w:r w:rsidRPr="006F55DD">
        <w:rPr>
          <w:rFonts w:ascii="Times New Roman" w:hAnsi="Times New Roman"/>
          <w:i/>
          <w:color w:val="000000"/>
          <w:sz w:val="24"/>
          <w:szCs w:val="24"/>
          <w:vertAlign w:val="subscript"/>
          <w:lang w:val="en-GB"/>
        </w:rPr>
        <w:t>1</w:t>
      </w:r>
      <w:r w:rsidRPr="006F55DD">
        <w:rPr>
          <w:rFonts w:ascii="Times New Roman" w:hAnsi="Times New Roman"/>
          <w:color w:val="000000"/>
          <w:sz w:val="24"/>
          <w:szCs w:val="24"/>
          <w:lang w:val="en-GB"/>
        </w:rPr>
        <w:t xml:space="preserve">&lt;0), suggesting that high format concentration and therefore limited experimentation with new business models, may be negatively related to revenues (value capture). </w:t>
      </w:r>
      <w:r w:rsidRPr="006F55DD">
        <w:rPr>
          <w:rFonts w:ascii="Times New Roman" w:hAnsi="Times New Roman"/>
          <w:i/>
          <w:color w:val="000000"/>
          <w:sz w:val="24"/>
          <w:szCs w:val="24"/>
          <w:lang w:val="en-GB"/>
        </w:rPr>
        <w:t>X</w:t>
      </w:r>
      <w:r w:rsidRPr="006F55DD">
        <w:rPr>
          <w:rFonts w:ascii="Times New Roman" w:hAnsi="Times New Roman"/>
          <w:color w:val="000000"/>
          <w:sz w:val="24"/>
          <w:szCs w:val="24"/>
          <w:lang w:val="en-GB"/>
        </w:rPr>
        <w:t xml:space="preserve"> is composed of a set of control variables which includes the lag of sales per capita, information on wealth and agglomeration (GDP per capita and population density), information on culture and regulation (Intellectual Property Index and Control of Tax Evasion; both indexes from IMD World Competitiveness</w:t>
      </w:r>
      <w:r w:rsidRPr="006F55DD">
        <w:rPr>
          <w:rStyle w:val="FootnoteReference"/>
          <w:rFonts w:ascii="Times New Roman" w:hAnsi="Times New Roman"/>
          <w:color w:val="000000"/>
          <w:sz w:val="24"/>
          <w:szCs w:val="24"/>
          <w:lang w:val="en-GB"/>
        </w:rPr>
        <w:footnoteReference w:id="7"/>
      </w:r>
      <w:r w:rsidRPr="006F55DD">
        <w:rPr>
          <w:rFonts w:ascii="Times New Roman" w:hAnsi="Times New Roman"/>
          <w:color w:val="000000"/>
          <w:sz w:val="24"/>
          <w:szCs w:val="24"/>
          <w:lang w:val="en-GB"/>
        </w:rPr>
        <w:t>), and information on relevant conditions for the recorded music industry (Average Price of a CD from IFPI and internet users per 100 inhabitants from the World Bank</w:t>
      </w:r>
      <w:r w:rsidRPr="006F55DD">
        <w:rPr>
          <w:rStyle w:val="FootnoteReference"/>
          <w:rFonts w:ascii="Times New Roman" w:hAnsi="Times New Roman"/>
          <w:color w:val="000000"/>
          <w:sz w:val="24"/>
          <w:szCs w:val="24"/>
          <w:lang w:val="en-GB"/>
        </w:rPr>
        <w:footnoteReference w:id="8"/>
      </w:r>
      <w:r w:rsidRPr="006F55DD">
        <w:rPr>
          <w:rFonts w:ascii="Times New Roman" w:hAnsi="Times New Roman"/>
          <w:color w:val="000000"/>
          <w:sz w:val="24"/>
          <w:szCs w:val="24"/>
          <w:lang w:val="en-GB"/>
        </w:rPr>
        <w:t>). The descriptive variables are shown in Table 2.</w:t>
      </w:r>
    </w:p>
    <w:p w14:paraId="192BC1DE" w14:textId="3248B2EB" w:rsidR="00184458" w:rsidRDefault="005D7EAC" w:rsidP="00D41E6E">
      <w:pPr>
        <w:spacing w:after="0" w:line="240" w:lineRule="auto"/>
        <w:ind w:firstLine="426"/>
        <w:jc w:val="both"/>
        <w:rPr>
          <w:rFonts w:ascii="Times New Roman" w:hAnsi="Times New Roman"/>
          <w:color w:val="000000"/>
          <w:sz w:val="24"/>
          <w:szCs w:val="24"/>
          <w:lang w:val="en-GB"/>
        </w:rPr>
      </w:pPr>
      <w:r w:rsidRPr="006F55DD">
        <w:rPr>
          <w:rFonts w:ascii="Times New Roman" w:hAnsi="Times New Roman"/>
          <w:color w:val="000000"/>
          <w:sz w:val="24"/>
          <w:szCs w:val="24"/>
          <w:lang w:val="en-GB"/>
        </w:rPr>
        <w:t xml:space="preserve">Each country and year may have some specificity (i.e. Taste for music, Economic Crisis, new style of music, etc.). To control for specific patterns, accepted econometric models are used for panel data samples and decomposes the error term </w:t>
      </w:r>
      <w:proofErr w:type="spellStart"/>
      <w:r w:rsidRPr="006F55DD">
        <w:rPr>
          <w:rFonts w:ascii="Times New Roman" w:hAnsi="Times New Roman"/>
          <w:i/>
          <w:color w:val="000000"/>
          <w:sz w:val="24"/>
          <w:szCs w:val="24"/>
          <w:lang w:val="en-GB"/>
        </w:rPr>
        <w:t>v</w:t>
      </w:r>
      <w:r w:rsidRPr="006F55DD">
        <w:rPr>
          <w:rFonts w:ascii="Times New Roman" w:hAnsi="Times New Roman"/>
          <w:i/>
          <w:color w:val="000000"/>
          <w:sz w:val="24"/>
          <w:szCs w:val="24"/>
          <w:vertAlign w:val="subscript"/>
          <w:lang w:val="en-GB"/>
        </w:rPr>
        <w:t>it</w:t>
      </w:r>
      <w:proofErr w:type="spellEnd"/>
      <w:r w:rsidRPr="006F55DD">
        <w:rPr>
          <w:rFonts w:ascii="Times New Roman" w:hAnsi="Times New Roman"/>
          <w:color w:val="000000"/>
          <w:sz w:val="24"/>
          <w:szCs w:val="24"/>
          <w:lang w:val="en-GB"/>
        </w:rPr>
        <w:t xml:space="preserve"> into a country persistent effect, </w:t>
      </w:r>
      <w:r w:rsidRPr="006F55DD">
        <w:rPr>
          <w:rFonts w:ascii="Times New Roman" w:hAnsi="Times New Roman"/>
          <w:i/>
          <w:color w:val="000000"/>
          <w:sz w:val="24"/>
          <w:szCs w:val="24"/>
          <w:lang w:val="en-GB"/>
        </w:rPr>
        <w:sym w:font="Symbol" w:char="F065"/>
      </w:r>
      <w:r w:rsidRPr="006F55DD">
        <w:rPr>
          <w:rFonts w:ascii="Times New Roman" w:hAnsi="Times New Roman"/>
          <w:i/>
          <w:color w:val="000000"/>
          <w:sz w:val="24"/>
          <w:szCs w:val="24"/>
          <w:vertAlign w:val="subscript"/>
          <w:lang w:val="en-GB"/>
        </w:rPr>
        <w:t>i</w:t>
      </w:r>
      <w:r w:rsidRPr="006F55DD">
        <w:rPr>
          <w:rFonts w:ascii="Times New Roman" w:hAnsi="Times New Roman"/>
          <w:color w:val="000000"/>
          <w:sz w:val="24"/>
          <w:szCs w:val="24"/>
          <w:lang w:val="en-GB"/>
        </w:rPr>
        <w:t xml:space="preserve">, a time effect, </w:t>
      </w:r>
      <w:r w:rsidRPr="006F55DD">
        <w:rPr>
          <w:rFonts w:ascii="Times New Roman" w:hAnsi="Times New Roman"/>
          <w:i/>
          <w:color w:val="000000"/>
          <w:sz w:val="24"/>
          <w:szCs w:val="24"/>
          <w:lang w:val="en-GB"/>
        </w:rPr>
        <w:sym w:font="Symbol" w:char="F065"/>
      </w:r>
      <w:r w:rsidRPr="006F55DD">
        <w:rPr>
          <w:rFonts w:ascii="Times New Roman" w:hAnsi="Times New Roman"/>
          <w:i/>
          <w:color w:val="000000"/>
          <w:sz w:val="24"/>
          <w:szCs w:val="24"/>
          <w:vertAlign w:val="subscript"/>
          <w:lang w:val="en-GB"/>
        </w:rPr>
        <w:t>t</w:t>
      </w:r>
      <w:r w:rsidRPr="006F55DD">
        <w:rPr>
          <w:rFonts w:ascii="Times New Roman" w:hAnsi="Times New Roman"/>
          <w:color w:val="000000"/>
          <w:sz w:val="24"/>
          <w:szCs w:val="24"/>
          <w:lang w:val="en-GB"/>
        </w:rPr>
        <w:t xml:space="preserve">, and the specific error term for the country </w:t>
      </w:r>
      <w:r w:rsidRPr="006F55DD">
        <w:rPr>
          <w:rFonts w:ascii="Times New Roman" w:hAnsi="Times New Roman"/>
          <w:i/>
          <w:color w:val="000000"/>
          <w:sz w:val="24"/>
          <w:szCs w:val="24"/>
          <w:lang w:val="en-GB"/>
        </w:rPr>
        <w:t xml:space="preserve">i </w:t>
      </w:r>
      <w:r w:rsidRPr="006F55DD">
        <w:rPr>
          <w:rFonts w:ascii="Times New Roman" w:hAnsi="Times New Roman"/>
          <w:color w:val="000000"/>
          <w:sz w:val="24"/>
          <w:szCs w:val="24"/>
          <w:lang w:val="en-GB"/>
        </w:rPr>
        <w:t xml:space="preserve">at period </w:t>
      </w:r>
      <w:r w:rsidRPr="006F55DD">
        <w:rPr>
          <w:rFonts w:ascii="Times New Roman" w:hAnsi="Times New Roman"/>
          <w:i/>
          <w:color w:val="000000"/>
          <w:sz w:val="24"/>
          <w:szCs w:val="24"/>
          <w:lang w:val="en-GB"/>
        </w:rPr>
        <w:t>t</w:t>
      </w:r>
      <w:r w:rsidRPr="006F55DD">
        <w:rPr>
          <w:rFonts w:ascii="Times New Roman" w:hAnsi="Times New Roman"/>
          <w:color w:val="000000"/>
          <w:sz w:val="24"/>
          <w:szCs w:val="24"/>
          <w:lang w:val="en-GB"/>
        </w:rPr>
        <w:t xml:space="preserve">, </w:t>
      </w:r>
      <w:r w:rsidRPr="006F55DD">
        <w:rPr>
          <w:rFonts w:ascii="Times New Roman" w:hAnsi="Times New Roman"/>
          <w:i/>
          <w:color w:val="000000"/>
          <w:sz w:val="24"/>
          <w:szCs w:val="24"/>
          <w:lang w:val="en-GB"/>
        </w:rPr>
        <w:sym w:font="Symbol" w:char="F065"/>
      </w:r>
      <w:r w:rsidRPr="006F55DD">
        <w:rPr>
          <w:rFonts w:ascii="Times New Roman" w:hAnsi="Times New Roman"/>
          <w:i/>
          <w:color w:val="000000"/>
          <w:sz w:val="24"/>
          <w:szCs w:val="24"/>
          <w:vertAlign w:val="subscript"/>
          <w:lang w:val="en-GB"/>
        </w:rPr>
        <w:t>it</w:t>
      </w:r>
      <w:r w:rsidRPr="006F55DD">
        <w:rPr>
          <w:rFonts w:ascii="Times New Roman" w:hAnsi="Times New Roman"/>
          <w:color w:val="000000"/>
          <w:sz w:val="24"/>
          <w:szCs w:val="24"/>
          <w:lang w:val="en-GB"/>
        </w:rPr>
        <w:t xml:space="preserve">, as </w:t>
      </w:r>
      <m:oMath>
        <m:sSub>
          <m:sSubPr>
            <m:ctrlPr>
              <w:rPr>
                <w:rFonts w:ascii="Cambria Math" w:hAnsi="Cambria Math"/>
                <w:i/>
                <w:sz w:val="24"/>
                <w:szCs w:val="24"/>
                <w:lang w:val="en-GB"/>
              </w:rPr>
            </m:ctrlPr>
          </m:sSubPr>
          <m:e>
            <m:r>
              <w:rPr>
                <w:rFonts w:ascii="Cambria Math" w:hAnsi="Cambria Math"/>
                <w:sz w:val="24"/>
                <w:szCs w:val="24"/>
                <w:lang w:val="en-GB"/>
              </w:rPr>
              <m:t>v</m:t>
            </m:r>
          </m:e>
          <m:sub>
            <m:r>
              <w:rPr>
                <w:rFonts w:ascii="Cambria Math" w:hAnsi="Cambria Math"/>
                <w:sz w:val="24"/>
                <w:szCs w:val="24"/>
                <w:lang w:val="en-GB"/>
              </w:rPr>
              <m:t>it</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ε</m:t>
            </m:r>
          </m:e>
          <m:sub>
            <m:r>
              <w:rPr>
                <w:rFonts w:ascii="Cambria Math" w:hAnsi="Cambria Math"/>
                <w:sz w:val="24"/>
                <w:szCs w:val="24"/>
                <w:lang w:val="en-GB"/>
              </w:rPr>
              <m:t>i</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ε</m:t>
            </m:r>
          </m:e>
          <m:sub>
            <m:r>
              <w:rPr>
                <w:rFonts w:ascii="Cambria Math" w:hAnsi="Cambria Math"/>
                <w:sz w:val="24"/>
                <w:szCs w:val="24"/>
                <w:lang w:val="en-GB"/>
              </w:rPr>
              <m:t>t</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ε</m:t>
            </m:r>
          </m:e>
          <m:sub>
            <m:r>
              <w:rPr>
                <w:rFonts w:ascii="Cambria Math" w:hAnsi="Cambria Math"/>
                <w:sz w:val="24"/>
                <w:szCs w:val="24"/>
                <w:lang w:val="en-GB"/>
              </w:rPr>
              <m:t>it</m:t>
            </m:r>
          </m:sub>
        </m:sSub>
      </m:oMath>
      <w:r w:rsidRPr="006F55DD">
        <w:rPr>
          <w:rFonts w:ascii="Times New Roman" w:hAnsi="Times New Roman"/>
          <w:color w:val="000000"/>
          <w:sz w:val="24"/>
          <w:szCs w:val="24"/>
          <w:lang w:val="en-GB"/>
        </w:rPr>
        <w:t xml:space="preserve">. The Hausman’s test </w:t>
      </w:r>
      <w:r w:rsidRPr="006F55DD">
        <w:rPr>
          <w:rFonts w:ascii="Times New Roman" w:hAnsi="Times New Roman"/>
          <w:color w:val="000000"/>
          <w:sz w:val="24"/>
          <w:szCs w:val="24"/>
          <w:lang w:val="en-GB"/>
        </w:rPr>
        <w:fldChar w:fldCharType="begin"/>
      </w:r>
      <w:r w:rsidRPr="006F55DD">
        <w:rPr>
          <w:rFonts w:ascii="Times New Roman" w:hAnsi="Times New Roman"/>
          <w:color w:val="000000"/>
          <w:sz w:val="24"/>
          <w:szCs w:val="24"/>
          <w:lang w:val="en-GB"/>
        </w:rPr>
        <w:instrText xml:space="preserve"> ADDIN EN.CITE &lt;EndNote&gt;&lt;Cite ExcludeAuth="1"&gt;&lt;Author&gt;Hausman&lt;/Author&gt;&lt;Year&gt;1978&lt;/Year&gt;&lt;RecNum&gt;234&lt;/RecNum&gt;&lt;record&gt;&lt;rec-number&gt;234&lt;/rec-number&gt;&lt;foreign-keys&gt;&lt;key app="EN" db-id="wsd9rpa9fe0vape9wdbpvfxk99fvwx2daxfr"&gt;234&lt;/key&gt;&lt;/foreign-keys&gt;&lt;ref-type name="Journal Article"&gt;17&lt;/ref-type&gt;&lt;contributors&gt;&lt;authors&gt;&lt;author&gt;Hausman, J.A.&lt;/author&gt;&lt;/authors&gt;&lt;/contributors&gt;&lt;titles&gt;&lt;title&gt;Specification tests in econometrics&lt;/title&gt;&lt;secondary-title&gt;Econometrica&lt;/secondary-title&gt;&lt;/titles&gt;&lt;pages&gt;1251-1271&lt;/pages&gt;&lt;volume&gt;46&lt;/volume&gt;&lt;number&gt;6&lt;/number&gt;&lt;dates&gt;&lt;year&gt;1978&lt;/year&gt;&lt;/dates&gt;&lt;urls&gt;&lt;/urls&gt;&lt;/record&gt;&lt;/Cite&gt;&lt;/EndNote&gt;</w:instrText>
      </w:r>
      <w:r w:rsidRPr="006F55DD">
        <w:rPr>
          <w:rFonts w:ascii="Times New Roman" w:hAnsi="Times New Roman"/>
          <w:color w:val="000000"/>
          <w:sz w:val="24"/>
          <w:szCs w:val="24"/>
          <w:lang w:val="en-GB"/>
        </w:rPr>
        <w:fldChar w:fldCharType="separate"/>
      </w:r>
      <w:r w:rsidRPr="006F55DD">
        <w:rPr>
          <w:rFonts w:ascii="Times New Roman" w:hAnsi="Times New Roman"/>
          <w:noProof/>
          <w:color w:val="000000"/>
          <w:sz w:val="24"/>
          <w:szCs w:val="24"/>
          <w:lang w:val="en-GB"/>
        </w:rPr>
        <w:t>(1978)</w:t>
      </w:r>
      <w:r w:rsidRPr="006F55DD">
        <w:rPr>
          <w:rFonts w:ascii="Times New Roman" w:hAnsi="Times New Roman"/>
          <w:color w:val="000000"/>
          <w:sz w:val="24"/>
          <w:szCs w:val="24"/>
          <w:lang w:val="en-GB"/>
        </w:rPr>
        <w:fldChar w:fldCharType="end"/>
      </w:r>
      <w:r w:rsidRPr="006F55DD">
        <w:rPr>
          <w:rFonts w:ascii="Times New Roman" w:hAnsi="Times New Roman"/>
          <w:color w:val="000000"/>
          <w:sz w:val="24"/>
          <w:szCs w:val="24"/>
          <w:lang w:val="en-GB"/>
        </w:rPr>
        <w:t xml:space="preserve"> shows that countries’ and years’ fixed effects outperform the random-effects model estimations.</w:t>
      </w:r>
      <w:r w:rsidRPr="006F55DD">
        <w:rPr>
          <w:rStyle w:val="FootnoteReference"/>
          <w:rFonts w:ascii="Times New Roman" w:hAnsi="Times New Roman"/>
          <w:color w:val="000000"/>
          <w:sz w:val="24"/>
          <w:szCs w:val="24"/>
          <w:lang w:val="en-GB"/>
        </w:rPr>
        <w:footnoteReference w:id="9"/>
      </w:r>
      <w:r w:rsidRPr="006F55DD">
        <w:rPr>
          <w:rFonts w:ascii="Times New Roman" w:hAnsi="Times New Roman"/>
          <w:color w:val="000000"/>
          <w:sz w:val="24"/>
          <w:szCs w:val="24"/>
          <w:lang w:val="en-GB"/>
        </w:rPr>
        <w:t xml:space="preserve"> Therefore, the estimate of the Equation (2) shown in Tables includes countries’ (</w:t>
      </w:r>
      <w:r w:rsidRPr="006F55DD">
        <w:rPr>
          <w:rFonts w:ascii="Times New Roman" w:hAnsi="Times New Roman"/>
          <w:i/>
          <w:color w:val="000000"/>
          <w:sz w:val="24"/>
          <w:szCs w:val="24"/>
          <w:lang w:val="en-GB"/>
        </w:rPr>
        <w:sym w:font="Symbol" w:char="F065"/>
      </w:r>
      <w:r w:rsidRPr="006F55DD">
        <w:rPr>
          <w:rFonts w:ascii="Times New Roman" w:hAnsi="Times New Roman"/>
          <w:i/>
          <w:color w:val="000000"/>
          <w:sz w:val="24"/>
          <w:szCs w:val="24"/>
          <w:vertAlign w:val="subscript"/>
          <w:lang w:val="en-GB"/>
        </w:rPr>
        <w:t>i</w:t>
      </w:r>
      <w:r w:rsidRPr="006F55DD">
        <w:rPr>
          <w:rFonts w:ascii="Times New Roman" w:hAnsi="Times New Roman"/>
          <w:color w:val="000000"/>
          <w:sz w:val="24"/>
          <w:szCs w:val="24"/>
          <w:lang w:val="en-GB"/>
        </w:rPr>
        <w:t>) and years’ (</w:t>
      </w:r>
      <w:r w:rsidRPr="006F55DD">
        <w:rPr>
          <w:rFonts w:ascii="Times New Roman" w:hAnsi="Times New Roman"/>
          <w:i/>
          <w:color w:val="000000"/>
          <w:sz w:val="24"/>
          <w:szCs w:val="24"/>
          <w:lang w:val="en-GB"/>
        </w:rPr>
        <w:sym w:font="Symbol" w:char="F065"/>
      </w:r>
      <w:r w:rsidRPr="006F55DD">
        <w:rPr>
          <w:rFonts w:ascii="Times New Roman" w:hAnsi="Times New Roman"/>
          <w:i/>
          <w:color w:val="000000"/>
          <w:sz w:val="24"/>
          <w:szCs w:val="24"/>
          <w:vertAlign w:val="subscript"/>
          <w:lang w:val="en-GB"/>
        </w:rPr>
        <w:t>t</w:t>
      </w:r>
      <w:r w:rsidRPr="006F55DD">
        <w:rPr>
          <w:rFonts w:ascii="Times New Roman" w:hAnsi="Times New Roman"/>
          <w:color w:val="000000"/>
          <w:sz w:val="24"/>
          <w:szCs w:val="24"/>
          <w:lang w:val="en-GB"/>
        </w:rPr>
        <w:t xml:space="preserve">) fixed effects. </w:t>
      </w:r>
    </w:p>
    <w:p w14:paraId="2A04A75B" w14:textId="77777777" w:rsidR="00F123E0" w:rsidRDefault="00F123E0" w:rsidP="00D41E6E">
      <w:pPr>
        <w:spacing w:after="0" w:line="240" w:lineRule="auto"/>
        <w:ind w:firstLine="426"/>
        <w:jc w:val="both"/>
        <w:rPr>
          <w:rFonts w:ascii="Times New Roman" w:hAnsi="Times New Roman"/>
          <w:color w:val="000000"/>
          <w:sz w:val="24"/>
          <w:szCs w:val="24"/>
          <w:lang w:val="en-GB"/>
        </w:rPr>
      </w:pPr>
    </w:p>
    <w:p w14:paraId="49986061" w14:textId="77777777" w:rsidR="00D41E6E" w:rsidRDefault="00D41E6E" w:rsidP="00D41E6E">
      <w:pPr>
        <w:spacing w:after="0" w:line="240" w:lineRule="auto"/>
        <w:jc w:val="both"/>
        <w:rPr>
          <w:rFonts w:ascii="Times New Roman" w:hAnsi="Times New Roman"/>
          <w:color w:val="000000"/>
          <w:sz w:val="24"/>
          <w:szCs w:val="24"/>
          <w:lang w:val="en-GB"/>
        </w:rPr>
      </w:pPr>
    </w:p>
    <w:p w14:paraId="3300661D" w14:textId="1D686932" w:rsidR="00524B7B" w:rsidRDefault="00D41E6E" w:rsidP="00D41E6E">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&lt;</w:t>
      </w:r>
      <w:r w:rsidR="00524B7B">
        <w:rPr>
          <w:rFonts w:ascii="Times New Roman" w:hAnsi="Times New Roman"/>
          <w:color w:val="000000"/>
          <w:sz w:val="24"/>
          <w:szCs w:val="24"/>
          <w:lang w:val="en-GB"/>
        </w:rPr>
        <w:t>INSERT TABLE 2 ABOUT HERE</w:t>
      </w:r>
      <w:r>
        <w:rPr>
          <w:rFonts w:ascii="Times New Roman" w:hAnsi="Times New Roman"/>
          <w:color w:val="000000"/>
          <w:sz w:val="24"/>
          <w:szCs w:val="24"/>
          <w:lang w:val="en-GB"/>
        </w:rPr>
        <w:t>&gt;</w:t>
      </w:r>
    </w:p>
    <w:p w14:paraId="6A1A65F2" w14:textId="77777777" w:rsidR="00524B7B" w:rsidRDefault="00524B7B" w:rsidP="00D41E6E">
      <w:pPr>
        <w:spacing w:after="0" w:line="240" w:lineRule="auto"/>
        <w:jc w:val="both"/>
        <w:rPr>
          <w:rFonts w:ascii="Times New Roman" w:hAnsi="Times New Roman"/>
          <w:color w:val="000000"/>
          <w:sz w:val="24"/>
          <w:szCs w:val="24"/>
          <w:lang w:val="en-GB"/>
        </w:rPr>
      </w:pPr>
    </w:p>
    <w:p w14:paraId="6E856D6C" w14:textId="77777777" w:rsidR="00D41E6E" w:rsidRDefault="00D41E6E" w:rsidP="00D41E6E">
      <w:pPr>
        <w:spacing w:after="0" w:line="240" w:lineRule="auto"/>
        <w:jc w:val="both"/>
        <w:rPr>
          <w:rFonts w:ascii="Times New Roman" w:hAnsi="Times New Roman"/>
          <w:color w:val="000000"/>
          <w:sz w:val="24"/>
          <w:szCs w:val="24"/>
          <w:lang w:val="en-GB"/>
        </w:rPr>
      </w:pPr>
    </w:p>
    <w:p w14:paraId="3EB92383" w14:textId="75B6526F" w:rsidR="00184458" w:rsidRPr="006F55DD" w:rsidRDefault="00184458" w:rsidP="00D41E6E">
      <w:pPr>
        <w:spacing w:after="0" w:line="240" w:lineRule="auto"/>
        <w:jc w:val="both"/>
        <w:rPr>
          <w:rFonts w:ascii="Times New Roman" w:hAnsi="Times New Roman"/>
          <w:color w:val="000000"/>
          <w:sz w:val="24"/>
          <w:szCs w:val="24"/>
          <w:lang w:val="en-GB"/>
        </w:rPr>
      </w:pPr>
      <w:r w:rsidRPr="006F55DD">
        <w:rPr>
          <w:rFonts w:ascii="Times New Roman" w:hAnsi="Times New Roman"/>
          <w:color w:val="000000"/>
          <w:sz w:val="24"/>
          <w:szCs w:val="24"/>
          <w:lang w:val="en-GB"/>
        </w:rPr>
        <w:t xml:space="preserve">The error terms </w:t>
      </w:r>
      <w:r w:rsidRPr="006F55DD">
        <w:rPr>
          <w:rFonts w:ascii="Times New Roman" w:hAnsi="Times New Roman"/>
          <w:i/>
          <w:color w:val="000000"/>
          <w:sz w:val="24"/>
          <w:szCs w:val="24"/>
          <w:lang w:val="en-GB"/>
        </w:rPr>
        <w:sym w:font="Symbol" w:char="F065"/>
      </w:r>
      <w:r w:rsidRPr="006F55DD">
        <w:rPr>
          <w:rFonts w:ascii="Times New Roman" w:hAnsi="Times New Roman"/>
          <w:i/>
          <w:color w:val="000000"/>
          <w:sz w:val="24"/>
          <w:szCs w:val="24"/>
          <w:vertAlign w:val="subscript"/>
          <w:lang w:val="en-GB"/>
        </w:rPr>
        <w:t>it</w:t>
      </w:r>
      <w:r w:rsidRPr="006F55DD">
        <w:rPr>
          <w:rFonts w:ascii="Times New Roman" w:hAnsi="Times New Roman"/>
          <w:color w:val="000000"/>
          <w:sz w:val="24"/>
          <w:szCs w:val="24"/>
          <w:lang w:val="en-GB"/>
        </w:rPr>
        <w:t xml:space="preserve"> are a set of random variables following a normal distribution with a mean of zero. The assumption of independence and equal variance between the error terms would not hold if some countries are systematically affected by unobserved variables in excess of the average during certain periods. This may lead to potential misspecification of coefficient values (</w:t>
      </w:r>
      <w:r w:rsidRPr="006F55DD">
        <w:rPr>
          <w:rFonts w:ascii="Times New Roman" w:hAnsi="Times New Roman"/>
          <w:noProof/>
          <w:color w:val="000000"/>
          <w:sz w:val="24"/>
          <w:szCs w:val="24"/>
          <w:lang w:val="en-GB"/>
        </w:rPr>
        <w:t>Maas and Hox, 2004)</w:t>
      </w:r>
      <w:r w:rsidRPr="006F55DD">
        <w:rPr>
          <w:rFonts w:ascii="Times New Roman" w:hAnsi="Times New Roman"/>
          <w:color w:val="000000"/>
          <w:sz w:val="24"/>
          <w:szCs w:val="24"/>
          <w:lang w:val="en-GB"/>
        </w:rPr>
        <w:t xml:space="preserve">. Accepted practice in dealing with such misspecification is to apply the </w:t>
      </w:r>
      <w:proofErr w:type="spellStart"/>
      <w:r w:rsidRPr="006F55DD">
        <w:rPr>
          <w:rFonts w:ascii="Times New Roman" w:hAnsi="Times New Roman"/>
          <w:color w:val="000000"/>
          <w:sz w:val="24"/>
          <w:szCs w:val="24"/>
          <w:lang w:val="en-GB"/>
        </w:rPr>
        <w:t>Heteroskedacity</w:t>
      </w:r>
      <w:proofErr w:type="spellEnd"/>
      <w:r w:rsidRPr="006F55DD">
        <w:rPr>
          <w:rFonts w:ascii="Times New Roman" w:hAnsi="Times New Roman"/>
          <w:color w:val="000000"/>
          <w:sz w:val="24"/>
          <w:szCs w:val="24"/>
          <w:lang w:val="en-GB"/>
        </w:rPr>
        <w:t>-robust or Huber-White robust estimator. However, when such estimators are applied to panel data with fixed-effects results are subject to serial correlation (</w:t>
      </w:r>
      <w:r w:rsidRPr="006F55DD">
        <w:rPr>
          <w:rFonts w:ascii="Times New Roman" w:hAnsi="Times New Roman"/>
          <w:noProof/>
          <w:color w:val="000000"/>
          <w:sz w:val="24"/>
          <w:szCs w:val="24"/>
          <w:lang w:val="en-GB"/>
        </w:rPr>
        <w:t>Stock and Watson, 2008)</w:t>
      </w:r>
      <w:r w:rsidRPr="006F55DD">
        <w:rPr>
          <w:rFonts w:ascii="Times New Roman" w:hAnsi="Times New Roman"/>
          <w:color w:val="000000"/>
          <w:sz w:val="24"/>
          <w:szCs w:val="24"/>
          <w:lang w:val="en-GB"/>
        </w:rPr>
        <w:t>. To simultaneously avoid both misspecification and serial correlation the coefficient presented contains clustered-robust standard errors (Petersen, 2009).</w:t>
      </w:r>
    </w:p>
    <w:p w14:paraId="2AD46919" w14:textId="77777777" w:rsidR="002E337A" w:rsidRDefault="002E337A" w:rsidP="002F49EA">
      <w:pPr>
        <w:spacing w:after="0" w:line="240" w:lineRule="auto"/>
        <w:jc w:val="both"/>
        <w:outlineLvl w:val="0"/>
        <w:rPr>
          <w:rFonts w:ascii="Times New Roman" w:hAnsi="Times New Roman"/>
          <w:color w:val="000000"/>
          <w:sz w:val="24"/>
          <w:szCs w:val="24"/>
          <w:lang w:val="en-GB"/>
        </w:rPr>
      </w:pPr>
    </w:p>
    <w:p w14:paraId="31D0A92B" w14:textId="77777777" w:rsidR="002E337A" w:rsidRDefault="002E337A" w:rsidP="002F49EA">
      <w:pPr>
        <w:spacing w:after="0" w:line="240" w:lineRule="auto"/>
        <w:jc w:val="both"/>
        <w:outlineLvl w:val="0"/>
        <w:rPr>
          <w:rFonts w:ascii="Times New Roman" w:hAnsi="Times New Roman"/>
          <w:color w:val="000000"/>
          <w:sz w:val="24"/>
          <w:szCs w:val="24"/>
          <w:lang w:val="en-GB"/>
        </w:rPr>
      </w:pPr>
    </w:p>
    <w:p w14:paraId="0AE7CC29" w14:textId="621C7F1F" w:rsidR="00184458" w:rsidRPr="006F55DD" w:rsidRDefault="008125A3" w:rsidP="002F49EA">
      <w:pPr>
        <w:spacing w:after="0" w:line="240" w:lineRule="auto"/>
        <w:jc w:val="both"/>
        <w:outlineLvl w:val="0"/>
        <w:rPr>
          <w:rFonts w:ascii="Times New Roman" w:hAnsi="Times New Roman"/>
          <w:b/>
          <w:color w:val="000000"/>
          <w:sz w:val="26"/>
          <w:szCs w:val="26"/>
          <w:lang w:val="en-GB"/>
        </w:rPr>
      </w:pPr>
      <w:r>
        <w:rPr>
          <w:rFonts w:ascii="Times New Roman" w:hAnsi="Times New Roman"/>
          <w:b/>
          <w:color w:val="000000"/>
          <w:sz w:val="26"/>
          <w:szCs w:val="26"/>
          <w:lang w:val="en-GB"/>
        </w:rPr>
        <w:t xml:space="preserve">4     </w:t>
      </w:r>
      <w:r w:rsidR="00184458" w:rsidRPr="006F55DD">
        <w:rPr>
          <w:rFonts w:ascii="Times New Roman" w:hAnsi="Times New Roman"/>
          <w:b/>
          <w:color w:val="000000"/>
          <w:sz w:val="26"/>
          <w:szCs w:val="26"/>
          <w:lang w:val="en-GB"/>
        </w:rPr>
        <w:t>Results</w:t>
      </w:r>
    </w:p>
    <w:p w14:paraId="144E28B6" w14:textId="77777777" w:rsidR="00B53C74" w:rsidRDefault="00B53C74" w:rsidP="002F49EA">
      <w:pPr>
        <w:spacing w:after="0" w:line="240" w:lineRule="auto"/>
        <w:jc w:val="both"/>
        <w:rPr>
          <w:rFonts w:ascii="Times New Roman" w:hAnsi="Times New Roman"/>
          <w:color w:val="000000"/>
          <w:sz w:val="24"/>
          <w:szCs w:val="24"/>
          <w:lang w:val="en-GB"/>
        </w:rPr>
      </w:pPr>
    </w:p>
    <w:p w14:paraId="3BDF8CA4" w14:textId="3704C9E4" w:rsidR="00636436" w:rsidRDefault="00184458" w:rsidP="00042D51">
      <w:pPr>
        <w:spacing w:after="0" w:line="240" w:lineRule="auto"/>
        <w:jc w:val="both"/>
        <w:rPr>
          <w:rFonts w:ascii="Times New Roman" w:hAnsi="Times New Roman"/>
          <w:color w:val="000000"/>
          <w:sz w:val="24"/>
          <w:szCs w:val="24"/>
          <w:lang w:val="en-GB"/>
        </w:rPr>
      </w:pPr>
      <w:r w:rsidRPr="006F55DD">
        <w:rPr>
          <w:rFonts w:ascii="Times New Roman" w:hAnsi="Times New Roman"/>
          <w:color w:val="000000"/>
          <w:sz w:val="24"/>
          <w:szCs w:val="24"/>
          <w:lang w:val="en-GB"/>
        </w:rPr>
        <w:t xml:space="preserve">Figure </w:t>
      </w:r>
      <w:r w:rsidR="00926044">
        <w:rPr>
          <w:rFonts w:ascii="Times New Roman" w:hAnsi="Times New Roman"/>
          <w:color w:val="000000"/>
          <w:sz w:val="24"/>
          <w:szCs w:val="24"/>
          <w:lang w:val="en-GB"/>
        </w:rPr>
        <w:t>1</w:t>
      </w:r>
      <w:r w:rsidR="00926044" w:rsidRPr="006F55DD">
        <w:rPr>
          <w:rFonts w:ascii="Times New Roman" w:hAnsi="Times New Roman"/>
          <w:color w:val="000000"/>
          <w:sz w:val="24"/>
          <w:szCs w:val="24"/>
          <w:lang w:val="en-GB"/>
        </w:rPr>
        <w:t xml:space="preserve"> </w:t>
      </w:r>
      <w:r w:rsidRPr="006F55DD">
        <w:rPr>
          <w:rFonts w:ascii="Times New Roman" w:hAnsi="Times New Roman"/>
          <w:color w:val="000000"/>
          <w:sz w:val="24"/>
          <w:szCs w:val="24"/>
          <w:lang w:val="en-GB"/>
        </w:rPr>
        <w:t>shows the evolution of album prices, both physical and digital, sales per capita and Format Density. All the variables, with the exception of digital prices, decrease with time and the decrease in business model experimentation and value capture appear similar.</w:t>
      </w:r>
      <w:r w:rsidRPr="006F55DD">
        <w:rPr>
          <w:rStyle w:val="FootnoteReference"/>
          <w:rFonts w:ascii="Times New Roman" w:hAnsi="Times New Roman"/>
          <w:color w:val="000000"/>
          <w:sz w:val="24"/>
          <w:szCs w:val="24"/>
          <w:lang w:val="en-GB"/>
        </w:rPr>
        <w:footnoteReference w:id="10"/>
      </w:r>
      <w:r w:rsidRPr="006F55DD">
        <w:rPr>
          <w:rFonts w:ascii="Times New Roman" w:hAnsi="Times New Roman"/>
          <w:color w:val="000000"/>
          <w:sz w:val="24"/>
          <w:szCs w:val="24"/>
          <w:lang w:val="en-GB"/>
        </w:rPr>
        <w:t xml:space="preserve"> The Format Density in 2010 is 4.48, approximately two thirds of the value observed in 1998, indicating that a greater number of business models are employed and that the music industry has transited from a ‘network’ effect created by a dominant format to creating a ‘taster’ effect from a wide range of diverse formats. However, concurrently sales per capita in 2010 are US$8.91, approximately half the sales per capita value recorded in 1998. </w:t>
      </w:r>
    </w:p>
    <w:p w14:paraId="55A2F399" w14:textId="77777777" w:rsidR="007E2F02" w:rsidRDefault="007E2F02" w:rsidP="00042D51">
      <w:pPr>
        <w:spacing w:after="0" w:line="240" w:lineRule="auto"/>
        <w:jc w:val="both"/>
        <w:rPr>
          <w:rFonts w:ascii="Times New Roman" w:hAnsi="Times New Roman"/>
          <w:color w:val="000000"/>
          <w:sz w:val="24"/>
          <w:szCs w:val="24"/>
          <w:lang w:val="en-GB"/>
        </w:rPr>
      </w:pPr>
    </w:p>
    <w:p w14:paraId="6D4751FB" w14:textId="77777777" w:rsidR="00042D51" w:rsidRDefault="00042D51" w:rsidP="00042D51">
      <w:pPr>
        <w:spacing w:after="0" w:line="240" w:lineRule="auto"/>
        <w:jc w:val="both"/>
        <w:rPr>
          <w:rFonts w:ascii="Times New Roman" w:hAnsi="Times New Roman"/>
          <w:color w:val="000000"/>
          <w:sz w:val="24"/>
          <w:szCs w:val="24"/>
          <w:lang w:val="en-US"/>
        </w:rPr>
      </w:pPr>
    </w:p>
    <w:p w14:paraId="22A0F667" w14:textId="41A836B3" w:rsidR="00B53C74" w:rsidRDefault="00042D51" w:rsidP="00042D51">
      <w:pP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&lt;</w:t>
      </w:r>
      <w:r w:rsidR="00D41E6E">
        <w:rPr>
          <w:rFonts w:ascii="Times New Roman" w:hAnsi="Times New Roman"/>
          <w:color w:val="000000"/>
          <w:sz w:val="24"/>
          <w:szCs w:val="24"/>
          <w:lang w:val="en-US"/>
        </w:rPr>
        <w:t>INSERT FIGURE 1 ABOUT HERE</w:t>
      </w:r>
      <w:r>
        <w:rPr>
          <w:rFonts w:ascii="Times New Roman" w:hAnsi="Times New Roman"/>
          <w:color w:val="000000"/>
          <w:sz w:val="24"/>
          <w:szCs w:val="24"/>
          <w:lang w:val="en-US"/>
        </w:rPr>
        <w:t>&gt;</w:t>
      </w:r>
    </w:p>
    <w:p w14:paraId="692B6D8E" w14:textId="77777777" w:rsidR="00D41E6E" w:rsidRDefault="00D41E6E" w:rsidP="00042D51">
      <w:pPr>
        <w:spacing w:after="0" w:line="240" w:lineRule="auto"/>
        <w:jc w:val="both"/>
        <w:rPr>
          <w:rFonts w:ascii="Times New Roman" w:hAnsi="Times New Roman"/>
          <w:color w:val="000000"/>
          <w:sz w:val="24"/>
          <w:szCs w:val="24"/>
          <w:lang w:val="en-US"/>
        </w:rPr>
      </w:pPr>
    </w:p>
    <w:p w14:paraId="62D786DD" w14:textId="77777777" w:rsidR="00042D51" w:rsidRDefault="00042D51" w:rsidP="00042D51">
      <w:pPr>
        <w:spacing w:after="0" w:line="240" w:lineRule="auto"/>
        <w:jc w:val="both"/>
        <w:rPr>
          <w:rFonts w:ascii="Times New Roman" w:hAnsi="Times New Roman"/>
          <w:color w:val="000000"/>
          <w:sz w:val="24"/>
          <w:szCs w:val="24"/>
          <w:lang w:val="en-GB"/>
        </w:rPr>
      </w:pPr>
    </w:p>
    <w:p w14:paraId="2E01880E" w14:textId="476FAE0E" w:rsidR="003F57C9" w:rsidRDefault="000C349C" w:rsidP="0088222F">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 xml:space="preserve">Figure </w:t>
      </w:r>
      <w:r w:rsidR="00EB0C6F">
        <w:rPr>
          <w:rFonts w:ascii="Times New Roman" w:hAnsi="Times New Roman"/>
          <w:color w:val="000000"/>
          <w:sz w:val="24"/>
          <w:szCs w:val="24"/>
          <w:lang w:val="en-GB"/>
        </w:rPr>
        <w:t>1</w:t>
      </w:r>
      <w:r w:rsidR="00184458" w:rsidRPr="006F55DD">
        <w:rPr>
          <w:rFonts w:ascii="Times New Roman" w:hAnsi="Times New Roman"/>
          <w:color w:val="000000"/>
          <w:sz w:val="24"/>
          <w:szCs w:val="24"/>
          <w:lang w:val="en-GB"/>
        </w:rPr>
        <w:t xml:space="preserve"> descriptively shows how the development of digital music business models correlates with a decline in total music revenues, which means that contrary to our hypothesis, H1, business model experimentation appears to be negatively correlated to sales per capita. This is consistent with the findings of </w:t>
      </w:r>
      <w:proofErr w:type="spellStart"/>
      <w:r w:rsidR="00184458" w:rsidRPr="006F55DD">
        <w:rPr>
          <w:rFonts w:ascii="Times New Roman" w:hAnsi="Times New Roman"/>
          <w:color w:val="000000"/>
          <w:sz w:val="24"/>
          <w:szCs w:val="24"/>
          <w:lang w:val="en-GB"/>
        </w:rPr>
        <w:t>Elberse</w:t>
      </w:r>
      <w:proofErr w:type="spellEnd"/>
      <w:r w:rsidR="00184458" w:rsidRPr="006F55DD">
        <w:rPr>
          <w:rFonts w:ascii="Times New Roman" w:hAnsi="Times New Roman"/>
          <w:color w:val="000000"/>
          <w:sz w:val="24"/>
          <w:szCs w:val="24"/>
          <w:lang w:val="en-GB"/>
        </w:rPr>
        <w:t xml:space="preserve"> (2010) and suggests that experimentation with digital business models reduce value capture. However, a simple correlation with average values needs to be treated with caution as the recorded music industry has suffered subsequent negative disruptions (i.e. file sharing, broadband, economic crisis) which are the main causes for the decline in sales. During this period of time it could be argued that business model experimentation could actually be softening this decline in sales. </w:t>
      </w:r>
    </w:p>
    <w:p w14:paraId="2F772406" w14:textId="77777777" w:rsidR="0088222F" w:rsidRDefault="0088222F" w:rsidP="0088222F">
      <w:pPr>
        <w:spacing w:after="0" w:line="240" w:lineRule="auto"/>
        <w:jc w:val="both"/>
        <w:rPr>
          <w:rFonts w:ascii="Times New Roman" w:hAnsi="Times New Roman"/>
          <w:color w:val="000000"/>
          <w:sz w:val="24"/>
          <w:szCs w:val="24"/>
          <w:lang w:val="en-GB"/>
        </w:rPr>
      </w:pPr>
    </w:p>
    <w:p w14:paraId="0EFC3D61" w14:textId="77777777" w:rsidR="0088222F" w:rsidRDefault="0088222F" w:rsidP="0088222F">
      <w:pPr>
        <w:spacing w:after="0" w:line="240" w:lineRule="auto"/>
        <w:jc w:val="both"/>
        <w:rPr>
          <w:rFonts w:ascii="Times New Roman" w:hAnsi="Times New Roman"/>
          <w:color w:val="000000"/>
          <w:sz w:val="24"/>
          <w:szCs w:val="24"/>
          <w:lang w:val="en-GB"/>
        </w:rPr>
      </w:pPr>
    </w:p>
    <w:p w14:paraId="62DDED39" w14:textId="08ADCF74" w:rsidR="000C7B10" w:rsidRDefault="0088222F" w:rsidP="0088222F">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&lt;</w:t>
      </w:r>
      <w:r w:rsidR="000C7B10">
        <w:rPr>
          <w:rFonts w:ascii="Times New Roman" w:hAnsi="Times New Roman"/>
          <w:color w:val="000000"/>
          <w:sz w:val="24"/>
          <w:szCs w:val="24"/>
          <w:lang w:val="en-GB"/>
        </w:rPr>
        <w:t>INSERT TABLE 3 ABOUT HERE</w:t>
      </w:r>
      <w:r>
        <w:rPr>
          <w:rFonts w:ascii="Times New Roman" w:hAnsi="Times New Roman"/>
          <w:color w:val="000000"/>
          <w:sz w:val="24"/>
          <w:szCs w:val="24"/>
          <w:lang w:val="en-GB"/>
        </w:rPr>
        <w:t>&gt;</w:t>
      </w:r>
    </w:p>
    <w:p w14:paraId="6AB4ECFE" w14:textId="77777777" w:rsidR="000C7B10" w:rsidRDefault="000C7B10" w:rsidP="0088222F">
      <w:pPr>
        <w:spacing w:after="0" w:line="240" w:lineRule="auto"/>
        <w:jc w:val="both"/>
        <w:rPr>
          <w:rFonts w:ascii="Times New Roman" w:hAnsi="Times New Roman"/>
          <w:color w:val="000000"/>
          <w:sz w:val="24"/>
          <w:szCs w:val="24"/>
          <w:lang w:val="en-GB"/>
        </w:rPr>
      </w:pPr>
    </w:p>
    <w:p w14:paraId="4C61E58D" w14:textId="77777777" w:rsidR="0088222F" w:rsidRDefault="0088222F" w:rsidP="0088222F">
      <w:pPr>
        <w:spacing w:after="0" w:line="240" w:lineRule="auto"/>
        <w:jc w:val="both"/>
        <w:rPr>
          <w:rFonts w:ascii="Times New Roman" w:hAnsi="Times New Roman"/>
          <w:color w:val="000000"/>
          <w:sz w:val="24"/>
          <w:szCs w:val="24"/>
          <w:lang w:val="en-GB"/>
        </w:rPr>
      </w:pPr>
    </w:p>
    <w:p w14:paraId="6FBEB2D7" w14:textId="175253B4" w:rsidR="00184458" w:rsidRPr="006F55DD" w:rsidRDefault="00184458" w:rsidP="0088222F">
      <w:pPr>
        <w:spacing w:after="0" w:line="240" w:lineRule="auto"/>
        <w:jc w:val="both"/>
        <w:rPr>
          <w:rFonts w:ascii="Times New Roman" w:hAnsi="Times New Roman"/>
          <w:color w:val="000000"/>
          <w:sz w:val="24"/>
          <w:szCs w:val="24"/>
          <w:lang w:val="en-GB"/>
        </w:rPr>
      </w:pPr>
      <w:r w:rsidRPr="006F55DD">
        <w:rPr>
          <w:rFonts w:ascii="Times New Roman" w:hAnsi="Times New Roman"/>
          <w:color w:val="000000"/>
          <w:sz w:val="24"/>
          <w:szCs w:val="24"/>
          <w:lang w:val="en-GB"/>
        </w:rPr>
        <w:t>It is possible to test whether the sharp decline in sales was reduced in those markets with more business model experimentation by implementing the multivariate a</w:t>
      </w:r>
      <w:r w:rsidR="005D7EAC">
        <w:rPr>
          <w:rFonts w:ascii="Times New Roman" w:hAnsi="Times New Roman"/>
          <w:color w:val="000000"/>
          <w:sz w:val="24"/>
          <w:szCs w:val="24"/>
          <w:lang w:val="en-GB"/>
        </w:rPr>
        <w:t xml:space="preserve">nalysis shown in Equation (2). </w:t>
      </w:r>
      <w:r w:rsidRPr="006F55DD">
        <w:rPr>
          <w:rFonts w:ascii="Times New Roman" w:hAnsi="Times New Roman"/>
          <w:color w:val="000000"/>
          <w:sz w:val="24"/>
          <w:szCs w:val="24"/>
          <w:lang w:val="en-GB"/>
        </w:rPr>
        <w:t>This analysis includes control variables and deals with country and year heterogeneity. Table 3 makes estimations for the full sample (all years) and the periods 1999–2004, 2005–2007 and 2008–2010 independently. The test explores the influence of the ex</w:t>
      </w:r>
      <w:r w:rsidR="00636436">
        <w:rPr>
          <w:rFonts w:ascii="Times New Roman" w:hAnsi="Times New Roman"/>
          <w:color w:val="000000"/>
          <w:sz w:val="24"/>
          <w:szCs w:val="24"/>
          <w:lang w:val="en-GB"/>
        </w:rPr>
        <w:t xml:space="preserve">planatory variables over time. </w:t>
      </w:r>
    </w:p>
    <w:p w14:paraId="6489EF7A" w14:textId="43D68007" w:rsidR="005D7EAC" w:rsidRPr="006F55DD" w:rsidRDefault="005D7EAC" w:rsidP="00791F78">
      <w:pPr>
        <w:spacing w:after="0" w:line="240" w:lineRule="auto"/>
        <w:ind w:firstLine="426"/>
        <w:jc w:val="both"/>
        <w:rPr>
          <w:rFonts w:ascii="Times New Roman" w:hAnsi="Times New Roman"/>
          <w:color w:val="000000"/>
          <w:sz w:val="24"/>
          <w:szCs w:val="24"/>
          <w:lang w:val="en-GB"/>
        </w:rPr>
      </w:pPr>
      <w:r w:rsidRPr="006F55DD">
        <w:rPr>
          <w:rFonts w:ascii="Times New Roman" w:hAnsi="Times New Roman"/>
          <w:color w:val="000000"/>
          <w:sz w:val="24"/>
          <w:szCs w:val="24"/>
          <w:lang w:val="en-GB"/>
        </w:rPr>
        <w:t xml:space="preserve">That </w:t>
      </w:r>
      <w:r w:rsidRPr="006F55DD">
        <w:rPr>
          <w:rFonts w:ascii="Times New Roman" w:hAnsi="Times New Roman"/>
          <w:i/>
          <w:color w:val="000000"/>
          <w:sz w:val="24"/>
          <w:szCs w:val="24"/>
          <w:lang w:val="en-GB"/>
        </w:rPr>
        <w:t>β</w:t>
      </w:r>
      <w:r w:rsidRPr="006F55DD">
        <w:rPr>
          <w:rFonts w:ascii="Times New Roman" w:hAnsi="Times New Roman"/>
          <w:i/>
          <w:color w:val="000000"/>
          <w:sz w:val="24"/>
          <w:szCs w:val="24"/>
          <w:vertAlign w:val="subscript"/>
          <w:lang w:val="en-GB"/>
        </w:rPr>
        <w:t>1</w:t>
      </w:r>
      <w:r w:rsidRPr="006F55DD">
        <w:rPr>
          <w:rFonts w:ascii="Times New Roman" w:hAnsi="Times New Roman"/>
          <w:color w:val="000000"/>
          <w:sz w:val="24"/>
          <w:szCs w:val="24"/>
          <w:vertAlign w:val="subscript"/>
          <w:lang w:val="en-GB"/>
        </w:rPr>
        <w:t xml:space="preserve"> </w:t>
      </w:r>
      <w:r w:rsidRPr="006F55DD">
        <w:rPr>
          <w:rFonts w:ascii="Times New Roman" w:hAnsi="Times New Roman"/>
          <w:color w:val="000000"/>
          <w:sz w:val="24"/>
          <w:szCs w:val="24"/>
          <w:lang w:val="en-GB"/>
        </w:rPr>
        <w:t>equals zero cannot be rejected at the usual levels of significance for the full sample and the subsamples analysing 2005–2007 and 2008-2010 periods. In the initial period, 1999–2004, a negative and significant (p&lt;0.10) relationship between Format Density and sales per capita is found. A decrease of 1 unit in the Format Density index implies an increase of sales per capita of 2.47 percent</w:t>
      </w:r>
      <w:r w:rsidRPr="006F55DD">
        <w:rPr>
          <w:rStyle w:val="FootnoteReference"/>
          <w:rFonts w:ascii="Times New Roman" w:hAnsi="Times New Roman"/>
          <w:color w:val="000000"/>
          <w:sz w:val="24"/>
          <w:szCs w:val="24"/>
          <w:lang w:val="en-GB"/>
        </w:rPr>
        <w:footnoteReference w:id="11"/>
      </w:r>
      <w:r w:rsidRPr="006F55DD">
        <w:rPr>
          <w:rFonts w:ascii="Times New Roman" w:hAnsi="Times New Roman"/>
          <w:color w:val="000000"/>
          <w:sz w:val="24"/>
          <w:szCs w:val="24"/>
          <w:lang w:val="en-GB"/>
        </w:rPr>
        <w:t xml:space="preserve">. In sum, in the results in Table 3 </w:t>
      </w:r>
      <w:r w:rsidRPr="006F55DD">
        <w:rPr>
          <w:rFonts w:ascii="Times New Roman" w:hAnsi="Times New Roman"/>
          <w:i/>
          <w:color w:val="000000"/>
          <w:sz w:val="24"/>
          <w:szCs w:val="24"/>
          <w:lang w:val="en-GB"/>
        </w:rPr>
        <w:t>β</w:t>
      </w:r>
      <w:r w:rsidRPr="006F55DD">
        <w:rPr>
          <w:rFonts w:ascii="Times New Roman" w:hAnsi="Times New Roman"/>
          <w:i/>
          <w:color w:val="000000"/>
          <w:sz w:val="24"/>
          <w:szCs w:val="24"/>
          <w:vertAlign w:val="subscript"/>
          <w:lang w:val="en-GB"/>
        </w:rPr>
        <w:t>1</w:t>
      </w:r>
      <w:r w:rsidRPr="006F55DD">
        <w:rPr>
          <w:rFonts w:ascii="Times New Roman" w:hAnsi="Times New Roman"/>
          <w:color w:val="000000"/>
          <w:sz w:val="24"/>
          <w:szCs w:val="24"/>
          <w:lang w:val="en-GB"/>
        </w:rPr>
        <w:t xml:space="preserve"> equals to zero or is negative, depending on the period </w:t>
      </w:r>
      <w:proofErr w:type="spellStart"/>
      <w:r w:rsidRPr="006F55DD">
        <w:rPr>
          <w:rFonts w:ascii="Times New Roman" w:hAnsi="Times New Roman"/>
          <w:color w:val="000000"/>
          <w:sz w:val="24"/>
          <w:szCs w:val="24"/>
          <w:lang w:val="en-GB"/>
        </w:rPr>
        <w:t>analyzed</w:t>
      </w:r>
      <w:proofErr w:type="spellEnd"/>
      <w:r w:rsidRPr="006F55DD">
        <w:rPr>
          <w:rFonts w:ascii="Times New Roman" w:hAnsi="Times New Roman"/>
          <w:color w:val="000000"/>
          <w:sz w:val="24"/>
          <w:szCs w:val="24"/>
          <w:lang w:val="en-GB"/>
        </w:rPr>
        <w:t xml:space="preserve">, which give partial support to our empirical hypothesis. </w:t>
      </w:r>
      <w:r w:rsidR="00F123E0" w:rsidRPr="006F55DD">
        <w:rPr>
          <w:rFonts w:ascii="Times New Roman" w:hAnsi="Times New Roman"/>
          <w:color w:val="000000"/>
          <w:sz w:val="24"/>
          <w:szCs w:val="24"/>
          <w:lang w:val="en-GB"/>
        </w:rPr>
        <w:t>Therefore,</w:t>
      </w:r>
      <w:r w:rsidRPr="006F55DD">
        <w:rPr>
          <w:rFonts w:ascii="Times New Roman" w:hAnsi="Times New Roman"/>
          <w:color w:val="000000"/>
          <w:sz w:val="24"/>
          <w:szCs w:val="24"/>
          <w:lang w:val="en-GB"/>
        </w:rPr>
        <w:t xml:space="preserve"> H1 is accepted for the period 1999-2004 and rejected for the other sub-periods and for the full period. </w:t>
      </w:r>
    </w:p>
    <w:p w14:paraId="49C70E3B" w14:textId="11158CF6" w:rsidR="005D7EAC" w:rsidRDefault="005D7EAC" w:rsidP="00791F78">
      <w:pPr>
        <w:spacing w:after="0" w:line="240" w:lineRule="auto"/>
        <w:ind w:firstLine="426"/>
        <w:jc w:val="both"/>
        <w:rPr>
          <w:rFonts w:ascii="Times New Roman" w:hAnsi="Times New Roman"/>
          <w:color w:val="000000"/>
          <w:sz w:val="24"/>
          <w:szCs w:val="24"/>
          <w:lang w:val="en-GB"/>
        </w:rPr>
      </w:pPr>
      <w:r w:rsidRPr="006F55DD">
        <w:rPr>
          <w:rFonts w:ascii="Times New Roman" w:hAnsi="Times New Roman"/>
          <w:color w:val="000000"/>
          <w:sz w:val="24"/>
          <w:szCs w:val="24"/>
          <w:lang w:val="en-GB"/>
        </w:rPr>
        <w:t>In discussion as to why the result is only significant during the first period we need to look at specificiti</w:t>
      </w:r>
      <w:r w:rsidR="00C22177">
        <w:rPr>
          <w:rFonts w:ascii="Times New Roman" w:hAnsi="Times New Roman"/>
          <w:color w:val="000000"/>
          <w:sz w:val="24"/>
          <w:szCs w:val="24"/>
          <w:lang w:val="en-GB"/>
        </w:rPr>
        <w:t xml:space="preserve">es. According to </w:t>
      </w:r>
      <w:proofErr w:type="spellStart"/>
      <w:r w:rsidR="00C22177">
        <w:rPr>
          <w:rFonts w:ascii="Times New Roman" w:hAnsi="Times New Roman"/>
          <w:color w:val="000000"/>
          <w:sz w:val="24"/>
          <w:szCs w:val="24"/>
          <w:lang w:val="en-GB"/>
        </w:rPr>
        <w:t>Liebowitz</w:t>
      </w:r>
      <w:proofErr w:type="spellEnd"/>
      <w:r w:rsidR="00C22177">
        <w:rPr>
          <w:rFonts w:ascii="Times New Roman" w:hAnsi="Times New Roman"/>
          <w:color w:val="000000"/>
          <w:sz w:val="24"/>
          <w:szCs w:val="24"/>
          <w:lang w:val="en-GB"/>
        </w:rPr>
        <w:t xml:space="preserve"> (2016</w:t>
      </w:r>
      <w:r w:rsidRPr="006F55DD">
        <w:rPr>
          <w:rFonts w:ascii="Times New Roman" w:hAnsi="Times New Roman"/>
          <w:color w:val="000000"/>
          <w:sz w:val="24"/>
          <w:szCs w:val="24"/>
          <w:lang w:val="en-GB"/>
        </w:rPr>
        <w:t>) business model experimentation remained low during the period 1999–2004. At this time the market was dominated by a single format, the CD, an</w:t>
      </w:r>
      <w:r>
        <w:rPr>
          <w:rFonts w:ascii="Times New Roman" w:hAnsi="Times New Roman"/>
          <w:color w:val="000000"/>
          <w:sz w:val="24"/>
          <w:szCs w:val="24"/>
          <w:lang w:val="en-GB"/>
        </w:rPr>
        <w:t xml:space="preserve">d was physical sales oriented. </w:t>
      </w:r>
      <w:r w:rsidRPr="006F55DD">
        <w:rPr>
          <w:rFonts w:ascii="Times New Roman" w:hAnsi="Times New Roman"/>
          <w:color w:val="000000"/>
          <w:sz w:val="24"/>
          <w:szCs w:val="24"/>
          <w:lang w:val="en-GB"/>
        </w:rPr>
        <w:t xml:space="preserve">Digital music was a new phenomenon and digital business models had not yet been developed. This implies that, consistent with </w:t>
      </w:r>
      <w:proofErr w:type="spellStart"/>
      <w:r w:rsidRPr="006F55DD">
        <w:rPr>
          <w:rFonts w:ascii="Times New Roman" w:hAnsi="Times New Roman"/>
          <w:color w:val="000000"/>
          <w:sz w:val="24"/>
          <w:szCs w:val="24"/>
          <w:lang w:val="en-GB"/>
        </w:rPr>
        <w:t>Fosfuri</w:t>
      </w:r>
      <w:proofErr w:type="spellEnd"/>
      <w:r w:rsidRPr="006F55DD">
        <w:rPr>
          <w:rFonts w:ascii="Times New Roman" w:hAnsi="Times New Roman"/>
          <w:color w:val="000000"/>
          <w:sz w:val="24"/>
          <w:szCs w:val="24"/>
          <w:lang w:val="en-GB"/>
        </w:rPr>
        <w:t xml:space="preserve"> et al. (2013), first movers in digital experimentation had better sales results which would provide a moderating force to the industry sales decline. </w:t>
      </w:r>
    </w:p>
    <w:p w14:paraId="01DFE037" w14:textId="26A32F36" w:rsidR="00184458" w:rsidRPr="009E474E" w:rsidRDefault="00184458" w:rsidP="00791F78">
      <w:pPr>
        <w:spacing w:after="0" w:line="240" w:lineRule="auto"/>
        <w:ind w:firstLine="426"/>
        <w:jc w:val="both"/>
        <w:rPr>
          <w:rFonts w:ascii="Times New Roman" w:hAnsi="Times New Roman"/>
          <w:sz w:val="24"/>
          <w:szCs w:val="24"/>
          <w:lang w:val="en-GB"/>
        </w:rPr>
      </w:pPr>
      <w:r w:rsidRPr="006F55DD">
        <w:rPr>
          <w:rFonts w:ascii="Times New Roman" w:hAnsi="Times New Roman"/>
          <w:color w:val="000000"/>
          <w:sz w:val="24"/>
          <w:szCs w:val="24"/>
          <w:lang w:val="en-GB"/>
        </w:rPr>
        <w:t>The results in Table 3 are based on the assumption that the relationship between business model diversity and revenue per capita is linear. This might not be the case if business model diversity has barriers to implementation. One of those barriers would be market resistance to change from a well-established situation, identified by Suarez et al. (2013) in the implementation of service business models in the US software industry. In the context of the recorded music industry a dominant format (i.e. CD) with a strong network effect would not be easy to rapidly substitute. However, a wide range of new digital formats</w:t>
      </w:r>
      <w:r w:rsidR="00564F15">
        <w:rPr>
          <w:rFonts w:ascii="Times New Roman" w:hAnsi="Times New Roman"/>
          <w:color w:val="000000"/>
          <w:sz w:val="24"/>
          <w:szCs w:val="24"/>
          <w:lang w:val="en-GB"/>
        </w:rPr>
        <w:t xml:space="preserve"> </w:t>
      </w:r>
      <w:r w:rsidR="00564F15" w:rsidRPr="00C6736C">
        <w:rPr>
          <w:rFonts w:ascii="Times New Roman" w:hAnsi="Times New Roman"/>
          <w:sz w:val="24"/>
          <w:szCs w:val="24"/>
          <w:lang w:val="en-GB"/>
        </w:rPr>
        <w:t>(i.e. downloads, streaming, etc.)</w:t>
      </w:r>
      <w:r w:rsidRPr="00C6736C">
        <w:rPr>
          <w:rFonts w:ascii="Times New Roman" w:hAnsi="Times New Roman"/>
          <w:sz w:val="24"/>
          <w:szCs w:val="24"/>
          <w:lang w:val="en-GB"/>
        </w:rPr>
        <w:t xml:space="preserve"> </w:t>
      </w:r>
      <w:r w:rsidR="00564F15" w:rsidRPr="00C6736C">
        <w:rPr>
          <w:rFonts w:ascii="Times New Roman" w:hAnsi="Times New Roman"/>
          <w:sz w:val="24"/>
          <w:szCs w:val="24"/>
          <w:lang w:val="en-GB"/>
        </w:rPr>
        <w:t xml:space="preserve">coupled with </w:t>
      </w:r>
      <w:r w:rsidR="00857A63" w:rsidRPr="00C6736C">
        <w:rPr>
          <w:rFonts w:ascii="Times New Roman" w:hAnsi="Times New Roman"/>
          <w:sz w:val="24"/>
          <w:szCs w:val="24"/>
          <w:lang w:val="en-GB"/>
        </w:rPr>
        <w:t xml:space="preserve">small numbers of consumer </w:t>
      </w:r>
      <w:r w:rsidR="00564F15" w:rsidRPr="00C6736C">
        <w:rPr>
          <w:rFonts w:ascii="Times New Roman" w:hAnsi="Times New Roman"/>
          <w:sz w:val="24"/>
          <w:szCs w:val="24"/>
          <w:lang w:val="en-GB"/>
        </w:rPr>
        <w:t xml:space="preserve">returning </w:t>
      </w:r>
      <w:r w:rsidR="00857A63" w:rsidRPr="00C6736C">
        <w:rPr>
          <w:rFonts w:ascii="Times New Roman" w:hAnsi="Times New Roman"/>
          <w:sz w:val="24"/>
          <w:szCs w:val="24"/>
          <w:lang w:val="en-GB"/>
        </w:rPr>
        <w:t xml:space="preserve">to older </w:t>
      </w:r>
      <w:r w:rsidR="00564F15" w:rsidRPr="00C6736C">
        <w:rPr>
          <w:rFonts w:ascii="Times New Roman" w:hAnsi="Times New Roman"/>
          <w:sz w:val="24"/>
          <w:szCs w:val="24"/>
          <w:lang w:val="en-GB"/>
        </w:rPr>
        <w:t xml:space="preserve">modes of listening to music (i.e. </w:t>
      </w:r>
      <w:r w:rsidR="00857A63" w:rsidRPr="00C6736C">
        <w:rPr>
          <w:rFonts w:ascii="Times New Roman" w:hAnsi="Times New Roman"/>
          <w:sz w:val="24"/>
          <w:szCs w:val="24"/>
          <w:lang w:val="en-GB"/>
        </w:rPr>
        <w:t>vinyl</w:t>
      </w:r>
      <w:r w:rsidR="00C6736C" w:rsidRPr="00C6736C">
        <w:rPr>
          <w:rFonts w:ascii="Times New Roman" w:hAnsi="Times New Roman"/>
          <w:sz w:val="24"/>
          <w:szCs w:val="24"/>
          <w:lang w:val="en-GB"/>
        </w:rPr>
        <w:t>)</w:t>
      </w:r>
      <w:r w:rsidR="00564F15" w:rsidRPr="00C6736C">
        <w:rPr>
          <w:rFonts w:ascii="Times New Roman" w:hAnsi="Times New Roman"/>
          <w:sz w:val="24"/>
          <w:szCs w:val="24"/>
          <w:lang w:val="en-GB"/>
        </w:rPr>
        <w:t xml:space="preserve"> </w:t>
      </w:r>
      <w:r w:rsidRPr="00C6736C">
        <w:rPr>
          <w:rFonts w:ascii="Times New Roman" w:hAnsi="Times New Roman"/>
          <w:sz w:val="24"/>
          <w:szCs w:val="24"/>
          <w:lang w:val="en-GB"/>
        </w:rPr>
        <w:t>offer consumers many options which are suitable for different contexts, producing a taster effect</w:t>
      </w:r>
      <w:r w:rsidR="00564F15" w:rsidRPr="00C6736C">
        <w:rPr>
          <w:rFonts w:ascii="Times New Roman" w:hAnsi="Times New Roman"/>
          <w:sz w:val="24"/>
          <w:szCs w:val="24"/>
          <w:lang w:val="en-GB"/>
        </w:rPr>
        <w:t xml:space="preserve"> (</w:t>
      </w:r>
      <w:proofErr w:type="spellStart"/>
      <w:r w:rsidR="00564F15" w:rsidRPr="00C6736C">
        <w:rPr>
          <w:rFonts w:ascii="Times New Roman" w:hAnsi="Times New Roman"/>
          <w:sz w:val="24"/>
          <w:szCs w:val="24"/>
          <w:lang w:val="en-GB"/>
        </w:rPr>
        <w:t>Nokelainen</w:t>
      </w:r>
      <w:proofErr w:type="spellEnd"/>
      <w:r w:rsidR="00564F15" w:rsidRPr="00C6736C">
        <w:rPr>
          <w:rFonts w:ascii="Times New Roman" w:hAnsi="Times New Roman"/>
          <w:sz w:val="24"/>
          <w:szCs w:val="24"/>
          <w:lang w:val="en-GB"/>
        </w:rPr>
        <w:t xml:space="preserve"> and </w:t>
      </w:r>
      <w:proofErr w:type="spellStart"/>
      <w:r w:rsidR="00564F15" w:rsidRPr="00C6736C">
        <w:rPr>
          <w:rFonts w:ascii="Times New Roman" w:hAnsi="Times New Roman"/>
          <w:sz w:val="24"/>
          <w:szCs w:val="24"/>
          <w:lang w:val="en-GB"/>
        </w:rPr>
        <w:t>Dedehayir</w:t>
      </w:r>
      <w:proofErr w:type="spellEnd"/>
      <w:r w:rsidR="00564F15" w:rsidRPr="00C6736C">
        <w:rPr>
          <w:rFonts w:ascii="Times New Roman" w:hAnsi="Times New Roman"/>
          <w:sz w:val="24"/>
          <w:szCs w:val="24"/>
          <w:lang w:val="en-GB"/>
        </w:rPr>
        <w:t>, 2015)</w:t>
      </w:r>
      <w:r w:rsidRPr="00C6736C">
        <w:rPr>
          <w:rFonts w:ascii="Times New Roman" w:hAnsi="Times New Roman"/>
          <w:sz w:val="24"/>
          <w:szCs w:val="24"/>
          <w:lang w:val="en-GB"/>
        </w:rPr>
        <w:t>. In this scenario two opposite forces act (networ</w:t>
      </w:r>
      <w:r w:rsidRPr="006F55DD">
        <w:rPr>
          <w:rFonts w:ascii="Times New Roman" w:hAnsi="Times New Roman"/>
          <w:color w:val="000000"/>
          <w:sz w:val="24"/>
          <w:szCs w:val="24"/>
          <w:lang w:val="en-GB"/>
        </w:rPr>
        <w:t>k effect Vs taster effect) and a U-shaped form better describes the relation</w:t>
      </w:r>
      <w:r w:rsidR="00857A63">
        <w:rPr>
          <w:rFonts w:ascii="Times New Roman" w:hAnsi="Times New Roman"/>
          <w:color w:val="000000"/>
          <w:sz w:val="24"/>
          <w:szCs w:val="24"/>
          <w:lang w:val="en-GB"/>
        </w:rPr>
        <w:t>ship</w:t>
      </w:r>
      <w:r w:rsidRPr="006F55DD">
        <w:rPr>
          <w:rFonts w:ascii="Times New Roman" w:hAnsi="Times New Roman"/>
          <w:color w:val="000000"/>
          <w:sz w:val="24"/>
          <w:szCs w:val="24"/>
          <w:lang w:val="en-GB"/>
        </w:rPr>
        <w:t xml:space="preserve"> between business model experimentation and revenue per capita. </w:t>
      </w:r>
      <w:r w:rsidR="00030873">
        <w:rPr>
          <w:rFonts w:ascii="Times New Roman" w:hAnsi="Times New Roman"/>
          <w:sz w:val="24"/>
          <w:szCs w:val="24"/>
          <w:lang w:val="en-GB"/>
        </w:rPr>
        <w:t>W</w:t>
      </w:r>
      <w:r w:rsidR="009E474E" w:rsidRPr="009E474E">
        <w:rPr>
          <w:rFonts w:ascii="Times New Roman" w:hAnsi="Times New Roman"/>
          <w:sz w:val="24"/>
          <w:szCs w:val="24"/>
          <w:lang w:val="en-GB"/>
        </w:rPr>
        <w:t>hilst research is silent on the relationship between business model experimentation and value capture, previous research has already identified a U-shaped relationship between business model innovation and various forms of outcomes such as firm survival (</w:t>
      </w:r>
      <w:proofErr w:type="spellStart"/>
      <w:r w:rsidR="009E474E" w:rsidRPr="009E474E">
        <w:rPr>
          <w:rFonts w:ascii="Times New Roman" w:hAnsi="Times New Roman"/>
          <w:sz w:val="24"/>
          <w:szCs w:val="24"/>
          <w:lang w:val="en-GB"/>
        </w:rPr>
        <w:t>Velu</w:t>
      </w:r>
      <w:proofErr w:type="spellEnd"/>
      <w:r w:rsidR="009E474E" w:rsidRPr="009E474E">
        <w:rPr>
          <w:rFonts w:ascii="Times New Roman" w:hAnsi="Times New Roman"/>
          <w:sz w:val="24"/>
          <w:szCs w:val="24"/>
          <w:lang w:val="en-GB"/>
        </w:rPr>
        <w:t>, 2015) and firm profitability (Suarez et</w:t>
      </w:r>
      <w:r w:rsidR="00F2646D">
        <w:rPr>
          <w:rFonts w:ascii="Times New Roman" w:hAnsi="Times New Roman"/>
          <w:sz w:val="24"/>
          <w:szCs w:val="24"/>
          <w:lang w:val="en-GB"/>
        </w:rPr>
        <w:t xml:space="preserve"> al., 2013</w:t>
      </w:r>
      <w:r w:rsidR="009E474E" w:rsidRPr="009E474E">
        <w:rPr>
          <w:rFonts w:ascii="Times New Roman" w:hAnsi="Times New Roman"/>
          <w:sz w:val="24"/>
          <w:szCs w:val="24"/>
          <w:lang w:val="en-GB"/>
        </w:rPr>
        <w:t>).</w:t>
      </w:r>
    </w:p>
    <w:p w14:paraId="04A94612" w14:textId="77777777" w:rsidR="00184458" w:rsidRPr="006F55DD" w:rsidRDefault="00184458" w:rsidP="00791F78">
      <w:pPr>
        <w:spacing w:after="0" w:line="240" w:lineRule="auto"/>
        <w:ind w:firstLine="426"/>
        <w:jc w:val="both"/>
        <w:rPr>
          <w:rFonts w:ascii="Times New Roman" w:hAnsi="Times New Roman"/>
          <w:color w:val="000000"/>
          <w:sz w:val="24"/>
          <w:szCs w:val="24"/>
          <w:lang w:val="en-GB"/>
        </w:rPr>
      </w:pPr>
      <w:r w:rsidRPr="006F55DD">
        <w:rPr>
          <w:rFonts w:ascii="Times New Roman" w:hAnsi="Times New Roman"/>
          <w:color w:val="000000"/>
          <w:sz w:val="24"/>
          <w:szCs w:val="24"/>
          <w:lang w:val="en-GB"/>
        </w:rPr>
        <w:t xml:space="preserve">Table 4 explores this proposal and introduces the parameter Format Density Squared to Equation (2). The analyses are also conducted for the full period and 1999-2004, 2005-2007 and 2008-2010 sub-periods. The results show that the estimated coefficients for Format Density and Format Density Squared are statistically significant, with the only exception being the post economic crisis period. For the full sample the significance level is 5 percent, for the sub-periods 1999-2004 and 2005-2007 the significance level is 1 percent. </w:t>
      </w:r>
    </w:p>
    <w:p w14:paraId="6CF1DAD5" w14:textId="2275312B" w:rsidR="00184458" w:rsidRDefault="00E75A92" w:rsidP="004F262B">
      <w:pPr>
        <w:spacing w:after="0" w:line="240" w:lineRule="auto"/>
        <w:ind w:firstLine="426"/>
        <w:jc w:val="both"/>
        <w:rPr>
          <w:rFonts w:ascii="Times New Roman" w:hAnsi="Times New Roman"/>
          <w:color w:val="000000"/>
          <w:sz w:val="24"/>
          <w:szCs w:val="24"/>
          <w:lang w:val="en-GB"/>
        </w:rPr>
      </w:pPr>
      <w:r>
        <w:rPr>
          <w:rFonts w:ascii="Times New Roman" w:hAnsi="Times New Roman"/>
          <w:color w:val="000000"/>
          <w:sz w:val="24"/>
          <w:szCs w:val="24"/>
          <w:lang w:val="en-GB"/>
        </w:rPr>
        <w:t xml:space="preserve">Further, </w:t>
      </w:r>
      <w:r w:rsidR="00184458" w:rsidRPr="006F55DD">
        <w:rPr>
          <w:rFonts w:ascii="Times New Roman" w:hAnsi="Times New Roman"/>
          <w:color w:val="000000"/>
          <w:sz w:val="24"/>
          <w:szCs w:val="24"/>
          <w:lang w:val="en-GB"/>
        </w:rPr>
        <w:t xml:space="preserve">Figure </w:t>
      </w:r>
      <w:r w:rsidR="00EB0C6F">
        <w:rPr>
          <w:rFonts w:ascii="Times New Roman" w:hAnsi="Times New Roman"/>
          <w:color w:val="000000"/>
          <w:sz w:val="24"/>
          <w:szCs w:val="24"/>
          <w:lang w:val="en-GB"/>
        </w:rPr>
        <w:t>2</w:t>
      </w:r>
      <w:r w:rsidR="00184458" w:rsidRPr="006F55DD">
        <w:rPr>
          <w:rFonts w:ascii="Times New Roman" w:hAnsi="Times New Roman"/>
          <w:color w:val="000000"/>
          <w:sz w:val="24"/>
          <w:szCs w:val="24"/>
          <w:lang w:val="en-GB"/>
        </w:rPr>
        <w:t xml:space="preserve"> examines the quadratic effect of Format Density for the full sample in more detail, where </w:t>
      </w:r>
      <w:r w:rsidR="00184458" w:rsidRPr="006F55DD">
        <w:rPr>
          <w:rFonts w:ascii="Times New Roman" w:hAnsi="Times New Roman"/>
          <w:i/>
          <w:color w:val="000000"/>
          <w:sz w:val="24"/>
          <w:szCs w:val="24"/>
          <w:lang w:val="en-GB"/>
        </w:rPr>
        <w:t>β</w:t>
      </w:r>
      <w:r w:rsidR="00184458" w:rsidRPr="006F55DD">
        <w:rPr>
          <w:rFonts w:ascii="Times New Roman" w:hAnsi="Times New Roman"/>
          <w:i/>
          <w:color w:val="000000"/>
          <w:sz w:val="24"/>
          <w:szCs w:val="24"/>
          <w:vertAlign w:val="subscript"/>
          <w:lang w:val="en-GB"/>
        </w:rPr>
        <w:t>1</w:t>
      </w:r>
      <w:r w:rsidR="00184458" w:rsidRPr="006F55DD">
        <w:rPr>
          <w:rFonts w:ascii="Times New Roman" w:hAnsi="Times New Roman"/>
          <w:color w:val="000000"/>
          <w:sz w:val="24"/>
          <w:szCs w:val="24"/>
          <w:lang w:val="en-GB"/>
        </w:rPr>
        <w:t>=-0.089 (p-value&lt;0.05) and the estimated parameter for Format density squared equals 0.006 (p-value&lt;0.05). The result suggests that the function is convex and hence it has a U-shaped form, suggesting that abandoning a dominant format model is not cost free.</w:t>
      </w:r>
    </w:p>
    <w:p w14:paraId="6628CB3F" w14:textId="77777777" w:rsidR="00F123E0" w:rsidRDefault="00F123E0" w:rsidP="004F262B">
      <w:pPr>
        <w:spacing w:after="0" w:line="240" w:lineRule="auto"/>
        <w:ind w:firstLine="426"/>
        <w:jc w:val="both"/>
        <w:rPr>
          <w:rFonts w:ascii="Times New Roman" w:hAnsi="Times New Roman"/>
          <w:color w:val="000000"/>
          <w:sz w:val="24"/>
          <w:szCs w:val="24"/>
          <w:lang w:val="en-GB"/>
        </w:rPr>
      </w:pPr>
    </w:p>
    <w:p w14:paraId="6CF1DC9C" w14:textId="77777777" w:rsidR="004F262B" w:rsidRDefault="004F262B" w:rsidP="004F262B">
      <w:pPr>
        <w:spacing w:after="0" w:line="240" w:lineRule="auto"/>
        <w:jc w:val="both"/>
        <w:rPr>
          <w:rFonts w:ascii="Times New Roman" w:hAnsi="Times New Roman"/>
          <w:color w:val="000000"/>
          <w:sz w:val="24"/>
          <w:szCs w:val="24"/>
          <w:lang w:val="en-GB"/>
        </w:rPr>
      </w:pPr>
    </w:p>
    <w:p w14:paraId="07FADD4F" w14:textId="794BD330" w:rsidR="00073B2A" w:rsidRDefault="0088222F" w:rsidP="004F262B">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&lt;INSERT TABLE 4 ABOUT HERE&gt;</w:t>
      </w:r>
    </w:p>
    <w:p w14:paraId="43184CC3" w14:textId="77777777" w:rsidR="0088222F" w:rsidRPr="006F55DD" w:rsidRDefault="0088222F" w:rsidP="004F262B">
      <w:pPr>
        <w:spacing w:after="0" w:line="240" w:lineRule="auto"/>
        <w:ind w:firstLine="426"/>
        <w:jc w:val="both"/>
        <w:rPr>
          <w:rFonts w:ascii="Times New Roman" w:hAnsi="Times New Roman"/>
          <w:color w:val="000000"/>
          <w:sz w:val="24"/>
          <w:szCs w:val="24"/>
          <w:lang w:val="en-GB"/>
        </w:rPr>
      </w:pPr>
    </w:p>
    <w:p w14:paraId="1798A5EC" w14:textId="77777777" w:rsidR="004F262B" w:rsidRDefault="004F262B" w:rsidP="004F262B">
      <w:pPr>
        <w:spacing w:after="0" w:line="240" w:lineRule="auto"/>
        <w:jc w:val="both"/>
        <w:rPr>
          <w:rFonts w:ascii="Times New Roman" w:hAnsi="Times New Roman"/>
          <w:color w:val="000000"/>
          <w:sz w:val="24"/>
          <w:szCs w:val="24"/>
          <w:lang w:val="en-GB"/>
        </w:rPr>
      </w:pPr>
    </w:p>
    <w:p w14:paraId="2A25DFFE" w14:textId="15A93666" w:rsidR="00FB5EB5" w:rsidRDefault="00184458" w:rsidP="004F262B">
      <w:pPr>
        <w:spacing w:after="0" w:line="240" w:lineRule="auto"/>
        <w:jc w:val="both"/>
        <w:rPr>
          <w:rFonts w:ascii="Times New Roman" w:hAnsi="Times New Roman"/>
          <w:color w:val="000000"/>
          <w:sz w:val="24"/>
          <w:szCs w:val="24"/>
          <w:lang w:val="en-GB"/>
        </w:rPr>
      </w:pPr>
      <w:r w:rsidRPr="006F55DD">
        <w:rPr>
          <w:rFonts w:ascii="Times New Roman" w:hAnsi="Times New Roman"/>
          <w:color w:val="000000"/>
          <w:sz w:val="24"/>
          <w:szCs w:val="24"/>
          <w:lang w:val="en-GB"/>
        </w:rPr>
        <w:t>Assuming that excepting Format Density (</w:t>
      </w:r>
      <w:r w:rsidRPr="006F55DD">
        <w:rPr>
          <w:rFonts w:ascii="Times New Roman" w:hAnsi="Times New Roman"/>
          <w:i/>
          <w:color w:val="000000"/>
          <w:sz w:val="24"/>
          <w:szCs w:val="24"/>
          <w:lang w:val="en-GB"/>
        </w:rPr>
        <w:t>FD</w:t>
      </w:r>
      <w:r w:rsidRPr="006F55DD">
        <w:rPr>
          <w:rFonts w:ascii="Times New Roman" w:hAnsi="Times New Roman"/>
          <w:color w:val="000000"/>
          <w:sz w:val="24"/>
          <w:szCs w:val="24"/>
          <w:lang w:val="en-GB"/>
        </w:rPr>
        <w:t xml:space="preserve">) the rest of independent variables remain constant, the minimum through a first differentiation of the function is calculated: </w:t>
      </w:r>
      <w:r w:rsidRPr="006F55DD">
        <w:rPr>
          <w:rFonts w:ascii="Times New Roman" w:hAnsi="Times New Roman"/>
          <w:i/>
          <w:color w:val="000000"/>
          <w:sz w:val="24"/>
          <w:szCs w:val="24"/>
          <w:lang w:val="en-GB"/>
        </w:rPr>
        <w:t>f(FD) =</w:t>
      </w:r>
      <w:r>
        <w:rPr>
          <w:rFonts w:ascii="Times New Roman" w:hAnsi="Times New Roman"/>
          <w:i/>
          <w:color w:val="000000"/>
          <w:sz w:val="24"/>
          <w:szCs w:val="24"/>
          <w:lang w:val="en-GB"/>
        </w:rPr>
        <w:t xml:space="preserve">          </w:t>
      </w:r>
      <w:r w:rsidRPr="006F55DD">
        <w:rPr>
          <w:rFonts w:ascii="Times New Roman" w:hAnsi="Times New Roman"/>
          <w:i/>
          <w:color w:val="000000"/>
          <w:sz w:val="24"/>
          <w:szCs w:val="24"/>
          <w:lang w:val="en-GB"/>
        </w:rPr>
        <w:t xml:space="preserve"> -</w:t>
      </w:r>
      <w:r>
        <w:rPr>
          <w:rFonts w:ascii="Times New Roman" w:hAnsi="Times New Roman"/>
          <w:i/>
          <w:color w:val="000000"/>
          <w:sz w:val="24"/>
          <w:szCs w:val="24"/>
          <w:lang w:val="en-GB"/>
        </w:rPr>
        <w:t xml:space="preserve"> </w:t>
      </w:r>
      <w:r w:rsidRPr="006F55DD">
        <w:rPr>
          <w:rFonts w:ascii="Times New Roman" w:hAnsi="Times New Roman"/>
          <w:i/>
          <w:color w:val="000000"/>
          <w:sz w:val="24"/>
          <w:szCs w:val="24"/>
          <w:lang w:val="en-GB"/>
        </w:rPr>
        <w:t>0.089FD+ 0.006FD</w:t>
      </w:r>
      <w:r w:rsidRPr="006F55DD">
        <w:rPr>
          <w:rFonts w:ascii="Times New Roman" w:hAnsi="Times New Roman"/>
          <w:i/>
          <w:color w:val="000000"/>
          <w:sz w:val="24"/>
          <w:szCs w:val="24"/>
          <w:vertAlign w:val="superscript"/>
          <w:lang w:val="en-GB"/>
        </w:rPr>
        <w:t>2</w:t>
      </w:r>
      <w:r w:rsidRPr="006F55DD">
        <w:rPr>
          <w:rFonts w:ascii="Times New Roman" w:hAnsi="Times New Roman"/>
          <w:color w:val="000000"/>
          <w:sz w:val="24"/>
          <w:szCs w:val="24"/>
          <w:lang w:val="en-GB"/>
        </w:rPr>
        <w:t xml:space="preserve">; </w:t>
      </w:r>
      <w:r w:rsidRPr="006F55DD">
        <w:rPr>
          <w:rFonts w:ascii="Times New Roman" w:hAnsi="Times New Roman"/>
          <w:i/>
          <w:color w:val="000000"/>
          <w:sz w:val="24"/>
          <w:szCs w:val="24"/>
          <w:lang w:val="en-GB"/>
        </w:rPr>
        <w:t>f’(FD) = -0.089 +0.012FD=0</w:t>
      </w:r>
      <w:r w:rsidRPr="006F55DD">
        <w:rPr>
          <w:rFonts w:ascii="Times New Roman" w:hAnsi="Times New Roman"/>
          <w:color w:val="000000"/>
          <w:sz w:val="24"/>
          <w:szCs w:val="24"/>
          <w:lang w:val="en-GB"/>
        </w:rPr>
        <w:t xml:space="preserve">; </w:t>
      </w:r>
      <w:r w:rsidRPr="006F55DD">
        <w:rPr>
          <w:rFonts w:ascii="Times New Roman" w:hAnsi="Times New Roman"/>
          <w:i/>
          <w:color w:val="000000"/>
          <w:sz w:val="24"/>
          <w:szCs w:val="24"/>
          <w:lang w:val="en-GB"/>
        </w:rPr>
        <w:t>FD</w:t>
      </w:r>
      <w:r w:rsidRPr="006F55DD">
        <w:rPr>
          <w:rFonts w:ascii="Times New Roman" w:hAnsi="Times New Roman"/>
          <w:i/>
          <w:color w:val="000000"/>
          <w:sz w:val="24"/>
          <w:szCs w:val="24"/>
          <w:vertAlign w:val="superscript"/>
          <w:lang w:val="en-GB"/>
        </w:rPr>
        <w:t>*</w:t>
      </w:r>
      <w:r w:rsidRPr="006F55DD">
        <w:rPr>
          <w:rFonts w:ascii="Times New Roman" w:hAnsi="Times New Roman"/>
          <w:i/>
          <w:color w:val="000000"/>
          <w:sz w:val="24"/>
          <w:szCs w:val="24"/>
          <w:lang w:val="en-GB"/>
        </w:rPr>
        <w:t>=7.41</w:t>
      </w:r>
      <w:r w:rsidRPr="006F55DD">
        <w:rPr>
          <w:rFonts w:ascii="Times New Roman" w:hAnsi="Times New Roman"/>
          <w:color w:val="000000"/>
          <w:sz w:val="24"/>
          <w:szCs w:val="24"/>
          <w:lang w:val="en-GB"/>
        </w:rPr>
        <w:t xml:space="preserve">. Format Density value 7.41 indicates the point of minimum revenue. According to the estimate for the full sample any shift of the index from this mid-point will increase revenue. Therefore, the Hypothesis H1, can be accepted when Format Density is equal or smaller than 7.41. The same procedure can be performed for both subsamples, suggesting that the Format density level that produces the minimum level of sales per capita has decreased from 7.80 in the sub-period 1999-2004 to 5.77 in the sub-period 2005-2007. The U-shaped result suggests that the industry should either develop strategy that moves the market towards business models based upon provision of a single dominant format or rapidly transition to offer a full diversity of formats using a broad range of business models. </w:t>
      </w:r>
    </w:p>
    <w:p w14:paraId="755132BC" w14:textId="1B7FC313" w:rsidR="00FB5EB5" w:rsidRDefault="00184458" w:rsidP="00791F78">
      <w:pPr>
        <w:spacing w:after="0" w:line="240" w:lineRule="auto"/>
        <w:ind w:firstLine="426"/>
        <w:jc w:val="both"/>
        <w:rPr>
          <w:rFonts w:ascii="Times New Roman" w:hAnsi="Times New Roman"/>
          <w:color w:val="000000"/>
          <w:sz w:val="24"/>
          <w:szCs w:val="24"/>
          <w:lang w:val="en-GB"/>
        </w:rPr>
      </w:pPr>
      <w:r w:rsidRPr="006F55DD">
        <w:rPr>
          <w:rFonts w:ascii="Times New Roman" w:hAnsi="Times New Roman"/>
          <w:color w:val="000000"/>
          <w:sz w:val="24"/>
          <w:szCs w:val="24"/>
          <w:lang w:val="en-GB"/>
        </w:rPr>
        <w:t>It is difficult to find a conclusive justification as to why the result is not significant post 2008. One explanation is that after much trial and error consumers and the industry may have begun to reach an optimal degree of diversification. Though non-significant, the relationship between format density and sales per capita in the 2008-2010 period follows an inverse U-shaped relationship, reaching a maximum sales per capita when formal density is 5.68, suggesting that this may be the case.</w:t>
      </w:r>
    </w:p>
    <w:p w14:paraId="30A2DD1E" w14:textId="5DE8E7B1" w:rsidR="00184458" w:rsidRDefault="005D7EAC" w:rsidP="009460C7">
      <w:pPr>
        <w:spacing w:after="0" w:line="240" w:lineRule="auto"/>
        <w:ind w:firstLine="426"/>
        <w:jc w:val="both"/>
        <w:rPr>
          <w:rFonts w:ascii="Times New Roman" w:hAnsi="Times New Roman"/>
          <w:color w:val="000000"/>
          <w:sz w:val="24"/>
          <w:szCs w:val="24"/>
          <w:lang w:val="en-GB"/>
        </w:rPr>
      </w:pPr>
      <w:r w:rsidRPr="006F55DD">
        <w:rPr>
          <w:rFonts w:ascii="Times New Roman" w:hAnsi="Times New Roman"/>
          <w:color w:val="000000"/>
          <w:sz w:val="24"/>
          <w:szCs w:val="24"/>
          <w:lang w:val="en-GB"/>
        </w:rPr>
        <w:t>Control variables provide three insightful results. First, the level of legal protection is only significant in the digital business model period, 2005-2007. According to Table 3 in that period an increase in one unit in the IPR index produces an increase in sales per capita of 6.38% (p-value&lt;0.1). In discussion as to why these results are only significant for the period 2005-2007, it is noted that in this period legislation covering IPR protection was developed that focused upon the impact of revenue loss to the creative industries (European Commission, 2010). International law did not significantly change during the subsequent period, 2008-2010, and the effect of other relevant legal measures like graduated response or blocking webpages (Flint, 2012) are not observed in the sample.  Second, our measure of social corruption and tax evasion impacts sales positively and significantly for the full period and the 1999-2004 sub-period. According to Table 3 in the full sample an increase in on</w:t>
      </w:r>
      <w:r w:rsidR="009460C7">
        <w:rPr>
          <w:rFonts w:ascii="Times New Roman" w:hAnsi="Times New Roman"/>
          <w:color w:val="000000"/>
          <w:sz w:val="24"/>
          <w:szCs w:val="24"/>
          <w:lang w:val="en-GB"/>
        </w:rPr>
        <w:t xml:space="preserve">e unit in the tax evasion index </w:t>
      </w:r>
      <w:r w:rsidRPr="006F55DD">
        <w:rPr>
          <w:rFonts w:ascii="Times New Roman" w:hAnsi="Times New Roman"/>
          <w:color w:val="000000"/>
          <w:sz w:val="24"/>
          <w:szCs w:val="24"/>
          <w:lang w:val="en-GB"/>
        </w:rPr>
        <w:t xml:space="preserve">produces an increase in sales per capita of 3.66% (p-value&lt;0.01). </w:t>
      </w:r>
    </w:p>
    <w:p w14:paraId="2C3637AF" w14:textId="77777777" w:rsidR="00FC7742" w:rsidRDefault="00FC7742" w:rsidP="00D17CD1">
      <w:pPr>
        <w:spacing w:after="0" w:line="240" w:lineRule="auto"/>
        <w:jc w:val="both"/>
        <w:rPr>
          <w:rFonts w:ascii="Times New Roman" w:hAnsi="Times New Roman"/>
          <w:color w:val="000000"/>
          <w:sz w:val="24"/>
          <w:szCs w:val="24"/>
          <w:lang w:val="en-GB"/>
        </w:rPr>
      </w:pPr>
    </w:p>
    <w:p w14:paraId="2724E0D9" w14:textId="77777777" w:rsidR="00D17CD1" w:rsidRDefault="00D17CD1" w:rsidP="002F49EA">
      <w:pPr>
        <w:spacing w:after="0" w:line="240" w:lineRule="auto"/>
        <w:jc w:val="both"/>
        <w:rPr>
          <w:rFonts w:ascii="Times New Roman" w:hAnsi="Times New Roman"/>
          <w:color w:val="000000"/>
          <w:sz w:val="24"/>
          <w:szCs w:val="24"/>
          <w:lang w:val="en-GB"/>
        </w:rPr>
      </w:pPr>
    </w:p>
    <w:p w14:paraId="4AB60BFE" w14:textId="70B12441" w:rsidR="00D17CD1" w:rsidRDefault="00D17CD1" w:rsidP="002F49EA">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&lt;INSERT FIGURE 2 ABOUT HERE&gt;</w:t>
      </w:r>
    </w:p>
    <w:p w14:paraId="521FCF43" w14:textId="77777777" w:rsidR="00D17CD1" w:rsidRDefault="00D17CD1" w:rsidP="002F49EA">
      <w:pPr>
        <w:spacing w:after="0" w:line="240" w:lineRule="auto"/>
        <w:jc w:val="both"/>
        <w:rPr>
          <w:rFonts w:ascii="Times New Roman" w:hAnsi="Times New Roman"/>
          <w:color w:val="000000"/>
          <w:sz w:val="24"/>
          <w:szCs w:val="24"/>
          <w:lang w:val="en-GB"/>
        </w:rPr>
      </w:pPr>
    </w:p>
    <w:p w14:paraId="0ACE4FE0" w14:textId="77777777" w:rsidR="00FC7742" w:rsidRDefault="00FC7742" w:rsidP="002F49EA">
      <w:pPr>
        <w:spacing w:after="0" w:line="240" w:lineRule="auto"/>
        <w:jc w:val="both"/>
        <w:rPr>
          <w:rFonts w:ascii="Times New Roman" w:hAnsi="Times New Roman"/>
          <w:color w:val="000000"/>
          <w:sz w:val="24"/>
          <w:szCs w:val="24"/>
          <w:lang w:val="en-GB"/>
        </w:rPr>
      </w:pPr>
    </w:p>
    <w:p w14:paraId="4ABE9887" w14:textId="04372D01" w:rsidR="00184458" w:rsidRPr="002F49EA" w:rsidRDefault="005D7EAC" w:rsidP="002F49EA">
      <w:pPr>
        <w:spacing w:after="0" w:line="240" w:lineRule="auto"/>
        <w:jc w:val="both"/>
        <w:rPr>
          <w:rFonts w:ascii="Times New Roman" w:hAnsi="Times New Roman"/>
          <w:color w:val="000000"/>
          <w:lang w:val="en-US"/>
        </w:rPr>
      </w:pPr>
      <w:r w:rsidRPr="006F55DD">
        <w:rPr>
          <w:rFonts w:ascii="Times New Roman" w:hAnsi="Times New Roman"/>
          <w:color w:val="000000"/>
          <w:sz w:val="24"/>
          <w:szCs w:val="24"/>
          <w:lang w:val="en-GB"/>
        </w:rPr>
        <w:t xml:space="preserve">This result is consistent </w:t>
      </w:r>
      <w:r w:rsidR="006F403E">
        <w:rPr>
          <w:rFonts w:ascii="Times New Roman" w:hAnsi="Times New Roman"/>
          <w:color w:val="000000"/>
          <w:sz w:val="24"/>
          <w:szCs w:val="24"/>
          <w:lang w:val="en-GB"/>
        </w:rPr>
        <w:t xml:space="preserve">with the work of </w:t>
      </w:r>
      <w:proofErr w:type="spellStart"/>
      <w:r w:rsidR="006F403E">
        <w:rPr>
          <w:rFonts w:ascii="Times New Roman" w:hAnsi="Times New Roman"/>
          <w:color w:val="000000"/>
          <w:sz w:val="24"/>
          <w:szCs w:val="24"/>
          <w:lang w:val="en-GB"/>
        </w:rPr>
        <w:t>Liebowitz</w:t>
      </w:r>
      <w:proofErr w:type="spellEnd"/>
      <w:r w:rsidR="006F403E">
        <w:rPr>
          <w:rFonts w:ascii="Times New Roman" w:hAnsi="Times New Roman"/>
          <w:color w:val="000000"/>
          <w:sz w:val="24"/>
          <w:szCs w:val="24"/>
          <w:lang w:val="en-GB"/>
        </w:rPr>
        <w:t xml:space="preserve"> (2016</w:t>
      </w:r>
      <w:r w:rsidRPr="006F55DD">
        <w:rPr>
          <w:rFonts w:ascii="Times New Roman" w:hAnsi="Times New Roman"/>
          <w:color w:val="000000"/>
          <w:sz w:val="24"/>
          <w:szCs w:val="24"/>
          <w:lang w:val="en-GB"/>
        </w:rPr>
        <w:t>) such that in the period 1999-2004 piracy was a predominant factor to explain revenues, but in subsequent periods other variables such as IPR or digital business models become more relevant. Third, the population density significantly impacts revenue per capita in the 1999-2004 and 2008-2010 sub-periods. Whilst in the period 1999-2004 the effect is negative, in the period 2008-2010 the effect becomes positive. According to Table 3 an increment of 10 inhabitants/Km</w:t>
      </w:r>
      <w:r w:rsidRPr="006F55DD">
        <w:rPr>
          <w:rFonts w:ascii="Times New Roman" w:hAnsi="Times New Roman"/>
          <w:color w:val="000000"/>
          <w:sz w:val="24"/>
          <w:szCs w:val="24"/>
          <w:vertAlign w:val="superscript"/>
          <w:lang w:val="en-GB"/>
        </w:rPr>
        <w:t>2</w:t>
      </w:r>
      <w:r w:rsidRPr="006F55DD">
        <w:rPr>
          <w:rFonts w:ascii="Times New Roman" w:hAnsi="Times New Roman"/>
          <w:color w:val="000000"/>
          <w:sz w:val="24"/>
          <w:szCs w:val="24"/>
          <w:lang w:val="en-GB"/>
        </w:rPr>
        <w:t xml:space="preserve"> would produce a change in sales per capita of -9.17% (p-value&lt;0.01) and 20.19% (p-value&lt;0.05) in the piracy and economic crisis periods respectively. Population density is highly correlated with information flows and knowledge spill-over (</w:t>
      </w:r>
      <w:proofErr w:type="spellStart"/>
      <w:r w:rsidRPr="006F55DD">
        <w:rPr>
          <w:rFonts w:ascii="Times New Roman" w:hAnsi="Times New Roman"/>
          <w:color w:val="000000"/>
          <w:sz w:val="24"/>
          <w:szCs w:val="24"/>
          <w:lang w:val="en-GB"/>
        </w:rPr>
        <w:t>Audretsch</w:t>
      </w:r>
      <w:proofErr w:type="spellEnd"/>
      <w:r w:rsidRPr="006F55DD">
        <w:rPr>
          <w:rFonts w:ascii="Times New Roman" w:hAnsi="Times New Roman"/>
          <w:color w:val="000000"/>
          <w:sz w:val="24"/>
          <w:szCs w:val="24"/>
          <w:lang w:val="en-GB"/>
        </w:rPr>
        <w:t xml:space="preserve"> and </w:t>
      </w:r>
      <w:proofErr w:type="spellStart"/>
      <w:r w:rsidRPr="006F55DD">
        <w:rPr>
          <w:rFonts w:ascii="Times New Roman" w:hAnsi="Times New Roman"/>
          <w:color w:val="000000"/>
          <w:sz w:val="24"/>
          <w:szCs w:val="24"/>
          <w:lang w:val="en-GB"/>
        </w:rPr>
        <w:t>Belitski</w:t>
      </w:r>
      <w:proofErr w:type="spellEnd"/>
      <w:r w:rsidRPr="006F55DD">
        <w:rPr>
          <w:rFonts w:ascii="Times New Roman" w:hAnsi="Times New Roman"/>
          <w:color w:val="000000"/>
          <w:sz w:val="24"/>
          <w:szCs w:val="24"/>
          <w:lang w:val="en-GB"/>
        </w:rPr>
        <w:t xml:space="preserve">, 2013). Therefore, this result suggests that whilst during the piracy period population density was negatively linked to sales due to consumers exchanging technical information on how to share files, population density became a positive factor to stimulate sales when the information exchanged between consumers related to novel legitimate business models, such as music streaming. </w:t>
      </w:r>
    </w:p>
    <w:p w14:paraId="2EB64D55" w14:textId="77777777" w:rsidR="006B16EA" w:rsidRDefault="006B16EA" w:rsidP="002F49EA">
      <w:pPr>
        <w:spacing w:after="0" w:line="240" w:lineRule="auto"/>
        <w:jc w:val="both"/>
        <w:outlineLvl w:val="0"/>
        <w:rPr>
          <w:rFonts w:ascii="Times New Roman" w:hAnsi="Times New Roman"/>
          <w:color w:val="000000"/>
          <w:sz w:val="24"/>
          <w:szCs w:val="24"/>
          <w:lang w:val="en-GB"/>
        </w:rPr>
      </w:pPr>
    </w:p>
    <w:p w14:paraId="75F88B6C" w14:textId="77777777" w:rsidR="006B16EA" w:rsidRDefault="006B16EA" w:rsidP="002F49EA">
      <w:pPr>
        <w:spacing w:after="0" w:line="240" w:lineRule="auto"/>
        <w:jc w:val="both"/>
        <w:outlineLvl w:val="0"/>
        <w:rPr>
          <w:rFonts w:ascii="Times New Roman" w:hAnsi="Times New Roman"/>
          <w:color w:val="000000"/>
          <w:sz w:val="24"/>
          <w:szCs w:val="24"/>
          <w:lang w:val="en-GB"/>
        </w:rPr>
      </w:pPr>
    </w:p>
    <w:p w14:paraId="38AFF760" w14:textId="6B6B969A" w:rsidR="00F123E0" w:rsidRPr="00320498" w:rsidRDefault="00F123E0" w:rsidP="00320498">
      <w:pPr>
        <w:spacing w:after="0" w:line="240" w:lineRule="auto"/>
        <w:jc w:val="both"/>
        <w:outlineLvl w:val="0"/>
        <w:rPr>
          <w:rFonts w:ascii="Times New Roman" w:hAnsi="Times New Roman"/>
          <w:b/>
          <w:color w:val="000000"/>
          <w:sz w:val="26"/>
          <w:szCs w:val="26"/>
          <w:lang w:val="en-GB"/>
        </w:rPr>
      </w:pPr>
      <w:r>
        <w:rPr>
          <w:rFonts w:ascii="Times New Roman" w:hAnsi="Times New Roman"/>
          <w:b/>
          <w:color w:val="000000"/>
          <w:sz w:val="26"/>
          <w:szCs w:val="26"/>
          <w:lang w:val="en-GB"/>
        </w:rPr>
        <w:t xml:space="preserve">5     </w:t>
      </w:r>
      <w:r w:rsidR="00320498" w:rsidRPr="00320498">
        <w:rPr>
          <w:rFonts w:ascii="Times New Roman" w:hAnsi="Times New Roman"/>
          <w:b/>
          <w:color w:val="000000"/>
          <w:sz w:val="26"/>
          <w:szCs w:val="26"/>
          <w:lang w:val="en-GB"/>
        </w:rPr>
        <w:t>Conclusions and implications</w:t>
      </w:r>
    </w:p>
    <w:p w14:paraId="55C12FD8" w14:textId="77777777" w:rsidR="00F123E0" w:rsidRDefault="00F123E0" w:rsidP="002F49EA">
      <w:pPr>
        <w:spacing w:after="0" w:line="240" w:lineRule="auto"/>
        <w:outlineLvl w:val="0"/>
        <w:rPr>
          <w:rFonts w:ascii="Times New Roman" w:hAnsi="Times New Roman"/>
          <w:b/>
          <w:color w:val="000000"/>
          <w:sz w:val="24"/>
          <w:szCs w:val="24"/>
          <w:lang w:val="en-GB"/>
        </w:rPr>
      </w:pPr>
    </w:p>
    <w:p w14:paraId="14620982" w14:textId="279D39DA" w:rsidR="00184458" w:rsidRPr="00F123E0" w:rsidRDefault="00F123E0" w:rsidP="002F49EA">
      <w:pPr>
        <w:spacing w:after="0" w:line="240" w:lineRule="auto"/>
        <w:outlineLvl w:val="0"/>
        <w:rPr>
          <w:rFonts w:ascii="Times New Roman" w:hAnsi="Times New Roman"/>
          <w:i/>
          <w:color w:val="000000"/>
          <w:sz w:val="24"/>
          <w:szCs w:val="24"/>
          <w:lang w:val="en-GB"/>
        </w:rPr>
      </w:pPr>
      <w:r w:rsidRPr="00F123E0">
        <w:rPr>
          <w:rFonts w:ascii="Times New Roman" w:hAnsi="Times New Roman"/>
          <w:i/>
          <w:color w:val="000000"/>
          <w:sz w:val="24"/>
          <w:szCs w:val="24"/>
          <w:lang w:val="en-GB"/>
        </w:rPr>
        <w:t xml:space="preserve">5.1 </w:t>
      </w:r>
      <w:r w:rsidR="00643916" w:rsidRPr="00F123E0">
        <w:rPr>
          <w:rFonts w:ascii="Times New Roman" w:hAnsi="Times New Roman"/>
          <w:i/>
          <w:color w:val="000000"/>
          <w:sz w:val="24"/>
          <w:szCs w:val="24"/>
          <w:lang w:val="en-GB"/>
        </w:rPr>
        <w:t xml:space="preserve">Theoretical </w:t>
      </w:r>
      <w:r w:rsidR="00184458" w:rsidRPr="00F123E0">
        <w:rPr>
          <w:rFonts w:ascii="Times New Roman" w:hAnsi="Times New Roman"/>
          <w:i/>
          <w:color w:val="000000"/>
          <w:sz w:val="24"/>
          <w:szCs w:val="24"/>
          <w:lang w:val="en-GB"/>
        </w:rPr>
        <w:t>contribution</w:t>
      </w:r>
      <w:r w:rsidR="00643916" w:rsidRPr="00F123E0">
        <w:rPr>
          <w:rFonts w:ascii="Times New Roman" w:hAnsi="Times New Roman"/>
          <w:i/>
          <w:color w:val="000000"/>
          <w:sz w:val="24"/>
          <w:szCs w:val="24"/>
          <w:lang w:val="en-GB"/>
        </w:rPr>
        <w:t>s</w:t>
      </w:r>
    </w:p>
    <w:p w14:paraId="37601BE7" w14:textId="77777777" w:rsidR="007E2F02" w:rsidRDefault="007E2F02" w:rsidP="002F49EA">
      <w:pPr>
        <w:spacing w:after="0" w:line="240" w:lineRule="auto"/>
        <w:jc w:val="both"/>
        <w:rPr>
          <w:rFonts w:ascii="Times New Roman" w:hAnsi="Times New Roman"/>
          <w:color w:val="000000"/>
          <w:sz w:val="24"/>
          <w:szCs w:val="24"/>
          <w:lang w:val="en-GB"/>
        </w:rPr>
      </w:pPr>
    </w:p>
    <w:p w14:paraId="1013871D" w14:textId="1B6972A6" w:rsidR="00184458" w:rsidRPr="006F55DD" w:rsidRDefault="00184458" w:rsidP="002F49EA">
      <w:pPr>
        <w:spacing w:after="0" w:line="240" w:lineRule="auto"/>
        <w:jc w:val="both"/>
        <w:rPr>
          <w:rFonts w:ascii="Times New Roman" w:hAnsi="Times New Roman"/>
          <w:color w:val="000000"/>
          <w:sz w:val="24"/>
          <w:szCs w:val="24"/>
          <w:lang w:val="en-US"/>
        </w:rPr>
      </w:pPr>
      <w:r w:rsidRPr="006F55DD">
        <w:rPr>
          <w:rFonts w:ascii="Times New Roman" w:hAnsi="Times New Roman"/>
          <w:color w:val="000000"/>
          <w:sz w:val="24"/>
          <w:szCs w:val="24"/>
          <w:lang w:val="en-GB"/>
        </w:rPr>
        <w:t>The literature discussing Business Models has refined the concept and empirical evidence has largely focussed on case study, financial and economic assessment of new business models within traditional organizational boundaries (</w:t>
      </w:r>
      <w:proofErr w:type="spellStart"/>
      <w:r w:rsidRPr="006F55DD">
        <w:rPr>
          <w:rFonts w:ascii="Times New Roman" w:hAnsi="Times New Roman"/>
          <w:color w:val="000000"/>
          <w:sz w:val="24"/>
          <w:szCs w:val="24"/>
          <w:lang w:val="en-US"/>
        </w:rPr>
        <w:t>Chesbrough</w:t>
      </w:r>
      <w:proofErr w:type="spellEnd"/>
      <w:r w:rsidRPr="006F55DD">
        <w:rPr>
          <w:rFonts w:ascii="Times New Roman" w:hAnsi="Times New Roman"/>
          <w:color w:val="000000"/>
          <w:sz w:val="24"/>
          <w:szCs w:val="24"/>
          <w:lang w:val="en-US"/>
        </w:rPr>
        <w:t xml:space="preserve"> and Rosenbloom, 2002</w:t>
      </w:r>
      <w:r w:rsidRPr="006F55DD">
        <w:rPr>
          <w:rFonts w:ascii="Times New Roman" w:hAnsi="Times New Roman"/>
          <w:color w:val="000000"/>
          <w:sz w:val="24"/>
          <w:szCs w:val="24"/>
          <w:lang w:val="en-GB"/>
        </w:rPr>
        <w:t>). Recent theoretical advances explore in-depth the relationship between business models and technology (</w:t>
      </w:r>
      <w:r w:rsidRPr="006F55DD">
        <w:rPr>
          <w:rFonts w:ascii="Times New Roman" w:hAnsi="Times New Roman"/>
          <w:color w:val="000000"/>
          <w:sz w:val="24"/>
          <w:szCs w:val="24"/>
          <w:lang w:val="en-US"/>
        </w:rPr>
        <w:t xml:space="preserve">Baden-Fuller and </w:t>
      </w:r>
      <w:proofErr w:type="spellStart"/>
      <w:r w:rsidRPr="006F55DD">
        <w:rPr>
          <w:rFonts w:ascii="Times New Roman" w:hAnsi="Times New Roman"/>
          <w:color w:val="000000"/>
          <w:sz w:val="24"/>
          <w:szCs w:val="24"/>
          <w:lang w:val="en-US"/>
        </w:rPr>
        <w:t>Haefliger</w:t>
      </w:r>
      <w:proofErr w:type="spellEnd"/>
      <w:r w:rsidRPr="006F55DD">
        <w:rPr>
          <w:rFonts w:ascii="Times New Roman" w:hAnsi="Times New Roman"/>
          <w:color w:val="000000"/>
          <w:sz w:val="24"/>
          <w:szCs w:val="24"/>
          <w:lang w:val="en-US"/>
        </w:rPr>
        <w:t>, 2013). It is argued that technology disruptions are a catalyst for managerial efforts to explore and experiment with new business models, accepting failure as a possible outcome (</w:t>
      </w:r>
      <w:proofErr w:type="spellStart"/>
      <w:r w:rsidRPr="006F55DD">
        <w:rPr>
          <w:rFonts w:ascii="Times New Roman" w:hAnsi="Times New Roman"/>
          <w:color w:val="000000"/>
          <w:sz w:val="24"/>
          <w:szCs w:val="24"/>
          <w:lang w:val="en-US"/>
        </w:rPr>
        <w:t>Chesbrough</w:t>
      </w:r>
      <w:proofErr w:type="spellEnd"/>
      <w:r w:rsidRPr="006F55DD">
        <w:rPr>
          <w:rFonts w:ascii="Times New Roman" w:hAnsi="Times New Roman"/>
          <w:color w:val="000000"/>
          <w:sz w:val="24"/>
          <w:szCs w:val="24"/>
          <w:lang w:val="en-US"/>
        </w:rPr>
        <w:t>, 2010; McGrath, 2010). This paper contends that only through business model experimentation can value be captured in dynamic environments. Exploration is not limited to large enterprises, as the case of Xerox in the 1980s demonstrates that large companies are often reluctant to commercialize new technology, which may sit outside boundaries of their traditional organization. That business models experimentation is mostly performed outside of organizational boundaries makes it difficult to empirically assess the relationship with value capture.</w:t>
      </w:r>
    </w:p>
    <w:p w14:paraId="58331091" w14:textId="77777777" w:rsidR="00184458" w:rsidRPr="006F55DD" w:rsidRDefault="00184458" w:rsidP="001440AE">
      <w:pPr>
        <w:spacing w:after="0" w:line="240" w:lineRule="auto"/>
        <w:ind w:firstLine="426"/>
        <w:jc w:val="both"/>
        <w:rPr>
          <w:rFonts w:ascii="Times New Roman" w:hAnsi="Times New Roman"/>
          <w:color w:val="000000"/>
          <w:sz w:val="24"/>
          <w:szCs w:val="24"/>
          <w:lang w:val="en-GB"/>
        </w:rPr>
      </w:pPr>
      <w:r w:rsidRPr="006F55DD">
        <w:rPr>
          <w:rFonts w:ascii="Times New Roman" w:hAnsi="Times New Roman"/>
          <w:color w:val="000000"/>
          <w:sz w:val="24"/>
          <w:szCs w:val="24"/>
          <w:lang w:val="en-US"/>
        </w:rPr>
        <w:t xml:space="preserve">The </w:t>
      </w:r>
      <w:r w:rsidRPr="006707AF">
        <w:rPr>
          <w:rFonts w:ascii="Times New Roman" w:hAnsi="Times New Roman"/>
          <w:color w:val="000000"/>
          <w:sz w:val="24"/>
          <w:szCs w:val="24"/>
          <w:lang w:val="en-GB"/>
        </w:rPr>
        <w:t>alternative</w:t>
      </w:r>
      <w:r w:rsidRPr="006F55DD">
        <w:rPr>
          <w:rFonts w:ascii="Times New Roman" w:hAnsi="Times New Roman"/>
          <w:color w:val="000000"/>
          <w:sz w:val="24"/>
          <w:szCs w:val="24"/>
          <w:lang w:val="en-US"/>
        </w:rPr>
        <w:t xml:space="preserve"> approach is to assume that business model experimentation remains within the boundaries of an industry and that a positive linkage with value capture is observable at this level of analysis. This paper contributes to the business model literature, providing a </w:t>
      </w:r>
      <w:r w:rsidRPr="006F55DD">
        <w:rPr>
          <w:rFonts w:ascii="Times New Roman" w:hAnsi="Times New Roman"/>
          <w:color w:val="000000"/>
          <w:sz w:val="24"/>
          <w:szCs w:val="24"/>
          <w:lang w:val="en-GB"/>
        </w:rPr>
        <w:t xml:space="preserve">novel methodological insight that controls for market boundaries through analysis at country level; controls for market dynamism by using data for thirteen years; and proposes a new measure for business model experimentation based on a </w:t>
      </w:r>
      <w:proofErr w:type="spellStart"/>
      <w:r w:rsidRPr="006F55DD">
        <w:rPr>
          <w:rFonts w:ascii="Times New Roman" w:hAnsi="Times New Roman"/>
          <w:color w:val="000000"/>
          <w:sz w:val="24"/>
          <w:szCs w:val="24"/>
          <w:lang w:val="en-GB"/>
        </w:rPr>
        <w:t>Herfindahl</w:t>
      </w:r>
      <w:proofErr w:type="spellEnd"/>
      <w:r w:rsidRPr="006F55DD">
        <w:rPr>
          <w:rFonts w:ascii="Times New Roman" w:hAnsi="Times New Roman"/>
          <w:color w:val="000000"/>
          <w:sz w:val="24"/>
          <w:szCs w:val="24"/>
          <w:lang w:val="en-GB"/>
        </w:rPr>
        <w:t xml:space="preserve"> (1950) calculation.</w:t>
      </w:r>
    </w:p>
    <w:p w14:paraId="3A0F6AE2" w14:textId="5D570295" w:rsidR="00184458" w:rsidRPr="006F55DD" w:rsidRDefault="00184458" w:rsidP="001440AE">
      <w:pPr>
        <w:spacing w:after="0" w:line="240" w:lineRule="auto"/>
        <w:ind w:firstLine="426"/>
        <w:jc w:val="both"/>
        <w:rPr>
          <w:rFonts w:ascii="Times New Roman" w:hAnsi="Times New Roman"/>
          <w:color w:val="000000"/>
          <w:sz w:val="24"/>
          <w:szCs w:val="24"/>
          <w:lang w:val="en-GB"/>
        </w:rPr>
      </w:pPr>
      <w:r w:rsidRPr="006F55DD">
        <w:rPr>
          <w:rFonts w:ascii="Times New Roman" w:hAnsi="Times New Roman"/>
          <w:color w:val="000000"/>
          <w:sz w:val="24"/>
          <w:szCs w:val="24"/>
          <w:lang w:val="en-GB"/>
        </w:rPr>
        <w:t>The results are drawn from the recorded music industry, which provides a highly dynamic market context (</w:t>
      </w:r>
      <w:r w:rsidR="00F2646D">
        <w:rPr>
          <w:rFonts w:ascii="Times New Roman" w:hAnsi="Times New Roman"/>
          <w:color w:val="000000"/>
          <w:sz w:val="24"/>
          <w:szCs w:val="24"/>
          <w:lang w:val="en-GB"/>
        </w:rPr>
        <w:t xml:space="preserve">Bustinza et al., 2013a; 2013b; </w:t>
      </w:r>
      <w:proofErr w:type="spellStart"/>
      <w:r w:rsidRPr="006F55DD">
        <w:rPr>
          <w:rFonts w:ascii="Times New Roman" w:hAnsi="Times New Roman"/>
          <w:color w:val="000000"/>
          <w:sz w:val="24"/>
          <w:szCs w:val="24"/>
          <w:lang w:val="en-GB"/>
        </w:rPr>
        <w:t>Myrthianos</w:t>
      </w:r>
      <w:proofErr w:type="spellEnd"/>
      <w:r w:rsidRPr="006F55DD">
        <w:rPr>
          <w:rFonts w:ascii="Times New Roman" w:hAnsi="Times New Roman"/>
          <w:color w:val="000000"/>
          <w:sz w:val="24"/>
          <w:szCs w:val="24"/>
          <w:lang w:val="en-GB"/>
        </w:rPr>
        <w:t xml:space="preserve"> et al., 2014) </w:t>
      </w:r>
      <w:r w:rsidRPr="006F55DD">
        <w:rPr>
          <w:rFonts w:ascii="Times New Roman" w:hAnsi="Times New Roman"/>
          <w:color w:val="000000"/>
          <w:sz w:val="24"/>
          <w:szCs w:val="24"/>
          <w:lang w:val="en-US"/>
        </w:rPr>
        <w:t xml:space="preserve">and a testing ground for new </w:t>
      </w:r>
      <w:r w:rsidR="00643916">
        <w:rPr>
          <w:rFonts w:ascii="Times New Roman" w:hAnsi="Times New Roman"/>
          <w:color w:val="000000"/>
          <w:sz w:val="24"/>
          <w:szCs w:val="24"/>
          <w:lang w:val="en-US"/>
        </w:rPr>
        <w:t>mechanisms of capturing value</w:t>
      </w:r>
      <w:r w:rsidRPr="006F55DD">
        <w:rPr>
          <w:rFonts w:ascii="Times New Roman" w:hAnsi="Times New Roman"/>
          <w:color w:val="000000"/>
          <w:sz w:val="24"/>
          <w:szCs w:val="24"/>
          <w:lang w:val="en-GB"/>
        </w:rPr>
        <w:t xml:space="preserve"> (i.e. Digital rights management, Digital downloads, Streaming-Freemium). Whilst the analysis is based on the music sector, the work is potentially instructive and valuable for other digital industries, particularly related creative industries like book publishing, motion pictures or videogames (Hartley, 2005). These industries are also suffering the negative effects of disruptive innovations linked to market digitalization</w:t>
      </w:r>
      <w:r w:rsidR="00C7689F">
        <w:rPr>
          <w:rFonts w:ascii="Times New Roman" w:hAnsi="Times New Roman"/>
          <w:color w:val="000000"/>
          <w:sz w:val="24"/>
          <w:szCs w:val="24"/>
          <w:lang w:val="en-GB"/>
        </w:rPr>
        <w:t xml:space="preserve"> (Wan et al., 2015)</w:t>
      </w:r>
      <w:r w:rsidRPr="006F55DD">
        <w:rPr>
          <w:rFonts w:ascii="Times New Roman" w:hAnsi="Times New Roman"/>
          <w:color w:val="000000"/>
          <w:sz w:val="24"/>
          <w:szCs w:val="24"/>
          <w:lang w:val="en-GB"/>
        </w:rPr>
        <w:t>, though apparently lagging the music industry (</w:t>
      </w:r>
      <w:proofErr w:type="spellStart"/>
      <w:r w:rsidRPr="006F55DD">
        <w:rPr>
          <w:rFonts w:ascii="Times New Roman" w:hAnsi="Times New Roman"/>
          <w:color w:val="000000"/>
          <w:sz w:val="24"/>
          <w:szCs w:val="24"/>
          <w:lang w:val="en-GB"/>
        </w:rPr>
        <w:t>Enkel</w:t>
      </w:r>
      <w:proofErr w:type="spellEnd"/>
      <w:r w:rsidRPr="006F55DD">
        <w:rPr>
          <w:rFonts w:ascii="Times New Roman" w:hAnsi="Times New Roman"/>
          <w:color w:val="000000"/>
          <w:sz w:val="24"/>
          <w:szCs w:val="24"/>
          <w:lang w:val="en-GB"/>
        </w:rPr>
        <w:t xml:space="preserve"> and Gassmann, 2010).</w:t>
      </w:r>
      <w:r w:rsidRPr="006F55DD">
        <w:rPr>
          <w:rFonts w:ascii="Times New Roman" w:hAnsi="Times New Roman"/>
          <w:color w:val="000000"/>
          <w:sz w:val="24"/>
          <w:szCs w:val="24"/>
          <w:lang w:val="en-US"/>
        </w:rPr>
        <w:t xml:space="preserve"> </w:t>
      </w:r>
    </w:p>
    <w:p w14:paraId="7C8442A1" w14:textId="5FC6FE44" w:rsidR="00184458" w:rsidRPr="006F55DD" w:rsidRDefault="00184458" w:rsidP="001440AE">
      <w:pPr>
        <w:spacing w:after="0" w:line="240" w:lineRule="auto"/>
        <w:ind w:firstLine="426"/>
        <w:jc w:val="both"/>
        <w:rPr>
          <w:rFonts w:ascii="Times New Roman" w:hAnsi="Times New Roman"/>
          <w:color w:val="000000"/>
          <w:sz w:val="24"/>
          <w:szCs w:val="24"/>
          <w:lang w:val="en-GB"/>
        </w:rPr>
      </w:pPr>
      <w:r w:rsidRPr="006F55DD">
        <w:rPr>
          <w:rFonts w:ascii="Times New Roman" w:hAnsi="Times New Roman"/>
          <w:color w:val="000000"/>
          <w:sz w:val="24"/>
          <w:szCs w:val="24"/>
          <w:lang w:val="en-GB"/>
        </w:rPr>
        <w:t>Analysis of the relationship between business model variety and value capture uses longitudinal data for 32 countries during the period 1998–2010; and based on the prev</w:t>
      </w:r>
      <w:r w:rsidR="006F403E">
        <w:rPr>
          <w:rFonts w:ascii="Times New Roman" w:hAnsi="Times New Roman"/>
          <w:color w:val="000000"/>
          <w:sz w:val="24"/>
          <w:szCs w:val="24"/>
          <w:lang w:val="en-GB"/>
        </w:rPr>
        <w:t>ious literature (</w:t>
      </w:r>
      <w:proofErr w:type="spellStart"/>
      <w:r w:rsidR="006F403E">
        <w:rPr>
          <w:rFonts w:ascii="Times New Roman" w:hAnsi="Times New Roman"/>
          <w:color w:val="000000"/>
          <w:sz w:val="24"/>
          <w:szCs w:val="24"/>
          <w:lang w:val="en-GB"/>
        </w:rPr>
        <w:t>Liebowitz</w:t>
      </w:r>
      <w:proofErr w:type="spellEnd"/>
      <w:r w:rsidR="006F403E">
        <w:rPr>
          <w:rFonts w:ascii="Times New Roman" w:hAnsi="Times New Roman"/>
          <w:color w:val="000000"/>
          <w:sz w:val="24"/>
          <w:szCs w:val="24"/>
          <w:lang w:val="en-GB"/>
        </w:rPr>
        <w:t>, 2016</w:t>
      </w:r>
      <w:r w:rsidRPr="006F55DD">
        <w:rPr>
          <w:rFonts w:ascii="Times New Roman" w:hAnsi="Times New Roman"/>
          <w:color w:val="000000"/>
          <w:sz w:val="24"/>
          <w:szCs w:val="24"/>
          <w:lang w:val="en-GB"/>
        </w:rPr>
        <w:t xml:space="preserve">; </w:t>
      </w:r>
      <w:proofErr w:type="spellStart"/>
      <w:r w:rsidRPr="006F55DD">
        <w:rPr>
          <w:rFonts w:ascii="Times New Roman" w:hAnsi="Times New Roman"/>
          <w:color w:val="000000"/>
          <w:sz w:val="24"/>
          <w:szCs w:val="24"/>
          <w:lang w:val="en-GB"/>
        </w:rPr>
        <w:t>Myrthianos</w:t>
      </w:r>
      <w:proofErr w:type="spellEnd"/>
      <w:r w:rsidRPr="006F55DD">
        <w:rPr>
          <w:rFonts w:ascii="Times New Roman" w:hAnsi="Times New Roman"/>
          <w:color w:val="000000"/>
          <w:sz w:val="24"/>
          <w:szCs w:val="24"/>
          <w:lang w:val="en-GB"/>
        </w:rPr>
        <w:t xml:space="preserve"> et al., 2014) specifically looks at the sub-periods 1999-2004, 2005-2007 and 2008-2010. The format the music is sold in is taken as a proxy for the business model employed, an assumption validated by industry experts for the period of analysis. </w:t>
      </w:r>
    </w:p>
    <w:p w14:paraId="78FD1538" w14:textId="77777777" w:rsidR="00184458" w:rsidRPr="006F55DD" w:rsidRDefault="00184458" w:rsidP="002F49EA">
      <w:pPr>
        <w:spacing w:after="0" w:line="240" w:lineRule="auto"/>
        <w:ind w:firstLine="426"/>
        <w:jc w:val="both"/>
        <w:rPr>
          <w:rFonts w:ascii="Times New Roman" w:hAnsi="Times New Roman"/>
          <w:color w:val="000000"/>
          <w:sz w:val="24"/>
          <w:szCs w:val="24"/>
          <w:lang w:val="en-GB"/>
        </w:rPr>
      </w:pPr>
      <w:r w:rsidRPr="006F55DD">
        <w:rPr>
          <w:rFonts w:ascii="Times New Roman" w:hAnsi="Times New Roman"/>
          <w:color w:val="000000"/>
          <w:sz w:val="24"/>
          <w:szCs w:val="24"/>
          <w:lang w:val="en-GB"/>
        </w:rPr>
        <w:t>The results show that the diversity of sales format offered in a market has an impact upon revenue. A U-shaped relationship is found between the diversity of music formats available and revenue per capita. The academic implications of this result are twofold. First, it suggests that business model experimentation in dynamic contexts is not cost and risk free, yet can potentially offer significant returns. Second, it provides evidence of the existence of two opposite forces in format implementation. The convenience of a dominant format and its network effect rivals the increasing complexity of consumer needs and subsequent development of new offerings, described in this research as a ‘taster’ effect.</w:t>
      </w:r>
    </w:p>
    <w:p w14:paraId="65C67D84" w14:textId="77777777" w:rsidR="006B16EA" w:rsidRDefault="006B16EA" w:rsidP="002F49EA">
      <w:pPr>
        <w:spacing w:after="0" w:line="240" w:lineRule="auto"/>
        <w:outlineLvl w:val="0"/>
        <w:rPr>
          <w:rFonts w:ascii="Times New Roman" w:hAnsi="Times New Roman"/>
          <w:b/>
          <w:color w:val="000000"/>
          <w:sz w:val="24"/>
          <w:szCs w:val="24"/>
          <w:lang w:val="en-GB"/>
        </w:rPr>
      </w:pPr>
    </w:p>
    <w:p w14:paraId="04745AC4" w14:textId="77777777" w:rsidR="006B16EA" w:rsidRDefault="006B16EA" w:rsidP="002F49EA">
      <w:pPr>
        <w:spacing w:after="0" w:line="240" w:lineRule="auto"/>
        <w:outlineLvl w:val="0"/>
        <w:rPr>
          <w:rFonts w:ascii="Times New Roman" w:hAnsi="Times New Roman"/>
          <w:b/>
          <w:color w:val="000000"/>
          <w:sz w:val="24"/>
          <w:szCs w:val="24"/>
          <w:lang w:val="en-GB"/>
        </w:rPr>
      </w:pPr>
    </w:p>
    <w:p w14:paraId="27A8DDE9" w14:textId="0ACA0D7E" w:rsidR="00184458" w:rsidRPr="00F123E0" w:rsidRDefault="00F123E0" w:rsidP="002F49EA">
      <w:pPr>
        <w:spacing w:after="0" w:line="240" w:lineRule="auto"/>
        <w:outlineLvl w:val="0"/>
        <w:rPr>
          <w:rFonts w:ascii="Times New Roman" w:hAnsi="Times New Roman"/>
          <w:i/>
          <w:color w:val="000000"/>
          <w:sz w:val="24"/>
          <w:szCs w:val="24"/>
          <w:lang w:val="en-GB"/>
        </w:rPr>
      </w:pPr>
      <w:r w:rsidRPr="00F123E0">
        <w:rPr>
          <w:rFonts w:ascii="Times New Roman" w:hAnsi="Times New Roman"/>
          <w:i/>
          <w:color w:val="000000"/>
          <w:sz w:val="24"/>
          <w:szCs w:val="24"/>
          <w:lang w:val="en-GB"/>
        </w:rPr>
        <w:t xml:space="preserve">5.2 </w:t>
      </w:r>
      <w:r w:rsidR="00643916" w:rsidRPr="00F123E0">
        <w:rPr>
          <w:rFonts w:ascii="Times New Roman" w:hAnsi="Times New Roman"/>
          <w:i/>
          <w:color w:val="000000"/>
          <w:sz w:val="24"/>
          <w:szCs w:val="24"/>
          <w:lang w:val="en-GB"/>
        </w:rPr>
        <w:t xml:space="preserve">Practical </w:t>
      </w:r>
      <w:r w:rsidR="00184458" w:rsidRPr="00F123E0">
        <w:rPr>
          <w:rFonts w:ascii="Times New Roman" w:hAnsi="Times New Roman"/>
          <w:i/>
          <w:color w:val="000000"/>
          <w:sz w:val="24"/>
          <w:szCs w:val="24"/>
          <w:lang w:val="en-GB"/>
        </w:rPr>
        <w:t>implications</w:t>
      </w:r>
    </w:p>
    <w:p w14:paraId="3643B7EB" w14:textId="77777777" w:rsidR="006B16EA" w:rsidRDefault="006B16EA" w:rsidP="002F49EA">
      <w:pPr>
        <w:spacing w:after="0" w:line="240" w:lineRule="auto"/>
        <w:jc w:val="both"/>
        <w:rPr>
          <w:rFonts w:ascii="Times New Roman" w:hAnsi="Times New Roman"/>
          <w:color w:val="000000"/>
          <w:sz w:val="24"/>
          <w:szCs w:val="24"/>
          <w:lang w:val="en-GB"/>
        </w:rPr>
      </w:pPr>
    </w:p>
    <w:p w14:paraId="3FFA91A4" w14:textId="679ABCA3" w:rsidR="00184458" w:rsidRPr="006F55DD" w:rsidRDefault="00184458" w:rsidP="002F49EA">
      <w:pPr>
        <w:spacing w:after="0" w:line="240" w:lineRule="auto"/>
        <w:jc w:val="both"/>
        <w:rPr>
          <w:rFonts w:ascii="Times New Roman" w:hAnsi="Times New Roman"/>
          <w:color w:val="000000"/>
          <w:sz w:val="24"/>
          <w:szCs w:val="24"/>
          <w:shd w:val="clear" w:color="auto" w:fill="FFFFFF"/>
          <w:lang w:val="en-GB"/>
        </w:rPr>
      </w:pPr>
      <w:r w:rsidRPr="006F55DD">
        <w:rPr>
          <w:rFonts w:ascii="Times New Roman" w:hAnsi="Times New Roman"/>
          <w:color w:val="000000"/>
          <w:sz w:val="24"/>
          <w:szCs w:val="24"/>
          <w:lang w:val="en-GB"/>
        </w:rPr>
        <w:t xml:space="preserve">The analysis suggests that to capture value from heterogeneous consumers, the music industry should experiment with </w:t>
      </w:r>
      <w:r w:rsidR="00643916">
        <w:rPr>
          <w:rFonts w:ascii="Times New Roman" w:hAnsi="Times New Roman"/>
          <w:color w:val="000000"/>
          <w:sz w:val="24"/>
          <w:szCs w:val="24"/>
          <w:lang w:val="en-GB"/>
        </w:rPr>
        <w:t>analogical and digital formats</w:t>
      </w:r>
      <w:r w:rsidRPr="006F55DD">
        <w:rPr>
          <w:rFonts w:ascii="Times New Roman" w:hAnsi="Times New Roman"/>
          <w:color w:val="000000"/>
          <w:sz w:val="24"/>
          <w:szCs w:val="24"/>
          <w:lang w:val="en-GB"/>
        </w:rPr>
        <w:t xml:space="preserve">. It should be noted that initial movements from dominant and well-understood formats are not free of economic cost, but revenue will return once either a suitable diversity of offerings to match consumer need develops or a new dominant offering becomes established. The finding is also consistent with the work of </w:t>
      </w:r>
      <w:proofErr w:type="spellStart"/>
      <w:r w:rsidRPr="006F55DD">
        <w:rPr>
          <w:rFonts w:ascii="Times New Roman" w:hAnsi="Times New Roman"/>
          <w:color w:val="000000"/>
          <w:sz w:val="24"/>
          <w:szCs w:val="24"/>
          <w:shd w:val="clear" w:color="auto" w:fill="FFFFFF"/>
          <w:lang w:val="en-GB"/>
        </w:rPr>
        <w:t>Zott</w:t>
      </w:r>
      <w:proofErr w:type="spellEnd"/>
      <w:r w:rsidRPr="006F55DD">
        <w:rPr>
          <w:rFonts w:ascii="Times New Roman" w:hAnsi="Times New Roman"/>
          <w:color w:val="000000"/>
          <w:sz w:val="24"/>
          <w:szCs w:val="24"/>
          <w:shd w:val="clear" w:color="auto" w:fill="FFFFFF"/>
          <w:lang w:val="en-GB"/>
        </w:rPr>
        <w:t xml:space="preserve"> et al. (2011) who state that researchers should present business model concepts with much greater clarity if performance is to be better understood. Development of clarity for business models goes beyond the present research since it requires the introduction of consumer data measuring subjective perceptions of business models.   </w:t>
      </w:r>
    </w:p>
    <w:p w14:paraId="0AB20571" w14:textId="77777777" w:rsidR="00184458" w:rsidRPr="006F55DD" w:rsidRDefault="00184458" w:rsidP="001440AE">
      <w:pPr>
        <w:spacing w:after="0" w:line="240" w:lineRule="auto"/>
        <w:ind w:firstLine="426"/>
        <w:jc w:val="both"/>
        <w:rPr>
          <w:rFonts w:ascii="Times New Roman" w:hAnsi="Times New Roman"/>
          <w:color w:val="000000"/>
          <w:sz w:val="24"/>
          <w:szCs w:val="24"/>
          <w:lang w:val="en-GB"/>
        </w:rPr>
      </w:pPr>
      <w:r w:rsidRPr="006F55DD">
        <w:rPr>
          <w:rFonts w:ascii="Times New Roman" w:hAnsi="Times New Roman"/>
          <w:color w:val="000000"/>
          <w:sz w:val="24"/>
          <w:szCs w:val="24"/>
          <w:lang w:val="en-GB"/>
        </w:rPr>
        <w:t>The results suggest that in dynamic contexts both managers and consumers need time to transition. Software companies had a well-established business model based on selling licenses for use and have been moving to a more complex business model selling software as a service (SaaS). Publishers are currently moving from selling books to selling other formats such as e-books</w:t>
      </w:r>
      <w:r w:rsidR="00564F15">
        <w:rPr>
          <w:rFonts w:ascii="Times New Roman" w:hAnsi="Times New Roman"/>
          <w:color w:val="000000"/>
          <w:sz w:val="24"/>
          <w:szCs w:val="24"/>
          <w:lang w:val="en-GB"/>
        </w:rPr>
        <w:t xml:space="preserve"> (Gilbert, 2015)</w:t>
      </w:r>
      <w:r w:rsidRPr="006F55DD">
        <w:rPr>
          <w:rFonts w:ascii="Times New Roman" w:hAnsi="Times New Roman"/>
          <w:color w:val="000000"/>
          <w:sz w:val="24"/>
          <w:szCs w:val="24"/>
          <w:lang w:val="en-GB"/>
        </w:rPr>
        <w:t xml:space="preserve">. Motion pictures and music are increasingly sold via sophisticated streaming business models. When technological disruptions appear, time is needed for optimal format or bundles of formats to be found whilst simultaneously consumers learn about and adapt to the offerings. </w:t>
      </w:r>
      <w:r w:rsidRPr="006F55DD">
        <w:rPr>
          <w:rFonts w:ascii="Times New Roman" w:hAnsi="Times New Roman"/>
          <w:color w:val="000000"/>
          <w:sz w:val="24"/>
          <w:szCs w:val="24"/>
          <w:shd w:val="clear" w:color="auto" w:fill="FFFFFF"/>
          <w:lang w:val="en-GB"/>
        </w:rPr>
        <w:t>Business model experimentation is not free of economic costs, but trial and error is the only way of establishing what may be successful in dynamic environments</w:t>
      </w:r>
      <w:r w:rsidRPr="006F55DD">
        <w:rPr>
          <w:rFonts w:ascii="Times New Roman" w:hAnsi="Times New Roman"/>
          <w:color w:val="000000"/>
          <w:sz w:val="24"/>
          <w:szCs w:val="24"/>
          <w:lang w:val="en-US"/>
        </w:rPr>
        <w:t xml:space="preserve"> (McGrath, 2010)</w:t>
      </w:r>
      <w:r w:rsidRPr="006F55DD">
        <w:rPr>
          <w:rFonts w:ascii="Times New Roman" w:hAnsi="Times New Roman"/>
          <w:color w:val="000000"/>
          <w:sz w:val="24"/>
          <w:szCs w:val="24"/>
          <w:lang w:val="en-GB"/>
        </w:rPr>
        <w:t xml:space="preserve">. </w:t>
      </w:r>
    </w:p>
    <w:p w14:paraId="5F049EEA" w14:textId="1F8290D8" w:rsidR="00184458" w:rsidRPr="006F55DD" w:rsidRDefault="00184458" w:rsidP="002F49EA">
      <w:pPr>
        <w:spacing w:after="0" w:line="240" w:lineRule="auto"/>
        <w:ind w:firstLine="426"/>
        <w:jc w:val="both"/>
        <w:rPr>
          <w:rFonts w:ascii="Times New Roman" w:hAnsi="Times New Roman"/>
          <w:color w:val="000000"/>
          <w:sz w:val="24"/>
          <w:szCs w:val="24"/>
          <w:lang w:val="en-US"/>
        </w:rPr>
      </w:pPr>
      <w:r w:rsidRPr="006F55DD">
        <w:rPr>
          <w:rFonts w:ascii="Times New Roman" w:hAnsi="Times New Roman"/>
          <w:color w:val="000000"/>
          <w:sz w:val="24"/>
          <w:szCs w:val="24"/>
          <w:shd w:val="clear" w:color="auto" w:fill="FFFFFF"/>
          <w:lang w:val="en-GB"/>
        </w:rPr>
        <w:t>The results are also valuable for managers of large incumbent companies. In the creative industries new entrants exploit novel business models with decreased dependency on alliances with incumbent distributors (</w:t>
      </w:r>
      <w:proofErr w:type="spellStart"/>
      <w:r w:rsidRPr="006F55DD">
        <w:rPr>
          <w:rFonts w:ascii="Times New Roman" w:hAnsi="Times New Roman"/>
          <w:color w:val="000000"/>
          <w:sz w:val="24"/>
          <w:szCs w:val="24"/>
          <w:shd w:val="clear" w:color="auto" w:fill="FFFFFF"/>
          <w:lang w:val="en-GB"/>
        </w:rPr>
        <w:t>Hracs</w:t>
      </w:r>
      <w:proofErr w:type="spellEnd"/>
      <w:r w:rsidRPr="006F55DD">
        <w:rPr>
          <w:rFonts w:ascii="Times New Roman" w:hAnsi="Times New Roman"/>
          <w:color w:val="000000"/>
          <w:sz w:val="24"/>
          <w:szCs w:val="24"/>
          <w:shd w:val="clear" w:color="auto" w:fill="FFFFFF"/>
          <w:lang w:val="en-GB"/>
        </w:rPr>
        <w:t>, 2015) to gain first mover adv</w:t>
      </w:r>
      <w:r>
        <w:rPr>
          <w:rFonts w:ascii="Times New Roman" w:hAnsi="Times New Roman"/>
          <w:color w:val="000000"/>
          <w:sz w:val="24"/>
          <w:szCs w:val="24"/>
          <w:shd w:val="clear" w:color="auto" w:fill="FFFFFF"/>
          <w:lang w:val="en-GB"/>
        </w:rPr>
        <w:t>antage</w:t>
      </w:r>
      <w:r w:rsidRPr="006F55DD">
        <w:rPr>
          <w:rFonts w:ascii="Times New Roman" w:hAnsi="Times New Roman"/>
          <w:color w:val="000000"/>
          <w:sz w:val="24"/>
          <w:szCs w:val="24"/>
          <w:shd w:val="clear" w:color="auto" w:fill="FFFFFF"/>
          <w:lang w:val="en-GB"/>
        </w:rPr>
        <w:t xml:space="preserve">. </w:t>
      </w:r>
      <w:r w:rsidRPr="006F55DD">
        <w:rPr>
          <w:rFonts w:ascii="Times New Roman" w:hAnsi="Times New Roman"/>
          <w:color w:val="000000"/>
          <w:sz w:val="24"/>
          <w:szCs w:val="24"/>
          <w:lang w:val="en-US"/>
        </w:rPr>
        <w:t xml:space="preserve">In this regard one of the industry experts emphasized “[major] </w:t>
      </w:r>
      <w:r w:rsidRPr="006F55DD">
        <w:rPr>
          <w:rFonts w:ascii="Times New Roman" w:hAnsi="Times New Roman"/>
          <w:color w:val="000000"/>
          <w:sz w:val="24"/>
          <w:szCs w:val="24"/>
          <w:lang w:val="en-GB"/>
        </w:rPr>
        <w:t xml:space="preserve">labels tried lots of things around digital innovation but the only ones that cut through were non-label” (Expert 4), so in her experience whilst the large firms were experimenting, the successful outcomes came from new entrants to the market. </w:t>
      </w:r>
      <w:r w:rsidRPr="006F55DD">
        <w:rPr>
          <w:rFonts w:ascii="Times New Roman" w:hAnsi="Times New Roman"/>
          <w:color w:val="000000"/>
          <w:sz w:val="24"/>
          <w:szCs w:val="24"/>
          <w:shd w:val="clear" w:color="auto" w:fill="FFFFFF"/>
          <w:lang w:val="en-GB"/>
        </w:rPr>
        <w:t xml:space="preserve">It is suggested that managers of incumbent firms revisit their organization’s business model and consider changes, particularly focussing on opportunities and business models which may lie outside of their traditional firm boundaries and roles </w:t>
      </w:r>
      <w:r w:rsidRPr="006F55DD">
        <w:rPr>
          <w:rFonts w:ascii="Times New Roman" w:hAnsi="Times New Roman"/>
          <w:color w:val="000000"/>
          <w:sz w:val="24"/>
          <w:szCs w:val="24"/>
          <w:lang w:val="en-US"/>
        </w:rPr>
        <w:t>(</w:t>
      </w:r>
      <w:proofErr w:type="spellStart"/>
      <w:r w:rsidRPr="006F55DD">
        <w:rPr>
          <w:rFonts w:ascii="Times New Roman" w:hAnsi="Times New Roman"/>
          <w:color w:val="000000"/>
          <w:sz w:val="24"/>
          <w:szCs w:val="24"/>
          <w:lang w:val="en-US"/>
        </w:rPr>
        <w:t>Nicolini</w:t>
      </w:r>
      <w:proofErr w:type="spellEnd"/>
      <w:r w:rsidRPr="006F55DD">
        <w:rPr>
          <w:rFonts w:ascii="Times New Roman" w:hAnsi="Times New Roman"/>
          <w:color w:val="000000"/>
          <w:sz w:val="24"/>
          <w:szCs w:val="24"/>
          <w:lang w:val="en-US"/>
        </w:rPr>
        <w:t>, 2009).</w:t>
      </w:r>
      <w:r w:rsidRPr="006F55DD">
        <w:rPr>
          <w:rFonts w:ascii="Times New Roman" w:hAnsi="Times New Roman"/>
          <w:color w:val="000000"/>
          <w:sz w:val="24"/>
          <w:szCs w:val="24"/>
          <w:shd w:val="clear" w:color="auto" w:fill="FFFFFF"/>
          <w:lang w:val="en-GB"/>
        </w:rPr>
        <w:t xml:space="preserve"> Moreover, results suggest that information on sophisticated business models flows fast in regions with high population density. </w:t>
      </w:r>
      <w:r w:rsidR="00F123E0" w:rsidRPr="006F55DD">
        <w:rPr>
          <w:rFonts w:ascii="Times New Roman" w:hAnsi="Times New Roman"/>
          <w:color w:val="000000"/>
          <w:sz w:val="24"/>
          <w:szCs w:val="24"/>
          <w:shd w:val="clear" w:color="auto" w:fill="FFFFFF"/>
          <w:lang w:val="en-GB"/>
        </w:rPr>
        <w:t>Therefore,</w:t>
      </w:r>
      <w:r w:rsidRPr="006F55DD">
        <w:rPr>
          <w:rFonts w:ascii="Times New Roman" w:hAnsi="Times New Roman"/>
          <w:color w:val="000000"/>
          <w:sz w:val="24"/>
          <w:szCs w:val="24"/>
          <w:shd w:val="clear" w:color="auto" w:fill="FFFFFF"/>
          <w:lang w:val="en-GB"/>
        </w:rPr>
        <w:t xml:space="preserve"> those regions with high population density tend to provide the best contexts for experimenting with new business models since the outcomes will be visible earlier than in regions with low population density.</w:t>
      </w:r>
    </w:p>
    <w:p w14:paraId="4E5CE147" w14:textId="77777777" w:rsidR="00223373" w:rsidRDefault="00223373" w:rsidP="002F49EA">
      <w:pPr>
        <w:spacing w:after="0" w:line="240" w:lineRule="auto"/>
        <w:outlineLvl w:val="0"/>
        <w:rPr>
          <w:rFonts w:ascii="Times New Roman" w:hAnsi="Times New Roman"/>
          <w:b/>
          <w:color w:val="000000"/>
          <w:sz w:val="24"/>
          <w:szCs w:val="24"/>
          <w:lang w:val="en-GB"/>
        </w:rPr>
      </w:pPr>
    </w:p>
    <w:p w14:paraId="68228090" w14:textId="77777777" w:rsidR="00223373" w:rsidRDefault="00223373" w:rsidP="002F49EA">
      <w:pPr>
        <w:spacing w:after="0" w:line="240" w:lineRule="auto"/>
        <w:outlineLvl w:val="0"/>
        <w:rPr>
          <w:rFonts w:ascii="Times New Roman" w:hAnsi="Times New Roman"/>
          <w:b/>
          <w:color w:val="000000"/>
          <w:sz w:val="24"/>
          <w:szCs w:val="24"/>
          <w:lang w:val="en-GB"/>
        </w:rPr>
      </w:pPr>
    </w:p>
    <w:p w14:paraId="3378DF47" w14:textId="5C3B4066" w:rsidR="001440AE" w:rsidRDefault="00231147" w:rsidP="002F49EA">
      <w:pPr>
        <w:spacing w:after="0" w:line="240" w:lineRule="auto"/>
        <w:outlineLvl w:val="0"/>
        <w:rPr>
          <w:rFonts w:ascii="Times New Roman" w:hAnsi="Times New Roman"/>
          <w:b/>
          <w:color w:val="000000"/>
          <w:sz w:val="24"/>
          <w:szCs w:val="24"/>
          <w:lang w:val="en-GB"/>
        </w:rPr>
      </w:pPr>
      <w:r>
        <w:rPr>
          <w:rFonts w:ascii="Times New Roman" w:hAnsi="Times New Roman"/>
          <w:b/>
          <w:color w:val="000000"/>
          <w:sz w:val="24"/>
          <w:szCs w:val="24"/>
          <w:lang w:val="en-GB"/>
        </w:rPr>
        <w:t xml:space="preserve">6     </w:t>
      </w:r>
      <w:r w:rsidRPr="00231147">
        <w:rPr>
          <w:rFonts w:ascii="Times New Roman" w:hAnsi="Times New Roman"/>
          <w:b/>
          <w:color w:val="000000"/>
          <w:sz w:val="24"/>
          <w:szCs w:val="24"/>
          <w:lang w:val="en-GB"/>
        </w:rPr>
        <w:t>Limitations and</w:t>
      </w:r>
      <w:r>
        <w:rPr>
          <w:rFonts w:ascii="Times New Roman" w:hAnsi="Times New Roman"/>
          <w:b/>
          <w:color w:val="000000"/>
          <w:sz w:val="24"/>
          <w:szCs w:val="24"/>
          <w:lang w:val="en-GB"/>
        </w:rPr>
        <w:t xml:space="preserve"> f</w:t>
      </w:r>
      <w:r w:rsidR="00184458" w:rsidRPr="006F55DD">
        <w:rPr>
          <w:rFonts w:ascii="Times New Roman" w:hAnsi="Times New Roman"/>
          <w:b/>
          <w:color w:val="000000"/>
          <w:sz w:val="24"/>
          <w:szCs w:val="24"/>
          <w:lang w:val="en-GB"/>
        </w:rPr>
        <w:t>uture research avenues</w:t>
      </w:r>
    </w:p>
    <w:p w14:paraId="4B76541D" w14:textId="77777777" w:rsidR="001440AE" w:rsidRPr="006F55DD" w:rsidRDefault="001440AE" w:rsidP="002F49EA">
      <w:pPr>
        <w:spacing w:after="0" w:line="240" w:lineRule="auto"/>
        <w:outlineLvl w:val="0"/>
        <w:rPr>
          <w:rFonts w:ascii="Times New Roman" w:hAnsi="Times New Roman"/>
          <w:b/>
          <w:color w:val="000000"/>
          <w:sz w:val="24"/>
          <w:szCs w:val="24"/>
          <w:lang w:val="en-GB"/>
        </w:rPr>
      </w:pPr>
    </w:p>
    <w:p w14:paraId="6CF23232" w14:textId="77777777" w:rsidR="00184458" w:rsidRPr="006F55DD" w:rsidRDefault="00184458" w:rsidP="002F49EA">
      <w:pPr>
        <w:spacing w:after="0" w:line="240" w:lineRule="auto"/>
        <w:jc w:val="both"/>
        <w:rPr>
          <w:rFonts w:ascii="Times New Roman" w:hAnsi="Times New Roman"/>
          <w:color w:val="000000"/>
          <w:sz w:val="24"/>
          <w:szCs w:val="24"/>
          <w:lang w:val="en-GB"/>
        </w:rPr>
      </w:pPr>
      <w:r w:rsidRPr="006F55DD">
        <w:rPr>
          <w:rFonts w:ascii="Times New Roman" w:hAnsi="Times New Roman"/>
          <w:color w:val="000000"/>
          <w:sz w:val="24"/>
          <w:szCs w:val="24"/>
          <w:lang w:val="en-GB"/>
        </w:rPr>
        <w:t xml:space="preserve">The </w:t>
      </w:r>
      <w:r w:rsidRPr="006707AF">
        <w:rPr>
          <w:rFonts w:ascii="Times New Roman" w:hAnsi="Times New Roman"/>
          <w:color w:val="000000"/>
          <w:sz w:val="24"/>
          <w:szCs w:val="24"/>
          <w:shd w:val="clear" w:color="auto" w:fill="FFFFFF"/>
          <w:lang w:val="en-GB"/>
        </w:rPr>
        <w:t>qualitative</w:t>
      </w:r>
      <w:r w:rsidRPr="006F55DD">
        <w:rPr>
          <w:rFonts w:ascii="Times New Roman" w:hAnsi="Times New Roman"/>
          <w:color w:val="000000"/>
          <w:sz w:val="24"/>
          <w:szCs w:val="24"/>
          <w:lang w:val="en-GB"/>
        </w:rPr>
        <w:t xml:space="preserve"> evidence collected signals that format is a good proxy for business model experimentation when the format of an offer provides an independent revenue stream. According to three of the experts contacted this happens in the music industry and they agree that format is a useful proxy to use. However, Expert 3, consistent with the work of </w:t>
      </w:r>
      <w:proofErr w:type="spellStart"/>
      <w:r w:rsidRPr="006F55DD">
        <w:rPr>
          <w:rFonts w:ascii="Times New Roman" w:hAnsi="Times New Roman"/>
          <w:color w:val="000000"/>
          <w:sz w:val="24"/>
          <w:szCs w:val="24"/>
          <w:lang w:val="en-GB"/>
        </w:rPr>
        <w:t>Koukova</w:t>
      </w:r>
      <w:proofErr w:type="spellEnd"/>
      <w:r w:rsidRPr="006F55DD">
        <w:rPr>
          <w:rFonts w:ascii="Times New Roman" w:hAnsi="Times New Roman"/>
          <w:color w:val="000000"/>
          <w:sz w:val="24"/>
          <w:szCs w:val="24"/>
          <w:lang w:val="en-GB"/>
        </w:rPr>
        <w:t xml:space="preserve"> et al., (2012), had some doubt and postulates that some music formats have complementary attributes and hence some content might be purchased by a consumer in multiple formats. We do not rule out this possibility and acknowledge this as a limitation. Future research needs to explore in more detail current digital business models, examine potential format complementarities and the propensity and volume of consumers making multiple format purchase of the same item. </w:t>
      </w:r>
    </w:p>
    <w:p w14:paraId="227C87B3" w14:textId="77777777" w:rsidR="00184458" w:rsidRPr="006F55DD" w:rsidRDefault="00184458" w:rsidP="00F836B2">
      <w:pPr>
        <w:spacing w:after="0" w:line="240" w:lineRule="auto"/>
        <w:ind w:firstLine="426"/>
        <w:jc w:val="both"/>
        <w:rPr>
          <w:rFonts w:ascii="Times New Roman" w:hAnsi="Times New Roman"/>
          <w:color w:val="000000"/>
          <w:sz w:val="24"/>
          <w:szCs w:val="24"/>
          <w:lang w:val="en-GB"/>
        </w:rPr>
      </w:pPr>
      <w:r w:rsidRPr="006F55DD">
        <w:rPr>
          <w:rFonts w:ascii="Times New Roman" w:hAnsi="Times New Roman"/>
          <w:color w:val="000000"/>
          <w:sz w:val="24"/>
          <w:szCs w:val="24"/>
          <w:lang w:val="en-GB"/>
        </w:rPr>
        <w:t xml:space="preserve">The </w:t>
      </w:r>
      <w:r w:rsidRPr="006707AF">
        <w:rPr>
          <w:rFonts w:ascii="Times New Roman" w:hAnsi="Times New Roman"/>
          <w:color w:val="000000"/>
          <w:sz w:val="24"/>
          <w:szCs w:val="24"/>
          <w:shd w:val="clear" w:color="auto" w:fill="FFFFFF"/>
          <w:lang w:val="en-GB"/>
        </w:rPr>
        <w:t>methodological</w:t>
      </w:r>
      <w:r w:rsidRPr="006F55DD">
        <w:rPr>
          <w:rFonts w:ascii="Times New Roman" w:hAnsi="Times New Roman"/>
          <w:color w:val="000000"/>
          <w:sz w:val="24"/>
          <w:szCs w:val="24"/>
          <w:lang w:val="en-GB"/>
        </w:rPr>
        <w:t xml:space="preserve"> design of this research was developed on the assumption that in highly dynamic contexts the majority of business model experimentation happens beyond the firm boundaries. The assumption is used to justify the use of a country-level unit of analysis. The assumption is validated by three out of four industry experts and reinforced by the use of successful digital business models have been implemented by new entrants (i.e. Apple, Spotify). Arguably this does not explain incumbents that experimented with business models, but whose efforts were not successful. This opens a relevant research avenue to develop a better understanding of market entry decisions and first mover advantage (</w:t>
      </w:r>
      <w:proofErr w:type="spellStart"/>
      <w:r w:rsidRPr="006F55DD">
        <w:rPr>
          <w:rFonts w:ascii="Times New Roman" w:hAnsi="Times New Roman"/>
          <w:color w:val="000000"/>
          <w:sz w:val="24"/>
          <w:szCs w:val="24"/>
          <w:lang w:val="en-GB"/>
        </w:rPr>
        <w:t>Fosfuri</w:t>
      </w:r>
      <w:proofErr w:type="spellEnd"/>
      <w:r w:rsidRPr="006F55DD">
        <w:rPr>
          <w:rFonts w:ascii="Times New Roman" w:hAnsi="Times New Roman"/>
          <w:color w:val="000000"/>
          <w:sz w:val="24"/>
          <w:szCs w:val="24"/>
          <w:lang w:val="en-GB"/>
        </w:rPr>
        <w:t xml:space="preserve"> et al., 2013). Work is required to disentangle the extent to which flexibilities (rigidities) of new entrants (incumbents) determines the success rate of business model experimentation. </w:t>
      </w:r>
    </w:p>
    <w:p w14:paraId="1E6EA849" w14:textId="3DB54116" w:rsidR="00184458" w:rsidRPr="006F55DD" w:rsidRDefault="00184458" w:rsidP="00F836B2">
      <w:pPr>
        <w:spacing w:after="0" w:line="240" w:lineRule="auto"/>
        <w:ind w:firstLine="426"/>
        <w:jc w:val="both"/>
        <w:rPr>
          <w:rFonts w:ascii="Times New Roman" w:hAnsi="Times New Roman"/>
          <w:color w:val="000000"/>
          <w:sz w:val="24"/>
          <w:szCs w:val="24"/>
          <w:shd w:val="clear" w:color="auto" w:fill="FFFFFF"/>
          <w:lang w:val="en-GB"/>
        </w:rPr>
      </w:pPr>
      <w:r w:rsidRPr="006F55DD">
        <w:rPr>
          <w:rFonts w:ascii="Times New Roman" w:hAnsi="Times New Roman"/>
          <w:color w:val="000000"/>
          <w:sz w:val="24"/>
          <w:szCs w:val="24"/>
          <w:shd w:val="clear" w:color="auto" w:fill="FFFFFF"/>
          <w:lang w:val="en-GB"/>
        </w:rPr>
        <w:t>Given</w:t>
      </w:r>
      <w:r w:rsidRPr="006F55DD">
        <w:rPr>
          <w:rFonts w:ascii="Times New Roman" w:hAnsi="Times New Roman"/>
          <w:color w:val="000000"/>
          <w:sz w:val="24"/>
          <w:szCs w:val="24"/>
          <w:lang w:val="en-GB"/>
        </w:rPr>
        <w:t xml:space="preserve"> the data requirements of the analysis presented research relates to a specific given period (1998 to 2010) and does not contemplate future market dynamics. Analysis suggests that supporting a market where a format centric business model dominates is potentially beneficial. In practice this may mean that discounts may be given for specific formats.  However, in discussion with industry experts it was agreed that such market manipulation in a competitive industry is strategically difficult, if not impossible to sustain in the longer term. However, as was previously observed over time a single dominant format may emerge from an innovative business model in perfect consonance with consumer preference </w:t>
      </w:r>
      <w:r w:rsidR="00EA1CC7" w:rsidRPr="006F55DD">
        <w:rPr>
          <w:rFonts w:ascii="Times New Roman" w:hAnsi="Times New Roman"/>
          <w:color w:val="000000"/>
          <w:sz w:val="24"/>
          <w:szCs w:val="24"/>
          <w:lang w:val="en-GB"/>
        </w:rPr>
        <w:t>e.g.</w:t>
      </w:r>
      <w:r w:rsidR="00EA1CC7">
        <w:rPr>
          <w:rFonts w:ascii="Times New Roman" w:hAnsi="Times New Roman"/>
          <w:color w:val="000000"/>
          <w:sz w:val="24"/>
          <w:szCs w:val="24"/>
          <w:lang w:val="en-GB"/>
        </w:rPr>
        <w:t xml:space="preserve"> </w:t>
      </w:r>
      <w:r w:rsidRPr="006F55DD">
        <w:rPr>
          <w:rFonts w:ascii="Times New Roman" w:hAnsi="Times New Roman"/>
          <w:color w:val="000000"/>
          <w:sz w:val="24"/>
          <w:szCs w:val="24"/>
          <w:lang w:val="en-GB"/>
        </w:rPr>
        <w:t>Windows OS on PCs. Future research needs to examine the market conditions that encourage the prevalence of ‘network’ or ‘taster’ effects in different contexts.</w:t>
      </w:r>
    </w:p>
    <w:p w14:paraId="163AAC39" w14:textId="286F5F91" w:rsidR="00184458" w:rsidRDefault="00184458" w:rsidP="002F49EA">
      <w:pPr>
        <w:spacing w:after="0" w:line="240" w:lineRule="auto"/>
        <w:ind w:firstLine="426"/>
        <w:jc w:val="both"/>
        <w:rPr>
          <w:rFonts w:ascii="Times New Roman" w:hAnsi="Times New Roman"/>
          <w:color w:val="000000"/>
          <w:sz w:val="24"/>
          <w:szCs w:val="24"/>
          <w:lang w:val="en-GB"/>
        </w:rPr>
      </w:pPr>
      <w:r w:rsidRPr="006707AF">
        <w:rPr>
          <w:rFonts w:ascii="Times New Roman" w:hAnsi="Times New Roman"/>
          <w:color w:val="000000"/>
          <w:sz w:val="24"/>
          <w:szCs w:val="24"/>
          <w:shd w:val="clear" w:color="auto" w:fill="FFFFFF"/>
          <w:lang w:val="en-GB"/>
        </w:rPr>
        <w:t>Future</w:t>
      </w:r>
      <w:r w:rsidRPr="006F55DD">
        <w:rPr>
          <w:rFonts w:ascii="Times New Roman" w:hAnsi="Times New Roman"/>
          <w:color w:val="000000"/>
          <w:sz w:val="24"/>
          <w:szCs w:val="24"/>
          <w:lang w:val="en-GB"/>
        </w:rPr>
        <w:t xml:space="preserve"> investigations will also use the lens of value co-creation (</w:t>
      </w:r>
      <w:r w:rsidR="00D35CC2">
        <w:rPr>
          <w:rFonts w:ascii="Times New Roman" w:hAnsi="Times New Roman"/>
          <w:color w:val="000000"/>
          <w:sz w:val="24"/>
          <w:szCs w:val="24"/>
          <w:lang w:val="en-GB"/>
        </w:rPr>
        <w:t>Parry et al., 2012</w:t>
      </w:r>
      <w:r w:rsidRPr="006F55DD">
        <w:rPr>
          <w:rFonts w:ascii="Times New Roman" w:hAnsi="Times New Roman"/>
          <w:color w:val="000000"/>
          <w:sz w:val="24"/>
          <w:szCs w:val="24"/>
          <w:lang w:val="en-GB"/>
        </w:rPr>
        <w:t xml:space="preserve">) to determine how partners and consumers may be better engaged in mutual value creating processes.  Business models are drivers of the co-creation process in the music industry and our findings suggest that greater understanding of links between the value proposition, value realisation and worth capture will inform future business model strategy. One approach suggested by Expert 4 was to make use of “the natural experiments that have occurred on Spotify” to examine streaming at scale, as well as other digital business models that are engaging large numbers of music consumers. </w:t>
      </w:r>
    </w:p>
    <w:p w14:paraId="411FE2A9" w14:textId="77777777" w:rsidR="00303A9C" w:rsidRDefault="00303A9C" w:rsidP="002F49EA">
      <w:pPr>
        <w:spacing w:after="0" w:line="240" w:lineRule="auto"/>
        <w:jc w:val="both"/>
        <w:outlineLvl w:val="0"/>
        <w:rPr>
          <w:rFonts w:ascii="Times New Roman" w:hAnsi="Times New Roman"/>
          <w:color w:val="000000"/>
          <w:sz w:val="24"/>
          <w:szCs w:val="24"/>
          <w:lang w:val="en-GB"/>
        </w:rPr>
      </w:pPr>
    </w:p>
    <w:p w14:paraId="6C147F83" w14:textId="77777777" w:rsidR="00303A9C" w:rsidRDefault="00303A9C" w:rsidP="002F49EA">
      <w:pPr>
        <w:spacing w:after="0" w:line="240" w:lineRule="auto"/>
        <w:jc w:val="both"/>
        <w:outlineLvl w:val="0"/>
        <w:rPr>
          <w:rFonts w:ascii="Times New Roman" w:hAnsi="Times New Roman"/>
          <w:color w:val="000000"/>
          <w:sz w:val="24"/>
          <w:szCs w:val="24"/>
          <w:lang w:val="en-GB"/>
        </w:rPr>
      </w:pPr>
    </w:p>
    <w:p w14:paraId="6574AAD5" w14:textId="7F47444F" w:rsidR="009E2098" w:rsidRPr="002235EF" w:rsidRDefault="00184458" w:rsidP="002F49EA">
      <w:pPr>
        <w:spacing w:after="0" w:line="240" w:lineRule="auto"/>
        <w:jc w:val="both"/>
        <w:outlineLvl w:val="0"/>
        <w:rPr>
          <w:rFonts w:ascii="Times New Roman" w:hAnsi="Times New Roman"/>
          <w:b/>
          <w:color w:val="000000"/>
          <w:sz w:val="24"/>
          <w:szCs w:val="24"/>
          <w:lang w:val="en-GB"/>
        </w:rPr>
      </w:pPr>
      <w:r w:rsidRPr="002235EF">
        <w:rPr>
          <w:rFonts w:ascii="Times New Roman" w:hAnsi="Times New Roman"/>
          <w:b/>
          <w:color w:val="000000"/>
          <w:sz w:val="24"/>
          <w:szCs w:val="24"/>
          <w:lang w:val="en-GB"/>
        </w:rPr>
        <w:t>References</w:t>
      </w:r>
    </w:p>
    <w:p w14:paraId="40E9156C" w14:textId="529E4693" w:rsidR="00EF7938" w:rsidRPr="007D7BF1" w:rsidRDefault="00EA1CC7" w:rsidP="002F49EA">
      <w:pPr>
        <w:pStyle w:val="NormalWeb"/>
        <w:spacing w:before="120" w:beforeAutospacing="0" w:after="120" w:afterAutospacing="0"/>
        <w:ind w:left="448" w:hanging="448"/>
        <w:jc w:val="both"/>
        <w:rPr>
          <w:bCs/>
          <w:color w:val="000000"/>
          <w:sz w:val="22"/>
          <w:szCs w:val="22"/>
          <w:lang w:val="en-US"/>
        </w:rPr>
      </w:pPr>
      <w:proofErr w:type="spellStart"/>
      <w:r w:rsidRPr="007D7BF1">
        <w:rPr>
          <w:bCs/>
          <w:iCs/>
          <w:color w:val="000000"/>
          <w:sz w:val="22"/>
          <w:szCs w:val="22"/>
          <w:lang w:val="en-GB"/>
        </w:rPr>
        <w:t>A</w:t>
      </w:r>
      <w:r w:rsidR="00747E59" w:rsidRPr="007D7BF1">
        <w:rPr>
          <w:bCs/>
          <w:iCs/>
          <w:color w:val="000000"/>
          <w:sz w:val="22"/>
          <w:szCs w:val="22"/>
          <w:lang w:val="en-GB"/>
        </w:rPr>
        <w:t>guiar</w:t>
      </w:r>
      <w:proofErr w:type="spellEnd"/>
      <w:r w:rsidR="00747E59" w:rsidRPr="007D7BF1">
        <w:rPr>
          <w:bCs/>
          <w:iCs/>
          <w:color w:val="000000"/>
          <w:sz w:val="22"/>
          <w:szCs w:val="22"/>
          <w:lang w:val="en-GB"/>
        </w:rPr>
        <w:t>, L. and</w:t>
      </w:r>
      <w:r w:rsidRPr="007D7BF1">
        <w:rPr>
          <w:bCs/>
          <w:iCs/>
          <w:color w:val="000000"/>
          <w:sz w:val="22"/>
          <w:szCs w:val="22"/>
          <w:lang w:val="en-GB"/>
        </w:rPr>
        <w:t xml:space="preserve"> Martens, B. (2016)</w:t>
      </w:r>
      <w:r w:rsidR="00323754" w:rsidRPr="007D7BF1">
        <w:rPr>
          <w:bCs/>
          <w:iCs/>
          <w:color w:val="000000"/>
          <w:sz w:val="22"/>
          <w:szCs w:val="22"/>
          <w:lang w:val="en-GB"/>
        </w:rPr>
        <w:t xml:space="preserve">. </w:t>
      </w:r>
      <w:r w:rsidR="00323754" w:rsidRPr="007D7BF1">
        <w:rPr>
          <w:bCs/>
          <w:iCs/>
          <w:color w:val="000000"/>
          <w:sz w:val="22"/>
          <w:szCs w:val="22"/>
          <w:lang w:val="en-US"/>
        </w:rPr>
        <w:t>‘</w:t>
      </w:r>
      <w:r w:rsidRPr="007D7BF1">
        <w:rPr>
          <w:bCs/>
          <w:iCs/>
          <w:color w:val="000000"/>
          <w:sz w:val="22"/>
          <w:szCs w:val="22"/>
          <w:lang w:val="en-US"/>
        </w:rPr>
        <w:t>Digital music consumption on the internet: evidence from clickstream data</w:t>
      </w:r>
      <w:r w:rsidR="00323754" w:rsidRPr="007D7BF1">
        <w:rPr>
          <w:bCs/>
          <w:iCs/>
          <w:color w:val="000000"/>
          <w:sz w:val="22"/>
          <w:szCs w:val="22"/>
          <w:lang w:val="en-US"/>
        </w:rPr>
        <w:t xml:space="preserve">’, </w:t>
      </w:r>
      <w:r w:rsidRPr="007D7BF1">
        <w:rPr>
          <w:bCs/>
          <w:i/>
          <w:iCs/>
          <w:color w:val="000000"/>
          <w:sz w:val="22"/>
          <w:szCs w:val="22"/>
          <w:lang w:val="en-US"/>
        </w:rPr>
        <w:t>Information Economics and Policy</w:t>
      </w:r>
      <w:r w:rsidRPr="007D7BF1">
        <w:rPr>
          <w:bCs/>
          <w:iCs/>
          <w:color w:val="000000"/>
          <w:sz w:val="22"/>
          <w:szCs w:val="22"/>
          <w:lang w:val="en-US"/>
        </w:rPr>
        <w:t>,</w:t>
      </w:r>
      <w:r w:rsidR="00323754" w:rsidRPr="007D7BF1">
        <w:rPr>
          <w:bCs/>
          <w:iCs/>
          <w:color w:val="000000"/>
          <w:sz w:val="22"/>
          <w:szCs w:val="22"/>
          <w:lang w:val="en-US"/>
        </w:rPr>
        <w:t xml:space="preserve"> Vol.</w:t>
      </w:r>
      <w:r w:rsidRPr="007D7BF1">
        <w:rPr>
          <w:bCs/>
          <w:iCs/>
          <w:color w:val="000000"/>
          <w:sz w:val="22"/>
          <w:szCs w:val="22"/>
          <w:lang w:val="en-US"/>
        </w:rPr>
        <w:t xml:space="preserve"> 34, 27-43.</w:t>
      </w:r>
      <w:r w:rsidR="00323754" w:rsidRPr="007D7BF1">
        <w:rPr>
          <w:bCs/>
          <w:iCs/>
          <w:color w:val="000000"/>
          <w:sz w:val="22"/>
          <w:szCs w:val="22"/>
          <w:lang w:val="en-US"/>
        </w:rPr>
        <w:t xml:space="preserve"> </w:t>
      </w:r>
    </w:p>
    <w:p w14:paraId="48E7B756" w14:textId="7A0DFE7E" w:rsidR="00EF7938" w:rsidRPr="007D7BF1" w:rsidRDefault="00323754" w:rsidP="009E2098">
      <w:pPr>
        <w:pStyle w:val="NormalWeb"/>
        <w:spacing w:before="120" w:beforeAutospacing="0" w:after="120" w:afterAutospacing="0"/>
        <w:ind w:left="450" w:hanging="450"/>
        <w:jc w:val="both"/>
        <w:rPr>
          <w:color w:val="000000"/>
          <w:position w:val="-6"/>
          <w:sz w:val="22"/>
          <w:szCs w:val="22"/>
          <w:lang w:val="en-GB"/>
        </w:rPr>
      </w:pPr>
      <w:proofErr w:type="spellStart"/>
      <w:r w:rsidRPr="007D7BF1">
        <w:rPr>
          <w:color w:val="000000"/>
          <w:position w:val="-6"/>
          <w:sz w:val="22"/>
          <w:szCs w:val="22"/>
          <w:lang w:val="en-GB"/>
        </w:rPr>
        <w:t>Applebaum</w:t>
      </w:r>
      <w:proofErr w:type="spellEnd"/>
      <w:r w:rsidRPr="007D7BF1">
        <w:rPr>
          <w:color w:val="000000"/>
          <w:position w:val="-6"/>
          <w:sz w:val="22"/>
          <w:szCs w:val="22"/>
          <w:lang w:val="en-GB"/>
        </w:rPr>
        <w:t>, W. (</w:t>
      </w:r>
      <w:r w:rsidR="00EF7938" w:rsidRPr="007D7BF1">
        <w:rPr>
          <w:color w:val="000000"/>
          <w:position w:val="-6"/>
          <w:sz w:val="22"/>
          <w:szCs w:val="22"/>
          <w:lang w:val="en-GB"/>
        </w:rPr>
        <w:t>1966</w:t>
      </w:r>
      <w:r w:rsidRPr="007D7BF1">
        <w:rPr>
          <w:color w:val="000000"/>
          <w:position w:val="-6"/>
          <w:sz w:val="22"/>
          <w:szCs w:val="22"/>
          <w:lang w:val="en-GB"/>
        </w:rPr>
        <w:t>). ‘</w:t>
      </w:r>
      <w:r w:rsidR="00EF7938" w:rsidRPr="007D7BF1">
        <w:rPr>
          <w:color w:val="000000"/>
          <w:position w:val="-6"/>
          <w:sz w:val="22"/>
          <w:szCs w:val="22"/>
          <w:lang w:val="en-GB"/>
        </w:rPr>
        <w:t>Methods for determining store trade areas, market penetration, and potential sales</w:t>
      </w:r>
      <w:r w:rsidRPr="007D7BF1">
        <w:rPr>
          <w:color w:val="000000"/>
          <w:position w:val="-6"/>
          <w:sz w:val="22"/>
          <w:szCs w:val="22"/>
          <w:lang w:val="en-GB"/>
        </w:rPr>
        <w:t>’,</w:t>
      </w:r>
      <w:r w:rsidR="00EF7938" w:rsidRPr="007D7BF1">
        <w:rPr>
          <w:color w:val="000000"/>
          <w:position w:val="-6"/>
          <w:sz w:val="22"/>
          <w:szCs w:val="22"/>
          <w:lang w:val="en-GB"/>
        </w:rPr>
        <w:t xml:space="preserve"> </w:t>
      </w:r>
      <w:r w:rsidR="00EF7938" w:rsidRPr="007D7BF1">
        <w:rPr>
          <w:i/>
          <w:color w:val="000000"/>
          <w:position w:val="-6"/>
          <w:sz w:val="22"/>
          <w:szCs w:val="22"/>
          <w:lang w:val="en-GB"/>
        </w:rPr>
        <w:t>Journal of Marketing Research</w:t>
      </w:r>
      <w:r w:rsidRPr="007D7BF1">
        <w:rPr>
          <w:color w:val="000000"/>
          <w:position w:val="-6"/>
          <w:sz w:val="22"/>
          <w:szCs w:val="22"/>
          <w:lang w:val="en-GB"/>
        </w:rPr>
        <w:t>, Vol.</w:t>
      </w:r>
      <w:r w:rsidR="00EF7938" w:rsidRPr="007D7BF1">
        <w:rPr>
          <w:color w:val="000000"/>
          <w:position w:val="-6"/>
          <w:sz w:val="22"/>
          <w:szCs w:val="22"/>
          <w:lang w:val="en-GB"/>
        </w:rPr>
        <w:t xml:space="preserve"> 3(2), 127-141.</w:t>
      </w:r>
    </w:p>
    <w:p w14:paraId="7C7135AE" w14:textId="5A94F1F3" w:rsidR="00EF7938" w:rsidRPr="007D7BF1" w:rsidRDefault="00EF7938" w:rsidP="009E2098">
      <w:pPr>
        <w:pStyle w:val="NormalWeb"/>
        <w:spacing w:before="120" w:beforeAutospacing="0" w:after="120" w:afterAutospacing="0"/>
        <w:ind w:left="450" w:hanging="450"/>
        <w:jc w:val="both"/>
        <w:rPr>
          <w:color w:val="000000"/>
          <w:position w:val="-6"/>
          <w:sz w:val="22"/>
          <w:szCs w:val="22"/>
          <w:lang w:val="en-GB"/>
        </w:rPr>
      </w:pPr>
      <w:proofErr w:type="spellStart"/>
      <w:r w:rsidRPr="007D7BF1">
        <w:rPr>
          <w:color w:val="000000"/>
          <w:position w:val="-6"/>
          <w:sz w:val="22"/>
          <w:szCs w:val="22"/>
          <w:lang w:val="en-GB"/>
        </w:rPr>
        <w:t>Aranguren</w:t>
      </w:r>
      <w:proofErr w:type="spellEnd"/>
      <w:r w:rsidRPr="007D7BF1">
        <w:rPr>
          <w:color w:val="000000"/>
          <w:position w:val="-6"/>
          <w:sz w:val="22"/>
          <w:szCs w:val="22"/>
          <w:lang w:val="en-GB"/>
        </w:rPr>
        <w:t xml:space="preserve">, M.J., </w:t>
      </w:r>
      <w:proofErr w:type="spellStart"/>
      <w:r w:rsidRPr="007D7BF1">
        <w:rPr>
          <w:color w:val="000000"/>
          <w:position w:val="-6"/>
          <w:sz w:val="22"/>
          <w:szCs w:val="22"/>
          <w:lang w:val="en-GB"/>
        </w:rPr>
        <w:t>Maza-Aramburu</w:t>
      </w:r>
      <w:proofErr w:type="spellEnd"/>
      <w:r w:rsidRPr="007D7BF1">
        <w:rPr>
          <w:color w:val="000000"/>
          <w:position w:val="-6"/>
          <w:sz w:val="22"/>
          <w:szCs w:val="22"/>
          <w:lang w:val="en-GB"/>
        </w:rPr>
        <w:t xml:space="preserve">, X., </w:t>
      </w:r>
      <w:proofErr w:type="spellStart"/>
      <w:r w:rsidRPr="007D7BF1">
        <w:rPr>
          <w:color w:val="000000"/>
          <w:position w:val="-6"/>
          <w:sz w:val="22"/>
          <w:szCs w:val="22"/>
          <w:lang w:val="en-GB"/>
        </w:rPr>
        <w:t>Parrilli</w:t>
      </w:r>
      <w:proofErr w:type="spellEnd"/>
      <w:r w:rsidRPr="007D7BF1">
        <w:rPr>
          <w:color w:val="000000"/>
          <w:position w:val="-6"/>
          <w:sz w:val="22"/>
          <w:szCs w:val="22"/>
          <w:lang w:val="en-GB"/>
        </w:rPr>
        <w:t>, D., Vendrell-Herrero</w:t>
      </w:r>
      <w:r w:rsidR="00747E59" w:rsidRPr="007D7BF1">
        <w:rPr>
          <w:color w:val="000000"/>
          <w:position w:val="-6"/>
          <w:sz w:val="22"/>
          <w:szCs w:val="22"/>
          <w:lang w:val="en-GB"/>
        </w:rPr>
        <w:t xml:space="preserve">, F. and </w:t>
      </w:r>
      <w:r w:rsidR="00323754" w:rsidRPr="007D7BF1">
        <w:rPr>
          <w:color w:val="000000"/>
          <w:position w:val="-6"/>
          <w:sz w:val="22"/>
          <w:szCs w:val="22"/>
          <w:lang w:val="en-GB"/>
        </w:rPr>
        <w:t>Wilson, J. (</w:t>
      </w:r>
      <w:r w:rsidRPr="007D7BF1">
        <w:rPr>
          <w:color w:val="000000"/>
          <w:position w:val="-6"/>
          <w:sz w:val="22"/>
          <w:szCs w:val="22"/>
          <w:lang w:val="en-GB"/>
        </w:rPr>
        <w:t>2014</w:t>
      </w:r>
      <w:r w:rsidR="00323754" w:rsidRPr="007D7BF1">
        <w:rPr>
          <w:color w:val="000000"/>
          <w:position w:val="-6"/>
          <w:sz w:val="22"/>
          <w:szCs w:val="22"/>
          <w:lang w:val="en-GB"/>
        </w:rPr>
        <w:t>)</w:t>
      </w:r>
      <w:r w:rsidRPr="007D7BF1">
        <w:rPr>
          <w:color w:val="000000"/>
          <w:position w:val="-6"/>
          <w:sz w:val="22"/>
          <w:szCs w:val="22"/>
          <w:lang w:val="en-GB"/>
        </w:rPr>
        <w:t xml:space="preserve">. </w:t>
      </w:r>
      <w:r w:rsidR="009A5EF7" w:rsidRPr="007D7BF1">
        <w:rPr>
          <w:color w:val="000000"/>
          <w:position w:val="-6"/>
          <w:sz w:val="22"/>
          <w:szCs w:val="22"/>
          <w:lang w:val="en-GB"/>
        </w:rPr>
        <w:t>‘</w:t>
      </w:r>
      <w:r w:rsidRPr="007D7BF1">
        <w:rPr>
          <w:color w:val="000000"/>
          <w:position w:val="-6"/>
          <w:sz w:val="22"/>
          <w:szCs w:val="22"/>
          <w:lang w:val="en-GB"/>
        </w:rPr>
        <w:t>Nested methodological approaches for cluster policy evaluation: an application to the Basque country</w:t>
      </w:r>
      <w:r w:rsidR="00981031" w:rsidRPr="007D7BF1">
        <w:rPr>
          <w:color w:val="000000"/>
          <w:position w:val="-6"/>
          <w:sz w:val="22"/>
          <w:szCs w:val="22"/>
          <w:lang w:val="en-GB"/>
        </w:rPr>
        <w:t>’,</w:t>
      </w:r>
      <w:r w:rsidRPr="007D7BF1">
        <w:rPr>
          <w:color w:val="000000"/>
          <w:position w:val="-6"/>
          <w:sz w:val="22"/>
          <w:szCs w:val="22"/>
          <w:lang w:val="en-GB"/>
        </w:rPr>
        <w:t xml:space="preserve"> </w:t>
      </w:r>
      <w:r w:rsidRPr="007D7BF1">
        <w:rPr>
          <w:i/>
          <w:color w:val="000000"/>
          <w:position w:val="-6"/>
          <w:sz w:val="22"/>
          <w:szCs w:val="22"/>
          <w:lang w:val="en-GB"/>
        </w:rPr>
        <w:t>Regional Studies</w:t>
      </w:r>
      <w:r w:rsidR="00981031" w:rsidRPr="007D7BF1">
        <w:rPr>
          <w:color w:val="000000"/>
          <w:position w:val="-6"/>
          <w:sz w:val="22"/>
          <w:szCs w:val="22"/>
          <w:lang w:val="en-GB"/>
        </w:rPr>
        <w:t xml:space="preserve">, Vol. </w:t>
      </w:r>
      <w:r w:rsidRPr="007D7BF1">
        <w:rPr>
          <w:iCs/>
          <w:color w:val="000000"/>
          <w:position w:val="-6"/>
          <w:sz w:val="22"/>
          <w:szCs w:val="22"/>
          <w:lang w:val="en-US"/>
        </w:rPr>
        <w:t>48</w:t>
      </w:r>
      <w:r w:rsidRPr="007D7BF1">
        <w:rPr>
          <w:color w:val="000000"/>
          <w:position w:val="-6"/>
          <w:sz w:val="22"/>
          <w:szCs w:val="22"/>
          <w:lang w:val="en-US"/>
        </w:rPr>
        <w:t xml:space="preserve"> (9), 1547-1562</w:t>
      </w:r>
      <w:r w:rsidRPr="007D7BF1">
        <w:rPr>
          <w:color w:val="000000"/>
          <w:position w:val="-6"/>
          <w:sz w:val="22"/>
          <w:szCs w:val="22"/>
          <w:lang w:val="en-GB"/>
        </w:rPr>
        <w:t xml:space="preserve">. </w:t>
      </w:r>
    </w:p>
    <w:p w14:paraId="1E255371" w14:textId="59BB3156" w:rsidR="00EF7938" w:rsidRPr="007D7BF1" w:rsidRDefault="00747E59" w:rsidP="009E2098">
      <w:pPr>
        <w:pStyle w:val="NormalWeb"/>
        <w:spacing w:before="120" w:beforeAutospacing="0" w:after="120" w:afterAutospacing="0"/>
        <w:ind w:left="450" w:hanging="450"/>
        <w:jc w:val="both"/>
        <w:rPr>
          <w:bCs/>
          <w:color w:val="000000"/>
          <w:sz w:val="22"/>
          <w:szCs w:val="22"/>
          <w:lang w:val="en-US"/>
        </w:rPr>
      </w:pPr>
      <w:proofErr w:type="spellStart"/>
      <w:r w:rsidRPr="007D7BF1">
        <w:rPr>
          <w:bCs/>
          <w:color w:val="000000"/>
          <w:sz w:val="22"/>
          <w:szCs w:val="22"/>
          <w:lang w:val="en-US"/>
        </w:rPr>
        <w:t>Audretsch</w:t>
      </w:r>
      <w:proofErr w:type="spellEnd"/>
      <w:r w:rsidRPr="007D7BF1">
        <w:rPr>
          <w:bCs/>
          <w:color w:val="000000"/>
          <w:sz w:val="22"/>
          <w:szCs w:val="22"/>
          <w:lang w:val="en-US"/>
        </w:rPr>
        <w:t xml:space="preserve">, D.B. and </w:t>
      </w:r>
      <w:proofErr w:type="spellStart"/>
      <w:r w:rsidR="00323754" w:rsidRPr="007D7BF1">
        <w:rPr>
          <w:bCs/>
          <w:color w:val="000000"/>
          <w:sz w:val="22"/>
          <w:szCs w:val="22"/>
          <w:lang w:val="en-US"/>
        </w:rPr>
        <w:t>Belitski</w:t>
      </w:r>
      <w:proofErr w:type="spellEnd"/>
      <w:r w:rsidR="00323754" w:rsidRPr="007D7BF1">
        <w:rPr>
          <w:bCs/>
          <w:color w:val="000000"/>
          <w:sz w:val="22"/>
          <w:szCs w:val="22"/>
          <w:lang w:val="en-US"/>
        </w:rPr>
        <w:t>, M. (</w:t>
      </w:r>
      <w:r w:rsidR="00EF7938" w:rsidRPr="007D7BF1">
        <w:rPr>
          <w:bCs/>
          <w:color w:val="000000"/>
          <w:sz w:val="22"/>
          <w:szCs w:val="22"/>
          <w:lang w:val="en-US"/>
        </w:rPr>
        <w:t>2013</w:t>
      </w:r>
      <w:r w:rsidR="00323754" w:rsidRPr="007D7BF1">
        <w:rPr>
          <w:bCs/>
          <w:color w:val="000000"/>
          <w:sz w:val="22"/>
          <w:szCs w:val="22"/>
          <w:lang w:val="en-US"/>
        </w:rPr>
        <w:t>)</w:t>
      </w:r>
      <w:r w:rsidR="00EF7938" w:rsidRPr="007D7BF1">
        <w:rPr>
          <w:bCs/>
          <w:color w:val="000000"/>
          <w:sz w:val="22"/>
          <w:szCs w:val="22"/>
          <w:lang w:val="en-US"/>
        </w:rPr>
        <w:t xml:space="preserve">. </w:t>
      </w:r>
      <w:r w:rsidR="00981031" w:rsidRPr="007D7BF1">
        <w:rPr>
          <w:bCs/>
          <w:color w:val="000000"/>
          <w:sz w:val="22"/>
          <w:szCs w:val="22"/>
          <w:lang w:val="en-US"/>
        </w:rPr>
        <w:t>‘</w:t>
      </w:r>
      <w:r w:rsidR="00EF7938" w:rsidRPr="007D7BF1">
        <w:rPr>
          <w:bCs/>
          <w:color w:val="000000"/>
          <w:sz w:val="22"/>
          <w:szCs w:val="22"/>
          <w:lang w:val="en-US"/>
        </w:rPr>
        <w:t>The missing pillar: the creativity theory of knowledge spillover entrepreneurship</w:t>
      </w:r>
      <w:r w:rsidR="00981031" w:rsidRPr="007D7BF1">
        <w:rPr>
          <w:bCs/>
          <w:color w:val="000000"/>
          <w:sz w:val="22"/>
          <w:szCs w:val="22"/>
          <w:lang w:val="en-US"/>
        </w:rPr>
        <w:t xml:space="preserve">’, </w:t>
      </w:r>
      <w:r w:rsidR="00EF7938" w:rsidRPr="007D7BF1">
        <w:rPr>
          <w:bCs/>
          <w:i/>
          <w:color w:val="000000"/>
          <w:sz w:val="22"/>
          <w:szCs w:val="22"/>
          <w:lang w:val="en-US"/>
        </w:rPr>
        <w:t>Small Business Economics</w:t>
      </w:r>
      <w:r w:rsidR="00981031" w:rsidRPr="007D7BF1">
        <w:rPr>
          <w:bCs/>
          <w:color w:val="000000"/>
          <w:sz w:val="22"/>
          <w:szCs w:val="22"/>
          <w:lang w:val="en-US"/>
        </w:rPr>
        <w:t>, Vol.</w:t>
      </w:r>
      <w:r w:rsidR="00EF7938" w:rsidRPr="007D7BF1">
        <w:rPr>
          <w:bCs/>
          <w:color w:val="000000"/>
          <w:sz w:val="22"/>
          <w:szCs w:val="22"/>
          <w:lang w:val="en-US"/>
        </w:rPr>
        <w:t xml:space="preserve"> </w:t>
      </w:r>
      <w:r w:rsidR="00EF7938" w:rsidRPr="007D7BF1">
        <w:rPr>
          <w:color w:val="000000"/>
          <w:sz w:val="22"/>
          <w:szCs w:val="22"/>
          <w:lang w:val="en-US" w:eastAsia="en-GB"/>
        </w:rPr>
        <w:t>41 (4), 819-836.</w:t>
      </w:r>
    </w:p>
    <w:p w14:paraId="18FEDA03" w14:textId="1E533FCB" w:rsidR="00EF7938" w:rsidRPr="007D7BF1" w:rsidRDefault="00EF7938" w:rsidP="009E2098">
      <w:pPr>
        <w:pStyle w:val="NormalWeb"/>
        <w:spacing w:before="120" w:beforeAutospacing="0" w:after="120" w:afterAutospacing="0"/>
        <w:ind w:left="450" w:hanging="450"/>
        <w:jc w:val="both"/>
        <w:rPr>
          <w:bCs/>
          <w:color w:val="000000"/>
          <w:sz w:val="22"/>
          <w:szCs w:val="22"/>
          <w:lang w:val="en-US"/>
        </w:rPr>
      </w:pPr>
      <w:r w:rsidRPr="007D7BF1">
        <w:rPr>
          <w:bCs/>
          <w:color w:val="000000"/>
          <w:sz w:val="22"/>
          <w:szCs w:val="22"/>
          <w:lang w:val="en-US"/>
        </w:rPr>
        <w:t>B</w:t>
      </w:r>
      <w:r w:rsidR="00747E59" w:rsidRPr="007D7BF1">
        <w:rPr>
          <w:bCs/>
          <w:color w:val="000000"/>
          <w:sz w:val="22"/>
          <w:szCs w:val="22"/>
          <w:lang w:val="en-US"/>
        </w:rPr>
        <w:t xml:space="preserve">aden-Fuller, C. and </w:t>
      </w:r>
      <w:proofErr w:type="spellStart"/>
      <w:r w:rsidR="00B64ED5" w:rsidRPr="007D7BF1">
        <w:rPr>
          <w:bCs/>
          <w:color w:val="000000"/>
          <w:sz w:val="22"/>
          <w:szCs w:val="22"/>
          <w:lang w:val="en-US"/>
        </w:rPr>
        <w:t>Haefliger</w:t>
      </w:r>
      <w:proofErr w:type="spellEnd"/>
      <w:r w:rsidR="00B64ED5" w:rsidRPr="007D7BF1">
        <w:rPr>
          <w:bCs/>
          <w:color w:val="000000"/>
          <w:sz w:val="22"/>
          <w:szCs w:val="22"/>
          <w:lang w:val="en-US"/>
        </w:rPr>
        <w:t>, S. (</w:t>
      </w:r>
      <w:r w:rsidRPr="007D7BF1">
        <w:rPr>
          <w:bCs/>
          <w:color w:val="000000"/>
          <w:sz w:val="22"/>
          <w:szCs w:val="22"/>
          <w:lang w:val="en-US"/>
        </w:rPr>
        <w:t>2013</w:t>
      </w:r>
      <w:r w:rsidR="00B64ED5" w:rsidRPr="007D7BF1">
        <w:rPr>
          <w:bCs/>
          <w:color w:val="000000"/>
          <w:sz w:val="22"/>
          <w:szCs w:val="22"/>
          <w:lang w:val="en-US"/>
        </w:rPr>
        <w:t>)</w:t>
      </w:r>
      <w:r w:rsidRPr="007D7BF1">
        <w:rPr>
          <w:bCs/>
          <w:color w:val="000000"/>
          <w:sz w:val="22"/>
          <w:szCs w:val="22"/>
          <w:lang w:val="en-US"/>
        </w:rPr>
        <w:t xml:space="preserve">. </w:t>
      </w:r>
      <w:r w:rsidR="00B64ED5" w:rsidRPr="007D7BF1">
        <w:rPr>
          <w:bCs/>
          <w:color w:val="000000"/>
          <w:sz w:val="22"/>
          <w:szCs w:val="22"/>
          <w:lang w:val="en-US"/>
        </w:rPr>
        <w:t>‘</w:t>
      </w:r>
      <w:r w:rsidRPr="007D7BF1">
        <w:rPr>
          <w:bCs/>
          <w:color w:val="000000"/>
          <w:sz w:val="22"/>
          <w:szCs w:val="22"/>
          <w:lang w:val="en-US"/>
        </w:rPr>
        <w:t>Business models and technological innovation</w:t>
      </w:r>
      <w:r w:rsidR="00B64ED5" w:rsidRPr="007D7BF1">
        <w:rPr>
          <w:bCs/>
          <w:color w:val="000000"/>
          <w:sz w:val="22"/>
          <w:szCs w:val="22"/>
          <w:lang w:val="en-US"/>
        </w:rPr>
        <w:t>’,</w:t>
      </w:r>
      <w:r w:rsidRPr="007D7BF1">
        <w:rPr>
          <w:bCs/>
          <w:color w:val="000000"/>
          <w:sz w:val="22"/>
          <w:szCs w:val="22"/>
          <w:lang w:val="en-US"/>
        </w:rPr>
        <w:t xml:space="preserve"> </w:t>
      </w:r>
      <w:r w:rsidRPr="007D7BF1">
        <w:rPr>
          <w:bCs/>
          <w:i/>
          <w:color w:val="000000"/>
          <w:sz w:val="22"/>
          <w:szCs w:val="22"/>
          <w:lang w:val="en-US"/>
        </w:rPr>
        <w:t>Long Range Planning</w:t>
      </w:r>
      <w:r w:rsidR="00B64ED5" w:rsidRPr="007D7BF1">
        <w:rPr>
          <w:bCs/>
          <w:color w:val="000000"/>
          <w:sz w:val="22"/>
          <w:szCs w:val="22"/>
          <w:lang w:val="en-US"/>
        </w:rPr>
        <w:t>, Vol.</w:t>
      </w:r>
      <w:r w:rsidRPr="007D7BF1">
        <w:rPr>
          <w:bCs/>
          <w:color w:val="000000"/>
          <w:sz w:val="22"/>
          <w:szCs w:val="22"/>
          <w:lang w:val="en-US"/>
        </w:rPr>
        <w:t xml:space="preserve"> 46 (6), 419</w:t>
      </w:r>
      <w:r w:rsidRPr="007D7BF1">
        <w:rPr>
          <w:color w:val="000000"/>
          <w:sz w:val="22"/>
          <w:szCs w:val="22"/>
          <w:lang w:val="en-US" w:eastAsia="en-GB"/>
        </w:rPr>
        <w:t>-</w:t>
      </w:r>
      <w:r w:rsidRPr="007D7BF1">
        <w:rPr>
          <w:bCs/>
          <w:color w:val="000000"/>
          <w:sz w:val="22"/>
          <w:szCs w:val="22"/>
          <w:lang w:val="en-US"/>
        </w:rPr>
        <w:t xml:space="preserve">426. </w:t>
      </w:r>
    </w:p>
    <w:p w14:paraId="03FE7544" w14:textId="3C58EC02" w:rsidR="00EF7938" w:rsidRPr="007D7BF1" w:rsidRDefault="00747E59" w:rsidP="009E2098">
      <w:pPr>
        <w:pStyle w:val="NormalWeb"/>
        <w:spacing w:before="120" w:beforeAutospacing="0" w:after="120" w:afterAutospacing="0"/>
        <w:ind w:left="450" w:hanging="450"/>
        <w:jc w:val="both"/>
        <w:rPr>
          <w:bCs/>
          <w:color w:val="000000"/>
          <w:sz w:val="22"/>
          <w:szCs w:val="22"/>
          <w:lang w:val="en-US"/>
        </w:rPr>
      </w:pPr>
      <w:proofErr w:type="spellStart"/>
      <w:r w:rsidRPr="007D7BF1">
        <w:rPr>
          <w:bCs/>
          <w:color w:val="000000"/>
          <w:sz w:val="22"/>
          <w:szCs w:val="22"/>
          <w:lang w:val="en-US"/>
        </w:rPr>
        <w:t>Bercovitz</w:t>
      </w:r>
      <w:proofErr w:type="spellEnd"/>
      <w:r w:rsidRPr="007D7BF1">
        <w:rPr>
          <w:bCs/>
          <w:color w:val="000000"/>
          <w:sz w:val="22"/>
          <w:szCs w:val="22"/>
          <w:lang w:val="en-US"/>
        </w:rPr>
        <w:t xml:space="preserve">, J. and </w:t>
      </w:r>
      <w:r w:rsidR="00EF7938" w:rsidRPr="007D7BF1">
        <w:rPr>
          <w:bCs/>
          <w:color w:val="000000"/>
          <w:sz w:val="22"/>
          <w:szCs w:val="22"/>
          <w:lang w:val="en-US"/>
        </w:rPr>
        <w:t>Mitchell, W.</w:t>
      </w:r>
      <w:r w:rsidR="00736E93" w:rsidRPr="007D7BF1">
        <w:rPr>
          <w:bCs/>
          <w:color w:val="000000"/>
          <w:sz w:val="22"/>
          <w:szCs w:val="22"/>
          <w:lang w:val="en-US"/>
        </w:rPr>
        <w:t xml:space="preserve"> (</w:t>
      </w:r>
      <w:r w:rsidR="00EF7938" w:rsidRPr="007D7BF1">
        <w:rPr>
          <w:bCs/>
          <w:color w:val="000000"/>
          <w:sz w:val="22"/>
          <w:szCs w:val="22"/>
          <w:lang w:val="en-US"/>
        </w:rPr>
        <w:t>2007</w:t>
      </w:r>
      <w:r w:rsidR="00736E93" w:rsidRPr="007D7BF1">
        <w:rPr>
          <w:bCs/>
          <w:color w:val="000000"/>
          <w:sz w:val="22"/>
          <w:szCs w:val="22"/>
          <w:lang w:val="en-US"/>
        </w:rPr>
        <w:t>)</w:t>
      </w:r>
      <w:r w:rsidR="00EF7938" w:rsidRPr="007D7BF1">
        <w:rPr>
          <w:bCs/>
          <w:color w:val="000000"/>
          <w:sz w:val="22"/>
          <w:szCs w:val="22"/>
          <w:lang w:val="en-US"/>
        </w:rPr>
        <w:t xml:space="preserve">. </w:t>
      </w:r>
      <w:r w:rsidR="00736E93" w:rsidRPr="007D7BF1">
        <w:rPr>
          <w:bCs/>
          <w:color w:val="000000"/>
          <w:sz w:val="22"/>
          <w:szCs w:val="22"/>
          <w:lang w:val="en-US"/>
        </w:rPr>
        <w:t>‘</w:t>
      </w:r>
      <w:r w:rsidR="00EF7938" w:rsidRPr="007D7BF1">
        <w:rPr>
          <w:bCs/>
          <w:color w:val="000000"/>
          <w:sz w:val="22"/>
          <w:szCs w:val="22"/>
          <w:lang w:val="en-US"/>
        </w:rPr>
        <w:t xml:space="preserve">When is </w:t>
      </w:r>
      <w:proofErr w:type="gramStart"/>
      <w:r w:rsidR="00EF7938" w:rsidRPr="007D7BF1">
        <w:rPr>
          <w:bCs/>
          <w:color w:val="000000"/>
          <w:sz w:val="22"/>
          <w:szCs w:val="22"/>
          <w:lang w:val="en-US"/>
        </w:rPr>
        <w:t>more better</w:t>
      </w:r>
      <w:proofErr w:type="gramEnd"/>
      <w:r w:rsidR="00EF7938" w:rsidRPr="007D7BF1">
        <w:rPr>
          <w:bCs/>
          <w:color w:val="000000"/>
          <w:sz w:val="22"/>
          <w:szCs w:val="22"/>
          <w:lang w:val="en-US"/>
        </w:rPr>
        <w:t>? The impact of business scale and scope on long-term business survival, while controlling for profitability</w:t>
      </w:r>
      <w:r w:rsidR="00736E93" w:rsidRPr="007D7BF1">
        <w:rPr>
          <w:bCs/>
          <w:color w:val="000000"/>
          <w:sz w:val="22"/>
          <w:szCs w:val="22"/>
          <w:lang w:val="en-US"/>
        </w:rPr>
        <w:t>’,</w:t>
      </w:r>
      <w:r w:rsidR="00EF7938" w:rsidRPr="007D7BF1">
        <w:rPr>
          <w:bCs/>
          <w:color w:val="000000"/>
          <w:sz w:val="22"/>
          <w:szCs w:val="22"/>
          <w:lang w:val="en-US"/>
        </w:rPr>
        <w:t> </w:t>
      </w:r>
      <w:r w:rsidR="00EF7938" w:rsidRPr="007D7BF1">
        <w:rPr>
          <w:bCs/>
          <w:i/>
          <w:color w:val="000000"/>
          <w:sz w:val="22"/>
          <w:szCs w:val="22"/>
          <w:lang w:val="en-US"/>
        </w:rPr>
        <w:t>Strategic Management Journal</w:t>
      </w:r>
      <w:r w:rsidR="00736E93" w:rsidRPr="007D7BF1">
        <w:rPr>
          <w:bCs/>
          <w:color w:val="000000"/>
          <w:sz w:val="22"/>
          <w:szCs w:val="22"/>
          <w:lang w:val="en-US"/>
        </w:rPr>
        <w:t>, Vol.</w:t>
      </w:r>
      <w:r w:rsidR="00EF7938" w:rsidRPr="007D7BF1">
        <w:rPr>
          <w:bCs/>
          <w:color w:val="000000"/>
          <w:sz w:val="22"/>
          <w:szCs w:val="22"/>
          <w:lang w:val="en-US"/>
        </w:rPr>
        <w:t> 28 (1), 61-79.</w:t>
      </w:r>
    </w:p>
    <w:p w14:paraId="53E572D1" w14:textId="2201BEBD" w:rsidR="00EF7938" w:rsidRPr="007D7BF1" w:rsidRDefault="00747E59" w:rsidP="00A22468">
      <w:pPr>
        <w:pStyle w:val="NormalWeb"/>
        <w:spacing w:before="120" w:beforeAutospacing="0" w:after="120" w:afterAutospacing="0"/>
        <w:ind w:left="448" w:hanging="448"/>
        <w:jc w:val="both"/>
        <w:rPr>
          <w:bCs/>
          <w:color w:val="000000"/>
          <w:sz w:val="22"/>
          <w:szCs w:val="22"/>
          <w:lang w:val="en-US"/>
        </w:rPr>
      </w:pPr>
      <w:proofErr w:type="spellStart"/>
      <w:r w:rsidRPr="007D7BF1">
        <w:rPr>
          <w:bCs/>
          <w:color w:val="000000"/>
          <w:sz w:val="22"/>
          <w:szCs w:val="22"/>
          <w:lang w:val="en-US"/>
        </w:rPr>
        <w:t>Bogner</w:t>
      </w:r>
      <w:proofErr w:type="spellEnd"/>
      <w:r w:rsidRPr="007D7BF1">
        <w:rPr>
          <w:bCs/>
          <w:color w:val="000000"/>
          <w:sz w:val="22"/>
          <w:szCs w:val="22"/>
          <w:lang w:val="en-US"/>
        </w:rPr>
        <w:t xml:space="preserve">, A. and </w:t>
      </w:r>
      <w:proofErr w:type="spellStart"/>
      <w:r w:rsidR="00EF7938" w:rsidRPr="007D7BF1">
        <w:rPr>
          <w:bCs/>
          <w:color w:val="000000"/>
          <w:sz w:val="22"/>
          <w:szCs w:val="22"/>
          <w:lang w:val="en-US"/>
        </w:rPr>
        <w:t>Menz</w:t>
      </w:r>
      <w:proofErr w:type="spellEnd"/>
      <w:r w:rsidR="00EF7938" w:rsidRPr="007D7BF1">
        <w:rPr>
          <w:bCs/>
          <w:color w:val="000000"/>
          <w:sz w:val="22"/>
          <w:szCs w:val="22"/>
          <w:lang w:val="en-US"/>
        </w:rPr>
        <w:t>, W.</w:t>
      </w:r>
      <w:r w:rsidR="00A22468" w:rsidRPr="007D7BF1">
        <w:rPr>
          <w:bCs/>
          <w:color w:val="000000"/>
          <w:sz w:val="22"/>
          <w:szCs w:val="22"/>
          <w:lang w:val="en-US"/>
        </w:rPr>
        <w:t xml:space="preserve"> (</w:t>
      </w:r>
      <w:r w:rsidR="00EF7938" w:rsidRPr="007D7BF1">
        <w:rPr>
          <w:bCs/>
          <w:color w:val="000000"/>
          <w:sz w:val="22"/>
          <w:szCs w:val="22"/>
          <w:lang w:val="en-US"/>
        </w:rPr>
        <w:t>2009</w:t>
      </w:r>
      <w:r w:rsidR="00A22468" w:rsidRPr="007D7BF1">
        <w:rPr>
          <w:bCs/>
          <w:color w:val="000000"/>
          <w:sz w:val="22"/>
          <w:szCs w:val="22"/>
          <w:lang w:val="en-US"/>
        </w:rPr>
        <w:t>)</w:t>
      </w:r>
      <w:r w:rsidR="00EF7938" w:rsidRPr="007D7BF1">
        <w:rPr>
          <w:bCs/>
          <w:color w:val="000000"/>
          <w:sz w:val="22"/>
          <w:szCs w:val="22"/>
          <w:lang w:val="en-US"/>
        </w:rPr>
        <w:t xml:space="preserve">. </w:t>
      </w:r>
      <w:r w:rsidR="00A22468" w:rsidRPr="007D7BF1">
        <w:rPr>
          <w:bCs/>
          <w:color w:val="000000"/>
          <w:sz w:val="22"/>
          <w:szCs w:val="22"/>
          <w:lang w:val="en-US"/>
        </w:rPr>
        <w:t>‘</w:t>
      </w:r>
      <w:r w:rsidR="00EF7938" w:rsidRPr="007D7BF1">
        <w:rPr>
          <w:bCs/>
          <w:color w:val="000000"/>
          <w:sz w:val="22"/>
          <w:szCs w:val="22"/>
          <w:lang w:val="en-US"/>
        </w:rPr>
        <w:t>The theory-generating expert interview</w:t>
      </w:r>
      <w:r w:rsidR="00A22468" w:rsidRPr="007D7BF1">
        <w:rPr>
          <w:bCs/>
          <w:color w:val="000000"/>
          <w:sz w:val="22"/>
          <w:szCs w:val="22"/>
          <w:lang w:val="en-US"/>
        </w:rPr>
        <w:t>’</w:t>
      </w:r>
      <w:r w:rsidR="00387F8F" w:rsidRPr="007D7BF1">
        <w:rPr>
          <w:bCs/>
          <w:color w:val="000000"/>
          <w:sz w:val="22"/>
          <w:szCs w:val="22"/>
          <w:lang w:val="en-US"/>
        </w:rPr>
        <w:t>, in</w:t>
      </w:r>
      <w:r w:rsidR="00EF7938" w:rsidRPr="007D7BF1">
        <w:rPr>
          <w:bCs/>
          <w:color w:val="000000"/>
          <w:sz w:val="22"/>
          <w:szCs w:val="22"/>
          <w:lang w:val="en-US"/>
        </w:rPr>
        <w:t xml:space="preserve"> </w:t>
      </w:r>
      <w:proofErr w:type="spellStart"/>
      <w:r w:rsidR="00EF7938" w:rsidRPr="007D7BF1">
        <w:rPr>
          <w:bCs/>
          <w:color w:val="000000"/>
          <w:sz w:val="22"/>
          <w:szCs w:val="22"/>
          <w:lang w:val="en-US"/>
        </w:rPr>
        <w:t>Bogner</w:t>
      </w:r>
      <w:proofErr w:type="spellEnd"/>
      <w:r w:rsidR="00EF7938" w:rsidRPr="007D7BF1">
        <w:rPr>
          <w:bCs/>
          <w:color w:val="000000"/>
          <w:sz w:val="22"/>
          <w:szCs w:val="22"/>
          <w:lang w:val="en-US"/>
        </w:rPr>
        <w:t xml:space="preserve">, A., Littig, B., </w:t>
      </w:r>
      <w:proofErr w:type="spellStart"/>
      <w:r w:rsidR="00EF7938" w:rsidRPr="007D7BF1">
        <w:rPr>
          <w:bCs/>
          <w:color w:val="000000"/>
          <w:sz w:val="22"/>
          <w:szCs w:val="22"/>
          <w:lang w:val="en-US"/>
        </w:rPr>
        <w:t>Menz</w:t>
      </w:r>
      <w:proofErr w:type="spellEnd"/>
      <w:r w:rsidR="00EF7938" w:rsidRPr="007D7BF1">
        <w:rPr>
          <w:bCs/>
          <w:color w:val="000000"/>
          <w:sz w:val="22"/>
          <w:szCs w:val="22"/>
          <w:lang w:val="en-US"/>
        </w:rPr>
        <w:t>, W. (Eds.</w:t>
      </w:r>
      <w:r w:rsidR="00387F8F" w:rsidRPr="007D7BF1">
        <w:rPr>
          <w:bCs/>
          <w:color w:val="000000"/>
          <w:sz w:val="22"/>
          <w:szCs w:val="22"/>
          <w:lang w:val="en-US"/>
        </w:rPr>
        <w:t>):</w:t>
      </w:r>
      <w:r w:rsidR="00A22468" w:rsidRPr="007D7BF1">
        <w:rPr>
          <w:bCs/>
          <w:color w:val="000000"/>
          <w:sz w:val="22"/>
          <w:szCs w:val="22"/>
          <w:lang w:val="en-US"/>
        </w:rPr>
        <w:t xml:space="preserve"> </w:t>
      </w:r>
      <w:r w:rsidR="00A22468" w:rsidRPr="007D7BF1">
        <w:rPr>
          <w:bCs/>
          <w:i/>
          <w:color w:val="000000"/>
          <w:sz w:val="22"/>
          <w:szCs w:val="22"/>
          <w:lang w:val="en-US"/>
        </w:rPr>
        <w:t>Interviewing Experts</w:t>
      </w:r>
      <w:r w:rsidR="00387F8F" w:rsidRPr="007D7BF1">
        <w:rPr>
          <w:bCs/>
          <w:color w:val="000000"/>
          <w:sz w:val="22"/>
          <w:szCs w:val="22"/>
          <w:lang w:val="en-US"/>
        </w:rPr>
        <w:t xml:space="preserve">, </w:t>
      </w:r>
      <w:proofErr w:type="spellStart"/>
      <w:r w:rsidR="00EF7938" w:rsidRPr="007D7BF1">
        <w:rPr>
          <w:bCs/>
          <w:color w:val="000000"/>
          <w:sz w:val="22"/>
          <w:szCs w:val="22"/>
          <w:lang w:val="en-US"/>
        </w:rPr>
        <w:t>Baskingstoke</w:t>
      </w:r>
      <w:proofErr w:type="spellEnd"/>
      <w:r w:rsidR="00EF7938" w:rsidRPr="007D7BF1">
        <w:rPr>
          <w:bCs/>
          <w:color w:val="000000"/>
          <w:sz w:val="22"/>
          <w:szCs w:val="22"/>
          <w:lang w:val="en-US"/>
        </w:rPr>
        <w:t>, pp. 43-80.</w:t>
      </w:r>
      <w:r w:rsidR="00A22468" w:rsidRPr="007D7BF1">
        <w:rPr>
          <w:lang w:val="en-GB"/>
        </w:rPr>
        <w:t xml:space="preserve"> </w:t>
      </w:r>
      <w:r w:rsidR="00A22468" w:rsidRPr="007D7BF1">
        <w:rPr>
          <w:bCs/>
          <w:color w:val="000000"/>
          <w:sz w:val="22"/>
          <w:szCs w:val="22"/>
          <w:lang w:val="en-US"/>
        </w:rPr>
        <w:t>Palgrave Macmillan.</w:t>
      </w:r>
    </w:p>
    <w:p w14:paraId="5A053C17" w14:textId="5C6A0A84" w:rsidR="00EF7938" w:rsidRPr="007D7BF1" w:rsidRDefault="00EF7938" w:rsidP="009E2098">
      <w:pPr>
        <w:pStyle w:val="NormalWeb"/>
        <w:spacing w:before="120" w:beforeAutospacing="0" w:after="120" w:afterAutospacing="0"/>
        <w:ind w:left="450" w:hanging="450"/>
        <w:jc w:val="both"/>
        <w:rPr>
          <w:bCs/>
          <w:color w:val="000000"/>
          <w:sz w:val="22"/>
          <w:szCs w:val="22"/>
          <w:lang w:val="en-US"/>
        </w:rPr>
      </w:pPr>
      <w:r w:rsidRPr="007D7BF1">
        <w:rPr>
          <w:bCs/>
          <w:color w:val="000000"/>
          <w:sz w:val="22"/>
          <w:szCs w:val="22"/>
          <w:lang w:val="en-GB"/>
        </w:rPr>
        <w:t>Bustinza, O.F</w:t>
      </w:r>
      <w:r w:rsidR="00747E59" w:rsidRPr="007D7BF1">
        <w:rPr>
          <w:bCs/>
          <w:color w:val="000000"/>
          <w:sz w:val="22"/>
          <w:szCs w:val="22"/>
          <w:lang w:val="en-GB"/>
        </w:rPr>
        <w:t xml:space="preserve">., Parry, G. and </w:t>
      </w:r>
      <w:r w:rsidRPr="007D7BF1">
        <w:rPr>
          <w:bCs/>
          <w:color w:val="000000"/>
          <w:sz w:val="22"/>
          <w:szCs w:val="22"/>
          <w:lang w:val="en-GB"/>
        </w:rPr>
        <w:t>Vendrell-Herrero, F</w:t>
      </w:r>
      <w:r w:rsidR="001B6327" w:rsidRPr="007D7BF1">
        <w:rPr>
          <w:bCs/>
          <w:color w:val="000000"/>
          <w:sz w:val="22"/>
          <w:szCs w:val="22"/>
          <w:lang w:val="en-GB"/>
        </w:rPr>
        <w:t>. (</w:t>
      </w:r>
      <w:r w:rsidRPr="007D7BF1">
        <w:rPr>
          <w:bCs/>
          <w:color w:val="000000"/>
          <w:sz w:val="22"/>
          <w:szCs w:val="22"/>
          <w:lang w:val="en-GB"/>
        </w:rPr>
        <w:t>2013</w:t>
      </w:r>
      <w:r w:rsidR="001B6327" w:rsidRPr="007D7BF1">
        <w:rPr>
          <w:bCs/>
          <w:color w:val="000000"/>
          <w:sz w:val="22"/>
          <w:szCs w:val="22"/>
          <w:lang w:val="en-GB"/>
        </w:rPr>
        <w:t>a)</w:t>
      </w:r>
      <w:r w:rsidRPr="007D7BF1">
        <w:rPr>
          <w:bCs/>
          <w:color w:val="000000"/>
          <w:sz w:val="22"/>
          <w:szCs w:val="22"/>
          <w:lang w:val="en-GB"/>
        </w:rPr>
        <w:t xml:space="preserve">. </w:t>
      </w:r>
      <w:r w:rsidR="001B6327" w:rsidRPr="007D7BF1">
        <w:rPr>
          <w:bCs/>
          <w:color w:val="000000"/>
          <w:sz w:val="22"/>
          <w:szCs w:val="22"/>
          <w:lang w:val="en-GB"/>
        </w:rPr>
        <w:t>‘</w:t>
      </w:r>
      <w:r w:rsidRPr="007D7BF1">
        <w:rPr>
          <w:bCs/>
          <w:color w:val="000000"/>
          <w:sz w:val="22"/>
          <w:szCs w:val="22"/>
          <w:lang w:val="en-US"/>
        </w:rPr>
        <w:t>Supply and demand chain management orientation: adding services to product offerings</w:t>
      </w:r>
      <w:r w:rsidR="001B6327" w:rsidRPr="007D7BF1">
        <w:rPr>
          <w:bCs/>
          <w:color w:val="000000"/>
          <w:sz w:val="22"/>
          <w:szCs w:val="22"/>
          <w:lang w:val="en-US"/>
        </w:rPr>
        <w:t>’,</w:t>
      </w:r>
      <w:r w:rsidRPr="007D7BF1">
        <w:rPr>
          <w:bCs/>
          <w:color w:val="000000"/>
          <w:sz w:val="22"/>
          <w:szCs w:val="22"/>
          <w:lang w:val="en-US"/>
        </w:rPr>
        <w:t xml:space="preserve"> </w:t>
      </w:r>
      <w:r w:rsidRPr="007D7BF1">
        <w:rPr>
          <w:bCs/>
          <w:i/>
          <w:color w:val="000000"/>
          <w:sz w:val="22"/>
          <w:szCs w:val="22"/>
          <w:lang w:val="en-US"/>
        </w:rPr>
        <w:t>Supply Chain Management: An International Journal</w:t>
      </w:r>
      <w:r w:rsidR="001B6327" w:rsidRPr="007D7BF1">
        <w:rPr>
          <w:bCs/>
          <w:color w:val="000000"/>
          <w:sz w:val="22"/>
          <w:szCs w:val="22"/>
          <w:lang w:val="en-US"/>
        </w:rPr>
        <w:t>, Vol.</w:t>
      </w:r>
      <w:r w:rsidRPr="007D7BF1">
        <w:rPr>
          <w:bCs/>
          <w:color w:val="000000"/>
          <w:sz w:val="22"/>
          <w:szCs w:val="22"/>
          <w:lang w:val="en-US"/>
        </w:rPr>
        <w:t xml:space="preserve"> 18 (6), 618</w:t>
      </w:r>
      <w:r w:rsidRPr="007D7BF1">
        <w:rPr>
          <w:color w:val="000000"/>
          <w:sz w:val="22"/>
          <w:szCs w:val="22"/>
          <w:lang w:val="en-US" w:eastAsia="en-GB"/>
        </w:rPr>
        <w:t>-</w:t>
      </w:r>
      <w:r w:rsidRPr="007D7BF1">
        <w:rPr>
          <w:bCs/>
          <w:color w:val="000000"/>
          <w:sz w:val="22"/>
          <w:szCs w:val="22"/>
          <w:lang w:val="en-US"/>
        </w:rPr>
        <w:t>629.</w:t>
      </w:r>
    </w:p>
    <w:p w14:paraId="7BF487D6" w14:textId="4C9B4FAA" w:rsidR="00EF7938" w:rsidRPr="007D7BF1" w:rsidRDefault="00EF7938" w:rsidP="00EF7938">
      <w:pPr>
        <w:pStyle w:val="NormalWeb"/>
        <w:spacing w:before="120" w:beforeAutospacing="0" w:after="120" w:afterAutospacing="0"/>
        <w:ind w:left="450" w:hanging="450"/>
        <w:jc w:val="both"/>
        <w:rPr>
          <w:bCs/>
          <w:color w:val="000000"/>
          <w:sz w:val="22"/>
          <w:szCs w:val="22"/>
          <w:lang w:val="en-US"/>
        </w:rPr>
      </w:pPr>
      <w:r w:rsidRPr="007D7BF1">
        <w:rPr>
          <w:bCs/>
          <w:color w:val="000000"/>
          <w:sz w:val="22"/>
          <w:szCs w:val="22"/>
          <w:lang w:val="en-GB"/>
        </w:rPr>
        <w:t>Bustinza, O.F., Vendrell-Herrero, F</w:t>
      </w:r>
      <w:r w:rsidR="00747E59" w:rsidRPr="007D7BF1">
        <w:rPr>
          <w:bCs/>
          <w:color w:val="000000"/>
          <w:sz w:val="22"/>
          <w:szCs w:val="22"/>
          <w:lang w:val="en-GB"/>
        </w:rPr>
        <w:t xml:space="preserve">., Parry, G. and </w:t>
      </w:r>
      <w:proofErr w:type="spellStart"/>
      <w:r w:rsidR="001B6327" w:rsidRPr="007D7BF1">
        <w:rPr>
          <w:bCs/>
          <w:color w:val="000000"/>
          <w:sz w:val="22"/>
          <w:szCs w:val="22"/>
          <w:lang w:val="en-GB"/>
        </w:rPr>
        <w:t>Myrthianos</w:t>
      </w:r>
      <w:proofErr w:type="spellEnd"/>
      <w:r w:rsidR="001B6327" w:rsidRPr="007D7BF1">
        <w:rPr>
          <w:bCs/>
          <w:color w:val="000000"/>
          <w:sz w:val="22"/>
          <w:szCs w:val="22"/>
          <w:lang w:val="en-GB"/>
        </w:rPr>
        <w:t>, V. (</w:t>
      </w:r>
      <w:r w:rsidRPr="007D7BF1">
        <w:rPr>
          <w:bCs/>
          <w:color w:val="000000"/>
          <w:sz w:val="22"/>
          <w:szCs w:val="22"/>
          <w:lang w:val="en-GB"/>
        </w:rPr>
        <w:t>2013b</w:t>
      </w:r>
      <w:r w:rsidR="001B6327" w:rsidRPr="007D7BF1">
        <w:rPr>
          <w:bCs/>
          <w:color w:val="000000"/>
          <w:sz w:val="22"/>
          <w:szCs w:val="22"/>
          <w:lang w:val="en-GB"/>
        </w:rPr>
        <w:t>)</w:t>
      </w:r>
      <w:r w:rsidRPr="007D7BF1">
        <w:rPr>
          <w:bCs/>
          <w:color w:val="000000"/>
          <w:sz w:val="22"/>
          <w:szCs w:val="22"/>
          <w:lang w:val="en-GB"/>
        </w:rPr>
        <w:t xml:space="preserve">. </w:t>
      </w:r>
      <w:r w:rsidR="001B6327" w:rsidRPr="007D7BF1">
        <w:rPr>
          <w:bCs/>
          <w:color w:val="000000"/>
          <w:sz w:val="22"/>
          <w:szCs w:val="22"/>
          <w:lang w:val="en-GB"/>
        </w:rPr>
        <w:t>‘</w:t>
      </w:r>
      <w:r w:rsidRPr="007D7BF1">
        <w:rPr>
          <w:bCs/>
          <w:color w:val="000000"/>
          <w:sz w:val="22"/>
          <w:szCs w:val="22"/>
          <w:lang w:val="en-US"/>
        </w:rPr>
        <w:t>Music business models and piracy</w:t>
      </w:r>
      <w:r w:rsidR="001B6327" w:rsidRPr="007D7BF1">
        <w:rPr>
          <w:bCs/>
          <w:color w:val="000000"/>
          <w:sz w:val="22"/>
          <w:szCs w:val="22"/>
          <w:lang w:val="en-US"/>
        </w:rPr>
        <w:t>’</w:t>
      </w:r>
      <w:r w:rsidR="001B6327" w:rsidRPr="007D7BF1">
        <w:rPr>
          <w:bCs/>
          <w:i/>
          <w:color w:val="000000"/>
          <w:sz w:val="22"/>
          <w:szCs w:val="22"/>
          <w:lang w:val="en-US"/>
        </w:rPr>
        <w:t>,</w:t>
      </w:r>
      <w:r w:rsidRPr="007D7BF1">
        <w:rPr>
          <w:bCs/>
          <w:i/>
          <w:color w:val="000000"/>
          <w:sz w:val="22"/>
          <w:szCs w:val="22"/>
          <w:lang w:val="en-US"/>
        </w:rPr>
        <w:t xml:space="preserve"> </w:t>
      </w:r>
      <w:r w:rsidRPr="007D7BF1">
        <w:rPr>
          <w:bCs/>
          <w:i/>
          <w:iCs/>
          <w:color w:val="000000"/>
          <w:sz w:val="22"/>
          <w:szCs w:val="22"/>
          <w:lang w:val="en-US"/>
        </w:rPr>
        <w:t>Industrial Management &amp; Data Systems</w:t>
      </w:r>
      <w:r w:rsidR="001B6327" w:rsidRPr="007D7BF1">
        <w:rPr>
          <w:bCs/>
          <w:iCs/>
          <w:color w:val="000000"/>
          <w:sz w:val="22"/>
          <w:szCs w:val="22"/>
          <w:lang w:val="en-US"/>
        </w:rPr>
        <w:t>, Vol.</w:t>
      </w:r>
      <w:r w:rsidRPr="007D7BF1">
        <w:rPr>
          <w:bCs/>
          <w:iCs/>
          <w:color w:val="000000"/>
          <w:sz w:val="22"/>
          <w:szCs w:val="22"/>
          <w:lang w:val="en-US"/>
        </w:rPr>
        <w:t xml:space="preserve"> </w:t>
      </w:r>
      <w:r w:rsidRPr="007D7BF1">
        <w:rPr>
          <w:bCs/>
          <w:color w:val="000000"/>
          <w:sz w:val="22"/>
          <w:szCs w:val="22"/>
          <w:lang w:val="en-US"/>
        </w:rPr>
        <w:t>113 (1), 4</w:t>
      </w:r>
      <w:r w:rsidRPr="007D7BF1">
        <w:rPr>
          <w:color w:val="000000"/>
          <w:sz w:val="22"/>
          <w:szCs w:val="22"/>
          <w:lang w:val="en-US" w:eastAsia="en-GB"/>
        </w:rPr>
        <w:t>-</w:t>
      </w:r>
      <w:r w:rsidRPr="007D7BF1">
        <w:rPr>
          <w:bCs/>
          <w:color w:val="000000"/>
          <w:sz w:val="22"/>
          <w:szCs w:val="22"/>
          <w:lang w:val="en-US"/>
        </w:rPr>
        <w:t>22.</w:t>
      </w:r>
    </w:p>
    <w:p w14:paraId="730513A7" w14:textId="2618AE34" w:rsidR="000040FA" w:rsidRPr="007D7BF1" w:rsidRDefault="000040FA" w:rsidP="00EF7938">
      <w:pPr>
        <w:pStyle w:val="NormalWeb"/>
        <w:spacing w:before="120" w:beforeAutospacing="0" w:after="120" w:afterAutospacing="0"/>
        <w:ind w:left="450" w:hanging="450"/>
        <w:jc w:val="both"/>
        <w:rPr>
          <w:bCs/>
          <w:color w:val="000000"/>
          <w:sz w:val="22"/>
          <w:szCs w:val="22"/>
          <w:lang w:val="en-US"/>
        </w:rPr>
      </w:pPr>
      <w:r w:rsidRPr="007D7BF1">
        <w:rPr>
          <w:lang w:val="en-GB"/>
        </w:rPr>
        <w:t>Bustinza, O. F., Vendrell-Herrero</w:t>
      </w:r>
      <w:r w:rsidR="00747E59" w:rsidRPr="007D7BF1">
        <w:rPr>
          <w:lang w:val="en-GB"/>
        </w:rPr>
        <w:t xml:space="preserve">, F. and </w:t>
      </w:r>
      <w:r w:rsidRPr="007D7BF1">
        <w:rPr>
          <w:lang w:val="en-GB"/>
        </w:rPr>
        <w:t xml:space="preserve">Baines, T. (2017). </w:t>
      </w:r>
      <w:r w:rsidR="00747E59" w:rsidRPr="007D7BF1">
        <w:rPr>
          <w:lang w:val="en-GB"/>
        </w:rPr>
        <w:t>‘</w:t>
      </w:r>
      <w:r w:rsidRPr="007D7BF1">
        <w:rPr>
          <w:lang w:val="en-GB"/>
        </w:rPr>
        <w:t>Service implementation in manufacturing: An organisational transformation perspective</w:t>
      </w:r>
      <w:r w:rsidR="00747E59" w:rsidRPr="007D7BF1">
        <w:rPr>
          <w:lang w:val="en-GB"/>
        </w:rPr>
        <w:t>’,</w:t>
      </w:r>
      <w:r w:rsidRPr="007D7BF1">
        <w:rPr>
          <w:lang w:val="en-GB"/>
        </w:rPr>
        <w:t xml:space="preserve"> </w:t>
      </w:r>
      <w:r w:rsidRPr="007D7BF1">
        <w:rPr>
          <w:i/>
          <w:lang w:val="en-GB"/>
        </w:rPr>
        <w:t>International Journal of Production Economics</w:t>
      </w:r>
      <w:r w:rsidRPr="007D7BF1">
        <w:rPr>
          <w:lang w:val="en-GB"/>
        </w:rPr>
        <w:t>,</w:t>
      </w:r>
      <w:r w:rsidR="00747E59" w:rsidRPr="007D7BF1">
        <w:rPr>
          <w:lang w:val="en-GB"/>
        </w:rPr>
        <w:t xml:space="preserve"> Vol.</w:t>
      </w:r>
      <w:r w:rsidRPr="007D7BF1">
        <w:rPr>
          <w:lang w:val="en-GB"/>
        </w:rPr>
        <w:t xml:space="preserve"> 192, 1–8.</w:t>
      </w:r>
    </w:p>
    <w:p w14:paraId="6AFFF98F" w14:textId="46E3D6A6" w:rsidR="00EF7938" w:rsidRPr="007D7BF1" w:rsidRDefault="00EF7938" w:rsidP="009E2098">
      <w:pPr>
        <w:pStyle w:val="NormalWeb"/>
        <w:spacing w:before="120" w:beforeAutospacing="0" w:after="120" w:afterAutospacing="0"/>
        <w:ind w:left="448" w:hanging="448"/>
        <w:jc w:val="both"/>
        <w:rPr>
          <w:bCs/>
          <w:color w:val="000000"/>
          <w:sz w:val="22"/>
          <w:szCs w:val="22"/>
          <w:lang w:val="en-US"/>
        </w:rPr>
      </w:pPr>
      <w:proofErr w:type="spellStart"/>
      <w:r w:rsidRPr="007D7BF1">
        <w:rPr>
          <w:bCs/>
          <w:color w:val="000000"/>
          <w:sz w:val="22"/>
          <w:szCs w:val="22"/>
          <w:lang w:val="en-US"/>
        </w:rPr>
        <w:t>Ches</w:t>
      </w:r>
      <w:r w:rsidR="00B324B8">
        <w:rPr>
          <w:bCs/>
          <w:color w:val="000000"/>
          <w:sz w:val="22"/>
          <w:szCs w:val="22"/>
          <w:lang w:val="en-US"/>
        </w:rPr>
        <w:t>brough</w:t>
      </w:r>
      <w:proofErr w:type="spellEnd"/>
      <w:r w:rsidR="00B324B8">
        <w:rPr>
          <w:bCs/>
          <w:color w:val="000000"/>
          <w:sz w:val="22"/>
          <w:szCs w:val="22"/>
          <w:lang w:val="en-US"/>
        </w:rPr>
        <w:t>, H.W. and Rosenbloom, R.S. (</w:t>
      </w:r>
      <w:r w:rsidRPr="007D7BF1">
        <w:rPr>
          <w:bCs/>
          <w:color w:val="000000"/>
          <w:sz w:val="22"/>
          <w:szCs w:val="22"/>
          <w:lang w:val="en-US"/>
        </w:rPr>
        <w:t>2002</w:t>
      </w:r>
      <w:r w:rsidR="00B324B8">
        <w:rPr>
          <w:bCs/>
          <w:color w:val="000000"/>
          <w:sz w:val="22"/>
          <w:szCs w:val="22"/>
          <w:lang w:val="en-US"/>
        </w:rPr>
        <w:t>)</w:t>
      </w:r>
      <w:r w:rsidRPr="007D7BF1">
        <w:rPr>
          <w:bCs/>
          <w:color w:val="000000"/>
          <w:sz w:val="22"/>
          <w:szCs w:val="22"/>
          <w:lang w:val="en-US"/>
        </w:rPr>
        <w:t xml:space="preserve">. </w:t>
      </w:r>
      <w:r w:rsidR="00B324B8">
        <w:rPr>
          <w:bCs/>
          <w:color w:val="000000"/>
          <w:sz w:val="22"/>
          <w:szCs w:val="22"/>
          <w:lang w:val="en-US"/>
        </w:rPr>
        <w:t>‘</w:t>
      </w:r>
      <w:r w:rsidRPr="007D7BF1">
        <w:rPr>
          <w:bCs/>
          <w:color w:val="000000"/>
          <w:sz w:val="22"/>
          <w:szCs w:val="22"/>
          <w:lang w:val="en-US"/>
        </w:rPr>
        <w:t>The role of the business model in capturing value from innovation: evidence from Xerox Corporation'</w:t>
      </w:r>
      <w:r w:rsidR="00B324B8">
        <w:rPr>
          <w:bCs/>
          <w:color w:val="000000"/>
          <w:sz w:val="22"/>
          <w:szCs w:val="22"/>
          <w:lang w:val="en-US"/>
        </w:rPr>
        <w:t>s technology spin-off companies’,</w:t>
      </w:r>
      <w:r w:rsidRPr="007D7BF1">
        <w:rPr>
          <w:bCs/>
          <w:color w:val="000000"/>
          <w:sz w:val="22"/>
          <w:szCs w:val="22"/>
          <w:lang w:val="en-US"/>
        </w:rPr>
        <w:t xml:space="preserve"> </w:t>
      </w:r>
      <w:r w:rsidRPr="00B324B8">
        <w:rPr>
          <w:bCs/>
          <w:i/>
          <w:iCs/>
          <w:color w:val="000000"/>
          <w:sz w:val="22"/>
          <w:szCs w:val="22"/>
          <w:lang w:val="en-US"/>
        </w:rPr>
        <w:t>Industrial and Corporate Change</w:t>
      </w:r>
      <w:r w:rsidR="00B324B8">
        <w:rPr>
          <w:bCs/>
          <w:iCs/>
          <w:color w:val="000000"/>
          <w:sz w:val="22"/>
          <w:szCs w:val="22"/>
          <w:lang w:val="en-US"/>
        </w:rPr>
        <w:t>, Vol.</w:t>
      </w:r>
      <w:r w:rsidRPr="007D7BF1">
        <w:rPr>
          <w:bCs/>
          <w:iCs/>
          <w:color w:val="000000"/>
          <w:sz w:val="22"/>
          <w:szCs w:val="22"/>
          <w:lang w:val="en-US"/>
        </w:rPr>
        <w:t xml:space="preserve"> </w:t>
      </w:r>
      <w:r w:rsidRPr="007D7BF1">
        <w:rPr>
          <w:bCs/>
          <w:color w:val="000000"/>
          <w:sz w:val="22"/>
          <w:szCs w:val="22"/>
          <w:lang w:val="en-US"/>
        </w:rPr>
        <w:t>11 (3), 529</w:t>
      </w:r>
      <w:r w:rsidRPr="007D7BF1">
        <w:rPr>
          <w:color w:val="000000"/>
          <w:sz w:val="22"/>
          <w:szCs w:val="22"/>
          <w:lang w:val="en-US" w:eastAsia="en-GB"/>
        </w:rPr>
        <w:t>-</w:t>
      </w:r>
      <w:r w:rsidRPr="007D7BF1">
        <w:rPr>
          <w:bCs/>
          <w:color w:val="000000"/>
          <w:sz w:val="22"/>
          <w:szCs w:val="22"/>
          <w:lang w:val="en-US"/>
        </w:rPr>
        <w:t xml:space="preserve">555. </w:t>
      </w:r>
    </w:p>
    <w:p w14:paraId="34711E21" w14:textId="29240C3B" w:rsidR="00EF7938" w:rsidRPr="007D7BF1" w:rsidRDefault="00D608DA" w:rsidP="009E2098">
      <w:pPr>
        <w:pStyle w:val="NormalWeb"/>
        <w:spacing w:before="120" w:beforeAutospacing="0" w:after="120" w:afterAutospacing="0"/>
        <w:ind w:left="448" w:hanging="448"/>
        <w:jc w:val="both"/>
        <w:rPr>
          <w:bCs/>
          <w:color w:val="000000"/>
          <w:sz w:val="22"/>
          <w:szCs w:val="22"/>
          <w:lang w:val="en-US"/>
        </w:rPr>
      </w:pPr>
      <w:proofErr w:type="spellStart"/>
      <w:r>
        <w:rPr>
          <w:bCs/>
          <w:color w:val="000000"/>
          <w:sz w:val="22"/>
          <w:szCs w:val="22"/>
          <w:lang w:val="en-US"/>
        </w:rPr>
        <w:t>Chesbrough</w:t>
      </w:r>
      <w:proofErr w:type="spellEnd"/>
      <w:r>
        <w:rPr>
          <w:bCs/>
          <w:color w:val="000000"/>
          <w:sz w:val="22"/>
          <w:szCs w:val="22"/>
          <w:lang w:val="en-US"/>
        </w:rPr>
        <w:t>, H.W. (</w:t>
      </w:r>
      <w:r w:rsidR="00EF7938" w:rsidRPr="007D7BF1">
        <w:rPr>
          <w:bCs/>
          <w:color w:val="000000"/>
          <w:sz w:val="22"/>
          <w:szCs w:val="22"/>
          <w:lang w:val="en-US"/>
        </w:rPr>
        <w:t>2010</w:t>
      </w:r>
      <w:r>
        <w:rPr>
          <w:bCs/>
          <w:color w:val="000000"/>
          <w:sz w:val="22"/>
          <w:szCs w:val="22"/>
          <w:lang w:val="en-US"/>
        </w:rPr>
        <w:t>). ‘</w:t>
      </w:r>
      <w:r w:rsidR="00EF7938" w:rsidRPr="007D7BF1">
        <w:rPr>
          <w:bCs/>
          <w:color w:val="000000"/>
          <w:sz w:val="22"/>
          <w:szCs w:val="22"/>
          <w:lang w:val="en-US"/>
        </w:rPr>
        <w:t>Business model innovat</w:t>
      </w:r>
      <w:r>
        <w:rPr>
          <w:bCs/>
          <w:color w:val="000000"/>
          <w:sz w:val="22"/>
          <w:szCs w:val="22"/>
          <w:lang w:val="en-US"/>
        </w:rPr>
        <w:t>ion: opportunities and barriers’,</w:t>
      </w:r>
      <w:r w:rsidR="00EF7938" w:rsidRPr="007D7BF1">
        <w:rPr>
          <w:bCs/>
          <w:color w:val="000000"/>
          <w:sz w:val="22"/>
          <w:szCs w:val="22"/>
          <w:lang w:val="en-US"/>
        </w:rPr>
        <w:t xml:space="preserve"> </w:t>
      </w:r>
      <w:r w:rsidR="00EF7938" w:rsidRPr="00D608DA">
        <w:rPr>
          <w:bCs/>
          <w:i/>
          <w:color w:val="000000"/>
          <w:sz w:val="22"/>
          <w:szCs w:val="22"/>
          <w:lang w:val="en-US"/>
        </w:rPr>
        <w:t>Long Range Planning</w:t>
      </w:r>
      <w:r>
        <w:rPr>
          <w:bCs/>
          <w:color w:val="000000"/>
          <w:sz w:val="22"/>
          <w:szCs w:val="22"/>
          <w:lang w:val="en-US"/>
        </w:rPr>
        <w:t>, Vol.</w:t>
      </w:r>
      <w:r w:rsidR="00EF7938" w:rsidRPr="007D7BF1">
        <w:rPr>
          <w:bCs/>
          <w:color w:val="000000"/>
          <w:sz w:val="22"/>
          <w:szCs w:val="22"/>
          <w:lang w:val="en-US"/>
        </w:rPr>
        <w:t xml:space="preserve"> 43 (2), 354-363.</w:t>
      </w:r>
    </w:p>
    <w:p w14:paraId="7915E5D9" w14:textId="12213C67" w:rsidR="00EF7938" w:rsidRPr="00D608DA" w:rsidRDefault="00D608DA" w:rsidP="009E2098">
      <w:pPr>
        <w:pStyle w:val="NormalWeb"/>
        <w:spacing w:before="120" w:beforeAutospacing="0" w:after="120" w:afterAutospacing="0"/>
        <w:ind w:left="450" w:hanging="450"/>
        <w:jc w:val="both"/>
        <w:rPr>
          <w:bCs/>
          <w:color w:val="000000"/>
          <w:sz w:val="22"/>
          <w:szCs w:val="22"/>
          <w:lang w:val="en-GB"/>
        </w:rPr>
      </w:pPr>
      <w:r w:rsidRPr="00D608DA">
        <w:rPr>
          <w:bCs/>
          <w:color w:val="000000"/>
          <w:sz w:val="22"/>
          <w:szCs w:val="22"/>
          <w:lang w:val="en-GB"/>
        </w:rPr>
        <w:t xml:space="preserve">Choi, D.Y. and </w:t>
      </w:r>
      <w:r>
        <w:rPr>
          <w:bCs/>
          <w:color w:val="000000"/>
          <w:sz w:val="22"/>
          <w:szCs w:val="22"/>
          <w:lang w:val="en-GB"/>
        </w:rPr>
        <w:t>Perez, A. (</w:t>
      </w:r>
      <w:r w:rsidR="00EF7938" w:rsidRPr="00D608DA">
        <w:rPr>
          <w:bCs/>
          <w:color w:val="000000"/>
          <w:sz w:val="22"/>
          <w:szCs w:val="22"/>
          <w:lang w:val="en-GB"/>
        </w:rPr>
        <w:t>2007</w:t>
      </w:r>
      <w:r>
        <w:rPr>
          <w:bCs/>
          <w:color w:val="000000"/>
          <w:sz w:val="22"/>
          <w:szCs w:val="22"/>
          <w:lang w:val="en-GB"/>
        </w:rPr>
        <w:t>)</w:t>
      </w:r>
      <w:r w:rsidR="00EF7938" w:rsidRPr="00D608DA">
        <w:rPr>
          <w:bCs/>
          <w:color w:val="000000"/>
          <w:sz w:val="22"/>
          <w:szCs w:val="22"/>
          <w:lang w:val="en-GB"/>
        </w:rPr>
        <w:t xml:space="preserve">. </w:t>
      </w:r>
      <w:r>
        <w:rPr>
          <w:bCs/>
          <w:color w:val="000000"/>
          <w:sz w:val="22"/>
          <w:szCs w:val="22"/>
          <w:lang w:val="en-GB"/>
        </w:rPr>
        <w:t>‘</w:t>
      </w:r>
      <w:r w:rsidR="00EF7938" w:rsidRPr="007D7BF1">
        <w:rPr>
          <w:bCs/>
          <w:color w:val="000000"/>
          <w:sz w:val="22"/>
          <w:szCs w:val="22"/>
          <w:lang w:val="en-US"/>
        </w:rPr>
        <w:t>Online piracy, innovation, and legitimate business models</w:t>
      </w:r>
      <w:r>
        <w:rPr>
          <w:bCs/>
          <w:color w:val="000000"/>
          <w:sz w:val="22"/>
          <w:szCs w:val="22"/>
          <w:lang w:val="en-US"/>
        </w:rPr>
        <w:t>’,</w:t>
      </w:r>
      <w:r w:rsidR="00EF7938" w:rsidRPr="007D7BF1">
        <w:rPr>
          <w:bCs/>
          <w:color w:val="000000"/>
          <w:sz w:val="22"/>
          <w:szCs w:val="22"/>
          <w:lang w:val="en-US"/>
        </w:rPr>
        <w:t xml:space="preserve"> </w:t>
      </w:r>
      <w:proofErr w:type="spellStart"/>
      <w:r w:rsidR="00EF7938" w:rsidRPr="00D608DA">
        <w:rPr>
          <w:bCs/>
          <w:i/>
          <w:color w:val="000000"/>
          <w:sz w:val="22"/>
          <w:szCs w:val="22"/>
          <w:lang w:val="en-GB"/>
        </w:rPr>
        <w:t>Technovation</w:t>
      </w:r>
      <w:proofErr w:type="spellEnd"/>
      <w:r>
        <w:rPr>
          <w:bCs/>
          <w:color w:val="000000"/>
          <w:sz w:val="22"/>
          <w:szCs w:val="22"/>
          <w:lang w:val="en-GB"/>
        </w:rPr>
        <w:t>, Vol.</w:t>
      </w:r>
      <w:r w:rsidR="00EF7938" w:rsidRPr="00D608DA">
        <w:rPr>
          <w:bCs/>
          <w:color w:val="000000"/>
          <w:sz w:val="22"/>
          <w:szCs w:val="22"/>
          <w:lang w:val="en-GB"/>
        </w:rPr>
        <w:t xml:space="preserve"> 27 (4), 168-178.</w:t>
      </w:r>
    </w:p>
    <w:p w14:paraId="581F9C42" w14:textId="334C6AE9" w:rsidR="00EF7938" w:rsidRPr="007D7BF1" w:rsidRDefault="00EF7938" w:rsidP="009E2098">
      <w:pPr>
        <w:pStyle w:val="NormalWeb"/>
        <w:spacing w:before="120" w:beforeAutospacing="0" w:after="120" w:afterAutospacing="0"/>
        <w:ind w:left="450" w:hanging="450"/>
        <w:jc w:val="both"/>
        <w:rPr>
          <w:bCs/>
          <w:color w:val="000000"/>
          <w:sz w:val="22"/>
          <w:szCs w:val="22"/>
          <w:lang w:val="en-US"/>
        </w:rPr>
      </w:pPr>
      <w:r w:rsidRPr="007D7BF1">
        <w:rPr>
          <w:sz w:val="22"/>
          <w:szCs w:val="22"/>
          <w:lang w:eastAsia="en-GB"/>
        </w:rPr>
        <w:t>Cruz-González, J., López-Sáez, P., Navas-López, J.</w:t>
      </w:r>
      <w:r w:rsidR="002066D7">
        <w:rPr>
          <w:sz w:val="22"/>
          <w:szCs w:val="22"/>
          <w:lang w:eastAsia="en-GB"/>
        </w:rPr>
        <w:t xml:space="preserve"> E. and Delgado-Verde, M. (</w:t>
      </w:r>
      <w:r w:rsidRPr="007D7BF1">
        <w:rPr>
          <w:sz w:val="22"/>
          <w:szCs w:val="22"/>
          <w:lang w:eastAsia="en-GB"/>
        </w:rPr>
        <w:t>2015</w:t>
      </w:r>
      <w:r w:rsidR="002066D7">
        <w:rPr>
          <w:sz w:val="22"/>
          <w:szCs w:val="22"/>
          <w:lang w:eastAsia="en-GB"/>
        </w:rPr>
        <w:t xml:space="preserve">). </w:t>
      </w:r>
      <w:r w:rsidR="002066D7" w:rsidRPr="002066D7">
        <w:rPr>
          <w:sz w:val="22"/>
          <w:szCs w:val="22"/>
          <w:lang w:val="en-GB" w:eastAsia="en-GB"/>
        </w:rPr>
        <w:t>‘</w:t>
      </w:r>
      <w:r w:rsidRPr="007D7BF1">
        <w:rPr>
          <w:sz w:val="22"/>
          <w:szCs w:val="22"/>
          <w:lang w:val="en-GB" w:eastAsia="en-GB"/>
        </w:rPr>
        <w:t>Open search strategies and firm performance: the different moderating role of technological environmental dynamism</w:t>
      </w:r>
      <w:r w:rsidR="002066D7">
        <w:rPr>
          <w:sz w:val="22"/>
          <w:szCs w:val="22"/>
          <w:lang w:val="en-GB" w:eastAsia="en-GB"/>
        </w:rPr>
        <w:t>’,</w:t>
      </w:r>
      <w:r w:rsidRPr="007D7BF1">
        <w:rPr>
          <w:sz w:val="22"/>
          <w:szCs w:val="22"/>
          <w:lang w:val="en-GB" w:eastAsia="en-GB"/>
        </w:rPr>
        <w:t xml:space="preserve"> </w:t>
      </w:r>
      <w:proofErr w:type="spellStart"/>
      <w:r w:rsidRPr="002066D7">
        <w:rPr>
          <w:i/>
          <w:iCs/>
          <w:sz w:val="22"/>
          <w:szCs w:val="22"/>
          <w:lang w:val="en-GB" w:eastAsia="en-GB"/>
        </w:rPr>
        <w:t>Technovation</w:t>
      </w:r>
      <w:proofErr w:type="spellEnd"/>
      <w:r w:rsidR="002066D7">
        <w:rPr>
          <w:iCs/>
          <w:sz w:val="22"/>
          <w:szCs w:val="22"/>
          <w:lang w:val="en-GB" w:eastAsia="en-GB"/>
        </w:rPr>
        <w:t>, Vol.</w:t>
      </w:r>
      <w:r w:rsidR="002066D7">
        <w:rPr>
          <w:sz w:val="22"/>
          <w:szCs w:val="22"/>
          <w:lang w:val="en-GB" w:eastAsia="en-GB"/>
        </w:rPr>
        <w:t xml:space="preserve"> </w:t>
      </w:r>
      <w:r w:rsidRPr="007D7BF1">
        <w:rPr>
          <w:iCs/>
          <w:sz w:val="22"/>
          <w:szCs w:val="22"/>
          <w:lang w:val="en-GB" w:eastAsia="en-GB"/>
        </w:rPr>
        <w:t>35</w:t>
      </w:r>
      <w:r w:rsidRPr="007D7BF1">
        <w:rPr>
          <w:sz w:val="22"/>
          <w:szCs w:val="22"/>
          <w:lang w:val="en-GB" w:eastAsia="en-GB"/>
        </w:rPr>
        <w:t>, 32-45.</w:t>
      </w:r>
    </w:p>
    <w:p w14:paraId="4FBA7581" w14:textId="52CDBF3C" w:rsidR="00EF7938" w:rsidRPr="007D7BF1" w:rsidRDefault="00327A58" w:rsidP="009E2098">
      <w:pPr>
        <w:pStyle w:val="NormalWeb"/>
        <w:spacing w:before="120" w:beforeAutospacing="0" w:after="120" w:afterAutospacing="0"/>
        <w:ind w:left="450" w:hanging="450"/>
        <w:jc w:val="both"/>
        <w:rPr>
          <w:bCs/>
          <w:color w:val="000000"/>
          <w:sz w:val="22"/>
          <w:szCs w:val="22"/>
          <w:lang w:val="en-US"/>
        </w:rPr>
      </w:pPr>
      <w:r w:rsidRPr="00327A58">
        <w:rPr>
          <w:bCs/>
          <w:color w:val="000000"/>
          <w:sz w:val="22"/>
          <w:szCs w:val="22"/>
          <w:lang w:val="en-GB"/>
        </w:rPr>
        <w:t xml:space="preserve">DaSilva, C.M. and </w:t>
      </w:r>
      <w:proofErr w:type="spellStart"/>
      <w:r>
        <w:rPr>
          <w:bCs/>
          <w:color w:val="000000"/>
          <w:sz w:val="22"/>
          <w:szCs w:val="22"/>
          <w:lang w:val="en-GB"/>
        </w:rPr>
        <w:t>Trkman</w:t>
      </w:r>
      <w:proofErr w:type="spellEnd"/>
      <w:r>
        <w:rPr>
          <w:bCs/>
          <w:color w:val="000000"/>
          <w:sz w:val="22"/>
          <w:szCs w:val="22"/>
          <w:lang w:val="en-GB"/>
        </w:rPr>
        <w:t>, P. (</w:t>
      </w:r>
      <w:r w:rsidR="00EF7938" w:rsidRPr="00327A58">
        <w:rPr>
          <w:bCs/>
          <w:color w:val="000000"/>
          <w:sz w:val="22"/>
          <w:szCs w:val="22"/>
          <w:lang w:val="en-GB"/>
        </w:rPr>
        <w:t>2014</w:t>
      </w:r>
      <w:r>
        <w:rPr>
          <w:bCs/>
          <w:color w:val="000000"/>
          <w:sz w:val="22"/>
          <w:szCs w:val="22"/>
          <w:lang w:val="en-GB"/>
        </w:rPr>
        <w:t>)</w:t>
      </w:r>
      <w:r w:rsidR="00EF7938" w:rsidRPr="00327A58">
        <w:rPr>
          <w:bCs/>
          <w:color w:val="000000"/>
          <w:sz w:val="22"/>
          <w:szCs w:val="22"/>
          <w:lang w:val="en-GB"/>
        </w:rPr>
        <w:t xml:space="preserve">. </w:t>
      </w:r>
      <w:r>
        <w:rPr>
          <w:bCs/>
          <w:color w:val="000000"/>
          <w:sz w:val="22"/>
          <w:szCs w:val="22"/>
          <w:lang w:val="en-GB"/>
        </w:rPr>
        <w:t>‘</w:t>
      </w:r>
      <w:r w:rsidR="00EF7938" w:rsidRPr="007D7BF1">
        <w:rPr>
          <w:bCs/>
          <w:color w:val="000000"/>
          <w:sz w:val="22"/>
          <w:szCs w:val="22"/>
          <w:lang w:val="en-US"/>
        </w:rPr>
        <w:t>Business model: what it is and what it is not</w:t>
      </w:r>
      <w:r>
        <w:rPr>
          <w:bCs/>
          <w:color w:val="000000"/>
          <w:sz w:val="22"/>
          <w:szCs w:val="22"/>
          <w:lang w:val="en-US"/>
        </w:rPr>
        <w:t>’,</w:t>
      </w:r>
      <w:r w:rsidR="00EF7938" w:rsidRPr="007D7BF1">
        <w:rPr>
          <w:bCs/>
          <w:color w:val="000000"/>
          <w:sz w:val="22"/>
          <w:szCs w:val="22"/>
          <w:lang w:val="en-US"/>
        </w:rPr>
        <w:t xml:space="preserve"> </w:t>
      </w:r>
      <w:r w:rsidR="00EF7938" w:rsidRPr="00327A58">
        <w:rPr>
          <w:bCs/>
          <w:i/>
          <w:color w:val="000000"/>
          <w:sz w:val="22"/>
          <w:szCs w:val="22"/>
          <w:lang w:val="en-US"/>
        </w:rPr>
        <w:t>Long Range Planning</w:t>
      </w:r>
      <w:r>
        <w:rPr>
          <w:bCs/>
          <w:color w:val="000000"/>
          <w:sz w:val="22"/>
          <w:szCs w:val="22"/>
          <w:lang w:val="en-US"/>
        </w:rPr>
        <w:t>, Vol.</w:t>
      </w:r>
      <w:r w:rsidR="00EF7938" w:rsidRPr="007D7BF1">
        <w:rPr>
          <w:bCs/>
          <w:color w:val="000000"/>
          <w:sz w:val="22"/>
          <w:szCs w:val="22"/>
          <w:lang w:val="en-US"/>
        </w:rPr>
        <w:t xml:space="preserve"> 47 (6), 379-389.</w:t>
      </w:r>
    </w:p>
    <w:p w14:paraId="3F3AB46C" w14:textId="1BF90371" w:rsidR="00EF7938" w:rsidRPr="007D7BF1" w:rsidRDefault="00327A58" w:rsidP="009E2098">
      <w:pPr>
        <w:pStyle w:val="NormalWeb"/>
        <w:spacing w:before="120" w:beforeAutospacing="0" w:after="120" w:afterAutospacing="0"/>
        <w:ind w:left="450" w:hanging="450"/>
        <w:jc w:val="both"/>
        <w:rPr>
          <w:bCs/>
          <w:color w:val="000000"/>
          <w:sz w:val="22"/>
          <w:szCs w:val="22"/>
          <w:lang w:val="en-US"/>
        </w:rPr>
      </w:pPr>
      <w:proofErr w:type="spellStart"/>
      <w:r>
        <w:rPr>
          <w:bCs/>
          <w:color w:val="000000"/>
          <w:sz w:val="22"/>
          <w:szCs w:val="22"/>
          <w:lang w:val="en-US"/>
        </w:rPr>
        <w:t>Elberse</w:t>
      </w:r>
      <w:proofErr w:type="spellEnd"/>
      <w:r>
        <w:rPr>
          <w:bCs/>
          <w:color w:val="000000"/>
          <w:sz w:val="22"/>
          <w:szCs w:val="22"/>
          <w:lang w:val="en-US"/>
        </w:rPr>
        <w:t>, A. (</w:t>
      </w:r>
      <w:r w:rsidR="00EF7938" w:rsidRPr="007D7BF1">
        <w:rPr>
          <w:bCs/>
          <w:color w:val="000000"/>
          <w:sz w:val="22"/>
          <w:szCs w:val="22"/>
          <w:lang w:val="en-US"/>
        </w:rPr>
        <w:t>2010</w:t>
      </w:r>
      <w:r>
        <w:rPr>
          <w:bCs/>
          <w:color w:val="000000"/>
          <w:sz w:val="22"/>
          <w:szCs w:val="22"/>
          <w:lang w:val="en-US"/>
        </w:rPr>
        <w:t>)</w:t>
      </w:r>
      <w:r w:rsidR="00EF7938" w:rsidRPr="007D7BF1">
        <w:rPr>
          <w:bCs/>
          <w:color w:val="000000"/>
          <w:sz w:val="22"/>
          <w:szCs w:val="22"/>
          <w:lang w:val="en-US"/>
        </w:rPr>
        <w:t xml:space="preserve">. </w:t>
      </w:r>
      <w:r>
        <w:rPr>
          <w:bCs/>
          <w:color w:val="000000"/>
          <w:sz w:val="22"/>
          <w:szCs w:val="22"/>
          <w:lang w:val="en-US"/>
        </w:rPr>
        <w:t>‘</w:t>
      </w:r>
      <w:r w:rsidR="00EF7938" w:rsidRPr="007D7BF1">
        <w:rPr>
          <w:bCs/>
          <w:color w:val="000000"/>
          <w:sz w:val="22"/>
          <w:szCs w:val="22"/>
          <w:lang w:val="en-US"/>
        </w:rPr>
        <w:t>Bye-bye bundles: the unbundling of music in digital channels</w:t>
      </w:r>
      <w:r>
        <w:rPr>
          <w:bCs/>
          <w:color w:val="000000"/>
          <w:sz w:val="22"/>
          <w:szCs w:val="22"/>
          <w:lang w:val="en-US"/>
        </w:rPr>
        <w:t xml:space="preserve">’, </w:t>
      </w:r>
      <w:r w:rsidR="00EF7938" w:rsidRPr="00327A58">
        <w:rPr>
          <w:bCs/>
          <w:i/>
          <w:iCs/>
          <w:color w:val="000000"/>
          <w:sz w:val="22"/>
          <w:szCs w:val="22"/>
          <w:lang w:val="en-US"/>
        </w:rPr>
        <w:t>Journal of Marketing</w:t>
      </w:r>
      <w:r>
        <w:rPr>
          <w:bCs/>
          <w:iCs/>
          <w:color w:val="000000"/>
          <w:sz w:val="22"/>
          <w:szCs w:val="22"/>
          <w:lang w:val="en-US"/>
        </w:rPr>
        <w:t xml:space="preserve">, Vol. </w:t>
      </w:r>
      <w:r w:rsidR="00EF7938" w:rsidRPr="007D7BF1">
        <w:rPr>
          <w:bCs/>
          <w:color w:val="000000"/>
          <w:sz w:val="22"/>
          <w:szCs w:val="22"/>
          <w:lang w:val="en-US"/>
        </w:rPr>
        <w:t>74 (3), 107</w:t>
      </w:r>
      <w:r w:rsidR="00EF7938" w:rsidRPr="007D7BF1">
        <w:rPr>
          <w:color w:val="000000"/>
          <w:sz w:val="22"/>
          <w:szCs w:val="22"/>
          <w:lang w:val="en-US" w:eastAsia="en-GB"/>
        </w:rPr>
        <w:t>-</w:t>
      </w:r>
      <w:r w:rsidR="00EF7938" w:rsidRPr="007D7BF1">
        <w:rPr>
          <w:bCs/>
          <w:color w:val="000000"/>
          <w:sz w:val="22"/>
          <w:szCs w:val="22"/>
          <w:lang w:val="en-US"/>
        </w:rPr>
        <w:t xml:space="preserve">123. </w:t>
      </w:r>
    </w:p>
    <w:p w14:paraId="4A2875EA" w14:textId="3E7AB72D" w:rsidR="00EF7938" w:rsidRPr="007D7BF1" w:rsidRDefault="00327A58" w:rsidP="009E2098">
      <w:pPr>
        <w:pStyle w:val="NormalWeb"/>
        <w:spacing w:before="120" w:beforeAutospacing="0" w:after="120" w:afterAutospacing="0"/>
        <w:ind w:left="450" w:hanging="450"/>
        <w:jc w:val="both"/>
        <w:rPr>
          <w:bCs/>
          <w:color w:val="000000"/>
          <w:sz w:val="22"/>
          <w:szCs w:val="22"/>
          <w:lang w:val="en-US"/>
        </w:rPr>
      </w:pPr>
      <w:proofErr w:type="spellStart"/>
      <w:r>
        <w:rPr>
          <w:bCs/>
          <w:color w:val="000000"/>
          <w:sz w:val="22"/>
          <w:szCs w:val="22"/>
          <w:lang w:val="en-US"/>
        </w:rPr>
        <w:t>Enkel</w:t>
      </w:r>
      <w:proofErr w:type="spellEnd"/>
      <w:r>
        <w:rPr>
          <w:bCs/>
          <w:color w:val="000000"/>
          <w:sz w:val="22"/>
          <w:szCs w:val="22"/>
          <w:lang w:val="en-US"/>
        </w:rPr>
        <w:t xml:space="preserve">, E. and </w:t>
      </w:r>
      <w:r w:rsidR="00EF7938" w:rsidRPr="007D7BF1">
        <w:rPr>
          <w:bCs/>
          <w:color w:val="000000"/>
          <w:sz w:val="22"/>
          <w:szCs w:val="22"/>
          <w:lang w:val="en-US"/>
        </w:rPr>
        <w:t>Gassman</w:t>
      </w:r>
      <w:r>
        <w:rPr>
          <w:bCs/>
          <w:color w:val="000000"/>
          <w:sz w:val="22"/>
          <w:szCs w:val="22"/>
          <w:lang w:val="en-US"/>
        </w:rPr>
        <w:t>n, O. (</w:t>
      </w:r>
      <w:r w:rsidR="00EF7938" w:rsidRPr="007D7BF1">
        <w:rPr>
          <w:bCs/>
          <w:color w:val="000000"/>
          <w:sz w:val="22"/>
          <w:szCs w:val="22"/>
          <w:lang w:val="en-US"/>
        </w:rPr>
        <w:t>2010</w:t>
      </w:r>
      <w:r>
        <w:rPr>
          <w:bCs/>
          <w:color w:val="000000"/>
          <w:sz w:val="22"/>
          <w:szCs w:val="22"/>
          <w:lang w:val="en-US"/>
        </w:rPr>
        <w:t>)</w:t>
      </w:r>
      <w:r w:rsidR="00EF7938" w:rsidRPr="007D7BF1">
        <w:rPr>
          <w:bCs/>
          <w:color w:val="000000"/>
          <w:sz w:val="22"/>
          <w:szCs w:val="22"/>
          <w:lang w:val="en-US"/>
        </w:rPr>
        <w:t xml:space="preserve">. </w:t>
      </w:r>
      <w:r>
        <w:rPr>
          <w:bCs/>
          <w:color w:val="000000"/>
          <w:sz w:val="22"/>
          <w:szCs w:val="22"/>
          <w:lang w:val="en-US"/>
        </w:rPr>
        <w:t>‘</w:t>
      </w:r>
      <w:r w:rsidR="00EF7938" w:rsidRPr="007D7BF1">
        <w:rPr>
          <w:bCs/>
          <w:color w:val="000000"/>
          <w:sz w:val="22"/>
          <w:szCs w:val="22"/>
          <w:lang w:val="en-US"/>
        </w:rPr>
        <w:t>Creative imitation: exploring the case of cross-industry innovation</w:t>
      </w:r>
      <w:r>
        <w:rPr>
          <w:bCs/>
          <w:color w:val="000000"/>
          <w:sz w:val="22"/>
          <w:szCs w:val="22"/>
          <w:lang w:val="en-US"/>
        </w:rPr>
        <w:t>’,</w:t>
      </w:r>
      <w:r w:rsidR="00EF7938" w:rsidRPr="007D7BF1">
        <w:rPr>
          <w:bCs/>
          <w:color w:val="000000"/>
          <w:sz w:val="22"/>
          <w:szCs w:val="22"/>
          <w:lang w:val="en-US"/>
        </w:rPr>
        <w:t xml:space="preserve"> </w:t>
      </w:r>
      <w:r w:rsidR="00EF7938" w:rsidRPr="00327A58">
        <w:rPr>
          <w:bCs/>
          <w:i/>
          <w:color w:val="000000"/>
          <w:sz w:val="22"/>
          <w:szCs w:val="22"/>
          <w:lang w:val="en-US"/>
        </w:rPr>
        <w:t>R&amp;D Management</w:t>
      </w:r>
      <w:r>
        <w:rPr>
          <w:bCs/>
          <w:color w:val="000000"/>
          <w:sz w:val="22"/>
          <w:szCs w:val="22"/>
          <w:lang w:val="en-US"/>
        </w:rPr>
        <w:t>, Vol.</w:t>
      </w:r>
      <w:r w:rsidR="00EF7938" w:rsidRPr="007D7BF1">
        <w:rPr>
          <w:bCs/>
          <w:color w:val="000000"/>
          <w:sz w:val="22"/>
          <w:szCs w:val="22"/>
          <w:lang w:val="en-US"/>
        </w:rPr>
        <w:t xml:space="preserve"> 40 (3), 256</w:t>
      </w:r>
      <w:r w:rsidR="00EF7938" w:rsidRPr="007D7BF1">
        <w:rPr>
          <w:color w:val="000000"/>
          <w:sz w:val="22"/>
          <w:szCs w:val="22"/>
          <w:lang w:val="en-US" w:eastAsia="en-GB"/>
        </w:rPr>
        <w:t>-</w:t>
      </w:r>
      <w:r w:rsidR="00EF7938" w:rsidRPr="007D7BF1">
        <w:rPr>
          <w:bCs/>
          <w:color w:val="000000"/>
          <w:sz w:val="22"/>
          <w:szCs w:val="22"/>
          <w:lang w:val="en-US"/>
        </w:rPr>
        <w:t>270.</w:t>
      </w:r>
    </w:p>
    <w:p w14:paraId="0D407451" w14:textId="5692DAA8" w:rsidR="00EF7938" w:rsidRPr="007D7BF1" w:rsidRDefault="00327A58" w:rsidP="009E2098">
      <w:pPr>
        <w:pStyle w:val="NormalWeb"/>
        <w:spacing w:before="120" w:beforeAutospacing="0" w:after="120" w:afterAutospacing="0"/>
        <w:ind w:left="450" w:hanging="450"/>
        <w:jc w:val="both"/>
        <w:rPr>
          <w:color w:val="000000"/>
          <w:position w:val="-6"/>
          <w:sz w:val="22"/>
          <w:szCs w:val="22"/>
          <w:lang w:val="en-GB"/>
        </w:rPr>
      </w:pPr>
      <w:r>
        <w:rPr>
          <w:color w:val="000000"/>
          <w:position w:val="-6"/>
          <w:sz w:val="22"/>
          <w:szCs w:val="22"/>
          <w:lang w:val="en-GB"/>
        </w:rPr>
        <w:t>European Commission (</w:t>
      </w:r>
      <w:r w:rsidR="00EF7938" w:rsidRPr="007D7BF1">
        <w:rPr>
          <w:color w:val="000000"/>
          <w:position w:val="-6"/>
          <w:sz w:val="22"/>
          <w:szCs w:val="22"/>
          <w:lang w:val="en-GB"/>
        </w:rPr>
        <w:t>2010</w:t>
      </w:r>
      <w:r>
        <w:rPr>
          <w:color w:val="000000"/>
          <w:position w:val="-6"/>
          <w:sz w:val="22"/>
          <w:szCs w:val="22"/>
          <w:lang w:val="en-GB"/>
        </w:rPr>
        <w:t>)</w:t>
      </w:r>
      <w:r w:rsidR="00EF7938" w:rsidRPr="007D7BF1">
        <w:rPr>
          <w:color w:val="000000"/>
          <w:position w:val="-6"/>
          <w:sz w:val="22"/>
          <w:szCs w:val="22"/>
          <w:lang w:val="en-GB"/>
        </w:rPr>
        <w:t>.  Application of Directive 2004/48/EC of the European Parliament and the Council of 29 April 2004 on the Enforcement of Intellectual Property Rights.</w:t>
      </w:r>
    </w:p>
    <w:p w14:paraId="7CBB06E3" w14:textId="43F41A3D" w:rsidR="00EF7938" w:rsidRPr="007D7BF1" w:rsidRDefault="00EF7938" w:rsidP="009E2098">
      <w:pPr>
        <w:pStyle w:val="NormalWeb"/>
        <w:spacing w:before="120" w:beforeAutospacing="0" w:after="120" w:afterAutospacing="0"/>
        <w:ind w:left="450" w:hanging="450"/>
        <w:jc w:val="both"/>
        <w:rPr>
          <w:color w:val="000000"/>
          <w:position w:val="-6"/>
          <w:sz w:val="22"/>
          <w:szCs w:val="22"/>
          <w:lang w:val="en-GB"/>
        </w:rPr>
      </w:pPr>
      <w:r w:rsidRPr="007D7BF1">
        <w:rPr>
          <w:color w:val="000000"/>
          <w:position w:val="-6"/>
          <w:sz w:val="22"/>
          <w:szCs w:val="22"/>
          <w:lang w:val="en-GB"/>
        </w:rPr>
        <w:t>Flint, D.</w:t>
      </w:r>
      <w:r w:rsidR="00303A9C">
        <w:rPr>
          <w:color w:val="000000"/>
          <w:position w:val="-6"/>
          <w:sz w:val="22"/>
          <w:szCs w:val="22"/>
          <w:lang w:val="en-GB"/>
        </w:rPr>
        <w:t xml:space="preserve"> (</w:t>
      </w:r>
      <w:r w:rsidRPr="007D7BF1">
        <w:rPr>
          <w:color w:val="000000"/>
          <w:position w:val="-6"/>
          <w:sz w:val="22"/>
          <w:szCs w:val="22"/>
          <w:lang w:val="en-GB"/>
        </w:rPr>
        <w:t>2012</w:t>
      </w:r>
      <w:r w:rsidR="00303A9C">
        <w:rPr>
          <w:color w:val="000000"/>
          <w:position w:val="-6"/>
          <w:sz w:val="22"/>
          <w:szCs w:val="22"/>
          <w:lang w:val="en-GB"/>
        </w:rPr>
        <w:t>)</w:t>
      </w:r>
      <w:r w:rsidRPr="007D7BF1">
        <w:rPr>
          <w:color w:val="000000"/>
          <w:position w:val="-6"/>
          <w:sz w:val="22"/>
          <w:szCs w:val="22"/>
          <w:lang w:val="en-GB"/>
        </w:rPr>
        <w:t xml:space="preserve">. </w:t>
      </w:r>
      <w:r w:rsidR="00303A9C">
        <w:rPr>
          <w:color w:val="000000"/>
          <w:position w:val="-6"/>
          <w:sz w:val="22"/>
          <w:szCs w:val="22"/>
          <w:lang w:val="en-GB"/>
        </w:rPr>
        <w:t>‘</w:t>
      </w:r>
      <w:r w:rsidRPr="007D7BF1">
        <w:rPr>
          <w:color w:val="000000"/>
          <w:position w:val="-6"/>
          <w:sz w:val="22"/>
          <w:szCs w:val="22"/>
          <w:lang w:val="en-GB"/>
        </w:rPr>
        <w:t>Intellectual property alphabet soup</w:t>
      </w:r>
      <w:r w:rsidR="00303A9C">
        <w:rPr>
          <w:color w:val="000000"/>
          <w:position w:val="-6"/>
          <w:sz w:val="22"/>
          <w:szCs w:val="22"/>
          <w:lang w:val="en-GB"/>
        </w:rPr>
        <w:t>: the battle against Pirate Bay’,</w:t>
      </w:r>
      <w:r w:rsidRPr="007D7BF1">
        <w:rPr>
          <w:color w:val="000000"/>
          <w:position w:val="-6"/>
          <w:sz w:val="22"/>
          <w:szCs w:val="22"/>
          <w:lang w:val="en-GB"/>
        </w:rPr>
        <w:t> </w:t>
      </w:r>
      <w:r w:rsidRPr="00303A9C">
        <w:rPr>
          <w:i/>
          <w:iCs/>
          <w:color w:val="000000"/>
          <w:position w:val="-6"/>
          <w:sz w:val="22"/>
          <w:szCs w:val="22"/>
          <w:lang w:val="en-GB"/>
        </w:rPr>
        <w:t>Business Law Review</w:t>
      </w:r>
      <w:r w:rsidR="00303A9C">
        <w:rPr>
          <w:iCs/>
          <w:color w:val="000000"/>
          <w:position w:val="-6"/>
          <w:sz w:val="22"/>
          <w:szCs w:val="22"/>
          <w:lang w:val="en-GB"/>
        </w:rPr>
        <w:t>, Vol.</w:t>
      </w:r>
      <w:r w:rsidRPr="007D7BF1">
        <w:rPr>
          <w:color w:val="000000"/>
          <w:position w:val="-6"/>
          <w:sz w:val="22"/>
          <w:szCs w:val="22"/>
          <w:lang w:val="en-GB"/>
        </w:rPr>
        <w:t> </w:t>
      </w:r>
      <w:r w:rsidRPr="007D7BF1">
        <w:rPr>
          <w:iCs/>
          <w:color w:val="000000"/>
          <w:position w:val="-6"/>
          <w:sz w:val="22"/>
          <w:szCs w:val="22"/>
          <w:lang w:val="en-GB"/>
        </w:rPr>
        <w:t xml:space="preserve">33 </w:t>
      </w:r>
      <w:r w:rsidRPr="007D7BF1">
        <w:rPr>
          <w:color w:val="000000"/>
          <w:position w:val="-6"/>
          <w:sz w:val="22"/>
          <w:szCs w:val="22"/>
          <w:lang w:val="en-GB"/>
        </w:rPr>
        <w:t>(7), 185-187.</w:t>
      </w:r>
    </w:p>
    <w:p w14:paraId="2E042CE6" w14:textId="4E91A428" w:rsidR="00EF7938" w:rsidRPr="007D7BF1" w:rsidRDefault="00EF7938" w:rsidP="009E2098">
      <w:pPr>
        <w:pStyle w:val="NormalWeb"/>
        <w:spacing w:before="120" w:beforeAutospacing="0" w:after="120" w:afterAutospacing="0"/>
        <w:ind w:left="450" w:hanging="450"/>
        <w:jc w:val="both"/>
        <w:rPr>
          <w:bCs/>
          <w:color w:val="000000"/>
          <w:sz w:val="22"/>
          <w:szCs w:val="22"/>
          <w:lang w:val="en-US"/>
        </w:rPr>
      </w:pPr>
      <w:r w:rsidRPr="007D7BF1">
        <w:rPr>
          <w:sz w:val="22"/>
          <w:szCs w:val="22"/>
          <w:lang w:val="en-GB"/>
        </w:rPr>
        <w:t>Gilbert, R. J.</w:t>
      </w:r>
      <w:r w:rsidR="00303A9C">
        <w:rPr>
          <w:sz w:val="22"/>
          <w:szCs w:val="22"/>
          <w:lang w:val="en-GB"/>
        </w:rPr>
        <w:t xml:space="preserve"> (</w:t>
      </w:r>
      <w:r w:rsidRPr="007D7BF1">
        <w:rPr>
          <w:sz w:val="22"/>
          <w:szCs w:val="22"/>
          <w:lang w:val="en-GB"/>
        </w:rPr>
        <w:t>2015</w:t>
      </w:r>
      <w:r w:rsidR="00303A9C">
        <w:rPr>
          <w:sz w:val="22"/>
          <w:szCs w:val="22"/>
          <w:lang w:val="en-GB"/>
        </w:rPr>
        <w:t>)</w:t>
      </w:r>
      <w:r w:rsidRPr="007D7BF1">
        <w:rPr>
          <w:sz w:val="22"/>
          <w:szCs w:val="22"/>
          <w:lang w:val="en-GB"/>
        </w:rPr>
        <w:t xml:space="preserve">. </w:t>
      </w:r>
      <w:r w:rsidR="00303A9C">
        <w:rPr>
          <w:sz w:val="22"/>
          <w:szCs w:val="22"/>
          <w:lang w:val="en-GB"/>
        </w:rPr>
        <w:t>‘</w:t>
      </w:r>
      <w:r w:rsidRPr="007D7BF1">
        <w:rPr>
          <w:sz w:val="22"/>
          <w:szCs w:val="22"/>
          <w:lang w:val="en-GB"/>
        </w:rPr>
        <w:t>E-books: a tale of digital disruption</w:t>
      </w:r>
      <w:r w:rsidR="00303A9C">
        <w:rPr>
          <w:sz w:val="22"/>
          <w:szCs w:val="22"/>
          <w:lang w:val="en-GB"/>
        </w:rPr>
        <w:t xml:space="preserve">’, </w:t>
      </w:r>
      <w:r w:rsidRPr="00303A9C">
        <w:rPr>
          <w:i/>
          <w:iCs/>
          <w:sz w:val="22"/>
          <w:szCs w:val="22"/>
          <w:lang w:val="en-GB"/>
        </w:rPr>
        <w:t>The Journal of Economic Perspectives</w:t>
      </w:r>
      <w:r w:rsidR="00303A9C">
        <w:rPr>
          <w:iCs/>
          <w:sz w:val="22"/>
          <w:szCs w:val="22"/>
          <w:lang w:val="en-GB"/>
        </w:rPr>
        <w:t>, Vol.</w:t>
      </w:r>
      <w:r w:rsidRPr="007D7BF1">
        <w:rPr>
          <w:sz w:val="22"/>
          <w:szCs w:val="22"/>
          <w:lang w:val="en-GB"/>
        </w:rPr>
        <w:t xml:space="preserve"> </w:t>
      </w:r>
      <w:r w:rsidRPr="007D7BF1">
        <w:rPr>
          <w:iCs/>
          <w:sz w:val="22"/>
          <w:szCs w:val="22"/>
          <w:lang w:val="en-GB"/>
        </w:rPr>
        <w:t xml:space="preserve">29 </w:t>
      </w:r>
      <w:r w:rsidRPr="007D7BF1">
        <w:rPr>
          <w:sz w:val="22"/>
          <w:szCs w:val="22"/>
          <w:lang w:val="en-GB"/>
        </w:rPr>
        <w:t>(3), 165-184.</w:t>
      </w:r>
    </w:p>
    <w:p w14:paraId="713B45E6" w14:textId="2800CC80" w:rsidR="00EF7938" w:rsidRPr="007D7BF1" w:rsidRDefault="00303A9C" w:rsidP="009E2098">
      <w:pPr>
        <w:pStyle w:val="NormalWeb"/>
        <w:spacing w:before="120" w:beforeAutospacing="0" w:after="120" w:afterAutospacing="0"/>
        <w:ind w:left="450" w:hanging="450"/>
        <w:jc w:val="both"/>
        <w:rPr>
          <w:color w:val="000000"/>
          <w:position w:val="-6"/>
          <w:sz w:val="22"/>
          <w:szCs w:val="22"/>
          <w:lang w:val="en-US"/>
        </w:rPr>
      </w:pPr>
      <w:r>
        <w:rPr>
          <w:color w:val="000000"/>
          <w:position w:val="-6"/>
          <w:sz w:val="22"/>
          <w:szCs w:val="22"/>
          <w:lang w:val="en-US"/>
        </w:rPr>
        <w:t>Hartley, J. (</w:t>
      </w:r>
      <w:r w:rsidR="00EF7938" w:rsidRPr="007D7BF1">
        <w:rPr>
          <w:color w:val="000000"/>
          <w:position w:val="-6"/>
          <w:sz w:val="22"/>
          <w:szCs w:val="22"/>
          <w:lang w:val="en-US"/>
        </w:rPr>
        <w:t>2005</w:t>
      </w:r>
      <w:r>
        <w:rPr>
          <w:color w:val="000000"/>
          <w:position w:val="-6"/>
          <w:sz w:val="22"/>
          <w:szCs w:val="22"/>
          <w:lang w:val="en-US"/>
        </w:rPr>
        <w:t>)</w:t>
      </w:r>
      <w:r w:rsidR="00EF7938" w:rsidRPr="007D7BF1">
        <w:rPr>
          <w:color w:val="000000"/>
          <w:position w:val="-6"/>
          <w:sz w:val="22"/>
          <w:szCs w:val="22"/>
          <w:lang w:val="en-US"/>
        </w:rPr>
        <w:t xml:space="preserve">. </w:t>
      </w:r>
      <w:r>
        <w:rPr>
          <w:color w:val="000000"/>
          <w:position w:val="-6"/>
          <w:sz w:val="22"/>
          <w:szCs w:val="22"/>
          <w:lang w:val="en-US"/>
        </w:rPr>
        <w:t>‘</w:t>
      </w:r>
      <w:r w:rsidR="00EF7938" w:rsidRPr="007D7BF1">
        <w:rPr>
          <w:iCs/>
          <w:color w:val="000000"/>
          <w:position w:val="-6"/>
          <w:sz w:val="22"/>
          <w:szCs w:val="22"/>
          <w:lang w:val="en-US"/>
        </w:rPr>
        <w:t>Creative Industries</w:t>
      </w:r>
      <w:r>
        <w:rPr>
          <w:iCs/>
          <w:color w:val="000000"/>
          <w:position w:val="-6"/>
          <w:sz w:val="22"/>
          <w:szCs w:val="22"/>
          <w:lang w:val="en-US"/>
        </w:rPr>
        <w:t xml:space="preserve">’, </w:t>
      </w:r>
      <w:r w:rsidR="00EF7938" w:rsidRPr="007D7BF1">
        <w:rPr>
          <w:color w:val="000000"/>
          <w:position w:val="-6"/>
          <w:sz w:val="22"/>
          <w:szCs w:val="22"/>
          <w:lang w:val="en-US"/>
        </w:rPr>
        <w:t>Blackwell, Oxford, UK.</w:t>
      </w:r>
    </w:p>
    <w:p w14:paraId="09F57A4D" w14:textId="35B1DB79" w:rsidR="00EF7938" w:rsidRPr="007D7BF1" w:rsidRDefault="00303A9C" w:rsidP="009E2098">
      <w:pPr>
        <w:pStyle w:val="NormalWeb"/>
        <w:spacing w:before="120" w:beforeAutospacing="0" w:after="120" w:afterAutospacing="0"/>
        <w:ind w:left="450" w:hanging="450"/>
        <w:jc w:val="both"/>
        <w:rPr>
          <w:bCs/>
          <w:color w:val="000000"/>
          <w:sz w:val="22"/>
          <w:szCs w:val="22"/>
          <w:lang w:val="en-US"/>
        </w:rPr>
      </w:pPr>
      <w:proofErr w:type="spellStart"/>
      <w:r>
        <w:rPr>
          <w:bCs/>
          <w:color w:val="000000"/>
          <w:sz w:val="22"/>
          <w:szCs w:val="22"/>
          <w:lang w:val="en-US"/>
        </w:rPr>
        <w:t>Hausman</w:t>
      </w:r>
      <w:proofErr w:type="spellEnd"/>
      <w:r>
        <w:rPr>
          <w:bCs/>
          <w:color w:val="000000"/>
          <w:sz w:val="22"/>
          <w:szCs w:val="22"/>
          <w:lang w:val="en-US"/>
        </w:rPr>
        <w:t>, J.A. (</w:t>
      </w:r>
      <w:r w:rsidR="00EF7938" w:rsidRPr="007D7BF1">
        <w:rPr>
          <w:bCs/>
          <w:color w:val="000000"/>
          <w:sz w:val="22"/>
          <w:szCs w:val="22"/>
          <w:lang w:val="en-US"/>
        </w:rPr>
        <w:t>1978</w:t>
      </w:r>
      <w:r>
        <w:rPr>
          <w:bCs/>
          <w:color w:val="000000"/>
          <w:sz w:val="22"/>
          <w:szCs w:val="22"/>
          <w:lang w:val="en-US"/>
        </w:rPr>
        <w:t>)</w:t>
      </w:r>
      <w:r w:rsidR="00EF7938" w:rsidRPr="007D7BF1">
        <w:rPr>
          <w:bCs/>
          <w:color w:val="000000"/>
          <w:sz w:val="22"/>
          <w:szCs w:val="22"/>
          <w:lang w:val="en-US"/>
        </w:rPr>
        <w:t xml:space="preserve">. </w:t>
      </w:r>
      <w:r>
        <w:rPr>
          <w:bCs/>
          <w:color w:val="000000"/>
          <w:sz w:val="22"/>
          <w:szCs w:val="22"/>
          <w:lang w:val="en-US"/>
        </w:rPr>
        <w:t>‘</w:t>
      </w:r>
      <w:r w:rsidR="00EF7938" w:rsidRPr="007D7BF1">
        <w:rPr>
          <w:bCs/>
          <w:color w:val="000000"/>
          <w:sz w:val="22"/>
          <w:szCs w:val="22"/>
          <w:lang w:val="en-US"/>
        </w:rPr>
        <w:t xml:space="preserve">Specification tests in </w:t>
      </w:r>
      <w:proofErr w:type="gramStart"/>
      <w:r w:rsidR="00EF7938" w:rsidRPr="007D7BF1">
        <w:rPr>
          <w:bCs/>
          <w:color w:val="000000"/>
          <w:sz w:val="22"/>
          <w:szCs w:val="22"/>
          <w:lang w:val="en-US"/>
        </w:rPr>
        <w:t>econometrics</w:t>
      </w:r>
      <w:r>
        <w:rPr>
          <w:bCs/>
          <w:color w:val="000000"/>
          <w:sz w:val="22"/>
          <w:szCs w:val="22"/>
          <w:lang w:val="en-US"/>
        </w:rPr>
        <w:t>’</w:t>
      </w:r>
      <w:proofErr w:type="gramEnd"/>
      <w:r>
        <w:rPr>
          <w:bCs/>
          <w:color w:val="000000"/>
          <w:sz w:val="22"/>
          <w:szCs w:val="22"/>
          <w:lang w:val="en-US"/>
        </w:rPr>
        <w:t xml:space="preserve">, </w:t>
      </w:r>
      <w:proofErr w:type="spellStart"/>
      <w:r w:rsidR="00EF7938" w:rsidRPr="00303A9C">
        <w:rPr>
          <w:bCs/>
          <w:i/>
          <w:iCs/>
          <w:color w:val="000000"/>
          <w:sz w:val="22"/>
          <w:szCs w:val="22"/>
          <w:lang w:val="en-US"/>
        </w:rPr>
        <w:t>Econometrica</w:t>
      </w:r>
      <w:proofErr w:type="spellEnd"/>
      <w:r w:rsidR="00EF7938" w:rsidRPr="00303A9C">
        <w:rPr>
          <w:bCs/>
          <w:i/>
          <w:iCs/>
          <w:color w:val="000000"/>
          <w:sz w:val="22"/>
          <w:szCs w:val="22"/>
          <w:lang w:val="en-US"/>
        </w:rPr>
        <w:t>: Journal of the Econometric Society</w:t>
      </w:r>
      <w:r>
        <w:rPr>
          <w:bCs/>
          <w:iCs/>
          <w:color w:val="000000"/>
          <w:sz w:val="22"/>
          <w:szCs w:val="22"/>
          <w:lang w:val="en-US"/>
        </w:rPr>
        <w:t>, Vol.</w:t>
      </w:r>
      <w:r w:rsidR="00EF7938" w:rsidRPr="007D7BF1">
        <w:rPr>
          <w:bCs/>
          <w:iCs/>
          <w:color w:val="000000"/>
          <w:sz w:val="22"/>
          <w:szCs w:val="22"/>
          <w:lang w:val="en-US"/>
        </w:rPr>
        <w:t xml:space="preserve"> 46 (6), </w:t>
      </w:r>
      <w:r w:rsidR="00EF7938" w:rsidRPr="007D7BF1">
        <w:rPr>
          <w:bCs/>
          <w:color w:val="000000"/>
          <w:sz w:val="22"/>
          <w:szCs w:val="22"/>
          <w:lang w:val="en-US"/>
        </w:rPr>
        <w:t>1251</w:t>
      </w:r>
      <w:r w:rsidR="00EF7938" w:rsidRPr="007D7BF1">
        <w:rPr>
          <w:color w:val="000000"/>
          <w:sz w:val="22"/>
          <w:szCs w:val="22"/>
          <w:lang w:val="en-US" w:eastAsia="en-GB"/>
        </w:rPr>
        <w:t>-</w:t>
      </w:r>
      <w:r w:rsidR="00EF7938" w:rsidRPr="007D7BF1">
        <w:rPr>
          <w:bCs/>
          <w:color w:val="000000"/>
          <w:sz w:val="22"/>
          <w:szCs w:val="22"/>
          <w:lang w:val="en-US"/>
        </w:rPr>
        <w:t xml:space="preserve">1271. </w:t>
      </w:r>
    </w:p>
    <w:p w14:paraId="29618543" w14:textId="578A9688" w:rsidR="00EF7938" w:rsidRPr="007D7BF1" w:rsidRDefault="00303A9C" w:rsidP="009E2098">
      <w:pPr>
        <w:pStyle w:val="NormalWeb"/>
        <w:spacing w:before="120" w:beforeAutospacing="0" w:after="120" w:afterAutospacing="0"/>
        <w:ind w:left="450" w:hanging="450"/>
        <w:jc w:val="both"/>
        <w:rPr>
          <w:bCs/>
          <w:iCs/>
          <w:color w:val="000000"/>
          <w:sz w:val="22"/>
          <w:szCs w:val="22"/>
          <w:lang w:val="en-US"/>
        </w:rPr>
      </w:pPr>
      <w:proofErr w:type="spellStart"/>
      <w:r>
        <w:rPr>
          <w:bCs/>
          <w:color w:val="000000"/>
          <w:sz w:val="22"/>
          <w:szCs w:val="22"/>
          <w:lang w:val="en-US"/>
        </w:rPr>
        <w:t>Herfindahl</w:t>
      </w:r>
      <w:proofErr w:type="spellEnd"/>
      <w:r>
        <w:rPr>
          <w:bCs/>
          <w:color w:val="000000"/>
          <w:sz w:val="22"/>
          <w:szCs w:val="22"/>
          <w:lang w:val="en-US"/>
        </w:rPr>
        <w:t>, O.C. (</w:t>
      </w:r>
      <w:r w:rsidR="00EF7938" w:rsidRPr="007D7BF1">
        <w:rPr>
          <w:bCs/>
          <w:color w:val="000000"/>
          <w:sz w:val="22"/>
          <w:szCs w:val="22"/>
          <w:lang w:val="en-US"/>
        </w:rPr>
        <w:t>1950</w:t>
      </w:r>
      <w:r>
        <w:rPr>
          <w:bCs/>
          <w:color w:val="000000"/>
          <w:sz w:val="22"/>
          <w:szCs w:val="22"/>
          <w:lang w:val="en-US"/>
        </w:rPr>
        <w:t>)</w:t>
      </w:r>
      <w:r w:rsidR="00EF7938" w:rsidRPr="007D7BF1">
        <w:rPr>
          <w:bCs/>
          <w:color w:val="000000"/>
          <w:sz w:val="22"/>
          <w:szCs w:val="22"/>
          <w:lang w:val="en-US"/>
        </w:rPr>
        <w:t xml:space="preserve">. </w:t>
      </w:r>
      <w:r>
        <w:rPr>
          <w:bCs/>
          <w:color w:val="000000"/>
          <w:sz w:val="22"/>
          <w:szCs w:val="22"/>
          <w:lang w:val="en-US"/>
        </w:rPr>
        <w:t>‘</w:t>
      </w:r>
      <w:r w:rsidR="00EF7938" w:rsidRPr="007D7BF1">
        <w:rPr>
          <w:bCs/>
          <w:iCs/>
          <w:color w:val="000000"/>
          <w:sz w:val="22"/>
          <w:szCs w:val="22"/>
          <w:lang w:val="en-US"/>
        </w:rPr>
        <w:t>Concentration in the Steel Industry</w:t>
      </w:r>
      <w:r>
        <w:rPr>
          <w:bCs/>
          <w:iCs/>
          <w:color w:val="000000"/>
          <w:sz w:val="22"/>
          <w:szCs w:val="22"/>
          <w:lang w:val="en-US"/>
        </w:rPr>
        <w:t xml:space="preserve">’, </w:t>
      </w:r>
      <w:r w:rsidR="00EF7938" w:rsidRPr="007D7BF1">
        <w:rPr>
          <w:bCs/>
          <w:iCs/>
          <w:color w:val="000000"/>
          <w:sz w:val="22"/>
          <w:szCs w:val="22"/>
          <w:lang w:val="en-US"/>
        </w:rPr>
        <w:t>Columbia University, NY.</w:t>
      </w:r>
    </w:p>
    <w:p w14:paraId="1D42120A" w14:textId="5B06EE87" w:rsidR="00EF7938" w:rsidRPr="007D7BF1" w:rsidRDefault="00303A9C" w:rsidP="009E2098">
      <w:pPr>
        <w:pStyle w:val="NormalWeb"/>
        <w:spacing w:before="120" w:beforeAutospacing="0" w:after="120" w:afterAutospacing="0"/>
        <w:ind w:left="450" w:hanging="450"/>
        <w:jc w:val="both"/>
        <w:rPr>
          <w:bCs/>
          <w:iCs/>
          <w:color w:val="000000"/>
          <w:sz w:val="22"/>
          <w:szCs w:val="22"/>
          <w:lang w:val="en-US"/>
        </w:rPr>
      </w:pPr>
      <w:r>
        <w:rPr>
          <w:bCs/>
          <w:color w:val="000000"/>
          <w:sz w:val="22"/>
          <w:szCs w:val="22"/>
          <w:lang w:val="en-US"/>
        </w:rPr>
        <w:t>Hirschman, A.O. (</w:t>
      </w:r>
      <w:r w:rsidR="00EF7938" w:rsidRPr="007D7BF1">
        <w:rPr>
          <w:bCs/>
          <w:color w:val="000000"/>
          <w:sz w:val="22"/>
          <w:szCs w:val="22"/>
          <w:lang w:val="en-US"/>
        </w:rPr>
        <w:t>1964</w:t>
      </w:r>
      <w:r>
        <w:rPr>
          <w:bCs/>
          <w:color w:val="000000"/>
          <w:sz w:val="22"/>
          <w:szCs w:val="22"/>
          <w:lang w:val="en-US"/>
        </w:rPr>
        <w:t>)</w:t>
      </w:r>
      <w:r w:rsidR="00EF7938" w:rsidRPr="007D7BF1">
        <w:rPr>
          <w:bCs/>
          <w:color w:val="000000"/>
          <w:sz w:val="22"/>
          <w:szCs w:val="22"/>
          <w:lang w:val="en-US"/>
        </w:rPr>
        <w:t xml:space="preserve">. </w:t>
      </w:r>
      <w:r>
        <w:rPr>
          <w:bCs/>
          <w:color w:val="000000"/>
          <w:sz w:val="22"/>
          <w:szCs w:val="22"/>
          <w:lang w:val="en-US"/>
        </w:rPr>
        <w:t>‘</w:t>
      </w:r>
      <w:r w:rsidR="00EF7938" w:rsidRPr="007D7BF1">
        <w:rPr>
          <w:bCs/>
          <w:color w:val="000000"/>
          <w:sz w:val="22"/>
          <w:szCs w:val="22"/>
          <w:lang w:val="en-US"/>
        </w:rPr>
        <w:t>The paternity of an index</w:t>
      </w:r>
      <w:r>
        <w:rPr>
          <w:bCs/>
          <w:color w:val="000000"/>
          <w:sz w:val="22"/>
          <w:szCs w:val="22"/>
          <w:lang w:val="en-US"/>
        </w:rPr>
        <w:t xml:space="preserve">’, </w:t>
      </w:r>
      <w:r w:rsidR="00EF7938" w:rsidRPr="00303A9C">
        <w:rPr>
          <w:bCs/>
          <w:i/>
          <w:iCs/>
          <w:color w:val="000000"/>
          <w:sz w:val="22"/>
          <w:szCs w:val="22"/>
          <w:lang w:val="en-US"/>
        </w:rPr>
        <w:t>The American Economic Review</w:t>
      </w:r>
      <w:r>
        <w:rPr>
          <w:bCs/>
          <w:iCs/>
          <w:color w:val="000000"/>
          <w:sz w:val="22"/>
          <w:szCs w:val="22"/>
          <w:lang w:val="en-US"/>
        </w:rPr>
        <w:t>, Vol.</w:t>
      </w:r>
      <w:r w:rsidR="00EF7938" w:rsidRPr="007D7BF1">
        <w:rPr>
          <w:bCs/>
          <w:iCs/>
          <w:color w:val="000000"/>
          <w:sz w:val="22"/>
          <w:szCs w:val="22"/>
          <w:lang w:val="en-US"/>
        </w:rPr>
        <w:t xml:space="preserve"> </w:t>
      </w:r>
      <w:r w:rsidR="00EF7938" w:rsidRPr="007D7BF1">
        <w:rPr>
          <w:bCs/>
          <w:color w:val="000000"/>
          <w:sz w:val="22"/>
          <w:szCs w:val="22"/>
          <w:lang w:val="en-US"/>
        </w:rPr>
        <w:t>54 (5), 761</w:t>
      </w:r>
      <w:r w:rsidR="00EF7938" w:rsidRPr="007D7BF1">
        <w:rPr>
          <w:color w:val="000000"/>
          <w:sz w:val="22"/>
          <w:szCs w:val="22"/>
          <w:lang w:val="en-US" w:eastAsia="en-GB"/>
        </w:rPr>
        <w:t>-</w:t>
      </w:r>
      <w:r w:rsidR="00EF7938" w:rsidRPr="007D7BF1">
        <w:rPr>
          <w:bCs/>
          <w:color w:val="000000"/>
          <w:sz w:val="22"/>
          <w:szCs w:val="22"/>
          <w:lang w:val="en-US"/>
        </w:rPr>
        <w:t xml:space="preserve">762. </w:t>
      </w:r>
    </w:p>
    <w:p w14:paraId="3F93C074" w14:textId="77777777" w:rsidR="009460C7" w:rsidRPr="007D7BF1" w:rsidRDefault="009460C7" w:rsidP="009E2098">
      <w:pPr>
        <w:pStyle w:val="NormalWeb"/>
        <w:spacing w:before="120" w:beforeAutospacing="0" w:after="120" w:afterAutospacing="0"/>
        <w:ind w:left="450" w:hanging="450"/>
        <w:jc w:val="both"/>
        <w:rPr>
          <w:bCs/>
          <w:color w:val="000000"/>
          <w:sz w:val="22"/>
          <w:szCs w:val="22"/>
          <w:lang w:val="en-US"/>
        </w:rPr>
      </w:pPr>
      <w:proofErr w:type="spellStart"/>
      <w:r w:rsidRPr="007D7BF1">
        <w:rPr>
          <w:bCs/>
          <w:color w:val="000000"/>
          <w:sz w:val="22"/>
          <w:szCs w:val="22"/>
          <w:lang w:val="en-US"/>
        </w:rPr>
        <w:t>Hracs</w:t>
      </w:r>
      <w:proofErr w:type="spellEnd"/>
      <w:r w:rsidRPr="007D7BF1">
        <w:rPr>
          <w:bCs/>
          <w:color w:val="000000"/>
          <w:sz w:val="22"/>
          <w:szCs w:val="22"/>
          <w:lang w:val="en-US"/>
        </w:rPr>
        <w:t xml:space="preserve"> B.J.</w:t>
      </w:r>
      <w:r>
        <w:rPr>
          <w:bCs/>
          <w:color w:val="000000"/>
          <w:sz w:val="22"/>
          <w:szCs w:val="22"/>
          <w:lang w:val="en-US"/>
        </w:rPr>
        <w:t xml:space="preserve"> (</w:t>
      </w:r>
      <w:r w:rsidRPr="007D7BF1">
        <w:rPr>
          <w:bCs/>
          <w:color w:val="000000"/>
          <w:sz w:val="22"/>
          <w:szCs w:val="22"/>
          <w:lang w:val="en-US"/>
        </w:rPr>
        <w:t>2015</w:t>
      </w:r>
      <w:r>
        <w:rPr>
          <w:bCs/>
          <w:color w:val="000000"/>
          <w:sz w:val="22"/>
          <w:szCs w:val="22"/>
          <w:lang w:val="en-US"/>
        </w:rPr>
        <w:t>)</w:t>
      </w:r>
      <w:r w:rsidRPr="007D7BF1">
        <w:rPr>
          <w:bCs/>
          <w:color w:val="000000"/>
          <w:sz w:val="22"/>
          <w:szCs w:val="22"/>
          <w:lang w:val="en-US"/>
        </w:rPr>
        <w:t xml:space="preserve">. </w:t>
      </w:r>
      <w:r>
        <w:rPr>
          <w:bCs/>
          <w:color w:val="000000"/>
          <w:sz w:val="22"/>
          <w:szCs w:val="22"/>
          <w:lang w:val="en-US"/>
        </w:rPr>
        <w:t>‘</w:t>
      </w:r>
      <w:r w:rsidRPr="007D7BF1">
        <w:rPr>
          <w:bCs/>
          <w:color w:val="000000"/>
          <w:sz w:val="22"/>
          <w:szCs w:val="22"/>
          <w:lang w:val="en-US"/>
        </w:rPr>
        <w:t>Cultural intermediaries in the digital age: the case of independent musicians and managers</w:t>
      </w:r>
      <w:r>
        <w:rPr>
          <w:bCs/>
          <w:color w:val="000000"/>
          <w:sz w:val="22"/>
          <w:szCs w:val="22"/>
          <w:lang w:val="en-US"/>
        </w:rPr>
        <w:t xml:space="preserve"> </w:t>
      </w:r>
      <w:r w:rsidRPr="007D7BF1">
        <w:rPr>
          <w:bCs/>
          <w:color w:val="000000"/>
          <w:sz w:val="22"/>
          <w:szCs w:val="22"/>
          <w:lang w:val="en-US"/>
        </w:rPr>
        <w:t>in Toronto</w:t>
      </w:r>
      <w:r>
        <w:rPr>
          <w:bCs/>
          <w:color w:val="000000"/>
          <w:sz w:val="22"/>
          <w:szCs w:val="22"/>
          <w:lang w:val="en-US"/>
        </w:rPr>
        <w:t xml:space="preserve">’, </w:t>
      </w:r>
      <w:r w:rsidRPr="00303A9C">
        <w:rPr>
          <w:bCs/>
          <w:i/>
          <w:color w:val="000000"/>
          <w:sz w:val="22"/>
          <w:szCs w:val="22"/>
          <w:lang w:val="en-US"/>
        </w:rPr>
        <w:t>Regional Studies</w:t>
      </w:r>
      <w:r>
        <w:rPr>
          <w:bCs/>
          <w:color w:val="000000"/>
          <w:sz w:val="22"/>
          <w:szCs w:val="22"/>
          <w:lang w:val="en-US"/>
        </w:rPr>
        <w:t>, Vol.</w:t>
      </w:r>
      <w:r w:rsidRPr="007D7BF1">
        <w:rPr>
          <w:bCs/>
          <w:color w:val="000000"/>
          <w:sz w:val="22"/>
          <w:szCs w:val="22"/>
          <w:lang w:val="en-US"/>
        </w:rPr>
        <w:t xml:space="preserve"> 49 (3), 1-15.</w:t>
      </w:r>
    </w:p>
    <w:p w14:paraId="224AE86D" w14:textId="77777777" w:rsidR="009460C7" w:rsidRPr="007D7BF1" w:rsidRDefault="009460C7" w:rsidP="009E2098">
      <w:pPr>
        <w:pStyle w:val="NormalWeb"/>
        <w:spacing w:before="120" w:beforeAutospacing="0" w:after="120" w:afterAutospacing="0"/>
        <w:ind w:left="450" w:hanging="450"/>
        <w:jc w:val="both"/>
        <w:rPr>
          <w:bCs/>
          <w:color w:val="000000"/>
          <w:sz w:val="22"/>
          <w:szCs w:val="22"/>
          <w:lang w:val="en-US"/>
        </w:rPr>
      </w:pPr>
      <w:r w:rsidRPr="007D7BF1">
        <w:rPr>
          <w:bCs/>
          <w:color w:val="000000"/>
          <w:sz w:val="22"/>
          <w:szCs w:val="22"/>
          <w:lang w:val="en-US"/>
        </w:rPr>
        <w:t xml:space="preserve">Huff, A. S. </w:t>
      </w:r>
      <w:r>
        <w:rPr>
          <w:bCs/>
          <w:color w:val="000000"/>
          <w:sz w:val="22"/>
          <w:szCs w:val="22"/>
          <w:lang w:val="en-US"/>
        </w:rPr>
        <w:t>(</w:t>
      </w:r>
      <w:r w:rsidRPr="007D7BF1">
        <w:rPr>
          <w:bCs/>
          <w:color w:val="000000"/>
          <w:sz w:val="22"/>
          <w:szCs w:val="22"/>
          <w:lang w:val="en-US"/>
        </w:rPr>
        <w:t>1990</w:t>
      </w:r>
      <w:r>
        <w:rPr>
          <w:bCs/>
          <w:color w:val="000000"/>
          <w:sz w:val="22"/>
          <w:szCs w:val="22"/>
          <w:lang w:val="en-US"/>
        </w:rPr>
        <w:t>)</w:t>
      </w:r>
      <w:r w:rsidRPr="007D7BF1">
        <w:rPr>
          <w:bCs/>
          <w:color w:val="000000"/>
          <w:sz w:val="22"/>
          <w:szCs w:val="22"/>
          <w:lang w:val="en-US"/>
        </w:rPr>
        <w:t xml:space="preserve">. </w:t>
      </w:r>
      <w:r>
        <w:rPr>
          <w:bCs/>
          <w:color w:val="000000"/>
          <w:sz w:val="22"/>
          <w:szCs w:val="22"/>
          <w:lang w:val="en-US"/>
        </w:rPr>
        <w:t>‘</w:t>
      </w:r>
      <w:r w:rsidRPr="007D7BF1">
        <w:rPr>
          <w:bCs/>
          <w:color w:val="000000"/>
          <w:sz w:val="22"/>
          <w:szCs w:val="22"/>
          <w:lang w:val="en-US"/>
        </w:rPr>
        <w:t>Mapping strategic thought</w:t>
      </w:r>
      <w:r>
        <w:rPr>
          <w:bCs/>
          <w:color w:val="000000"/>
          <w:sz w:val="22"/>
          <w:szCs w:val="22"/>
          <w:lang w:val="en-US"/>
        </w:rPr>
        <w:t>’,</w:t>
      </w:r>
      <w:r w:rsidRPr="007D7BF1">
        <w:rPr>
          <w:bCs/>
          <w:color w:val="000000"/>
          <w:sz w:val="22"/>
          <w:szCs w:val="22"/>
          <w:lang w:val="en-US"/>
        </w:rPr>
        <w:t xml:space="preserve"> </w:t>
      </w:r>
      <w:proofErr w:type="spellStart"/>
      <w:r w:rsidRPr="007D7BF1">
        <w:rPr>
          <w:bCs/>
          <w:color w:val="000000"/>
          <w:sz w:val="22"/>
          <w:szCs w:val="22"/>
          <w:lang w:val="en-US"/>
        </w:rPr>
        <w:t>Chichester</w:t>
      </w:r>
      <w:proofErr w:type="spellEnd"/>
      <w:r w:rsidRPr="007D7BF1">
        <w:rPr>
          <w:bCs/>
          <w:color w:val="000000"/>
          <w:sz w:val="22"/>
          <w:szCs w:val="22"/>
          <w:lang w:val="en-US"/>
        </w:rPr>
        <w:t>: John Wiley.</w:t>
      </w:r>
    </w:p>
    <w:p w14:paraId="2EC35F9C" w14:textId="77777777" w:rsidR="009460C7" w:rsidRDefault="009460C7" w:rsidP="009E2098">
      <w:pPr>
        <w:pStyle w:val="NormalWeb"/>
        <w:spacing w:before="120" w:beforeAutospacing="0" w:after="120" w:afterAutospacing="0"/>
        <w:ind w:left="450" w:hanging="450"/>
        <w:jc w:val="both"/>
        <w:rPr>
          <w:bCs/>
          <w:color w:val="000000"/>
          <w:sz w:val="22"/>
          <w:szCs w:val="22"/>
          <w:lang w:val="en-US"/>
        </w:rPr>
      </w:pPr>
      <w:r>
        <w:rPr>
          <w:bCs/>
          <w:color w:val="000000"/>
          <w:sz w:val="22"/>
          <w:szCs w:val="22"/>
          <w:lang w:val="en-US"/>
        </w:rPr>
        <w:t>IFPI (</w:t>
      </w:r>
      <w:r w:rsidRPr="007D7BF1">
        <w:rPr>
          <w:bCs/>
          <w:color w:val="000000"/>
          <w:sz w:val="22"/>
          <w:szCs w:val="22"/>
          <w:lang w:val="en-US"/>
        </w:rPr>
        <w:t>2012</w:t>
      </w:r>
      <w:r>
        <w:rPr>
          <w:bCs/>
          <w:color w:val="000000"/>
          <w:sz w:val="22"/>
          <w:szCs w:val="22"/>
          <w:lang w:val="en-US"/>
        </w:rPr>
        <w:t>)</w:t>
      </w:r>
      <w:r w:rsidRPr="007D7BF1">
        <w:rPr>
          <w:bCs/>
          <w:color w:val="000000"/>
          <w:sz w:val="22"/>
          <w:szCs w:val="22"/>
          <w:lang w:val="en-US"/>
        </w:rPr>
        <w:t>.</w:t>
      </w:r>
      <w:r w:rsidRPr="007D7BF1">
        <w:rPr>
          <w:bCs/>
          <w:i/>
          <w:iCs/>
          <w:color w:val="000000"/>
          <w:sz w:val="22"/>
          <w:szCs w:val="22"/>
          <w:lang w:val="en-US"/>
        </w:rPr>
        <w:t xml:space="preserve"> </w:t>
      </w:r>
      <w:r>
        <w:rPr>
          <w:bCs/>
          <w:i/>
          <w:iCs/>
          <w:color w:val="000000"/>
          <w:sz w:val="22"/>
          <w:szCs w:val="22"/>
          <w:lang w:val="en-US"/>
        </w:rPr>
        <w:t>‘</w:t>
      </w:r>
      <w:r w:rsidRPr="007D7BF1">
        <w:rPr>
          <w:bCs/>
          <w:iCs/>
          <w:color w:val="000000"/>
          <w:sz w:val="22"/>
          <w:szCs w:val="22"/>
          <w:lang w:val="en-US"/>
        </w:rPr>
        <w:t>Digital Music Report 2012: Expanding Choice, Going Global</w:t>
      </w:r>
      <w:r>
        <w:rPr>
          <w:bCs/>
          <w:iCs/>
          <w:color w:val="000000"/>
          <w:sz w:val="22"/>
          <w:szCs w:val="22"/>
          <w:lang w:val="en-US"/>
        </w:rPr>
        <w:t>’,</w:t>
      </w:r>
      <w:r w:rsidRPr="007D7BF1">
        <w:rPr>
          <w:bCs/>
          <w:iCs/>
          <w:color w:val="000000"/>
          <w:sz w:val="22"/>
          <w:szCs w:val="22"/>
          <w:lang w:val="en-US"/>
        </w:rPr>
        <w:t xml:space="preserve"> </w:t>
      </w:r>
      <w:r w:rsidRPr="00871CAC">
        <w:rPr>
          <w:bCs/>
          <w:color w:val="000000"/>
          <w:sz w:val="22"/>
          <w:szCs w:val="22"/>
          <w:lang w:val="en-US"/>
        </w:rPr>
        <w:t>International Federation of the Phonographic Industry</w:t>
      </w:r>
      <w:r>
        <w:rPr>
          <w:bCs/>
          <w:color w:val="000000"/>
          <w:sz w:val="22"/>
          <w:szCs w:val="22"/>
          <w:lang w:val="en-US"/>
        </w:rPr>
        <w:t>, London.</w:t>
      </w:r>
    </w:p>
    <w:p w14:paraId="1837BE7D" w14:textId="77777777" w:rsidR="009460C7" w:rsidRPr="005652D9" w:rsidRDefault="009460C7" w:rsidP="009460C7">
      <w:pPr>
        <w:pStyle w:val="NormalWeb"/>
        <w:spacing w:before="120" w:beforeAutospacing="0" w:after="120" w:afterAutospacing="0"/>
        <w:ind w:left="450" w:hanging="450"/>
        <w:jc w:val="both"/>
        <w:rPr>
          <w:bCs/>
          <w:sz w:val="22"/>
          <w:szCs w:val="22"/>
          <w:lang w:val="en-US"/>
        </w:rPr>
      </w:pPr>
      <w:proofErr w:type="spellStart"/>
      <w:r w:rsidRPr="005652D9">
        <w:rPr>
          <w:bCs/>
          <w:sz w:val="22"/>
          <w:szCs w:val="22"/>
          <w:lang w:val="en-US"/>
        </w:rPr>
        <w:t>Kastalli</w:t>
      </w:r>
      <w:proofErr w:type="spellEnd"/>
      <w:r w:rsidRPr="005652D9">
        <w:rPr>
          <w:bCs/>
          <w:sz w:val="22"/>
          <w:szCs w:val="22"/>
          <w:lang w:val="en-US"/>
        </w:rPr>
        <w:t xml:space="preserve">, I. V. and Van </w:t>
      </w:r>
      <w:proofErr w:type="spellStart"/>
      <w:r w:rsidRPr="005652D9">
        <w:rPr>
          <w:bCs/>
          <w:sz w:val="22"/>
          <w:szCs w:val="22"/>
          <w:lang w:val="en-US"/>
        </w:rPr>
        <w:t>Looy</w:t>
      </w:r>
      <w:proofErr w:type="spellEnd"/>
      <w:r w:rsidRPr="005652D9">
        <w:rPr>
          <w:bCs/>
          <w:sz w:val="22"/>
          <w:szCs w:val="22"/>
          <w:lang w:val="en-US"/>
        </w:rPr>
        <w:t>, B. (2013). ‘</w:t>
      </w:r>
      <w:proofErr w:type="spellStart"/>
      <w:r w:rsidRPr="005652D9">
        <w:rPr>
          <w:bCs/>
          <w:sz w:val="22"/>
          <w:szCs w:val="22"/>
          <w:lang w:val="en-US"/>
        </w:rPr>
        <w:t>Servitization</w:t>
      </w:r>
      <w:proofErr w:type="spellEnd"/>
      <w:r w:rsidRPr="005652D9">
        <w:rPr>
          <w:bCs/>
          <w:sz w:val="22"/>
          <w:szCs w:val="22"/>
          <w:lang w:val="en-US"/>
        </w:rPr>
        <w:t xml:space="preserve">: Disentangling the impact of service business model innovation on manufacturing firm performance’, </w:t>
      </w:r>
      <w:r w:rsidRPr="005652D9">
        <w:rPr>
          <w:bCs/>
          <w:i/>
          <w:sz w:val="22"/>
          <w:szCs w:val="22"/>
          <w:lang w:val="en-US"/>
        </w:rPr>
        <w:t>Journal of Operations Management</w:t>
      </w:r>
      <w:r w:rsidRPr="005652D9">
        <w:rPr>
          <w:bCs/>
          <w:sz w:val="22"/>
          <w:szCs w:val="22"/>
          <w:lang w:val="en-US"/>
        </w:rPr>
        <w:t>, Vol. 31(4), 169-180.</w:t>
      </w:r>
    </w:p>
    <w:p w14:paraId="2D937A95" w14:textId="77777777" w:rsidR="009460C7" w:rsidRPr="007D7BF1" w:rsidRDefault="009460C7" w:rsidP="009E2098">
      <w:pPr>
        <w:pStyle w:val="NormalWeb"/>
        <w:spacing w:before="120" w:beforeAutospacing="0" w:after="120" w:afterAutospacing="0"/>
        <w:ind w:left="450" w:hanging="450"/>
        <w:jc w:val="both"/>
        <w:rPr>
          <w:bCs/>
          <w:color w:val="000000"/>
          <w:sz w:val="22"/>
          <w:szCs w:val="22"/>
          <w:lang w:val="en-US"/>
        </w:rPr>
      </w:pPr>
      <w:proofErr w:type="spellStart"/>
      <w:r>
        <w:rPr>
          <w:bCs/>
          <w:color w:val="000000"/>
          <w:sz w:val="22"/>
          <w:szCs w:val="22"/>
          <w:lang w:val="en-US"/>
        </w:rPr>
        <w:t>Koukova</w:t>
      </w:r>
      <w:proofErr w:type="spellEnd"/>
      <w:r>
        <w:rPr>
          <w:bCs/>
          <w:color w:val="000000"/>
          <w:sz w:val="22"/>
          <w:szCs w:val="22"/>
          <w:lang w:val="en-US"/>
        </w:rPr>
        <w:t xml:space="preserve">, N.T., Kannan, P.K. and </w:t>
      </w:r>
      <w:proofErr w:type="spellStart"/>
      <w:r w:rsidRPr="007D7BF1">
        <w:rPr>
          <w:bCs/>
          <w:color w:val="000000"/>
          <w:sz w:val="22"/>
          <w:szCs w:val="22"/>
          <w:lang w:val="en-US"/>
        </w:rPr>
        <w:t>Kirmani</w:t>
      </w:r>
      <w:proofErr w:type="spellEnd"/>
      <w:r w:rsidRPr="007D7BF1">
        <w:rPr>
          <w:bCs/>
          <w:color w:val="000000"/>
          <w:sz w:val="22"/>
          <w:szCs w:val="22"/>
          <w:lang w:val="en-US"/>
        </w:rPr>
        <w:t>, A.</w:t>
      </w:r>
      <w:r>
        <w:rPr>
          <w:bCs/>
          <w:color w:val="000000"/>
          <w:sz w:val="22"/>
          <w:szCs w:val="22"/>
          <w:lang w:val="en-US"/>
        </w:rPr>
        <w:t xml:space="preserve"> (2012). ‘</w:t>
      </w:r>
      <w:proofErr w:type="spellStart"/>
      <w:r w:rsidRPr="007D7BF1">
        <w:rPr>
          <w:bCs/>
          <w:color w:val="000000"/>
          <w:sz w:val="22"/>
          <w:szCs w:val="22"/>
          <w:lang w:val="en-US"/>
        </w:rPr>
        <w:t>Multiformat</w:t>
      </w:r>
      <w:proofErr w:type="spellEnd"/>
      <w:r w:rsidRPr="007D7BF1">
        <w:rPr>
          <w:bCs/>
          <w:color w:val="000000"/>
          <w:sz w:val="22"/>
          <w:szCs w:val="22"/>
          <w:lang w:val="en-US"/>
        </w:rPr>
        <w:t xml:space="preserve"> digital products: how design attributes interact with usage situations to determine choice</w:t>
      </w:r>
      <w:r>
        <w:rPr>
          <w:bCs/>
          <w:color w:val="000000"/>
          <w:sz w:val="22"/>
          <w:szCs w:val="22"/>
          <w:lang w:val="en-US"/>
        </w:rPr>
        <w:t>’,</w:t>
      </w:r>
      <w:r w:rsidRPr="007D7BF1">
        <w:rPr>
          <w:bCs/>
          <w:color w:val="000000"/>
          <w:sz w:val="22"/>
          <w:szCs w:val="22"/>
          <w:lang w:val="en-US"/>
        </w:rPr>
        <w:t xml:space="preserve"> </w:t>
      </w:r>
      <w:r w:rsidRPr="00C123C9">
        <w:rPr>
          <w:bCs/>
          <w:i/>
          <w:color w:val="000000"/>
          <w:sz w:val="22"/>
          <w:szCs w:val="22"/>
          <w:lang w:val="en-US"/>
        </w:rPr>
        <w:t>Journal of Marketing Research</w:t>
      </w:r>
      <w:r>
        <w:rPr>
          <w:bCs/>
          <w:color w:val="000000"/>
          <w:sz w:val="22"/>
          <w:szCs w:val="22"/>
          <w:lang w:val="en-US"/>
        </w:rPr>
        <w:t>, Vol.</w:t>
      </w:r>
      <w:r w:rsidRPr="007D7BF1">
        <w:rPr>
          <w:bCs/>
          <w:color w:val="000000"/>
          <w:sz w:val="22"/>
          <w:szCs w:val="22"/>
          <w:lang w:val="en-US"/>
        </w:rPr>
        <w:t xml:space="preserve"> 49 (1), 100-114.</w:t>
      </w:r>
    </w:p>
    <w:p w14:paraId="0DD27050" w14:textId="77777777" w:rsidR="009460C7" w:rsidRDefault="009460C7" w:rsidP="009E2098">
      <w:pPr>
        <w:pStyle w:val="NormalWeb"/>
        <w:spacing w:before="120" w:beforeAutospacing="0" w:after="120" w:afterAutospacing="0"/>
        <w:ind w:left="450" w:hanging="450"/>
        <w:jc w:val="both"/>
        <w:rPr>
          <w:lang w:val="en-GB"/>
        </w:rPr>
      </w:pPr>
      <w:r>
        <w:rPr>
          <w:sz w:val="22"/>
          <w:szCs w:val="22"/>
          <w:lang w:val="en-GB" w:eastAsia="es-ES_tradnl"/>
        </w:rPr>
        <w:t xml:space="preserve">Lee, J., Kim, C. and </w:t>
      </w:r>
      <w:r w:rsidRPr="007D7BF1">
        <w:rPr>
          <w:sz w:val="22"/>
          <w:szCs w:val="22"/>
          <w:lang w:val="en-GB" w:eastAsia="es-ES_tradnl"/>
        </w:rPr>
        <w:t xml:space="preserve">Shin, J. (2017). </w:t>
      </w:r>
      <w:r>
        <w:rPr>
          <w:sz w:val="22"/>
          <w:szCs w:val="22"/>
          <w:lang w:val="en-GB" w:eastAsia="es-ES_tradnl"/>
        </w:rPr>
        <w:t>‘</w:t>
      </w:r>
      <w:r w:rsidRPr="007D7BF1">
        <w:rPr>
          <w:sz w:val="22"/>
          <w:szCs w:val="22"/>
          <w:lang w:val="en-GB" w:eastAsia="es-ES_tradnl"/>
        </w:rPr>
        <w:t>Technology opportunity discovery to R&amp;D planning: Key technological performance analysis</w:t>
      </w:r>
      <w:r>
        <w:rPr>
          <w:sz w:val="22"/>
          <w:szCs w:val="22"/>
          <w:lang w:val="en-GB" w:eastAsia="es-ES_tradnl"/>
        </w:rPr>
        <w:t xml:space="preserve">’, </w:t>
      </w:r>
      <w:r w:rsidRPr="005C2963">
        <w:rPr>
          <w:i/>
          <w:iCs/>
          <w:sz w:val="22"/>
          <w:szCs w:val="22"/>
          <w:lang w:val="en-GB" w:eastAsia="es-ES_tradnl"/>
        </w:rPr>
        <w:t>Technological Forecasting and Social Change</w:t>
      </w:r>
      <w:r>
        <w:rPr>
          <w:iCs/>
          <w:sz w:val="22"/>
          <w:szCs w:val="22"/>
          <w:lang w:val="en-GB" w:eastAsia="es-ES_tradnl"/>
        </w:rPr>
        <w:t>, Vol.</w:t>
      </w:r>
      <w:r w:rsidRPr="005C2963">
        <w:rPr>
          <w:sz w:val="22"/>
          <w:szCs w:val="22"/>
          <w:lang w:val="en-GB" w:eastAsia="es-ES_tradnl"/>
        </w:rPr>
        <w:t xml:space="preserve"> </w:t>
      </w:r>
      <w:r w:rsidRPr="005C2963">
        <w:rPr>
          <w:iCs/>
          <w:sz w:val="22"/>
          <w:szCs w:val="22"/>
          <w:lang w:val="en-GB" w:eastAsia="es-ES_tradnl"/>
        </w:rPr>
        <w:t>119</w:t>
      </w:r>
      <w:r w:rsidRPr="005C2963">
        <w:rPr>
          <w:sz w:val="22"/>
          <w:szCs w:val="22"/>
          <w:lang w:val="en-GB" w:eastAsia="es-ES_tradnl"/>
        </w:rPr>
        <w:t>, 53-63.</w:t>
      </w:r>
      <w:r w:rsidRPr="005C2963">
        <w:rPr>
          <w:lang w:val="en-GB"/>
        </w:rPr>
        <w:t xml:space="preserve"> </w:t>
      </w:r>
    </w:p>
    <w:p w14:paraId="68CFD8A3" w14:textId="0873FAB1" w:rsidR="005C2963" w:rsidRDefault="005C2963" w:rsidP="005C2963">
      <w:pPr>
        <w:pStyle w:val="NormalWeb"/>
        <w:spacing w:before="120" w:beforeAutospacing="0" w:after="120" w:afterAutospacing="0"/>
        <w:ind w:left="450" w:hanging="450"/>
        <w:jc w:val="both"/>
        <w:rPr>
          <w:sz w:val="22"/>
          <w:szCs w:val="22"/>
          <w:lang w:val="en-GB" w:eastAsia="es-ES_tradnl"/>
        </w:rPr>
      </w:pPr>
      <w:proofErr w:type="spellStart"/>
      <w:r w:rsidRPr="005C2963">
        <w:rPr>
          <w:sz w:val="22"/>
          <w:szCs w:val="22"/>
          <w:lang w:val="en-GB" w:eastAsia="es-ES_tradnl"/>
        </w:rPr>
        <w:t>Liebowitz</w:t>
      </w:r>
      <w:proofErr w:type="spellEnd"/>
      <w:r w:rsidRPr="005C2963">
        <w:rPr>
          <w:sz w:val="22"/>
          <w:szCs w:val="22"/>
          <w:lang w:val="en-GB" w:eastAsia="es-ES_tradnl"/>
        </w:rPr>
        <w:t xml:space="preserve">, S. J. </w:t>
      </w:r>
      <w:r w:rsidRPr="0055142F">
        <w:rPr>
          <w:sz w:val="22"/>
          <w:szCs w:val="22"/>
          <w:lang w:val="en-GB" w:eastAsia="es-ES_tradnl"/>
        </w:rPr>
        <w:t>(2016</w:t>
      </w:r>
      <w:r w:rsidRPr="005C2963">
        <w:rPr>
          <w:sz w:val="22"/>
          <w:szCs w:val="22"/>
          <w:lang w:val="en-GB" w:eastAsia="es-ES_tradnl"/>
        </w:rPr>
        <w:t xml:space="preserve">). </w:t>
      </w:r>
      <w:r>
        <w:rPr>
          <w:sz w:val="22"/>
          <w:szCs w:val="22"/>
          <w:lang w:val="en-GB" w:eastAsia="es-ES_tradnl"/>
        </w:rPr>
        <w:t>‘</w:t>
      </w:r>
      <w:r w:rsidRPr="005C2963">
        <w:rPr>
          <w:sz w:val="22"/>
          <w:szCs w:val="22"/>
          <w:lang w:val="en-GB" w:eastAsia="es-ES_tradnl"/>
        </w:rPr>
        <w:t>How much of the decline in sound recording sales is due to file-sharing?</w:t>
      </w:r>
      <w:proofErr w:type="gramStart"/>
      <w:r>
        <w:rPr>
          <w:sz w:val="22"/>
          <w:szCs w:val="22"/>
          <w:lang w:val="en-GB" w:eastAsia="es-ES_tradnl"/>
        </w:rPr>
        <w:t>’,</w:t>
      </w:r>
      <w:proofErr w:type="gramEnd"/>
      <w:r w:rsidRPr="005C2963">
        <w:rPr>
          <w:sz w:val="22"/>
          <w:szCs w:val="22"/>
          <w:lang w:val="en-GB" w:eastAsia="es-ES_tradnl"/>
        </w:rPr>
        <w:t xml:space="preserve"> </w:t>
      </w:r>
      <w:r w:rsidRPr="005C2963">
        <w:rPr>
          <w:i/>
          <w:sz w:val="22"/>
          <w:szCs w:val="22"/>
          <w:lang w:val="en-GB" w:eastAsia="es-ES_tradnl"/>
        </w:rPr>
        <w:t>Journal of Cultural Economics</w:t>
      </w:r>
      <w:r w:rsidRPr="005C2963">
        <w:rPr>
          <w:sz w:val="22"/>
          <w:szCs w:val="22"/>
          <w:lang w:val="en-GB" w:eastAsia="es-ES_tradnl"/>
        </w:rPr>
        <w:t>,</w:t>
      </w:r>
      <w:r>
        <w:rPr>
          <w:sz w:val="22"/>
          <w:szCs w:val="22"/>
          <w:lang w:val="en-GB" w:eastAsia="es-ES_tradnl"/>
        </w:rPr>
        <w:t xml:space="preserve"> Vol.</w:t>
      </w:r>
      <w:r w:rsidRPr="005C2963">
        <w:rPr>
          <w:sz w:val="22"/>
          <w:szCs w:val="22"/>
          <w:lang w:val="en-GB" w:eastAsia="es-ES_tradnl"/>
        </w:rPr>
        <w:t xml:space="preserve"> 40(1), 13-28.</w:t>
      </w:r>
    </w:p>
    <w:p w14:paraId="200FEF3F" w14:textId="1405FE4F" w:rsidR="00EF7938" w:rsidRPr="005C2963" w:rsidRDefault="005C2963" w:rsidP="005C2963">
      <w:pPr>
        <w:pStyle w:val="NormalWeb"/>
        <w:spacing w:before="120" w:beforeAutospacing="0" w:after="120" w:afterAutospacing="0"/>
        <w:ind w:left="450" w:hanging="450"/>
        <w:jc w:val="both"/>
        <w:rPr>
          <w:sz w:val="22"/>
          <w:szCs w:val="22"/>
          <w:lang w:val="en-GB" w:eastAsia="es-ES_tradnl"/>
        </w:rPr>
      </w:pPr>
      <w:r>
        <w:rPr>
          <w:bCs/>
          <w:color w:val="000000"/>
          <w:sz w:val="22"/>
          <w:szCs w:val="22"/>
          <w:lang w:val="en-US"/>
        </w:rPr>
        <w:t xml:space="preserve">Maas, C.J. and </w:t>
      </w:r>
      <w:proofErr w:type="spellStart"/>
      <w:r>
        <w:rPr>
          <w:bCs/>
          <w:color w:val="000000"/>
          <w:sz w:val="22"/>
          <w:szCs w:val="22"/>
          <w:lang w:val="en-US"/>
        </w:rPr>
        <w:t>Hox</w:t>
      </w:r>
      <w:proofErr w:type="spellEnd"/>
      <w:r>
        <w:rPr>
          <w:bCs/>
          <w:color w:val="000000"/>
          <w:sz w:val="22"/>
          <w:szCs w:val="22"/>
          <w:lang w:val="en-US"/>
        </w:rPr>
        <w:t>, J.J. (</w:t>
      </w:r>
      <w:r w:rsidR="00EF7938" w:rsidRPr="007D7BF1">
        <w:rPr>
          <w:bCs/>
          <w:color w:val="000000"/>
          <w:sz w:val="22"/>
          <w:szCs w:val="22"/>
          <w:lang w:val="en-US"/>
        </w:rPr>
        <w:t>2004</w:t>
      </w:r>
      <w:r>
        <w:rPr>
          <w:bCs/>
          <w:color w:val="000000"/>
          <w:sz w:val="22"/>
          <w:szCs w:val="22"/>
          <w:lang w:val="en-US"/>
        </w:rPr>
        <w:t>)</w:t>
      </w:r>
      <w:r w:rsidR="00EF7938" w:rsidRPr="007D7BF1">
        <w:rPr>
          <w:bCs/>
          <w:color w:val="000000"/>
          <w:sz w:val="22"/>
          <w:szCs w:val="22"/>
          <w:lang w:val="en-US"/>
        </w:rPr>
        <w:t xml:space="preserve">. </w:t>
      </w:r>
      <w:r>
        <w:rPr>
          <w:bCs/>
          <w:color w:val="000000"/>
          <w:sz w:val="22"/>
          <w:szCs w:val="22"/>
          <w:lang w:val="en-US"/>
        </w:rPr>
        <w:t>‘</w:t>
      </w:r>
      <w:r w:rsidR="00EF7938" w:rsidRPr="007D7BF1">
        <w:rPr>
          <w:bCs/>
          <w:color w:val="000000"/>
          <w:sz w:val="22"/>
          <w:szCs w:val="22"/>
          <w:lang w:val="en-US"/>
        </w:rPr>
        <w:t xml:space="preserve">Robustness issues in multilevel regression </w:t>
      </w:r>
      <w:proofErr w:type="gramStart"/>
      <w:r w:rsidR="00EF7938" w:rsidRPr="007D7BF1">
        <w:rPr>
          <w:bCs/>
          <w:color w:val="000000"/>
          <w:sz w:val="22"/>
          <w:szCs w:val="22"/>
          <w:lang w:val="en-US"/>
        </w:rPr>
        <w:t>analysis</w:t>
      </w:r>
      <w:r>
        <w:rPr>
          <w:bCs/>
          <w:color w:val="000000"/>
          <w:sz w:val="22"/>
          <w:szCs w:val="22"/>
          <w:lang w:val="en-US"/>
        </w:rPr>
        <w:t>’</w:t>
      </w:r>
      <w:proofErr w:type="gramEnd"/>
      <w:r>
        <w:rPr>
          <w:bCs/>
          <w:color w:val="000000"/>
          <w:sz w:val="22"/>
          <w:szCs w:val="22"/>
          <w:lang w:val="en-US"/>
        </w:rPr>
        <w:t>,</w:t>
      </w:r>
      <w:r w:rsidR="00EF7938" w:rsidRPr="007D7BF1">
        <w:rPr>
          <w:bCs/>
          <w:color w:val="000000"/>
          <w:sz w:val="22"/>
          <w:szCs w:val="22"/>
          <w:lang w:val="en-US"/>
        </w:rPr>
        <w:t xml:space="preserve"> </w:t>
      </w:r>
      <w:proofErr w:type="spellStart"/>
      <w:r w:rsidR="00EF7938" w:rsidRPr="005C2963">
        <w:rPr>
          <w:bCs/>
          <w:i/>
          <w:iCs/>
          <w:color w:val="000000"/>
          <w:sz w:val="22"/>
          <w:szCs w:val="22"/>
          <w:lang w:val="en-GB"/>
        </w:rPr>
        <w:t>Statistica</w:t>
      </w:r>
      <w:proofErr w:type="spellEnd"/>
      <w:r w:rsidR="00EF7938" w:rsidRPr="005C2963">
        <w:rPr>
          <w:bCs/>
          <w:i/>
          <w:iCs/>
          <w:color w:val="000000"/>
          <w:sz w:val="22"/>
          <w:szCs w:val="22"/>
          <w:lang w:val="en-GB"/>
        </w:rPr>
        <w:t xml:space="preserve"> </w:t>
      </w:r>
      <w:proofErr w:type="spellStart"/>
      <w:r w:rsidR="00EF7938" w:rsidRPr="005C2963">
        <w:rPr>
          <w:bCs/>
          <w:i/>
          <w:iCs/>
          <w:color w:val="000000"/>
          <w:sz w:val="22"/>
          <w:szCs w:val="22"/>
          <w:lang w:val="en-GB"/>
        </w:rPr>
        <w:t>Neerlandica</w:t>
      </w:r>
      <w:proofErr w:type="spellEnd"/>
      <w:r>
        <w:rPr>
          <w:bCs/>
          <w:iCs/>
          <w:color w:val="000000"/>
          <w:sz w:val="22"/>
          <w:szCs w:val="22"/>
          <w:lang w:val="en-GB"/>
        </w:rPr>
        <w:t>, Vol.</w:t>
      </w:r>
      <w:r w:rsidR="00EF7938" w:rsidRPr="007D7BF1">
        <w:rPr>
          <w:bCs/>
          <w:color w:val="000000"/>
          <w:sz w:val="22"/>
          <w:szCs w:val="22"/>
          <w:lang w:val="en-GB"/>
        </w:rPr>
        <w:t xml:space="preserve"> </w:t>
      </w:r>
      <w:r w:rsidR="00EF7938" w:rsidRPr="007D7BF1">
        <w:rPr>
          <w:bCs/>
          <w:iCs/>
          <w:color w:val="000000"/>
          <w:sz w:val="22"/>
          <w:szCs w:val="22"/>
          <w:lang w:val="en-GB"/>
        </w:rPr>
        <w:t xml:space="preserve">58 </w:t>
      </w:r>
      <w:r w:rsidR="00EF7938" w:rsidRPr="007D7BF1">
        <w:rPr>
          <w:bCs/>
          <w:color w:val="000000"/>
          <w:sz w:val="22"/>
          <w:szCs w:val="22"/>
          <w:lang w:val="en-GB"/>
        </w:rPr>
        <w:t>(2) 127</w:t>
      </w:r>
      <w:r w:rsidR="00EF7938" w:rsidRPr="007D7BF1">
        <w:rPr>
          <w:color w:val="000000"/>
          <w:sz w:val="22"/>
          <w:szCs w:val="22"/>
          <w:lang w:val="en-GB" w:eastAsia="en-GB"/>
        </w:rPr>
        <w:t>-</w:t>
      </w:r>
      <w:r w:rsidR="00EF7938" w:rsidRPr="007D7BF1">
        <w:rPr>
          <w:bCs/>
          <w:color w:val="000000"/>
          <w:sz w:val="22"/>
          <w:szCs w:val="22"/>
          <w:lang w:val="en-GB"/>
        </w:rPr>
        <w:t>137.</w:t>
      </w:r>
    </w:p>
    <w:p w14:paraId="1E5A072D" w14:textId="1B6E8CB3" w:rsidR="00EF7938" w:rsidRPr="007D7BF1" w:rsidRDefault="00EF7938" w:rsidP="009E2098">
      <w:pPr>
        <w:pStyle w:val="NormalWeb"/>
        <w:spacing w:before="120" w:beforeAutospacing="0" w:after="120" w:afterAutospacing="0"/>
        <w:ind w:left="450" w:hanging="450"/>
        <w:jc w:val="both"/>
        <w:rPr>
          <w:bCs/>
          <w:color w:val="000000"/>
          <w:sz w:val="22"/>
          <w:szCs w:val="22"/>
          <w:lang w:val="en-US"/>
        </w:rPr>
      </w:pPr>
      <w:r w:rsidRPr="007D7BF1">
        <w:rPr>
          <w:bCs/>
          <w:color w:val="000000"/>
          <w:sz w:val="22"/>
          <w:szCs w:val="22"/>
          <w:lang w:val="en-US"/>
        </w:rPr>
        <w:t>Manning, W. G.</w:t>
      </w:r>
      <w:r w:rsidR="005C2963">
        <w:rPr>
          <w:bCs/>
          <w:color w:val="000000"/>
          <w:sz w:val="22"/>
          <w:szCs w:val="22"/>
          <w:lang w:val="en-US"/>
        </w:rPr>
        <w:t xml:space="preserve"> (</w:t>
      </w:r>
      <w:r w:rsidRPr="007D7BF1">
        <w:rPr>
          <w:bCs/>
          <w:color w:val="000000"/>
          <w:sz w:val="22"/>
          <w:szCs w:val="22"/>
          <w:lang w:val="en-US"/>
        </w:rPr>
        <w:t>1998</w:t>
      </w:r>
      <w:r w:rsidR="005C2963">
        <w:rPr>
          <w:bCs/>
          <w:color w:val="000000"/>
          <w:sz w:val="22"/>
          <w:szCs w:val="22"/>
          <w:lang w:val="en-US"/>
        </w:rPr>
        <w:t>)</w:t>
      </w:r>
      <w:r w:rsidRPr="007D7BF1">
        <w:rPr>
          <w:bCs/>
          <w:color w:val="000000"/>
          <w:sz w:val="22"/>
          <w:szCs w:val="22"/>
          <w:lang w:val="en-US"/>
        </w:rPr>
        <w:t xml:space="preserve">. </w:t>
      </w:r>
      <w:r w:rsidR="005C2963">
        <w:rPr>
          <w:bCs/>
          <w:color w:val="000000"/>
          <w:sz w:val="22"/>
          <w:szCs w:val="22"/>
          <w:lang w:val="en-US"/>
        </w:rPr>
        <w:t>‘</w:t>
      </w:r>
      <w:r w:rsidRPr="007D7BF1">
        <w:rPr>
          <w:bCs/>
          <w:color w:val="000000"/>
          <w:sz w:val="22"/>
          <w:szCs w:val="22"/>
          <w:lang w:val="en-US"/>
        </w:rPr>
        <w:t>The logged dependent variable, heteroscedasticity, and the retransformation problem</w:t>
      </w:r>
      <w:r w:rsidR="005C2963">
        <w:rPr>
          <w:bCs/>
          <w:color w:val="000000"/>
          <w:sz w:val="22"/>
          <w:szCs w:val="22"/>
          <w:lang w:val="en-US"/>
        </w:rPr>
        <w:t>’,</w:t>
      </w:r>
      <w:r w:rsidRPr="007D7BF1">
        <w:rPr>
          <w:bCs/>
          <w:color w:val="000000"/>
          <w:sz w:val="22"/>
          <w:szCs w:val="22"/>
          <w:lang w:val="en-US"/>
        </w:rPr>
        <w:t xml:space="preserve"> </w:t>
      </w:r>
      <w:r w:rsidRPr="005C2963">
        <w:rPr>
          <w:bCs/>
          <w:i/>
          <w:color w:val="000000"/>
          <w:sz w:val="22"/>
          <w:szCs w:val="22"/>
          <w:lang w:val="en-US"/>
        </w:rPr>
        <w:t>Journal of Health Economics</w:t>
      </w:r>
      <w:r w:rsidR="005C2963">
        <w:rPr>
          <w:bCs/>
          <w:color w:val="000000"/>
          <w:sz w:val="22"/>
          <w:szCs w:val="22"/>
          <w:lang w:val="en-US"/>
        </w:rPr>
        <w:t>, Vol.</w:t>
      </w:r>
      <w:r w:rsidRPr="007D7BF1">
        <w:rPr>
          <w:bCs/>
          <w:color w:val="000000"/>
          <w:sz w:val="22"/>
          <w:szCs w:val="22"/>
          <w:lang w:val="en-US"/>
        </w:rPr>
        <w:t xml:space="preserve"> 17 (3), 283-295.</w:t>
      </w:r>
    </w:p>
    <w:p w14:paraId="7ED2012A" w14:textId="4652E75D" w:rsidR="00EF7938" w:rsidRPr="007D7BF1" w:rsidRDefault="005C2963" w:rsidP="009E2098">
      <w:pPr>
        <w:pStyle w:val="NormalWeb"/>
        <w:spacing w:before="120" w:beforeAutospacing="0" w:after="120" w:afterAutospacing="0"/>
        <w:ind w:left="450" w:hanging="450"/>
        <w:jc w:val="both"/>
        <w:rPr>
          <w:bCs/>
          <w:color w:val="000000"/>
          <w:sz w:val="22"/>
          <w:szCs w:val="22"/>
          <w:lang w:val="en-US"/>
        </w:rPr>
      </w:pPr>
      <w:r>
        <w:rPr>
          <w:bCs/>
          <w:color w:val="000000"/>
          <w:sz w:val="22"/>
          <w:szCs w:val="22"/>
          <w:lang w:val="en-US"/>
        </w:rPr>
        <w:t xml:space="preserve">Mason, K. and </w:t>
      </w:r>
      <w:proofErr w:type="gramStart"/>
      <w:r>
        <w:rPr>
          <w:bCs/>
          <w:color w:val="000000"/>
          <w:sz w:val="22"/>
          <w:szCs w:val="22"/>
          <w:lang w:val="en-US"/>
        </w:rPr>
        <w:t>Spring</w:t>
      </w:r>
      <w:proofErr w:type="gramEnd"/>
      <w:r>
        <w:rPr>
          <w:bCs/>
          <w:color w:val="000000"/>
          <w:sz w:val="22"/>
          <w:szCs w:val="22"/>
          <w:lang w:val="en-US"/>
        </w:rPr>
        <w:t>, M. (</w:t>
      </w:r>
      <w:r w:rsidR="00EF7938" w:rsidRPr="007D7BF1">
        <w:rPr>
          <w:bCs/>
          <w:color w:val="000000"/>
          <w:sz w:val="22"/>
          <w:szCs w:val="22"/>
          <w:lang w:val="en-US"/>
        </w:rPr>
        <w:t>2011</w:t>
      </w:r>
      <w:r>
        <w:rPr>
          <w:bCs/>
          <w:color w:val="000000"/>
          <w:sz w:val="22"/>
          <w:szCs w:val="22"/>
          <w:lang w:val="en-US"/>
        </w:rPr>
        <w:t>)</w:t>
      </w:r>
      <w:r w:rsidR="00EF7938" w:rsidRPr="007D7BF1">
        <w:rPr>
          <w:bCs/>
          <w:color w:val="000000"/>
          <w:sz w:val="22"/>
          <w:szCs w:val="22"/>
          <w:lang w:val="en-US"/>
        </w:rPr>
        <w:t xml:space="preserve">. </w:t>
      </w:r>
      <w:r>
        <w:rPr>
          <w:bCs/>
          <w:color w:val="000000"/>
          <w:sz w:val="22"/>
          <w:szCs w:val="22"/>
          <w:lang w:val="en-US"/>
        </w:rPr>
        <w:t>‘</w:t>
      </w:r>
      <w:r w:rsidR="00EF7938" w:rsidRPr="007D7BF1">
        <w:rPr>
          <w:bCs/>
          <w:color w:val="000000"/>
          <w:sz w:val="22"/>
          <w:szCs w:val="22"/>
          <w:lang w:val="en-US"/>
        </w:rPr>
        <w:t>The sites and practices of business models</w:t>
      </w:r>
      <w:r>
        <w:rPr>
          <w:bCs/>
          <w:color w:val="000000"/>
          <w:sz w:val="22"/>
          <w:szCs w:val="22"/>
          <w:lang w:val="en-US"/>
        </w:rPr>
        <w:t xml:space="preserve">’, </w:t>
      </w:r>
      <w:r w:rsidR="00EF7938" w:rsidRPr="005C2963">
        <w:rPr>
          <w:bCs/>
          <w:i/>
          <w:color w:val="000000"/>
          <w:sz w:val="22"/>
          <w:szCs w:val="22"/>
          <w:lang w:val="en-US"/>
        </w:rPr>
        <w:t>Industrial Marketing Management</w:t>
      </w:r>
      <w:r>
        <w:rPr>
          <w:bCs/>
          <w:color w:val="000000"/>
          <w:sz w:val="22"/>
          <w:szCs w:val="22"/>
          <w:lang w:val="en-US"/>
        </w:rPr>
        <w:t>, Vol.</w:t>
      </w:r>
      <w:r w:rsidR="00EF7938" w:rsidRPr="007D7BF1">
        <w:rPr>
          <w:bCs/>
          <w:color w:val="000000"/>
          <w:sz w:val="22"/>
          <w:szCs w:val="22"/>
          <w:lang w:val="en-US"/>
        </w:rPr>
        <w:t xml:space="preserve"> 40 (6), 1032-1041.</w:t>
      </w:r>
    </w:p>
    <w:p w14:paraId="5983B4D2" w14:textId="08342567" w:rsidR="00EF7938" w:rsidRPr="007D7BF1" w:rsidRDefault="00EF7938" w:rsidP="009E2098">
      <w:pPr>
        <w:pStyle w:val="NormalWeb"/>
        <w:spacing w:before="120" w:beforeAutospacing="0" w:after="120" w:afterAutospacing="0"/>
        <w:ind w:left="450" w:hanging="450"/>
        <w:jc w:val="both"/>
        <w:rPr>
          <w:bCs/>
          <w:color w:val="000000"/>
          <w:sz w:val="22"/>
          <w:szCs w:val="22"/>
          <w:lang w:val="en-GB"/>
        </w:rPr>
      </w:pPr>
      <w:r w:rsidRPr="007D7BF1">
        <w:rPr>
          <w:bCs/>
          <w:color w:val="000000"/>
          <w:sz w:val="22"/>
          <w:szCs w:val="22"/>
          <w:lang w:val="en-US"/>
        </w:rPr>
        <w:t xml:space="preserve">McCray, J.P., </w:t>
      </w:r>
      <w:r w:rsidR="005C2963">
        <w:rPr>
          <w:bCs/>
          <w:color w:val="000000"/>
          <w:sz w:val="22"/>
          <w:szCs w:val="22"/>
          <w:lang w:val="en-US"/>
        </w:rPr>
        <w:t>Gonzalez, J.J. and Darling, J.R. (</w:t>
      </w:r>
      <w:r w:rsidRPr="007D7BF1">
        <w:rPr>
          <w:bCs/>
          <w:color w:val="000000"/>
          <w:sz w:val="22"/>
          <w:szCs w:val="22"/>
          <w:lang w:val="en-US"/>
        </w:rPr>
        <w:t>2011</w:t>
      </w:r>
      <w:r w:rsidR="005C2963">
        <w:rPr>
          <w:bCs/>
          <w:color w:val="000000"/>
          <w:sz w:val="22"/>
          <w:szCs w:val="22"/>
          <w:lang w:val="en-US"/>
        </w:rPr>
        <w:t>)</w:t>
      </w:r>
      <w:r w:rsidRPr="007D7BF1">
        <w:rPr>
          <w:bCs/>
          <w:color w:val="000000"/>
          <w:sz w:val="22"/>
          <w:szCs w:val="22"/>
          <w:lang w:val="en-US"/>
        </w:rPr>
        <w:t xml:space="preserve">. </w:t>
      </w:r>
      <w:r w:rsidR="005C2963">
        <w:rPr>
          <w:bCs/>
          <w:color w:val="000000"/>
          <w:sz w:val="22"/>
          <w:szCs w:val="22"/>
          <w:lang w:val="en-US"/>
        </w:rPr>
        <w:t>‘</w:t>
      </w:r>
      <w:r w:rsidRPr="007D7BF1">
        <w:rPr>
          <w:bCs/>
          <w:color w:val="000000"/>
          <w:sz w:val="22"/>
          <w:szCs w:val="22"/>
          <w:lang w:val="en-US"/>
        </w:rPr>
        <w:t>Crisis management in smart phones: the case of Nokia vs Apple</w:t>
      </w:r>
      <w:r w:rsidR="005C2963">
        <w:rPr>
          <w:bCs/>
          <w:color w:val="000000"/>
          <w:sz w:val="22"/>
          <w:szCs w:val="22"/>
          <w:lang w:val="en-US"/>
        </w:rPr>
        <w:t>’,</w:t>
      </w:r>
      <w:r w:rsidRPr="007D7BF1">
        <w:rPr>
          <w:bCs/>
          <w:color w:val="000000"/>
          <w:sz w:val="22"/>
          <w:szCs w:val="22"/>
          <w:lang w:val="en-US"/>
        </w:rPr>
        <w:t xml:space="preserve"> </w:t>
      </w:r>
      <w:r w:rsidRPr="005C2963">
        <w:rPr>
          <w:bCs/>
          <w:i/>
          <w:iCs/>
          <w:color w:val="000000"/>
          <w:sz w:val="22"/>
          <w:szCs w:val="22"/>
          <w:lang w:val="en-US"/>
        </w:rPr>
        <w:t>European Business Review</w:t>
      </w:r>
      <w:r w:rsidR="005C2963">
        <w:rPr>
          <w:bCs/>
          <w:iCs/>
          <w:color w:val="000000"/>
          <w:sz w:val="22"/>
          <w:szCs w:val="22"/>
          <w:lang w:val="en-US"/>
        </w:rPr>
        <w:t>, Vol.</w:t>
      </w:r>
      <w:r w:rsidRPr="007D7BF1">
        <w:rPr>
          <w:bCs/>
          <w:color w:val="000000"/>
          <w:sz w:val="22"/>
          <w:szCs w:val="22"/>
          <w:lang w:val="en-US"/>
        </w:rPr>
        <w:t xml:space="preserve"> </w:t>
      </w:r>
      <w:r w:rsidRPr="007D7BF1">
        <w:rPr>
          <w:bCs/>
          <w:iCs/>
          <w:color w:val="000000"/>
          <w:sz w:val="22"/>
          <w:szCs w:val="22"/>
          <w:lang w:val="en-US"/>
        </w:rPr>
        <w:t xml:space="preserve">23 </w:t>
      </w:r>
      <w:r w:rsidRPr="007D7BF1">
        <w:rPr>
          <w:bCs/>
          <w:color w:val="000000"/>
          <w:sz w:val="22"/>
          <w:szCs w:val="22"/>
          <w:lang w:val="en-US"/>
        </w:rPr>
        <w:t>(3), 240</w:t>
      </w:r>
      <w:r w:rsidRPr="007D7BF1">
        <w:rPr>
          <w:color w:val="000000"/>
          <w:sz w:val="22"/>
          <w:szCs w:val="22"/>
          <w:lang w:val="en-US" w:eastAsia="en-GB"/>
        </w:rPr>
        <w:t>-</w:t>
      </w:r>
      <w:r w:rsidRPr="007D7BF1">
        <w:rPr>
          <w:bCs/>
          <w:color w:val="000000"/>
          <w:sz w:val="22"/>
          <w:szCs w:val="22"/>
          <w:lang w:val="en-US"/>
        </w:rPr>
        <w:t>255.</w:t>
      </w:r>
      <w:r w:rsidRPr="007D7BF1">
        <w:rPr>
          <w:bCs/>
          <w:color w:val="000000"/>
          <w:sz w:val="22"/>
          <w:szCs w:val="22"/>
          <w:lang w:val="en-GB"/>
        </w:rPr>
        <w:t xml:space="preserve"> </w:t>
      </w:r>
    </w:p>
    <w:p w14:paraId="2CBCD334" w14:textId="38378679" w:rsidR="00EF7938" w:rsidRPr="007D7BF1" w:rsidRDefault="00EF7938" w:rsidP="009E2098">
      <w:pPr>
        <w:pStyle w:val="NormalWeb"/>
        <w:spacing w:before="120" w:beforeAutospacing="0" w:after="120" w:afterAutospacing="0"/>
        <w:ind w:left="450" w:hanging="450"/>
        <w:jc w:val="both"/>
        <w:rPr>
          <w:bCs/>
          <w:color w:val="000000"/>
          <w:sz w:val="22"/>
          <w:szCs w:val="22"/>
          <w:lang w:val="en-US"/>
        </w:rPr>
      </w:pPr>
      <w:r w:rsidRPr="007D7BF1">
        <w:rPr>
          <w:bCs/>
          <w:color w:val="000000"/>
          <w:sz w:val="22"/>
          <w:szCs w:val="22"/>
          <w:lang w:val="en-US"/>
        </w:rPr>
        <w:t xml:space="preserve">McDonald, E. </w:t>
      </w:r>
      <w:r w:rsidR="00423CBC">
        <w:rPr>
          <w:bCs/>
          <w:color w:val="000000"/>
          <w:sz w:val="22"/>
          <w:szCs w:val="22"/>
          <w:lang w:val="en-US"/>
        </w:rPr>
        <w:t xml:space="preserve">K., Wilson, H., Martinez, V. and </w:t>
      </w:r>
      <w:proofErr w:type="spellStart"/>
      <w:r w:rsidRPr="007D7BF1">
        <w:rPr>
          <w:bCs/>
          <w:color w:val="000000"/>
          <w:sz w:val="22"/>
          <w:szCs w:val="22"/>
          <w:lang w:val="en-US"/>
        </w:rPr>
        <w:t>Toosi</w:t>
      </w:r>
      <w:proofErr w:type="spellEnd"/>
      <w:r w:rsidRPr="007D7BF1">
        <w:rPr>
          <w:bCs/>
          <w:color w:val="000000"/>
          <w:sz w:val="22"/>
          <w:szCs w:val="22"/>
          <w:lang w:val="en-US"/>
        </w:rPr>
        <w:t>, A.</w:t>
      </w:r>
      <w:r w:rsidR="00423CBC">
        <w:rPr>
          <w:bCs/>
          <w:color w:val="000000"/>
          <w:sz w:val="22"/>
          <w:szCs w:val="22"/>
          <w:lang w:val="en-US"/>
        </w:rPr>
        <w:t xml:space="preserve"> (</w:t>
      </w:r>
      <w:r w:rsidRPr="007D7BF1">
        <w:rPr>
          <w:bCs/>
          <w:color w:val="000000"/>
          <w:sz w:val="22"/>
          <w:szCs w:val="22"/>
          <w:lang w:val="en-US"/>
        </w:rPr>
        <w:t>2011</w:t>
      </w:r>
      <w:r w:rsidR="00423CBC">
        <w:rPr>
          <w:bCs/>
          <w:color w:val="000000"/>
          <w:sz w:val="22"/>
          <w:szCs w:val="22"/>
          <w:lang w:val="en-US"/>
        </w:rPr>
        <w:t>)</w:t>
      </w:r>
      <w:r w:rsidRPr="007D7BF1">
        <w:rPr>
          <w:bCs/>
          <w:color w:val="000000"/>
          <w:sz w:val="22"/>
          <w:szCs w:val="22"/>
          <w:lang w:val="en-US"/>
        </w:rPr>
        <w:t xml:space="preserve">. </w:t>
      </w:r>
      <w:r w:rsidR="00423CBC">
        <w:rPr>
          <w:bCs/>
          <w:color w:val="000000"/>
          <w:sz w:val="22"/>
          <w:szCs w:val="22"/>
          <w:lang w:val="en-US"/>
        </w:rPr>
        <w:t>‘</w:t>
      </w:r>
      <w:r w:rsidRPr="007D7BF1">
        <w:rPr>
          <w:bCs/>
          <w:color w:val="000000"/>
          <w:sz w:val="22"/>
          <w:szCs w:val="22"/>
          <w:lang w:val="en-US"/>
        </w:rPr>
        <w:t>Assessing value-in-use: a conceptual framework and exploratory study</w:t>
      </w:r>
      <w:r w:rsidR="00423CBC">
        <w:rPr>
          <w:bCs/>
          <w:color w:val="000000"/>
          <w:sz w:val="22"/>
          <w:szCs w:val="22"/>
          <w:lang w:val="en-US"/>
        </w:rPr>
        <w:t>’,</w:t>
      </w:r>
      <w:r w:rsidRPr="007D7BF1">
        <w:rPr>
          <w:bCs/>
          <w:color w:val="000000"/>
          <w:sz w:val="22"/>
          <w:szCs w:val="22"/>
          <w:lang w:val="en-US"/>
        </w:rPr>
        <w:t xml:space="preserve"> </w:t>
      </w:r>
      <w:r w:rsidRPr="002F28F1">
        <w:rPr>
          <w:bCs/>
          <w:i/>
          <w:color w:val="000000"/>
          <w:sz w:val="22"/>
          <w:szCs w:val="22"/>
          <w:lang w:val="en-US"/>
        </w:rPr>
        <w:t>Industrial Marketing Management</w:t>
      </w:r>
      <w:r w:rsidR="00423CBC">
        <w:rPr>
          <w:bCs/>
          <w:color w:val="000000"/>
          <w:sz w:val="22"/>
          <w:szCs w:val="22"/>
          <w:lang w:val="en-US"/>
        </w:rPr>
        <w:t>, Vol.</w:t>
      </w:r>
      <w:r w:rsidRPr="007D7BF1">
        <w:rPr>
          <w:bCs/>
          <w:color w:val="000000"/>
          <w:sz w:val="22"/>
          <w:szCs w:val="22"/>
          <w:lang w:val="en-US"/>
        </w:rPr>
        <w:t xml:space="preserve"> 40 (5), 671-682.</w:t>
      </w:r>
    </w:p>
    <w:p w14:paraId="62FF2F7B" w14:textId="1AA7934D" w:rsidR="00EF7938" w:rsidRPr="007D7BF1" w:rsidRDefault="00F67B17" w:rsidP="009E2098">
      <w:pPr>
        <w:pStyle w:val="NormalWeb"/>
        <w:spacing w:before="120" w:beforeAutospacing="0" w:after="120" w:afterAutospacing="0"/>
        <w:ind w:left="450" w:hanging="450"/>
        <w:jc w:val="both"/>
        <w:rPr>
          <w:bCs/>
          <w:color w:val="000000"/>
          <w:sz w:val="22"/>
          <w:szCs w:val="22"/>
          <w:lang w:val="en-GB"/>
        </w:rPr>
      </w:pPr>
      <w:r>
        <w:rPr>
          <w:bCs/>
          <w:color w:val="000000"/>
          <w:sz w:val="22"/>
          <w:szCs w:val="22"/>
          <w:lang w:val="en-GB"/>
        </w:rPr>
        <w:t>McGrath, R.G. (</w:t>
      </w:r>
      <w:r w:rsidR="00EF7938" w:rsidRPr="007D7BF1">
        <w:rPr>
          <w:bCs/>
          <w:color w:val="000000"/>
          <w:sz w:val="22"/>
          <w:szCs w:val="22"/>
          <w:lang w:val="en-GB"/>
        </w:rPr>
        <w:t>2010</w:t>
      </w:r>
      <w:r>
        <w:rPr>
          <w:bCs/>
          <w:color w:val="000000"/>
          <w:sz w:val="22"/>
          <w:szCs w:val="22"/>
          <w:lang w:val="en-GB"/>
        </w:rPr>
        <w:t>)</w:t>
      </w:r>
      <w:r w:rsidR="00EF7938" w:rsidRPr="007D7BF1">
        <w:rPr>
          <w:bCs/>
          <w:color w:val="000000"/>
          <w:sz w:val="22"/>
          <w:szCs w:val="22"/>
          <w:lang w:val="en-GB"/>
        </w:rPr>
        <w:t xml:space="preserve">. </w:t>
      </w:r>
      <w:r>
        <w:rPr>
          <w:bCs/>
          <w:color w:val="000000"/>
          <w:sz w:val="22"/>
          <w:szCs w:val="22"/>
          <w:lang w:val="en-GB"/>
        </w:rPr>
        <w:t>‘</w:t>
      </w:r>
      <w:r w:rsidR="00EF7938" w:rsidRPr="007D7BF1">
        <w:rPr>
          <w:bCs/>
          <w:color w:val="000000"/>
          <w:sz w:val="22"/>
          <w:szCs w:val="22"/>
          <w:lang w:val="en-GB"/>
        </w:rPr>
        <w:t>Business mode</w:t>
      </w:r>
      <w:r>
        <w:rPr>
          <w:bCs/>
          <w:color w:val="000000"/>
          <w:sz w:val="22"/>
          <w:szCs w:val="22"/>
          <w:lang w:val="en-GB"/>
        </w:rPr>
        <w:t>ls: a discovery driven approach’,</w:t>
      </w:r>
      <w:r w:rsidR="00EF7938" w:rsidRPr="007D7BF1">
        <w:rPr>
          <w:bCs/>
          <w:color w:val="000000"/>
          <w:sz w:val="22"/>
          <w:szCs w:val="22"/>
          <w:lang w:val="en-GB"/>
        </w:rPr>
        <w:t xml:space="preserve"> </w:t>
      </w:r>
      <w:r w:rsidR="00EF7938" w:rsidRPr="00F67B17">
        <w:rPr>
          <w:bCs/>
          <w:i/>
          <w:color w:val="000000"/>
          <w:sz w:val="22"/>
          <w:szCs w:val="22"/>
          <w:lang w:val="en-GB"/>
        </w:rPr>
        <w:t>Long Range Planning</w:t>
      </w:r>
      <w:r>
        <w:rPr>
          <w:bCs/>
          <w:color w:val="000000"/>
          <w:sz w:val="22"/>
          <w:szCs w:val="22"/>
          <w:lang w:val="en-GB"/>
        </w:rPr>
        <w:t>, Vol.</w:t>
      </w:r>
      <w:r w:rsidR="00EF7938" w:rsidRPr="007D7BF1">
        <w:rPr>
          <w:bCs/>
          <w:color w:val="000000"/>
          <w:sz w:val="22"/>
          <w:szCs w:val="22"/>
          <w:lang w:val="en-GB"/>
        </w:rPr>
        <w:t xml:space="preserve"> 43 (2), 247</w:t>
      </w:r>
      <w:r w:rsidR="00EF7938" w:rsidRPr="007D7BF1">
        <w:rPr>
          <w:color w:val="000000"/>
          <w:sz w:val="22"/>
          <w:szCs w:val="22"/>
          <w:lang w:val="en-US" w:eastAsia="en-GB"/>
        </w:rPr>
        <w:t>-</w:t>
      </w:r>
      <w:r w:rsidR="00EF7938" w:rsidRPr="007D7BF1">
        <w:rPr>
          <w:bCs/>
          <w:color w:val="000000"/>
          <w:sz w:val="22"/>
          <w:szCs w:val="22"/>
          <w:lang w:val="en-GB"/>
        </w:rPr>
        <w:t>261.</w:t>
      </w:r>
    </w:p>
    <w:p w14:paraId="72CD675C" w14:textId="0CB16EB2" w:rsidR="00EF7938" w:rsidRPr="007D7BF1" w:rsidRDefault="00EF7938" w:rsidP="009E2098">
      <w:pPr>
        <w:pStyle w:val="NormalWeb"/>
        <w:spacing w:before="120" w:beforeAutospacing="0" w:after="120" w:afterAutospacing="0"/>
        <w:ind w:left="450" w:hanging="450"/>
        <w:jc w:val="both"/>
        <w:rPr>
          <w:bCs/>
          <w:color w:val="000000"/>
          <w:sz w:val="22"/>
          <w:szCs w:val="22"/>
          <w:lang w:val="en-GB"/>
        </w:rPr>
      </w:pPr>
      <w:proofErr w:type="spellStart"/>
      <w:r w:rsidRPr="00D8527F">
        <w:rPr>
          <w:bCs/>
          <w:color w:val="000000"/>
          <w:sz w:val="22"/>
          <w:szCs w:val="22"/>
          <w:lang w:val="en-GB"/>
        </w:rPr>
        <w:t>Myrthianos</w:t>
      </w:r>
      <w:proofErr w:type="spellEnd"/>
      <w:r w:rsidRPr="00D8527F">
        <w:rPr>
          <w:bCs/>
          <w:color w:val="000000"/>
          <w:sz w:val="22"/>
          <w:szCs w:val="22"/>
          <w:lang w:val="en-GB"/>
        </w:rPr>
        <w:t>, V., Vendrell-Herrero</w:t>
      </w:r>
      <w:r w:rsidR="00D8527F" w:rsidRPr="00D8527F">
        <w:rPr>
          <w:bCs/>
          <w:color w:val="000000"/>
          <w:sz w:val="22"/>
          <w:szCs w:val="22"/>
          <w:lang w:val="en-GB"/>
        </w:rPr>
        <w:t xml:space="preserve">, F., Parry, G. and </w:t>
      </w:r>
      <w:r w:rsidRPr="00D8527F">
        <w:rPr>
          <w:bCs/>
          <w:color w:val="000000"/>
          <w:sz w:val="22"/>
          <w:szCs w:val="22"/>
          <w:lang w:val="en-GB"/>
        </w:rPr>
        <w:t>Bustinza, O.F</w:t>
      </w:r>
      <w:r w:rsidR="00D8527F" w:rsidRPr="00D8527F">
        <w:rPr>
          <w:bCs/>
          <w:color w:val="000000"/>
          <w:sz w:val="22"/>
          <w:szCs w:val="22"/>
          <w:lang w:val="en-GB"/>
        </w:rPr>
        <w:t>. (</w:t>
      </w:r>
      <w:r w:rsidRPr="00D8527F">
        <w:rPr>
          <w:bCs/>
          <w:color w:val="000000"/>
          <w:sz w:val="22"/>
          <w:szCs w:val="22"/>
          <w:lang w:val="en-GB"/>
        </w:rPr>
        <w:t>2014</w:t>
      </w:r>
      <w:r w:rsidR="00D8527F" w:rsidRPr="00D8527F">
        <w:rPr>
          <w:bCs/>
          <w:color w:val="000000"/>
          <w:sz w:val="22"/>
          <w:szCs w:val="22"/>
          <w:lang w:val="en-GB"/>
        </w:rPr>
        <w:t>)</w:t>
      </w:r>
      <w:r w:rsidRPr="00D8527F">
        <w:rPr>
          <w:bCs/>
          <w:color w:val="000000"/>
          <w:sz w:val="22"/>
          <w:szCs w:val="22"/>
          <w:lang w:val="en-GB"/>
        </w:rPr>
        <w:t xml:space="preserve">. </w:t>
      </w:r>
      <w:r w:rsidR="00D8527F" w:rsidRPr="00D8527F">
        <w:rPr>
          <w:bCs/>
          <w:color w:val="000000"/>
          <w:sz w:val="22"/>
          <w:szCs w:val="22"/>
          <w:lang w:val="en-GB"/>
        </w:rPr>
        <w:t>‘</w:t>
      </w:r>
      <w:r w:rsidRPr="007D7BF1">
        <w:rPr>
          <w:bCs/>
          <w:color w:val="000000"/>
          <w:sz w:val="22"/>
          <w:szCs w:val="22"/>
          <w:lang w:val="en-GB"/>
        </w:rPr>
        <w:t xml:space="preserve">Evaluating firm profitability during the </w:t>
      </w:r>
      <w:proofErr w:type="spellStart"/>
      <w:r w:rsidRPr="007D7BF1">
        <w:rPr>
          <w:bCs/>
          <w:color w:val="000000"/>
          <w:sz w:val="22"/>
          <w:szCs w:val="22"/>
          <w:lang w:val="en-GB"/>
        </w:rPr>
        <w:t>servitization</w:t>
      </w:r>
      <w:proofErr w:type="spellEnd"/>
      <w:r w:rsidRPr="007D7BF1">
        <w:rPr>
          <w:bCs/>
          <w:color w:val="000000"/>
          <w:sz w:val="22"/>
          <w:szCs w:val="22"/>
          <w:lang w:val="en-GB"/>
        </w:rPr>
        <w:t xml:space="preserve"> process of the music industry</w:t>
      </w:r>
      <w:r w:rsidR="00D8527F">
        <w:rPr>
          <w:bCs/>
          <w:color w:val="000000"/>
          <w:sz w:val="22"/>
          <w:szCs w:val="22"/>
          <w:lang w:val="en-GB"/>
        </w:rPr>
        <w:t>’,</w:t>
      </w:r>
      <w:r w:rsidRPr="007D7BF1">
        <w:rPr>
          <w:bCs/>
          <w:color w:val="000000"/>
          <w:sz w:val="22"/>
          <w:szCs w:val="22"/>
          <w:lang w:val="en-GB"/>
        </w:rPr>
        <w:t xml:space="preserve"> </w:t>
      </w:r>
      <w:r w:rsidRPr="00D8527F">
        <w:rPr>
          <w:bCs/>
          <w:i/>
          <w:color w:val="000000"/>
          <w:sz w:val="22"/>
          <w:szCs w:val="22"/>
          <w:lang w:val="en-GB"/>
        </w:rPr>
        <w:t>Strategic Change</w:t>
      </w:r>
      <w:r w:rsidR="00D8527F">
        <w:rPr>
          <w:bCs/>
          <w:color w:val="000000"/>
          <w:sz w:val="22"/>
          <w:szCs w:val="22"/>
          <w:lang w:val="en-GB"/>
        </w:rPr>
        <w:t>, Vol.</w:t>
      </w:r>
      <w:r w:rsidRPr="007D7BF1">
        <w:rPr>
          <w:bCs/>
          <w:color w:val="000000"/>
          <w:sz w:val="22"/>
          <w:szCs w:val="22"/>
          <w:lang w:val="en-GB"/>
        </w:rPr>
        <w:t xml:space="preserve"> 23 (5-6), 317-328.</w:t>
      </w:r>
    </w:p>
    <w:p w14:paraId="4D0320EB" w14:textId="34FE364F" w:rsidR="00EF7938" w:rsidRPr="007D7BF1" w:rsidRDefault="00D8527F" w:rsidP="009E2098">
      <w:pPr>
        <w:pStyle w:val="NormalWeb"/>
        <w:spacing w:before="120" w:beforeAutospacing="0" w:after="120" w:afterAutospacing="0"/>
        <w:ind w:left="450" w:hanging="450"/>
        <w:jc w:val="both"/>
        <w:rPr>
          <w:bCs/>
          <w:color w:val="000000"/>
          <w:sz w:val="22"/>
          <w:szCs w:val="22"/>
          <w:lang w:val="en-US"/>
        </w:rPr>
      </w:pPr>
      <w:proofErr w:type="spellStart"/>
      <w:r>
        <w:rPr>
          <w:bCs/>
          <w:color w:val="000000"/>
          <w:sz w:val="22"/>
          <w:szCs w:val="22"/>
          <w:lang w:val="en-US"/>
        </w:rPr>
        <w:t>Nicolini</w:t>
      </w:r>
      <w:proofErr w:type="spellEnd"/>
      <w:r>
        <w:rPr>
          <w:bCs/>
          <w:color w:val="000000"/>
          <w:sz w:val="22"/>
          <w:szCs w:val="22"/>
          <w:lang w:val="en-US"/>
        </w:rPr>
        <w:t>, D. (</w:t>
      </w:r>
      <w:r w:rsidR="00EF7938" w:rsidRPr="007D7BF1">
        <w:rPr>
          <w:bCs/>
          <w:color w:val="000000"/>
          <w:sz w:val="22"/>
          <w:szCs w:val="22"/>
          <w:lang w:val="en-US"/>
        </w:rPr>
        <w:t>2009</w:t>
      </w:r>
      <w:r>
        <w:rPr>
          <w:bCs/>
          <w:color w:val="000000"/>
          <w:sz w:val="22"/>
          <w:szCs w:val="22"/>
          <w:lang w:val="en-US"/>
        </w:rPr>
        <w:t>)</w:t>
      </w:r>
      <w:r w:rsidR="00EF7938" w:rsidRPr="007D7BF1">
        <w:rPr>
          <w:bCs/>
          <w:color w:val="000000"/>
          <w:sz w:val="22"/>
          <w:szCs w:val="22"/>
          <w:lang w:val="en-US"/>
        </w:rPr>
        <w:t xml:space="preserve">. </w:t>
      </w:r>
      <w:r>
        <w:rPr>
          <w:bCs/>
          <w:color w:val="000000"/>
          <w:sz w:val="22"/>
          <w:szCs w:val="22"/>
          <w:lang w:val="en-US"/>
        </w:rPr>
        <w:t>‘</w:t>
      </w:r>
      <w:r w:rsidR="00EF7938" w:rsidRPr="007D7BF1">
        <w:rPr>
          <w:bCs/>
          <w:color w:val="000000"/>
          <w:sz w:val="22"/>
          <w:szCs w:val="22"/>
          <w:lang w:val="en-US"/>
        </w:rPr>
        <w:t>Zooming in and out: studying practices by switching theoretical lenses and trailing connections</w:t>
      </w:r>
      <w:r>
        <w:rPr>
          <w:bCs/>
          <w:color w:val="000000"/>
          <w:sz w:val="22"/>
          <w:szCs w:val="22"/>
          <w:lang w:val="en-US"/>
        </w:rPr>
        <w:t>’,</w:t>
      </w:r>
      <w:r w:rsidR="00EF7938" w:rsidRPr="007D7BF1">
        <w:rPr>
          <w:bCs/>
          <w:color w:val="000000"/>
          <w:sz w:val="22"/>
          <w:szCs w:val="22"/>
          <w:lang w:val="en-US"/>
        </w:rPr>
        <w:t xml:space="preserve"> </w:t>
      </w:r>
      <w:r w:rsidR="00EF7938" w:rsidRPr="00D8527F">
        <w:rPr>
          <w:bCs/>
          <w:i/>
          <w:iCs/>
          <w:color w:val="000000"/>
          <w:sz w:val="22"/>
          <w:szCs w:val="22"/>
          <w:lang w:val="en-US"/>
        </w:rPr>
        <w:t>Organization Studies</w:t>
      </w:r>
      <w:r>
        <w:rPr>
          <w:bCs/>
          <w:iCs/>
          <w:color w:val="000000"/>
          <w:sz w:val="22"/>
          <w:szCs w:val="22"/>
          <w:lang w:val="en-US"/>
        </w:rPr>
        <w:t>, Vol.</w:t>
      </w:r>
      <w:r w:rsidR="00EF7938" w:rsidRPr="007D7BF1">
        <w:rPr>
          <w:bCs/>
          <w:iCs/>
          <w:color w:val="000000"/>
          <w:sz w:val="22"/>
          <w:szCs w:val="22"/>
          <w:lang w:val="en-US"/>
        </w:rPr>
        <w:t xml:space="preserve"> </w:t>
      </w:r>
      <w:r w:rsidR="00EF7938" w:rsidRPr="007D7BF1">
        <w:rPr>
          <w:bCs/>
          <w:color w:val="000000"/>
          <w:sz w:val="22"/>
          <w:szCs w:val="22"/>
          <w:lang w:val="en-US"/>
        </w:rPr>
        <w:t>30 (12), 1391</w:t>
      </w:r>
      <w:r w:rsidR="00EF7938" w:rsidRPr="007D7BF1">
        <w:rPr>
          <w:color w:val="000000"/>
          <w:sz w:val="22"/>
          <w:szCs w:val="22"/>
          <w:lang w:val="en-US" w:eastAsia="en-GB"/>
        </w:rPr>
        <w:t>-</w:t>
      </w:r>
      <w:r w:rsidR="00EF7938" w:rsidRPr="007D7BF1">
        <w:rPr>
          <w:bCs/>
          <w:color w:val="000000"/>
          <w:sz w:val="22"/>
          <w:szCs w:val="22"/>
          <w:lang w:val="en-US"/>
        </w:rPr>
        <w:t xml:space="preserve">1418. </w:t>
      </w:r>
    </w:p>
    <w:p w14:paraId="0C12B1D0" w14:textId="3AC0B703" w:rsidR="00EF7938" w:rsidRPr="007D7BF1" w:rsidRDefault="00D8527F" w:rsidP="009E2098">
      <w:pPr>
        <w:pStyle w:val="NormalWeb"/>
        <w:spacing w:before="120" w:beforeAutospacing="0" w:after="120" w:afterAutospacing="0"/>
        <w:ind w:left="450" w:hanging="450"/>
        <w:jc w:val="both"/>
        <w:rPr>
          <w:bCs/>
          <w:color w:val="000000"/>
          <w:sz w:val="22"/>
          <w:szCs w:val="22"/>
          <w:lang w:val="en-US"/>
        </w:rPr>
      </w:pPr>
      <w:proofErr w:type="spellStart"/>
      <w:r>
        <w:rPr>
          <w:sz w:val="22"/>
          <w:szCs w:val="22"/>
          <w:lang w:val="en-GB" w:eastAsia="en-GB"/>
        </w:rPr>
        <w:t>Nokelainen</w:t>
      </w:r>
      <w:proofErr w:type="spellEnd"/>
      <w:r>
        <w:rPr>
          <w:sz w:val="22"/>
          <w:szCs w:val="22"/>
          <w:lang w:val="en-GB" w:eastAsia="en-GB"/>
        </w:rPr>
        <w:t xml:space="preserve">, T. and </w:t>
      </w:r>
      <w:proofErr w:type="spellStart"/>
      <w:r>
        <w:rPr>
          <w:sz w:val="22"/>
          <w:szCs w:val="22"/>
          <w:lang w:val="en-GB" w:eastAsia="en-GB"/>
        </w:rPr>
        <w:t>Dedehayir</w:t>
      </w:r>
      <w:proofErr w:type="spellEnd"/>
      <w:r>
        <w:rPr>
          <w:sz w:val="22"/>
          <w:szCs w:val="22"/>
          <w:lang w:val="en-GB" w:eastAsia="en-GB"/>
        </w:rPr>
        <w:t>, O. (</w:t>
      </w:r>
      <w:r w:rsidR="00EF7938" w:rsidRPr="007D7BF1">
        <w:rPr>
          <w:sz w:val="22"/>
          <w:szCs w:val="22"/>
          <w:lang w:val="en-GB" w:eastAsia="en-GB"/>
        </w:rPr>
        <w:t>2015</w:t>
      </w:r>
      <w:r>
        <w:rPr>
          <w:sz w:val="22"/>
          <w:szCs w:val="22"/>
          <w:lang w:val="en-GB" w:eastAsia="en-GB"/>
        </w:rPr>
        <w:t>)</w:t>
      </w:r>
      <w:r w:rsidR="00EF7938" w:rsidRPr="007D7BF1">
        <w:rPr>
          <w:sz w:val="22"/>
          <w:szCs w:val="22"/>
          <w:lang w:val="en-GB" w:eastAsia="en-GB"/>
        </w:rPr>
        <w:t xml:space="preserve">. </w:t>
      </w:r>
      <w:r>
        <w:rPr>
          <w:sz w:val="22"/>
          <w:szCs w:val="22"/>
          <w:lang w:val="en-GB" w:eastAsia="en-GB"/>
        </w:rPr>
        <w:t>‘</w:t>
      </w:r>
      <w:r w:rsidR="00EF7938" w:rsidRPr="007D7BF1">
        <w:rPr>
          <w:sz w:val="22"/>
          <w:szCs w:val="22"/>
          <w:lang w:val="en-GB" w:eastAsia="en-GB"/>
        </w:rPr>
        <w:t>Technological adoption and use after mass market displacement: the case of the LP record</w:t>
      </w:r>
      <w:r>
        <w:rPr>
          <w:sz w:val="22"/>
          <w:szCs w:val="22"/>
          <w:lang w:val="en-GB" w:eastAsia="en-GB"/>
        </w:rPr>
        <w:t>’,</w:t>
      </w:r>
      <w:r w:rsidR="00EF7938" w:rsidRPr="007D7BF1">
        <w:rPr>
          <w:sz w:val="22"/>
          <w:szCs w:val="22"/>
          <w:lang w:val="en-GB" w:eastAsia="en-GB"/>
        </w:rPr>
        <w:t xml:space="preserve"> </w:t>
      </w:r>
      <w:proofErr w:type="spellStart"/>
      <w:r w:rsidR="00EF7938" w:rsidRPr="00D8527F">
        <w:rPr>
          <w:i/>
          <w:iCs/>
          <w:sz w:val="22"/>
          <w:szCs w:val="22"/>
          <w:lang w:val="en-GB" w:eastAsia="en-GB"/>
        </w:rPr>
        <w:t>Technovation</w:t>
      </w:r>
      <w:proofErr w:type="spellEnd"/>
      <w:r>
        <w:rPr>
          <w:iCs/>
          <w:sz w:val="22"/>
          <w:szCs w:val="22"/>
          <w:lang w:val="en-GB" w:eastAsia="en-GB"/>
        </w:rPr>
        <w:t>, Vol.</w:t>
      </w:r>
      <w:r w:rsidR="00EF7938" w:rsidRPr="007D7BF1">
        <w:rPr>
          <w:sz w:val="22"/>
          <w:szCs w:val="22"/>
          <w:lang w:val="en-GB" w:eastAsia="en-GB"/>
        </w:rPr>
        <w:t xml:space="preserve"> </w:t>
      </w:r>
      <w:r w:rsidR="00EF7938" w:rsidRPr="007D7BF1">
        <w:rPr>
          <w:iCs/>
          <w:sz w:val="22"/>
          <w:szCs w:val="22"/>
          <w:lang w:val="en-GB" w:eastAsia="en-GB"/>
        </w:rPr>
        <w:t>36</w:t>
      </w:r>
      <w:r w:rsidR="00EF7938" w:rsidRPr="007D7BF1">
        <w:rPr>
          <w:sz w:val="22"/>
          <w:szCs w:val="22"/>
          <w:lang w:val="en-GB" w:eastAsia="en-GB"/>
        </w:rPr>
        <w:t>, 65-76.</w:t>
      </w:r>
    </w:p>
    <w:p w14:paraId="7050D104" w14:textId="77777777" w:rsidR="006C2B25" w:rsidRPr="007D7BF1" w:rsidRDefault="006C2B25" w:rsidP="009E2098">
      <w:pPr>
        <w:pStyle w:val="NormalWeb"/>
        <w:spacing w:before="120" w:beforeAutospacing="0" w:after="120" w:afterAutospacing="0"/>
        <w:ind w:left="450" w:hanging="450"/>
        <w:jc w:val="both"/>
        <w:rPr>
          <w:bCs/>
          <w:color w:val="000000"/>
          <w:sz w:val="22"/>
          <w:szCs w:val="22"/>
          <w:lang w:val="en-US"/>
        </w:rPr>
      </w:pPr>
      <w:proofErr w:type="spellStart"/>
      <w:r w:rsidRPr="00263EC6">
        <w:rPr>
          <w:bCs/>
          <w:color w:val="000000"/>
          <w:sz w:val="22"/>
          <w:szCs w:val="22"/>
          <w:lang w:val="en-GB"/>
        </w:rPr>
        <w:t>Ortin</w:t>
      </w:r>
      <w:proofErr w:type="spellEnd"/>
      <w:r w:rsidRPr="00263EC6">
        <w:rPr>
          <w:bCs/>
          <w:color w:val="000000"/>
          <w:sz w:val="22"/>
          <w:szCs w:val="22"/>
          <w:lang w:val="en-GB"/>
        </w:rPr>
        <w:t>-Angel, P. and Vendrell-Herrero, F. (2014). ‘</w:t>
      </w:r>
      <w:r w:rsidRPr="007D7BF1">
        <w:rPr>
          <w:bCs/>
          <w:color w:val="000000"/>
          <w:sz w:val="22"/>
          <w:szCs w:val="22"/>
          <w:lang w:val="en-US"/>
        </w:rPr>
        <w:t>University spin-offs vs. other NTBFs: productivity differences at the outset and evolution</w:t>
      </w:r>
      <w:r>
        <w:rPr>
          <w:bCs/>
          <w:color w:val="000000"/>
          <w:sz w:val="22"/>
          <w:szCs w:val="22"/>
          <w:lang w:val="en-US"/>
        </w:rPr>
        <w:t>’,</w:t>
      </w:r>
      <w:r w:rsidRPr="007D7BF1">
        <w:rPr>
          <w:bCs/>
          <w:color w:val="000000"/>
          <w:sz w:val="22"/>
          <w:szCs w:val="22"/>
          <w:lang w:val="en-US"/>
        </w:rPr>
        <w:t xml:space="preserve"> </w:t>
      </w:r>
      <w:proofErr w:type="spellStart"/>
      <w:r w:rsidRPr="00263EC6">
        <w:rPr>
          <w:bCs/>
          <w:i/>
          <w:color w:val="000000"/>
          <w:sz w:val="22"/>
          <w:szCs w:val="22"/>
          <w:lang w:val="en-US"/>
        </w:rPr>
        <w:t>Technovation</w:t>
      </w:r>
      <w:proofErr w:type="spellEnd"/>
      <w:r>
        <w:rPr>
          <w:bCs/>
          <w:color w:val="000000"/>
          <w:sz w:val="22"/>
          <w:szCs w:val="22"/>
          <w:lang w:val="en-US"/>
        </w:rPr>
        <w:t>, Vol.</w:t>
      </w:r>
      <w:r w:rsidRPr="007D7BF1">
        <w:rPr>
          <w:bCs/>
          <w:color w:val="000000"/>
          <w:sz w:val="22"/>
          <w:szCs w:val="22"/>
          <w:lang w:val="en-US"/>
        </w:rPr>
        <w:t xml:space="preserve"> 34 (2), 101</w:t>
      </w:r>
      <w:r w:rsidRPr="007D7BF1">
        <w:rPr>
          <w:color w:val="000000"/>
          <w:sz w:val="22"/>
          <w:szCs w:val="22"/>
          <w:lang w:val="en-US" w:eastAsia="en-GB"/>
        </w:rPr>
        <w:t>-</w:t>
      </w:r>
      <w:r w:rsidRPr="007D7BF1">
        <w:rPr>
          <w:bCs/>
          <w:color w:val="000000"/>
          <w:sz w:val="22"/>
          <w:szCs w:val="22"/>
          <w:lang w:val="en-US"/>
        </w:rPr>
        <w:t>112.</w:t>
      </w:r>
    </w:p>
    <w:p w14:paraId="676F6DED" w14:textId="77777777" w:rsidR="006C2B25" w:rsidRDefault="006C2B25" w:rsidP="009E2098">
      <w:pPr>
        <w:pStyle w:val="NormalWeb"/>
        <w:spacing w:before="120" w:beforeAutospacing="0" w:after="120" w:afterAutospacing="0"/>
        <w:ind w:left="450" w:hanging="450"/>
        <w:jc w:val="both"/>
        <w:rPr>
          <w:bCs/>
          <w:color w:val="000000"/>
          <w:sz w:val="22"/>
          <w:szCs w:val="22"/>
          <w:lang w:val="en-US"/>
        </w:rPr>
      </w:pPr>
      <w:proofErr w:type="spellStart"/>
      <w:r>
        <w:rPr>
          <w:bCs/>
          <w:color w:val="000000"/>
          <w:sz w:val="22"/>
          <w:szCs w:val="22"/>
          <w:lang w:val="en-US"/>
        </w:rPr>
        <w:t>Osterwalder</w:t>
      </w:r>
      <w:proofErr w:type="spellEnd"/>
      <w:r>
        <w:rPr>
          <w:bCs/>
          <w:color w:val="000000"/>
          <w:sz w:val="22"/>
          <w:szCs w:val="22"/>
          <w:lang w:val="en-US"/>
        </w:rPr>
        <w:t xml:space="preserve">, A. and </w:t>
      </w:r>
      <w:proofErr w:type="spellStart"/>
      <w:r>
        <w:rPr>
          <w:bCs/>
          <w:color w:val="000000"/>
          <w:sz w:val="22"/>
          <w:szCs w:val="22"/>
          <w:lang w:val="en-US"/>
        </w:rPr>
        <w:t>Pigneur</w:t>
      </w:r>
      <w:proofErr w:type="spellEnd"/>
      <w:r>
        <w:rPr>
          <w:bCs/>
          <w:color w:val="000000"/>
          <w:sz w:val="22"/>
          <w:szCs w:val="22"/>
          <w:lang w:val="en-US"/>
        </w:rPr>
        <w:t>, Y. (</w:t>
      </w:r>
      <w:r w:rsidRPr="007D7BF1">
        <w:rPr>
          <w:bCs/>
          <w:color w:val="000000"/>
          <w:sz w:val="22"/>
          <w:szCs w:val="22"/>
          <w:lang w:val="en-US"/>
        </w:rPr>
        <w:t>2010</w:t>
      </w:r>
      <w:r>
        <w:rPr>
          <w:bCs/>
          <w:color w:val="000000"/>
          <w:sz w:val="22"/>
          <w:szCs w:val="22"/>
          <w:lang w:val="en-US"/>
        </w:rPr>
        <w:t>)</w:t>
      </w:r>
      <w:r w:rsidRPr="007D7BF1">
        <w:rPr>
          <w:bCs/>
          <w:color w:val="000000"/>
          <w:sz w:val="22"/>
          <w:szCs w:val="22"/>
          <w:lang w:val="en-US"/>
        </w:rPr>
        <w:t>.</w:t>
      </w:r>
      <w:r w:rsidRPr="007D7BF1">
        <w:rPr>
          <w:bCs/>
          <w:i/>
          <w:iCs/>
          <w:color w:val="000000"/>
          <w:sz w:val="22"/>
          <w:szCs w:val="22"/>
          <w:lang w:val="en-US"/>
        </w:rPr>
        <w:t xml:space="preserve"> </w:t>
      </w:r>
      <w:r>
        <w:rPr>
          <w:bCs/>
          <w:i/>
          <w:iCs/>
          <w:color w:val="000000"/>
          <w:sz w:val="22"/>
          <w:szCs w:val="22"/>
          <w:lang w:val="en-US"/>
        </w:rPr>
        <w:t>‘</w:t>
      </w:r>
      <w:r w:rsidRPr="007D7BF1">
        <w:rPr>
          <w:bCs/>
          <w:iCs/>
          <w:color w:val="000000"/>
          <w:sz w:val="22"/>
          <w:szCs w:val="22"/>
          <w:lang w:val="en-US"/>
        </w:rPr>
        <w:t>Business Model Generation: A Handbook for Visionaries, Game Changers, and Challengers</w:t>
      </w:r>
      <w:r>
        <w:rPr>
          <w:bCs/>
          <w:iCs/>
          <w:color w:val="000000"/>
          <w:sz w:val="22"/>
          <w:szCs w:val="22"/>
          <w:lang w:val="en-US"/>
        </w:rPr>
        <w:t>’,</w:t>
      </w:r>
      <w:r w:rsidRPr="007D7BF1">
        <w:rPr>
          <w:bCs/>
          <w:iCs/>
          <w:color w:val="000000"/>
          <w:sz w:val="22"/>
          <w:szCs w:val="22"/>
          <w:lang w:val="en-US"/>
        </w:rPr>
        <w:t xml:space="preserve"> </w:t>
      </w:r>
      <w:r>
        <w:rPr>
          <w:bCs/>
          <w:color w:val="000000"/>
          <w:sz w:val="22"/>
          <w:szCs w:val="22"/>
          <w:lang w:val="en-US"/>
        </w:rPr>
        <w:t>Wiley, NY.</w:t>
      </w:r>
    </w:p>
    <w:p w14:paraId="38D91775" w14:textId="77777777" w:rsidR="006C2B25" w:rsidRPr="007D7BF1" w:rsidRDefault="006C2B25" w:rsidP="009E2098">
      <w:pPr>
        <w:pStyle w:val="NormalWeb"/>
        <w:spacing w:before="120" w:beforeAutospacing="0" w:after="120" w:afterAutospacing="0"/>
        <w:ind w:left="450" w:hanging="450"/>
        <w:jc w:val="both"/>
        <w:rPr>
          <w:bCs/>
          <w:color w:val="000000"/>
          <w:sz w:val="22"/>
          <w:szCs w:val="22"/>
          <w:lang w:val="en-US"/>
        </w:rPr>
      </w:pPr>
      <w:r w:rsidRPr="007D7BF1">
        <w:rPr>
          <w:bCs/>
          <w:color w:val="000000"/>
          <w:sz w:val="22"/>
          <w:szCs w:val="22"/>
          <w:lang w:val="en-GB"/>
        </w:rPr>
        <w:t>Parry, G., Bustinza, O.F</w:t>
      </w:r>
      <w:r>
        <w:rPr>
          <w:bCs/>
          <w:color w:val="000000"/>
          <w:sz w:val="22"/>
          <w:szCs w:val="22"/>
          <w:lang w:val="en-GB"/>
        </w:rPr>
        <w:t xml:space="preserve">. and </w:t>
      </w:r>
      <w:r w:rsidRPr="007D7BF1">
        <w:rPr>
          <w:bCs/>
          <w:color w:val="000000"/>
          <w:sz w:val="22"/>
          <w:szCs w:val="22"/>
          <w:lang w:val="en-GB"/>
        </w:rPr>
        <w:t>Vendrell-Herrero, F</w:t>
      </w:r>
      <w:r>
        <w:rPr>
          <w:bCs/>
          <w:color w:val="000000"/>
          <w:sz w:val="22"/>
          <w:szCs w:val="22"/>
          <w:lang w:val="en-GB"/>
        </w:rPr>
        <w:t>. (</w:t>
      </w:r>
      <w:r w:rsidRPr="007D7BF1">
        <w:rPr>
          <w:bCs/>
          <w:color w:val="000000"/>
          <w:sz w:val="22"/>
          <w:szCs w:val="22"/>
          <w:lang w:val="en-GB"/>
        </w:rPr>
        <w:t>2012</w:t>
      </w:r>
      <w:r>
        <w:rPr>
          <w:bCs/>
          <w:color w:val="000000"/>
          <w:sz w:val="22"/>
          <w:szCs w:val="22"/>
          <w:lang w:val="en-GB"/>
        </w:rPr>
        <w:t>)</w:t>
      </w:r>
      <w:r w:rsidRPr="007D7BF1">
        <w:rPr>
          <w:bCs/>
          <w:color w:val="000000"/>
          <w:sz w:val="22"/>
          <w:szCs w:val="22"/>
          <w:lang w:val="en-GB"/>
        </w:rPr>
        <w:t xml:space="preserve">. </w:t>
      </w:r>
      <w:r>
        <w:rPr>
          <w:bCs/>
          <w:color w:val="000000"/>
          <w:sz w:val="22"/>
          <w:szCs w:val="22"/>
          <w:lang w:val="en-GB"/>
        </w:rPr>
        <w:t>‘</w:t>
      </w:r>
      <w:proofErr w:type="spellStart"/>
      <w:r w:rsidRPr="007D7BF1">
        <w:rPr>
          <w:bCs/>
          <w:color w:val="000000"/>
          <w:sz w:val="22"/>
          <w:szCs w:val="22"/>
          <w:lang w:val="en-US"/>
        </w:rPr>
        <w:t>Servitisation</w:t>
      </w:r>
      <w:proofErr w:type="spellEnd"/>
      <w:r w:rsidRPr="007D7BF1">
        <w:rPr>
          <w:bCs/>
          <w:color w:val="000000"/>
          <w:sz w:val="22"/>
          <w:szCs w:val="22"/>
          <w:lang w:val="en-US"/>
        </w:rPr>
        <w:t xml:space="preserve"> and value co-production in the UK music industry: an empiri</w:t>
      </w:r>
      <w:r>
        <w:rPr>
          <w:bCs/>
          <w:color w:val="000000"/>
          <w:sz w:val="22"/>
          <w:szCs w:val="22"/>
          <w:lang w:val="en-US"/>
        </w:rPr>
        <w:t>cal study of consumer attitudes’,</w:t>
      </w:r>
      <w:r w:rsidRPr="007D7BF1">
        <w:rPr>
          <w:bCs/>
          <w:color w:val="000000"/>
          <w:sz w:val="22"/>
          <w:szCs w:val="22"/>
          <w:lang w:val="en-US"/>
        </w:rPr>
        <w:t xml:space="preserve"> </w:t>
      </w:r>
      <w:r w:rsidRPr="0010566A">
        <w:rPr>
          <w:bCs/>
          <w:i/>
          <w:iCs/>
          <w:color w:val="000000"/>
          <w:sz w:val="22"/>
          <w:szCs w:val="22"/>
          <w:lang w:val="en-US"/>
        </w:rPr>
        <w:t>International Journal of Production Economics</w:t>
      </w:r>
      <w:r>
        <w:rPr>
          <w:bCs/>
          <w:iCs/>
          <w:color w:val="000000"/>
          <w:sz w:val="22"/>
          <w:szCs w:val="22"/>
          <w:lang w:val="en-US"/>
        </w:rPr>
        <w:t xml:space="preserve">, Vol. </w:t>
      </w:r>
      <w:r w:rsidRPr="007D7BF1">
        <w:rPr>
          <w:bCs/>
          <w:color w:val="000000"/>
          <w:sz w:val="22"/>
          <w:szCs w:val="22"/>
          <w:lang w:val="en-US"/>
        </w:rPr>
        <w:t>135 (1), 320</w:t>
      </w:r>
      <w:r w:rsidRPr="007D7BF1">
        <w:rPr>
          <w:color w:val="000000"/>
          <w:sz w:val="22"/>
          <w:szCs w:val="22"/>
          <w:lang w:val="en-US" w:eastAsia="en-GB"/>
        </w:rPr>
        <w:t>-</w:t>
      </w:r>
      <w:r w:rsidRPr="007D7BF1">
        <w:rPr>
          <w:bCs/>
          <w:color w:val="000000"/>
          <w:sz w:val="22"/>
          <w:szCs w:val="22"/>
          <w:lang w:val="en-US"/>
        </w:rPr>
        <w:t xml:space="preserve">332. </w:t>
      </w:r>
    </w:p>
    <w:p w14:paraId="7B65AEBB" w14:textId="1508E840" w:rsidR="006C2B25" w:rsidRPr="00E013F2" w:rsidRDefault="006C2B25" w:rsidP="006C2B25">
      <w:pPr>
        <w:pStyle w:val="NormalWeb"/>
        <w:spacing w:before="120" w:after="120"/>
        <w:ind w:left="450" w:hanging="450"/>
        <w:jc w:val="both"/>
        <w:rPr>
          <w:bCs/>
          <w:sz w:val="22"/>
          <w:szCs w:val="22"/>
          <w:lang w:val="en-US"/>
        </w:rPr>
      </w:pPr>
      <w:r w:rsidRPr="00E013F2">
        <w:rPr>
          <w:bCs/>
          <w:sz w:val="22"/>
          <w:szCs w:val="22"/>
          <w:lang w:val="en-US"/>
        </w:rPr>
        <w:t>Parry, G., Pogrebna, G. and Vendrell-Herrero, F. (2018). ‘Windowing television content: Lessons for digital business models’,</w:t>
      </w:r>
      <w:r w:rsidRPr="00E013F2">
        <w:rPr>
          <w:lang w:val="en-US"/>
        </w:rPr>
        <w:t xml:space="preserve"> </w:t>
      </w:r>
      <w:r w:rsidRPr="00E013F2">
        <w:rPr>
          <w:bCs/>
          <w:i/>
          <w:sz w:val="22"/>
          <w:szCs w:val="22"/>
          <w:lang w:val="en-US"/>
        </w:rPr>
        <w:t>Strategic Change</w:t>
      </w:r>
      <w:r w:rsidRPr="00E013F2">
        <w:rPr>
          <w:bCs/>
          <w:sz w:val="22"/>
          <w:szCs w:val="22"/>
          <w:lang w:val="en-US"/>
        </w:rPr>
        <w:t xml:space="preserve">, Vol. 27:151–160. https://doi.org/10.1002/jsc.2190 [in press]. </w:t>
      </w:r>
    </w:p>
    <w:p w14:paraId="06ED23DD" w14:textId="77777777" w:rsidR="006C2B25" w:rsidRPr="007D7BF1" w:rsidRDefault="006C2B25" w:rsidP="009E2098">
      <w:pPr>
        <w:pStyle w:val="NormalWeb"/>
        <w:spacing w:before="120" w:beforeAutospacing="0" w:after="120" w:afterAutospacing="0"/>
        <w:ind w:left="450" w:hanging="450"/>
        <w:jc w:val="both"/>
        <w:rPr>
          <w:bCs/>
          <w:color w:val="000000"/>
          <w:sz w:val="22"/>
          <w:szCs w:val="22"/>
          <w:lang w:val="en-US"/>
        </w:rPr>
      </w:pPr>
      <w:r>
        <w:rPr>
          <w:bCs/>
          <w:color w:val="000000"/>
          <w:sz w:val="22"/>
          <w:szCs w:val="22"/>
          <w:lang w:val="en-US"/>
        </w:rPr>
        <w:t>Petersen, M.A. (</w:t>
      </w:r>
      <w:r w:rsidRPr="007D7BF1">
        <w:rPr>
          <w:bCs/>
          <w:color w:val="000000"/>
          <w:sz w:val="22"/>
          <w:szCs w:val="22"/>
          <w:lang w:val="en-US"/>
        </w:rPr>
        <w:t>2009</w:t>
      </w:r>
      <w:r>
        <w:rPr>
          <w:bCs/>
          <w:color w:val="000000"/>
          <w:sz w:val="22"/>
          <w:szCs w:val="22"/>
          <w:lang w:val="en-US"/>
        </w:rPr>
        <w:t>)</w:t>
      </w:r>
      <w:r w:rsidRPr="007D7BF1">
        <w:rPr>
          <w:bCs/>
          <w:color w:val="000000"/>
          <w:sz w:val="22"/>
          <w:szCs w:val="22"/>
          <w:lang w:val="en-US"/>
        </w:rPr>
        <w:t xml:space="preserve">. </w:t>
      </w:r>
      <w:r>
        <w:rPr>
          <w:bCs/>
          <w:color w:val="000000"/>
          <w:sz w:val="22"/>
          <w:szCs w:val="22"/>
          <w:lang w:val="en-US"/>
        </w:rPr>
        <w:t>‘</w:t>
      </w:r>
      <w:r w:rsidRPr="007D7BF1">
        <w:rPr>
          <w:bCs/>
          <w:color w:val="000000"/>
          <w:sz w:val="22"/>
          <w:szCs w:val="22"/>
          <w:lang w:val="en-US"/>
        </w:rPr>
        <w:t>Estimating standard errors in finance panel data sets: co</w:t>
      </w:r>
      <w:r>
        <w:rPr>
          <w:bCs/>
          <w:color w:val="000000"/>
          <w:sz w:val="22"/>
          <w:szCs w:val="22"/>
          <w:lang w:val="en-US"/>
        </w:rPr>
        <w:t>mparing approaches’,</w:t>
      </w:r>
      <w:r w:rsidRPr="007D7BF1">
        <w:rPr>
          <w:bCs/>
          <w:color w:val="000000"/>
          <w:sz w:val="22"/>
          <w:szCs w:val="22"/>
          <w:lang w:val="en-US"/>
        </w:rPr>
        <w:t xml:space="preserve"> </w:t>
      </w:r>
      <w:r w:rsidRPr="0010566A">
        <w:rPr>
          <w:bCs/>
          <w:i/>
          <w:iCs/>
          <w:color w:val="000000"/>
          <w:sz w:val="22"/>
          <w:szCs w:val="22"/>
          <w:lang w:val="en-US"/>
        </w:rPr>
        <w:t>Review of Financial Studies</w:t>
      </w:r>
      <w:r>
        <w:rPr>
          <w:bCs/>
          <w:iCs/>
          <w:color w:val="000000"/>
          <w:sz w:val="22"/>
          <w:szCs w:val="22"/>
          <w:lang w:val="en-US"/>
        </w:rPr>
        <w:t>, Vol.</w:t>
      </w:r>
      <w:r w:rsidRPr="007D7BF1">
        <w:rPr>
          <w:bCs/>
          <w:color w:val="000000"/>
          <w:sz w:val="22"/>
          <w:szCs w:val="22"/>
          <w:lang w:val="en-US"/>
        </w:rPr>
        <w:t xml:space="preserve"> </w:t>
      </w:r>
      <w:r w:rsidRPr="007D7BF1">
        <w:rPr>
          <w:bCs/>
          <w:iCs/>
          <w:color w:val="000000"/>
          <w:sz w:val="22"/>
          <w:szCs w:val="22"/>
          <w:lang w:val="en-US"/>
        </w:rPr>
        <w:t xml:space="preserve">22 </w:t>
      </w:r>
      <w:r w:rsidRPr="007D7BF1">
        <w:rPr>
          <w:bCs/>
          <w:color w:val="000000"/>
          <w:sz w:val="22"/>
          <w:szCs w:val="22"/>
          <w:lang w:val="en-US"/>
        </w:rPr>
        <w:t>(1), 435</w:t>
      </w:r>
      <w:r w:rsidRPr="007D7BF1">
        <w:rPr>
          <w:color w:val="000000"/>
          <w:sz w:val="22"/>
          <w:szCs w:val="22"/>
          <w:lang w:val="en-US" w:eastAsia="en-GB"/>
        </w:rPr>
        <w:t>-</w:t>
      </w:r>
      <w:r w:rsidRPr="007D7BF1">
        <w:rPr>
          <w:bCs/>
          <w:color w:val="000000"/>
          <w:sz w:val="22"/>
          <w:szCs w:val="22"/>
          <w:lang w:val="en-US"/>
        </w:rPr>
        <w:t>480.</w:t>
      </w:r>
    </w:p>
    <w:p w14:paraId="5285865D" w14:textId="77777777" w:rsidR="006C2B25" w:rsidRPr="007D7BF1" w:rsidRDefault="006C2B25" w:rsidP="009E2098">
      <w:pPr>
        <w:pStyle w:val="NormalWeb"/>
        <w:spacing w:before="120" w:beforeAutospacing="0" w:after="120" w:afterAutospacing="0"/>
        <w:ind w:left="450" w:hanging="450"/>
        <w:jc w:val="both"/>
        <w:rPr>
          <w:bCs/>
          <w:color w:val="000000" w:themeColor="text1"/>
          <w:sz w:val="22"/>
          <w:szCs w:val="22"/>
          <w:lang w:val="en-GB"/>
        </w:rPr>
      </w:pPr>
      <w:r w:rsidRPr="0010566A">
        <w:rPr>
          <w:bCs/>
          <w:color w:val="000000" w:themeColor="text1"/>
          <w:sz w:val="22"/>
          <w:szCs w:val="22"/>
        </w:rPr>
        <w:t xml:space="preserve">Popa, S., Soto-Acosta, P. </w:t>
      </w:r>
      <w:r>
        <w:rPr>
          <w:bCs/>
          <w:color w:val="000000" w:themeColor="text1"/>
          <w:sz w:val="22"/>
          <w:szCs w:val="22"/>
        </w:rPr>
        <w:t xml:space="preserve">and </w:t>
      </w:r>
      <w:r w:rsidRPr="0010566A">
        <w:rPr>
          <w:bCs/>
          <w:color w:val="000000" w:themeColor="text1"/>
          <w:sz w:val="22"/>
          <w:szCs w:val="22"/>
        </w:rPr>
        <w:t>Martinez-</w:t>
      </w:r>
      <w:proofErr w:type="spellStart"/>
      <w:r w:rsidRPr="0010566A">
        <w:rPr>
          <w:bCs/>
          <w:color w:val="000000" w:themeColor="text1"/>
          <w:sz w:val="22"/>
          <w:szCs w:val="22"/>
        </w:rPr>
        <w:t>Conesa</w:t>
      </w:r>
      <w:proofErr w:type="spellEnd"/>
      <w:r w:rsidRPr="0010566A">
        <w:rPr>
          <w:bCs/>
          <w:color w:val="000000" w:themeColor="text1"/>
          <w:sz w:val="22"/>
          <w:szCs w:val="22"/>
        </w:rPr>
        <w:t xml:space="preserve">, I. (2017). </w:t>
      </w:r>
      <w:r w:rsidRPr="0010566A">
        <w:rPr>
          <w:bCs/>
          <w:color w:val="000000" w:themeColor="text1"/>
          <w:sz w:val="22"/>
          <w:szCs w:val="22"/>
          <w:lang w:val="en-GB"/>
        </w:rPr>
        <w:t>‘</w:t>
      </w:r>
      <w:r w:rsidRPr="007D7BF1">
        <w:rPr>
          <w:bCs/>
          <w:color w:val="000000" w:themeColor="text1"/>
          <w:sz w:val="22"/>
          <w:szCs w:val="22"/>
          <w:lang w:val="en-GB"/>
        </w:rPr>
        <w:t>Antecedents, moderators, and outcomes of innovation climate and open innovat</w:t>
      </w:r>
      <w:r>
        <w:rPr>
          <w:bCs/>
          <w:color w:val="000000" w:themeColor="text1"/>
          <w:sz w:val="22"/>
          <w:szCs w:val="22"/>
          <w:lang w:val="en-GB"/>
        </w:rPr>
        <w:t>ion: An empirical study in SMEs’,</w:t>
      </w:r>
      <w:r w:rsidRPr="007D7BF1">
        <w:rPr>
          <w:bCs/>
          <w:color w:val="000000" w:themeColor="text1"/>
          <w:sz w:val="22"/>
          <w:szCs w:val="22"/>
          <w:lang w:val="en-GB"/>
        </w:rPr>
        <w:t xml:space="preserve"> </w:t>
      </w:r>
      <w:r w:rsidRPr="008B770C">
        <w:rPr>
          <w:bCs/>
          <w:i/>
          <w:iCs/>
          <w:color w:val="000000" w:themeColor="text1"/>
          <w:sz w:val="22"/>
          <w:szCs w:val="22"/>
          <w:lang w:val="en-GB"/>
        </w:rPr>
        <w:t>Technological Forecasting and Social Change</w:t>
      </w:r>
      <w:r>
        <w:rPr>
          <w:bCs/>
          <w:iCs/>
          <w:color w:val="000000" w:themeColor="text1"/>
          <w:sz w:val="22"/>
          <w:szCs w:val="22"/>
          <w:lang w:val="en-GB"/>
        </w:rPr>
        <w:t>, Vol.</w:t>
      </w:r>
      <w:r w:rsidRPr="007D7BF1">
        <w:rPr>
          <w:bCs/>
          <w:color w:val="000000" w:themeColor="text1"/>
          <w:sz w:val="22"/>
          <w:szCs w:val="22"/>
          <w:lang w:val="en-GB"/>
        </w:rPr>
        <w:t xml:space="preserve"> </w:t>
      </w:r>
      <w:r w:rsidRPr="007D7BF1">
        <w:rPr>
          <w:bCs/>
          <w:iCs/>
          <w:color w:val="000000" w:themeColor="text1"/>
          <w:sz w:val="22"/>
          <w:szCs w:val="22"/>
          <w:lang w:val="en-GB"/>
        </w:rPr>
        <w:t>118</w:t>
      </w:r>
      <w:r w:rsidRPr="007D7BF1">
        <w:rPr>
          <w:bCs/>
          <w:color w:val="000000" w:themeColor="text1"/>
          <w:sz w:val="22"/>
          <w:szCs w:val="22"/>
          <w:lang w:val="en-GB"/>
        </w:rPr>
        <w:t>, 134-142.</w:t>
      </w:r>
    </w:p>
    <w:p w14:paraId="678076A6" w14:textId="77777777" w:rsidR="006C2B25" w:rsidRPr="00AF7A56" w:rsidRDefault="006C2B25" w:rsidP="009E2098">
      <w:pPr>
        <w:pStyle w:val="NormalWeb"/>
        <w:spacing w:before="120" w:beforeAutospacing="0" w:after="120" w:afterAutospacing="0"/>
        <w:ind w:left="450" w:hanging="450"/>
        <w:jc w:val="both"/>
        <w:rPr>
          <w:position w:val="-6"/>
          <w:sz w:val="22"/>
          <w:szCs w:val="22"/>
          <w:lang w:val="it-IT"/>
        </w:rPr>
      </w:pPr>
      <w:r w:rsidRPr="00AF7A56">
        <w:rPr>
          <w:position w:val="-6"/>
          <w:sz w:val="22"/>
          <w:szCs w:val="22"/>
          <w:lang w:val="it-IT"/>
        </w:rPr>
        <w:t xml:space="preserve">Rabetino, R., Kohtamäki, M. And Gebauer, H. (2017). ‘Strategy map of servitization’, </w:t>
      </w:r>
      <w:r w:rsidRPr="00AF7A56">
        <w:rPr>
          <w:i/>
          <w:position w:val="-6"/>
          <w:sz w:val="22"/>
          <w:szCs w:val="22"/>
          <w:lang w:val="it-IT"/>
        </w:rPr>
        <w:t>International Journal of Production Economics</w:t>
      </w:r>
      <w:r w:rsidRPr="00AF7A56">
        <w:rPr>
          <w:position w:val="-6"/>
          <w:sz w:val="22"/>
          <w:szCs w:val="22"/>
          <w:lang w:val="it-IT"/>
        </w:rPr>
        <w:t>, Vol. 192, 144-156.</w:t>
      </w:r>
    </w:p>
    <w:p w14:paraId="28EFB7A8" w14:textId="77777777" w:rsidR="009460C7" w:rsidRPr="007D7BF1" w:rsidRDefault="009460C7" w:rsidP="009E2098">
      <w:pPr>
        <w:pStyle w:val="NormalWeb"/>
        <w:spacing w:before="120" w:beforeAutospacing="0" w:after="120" w:afterAutospacing="0"/>
        <w:ind w:left="450" w:hanging="450"/>
        <w:jc w:val="both"/>
        <w:rPr>
          <w:bCs/>
          <w:color w:val="000000"/>
          <w:sz w:val="22"/>
          <w:szCs w:val="22"/>
          <w:lang w:val="en-US"/>
        </w:rPr>
      </w:pPr>
      <w:r>
        <w:rPr>
          <w:bCs/>
          <w:color w:val="000000"/>
          <w:sz w:val="22"/>
          <w:szCs w:val="22"/>
          <w:lang w:val="en-US"/>
        </w:rPr>
        <w:t xml:space="preserve">Schneider, S. and </w:t>
      </w:r>
      <w:r w:rsidRPr="007D7BF1">
        <w:rPr>
          <w:bCs/>
          <w:color w:val="000000"/>
          <w:sz w:val="22"/>
          <w:szCs w:val="22"/>
          <w:lang w:val="en-US"/>
        </w:rPr>
        <w:t xml:space="preserve">Spieth, </w:t>
      </w:r>
      <w:r>
        <w:rPr>
          <w:bCs/>
          <w:color w:val="000000"/>
          <w:sz w:val="22"/>
          <w:szCs w:val="22"/>
          <w:lang w:val="en-US"/>
        </w:rPr>
        <w:t>P. (</w:t>
      </w:r>
      <w:r w:rsidRPr="007D7BF1">
        <w:rPr>
          <w:bCs/>
          <w:color w:val="000000"/>
          <w:sz w:val="22"/>
          <w:szCs w:val="22"/>
          <w:lang w:val="en-US"/>
        </w:rPr>
        <w:t>2013</w:t>
      </w:r>
      <w:r>
        <w:rPr>
          <w:bCs/>
          <w:color w:val="000000"/>
          <w:sz w:val="22"/>
          <w:szCs w:val="22"/>
          <w:lang w:val="en-US"/>
        </w:rPr>
        <w:t>)</w:t>
      </w:r>
      <w:r w:rsidRPr="007D7BF1">
        <w:rPr>
          <w:bCs/>
          <w:color w:val="000000"/>
          <w:sz w:val="22"/>
          <w:szCs w:val="22"/>
          <w:lang w:val="en-US"/>
        </w:rPr>
        <w:t xml:space="preserve">. </w:t>
      </w:r>
      <w:r>
        <w:rPr>
          <w:bCs/>
          <w:color w:val="000000"/>
          <w:sz w:val="22"/>
          <w:szCs w:val="22"/>
          <w:lang w:val="en-US"/>
        </w:rPr>
        <w:t>‘</w:t>
      </w:r>
      <w:r w:rsidRPr="007D7BF1">
        <w:rPr>
          <w:bCs/>
          <w:color w:val="000000"/>
          <w:sz w:val="22"/>
          <w:szCs w:val="22"/>
          <w:lang w:val="en-US"/>
        </w:rPr>
        <w:t>Business model innovation: towards an integrated future research agenda</w:t>
      </w:r>
      <w:r>
        <w:rPr>
          <w:bCs/>
          <w:color w:val="000000"/>
          <w:sz w:val="22"/>
          <w:szCs w:val="22"/>
          <w:lang w:val="en-US"/>
        </w:rPr>
        <w:t>’,</w:t>
      </w:r>
      <w:r w:rsidRPr="007D7BF1">
        <w:rPr>
          <w:bCs/>
          <w:color w:val="000000"/>
          <w:sz w:val="22"/>
          <w:szCs w:val="22"/>
          <w:lang w:val="en-US"/>
        </w:rPr>
        <w:t xml:space="preserve"> </w:t>
      </w:r>
      <w:r w:rsidRPr="00355D8E">
        <w:rPr>
          <w:bCs/>
          <w:i/>
          <w:iCs/>
          <w:color w:val="000000"/>
          <w:sz w:val="22"/>
          <w:szCs w:val="22"/>
          <w:lang w:val="en-US"/>
        </w:rPr>
        <w:t>International Journal of Innovation Management</w:t>
      </w:r>
      <w:r>
        <w:rPr>
          <w:bCs/>
          <w:iCs/>
          <w:color w:val="000000"/>
          <w:sz w:val="22"/>
          <w:szCs w:val="22"/>
          <w:lang w:val="en-US"/>
        </w:rPr>
        <w:t>, Vol.</w:t>
      </w:r>
      <w:r w:rsidRPr="007D7BF1">
        <w:rPr>
          <w:bCs/>
          <w:iCs/>
          <w:color w:val="000000"/>
          <w:sz w:val="22"/>
          <w:szCs w:val="22"/>
          <w:lang w:val="en-US"/>
        </w:rPr>
        <w:t xml:space="preserve"> </w:t>
      </w:r>
      <w:r w:rsidRPr="007D7BF1">
        <w:rPr>
          <w:bCs/>
          <w:color w:val="000000"/>
          <w:sz w:val="22"/>
          <w:szCs w:val="22"/>
          <w:lang w:val="en-US"/>
        </w:rPr>
        <w:t>17 (1), 1</w:t>
      </w:r>
      <w:r w:rsidRPr="007D7BF1">
        <w:rPr>
          <w:color w:val="000000"/>
          <w:sz w:val="22"/>
          <w:szCs w:val="22"/>
          <w:lang w:val="en-US" w:eastAsia="en-GB"/>
        </w:rPr>
        <w:t>-</w:t>
      </w:r>
      <w:r w:rsidRPr="007D7BF1">
        <w:rPr>
          <w:bCs/>
          <w:color w:val="000000"/>
          <w:sz w:val="22"/>
          <w:szCs w:val="22"/>
          <w:lang w:val="en-US"/>
        </w:rPr>
        <w:t xml:space="preserve">34. </w:t>
      </w:r>
    </w:p>
    <w:p w14:paraId="0F657E34" w14:textId="77777777" w:rsidR="009460C7" w:rsidRDefault="009460C7" w:rsidP="009E2098">
      <w:pPr>
        <w:pStyle w:val="NormalWeb"/>
        <w:spacing w:before="120" w:beforeAutospacing="0" w:after="120" w:afterAutospacing="0"/>
        <w:ind w:left="450" w:hanging="450"/>
        <w:jc w:val="both"/>
        <w:rPr>
          <w:lang w:val="en-US"/>
        </w:rPr>
      </w:pPr>
      <w:r>
        <w:rPr>
          <w:color w:val="000000"/>
          <w:position w:val="-6"/>
          <w:sz w:val="22"/>
          <w:szCs w:val="22"/>
          <w:lang w:val="en-GB"/>
        </w:rPr>
        <w:t>Stock, J.H. and Watson, M.W. (</w:t>
      </w:r>
      <w:r w:rsidRPr="007D7BF1">
        <w:rPr>
          <w:color w:val="000000"/>
          <w:position w:val="-6"/>
          <w:sz w:val="22"/>
          <w:szCs w:val="22"/>
          <w:lang w:val="en-GB"/>
        </w:rPr>
        <w:t>2008</w:t>
      </w:r>
      <w:r>
        <w:rPr>
          <w:color w:val="000000"/>
          <w:position w:val="-6"/>
          <w:sz w:val="22"/>
          <w:szCs w:val="22"/>
          <w:lang w:val="en-GB"/>
        </w:rPr>
        <w:t>)</w:t>
      </w:r>
      <w:r w:rsidRPr="007D7BF1">
        <w:rPr>
          <w:color w:val="000000"/>
          <w:position w:val="-6"/>
          <w:sz w:val="22"/>
          <w:szCs w:val="22"/>
          <w:lang w:val="en-GB"/>
        </w:rPr>
        <w:t xml:space="preserve">. </w:t>
      </w:r>
      <w:r>
        <w:rPr>
          <w:color w:val="000000"/>
          <w:position w:val="-6"/>
          <w:sz w:val="22"/>
          <w:szCs w:val="22"/>
          <w:lang w:val="en-GB"/>
        </w:rPr>
        <w:t>‘</w:t>
      </w:r>
      <w:proofErr w:type="spellStart"/>
      <w:r w:rsidRPr="007D7BF1">
        <w:rPr>
          <w:color w:val="000000"/>
          <w:position w:val="-6"/>
          <w:sz w:val="22"/>
          <w:szCs w:val="22"/>
          <w:lang w:val="en-GB"/>
        </w:rPr>
        <w:t>Heteroskedasticity</w:t>
      </w:r>
      <w:proofErr w:type="spellEnd"/>
      <w:r w:rsidRPr="007D7BF1">
        <w:rPr>
          <w:color w:val="000000"/>
          <w:position w:val="-6"/>
          <w:sz w:val="22"/>
          <w:szCs w:val="22"/>
          <w:lang w:val="en-GB"/>
        </w:rPr>
        <w:t>-robust standard errors for fixed effects panel data regression</w:t>
      </w:r>
      <w:r>
        <w:rPr>
          <w:color w:val="000000"/>
          <w:position w:val="-6"/>
          <w:sz w:val="22"/>
          <w:szCs w:val="22"/>
          <w:lang w:val="en-GB"/>
        </w:rPr>
        <w:t>’,</w:t>
      </w:r>
      <w:r w:rsidRPr="007D7BF1">
        <w:rPr>
          <w:color w:val="000000"/>
          <w:position w:val="-6"/>
          <w:sz w:val="22"/>
          <w:szCs w:val="22"/>
          <w:lang w:val="en-GB"/>
        </w:rPr>
        <w:t xml:space="preserve"> </w:t>
      </w:r>
      <w:r w:rsidRPr="00355D8E">
        <w:rPr>
          <w:i/>
          <w:color w:val="000000"/>
          <w:position w:val="-6"/>
          <w:sz w:val="22"/>
          <w:szCs w:val="22"/>
          <w:lang w:val="it-IT"/>
        </w:rPr>
        <w:t>Econometrica</w:t>
      </w:r>
      <w:r>
        <w:rPr>
          <w:color w:val="000000"/>
          <w:position w:val="-6"/>
          <w:sz w:val="22"/>
          <w:szCs w:val="22"/>
          <w:lang w:val="it-IT"/>
        </w:rPr>
        <w:t>, Vol.</w:t>
      </w:r>
      <w:r w:rsidRPr="007D7BF1">
        <w:rPr>
          <w:color w:val="000000"/>
          <w:position w:val="-6"/>
          <w:sz w:val="22"/>
          <w:szCs w:val="22"/>
          <w:lang w:val="it-IT"/>
        </w:rPr>
        <w:t xml:space="preserve"> 76 (3), 155-174.</w:t>
      </w:r>
    </w:p>
    <w:p w14:paraId="43A74005" w14:textId="77777777" w:rsidR="009460C7" w:rsidRDefault="009460C7" w:rsidP="009E2098">
      <w:pPr>
        <w:pStyle w:val="NormalWeb"/>
        <w:spacing w:before="120" w:beforeAutospacing="0" w:after="120" w:afterAutospacing="0"/>
        <w:ind w:left="450" w:hanging="450"/>
        <w:jc w:val="both"/>
        <w:rPr>
          <w:bCs/>
          <w:color w:val="000000"/>
          <w:sz w:val="22"/>
          <w:szCs w:val="22"/>
          <w:lang w:val="en-US"/>
        </w:rPr>
      </w:pPr>
      <w:r w:rsidRPr="00355D8E">
        <w:rPr>
          <w:bCs/>
          <w:color w:val="000000"/>
          <w:sz w:val="22"/>
          <w:szCs w:val="22"/>
          <w:lang w:val="en-US"/>
        </w:rPr>
        <w:t xml:space="preserve">Suarez, F.F., </w:t>
      </w:r>
      <w:proofErr w:type="spellStart"/>
      <w:r w:rsidRPr="00355D8E">
        <w:rPr>
          <w:bCs/>
          <w:color w:val="000000"/>
          <w:sz w:val="22"/>
          <w:szCs w:val="22"/>
          <w:lang w:val="en-US"/>
        </w:rPr>
        <w:t>Cusumano</w:t>
      </w:r>
      <w:proofErr w:type="spellEnd"/>
      <w:r w:rsidRPr="00355D8E">
        <w:rPr>
          <w:bCs/>
          <w:color w:val="000000"/>
          <w:sz w:val="22"/>
          <w:szCs w:val="22"/>
          <w:lang w:val="en-US"/>
        </w:rPr>
        <w:t xml:space="preserve">, M.A. and </w:t>
      </w:r>
      <w:proofErr w:type="spellStart"/>
      <w:r w:rsidRPr="00355D8E">
        <w:rPr>
          <w:bCs/>
          <w:color w:val="000000"/>
          <w:sz w:val="22"/>
          <w:szCs w:val="22"/>
          <w:lang w:val="en-US"/>
        </w:rPr>
        <w:t>Kahl</w:t>
      </w:r>
      <w:proofErr w:type="spellEnd"/>
      <w:r w:rsidRPr="00355D8E">
        <w:rPr>
          <w:bCs/>
          <w:color w:val="000000"/>
          <w:sz w:val="22"/>
          <w:szCs w:val="22"/>
          <w:lang w:val="en-US"/>
        </w:rPr>
        <w:t>, S.J. (2013). ‘Services and the business models of product firms: an empirical analysis of the software industry</w:t>
      </w:r>
      <w:r>
        <w:rPr>
          <w:bCs/>
          <w:color w:val="000000"/>
          <w:sz w:val="22"/>
          <w:szCs w:val="22"/>
          <w:lang w:val="en-US"/>
        </w:rPr>
        <w:t xml:space="preserve">’, </w:t>
      </w:r>
      <w:r w:rsidRPr="00355D8E">
        <w:rPr>
          <w:bCs/>
          <w:i/>
          <w:color w:val="000000"/>
          <w:sz w:val="22"/>
          <w:szCs w:val="22"/>
          <w:lang w:val="en-US"/>
        </w:rPr>
        <w:t>Management Science</w:t>
      </w:r>
      <w:r>
        <w:rPr>
          <w:bCs/>
          <w:color w:val="000000"/>
          <w:sz w:val="22"/>
          <w:szCs w:val="22"/>
          <w:lang w:val="en-US"/>
        </w:rPr>
        <w:t>, Vol.</w:t>
      </w:r>
      <w:r w:rsidRPr="00355D8E">
        <w:rPr>
          <w:bCs/>
          <w:color w:val="000000"/>
          <w:sz w:val="22"/>
          <w:szCs w:val="22"/>
          <w:lang w:val="en-US"/>
        </w:rPr>
        <w:t xml:space="preserve"> 59 (2), 420-435.</w:t>
      </w:r>
      <w:r>
        <w:rPr>
          <w:bCs/>
          <w:color w:val="000000"/>
          <w:sz w:val="22"/>
          <w:szCs w:val="22"/>
          <w:lang w:val="en-US"/>
        </w:rPr>
        <w:t xml:space="preserve"> </w:t>
      </w:r>
    </w:p>
    <w:p w14:paraId="024FE353" w14:textId="77777777" w:rsidR="009460C7" w:rsidRPr="007D7BF1" w:rsidRDefault="009460C7" w:rsidP="009E2098">
      <w:pPr>
        <w:pStyle w:val="NormalWeb"/>
        <w:spacing w:before="120" w:beforeAutospacing="0" w:after="120" w:afterAutospacing="0"/>
        <w:ind w:left="450" w:hanging="450"/>
        <w:jc w:val="both"/>
        <w:rPr>
          <w:bCs/>
          <w:color w:val="000000"/>
          <w:sz w:val="22"/>
          <w:szCs w:val="22"/>
          <w:lang w:val="en-US"/>
        </w:rPr>
      </w:pPr>
      <w:proofErr w:type="spellStart"/>
      <w:r>
        <w:rPr>
          <w:bCs/>
          <w:color w:val="000000"/>
          <w:sz w:val="22"/>
          <w:szCs w:val="22"/>
          <w:lang w:val="en-US"/>
        </w:rPr>
        <w:t>Tuli</w:t>
      </w:r>
      <w:proofErr w:type="spellEnd"/>
      <w:r>
        <w:rPr>
          <w:bCs/>
          <w:color w:val="000000"/>
          <w:sz w:val="22"/>
          <w:szCs w:val="22"/>
          <w:lang w:val="en-US"/>
        </w:rPr>
        <w:t xml:space="preserve">, K.R., </w:t>
      </w:r>
      <w:proofErr w:type="spellStart"/>
      <w:r>
        <w:rPr>
          <w:bCs/>
          <w:color w:val="000000"/>
          <w:sz w:val="22"/>
          <w:szCs w:val="22"/>
          <w:lang w:val="en-US"/>
        </w:rPr>
        <w:t>Kohli</w:t>
      </w:r>
      <w:proofErr w:type="spellEnd"/>
      <w:r>
        <w:rPr>
          <w:bCs/>
          <w:color w:val="000000"/>
          <w:sz w:val="22"/>
          <w:szCs w:val="22"/>
          <w:lang w:val="en-US"/>
        </w:rPr>
        <w:t xml:space="preserve">, A.K. and </w:t>
      </w:r>
      <w:proofErr w:type="spellStart"/>
      <w:r>
        <w:rPr>
          <w:bCs/>
          <w:color w:val="000000"/>
          <w:sz w:val="22"/>
          <w:szCs w:val="22"/>
          <w:lang w:val="en-US"/>
        </w:rPr>
        <w:t>Bharadwaj</w:t>
      </w:r>
      <w:proofErr w:type="spellEnd"/>
      <w:r>
        <w:rPr>
          <w:bCs/>
          <w:color w:val="000000"/>
          <w:sz w:val="22"/>
          <w:szCs w:val="22"/>
          <w:lang w:val="en-US"/>
        </w:rPr>
        <w:t>, S.G. (</w:t>
      </w:r>
      <w:r w:rsidRPr="007D7BF1">
        <w:rPr>
          <w:bCs/>
          <w:color w:val="000000"/>
          <w:sz w:val="22"/>
          <w:szCs w:val="22"/>
          <w:lang w:val="en-US"/>
        </w:rPr>
        <w:t>2007</w:t>
      </w:r>
      <w:r>
        <w:rPr>
          <w:bCs/>
          <w:color w:val="000000"/>
          <w:sz w:val="22"/>
          <w:szCs w:val="22"/>
          <w:lang w:val="en-US"/>
        </w:rPr>
        <w:t>)</w:t>
      </w:r>
      <w:r w:rsidRPr="007D7BF1">
        <w:rPr>
          <w:bCs/>
          <w:color w:val="000000"/>
          <w:sz w:val="22"/>
          <w:szCs w:val="22"/>
          <w:lang w:val="en-US"/>
        </w:rPr>
        <w:t xml:space="preserve">. </w:t>
      </w:r>
      <w:r>
        <w:rPr>
          <w:bCs/>
          <w:color w:val="000000"/>
          <w:sz w:val="22"/>
          <w:szCs w:val="22"/>
          <w:lang w:val="en-US"/>
        </w:rPr>
        <w:t>‘</w:t>
      </w:r>
      <w:r w:rsidRPr="007D7BF1">
        <w:rPr>
          <w:bCs/>
          <w:color w:val="000000"/>
          <w:sz w:val="22"/>
          <w:szCs w:val="22"/>
          <w:lang w:val="en-US"/>
        </w:rPr>
        <w:t>Rethinking customer solutions: from product bundles to relational processes</w:t>
      </w:r>
      <w:r>
        <w:rPr>
          <w:bCs/>
          <w:color w:val="000000"/>
          <w:sz w:val="22"/>
          <w:szCs w:val="22"/>
          <w:lang w:val="en-US"/>
        </w:rPr>
        <w:t>’,</w:t>
      </w:r>
      <w:r w:rsidRPr="007D7BF1">
        <w:rPr>
          <w:bCs/>
          <w:color w:val="000000"/>
          <w:sz w:val="22"/>
          <w:szCs w:val="22"/>
          <w:lang w:val="en-US"/>
        </w:rPr>
        <w:t xml:space="preserve"> </w:t>
      </w:r>
      <w:r w:rsidRPr="0054736E">
        <w:rPr>
          <w:bCs/>
          <w:i/>
          <w:iCs/>
          <w:color w:val="000000"/>
          <w:sz w:val="22"/>
          <w:szCs w:val="22"/>
          <w:lang w:val="en-US"/>
        </w:rPr>
        <w:t>Journal of Marketing</w:t>
      </w:r>
      <w:r>
        <w:rPr>
          <w:bCs/>
          <w:iCs/>
          <w:color w:val="000000"/>
          <w:sz w:val="22"/>
          <w:szCs w:val="22"/>
          <w:lang w:val="en-US"/>
        </w:rPr>
        <w:t>, Vol.</w:t>
      </w:r>
      <w:r w:rsidRPr="007D7BF1">
        <w:rPr>
          <w:bCs/>
          <w:iCs/>
          <w:color w:val="000000"/>
          <w:sz w:val="22"/>
          <w:szCs w:val="22"/>
          <w:lang w:val="en-US"/>
        </w:rPr>
        <w:t xml:space="preserve"> 71 (3), </w:t>
      </w:r>
      <w:r w:rsidRPr="007D7BF1">
        <w:rPr>
          <w:bCs/>
          <w:color w:val="000000"/>
          <w:sz w:val="22"/>
          <w:szCs w:val="22"/>
          <w:lang w:val="en-US"/>
        </w:rPr>
        <w:t>1</w:t>
      </w:r>
      <w:r w:rsidRPr="007D7BF1">
        <w:rPr>
          <w:color w:val="000000"/>
          <w:sz w:val="22"/>
          <w:szCs w:val="22"/>
          <w:lang w:val="en-US" w:eastAsia="en-GB"/>
        </w:rPr>
        <w:t>-</w:t>
      </w:r>
      <w:r w:rsidRPr="007D7BF1">
        <w:rPr>
          <w:bCs/>
          <w:color w:val="000000"/>
          <w:sz w:val="22"/>
          <w:szCs w:val="22"/>
          <w:lang w:val="en-US"/>
        </w:rPr>
        <w:t xml:space="preserve">17. </w:t>
      </w:r>
    </w:p>
    <w:p w14:paraId="1A2F0409" w14:textId="442FFCAA" w:rsidR="00EF7938" w:rsidRPr="007D7BF1" w:rsidRDefault="00EF7938" w:rsidP="009E2098">
      <w:pPr>
        <w:pStyle w:val="NormalWeb"/>
        <w:spacing w:before="120" w:beforeAutospacing="0" w:after="120" w:afterAutospacing="0"/>
        <w:ind w:left="450" w:hanging="450"/>
        <w:jc w:val="both"/>
        <w:rPr>
          <w:bCs/>
          <w:color w:val="000000"/>
          <w:sz w:val="22"/>
          <w:szCs w:val="22"/>
          <w:lang w:val="en-US"/>
        </w:rPr>
      </w:pPr>
      <w:proofErr w:type="spellStart"/>
      <w:r w:rsidRPr="007D7BF1">
        <w:rPr>
          <w:bCs/>
          <w:color w:val="000000"/>
          <w:sz w:val="22"/>
          <w:szCs w:val="22"/>
          <w:lang w:val="en-US"/>
        </w:rPr>
        <w:t>Velu</w:t>
      </w:r>
      <w:proofErr w:type="spellEnd"/>
      <w:r w:rsidRPr="007D7BF1">
        <w:rPr>
          <w:bCs/>
          <w:color w:val="000000"/>
          <w:sz w:val="22"/>
          <w:szCs w:val="22"/>
          <w:lang w:val="en-US"/>
        </w:rPr>
        <w:t>, C.</w:t>
      </w:r>
      <w:r w:rsidR="0054736E">
        <w:rPr>
          <w:bCs/>
          <w:color w:val="000000"/>
          <w:sz w:val="22"/>
          <w:szCs w:val="22"/>
          <w:lang w:val="en-US"/>
        </w:rPr>
        <w:t xml:space="preserve"> (</w:t>
      </w:r>
      <w:r w:rsidRPr="007D7BF1">
        <w:rPr>
          <w:bCs/>
          <w:color w:val="000000"/>
          <w:sz w:val="22"/>
          <w:szCs w:val="22"/>
          <w:lang w:val="en-US"/>
        </w:rPr>
        <w:t>2015</w:t>
      </w:r>
      <w:r w:rsidR="0054736E">
        <w:rPr>
          <w:bCs/>
          <w:color w:val="000000"/>
          <w:sz w:val="22"/>
          <w:szCs w:val="22"/>
          <w:lang w:val="en-US"/>
        </w:rPr>
        <w:t>)</w:t>
      </w:r>
      <w:r w:rsidRPr="007D7BF1">
        <w:rPr>
          <w:bCs/>
          <w:color w:val="000000"/>
          <w:sz w:val="22"/>
          <w:szCs w:val="22"/>
          <w:lang w:val="en-US"/>
        </w:rPr>
        <w:t xml:space="preserve">. </w:t>
      </w:r>
      <w:r w:rsidR="0054736E">
        <w:rPr>
          <w:bCs/>
          <w:color w:val="000000"/>
          <w:sz w:val="22"/>
          <w:szCs w:val="22"/>
          <w:lang w:val="en-US"/>
        </w:rPr>
        <w:t>‘</w:t>
      </w:r>
      <w:r w:rsidRPr="007D7BF1">
        <w:rPr>
          <w:bCs/>
          <w:color w:val="000000"/>
          <w:sz w:val="22"/>
          <w:szCs w:val="22"/>
          <w:lang w:val="en-US"/>
        </w:rPr>
        <w:t>Business model innovation and third-party alliance on the survival of new firms</w:t>
      </w:r>
      <w:r w:rsidR="0054736E">
        <w:rPr>
          <w:bCs/>
          <w:color w:val="000000"/>
          <w:sz w:val="22"/>
          <w:szCs w:val="22"/>
          <w:lang w:val="en-US"/>
        </w:rPr>
        <w:t>’,</w:t>
      </w:r>
      <w:r w:rsidRPr="007D7BF1">
        <w:rPr>
          <w:bCs/>
          <w:color w:val="000000"/>
          <w:sz w:val="22"/>
          <w:szCs w:val="22"/>
          <w:lang w:val="en-US"/>
        </w:rPr>
        <w:t> </w:t>
      </w:r>
      <w:proofErr w:type="spellStart"/>
      <w:r w:rsidRPr="0054736E">
        <w:rPr>
          <w:bCs/>
          <w:i/>
          <w:color w:val="000000"/>
          <w:sz w:val="22"/>
          <w:szCs w:val="22"/>
          <w:lang w:val="en-US"/>
        </w:rPr>
        <w:t>Technovation</w:t>
      </w:r>
      <w:proofErr w:type="spellEnd"/>
      <w:r w:rsidR="0054736E">
        <w:rPr>
          <w:bCs/>
          <w:color w:val="000000"/>
          <w:sz w:val="22"/>
          <w:szCs w:val="22"/>
          <w:lang w:val="en-US"/>
        </w:rPr>
        <w:t>, Vol.</w:t>
      </w:r>
      <w:r w:rsidRPr="007D7BF1">
        <w:rPr>
          <w:bCs/>
          <w:color w:val="000000"/>
          <w:sz w:val="22"/>
          <w:szCs w:val="22"/>
          <w:lang w:val="en-US"/>
        </w:rPr>
        <w:t> 35, 1-11.</w:t>
      </w:r>
    </w:p>
    <w:p w14:paraId="18BA9CB2" w14:textId="1B7D65D8" w:rsidR="00EF7938" w:rsidRPr="007D7BF1" w:rsidRDefault="00EF7938" w:rsidP="00FB5EB5">
      <w:pPr>
        <w:pStyle w:val="NormalWeb"/>
        <w:spacing w:before="120" w:after="120"/>
        <w:ind w:left="450" w:hanging="450"/>
        <w:jc w:val="both"/>
        <w:rPr>
          <w:color w:val="000000"/>
          <w:sz w:val="22"/>
          <w:szCs w:val="22"/>
          <w:lang w:val="en-GB"/>
        </w:rPr>
      </w:pPr>
      <w:r w:rsidRPr="00A500E0">
        <w:rPr>
          <w:color w:val="000000"/>
          <w:sz w:val="22"/>
          <w:szCs w:val="22"/>
          <w:lang w:val="en-GB"/>
        </w:rPr>
        <w:t>Vendrell-Herrero, F., Bustinza, O. F</w:t>
      </w:r>
      <w:r w:rsidR="00A500E0" w:rsidRPr="00A500E0">
        <w:rPr>
          <w:color w:val="000000"/>
          <w:sz w:val="22"/>
          <w:szCs w:val="22"/>
          <w:lang w:val="en-GB"/>
        </w:rPr>
        <w:t xml:space="preserve">., Parry, G. and </w:t>
      </w:r>
      <w:proofErr w:type="spellStart"/>
      <w:r w:rsidRPr="00A500E0">
        <w:rPr>
          <w:color w:val="000000"/>
          <w:sz w:val="22"/>
          <w:szCs w:val="22"/>
          <w:lang w:val="en-GB"/>
        </w:rPr>
        <w:t>Georgantzis</w:t>
      </w:r>
      <w:proofErr w:type="spellEnd"/>
      <w:r w:rsidRPr="00A500E0">
        <w:rPr>
          <w:color w:val="000000"/>
          <w:sz w:val="22"/>
          <w:szCs w:val="22"/>
          <w:lang w:val="en-GB"/>
        </w:rPr>
        <w:t xml:space="preserve">, N. </w:t>
      </w:r>
      <w:r w:rsidR="00A500E0" w:rsidRPr="00A500E0">
        <w:rPr>
          <w:color w:val="000000"/>
          <w:sz w:val="22"/>
          <w:szCs w:val="22"/>
          <w:lang w:val="en-GB"/>
        </w:rPr>
        <w:t>(</w:t>
      </w:r>
      <w:r w:rsidRPr="00A500E0">
        <w:rPr>
          <w:color w:val="000000"/>
          <w:sz w:val="22"/>
          <w:szCs w:val="22"/>
          <w:lang w:val="en-GB"/>
        </w:rPr>
        <w:t>2017</w:t>
      </w:r>
      <w:r w:rsidR="00A500E0" w:rsidRPr="00A500E0">
        <w:rPr>
          <w:color w:val="000000"/>
          <w:sz w:val="22"/>
          <w:szCs w:val="22"/>
          <w:lang w:val="en-GB"/>
        </w:rPr>
        <w:t>a)</w:t>
      </w:r>
      <w:r w:rsidRPr="00A500E0">
        <w:rPr>
          <w:color w:val="000000"/>
          <w:sz w:val="22"/>
          <w:szCs w:val="22"/>
          <w:lang w:val="en-GB"/>
        </w:rPr>
        <w:t xml:space="preserve">. </w:t>
      </w:r>
      <w:r w:rsidR="00A500E0" w:rsidRPr="00A500E0">
        <w:rPr>
          <w:color w:val="000000"/>
          <w:sz w:val="22"/>
          <w:szCs w:val="22"/>
          <w:lang w:val="en-GB"/>
        </w:rPr>
        <w:t>‘</w:t>
      </w:r>
      <w:proofErr w:type="spellStart"/>
      <w:r w:rsidRPr="007D7BF1">
        <w:rPr>
          <w:color w:val="000000"/>
          <w:sz w:val="22"/>
          <w:szCs w:val="22"/>
          <w:lang w:val="en-GB"/>
        </w:rPr>
        <w:t>Servitization</w:t>
      </w:r>
      <w:proofErr w:type="spellEnd"/>
      <w:r w:rsidRPr="007D7BF1">
        <w:rPr>
          <w:color w:val="000000"/>
          <w:sz w:val="22"/>
          <w:szCs w:val="22"/>
          <w:lang w:val="en-GB"/>
        </w:rPr>
        <w:t>, digitization a</w:t>
      </w:r>
      <w:r w:rsidR="00A500E0">
        <w:rPr>
          <w:color w:val="000000"/>
          <w:sz w:val="22"/>
          <w:szCs w:val="22"/>
          <w:lang w:val="en-GB"/>
        </w:rPr>
        <w:t xml:space="preserve">nd supply chain interdependency’, </w:t>
      </w:r>
      <w:r w:rsidRPr="00A500E0">
        <w:rPr>
          <w:i/>
          <w:color w:val="000000"/>
          <w:sz w:val="22"/>
          <w:szCs w:val="22"/>
          <w:lang w:val="en-GB"/>
        </w:rPr>
        <w:t>Industrial Marketing Management</w:t>
      </w:r>
      <w:r w:rsidRPr="007D7BF1">
        <w:rPr>
          <w:color w:val="000000"/>
          <w:sz w:val="22"/>
          <w:szCs w:val="22"/>
          <w:lang w:val="en-GB"/>
        </w:rPr>
        <w:t>,</w:t>
      </w:r>
      <w:r w:rsidR="00A500E0">
        <w:rPr>
          <w:color w:val="000000"/>
          <w:sz w:val="22"/>
          <w:szCs w:val="22"/>
          <w:lang w:val="en-GB"/>
        </w:rPr>
        <w:t xml:space="preserve"> Vol.</w:t>
      </w:r>
      <w:r w:rsidRPr="007D7BF1">
        <w:rPr>
          <w:color w:val="000000"/>
          <w:sz w:val="22"/>
          <w:szCs w:val="22"/>
          <w:lang w:val="en-GB"/>
        </w:rPr>
        <w:t xml:space="preserve"> 60, 69-81.</w:t>
      </w:r>
    </w:p>
    <w:p w14:paraId="40D0BFF8" w14:textId="291EAF8D" w:rsidR="00417D82" w:rsidRPr="007D7BF1" w:rsidRDefault="00EF7938" w:rsidP="00417D82">
      <w:pPr>
        <w:pStyle w:val="NormalWeb"/>
        <w:spacing w:before="120" w:after="120"/>
        <w:ind w:left="450" w:hanging="450"/>
        <w:jc w:val="both"/>
        <w:rPr>
          <w:lang w:val="en-GB"/>
        </w:rPr>
      </w:pPr>
      <w:r w:rsidRPr="00A500E0">
        <w:rPr>
          <w:color w:val="000000"/>
          <w:sz w:val="22"/>
          <w:szCs w:val="22"/>
          <w:lang w:val="en-GB"/>
        </w:rPr>
        <w:t xml:space="preserve">Vendrell-Herrero, F., </w:t>
      </w:r>
      <w:proofErr w:type="spellStart"/>
      <w:r w:rsidRPr="00A500E0">
        <w:rPr>
          <w:color w:val="000000"/>
          <w:sz w:val="22"/>
          <w:szCs w:val="22"/>
          <w:lang w:val="en-GB"/>
        </w:rPr>
        <w:t>Myrthianos</w:t>
      </w:r>
      <w:proofErr w:type="spellEnd"/>
      <w:r w:rsidRPr="00A500E0">
        <w:rPr>
          <w:color w:val="000000"/>
          <w:sz w:val="22"/>
          <w:szCs w:val="22"/>
          <w:lang w:val="en-GB"/>
        </w:rPr>
        <w:t xml:space="preserve">, </w:t>
      </w:r>
      <w:r w:rsidR="00A500E0" w:rsidRPr="00A500E0">
        <w:rPr>
          <w:color w:val="000000"/>
          <w:sz w:val="22"/>
          <w:szCs w:val="22"/>
          <w:lang w:val="en-GB"/>
        </w:rPr>
        <w:t xml:space="preserve">V., Parry, G. and </w:t>
      </w:r>
      <w:r w:rsidRPr="00A500E0">
        <w:rPr>
          <w:color w:val="000000"/>
          <w:sz w:val="22"/>
          <w:szCs w:val="22"/>
          <w:lang w:val="en-GB"/>
        </w:rPr>
        <w:t xml:space="preserve">Bustinza, O. F. </w:t>
      </w:r>
      <w:r w:rsidR="00A500E0" w:rsidRPr="00A500E0">
        <w:rPr>
          <w:color w:val="000000"/>
          <w:sz w:val="22"/>
          <w:szCs w:val="22"/>
          <w:lang w:val="en-GB"/>
        </w:rPr>
        <w:t>(</w:t>
      </w:r>
      <w:r w:rsidRPr="00A500E0">
        <w:rPr>
          <w:color w:val="000000"/>
          <w:sz w:val="22"/>
          <w:szCs w:val="22"/>
          <w:lang w:val="en-GB"/>
        </w:rPr>
        <w:t>2017b</w:t>
      </w:r>
      <w:r w:rsidR="00A500E0" w:rsidRPr="00A500E0">
        <w:rPr>
          <w:color w:val="000000"/>
          <w:sz w:val="22"/>
          <w:szCs w:val="22"/>
          <w:lang w:val="en-GB"/>
        </w:rPr>
        <w:t>)</w:t>
      </w:r>
      <w:r w:rsidRPr="00A500E0">
        <w:rPr>
          <w:color w:val="000000"/>
          <w:sz w:val="22"/>
          <w:szCs w:val="22"/>
          <w:lang w:val="en-GB"/>
        </w:rPr>
        <w:t xml:space="preserve">. </w:t>
      </w:r>
      <w:r w:rsidR="00A500E0" w:rsidRPr="00A500E0">
        <w:rPr>
          <w:color w:val="000000"/>
          <w:sz w:val="22"/>
          <w:szCs w:val="22"/>
          <w:lang w:val="en-GB"/>
        </w:rPr>
        <w:t>‘</w:t>
      </w:r>
      <w:r w:rsidRPr="007D7BF1">
        <w:rPr>
          <w:color w:val="000000"/>
          <w:sz w:val="22"/>
          <w:szCs w:val="22"/>
          <w:lang w:val="en-GB"/>
        </w:rPr>
        <w:t>Digital dark matter</w:t>
      </w:r>
      <w:r w:rsidR="00A500E0">
        <w:rPr>
          <w:color w:val="000000"/>
          <w:sz w:val="22"/>
          <w:szCs w:val="22"/>
          <w:lang w:val="en-GB"/>
        </w:rPr>
        <w:t xml:space="preserve"> within product service systems’,</w:t>
      </w:r>
      <w:r w:rsidRPr="007D7BF1">
        <w:rPr>
          <w:color w:val="000000"/>
          <w:sz w:val="22"/>
          <w:szCs w:val="22"/>
          <w:lang w:val="en-GB"/>
        </w:rPr>
        <w:t xml:space="preserve"> </w:t>
      </w:r>
      <w:r w:rsidRPr="00A500E0">
        <w:rPr>
          <w:i/>
          <w:color w:val="000000"/>
          <w:sz w:val="22"/>
          <w:szCs w:val="22"/>
          <w:lang w:val="en-GB"/>
        </w:rPr>
        <w:t>Competitiveness Review: An International Business Journal</w:t>
      </w:r>
      <w:r w:rsidRPr="007D7BF1">
        <w:rPr>
          <w:color w:val="000000"/>
          <w:sz w:val="22"/>
          <w:szCs w:val="22"/>
          <w:lang w:val="en-GB"/>
        </w:rPr>
        <w:t>,</w:t>
      </w:r>
      <w:r w:rsidR="00A500E0">
        <w:rPr>
          <w:color w:val="000000"/>
          <w:sz w:val="22"/>
          <w:szCs w:val="22"/>
          <w:lang w:val="en-GB"/>
        </w:rPr>
        <w:t xml:space="preserve"> Vol.</w:t>
      </w:r>
      <w:r w:rsidRPr="007D7BF1">
        <w:rPr>
          <w:color w:val="000000"/>
          <w:sz w:val="22"/>
          <w:szCs w:val="22"/>
          <w:lang w:val="en-GB"/>
        </w:rPr>
        <w:t xml:space="preserve"> 27(1), 62-79.</w:t>
      </w:r>
      <w:r w:rsidRPr="007D7BF1">
        <w:rPr>
          <w:lang w:val="en-GB"/>
        </w:rPr>
        <w:t xml:space="preserve"> </w:t>
      </w:r>
    </w:p>
    <w:p w14:paraId="4862A034" w14:textId="4FADAB92" w:rsidR="00417D82" w:rsidRPr="007D7BF1" w:rsidRDefault="00EF7938" w:rsidP="00417D82">
      <w:pPr>
        <w:pStyle w:val="NormalWeb"/>
        <w:spacing w:before="120" w:after="120"/>
        <w:ind w:left="450" w:hanging="450"/>
        <w:jc w:val="both"/>
        <w:rPr>
          <w:lang w:val="en-GB"/>
        </w:rPr>
      </w:pPr>
      <w:r w:rsidRPr="007D7BF1">
        <w:rPr>
          <w:lang w:val="en-GB"/>
        </w:rPr>
        <w:t xml:space="preserve">Vendrell-Herrero, F., Gomes, </w:t>
      </w:r>
      <w:r w:rsidR="00A500E0">
        <w:rPr>
          <w:lang w:val="en-GB"/>
        </w:rPr>
        <w:t xml:space="preserve">E., Collinson, S., Parry, G. and </w:t>
      </w:r>
      <w:r w:rsidRPr="007D7BF1">
        <w:rPr>
          <w:lang w:val="en-GB"/>
        </w:rPr>
        <w:t xml:space="preserve">Bustinza, O. F. (2018). </w:t>
      </w:r>
      <w:r w:rsidR="00A500E0">
        <w:rPr>
          <w:lang w:val="en-GB"/>
        </w:rPr>
        <w:t>‘</w:t>
      </w:r>
      <w:r w:rsidRPr="007D7BF1">
        <w:rPr>
          <w:lang w:val="en-GB"/>
        </w:rPr>
        <w:t>Selling digital services abroad: How do extrinsic attributes influence foreign consumers’ purchase intentions?</w:t>
      </w:r>
      <w:r w:rsidR="00A500E0">
        <w:rPr>
          <w:lang w:val="en-GB"/>
        </w:rPr>
        <w:t>’,</w:t>
      </w:r>
      <w:r w:rsidRPr="007D7BF1">
        <w:rPr>
          <w:lang w:val="en-GB"/>
        </w:rPr>
        <w:t xml:space="preserve"> </w:t>
      </w:r>
      <w:r w:rsidRPr="00A500E0">
        <w:rPr>
          <w:i/>
          <w:lang w:val="en-GB"/>
        </w:rPr>
        <w:t>International Business Review</w:t>
      </w:r>
      <w:r w:rsidRPr="007D7BF1">
        <w:rPr>
          <w:lang w:val="en-GB"/>
        </w:rPr>
        <w:t>,</w:t>
      </w:r>
      <w:r w:rsidR="00A500E0">
        <w:rPr>
          <w:lang w:val="en-GB"/>
        </w:rPr>
        <w:t xml:space="preserve"> Vol.</w:t>
      </w:r>
      <w:r w:rsidRPr="007D7BF1">
        <w:rPr>
          <w:lang w:val="en-GB"/>
        </w:rPr>
        <w:t xml:space="preserve"> 27(1), 173-185.</w:t>
      </w:r>
    </w:p>
    <w:p w14:paraId="6604D2F6" w14:textId="6F29143A" w:rsidR="00EF7938" w:rsidRPr="007D7BF1" w:rsidRDefault="00A500E0" w:rsidP="00417D82">
      <w:pPr>
        <w:pStyle w:val="NormalWeb"/>
        <w:spacing w:before="120" w:after="120"/>
        <w:ind w:left="450" w:hanging="450"/>
        <w:jc w:val="both"/>
        <w:rPr>
          <w:lang w:val="en-GB"/>
        </w:rPr>
      </w:pPr>
      <w:r>
        <w:rPr>
          <w:bCs/>
          <w:color w:val="000000"/>
          <w:sz w:val="22"/>
          <w:szCs w:val="22"/>
          <w:lang w:val="en-US"/>
        </w:rPr>
        <w:t>Wan, F., Williamson, P.J. and Yin, E. (</w:t>
      </w:r>
      <w:r w:rsidR="00EF7938" w:rsidRPr="007D7BF1">
        <w:rPr>
          <w:bCs/>
          <w:color w:val="000000"/>
          <w:sz w:val="22"/>
          <w:szCs w:val="22"/>
          <w:lang w:val="en-US"/>
        </w:rPr>
        <w:t>2015</w:t>
      </w:r>
      <w:r>
        <w:rPr>
          <w:bCs/>
          <w:color w:val="000000"/>
          <w:sz w:val="22"/>
          <w:szCs w:val="22"/>
          <w:lang w:val="en-US"/>
        </w:rPr>
        <w:t>)</w:t>
      </w:r>
      <w:r w:rsidR="00EF7938" w:rsidRPr="007D7BF1">
        <w:rPr>
          <w:bCs/>
          <w:color w:val="000000"/>
          <w:sz w:val="22"/>
          <w:szCs w:val="22"/>
          <w:lang w:val="en-US"/>
        </w:rPr>
        <w:t xml:space="preserve">. </w:t>
      </w:r>
      <w:r>
        <w:rPr>
          <w:bCs/>
          <w:color w:val="000000"/>
          <w:sz w:val="22"/>
          <w:szCs w:val="22"/>
          <w:lang w:val="en-US"/>
        </w:rPr>
        <w:t>‘</w:t>
      </w:r>
      <w:r w:rsidR="00EF7938" w:rsidRPr="007D7BF1">
        <w:rPr>
          <w:bCs/>
          <w:color w:val="000000"/>
          <w:sz w:val="22"/>
          <w:szCs w:val="22"/>
          <w:lang w:val="en-US"/>
        </w:rPr>
        <w:t>Antecedents and implications of disruptive innovation: Evidence from China</w:t>
      </w:r>
      <w:r>
        <w:rPr>
          <w:bCs/>
          <w:color w:val="000000"/>
          <w:sz w:val="22"/>
          <w:szCs w:val="22"/>
          <w:lang w:val="en-US"/>
        </w:rPr>
        <w:t>’,</w:t>
      </w:r>
      <w:r w:rsidR="00EF7938" w:rsidRPr="007D7BF1">
        <w:rPr>
          <w:bCs/>
          <w:color w:val="000000"/>
          <w:sz w:val="22"/>
          <w:szCs w:val="22"/>
          <w:lang w:val="en-US"/>
        </w:rPr>
        <w:t> </w:t>
      </w:r>
      <w:proofErr w:type="spellStart"/>
      <w:r w:rsidR="00EF7938" w:rsidRPr="00A500E0">
        <w:rPr>
          <w:bCs/>
          <w:i/>
          <w:color w:val="000000"/>
          <w:sz w:val="22"/>
          <w:szCs w:val="22"/>
          <w:lang w:val="en-US"/>
        </w:rPr>
        <w:t>Technovation</w:t>
      </w:r>
      <w:proofErr w:type="spellEnd"/>
      <w:r>
        <w:rPr>
          <w:bCs/>
          <w:color w:val="000000"/>
          <w:sz w:val="22"/>
          <w:szCs w:val="22"/>
          <w:lang w:val="en-US"/>
        </w:rPr>
        <w:t>, Vol.</w:t>
      </w:r>
      <w:r w:rsidR="00EF7938" w:rsidRPr="007D7BF1">
        <w:rPr>
          <w:bCs/>
          <w:color w:val="000000"/>
          <w:sz w:val="22"/>
          <w:szCs w:val="22"/>
          <w:lang w:val="en-US"/>
        </w:rPr>
        <w:t> 39, 94-104.</w:t>
      </w:r>
    </w:p>
    <w:p w14:paraId="621E1044" w14:textId="444BFFD5" w:rsidR="00EF7938" w:rsidRPr="007D7BF1" w:rsidRDefault="00A500E0" w:rsidP="009E2098">
      <w:pPr>
        <w:pStyle w:val="NormalWeb"/>
        <w:spacing w:before="120" w:beforeAutospacing="0" w:after="120" w:afterAutospacing="0"/>
        <w:ind w:left="450" w:hanging="450"/>
        <w:jc w:val="both"/>
        <w:rPr>
          <w:bCs/>
          <w:color w:val="000000"/>
          <w:sz w:val="22"/>
          <w:szCs w:val="22"/>
          <w:lang w:val="en-US"/>
        </w:rPr>
      </w:pPr>
      <w:proofErr w:type="spellStart"/>
      <w:r>
        <w:rPr>
          <w:bCs/>
          <w:color w:val="000000"/>
          <w:sz w:val="22"/>
          <w:szCs w:val="22"/>
          <w:lang w:val="en-US"/>
        </w:rPr>
        <w:t>Zott</w:t>
      </w:r>
      <w:proofErr w:type="spellEnd"/>
      <w:r>
        <w:rPr>
          <w:bCs/>
          <w:color w:val="000000"/>
          <w:sz w:val="22"/>
          <w:szCs w:val="22"/>
          <w:lang w:val="en-US"/>
        </w:rPr>
        <w:t>, C. and Amit, R. (</w:t>
      </w:r>
      <w:r w:rsidR="00EF7938" w:rsidRPr="007D7BF1">
        <w:rPr>
          <w:bCs/>
          <w:color w:val="000000"/>
          <w:sz w:val="22"/>
          <w:szCs w:val="22"/>
          <w:lang w:val="en-US"/>
        </w:rPr>
        <w:t>2008</w:t>
      </w:r>
      <w:r>
        <w:rPr>
          <w:bCs/>
          <w:color w:val="000000"/>
          <w:sz w:val="22"/>
          <w:szCs w:val="22"/>
          <w:lang w:val="en-US"/>
        </w:rPr>
        <w:t>)</w:t>
      </w:r>
      <w:r w:rsidR="00EF7938" w:rsidRPr="007D7BF1">
        <w:rPr>
          <w:bCs/>
          <w:color w:val="000000"/>
          <w:sz w:val="22"/>
          <w:szCs w:val="22"/>
          <w:lang w:val="en-US"/>
        </w:rPr>
        <w:t xml:space="preserve">. </w:t>
      </w:r>
      <w:r>
        <w:rPr>
          <w:bCs/>
          <w:color w:val="000000"/>
          <w:sz w:val="22"/>
          <w:szCs w:val="22"/>
          <w:lang w:val="en-US"/>
        </w:rPr>
        <w:t>‘</w:t>
      </w:r>
      <w:r w:rsidR="00EF7938" w:rsidRPr="007D7BF1">
        <w:rPr>
          <w:bCs/>
          <w:color w:val="000000"/>
          <w:sz w:val="22"/>
          <w:szCs w:val="22"/>
          <w:lang w:val="en-US"/>
        </w:rPr>
        <w:t>The fit between product market strategy and business model: implications for firm performance</w:t>
      </w:r>
      <w:r>
        <w:rPr>
          <w:bCs/>
          <w:color w:val="000000"/>
          <w:sz w:val="22"/>
          <w:szCs w:val="22"/>
          <w:lang w:val="en-US"/>
        </w:rPr>
        <w:t>’,</w:t>
      </w:r>
      <w:r w:rsidR="00EF7938" w:rsidRPr="007D7BF1">
        <w:rPr>
          <w:bCs/>
          <w:color w:val="000000"/>
          <w:sz w:val="22"/>
          <w:szCs w:val="22"/>
          <w:lang w:val="en-US"/>
        </w:rPr>
        <w:t xml:space="preserve"> </w:t>
      </w:r>
      <w:r w:rsidR="00EF7938" w:rsidRPr="00A500E0">
        <w:rPr>
          <w:bCs/>
          <w:i/>
          <w:iCs/>
          <w:color w:val="000000"/>
          <w:sz w:val="22"/>
          <w:szCs w:val="22"/>
          <w:lang w:val="en-US"/>
        </w:rPr>
        <w:t>Strategic Management Journal</w:t>
      </w:r>
      <w:r>
        <w:rPr>
          <w:bCs/>
          <w:iCs/>
          <w:color w:val="000000"/>
          <w:sz w:val="22"/>
          <w:szCs w:val="22"/>
          <w:lang w:val="en-US"/>
        </w:rPr>
        <w:t>, Vol.</w:t>
      </w:r>
      <w:r w:rsidR="00EF7938" w:rsidRPr="007D7BF1">
        <w:rPr>
          <w:bCs/>
          <w:iCs/>
          <w:color w:val="000000"/>
          <w:sz w:val="22"/>
          <w:szCs w:val="22"/>
          <w:lang w:val="en-US"/>
        </w:rPr>
        <w:t xml:space="preserve"> </w:t>
      </w:r>
      <w:r w:rsidR="00EF7938" w:rsidRPr="007D7BF1">
        <w:rPr>
          <w:bCs/>
          <w:color w:val="000000"/>
          <w:sz w:val="22"/>
          <w:szCs w:val="22"/>
          <w:lang w:val="en-US"/>
        </w:rPr>
        <w:t>29 (1), 1</w:t>
      </w:r>
      <w:r w:rsidR="00EF7938" w:rsidRPr="007D7BF1">
        <w:rPr>
          <w:color w:val="000000"/>
          <w:sz w:val="22"/>
          <w:szCs w:val="22"/>
          <w:lang w:val="en-US" w:eastAsia="en-GB"/>
        </w:rPr>
        <w:t>-</w:t>
      </w:r>
      <w:r w:rsidR="00EF7938" w:rsidRPr="007D7BF1">
        <w:rPr>
          <w:bCs/>
          <w:color w:val="000000"/>
          <w:sz w:val="22"/>
          <w:szCs w:val="22"/>
          <w:lang w:val="en-US"/>
        </w:rPr>
        <w:t>26.</w:t>
      </w:r>
    </w:p>
    <w:p w14:paraId="3662E5EF" w14:textId="3CD86EC6" w:rsidR="00EF7938" w:rsidRDefault="00A500E0" w:rsidP="009E2098">
      <w:pPr>
        <w:pStyle w:val="NormalWeb"/>
        <w:spacing w:before="120" w:beforeAutospacing="0" w:after="120" w:afterAutospacing="0"/>
        <w:ind w:left="450" w:hanging="450"/>
        <w:jc w:val="both"/>
        <w:rPr>
          <w:lang w:val="en-GB"/>
        </w:rPr>
      </w:pPr>
      <w:proofErr w:type="spellStart"/>
      <w:r>
        <w:rPr>
          <w:bCs/>
          <w:color w:val="000000"/>
          <w:sz w:val="22"/>
          <w:szCs w:val="22"/>
          <w:lang w:val="en-US"/>
        </w:rPr>
        <w:t>Zott</w:t>
      </w:r>
      <w:proofErr w:type="spellEnd"/>
      <w:r>
        <w:rPr>
          <w:bCs/>
          <w:color w:val="000000"/>
          <w:sz w:val="22"/>
          <w:szCs w:val="22"/>
          <w:lang w:val="en-US"/>
        </w:rPr>
        <w:t>, C., Amit, R. and Massa, L. (</w:t>
      </w:r>
      <w:r w:rsidR="00EF7938" w:rsidRPr="007D7BF1">
        <w:rPr>
          <w:bCs/>
          <w:color w:val="000000"/>
          <w:sz w:val="22"/>
          <w:szCs w:val="22"/>
          <w:lang w:val="en-US"/>
        </w:rPr>
        <w:t>2011</w:t>
      </w:r>
      <w:r>
        <w:rPr>
          <w:bCs/>
          <w:color w:val="000000"/>
          <w:sz w:val="22"/>
          <w:szCs w:val="22"/>
          <w:lang w:val="en-US"/>
        </w:rPr>
        <w:t>)</w:t>
      </w:r>
      <w:r w:rsidR="00EF7938" w:rsidRPr="007D7BF1">
        <w:rPr>
          <w:bCs/>
          <w:color w:val="000000"/>
          <w:sz w:val="22"/>
          <w:szCs w:val="22"/>
          <w:lang w:val="en-US"/>
        </w:rPr>
        <w:t xml:space="preserve">. </w:t>
      </w:r>
      <w:r>
        <w:rPr>
          <w:bCs/>
          <w:color w:val="000000"/>
          <w:sz w:val="22"/>
          <w:szCs w:val="22"/>
          <w:lang w:val="en-US"/>
        </w:rPr>
        <w:t>‘</w:t>
      </w:r>
      <w:r w:rsidR="00EF7938" w:rsidRPr="007D7BF1">
        <w:rPr>
          <w:bCs/>
          <w:color w:val="000000"/>
          <w:sz w:val="22"/>
          <w:szCs w:val="22"/>
          <w:lang w:val="en-US"/>
        </w:rPr>
        <w:t>The business model: recent developments and future research</w:t>
      </w:r>
      <w:r>
        <w:rPr>
          <w:bCs/>
          <w:color w:val="000000"/>
          <w:sz w:val="22"/>
          <w:szCs w:val="22"/>
          <w:lang w:val="en-US"/>
        </w:rPr>
        <w:t>’,</w:t>
      </w:r>
      <w:r w:rsidR="00EF7938" w:rsidRPr="007D7BF1">
        <w:rPr>
          <w:bCs/>
          <w:color w:val="000000"/>
          <w:sz w:val="22"/>
          <w:szCs w:val="22"/>
          <w:lang w:val="en-US"/>
        </w:rPr>
        <w:t xml:space="preserve"> </w:t>
      </w:r>
      <w:r w:rsidR="00EF7938" w:rsidRPr="00A500E0">
        <w:rPr>
          <w:bCs/>
          <w:i/>
          <w:iCs/>
          <w:color w:val="000000"/>
          <w:sz w:val="22"/>
          <w:szCs w:val="22"/>
          <w:lang w:val="en-US"/>
        </w:rPr>
        <w:t>Journal of Management</w:t>
      </w:r>
      <w:r>
        <w:rPr>
          <w:bCs/>
          <w:iCs/>
          <w:color w:val="000000"/>
          <w:sz w:val="22"/>
          <w:szCs w:val="22"/>
          <w:lang w:val="en-US"/>
        </w:rPr>
        <w:t>, Vol.</w:t>
      </w:r>
      <w:r w:rsidR="00EF7938" w:rsidRPr="007D7BF1">
        <w:rPr>
          <w:bCs/>
          <w:iCs/>
          <w:color w:val="000000"/>
          <w:sz w:val="22"/>
          <w:szCs w:val="22"/>
          <w:lang w:val="en-US"/>
        </w:rPr>
        <w:t xml:space="preserve"> </w:t>
      </w:r>
      <w:r w:rsidR="00EF7938" w:rsidRPr="007D7BF1">
        <w:rPr>
          <w:bCs/>
          <w:color w:val="000000"/>
          <w:sz w:val="22"/>
          <w:szCs w:val="22"/>
          <w:lang w:val="en-US"/>
        </w:rPr>
        <w:t>37 (4), 1019</w:t>
      </w:r>
      <w:r w:rsidR="00EF7938" w:rsidRPr="007D7BF1">
        <w:rPr>
          <w:color w:val="000000"/>
          <w:sz w:val="22"/>
          <w:szCs w:val="22"/>
          <w:lang w:val="en-US" w:eastAsia="en-GB"/>
        </w:rPr>
        <w:t>-</w:t>
      </w:r>
      <w:r w:rsidR="00EF7938" w:rsidRPr="007D7BF1">
        <w:rPr>
          <w:bCs/>
          <w:color w:val="000000"/>
          <w:sz w:val="22"/>
          <w:szCs w:val="22"/>
          <w:lang w:val="en-US"/>
        </w:rPr>
        <w:t>1042.</w:t>
      </w:r>
      <w:r w:rsidR="00EF7938" w:rsidRPr="00EF7938">
        <w:rPr>
          <w:lang w:val="en-GB"/>
        </w:rPr>
        <w:t xml:space="preserve"> </w:t>
      </w:r>
    </w:p>
    <w:p w14:paraId="6F1D27ED" w14:textId="77777777" w:rsidR="002235EF" w:rsidRDefault="002235EF" w:rsidP="00524B7B">
      <w:pPr>
        <w:spacing w:after="0" w:line="240" w:lineRule="auto"/>
        <w:outlineLvl w:val="0"/>
        <w:rPr>
          <w:rFonts w:ascii="Times New Roman" w:hAnsi="Times New Roman"/>
          <w:b/>
          <w:color w:val="000000"/>
          <w:u w:val="single"/>
          <w:lang w:val="en-US"/>
        </w:rPr>
      </w:pPr>
    </w:p>
    <w:p w14:paraId="0AAE9DEE" w14:textId="77777777" w:rsidR="002235EF" w:rsidRDefault="002235EF" w:rsidP="00524B7B">
      <w:pPr>
        <w:spacing w:after="0" w:line="240" w:lineRule="auto"/>
        <w:outlineLvl w:val="0"/>
        <w:rPr>
          <w:rFonts w:ascii="Times New Roman" w:hAnsi="Times New Roman"/>
          <w:b/>
          <w:color w:val="000000"/>
          <w:u w:val="single"/>
          <w:lang w:val="en-US"/>
        </w:rPr>
      </w:pPr>
    </w:p>
    <w:p w14:paraId="191CFC2A" w14:textId="77777777" w:rsidR="002235EF" w:rsidRDefault="002235EF" w:rsidP="00524B7B">
      <w:pPr>
        <w:spacing w:after="0" w:line="240" w:lineRule="auto"/>
        <w:outlineLvl w:val="0"/>
        <w:rPr>
          <w:rFonts w:ascii="Times New Roman" w:hAnsi="Times New Roman"/>
          <w:b/>
          <w:color w:val="000000"/>
          <w:u w:val="single"/>
          <w:lang w:val="en-US"/>
        </w:rPr>
      </w:pPr>
    </w:p>
    <w:p w14:paraId="6760C5AE" w14:textId="77777777" w:rsidR="00F22447" w:rsidRDefault="00F22447" w:rsidP="00524B7B">
      <w:pPr>
        <w:spacing w:after="0" w:line="240" w:lineRule="auto"/>
        <w:outlineLvl w:val="0"/>
        <w:rPr>
          <w:rFonts w:ascii="Times New Roman" w:hAnsi="Times New Roman"/>
          <w:b/>
          <w:color w:val="000000"/>
          <w:u w:val="single"/>
          <w:lang w:val="en-US"/>
        </w:rPr>
      </w:pPr>
    </w:p>
    <w:p w14:paraId="068C92E2" w14:textId="77777777" w:rsidR="00F22447" w:rsidRDefault="00F22447" w:rsidP="00524B7B">
      <w:pPr>
        <w:spacing w:after="0" w:line="240" w:lineRule="auto"/>
        <w:outlineLvl w:val="0"/>
        <w:rPr>
          <w:rFonts w:ascii="Times New Roman" w:hAnsi="Times New Roman"/>
          <w:b/>
          <w:color w:val="000000"/>
          <w:u w:val="single"/>
          <w:lang w:val="en-US"/>
        </w:rPr>
      </w:pPr>
    </w:p>
    <w:p w14:paraId="59EBA671" w14:textId="77777777" w:rsidR="00F22447" w:rsidRDefault="00F22447" w:rsidP="00524B7B">
      <w:pPr>
        <w:spacing w:after="0" w:line="240" w:lineRule="auto"/>
        <w:outlineLvl w:val="0"/>
        <w:rPr>
          <w:rFonts w:ascii="Times New Roman" w:hAnsi="Times New Roman"/>
          <w:b/>
          <w:color w:val="000000"/>
          <w:u w:val="single"/>
          <w:lang w:val="en-US"/>
        </w:rPr>
      </w:pPr>
    </w:p>
    <w:p w14:paraId="405D1BAF" w14:textId="77777777" w:rsidR="00F22447" w:rsidRDefault="00F22447" w:rsidP="00524B7B">
      <w:pPr>
        <w:spacing w:after="0" w:line="240" w:lineRule="auto"/>
        <w:outlineLvl w:val="0"/>
        <w:rPr>
          <w:rFonts w:ascii="Times New Roman" w:hAnsi="Times New Roman"/>
          <w:b/>
          <w:color w:val="000000"/>
          <w:u w:val="single"/>
          <w:lang w:val="en-US"/>
        </w:rPr>
      </w:pPr>
    </w:p>
    <w:p w14:paraId="4EFBF239" w14:textId="77777777" w:rsidR="00F22447" w:rsidRDefault="00F22447" w:rsidP="00524B7B">
      <w:pPr>
        <w:spacing w:after="0" w:line="240" w:lineRule="auto"/>
        <w:outlineLvl w:val="0"/>
        <w:rPr>
          <w:rFonts w:ascii="Times New Roman" w:hAnsi="Times New Roman"/>
          <w:b/>
          <w:color w:val="000000"/>
          <w:u w:val="single"/>
          <w:lang w:val="en-US"/>
        </w:rPr>
      </w:pPr>
    </w:p>
    <w:p w14:paraId="328852E5" w14:textId="77777777" w:rsidR="00F22447" w:rsidRDefault="00F22447" w:rsidP="00524B7B">
      <w:pPr>
        <w:spacing w:after="0" w:line="240" w:lineRule="auto"/>
        <w:outlineLvl w:val="0"/>
        <w:rPr>
          <w:rFonts w:ascii="Times New Roman" w:hAnsi="Times New Roman"/>
          <w:b/>
          <w:color w:val="000000"/>
          <w:u w:val="single"/>
          <w:lang w:val="en-US"/>
        </w:rPr>
      </w:pPr>
    </w:p>
    <w:p w14:paraId="32E0DB08" w14:textId="77777777" w:rsidR="00F22447" w:rsidRDefault="00F22447" w:rsidP="00524B7B">
      <w:pPr>
        <w:spacing w:after="0" w:line="240" w:lineRule="auto"/>
        <w:outlineLvl w:val="0"/>
        <w:rPr>
          <w:rFonts w:ascii="Times New Roman" w:hAnsi="Times New Roman"/>
          <w:b/>
          <w:color w:val="000000"/>
          <w:u w:val="single"/>
          <w:lang w:val="en-US"/>
        </w:rPr>
      </w:pPr>
    </w:p>
    <w:p w14:paraId="773F9273" w14:textId="77777777" w:rsidR="00F22447" w:rsidRDefault="00F22447" w:rsidP="00524B7B">
      <w:pPr>
        <w:spacing w:after="0" w:line="240" w:lineRule="auto"/>
        <w:outlineLvl w:val="0"/>
        <w:rPr>
          <w:rFonts w:ascii="Times New Roman" w:hAnsi="Times New Roman"/>
          <w:b/>
          <w:color w:val="000000"/>
          <w:u w:val="single"/>
          <w:lang w:val="en-US"/>
        </w:rPr>
      </w:pPr>
    </w:p>
    <w:p w14:paraId="5CE25018" w14:textId="77777777" w:rsidR="00F22447" w:rsidRDefault="00F22447" w:rsidP="00524B7B">
      <w:pPr>
        <w:spacing w:after="0" w:line="240" w:lineRule="auto"/>
        <w:outlineLvl w:val="0"/>
        <w:rPr>
          <w:rFonts w:ascii="Times New Roman" w:hAnsi="Times New Roman"/>
          <w:b/>
          <w:color w:val="000000"/>
          <w:u w:val="single"/>
          <w:lang w:val="en-US"/>
        </w:rPr>
      </w:pPr>
    </w:p>
    <w:p w14:paraId="71278E65" w14:textId="77777777" w:rsidR="00F22447" w:rsidRDefault="00F22447" w:rsidP="00524B7B">
      <w:pPr>
        <w:spacing w:after="0" w:line="240" w:lineRule="auto"/>
        <w:outlineLvl w:val="0"/>
        <w:rPr>
          <w:rFonts w:ascii="Times New Roman" w:hAnsi="Times New Roman"/>
          <w:b/>
          <w:color w:val="000000"/>
          <w:u w:val="single"/>
          <w:lang w:val="en-US"/>
        </w:rPr>
      </w:pPr>
    </w:p>
    <w:p w14:paraId="158EA531" w14:textId="77777777" w:rsidR="00F22447" w:rsidRDefault="00F22447" w:rsidP="00524B7B">
      <w:pPr>
        <w:spacing w:after="0" w:line="240" w:lineRule="auto"/>
        <w:outlineLvl w:val="0"/>
        <w:rPr>
          <w:rFonts w:ascii="Times New Roman" w:hAnsi="Times New Roman"/>
          <w:b/>
          <w:color w:val="000000"/>
          <w:u w:val="single"/>
          <w:lang w:val="en-US"/>
        </w:rPr>
      </w:pPr>
    </w:p>
    <w:p w14:paraId="1C63FCE1" w14:textId="77777777" w:rsidR="00F22447" w:rsidRDefault="00F22447" w:rsidP="00524B7B">
      <w:pPr>
        <w:spacing w:after="0" w:line="240" w:lineRule="auto"/>
        <w:outlineLvl w:val="0"/>
        <w:rPr>
          <w:rFonts w:ascii="Times New Roman" w:hAnsi="Times New Roman"/>
          <w:b/>
          <w:color w:val="000000"/>
          <w:u w:val="single"/>
          <w:lang w:val="en-US"/>
        </w:rPr>
      </w:pPr>
    </w:p>
    <w:p w14:paraId="42E9006E" w14:textId="77777777" w:rsidR="00F22447" w:rsidRDefault="00F22447" w:rsidP="00524B7B">
      <w:pPr>
        <w:spacing w:after="0" w:line="240" w:lineRule="auto"/>
        <w:outlineLvl w:val="0"/>
        <w:rPr>
          <w:rFonts w:ascii="Times New Roman" w:hAnsi="Times New Roman"/>
          <w:b/>
          <w:color w:val="000000"/>
          <w:u w:val="single"/>
          <w:lang w:val="en-US"/>
        </w:rPr>
      </w:pPr>
    </w:p>
    <w:p w14:paraId="7FC25ABE" w14:textId="77777777" w:rsidR="00F22447" w:rsidRDefault="00F22447" w:rsidP="00524B7B">
      <w:pPr>
        <w:spacing w:after="0" w:line="240" w:lineRule="auto"/>
        <w:outlineLvl w:val="0"/>
        <w:rPr>
          <w:rFonts w:ascii="Times New Roman" w:hAnsi="Times New Roman"/>
          <w:b/>
          <w:color w:val="000000"/>
          <w:u w:val="single"/>
          <w:lang w:val="en-US"/>
        </w:rPr>
      </w:pPr>
    </w:p>
    <w:p w14:paraId="5E20229C" w14:textId="77777777" w:rsidR="00F22447" w:rsidRDefault="00F22447" w:rsidP="00524B7B">
      <w:pPr>
        <w:spacing w:after="0" w:line="240" w:lineRule="auto"/>
        <w:outlineLvl w:val="0"/>
        <w:rPr>
          <w:rFonts w:ascii="Times New Roman" w:hAnsi="Times New Roman"/>
          <w:b/>
          <w:color w:val="000000"/>
          <w:u w:val="single"/>
          <w:lang w:val="en-US"/>
        </w:rPr>
      </w:pPr>
    </w:p>
    <w:p w14:paraId="11DC909E" w14:textId="77777777" w:rsidR="00F22447" w:rsidRDefault="00F22447" w:rsidP="00524B7B">
      <w:pPr>
        <w:spacing w:after="0" w:line="240" w:lineRule="auto"/>
        <w:outlineLvl w:val="0"/>
        <w:rPr>
          <w:rFonts w:ascii="Times New Roman" w:hAnsi="Times New Roman"/>
          <w:b/>
          <w:color w:val="000000"/>
          <w:u w:val="single"/>
          <w:lang w:val="en-US"/>
        </w:rPr>
      </w:pPr>
    </w:p>
    <w:p w14:paraId="55A4BDFC" w14:textId="77777777" w:rsidR="00F22447" w:rsidRDefault="00F22447" w:rsidP="00524B7B">
      <w:pPr>
        <w:spacing w:after="0" w:line="240" w:lineRule="auto"/>
        <w:outlineLvl w:val="0"/>
        <w:rPr>
          <w:rFonts w:ascii="Times New Roman" w:hAnsi="Times New Roman"/>
          <w:b/>
          <w:color w:val="000000"/>
          <w:u w:val="single"/>
          <w:lang w:val="en-US"/>
        </w:rPr>
      </w:pPr>
    </w:p>
    <w:p w14:paraId="2C195C6B" w14:textId="77777777" w:rsidR="00F22447" w:rsidRDefault="00F22447" w:rsidP="00524B7B">
      <w:pPr>
        <w:spacing w:after="0" w:line="240" w:lineRule="auto"/>
        <w:outlineLvl w:val="0"/>
        <w:rPr>
          <w:rFonts w:ascii="Times New Roman" w:hAnsi="Times New Roman"/>
          <w:b/>
          <w:color w:val="000000"/>
          <w:u w:val="single"/>
          <w:lang w:val="en-US"/>
        </w:rPr>
      </w:pPr>
    </w:p>
    <w:p w14:paraId="63FB2F9D" w14:textId="77777777" w:rsidR="00F22447" w:rsidRDefault="00F22447" w:rsidP="00524B7B">
      <w:pPr>
        <w:spacing w:after="0" w:line="240" w:lineRule="auto"/>
        <w:outlineLvl w:val="0"/>
        <w:rPr>
          <w:rFonts w:ascii="Times New Roman" w:hAnsi="Times New Roman"/>
          <w:b/>
          <w:color w:val="000000"/>
          <w:u w:val="single"/>
          <w:lang w:val="en-US"/>
        </w:rPr>
      </w:pPr>
    </w:p>
    <w:p w14:paraId="365E8376" w14:textId="77777777" w:rsidR="00F22447" w:rsidRDefault="00F22447" w:rsidP="00524B7B">
      <w:pPr>
        <w:spacing w:after="0" w:line="240" w:lineRule="auto"/>
        <w:outlineLvl w:val="0"/>
        <w:rPr>
          <w:rFonts w:ascii="Times New Roman" w:hAnsi="Times New Roman"/>
          <w:b/>
          <w:color w:val="000000"/>
          <w:u w:val="single"/>
          <w:lang w:val="en-US"/>
        </w:rPr>
      </w:pPr>
    </w:p>
    <w:p w14:paraId="62E60F25" w14:textId="77777777" w:rsidR="00F22447" w:rsidRDefault="00F22447" w:rsidP="00524B7B">
      <w:pPr>
        <w:spacing w:after="0" w:line="240" w:lineRule="auto"/>
        <w:outlineLvl w:val="0"/>
        <w:rPr>
          <w:rFonts w:ascii="Times New Roman" w:hAnsi="Times New Roman"/>
          <w:b/>
          <w:color w:val="000000"/>
          <w:u w:val="single"/>
          <w:lang w:val="en-US"/>
        </w:rPr>
      </w:pPr>
    </w:p>
    <w:p w14:paraId="2EDFF102" w14:textId="77777777" w:rsidR="00F22447" w:rsidRDefault="00F22447" w:rsidP="00524B7B">
      <w:pPr>
        <w:spacing w:after="0" w:line="240" w:lineRule="auto"/>
        <w:outlineLvl w:val="0"/>
        <w:rPr>
          <w:rFonts w:ascii="Times New Roman" w:hAnsi="Times New Roman"/>
          <w:b/>
          <w:color w:val="000000"/>
          <w:u w:val="single"/>
          <w:lang w:val="en-US"/>
        </w:rPr>
      </w:pPr>
    </w:p>
    <w:p w14:paraId="602DA926" w14:textId="77777777" w:rsidR="00F22447" w:rsidRDefault="00F22447" w:rsidP="00524B7B">
      <w:pPr>
        <w:spacing w:after="0" w:line="240" w:lineRule="auto"/>
        <w:outlineLvl w:val="0"/>
        <w:rPr>
          <w:rFonts w:ascii="Times New Roman" w:hAnsi="Times New Roman"/>
          <w:b/>
          <w:color w:val="000000"/>
          <w:u w:val="single"/>
          <w:lang w:val="en-US"/>
        </w:rPr>
      </w:pPr>
    </w:p>
    <w:p w14:paraId="52BF0553" w14:textId="77777777" w:rsidR="00F22447" w:rsidRDefault="00F22447" w:rsidP="00524B7B">
      <w:pPr>
        <w:spacing w:after="0" w:line="240" w:lineRule="auto"/>
        <w:outlineLvl w:val="0"/>
        <w:rPr>
          <w:rFonts w:ascii="Times New Roman" w:hAnsi="Times New Roman"/>
          <w:b/>
          <w:color w:val="000000"/>
          <w:u w:val="single"/>
          <w:lang w:val="en-US"/>
        </w:rPr>
      </w:pPr>
    </w:p>
    <w:p w14:paraId="053C17EC" w14:textId="77777777" w:rsidR="00F22447" w:rsidRDefault="00F22447" w:rsidP="00524B7B">
      <w:pPr>
        <w:spacing w:after="0" w:line="240" w:lineRule="auto"/>
        <w:outlineLvl w:val="0"/>
        <w:rPr>
          <w:rFonts w:ascii="Times New Roman" w:hAnsi="Times New Roman"/>
          <w:b/>
          <w:color w:val="000000"/>
          <w:u w:val="single"/>
          <w:lang w:val="en-US"/>
        </w:rPr>
      </w:pPr>
    </w:p>
    <w:p w14:paraId="6D6E793F" w14:textId="77777777" w:rsidR="00F22447" w:rsidRDefault="00F22447" w:rsidP="00524B7B">
      <w:pPr>
        <w:spacing w:after="0" w:line="240" w:lineRule="auto"/>
        <w:outlineLvl w:val="0"/>
        <w:rPr>
          <w:rFonts w:ascii="Times New Roman" w:hAnsi="Times New Roman"/>
          <w:b/>
          <w:color w:val="000000"/>
          <w:u w:val="single"/>
          <w:lang w:val="en-US"/>
        </w:rPr>
      </w:pPr>
    </w:p>
    <w:p w14:paraId="422E4EC9" w14:textId="77777777" w:rsidR="00F22447" w:rsidRDefault="00F22447" w:rsidP="00524B7B">
      <w:pPr>
        <w:spacing w:after="0" w:line="240" w:lineRule="auto"/>
        <w:outlineLvl w:val="0"/>
        <w:rPr>
          <w:rFonts w:ascii="Times New Roman" w:hAnsi="Times New Roman"/>
          <w:b/>
          <w:color w:val="000000"/>
          <w:u w:val="single"/>
          <w:lang w:val="en-US"/>
        </w:rPr>
      </w:pPr>
    </w:p>
    <w:p w14:paraId="05915A40" w14:textId="77777777" w:rsidR="00F22447" w:rsidRDefault="00F22447" w:rsidP="00524B7B">
      <w:pPr>
        <w:spacing w:after="0" w:line="240" w:lineRule="auto"/>
        <w:outlineLvl w:val="0"/>
        <w:rPr>
          <w:rFonts w:ascii="Times New Roman" w:hAnsi="Times New Roman"/>
          <w:b/>
          <w:color w:val="000000"/>
          <w:u w:val="single"/>
          <w:lang w:val="en-US"/>
        </w:rPr>
      </w:pPr>
    </w:p>
    <w:p w14:paraId="34400BF0" w14:textId="77777777" w:rsidR="00F22447" w:rsidRDefault="00F22447" w:rsidP="00524B7B">
      <w:pPr>
        <w:spacing w:after="0" w:line="240" w:lineRule="auto"/>
        <w:outlineLvl w:val="0"/>
        <w:rPr>
          <w:rFonts w:ascii="Times New Roman" w:hAnsi="Times New Roman"/>
          <w:b/>
          <w:color w:val="000000"/>
          <w:u w:val="single"/>
          <w:lang w:val="en-US"/>
        </w:rPr>
      </w:pPr>
    </w:p>
    <w:p w14:paraId="1816C2FE" w14:textId="77777777" w:rsidR="00F22447" w:rsidRDefault="00F22447" w:rsidP="00524B7B">
      <w:pPr>
        <w:spacing w:after="0" w:line="240" w:lineRule="auto"/>
        <w:outlineLvl w:val="0"/>
        <w:rPr>
          <w:rFonts w:ascii="Times New Roman" w:hAnsi="Times New Roman"/>
          <w:b/>
          <w:color w:val="000000"/>
          <w:u w:val="single"/>
          <w:lang w:val="en-US"/>
        </w:rPr>
      </w:pPr>
    </w:p>
    <w:p w14:paraId="3C4344B8" w14:textId="77777777" w:rsidR="00F22447" w:rsidRDefault="00F22447" w:rsidP="00524B7B">
      <w:pPr>
        <w:spacing w:after="0" w:line="240" w:lineRule="auto"/>
        <w:outlineLvl w:val="0"/>
        <w:rPr>
          <w:rFonts w:ascii="Times New Roman" w:hAnsi="Times New Roman"/>
          <w:b/>
          <w:color w:val="000000"/>
          <w:u w:val="single"/>
          <w:lang w:val="en-US"/>
        </w:rPr>
      </w:pPr>
    </w:p>
    <w:p w14:paraId="7BB01464" w14:textId="77777777" w:rsidR="00F22447" w:rsidRDefault="00F22447" w:rsidP="00524B7B">
      <w:pPr>
        <w:spacing w:after="0" w:line="240" w:lineRule="auto"/>
        <w:outlineLvl w:val="0"/>
        <w:rPr>
          <w:rFonts w:ascii="Times New Roman" w:hAnsi="Times New Roman"/>
          <w:b/>
          <w:color w:val="000000"/>
          <w:u w:val="single"/>
          <w:lang w:val="en-US"/>
        </w:rPr>
      </w:pPr>
    </w:p>
    <w:p w14:paraId="2D0B4075" w14:textId="77777777" w:rsidR="00F22447" w:rsidRDefault="00F22447" w:rsidP="00524B7B">
      <w:pPr>
        <w:spacing w:after="0" w:line="240" w:lineRule="auto"/>
        <w:outlineLvl w:val="0"/>
        <w:rPr>
          <w:rFonts w:ascii="Times New Roman" w:hAnsi="Times New Roman"/>
          <w:b/>
          <w:color w:val="000000"/>
          <w:u w:val="single"/>
          <w:lang w:val="en-US"/>
        </w:rPr>
      </w:pPr>
    </w:p>
    <w:p w14:paraId="23B49336" w14:textId="77777777" w:rsidR="00F22447" w:rsidRDefault="00F22447" w:rsidP="00524B7B">
      <w:pPr>
        <w:spacing w:after="0" w:line="240" w:lineRule="auto"/>
        <w:outlineLvl w:val="0"/>
        <w:rPr>
          <w:rFonts w:ascii="Times New Roman" w:hAnsi="Times New Roman"/>
          <w:b/>
          <w:color w:val="000000"/>
          <w:u w:val="single"/>
          <w:lang w:val="en-US"/>
        </w:rPr>
      </w:pPr>
    </w:p>
    <w:p w14:paraId="618035C3" w14:textId="77777777" w:rsidR="00F22447" w:rsidRDefault="00F22447" w:rsidP="00524B7B">
      <w:pPr>
        <w:spacing w:after="0" w:line="240" w:lineRule="auto"/>
        <w:outlineLvl w:val="0"/>
        <w:rPr>
          <w:rFonts w:ascii="Times New Roman" w:hAnsi="Times New Roman"/>
          <w:b/>
          <w:color w:val="000000"/>
          <w:u w:val="single"/>
          <w:lang w:val="en-US"/>
        </w:rPr>
      </w:pPr>
    </w:p>
    <w:p w14:paraId="0E9B6E0F" w14:textId="77777777" w:rsidR="00F22447" w:rsidRDefault="00F22447" w:rsidP="00524B7B">
      <w:pPr>
        <w:spacing w:after="0" w:line="240" w:lineRule="auto"/>
        <w:outlineLvl w:val="0"/>
        <w:rPr>
          <w:rFonts w:ascii="Times New Roman" w:hAnsi="Times New Roman"/>
          <w:b/>
          <w:color w:val="000000"/>
          <w:u w:val="single"/>
          <w:lang w:val="en-US"/>
        </w:rPr>
      </w:pPr>
    </w:p>
    <w:p w14:paraId="7BD9DE5B" w14:textId="77777777" w:rsidR="00F22447" w:rsidRDefault="00F22447" w:rsidP="00524B7B">
      <w:pPr>
        <w:spacing w:after="0" w:line="240" w:lineRule="auto"/>
        <w:outlineLvl w:val="0"/>
        <w:rPr>
          <w:rFonts w:ascii="Times New Roman" w:hAnsi="Times New Roman"/>
          <w:b/>
          <w:color w:val="000000"/>
          <w:u w:val="single"/>
          <w:lang w:val="en-US"/>
        </w:rPr>
      </w:pPr>
    </w:p>
    <w:p w14:paraId="5BE7865E" w14:textId="77777777" w:rsidR="00994652" w:rsidRDefault="00994652" w:rsidP="00524B7B">
      <w:pPr>
        <w:spacing w:after="0" w:line="240" w:lineRule="auto"/>
        <w:outlineLvl w:val="0"/>
        <w:rPr>
          <w:rFonts w:ascii="Times New Roman" w:hAnsi="Times New Roman"/>
          <w:b/>
          <w:color w:val="000000"/>
          <w:u w:val="single"/>
          <w:lang w:val="en-US"/>
        </w:rPr>
      </w:pPr>
    </w:p>
    <w:p w14:paraId="735F6929" w14:textId="77777777" w:rsidR="00AF7A56" w:rsidRDefault="00AF7A56" w:rsidP="00524B7B">
      <w:pPr>
        <w:spacing w:after="0" w:line="240" w:lineRule="auto"/>
        <w:outlineLvl w:val="0"/>
        <w:rPr>
          <w:rFonts w:ascii="Times New Roman" w:hAnsi="Times New Roman"/>
          <w:b/>
          <w:color w:val="000000"/>
          <w:u w:val="single"/>
          <w:lang w:val="en-US"/>
        </w:rPr>
      </w:pPr>
    </w:p>
    <w:p w14:paraId="263642C5" w14:textId="67ED63DD" w:rsidR="00524B7B" w:rsidRPr="00F87185" w:rsidRDefault="00F87185" w:rsidP="00524B7B">
      <w:pPr>
        <w:spacing w:after="0" w:line="240" w:lineRule="auto"/>
        <w:outlineLvl w:val="0"/>
        <w:rPr>
          <w:rFonts w:ascii="Times New Roman" w:hAnsi="Times New Roman"/>
          <w:b/>
          <w:color w:val="000000"/>
          <w:u w:val="single"/>
          <w:lang w:val="en-US"/>
        </w:rPr>
      </w:pPr>
      <w:r w:rsidRPr="00F87185">
        <w:rPr>
          <w:rFonts w:ascii="Times New Roman" w:hAnsi="Times New Roman"/>
          <w:b/>
          <w:color w:val="000000"/>
          <w:u w:val="single"/>
          <w:lang w:val="en-US"/>
        </w:rPr>
        <w:t xml:space="preserve">Tables: </w:t>
      </w:r>
    </w:p>
    <w:p w14:paraId="20AB9A91" w14:textId="71AC6526" w:rsidR="00F87185" w:rsidRDefault="00F87185" w:rsidP="00524B7B">
      <w:pPr>
        <w:spacing w:after="0" w:line="240" w:lineRule="auto"/>
        <w:outlineLvl w:val="0"/>
        <w:rPr>
          <w:color w:val="000000"/>
          <w:lang w:val="en-US"/>
        </w:rPr>
      </w:pPr>
    </w:p>
    <w:p w14:paraId="7DB159B6" w14:textId="17CBA583" w:rsidR="002235EF" w:rsidRDefault="002235EF" w:rsidP="00524B7B">
      <w:pPr>
        <w:spacing w:after="0" w:line="240" w:lineRule="auto"/>
        <w:outlineLvl w:val="0"/>
        <w:rPr>
          <w:color w:val="000000"/>
          <w:lang w:val="en-US"/>
        </w:rPr>
      </w:pPr>
    </w:p>
    <w:p w14:paraId="7A9958F2" w14:textId="67F62B41" w:rsidR="002235EF" w:rsidRDefault="002235EF" w:rsidP="00524B7B">
      <w:pPr>
        <w:spacing w:after="0" w:line="240" w:lineRule="auto"/>
        <w:outlineLvl w:val="0"/>
        <w:rPr>
          <w:color w:val="000000"/>
          <w:lang w:val="en-US"/>
        </w:rPr>
      </w:pPr>
    </w:p>
    <w:p w14:paraId="69E659D1" w14:textId="77777777" w:rsidR="002235EF" w:rsidRDefault="002235EF" w:rsidP="00524B7B">
      <w:pPr>
        <w:spacing w:after="0" w:line="240" w:lineRule="auto"/>
        <w:outlineLvl w:val="0"/>
        <w:rPr>
          <w:color w:val="000000"/>
          <w:lang w:val="en-US"/>
        </w:rPr>
      </w:pPr>
    </w:p>
    <w:p w14:paraId="7BD950CA" w14:textId="77777777" w:rsidR="006432A1" w:rsidRDefault="006432A1" w:rsidP="00524B7B">
      <w:pPr>
        <w:spacing w:after="0" w:line="240" w:lineRule="auto"/>
        <w:outlineLvl w:val="0"/>
        <w:rPr>
          <w:rFonts w:ascii="Times New Roman" w:hAnsi="Times New Roman"/>
          <w:b/>
          <w:color w:val="000000"/>
          <w:lang w:val="en-GB"/>
        </w:rPr>
      </w:pPr>
    </w:p>
    <w:p w14:paraId="59C87D20" w14:textId="5F67A51D" w:rsidR="00E3126E" w:rsidRPr="007817AD" w:rsidRDefault="00E3126E" w:rsidP="00E3126E">
      <w:pPr>
        <w:spacing w:after="0" w:line="240" w:lineRule="auto"/>
        <w:jc w:val="center"/>
        <w:outlineLvl w:val="0"/>
        <w:rPr>
          <w:rFonts w:ascii="Times New Roman" w:hAnsi="Times New Roman"/>
          <w:color w:val="000000"/>
          <w:lang w:val="en-GB"/>
        </w:rPr>
      </w:pPr>
      <w:r w:rsidRPr="007817AD">
        <w:rPr>
          <w:rFonts w:ascii="Times New Roman" w:hAnsi="Times New Roman"/>
          <w:b/>
          <w:color w:val="000000"/>
          <w:lang w:val="en-GB"/>
        </w:rPr>
        <w:t>Table 1</w:t>
      </w:r>
      <w:r w:rsidRPr="007817AD">
        <w:rPr>
          <w:rFonts w:ascii="Times New Roman" w:hAnsi="Times New Roman"/>
          <w:color w:val="000000"/>
          <w:lang w:val="en-GB"/>
        </w:rPr>
        <w:t>. Descriptive statistics dependent and independent variable</w:t>
      </w:r>
    </w:p>
    <w:p w14:paraId="7B750D7D" w14:textId="77777777" w:rsidR="00E3126E" w:rsidRPr="007817AD" w:rsidRDefault="00E3126E" w:rsidP="00E3126E">
      <w:pPr>
        <w:spacing w:after="0" w:line="240" w:lineRule="auto"/>
        <w:jc w:val="both"/>
        <w:rPr>
          <w:rFonts w:ascii="Times New Roman" w:hAnsi="Times New Roman"/>
          <w:color w:val="000000"/>
          <w:sz w:val="24"/>
          <w:szCs w:val="24"/>
          <w:lang w:val="en-GB"/>
        </w:rPr>
      </w:pPr>
    </w:p>
    <w:tbl>
      <w:tblPr>
        <w:tblW w:w="6629" w:type="dxa"/>
        <w:jc w:val="center"/>
        <w:tblLook w:val="00A0" w:firstRow="1" w:lastRow="0" w:firstColumn="1" w:lastColumn="0" w:noHBand="0" w:noVBand="0"/>
      </w:tblPr>
      <w:tblGrid>
        <w:gridCol w:w="1728"/>
        <w:gridCol w:w="2633"/>
        <w:gridCol w:w="2268"/>
      </w:tblGrid>
      <w:tr w:rsidR="00E3126E" w:rsidRPr="007817AD" w14:paraId="0156A799" w14:textId="77777777" w:rsidTr="00D17CD1">
        <w:trPr>
          <w:jc w:val="center"/>
        </w:trPr>
        <w:tc>
          <w:tcPr>
            <w:tcW w:w="1728" w:type="dxa"/>
            <w:tcBorders>
              <w:top w:val="single" w:sz="4" w:space="0" w:color="auto"/>
              <w:bottom w:val="single" w:sz="4" w:space="0" w:color="auto"/>
            </w:tcBorders>
          </w:tcPr>
          <w:p w14:paraId="54935E95" w14:textId="77777777" w:rsidR="00E3126E" w:rsidRPr="007817AD" w:rsidRDefault="00E3126E" w:rsidP="00D17CD1">
            <w:pPr>
              <w:spacing w:after="0" w:line="360" w:lineRule="auto"/>
              <w:jc w:val="both"/>
              <w:rPr>
                <w:rFonts w:ascii="Times New Roman" w:hAnsi="Times New Roman"/>
                <w:color w:val="000000"/>
                <w:sz w:val="24"/>
                <w:szCs w:val="24"/>
                <w:lang w:val="en-GB"/>
              </w:rPr>
            </w:pPr>
          </w:p>
        </w:tc>
        <w:tc>
          <w:tcPr>
            <w:tcW w:w="2633" w:type="dxa"/>
            <w:tcBorders>
              <w:top w:val="single" w:sz="4" w:space="0" w:color="auto"/>
              <w:bottom w:val="single" w:sz="4" w:space="0" w:color="auto"/>
            </w:tcBorders>
          </w:tcPr>
          <w:p w14:paraId="34A062CE" w14:textId="77777777" w:rsidR="00E3126E" w:rsidRPr="007817AD" w:rsidRDefault="00E3126E" w:rsidP="00D17CD1">
            <w:pPr>
              <w:spacing w:after="0" w:line="360" w:lineRule="auto"/>
              <w:jc w:val="center"/>
              <w:rPr>
                <w:rFonts w:ascii="Times New Roman" w:hAnsi="Times New Roman"/>
                <w:b/>
                <w:color w:val="000000"/>
                <w:sz w:val="24"/>
                <w:szCs w:val="24"/>
                <w:lang w:val="en-GB"/>
              </w:rPr>
            </w:pPr>
            <w:r w:rsidRPr="007817AD">
              <w:rPr>
                <w:rFonts w:ascii="Times New Roman" w:hAnsi="Times New Roman"/>
                <w:b/>
                <w:color w:val="000000"/>
                <w:sz w:val="24"/>
                <w:szCs w:val="24"/>
                <w:lang w:val="en-GB"/>
              </w:rPr>
              <w:t>Sales Per capita (US$)</w:t>
            </w:r>
          </w:p>
        </w:tc>
        <w:tc>
          <w:tcPr>
            <w:tcW w:w="2268" w:type="dxa"/>
            <w:tcBorders>
              <w:top w:val="single" w:sz="4" w:space="0" w:color="auto"/>
              <w:bottom w:val="single" w:sz="4" w:space="0" w:color="auto"/>
            </w:tcBorders>
          </w:tcPr>
          <w:p w14:paraId="07FB492A" w14:textId="77777777" w:rsidR="00E3126E" w:rsidRPr="007817AD" w:rsidRDefault="00E3126E" w:rsidP="00D17CD1">
            <w:pPr>
              <w:spacing w:after="0" w:line="360" w:lineRule="auto"/>
              <w:jc w:val="center"/>
              <w:rPr>
                <w:rFonts w:ascii="Times New Roman" w:hAnsi="Times New Roman"/>
                <w:b/>
                <w:color w:val="000000"/>
                <w:sz w:val="24"/>
                <w:szCs w:val="24"/>
                <w:lang w:val="en-GB"/>
              </w:rPr>
            </w:pPr>
            <w:r w:rsidRPr="007817AD">
              <w:rPr>
                <w:rFonts w:ascii="Times New Roman" w:hAnsi="Times New Roman"/>
                <w:b/>
                <w:color w:val="000000"/>
                <w:sz w:val="24"/>
                <w:szCs w:val="24"/>
                <w:lang w:val="en-GB"/>
              </w:rPr>
              <w:t>Format Density</w:t>
            </w:r>
          </w:p>
          <w:p w14:paraId="4E3278F1" w14:textId="77777777" w:rsidR="00E3126E" w:rsidRPr="007817AD" w:rsidRDefault="00E3126E" w:rsidP="00D17CD1">
            <w:pPr>
              <w:spacing w:after="0" w:line="360" w:lineRule="auto"/>
              <w:jc w:val="center"/>
              <w:rPr>
                <w:rFonts w:ascii="Times New Roman" w:hAnsi="Times New Roman"/>
                <w:i/>
                <w:color w:val="000000"/>
                <w:sz w:val="24"/>
                <w:szCs w:val="24"/>
                <w:lang w:val="en-GB"/>
              </w:rPr>
            </w:pPr>
            <w:proofErr w:type="spellStart"/>
            <w:r w:rsidRPr="007817AD">
              <w:rPr>
                <w:rFonts w:ascii="Times New Roman" w:hAnsi="Times New Roman"/>
                <w:i/>
                <w:color w:val="000000"/>
                <w:sz w:val="24"/>
                <w:szCs w:val="24"/>
                <w:lang w:val="en-GB"/>
              </w:rPr>
              <w:t>Herfindahl</w:t>
            </w:r>
            <w:proofErr w:type="spellEnd"/>
            <w:r w:rsidRPr="007817AD">
              <w:rPr>
                <w:rFonts w:ascii="Times New Roman" w:hAnsi="Times New Roman"/>
                <w:i/>
                <w:color w:val="000000"/>
                <w:sz w:val="24"/>
                <w:szCs w:val="24"/>
                <w:lang w:val="en-GB"/>
              </w:rPr>
              <w:t xml:space="preserve"> Index</w:t>
            </w:r>
          </w:p>
        </w:tc>
      </w:tr>
      <w:tr w:rsidR="00E3126E" w:rsidRPr="007817AD" w14:paraId="68DB039B" w14:textId="77777777" w:rsidTr="00D17CD1">
        <w:trPr>
          <w:jc w:val="center"/>
        </w:trPr>
        <w:tc>
          <w:tcPr>
            <w:tcW w:w="1728" w:type="dxa"/>
            <w:tcBorders>
              <w:top w:val="single" w:sz="4" w:space="0" w:color="auto"/>
            </w:tcBorders>
          </w:tcPr>
          <w:p w14:paraId="7468373A" w14:textId="77777777" w:rsidR="00E3126E" w:rsidRPr="007817AD" w:rsidRDefault="00E3126E" w:rsidP="00D17CD1">
            <w:pPr>
              <w:spacing w:after="0" w:line="360" w:lineRule="auto"/>
              <w:jc w:val="both"/>
              <w:rPr>
                <w:rFonts w:ascii="Times New Roman" w:hAnsi="Times New Roman"/>
                <w:i/>
                <w:color w:val="000000"/>
                <w:sz w:val="24"/>
                <w:szCs w:val="24"/>
                <w:lang w:val="en-GB"/>
              </w:rPr>
            </w:pPr>
            <w:r w:rsidRPr="007817AD">
              <w:rPr>
                <w:rFonts w:ascii="Times New Roman" w:hAnsi="Times New Roman"/>
                <w:i/>
                <w:color w:val="000000"/>
                <w:sz w:val="24"/>
                <w:szCs w:val="24"/>
                <w:lang w:val="en-GB"/>
              </w:rPr>
              <w:t>Average</w:t>
            </w:r>
          </w:p>
        </w:tc>
        <w:tc>
          <w:tcPr>
            <w:tcW w:w="2633" w:type="dxa"/>
            <w:tcBorders>
              <w:top w:val="single" w:sz="4" w:space="0" w:color="auto"/>
            </w:tcBorders>
          </w:tcPr>
          <w:p w14:paraId="5D1B9113" w14:textId="77777777" w:rsidR="00E3126E" w:rsidRPr="007817AD" w:rsidRDefault="00E3126E" w:rsidP="00D17CD1">
            <w:pPr>
              <w:spacing w:after="0" w:line="360" w:lineRule="auto"/>
              <w:jc w:val="center"/>
              <w:rPr>
                <w:rFonts w:ascii="Times New Roman" w:hAnsi="Times New Roman"/>
                <w:color w:val="000000"/>
                <w:sz w:val="24"/>
                <w:szCs w:val="24"/>
                <w:lang w:val="en-GB"/>
              </w:rPr>
            </w:pPr>
            <w:r w:rsidRPr="007817AD">
              <w:rPr>
                <w:rFonts w:ascii="Times New Roman" w:hAnsi="Times New Roman"/>
                <w:color w:val="000000"/>
                <w:sz w:val="24"/>
                <w:szCs w:val="24"/>
                <w:lang w:val="en-GB"/>
              </w:rPr>
              <w:t>15.01</w:t>
            </w:r>
          </w:p>
        </w:tc>
        <w:tc>
          <w:tcPr>
            <w:tcW w:w="2268" w:type="dxa"/>
            <w:tcBorders>
              <w:top w:val="single" w:sz="4" w:space="0" w:color="auto"/>
            </w:tcBorders>
          </w:tcPr>
          <w:p w14:paraId="05996597" w14:textId="77777777" w:rsidR="00E3126E" w:rsidRPr="007817AD" w:rsidRDefault="00E3126E" w:rsidP="00D17CD1">
            <w:pPr>
              <w:spacing w:after="0" w:line="360" w:lineRule="auto"/>
              <w:jc w:val="center"/>
              <w:rPr>
                <w:rFonts w:ascii="Times New Roman" w:hAnsi="Times New Roman"/>
                <w:color w:val="000000"/>
                <w:sz w:val="24"/>
                <w:szCs w:val="24"/>
                <w:lang w:val="en-GB"/>
              </w:rPr>
            </w:pPr>
            <w:r w:rsidRPr="007817AD">
              <w:rPr>
                <w:rFonts w:ascii="Times New Roman" w:hAnsi="Times New Roman"/>
                <w:color w:val="000000"/>
                <w:sz w:val="24"/>
                <w:szCs w:val="24"/>
                <w:lang w:val="en-GB"/>
              </w:rPr>
              <w:t>6.51</w:t>
            </w:r>
          </w:p>
        </w:tc>
      </w:tr>
      <w:tr w:rsidR="00E3126E" w:rsidRPr="007817AD" w14:paraId="0EF5829C" w14:textId="77777777" w:rsidTr="00D17CD1">
        <w:trPr>
          <w:jc w:val="center"/>
        </w:trPr>
        <w:tc>
          <w:tcPr>
            <w:tcW w:w="1728" w:type="dxa"/>
            <w:tcBorders>
              <w:bottom w:val="single" w:sz="4" w:space="0" w:color="auto"/>
            </w:tcBorders>
          </w:tcPr>
          <w:p w14:paraId="35264287" w14:textId="77777777" w:rsidR="00E3126E" w:rsidRPr="007817AD" w:rsidRDefault="00E3126E" w:rsidP="00D17CD1">
            <w:pPr>
              <w:spacing w:after="0" w:line="360" w:lineRule="auto"/>
              <w:jc w:val="both"/>
              <w:rPr>
                <w:rFonts w:ascii="Times New Roman" w:hAnsi="Times New Roman"/>
                <w:i/>
                <w:color w:val="000000"/>
                <w:sz w:val="24"/>
                <w:szCs w:val="24"/>
                <w:lang w:val="en-GB"/>
              </w:rPr>
            </w:pPr>
            <w:r w:rsidRPr="007817AD">
              <w:rPr>
                <w:rFonts w:ascii="Times New Roman" w:hAnsi="Times New Roman"/>
                <w:i/>
                <w:color w:val="000000"/>
                <w:sz w:val="24"/>
                <w:szCs w:val="24"/>
                <w:lang w:val="en-GB"/>
              </w:rPr>
              <w:t>St. Dev.</w:t>
            </w:r>
          </w:p>
        </w:tc>
        <w:tc>
          <w:tcPr>
            <w:tcW w:w="2633" w:type="dxa"/>
            <w:tcBorders>
              <w:bottom w:val="single" w:sz="4" w:space="0" w:color="auto"/>
            </w:tcBorders>
          </w:tcPr>
          <w:p w14:paraId="17D2FA21" w14:textId="77777777" w:rsidR="00E3126E" w:rsidRPr="007817AD" w:rsidRDefault="00E3126E" w:rsidP="00D17CD1">
            <w:pPr>
              <w:spacing w:after="0" w:line="360" w:lineRule="auto"/>
              <w:jc w:val="center"/>
              <w:rPr>
                <w:rFonts w:ascii="Times New Roman" w:hAnsi="Times New Roman"/>
                <w:color w:val="000000"/>
                <w:sz w:val="24"/>
                <w:szCs w:val="24"/>
                <w:lang w:val="en-GB"/>
              </w:rPr>
            </w:pPr>
            <w:r w:rsidRPr="007817AD">
              <w:rPr>
                <w:rFonts w:ascii="Times New Roman" w:hAnsi="Times New Roman"/>
                <w:color w:val="000000"/>
                <w:sz w:val="24"/>
                <w:szCs w:val="24"/>
                <w:lang w:val="en-GB"/>
              </w:rPr>
              <w:t>12.40</w:t>
            </w:r>
          </w:p>
        </w:tc>
        <w:tc>
          <w:tcPr>
            <w:tcW w:w="2268" w:type="dxa"/>
            <w:tcBorders>
              <w:bottom w:val="single" w:sz="4" w:space="0" w:color="auto"/>
            </w:tcBorders>
          </w:tcPr>
          <w:p w14:paraId="13D2899A" w14:textId="77777777" w:rsidR="00E3126E" w:rsidRPr="007817AD" w:rsidRDefault="00E3126E" w:rsidP="00D17CD1">
            <w:pPr>
              <w:spacing w:after="0" w:line="360" w:lineRule="auto"/>
              <w:jc w:val="center"/>
              <w:rPr>
                <w:rFonts w:ascii="Times New Roman" w:hAnsi="Times New Roman"/>
                <w:color w:val="000000"/>
                <w:sz w:val="24"/>
                <w:szCs w:val="24"/>
                <w:lang w:val="en-GB"/>
              </w:rPr>
            </w:pPr>
            <w:r w:rsidRPr="007817AD">
              <w:rPr>
                <w:rFonts w:ascii="Times New Roman" w:hAnsi="Times New Roman"/>
                <w:color w:val="000000"/>
                <w:sz w:val="24"/>
                <w:szCs w:val="24"/>
                <w:lang w:val="en-GB"/>
              </w:rPr>
              <w:t>1.60</w:t>
            </w:r>
          </w:p>
        </w:tc>
      </w:tr>
      <w:tr w:rsidR="00E3126E" w:rsidRPr="007817AD" w14:paraId="2182F146" w14:textId="77777777" w:rsidTr="00D17CD1">
        <w:trPr>
          <w:jc w:val="center"/>
        </w:trPr>
        <w:tc>
          <w:tcPr>
            <w:tcW w:w="1728" w:type="dxa"/>
            <w:tcBorders>
              <w:top w:val="single" w:sz="4" w:space="0" w:color="auto"/>
            </w:tcBorders>
          </w:tcPr>
          <w:p w14:paraId="7BA04DD8" w14:textId="77777777" w:rsidR="00E3126E" w:rsidRPr="007817AD" w:rsidRDefault="00E3126E" w:rsidP="00D17CD1">
            <w:pPr>
              <w:spacing w:after="0" w:line="360" w:lineRule="auto"/>
              <w:jc w:val="both"/>
              <w:rPr>
                <w:rFonts w:ascii="Times New Roman" w:hAnsi="Times New Roman"/>
                <w:i/>
                <w:color w:val="000000"/>
                <w:sz w:val="24"/>
                <w:szCs w:val="24"/>
                <w:lang w:val="en-GB"/>
              </w:rPr>
            </w:pPr>
            <w:r w:rsidRPr="007817AD">
              <w:rPr>
                <w:rFonts w:ascii="Times New Roman" w:hAnsi="Times New Roman"/>
                <w:i/>
                <w:color w:val="000000"/>
                <w:sz w:val="24"/>
                <w:szCs w:val="24"/>
                <w:lang w:val="en-GB"/>
              </w:rPr>
              <w:t>Min</w:t>
            </w:r>
          </w:p>
        </w:tc>
        <w:tc>
          <w:tcPr>
            <w:tcW w:w="2633" w:type="dxa"/>
            <w:tcBorders>
              <w:top w:val="single" w:sz="4" w:space="0" w:color="auto"/>
            </w:tcBorders>
          </w:tcPr>
          <w:p w14:paraId="4FD759FE" w14:textId="77777777" w:rsidR="00E3126E" w:rsidRPr="007817AD" w:rsidRDefault="00E3126E" w:rsidP="00D17CD1">
            <w:pPr>
              <w:spacing w:after="0" w:line="360" w:lineRule="auto"/>
              <w:jc w:val="center"/>
              <w:rPr>
                <w:rFonts w:ascii="Times New Roman" w:hAnsi="Times New Roman"/>
                <w:color w:val="000000"/>
                <w:sz w:val="24"/>
                <w:szCs w:val="24"/>
                <w:lang w:val="en-GB"/>
              </w:rPr>
            </w:pPr>
            <w:r w:rsidRPr="007817AD">
              <w:rPr>
                <w:rFonts w:ascii="Times New Roman" w:hAnsi="Times New Roman"/>
                <w:color w:val="000000"/>
                <w:sz w:val="24"/>
                <w:szCs w:val="24"/>
                <w:lang w:val="en-GB"/>
              </w:rPr>
              <w:t>0.05 (China, 2005)</w:t>
            </w:r>
          </w:p>
        </w:tc>
        <w:tc>
          <w:tcPr>
            <w:tcW w:w="2268" w:type="dxa"/>
            <w:tcBorders>
              <w:top w:val="single" w:sz="4" w:space="0" w:color="auto"/>
            </w:tcBorders>
          </w:tcPr>
          <w:p w14:paraId="13A44F4D" w14:textId="77777777" w:rsidR="00E3126E" w:rsidRPr="007817AD" w:rsidRDefault="00E3126E" w:rsidP="00D17CD1">
            <w:pPr>
              <w:spacing w:after="0" w:line="360" w:lineRule="auto"/>
              <w:jc w:val="center"/>
              <w:rPr>
                <w:rFonts w:ascii="Times New Roman" w:hAnsi="Times New Roman"/>
                <w:color w:val="000000"/>
                <w:sz w:val="24"/>
                <w:szCs w:val="24"/>
                <w:lang w:val="en-GB"/>
              </w:rPr>
            </w:pPr>
            <w:r w:rsidRPr="007817AD">
              <w:rPr>
                <w:rFonts w:ascii="Times New Roman" w:hAnsi="Times New Roman"/>
                <w:color w:val="000000"/>
                <w:sz w:val="24"/>
                <w:szCs w:val="24"/>
                <w:lang w:val="en-GB"/>
              </w:rPr>
              <w:t>1.61 (China, 2010)</w:t>
            </w:r>
          </w:p>
        </w:tc>
      </w:tr>
      <w:tr w:rsidR="00E3126E" w:rsidRPr="007817AD" w14:paraId="03C222A6" w14:textId="77777777" w:rsidTr="00D17CD1">
        <w:trPr>
          <w:jc w:val="center"/>
        </w:trPr>
        <w:tc>
          <w:tcPr>
            <w:tcW w:w="1728" w:type="dxa"/>
          </w:tcPr>
          <w:p w14:paraId="376EDC07" w14:textId="77777777" w:rsidR="00E3126E" w:rsidRPr="007817AD" w:rsidRDefault="00E3126E" w:rsidP="00D17CD1">
            <w:pPr>
              <w:spacing w:after="0" w:line="360" w:lineRule="auto"/>
              <w:jc w:val="both"/>
              <w:rPr>
                <w:rFonts w:ascii="Times New Roman" w:hAnsi="Times New Roman"/>
                <w:i/>
                <w:color w:val="000000"/>
                <w:sz w:val="24"/>
                <w:szCs w:val="24"/>
                <w:lang w:val="en-GB"/>
              </w:rPr>
            </w:pPr>
            <w:r w:rsidRPr="007817AD">
              <w:rPr>
                <w:rFonts w:ascii="Times New Roman" w:hAnsi="Times New Roman"/>
                <w:i/>
                <w:color w:val="000000"/>
                <w:sz w:val="24"/>
                <w:szCs w:val="24"/>
                <w:lang w:val="en-GB"/>
              </w:rPr>
              <w:t>Quartile 25%</w:t>
            </w:r>
          </w:p>
        </w:tc>
        <w:tc>
          <w:tcPr>
            <w:tcW w:w="2633" w:type="dxa"/>
          </w:tcPr>
          <w:p w14:paraId="32FBCAF7" w14:textId="77777777" w:rsidR="00E3126E" w:rsidRPr="007817AD" w:rsidRDefault="00E3126E" w:rsidP="00D17CD1">
            <w:pPr>
              <w:spacing w:after="0" w:line="360" w:lineRule="auto"/>
              <w:jc w:val="center"/>
              <w:rPr>
                <w:rFonts w:ascii="Times New Roman" w:hAnsi="Times New Roman"/>
                <w:color w:val="000000"/>
                <w:sz w:val="24"/>
                <w:szCs w:val="24"/>
                <w:lang w:val="en-GB"/>
              </w:rPr>
            </w:pPr>
            <w:r w:rsidRPr="007817AD">
              <w:rPr>
                <w:rFonts w:ascii="Times New Roman" w:hAnsi="Times New Roman"/>
                <w:color w:val="000000"/>
                <w:sz w:val="24"/>
                <w:szCs w:val="24"/>
                <w:lang w:val="en-GB"/>
              </w:rPr>
              <w:t>2.66</w:t>
            </w:r>
          </w:p>
        </w:tc>
        <w:tc>
          <w:tcPr>
            <w:tcW w:w="2268" w:type="dxa"/>
          </w:tcPr>
          <w:p w14:paraId="00A63815" w14:textId="77777777" w:rsidR="00E3126E" w:rsidRPr="007817AD" w:rsidRDefault="00E3126E" w:rsidP="00D17CD1">
            <w:pPr>
              <w:spacing w:after="0" w:line="360" w:lineRule="auto"/>
              <w:jc w:val="center"/>
              <w:rPr>
                <w:rFonts w:ascii="Times New Roman" w:hAnsi="Times New Roman"/>
                <w:color w:val="000000"/>
                <w:sz w:val="24"/>
                <w:szCs w:val="24"/>
                <w:lang w:val="en-GB"/>
              </w:rPr>
            </w:pPr>
            <w:r w:rsidRPr="007817AD">
              <w:rPr>
                <w:rFonts w:ascii="Times New Roman" w:hAnsi="Times New Roman"/>
                <w:color w:val="000000"/>
                <w:sz w:val="24"/>
                <w:szCs w:val="24"/>
                <w:lang w:val="en-GB"/>
              </w:rPr>
              <w:t>5.53</w:t>
            </w:r>
          </w:p>
        </w:tc>
      </w:tr>
      <w:tr w:rsidR="00E3126E" w:rsidRPr="007817AD" w14:paraId="2592E216" w14:textId="77777777" w:rsidTr="00D17CD1">
        <w:trPr>
          <w:jc w:val="center"/>
        </w:trPr>
        <w:tc>
          <w:tcPr>
            <w:tcW w:w="1728" w:type="dxa"/>
          </w:tcPr>
          <w:p w14:paraId="49B7E371" w14:textId="77777777" w:rsidR="00E3126E" w:rsidRPr="007817AD" w:rsidRDefault="00E3126E" w:rsidP="00D17CD1">
            <w:pPr>
              <w:spacing w:after="0" w:line="360" w:lineRule="auto"/>
              <w:jc w:val="both"/>
              <w:rPr>
                <w:rFonts w:ascii="Times New Roman" w:hAnsi="Times New Roman"/>
                <w:i/>
                <w:color w:val="000000"/>
                <w:sz w:val="24"/>
                <w:szCs w:val="24"/>
                <w:lang w:val="en-GB"/>
              </w:rPr>
            </w:pPr>
            <w:r w:rsidRPr="007817AD">
              <w:rPr>
                <w:rFonts w:ascii="Times New Roman" w:hAnsi="Times New Roman"/>
                <w:i/>
                <w:color w:val="000000"/>
                <w:sz w:val="24"/>
                <w:szCs w:val="24"/>
                <w:lang w:val="en-GB"/>
              </w:rPr>
              <w:t>Quartile 50%</w:t>
            </w:r>
          </w:p>
        </w:tc>
        <w:tc>
          <w:tcPr>
            <w:tcW w:w="2633" w:type="dxa"/>
          </w:tcPr>
          <w:p w14:paraId="2E9D40AC" w14:textId="77777777" w:rsidR="00E3126E" w:rsidRPr="007817AD" w:rsidRDefault="00E3126E" w:rsidP="00D17CD1">
            <w:pPr>
              <w:spacing w:after="0" w:line="360" w:lineRule="auto"/>
              <w:jc w:val="center"/>
              <w:rPr>
                <w:rFonts w:ascii="Times New Roman" w:hAnsi="Times New Roman"/>
                <w:color w:val="000000"/>
                <w:sz w:val="24"/>
                <w:szCs w:val="24"/>
                <w:lang w:val="en-GB"/>
              </w:rPr>
            </w:pPr>
            <w:r w:rsidRPr="007817AD">
              <w:rPr>
                <w:rFonts w:ascii="Times New Roman" w:hAnsi="Times New Roman"/>
                <w:color w:val="000000"/>
                <w:sz w:val="24"/>
                <w:szCs w:val="24"/>
                <w:lang w:val="en-GB"/>
              </w:rPr>
              <w:t>14.99</w:t>
            </w:r>
          </w:p>
        </w:tc>
        <w:tc>
          <w:tcPr>
            <w:tcW w:w="2268" w:type="dxa"/>
          </w:tcPr>
          <w:p w14:paraId="61C6E02C" w14:textId="77777777" w:rsidR="00E3126E" w:rsidRPr="007817AD" w:rsidRDefault="00E3126E" w:rsidP="00D17CD1">
            <w:pPr>
              <w:spacing w:after="0" w:line="360" w:lineRule="auto"/>
              <w:jc w:val="center"/>
              <w:rPr>
                <w:rFonts w:ascii="Times New Roman" w:hAnsi="Times New Roman"/>
                <w:color w:val="000000"/>
                <w:sz w:val="24"/>
                <w:szCs w:val="24"/>
                <w:lang w:val="en-GB"/>
              </w:rPr>
            </w:pPr>
            <w:r w:rsidRPr="007817AD">
              <w:rPr>
                <w:rFonts w:ascii="Times New Roman" w:hAnsi="Times New Roman"/>
                <w:color w:val="000000"/>
                <w:sz w:val="24"/>
                <w:szCs w:val="24"/>
                <w:lang w:val="en-GB"/>
              </w:rPr>
              <w:t>6.51</w:t>
            </w:r>
          </w:p>
        </w:tc>
      </w:tr>
      <w:tr w:rsidR="00E3126E" w:rsidRPr="007817AD" w14:paraId="69D41008" w14:textId="77777777" w:rsidTr="00D17CD1">
        <w:trPr>
          <w:jc w:val="center"/>
        </w:trPr>
        <w:tc>
          <w:tcPr>
            <w:tcW w:w="1728" w:type="dxa"/>
          </w:tcPr>
          <w:p w14:paraId="0EF82144" w14:textId="77777777" w:rsidR="00E3126E" w:rsidRPr="007817AD" w:rsidRDefault="00E3126E" w:rsidP="00D17CD1">
            <w:pPr>
              <w:spacing w:after="0" w:line="360" w:lineRule="auto"/>
              <w:jc w:val="both"/>
              <w:rPr>
                <w:rFonts w:ascii="Times New Roman" w:hAnsi="Times New Roman"/>
                <w:i/>
                <w:color w:val="000000"/>
                <w:sz w:val="24"/>
                <w:szCs w:val="24"/>
                <w:lang w:val="en-GB"/>
              </w:rPr>
            </w:pPr>
            <w:r w:rsidRPr="007817AD">
              <w:rPr>
                <w:rFonts w:ascii="Times New Roman" w:hAnsi="Times New Roman"/>
                <w:i/>
                <w:color w:val="000000"/>
                <w:sz w:val="24"/>
                <w:szCs w:val="24"/>
                <w:lang w:val="en-GB"/>
              </w:rPr>
              <w:t>Quartile 75%</w:t>
            </w:r>
          </w:p>
        </w:tc>
        <w:tc>
          <w:tcPr>
            <w:tcW w:w="2633" w:type="dxa"/>
          </w:tcPr>
          <w:p w14:paraId="6020D4D0" w14:textId="77777777" w:rsidR="00E3126E" w:rsidRPr="007817AD" w:rsidRDefault="00E3126E" w:rsidP="00D17CD1">
            <w:pPr>
              <w:spacing w:after="0" w:line="360" w:lineRule="auto"/>
              <w:jc w:val="center"/>
              <w:rPr>
                <w:rFonts w:ascii="Times New Roman" w:hAnsi="Times New Roman"/>
                <w:color w:val="000000"/>
                <w:sz w:val="24"/>
                <w:szCs w:val="24"/>
                <w:lang w:val="en-GB"/>
              </w:rPr>
            </w:pPr>
            <w:r w:rsidRPr="007817AD">
              <w:rPr>
                <w:rFonts w:ascii="Times New Roman" w:hAnsi="Times New Roman"/>
                <w:color w:val="000000"/>
                <w:sz w:val="24"/>
                <w:szCs w:val="24"/>
                <w:lang w:val="en-GB"/>
              </w:rPr>
              <w:t>24.31</w:t>
            </w:r>
          </w:p>
        </w:tc>
        <w:tc>
          <w:tcPr>
            <w:tcW w:w="2268" w:type="dxa"/>
          </w:tcPr>
          <w:p w14:paraId="669128B8" w14:textId="77777777" w:rsidR="00E3126E" w:rsidRPr="007817AD" w:rsidRDefault="00E3126E" w:rsidP="00D17CD1">
            <w:pPr>
              <w:spacing w:after="0" w:line="360" w:lineRule="auto"/>
              <w:jc w:val="center"/>
              <w:rPr>
                <w:rFonts w:ascii="Times New Roman" w:hAnsi="Times New Roman"/>
                <w:color w:val="000000"/>
                <w:sz w:val="24"/>
                <w:szCs w:val="24"/>
                <w:lang w:val="en-GB"/>
              </w:rPr>
            </w:pPr>
            <w:r w:rsidRPr="007817AD">
              <w:rPr>
                <w:rFonts w:ascii="Times New Roman" w:hAnsi="Times New Roman"/>
                <w:color w:val="000000"/>
                <w:sz w:val="24"/>
                <w:szCs w:val="24"/>
                <w:lang w:val="en-GB"/>
              </w:rPr>
              <w:t>7.66</w:t>
            </w:r>
          </w:p>
        </w:tc>
      </w:tr>
      <w:tr w:rsidR="00E3126E" w:rsidRPr="007817AD" w14:paraId="16848C41" w14:textId="77777777" w:rsidTr="00D17CD1">
        <w:trPr>
          <w:jc w:val="center"/>
        </w:trPr>
        <w:tc>
          <w:tcPr>
            <w:tcW w:w="1728" w:type="dxa"/>
            <w:tcBorders>
              <w:bottom w:val="single" w:sz="4" w:space="0" w:color="auto"/>
            </w:tcBorders>
          </w:tcPr>
          <w:p w14:paraId="0777E00C" w14:textId="77777777" w:rsidR="00E3126E" w:rsidRPr="007817AD" w:rsidRDefault="00E3126E" w:rsidP="00D17CD1">
            <w:pPr>
              <w:spacing w:after="0" w:line="360" w:lineRule="auto"/>
              <w:jc w:val="both"/>
              <w:rPr>
                <w:rFonts w:ascii="Times New Roman" w:hAnsi="Times New Roman"/>
                <w:i/>
                <w:color w:val="000000"/>
                <w:sz w:val="24"/>
                <w:szCs w:val="24"/>
                <w:lang w:val="en-GB"/>
              </w:rPr>
            </w:pPr>
            <w:r w:rsidRPr="007817AD">
              <w:rPr>
                <w:rFonts w:ascii="Times New Roman" w:hAnsi="Times New Roman"/>
                <w:i/>
                <w:color w:val="000000"/>
                <w:sz w:val="24"/>
                <w:szCs w:val="24"/>
                <w:lang w:val="en-GB"/>
              </w:rPr>
              <w:t>Max</w:t>
            </w:r>
          </w:p>
        </w:tc>
        <w:tc>
          <w:tcPr>
            <w:tcW w:w="2633" w:type="dxa"/>
            <w:tcBorders>
              <w:bottom w:val="single" w:sz="4" w:space="0" w:color="auto"/>
            </w:tcBorders>
          </w:tcPr>
          <w:p w14:paraId="1CDAD75F" w14:textId="77777777" w:rsidR="00E3126E" w:rsidRPr="007817AD" w:rsidRDefault="00E3126E" w:rsidP="00D17CD1">
            <w:pPr>
              <w:spacing w:after="0" w:line="360" w:lineRule="auto"/>
              <w:jc w:val="center"/>
              <w:rPr>
                <w:rFonts w:ascii="Times New Roman" w:hAnsi="Times New Roman"/>
                <w:color w:val="000000"/>
                <w:sz w:val="24"/>
                <w:szCs w:val="24"/>
                <w:lang w:val="en-GB"/>
              </w:rPr>
            </w:pPr>
            <w:r w:rsidRPr="007817AD">
              <w:rPr>
                <w:rFonts w:ascii="Times New Roman" w:hAnsi="Times New Roman"/>
                <w:color w:val="000000"/>
                <w:sz w:val="24"/>
                <w:szCs w:val="24"/>
                <w:lang w:val="en-GB"/>
              </w:rPr>
              <w:t>48.93 (Japan, 1998)</w:t>
            </w:r>
          </w:p>
        </w:tc>
        <w:tc>
          <w:tcPr>
            <w:tcW w:w="2268" w:type="dxa"/>
            <w:tcBorders>
              <w:bottom w:val="single" w:sz="4" w:space="0" w:color="auto"/>
            </w:tcBorders>
          </w:tcPr>
          <w:p w14:paraId="12851508" w14:textId="77777777" w:rsidR="00E3126E" w:rsidRPr="007817AD" w:rsidRDefault="00E3126E" w:rsidP="00D17CD1">
            <w:pPr>
              <w:spacing w:after="0" w:line="360" w:lineRule="auto"/>
              <w:jc w:val="center"/>
              <w:rPr>
                <w:rFonts w:ascii="Times New Roman" w:hAnsi="Times New Roman"/>
                <w:color w:val="000000"/>
                <w:sz w:val="24"/>
                <w:szCs w:val="24"/>
                <w:lang w:val="en-GB"/>
              </w:rPr>
            </w:pPr>
            <w:r w:rsidRPr="007817AD">
              <w:rPr>
                <w:rFonts w:ascii="Times New Roman" w:hAnsi="Times New Roman"/>
                <w:color w:val="000000"/>
                <w:sz w:val="24"/>
                <w:szCs w:val="24"/>
                <w:lang w:val="en-GB"/>
              </w:rPr>
              <w:t>9.99 (Brazil, 1999)</w:t>
            </w:r>
          </w:p>
        </w:tc>
      </w:tr>
      <w:tr w:rsidR="00E3126E" w:rsidRPr="007817AD" w14:paraId="511BB26E" w14:textId="77777777" w:rsidTr="00D17CD1">
        <w:trPr>
          <w:jc w:val="center"/>
        </w:trPr>
        <w:tc>
          <w:tcPr>
            <w:tcW w:w="1728" w:type="dxa"/>
            <w:tcBorders>
              <w:top w:val="single" w:sz="4" w:space="0" w:color="auto"/>
              <w:bottom w:val="single" w:sz="4" w:space="0" w:color="auto"/>
            </w:tcBorders>
          </w:tcPr>
          <w:p w14:paraId="760563DD" w14:textId="77777777" w:rsidR="00E3126E" w:rsidRPr="007817AD" w:rsidRDefault="00E3126E" w:rsidP="00D17CD1">
            <w:pPr>
              <w:spacing w:after="0" w:line="360" w:lineRule="auto"/>
              <w:jc w:val="both"/>
              <w:rPr>
                <w:rFonts w:ascii="Times New Roman" w:hAnsi="Times New Roman"/>
                <w:i/>
                <w:color w:val="000000"/>
                <w:sz w:val="24"/>
                <w:szCs w:val="24"/>
                <w:lang w:val="en-GB"/>
              </w:rPr>
            </w:pPr>
            <w:r w:rsidRPr="007817AD">
              <w:rPr>
                <w:rFonts w:ascii="Times New Roman" w:hAnsi="Times New Roman"/>
                <w:i/>
                <w:color w:val="000000"/>
                <w:sz w:val="24"/>
                <w:szCs w:val="24"/>
                <w:lang w:val="en-GB"/>
              </w:rPr>
              <w:t>Growth rate</w:t>
            </w:r>
          </w:p>
        </w:tc>
        <w:tc>
          <w:tcPr>
            <w:tcW w:w="2633" w:type="dxa"/>
            <w:tcBorders>
              <w:top w:val="single" w:sz="4" w:space="0" w:color="auto"/>
              <w:bottom w:val="single" w:sz="4" w:space="0" w:color="auto"/>
            </w:tcBorders>
          </w:tcPr>
          <w:p w14:paraId="47D515B6" w14:textId="77777777" w:rsidR="00E3126E" w:rsidRPr="007817AD" w:rsidRDefault="00E3126E" w:rsidP="00D17CD1">
            <w:pPr>
              <w:spacing w:after="0" w:line="360" w:lineRule="auto"/>
              <w:jc w:val="center"/>
              <w:rPr>
                <w:rFonts w:ascii="Times New Roman" w:hAnsi="Times New Roman"/>
                <w:color w:val="000000"/>
                <w:sz w:val="24"/>
                <w:szCs w:val="24"/>
                <w:lang w:val="en-GB"/>
              </w:rPr>
            </w:pPr>
            <w:r w:rsidRPr="007817AD">
              <w:rPr>
                <w:rFonts w:ascii="Times New Roman" w:hAnsi="Times New Roman"/>
                <w:color w:val="000000"/>
                <w:sz w:val="24"/>
                <w:szCs w:val="24"/>
                <w:lang w:val="en-GB"/>
              </w:rPr>
              <w:t>-5.06%***</w:t>
            </w:r>
          </w:p>
        </w:tc>
        <w:tc>
          <w:tcPr>
            <w:tcW w:w="2268" w:type="dxa"/>
            <w:tcBorders>
              <w:top w:val="single" w:sz="4" w:space="0" w:color="auto"/>
              <w:bottom w:val="single" w:sz="4" w:space="0" w:color="auto"/>
            </w:tcBorders>
          </w:tcPr>
          <w:p w14:paraId="54AECDD8" w14:textId="77777777" w:rsidR="00E3126E" w:rsidRPr="007817AD" w:rsidRDefault="00E3126E" w:rsidP="00D17CD1">
            <w:pPr>
              <w:spacing w:after="0" w:line="360" w:lineRule="auto"/>
              <w:jc w:val="center"/>
              <w:rPr>
                <w:rFonts w:ascii="Times New Roman" w:hAnsi="Times New Roman"/>
                <w:color w:val="000000"/>
                <w:sz w:val="24"/>
                <w:szCs w:val="24"/>
                <w:lang w:val="en-GB"/>
              </w:rPr>
            </w:pPr>
            <w:r w:rsidRPr="007817AD">
              <w:rPr>
                <w:rFonts w:ascii="Times New Roman" w:hAnsi="Times New Roman"/>
                <w:color w:val="000000"/>
                <w:sz w:val="24"/>
                <w:szCs w:val="24"/>
                <w:lang w:val="en-GB"/>
              </w:rPr>
              <w:t>-2.49%***</w:t>
            </w:r>
          </w:p>
        </w:tc>
      </w:tr>
    </w:tbl>
    <w:p w14:paraId="00556B54" w14:textId="199F7F0F" w:rsidR="00E3126E" w:rsidRDefault="00E3126E" w:rsidP="002353D1">
      <w:pPr>
        <w:spacing w:after="0" w:line="240" w:lineRule="auto"/>
        <w:jc w:val="center"/>
        <w:rPr>
          <w:rFonts w:ascii="Times New Roman" w:hAnsi="Times New Roman"/>
          <w:color w:val="000000"/>
          <w:lang w:val="en-GB"/>
        </w:rPr>
      </w:pPr>
      <w:r w:rsidRPr="007817AD">
        <w:rPr>
          <w:rFonts w:ascii="Times New Roman" w:hAnsi="Times New Roman"/>
          <w:color w:val="000000"/>
          <w:lang w:val="en-US"/>
        </w:rPr>
        <w:t>Level</w:t>
      </w:r>
      <w:r w:rsidRPr="007817AD">
        <w:rPr>
          <w:rFonts w:ascii="Times New Roman" w:hAnsi="Times New Roman"/>
          <w:color w:val="000000"/>
          <w:lang w:val="en-GB"/>
        </w:rPr>
        <w:t xml:space="preserve"> of statistical significance of the Growth rate: *** 1%, ** 5%, * 10% (Country fixed effects estimation).</w:t>
      </w:r>
    </w:p>
    <w:p w14:paraId="16DA2A62" w14:textId="4A98B377" w:rsidR="002353D1" w:rsidRDefault="002353D1" w:rsidP="002353D1">
      <w:pPr>
        <w:spacing w:after="0" w:line="240" w:lineRule="auto"/>
        <w:jc w:val="center"/>
        <w:rPr>
          <w:rFonts w:ascii="Times New Roman" w:hAnsi="Times New Roman"/>
          <w:color w:val="000000"/>
          <w:lang w:val="en-GB"/>
        </w:rPr>
      </w:pPr>
    </w:p>
    <w:p w14:paraId="5F29A91B" w14:textId="080299CC" w:rsidR="002353D1" w:rsidRDefault="002353D1" w:rsidP="002353D1">
      <w:pPr>
        <w:spacing w:after="0" w:line="240" w:lineRule="auto"/>
        <w:jc w:val="center"/>
        <w:rPr>
          <w:rFonts w:ascii="Times New Roman" w:hAnsi="Times New Roman"/>
          <w:color w:val="000000"/>
          <w:lang w:val="en-GB"/>
        </w:rPr>
      </w:pPr>
    </w:p>
    <w:p w14:paraId="66D2E5F9" w14:textId="43CD6A82" w:rsidR="002235EF" w:rsidRDefault="002235EF" w:rsidP="002353D1">
      <w:pPr>
        <w:spacing w:after="0" w:line="240" w:lineRule="auto"/>
        <w:jc w:val="center"/>
        <w:rPr>
          <w:rFonts w:ascii="Times New Roman" w:hAnsi="Times New Roman"/>
          <w:color w:val="000000"/>
          <w:lang w:val="en-GB"/>
        </w:rPr>
      </w:pPr>
    </w:p>
    <w:p w14:paraId="3A7BCA07" w14:textId="3A024F5A" w:rsidR="002235EF" w:rsidRDefault="002235EF" w:rsidP="002353D1">
      <w:pPr>
        <w:spacing w:after="0" w:line="240" w:lineRule="auto"/>
        <w:jc w:val="center"/>
        <w:rPr>
          <w:rFonts w:ascii="Times New Roman" w:hAnsi="Times New Roman"/>
          <w:color w:val="000000"/>
          <w:lang w:val="en-GB"/>
        </w:rPr>
      </w:pPr>
    </w:p>
    <w:p w14:paraId="05AAFD40" w14:textId="0BC233A8" w:rsidR="002235EF" w:rsidRDefault="002235EF" w:rsidP="002353D1">
      <w:pPr>
        <w:spacing w:after="0" w:line="240" w:lineRule="auto"/>
        <w:jc w:val="center"/>
        <w:rPr>
          <w:rFonts w:ascii="Times New Roman" w:hAnsi="Times New Roman"/>
          <w:color w:val="000000"/>
          <w:lang w:val="en-GB"/>
        </w:rPr>
      </w:pPr>
    </w:p>
    <w:p w14:paraId="3444585F" w14:textId="3CFF1206" w:rsidR="002235EF" w:rsidRDefault="002235EF" w:rsidP="002353D1">
      <w:pPr>
        <w:spacing w:after="0" w:line="240" w:lineRule="auto"/>
        <w:jc w:val="center"/>
        <w:rPr>
          <w:rFonts w:ascii="Times New Roman" w:hAnsi="Times New Roman"/>
          <w:color w:val="000000"/>
          <w:lang w:val="en-GB"/>
        </w:rPr>
      </w:pPr>
    </w:p>
    <w:p w14:paraId="20633E08" w14:textId="1A4F882F" w:rsidR="002235EF" w:rsidRDefault="002235EF" w:rsidP="002353D1">
      <w:pPr>
        <w:spacing w:after="0" w:line="240" w:lineRule="auto"/>
        <w:jc w:val="center"/>
        <w:rPr>
          <w:rFonts w:ascii="Times New Roman" w:hAnsi="Times New Roman"/>
          <w:color w:val="000000"/>
          <w:lang w:val="en-GB"/>
        </w:rPr>
      </w:pPr>
    </w:p>
    <w:p w14:paraId="78282D4A" w14:textId="385E7542" w:rsidR="002235EF" w:rsidRDefault="002235EF" w:rsidP="002353D1">
      <w:pPr>
        <w:spacing w:after="0" w:line="240" w:lineRule="auto"/>
        <w:jc w:val="center"/>
        <w:rPr>
          <w:rFonts w:ascii="Times New Roman" w:hAnsi="Times New Roman"/>
          <w:color w:val="000000"/>
          <w:lang w:val="en-GB"/>
        </w:rPr>
      </w:pPr>
    </w:p>
    <w:p w14:paraId="1AC524BE" w14:textId="181F569B" w:rsidR="002235EF" w:rsidRDefault="002235EF" w:rsidP="002353D1">
      <w:pPr>
        <w:spacing w:after="0" w:line="240" w:lineRule="auto"/>
        <w:jc w:val="center"/>
        <w:rPr>
          <w:rFonts w:ascii="Times New Roman" w:hAnsi="Times New Roman"/>
          <w:color w:val="000000"/>
          <w:lang w:val="en-GB"/>
        </w:rPr>
      </w:pPr>
    </w:p>
    <w:p w14:paraId="054A3A06" w14:textId="0BA0B71F" w:rsidR="002235EF" w:rsidRDefault="002235EF" w:rsidP="002353D1">
      <w:pPr>
        <w:spacing w:after="0" w:line="240" w:lineRule="auto"/>
        <w:jc w:val="center"/>
        <w:rPr>
          <w:rFonts w:ascii="Times New Roman" w:hAnsi="Times New Roman"/>
          <w:color w:val="000000"/>
          <w:lang w:val="en-GB"/>
        </w:rPr>
      </w:pPr>
    </w:p>
    <w:p w14:paraId="2F9DE9EB" w14:textId="5823A50D" w:rsidR="002235EF" w:rsidRDefault="002235EF" w:rsidP="002353D1">
      <w:pPr>
        <w:spacing w:after="0" w:line="240" w:lineRule="auto"/>
        <w:jc w:val="center"/>
        <w:rPr>
          <w:rFonts w:ascii="Times New Roman" w:hAnsi="Times New Roman"/>
          <w:color w:val="000000"/>
          <w:lang w:val="en-GB"/>
        </w:rPr>
      </w:pPr>
    </w:p>
    <w:p w14:paraId="6A7FC4E7" w14:textId="42B1C250" w:rsidR="002235EF" w:rsidRDefault="002235EF" w:rsidP="002353D1">
      <w:pPr>
        <w:spacing w:after="0" w:line="240" w:lineRule="auto"/>
        <w:jc w:val="center"/>
        <w:rPr>
          <w:rFonts w:ascii="Times New Roman" w:hAnsi="Times New Roman"/>
          <w:color w:val="000000"/>
          <w:lang w:val="en-GB"/>
        </w:rPr>
      </w:pPr>
    </w:p>
    <w:p w14:paraId="38783C39" w14:textId="77AB2348" w:rsidR="002235EF" w:rsidRDefault="002235EF" w:rsidP="002353D1">
      <w:pPr>
        <w:spacing w:after="0" w:line="240" w:lineRule="auto"/>
        <w:jc w:val="center"/>
        <w:rPr>
          <w:rFonts w:ascii="Times New Roman" w:hAnsi="Times New Roman"/>
          <w:color w:val="000000"/>
          <w:lang w:val="en-GB"/>
        </w:rPr>
      </w:pPr>
    </w:p>
    <w:p w14:paraId="7B75736B" w14:textId="63D9D039" w:rsidR="002235EF" w:rsidRDefault="002235EF" w:rsidP="002353D1">
      <w:pPr>
        <w:spacing w:after="0" w:line="240" w:lineRule="auto"/>
        <w:jc w:val="center"/>
        <w:rPr>
          <w:rFonts w:ascii="Times New Roman" w:hAnsi="Times New Roman"/>
          <w:color w:val="000000"/>
          <w:lang w:val="en-GB"/>
        </w:rPr>
      </w:pPr>
    </w:p>
    <w:p w14:paraId="5D29B4B3" w14:textId="6ADCEA3C" w:rsidR="002235EF" w:rsidRDefault="002235EF" w:rsidP="002353D1">
      <w:pPr>
        <w:spacing w:after="0" w:line="240" w:lineRule="auto"/>
        <w:jc w:val="center"/>
        <w:rPr>
          <w:rFonts w:ascii="Times New Roman" w:hAnsi="Times New Roman"/>
          <w:color w:val="000000"/>
          <w:lang w:val="en-GB"/>
        </w:rPr>
      </w:pPr>
    </w:p>
    <w:p w14:paraId="3812E27A" w14:textId="77777777" w:rsidR="002235EF" w:rsidRDefault="002235EF" w:rsidP="002353D1">
      <w:pPr>
        <w:spacing w:after="0" w:line="240" w:lineRule="auto"/>
        <w:jc w:val="center"/>
        <w:rPr>
          <w:rFonts w:ascii="Times New Roman" w:hAnsi="Times New Roman"/>
          <w:color w:val="000000"/>
          <w:lang w:val="en-GB"/>
        </w:rPr>
      </w:pPr>
    </w:p>
    <w:p w14:paraId="1B8A9ABD" w14:textId="2F5F1655" w:rsidR="002235EF" w:rsidRDefault="002235EF" w:rsidP="002353D1">
      <w:pPr>
        <w:spacing w:after="0" w:line="240" w:lineRule="auto"/>
        <w:jc w:val="center"/>
        <w:rPr>
          <w:rFonts w:ascii="Times New Roman" w:hAnsi="Times New Roman"/>
          <w:color w:val="000000"/>
          <w:lang w:val="en-GB"/>
        </w:rPr>
      </w:pPr>
    </w:p>
    <w:p w14:paraId="4EDEADFF" w14:textId="4FC601FA" w:rsidR="002235EF" w:rsidRPr="002353D1" w:rsidRDefault="002235EF" w:rsidP="002353D1">
      <w:pPr>
        <w:spacing w:after="0" w:line="240" w:lineRule="auto"/>
        <w:jc w:val="center"/>
        <w:rPr>
          <w:rFonts w:ascii="Times New Roman" w:hAnsi="Times New Roman"/>
          <w:color w:val="000000"/>
          <w:lang w:val="en-GB"/>
        </w:rPr>
      </w:pPr>
    </w:p>
    <w:p w14:paraId="1FCBE411" w14:textId="77777777" w:rsidR="00524B7B" w:rsidRPr="00AA0AD1" w:rsidRDefault="00524B7B" w:rsidP="00524B7B">
      <w:pPr>
        <w:spacing w:after="0" w:line="240" w:lineRule="auto"/>
        <w:jc w:val="center"/>
        <w:outlineLvl w:val="0"/>
        <w:rPr>
          <w:rFonts w:ascii="Times New Roman" w:hAnsi="Times New Roman"/>
          <w:color w:val="000000"/>
          <w:lang w:val="en-GB"/>
        </w:rPr>
      </w:pPr>
      <w:r w:rsidRPr="00AA0AD1">
        <w:rPr>
          <w:rFonts w:ascii="Times New Roman" w:hAnsi="Times New Roman"/>
          <w:b/>
          <w:color w:val="000000"/>
          <w:lang w:val="en-GB"/>
        </w:rPr>
        <w:t>Table 2</w:t>
      </w:r>
      <w:r w:rsidRPr="00AA0AD1">
        <w:rPr>
          <w:rFonts w:ascii="Times New Roman" w:hAnsi="Times New Roman"/>
          <w:color w:val="000000"/>
          <w:lang w:val="en-GB"/>
        </w:rPr>
        <w:t>. Descriptive statistics control variables</w:t>
      </w:r>
    </w:p>
    <w:p w14:paraId="6BF922DC" w14:textId="77777777" w:rsidR="00524B7B" w:rsidRPr="00AA0AD1" w:rsidRDefault="00524B7B" w:rsidP="00524B7B">
      <w:pPr>
        <w:spacing w:after="0" w:line="240" w:lineRule="auto"/>
        <w:jc w:val="both"/>
        <w:rPr>
          <w:rFonts w:ascii="Times New Roman" w:hAnsi="Times New Roman"/>
          <w:color w:val="000000"/>
          <w:sz w:val="24"/>
          <w:szCs w:val="24"/>
          <w:lang w:val="en-GB"/>
        </w:rPr>
      </w:pPr>
    </w:p>
    <w:tbl>
      <w:tblPr>
        <w:tblW w:w="8931" w:type="dxa"/>
        <w:jc w:val="center"/>
        <w:tblBorders>
          <w:top w:val="single" w:sz="4" w:space="0" w:color="auto"/>
          <w:bottom w:val="single" w:sz="4" w:space="0" w:color="auto"/>
        </w:tblBorders>
        <w:tblLayout w:type="fixed"/>
        <w:tblLook w:val="00A0" w:firstRow="1" w:lastRow="0" w:firstColumn="1" w:lastColumn="0" w:noHBand="0" w:noVBand="0"/>
      </w:tblPr>
      <w:tblGrid>
        <w:gridCol w:w="1560"/>
        <w:gridCol w:w="2551"/>
        <w:gridCol w:w="2835"/>
        <w:gridCol w:w="851"/>
        <w:gridCol w:w="1134"/>
      </w:tblGrid>
      <w:tr w:rsidR="00524B7B" w:rsidRPr="00AA0AD1" w14:paraId="00F5DA48" w14:textId="77777777" w:rsidTr="00D17CD1">
        <w:trPr>
          <w:jc w:val="center"/>
        </w:trPr>
        <w:tc>
          <w:tcPr>
            <w:tcW w:w="1560" w:type="dxa"/>
            <w:tcBorders>
              <w:top w:val="single" w:sz="4" w:space="0" w:color="auto"/>
              <w:bottom w:val="single" w:sz="4" w:space="0" w:color="auto"/>
            </w:tcBorders>
          </w:tcPr>
          <w:p w14:paraId="4FBB4516" w14:textId="77777777" w:rsidR="00524B7B" w:rsidRPr="00AA0AD1" w:rsidRDefault="00524B7B" w:rsidP="00D17CD1">
            <w:pPr>
              <w:spacing w:after="0" w:line="360" w:lineRule="auto"/>
              <w:jc w:val="center"/>
              <w:rPr>
                <w:rFonts w:ascii="Times New Roman" w:hAnsi="Times New Roman"/>
                <w:b/>
                <w:color w:val="000000"/>
                <w:lang w:val="en-GB"/>
              </w:rPr>
            </w:pPr>
            <w:r w:rsidRPr="00AA0AD1">
              <w:rPr>
                <w:rFonts w:ascii="Times New Roman" w:hAnsi="Times New Roman"/>
                <w:b/>
                <w:color w:val="000000"/>
                <w:lang w:val="en-GB"/>
              </w:rPr>
              <w:t>Category</w:t>
            </w:r>
          </w:p>
        </w:tc>
        <w:tc>
          <w:tcPr>
            <w:tcW w:w="2551" w:type="dxa"/>
            <w:tcBorders>
              <w:top w:val="single" w:sz="4" w:space="0" w:color="auto"/>
              <w:bottom w:val="single" w:sz="4" w:space="0" w:color="auto"/>
            </w:tcBorders>
          </w:tcPr>
          <w:p w14:paraId="5E563DDF" w14:textId="77777777" w:rsidR="00524B7B" w:rsidRPr="00AA0AD1" w:rsidRDefault="00524B7B" w:rsidP="00D17CD1">
            <w:pPr>
              <w:spacing w:after="0" w:line="360" w:lineRule="auto"/>
              <w:jc w:val="center"/>
              <w:rPr>
                <w:rFonts w:ascii="Times New Roman" w:hAnsi="Times New Roman"/>
                <w:b/>
                <w:color w:val="000000"/>
                <w:lang w:val="en-GB"/>
              </w:rPr>
            </w:pPr>
            <w:r w:rsidRPr="00AA0AD1">
              <w:rPr>
                <w:rFonts w:ascii="Times New Roman" w:hAnsi="Times New Roman"/>
                <w:b/>
                <w:color w:val="000000"/>
                <w:lang w:val="en-GB"/>
              </w:rPr>
              <w:t>Variable</w:t>
            </w:r>
          </w:p>
        </w:tc>
        <w:tc>
          <w:tcPr>
            <w:tcW w:w="2835" w:type="dxa"/>
            <w:tcBorders>
              <w:top w:val="single" w:sz="4" w:space="0" w:color="auto"/>
              <w:bottom w:val="single" w:sz="4" w:space="0" w:color="auto"/>
            </w:tcBorders>
          </w:tcPr>
          <w:p w14:paraId="2D908EE5" w14:textId="77777777" w:rsidR="00524B7B" w:rsidRPr="00AA0AD1" w:rsidRDefault="00524B7B" w:rsidP="00D17CD1">
            <w:pPr>
              <w:spacing w:after="0" w:line="360" w:lineRule="auto"/>
              <w:jc w:val="center"/>
              <w:rPr>
                <w:rFonts w:ascii="Times New Roman" w:hAnsi="Times New Roman"/>
                <w:b/>
                <w:color w:val="000000"/>
                <w:lang w:val="en-GB"/>
              </w:rPr>
            </w:pPr>
            <w:r w:rsidRPr="00AA0AD1">
              <w:rPr>
                <w:rFonts w:ascii="Times New Roman" w:hAnsi="Times New Roman"/>
                <w:b/>
                <w:color w:val="000000"/>
                <w:lang w:val="en-GB"/>
              </w:rPr>
              <w:t>Measure</w:t>
            </w:r>
          </w:p>
        </w:tc>
        <w:tc>
          <w:tcPr>
            <w:tcW w:w="851" w:type="dxa"/>
            <w:tcBorders>
              <w:top w:val="single" w:sz="4" w:space="0" w:color="auto"/>
              <w:bottom w:val="single" w:sz="4" w:space="0" w:color="auto"/>
            </w:tcBorders>
          </w:tcPr>
          <w:p w14:paraId="1DC6BCD6" w14:textId="77777777" w:rsidR="00524B7B" w:rsidRPr="00AA0AD1" w:rsidRDefault="00524B7B" w:rsidP="00D17CD1">
            <w:pPr>
              <w:spacing w:after="0" w:line="360" w:lineRule="auto"/>
              <w:jc w:val="center"/>
              <w:rPr>
                <w:rFonts w:ascii="Times New Roman" w:hAnsi="Times New Roman"/>
                <w:b/>
                <w:color w:val="000000"/>
                <w:lang w:val="en-GB"/>
              </w:rPr>
            </w:pPr>
            <w:r w:rsidRPr="00AA0AD1">
              <w:rPr>
                <w:rFonts w:ascii="Times New Roman" w:hAnsi="Times New Roman"/>
                <w:b/>
                <w:color w:val="000000"/>
                <w:lang w:val="en-GB"/>
              </w:rPr>
              <w:t>Mean</w:t>
            </w:r>
          </w:p>
        </w:tc>
        <w:tc>
          <w:tcPr>
            <w:tcW w:w="1134" w:type="dxa"/>
            <w:tcBorders>
              <w:top w:val="single" w:sz="4" w:space="0" w:color="auto"/>
              <w:bottom w:val="single" w:sz="4" w:space="0" w:color="auto"/>
            </w:tcBorders>
          </w:tcPr>
          <w:p w14:paraId="6C4728D1" w14:textId="77777777" w:rsidR="00524B7B" w:rsidRPr="00AA0AD1" w:rsidRDefault="00524B7B" w:rsidP="00D17CD1">
            <w:pPr>
              <w:spacing w:after="0" w:line="360" w:lineRule="auto"/>
              <w:jc w:val="center"/>
              <w:rPr>
                <w:rFonts w:ascii="Times New Roman" w:hAnsi="Times New Roman"/>
                <w:b/>
                <w:color w:val="000000"/>
                <w:lang w:val="en-GB"/>
              </w:rPr>
            </w:pPr>
            <w:r w:rsidRPr="00AA0AD1">
              <w:rPr>
                <w:rFonts w:ascii="Times New Roman" w:hAnsi="Times New Roman"/>
                <w:b/>
                <w:color w:val="000000"/>
                <w:lang w:val="en-GB"/>
              </w:rPr>
              <w:t>Standard Deviation</w:t>
            </w:r>
          </w:p>
        </w:tc>
      </w:tr>
      <w:tr w:rsidR="00524B7B" w:rsidRPr="00AA0AD1" w14:paraId="5EAD27E8" w14:textId="77777777" w:rsidTr="00D17CD1">
        <w:trPr>
          <w:jc w:val="center"/>
        </w:trPr>
        <w:tc>
          <w:tcPr>
            <w:tcW w:w="1560" w:type="dxa"/>
            <w:vMerge w:val="restart"/>
            <w:tcBorders>
              <w:top w:val="single" w:sz="4" w:space="0" w:color="auto"/>
              <w:bottom w:val="nil"/>
            </w:tcBorders>
          </w:tcPr>
          <w:p w14:paraId="72C3B579" w14:textId="77777777" w:rsidR="00524B7B" w:rsidRPr="00AA0AD1" w:rsidRDefault="00524B7B" w:rsidP="00D17CD1">
            <w:pPr>
              <w:spacing w:after="0" w:line="360" w:lineRule="auto"/>
              <w:jc w:val="center"/>
              <w:rPr>
                <w:rFonts w:ascii="Times New Roman" w:hAnsi="Times New Roman"/>
                <w:color w:val="000000"/>
                <w:lang w:val="en-GB"/>
              </w:rPr>
            </w:pPr>
            <w:r w:rsidRPr="00AA0AD1">
              <w:rPr>
                <w:rFonts w:ascii="Times New Roman" w:hAnsi="Times New Roman"/>
                <w:color w:val="000000"/>
                <w:lang w:val="en-GB"/>
              </w:rPr>
              <w:t>On wealth &amp; agglomeration</w:t>
            </w:r>
          </w:p>
        </w:tc>
        <w:tc>
          <w:tcPr>
            <w:tcW w:w="2551" w:type="dxa"/>
            <w:tcBorders>
              <w:top w:val="single" w:sz="4" w:space="0" w:color="auto"/>
              <w:bottom w:val="nil"/>
            </w:tcBorders>
          </w:tcPr>
          <w:p w14:paraId="5915E170" w14:textId="77777777" w:rsidR="00524B7B" w:rsidRPr="00AA0AD1" w:rsidRDefault="00524B7B" w:rsidP="00D17CD1">
            <w:pPr>
              <w:spacing w:after="0" w:line="360" w:lineRule="auto"/>
              <w:jc w:val="center"/>
              <w:rPr>
                <w:rFonts w:ascii="Times New Roman" w:hAnsi="Times New Roman"/>
                <w:color w:val="000000"/>
                <w:lang w:val="en-GB"/>
              </w:rPr>
            </w:pPr>
            <w:r w:rsidRPr="00AA0AD1">
              <w:rPr>
                <w:rFonts w:ascii="Times New Roman" w:hAnsi="Times New Roman"/>
                <w:color w:val="000000"/>
                <w:lang w:val="en-GB"/>
              </w:rPr>
              <w:t>Nominal GDP per capita</w:t>
            </w:r>
          </w:p>
        </w:tc>
        <w:tc>
          <w:tcPr>
            <w:tcW w:w="2835" w:type="dxa"/>
            <w:tcBorders>
              <w:top w:val="single" w:sz="4" w:space="0" w:color="auto"/>
              <w:bottom w:val="nil"/>
            </w:tcBorders>
          </w:tcPr>
          <w:p w14:paraId="37765C15" w14:textId="77777777" w:rsidR="00524B7B" w:rsidRPr="00AA0AD1" w:rsidRDefault="00524B7B" w:rsidP="00D17CD1">
            <w:pPr>
              <w:spacing w:after="0" w:line="360" w:lineRule="auto"/>
              <w:jc w:val="center"/>
              <w:rPr>
                <w:rFonts w:ascii="Times New Roman" w:hAnsi="Times New Roman"/>
                <w:color w:val="000000"/>
                <w:lang w:val="en-GB"/>
              </w:rPr>
            </w:pPr>
            <w:r w:rsidRPr="00AA0AD1">
              <w:rPr>
                <w:rFonts w:ascii="Times New Roman" w:hAnsi="Times New Roman"/>
                <w:color w:val="000000"/>
                <w:lang w:val="en-GB"/>
              </w:rPr>
              <w:t>US$</w:t>
            </w:r>
          </w:p>
        </w:tc>
        <w:tc>
          <w:tcPr>
            <w:tcW w:w="851" w:type="dxa"/>
            <w:tcBorders>
              <w:top w:val="single" w:sz="4" w:space="0" w:color="auto"/>
              <w:bottom w:val="nil"/>
            </w:tcBorders>
          </w:tcPr>
          <w:p w14:paraId="52B755AA" w14:textId="77777777" w:rsidR="00524B7B" w:rsidRPr="00AA0AD1" w:rsidRDefault="00524B7B" w:rsidP="00D17CD1">
            <w:pPr>
              <w:spacing w:after="0" w:line="360" w:lineRule="auto"/>
              <w:jc w:val="center"/>
              <w:rPr>
                <w:rFonts w:ascii="Times New Roman" w:hAnsi="Times New Roman"/>
                <w:color w:val="000000"/>
                <w:lang w:val="en-GB"/>
              </w:rPr>
            </w:pPr>
            <w:r w:rsidRPr="00AA0AD1">
              <w:rPr>
                <w:rFonts w:ascii="Times New Roman" w:hAnsi="Times New Roman"/>
                <w:color w:val="000000"/>
                <w:lang w:val="en-GB"/>
              </w:rPr>
              <w:t>25,274</w:t>
            </w:r>
          </w:p>
        </w:tc>
        <w:tc>
          <w:tcPr>
            <w:tcW w:w="1134" w:type="dxa"/>
            <w:tcBorders>
              <w:top w:val="single" w:sz="4" w:space="0" w:color="auto"/>
              <w:bottom w:val="nil"/>
            </w:tcBorders>
          </w:tcPr>
          <w:p w14:paraId="5E5E31E6" w14:textId="77777777" w:rsidR="00524B7B" w:rsidRPr="00AA0AD1" w:rsidRDefault="00524B7B" w:rsidP="00D17CD1">
            <w:pPr>
              <w:spacing w:after="0" w:line="360" w:lineRule="auto"/>
              <w:jc w:val="center"/>
              <w:rPr>
                <w:rFonts w:ascii="Times New Roman" w:hAnsi="Times New Roman"/>
                <w:color w:val="000000"/>
                <w:lang w:val="en-GB"/>
              </w:rPr>
            </w:pPr>
            <w:r w:rsidRPr="00AA0AD1">
              <w:rPr>
                <w:rFonts w:ascii="Times New Roman" w:hAnsi="Times New Roman"/>
                <w:color w:val="000000"/>
                <w:lang w:val="en-GB"/>
              </w:rPr>
              <w:t>18,197</w:t>
            </w:r>
          </w:p>
        </w:tc>
      </w:tr>
      <w:tr w:rsidR="00524B7B" w:rsidRPr="00AA0AD1" w14:paraId="693163B9" w14:textId="77777777" w:rsidTr="00D17CD1">
        <w:trPr>
          <w:jc w:val="center"/>
        </w:trPr>
        <w:tc>
          <w:tcPr>
            <w:tcW w:w="1560" w:type="dxa"/>
            <w:vMerge/>
            <w:tcBorders>
              <w:top w:val="nil"/>
              <w:bottom w:val="single" w:sz="4" w:space="0" w:color="auto"/>
            </w:tcBorders>
          </w:tcPr>
          <w:p w14:paraId="33E0E9F1" w14:textId="77777777" w:rsidR="00524B7B" w:rsidRPr="00AA0AD1" w:rsidRDefault="00524B7B" w:rsidP="00D17CD1">
            <w:pPr>
              <w:spacing w:after="0" w:line="360" w:lineRule="auto"/>
              <w:jc w:val="center"/>
              <w:rPr>
                <w:rFonts w:ascii="Times New Roman" w:hAnsi="Times New Roman"/>
                <w:color w:val="000000"/>
                <w:lang w:val="en-GB"/>
              </w:rPr>
            </w:pPr>
          </w:p>
        </w:tc>
        <w:tc>
          <w:tcPr>
            <w:tcW w:w="2551" w:type="dxa"/>
            <w:tcBorders>
              <w:top w:val="nil"/>
              <w:bottom w:val="single" w:sz="4" w:space="0" w:color="auto"/>
            </w:tcBorders>
          </w:tcPr>
          <w:p w14:paraId="567B834A" w14:textId="77777777" w:rsidR="00524B7B" w:rsidRPr="00AA0AD1" w:rsidRDefault="00524B7B" w:rsidP="00D17CD1">
            <w:pPr>
              <w:spacing w:after="0" w:line="360" w:lineRule="auto"/>
              <w:jc w:val="center"/>
              <w:rPr>
                <w:rFonts w:ascii="Times New Roman" w:hAnsi="Times New Roman"/>
                <w:color w:val="000000"/>
                <w:lang w:val="en-GB"/>
              </w:rPr>
            </w:pPr>
            <w:r w:rsidRPr="00AA0AD1">
              <w:rPr>
                <w:rFonts w:ascii="Times New Roman" w:hAnsi="Times New Roman"/>
                <w:color w:val="000000"/>
                <w:lang w:val="en-GB"/>
              </w:rPr>
              <w:t>Population density</w:t>
            </w:r>
          </w:p>
        </w:tc>
        <w:tc>
          <w:tcPr>
            <w:tcW w:w="2835" w:type="dxa"/>
            <w:tcBorders>
              <w:top w:val="nil"/>
              <w:bottom w:val="single" w:sz="4" w:space="0" w:color="auto"/>
            </w:tcBorders>
          </w:tcPr>
          <w:p w14:paraId="5B688553" w14:textId="77777777" w:rsidR="00524B7B" w:rsidRPr="00AA0AD1" w:rsidRDefault="00524B7B" w:rsidP="00D17CD1">
            <w:pPr>
              <w:spacing w:after="0" w:line="360" w:lineRule="auto"/>
              <w:jc w:val="center"/>
              <w:rPr>
                <w:rFonts w:ascii="Times New Roman" w:hAnsi="Times New Roman"/>
                <w:color w:val="000000"/>
                <w:lang w:val="en-GB"/>
              </w:rPr>
            </w:pPr>
            <w:proofErr w:type="spellStart"/>
            <w:r w:rsidRPr="00AA0AD1">
              <w:rPr>
                <w:rFonts w:ascii="Times New Roman" w:hAnsi="Times New Roman"/>
                <w:color w:val="000000"/>
                <w:lang w:val="en-GB"/>
              </w:rPr>
              <w:t>hab</w:t>
            </w:r>
            <w:proofErr w:type="spellEnd"/>
            <w:r w:rsidRPr="00AA0AD1">
              <w:rPr>
                <w:rFonts w:ascii="Times New Roman" w:hAnsi="Times New Roman"/>
                <w:color w:val="000000"/>
                <w:lang w:val="en-GB"/>
              </w:rPr>
              <w:t>/(Km</w:t>
            </w:r>
            <w:r w:rsidRPr="00AA0AD1">
              <w:rPr>
                <w:rFonts w:ascii="Times New Roman" w:hAnsi="Times New Roman"/>
                <w:color w:val="000000"/>
                <w:vertAlign w:val="superscript"/>
                <w:lang w:val="en-GB"/>
              </w:rPr>
              <w:t>2</w:t>
            </w:r>
            <w:r w:rsidRPr="00AA0AD1">
              <w:rPr>
                <w:rFonts w:ascii="Times New Roman" w:hAnsi="Times New Roman"/>
                <w:color w:val="000000"/>
                <w:lang w:val="en-GB"/>
              </w:rPr>
              <w:t>*1000)</w:t>
            </w:r>
          </w:p>
        </w:tc>
        <w:tc>
          <w:tcPr>
            <w:tcW w:w="851" w:type="dxa"/>
            <w:tcBorders>
              <w:top w:val="nil"/>
              <w:bottom w:val="single" w:sz="4" w:space="0" w:color="auto"/>
            </w:tcBorders>
          </w:tcPr>
          <w:p w14:paraId="53CF9A04" w14:textId="77777777" w:rsidR="00524B7B" w:rsidRPr="00AA0AD1" w:rsidRDefault="00524B7B" w:rsidP="00D17CD1">
            <w:pPr>
              <w:spacing w:after="0" w:line="360" w:lineRule="auto"/>
              <w:jc w:val="center"/>
              <w:rPr>
                <w:rFonts w:ascii="Times New Roman" w:hAnsi="Times New Roman"/>
                <w:color w:val="000000"/>
                <w:lang w:val="en-GB"/>
              </w:rPr>
            </w:pPr>
            <w:r w:rsidRPr="00AA0AD1">
              <w:rPr>
                <w:rFonts w:ascii="Times New Roman" w:hAnsi="Times New Roman"/>
                <w:color w:val="000000"/>
                <w:lang w:val="en-GB"/>
              </w:rPr>
              <w:t>0.119</w:t>
            </w:r>
          </w:p>
        </w:tc>
        <w:tc>
          <w:tcPr>
            <w:tcW w:w="1134" w:type="dxa"/>
            <w:tcBorders>
              <w:top w:val="nil"/>
              <w:bottom w:val="single" w:sz="4" w:space="0" w:color="auto"/>
            </w:tcBorders>
          </w:tcPr>
          <w:p w14:paraId="5E5475A0" w14:textId="77777777" w:rsidR="00524B7B" w:rsidRPr="00AA0AD1" w:rsidRDefault="00524B7B" w:rsidP="00D17CD1">
            <w:pPr>
              <w:spacing w:after="0" w:line="360" w:lineRule="auto"/>
              <w:jc w:val="center"/>
              <w:rPr>
                <w:rFonts w:ascii="Times New Roman" w:hAnsi="Times New Roman"/>
                <w:color w:val="000000"/>
                <w:lang w:val="en-GB"/>
              </w:rPr>
            </w:pPr>
            <w:r w:rsidRPr="00AA0AD1">
              <w:rPr>
                <w:rFonts w:ascii="Times New Roman" w:hAnsi="Times New Roman"/>
                <w:color w:val="000000"/>
                <w:lang w:val="en-GB"/>
              </w:rPr>
              <w:t>0.107</w:t>
            </w:r>
          </w:p>
        </w:tc>
      </w:tr>
      <w:tr w:rsidR="00524B7B" w:rsidRPr="00AA0AD1" w14:paraId="243E4CB0" w14:textId="77777777" w:rsidTr="00D17CD1">
        <w:trPr>
          <w:jc w:val="center"/>
        </w:trPr>
        <w:tc>
          <w:tcPr>
            <w:tcW w:w="1560" w:type="dxa"/>
            <w:tcBorders>
              <w:top w:val="single" w:sz="4" w:space="0" w:color="auto"/>
              <w:bottom w:val="nil"/>
            </w:tcBorders>
          </w:tcPr>
          <w:p w14:paraId="26CB9FED" w14:textId="77777777" w:rsidR="00524B7B" w:rsidRPr="00AA0AD1" w:rsidRDefault="00524B7B" w:rsidP="00D17CD1">
            <w:pPr>
              <w:spacing w:after="0" w:line="360" w:lineRule="auto"/>
              <w:jc w:val="center"/>
              <w:rPr>
                <w:rFonts w:ascii="Times New Roman" w:hAnsi="Times New Roman"/>
                <w:color w:val="000000"/>
                <w:lang w:val="en-GB"/>
              </w:rPr>
            </w:pPr>
            <w:r>
              <w:rPr>
                <w:rFonts w:ascii="Times New Roman" w:hAnsi="Times New Roman"/>
                <w:color w:val="000000"/>
                <w:lang w:val="en-GB"/>
              </w:rPr>
              <w:t>On r</w:t>
            </w:r>
            <w:r w:rsidRPr="00AA0AD1">
              <w:rPr>
                <w:rFonts w:ascii="Times New Roman" w:hAnsi="Times New Roman"/>
                <w:color w:val="000000"/>
                <w:lang w:val="en-GB"/>
              </w:rPr>
              <w:t>egulation &amp; Culture</w:t>
            </w:r>
          </w:p>
        </w:tc>
        <w:tc>
          <w:tcPr>
            <w:tcW w:w="2551" w:type="dxa"/>
            <w:tcBorders>
              <w:top w:val="single" w:sz="4" w:space="0" w:color="auto"/>
              <w:bottom w:val="nil"/>
            </w:tcBorders>
          </w:tcPr>
          <w:p w14:paraId="6CC31A44" w14:textId="77777777" w:rsidR="00524B7B" w:rsidRPr="00AA0AD1" w:rsidRDefault="00524B7B" w:rsidP="00D17CD1">
            <w:pPr>
              <w:spacing w:after="0" w:line="360" w:lineRule="auto"/>
              <w:jc w:val="center"/>
              <w:rPr>
                <w:rFonts w:ascii="Times New Roman" w:hAnsi="Times New Roman"/>
                <w:color w:val="000000"/>
                <w:lang w:val="en-GB"/>
              </w:rPr>
            </w:pPr>
            <w:r w:rsidRPr="00AA0AD1">
              <w:rPr>
                <w:rFonts w:ascii="Times New Roman" w:hAnsi="Times New Roman"/>
                <w:color w:val="000000"/>
                <w:lang w:val="en-GB"/>
              </w:rPr>
              <w:t>IPR Protection</w:t>
            </w:r>
          </w:p>
        </w:tc>
        <w:tc>
          <w:tcPr>
            <w:tcW w:w="2835" w:type="dxa"/>
            <w:tcBorders>
              <w:top w:val="single" w:sz="4" w:space="0" w:color="auto"/>
              <w:bottom w:val="nil"/>
            </w:tcBorders>
          </w:tcPr>
          <w:p w14:paraId="13D3945F" w14:textId="77777777" w:rsidR="00524B7B" w:rsidRPr="00AA0AD1" w:rsidRDefault="00524B7B" w:rsidP="00D17CD1">
            <w:pPr>
              <w:spacing w:after="0" w:line="360" w:lineRule="auto"/>
              <w:jc w:val="center"/>
              <w:rPr>
                <w:rFonts w:ascii="Times New Roman" w:hAnsi="Times New Roman"/>
                <w:color w:val="000000"/>
                <w:lang w:val="en-GB"/>
              </w:rPr>
            </w:pPr>
            <w:r w:rsidRPr="00AA0AD1">
              <w:rPr>
                <w:rFonts w:ascii="Times New Roman" w:hAnsi="Times New Roman"/>
                <w:color w:val="000000"/>
                <w:lang w:val="en-GB"/>
              </w:rPr>
              <w:t>IMD Index (from 0, no protection; to 10, full protection)</w:t>
            </w:r>
          </w:p>
        </w:tc>
        <w:tc>
          <w:tcPr>
            <w:tcW w:w="851" w:type="dxa"/>
            <w:tcBorders>
              <w:top w:val="single" w:sz="4" w:space="0" w:color="auto"/>
              <w:bottom w:val="nil"/>
            </w:tcBorders>
          </w:tcPr>
          <w:p w14:paraId="36EFC91E" w14:textId="77777777" w:rsidR="00524B7B" w:rsidRPr="00AA0AD1" w:rsidRDefault="00524B7B" w:rsidP="00D17CD1">
            <w:pPr>
              <w:spacing w:after="0" w:line="360" w:lineRule="auto"/>
              <w:jc w:val="center"/>
              <w:rPr>
                <w:rFonts w:ascii="Times New Roman" w:hAnsi="Times New Roman"/>
                <w:color w:val="000000"/>
                <w:lang w:val="en-GB"/>
              </w:rPr>
            </w:pPr>
            <w:r w:rsidRPr="00AA0AD1">
              <w:rPr>
                <w:rFonts w:ascii="Times New Roman" w:hAnsi="Times New Roman"/>
                <w:color w:val="000000"/>
                <w:lang w:val="en-GB"/>
              </w:rPr>
              <w:t xml:space="preserve">6.54   </w:t>
            </w:r>
          </w:p>
        </w:tc>
        <w:tc>
          <w:tcPr>
            <w:tcW w:w="1134" w:type="dxa"/>
            <w:tcBorders>
              <w:top w:val="single" w:sz="4" w:space="0" w:color="auto"/>
              <w:bottom w:val="nil"/>
            </w:tcBorders>
          </w:tcPr>
          <w:p w14:paraId="28035E1D" w14:textId="77777777" w:rsidR="00524B7B" w:rsidRPr="00AA0AD1" w:rsidRDefault="00524B7B" w:rsidP="00D17CD1">
            <w:pPr>
              <w:spacing w:after="0" w:line="360" w:lineRule="auto"/>
              <w:jc w:val="center"/>
              <w:rPr>
                <w:rFonts w:ascii="Times New Roman" w:hAnsi="Times New Roman"/>
                <w:color w:val="000000"/>
                <w:lang w:val="en-GB"/>
              </w:rPr>
            </w:pPr>
            <w:r w:rsidRPr="00AA0AD1">
              <w:rPr>
                <w:rFonts w:ascii="Times New Roman" w:hAnsi="Times New Roman"/>
                <w:color w:val="000000"/>
                <w:lang w:val="en-GB"/>
              </w:rPr>
              <w:t>1.88</w:t>
            </w:r>
          </w:p>
        </w:tc>
      </w:tr>
      <w:tr w:rsidR="00524B7B" w:rsidRPr="00AA0AD1" w14:paraId="46F291AD" w14:textId="77777777" w:rsidTr="00D17CD1">
        <w:trPr>
          <w:jc w:val="center"/>
        </w:trPr>
        <w:tc>
          <w:tcPr>
            <w:tcW w:w="1560" w:type="dxa"/>
            <w:tcBorders>
              <w:top w:val="nil"/>
              <w:bottom w:val="single" w:sz="4" w:space="0" w:color="auto"/>
            </w:tcBorders>
          </w:tcPr>
          <w:p w14:paraId="0510C0BA" w14:textId="77777777" w:rsidR="00524B7B" w:rsidRPr="00AA0AD1" w:rsidRDefault="00524B7B" w:rsidP="00D17CD1">
            <w:pPr>
              <w:spacing w:after="0" w:line="360" w:lineRule="auto"/>
              <w:jc w:val="center"/>
              <w:rPr>
                <w:rFonts w:ascii="Times New Roman" w:hAnsi="Times New Roman"/>
                <w:color w:val="000000"/>
                <w:lang w:val="en-GB"/>
              </w:rPr>
            </w:pPr>
          </w:p>
        </w:tc>
        <w:tc>
          <w:tcPr>
            <w:tcW w:w="2551" w:type="dxa"/>
            <w:tcBorders>
              <w:top w:val="nil"/>
              <w:bottom w:val="single" w:sz="4" w:space="0" w:color="auto"/>
            </w:tcBorders>
          </w:tcPr>
          <w:p w14:paraId="6EBE494E" w14:textId="77777777" w:rsidR="00524B7B" w:rsidRPr="00AA0AD1" w:rsidRDefault="00524B7B" w:rsidP="00D17CD1">
            <w:pPr>
              <w:spacing w:after="0" w:line="360" w:lineRule="auto"/>
              <w:jc w:val="center"/>
              <w:rPr>
                <w:rFonts w:ascii="Times New Roman" w:hAnsi="Times New Roman"/>
                <w:color w:val="000000"/>
                <w:lang w:val="en-GB"/>
              </w:rPr>
            </w:pPr>
            <w:r w:rsidRPr="00AA0AD1">
              <w:rPr>
                <w:rFonts w:ascii="Times New Roman" w:hAnsi="Times New Roman"/>
                <w:color w:val="000000"/>
                <w:lang w:val="en-GB"/>
              </w:rPr>
              <w:t>Control of tax evasion</w:t>
            </w:r>
          </w:p>
        </w:tc>
        <w:tc>
          <w:tcPr>
            <w:tcW w:w="2835" w:type="dxa"/>
            <w:tcBorders>
              <w:top w:val="nil"/>
              <w:bottom w:val="single" w:sz="4" w:space="0" w:color="auto"/>
            </w:tcBorders>
          </w:tcPr>
          <w:p w14:paraId="150F15D9" w14:textId="77777777" w:rsidR="00524B7B" w:rsidRPr="00AA0AD1" w:rsidRDefault="00524B7B" w:rsidP="00D17CD1">
            <w:pPr>
              <w:spacing w:after="0" w:line="360" w:lineRule="auto"/>
              <w:jc w:val="center"/>
              <w:rPr>
                <w:rFonts w:ascii="Times New Roman" w:hAnsi="Times New Roman"/>
                <w:color w:val="000000"/>
                <w:lang w:val="en-GB"/>
              </w:rPr>
            </w:pPr>
            <w:r w:rsidRPr="00AA0AD1">
              <w:rPr>
                <w:rFonts w:ascii="Times New Roman" w:hAnsi="Times New Roman"/>
                <w:color w:val="000000"/>
                <w:lang w:val="en-GB"/>
              </w:rPr>
              <w:t>IMD Index (from 0, no control of tax evasion; to 10, full control of tax evasion)</w:t>
            </w:r>
          </w:p>
        </w:tc>
        <w:tc>
          <w:tcPr>
            <w:tcW w:w="851" w:type="dxa"/>
            <w:tcBorders>
              <w:top w:val="nil"/>
              <w:bottom w:val="single" w:sz="4" w:space="0" w:color="auto"/>
            </w:tcBorders>
          </w:tcPr>
          <w:p w14:paraId="7EC5D782" w14:textId="77777777" w:rsidR="00524B7B" w:rsidRPr="00AA0AD1" w:rsidRDefault="00524B7B" w:rsidP="00D17CD1">
            <w:pPr>
              <w:spacing w:after="0" w:line="360" w:lineRule="auto"/>
              <w:jc w:val="center"/>
              <w:rPr>
                <w:rFonts w:ascii="Times New Roman" w:hAnsi="Times New Roman"/>
                <w:color w:val="000000"/>
                <w:lang w:val="en-GB"/>
              </w:rPr>
            </w:pPr>
            <w:r w:rsidRPr="00AA0AD1">
              <w:rPr>
                <w:rFonts w:ascii="Times New Roman" w:hAnsi="Times New Roman"/>
                <w:color w:val="000000"/>
                <w:lang w:val="en-GB"/>
              </w:rPr>
              <w:t>4.59</w:t>
            </w:r>
          </w:p>
        </w:tc>
        <w:tc>
          <w:tcPr>
            <w:tcW w:w="1134" w:type="dxa"/>
            <w:tcBorders>
              <w:top w:val="nil"/>
              <w:bottom w:val="single" w:sz="4" w:space="0" w:color="auto"/>
            </w:tcBorders>
          </w:tcPr>
          <w:p w14:paraId="06E9807B" w14:textId="77777777" w:rsidR="00524B7B" w:rsidRPr="00AA0AD1" w:rsidRDefault="00524B7B" w:rsidP="00D17CD1">
            <w:pPr>
              <w:spacing w:after="0" w:line="360" w:lineRule="auto"/>
              <w:jc w:val="center"/>
              <w:rPr>
                <w:rFonts w:ascii="Times New Roman" w:hAnsi="Times New Roman"/>
                <w:color w:val="000000"/>
                <w:lang w:val="en-GB"/>
              </w:rPr>
            </w:pPr>
            <w:r w:rsidRPr="00AA0AD1">
              <w:rPr>
                <w:rFonts w:ascii="Times New Roman" w:hAnsi="Times New Roman"/>
                <w:color w:val="000000"/>
                <w:lang w:val="en-GB"/>
              </w:rPr>
              <w:t>1.69</w:t>
            </w:r>
          </w:p>
        </w:tc>
      </w:tr>
      <w:tr w:rsidR="00524B7B" w:rsidRPr="00AA0AD1" w14:paraId="62BE0C44" w14:textId="77777777" w:rsidTr="00D17CD1">
        <w:trPr>
          <w:jc w:val="center"/>
        </w:trPr>
        <w:tc>
          <w:tcPr>
            <w:tcW w:w="1560" w:type="dxa"/>
            <w:vMerge w:val="restart"/>
            <w:tcBorders>
              <w:top w:val="single" w:sz="4" w:space="0" w:color="auto"/>
            </w:tcBorders>
          </w:tcPr>
          <w:p w14:paraId="62CB6D04" w14:textId="77777777" w:rsidR="00524B7B" w:rsidRPr="00AA0AD1" w:rsidRDefault="00524B7B" w:rsidP="00D17CD1">
            <w:pPr>
              <w:spacing w:after="0" w:line="360" w:lineRule="auto"/>
              <w:jc w:val="center"/>
              <w:rPr>
                <w:rFonts w:ascii="Times New Roman" w:hAnsi="Times New Roman"/>
                <w:color w:val="000000"/>
                <w:lang w:val="en-GB"/>
              </w:rPr>
            </w:pPr>
            <w:r w:rsidRPr="00AA0AD1">
              <w:rPr>
                <w:rFonts w:ascii="Times New Roman" w:hAnsi="Times New Roman"/>
                <w:color w:val="000000"/>
                <w:lang w:val="en-GB"/>
              </w:rPr>
              <w:t>On market conditions</w:t>
            </w:r>
          </w:p>
        </w:tc>
        <w:tc>
          <w:tcPr>
            <w:tcW w:w="2551" w:type="dxa"/>
            <w:tcBorders>
              <w:top w:val="single" w:sz="4" w:space="0" w:color="auto"/>
            </w:tcBorders>
          </w:tcPr>
          <w:p w14:paraId="3122241F" w14:textId="77777777" w:rsidR="00524B7B" w:rsidRPr="00AA0AD1" w:rsidRDefault="00524B7B" w:rsidP="00D17CD1">
            <w:pPr>
              <w:spacing w:after="0" w:line="360" w:lineRule="auto"/>
              <w:jc w:val="center"/>
              <w:rPr>
                <w:rFonts w:ascii="Times New Roman" w:hAnsi="Times New Roman"/>
                <w:color w:val="000000"/>
                <w:lang w:val="en-GB"/>
              </w:rPr>
            </w:pPr>
            <w:r w:rsidRPr="00AA0AD1">
              <w:rPr>
                <w:rFonts w:ascii="Times New Roman" w:hAnsi="Times New Roman"/>
                <w:color w:val="000000"/>
                <w:lang w:val="en-GB"/>
              </w:rPr>
              <w:t>IFPI Average price CD</w:t>
            </w:r>
          </w:p>
        </w:tc>
        <w:tc>
          <w:tcPr>
            <w:tcW w:w="2835" w:type="dxa"/>
            <w:tcBorders>
              <w:top w:val="single" w:sz="4" w:space="0" w:color="auto"/>
            </w:tcBorders>
          </w:tcPr>
          <w:p w14:paraId="05D081CC" w14:textId="77777777" w:rsidR="00524B7B" w:rsidRPr="00AA0AD1" w:rsidRDefault="00524B7B" w:rsidP="00D17CD1">
            <w:pPr>
              <w:spacing w:after="0" w:line="360" w:lineRule="auto"/>
              <w:jc w:val="center"/>
              <w:rPr>
                <w:rFonts w:ascii="Times New Roman" w:hAnsi="Times New Roman"/>
                <w:color w:val="000000"/>
                <w:lang w:val="en-GB"/>
              </w:rPr>
            </w:pPr>
            <w:r w:rsidRPr="00AA0AD1">
              <w:rPr>
                <w:rFonts w:ascii="Times New Roman" w:hAnsi="Times New Roman"/>
                <w:color w:val="000000"/>
                <w:lang w:val="en-GB"/>
              </w:rPr>
              <w:t>US$</w:t>
            </w:r>
          </w:p>
        </w:tc>
        <w:tc>
          <w:tcPr>
            <w:tcW w:w="851" w:type="dxa"/>
            <w:tcBorders>
              <w:top w:val="single" w:sz="4" w:space="0" w:color="auto"/>
            </w:tcBorders>
          </w:tcPr>
          <w:p w14:paraId="2B101BFE" w14:textId="77777777" w:rsidR="00524B7B" w:rsidRPr="00AA0AD1" w:rsidRDefault="00524B7B" w:rsidP="00D17CD1">
            <w:pPr>
              <w:spacing w:after="0" w:line="360" w:lineRule="auto"/>
              <w:jc w:val="center"/>
              <w:rPr>
                <w:rFonts w:ascii="Times New Roman" w:hAnsi="Times New Roman"/>
                <w:color w:val="000000"/>
                <w:lang w:val="en-GB"/>
              </w:rPr>
            </w:pPr>
            <w:r w:rsidRPr="00AA0AD1">
              <w:rPr>
                <w:rFonts w:ascii="Times New Roman" w:hAnsi="Times New Roman"/>
                <w:color w:val="000000"/>
                <w:lang w:val="en-GB"/>
              </w:rPr>
              <w:t>8.92</w:t>
            </w:r>
          </w:p>
        </w:tc>
        <w:tc>
          <w:tcPr>
            <w:tcW w:w="1134" w:type="dxa"/>
            <w:tcBorders>
              <w:top w:val="single" w:sz="4" w:space="0" w:color="auto"/>
            </w:tcBorders>
          </w:tcPr>
          <w:p w14:paraId="240EB18C" w14:textId="77777777" w:rsidR="00524B7B" w:rsidRPr="00AA0AD1" w:rsidRDefault="00524B7B" w:rsidP="00D17CD1">
            <w:pPr>
              <w:spacing w:after="0" w:line="360" w:lineRule="auto"/>
              <w:jc w:val="center"/>
              <w:rPr>
                <w:rFonts w:ascii="Times New Roman" w:hAnsi="Times New Roman"/>
                <w:color w:val="000000"/>
                <w:lang w:val="en-GB"/>
              </w:rPr>
            </w:pPr>
            <w:r w:rsidRPr="00AA0AD1">
              <w:rPr>
                <w:rFonts w:ascii="Times New Roman" w:hAnsi="Times New Roman"/>
                <w:color w:val="000000"/>
                <w:lang w:val="en-GB"/>
              </w:rPr>
              <w:t>3.49</w:t>
            </w:r>
          </w:p>
        </w:tc>
      </w:tr>
      <w:tr w:rsidR="00524B7B" w:rsidRPr="00AA0AD1" w14:paraId="7096168C" w14:textId="77777777" w:rsidTr="00D17CD1">
        <w:trPr>
          <w:jc w:val="center"/>
        </w:trPr>
        <w:tc>
          <w:tcPr>
            <w:tcW w:w="1560" w:type="dxa"/>
            <w:vMerge/>
            <w:tcBorders>
              <w:bottom w:val="single" w:sz="4" w:space="0" w:color="auto"/>
            </w:tcBorders>
          </w:tcPr>
          <w:p w14:paraId="2FE986B0" w14:textId="77777777" w:rsidR="00524B7B" w:rsidRPr="00AA0AD1" w:rsidRDefault="00524B7B" w:rsidP="00D17CD1">
            <w:pPr>
              <w:spacing w:after="0" w:line="360" w:lineRule="auto"/>
              <w:jc w:val="center"/>
              <w:rPr>
                <w:rFonts w:ascii="Times New Roman" w:hAnsi="Times New Roman"/>
                <w:color w:val="000000"/>
                <w:lang w:val="en-GB"/>
              </w:rPr>
            </w:pPr>
          </w:p>
        </w:tc>
        <w:tc>
          <w:tcPr>
            <w:tcW w:w="2551" w:type="dxa"/>
            <w:tcBorders>
              <w:bottom w:val="single" w:sz="4" w:space="0" w:color="auto"/>
            </w:tcBorders>
          </w:tcPr>
          <w:p w14:paraId="2CE0DCB0" w14:textId="77777777" w:rsidR="00524B7B" w:rsidRPr="00AA0AD1" w:rsidRDefault="00524B7B" w:rsidP="00D17CD1">
            <w:pPr>
              <w:spacing w:after="0" w:line="360" w:lineRule="auto"/>
              <w:jc w:val="center"/>
              <w:rPr>
                <w:rFonts w:ascii="Times New Roman" w:hAnsi="Times New Roman"/>
                <w:color w:val="000000"/>
                <w:lang w:val="en-GB"/>
              </w:rPr>
            </w:pPr>
            <w:r w:rsidRPr="00AA0AD1">
              <w:rPr>
                <w:rFonts w:ascii="Times New Roman" w:hAnsi="Times New Roman"/>
                <w:color w:val="000000"/>
                <w:lang w:val="en-GB"/>
              </w:rPr>
              <w:t xml:space="preserve">World Bank Internet users </w:t>
            </w:r>
          </w:p>
        </w:tc>
        <w:tc>
          <w:tcPr>
            <w:tcW w:w="2835" w:type="dxa"/>
            <w:tcBorders>
              <w:bottom w:val="single" w:sz="4" w:space="0" w:color="auto"/>
            </w:tcBorders>
          </w:tcPr>
          <w:p w14:paraId="497F221B" w14:textId="77777777" w:rsidR="00524B7B" w:rsidRPr="00AA0AD1" w:rsidRDefault="00524B7B" w:rsidP="00D17CD1">
            <w:pPr>
              <w:spacing w:after="0" w:line="360" w:lineRule="auto"/>
              <w:jc w:val="center"/>
              <w:rPr>
                <w:rFonts w:ascii="Times New Roman" w:hAnsi="Times New Roman"/>
                <w:color w:val="000000"/>
                <w:lang w:val="en-GB"/>
              </w:rPr>
            </w:pPr>
            <w:r w:rsidRPr="00AA0AD1">
              <w:rPr>
                <w:rFonts w:ascii="Times New Roman" w:hAnsi="Times New Roman"/>
                <w:color w:val="000000"/>
                <w:lang w:val="en-GB"/>
              </w:rPr>
              <w:t>Internet users per 100 inhabitants</w:t>
            </w:r>
          </w:p>
        </w:tc>
        <w:tc>
          <w:tcPr>
            <w:tcW w:w="851" w:type="dxa"/>
            <w:tcBorders>
              <w:bottom w:val="single" w:sz="4" w:space="0" w:color="auto"/>
            </w:tcBorders>
          </w:tcPr>
          <w:p w14:paraId="2D4C3B4E" w14:textId="77777777" w:rsidR="00524B7B" w:rsidRPr="00AA0AD1" w:rsidRDefault="00524B7B" w:rsidP="00D17CD1">
            <w:pPr>
              <w:spacing w:after="0" w:line="360" w:lineRule="auto"/>
              <w:jc w:val="center"/>
              <w:rPr>
                <w:rFonts w:ascii="Times New Roman" w:hAnsi="Times New Roman"/>
                <w:color w:val="000000"/>
                <w:lang w:val="en-GB"/>
              </w:rPr>
            </w:pPr>
            <w:r w:rsidRPr="00AA0AD1">
              <w:rPr>
                <w:rFonts w:ascii="Times New Roman" w:hAnsi="Times New Roman"/>
                <w:color w:val="000000"/>
                <w:lang w:val="en-GB"/>
              </w:rPr>
              <w:t>41.21</w:t>
            </w:r>
          </w:p>
        </w:tc>
        <w:tc>
          <w:tcPr>
            <w:tcW w:w="1134" w:type="dxa"/>
            <w:tcBorders>
              <w:bottom w:val="single" w:sz="4" w:space="0" w:color="auto"/>
            </w:tcBorders>
          </w:tcPr>
          <w:p w14:paraId="608BDC7A" w14:textId="77777777" w:rsidR="00524B7B" w:rsidRPr="00AA0AD1" w:rsidRDefault="00524B7B" w:rsidP="00D17CD1">
            <w:pPr>
              <w:spacing w:after="0" w:line="360" w:lineRule="auto"/>
              <w:jc w:val="center"/>
              <w:rPr>
                <w:rFonts w:ascii="Times New Roman" w:hAnsi="Times New Roman"/>
                <w:color w:val="000000"/>
                <w:lang w:val="en-GB"/>
              </w:rPr>
            </w:pPr>
            <w:r w:rsidRPr="00AA0AD1">
              <w:rPr>
                <w:rFonts w:ascii="Times New Roman" w:hAnsi="Times New Roman"/>
                <w:color w:val="000000"/>
                <w:lang w:val="en-GB"/>
              </w:rPr>
              <w:t>27.40</w:t>
            </w:r>
          </w:p>
        </w:tc>
      </w:tr>
    </w:tbl>
    <w:p w14:paraId="1D7E510A" w14:textId="7A46B4B3" w:rsidR="00961A58" w:rsidRDefault="00961A58" w:rsidP="006432A1">
      <w:pPr>
        <w:spacing w:after="0" w:line="240" w:lineRule="auto"/>
        <w:outlineLvl w:val="0"/>
        <w:rPr>
          <w:rFonts w:ascii="Times New Roman" w:hAnsi="Times New Roman"/>
          <w:b/>
          <w:color w:val="000000"/>
          <w:lang w:val="en-GB"/>
        </w:rPr>
      </w:pPr>
    </w:p>
    <w:p w14:paraId="058F31EA" w14:textId="617A8D49" w:rsidR="002235EF" w:rsidRDefault="002235EF" w:rsidP="006432A1">
      <w:pPr>
        <w:spacing w:after="0" w:line="240" w:lineRule="auto"/>
        <w:outlineLvl w:val="0"/>
        <w:rPr>
          <w:rFonts w:ascii="Times New Roman" w:hAnsi="Times New Roman"/>
          <w:b/>
          <w:color w:val="000000"/>
          <w:lang w:val="en-GB"/>
        </w:rPr>
      </w:pPr>
    </w:p>
    <w:p w14:paraId="358B1AF6" w14:textId="3496295B" w:rsidR="002235EF" w:rsidRDefault="002235EF" w:rsidP="006432A1">
      <w:pPr>
        <w:spacing w:after="0" w:line="240" w:lineRule="auto"/>
        <w:outlineLvl w:val="0"/>
        <w:rPr>
          <w:rFonts w:ascii="Times New Roman" w:hAnsi="Times New Roman"/>
          <w:b/>
          <w:color w:val="000000"/>
          <w:lang w:val="en-GB"/>
        </w:rPr>
      </w:pPr>
    </w:p>
    <w:p w14:paraId="7FBD67AA" w14:textId="203EDC45" w:rsidR="002235EF" w:rsidRDefault="002235EF" w:rsidP="006432A1">
      <w:pPr>
        <w:spacing w:after="0" w:line="240" w:lineRule="auto"/>
        <w:outlineLvl w:val="0"/>
        <w:rPr>
          <w:rFonts w:ascii="Times New Roman" w:hAnsi="Times New Roman"/>
          <w:b/>
          <w:color w:val="000000"/>
          <w:lang w:val="en-GB"/>
        </w:rPr>
      </w:pPr>
    </w:p>
    <w:p w14:paraId="2695121E" w14:textId="3FE4D494" w:rsidR="002235EF" w:rsidRDefault="002235EF" w:rsidP="006432A1">
      <w:pPr>
        <w:spacing w:after="0" w:line="240" w:lineRule="auto"/>
        <w:outlineLvl w:val="0"/>
        <w:rPr>
          <w:rFonts w:ascii="Times New Roman" w:hAnsi="Times New Roman"/>
          <w:b/>
          <w:color w:val="000000"/>
          <w:lang w:val="en-GB"/>
        </w:rPr>
      </w:pPr>
    </w:p>
    <w:p w14:paraId="48BBF6C6" w14:textId="6DF6EEEE" w:rsidR="002235EF" w:rsidRDefault="002235EF" w:rsidP="006432A1">
      <w:pPr>
        <w:spacing w:after="0" w:line="240" w:lineRule="auto"/>
        <w:outlineLvl w:val="0"/>
        <w:rPr>
          <w:rFonts w:ascii="Times New Roman" w:hAnsi="Times New Roman"/>
          <w:b/>
          <w:color w:val="000000"/>
          <w:lang w:val="en-GB"/>
        </w:rPr>
      </w:pPr>
    </w:p>
    <w:p w14:paraId="35391AF8" w14:textId="6ACC7555" w:rsidR="002235EF" w:rsidRDefault="002235EF" w:rsidP="006432A1">
      <w:pPr>
        <w:spacing w:after="0" w:line="240" w:lineRule="auto"/>
        <w:outlineLvl w:val="0"/>
        <w:rPr>
          <w:rFonts w:ascii="Times New Roman" w:hAnsi="Times New Roman"/>
          <w:b/>
          <w:color w:val="000000"/>
          <w:lang w:val="en-GB"/>
        </w:rPr>
      </w:pPr>
    </w:p>
    <w:p w14:paraId="40BE2488" w14:textId="598C498D" w:rsidR="002235EF" w:rsidRDefault="002235EF" w:rsidP="006432A1">
      <w:pPr>
        <w:spacing w:after="0" w:line="240" w:lineRule="auto"/>
        <w:outlineLvl w:val="0"/>
        <w:rPr>
          <w:rFonts w:ascii="Times New Roman" w:hAnsi="Times New Roman"/>
          <w:b/>
          <w:color w:val="000000"/>
          <w:lang w:val="en-GB"/>
        </w:rPr>
      </w:pPr>
    </w:p>
    <w:p w14:paraId="75EE7F62" w14:textId="5999D8A6" w:rsidR="002235EF" w:rsidRDefault="002235EF" w:rsidP="006432A1">
      <w:pPr>
        <w:spacing w:after="0" w:line="240" w:lineRule="auto"/>
        <w:outlineLvl w:val="0"/>
        <w:rPr>
          <w:rFonts w:ascii="Times New Roman" w:hAnsi="Times New Roman"/>
          <w:b/>
          <w:color w:val="000000"/>
          <w:lang w:val="en-GB"/>
        </w:rPr>
      </w:pPr>
    </w:p>
    <w:p w14:paraId="7E19307E" w14:textId="276649F6" w:rsidR="002235EF" w:rsidRDefault="002235EF" w:rsidP="006432A1">
      <w:pPr>
        <w:spacing w:after="0" w:line="240" w:lineRule="auto"/>
        <w:outlineLvl w:val="0"/>
        <w:rPr>
          <w:rFonts w:ascii="Times New Roman" w:hAnsi="Times New Roman"/>
          <w:b/>
          <w:color w:val="000000"/>
          <w:lang w:val="en-GB"/>
        </w:rPr>
      </w:pPr>
    </w:p>
    <w:p w14:paraId="1A302355" w14:textId="43C839DD" w:rsidR="002235EF" w:rsidRDefault="002235EF" w:rsidP="006432A1">
      <w:pPr>
        <w:spacing w:after="0" w:line="240" w:lineRule="auto"/>
        <w:outlineLvl w:val="0"/>
        <w:rPr>
          <w:rFonts w:ascii="Times New Roman" w:hAnsi="Times New Roman"/>
          <w:b/>
          <w:color w:val="000000"/>
          <w:lang w:val="en-GB"/>
        </w:rPr>
      </w:pPr>
    </w:p>
    <w:p w14:paraId="73609FC9" w14:textId="5CDECD51" w:rsidR="002235EF" w:rsidRDefault="002235EF" w:rsidP="006432A1">
      <w:pPr>
        <w:spacing w:after="0" w:line="240" w:lineRule="auto"/>
        <w:outlineLvl w:val="0"/>
        <w:rPr>
          <w:rFonts w:ascii="Times New Roman" w:hAnsi="Times New Roman"/>
          <w:b/>
          <w:color w:val="000000"/>
          <w:lang w:val="en-GB"/>
        </w:rPr>
      </w:pPr>
    </w:p>
    <w:p w14:paraId="6A777A75" w14:textId="04A1D923" w:rsidR="002235EF" w:rsidRDefault="002235EF" w:rsidP="006432A1">
      <w:pPr>
        <w:spacing w:after="0" w:line="240" w:lineRule="auto"/>
        <w:outlineLvl w:val="0"/>
        <w:rPr>
          <w:rFonts w:ascii="Times New Roman" w:hAnsi="Times New Roman"/>
          <w:b/>
          <w:color w:val="000000"/>
          <w:lang w:val="en-GB"/>
        </w:rPr>
      </w:pPr>
    </w:p>
    <w:p w14:paraId="5013C624" w14:textId="21A53649" w:rsidR="002235EF" w:rsidRDefault="002235EF" w:rsidP="006432A1">
      <w:pPr>
        <w:spacing w:after="0" w:line="240" w:lineRule="auto"/>
        <w:outlineLvl w:val="0"/>
        <w:rPr>
          <w:rFonts w:ascii="Times New Roman" w:hAnsi="Times New Roman"/>
          <w:b/>
          <w:color w:val="000000"/>
          <w:lang w:val="en-GB"/>
        </w:rPr>
      </w:pPr>
    </w:p>
    <w:p w14:paraId="5A2054E0" w14:textId="256504B8" w:rsidR="002235EF" w:rsidRDefault="002235EF" w:rsidP="006432A1">
      <w:pPr>
        <w:spacing w:after="0" w:line="240" w:lineRule="auto"/>
        <w:outlineLvl w:val="0"/>
        <w:rPr>
          <w:rFonts w:ascii="Times New Roman" w:hAnsi="Times New Roman"/>
          <w:b/>
          <w:color w:val="000000"/>
          <w:lang w:val="en-GB"/>
        </w:rPr>
      </w:pPr>
    </w:p>
    <w:p w14:paraId="2F72DD8A" w14:textId="64A9B0AD" w:rsidR="002235EF" w:rsidRDefault="002235EF" w:rsidP="006432A1">
      <w:pPr>
        <w:spacing w:after="0" w:line="240" w:lineRule="auto"/>
        <w:outlineLvl w:val="0"/>
        <w:rPr>
          <w:rFonts w:ascii="Times New Roman" w:hAnsi="Times New Roman"/>
          <w:b/>
          <w:color w:val="000000"/>
          <w:lang w:val="en-GB"/>
        </w:rPr>
      </w:pPr>
    </w:p>
    <w:p w14:paraId="5CEBC9DE" w14:textId="5CAC2E80" w:rsidR="002235EF" w:rsidRDefault="002235EF" w:rsidP="006432A1">
      <w:pPr>
        <w:spacing w:after="0" w:line="240" w:lineRule="auto"/>
        <w:outlineLvl w:val="0"/>
        <w:rPr>
          <w:rFonts w:ascii="Times New Roman" w:hAnsi="Times New Roman"/>
          <w:b/>
          <w:color w:val="000000"/>
          <w:lang w:val="en-GB"/>
        </w:rPr>
      </w:pPr>
    </w:p>
    <w:p w14:paraId="5480D112" w14:textId="6CE180F2" w:rsidR="002235EF" w:rsidRDefault="002235EF" w:rsidP="006432A1">
      <w:pPr>
        <w:spacing w:after="0" w:line="240" w:lineRule="auto"/>
        <w:outlineLvl w:val="0"/>
        <w:rPr>
          <w:rFonts w:ascii="Times New Roman" w:hAnsi="Times New Roman"/>
          <w:b/>
          <w:color w:val="000000"/>
          <w:lang w:val="en-GB"/>
        </w:rPr>
      </w:pPr>
    </w:p>
    <w:p w14:paraId="221CA2DA" w14:textId="3FA03E11" w:rsidR="002235EF" w:rsidRDefault="002235EF" w:rsidP="006432A1">
      <w:pPr>
        <w:spacing w:after="0" w:line="240" w:lineRule="auto"/>
        <w:outlineLvl w:val="0"/>
        <w:rPr>
          <w:rFonts w:ascii="Times New Roman" w:hAnsi="Times New Roman"/>
          <w:b/>
          <w:color w:val="000000"/>
          <w:lang w:val="en-GB"/>
        </w:rPr>
      </w:pPr>
    </w:p>
    <w:p w14:paraId="0179E6D9" w14:textId="3C99D00D" w:rsidR="002235EF" w:rsidRDefault="002235EF" w:rsidP="006432A1">
      <w:pPr>
        <w:spacing w:after="0" w:line="240" w:lineRule="auto"/>
        <w:outlineLvl w:val="0"/>
        <w:rPr>
          <w:rFonts w:ascii="Times New Roman" w:hAnsi="Times New Roman"/>
          <w:b/>
          <w:color w:val="000000"/>
          <w:lang w:val="en-GB"/>
        </w:rPr>
      </w:pPr>
    </w:p>
    <w:p w14:paraId="48585CBC" w14:textId="2B6373D3" w:rsidR="002353D1" w:rsidRDefault="002353D1" w:rsidP="000C7B10">
      <w:pPr>
        <w:spacing w:after="0" w:line="240" w:lineRule="auto"/>
        <w:jc w:val="center"/>
        <w:outlineLvl w:val="0"/>
        <w:rPr>
          <w:rFonts w:ascii="Times New Roman" w:hAnsi="Times New Roman"/>
          <w:b/>
          <w:color w:val="000000"/>
          <w:lang w:val="en-GB"/>
        </w:rPr>
      </w:pPr>
    </w:p>
    <w:p w14:paraId="215F359A" w14:textId="77777777" w:rsidR="002235EF" w:rsidRDefault="002235EF" w:rsidP="000C7B10">
      <w:pPr>
        <w:spacing w:after="0" w:line="240" w:lineRule="auto"/>
        <w:jc w:val="center"/>
        <w:outlineLvl w:val="0"/>
        <w:rPr>
          <w:rFonts w:ascii="Times New Roman" w:hAnsi="Times New Roman"/>
          <w:b/>
          <w:color w:val="000000"/>
          <w:lang w:val="en-GB"/>
        </w:rPr>
      </w:pPr>
    </w:p>
    <w:p w14:paraId="5707BE58" w14:textId="1D1A8573" w:rsidR="000C7B10" w:rsidRPr="008F0263" w:rsidRDefault="000C7B10" w:rsidP="000C7B10">
      <w:pPr>
        <w:spacing w:after="0" w:line="240" w:lineRule="auto"/>
        <w:jc w:val="center"/>
        <w:outlineLvl w:val="0"/>
        <w:rPr>
          <w:rFonts w:ascii="Times New Roman" w:hAnsi="Times New Roman"/>
          <w:color w:val="000000"/>
          <w:lang w:val="en-GB"/>
        </w:rPr>
      </w:pPr>
      <w:r w:rsidRPr="008F0263">
        <w:rPr>
          <w:rFonts w:ascii="Times New Roman" w:hAnsi="Times New Roman"/>
          <w:b/>
          <w:color w:val="000000"/>
          <w:lang w:val="en-GB"/>
        </w:rPr>
        <w:t>Table 3</w:t>
      </w:r>
      <w:r w:rsidRPr="008F0263">
        <w:rPr>
          <w:rFonts w:ascii="Times New Roman" w:hAnsi="Times New Roman"/>
          <w:color w:val="000000"/>
          <w:lang w:val="en-GB"/>
        </w:rPr>
        <w:t>. OLS with Fixed effects analysing a linear relation between business model innovation and revenues</w:t>
      </w:r>
    </w:p>
    <w:tbl>
      <w:tblPr>
        <w:tblW w:w="9322" w:type="dxa"/>
        <w:jc w:val="center"/>
        <w:tblLook w:val="00A0" w:firstRow="1" w:lastRow="0" w:firstColumn="1" w:lastColumn="0" w:noHBand="0" w:noVBand="0"/>
      </w:tblPr>
      <w:tblGrid>
        <w:gridCol w:w="4407"/>
        <w:gridCol w:w="1366"/>
        <w:gridCol w:w="1097"/>
        <w:gridCol w:w="1167"/>
        <w:gridCol w:w="1285"/>
      </w:tblGrid>
      <w:tr w:rsidR="000C7B10" w:rsidRPr="005F17F3" w14:paraId="67AE6241" w14:textId="77777777" w:rsidTr="00D17CD1">
        <w:trPr>
          <w:trHeight w:val="113"/>
          <w:jc w:val="center"/>
        </w:trPr>
        <w:tc>
          <w:tcPr>
            <w:tcW w:w="4407" w:type="dxa"/>
            <w:tcBorders>
              <w:top w:val="single" w:sz="4" w:space="0" w:color="auto"/>
              <w:left w:val="single" w:sz="4" w:space="0" w:color="auto"/>
              <w:bottom w:val="single" w:sz="4" w:space="0" w:color="auto"/>
              <w:right w:val="single" w:sz="4" w:space="0" w:color="auto"/>
            </w:tcBorders>
          </w:tcPr>
          <w:p w14:paraId="5F1E1593" w14:textId="77777777" w:rsidR="000C7B10" w:rsidRPr="005F17F3" w:rsidRDefault="000C7B10" w:rsidP="00D17CD1">
            <w:pPr>
              <w:spacing w:after="0" w:line="360" w:lineRule="auto"/>
              <w:jc w:val="both"/>
              <w:rPr>
                <w:rFonts w:ascii="Times New Roman" w:hAnsi="Times New Roman"/>
                <w:b/>
                <w:color w:val="000000"/>
                <w:sz w:val="20"/>
                <w:szCs w:val="20"/>
                <w:lang w:val="en-GB"/>
              </w:rPr>
            </w:pPr>
          </w:p>
        </w:tc>
        <w:tc>
          <w:tcPr>
            <w:tcW w:w="1366" w:type="dxa"/>
            <w:tcBorders>
              <w:top w:val="single" w:sz="4" w:space="0" w:color="auto"/>
              <w:left w:val="single" w:sz="4" w:space="0" w:color="auto"/>
              <w:bottom w:val="single" w:sz="4" w:space="0" w:color="auto"/>
              <w:right w:val="single" w:sz="4" w:space="0" w:color="auto"/>
            </w:tcBorders>
          </w:tcPr>
          <w:p w14:paraId="202E9FEA" w14:textId="77777777" w:rsidR="000C7B10" w:rsidRPr="005F17F3" w:rsidRDefault="000C7B10" w:rsidP="00D17CD1">
            <w:pPr>
              <w:spacing w:after="0" w:line="360" w:lineRule="auto"/>
              <w:jc w:val="center"/>
              <w:rPr>
                <w:rFonts w:ascii="Times New Roman" w:hAnsi="Times New Roman"/>
                <w:b/>
                <w:color w:val="000000"/>
                <w:sz w:val="20"/>
                <w:szCs w:val="20"/>
                <w:lang w:val="en-GB"/>
              </w:rPr>
            </w:pPr>
          </w:p>
        </w:tc>
        <w:tc>
          <w:tcPr>
            <w:tcW w:w="3549" w:type="dxa"/>
            <w:gridSpan w:val="3"/>
            <w:tcBorders>
              <w:top w:val="single" w:sz="4" w:space="0" w:color="auto"/>
              <w:left w:val="single" w:sz="4" w:space="0" w:color="auto"/>
              <w:bottom w:val="single" w:sz="4" w:space="0" w:color="auto"/>
              <w:right w:val="single" w:sz="4" w:space="0" w:color="auto"/>
            </w:tcBorders>
          </w:tcPr>
          <w:p w14:paraId="37B9A2FC" w14:textId="77777777" w:rsidR="000C7B10" w:rsidRPr="005F17F3" w:rsidRDefault="000C7B10" w:rsidP="00D17CD1">
            <w:pPr>
              <w:spacing w:after="0" w:line="360" w:lineRule="auto"/>
              <w:jc w:val="center"/>
              <w:rPr>
                <w:rFonts w:ascii="Times New Roman" w:hAnsi="Times New Roman"/>
                <w:b/>
                <w:color w:val="000000"/>
                <w:sz w:val="20"/>
                <w:szCs w:val="20"/>
                <w:lang w:val="en-GB"/>
              </w:rPr>
            </w:pPr>
            <w:r w:rsidRPr="005F17F3">
              <w:rPr>
                <w:rFonts w:ascii="Times New Roman" w:hAnsi="Times New Roman"/>
                <w:b/>
                <w:color w:val="000000"/>
                <w:sz w:val="20"/>
                <w:szCs w:val="20"/>
                <w:lang w:val="en-GB"/>
              </w:rPr>
              <w:t>Techno-Social Disruptions</w:t>
            </w:r>
          </w:p>
        </w:tc>
      </w:tr>
      <w:tr w:rsidR="000C7B10" w:rsidRPr="005F17F3" w14:paraId="6270755B" w14:textId="77777777" w:rsidTr="00D17CD1">
        <w:trPr>
          <w:trHeight w:val="113"/>
          <w:jc w:val="center"/>
        </w:trPr>
        <w:tc>
          <w:tcPr>
            <w:tcW w:w="4407" w:type="dxa"/>
            <w:tcBorders>
              <w:top w:val="single" w:sz="4" w:space="0" w:color="auto"/>
              <w:left w:val="single" w:sz="4" w:space="0" w:color="auto"/>
              <w:bottom w:val="single" w:sz="4" w:space="0" w:color="auto"/>
              <w:right w:val="single" w:sz="4" w:space="0" w:color="auto"/>
            </w:tcBorders>
          </w:tcPr>
          <w:p w14:paraId="27FC471C" w14:textId="77777777" w:rsidR="000C7B10" w:rsidRPr="005F17F3" w:rsidRDefault="000C7B10" w:rsidP="00D17CD1">
            <w:pPr>
              <w:spacing w:after="0" w:line="360" w:lineRule="auto"/>
              <w:jc w:val="both"/>
              <w:rPr>
                <w:rFonts w:ascii="Times New Roman" w:hAnsi="Times New Roman"/>
                <w:b/>
                <w:color w:val="000000"/>
                <w:sz w:val="20"/>
                <w:szCs w:val="20"/>
                <w:lang w:val="en-GB"/>
              </w:rPr>
            </w:pPr>
          </w:p>
        </w:tc>
        <w:tc>
          <w:tcPr>
            <w:tcW w:w="1366" w:type="dxa"/>
            <w:tcBorders>
              <w:top w:val="single" w:sz="4" w:space="0" w:color="auto"/>
              <w:left w:val="single" w:sz="4" w:space="0" w:color="auto"/>
              <w:bottom w:val="single" w:sz="4" w:space="0" w:color="auto"/>
              <w:right w:val="single" w:sz="4" w:space="0" w:color="auto"/>
            </w:tcBorders>
          </w:tcPr>
          <w:p w14:paraId="1440BB71" w14:textId="77777777" w:rsidR="000C7B10" w:rsidRPr="005F17F3" w:rsidRDefault="000C7B10" w:rsidP="00D17CD1">
            <w:pPr>
              <w:spacing w:after="0" w:line="360" w:lineRule="auto"/>
              <w:jc w:val="center"/>
              <w:rPr>
                <w:rFonts w:ascii="Times New Roman" w:hAnsi="Times New Roman"/>
                <w:b/>
                <w:color w:val="000000"/>
                <w:sz w:val="20"/>
                <w:szCs w:val="20"/>
                <w:lang w:val="en-GB"/>
              </w:rPr>
            </w:pPr>
            <w:r w:rsidRPr="005F17F3">
              <w:rPr>
                <w:rFonts w:ascii="Times New Roman" w:hAnsi="Times New Roman"/>
                <w:b/>
                <w:color w:val="000000"/>
                <w:sz w:val="20"/>
                <w:szCs w:val="20"/>
                <w:lang w:val="en-GB"/>
              </w:rPr>
              <w:t>Full sample</w:t>
            </w:r>
          </w:p>
        </w:tc>
        <w:tc>
          <w:tcPr>
            <w:tcW w:w="1097" w:type="dxa"/>
            <w:tcBorders>
              <w:top w:val="single" w:sz="4" w:space="0" w:color="auto"/>
              <w:left w:val="single" w:sz="4" w:space="0" w:color="auto"/>
              <w:bottom w:val="single" w:sz="4" w:space="0" w:color="auto"/>
            </w:tcBorders>
          </w:tcPr>
          <w:p w14:paraId="12638F5B" w14:textId="77777777" w:rsidR="000C7B10" w:rsidRPr="005F17F3" w:rsidRDefault="000C7B10" w:rsidP="00D17CD1">
            <w:pPr>
              <w:spacing w:after="0" w:line="360" w:lineRule="auto"/>
              <w:jc w:val="center"/>
              <w:rPr>
                <w:rFonts w:ascii="Times New Roman" w:hAnsi="Times New Roman"/>
                <w:b/>
                <w:color w:val="000000"/>
                <w:sz w:val="20"/>
                <w:szCs w:val="20"/>
                <w:lang w:val="en-GB"/>
              </w:rPr>
            </w:pPr>
            <w:r w:rsidRPr="005F17F3">
              <w:rPr>
                <w:rFonts w:ascii="Times New Roman" w:hAnsi="Times New Roman"/>
                <w:b/>
                <w:color w:val="000000"/>
                <w:sz w:val="20"/>
                <w:szCs w:val="20"/>
                <w:lang w:val="en-GB"/>
              </w:rPr>
              <w:t>Piracy</w:t>
            </w:r>
          </w:p>
        </w:tc>
        <w:tc>
          <w:tcPr>
            <w:tcW w:w="1167" w:type="dxa"/>
            <w:tcBorders>
              <w:top w:val="single" w:sz="4" w:space="0" w:color="auto"/>
              <w:bottom w:val="single" w:sz="4" w:space="0" w:color="auto"/>
            </w:tcBorders>
          </w:tcPr>
          <w:p w14:paraId="107F5D78" w14:textId="77777777" w:rsidR="000C7B10" w:rsidRPr="005F17F3" w:rsidRDefault="000C7B10" w:rsidP="00D17CD1">
            <w:pPr>
              <w:spacing w:after="0" w:line="360" w:lineRule="auto"/>
              <w:jc w:val="center"/>
              <w:rPr>
                <w:rFonts w:ascii="Times New Roman" w:hAnsi="Times New Roman"/>
                <w:b/>
                <w:color w:val="000000"/>
                <w:sz w:val="20"/>
                <w:szCs w:val="20"/>
                <w:lang w:val="en-GB"/>
              </w:rPr>
            </w:pPr>
            <w:r w:rsidRPr="005F17F3">
              <w:rPr>
                <w:rFonts w:ascii="Times New Roman" w:hAnsi="Times New Roman"/>
                <w:b/>
                <w:color w:val="000000"/>
                <w:sz w:val="20"/>
                <w:szCs w:val="20"/>
                <w:lang w:val="en-GB"/>
              </w:rPr>
              <w:t xml:space="preserve">Digital </w:t>
            </w:r>
          </w:p>
        </w:tc>
        <w:tc>
          <w:tcPr>
            <w:tcW w:w="1285" w:type="dxa"/>
            <w:tcBorders>
              <w:top w:val="single" w:sz="4" w:space="0" w:color="auto"/>
              <w:bottom w:val="single" w:sz="4" w:space="0" w:color="auto"/>
              <w:right w:val="single" w:sz="4" w:space="0" w:color="auto"/>
            </w:tcBorders>
          </w:tcPr>
          <w:p w14:paraId="01317C0B" w14:textId="77777777" w:rsidR="000C7B10" w:rsidRPr="005F17F3" w:rsidRDefault="000C7B10" w:rsidP="00D17CD1">
            <w:pPr>
              <w:spacing w:after="0" w:line="360" w:lineRule="auto"/>
              <w:jc w:val="center"/>
              <w:rPr>
                <w:rFonts w:ascii="Times New Roman" w:hAnsi="Times New Roman"/>
                <w:b/>
                <w:color w:val="000000"/>
                <w:sz w:val="20"/>
                <w:szCs w:val="20"/>
                <w:lang w:val="en-GB"/>
              </w:rPr>
            </w:pPr>
            <w:r w:rsidRPr="005F17F3">
              <w:rPr>
                <w:rFonts w:ascii="Times New Roman" w:hAnsi="Times New Roman"/>
                <w:b/>
                <w:color w:val="000000"/>
                <w:sz w:val="20"/>
                <w:szCs w:val="20"/>
                <w:lang w:val="en-GB"/>
              </w:rPr>
              <w:t xml:space="preserve">Economic </w:t>
            </w:r>
          </w:p>
        </w:tc>
      </w:tr>
      <w:tr w:rsidR="000C7B10" w:rsidRPr="005F17F3" w14:paraId="10B28328" w14:textId="77777777" w:rsidTr="00D17CD1">
        <w:trPr>
          <w:trHeight w:val="113"/>
          <w:jc w:val="center"/>
        </w:trPr>
        <w:tc>
          <w:tcPr>
            <w:tcW w:w="4407" w:type="dxa"/>
            <w:tcBorders>
              <w:top w:val="single" w:sz="4" w:space="0" w:color="auto"/>
              <w:left w:val="single" w:sz="4" w:space="0" w:color="auto"/>
              <w:bottom w:val="single" w:sz="4" w:space="0" w:color="auto"/>
              <w:right w:val="single" w:sz="4" w:space="0" w:color="auto"/>
            </w:tcBorders>
          </w:tcPr>
          <w:p w14:paraId="0F530937" w14:textId="77777777" w:rsidR="000C7B10" w:rsidRPr="005F17F3" w:rsidRDefault="000C7B10" w:rsidP="00D17CD1">
            <w:pPr>
              <w:spacing w:after="0" w:line="360" w:lineRule="auto"/>
              <w:jc w:val="both"/>
              <w:rPr>
                <w:rFonts w:ascii="Times New Roman" w:hAnsi="Times New Roman"/>
                <w:b/>
                <w:color w:val="000000"/>
                <w:sz w:val="20"/>
                <w:szCs w:val="20"/>
                <w:lang w:val="en-GB"/>
              </w:rPr>
            </w:pPr>
            <w:r w:rsidRPr="005F17F3">
              <w:rPr>
                <w:rFonts w:ascii="Times New Roman" w:hAnsi="Times New Roman"/>
                <w:b/>
                <w:color w:val="000000"/>
                <w:sz w:val="20"/>
                <w:szCs w:val="20"/>
                <w:lang w:val="en-GB"/>
              </w:rPr>
              <w:t>Dependent variable: LN [(SALES/Population)</w:t>
            </w:r>
            <w:r w:rsidRPr="005F17F3">
              <w:rPr>
                <w:rFonts w:ascii="Times New Roman" w:hAnsi="Times New Roman"/>
                <w:b/>
                <w:color w:val="000000"/>
                <w:sz w:val="20"/>
                <w:szCs w:val="20"/>
                <w:vertAlign w:val="subscript"/>
                <w:lang w:val="en-GB"/>
              </w:rPr>
              <w:t xml:space="preserve"> t</w:t>
            </w:r>
            <w:r w:rsidRPr="005F17F3">
              <w:rPr>
                <w:rFonts w:ascii="Times New Roman" w:hAnsi="Times New Roman"/>
                <w:b/>
                <w:color w:val="000000"/>
                <w:sz w:val="20"/>
                <w:szCs w:val="20"/>
                <w:lang w:val="en-GB"/>
              </w:rPr>
              <w:t>]</w:t>
            </w:r>
          </w:p>
        </w:tc>
        <w:tc>
          <w:tcPr>
            <w:tcW w:w="1366" w:type="dxa"/>
            <w:tcBorders>
              <w:top w:val="single" w:sz="4" w:space="0" w:color="auto"/>
              <w:left w:val="single" w:sz="4" w:space="0" w:color="auto"/>
              <w:bottom w:val="single" w:sz="4" w:space="0" w:color="auto"/>
              <w:right w:val="single" w:sz="4" w:space="0" w:color="auto"/>
            </w:tcBorders>
          </w:tcPr>
          <w:p w14:paraId="7F954A29" w14:textId="77777777" w:rsidR="000C7B10" w:rsidRPr="005F17F3" w:rsidRDefault="000C7B10" w:rsidP="00D17CD1">
            <w:pPr>
              <w:spacing w:after="0" w:line="360" w:lineRule="auto"/>
              <w:jc w:val="center"/>
              <w:rPr>
                <w:rFonts w:ascii="Times New Roman" w:hAnsi="Times New Roman"/>
                <w:b/>
                <w:color w:val="000000"/>
                <w:sz w:val="20"/>
                <w:szCs w:val="20"/>
                <w:lang w:val="en-GB"/>
              </w:rPr>
            </w:pPr>
            <w:r w:rsidRPr="005F17F3">
              <w:rPr>
                <w:rFonts w:ascii="Times New Roman" w:hAnsi="Times New Roman"/>
                <w:b/>
                <w:color w:val="000000"/>
                <w:sz w:val="20"/>
                <w:szCs w:val="20"/>
                <w:lang w:val="en-GB"/>
              </w:rPr>
              <w:t>1998-2010</w:t>
            </w:r>
          </w:p>
        </w:tc>
        <w:tc>
          <w:tcPr>
            <w:tcW w:w="1097" w:type="dxa"/>
            <w:tcBorders>
              <w:top w:val="single" w:sz="4" w:space="0" w:color="auto"/>
              <w:left w:val="single" w:sz="4" w:space="0" w:color="auto"/>
              <w:bottom w:val="single" w:sz="4" w:space="0" w:color="auto"/>
            </w:tcBorders>
          </w:tcPr>
          <w:p w14:paraId="1D4AF62A" w14:textId="77777777" w:rsidR="000C7B10" w:rsidRPr="005F17F3" w:rsidRDefault="000C7B10" w:rsidP="00D17CD1">
            <w:pPr>
              <w:spacing w:after="0" w:line="360" w:lineRule="auto"/>
              <w:jc w:val="center"/>
              <w:rPr>
                <w:rFonts w:ascii="Times New Roman" w:hAnsi="Times New Roman"/>
                <w:i/>
                <w:color w:val="000000"/>
                <w:sz w:val="20"/>
                <w:szCs w:val="20"/>
                <w:lang w:val="en-GB"/>
              </w:rPr>
            </w:pPr>
            <w:r w:rsidRPr="005F17F3">
              <w:rPr>
                <w:rFonts w:ascii="Times New Roman" w:hAnsi="Times New Roman"/>
                <w:b/>
                <w:color w:val="000000"/>
                <w:sz w:val="20"/>
                <w:szCs w:val="20"/>
                <w:lang w:val="en-GB"/>
              </w:rPr>
              <w:t>1999-2004</w:t>
            </w:r>
          </w:p>
        </w:tc>
        <w:tc>
          <w:tcPr>
            <w:tcW w:w="1167" w:type="dxa"/>
            <w:tcBorders>
              <w:top w:val="single" w:sz="4" w:space="0" w:color="auto"/>
              <w:bottom w:val="single" w:sz="4" w:space="0" w:color="auto"/>
            </w:tcBorders>
          </w:tcPr>
          <w:p w14:paraId="5FD2790E" w14:textId="77777777" w:rsidR="000C7B10" w:rsidRPr="005F17F3" w:rsidRDefault="000C7B10" w:rsidP="00D17CD1">
            <w:pPr>
              <w:spacing w:after="0" w:line="360" w:lineRule="auto"/>
              <w:jc w:val="center"/>
              <w:rPr>
                <w:rFonts w:ascii="Times New Roman" w:hAnsi="Times New Roman"/>
                <w:i/>
                <w:color w:val="000000"/>
                <w:sz w:val="20"/>
                <w:szCs w:val="20"/>
                <w:lang w:val="en-GB"/>
              </w:rPr>
            </w:pPr>
            <w:r w:rsidRPr="005F17F3">
              <w:rPr>
                <w:rFonts w:ascii="Times New Roman" w:hAnsi="Times New Roman"/>
                <w:b/>
                <w:color w:val="000000"/>
                <w:sz w:val="20"/>
                <w:szCs w:val="20"/>
                <w:lang w:val="en-GB"/>
              </w:rPr>
              <w:t>2005-2007</w:t>
            </w:r>
          </w:p>
        </w:tc>
        <w:tc>
          <w:tcPr>
            <w:tcW w:w="1285" w:type="dxa"/>
            <w:tcBorders>
              <w:top w:val="single" w:sz="4" w:space="0" w:color="auto"/>
              <w:bottom w:val="single" w:sz="4" w:space="0" w:color="auto"/>
              <w:right w:val="single" w:sz="4" w:space="0" w:color="auto"/>
            </w:tcBorders>
          </w:tcPr>
          <w:p w14:paraId="287AF916" w14:textId="77777777" w:rsidR="000C7B10" w:rsidRPr="005F17F3" w:rsidRDefault="000C7B10" w:rsidP="00D17CD1">
            <w:pPr>
              <w:spacing w:after="0" w:line="360" w:lineRule="auto"/>
              <w:jc w:val="center"/>
              <w:rPr>
                <w:rFonts w:ascii="Times New Roman" w:hAnsi="Times New Roman"/>
                <w:b/>
                <w:color w:val="000000"/>
                <w:sz w:val="20"/>
                <w:szCs w:val="20"/>
                <w:lang w:val="en-GB"/>
              </w:rPr>
            </w:pPr>
            <w:r w:rsidRPr="005F17F3">
              <w:rPr>
                <w:rFonts w:ascii="Times New Roman" w:hAnsi="Times New Roman"/>
                <w:b/>
                <w:color w:val="000000"/>
                <w:sz w:val="20"/>
                <w:szCs w:val="20"/>
                <w:lang w:val="en-GB"/>
              </w:rPr>
              <w:t>2008-2010</w:t>
            </w:r>
          </w:p>
        </w:tc>
      </w:tr>
      <w:tr w:rsidR="000C7B10" w:rsidRPr="005F17F3" w14:paraId="2A1D063D" w14:textId="77777777" w:rsidTr="00D17CD1">
        <w:trPr>
          <w:trHeight w:val="113"/>
          <w:jc w:val="center"/>
        </w:trPr>
        <w:tc>
          <w:tcPr>
            <w:tcW w:w="4407" w:type="dxa"/>
            <w:tcBorders>
              <w:top w:val="single" w:sz="4" w:space="0" w:color="auto"/>
              <w:left w:val="single" w:sz="4" w:space="0" w:color="auto"/>
              <w:right w:val="single" w:sz="4" w:space="0" w:color="auto"/>
            </w:tcBorders>
          </w:tcPr>
          <w:p w14:paraId="2B5E57EB" w14:textId="77777777" w:rsidR="000C7B10" w:rsidRPr="005F17F3" w:rsidRDefault="000C7B10" w:rsidP="00D17CD1">
            <w:pPr>
              <w:spacing w:after="0" w:line="360" w:lineRule="auto"/>
              <w:jc w:val="both"/>
              <w:rPr>
                <w:rFonts w:ascii="Times New Roman" w:hAnsi="Times New Roman"/>
                <w:b/>
                <w:color w:val="000000"/>
                <w:sz w:val="20"/>
                <w:szCs w:val="20"/>
                <w:lang w:val="en-GB"/>
              </w:rPr>
            </w:pPr>
            <w:r w:rsidRPr="005F17F3">
              <w:rPr>
                <w:rFonts w:ascii="Times New Roman" w:hAnsi="Times New Roman"/>
                <w:b/>
                <w:color w:val="000000"/>
                <w:sz w:val="20"/>
                <w:szCs w:val="20"/>
                <w:lang w:val="en-GB"/>
              </w:rPr>
              <w:t>Business Model Innovation Variable</w:t>
            </w:r>
          </w:p>
        </w:tc>
        <w:tc>
          <w:tcPr>
            <w:tcW w:w="1366" w:type="dxa"/>
            <w:tcBorders>
              <w:top w:val="single" w:sz="4" w:space="0" w:color="auto"/>
              <w:left w:val="single" w:sz="4" w:space="0" w:color="auto"/>
              <w:right w:val="single" w:sz="4" w:space="0" w:color="auto"/>
            </w:tcBorders>
          </w:tcPr>
          <w:p w14:paraId="5D5FA9A9" w14:textId="77777777" w:rsidR="000C7B10" w:rsidRPr="005F17F3" w:rsidRDefault="000C7B10" w:rsidP="00D17CD1">
            <w:pPr>
              <w:spacing w:after="0" w:line="360" w:lineRule="auto"/>
              <w:jc w:val="center"/>
              <w:rPr>
                <w:rFonts w:ascii="Times New Roman" w:hAnsi="Times New Roman"/>
                <w:color w:val="000000"/>
                <w:sz w:val="20"/>
                <w:szCs w:val="20"/>
                <w:lang w:val="en-GB"/>
              </w:rPr>
            </w:pPr>
          </w:p>
        </w:tc>
        <w:tc>
          <w:tcPr>
            <w:tcW w:w="1097" w:type="dxa"/>
            <w:tcBorders>
              <w:top w:val="single" w:sz="4" w:space="0" w:color="auto"/>
              <w:left w:val="single" w:sz="4" w:space="0" w:color="auto"/>
            </w:tcBorders>
          </w:tcPr>
          <w:p w14:paraId="39FCA9B0" w14:textId="77777777" w:rsidR="000C7B10" w:rsidRPr="005F17F3" w:rsidRDefault="000C7B10" w:rsidP="00D17CD1">
            <w:pPr>
              <w:spacing w:after="0" w:line="360" w:lineRule="auto"/>
              <w:jc w:val="center"/>
              <w:rPr>
                <w:rFonts w:ascii="Times New Roman" w:hAnsi="Times New Roman"/>
                <w:color w:val="000000"/>
                <w:sz w:val="20"/>
                <w:szCs w:val="20"/>
                <w:lang w:val="en-GB"/>
              </w:rPr>
            </w:pPr>
          </w:p>
        </w:tc>
        <w:tc>
          <w:tcPr>
            <w:tcW w:w="1167" w:type="dxa"/>
            <w:tcBorders>
              <w:top w:val="single" w:sz="4" w:space="0" w:color="auto"/>
            </w:tcBorders>
          </w:tcPr>
          <w:p w14:paraId="2D0690FE" w14:textId="77777777" w:rsidR="000C7B10" w:rsidRPr="005F17F3" w:rsidRDefault="000C7B10" w:rsidP="00D17CD1">
            <w:pPr>
              <w:spacing w:after="0" w:line="360" w:lineRule="auto"/>
              <w:jc w:val="center"/>
              <w:rPr>
                <w:rFonts w:ascii="Times New Roman" w:hAnsi="Times New Roman"/>
                <w:color w:val="000000"/>
                <w:sz w:val="20"/>
                <w:szCs w:val="20"/>
                <w:lang w:val="en-GB"/>
              </w:rPr>
            </w:pPr>
          </w:p>
        </w:tc>
        <w:tc>
          <w:tcPr>
            <w:tcW w:w="1285" w:type="dxa"/>
            <w:tcBorders>
              <w:top w:val="single" w:sz="4" w:space="0" w:color="auto"/>
              <w:right w:val="single" w:sz="4" w:space="0" w:color="auto"/>
            </w:tcBorders>
          </w:tcPr>
          <w:p w14:paraId="6FF521C2" w14:textId="77777777" w:rsidR="000C7B10" w:rsidRPr="005F17F3" w:rsidRDefault="000C7B10" w:rsidP="00D17CD1">
            <w:pPr>
              <w:spacing w:after="0" w:line="360" w:lineRule="auto"/>
              <w:jc w:val="center"/>
              <w:rPr>
                <w:rFonts w:ascii="Times New Roman" w:hAnsi="Times New Roman"/>
                <w:color w:val="000000"/>
                <w:sz w:val="20"/>
                <w:szCs w:val="20"/>
                <w:lang w:val="en-GB"/>
              </w:rPr>
            </w:pPr>
          </w:p>
        </w:tc>
      </w:tr>
      <w:tr w:rsidR="000C7B10" w:rsidRPr="005F17F3" w14:paraId="4256E0E8" w14:textId="77777777" w:rsidTr="00D17CD1">
        <w:trPr>
          <w:trHeight w:val="113"/>
          <w:jc w:val="center"/>
        </w:trPr>
        <w:tc>
          <w:tcPr>
            <w:tcW w:w="4407" w:type="dxa"/>
            <w:tcBorders>
              <w:left w:val="single" w:sz="4" w:space="0" w:color="auto"/>
              <w:bottom w:val="single" w:sz="4" w:space="0" w:color="auto"/>
              <w:right w:val="single" w:sz="4" w:space="0" w:color="auto"/>
            </w:tcBorders>
          </w:tcPr>
          <w:p w14:paraId="36852841" w14:textId="77777777" w:rsidR="000C7B10" w:rsidRPr="005F17F3" w:rsidRDefault="000C7B10" w:rsidP="00D17CD1">
            <w:pPr>
              <w:spacing w:after="0" w:line="360" w:lineRule="auto"/>
              <w:jc w:val="both"/>
              <w:rPr>
                <w:rFonts w:ascii="Times New Roman" w:hAnsi="Times New Roman"/>
                <w:color w:val="000000"/>
                <w:sz w:val="20"/>
                <w:szCs w:val="20"/>
                <w:lang w:val="en-GB"/>
              </w:rPr>
            </w:pPr>
            <w:r w:rsidRPr="005F17F3">
              <w:rPr>
                <w:rFonts w:ascii="Times New Roman" w:hAnsi="Times New Roman"/>
                <w:color w:val="000000"/>
                <w:sz w:val="20"/>
                <w:szCs w:val="20"/>
                <w:lang w:val="en-GB"/>
              </w:rPr>
              <w:t xml:space="preserve">Format Density </w:t>
            </w:r>
          </w:p>
        </w:tc>
        <w:tc>
          <w:tcPr>
            <w:tcW w:w="1366" w:type="dxa"/>
            <w:tcBorders>
              <w:left w:val="single" w:sz="4" w:space="0" w:color="auto"/>
              <w:bottom w:val="single" w:sz="4" w:space="0" w:color="auto"/>
              <w:right w:val="single" w:sz="4" w:space="0" w:color="auto"/>
            </w:tcBorders>
          </w:tcPr>
          <w:p w14:paraId="2D661424"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-0.006</w:t>
            </w:r>
          </w:p>
          <w:p w14:paraId="401F6A57"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(0.009)</w:t>
            </w:r>
          </w:p>
        </w:tc>
        <w:tc>
          <w:tcPr>
            <w:tcW w:w="1097" w:type="dxa"/>
            <w:tcBorders>
              <w:left w:val="single" w:sz="4" w:space="0" w:color="auto"/>
              <w:bottom w:val="single" w:sz="4" w:space="0" w:color="auto"/>
            </w:tcBorders>
          </w:tcPr>
          <w:p w14:paraId="103F6D77"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-0.025*</w:t>
            </w:r>
          </w:p>
          <w:p w14:paraId="6C572A3F"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(0.014)</w:t>
            </w:r>
          </w:p>
        </w:tc>
        <w:tc>
          <w:tcPr>
            <w:tcW w:w="1167" w:type="dxa"/>
            <w:tcBorders>
              <w:bottom w:val="single" w:sz="4" w:space="0" w:color="auto"/>
            </w:tcBorders>
          </w:tcPr>
          <w:p w14:paraId="66FC9FAE"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0.002</w:t>
            </w:r>
          </w:p>
          <w:p w14:paraId="0486CC87"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(0.032)</w:t>
            </w:r>
          </w:p>
        </w:tc>
        <w:tc>
          <w:tcPr>
            <w:tcW w:w="1285" w:type="dxa"/>
            <w:tcBorders>
              <w:bottom w:val="single" w:sz="4" w:space="0" w:color="auto"/>
              <w:right w:val="single" w:sz="4" w:space="0" w:color="auto"/>
            </w:tcBorders>
          </w:tcPr>
          <w:p w14:paraId="42610340"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0.156</w:t>
            </w:r>
          </w:p>
          <w:p w14:paraId="1EC68E89"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(0.024)</w:t>
            </w:r>
          </w:p>
        </w:tc>
      </w:tr>
      <w:tr w:rsidR="000C7B10" w:rsidRPr="005F17F3" w14:paraId="15FC87AF" w14:textId="77777777" w:rsidTr="00D17CD1">
        <w:trPr>
          <w:trHeight w:val="113"/>
          <w:jc w:val="center"/>
        </w:trPr>
        <w:tc>
          <w:tcPr>
            <w:tcW w:w="4407" w:type="dxa"/>
            <w:tcBorders>
              <w:top w:val="single" w:sz="4" w:space="0" w:color="auto"/>
              <w:left w:val="single" w:sz="4" w:space="0" w:color="auto"/>
              <w:right w:val="single" w:sz="4" w:space="0" w:color="auto"/>
            </w:tcBorders>
          </w:tcPr>
          <w:p w14:paraId="19FEF488" w14:textId="77777777" w:rsidR="000C7B10" w:rsidRPr="005F17F3" w:rsidRDefault="000C7B10" w:rsidP="00D17CD1">
            <w:pPr>
              <w:spacing w:after="0" w:line="360" w:lineRule="auto"/>
              <w:jc w:val="both"/>
              <w:rPr>
                <w:rFonts w:ascii="Times New Roman" w:hAnsi="Times New Roman"/>
                <w:b/>
                <w:color w:val="000000"/>
                <w:sz w:val="20"/>
                <w:szCs w:val="20"/>
                <w:lang w:val="en-GB"/>
              </w:rPr>
            </w:pPr>
            <w:r w:rsidRPr="005F17F3">
              <w:rPr>
                <w:rFonts w:ascii="Times New Roman" w:hAnsi="Times New Roman"/>
                <w:b/>
                <w:color w:val="000000"/>
                <w:sz w:val="20"/>
                <w:szCs w:val="20"/>
                <w:lang w:val="en-GB"/>
              </w:rPr>
              <w:t>Control Variables</w:t>
            </w:r>
          </w:p>
        </w:tc>
        <w:tc>
          <w:tcPr>
            <w:tcW w:w="1366" w:type="dxa"/>
            <w:tcBorders>
              <w:top w:val="single" w:sz="4" w:space="0" w:color="auto"/>
              <w:left w:val="single" w:sz="4" w:space="0" w:color="auto"/>
              <w:right w:val="single" w:sz="4" w:space="0" w:color="auto"/>
            </w:tcBorders>
          </w:tcPr>
          <w:p w14:paraId="64F7CD7C" w14:textId="77777777" w:rsidR="000C7B10" w:rsidRPr="005F17F3" w:rsidRDefault="000C7B10" w:rsidP="00D17CD1">
            <w:pPr>
              <w:spacing w:after="0" w:line="360" w:lineRule="auto"/>
              <w:jc w:val="center"/>
              <w:rPr>
                <w:rFonts w:ascii="Times New Roman" w:hAnsi="Times New Roman"/>
                <w:color w:val="000000"/>
                <w:sz w:val="20"/>
                <w:szCs w:val="20"/>
                <w:lang w:val="en-GB"/>
              </w:rPr>
            </w:pPr>
          </w:p>
        </w:tc>
        <w:tc>
          <w:tcPr>
            <w:tcW w:w="1097" w:type="dxa"/>
            <w:tcBorders>
              <w:top w:val="single" w:sz="4" w:space="0" w:color="auto"/>
              <w:left w:val="single" w:sz="4" w:space="0" w:color="auto"/>
            </w:tcBorders>
          </w:tcPr>
          <w:p w14:paraId="11930436" w14:textId="77777777" w:rsidR="000C7B10" w:rsidRPr="005F17F3" w:rsidRDefault="000C7B10" w:rsidP="00D17CD1">
            <w:pPr>
              <w:spacing w:after="0" w:line="360" w:lineRule="auto"/>
              <w:jc w:val="center"/>
              <w:rPr>
                <w:rFonts w:ascii="Times New Roman" w:hAnsi="Times New Roman"/>
                <w:color w:val="000000"/>
                <w:sz w:val="20"/>
                <w:szCs w:val="20"/>
                <w:lang w:val="en-GB"/>
              </w:rPr>
            </w:pPr>
          </w:p>
        </w:tc>
        <w:tc>
          <w:tcPr>
            <w:tcW w:w="1167" w:type="dxa"/>
            <w:tcBorders>
              <w:top w:val="single" w:sz="4" w:space="0" w:color="auto"/>
            </w:tcBorders>
          </w:tcPr>
          <w:p w14:paraId="50155040" w14:textId="77777777" w:rsidR="000C7B10" w:rsidRPr="005F17F3" w:rsidRDefault="000C7B10" w:rsidP="00D17CD1">
            <w:pPr>
              <w:spacing w:after="0" w:line="360" w:lineRule="auto"/>
              <w:jc w:val="center"/>
              <w:rPr>
                <w:rFonts w:ascii="Times New Roman" w:hAnsi="Times New Roman"/>
                <w:color w:val="000000"/>
                <w:sz w:val="20"/>
                <w:szCs w:val="20"/>
                <w:lang w:val="en-GB"/>
              </w:rPr>
            </w:pPr>
          </w:p>
        </w:tc>
        <w:tc>
          <w:tcPr>
            <w:tcW w:w="1285" w:type="dxa"/>
            <w:tcBorders>
              <w:top w:val="single" w:sz="4" w:space="0" w:color="auto"/>
              <w:right w:val="single" w:sz="4" w:space="0" w:color="auto"/>
            </w:tcBorders>
          </w:tcPr>
          <w:p w14:paraId="5CB48FC6" w14:textId="77777777" w:rsidR="000C7B10" w:rsidRPr="005F17F3" w:rsidRDefault="000C7B10" w:rsidP="00D17CD1">
            <w:pPr>
              <w:spacing w:after="0" w:line="360" w:lineRule="auto"/>
              <w:jc w:val="center"/>
              <w:rPr>
                <w:rFonts w:ascii="Times New Roman" w:hAnsi="Times New Roman"/>
                <w:color w:val="000000"/>
                <w:sz w:val="20"/>
                <w:szCs w:val="20"/>
                <w:lang w:val="en-GB"/>
              </w:rPr>
            </w:pPr>
          </w:p>
        </w:tc>
      </w:tr>
      <w:tr w:rsidR="000C7B10" w:rsidRPr="005F17F3" w14:paraId="4726FF4B" w14:textId="77777777" w:rsidTr="00D17CD1">
        <w:trPr>
          <w:trHeight w:val="113"/>
          <w:jc w:val="center"/>
        </w:trPr>
        <w:tc>
          <w:tcPr>
            <w:tcW w:w="4407" w:type="dxa"/>
            <w:tcBorders>
              <w:left w:val="single" w:sz="4" w:space="0" w:color="auto"/>
              <w:right w:val="single" w:sz="4" w:space="0" w:color="auto"/>
            </w:tcBorders>
          </w:tcPr>
          <w:p w14:paraId="13EDF581" w14:textId="77777777" w:rsidR="000C7B10" w:rsidRPr="005F17F3" w:rsidRDefault="000C7B10" w:rsidP="00D17CD1">
            <w:pPr>
              <w:spacing w:after="0" w:line="360" w:lineRule="auto"/>
              <w:jc w:val="both"/>
              <w:rPr>
                <w:rFonts w:ascii="Times New Roman" w:hAnsi="Times New Roman"/>
                <w:color w:val="000000"/>
                <w:sz w:val="20"/>
                <w:szCs w:val="20"/>
                <w:lang w:val="en-GB"/>
              </w:rPr>
            </w:pPr>
            <w:r w:rsidRPr="005F17F3">
              <w:rPr>
                <w:rFonts w:ascii="Times New Roman" w:hAnsi="Times New Roman"/>
                <w:color w:val="000000"/>
                <w:sz w:val="20"/>
                <w:szCs w:val="20"/>
                <w:lang w:val="en-GB"/>
              </w:rPr>
              <w:t>LN [(SALES/Population)</w:t>
            </w:r>
            <w:r w:rsidRPr="005F17F3">
              <w:rPr>
                <w:rFonts w:ascii="Times New Roman" w:hAnsi="Times New Roman"/>
                <w:color w:val="000000"/>
                <w:sz w:val="20"/>
                <w:szCs w:val="20"/>
                <w:vertAlign w:val="subscript"/>
                <w:lang w:val="en-GB"/>
              </w:rPr>
              <w:t xml:space="preserve"> t-1</w:t>
            </w:r>
            <w:r w:rsidRPr="005F17F3">
              <w:rPr>
                <w:rFonts w:ascii="Times New Roman" w:hAnsi="Times New Roman"/>
                <w:color w:val="000000"/>
                <w:sz w:val="20"/>
                <w:szCs w:val="20"/>
                <w:lang w:val="en-GB"/>
              </w:rPr>
              <w:t>]</w:t>
            </w:r>
          </w:p>
        </w:tc>
        <w:tc>
          <w:tcPr>
            <w:tcW w:w="1366" w:type="dxa"/>
            <w:tcBorders>
              <w:left w:val="single" w:sz="4" w:space="0" w:color="auto"/>
              <w:right w:val="single" w:sz="4" w:space="0" w:color="auto"/>
            </w:tcBorders>
          </w:tcPr>
          <w:p w14:paraId="2AF020CB"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0.772***</w:t>
            </w:r>
          </w:p>
          <w:p w14:paraId="5926D7CC"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(0.032)</w:t>
            </w:r>
          </w:p>
        </w:tc>
        <w:tc>
          <w:tcPr>
            <w:tcW w:w="1097" w:type="dxa"/>
            <w:tcBorders>
              <w:left w:val="single" w:sz="4" w:space="0" w:color="auto"/>
            </w:tcBorders>
          </w:tcPr>
          <w:p w14:paraId="423194F6"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0.687***</w:t>
            </w:r>
          </w:p>
          <w:p w14:paraId="032C71C5"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(0.084)</w:t>
            </w:r>
          </w:p>
        </w:tc>
        <w:tc>
          <w:tcPr>
            <w:tcW w:w="1167" w:type="dxa"/>
          </w:tcPr>
          <w:p w14:paraId="5B154238"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 xml:space="preserve"> 0.264</w:t>
            </w:r>
          </w:p>
          <w:p w14:paraId="599A4C44"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(0.201)</w:t>
            </w:r>
          </w:p>
        </w:tc>
        <w:tc>
          <w:tcPr>
            <w:tcW w:w="1285" w:type="dxa"/>
            <w:tcBorders>
              <w:right w:val="single" w:sz="4" w:space="0" w:color="auto"/>
            </w:tcBorders>
          </w:tcPr>
          <w:p w14:paraId="0F6CA918"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0.370**</w:t>
            </w:r>
          </w:p>
          <w:p w14:paraId="569FAFC5"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(0.146)</w:t>
            </w:r>
          </w:p>
        </w:tc>
      </w:tr>
      <w:tr w:rsidR="000C7B10" w:rsidRPr="005F17F3" w14:paraId="1FF81C6C" w14:textId="77777777" w:rsidTr="00D17CD1">
        <w:trPr>
          <w:trHeight w:val="113"/>
          <w:jc w:val="center"/>
        </w:trPr>
        <w:tc>
          <w:tcPr>
            <w:tcW w:w="4407" w:type="dxa"/>
            <w:tcBorders>
              <w:left w:val="single" w:sz="4" w:space="0" w:color="auto"/>
              <w:right w:val="single" w:sz="4" w:space="0" w:color="auto"/>
            </w:tcBorders>
          </w:tcPr>
          <w:p w14:paraId="3E1CBB36" w14:textId="77777777" w:rsidR="000C7B10" w:rsidRPr="005F17F3" w:rsidRDefault="000C7B10" w:rsidP="00D17CD1">
            <w:pPr>
              <w:spacing w:after="0" w:line="360" w:lineRule="auto"/>
              <w:jc w:val="both"/>
              <w:rPr>
                <w:rFonts w:ascii="Times New Roman" w:hAnsi="Times New Roman"/>
                <w:color w:val="000000"/>
                <w:sz w:val="20"/>
                <w:szCs w:val="20"/>
                <w:lang w:val="en-GB"/>
              </w:rPr>
            </w:pPr>
            <w:r w:rsidRPr="005F17F3">
              <w:rPr>
                <w:rFonts w:ascii="Times New Roman" w:hAnsi="Times New Roman"/>
                <w:color w:val="000000"/>
                <w:sz w:val="20"/>
                <w:szCs w:val="20"/>
                <w:lang w:val="en-GB"/>
              </w:rPr>
              <w:t>LN (GDP capita)</w:t>
            </w:r>
          </w:p>
        </w:tc>
        <w:tc>
          <w:tcPr>
            <w:tcW w:w="1366" w:type="dxa"/>
            <w:tcBorders>
              <w:left w:val="single" w:sz="4" w:space="0" w:color="auto"/>
              <w:right w:val="single" w:sz="4" w:space="0" w:color="auto"/>
            </w:tcBorders>
          </w:tcPr>
          <w:p w14:paraId="6F46CDB9"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-0.051</w:t>
            </w:r>
          </w:p>
          <w:p w14:paraId="0A4F1A83"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(0.051)</w:t>
            </w:r>
          </w:p>
        </w:tc>
        <w:tc>
          <w:tcPr>
            <w:tcW w:w="1097" w:type="dxa"/>
            <w:tcBorders>
              <w:left w:val="single" w:sz="4" w:space="0" w:color="auto"/>
            </w:tcBorders>
          </w:tcPr>
          <w:p w14:paraId="17B8C113"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-0.171</w:t>
            </w:r>
          </w:p>
          <w:p w14:paraId="25D3B332"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(0.105)</w:t>
            </w:r>
          </w:p>
        </w:tc>
        <w:tc>
          <w:tcPr>
            <w:tcW w:w="1167" w:type="dxa"/>
          </w:tcPr>
          <w:p w14:paraId="458E4EF8"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0.319</w:t>
            </w:r>
          </w:p>
          <w:p w14:paraId="7F7856B5"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(0.298)</w:t>
            </w:r>
          </w:p>
        </w:tc>
        <w:tc>
          <w:tcPr>
            <w:tcW w:w="1285" w:type="dxa"/>
            <w:tcBorders>
              <w:right w:val="single" w:sz="4" w:space="0" w:color="auto"/>
            </w:tcBorders>
          </w:tcPr>
          <w:p w14:paraId="46A35D0F"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0.111</w:t>
            </w:r>
          </w:p>
          <w:p w14:paraId="0435D34E"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(0.160)</w:t>
            </w:r>
          </w:p>
        </w:tc>
      </w:tr>
      <w:tr w:rsidR="000C7B10" w:rsidRPr="005F17F3" w14:paraId="46C0E1A7" w14:textId="77777777" w:rsidTr="00D17CD1">
        <w:trPr>
          <w:trHeight w:val="113"/>
          <w:jc w:val="center"/>
        </w:trPr>
        <w:tc>
          <w:tcPr>
            <w:tcW w:w="4407" w:type="dxa"/>
            <w:tcBorders>
              <w:left w:val="single" w:sz="4" w:space="0" w:color="auto"/>
              <w:right w:val="single" w:sz="4" w:space="0" w:color="auto"/>
            </w:tcBorders>
          </w:tcPr>
          <w:p w14:paraId="0C6720D9" w14:textId="77777777" w:rsidR="000C7B10" w:rsidRPr="005F17F3" w:rsidRDefault="000C7B10" w:rsidP="00D17CD1">
            <w:pPr>
              <w:spacing w:after="0" w:line="360" w:lineRule="auto"/>
              <w:jc w:val="both"/>
              <w:rPr>
                <w:rFonts w:ascii="Times New Roman" w:hAnsi="Times New Roman"/>
                <w:color w:val="000000"/>
                <w:sz w:val="20"/>
                <w:szCs w:val="20"/>
                <w:lang w:val="en-GB"/>
              </w:rPr>
            </w:pPr>
            <w:r w:rsidRPr="005F17F3">
              <w:rPr>
                <w:rFonts w:ascii="Times New Roman" w:hAnsi="Times New Roman"/>
                <w:color w:val="000000"/>
                <w:sz w:val="20"/>
                <w:szCs w:val="20"/>
                <w:lang w:val="en-GB"/>
              </w:rPr>
              <w:t>Population density</w:t>
            </w:r>
          </w:p>
        </w:tc>
        <w:tc>
          <w:tcPr>
            <w:tcW w:w="1366" w:type="dxa"/>
            <w:tcBorders>
              <w:left w:val="single" w:sz="4" w:space="0" w:color="auto"/>
              <w:right w:val="single" w:sz="4" w:space="0" w:color="auto"/>
            </w:tcBorders>
          </w:tcPr>
          <w:p w14:paraId="6B63CE7D"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2.115</w:t>
            </w:r>
          </w:p>
          <w:p w14:paraId="6EF5914F"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(1.873)</w:t>
            </w:r>
          </w:p>
        </w:tc>
        <w:tc>
          <w:tcPr>
            <w:tcW w:w="1097" w:type="dxa"/>
            <w:tcBorders>
              <w:left w:val="single" w:sz="4" w:space="0" w:color="auto"/>
            </w:tcBorders>
          </w:tcPr>
          <w:p w14:paraId="5DD4864C"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-9.620***</w:t>
            </w:r>
          </w:p>
          <w:p w14:paraId="3D310287"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(2.892)</w:t>
            </w:r>
          </w:p>
        </w:tc>
        <w:tc>
          <w:tcPr>
            <w:tcW w:w="1167" w:type="dxa"/>
          </w:tcPr>
          <w:p w14:paraId="1C3AC49F"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6.195</w:t>
            </w:r>
          </w:p>
          <w:p w14:paraId="1595B77E"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(11.85)</w:t>
            </w:r>
          </w:p>
        </w:tc>
        <w:tc>
          <w:tcPr>
            <w:tcW w:w="1285" w:type="dxa"/>
            <w:tcBorders>
              <w:right w:val="single" w:sz="4" w:space="0" w:color="auto"/>
            </w:tcBorders>
          </w:tcPr>
          <w:p w14:paraId="2BAD2B4D"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18.39**</w:t>
            </w:r>
          </w:p>
          <w:p w14:paraId="2D62EA3D"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(7.083)</w:t>
            </w:r>
          </w:p>
        </w:tc>
      </w:tr>
      <w:tr w:rsidR="000C7B10" w:rsidRPr="005F17F3" w14:paraId="0BA81B61" w14:textId="77777777" w:rsidTr="00D17CD1">
        <w:trPr>
          <w:trHeight w:val="113"/>
          <w:jc w:val="center"/>
        </w:trPr>
        <w:tc>
          <w:tcPr>
            <w:tcW w:w="4407" w:type="dxa"/>
            <w:tcBorders>
              <w:left w:val="single" w:sz="4" w:space="0" w:color="auto"/>
              <w:right w:val="single" w:sz="4" w:space="0" w:color="auto"/>
            </w:tcBorders>
          </w:tcPr>
          <w:p w14:paraId="709DA60C" w14:textId="77777777" w:rsidR="000C7B10" w:rsidRPr="005F17F3" w:rsidRDefault="000C7B10" w:rsidP="00D17CD1">
            <w:pPr>
              <w:spacing w:after="0" w:line="360" w:lineRule="auto"/>
              <w:jc w:val="both"/>
              <w:rPr>
                <w:rFonts w:ascii="Times New Roman" w:hAnsi="Times New Roman"/>
                <w:color w:val="000000"/>
                <w:sz w:val="20"/>
                <w:szCs w:val="20"/>
                <w:lang w:val="en-GB"/>
              </w:rPr>
            </w:pPr>
            <w:r w:rsidRPr="005F17F3">
              <w:rPr>
                <w:rFonts w:ascii="Times New Roman" w:hAnsi="Times New Roman"/>
                <w:color w:val="000000"/>
                <w:sz w:val="20"/>
                <w:szCs w:val="20"/>
                <w:lang w:val="en-GB"/>
              </w:rPr>
              <w:t>IPR protection</w:t>
            </w:r>
          </w:p>
        </w:tc>
        <w:tc>
          <w:tcPr>
            <w:tcW w:w="1366" w:type="dxa"/>
            <w:tcBorders>
              <w:left w:val="single" w:sz="4" w:space="0" w:color="auto"/>
              <w:right w:val="single" w:sz="4" w:space="0" w:color="auto"/>
            </w:tcBorders>
          </w:tcPr>
          <w:p w14:paraId="6AF80727"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0.014</w:t>
            </w:r>
          </w:p>
          <w:p w14:paraId="4837597B"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(0.011)</w:t>
            </w:r>
          </w:p>
        </w:tc>
        <w:tc>
          <w:tcPr>
            <w:tcW w:w="1097" w:type="dxa"/>
            <w:tcBorders>
              <w:left w:val="single" w:sz="4" w:space="0" w:color="auto"/>
            </w:tcBorders>
          </w:tcPr>
          <w:p w14:paraId="0E709655"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-0.018</w:t>
            </w:r>
          </w:p>
          <w:p w14:paraId="1043FBC5"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(0.020)</w:t>
            </w:r>
          </w:p>
        </w:tc>
        <w:tc>
          <w:tcPr>
            <w:tcW w:w="1167" w:type="dxa"/>
          </w:tcPr>
          <w:p w14:paraId="1B1E7395"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0.066*</w:t>
            </w:r>
          </w:p>
          <w:p w14:paraId="7A44EBC0"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(0.040)</w:t>
            </w:r>
          </w:p>
        </w:tc>
        <w:tc>
          <w:tcPr>
            <w:tcW w:w="1285" w:type="dxa"/>
            <w:tcBorders>
              <w:right w:val="single" w:sz="4" w:space="0" w:color="auto"/>
            </w:tcBorders>
          </w:tcPr>
          <w:p w14:paraId="41150FAC"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-0.022</w:t>
            </w:r>
          </w:p>
          <w:p w14:paraId="60071B1D"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(0.031)</w:t>
            </w:r>
          </w:p>
        </w:tc>
      </w:tr>
      <w:tr w:rsidR="000C7B10" w:rsidRPr="005F17F3" w14:paraId="48D8C690" w14:textId="77777777" w:rsidTr="00D17CD1">
        <w:trPr>
          <w:trHeight w:val="170"/>
          <w:jc w:val="center"/>
        </w:trPr>
        <w:tc>
          <w:tcPr>
            <w:tcW w:w="4407" w:type="dxa"/>
            <w:tcBorders>
              <w:left w:val="single" w:sz="4" w:space="0" w:color="auto"/>
              <w:right w:val="single" w:sz="4" w:space="0" w:color="auto"/>
            </w:tcBorders>
          </w:tcPr>
          <w:p w14:paraId="4B2F04AC" w14:textId="77777777" w:rsidR="000C7B10" w:rsidRPr="005F17F3" w:rsidRDefault="000C7B10" w:rsidP="00D17CD1">
            <w:pPr>
              <w:spacing w:after="0" w:line="360" w:lineRule="auto"/>
              <w:jc w:val="both"/>
              <w:rPr>
                <w:rFonts w:ascii="Times New Roman" w:hAnsi="Times New Roman"/>
                <w:color w:val="000000"/>
                <w:sz w:val="20"/>
                <w:szCs w:val="20"/>
                <w:lang w:val="en-GB"/>
              </w:rPr>
            </w:pPr>
            <w:r w:rsidRPr="005F17F3">
              <w:rPr>
                <w:rFonts w:ascii="Times New Roman" w:hAnsi="Times New Roman"/>
                <w:color w:val="000000"/>
                <w:sz w:val="20"/>
                <w:szCs w:val="20"/>
                <w:lang w:val="en-GB"/>
              </w:rPr>
              <w:t>Control of tax evasion</w:t>
            </w:r>
          </w:p>
        </w:tc>
        <w:tc>
          <w:tcPr>
            <w:tcW w:w="1366" w:type="dxa"/>
            <w:tcBorders>
              <w:left w:val="single" w:sz="4" w:space="0" w:color="auto"/>
              <w:right w:val="single" w:sz="4" w:space="0" w:color="auto"/>
            </w:tcBorders>
          </w:tcPr>
          <w:p w14:paraId="65D3094F"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0.036***</w:t>
            </w:r>
          </w:p>
          <w:p w14:paraId="6C18F8D5"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(0.010)</w:t>
            </w:r>
          </w:p>
        </w:tc>
        <w:tc>
          <w:tcPr>
            <w:tcW w:w="1097" w:type="dxa"/>
            <w:tcBorders>
              <w:left w:val="single" w:sz="4" w:space="0" w:color="auto"/>
            </w:tcBorders>
          </w:tcPr>
          <w:p w14:paraId="150EFB1E"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0.069***</w:t>
            </w:r>
          </w:p>
          <w:p w14:paraId="7AC46B90"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(0.022)</w:t>
            </w:r>
          </w:p>
        </w:tc>
        <w:tc>
          <w:tcPr>
            <w:tcW w:w="1167" w:type="dxa"/>
          </w:tcPr>
          <w:p w14:paraId="5C5F5FF5"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-0.008</w:t>
            </w:r>
          </w:p>
          <w:p w14:paraId="51F12287"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(0.015)</w:t>
            </w:r>
          </w:p>
        </w:tc>
        <w:tc>
          <w:tcPr>
            <w:tcW w:w="1285" w:type="dxa"/>
            <w:tcBorders>
              <w:right w:val="single" w:sz="4" w:space="0" w:color="auto"/>
            </w:tcBorders>
          </w:tcPr>
          <w:p w14:paraId="2AC67DCB"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0.021</w:t>
            </w:r>
          </w:p>
          <w:p w14:paraId="1BD4AC0A"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(0.018)</w:t>
            </w:r>
          </w:p>
        </w:tc>
      </w:tr>
      <w:tr w:rsidR="000C7B10" w:rsidRPr="005F17F3" w14:paraId="5CC3729D" w14:textId="77777777" w:rsidTr="00D17CD1">
        <w:trPr>
          <w:trHeight w:val="113"/>
          <w:jc w:val="center"/>
        </w:trPr>
        <w:tc>
          <w:tcPr>
            <w:tcW w:w="4407" w:type="dxa"/>
            <w:tcBorders>
              <w:left w:val="single" w:sz="4" w:space="0" w:color="auto"/>
              <w:right w:val="single" w:sz="4" w:space="0" w:color="auto"/>
            </w:tcBorders>
          </w:tcPr>
          <w:p w14:paraId="3F464E5D" w14:textId="77777777" w:rsidR="000C7B10" w:rsidRPr="005F17F3" w:rsidRDefault="000C7B10" w:rsidP="00D17CD1">
            <w:pPr>
              <w:spacing w:after="0" w:line="360" w:lineRule="auto"/>
              <w:jc w:val="both"/>
              <w:rPr>
                <w:rFonts w:ascii="Times New Roman" w:hAnsi="Times New Roman"/>
                <w:color w:val="000000"/>
                <w:sz w:val="20"/>
                <w:szCs w:val="20"/>
                <w:lang w:val="en-GB"/>
              </w:rPr>
            </w:pPr>
            <w:r w:rsidRPr="005F17F3">
              <w:rPr>
                <w:rFonts w:ascii="Times New Roman" w:hAnsi="Times New Roman"/>
                <w:color w:val="000000"/>
                <w:sz w:val="20"/>
                <w:szCs w:val="20"/>
                <w:lang w:val="en-GB"/>
              </w:rPr>
              <w:t>Average Price CD</w:t>
            </w:r>
          </w:p>
        </w:tc>
        <w:tc>
          <w:tcPr>
            <w:tcW w:w="1366" w:type="dxa"/>
            <w:tcBorders>
              <w:left w:val="single" w:sz="4" w:space="0" w:color="auto"/>
              <w:right w:val="single" w:sz="4" w:space="0" w:color="auto"/>
            </w:tcBorders>
          </w:tcPr>
          <w:p w14:paraId="07392DA4"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0.006</w:t>
            </w:r>
          </w:p>
          <w:p w14:paraId="3798969D"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(0.008)</w:t>
            </w:r>
          </w:p>
        </w:tc>
        <w:tc>
          <w:tcPr>
            <w:tcW w:w="1097" w:type="dxa"/>
            <w:tcBorders>
              <w:left w:val="single" w:sz="4" w:space="0" w:color="auto"/>
            </w:tcBorders>
          </w:tcPr>
          <w:p w14:paraId="73D6DB0D"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0.008</w:t>
            </w:r>
          </w:p>
          <w:p w14:paraId="149E6FA5"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(0.011)</w:t>
            </w:r>
          </w:p>
        </w:tc>
        <w:tc>
          <w:tcPr>
            <w:tcW w:w="1167" w:type="dxa"/>
          </w:tcPr>
          <w:p w14:paraId="1D2DD267"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0.011</w:t>
            </w:r>
          </w:p>
          <w:p w14:paraId="01ED7B82"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(0.019)</w:t>
            </w:r>
          </w:p>
        </w:tc>
        <w:tc>
          <w:tcPr>
            <w:tcW w:w="1285" w:type="dxa"/>
            <w:tcBorders>
              <w:right w:val="single" w:sz="4" w:space="0" w:color="auto"/>
            </w:tcBorders>
          </w:tcPr>
          <w:p w14:paraId="0EA7E5A6"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-0.014</w:t>
            </w:r>
          </w:p>
          <w:p w14:paraId="5A21C65B"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(0.021)</w:t>
            </w:r>
          </w:p>
        </w:tc>
      </w:tr>
      <w:tr w:rsidR="000C7B10" w:rsidRPr="005F17F3" w14:paraId="0F7B44E2" w14:textId="77777777" w:rsidTr="00D17CD1">
        <w:trPr>
          <w:trHeight w:val="113"/>
          <w:jc w:val="center"/>
        </w:trPr>
        <w:tc>
          <w:tcPr>
            <w:tcW w:w="4407" w:type="dxa"/>
            <w:tcBorders>
              <w:left w:val="single" w:sz="4" w:space="0" w:color="auto"/>
              <w:right w:val="single" w:sz="4" w:space="0" w:color="auto"/>
            </w:tcBorders>
          </w:tcPr>
          <w:p w14:paraId="5110DDE8" w14:textId="77777777" w:rsidR="000C7B10" w:rsidRPr="005F17F3" w:rsidRDefault="000C7B10" w:rsidP="00D17CD1">
            <w:pPr>
              <w:spacing w:after="0" w:line="360" w:lineRule="auto"/>
              <w:jc w:val="both"/>
              <w:rPr>
                <w:rFonts w:ascii="Times New Roman" w:hAnsi="Times New Roman"/>
                <w:color w:val="000000"/>
                <w:sz w:val="20"/>
                <w:szCs w:val="20"/>
                <w:lang w:val="en-GB"/>
              </w:rPr>
            </w:pPr>
            <w:r w:rsidRPr="005F17F3">
              <w:rPr>
                <w:rFonts w:ascii="Times New Roman" w:hAnsi="Times New Roman"/>
                <w:color w:val="000000"/>
                <w:sz w:val="20"/>
                <w:szCs w:val="20"/>
                <w:lang w:val="en-GB"/>
              </w:rPr>
              <w:t>Internet per 100 inhabitants</w:t>
            </w:r>
          </w:p>
        </w:tc>
        <w:tc>
          <w:tcPr>
            <w:tcW w:w="1366" w:type="dxa"/>
            <w:tcBorders>
              <w:left w:val="single" w:sz="4" w:space="0" w:color="auto"/>
              <w:right w:val="single" w:sz="4" w:space="0" w:color="auto"/>
            </w:tcBorders>
          </w:tcPr>
          <w:p w14:paraId="0F1DE434"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0.008</w:t>
            </w:r>
          </w:p>
          <w:p w14:paraId="08C846FB"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(0.102)</w:t>
            </w:r>
          </w:p>
        </w:tc>
        <w:tc>
          <w:tcPr>
            <w:tcW w:w="1097" w:type="dxa"/>
            <w:tcBorders>
              <w:left w:val="single" w:sz="4" w:space="0" w:color="auto"/>
            </w:tcBorders>
          </w:tcPr>
          <w:p w14:paraId="0657C57B"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-0.212</w:t>
            </w:r>
          </w:p>
          <w:p w14:paraId="703FBF4C"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(0.153)</w:t>
            </w:r>
          </w:p>
        </w:tc>
        <w:tc>
          <w:tcPr>
            <w:tcW w:w="1167" w:type="dxa"/>
          </w:tcPr>
          <w:p w14:paraId="589AA89D"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-0.333</w:t>
            </w:r>
          </w:p>
          <w:p w14:paraId="40437F5A"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(0.303)</w:t>
            </w:r>
          </w:p>
        </w:tc>
        <w:tc>
          <w:tcPr>
            <w:tcW w:w="1285" w:type="dxa"/>
            <w:tcBorders>
              <w:right w:val="single" w:sz="4" w:space="0" w:color="auto"/>
            </w:tcBorders>
          </w:tcPr>
          <w:p w14:paraId="7879843F"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-0.054</w:t>
            </w:r>
          </w:p>
          <w:p w14:paraId="68D35BF2"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(0.366)</w:t>
            </w:r>
          </w:p>
        </w:tc>
      </w:tr>
      <w:tr w:rsidR="000C7B10" w:rsidRPr="005F17F3" w14:paraId="42380FE2" w14:textId="77777777" w:rsidTr="00D17CD1">
        <w:trPr>
          <w:trHeight w:val="113"/>
          <w:jc w:val="center"/>
        </w:trPr>
        <w:tc>
          <w:tcPr>
            <w:tcW w:w="4407" w:type="dxa"/>
            <w:tcBorders>
              <w:left w:val="single" w:sz="4" w:space="0" w:color="auto"/>
              <w:bottom w:val="single" w:sz="4" w:space="0" w:color="auto"/>
              <w:right w:val="single" w:sz="4" w:space="0" w:color="auto"/>
            </w:tcBorders>
          </w:tcPr>
          <w:p w14:paraId="070E5025" w14:textId="77777777" w:rsidR="000C7B10" w:rsidRPr="005F17F3" w:rsidRDefault="000C7B10" w:rsidP="00D17CD1">
            <w:pPr>
              <w:spacing w:after="0" w:line="360" w:lineRule="auto"/>
              <w:jc w:val="both"/>
              <w:rPr>
                <w:rFonts w:ascii="Times New Roman" w:hAnsi="Times New Roman"/>
                <w:color w:val="000000"/>
                <w:sz w:val="20"/>
                <w:szCs w:val="20"/>
                <w:lang w:val="en-GB"/>
              </w:rPr>
            </w:pPr>
            <w:r w:rsidRPr="005F17F3">
              <w:rPr>
                <w:rFonts w:ascii="Times New Roman" w:hAnsi="Times New Roman"/>
                <w:color w:val="000000"/>
                <w:sz w:val="20"/>
                <w:szCs w:val="20"/>
                <w:lang w:val="en-GB"/>
              </w:rPr>
              <w:t>Constant</w:t>
            </w:r>
          </w:p>
        </w:tc>
        <w:tc>
          <w:tcPr>
            <w:tcW w:w="1366" w:type="dxa"/>
            <w:tcBorders>
              <w:left w:val="single" w:sz="4" w:space="0" w:color="auto"/>
              <w:bottom w:val="single" w:sz="4" w:space="0" w:color="auto"/>
              <w:right w:val="single" w:sz="4" w:space="0" w:color="auto"/>
            </w:tcBorders>
          </w:tcPr>
          <w:p w14:paraId="4B255E34"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0.285</w:t>
            </w:r>
          </w:p>
          <w:p w14:paraId="739BC4A8"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(0.628)</w:t>
            </w:r>
          </w:p>
        </w:tc>
        <w:tc>
          <w:tcPr>
            <w:tcW w:w="1097" w:type="dxa"/>
            <w:tcBorders>
              <w:left w:val="single" w:sz="4" w:space="0" w:color="auto"/>
              <w:bottom w:val="single" w:sz="4" w:space="0" w:color="auto"/>
            </w:tcBorders>
          </w:tcPr>
          <w:p w14:paraId="39D46415"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3.351***</w:t>
            </w:r>
          </w:p>
          <w:p w14:paraId="241047A2"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(0.989)</w:t>
            </w:r>
          </w:p>
        </w:tc>
        <w:tc>
          <w:tcPr>
            <w:tcW w:w="1167" w:type="dxa"/>
            <w:tcBorders>
              <w:bottom w:val="single" w:sz="4" w:space="0" w:color="auto"/>
            </w:tcBorders>
          </w:tcPr>
          <w:p w14:paraId="1F98C8B4"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-2.828</w:t>
            </w:r>
          </w:p>
          <w:p w14:paraId="4358535E"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(2.360)</w:t>
            </w:r>
          </w:p>
        </w:tc>
        <w:tc>
          <w:tcPr>
            <w:tcW w:w="1285" w:type="dxa"/>
            <w:tcBorders>
              <w:bottom w:val="single" w:sz="4" w:space="0" w:color="auto"/>
              <w:right w:val="single" w:sz="4" w:space="0" w:color="auto"/>
            </w:tcBorders>
          </w:tcPr>
          <w:p w14:paraId="2E831CE8"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-2.307*</w:t>
            </w:r>
          </w:p>
          <w:p w14:paraId="76F8CF5D"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(1.352)</w:t>
            </w:r>
          </w:p>
        </w:tc>
      </w:tr>
      <w:tr w:rsidR="000C7B10" w:rsidRPr="005F17F3" w14:paraId="6460A5DC" w14:textId="77777777" w:rsidTr="00D17CD1">
        <w:trPr>
          <w:trHeight w:val="113"/>
          <w:jc w:val="center"/>
        </w:trPr>
        <w:tc>
          <w:tcPr>
            <w:tcW w:w="4407" w:type="dxa"/>
            <w:tcBorders>
              <w:top w:val="single" w:sz="4" w:space="0" w:color="auto"/>
              <w:left w:val="single" w:sz="4" w:space="0" w:color="auto"/>
              <w:right w:val="single" w:sz="4" w:space="0" w:color="auto"/>
            </w:tcBorders>
          </w:tcPr>
          <w:p w14:paraId="7BC6168F" w14:textId="77777777" w:rsidR="000C7B10" w:rsidRPr="005F17F3" w:rsidRDefault="000C7B10" w:rsidP="00D17CD1">
            <w:pPr>
              <w:spacing w:after="0" w:line="360" w:lineRule="auto"/>
              <w:jc w:val="both"/>
              <w:rPr>
                <w:rFonts w:ascii="Times New Roman" w:hAnsi="Times New Roman"/>
                <w:color w:val="000000"/>
                <w:sz w:val="20"/>
                <w:szCs w:val="20"/>
                <w:lang w:val="en-GB"/>
              </w:rPr>
            </w:pPr>
            <w:r w:rsidRPr="005F17F3">
              <w:rPr>
                <w:rFonts w:ascii="Times New Roman" w:hAnsi="Times New Roman"/>
                <w:color w:val="000000"/>
                <w:sz w:val="20"/>
                <w:szCs w:val="20"/>
                <w:lang w:val="en-GB"/>
              </w:rPr>
              <w:t>R-squared within</w:t>
            </w:r>
          </w:p>
        </w:tc>
        <w:tc>
          <w:tcPr>
            <w:tcW w:w="1366" w:type="dxa"/>
            <w:tcBorders>
              <w:top w:val="single" w:sz="4" w:space="0" w:color="auto"/>
              <w:left w:val="single" w:sz="4" w:space="0" w:color="auto"/>
              <w:right w:val="single" w:sz="4" w:space="0" w:color="auto"/>
            </w:tcBorders>
          </w:tcPr>
          <w:p w14:paraId="795C5465"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0.878</w:t>
            </w:r>
          </w:p>
        </w:tc>
        <w:tc>
          <w:tcPr>
            <w:tcW w:w="1097" w:type="dxa"/>
            <w:tcBorders>
              <w:top w:val="single" w:sz="4" w:space="0" w:color="auto"/>
              <w:left w:val="single" w:sz="4" w:space="0" w:color="auto"/>
            </w:tcBorders>
          </w:tcPr>
          <w:p w14:paraId="661EAEFC"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0.694</w:t>
            </w:r>
          </w:p>
        </w:tc>
        <w:tc>
          <w:tcPr>
            <w:tcW w:w="1167" w:type="dxa"/>
            <w:tcBorders>
              <w:top w:val="single" w:sz="4" w:space="0" w:color="auto"/>
            </w:tcBorders>
          </w:tcPr>
          <w:p w14:paraId="422BE2F9"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0.485</w:t>
            </w:r>
          </w:p>
        </w:tc>
        <w:tc>
          <w:tcPr>
            <w:tcW w:w="1285" w:type="dxa"/>
            <w:tcBorders>
              <w:top w:val="single" w:sz="4" w:space="0" w:color="auto"/>
              <w:right w:val="single" w:sz="4" w:space="0" w:color="auto"/>
            </w:tcBorders>
          </w:tcPr>
          <w:p w14:paraId="28AF33BD"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0.647</w:t>
            </w:r>
          </w:p>
        </w:tc>
      </w:tr>
      <w:tr w:rsidR="000C7B10" w:rsidRPr="005F17F3" w14:paraId="4F2E03A7" w14:textId="77777777" w:rsidTr="00D17CD1">
        <w:trPr>
          <w:trHeight w:val="113"/>
          <w:jc w:val="center"/>
        </w:trPr>
        <w:tc>
          <w:tcPr>
            <w:tcW w:w="4407" w:type="dxa"/>
            <w:tcBorders>
              <w:left w:val="single" w:sz="4" w:space="0" w:color="auto"/>
              <w:right w:val="single" w:sz="4" w:space="0" w:color="auto"/>
            </w:tcBorders>
          </w:tcPr>
          <w:p w14:paraId="6AC7DEB5" w14:textId="77777777" w:rsidR="000C7B10" w:rsidRPr="005F17F3" w:rsidRDefault="000C7B10" w:rsidP="00D17CD1">
            <w:pPr>
              <w:spacing w:after="0" w:line="360" w:lineRule="auto"/>
              <w:jc w:val="both"/>
              <w:rPr>
                <w:rFonts w:ascii="Times New Roman" w:hAnsi="Times New Roman"/>
                <w:color w:val="000000"/>
                <w:sz w:val="20"/>
                <w:szCs w:val="20"/>
                <w:lang w:val="en-GB"/>
              </w:rPr>
            </w:pPr>
            <w:r w:rsidRPr="005F17F3">
              <w:rPr>
                <w:rFonts w:ascii="Times New Roman" w:hAnsi="Times New Roman"/>
                <w:color w:val="000000"/>
                <w:sz w:val="20"/>
                <w:szCs w:val="20"/>
                <w:lang w:val="en-GB"/>
              </w:rPr>
              <w:t>Observations</w:t>
            </w:r>
          </w:p>
        </w:tc>
        <w:tc>
          <w:tcPr>
            <w:tcW w:w="1366" w:type="dxa"/>
            <w:tcBorders>
              <w:left w:val="single" w:sz="4" w:space="0" w:color="auto"/>
              <w:right w:val="single" w:sz="4" w:space="0" w:color="auto"/>
            </w:tcBorders>
          </w:tcPr>
          <w:p w14:paraId="10B7B447"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414</w:t>
            </w:r>
          </w:p>
        </w:tc>
        <w:tc>
          <w:tcPr>
            <w:tcW w:w="1097" w:type="dxa"/>
            <w:tcBorders>
              <w:left w:val="single" w:sz="4" w:space="0" w:color="auto"/>
            </w:tcBorders>
          </w:tcPr>
          <w:p w14:paraId="728BB845"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192</w:t>
            </w:r>
          </w:p>
        </w:tc>
        <w:tc>
          <w:tcPr>
            <w:tcW w:w="1167" w:type="dxa"/>
          </w:tcPr>
          <w:p w14:paraId="75291CE9"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96</w:t>
            </w:r>
          </w:p>
        </w:tc>
        <w:tc>
          <w:tcPr>
            <w:tcW w:w="1285" w:type="dxa"/>
            <w:tcBorders>
              <w:right w:val="single" w:sz="4" w:space="0" w:color="auto"/>
            </w:tcBorders>
          </w:tcPr>
          <w:p w14:paraId="4546FB93"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94</w:t>
            </w:r>
          </w:p>
        </w:tc>
      </w:tr>
      <w:tr w:rsidR="000C7B10" w:rsidRPr="005F17F3" w14:paraId="671FC438" w14:textId="77777777" w:rsidTr="00D17CD1">
        <w:trPr>
          <w:trHeight w:val="113"/>
          <w:jc w:val="center"/>
        </w:trPr>
        <w:tc>
          <w:tcPr>
            <w:tcW w:w="4407" w:type="dxa"/>
            <w:tcBorders>
              <w:left w:val="single" w:sz="4" w:space="0" w:color="auto"/>
              <w:bottom w:val="single" w:sz="4" w:space="0" w:color="auto"/>
              <w:right w:val="single" w:sz="4" w:space="0" w:color="auto"/>
            </w:tcBorders>
          </w:tcPr>
          <w:p w14:paraId="334F01EC" w14:textId="77777777" w:rsidR="000C7B10" w:rsidRPr="005F17F3" w:rsidRDefault="000C7B10" w:rsidP="00D17CD1">
            <w:pPr>
              <w:spacing w:after="0" w:line="360" w:lineRule="auto"/>
              <w:jc w:val="both"/>
              <w:rPr>
                <w:rFonts w:ascii="Times New Roman" w:hAnsi="Times New Roman"/>
                <w:color w:val="000000"/>
                <w:sz w:val="20"/>
                <w:szCs w:val="20"/>
                <w:lang w:val="en-GB"/>
              </w:rPr>
            </w:pPr>
            <w:r w:rsidRPr="005F17F3">
              <w:rPr>
                <w:rFonts w:ascii="Times New Roman" w:hAnsi="Times New Roman"/>
                <w:color w:val="000000"/>
                <w:sz w:val="20"/>
                <w:szCs w:val="20"/>
                <w:lang w:val="en-GB"/>
              </w:rPr>
              <w:t>Countries</w:t>
            </w:r>
          </w:p>
        </w:tc>
        <w:tc>
          <w:tcPr>
            <w:tcW w:w="1366" w:type="dxa"/>
            <w:tcBorders>
              <w:left w:val="single" w:sz="4" w:space="0" w:color="auto"/>
              <w:bottom w:val="single" w:sz="4" w:space="0" w:color="auto"/>
              <w:right w:val="single" w:sz="4" w:space="0" w:color="auto"/>
            </w:tcBorders>
          </w:tcPr>
          <w:p w14:paraId="790995EB"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32</w:t>
            </w:r>
          </w:p>
        </w:tc>
        <w:tc>
          <w:tcPr>
            <w:tcW w:w="1097" w:type="dxa"/>
            <w:tcBorders>
              <w:left w:val="single" w:sz="4" w:space="0" w:color="auto"/>
              <w:bottom w:val="single" w:sz="4" w:space="0" w:color="auto"/>
            </w:tcBorders>
          </w:tcPr>
          <w:p w14:paraId="7FC95ABE"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32</w:t>
            </w:r>
          </w:p>
        </w:tc>
        <w:tc>
          <w:tcPr>
            <w:tcW w:w="1167" w:type="dxa"/>
            <w:tcBorders>
              <w:bottom w:val="single" w:sz="4" w:space="0" w:color="auto"/>
            </w:tcBorders>
          </w:tcPr>
          <w:p w14:paraId="6AAB2D52"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32</w:t>
            </w:r>
          </w:p>
        </w:tc>
        <w:tc>
          <w:tcPr>
            <w:tcW w:w="1285" w:type="dxa"/>
            <w:tcBorders>
              <w:bottom w:val="single" w:sz="4" w:space="0" w:color="auto"/>
              <w:right w:val="single" w:sz="4" w:space="0" w:color="auto"/>
            </w:tcBorders>
          </w:tcPr>
          <w:p w14:paraId="43F69E32" w14:textId="77777777" w:rsidR="000C7B10" w:rsidRPr="005F17F3" w:rsidRDefault="000C7B10" w:rsidP="00D17CD1">
            <w:pPr>
              <w:spacing w:after="0" w:line="360" w:lineRule="auto"/>
              <w:jc w:val="center"/>
              <w:rPr>
                <w:rFonts w:ascii="Times New Roman" w:hAnsi="Times New Roman"/>
                <w:color w:val="000000"/>
                <w:sz w:val="20"/>
                <w:szCs w:val="20"/>
                <w:lang w:val="en-GB"/>
              </w:rPr>
            </w:pPr>
            <w:r w:rsidRPr="005F17F3">
              <w:rPr>
                <w:rFonts w:ascii="Times New Roman" w:hAnsi="Times New Roman"/>
                <w:color w:val="000000"/>
                <w:sz w:val="20"/>
                <w:szCs w:val="20"/>
                <w:lang w:val="en-GB"/>
              </w:rPr>
              <w:t>32</w:t>
            </w:r>
          </w:p>
        </w:tc>
      </w:tr>
    </w:tbl>
    <w:p w14:paraId="48B7934D" w14:textId="77777777" w:rsidR="000C7B10" w:rsidRPr="005F17F3" w:rsidRDefault="000C7B10" w:rsidP="000C7B10">
      <w:pPr>
        <w:spacing w:after="0" w:line="240" w:lineRule="auto"/>
        <w:jc w:val="center"/>
        <w:rPr>
          <w:rFonts w:ascii="Times New Roman" w:hAnsi="Times New Roman"/>
          <w:color w:val="000000"/>
          <w:sz w:val="18"/>
          <w:szCs w:val="24"/>
          <w:lang w:val="en-GB"/>
        </w:rPr>
      </w:pPr>
      <w:r w:rsidRPr="008F0263">
        <w:rPr>
          <w:rFonts w:ascii="Times New Roman" w:hAnsi="Times New Roman"/>
          <w:b/>
          <w:color w:val="000000"/>
          <w:sz w:val="18"/>
          <w:szCs w:val="24"/>
          <w:lang w:val="en-GB"/>
        </w:rPr>
        <w:t>Level</w:t>
      </w:r>
      <w:r w:rsidRPr="005F17F3">
        <w:rPr>
          <w:rFonts w:ascii="Times New Roman" w:hAnsi="Times New Roman"/>
          <w:b/>
          <w:color w:val="000000"/>
          <w:sz w:val="18"/>
          <w:szCs w:val="24"/>
          <w:lang w:val="en-GB"/>
        </w:rPr>
        <w:t xml:space="preserve"> of statistical significance:</w:t>
      </w:r>
      <w:r w:rsidRPr="005F17F3">
        <w:rPr>
          <w:rFonts w:ascii="Times New Roman" w:hAnsi="Times New Roman"/>
          <w:color w:val="000000"/>
          <w:sz w:val="18"/>
          <w:szCs w:val="24"/>
          <w:lang w:val="en-GB"/>
        </w:rPr>
        <w:t xml:space="preserve"> *** 1%, ** 5%, * 10%</w:t>
      </w:r>
    </w:p>
    <w:p w14:paraId="489B4B2B" w14:textId="5C982784" w:rsidR="00E3126E" w:rsidRDefault="000C7B10" w:rsidP="00041117">
      <w:pPr>
        <w:spacing w:after="0" w:line="240" w:lineRule="auto"/>
        <w:jc w:val="center"/>
        <w:rPr>
          <w:rFonts w:ascii="Times New Roman" w:hAnsi="Times New Roman"/>
          <w:color w:val="000000"/>
          <w:sz w:val="18"/>
          <w:szCs w:val="24"/>
          <w:lang w:val="en-GB"/>
        </w:rPr>
      </w:pPr>
      <w:r w:rsidRPr="005F17F3">
        <w:rPr>
          <w:rFonts w:ascii="Times New Roman" w:hAnsi="Times New Roman"/>
          <w:b/>
          <w:color w:val="000000"/>
          <w:sz w:val="18"/>
          <w:szCs w:val="24"/>
          <w:lang w:val="en-GB"/>
        </w:rPr>
        <w:t xml:space="preserve">OLS regression </w:t>
      </w:r>
      <w:r w:rsidRPr="005F17F3">
        <w:rPr>
          <w:rFonts w:ascii="Times New Roman" w:hAnsi="Times New Roman"/>
          <w:color w:val="000000"/>
          <w:sz w:val="18"/>
          <w:szCs w:val="24"/>
          <w:lang w:val="en-GB"/>
        </w:rPr>
        <w:t xml:space="preserve">with </w:t>
      </w:r>
      <w:proofErr w:type="gramStart"/>
      <w:r w:rsidRPr="005F17F3">
        <w:rPr>
          <w:rFonts w:ascii="Times New Roman" w:hAnsi="Times New Roman"/>
          <w:color w:val="000000"/>
          <w:sz w:val="18"/>
          <w:szCs w:val="24"/>
          <w:lang w:val="en-GB"/>
        </w:rPr>
        <w:t>firm’s</w:t>
      </w:r>
      <w:proofErr w:type="gramEnd"/>
      <w:r w:rsidRPr="005F17F3">
        <w:rPr>
          <w:rFonts w:ascii="Times New Roman" w:hAnsi="Times New Roman"/>
          <w:color w:val="000000"/>
          <w:sz w:val="18"/>
          <w:szCs w:val="24"/>
          <w:lang w:val="en-GB"/>
        </w:rPr>
        <w:t xml:space="preserve"> and year’s fixed effects, and </w:t>
      </w:r>
      <w:r>
        <w:rPr>
          <w:rFonts w:ascii="Times New Roman" w:hAnsi="Times New Roman"/>
          <w:color w:val="000000"/>
          <w:sz w:val="18"/>
          <w:szCs w:val="24"/>
          <w:lang w:val="en-GB"/>
        </w:rPr>
        <w:t>c</w:t>
      </w:r>
      <w:r w:rsidRPr="005F17F3">
        <w:rPr>
          <w:rFonts w:ascii="Times New Roman" w:hAnsi="Times New Roman"/>
          <w:color w:val="000000"/>
          <w:sz w:val="18"/>
          <w:szCs w:val="24"/>
          <w:lang w:val="en-GB"/>
        </w:rPr>
        <w:t xml:space="preserve">lustered-Robust Standard errors (reported within parentheses). </w:t>
      </w:r>
    </w:p>
    <w:p w14:paraId="5430D33C" w14:textId="70248E4B" w:rsidR="002235EF" w:rsidRDefault="002235EF" w:rsidP="00041117">
      <w:pPr>
        <w:spacing w:after="0" w:line="240" w:lineRule="auto"/>
        <w:jc w:val="center"/>
        <w:rPr>
          <w:rFonts w:ascii="Times New Roman" w:hAnsi="Times New Roman"/>
          <w:color w:val="000000"/>
          <w:sz w:val="18"/>
          <w:szCs w:val="24"/>
          <w:lang w:val="en-GB"/>
        </w:rPr>
      </w:pPr>
    </w:p>
    <w:p w14:paraId="4573C9DC" w14:textId="0613C515" w:rsidR="002235EF" w:rsidRDefault="002235EF" w:rsidP="00041117">
      <w:pPr>
        <w:spacing w:after="0" w:line="240" w:lineRule="auto"/>
        <w:jc w:val="center"/>
        <w:rPr>
          <w:rFonts w:ascii="Times New Roman" w:hAnsi="Times New Roman"/>
          <w:color w:val="000000"/>
          <w:sz w:val="18"/>
          <w:szCs w:val="24"/>
          <w:lang w:val="en-GB"/>
        </w:rPr>
      </w:pPr>
    </w:p>
    <w:p w14:paraId="3F7C6708" w14:textId="228984C9" w:rsidR="002235EF" w:rsidRDefault="002235EF" w:rsidP="00041117">
      <w:pPr>
        <w:spacing w:after="0" w:line="240" w:lineRule="auto"/>
        <w:jc w:val="center"/>
        <w:rPr>
          <w:rFonts w:ascii="Times New Roman" w:hAnsi="Times New Roman"/>
          <w:color w:val="000000"/>
          <w:sz w:val="18"/>
          <w:szCs w:val="24"/>
          <w:lang w:val="en-GB"/>
        </w:rPr>
      </w:pPr>
    </w:p>
    <w:p w14:paraId="10B7D58F" w14:textId="77888DD0" w:rsidR="002235EF" w:rsidRDefault="002235EF" w:rsidP="00041117">
      <w:pPr>
        <w:spacing w:after="0" w:line="240" w:lineRule="auto"/>
        <w:jc w:val="center"/>
        <w:rPr>
          <w:rFonts w:ascii="Times New Roman" w:hAnsi="Times New Roman"/>
          <w:color w:val="000000"/>
          <w:sz w:val="18"/>
          <w:szCs w:val="24"/>
          <w:lang w:val="en-GB"/>
        </w:rPr>
      </w:pPr>
    </w:p>
    <w:p w14:paraId="62E94E4A" w14:textId="2B6D588E" w:rsidR="002235EF" w:rsidRPr="00041117" w:rsidRDefault="002235EF" w:rsidP="00041117">
      <w:pPr>
        <w:spacing w:after="0" w:line="240" w:lineRule="auto"/>
        <w:jc w:val="center"/>
        <w:rPr>
          <w:rFonts w:ascii="Times New Roman" w:hAnsi="Times New Roman"/>
          <w:color w:val="000000"/>
          <w:sz w:val="18"/>
          <w:szCs w:val="24"/>
          <w:lang w:val="en-GB"/>
        </w:rPr>
      </w:pPr>
    </w:p>
    <w:p w14:paraId="50C161EF" w14:textId="77777777" w:rsidR="00961A58" w:rsidRPr="008F0263" w:rsidRDefault="00961A58" w:rsidP="00961A58">
      <w:pPr>
        <w:spacing w:after="0" w:line="240" w:lineRule="auto"/>
        <w:jc w:val="center"/>
        <w:outlineLvl w:val="0"/>
        <w:rPr>
          <w:rFonts w:ascii="Times New Roman" w:hAnsi="Times New Roman"/>
          <w:color w:val="000000"/>
          <w:lang w:val="en-GB"/>
        </w:rPr>
      </w:pPr>
      <w:r w:rsidRPr="008F0263">
        <w:rPr>
          <w:rFonts w:ascii="Times New Roman" w:hAnsi="Times New Roman"/>
          <w:b/>
          <w:color w:val="000000"/>
          <w:lang w:val="en-GB"/>
        </w:rPr>
        <w:t>Table 4</w:t>
      </w:r>
      <w:r w:rsidRPr="008F0263">
        <w:rPr>
          <w:rFonts w:ascii="Times New Roman" w:hAnsi="Times New Roman"/>
          <w:color w:val="000000"/>
          <w:lang w:val="en-GB"/>
        </w:rPr>
        <w:t>. OLS Fixed effects analysing a quadratic relation between business model innovation and revenues</w:t>
      </w:r>
    </w:p>
    <w:tbl>
      <w:tblPr>
        <w:tblW w:w="9322" w:type="dxa"/>
        <w:jc w:val="center"/>
        <w:tblLook w:val="00A0" w:firstRow="1" w:lastRow="0" w:firstColumn="1" w:lastColumn="0" w:noHBand="0" w:noVBand="0"/>
      </w:tblPr>
      <w:tblGrid>
        <w:gridCol w:w="4407"/>
        <w:gridCol w:w="1366"/>
        <w:gridCol w:w="1097"/>
        <w:gridCol w:w="1167"/>
        <w:gridCol w:w="1285"/>
      </w:tblGrid>
      <w:tr w:rsidR="00961A58" w:rsidRPr="00971F8F" w14:paraId="446BF801" w14:textId="77777777" w:rsidTr="00D17CD1">
        <w:trPr>
          <w:trHeight w:val="113"/>
          <w:jc w:val="center"/>
        </w:trPr>
        <w:tc>
          <w:tcPr>
            <w:tcW w:w="4407" w:type="dxa"/>
            <w:tcBorders>
              <w:top w:val="single" w:sz="4" w:space="0" w:color="auto"/>
              <w:left w:val="single" w:sz="4" w:space="0" w:color="auto"/>
              <w:bottom w:val="single" w:sz="4" w:space="0" w:color="auto"/>
              <w:right w:val="single" w:sz="4" w:space="0" w:color="auto"/>
            </w:tcBorders>
          </w:tcPr>
          <w:p w14:paraId="25D6E9EA" w14:textId="77777777" w:rsidR="00961A58" w:rsidRPr="00971F8F" w:rsidRDefault="00961A58" w:rsidP="00D17CD1">
            <w:pPr>
              <w:spacing w:after="0" w:line="360" w:lineRule="auto"/>
              <w:jc w:val="both"/>
              <w:rPr>
                <w:rFonts w:ascii="Times New Roman" w:hAnsi="Times New Roman"/>
                <w:b/>
                <w:color w:val="000000"/>
                <w:sz w:val="20"/>
                <w:szCs w:val="20"/>
                <w:lang w:val="en-GB"/>
              </w:rPr>
            </w:pPr>
          </w:p>
        </w:tc>
        <w:tc>
          <w:tcPr>
            <w:tcW w:w="1366" w:type="dxa"/>
            <w:tcBorders>
              <w:top w:val="single" w:sz="4" w:space="0" w:color="auto"/>
              <w:left w:val="single" w:sz="4" w:space="0" w:color="auto"/>
              <w:bottom w:val="single" w:sz="4" w:space="0" w:color="auto"/>
              <w:right w:val="single" w:sz="4" w:space="0" w:color="auto"/>
            </w:tcBorders>
          </w:tcPr>
          <w:p w14:paraId="40D8728D" w14:textId="77777777" w:rsidR="00961A58" w:rsidRPr="00971F8F" w:rsidRDefault="00961A58" w:rsidP="00D17CD1">
            <w:pPr>
              <w:spacing w:after="0" w:line="360" w:lineRule="auto"/>
              <w:jc w:val="center"/>
              <w:rPr>
                <w:rFonts w:ascii="Times New Roman" w:hAnsi="Times New Roman"/>
                <w:b/>
                <w:color w:val="000000"/>
                <w:sz w:val="20"/>
                <w:szCs w:val="20"/>
                <w:lang w:val="en-GB"/>
              </w:rPr>
            </w:pPr>
          </w:p>
        </w:tc>
        <w:tc>
          <w:tcPr>
            <w:tcW w:w="3549" w:type="dxa"/>
            <w:gridSpan w:val="3"/>
            <w:tcBorders>
              <w:top w:val="single" w:sz="4" w:space="0" w:color="auto"/>
              <w:left w:val="single" w:sz="4" w:space="0" w:color="auto"/>
              <w:bottom w:val="single" w:sz="4" w:space="0" w:color="auto"/>
              <w:right w:val="single" w:sz="4" w:space="0" w:color="auto"/>
            </w:tcBorders>
          </w:tcPr>
          <w:p w14:paraId="4AAF5C12" w14:textId="77777777" w:rsidR="00961A58" w:rsidRPr="00971F8F" w:rsidRDefault="00961A58" w:rsidP="00D17CD1">
            <w:pPr>
              <w:spacing w:after="0" w:line="360" w:lineRule="auto"/>
              <w:jc w:val="center"/>
              <w:rPr>
                <w:rFonts w:ascii="Times New Roman" w:hAnsi="Times New Roman"/>
                <w:b/>
                <w:color w:val="000000"/>
                <w:sz w:val="20"/>
                <w:szCs w:val="20"/>
                <w:lang w:val="en-GB"/>
              </w:rPr>
            </w:pPr>
            <w:r w:rsidRPr="00971F8F">
              <w:rPr>
                <w:rFonts w:ascii="Times New Roman" w:hAnsi="Times New Roman"/>
                <w:b/>
                <w:color w:val="000000"/>
                <w:sz w:val="20"/>
                <w:szCs w:val="20"/>
                <w:lang w:val="en-GB"/>
              </w:rPr>
              <w:t>Techno-Social Disruptions</w:t>
            </w:r>
          </w:p>
        </w:tc>
      </w:tr>
      <w:tr w:rsidR="00961A58" w:rsidRPr="00971F8F" w14:paraId="032A58F3" w14:textId="77777777" w:rsidTr="00D17CD1">
        <w:trPr>
          <w:trHeight w:val="113"/>
          <w:jc w:val="center"/>
        </w:trPr>
        <w:tc>
          <w:tcPr>
            <w:tcW w:w="4407" w:type="dxa"/>
            <w:tcBorders>
              <w:top w:val="single" w:sz="4" w:space="0" w:color="auto"/>
              <w:left w:val="single" w:sz="4" w:space="0" w:color="auto"/>
              <w:bottom w:val="single" w:sz="4" w:space="0" w:color="auto"/>
              <w:right w:val="single" w:sz="4" w:space="0" w:color="auto"/>
            </w:tcBorders>
          </w:tcPr>
          <w:p w14:paraId="7D16138E" w14:textId="77777777" w:rsidR="00961A58" w:rsidRPr="00971F8F" w:rsidRDefault="00961A58" w:rsidP="00D17CD1">
            <w:pPr>
              <w:spacing w:after="0" w:line="360" w:lineRule="auto"/>
              <w:jc w:val="both"/>
              <w:rPr>
                <w:rFonts w:ascii="Times New Roman" w:hAnsi="Times New Roman"/>
                <w:b/>
                <w:color w:val="000000"/>
                <w:sz w:val="20"/>
                <w:szCs w:val="20"/>
                <w:lang w:val="en-GB"/>
              </w:rPr>
            </w:pPr>
          </w:p>
        </w:tc>
        <w:tc>
          <w:tcPr>
            <w:tcW w:w="1366" w:type="dxa"/>
            <w:tcBorders>
              <w:top w:val="single" w:sz="4" w:space="0" w:color="auto"/>
              <w:left w:val="single" w:sz="4" w:space="0" w:color="auto"/>
              <w:bottom w:val="single" w:sz="4" w:space="0" w:color="auto"/>
              <w:right w:val="single" w:sz="4" w:space="0" w:color="auto"/>
            </w:tcBorders>
          </w:tcPr>
          <w:p w14:paraId="52F91C94" w14:textId="77777777" w:rsidR="00961A58" w:rsidRPr="00971F8F" w:rsidRDefault="00961A58" w:rsidP="00D17CD1">
            <w:pPr>
              <w:spacing w:after="0" w:line="360" w:lineRule="auto"/>
              <w:jc w:val="center"/>
              <w:rPr>
                <w:rFonts w:ascii="Times New Roman" w:hAnsi="Times New Roman"/>
                <w:b/>
                <w:color w:val="000000"/>
                <w:sz w:val="20"/>
                <w:szCs w:val="20"/>
                <w:lang w:val="en-GB"/>
              </w:rPr>
            </w:pPr>
            <w:r w:rsidRPr="00971F8F">
              <w:rPr>
                <w:rFonts w:ascii="Times New Roman" w:hAnsi="Times New Roman"/>
                <w:b/>
                <w:color w:val="000000"/>
                <w:sz w:val="20"/>
                <w:szCs w:val="20"/>
                <w:lang w:val="en-GB"/>
              </w:rPr>
              <w:t>Full sample</w:t>
            </w:r>
          </w:p>
        </w:tc>
        <w:tc>
          <w:tcPr>
            <w:tcW w:w="1097" w:type="dxa"/>
            <w:tcBorders>
              <w:top w:val="single" w:sz="4" w:space="0" w:color="auto"/>
              <w:left w:val="single" w:sz="4" w:space="0" w:color="auto"/>
              <w:bottom w:val="single" w:sz="4" w:space="0" w:color="auto"/>
            </w:tcBorders>
          </w:tcPr>
          <w:p w14:paraId="39CA4C7B" w14:textId="77777777" w:rsidR="00961A58" w:rsidRPr="00971F8F" w:rsidRDefault="00961A58" w:rsidP="00D17CD1">
            <w:pPr>
              <w:spacing w:after="0" w:line="360" w:lineRule="auto"/>
              <w:jc w:val="center"/>
              <w:rPr>
                <w:rFonts w:ascii="Times New Roman" w:hAnsi="Times New Roman"/>
                <w:b/>
                <w:color w:val="000000"/>
                <w:sz w:val="20"/>
                <w:szCs w:val="20"/>
                <w:lang w:val="en-GB"/>
              </w:rPr>
            </w:pPr>
            <w:r w:rsidRPr="00971F8F">
              <w:rPr>
                <w:rFonts w:ascii="Times New Roman" w:hAnsi="Times New Roman"/>
                <w:b/>
                <w:color w:val="000000"/>
                <w:sz w:val="20"/>
                <w:szCs w:val="20"/>
                <w:lang w:val="en-GB"/>
              </w:rPr>
              <w:t>Piracy</w:t>
            </w:r>
          </w:p>
        </w:tc>
        <w:tc>
          <w:tcPr>
            <w:tcW w:w="1167" w:type="dxa"/>
            <w:tcBorders>
              <w:top w:val="single" w:sz="4" w:space="0" w:color="auto"/>
              <w:bottom w:val="single" w:sz="4" w:space="0" w:color="auto"/>
            </w:tcBorders>
          </w:tcPr>
          <w:p w14:paraId="20E4E80C" w14:textId="77777777" w:rsidR="00961A58" w:rsidRPr="00971F8F" w:rsidRDefault="00961A58" w:rsidP="00D17CD1">
            <w:pPr>
              <w:spacing w:after="0" w:line="360" w:lineRule="auto"/>
              <w:jc w:val="center"/>
              <w:rPr>
                <w:rFonts w:ascii="Times New Roman" w:hAnsi="Times New Roman"/>
                <w:b/>
                <w:color w:val="000000"/>
                <w:sz w:val="20"/>
                <w:szCs w:val="20"/>
                <w:lang w:val="en-GB"/>
              </w:rPr>
            </w:pPr>
            <w:r w:rsidRPr="00971F8F">
              <w:rPr>
                <w:rFonts w:ascii="Times New Roman" w:hAnsi="Times New Roman"/>
                <w:b/>
                <w:color w:val="000000"/>
                <w:sz w:val="20"/>
                <w:szCs w:val="20"/>
                <w:lang w:val="en-GB"/>
              </w:rPr>
              <w:t xml:space="preserve">Digital </w:t>
            </w:r>
          </w:p>
        </w:tc>
        <w:tc>
          <w:tcPr>
            <w:tcW w:w="1285" w:type="dxa"/>
            <w:tcBorders>
              <w:top w:val="single" w:sz="4" w:space="0" w:color="auto"/>
              <w:bottom w:val="single" w:sz="4" w:space="0" w:color="auto"/>
              <w:right w:val="single" w:sz="4" w:space="0" w:color="auto"/>
            </w:tcBorders>
          </w:tcPr>
          <w:p w14:paraId="08A6D447" w14:textId="77777777" w:rsidR="00961A58" w:rsidRPr="00971F8F" w:rsidRDefault="00961A58" w:rsidP="00D17CD1">
            <w:pPr>
              <w:spacing w:after="0" w:line="360" w:lineRule="auto"/>
              <w:jc w:val="center"/>
              <w:rPr>
                <w:rFonts w:ascii="Times New Roman" w:hAnsi="Times New Roman"/>
                <w:b/>
                <w:color w:val="000000"/>
                <w:sz w:val="20"/>
                <w:szCs w:val="20"/>
                <w:lang w:val="en-GB"/>
              </w:rPr>
            </w:pPr>
            <w:r w:rsidRPr="00971F8F">
              <w:rPr>
                <w:rFonts w:ascii="Times New Roman" w:hAnsi="Times New Roman"/>
                <w:b/>
                <w:color w:val="000000"/>
                <w:sz w:val="20"/>
                <w:szCs w:val="20"/>
                <w:lang w:val="en-GB"/>
              </w:rPr>
              <w:t xml:space="preserve">Economic </w:t>
            </w:r>
          </w:p>
        </w:tc>
      </w:tr>
      <w:tr w:rsidR="00961A58" w:rsidRPr="00971F8F" w14:paraId="16572EC5" w14:textId="77777777" w:rsidTr="00D17CD1">
        <w:trPr>
          <w:trHeight w:val="113"/>
          <w:jc w:val="center"/>
        </w:trPr>
        <w:tc>
          <w:tcPr>
            <w:tcW w:w="4407" w:type="dxa"/>
            <w:tcBorders>
              <w:top w:val="single" w:sz="4" w:space="0" w:color="auto"/>
              <w:left w:val="single" w:sz="4" w:space="0" w:color="auto"/>
              <w:bottom w:val="single" w:sz="4" w:space="0" w:color="auto"/>
              <w:right w:val="single" w:sz="4" w:space="0" w:color="auto"/>
            </w:tcBorders>
          </w:tcPr>
          <w:p w14:paraId="0AA31BC0" w14:textId="77777777" w:rsidR="00961A58" w:rsidRPr="00971F8F" w:rsidRDefault="00961A58" w:rsidP="00D17CD1">
            <w:pPr>
              <w:spacing w:after="0" w:line="360" w:lineRule="auto"/>
              <w:jc w:val="both"/>
              <w:rPr>
                <w:rFonts w:ascii="Times New Roman" w:hAnsi="Times New Roman"/>
                <w:b/>
                <w:color w:val="000000"/>
                <w:sz w:val="20"/>
                <w:szCs w:val="20"/>
                <w:lang w:val="en-GB"/>
              </w:rPr>
            </w:pPr>
            <w:r w:rsidRPr="00971F8F">
              <w:rPr>
                <w:rFonts w:ascii="Times New Roman" w:hAnsi="Times New Roman"/>
                <w:b/>
                <w:color w:val="000000"/>
                <w:sz w:val="20"/>
                <w:szCs w:val="20"/>
                <w:lang w:val="en-GB"/>
              </w:rPr>
              <w:t>Dependent variable: LN [(SALES/Population)</w:t>
            </w:r>
            <w:r w:rsidRPr="00971F8F">
              <w:rPr>
                <w:rFonts w:ascii="Times New Roman" w:hAnsi="Times New Roman"/>
                <w:b/>
                <w:color w:val="000000"/>
                <w:sz w:val="20"/>
                <w:szCs w:val="20"/>
                <w:vertAlign w:val="subscript"/>
                <w:lang w:val="en-GB"/>
              </w:rPr>
              <w:t xml:space="preserve"> t</w:t>
            </w:r>
            <w:r w:rsidRPr="00971F8F">
              <w:rPr>
                <w:rFonts w:ascii="Times New Roman" w:hAnsi="Times New Roman"/>
                <w:b/>
                <w:color w:val="000000"/>
                <w:sz w:val="20"/>
                <w:szCs w:val="20"/>
                <w:lang w:val="en-GB"/>
              </w:rPr>
              <w:t>]</w:t>
            </w:r>
          </w:p>
        </w:tc>
        <w:tc>
          <w:tcPr>
            <w:tcW w:w="1366" w:type="dxa"/>
            <w:tcBorders>
              <w:top w:val="single" w:sz="4" w:space="0" w:color="auto"/>
              <w:left w:val="single" w:sz="4" w:space="0" w:color="auto"/>
              <w:bottom w:val="single" w:sz="4" w:space="0" w:color="auto"/>
              <w:right w:val="single" w:sz="4" w:space="0" w:color="auto"/>
            </w:tcBorders>
          </w:tcPr>
          <w:p w14:paraId="2E6C5471" w14:textId="77777777" w:rsidR="00961A58" w:rsidRPr="00971F8F" w:rsidRDefault="00961A58" w:rsidP="00D17CD1">
            <w:pPr>
              <w:spacing w:after="0" w:line="360" w:lineRule="auto"/>
              <w:jc w:val="center"/>
              <w:rPr>
                <w:rFonts w:ascii="Times New Roman" w:hAnsi="Times New Roman"/>
                <w:b/>
                <w:color w:val="000000"/>
                <w:sz w:val="20"/>
                <w:szCs w:val="20"/>
                <w:lang w:val="en-GB"/>
              </w:rPr>
            </w:pPr>
            <w:r w:rsidRPr="00971F8F">
              <w:rPr>
                <w:rFonts w:ascii="Times New Roman" w:hAnsi="Times New Roman"/>
                <w:b/>
                <w:color w:val="000000"/>
                <w:sz w:val="20"/>
                <w:szCs w:val="20"/>
                <w:lang w:val="en-GB"/>
              </w:rPr>
              <w:t>1998-2010</w:t>
            </w:r>
          </w:p>
        </w:tc>
        <w:tc>
          <w:tcPr>
            <w:tcW w:w="1097" w:type="dxa"/>
            <w:tcBorders>
              <w:top w:val="single" w:sz="4" w:space="0" w:color="auto"/>
              <w:left w:val="single" w:sz="4" w:space="0" w:color="auto"/>
              <w:bottom w:val="single" w:sz="4" w:space="0" w:color="auto"/>
            </w:tcBorders>
          </w:tcPr>
          <w:p w14:paraId="0CF04CA9" w14:textId="77777777" w:rsidR="00961A58" w:rsidRPr="00971F8F" w:rsidRDefault="00961A58" w:rsidP="00D17CD1">
            <w:pPr>
              <w:spacing w:after="0" w:line="360" w:lineRule="auto"/>
              <w:jc w:val="center"/>
              <w:rPr>
                <w:rFonts w:ascii="Times New Roman" w:hAnsi="Times New Roman"/>
                <w:i/>
                <w:color w:val="000000"/>
                <w:sz w:val="20"/>
                <w:szCs w:val="20"/>
                <w:lang w:val="en-GB"/>
              </w:rPr>
            </w:pPr>
            <w:r w:rsidRPr="00971F8F">
              <w:rPr>
                <w:rFonts w:ascii="Times New Roman" w:hAnsi="Times New Roman"/>
                <w:b/>
                <w:color w:val="000000"/>
                <w:sz w:val="20"/>
                <w:szCs w:val="20"/>
                <w:lang w:val="en-GB"/>
              </w:rPr>
              <w:t>1999-2004</w:t>
            </w:r>
          </w:p>
        </w:tc>
        <w:tc>
          <w:tcPr>
            <w:tcW w:w="1167" w:type="dxa"/>
            <w:tcBorders>
              <w:top w:val="single" w:sz="4" w:space="0" w:color="auto"/>
              <w:bottom w:val="single" w:sz="4" w:space="0" w:color="auto"/>
            </w:tcBorders>
          </w:tcPr>
          <w:p w14:paraId="79B99CE9" w14:textId="77777777" w:rsidR="00961A58" w:rsidRPr="00971F8F" w:rsidRDefault="00961A58" w:rsidP="00D17CD1">
            <w:pPr>
              <w:spacing w:after="0" w:line="360" w:lineRule="auto"/>
              <w:jc w:val="center"/>
              <w:rPr>
                <w:rFonts w:ascii="Times New Roman" w:hAnsi="Times New Roman"/>
                <w:i/>
                <w:color w:val="000000"/>
                <w:sz w:val="20"/>
                <w:szCs w:val="20"/>
                <w:lang w:val="en-GB"/>
              </w:rPr>
            </w:pPr>
            <w:r w:rsidRPr="00971F8F">
              <w:rPr>
                <w:rFonts w:ascii="Times New Roman" w:hAnsi="Times New Roman"/>
                <w:b/>
                <w:color w:val="000000"/>
                <w:sz w:val="20"/>
                <w:szCs w:val="20"/>
                <w:lang w:val="en-GB"/>
              </w:rPr>
              <w:t>2005-2007</w:t>
            </w:r>
          </w:p>
        </w:tc>
        <w:tc>
          <w:tcPr>
            <w:tcW w:w="1285" w:type="dxa"/>
            <w:tcBorders>
              <w:top w:val="single" w:sz="4" w:space="0" w:color="auto"/>
              <w:bottom w:val="single" w:sz="4" w:space="0" w:color="auto"/>
              <w:right w:val="single" w:sz="4" w:space="0" w:color="auto"/>
            </w:tcBorders>
          </w:tcPr>
          <w:p w14:paraId="60C590F7" w14:textId="77777777" w:rsidR="00961A58" w:rsidRPr="00971F8F" w:rsidRDefault="00961A58" w:rsidP="00D17CD1">
            <w:pPr>
              <w:spacing w:after="0" w:line="360" w:lineRule="auto"/>
              <w:jc w:val="center"/>
              <w:rPr>
                <w:rFonts w:ascii="Times New Roman" w:hAnsi="Times New Roman"/>
                <w:b/>
                <w:color w:val="000000"/>
                <w:sz w:val="20"/>
                <w:szCs w:val="20"/>
                <w:lang w:val="en-GB"/>
              </w:rPr>
            </w:pPr>
            <w:r w:rsidRPr="00971F8F">
              <w:rPr>
                <w:rFonts w:ascii="Times New Roman" w:hAnsi="Times New Roman"/>
                <w:b/>
                <w:color w:val="000000"/>
                <w:sz w:val="20"/>
                <w:szCs w:val="20"/>
                <w:lang w:val="en-GB"/>
              </w:rPr>
              <w:t>2008-2010</w:t>
            </w:r>
          </w:p>
        </w:tc>
      </w:tr>
      <w:tr w:rsidR="00961A58" w:rsidRPr="00971F8F" w14:paraId="6585FDD8" w14:textId="77777777" w:rsidTr="00D17CD1">
        <w:trPr>
          <w:trHeight w:val="113"/>
          <w:jc w:val="center"/>
        </w:trPr>
        <w:tc>
          <w:tcPr>
            <w:tcW w:w="4407" w:type="dxa"/>
            <w:tcBorders>
              <w:top w:val="single" w:sz="4" w:space="0" w:color="auto"/>
              <w:left w:val="single" w:sz="4" w:space="0" w:color="auto"/>
              <w:right w:val="single" w:sz="4" w:space="0" w:color="auto"/>
            </w:tcBorders>
          </w:tcPr>
          <w:p w14:paraId="29AA09A5" w14:textId="77777777" w:rsidR="00961A58" w:rsidRPr="00971F8F" w:rsidRDefault="00961A58" w:rsidP="00D17CD1">
            <w:pPr>
              <w:spacing w:after="0" w:line="360" w:lineRule="auto"/>
              <w:jc w:val="both"/>
              <w:rPr>
                <w:rFonts w:ascii="Times New Roman" w:hAnsi="Times New Roman"/>
                <w:b/>
                <w:color w:val="000000"/>
                <w:sz w:val="20"/>
                <w:szCs w:val="20"/>
                <w:lang w:val="en-GB"/>
              </w:rPr>
            </w:pPr>
            <w:r w:rsidRPr="00971F8F">
              <w:rPr>
                <w:rFonts w:ascii="Times New Roman" w:hAnsi="Times New Roman"/>
                <w:b/>
                <w:color w:val="000000"/>
                <w:sz w:val="20"/>
                <w:szCs w:val="20"/>
                <w:lang w:val="en-GB"/>
              </w:rPr>
              <w:t>Business Model Innovation Variable</w:t>
            </w:r>
          </w:p>
        </w:tc>
        <w:tc>
          <w:tcPr>
            <w:tcW w:w="1366" w:type="dxa"/>
            <w:tcBorders>
              <w:top w:val="single" w:sz="4" w:space="0" w:color="auto"/>
              <w:left w:val="single" w:sz="4" w:space="0" w:color="auto"/>
              <w:right w:val="single" w:sz="4" w:space="0" w:color="auto"/>
            </w:tcBorders>
          </w:tcPr>
          <w:p w14:paraId="7B40BCC1" w14:textId="77777777" w:rsidR="00961A58" w:rsidRPr="00971F8F" w:rsidRDefault="00961A58" w:rsidP="00D17CD1">
            <w:pPr>
              <w:spacing w:after="0" w:line="360" w:lineRule="auto"/>
              <w:jc w:val="center"/>
              <w:rPr>
                <w:rFonts w:ascii="Times New Roman" w:hAnsi="Times New Roman"/>
                <w:color w:val="000000"/>
                <w:sz w:val="20"/>
                <w:szCs w:val="20"/>
                <w:lang w:val="en-GB"/>
              </w:rPr>
            </w:pPr>
          </w:p>
        </w:tc>
        <w:tc>
          <w:tcPr>
            <w:tcW w:w="1097" w:type="dxa"/>
            <w:tcBorders>
              <w:top w:val="single" w:sz="4" w:space="0" w:color="auto"/>
              <w:left w:val="single" w:sz="4" w:space="0" w:color="auto"/>
            </w:tcBorders>
          </w:tcPr>
          <w:p w14:paraId="7D9632B1" w14:textId="77777777" w:rsidR="00961A58" w:rsidRPr="00971F8F" w:rsidRDefault="00961A58" w:rsidP="00D17CD1">
            <w:pPr>
              <w:spacing w:after="0" w:line="360" w:lineRule="auto"/>
              <w:jc w:val="center"/>
              <w:rPr>
                <w:rFonts w:ascii="Times New Roman" w:hAnsi="Times New Roman"/>
                <w:color w:val="000000"/>
                <w:sz w:val="20"/>
                <w:szCs w:val="20"/>
                <w:lang w:val="en-GB"/>
              </w:rPr>
            </w:pPr>
          </w:p>
        </w:tc>
        <w:tc>
          <w:tcPr>
            <w:tcW w:w="1167" w:type="dxa"/>
            <w:tcBorders>
              <w:top w:val="single" w:sz="4" w:space="0" w:color="auto"/>
            </w:tcBorders>
          </w:tcPr>
          <w:p w14:paraId="0623B6CD" w14:textId="77777777" w:rsidR="00961A58" w:rsidRPr="00971F8F" w:rsidRDefault="00961A58" w:rsidP="00D17CD1">
            <w:pPr>
              <w:spacing w:after="0" w:line="360" w:lineRule="auto"/>
              <w:jc w:val="center"/>
              <w:rPr>
                <w:rFonts w:ascii="Times New Roman" w:hAnsi="Times New Roman"/>
                <w:color w:val="000000"/>
                <w:sz w:val="20"/>
                <w:szCs w:val="20"/>
                <w:lang w:val="en-GB"/>
              </w:rPr>
            </w:pPr>
          </w:p>
        </w:tc>
        <w:tc>
          <w:tcPr>
            <w:tcW w:w="1285" w:type="dxa"/>
            <w:tcBorders>
              <w:top w:val="single" w:sz="4" w:space="0" w:color="auto"/>
              <w:right w:val="single" w:sz="4" w:space="0" w:color="auto"/>
            </w:tcBorders>
          </w:tcPr>
          <w:p w14:paraId="23288BC0" w14:textId="77777777" w:rsidR="00961A58" w:rsidRPr="00971F8F" w:rsidRDefault="00961A58" w:rsidP="00D17CD1">
            <w:pPr>
              <w:spacing w:after="0" w:line="360" w:lineRule="auto"/>
              <w:jc w:val="center"/>
              <w:rPr>
                <w:rFonts w:ascii="Times New Roman" w:hAnsi="Times New Roman"/>
                <w:color w:val="000000"/>
                <w:sz w:val="20"/>
                <w:szCs w:val="20"/>
                <w:lang w:val="en-GB"/>
              </w:rPr>
            </w:pPr>
          </w:p>
        </w:tc>
      </w:tr>
      <w:tr w:rsidR="00961A58" w:rsidRPr="00971F8F" w14:paraId="06511376" w14:textId="77777777" w:rsidTr="00D17CD1">
        <w:trPr>
          <w:trHeight w:val="113"/>
          <w:jc w:val="center"/>
        </w:trPr>
        <w:tc>
          <w:tcPr>
            <w:tcW w:w="4407" w:type="dxa"/>
            <w:tcBorders>
              <w:left w:val="single" w:sz="4" w:space="0" w:color="auto"/>
              <w:right w:val="single" w:sz="4" w:space="0" w:color="auto"/>
            </w:tcBorders>
          </w:tcPr>
          <w:p w14:paraId="6068310B" w14:textId="77777777" w:rsidR="00961A58" w:rsidRPr="00971F8F" w:rsidRDefault="00961A58" w:rsidP="00D17CD1">
            <w:pPr>
              <w:spacing w:after="0" w:line="360" w:lineRule="auto"/>
              <w:jc w:val="both"/>
              <w:rPr>
                <w:rFonts w:ascii="Times New Roman" w:hAnsi="Times New Roman"/>
                <w:color w:val="000000"/>
                <w:sz w:val="20"/>
                <w:szCs w:val="20"/>
                <w:lang w:val="en-GB"/>
              </w:rPr>
            </w:pPr>
            <w:r w:rsidRPr="00971F8F">
              <w:rPr>
                <w:rFonts w:ascii="Times New Roman" w:hAnsi="Times New Roman"/>
                <w:color w:val="000000"/>
                <w:sz w:val="20"/>
                <w:szCs w:val="20"/>
                <w:lang w:val="en-GB"/>
              </w:rPr>
              <w:t xml:space="preserve">Format Density </w:t>
            </w:r>
          </w:p>
        </w:tc>
        <w:tc>
          <w:tcPr>
            <w:tcW w:w="1366" w:type="dxa"/>
            <w:tcBorders>
              <w:left w:val="single" w:sz="4" w:space="0" w:color="auto"/>
              <w:right w:val="single" w:sz="4" w:space="0" w:color="auto"/>
            </w:tcBorders>
          </w:tcPr>
          <w:p w14:paraId="182E4A37"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-0.089**</w:t>
            </w:r>
          </w:p>
          <w:p w14:paraId="42E1E3F1"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(0.040)</w:t>
            </w:r>
          </w:p>
        </w:tc>
        <w:tc>
          <w:tcPr>
            <w:tcW w:w="1097" w:type="dxa"/>
            <w:tcBorders>
              <w:left w:val="single" w:sz="4" w:space="0" w:color="auto"/>
            </w:tcBorders>
          </w:tcPr>
          <w:p w14:paraId="6EF264B9"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-0.312***</w:t>
            </w:r>
          </w:p>
          <w:p w14:paraId="640EF4AE"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(0.085)</w:t>
            </w:r>
          </w:p>
        </w:tc>
        <w:tc>
          <w:tcPr>
            <w:tcW w:w="1167" w:type="dxa"/>
          </w:tcPr>
          <w:p w14:paraId="2CCDB192"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-0.300***</w:t>
            </w:r>
          </w:p>
          <w:p w14:paraId="6A21F944"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(0.093)</w:t>
            </w:r>
          </w:p>
        </w:tc>
        <w:tc>
          <w:tcPr>
            <w:tcW w:w="1285" w:type="dxa"/>
            <w:tcBorders>
              <w:right w:val="single" w:sz="4" w:space="0" w:color="auto"/>
            </w:tcBorders>
          </w:tcPr>
          <w:p w14:paraId="34648DA1"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0.125</w:t>
            </w:r>
          </w:p>
          <w:p w14:paraId="109A30DC"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(0.099)</w:t>
            </w:r>
          </w:p>
        </w:tc>
      </w:tr>
      <w:tr w:rsidR="00961A58" w:rsidRPr="00971F8F" w14:paraId="2A5AEC40" w14:textId="77777777" w:rsidTr="00D17CD1">
        <w:trPr>
          <w:trHeight w:val="113"/>
          <w:jc w:val="center"/>
        </w:trPr>
        <w:tc>
          <w:tcPr>
            <w:tcW w:w="4407" w:type="dxa"/>
            <w:tcBorders>
              <w:left w:val="single" w:sz="4" w:space="0" w:color="auto"/>
              <w:bottom w:val="single" w:sz="4" w:space="0" w:color="auto"/>
              <w:right w:val="single" w:sz="4" w:space="0" w:color="auto"/>
            </w:tcBorders>
          </w:tcPr>
          <w:p w14:paraId="6F64376F" w14:textId="77777777" w:rsidR="00961A58" w:rsidRPr="00971F8F" w:rsidRDefault="00961A58" w:rsidP="00D17CD1">
            <w:pPr>
              <w:spacing w:after="0" w:line="360" w:lineRule="auto"/>
              <w:jc w:val="both"/>
              <w:rPr>
                <w:rFonts w:ascii="Times New Roman" w:hAnsi="Times New Roman"/>
                <w:color w:val="000000"/>
                <w:sz w:val="20"/>
                <w:szCs w:val="20"/>
                <w:lang w:val="en-GB"/>
              </w:rPr>
            </w:pPr>
            <w:r w:rsidRPr="00971F8F">
              <w:rPr>
                <w:rFonts w:ascii="Times New Roman" w:hAnsi="Times New Roman"/>
                <w:color w:val="000000"/>
                <w:sz w:val="20"/>
                <w:szCs w:val="20"/>
                <w:lang w:val="en-GB"/>
              </w:rPr>
              <w:t>Format Density Squared</w:t>
            </w:r>
          </w:p>
        </w:tc>
        <w:tc>
          <w:tcPr>
            <w:tcW w:w="1366" w:type="dxa"/>
            <w:tcBorders>
              <w:left w:val="single" w:sz="4" w:space="0" w:color="auto"/>
              <w:bottom w:val="single" w:sz="4" w:space="0" w:color="auto"/>
              <w:right w:val="single" w:sz="4" w:space="0" w:color="auto"/>
            </w:tcBorders>
          </w:tcPr>
          <w:p w14:paraId="72AF858C"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0.006**</w:t>
            </w:r>
          </w:p>
          <w:p w14:paraId="52A33F2C"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(0.003)</w:t>
            </w:r>
          </w:p>
        </w:tc>
        <w:tc>
          <w:tcPr>
            <w:tcW w:w="1097" w:type="dxa"/>
            <w:tcBorders>
              <w:left w:val="single" w:sz="4" w:space="0" w:color="auto"/>
              <w:bottom w:val="single" w:sz="4" w:space="0" w:color="auto"/>
            </w:tcBorders>
          </w:tcPr>
          <w:p w14:paraId="5BBB69CD"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0.020***</w:t>
            </w:r>
          </w:p>
          <w:p w14:paraId="3FD6D01D"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(0.006)</w:t>
            </w:r>
          </w:p>
        </w:tc>
        <w:tc>
          <w:tcPr>
            <w:tcW w:w="1167" w:type="dxa"/>
            <w:tcBorders>
              <w:bottom w:val="single" w:sz="4" w:space="0" w:color="auto"/>
            </w:tcBorders>
          </w:tcPr>
          <w:p w14:paraId="2EFABEEE"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0.026***</w:t>
            </w:r>
          </w:p>
          <w:p w14:paraId="647B747E"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(0.008)</w:t>
            </w:r>
          </w:p>
        </w:tc>
        <w:tc>
          <w:tcPr>
            <w:tcW w:w="1285" w:type="dxa"/>
            <w:tcBorders>
              <w:bottom w:val="single" w:sz="4" w:space="0" w:color="auto"/>
              <w:right w:val="single" w:sz="4" w:space="0" w:color="auto"/>
            </w:tcBorders>
          </w:tcPr>
          <w:p w14:paraId="6F310347"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-0.011</w:t>
            </w:r>
          </w:p>
          <w:p w14:paraId="46579E26"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(0.010)</w:t>
            </w:r>
          </w:p>
        </w:tc>
      </w:tr>
      <w:tr w:rsidR="00961A58" w:rsidRPr="00971F8F" w14:paraId="1F39F685" w14:textId="77777777" w:rsidTr="00D17CD1">
        <w:trPr>
          <w:trHeight w:val="113"/>
          <w:jc w:val="center"/>
        </w:trPr>
        <w:tc>
          <w:tcPr>
            <w:tcW w:w="4407" w:type="dxa"/>
            <w:tcBorders>
              <w:top w:val="single" w:sz="4" w:space="0" w:color="auto"/>
              <w:left w:val="single" w:sz="4" w:space="0" w:color="auto"/>
              <w:right w:val="single" w:sz="4" w:space="0" w:color="auto"/>
            </w:tcBorders>
          </w:tcPr>
          <w:p w14:paraId="7D2621EC" w14:textId="77777777" w:rsidR="00961A58" w:rsidRPr="00971F8F" w:rsidRDefault="00961A58" w:rsidP="00D17CD1">
            <w:pPr>
              <w:spacing w:after="0" w:line="360" w:lineRule="auto"/>
              <w:jc w:val="both"/>
              <w:rPr>
                <w:rFonts w:ascii="Times New Roman" w:hAnsi="Times New Roman"/>
                <w:b/>
                <w:color w:val="000000"/>
                <w:sz w:val="20"/>
                <w:szCs w:val="20"/>
                <w:lang w:val="en-GB"/>
              </w:rPr>
            </w:pPr>
            <w:r w:rsidRPr="00971F8F">
              <w:rPr>
                <w:rFonts w:ascii="Times New Roman" w:hAnsi="Times New Roman"/>
                <w:b/>
                <w:color w:val="000000"/>
                <w:sz w:val="20"/>
                <w:szCs w:val="20"/>
                <w:lang w:val="en-GB"/>
              </w:rPr>
              <w:t>Control Variables</w:t>
            </w:r>
          </w:p>
        </w:tc>
        <w:tc>
          <w:tcPr>
            <w:tcW w:w="1366" w:type="dxa"/>
            <w:tcBorders>
              <w:top w:val="single" w:sz="4" w:space="0" w:color="auto"/>
              <w:left w:val="single" w:sz="4" w:space="0" w:color="auto"/>
              <w:right w:val="single" w:sz="4" w:space="0" w:color="auto"/>
            </w:tcBorders>
          </w:tcPr>
          <w:p w14:paraId="3AF0504C" w14:textId="77777777" w:rsidR="00961A58" w:rsidRPr="00971F8F" w:rsidRDefault="00961A58" w:rsidP="00D17CD1">
            <w:pPr>
              <w:spacing w:after="0" w:line="360" w:lineRule="auto"/>
              <w:jc w:val="center"/>
              <w:rPr>
                <w:rFonts w:ascii="Times New Roman" w:hAnsi="Times New Roman"/>
                <w:color w:val="000000"/>
                <w:sz w:val="20"/>
                <w:szCs w:val="20"/>
                <w:lang w:val="en-GB"/>
              </w:rPr>
            </w:pPr>
          </w:p>
        </w:tc>
        <w:tc>
          <w:tcPr>
            <w:tcW w:w="1097" w:type="dxa"/>
            <w:tcBorders>
              <w:top w:val="single" w:sz="4" w:space="0" w:color="auto"/>
              <w:left w:val="single" w:sz="4" w:space="0" w:color="auto"/>
            </w:tcBorders>
          </w:tcPr>
          <w:p w14:paraId="30454D4D" w14:textId="77777777" w:rsidR="00961A58" w:rsidRPr="00971F8F" w:rsidRDefault="00961A58" w:rsidP="00D17CD1">
            <w:pPr>
              <w:spacing w:after="0" w:line="360" w:lineRule="auto"/>
              <w:jc w:val="center"/>
              <w:rPr>
                <w:rFonts w:ascii="Times New Roman" w:hAnsi="Times New Roman"/>
                <w:color w:val="000000"/>
                <w:sz w:val="20"/>
                <w:szCs w:val="20"/>
                <w:lang w:val="en-GB"/>
              </w:rPr>
            </w:pPr>
          </w:p>
        </w:tc>
        <w:tc>
          <w:tcPr>
            <w:tcW w:w="1167" w:type="dxa"/>
            <w:tcBorders>
              <w:top w:val="single" w:sz="4" w:space="0" w:color="auto"/>
            </w:tcBorders>
          </w:tcPr>
          <w:p w14:paraId="6DB346B5" w14:textId="77777777" w:rsidR="00961A58" w:rsidRPr="00971F8F" w:rsidRDefault="00961A58" w:rsidP="00D17CD1">
            <w:pPr>
              <w:spacing w:after="0" w:line="360" w:lineRule="auto"/>
              <w:jc w:val="center"/>
              <w:rPr>
                <w:rFonts w:ascii="Times New Roman" w:hAnsi="Times New Roman"/>
                <w:color w:val="000000"/>
                <w:sz w:val="20"/>
                <w:szCs w:val="20"/>
                <w:lang w:val="en-GB"/>
              </w:rPr>
            </w:pPr>
          </w:p>
        </w:tc>
        <w:tc>
          <w:tcPr>
            <w:tcW w:w="1285" w:type="dxa"/>
            <w:tcBorders>
              <w:top w:val="single" w:sz="4" w:space="0" w:color="auto"/>
              <w:right w:val="single" w:sz="4" w:space="0" w:color="auto"/>
            </w:tcBorders>
          </w:tcPr>
          <w:p w14:paraId="11AC6F63" w14:textId="77777777" w:rsidR="00961A58" w:rsidRPr="00971F8F" w:rsidRDefault="00961A58" w:rsidP="00D17CD1">
            <w:pPr>
              <w:spacing w:after="0" w:line="360" w:lineRule="auto"/>
              <w:jc w:val="center"/>
              <w:rPr>
                <w:rFonts w:ascii="Times New Roman" w:hAnsi="Times New Roman"/>
                <w:color w:val="000000"/>
                <w:sz w:val="20"/>
                <w:szCs w:val="20"/>
                <w:lang w:val="en-GB"/>
              </w:rPr>
            </w:pPr>
          </w:p>
        </w:tc>
      </w:tr>
      <w:tr w:rsidR="00961A58" w:rsidRPr="00971F8F" w14:paraId="0B82F653" w14:textId="77777777" w:rsidTr="00D17CD1">
        <w:trPr>
          <w:trHeight w:val="113"/>
          <w:jc w:val="center"/>
        </w:trPr>
        <w:tc>
          <w:tcPr>
            <w:tcW w:w="4407" w:type="dxa"/>
            <w:tcBorders>
              <w:left w:val="single" w:sz="4" w:space="0" w:color="auto"/>
              <w:right w:val="single" w:sz="4" w:space="0" w:color="auto"/>
            </w:tcBorders>
          </w:tcPr>
          <w:p w14:paraId="0DB2FFB8" w14:textId="77777777" w:rsidR="00961A58" w:rsidRPr="00971F8F" w:rsidRDefault="00961A58" w:rsidP="00D17CD1">
            <w:pPr>
              <w:spacing w:after="0" w:line="360" w:lineRule="auto"/>
              <w:jc w:val="both"/>
              <w:rPr>
                <w:rFonts w:ascii="Times New Roman" w:hAnsi="Times New Roman"/>
                <w:color w:val="000000"/>
                <w:sz w:val="20"/>
                <w:szCs w:val="20"/>
                <w:lang w:val="en-GB"/>
              </w:rPr>
            </w:pPr>
            <w:r w:rsidRPr="00971F8F">
              <w:rPr>
                <w:rFonts w:ascii="Times New Roman" w:hAnsi="Times New Roman"/>
                <w:color w:val="000000"/>
                <w:sz w:val="20"/>
                <w:szCs w:val="20"/>
                <w:lang w:val="en-GB"/>
              </w:rPr>
              <w:t>LN [(SALES/Population)</w:t>
            </w:r>
            <w:r w:rsidRPr="00971F8F">
              <w:rPr>
                <w:rFonts w:ascii="Times New Roman" w:hAnsi="Times New Roman"/>
                <w:color w:val="000000"/>
                <w:sz w:val="20"/>
                <w:szCs w:val="20"/>
                <w:vertAlign w:val="subscript"/>
                <w:lang w:val="en-GB"/>
              </w:rPr>
              <w:t xml:space="preserve"> t-1</w:t>
            </w:r>
            <w:r w:rsidRPr="00971F8F">
              <w:rPr>
                <w:rFonts w:ascii="Times New Roman" w:hAnsi="Times New Roman"/>
                <w:color w:val="000000"/>
                <w:sz w:val="20"/>
                <w:szCs w:val="20"/>
                <w:lang w:val="en-GB"/>
              </w:rPr>
              <w:t>]</w:t>
            </w:r>
          </w:p>
        </w:tc>
        <w:tc>
          <w:tcPr>
            <w:tcW w:w="1366" w:type="dxa"/>
            <w:tcBorders>
              <w:left w:val="single" w:sz="4" w:space="0" w:color="auto"/>
              <w:right w:val="single" w:sz="4" w:space="0" w:color="auto"/>
            </w:tcBorders>
          </w:tcPr>
          <w:p w14:paraId="2709008D"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0.772***</w:t>
            </w:r>
          </w:p>
          <w:p w14:paraId="1F66D85F"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(0.030)</w:t>
            </w:r>
          </w:p>
        </w:tc>
        <w:tc>
          <w:tcPr>
            <w:tcW w:w="1097" w:type="dxa"/>
            <w:tcBorders>
              <w:left w:val="single" w:sz="4" w:space="0" w:color="auto"/>
            </w:tcBorders>
          </w:tcPr>
          <w:p w14:paraId="4787825D"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0.666***</w:t>
            </w:r>
          </w:p>
          <w:p w14:paraId="34A0F90F"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(0.067)</w:t>
            </w:r>
          </w:p>
        </w:tc>
        <w:tc>
          <w:tcPr>
            <w:tcW w:w="1167" w:type="dxa"/>
          </w:tcPr>
          <w:p w14:paraId="1E7F9509"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0.319*</w:t>
            </w:r>
          </w:p>
          <w:p w14:paraId="1F8532EB"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(0.189)</w:t>
            </w:r>
          </w:p>
        </w:tc>
        <w:tc>
          <w:tcPr>
            <w:tcW w:w="1285" w:type="dxa"/>
            <w:tcBorders>
              <w:right w:val="single" w:sz="4" w:space="0" w:color="auto"/>
            </w:tcBorders>
          </w:tcPr>
          <w:p w14:paraId="53FF2122"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0.360**</w:t>
            </w:r>
          </w:p>
          <w:p w14:paraId="7DA7054A"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(0.154)</w:t>
            </w:r>
          </w:p>
        </w:tc>
      </w:tr>
      <w:tr w:rsidR="00961A58" w:rsidRPr="00971F8F" w14:paraId="15C0D988" w14:textId="77777777" w:rsidTr="00D17CD1">
        <w:trPr>
          <w:trHeight w:val="113"/>
          <w:jc w:val="center"/>
        </w:trPr>
        <w:tc>
          <w:tcPr>
            <w:tcW w:w="4407" w:type="dxa"/>
            <w:tcBorders>
              <w:left w:val="single" w:sz="4" w:space="0" w:color="auto"/>
              <w:right w:val="single" w:sz="4" w:space="0" w:color="auto"/>
            </w:tcBorders>
          </w:tcPr>
          <w:p w14:paraId="3A308D2B" w14:textId="77777777" w:rsidR="00961A58" w:rsidRPr="00971F8F" w:rsidRDefault="00961A58" w:rsidP="00D17CD1">
            <w:pPr>
              <w:spacing w:after="0" w:line="360" w:lineRule="auto"/>
              <w:jc w:val="both"/>
              <w:rPr>
                <w:rFonts w:ascii="Times New Roman" w:hAnsi="Times New Roman"/>
                <w:color w:val="000000"/>
                <w:sz w:val="20"/>
                <w:szCs w:val="20"/>
                <w:lang w:val="en-GB"/>
              </w:rPr>
            </w:pPr>
            <w:r w:rsidRPr="00971F8F">
              <w:rPr>
                <w:rFonts w:ascii="Times New Roman" w:hAnsi="Times New Roman"/>
                <w:color w:val="000000"/>
                <w:sz w:val="20"/>
                <w:szCs w:val="20"/>
                <w:lang w:val="en-GB"/>
              </w:rPr>
              <w:t>LN(GDP capita)</w:t>
            </w:r>
          </w:p>
        </w:tc>
        <w:tc>
          <w:tcPr>
            <w:tcW w:w="1366" w:type="dxa"/>
            <w:tcBorders>
              <w:left w:val="single" w:sz="4" w:space="0" w:color="auto"/>
              <w:right w:val="single" w:sz="4" w:space="0" w:color="auto"/>
            </w:tcBorders>
          </w:tcPr>
          <w:p w14:paraId="73A47B3E"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-0.081*</w:t>
            </w:r>
          </w:p>
          <w:p w14:paraId="0818E473"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(0.046)</w:t>
            </w:r>
          </w:p>
        </w:tc>
        <w:tc>
          <w:tcPr>
            <w:tcW w:w="1097" w:type="dxa"/>
            <w:tcBorders>
              <w:left w:val="single" w:sz="4" w:space="0" w:color="auto"/>
            </w:tcBorders>
          </w:tcPr>
          <w:p w14:paraId="3E00CB0C"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-0.180*</w:t>
            </w:r>
          </w:p>
          <w:p w14:paraId="3F7A58D6"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(0.099)</w:t>
            </w:r>
          </w:p>
        </w:tc>
        <w:tc>
          <w:tcPr>
            <w:tcW w:w="1167" w:type="dxa"/>
          </w:tcPr>
          <w:p w14:paraId="53AEDC89"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0.028</w:t>
            </w:r>
          </w:p>
          <w:p w14:paraId="764F68F4"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(0.294)</w:t>
            </w:r>
          </w:p>
        </w:tc>
        <w:tc>
          <w:tcPr>
            <w:tcW w:w="1285" w:type="dxa"/>
            <w:tcBorders>
              <w:right w:val="single" w:sz="4" w:space="0" w:color="auto"/>
            </w:tcBorders>
          </w:tcPr>
          <w:p w14:paraId="5F7A5C23"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0.169</w:t>
            </w:r>
          </w:p>
          <w:p w14:paraId="742DA286"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(0.162)</w:t>
            </w:r>
          </w:p>
        </w:tc>
      </w:tr>
      <w:tr w:rsidR="00961A58" w:rsidRPr="00971F8F" w14:paraId="73434DBB" w14:textId="77777777" w:rsidTr="00D17CD1">
        <w:trPr>
          <w:trHeight w:val="113"/>
          <w:jc w:val="center"/>
        </w:trPr>
        <w:tc>
          <w:tcPr>
            <w:tcW w:w="4407" w:type="dxa"/>
            <w:tcBorders>
              <w:left w:val="single" w:sz="4" w:space="0" w:color="auto"/>
              <w:right w:val="single" w:sz="4" w:space="0" w:color="auto"/>
            </w:tcBorders>
          </w:tcPr>
          <w:p w14:paraId="2265EAC9" w14:textId="77777777" w:rsidR="00961A58" w:rsidRPr="00971F8F" w:rsidRDefault="00961A58" w:rsidP="00D17CD1">
            <w:pPr>
              <w:spacing w:after="0" w:line="360" w:lineRule="auto"/>
              <w:jc w:val="both"/>
              <w:rPr>
                <w:rFonts w:ascii="Times New Roman" w:hAnsi="Times New Roman"/>
                <w:color w:val="000000"/>
                <w:sz w:val="20"/>
                <w:szCs w:val="20"/>
                <w:lang w:val="en-GB"/>
              </w:rPr>
            </w:pPr>
            <w:r w:rsidRPr="00971F8F">
              <w:rPr>
                <w:rFonts w:ascii="Times New Roman" w:hAnsi="Times New Roman"/>
                <w:color w:val="000000"/>
                <w:sz w:val="20"/>
                <w:szCs w:val="20"/>
                <w:lang w:val="en-GB"/>
              </w:rPr>
              <w:t>Population density</w:t>
            </w:r>
          </w:p>
        </w:tc>
        <w:tc>
          <w:tcPr>
            <w:tcW w:w="1366" w:type="dxa"/>
            <w:tcBorders>
              <w:left w:val="single" w:sz="4" w:space="0" w:color="auto"/>
              <w:right w:val="single" w:sz="4" w:space="0" w:color="auto"/>
            </w:tcBorders>
          </w:tcPr>
          <w:p w14:paraId="3AECD339"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0.887</w:t>
            </w:r>
          </w:p>
          <w:p w14:paraId="2A700002"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(1.878)</w:t>
            </w:r>
          </w:p>
        </w:tc>
        <w:tc>
          <w:tcPr>
            <w:tcW w:w="1097" w:type="dxa"/>
            <w:tcBorders>
              <w:left w:val="single" w:sz="4" w:space="0" w:color="auto"/>
            </w:tcBorders>
          </w:tcPr>
          <w:p w14:paraId="25BD1F73"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-13.63***</w:t>
            </w:r>
          </w:p>
          <w:p w14:paraId="636C46A2"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(2.950)</w:t>
            </w:r>
          </w:p>
        </w:tc>
        <w:tc>
          <w:tcPr>
            <w:tcW w:w="1167" w:type="dxa"/>
          </w:tcPr>
          <w:p w14:paraId="4BDE961C"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-5.611</w:t>
            </w:r>
          </w:p>
          <w:p w14:paraId="3531812C"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(11.81)</w:t>
            </w:r>
          </w:p>
        </w:tc>
        <w:tc>
          <w:tcPr>
            <w:tcW w:w="1285" w:type="dxa"/>
            <w:tcBorders>
              <w:right w:val="single" w:sz="4" w:space="0" w:color="auto"/>
            </w:tcBorders>
          </w:tcPr>
          <w:p w14:paraId="47353606"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16.73**</w:t>
            </w:r>
          </w:p>
          <w:p w14:paraId="5F665121"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(7.159)</w:t>
            </w:r>
          </w:p>
        </w:tc>
      </w:tr>
      <w:tr w:rsidR="00961A58" w:rsidRPr="00971F8F" w14:paraId="58696939" w14:textId="77777777" w:rsidTr="00D17CD1">
        <w:trPr>
          <w:trHeight w:val="113"/>
          <w:jc w:val="center"/>
        </w:trPr>
        <w:tc>
          <w:tcPr>
            <w:tcW w:w="4407" w:type="dxa"/>
            <w:tcBorders>
              <w:left w:val="single" w:sz="4" w:space="0" w:color="auto"/>
              <w:right w:val="single" w:sz="4" w:space="0" w:color="auto"/>
            </w:tcBorders>
          </w:tcPr>
          <w:p w14:paraId="7809EA9A" w14:textId="77777777" w:rsidR="00961A58" w:rsidRPr="00971F8F" w:rsidRDefault="00961A58" w:rsidP="00D17CD1">
            <w:pPr>
              <w:spacing w:after="0" w:line="360" w:lineRule="auto"/>
              <w:jc w:val="both"/>
              <w:rPr>
                <w:rFonts w:ascii="Times New Roman" w:hAnsi="Times New Roman"/>
                <w:color w:val="000000"/>
                <w:sz w:val="20"/>
                <w:szCs w:val="20"/>
                <w:lang w:val="en-GB"/>
              </w:rPr>
            </w:pPr>
            <w:r w:rsidRPr="00971F8F">
              <w:rPr>
                <w:rFonts w:ascii="Times New Roman" w:hAnsi="Times New Roman"/>
                <w:color w:val="000000"/>
                <w:sz w:val="20"/>
                <w:szCs w:val="20"/>
                <w:lang w:val="en-GB"/>
              </w:rPr>
              <w:t>IPR protection</w:t>
            </w:r>
          </w:p>
        </w:tc>
        <w:tc>
          <w:tcPr>
            <w:tcW w:w="1366" w:type="dxa"/>
            <w:tcBorders>
              <w:left w:val="single" w:sz="4" w:space="0" w:color="auto"/>
              <w:right w:val="single" w:sz="4" w:space="0" w:color="auto"/>
            </w:tcBorders>
          </w:tcPr>
          <w:p w14:paraId="2F7A16E6"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0.011</w:t>
            </w:r>
          </w:p>
          <w:p w14:paraId="79CD4041"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(0.012)</w:t>
            </w:r>
          </w:p>
        </w:tc>
        <w:tc>
          <w:tcPr>
            <w:tcW w:w="1097" w:type="dxa"/>
            <w:tcBorders>
              <w:left w:val="single" w:sz="4" w:space="0" w:color="auto"/>
            </w:tcBorders>
          </w:tcPr>
          <w:p w14:paraId="5227017C"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-0.026</w:t>
            </w:r>
          </w:p>
          <w:p w14:paraId="3D70E643"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(0.021)</w:t>
            </w:r>
          </w:p>
        </w:tc>
        <w:tc>
          <w:tcPr>
            <w:tcW w:w="1167" w:type="dxa"/>
          </w:tcPr>
          <w:p w14:paraId="2F3E679E"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0.058*</w:t>
            </w:r>
          </w:p>
          <w:p w14:paraId="0819D29F"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(0.035)</w:t>
            </w:r>
          </w:p>
        </w:tc>
        <w:tc>
          <w:tcPr>
            <w:tcW w:w="1285" w:type="dxa"/>
            <w:tcBorders>
              <w:right w:val="single" w:sz="4" w:space="0" w:color="auto"/>
            </w:tcBorders>
          </w:tcPr>
          <w:p w14:paraId="61B1D668"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-0.017</w:t>
            </w:r>
          </w:p>
          <w:p w14:paraId="7E7B39E8"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(0.029)</w:t>
            </w:r>
          </w:p>
        </w:tc>
      </w:tr>
      <w:tr w:rsidR="00961A58" w:rsidRPr="00971F8F" w14:paraId="1107F951" w14:textId="77777777" w:rsidTr="00D17CD1">
        <w:trPr>
          <w:trHeight w:val="170"/>
          <w:jc w:val="center"/>
        </w:trPr>
        <w:tc>
          <w:tcPr>
            <w:tcW w:w="4407" w:type="dxa"/>
            <w:tcBorders>
              <w:left w:val="single" w:sz="4" w:space="0" w:color="auto"/>
              <w:right w:val="single" w:sz="4" w:space="0" w:color="auto"/>
            </w:tcBorders>
          </w:tcPr>
          <w:p w14:paraId="5EF697EE" w14:textId="77777777" w:rsidR="00961A58" w:rsidRPr="00971F8F" w:rsidRDefault="00961A58" w:rsidP="00D17CD1">
            <w:pPr>
              <w:spacing w:after="0" w:line="360" w:lineRule="auto"/>
              <w:jc w:val="both"/>
              <w:rPr>
                <w:rFonts w:ascii="Times New Roman" w:hAnsi="Times New Roman"/>
                <w:color w:val="000000"/>
                <w:sz w:val="20"/>
                <w:szCs w:val="20"/>
                <w:lang w:val="en-GB"/>
              </w:rPr>
            </w:pPr>
            <w:r w:rsidRPr="00971F8F">
              <w:rPr>
                <w:rFonts w:ascii="Times New Roman" w:hAnsi="Times New Roman"/>
                <w:color w:val="000000"/>
                <w:sz w:val="20"/>
                <w:szCs w:val="20"/>
                <w:lang w:val="en-GB"/>
              </w:rPr>
              <w:t>Control of tax evasion</w:t>
            </w:r>
          </w:p>
        </w:tc>
        <w:tc>
          <w:tcPr>
            <w:tcW w:w="1366" w:type="dxa"/>
            <w:tcBorders>
              <w:left w:val="single" w:sz="4" w:space="0" w:color="auto"/>
              <w:right w:val="single" w:sz="4" w:space="0" w:color="auto"/>
            </w:tcBorders>
          </w:tcPr>
          <w:p w14:paraId="352F78B4"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0.037***</w:t>
            </w:r>
          </w:p>
          <w:p w14:paraId="793652CD"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(0.010)</w:t>
            </w:r>
          </w:p>
        </w:tc>
        <w:tc>
          <w:tcPr>
            <w:tcW w:w="1097" w:type="dxa"/>
            <w:tcBorders>
              <w:left w:val="single" w:sz="4" w:space="0" w:color="auto"/>
            </w:tcBorders>
          </w:tcPr>
          <w:p w14:paraId="34137244"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0.065***</w:t>
            </w:r>
          </w:p>
          <w:p w14:paraId="691374D7"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(0.020)</w:t>
            </w:r>
          </w:p>
        </w:tc>
        <w:tc>
          <w:tcPr>
            <w:tcW w:w="1167" w:type="dxa"/>
          </w:tcPr>
          <w:p w14:paraId="2A7649A7"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-0.015</w:t>
            </w:r>
          </w:p>
          <w:p w14:paraId="16F45493"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(0.012)</w:t>
            </w:r>
          </w:p>
        </w:tc>
        <w:tc>
          <w:tcPr>
            <w:tcW w:w="1285" w:type="dxa"/>
            <w:tcBorders>
              <w:right w:val="single" w:sz="4" w:space="0" w:color="auto"/>
            </w:tcBorders>
          </w:tcPr>
          <w:p w14:paraId="365D5B21"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0.020</w:t>
            </w:r>
          </w:p>
          <w:p w14:paraId="367DBEA8"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(0.019)</w:t>
            </w:r>
          </w:p>
        </w:tc>
      </w:tr>
      <w:tr w:rsidR="00961A58" w:rsidRPr="00971F8F" w14:paraId="19D75812" w14:textId="77777777" w:rsidTr="00D17CD1">
        <w:trPr>
          <w:trHeight w:val="113"/>
          <w:jc w:val="center"/>
        </w:trPr>
        <w:tc>
          <w:tcPr>
            <w:tcW w:w="4407" w:type="dxa"/>
            <w:tcBorders>
              <w:left w:val="single" w:sz="4" w:space="0" w:color="auto"/>
              <w:right w:val="single" w:sz="4" w:space="0" w:color="auto"/>
            </w:tcBorders>
          </w:tcPr>
          <w:p w14:paraId="79F45A6F" w14:textId="77777777" w:rsidR="00961A58" w:rsidRPr="00971F8F" w:rsidRDefault="00961A58" w:rsidP="00D17CD1">
            <w:pPr>
              <w:spacing w:after="0" w:line="360" w:lineRule="auto"/>
              <w:jc w:val="both"/>
              <w:rPr>
                <w:rFonts w:ascii="Times New Roman" w:hAnsi="Times New Roman"/>
                <w:color w:val="000000"/>
                <w:sz w:val="20"/>
                <w:szCs w:val="20"/>
                <w:lang w:val="en-GB"/>
              </w:rPr>
            </w:pPr>
            <w:r w:rsidRPr="00971F8F">
              <w:rPr>
                <w:rFonts w:ascii="Times New Roman" w:hAnsi="Times New Roman"/>
                <w:color w:val="000000"/>
                <w:sz w:val="20"/>
                <w:szCs w:val="20"/>
                <w:lang w:val="en-GB"/>
              </w:rPr>
              <w:t>Average Price CD</w:t>
            </w:r>
          </w:p>
        </w:tc>
        <w:tc>
          <w:tcPr>
            <w:tcW w:w="1366" w:type="dxa"/>
            <w:tcBorders>
              <w:left w:val="single" w:sz="4" w:space="0" w:color="auto"/>
              <w:right w:val="single" w:sz="4" w:space="0" w:color="auto"/>
            </w:tcBorders>
          </w:tcPr>
          <w:p w14:paraId="2E3E5581"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0.004</w:t>
            </w:r>
          </w:p>
          <w:p w14:paraId="2862EF09"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(0.008)</w:t>
            </w:r>
          </w:p>
        </w:tc>
        <w:tc>
          <w:tcPr>
            <w:tcW w:w="1097" w:type="dxa"/>
            <w:tcBorders>
              <w:left w:val="single" w:sz="4" w:space="0" w:color="auto"/>
            </w:tcBorders>
          </w:tcPr>
          <w:p w14:paraId="7678F672"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0.008</w:t>
            </w:r>
          </w:p>
          <w:p w14:paraId="19936CE0"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(0.011)</w:t>
            </w:r>
          </w:p>
        </w:tc>
        <w:tc>
          <w:tcPr>
            <w:tcW w:w="1167" w:type="dxa"/>
          </w:tcPr>
          <w:p w14:paraId="47C491C9"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-0.001</w:t>
            </w:r>
          </w:p>
          <w:p w14:paraId="5B199FA3"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(0.017)</w:t>
            </w:r>
          </w:p>
        </w:tc>
        <w:tc>
          <w:tcPr>
            <w:tcW w:w="1285" w:type="dxa"/>
            <w:tcBorders>
              <w:right w:val="single" w:sz="4" w:space="0" w:color="auto"/>
            </w:tcBorders>
          </w:tcPr>
          <w:p w14:paraId="010E2555"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-0.012</w:t>
            </w:r>
          </w:p>
          <w:p w14:paraId="16BADDB0"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(0.020)</w:t>
            </w:r>
          </w:p>
        </w:tc>
      </w:tr>
      <w:tr w:rsidR="00961A58" w:rsidRPr="00971F8F" w14:paraId="052A8E15" w14:textId="77777777" w:rsidTr="00D17CD1">
        <w:trPr>
          <w:trHeight w:val="113"/>
          <w:jc w:val="center"/>
        </w:trPr>
        <w:tc>
          <w:tcPr>
            <w:tcW w:w="4407" w:type="dxa"/>
            <w:tcBorders>
              <w:left w:val="single" w:sz="4" w:space="0" w:color="auto"/>
              <w:right w:val="single" w:sz="4" w:space="0" w:color="auto"/>
            </w:tcBorders>
          </w:tcPr>
          <w:p w14:paraId="755A732E" w14:textId="77777777" w:rsidR="00961A58" w:rsidRPr="00971F8F" w:rsidRDefault="00961A58" w:rsidP="00D17CD1">
            <w:pPr>
              <w:spacing w:after="0" w:line="360" w:lineRule="auto"/>
              <w:jc w:val="both"/>
              <w:rPr>
                <w:rFonts w:ascii="Times New Roman" w:hAnsi="Times New Roman"/>
                <w:color w:val="000000"/>
                <w:sz w:val="20"/>
                <w:szCs w:val="20"/>
                <w:lang w:val="en-GB"/>
              </w:rPr>
            </w:pPr>
            <w:r w:rsidRPr="00971F8F">
              <w:rPr>
                <w:rFonts w:ascii="Times New Roman" w:hAnsi="Times New Roman"/>
                <w:color w:val="000000"/>
                <w:sz w:val="20"/>
                <w:szCs w:val="20"/>
                <w:lang w:val="en-GB"/>
              </w:rPr>
              <w:t>Internet per 100 inhabitants</w:t>
            </w:r>
          </w:p>
        </w:tc>
        <w:tc>
          <w:tcPr>
            <w:tcW w:w="1366" w:type="dxa"/>
            <w:tcBorders>
              <w:left w:val="single" w:sz="4" w:space="0" w:color="auto"/>
              <w:right w:val="single" w:sz="4" w:space="0" w:color="auto"/>
            </w:tcBorders>
          </w:tcPr>
          <w:p w14:paraId="2A019C98"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0.035</w:t>
            </w:r>
          </w:p>
          <w:p w14:paraId="1AE12C3E"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(0.102)</w:t>
            </w:r>
          </w:p>
        </w:tc>
        <w:tc>
          <w:tcPr>
            <w:tcW w:w="1097" w:type="dxa"/>
            <w:tcBorders>
              <w:left w:val="single" w:sz="4" w:space="0" w:color="auto"/>
            </w:tcBorders>
          </w:tcPr>
          <w:p w14:paraId="4B6B02C4"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-0.230</w:t>
            </w:r>
          </w:p>
          <w:p w14:paraId="6355F48A"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(0.147)</w:t>
            </w:r>
          </w:p>
        </w:tc>
        <w:tc>
          <w:tcPr>
            <w:tcW w:w="1167" w:type="dxa"/>
          </w:tcPr>
          <w:p w14:paraId="73933C14"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-0.267</w:t>
            </w:r>
          </w:p>
          <w:p w14:paraId="7274C552"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(0.301)</w:t>
            </w:r>
          </w:p>
        </w:tc>
        <w:tc>
          <w:tcPr>
            <w:tcW w:w="1285" w:type="dxa"/>
            <w:tcBorders>
              <w:right w:val="single" w:sz="4" w:space="0" w:color="auto"/>
            </w:tcBorders>
          </w:tcPr>
          <w:p w14:paraId="04C2D6F3"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-0.113</w:t>
            </w:r>
          </w:p>
          <w:p w14:paraId="41BCDB01"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(0.352)</w:t>
            </w:r>
          </w:p>
        </w:tc>
      </w:tr>
      <w:tr w:rsidR="00961A58" w:rsidRPr="00971F8F" w14:paraId="4E87E350" w14:textId="77777777" w:rsidTr="00D17CD1">
        <w:trPr>
          <w:trHeight w:val="113"/>
          <w:jc w:val="center"/>
        </w:trPr>
        <w:tc>
          <w:tcPr>
            <w:tcW w:w="4407" w:type="dxa"/>
            <w:tcBorders>
              <w:left w:val="single" w:sz="4" w:space="0" w:color="auto"/>
              <w:bottom w:val="single" w:sz="4" w:space="0" w:color="auto"/>
              <w:right w:val="single" w:sz="4" w:space="0" w:color="auto"/>
            </w:tcBorders>
          </w:tcPr>
          <w:p w14:paraId="4C997180" w14:textId="77777777" w:rsidR="00961A58" w:rsidRPr="00971F8F" w:rsidRDefault="00961A58" w:rsidP="00D17CD1">
            <w:pPr>
              <w:spacing w:after="0" w:line="360" w:lineRule="auto"/>
              <w:jc w:val="both"/>
              <w:rPr>
                <w:rFonts w:ascii="Times New Roman" w:hAnsi="Times New Roman"/>
                <w:color w:val="000000"/>
                <w:sz w:val="20"/>
                <w:szCs w:val="20"/>
                <w:lang w:val="en-GB"/>
              </w:rPr>
            </w:pPr>
            <w:r w:rsidRPr="00971F8F">
              <w:rPr>
                <w:rFonts w:ascii="Times New Roman" w:hAnsi="Times New Roman"/>
                <w:color w:val="000000"/>
                <w:sz w:val="20"/>
                <w:szCs w:val="20"/>
                <w:lang w:val="en-GB"/>
              </w:rPr>
              <w:t>Constant</w:t>
            </w:r>
          </w:p>
        </w:tc>
        <w:tc>
          <w:tcPr>
            <w:tcW w:w="1366" w:type="dxa"/>
            <w:tcBorders>
              <w:left w:val="single" w:sz="4" w:space="0" w:color="auto"/>
              <w:bottom w:val="single" w:sz="4" w:space="0" w:color="auto"/>
              <w:right w:val="single" w:sz="4" w:space="0" w:color="auto"/>
            </w:tcBorders>
          </w:tcPr>
          <w:p w14:paraId="35A42C58"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0.977</w:t>
            </w:r>
          </w:p>
          <w:p w14:paraId="7645F492"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(0.667)</w:t>
            </w:r>
          </w:p>
        </w:tc>
        <w:tc>
          <w:tcPr>
            <w:tcW w:w="1097" w:type="dxa"/>
            <w:tcBorders>
              <w:left w:val="single" w:sz="4" w:space="0" w:color="auto"/>
              <w:bottom w:val="single" w:sz="4" w:space="0" w:color="auto"/>
            </w:tcBorders>
          </w:tcPr>
          <w:p w14:paraId="74C4859D"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5.082***</w:t>
            </w:r>
          </w:p>
          <w:p w14:paraId="3246CC8D"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(1.011)</w:t>
            </w:r>
          </w:p>
        </w:tc>
        <w:tc>
          <w:tcPr>
            <w:tcW w:w="1167" w:type="dxa"/>
            <w:tcBorders>
              <w:bottom w:val="single" w:sz="4" w:space="0" w:color="auto"/>
            </w:tcBorders>
          </w:tcPr>
          <w:p w14:paraId="61220214"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2.269</w:t>
            </w:r>
          </w:p>
          <w:p w14:paraId="70B6B6B1"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(2.522)</w:t>
            </w:r>
          </w:p>
        </w:tc>
        <w:tc>
          <w:tcPr>
            <w:tcW w:w="1285" w:type="dxa"/>
            <w:tcBorders>
              <w:bottom w:val="single" w:sz="4" w:space="0" w:color="auto"/>
              <w:right w:val="single" w:sz="4" w:space="0" w:color="auto"/>
            </w:tcBorders>
          </w:tcPr>
          <w:p w14:paraId="2C8BA70D"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-2.931**</w:t>
            </w:r>
          </w:p>
          <w:p w14:paraId="04947638"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(1.356)</w:t>
            </w:r>
          </w:p>
        </w:tc>
      </w:tr>
      <w:tr w:rsidR="00961A58" w:rsidRPr="00971F8F" w14:paraId="0A2FAD7F" w14:textId="77777777" w:rsidTr="00D17CD1">
        <w:trPr>
          <w:trHeight w:val="113"/>
          <w:jc w:val="center"/>
        </w:trPr>
        <w:tc>
          <w:tcPr>
            <w:tcW w:w="4407" w:type="dxa"/>
            <w:tcBorders>
              <w:top w:val="single" w:sz="4" w:space="0" w:color="auto"/>
              <w:left w:val="single" w:sz="4" w:space="0" w:color="auto"/>
              <w:right w:val="single" w:sz="4" w:space="0" w:color="auto"/>
            </w:tcBorders>
          </w:tcPr>
          <w:p w14:paraId="4E284AE7" w14:textId="77777777" w:rsidR="00961A58" w:rsidRPr="00971F8F" w:rsidRDefault="00961A58" w:rsidP="00D17CD1">
            <w:pPr>
              <w:spacing w:after="0" w:line="360" w:lineRule="auto"/>
              <w:jc w:val="both"/>
              <w:rPr>
                <w:rFonts w:ascii="Times New Roman" w:hAnsi="Times New Roman"/>
                <w:color w:val="000000"/>
                <w:sz w:val="20"/>
                <w:szCs w:val="20"/>
                <w:lang w:val="en-GB"/>
              </w:rPr>
            </w:pPr>
            <w:r w:rsidRPr="00971F8F">
              <w:rPr>
                <w:rFonts w:ascii="Times New Roman" w:hAnsi="Times New Roman"/>
                <w:color w:val="000000"/>
                <w:sz w:val="20"/>
                <w:szCs w:val="20"/>
                <w:lang w:val="en-GB"/>
              </w:rPr>
              <w:t>R-squared within</w:t>
            </w:r>
          </w:p>
        </w:tc>
        <w:tc>
          <w:tcPr>
            <w:tcW w:w="1366" w:type="dxa"/>
            <w:tcBorders>
              <w:top w:val="single" w:sz="4" w:space="0" w:color="auto"/>
              <w:left w:val="single" w:sz="4" w:space="0" w:color="auto"/>
              <w:right w:val="single" w:sz="4" w:space="0" w:color="auto"/>
            </w:tcBorders>
          </w:tcPr>
          <w:p w14:paraId="7ACE6DC2"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0.881</w:t>
            </w:r>
          </w:p>
        </w:tc>
        <w:tc>
          <w:tcPr>
            <w:tcW w:w="1097" w:type="dxa"/>
            <w:tcBorders>
              <w:top w:val="single" w:sz="4" w:space="0" w:color="auto"/>
              <w:left w:val="single" w:sz="4" w:space="0" w:color="auto"/>
            </w:tcBorders>
          </w:tcPr>
          <w:p w14:paraId="5C55B69E"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0.718</w:t>
            </w:r>
          </w:p>
        </w:tc>
        <w:tc>
          <w:tcPr>
            <w:tcW w:w="1167" w:type="dxa"/>
            <w:tcBorders>
              <w:top w:val="single" w:sz="4" w:space="0" w:color="auto"/>
            </w:tcBorders>
          </w:tcPr>
          <w:p w14:paraId="5F4BB113"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0.578</w:t>
            </w:r>
          </w:p>
        </w:tc>
        <w:tc>
          <w:tcPr>
            <w:tcW w:w="1285" w:type="dxa"/>
            <w:tcBorders>
              <w:top w:val="single" w:sz="4" w:space="0" w:color="auto"/>
              <w:right w:val="single" w:sz="4" w:space="0" w:color="auto"/>
            </w:tcBorders>
          </w:tcPr>
          <w:p w14:paraId="75D51265"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0.655</w:t>
            </w:r>
          </w:p>
        </w:tc>
      </w:tr>
      <w:tr w:rsidR="00961A58" w:rsidRPr="00971F8F" w14:paraId="4540A8A4" w14:textId="77777777" w:rsidTr="00D17CD1">
        <w:trPr>
          <w:trHeight w:val="113"/>
          <w:jc w:val="center"/>
        </w:trPr>
        <w:tc>
          <w:tcPr>
            <w:tcW w:w="4407" w:type="dxa"/>
            <w:tcBorders>
              <w:left w:val="single" w:sz="4" w:space="0" w:color="auto"/>
              <w:right w:val="single" w:sz="4" w:space="0" w:color="auto"/>
            </w:tcBorders>
          </w:tcPr>
          <w:p w14:paraId="621F9DE7" w14:textId="77777777" w:rsidR="00961A58" w:rsidRPr="00971F8F" w:rsidRDefault="00961A58" w:rsidP="00D17CD1">
            <w:pPr>
              <w:spacing w:after="0" w:line="360" w:lineRule="auto"/>
              <w:jc w:val="both"/>
              <w:rPr>
                <w:rFonts w:ascii="Times New Roman" w:hAnsi="Times New Roman"/>
                <w:color w:val="000000"/>
                <w:sz w:val="20"/>
                <w:szCs w:val="20"/>
                <w:lang w:val="en-GB"/>
              </w:rPr>
            </w:pPr>
            <w:r w:rsidRPr="00971F8F">
              <w:rPr>
                <w:rFonts w:ascii="Times New Roman" w:hAnsi="Times New Roman"/>
                <w:color w:val="000000"/>
                <w:sz w:val="20"/>
                <w:szCs w:val="20"/>
                <w:lang w:val="en-GB"/>
              </w:rPr>
              <w:t>Observations</w:t>
            </w:r>
          </w:p>
        </w:tc>
        <w:tc>
          <w:tcPr>
            <w:tcW w:w="1366" w:type="dxa"/>
            <w:tcBorders>
              <w:left w:val="single" w:sz="4" w:space="0" w:color="auto"/>
              <w:right w:val="single" w:sz="4" w:space="0" w:color="auto"/>
            </w:tcBorders>
          </w:tcPr>
          <w:p w14:paraId="71F98CAB"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414</w:t>
            </w:r>
          </w:p>
        </w:tc>
        <w:tc>
          <w:tcPr>
            <w:tcW w:w="1097" w:type="dxa"/>
            <w:tcBorders>
              <w:left w:val="single" w:sz="4" w:space="0" w:color="auto"/>
            </w:tcBorders>
          </w:tcPr>
          <w:p w14:paraId="0D966F97"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192</w:t>
            </w:r>
          </w:p>
        </w:tc>
        <w:tc>
          <w:tcPr>
            <w:tcW w:w="1167" w:type="dxa"/>
          </w:tcPr>
          <w:p w14:paraId="5F43A3E2"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96</w:t>
            </w:r>
          </w:p>
        </w:tc>
        <w:tc>
          <w:tcPr>
            <w:tcW w:w="1285" w:type="dxa"/>
            <w:tcBorders>
              <w:right w:val="single" w:sz="4" w:space="0" w:color="auto"/>
            </w:tcBorders>
          </w:tcPr>
          <w:p w14:paraId="40F2FF80"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94</w:t>
            </w:r>
          </w:p>
        </w:tc>
      </w:tr>
      <w:tr w:rsidR="00961A58" w:rsidRPr="00971F8F" w14:paraId="03A26E56" w14:textId="77777777" w:rsidTr="00D17CD1">
        <w:trPr>
          <w:trHeight w:val="113"/>
          <w:jc w:val="center"/>
        </w:trPr>
        <w:tc>
          <w:tcPr>
            <w:tcW w:w="4407" w:type="dxa"/>
            <w:tcBorders>
              <w:left w:val="single" w:sz="4" w:space="0" w:color="auto"/>
              <w:bottom w:val="single" w:sz="4" w:space="0" w:color="auto"/>
              <w:right w:val="single" w:sz="4" w:space="0" w:color="auto"/>
            </w:tcBorders>
          </w:tcPr>
          <w:p w14:paraId="5C927EEE" w14:textId="77777777" w:rsidR="00961A58" w:rsidRPr="00971F8F" w:rsidRDefault="00961A58" w:rsidP="00D17CD1">
            <w:pPr>
              <w:spacing w:after="0" w:line="360" w:lineRule="auto"/>
              <w:jc w:val="both"/>
              <w:rPr>
                <w:rFonts w:ascii="Times New Roman" w:hAnsi="Times New Roman"/>
                <w:color w:val="000000"/>
                <w:sz w:val="20"/>
                <w:szCs w:val="20"/>
                <w:lang w:val="en-GB"/>
              </w:rPr>
            </w:pPr>
            <w:r w:rsidRPr="00971F8F">
              <w:rPr>
                <w:rFonts w:ascii="Times New Roman" w:hAnsi="Times New Roman"/>
                <w:color w:val="000000"/>
                <w:sz w:val="20"/>
                <w:szCs w:val="20"/>
                <w:lang w:val="en-GB"/>
              </w:rPr>
              <w:t>Countries</w:t>
            </w:r>
          </w:p>
        </w:tc>
        <w:tc>
          <w:tcPr>
            <w:tcW w:w="1366" w:type="dxa"/>
            <w:tcBorders>
              <w:left w:val="single" w:sz="4" w:space="0" w:color="auto"/>
              <w:bottom w:val="single" w:sz="4" w:space="0" w:color="auto"/>
              <w:right w:val="single" w:sz="4" w:space="0" w:color="auto"/>
            </w:tcBorders>
          </w:tcPr>
          <w:p w14:paraId="7B1C6B1E"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32</w:t>
            </w:r>
          </w:p>
        </w:tc>
        <w:tc>
          <w:tcPr>
            <w:tcW w:w="1097" w:type="dxa"/>
            <w:tcBorders>
              <w:left w:val="single" w:sz="4" w:space="0" w:color="auto"/>
              <w:bottom w:val="single" w:sz="4" w:space="0" w:color="auto"/>
            </w:tcBorders>
          </w:tcPr>
          <w:p w14:paraId="0C464501"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32</w:t>
            </w:r>
          </w:p>
        </w:tc>
        <w:tc>
          <w:tcPr>
            <w:tcW w:w="1167" w:type="dxa"/>
            <w:tcBorders>
              <w:bottom w:val="single" w:sz="4" w:space="0" w:color="auto"/>
            </w:tcBorders>
          </w:tcPr>
          <w:p w14:paraId="7ED1E870"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32</w:t>
            </w:r>
          </w:p>
        </w:tc>
        <w:tc>
          <w:tcPr>
            <w:tcW w:w="1285" w:type="dxa"/>
            <w:tcBorders>
              <w:bottom w:val="single" w:sz="4" w:space="0" w:color="auto"/>
              <w:right w:val="single" w:sz="4" w:space="0" w:color="auto"/>
            </w:tcBorders>
          </w:tcPr>
          <w:p w14:paraId="55CF0FEA" w14:textId="77777777" w:rsidR="00961A58" w:rsidRPr="00971F8F" w:rsidRDefault="00961A58" w:rsidP="00D17CD1">
            <w:pPr>
              <w:spacing w:after="0" w:line="360" w:lineRule="auto"/>
              <w:jc w:val="center"/>
              <w:rPr>
                <w:rFonts w:ascii="Times New Roman" w:hAnsi="Times New Roman"/>
                <w:color w:val="000000"/>
                <w:sz w:val="20"/>
                <w:szCs w:val="20"/>
                <w:lang w:val="en-GB"/>
              </w:rPr>
            </w:pPr>
            <w:r w:rsidRPr="00971F8F">
              <w:rPr>
                <w:rFonts w:ascii="Times New Roman" w:hAnsi="Times New Roman"/>
                <w:color w:val="000000"/>
                <w:sz w:val="20"/>
                <w:szCs w:val="20"/>
                <w:lang w:val="en-GB"/>
              </w:rPr>
              <w:t>32</w:t>
            </w:r>
          </w:p>
        </w:tc>
      </w:tr>
    </w:tbl>
    <w:p w14:paraId="096F830E" w14:textId="77777777" w:rsidR="00961A58" w:rsidRPr="00971F8F" w:rsidRDefault="00961A58" w:rsidP="00961A58">
      <w:pPr>
        <w:spacing w:after="0" w:line="240" w:lineRule="auto"/>
        <w:jc w:val="center"/>
        <w:rPr>
          <w:rFonts w:ascii="Times New Roman" w:hAnsi="Times New Roman"/>
          <w:color w:val="000000"/>
          <w:sz w:val="18"/>
          <w:szCs w:val="24"/>
          <w:lang w:val="en-GB"/>
        </w:rPr>
      </w:pPr>
      <w:r w:rsidRPr="00971F8F">
        <w:rPr>
          <w:rFonts w:ascii="Times New Roman" w:hAnsi="Times New Roman"/>
          <w:b/>
          <w:color w:val="000000"/>
          <w:sz w:val="18"/>
          <w:szCs w:val="24"/>
          <w:lang w:val="en-GB"/>
        </w:rPr>
        <w:t>Level of statistical significance:</w:t>
      </w:r>
      <w:r w:rsidRPr="00971F8F">
        <w:rPr>
          <w:rFonts w:ascii="Times New Roman" w:hAnsi="Times New Roman"/>
          <w:color w:val="000000"/>
          <w:sz w:val="18"/>
          <w:szCs w:val="24"/>
          <w:lang w:val="en-GB"/>
        </w:rPr>
        <w:t xml:space="preserve"> *** 1%, ** 5%, * 10%</w:t>
      </w:r>
    </w:p>
    <w:p w14:paraId="16037134" w14:textId="77777777" w:rsidR="00961A58" w:rsidRPr="00971F8F" w:rsidRDefault="00961A58" w:rsidP="00961A58">
      <w:pPr>
        <w:spacing w:after="0" w:line="240" w:lineRule="auto"/>
        <w:jc w:val="center"/>
        <w:rPr>
          <w:rFonts w:ascii="Times New Roman" w:hAnsi="Times New Roman"/>
          <w:color w:val="000000"/>
          <w:sz w:val="18"/>
          <w:szCs w:val="24"/>
          <w:lang w:val="en-GB"/>
        </w:rPr>
      </w:pPr>
      <w:r w:rsidRPr="00971F8F">
        <w:rPr>
          <w:rFonts w:ascii="Times New Roman" w:hAnsi="Times New Roman"/>
          <w:b/>
          <w:color w:val="000000"/>
          <w:sz w:val="18"/>
          <w:szCs w:val="24"/>
          <w:lang w:val="en-GB"/>
        </w:rPr>
        <w:t xml:space="preserve">OLS regression </w:t>
      </w:r>
      <w:r w:rsidRPr="00971F8F">
        <w:rPr>
          <w:rFonts w:ascii="Times New Roman" w:hAnsi="Times New Roman"/>
          <w:color w:val="000000"/>
          <w:sz w:val="18"/>
          <w:szCs w:val="24"/>
          <w:lang w:val="en-GB"/>
        </w:rPr>
        <w:t xml:space="preserve">with firms and year’s fixed effects, and clustered-Robust Standard errors (reported within parentheses). </w:t>
      </w:r>
    </w:p>
    <w:p w14:paraId="6A08B420" w14:textId="0938A6FF" w:rsidR="00E3126E" w:rsidRDefault="00E3126E" w:rsidP="006707AF">
      <w:pPr>
        <w:spacing w:after="0" w:line="360" w:lineRule="auto"/>
        <w:jc w:val="both"/>
        <w:outlineLvl w:val="0"/>
        <w:rPr>
          <w:color w:val="000000"/>
          <w:lang w:val="en-GB"/>
        </w:rPr>
      </w:pPr>
    </w:p>
    <w:p w14:paraId="5D6B42FA" w14:textId="673C69B7" w:rsidR="00F87185" w:rsidRDefault="00F87185" w:rsidP="006707AF">
      <w:pPr>
        <w:spacing w:after="0" w:line="360" w:lineRule="auto"/>
        <w:jc w:val="both"/>
        <w:outlineLvl w:val="0"/>
        <w:rPr>
          <w:color w:val="000000"/>
          <w:lang w:val="en-GB"/>
        </w:rPr>
      </w:pPr>
    </w:p>
    <w:p w14:paraId="13B0859F" w14:textId="1CEB1A1A" w:rsidR="00F87185" w:rsidRDefault="00F87185" w:rsidP="006707AF">
      <w:pPr>
        <w:spacing w:after="0" w:line="360" w:lineRule="auto"/>
        <w:jc w:val="both"/>
        <w:outlineLvl w:val="0"/>
        <w:rPr>
          <w:rFonts w:ascii="Times New Roman" w:hAnsi="Times New Roman"/>
          <w:b/>
          <w:color w:val="000000"/>
          <w:u w:val="single"/>
          <w:lang w:val="en-GB"/>
        </w:rPr>
      </w:pPr>
      <w:r w:rsidRPr="00F87185">
        <w:rPr>
          <w:rFonts w:ascii="Times New Roman" w:hAnsi="Times New Roman"/>
          <w:b/>
          <w:color w:val="000000"/>
          <w:u w:val="single"/>
          <w:lang w:val="en-GB"/>
        </w:rPr>
        <w:t>Figures:</w:t>
      </w:r>
    </w:p>
    <w:p w14:paraId="02551B1C" w14:textId="77777777" w:rsidR="002235EF" w:rsidRPr="00F87185" w:rsidRDefault="002235EF" w:rsidP="006707AF">
      <w:pPr>
        <w:spacing w:after="0" w:line="360" w:lineRule="auto"/>
        <w:jc w:val="both"/>
        <w:outlineLvl w:val="0"/>
        <w:rPr>
          <w:rFonts w:ascii="Times New Roman" w:hAnsi="Times New Roman"/>
          <w:b/>
          <w:color w:val="000000"/>
          <w:u w:val="single"/>
          <w:lang w:val="en-GB"/>
        </w:rPr>
      </w:pPr>
    </w:p>
    <w:p w14:paraId="2183BA3E" w14:textId="27527583" w:rsidR="002353D1" w:rsidRDefault="002353D1" w:rsidP="002353D1">
      <w:pPr>
        <w:spacing w:after="0" w:line="360" w:lineRule="auto"/>
        <w:jc w:val="both"/>
        <w:outlineLvl w:val="0"/>
        <w:rPr>
          <w:color w:val="000000"/>
          <w:lang w:val="en-US"/>
        </w:rPr>
      </w:pPr>
    </w:p>
    <w:p w14:paraId="558C9B8A" w14:textId="77777777" w:rsidR="002353D1" w:rsidRDefault="002353D1" w:rsidP="002353D1">
      <w:pPr>
        <w:spacing w:after="0" w:line="360" w:lineRule="auto"/>
        <w:jc w:val="both"/>
        <w:rPr>
          <w:rFonts w:ascii="Times New Roman" w:hAnsi="Times New Roman"/>
          <w:color w:val="000000"/>
          <w:sz w:val="24"/>
          <w:szCs w:val="24"/>
          <w:lang w:val="en-GB"/>
        </w:rPr>
      </w:pPr>
      <w:r>
        <w:rPr>
          <w:noProof/>
          <w:lang w:val="en-GB" w:eastAsia="en-GB"/>
        </w:rPr>
        <w:drawing>
          <wp:inline distT="0" distB="0" distL="0" distR="0" wp14:anchorId="7E544AD3" wp14:editId="02C76D87">
            <wp:extent cx="5066030" cy="4443730"/>
            <wp:effectExtent l="25400" t="25400" r="13970" b="266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6030" cy="4443730"/>
                    </a:xfrm>
                    <a:prstGeom prst="rect">
                      <a:avLst/>
                    </a:prstGeom>
                    <a:noFill/>
                    <a:ln w="9525" cmpd="sng">
                      <a:solidFill>
                        <a:srgbClr val="4F81BD"/>
                      </a:solidFill>
                      <a:miter lim="800000"/>
                      <a:headEnd/>
                      <a:tailEnd/>
                    </a:ln>
                    <a:effectLst/>
                  </pic:spPr>
                </pic:pic>
              </a:graphicData>
            </a:graphic>
          </wp:inline>
        </w:drawing>
      </w:r>
    </w:p>
    <w:p w14:paraId="3909D655" w14:textId="47AB0DC6" w:rsidR="00D41E6E" w:rsidRPr="002353D1" w:rsidRDefault="002353D1" w:rsidP="002353D1">
      <w:pPr>
        <w:spacing w:after="0" w:line="240" w:lineRule="auto"/>
        <w:jc w:val="both"/>
        <w:rPr>
          <w:rFonts w:ascii="Times New Roman" w:hAnsi="Times New Roman"/>
          <w:color w:val="000000"/>
          <w:lang w:val="en-US"/>
        </w:rPr>
      </w:pPr>
      <w:r>
        <w:rPr>
          <w:rFonts w:ascii="Times New Roman" w:hAnsi="Times New Roman"/>
          <w:b/>
          <w:color w:val="000000"/>
          <w:lang w:val="en-US"/>
        </w:rPr>
        <w:t>Figure 1</w:t>
      </w:r>
      <w:r w:rsidRPr="00AA0AD1">
        <w:rPr>
          <w:rFonts w:ascii="Times New Roman" w:hAnsi="Times New Roman"/>
          <w:color w:val="000000"/>
          <w:lang w:val="en-US"/>
        </w:rPr>
        <w:t>. The Figure shows the evolution of sales per capita, physical price (CD), Digital price (Digital Album) and Format Density. Values indexed to 100 for the base year. The base year is 1998 with the exception of digital price data, av</w:t>
      </w:r>
      <w:r>
        <w:rPr>
          <w:rFonts w:ascii="Times New Roman" w:hAnsi="Times New Roman"/>
          <w:color w:val="000000"/>
          <w:lang w:val="en-US"/>
        </w:rPr>
        <w:t>ailable only from 2006 onwards.</w:t>
      </w:r>
    </w:p>
    <w:p w14:paraId="6A38B923" w14:textId="77777777" w:rsidR="00D17CD1" w:rsidRDefault="00D17CD1" w:rsidP="00D17CD1">
      <w:pPr>
        <w:spacing w:after="0" w:line="360" w:lineRule="auto"/>
        <w:jc w:val="center"/>
        <w:rPr>
          <w:rFonts w:ascii="Times New Roman" w:hAnsi="Times New Roman"/>
          <w:color w:val="000000"/>
          <w:sz w:val="24"/>
          <w:szCs w:val="24"/>
          <w:lang w:val="en-GB"/>
        </w:rPr>
      </w:pPr>
      <w:r w:rsidRPr="00AD2B83">
        <w:rPr>
          <w:noProof/>
          <w:lang w:val="en-GB" w:eastAsia="en-GB"/>
        </w:rPr>
        <w:drawing>
          <wp:inline distT="0" distB="0" distL="0" distR="0" wp14:anchorId="71515080" wp14:editId="578A3CD4">
            <wp:extent cx="5400040" cy="3530026"/>
            <wp:effectExtent l="0" t="0" r="0" b="0"/>
            <wp:docPr id="2" name="Picture 2" descr="Fig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Figure 3.p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00040" cy="3530026"/>
                    </a:xfrm>
                    <a:prstGeom prst="rect">
                      <a:avLst/>
                    </a:prstGeom>
                  </pic:spPr>
                </pic:pic>
              </a:graphicData>
            </a:graphic>
          </wp:inline>
        </w:drawing>
      </w:r>
    </w:p>
    <w:p w14:paraId="1D23611D" w14:textId="355213FB" w:rsidR="00D17CD1" w:rsidRDefault="00D17CD1" w:rsidP="00D17CD1">
      <w:pPr>
        <w:spacing w:after="0" w:line="240" w:lineRule="auto"/>
        <w:jc w:val="both"/>
        <w:rPr>
          <w:rFonts w:ascii="Times New Roman" w:hAnsi="Times New Roman"/>
          <w:color w:val="000000"/>
          <w:lang w:val="en-US"/>
        </w:rPr>
      </w:pPr>
      <w:r w:rsidRPr="006707AF">
        <w:rPr>
          <w:rFonts w:ascii="Times New Roman" w:hAnsi="Times New Roman"/>
          <w:b/>
          <w:color w:val="000000"/>
          <w:lang w:val="en-US"/>
        </w:rPr>
        <w:t>Figure</w:t>
      </w:r>
      <w:r>
        <w:rPr>
          <w:rFonts w:ascii="Times New Roman" w:hAnsi="Times New Roman"/>
          <w:b/>
          <w:color w:val="000000"/>
          <w:lang w:val="en-US"/>
        </w:rPr>
        <w:t xml:space="preserve"> 2</w:t>
      </w:r>
      <w:r w:rsidRPr="00577EB5">
        <w:rPr>
          <w:rFonts w:ascii="Times New Roman" w:hAnsi="Times New Roman"/>
          <w:color w:val="000000"/>
          <w:lang w:val="en-US"/>
        </w:rPr>
        <w:t>.  The Figure shows the estimated relationship between format density index and Sales per capita. Initial movement from format-centric business models to a larger scope of formats generates a reduction of revenues. When the Format Density equals to 7.41</w:t>
      </w:r>
      <w:r w:rsidRPr="00577EB5">
        <w:rPr>
          <w:rFonts w:ascii="Times New Roman" w:hAnsi="Times New Roman"/>
          <w:vanish/>
          <w:color w:val="000000"/>
          <w:lang w:val="en-US"/>
        </w:rPr>
        <w:t>.22ble 3itive correlation between the introduction of those initiatives and revenues increase (rmit</w:t>
      </w:r>
      <w:r w:rsidRPr="00577EB5">
        <w:rPr>
          <w:rFonts w:ascii="Times New Roman" w:hAnsi="Times New Roman"/>
          <w:color w:val="000000"/>
          <w:lang w:val="en-US"/>
        </w:rPr>
        <w:t xml:space="preserve"> a minimum of sales is reached. After this point </w:t>
      </w:r>
      <w:r w:rsidRPr="00577EB5">
        <w:rPr>
          <w:rFonts w:ascii="Times New Roman" w:hAnsi="Times New Roman"/>
          <w:i/>
          <w:color w:val="000000"/>
          <w:lang w:val="en-US"/>
        </w:rPr>
        <w:t>H1</w:t>
      </w:r>
      <w:r w:rsidRPr="00577EB5">
        <w:rPr>
          <w:rFonts w:ascii="Times New Roman" w:hAnsi="Times New Roman"/>
          <w:color w:val="000000"/>
          <w:lang w:val="en-US"/>
        </w:rPr>
        <w:t xml:space="preserve"> is supported and more business model experimentation generates larger revenues.</w:t>
      </w:r>
    </w:p>
    <w:p w14:paraId="5D2B8922" w14:textId="77777777" w:rsidR="00D17CD1" w:rsidRPr="006F55DD" w:rsidRDefault="00D17CD1" w:rsidP="006707AF">
      <w:pPr>
        <w:spacing w:after="0" w:line="360" w:lineRule="auto"/>
        <w:jc w:val="both"/>
        <w:outlineLvl w:val="0"/>
        <w:rPr>
          <w:color w:val="000000"/>
          <w:lang w:val="en-US"/>
        </w:rPr>
      </w:pPr>
    </w:p>
    <w:sectPr w:rsidR="00D17CD1" w:rsidRPr="006F55DD" w:rsidSect="00A12BB5">
      <w:pgSz w:w="11906" w:h="16838"/>
      <w:pgMar w:top="2642" w:right="2342" w:bottom="2642" w:left="234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7E554" w14:textId="77777777" w:rsidR="00A12917" w:rsidRDefault="00A12917" w:rsidP="009A649C">
      <w:pPr>
        <w:spacing w:after="0" w:line="240" w:lineRule="auto"/>
      </w:pPr>
      <w:r>
        <w:separator/>
      </w:r>
    </w:p>
  </w:endnote>
  <w:endnote w:type="continuationSeparator" w:id="0">
    <w:p w14:paraId="06155898" w14:textId="77777777" w:rsidR="00A12917" w:rsidRDefault="00A12917" w:rsidP="009A6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DF31A" w14:textId="77777777" w:rsidR="00CD275E" w:rsidRDefault="00CD275E" w:rsidP="003461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F3DE20" w14:textId="77777777" w:rsidR="00CD275E" w:rsidRDefault="00CD275E" w:rsidP="00874F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AABCC" w14:textId="77777777" w:rsidR="00CD275E" w:rsidRDefault="00CD275E" w:rsidP="00874F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D95A3" w14:textId="77777777" w:rsidR="00A12917" w:rsidRDefault="00A12917" w:rsidP="009A649C">
      <w:pPr>
        <w:spacing w:after="0" w:line="240" w:lineRule="auto"/>
      </w:pPr>
      <w:r>
        <w:separator/>
      </w:r>
    </w:p>
  </w:footnote>
  <w:footnote w:type="continuationSeparator" w:id="0">
    <w:p w14:paraId="6DB04F27" w14:textId="77777777" w:rsidR="00A12917" w:rsidRDefault="00A12917" w:rsidP="009A649C">
      <w:pPr>
        <w:spacing w:after="0" w:line="240" w:lineRule="auto"/>
      </w:pPr>
      <w:r>
        <w:continuationSeparator/>
      </w:r>
    </w:p>
  </w:footnote>
  <w:footnote w:id="1">
    <w:p w14:paraId="5C36842B" w14:textId="6B071B48" w:rsidR="00CD275E" w:rsidRPr="00402A48" w:rsidRDefault="00CD275E" w:rsidP="002F49EA">
      <w:pPr>
        <w:pStyle w:val="FootnoteText"/>
        <w:rPr>
          <w:rFonts w:ascii="Times New Roman" w:hAnsi="Times New Roman"/>
          <w:lang w:val="en-GB"/>
        </w:rPr>
      </w:pPr>
      <w:r w:rsidRPr="00402A48">
        <w:rPr>
          <w:rStyle w:val="FootnoteReference"/>
          <w:rFonts w:ascii="Times New Roman" w:hAnsi="Times New Roman"/>
        </w:rPr>
        <w:footnoteRef/>
      </w:r>
      <w:r w:rsidRPr="00402A48">
        <w:rPr>
          <w:rFonts w:ascii="Times New Roman" w:hAnsi="Times New Roman"/>
          <w:lang w:val="en-GB"/>
        </w:rPr>
        <w:t xml:space="preserve"> </w:t>
      </w:r>
      <w:proofErr w:type="spellStart"/>
      <w:r w:rsidRPr="00402A48">
        <w:rPr>
          <w:rFonts w:ascii="Times New Roman" w:hAnsi="Times New Roman"/>
          <w:lang w:val="en-GB"/>
        </w:rPr>
        <w:t>Farhad</w:t>
      </w:r>
      <w:proofErr w:type="spellEnd"/>
      <w:r w:rsidRPr="00402A48">
        <w:rPr>
          <w:rFonts w:ascii="Times New Roman" w:hAnsi="Times New Roman"/>
          <w:lang w:val="en-GB"/>
        </w:rPr>
        <w:t xml:space="preserve"> </w:t>
      </w:r>
      <w:proofErr w:type="spellStart"/>
      <w:r w:rsidRPr="00402A48">
        <w:rPr>
          <w:rFonts w:ascii="Times New Roman" w:hAnsi="Times New Roman"/>
          <w:lang w:val="en-GB"/>
        </w:rPr>
        <w:t>Manjoo</w:t>
      </w:r>
      <w:proofErr w:type="spellEnd"/>
      <w:r w:rsidRPr="00402A48">
        <w:rPr>
          <w:rFonts w:ascii="Times New Roman" w:hAnsi="Times New Roman"/>
          <w:lang w:val="en-GB"/>
        </w:rPr>
        <w:t xml:space="preserve"> (State of the Art) in the New York Times summarizes Amazon’s ultimate aim in delivery (Last accessed 15th March 2018) https://www.nytimes.com/2016/08/11/technology/think-amazons-drone-delivery-idea-is-a-gimmick-think-again.html</w:t>
      </w:r>
    </w:p>
  </w:footnote>
  <w:footnote w:id="2">
    <w:p w14:paraId="2489F2DD" w14:textId="2BCB6173" w:rsidR="00CD275E" w:rsidRPr="00FE2DBE" w:rsidRDefault="00CD275E" w:rsidP="002F49EA">
      <w:pPr>
        <w:pStyle w:val="FootnoteText"/>
        <w:rPr>
          <w:rFonts w:ascii="Times New Roman" w:hAnsi="Times New Roman"/>
          <w:sz w:val="16"/>
          <w:szCs w:val="16"/>
          <w:lang w:val="en-GB"/>
        </w:rPr>
      </w:pPr>
      <w:r w:rsidRPr="00402A48">
        <w:rPr>
          <w:rStyle w:val="FootnoteReference"/>
          <w:rFonts w:ascii="Times New Roman" w:hAnsi="Times New Roman"/>
        </w:rPr>
        <w:footnoteRef/>
      </w:r>
      <w:r w:rsidRPr="00402A48">
        <w:rPr>
          <w:rFonts w:ascii="Times New Roman" w:hAnsi="Times New Roman"/>
          <w:lang w:val="en-GB"/>
        </w:rPr>
        <w:t xml:space="preserve"> Lisa </w:t>
      </w:r>
      <w:proofErr w:type="spellStart"/>
      <w:r w:rsidRPr="00402A48">
        <w:rPr>
          <w:rFonts w:ascii="Times New Roman" w:hAnsi="Times New Roman"/>
          <w:lang w:val="en-GB"/>
        </w:rPr>
        <w:t>Eadicicco</w:t>
      </w:r>
      <w:proofErr w:type="spellEnd"/>
      <w:r w:rsidRPr="00402A48">
        <w:rPr>
          <w:rFonts w:ascii="Times New Roman" w:hAnsi="Times New Roman"/>
          <w:lang w:val="en-GB"/>
        </w:rPr>
        <w:t xml:space="preserve"> in Time magazine reports on Amazon Prime Air service (Last accessed 15th March 2018) http://time.com/4185117/amazon-prime-air-drone-delivery/</w:t>
      </w:r>
    </w:p>
  </w:footnote>
  <w:footnote w:id="3">
    <w:p w14:paraId="5B36E0D9" w14:textId="77777777" w:rsidR="00CD275E" w:rsidRPr="001F042C" w:rsidRDefault="00CD275E">
      <w:pPr>
        <w:pStyle w:val="FootnoteText"/>
        <w:rPr>
          <w:lang w:val="en-GB"/>
        </w:rPr>
      </w:pPr>
      <w:r w:rsidRPr="006F55DD">
        <w:rPr>
          <w:rStyle w:val="FootnoteReference"/>
          <w:rFonts w:ascii="Times New Roman" w:hAnsi="Times New Roman"/>
          <w:color w:val="000000"/>
        </w:rPr>
        <w:footnoteRef/>
      </w:r>
      <w:r w:rsidRPr="006F55DD">
        <w:rPr>
          <w:rFonts w:ascii="Times New Roman" w:hAnsi="Times New Roman"/>
          <w:color w:val="000000"/>
          <w:lang w:val="en-GB"/>
        </w:rPr>
        <w:t xml:space="preserve"> The transcripts can be available upon request. </w:t>
      </w:r>
    </w:p>
  </w:footnote>
  <w:footnote w:id="4">
    <w:p w14:paraId="635CD97E" w14:textId="77777777" w:rsidR="00CD275E" w:rsidRPr="001F042C" w:rsidRDefault="00CD275E" w:rsidP="002F49EA">
      <w:pPr>
        <w:pStyle w:val="FootnoteText"/>
        <w:jc w:val="both"/>
        <w:rPr>
          <w:lang w:val="en-GB"/>
        </w:rPr>
      </w:pPr>
      <w:r w:rsidRPr="00C70E5B">
        <w:rPr>
          <w:rStyle w:val="FootnoteReference"/>
          <w:rFonts w:ascii="Times New Roman" w:hAnsi="Times New Roman"/>
        </w:rPr>
        <w:footnoteRef/>
      </w:r>
      <w:r w:rsidRPr="00C70E5B">
        <w:rPr>
          <w:rFonts w:ascii="Times New Roman" w:hAnsi="Times New Roman"/>
          <w:lang w:val="en-GB"/>
        </w:rPr>
        <w:t xml:space="preserve"> Australia, New Zealand, Brazil, Canada, Chile, Mexico, United States, South Africa, China, India, Indonesia, Japan, Austria, Belgium, Czech Republic, Denmark, Finland, France, Germany, Greece, Hungary Ireland, Italy, Netherlands, Norway, Poland, Portugal, Spain, Sweden, Switzerland, Turkey, United Kingdom.</w:t>
      </w:r>
    </w:p>
  </w:footnote>
  <w:footnote w:id="5">
    <w:p w14:paraId="7C10AFDB" w14:textId="77777777" w:rsidR="00CD275E" w:rsidRPr="001F042C" w:rsidRDefault="00CD275E" w:rsidP="002F49EA">
      <w:pPr>
        <w:pStyle w:val="FootnoteText"/>
        <w:jc w:val="both"/>
        <w:rPr>
          <w:lang w:val="en-GB"/>
        </w:rPr>
      </w:pPr>
      <w:r w:rsidRPr="00C70E5B">
        <w:rPr>
          <w:rStyle w:val="FootnoteReference"/>
          <w:rFonts w:ascii="Times New Roman" w:hAnsi="Times New Roman"/>
        </w:rPr>
        <w:footnoteRef/>
      </w:r>
      <w:r w:rsidRPr="00C70E5B">
        <w:rPr>
          <w:rFonts w:ascii="Times New Roman" w:hAnsi="Times New Roman"/>
          <w:lang w:val="en-US"/>
        </w:rPr>
        <w:t xml:space="preserve"> </w:t>
      </w:r>
      <w:r w:rsidRPr="00C70E5B">
        <w:rPr>
          <w:rFonts w:ascii="Times New Roman" w:hAnsi="Times New Roman"/>
          <w:lang w:val="en-GB"/>
        </w:rPr>
        <w:t xml:space="preserve">Participants in the music industry (i.e. musicians, distributors) attribute more relevance to large markets (i.e. US) than to small (i.e. Portugal). In order to test if the results are </w:t>
      </w:r>
      <w:proofErr w:type="spellStart"/>
      <w:r w:rsidRPr="00C70E5B">
        <w:rPr>
          <w:rFonts w:ascii="Times New Roman" w:hAnsi="Times New Roman"/>
          <w:lang w:val="en-GB"/>
        </w:rPr>
        <w:t>generalisable</w:t>
      </w:r>
      <w:proofErr w:type="spellEnd"/>
      <w:r w:rsidRPr="00C70E5B">
        <w:rPr>
          <w:rFonts w:ascii="Times New Roman" w:hAnsi="Times New Roman"/>
          <w:lang w:val="en-GB"/>
        </w:rPr>
        <w:t xml:space="preserve"> to all the markets we replicated all the analysis using as dependent variable total sales. The results are consistent with thos</w:t>
      </w:r>
      <w:r>
        <w:rPr>
          <w:rFonts w:ascii="Times New Roman" w:hAnsi="Times New Roman"/>
          <w:lang w:val="en-GB"/>
        </w:rPr>
        <w:t>e</w:t>
      </w:r>
      <w:r w:rsidRPr="00C70E5B">
        <w:rPr>
          <w:rFonts w:ascii="Times New Roman" w:hAnsi="Times New Roman"/>
          <w:lang w:val="en-GB"/>
        </w:rPr>
        <w:t xml:space="preserve"> provided in Tables 3 and 4. These tests and others not provided in Tables </w:t>
      </w:r>
      <w:r>
        <w:rPr>
          <w:rFonts w:ascii="Times New Roman" w:hAnsi="Times New Roman"/>
          <w:lang w:val="en-GB"/>
        </w:rPr>
        <w:t>are</w:t>
      </w:r>
      <w:r w:rsidRPr="00C70E5B">
        <w:rPr>
          <w:rFonts w:ascii="Times New Roman" w:hAnsi="Times New Roman"/>
          <w:lang w:val="en-GB"/>
        </w:rPr>
        <w:t xml:space="preserve"> available upon request.</w:t>
      </w:r>
    </w:p>
  </w:footnote>
  <w:footnote w:id="6">
    <w:p w14:paraId="106F7DA1" w14:textId="196D665A" w:rsidR="00CD275E" w:rsidRPr="00524B7B" w:rsidRDefault="00CD275E" w:rsidP="00524B7B">
      <w:pPr>
        <w:spacing w:line="240" w:lineRule="auto"/>
        <w:rPr>
          <w:rFonts w:ascii="Times New Roman" w:hAnsi="Times New Roman"/>
          <w:sz w:val="20"/>
          <w:szCs w:val="20"/>
          <w:lang w:val="en-US"/>
        </w:rPr>
      </w:pPr>
      <w:r w:rsidRPr="00C70E5B">
        <w:rPr>
          <w:rStyle w:val="FootnoteReference"/>
        </w:rPr>
        <w:footnoteRef/>
      </w:r>
      <w:r w:rsidRPr="00C70E5B">
        <w:rPr>
          <w:lang w:val="en-GB"/>
        </w:rPr>
        <w:t xml:space="preserve"> </w:t>
      </w:r>
      <w:r w:rsidRPr="00C70E5B">
        <w:rPr>
          <w:rFonts w:ascii="Times New Roman" w:hAnsi="Times New Roman"/>
          <w:sz w:val="20"/>
          <w:szCs w:val="20"/>
          <w:lang w:val="en-US"/>
        </w:rPr>
        <w:t xml:space="preserve">Formats in which music is commercialized (denoted with the subscript </w:t>
      </w:r>
      <w:r w:rsidRPr="00C70E5B">
        <w:rPr>
          <w:rFonts w:ascii="Times New Roman" w:hAnsi="Times New Roman"/>
          <w:i/>
          <w:sz w:val="20"/>
          <w:szCs w:val="20"/>
          <w:lang w:val="en-US"/>
        </w:rPr>
        <w:t xml:space="preserve">g </w:t>
      </w:r>
      <w:r w:rsidRPr="00C70E5B">
        <w:rPr>
          <w:rFonts w:ascii="Times New Roman" w:hAnsi="Times New Roman"/>
          <w:sz w:val="20"/>
          <w:szCs w:val="20"/>
          <w:lang w:val="en-US"/>
        </w:rPr>
        <w:t xml:space="preserve">in Equation 1): </w:t>
      </w:r>
      <w:r>
        <w:rPr>
          <w:rFonts w:ascii="Times New Roman" w:hAnsi="Times New Roman"/>
          <w:sz w:val="20"/>
          <w:szCs w:val="20"/>
          <w:lang w:val="en-US"/>
        </w:rPr>
        <w:t xml:space="preserve">Vinyl </w:t>
      </w:r>
      <w:r w:rsidRPr="00C70E5B">
        <w:rPr>
          <w:rFonts w:ascii="Times New Roman" w:hAnsi="Times New Roman"/>
          <w:sz w:val="20"/>
          <w:szCs w:val="20"/>
          <w:lang w:val="en-US"/>
        </w:rPr>
        <w:t>S</w:t>
      </w:r>
      <w:r>
        <w:rPr>
          <w:rFonts w:ascii="Times New Roman" w:hAnsi="Times New Roman"/>
          <w:sz w:val="20"/>
          <w:szCs w:val="20"/>
          <w:lang w:val="en-US"/>
        </w:rPr>
        <w:t>ingles</w:t>
      </w:r>
      <w:r w:rsidRPr="00C70E5B">
        <w:rPr>
          <w:rFonts w:ascii="Times New Roman" w:hAnsi="Times New Roman"/>
          <w:sz w:val="20"/>
          <w:szCs w:val="20"/>
          <w:lang w:val="en-US"/>
        </w:rPr>
        <w:t xml:space="preserve">, </w:t>
      </w:r>
      <w:r>
        <w:rPr>
          <w:rFonts w:ascii="Times New Roman" w:hAnsi="Times New Roman"/>
          <w:sz w:val="20"/>
          <w:szCs w:val="20"/>
          <w:lang w:val="en-US"/>
        </w:rPr>
        <w:t xml:space="preserve">Vinyl </w:t>
      </w:r>
      <w:r w:rsidRPr="00C70E5B">
        <w:rPr>
          <w:rFonts w:ascii="Times New Roman" w:hAnsi="Times New Roman"/>
          <w:sz w:val="20"/>
          <w:szCs w:val="20"/>
          <w:lang w:val="en-US"/>
        </w:rPr>
        <w:t>LPs, MCs, CDs, Minidisc, DVD-Audio, Super Audio CD, Music Video, Online Single, Online Album, Online Music video, Online Streaming, Mobile Ringtones, Mobile Single, Ring back Tunes, Mobile Music Video, Mobile Streams Online, Subscriptions, Mobile Subscriptions, Bundled Subscriptions, Advert supported content and Performance Rights.</w:t>
      </w:r>
    </w:p>
  </w:footnote>
  <w:footnote w:id="7">
    <w:p w14:paraId="20333B18" w14:textId="77777777" w:rsidR="00CD275E" w:rsidRPr="001F042C" w:rsidRDefault="00CD275E" w:rsidP="002F49EA">
      <w:pPr>
        <w:pStyle w:val="FootnoteText"/>
        <w:rPr>
          <w:lang w:val="en-GB"/>
        </w:rPr>
      </w:pPr>
      <w:r w:rsidRPr="00602DB7">
        <w:rPr>
          <w:rFonts w:ascii="Times New Roman" w:hAnsi="Times New Roman"/>
          <w:vertAlign w:val="superscript"/>
          <w:lang w:val="en-US"/>
        </w:rPr>
        <w:footnoteRef/>
      </w:r>
      <w:r w:rsidRPr="00602DB7">
        <w:rPr>
          <w:rFonts w:ascii="Times New Roman" w:hAnsi="Times New Roman"/>
          <w:vertAlign w:val="superscript"/>
          <w:lang w:val="en-US"/>
        </w:rPr>
        <w:t xml:space="preserve"> </w:t>
      </w:r>
      <w:r w:rsidRPr="00602DB7">
        <w:rPr>
          <w:rFonts w:ascii="Times New Roman" w:hAnsi="Times New Roman"/>
          <w:color w:val="000000"/>
          <w:lang w:val="en-GB"/>
        </w:rPr>
        <w:t>https://www.worldcompetitiveness.com</w:t>
      </w:r>
    </w:p>
  </w:footnote>
  <w:footnote w:id="8">
    <w:p w14:paraId="686EC4A2" w14:textId="77777777" w:rsidR="00CD275E" w:rsidRPr="001F042C" w:rsidRDefault="00CD275E" w:rsidP="002F49EA">
      <w:pPr>
        <w:pStyle w:val="FootnoteText"/>
        <w:rPr>
          <w:lang w:val="en-GB"/>
        </w:rPr>
      </w:pPr>
      <w:r w:rsidRPr="00C6736C">
        <w:rPr>
          <w:rStyle w:val="FootnoteReference"/>
          <w:rFonts w:ascii="Times New Roman" w:hAnsi="Times New Roman"/>
        </w:rPr>
        <w:footnoteRef/>
      </w:r>
      <w:r w:rsidRPr="00C6736C">
        <w:rPr>
          <w:rFonts w:ascii="Times New Roman" w:hAnsi="Times New Roman"/>
          <w:lang w:val="en-US"/>
        </w:rPr>
        <w:t xml:space="preserve"> </w:t>
      </w:r>
      <w:r w:rsidRPr="007916C6">
        <w:rPr>
          <w:rFonts w:ascii="Times New Roman" w:hAnsi="Times New Roman"/>
          <w:lang w:val="en-US"/>
        </w:rPr>
        <w:t>http://data.worldbank.org</w:t>
      </w:r>
    </w:p>
  </w:footnote>
  <w:footnote w:id="9">
    <w:p w14:paraId="58877F57" w14:textId="5CEF4C06" w:rsidR="00CD275E" w:rsidRPr="001F042C" w:rsidRDefault="00CD275E" w:rsidP="002F49EA">
      <w:pPr>
        <w:pStyle w:val="FootnoteText"/>
        <w:rPr>
          <w:lang w:val="en-GB"/>
        </w:rPr>
      </w:pPr>
      <w:r w:rsidRPr="006F55DD">
        <w:rPr>
          <w:rStyle w:val="FootnoteReference"/>
          <w:rFonts w:ascii="Times New Roman" w:hAnsi="Times New Roman"/>
          <w:color w:val="000000"/>
        </w:rPr>
        <w:footnoteRef/>
      </w:r>
      <w:r w:rsidRPr="006F55DD">
        <w:rPr>
          <w:rFonts w:ascii="Times New Roman" w:hAnsi="Times New Roman"/>
          <w:color w:val="000000"/>
          <w:lang w:val="en-US"/>
        </w:rPr>
        <w:t xml:space="preserve"> Using Column 1 in Table 3 as a baseline model the </w:t>
      </w:r>
      <w:proofErr w:type="spellStart"/>
      <w:r w:rsidRPr="006F55DD">
        <w:rPr>
          <w:rFonts w:ascii="Times New Roman" w:hAnsi="Times New Roman"/>
          <w:color w:val="000000"/>
          <w:lang w:val="en-US"/>
        </w:rPr>
        <w:t>Hausman</w:t>
      </w:r>
      <w:proofErr w:type="spellEnd"/>
      <w:r w:rsidRPr="006F55DD">
        <w:rPr>
          <w:rFonts w:ascii="Times New Roman" w:hAnsi="Times New Roman"/>
          <w:color w:val="000000"/>
          <w:lang w:val="en-US"/>
        </w:rPr>
        <w:t xml:space="preserve"> Test (1978) concludes that differences in coefficients between random and fixed effects models are systematic (chi2(20) =165.72, </w:t>
      </w:r>
      <w:proofErr w:type="spellStart"/>
      <w:r w:rsidRPr="006F55DD">
        <w:rPr>
          <w:rFonts w:ascii="Times New Roman" w:hAnsi="Times New Roman"/>
          <w:color w:val="000000"/>
          <w:lang w:val="en-US"/>
        </w:rPr>
        <w:t>prob</w:t>
      </w:r>
      <w:proofErr w:type="spellEnd"/>
      <w:r w:rsidRPr="006F55DD">
        <w:rPr>
          <w:rFonts w:ascii="Times New Roman" w:hAnsi="Times New Roman"/>
          <w:color w:val="000000"/>
          <w:lang w:val="en-US"/>
        </w:rPr>
        <w:t xml:space="preserve">&gt;chi2=0.000). In sum, the fixed effects model outperforms the random effects.  </w:t>
      </w:r>
    </w:p>
  </w:footnote>
  <w:footnote w:id="10">
    <w:p w14:paraId="7FEF8F5A" w14:textId="77777777" w:rsidR="00CD275E" w:rsidRPr="001F042C" w:rsidRDefault="00CD275E" w:rsidP="002F49EA">
      <w:pPr>
        <w:pStyle w:val="FootnoteText"/>
        <w:rPr>
          <w:lang w:val="en-GB"/>
        </w:rPr>
      </w:pPr>
      <w:r w:rsidRPr="00C70E5B">
        <w:rPr>
          <w:rStyle w:val="FootnoteReference"/>
          <w:rFonts w:ascii="Times New Roman" w:hAnsi="Times New Roman"/>
          <w:lang w:val="en-GB"/>
        </w:rPr>
        <w:footnoteRef/>
      </w:r>
      <w:r w:rsidRPr="00C70E5B">
        <w:rPr>
          <w:rFonts w:ascii="Times New Roman" w:hAnsi="Times New Roman"/>
          <w:lang w:val="en-GB"/>
        </w:rPr>
        <w:t xml:space="preserve"> Notice that level of physical prices in 2006 was the same as 1998. This descriptively indicates that the decrease of revenues until 2006 was mostly associated to a decrease in the quantity sold, and not with the price. </w:t>
      </w:r>
    </w:p>
  </w:footnote>
  <w:footnote w:id="11">
    <w:p w14:paraId="2C1C8CD5" w14:textId="77777777" w:rsidR="00CD275E" w:rsidRPr="006F55DD" w:rsidRDefault="00CD275E" w:rsidP="008B413A">
      <w:pPr>
        <w:pStyle w:val="FootnoteText"/>
        <w:rPr>
          <w:rFonts w:ascii="Times New Roman" w:hAnsi="Times New Roman"/>
          <w:color w:val="000000"/>
          <w:lang w:val="en-GB"/>
        </w:rPr>
      </w:pPr>
      <w:r w:rsidRPr="006F55DD">
        <w:rPr>
          <w:rStyle w:val="FootnoteReference"/>
          <w:rFonts w:ascii="Times New Roman" w:hAnsi="Times New Roman"/>
          <w:color w:val="000000"/>
        </w:rPr>
        <w:footnoteRef/>
      </w:r>
      <w:r w:rsidRPr="006F55DD">
        <w:rPr>
          <w:rFonts w:ascii="Times New Roman" w:hAnsi="Times New Roman"/>
          <w:color w:val="000000"/>
          <w:lang w:val="en-GB"/>
        </w:rPr>
        <w:t xml:space="preserve"> The dependent variable is in logarithm and therefore, we have had to transform the parameters shown on the table by calculating the true effect which equals </w:t>
      </w:r>
      <w:proofErr w:type="spellStart"/>
      <w:proofErr w:type="gramStart"/>
      <w:r w:rsidRPr="006F55DD">
        <w:rPr>
          <w:rFonts w:ascii="Times New Roman" w:hAnsi="Times New Roman"/>
          <w:color w:val="000000"/>
          <w:lang w:val="en-GB"/>
        </w:rPr>
        <w:t>exp</w:t>
      </w:r>
      <w:proofErr w:type="spellEnd"/>
      <w:r w:rsidRPr="006F55DD">
        <w:rPr>
          <w:rFonts w:ascii="Times New Roman" w:hAnsi="Times New Roman"/>
          <w:color w:val="000000"/>
          <w:lang w:val="en-GB"/>
        </w:rPr>
        <w:t>(</w:t>
      </w:r>
      <w:proofErr w:type="gramEnd"/>
      <w:r w:rsidRPr="006F55DD">
        <w:rPr>
          <w:rFonts w:ascii="Times New Roman" w:hAnsi="Times New Roman"/>
          <w:i/>
          <w:color w:val="000000"/>
        </w:rPr>
        <w:t>β</w:t>
      </w:r>
      <w:r w:rsidRPr="006F55DD">
        <w:rPr>
          <w:rFonts w:ascii="Times New Roman" w:hAnsi="Times New Roman"/>
          <w:i/>
          <w:color w:val="000000"/>
          <w:vertAlign w:val="subscript"/>
          <w:lang w:val="en-GB"/>
        </w:rPr>
        <w:t>1</w:t>
      </w:r>
      <w:r w:rsidRPr="006F55DD">
        <w:rPr>
          <w:rFonts w:ascii="Times New Roman" w:hAnsi="Times New Roman"/>
          <w:color w:val="000000"/>
          <w:lang w:val="en-GB"/>
        </w:rPr>
        <w:t>)-1.</w:t>
      </w:r>
    </w:p>
    <w:p w14:paraId="5E53A3FD" w14:textId="77777777" w:rsidR="00CD275E" w:rsidRPr="001F042C" w:rsidRDefault="00CD275E" w:rsidP="005D7EAC">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1719"/>
    <w:multiLevelType w:val="hybridMultilevel"/>
    <w:tmpl w:val="C418484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4E211EAE"/>
    <w:multiLevelType w:val="hybridMultilevel"/>
    <w:tmpl w:val="3B769284"/>
    <w:lvl w:ilvl="0" w:tplc="08090001">
      <w:start w:val="1"/>
      <w:numFmt w:val="bullet"/>
      <w:lvlText w:val=""/>
      <w:lvlJc w:val="left"/>
      <w:pPr>
        <w:ind w:left="1287" w:hanging="360"/>
      </w:pPr>
      <w:rPr>
        <w:rFonts w:ascii="Symbol" w:hAnsi="Symbol" w:hint="default"/>
      </w:r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2" w15:restartNumberingAfterBreak="0">
    <w:nsid w:val="5B230777"/>
    <w:multiLevelType w:val="hybridMultilevel"/>
    <w:tmpl w:val="D7A09D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CEC5704"/>
    <w:multiLevelType w:val="hybridMultilevel"/>
    <w:tmpl w:val="04544EF4"/>
    <w:lvl w:ilvl="0" w:tplc="0809000F">
      <w:start w:val="1"/>
      <w:numFmt w:val="decimal"/>
      <w:lvlText w:val="%1."/>
      <w:lvlJc w:val="left"/>
      <w:pPr>
        <w:ind w:left="1287" w:hanging="360"/>
      </w:pPr>
      <w:rPr>
        <w:rFonts w:cs="Times New Roman"/>
      </w:r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4" w15:restartNumberingAfterBreak="0">
    <w:nsid w:val="785408BB"/>
    <w:multiLevelType w:val="hybridMultilevel"/>
    <w:tmpl w:val="9AF43358"/>
    <w:lvl w:ilvl="0" w:tplc="AA8642C2">
      <w:start w:val="2"/>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DBA"/>
    <w:rsid w:val="00003631"/>
    <w:rsid w:val="000040FA"/>
    <w:rsid w:val="00006231"/>
    <w:rsid w:val="0001725F"/>
    <w:rsid w:val="0002193C"/>
    <w:rsid w:val="0002306D"/>
    <w:rsid w:val="00030873"/>
    <w:rsid w:val="000326B0"/>
    <w:rsid w:val="00037CFD"/>
    <w:rsid w:val="00041117"/>
    <w:rsid w:val="00042D51"/>
    <w:rsid w:val="00044136"/>
    <w:rsid w:val="0004679E"/>
    <w:rsid w:val="000470C3"/>
    <w:rsid w:val="00051AFC"/>
    <w:rsid w:val="00073B2A"/>
    <w:rsid w:val="000741B8"/>
    <w:rsid w:val="00074203"/>
    <w:rsid w:val="00077973"/>
    <w:rsid w:val="00094260"/>
    <w:rsid w:val="0009738A"/>
    <w:rsid w:val="000978D9"/>
    <w:rsid w:val="000A1532"/>
    <w:rsid w:val="000A1C7F"/>
    <w:rsid w:val="000A20F5"/>
    <w:rsid w:val="000A6275"/>
    <w:rsid w:val="000B0049"/>
    <w:rsid w:val="000B1EC8"/>
    <w:rsid w:val="000B6A0B"/>
    <w:rsid w:val="000C137D"/>
    <w:rsid w:val="000C145C"/>
    <w:rsid w:val="000C349C"/>
    <w:rsid w:val="000C7B10"/>
    <w:rsid w:val="000D1EB3"/>
    <w:rsid w:val="000F43FE"/>
    <w:rsid w:val="000F76DE"/>
    <w:rsid w:val="000F79A2"/>
    <w:rsid w:val="00104744"/>
    <w:rsid w:val="0010566A"/>
    <w:rsid w:val="00113F99"/>
    <w:rsid w:val="00137E7B"/>
    <w:rsid w:val="00142620"/>
    <w:rsid w:val="001440AE"/>
    <w:rsid w:val="00145FE0"/>
    <w:rsid w:val="00146224"/>
    <w:rsid w:val="001534E3"/>
    <w:rsid w:val="001605DE"/>
    <w:rsid w:val="00164131"/>
    <w:rsid w:val="00166811"/>
    <w:rsid w:val="001676CD"/>
    <w:rsid w:val="00172AC2"/>
    <w:rsid w:val="00176BA1"/>
    <w:rsid w:val="0018347F"/>
    <w:rsid w:val="00184458"/>
    <w:rsid w:val="001858A0"/>
    <w:rsid w:val="00194618"/>
    <w:rsid w:val="00197277"/>
    <w:rsid w:val="001A7AF0"/>
    <w:rsid w:val="001B2483"/>
    <w:rsid w:val="001B2FED"/>
    <w:rsid w:val="001B313F"/>
    <w:rsid w:val="001B4B79"/>
    <w:rsid w:val="001B6327"/>
    <w:rsid w:val="001C17CB"/>
    <w:rsid w:val="001C6B3D"/>
    <w:rsid w:val="001D673D"/>
    <w:rsid w:val="001E0E83"/>
    <w:rsid w:val="001E3381"/>
    <w:rsid w:val="001E369C"/>
    <w:rsid w:val="001E6F46"/>
    <w:rsid w:val="001F042C"/>
    <w:rsid w:val="001F4076"/>
    <w:rsid w:val="002066D7"/>
    <w:rsid w:val="00206958"/>
    <w:rsid w:val="00207C8D"/>
    <w:rsid w:val="002131FB"/>
    <w:rsid w:val="0021481F"/>
    <w:rsid w:val="002167CD"/>
    <w:rsid w:val="002203A3"/>
    <w:rsid w:val="00223373"/>
    <w:rsid w:val="002235EF"/>
    <w:rsid w:val="00231147"/>
    <w:rsid w:val="002353D1"/>
    <w:rsid w:val="0023787C"/>
    <w:rsid w:val="002529EF"/>
    <w:rsid w:val="00252D2A"/>
    <w:rsid w:val="0025661F"/>
    <w:rsid w:val="00257351"/>
    <w:rsid w:val="00263EC6"/>
    <w:rsid w:val="00267317"/>
    <w:rsid w:val="00267900"/>
    <w:rsid w:val="00272CA6"/>
    <w:rsid w:val="00280BCC"/>
    <w:rsid w:val="00286067"/>
    <w:rsid w:val="00287AA7"/>
    <w:rsid w:val="002904F3"/>
    <w:rsid w:val="002A717F"/>
    <w:rsid w:val="002B1FEA"/>
    <w:rsid w:val="002C22A1"/>
    <w:rsid w:val="002C40AB"/>
    <w:rsid w:val="002C53E1"/>
    <w:rsid w:val="002C654F"/>
    <w:rsid w:val="002D23D5"/>
    <w:rsid w:val="002D2B03"/>
    <w:rsid w:val="002D3DC3"/>
    <w:rsid w:val="002E337A"/>
    <w:rsid w:val="002E4CD2"/>
    <w:rsid w:val="002E6BDB"/>
    <w:rsid w:val="002F0F46"/>
    <w:rsid w:val="002F24D4"/>
    <w:rsid w:val="002F28F1"/>
    <w:rsid w:val="002F49EA"/>
    <w:rsid w:val="00303A9C"/>
    <w:rsid w:val="00304EF4"/>
    <w:rsid w:val="00305787"/>
    <w:rsid w:val="00305C1F"/>
    <w:rsid w:val="00307F4D"/>
    <w:rsid w:val="00307F5F"/>
    <w:rsid w:val="0031201C"/>
    <w:rsid w:val="00314E0C"/>
    <w:rsid w:val="00317F6C"/>
    <w:rsid w:val="00320498"/>
    <w:rsid w:val="00320AF4"/>
    <w:rsid w:val="00323454"/>
    <w:rsid w:val="00323754"/>
    <w:rsid w:val="0032706E"/>
    <w:rsid w:val="00327249"/>
    <w:rsid w:val="00327A58"/>
    <w:rsid w:val="0033002A"/>
    <w:rsid w:val="00333DE6"/>
    <w:rsid w:val="00337694"/>
    <w:rsid w:val="003403D3"/>
    <w:rsid w:val="00341ED6"/>
    <w:rsid w:val="0034618F"/>
    <w:rsid w:val="003468DA"/>
    <w:rsid w:val="00355D8E"/>
    <w:rsid w:val="00373CF9"/>
    <w:rsid w:val="00381350"/>
    <w:rsid w:val="00386D97"/>
    <w:rsid w:val="00387F8F"/>
    <w:rsid w:val="0039310F"/>
    <w:rsid w:val="003A1B45"/>
    <w:rsid w:val="003A2D6F"/>
    <w:rsid w:val="003B3A0E"/>
    <w:rsid w:val="003B4035"/>
    <w:rsid w:val="003B6D1A"/>
    <w:rsid w:val="003C1E9B"/>
    <w:rsid w:val="003C2F27"/>
    <w:rsid w:val="003C3C9D"/>
    <w:rsid w:val="003C7F87"/>
    <w:rsid w:val="003D1D88"/>
    <w:rsid w:val="003E31A0"/>
    <w:rsid w:val="003F17EE"/>
    <w:rsid w:val="003F3CAE"/>
    <w:rsid w:val="003F57C9"/>
    <w:rsid w:val="003F6FCB"/>
    <w:rsid w:val="003F7F9C"/>
    <w:rsid w:val="00401AEF"/>
    <w:rsid w:val="00402A48"/>
    <w:rsid w:val="00404073"/>
    <w:rsid w:val="00414617"/>
    <w:rsid w:val="00417D82"/>
    <w:rsid w:val="00422376"/>
    <w:rsid w:val="00423CBC"/>
    <w:rsid w:val="00425A1E"/>
    <w:rsid w:val="00431760"/>
    <w:rsid w:val="00431CF3"/>
    <w:rsid w:val="00440BAC"/>
    <w:rsid w:val="00441655"/>
    <w:rsid w:val="0044389C"/>
    <w:rsid w:val="00454715"/>
    <w:rsid w:val="00457B4C"/>
    <w:rsid w:val="00467185"/>
    <w:rsid w:val="004678B3"/>
    <w:rsid w:val="00475D8B"/>
    <w:rsid w:val="004853D8"/>
    <w:rsid w:val="0049240D"/>
    <w:rsid w:val="00493D98"/>
    <w:rsid w:val="004956DF"/>
    <w:rsid w:val="004A34EA"/>
    <w:rsid w:val="004B55F1"/>
    <w:rsid w:val="004B629F"/>
    <w:rsid w:val="004C13BE"/>
    <w:rsid w:val="004C6116"/>
    <w:rsid w:val="004E0BC9"/>
    <w:rsid w:val="004E3E69"/>
    <w:rsid w:val="004E6953"/>
    <w:rsid w:val="004F0B7E"/>
    <w:rsid w:val="004F187C"/>
    <w:rsid w:val="004F21BF"/>
    <w:rsid w:val="004F262B"/>
    <w:rsid w:val="004F6904"/>
    <w:rsid w:val="004F6B25"/>
    <w:rsid w:val="004F7906"/>
    <w:rsid w:val="00524B7B"/>
    <w:rsid w:val="00526BC7"/>
    <w:rsid w:val="0053332F"/>
    <w:rsid w:val="00533D6B"/>
    <w:rsid w:val="00534225"/>
    <w:rsid w:val="0054736E"/>
    <w:rsid w:val="0055142F"/>
    <w:rsid w:val="00551C3A"/>
    <w:rsid w:val="00551DC0"/>
    <w:rsid w:val="00553798"/>
    <w:rsid w:val="00554248"/>
    <w:rsid w:val="005564E2"/>
    <w:rsid w:val="005565C8"/>
    <w:rsid w:val="00564A0A"/>
    <w:rsid w:val="00564F15"/>
    <w:rsid w:val="005652D9"/>
    <w:rsid w:val="00565E31"/>
    <w:rsid w:val="00571A9C"/>
    <w:rsid w:val="005734A0"/>
    <w:rsid w:val="00577EB5"/>
    <w:rsid w:val="00581D9D"/>
    <w:rsid w:val="00583815"/>
    <w:rsid w:val="00591350"/>
    <w:rsid w:val="00592E1A"/>
    <w:rsid w:val="005A023B"/>
    <w:rsid w:val="005A3CEB"/>
    <w:rsid w:val="005B4747"/>
    <w:rsid w:val="005B4B41"/>
    <w:rsid w:val="005B5672"/>
    <w:rsid w:val="005C2963"/>
    <w:rsid w:val="005C3A22"/>
    <w:rsid w:val="005C3D06"/>
    <w:rsid w:val="005C7DF4"/>
    <w:rsid w:val="005D0CD4"/>
    <w:rsid w:val="005D7EAC"/>
    <w:rsid w:val="005E029A"/>
    <w:rsid w:val="005E3645"/>
    <w:rsid w:val="005E75B1"/>
    <w:rsid w:val="005F0128"/>
    <w:rsid w:val="005F17F3"/>
    <w:rsid w:val="005F7648"/>
    <w:rsid w:val="00602DB7"/>
    <w:rsid w:val="00603D40"/>
    <w:rsid w:val="006133EB"/>
    <w:rsid w:val="00616CCE"/>
    <w:rsid w:val="00620DB9"/>
    <w:rsid w:val="00621249"/>
    <w:rsid w:val="00621E51"/>
    <w:rsid w:val="006226BA"/>
    <w:rsid w:val="00633894"/>
    <w:rsid w:val="00633DE4"/>
    <w:rsid w:val="00636436"/>
    <w:rsid w:val="00637F82"/>
    <w:rsid w:val="006432A1"/>
    <w:rsid w:val="00643916"/>
    <w:rsid w:val="00651FCA"/>
    <w:rsid w:val="00667ADC"/>
    <w:rsid w:val="006707AF"/>
    <w:rsid w:val="006874AE"/>
    <w:rsid w:val="00694455"/>
    <w:rsid w:val="006B16EA"/>
    <w:rsid w:val="006C2293"/>
    <w:rsid w:val="006C27AA"/>
    <w:rsid w:val="006C2B25"/>
    <w:rsid w:val="006C300A"/>
    <w:rsid w:val="006C558F"/>
    <w:rsid w:val="006C5B0A"/>
    <w:rsid w:val="006E0E03"/>
    <w:rsid w:val="006E4031"/>
    <w:rsid w:val="006F3E36"/>
    <w:rsid w:val="006F403E"/>
    <w:rsid w:val="006F55DD"/>
    <w:rsid w:val="006F6574"/>
    <w:rsid w:val="006F72C8"/>
    <w:rsid w:val="00703EB6"/>
    <w:rsid w:val="00706247"/>
    <w:rsid w:val="00714D19"/>
    <w:rsid w:val="007223FE"/>
    <w:rsid w:val="00722FE5"/>
    <w:rsid w:val="00724721"/>
    <w:rsid w:val="00727875"/>
    <w:rsid w:val="00735EF3"/>
    <w:rsid w:val="007364F5"/>
    <w:rsid w:val="00736E93"/>
    <w:rsid w:val="00741D73"/>
    <w:rsid w:val="007429F9"/>
    <w:rsid w:val="00743AD2"/>
    <w:rsid w:val="00745D8E"/>
    <w:rsid w:val="00747E59"/>
    <w:rsid w:val="00755FD2"/>
    <w:rsid w:val="00756E10"/>
    <w:rsid w:val="00763693"/>
    <w:rsid w:val="007662BC"/>
    <w:rsid w:val="007667F2"/>
    <w:rsid w:val="007732ED"/>
    <w:rsid w:val="00773FEB"/>
    <w:rsid w:val="00775377"/>
    <w:rsid w:val="007817AD"/>
    <w:rsid w:val="00785E74"/>
    <w:rsid w:val="0078765C"/>
    <w:rsid w:val="007916C6"/>
    <w:rsid w:val="00791F78"/>
    <w:rsid w:val="007951E0"/>
    <w:rsid w:val="0079636B"/>
    <w:rsid w:val="007A4057"/>
    <w:rsid w:val="007A6786"/>
    <w:rsid w:val="007B4D05"/>
    <w:rsid w:val="007C6BAE"/>
    <w:rsid w:val="007D02BB"/>
    <w:rsid w:val="007D0788"/>
    <w:rsid w:val="007D2366"/>
    <w:rsid w:val="007D2F84"/>
    <w:rsid w:val="007D7BF1"/>
    <w:rsid w:val="007E2F02"/>
    <w:rsid w:val="007E2F68"/>
    <w:rsid w:val="007F02BE"/>
    <w:rsid w:val="007F1476"/>
    <w:rsid w:val="007F643B"/>
    <w:rsid w:val="00801BA4"/>
    <w:rsid w:val="008031FB"/>
    <w:rsid w:val="008039CD"/>
    <w:rsid w:val="00804BF7"/>
    <w:rsid w:val="008125A3"/>
    <w:rsid w:val="008132F7"/>
    <w:rsid w:val="00820187"/>
    <w:rsid w:val="00820390"/>
    <w:rsid w:val="008227A0"/>
    <w:rsid w:val="00834C64"/>
    <w:rsid w:val="00840593"/>
    <w:rsid w:val="00857A63"/>
    <w:rsid w:val="00863A04"/>
    <w:rsid w:val="00864E60"/>
    <w:rsid w:val="00867680"/>
    <w:rsid w:val="00871CAC"/>
    <w:rsid w:val="00873360"/>
    <w:rsid w:val="00874F2F"/>
    <w:rsid w:val="00881FAF"/>
    <w:rsid w:val="0088222F"/>
    <w:rsid w:val="00885C6A"/>
    <w:rsid w:val="008876D5"/>
    <w:rsid w:val="008A1922"/>
    <w:rsid w:val="008B2511"/>
    <w:rsid w:val="008B413A"/>
    <w:rsid w:val="008B6475"/>
    <w:rsid w:val="008B770C"/>
    <w:rsid w:val="008C12A3"/>
    <w:rsid w:val="008C23B0"/>
    <w:rsid w:val="008C73C0"/>
    <w:rsid w:val="008D4E94"/>
    <w:rsid w:val="008E490C"/>
    <w:rsid w:val="008F0263"/>
    <w:rsid w:val="008F4942"/>
    <w:rsid w:val="008F6621"/>
    <w:rsid w:val="0090240F"/>
    <w:rsid w:val="00914F9A"/>
    <w:rsid w:val="00920A78"/>
    <w:rsid w:val="00920E5C"/>
    <w:rsid w:val="00924DFA"/>
    <w:rsid w:val="00926044"/>
    <w:rsid w:val="00930608"/>
    <w:rsid w:val="009309C3"/>
    <w:rsid w:val="00934B3A"/>
    <w:rsid w:val="009460C7"/>
    <w:rsid w:val="009471CE"/>
    <w:rsid w:val="00950AD0"/>
    <w:rsid w:val="00952B15"/>
    <w:rsid w:val="00954E58"/>
    <w:rsid w:val="00956FCE"/>
    <w:rsid w:val="00961A58"/>
    <w:rsid w:val="00970789"/>
    <w:rsid w:val="00971F8F"/>
    <w:rsid w:val="009758C3"/>
    <w:rsid w:val="00975D0C"/>
    <w:rsid w:val="00981031"/>
    <w:rsid w:val="00984471"/>
    <w:rsid w:val="00984999"/>
    <w:rsid w:val="00994652"/>
    <w:rsid w:val="009A5EF7"/>
    <w:rsid w:val="009A649C"/>
    <w:rsid w:val="009B0A69"/>
    <w:rsid w:val="009B6044"/>
    <w:rsid w:val="009B6524"/>
    <w:rsid w:val="009B67E8"/>
    <w:rsid w:val="009C290E"/>
    <w:rsid w:val="009D1543"/>
    <w:rsid w:val="009D1F95"/>
    <w:rsid w:val="009E2098"/>
    <w:rsid w:val="009E474E"/>
    <w:rsid w:val="009E5186"/>
    <w:rsid w:val="009F0E52"/>
    <w:rsid w:val="009F1475"/>
    <w:rsid w:val="009F14E4"/>
    <w:rsid w:val="009F46A3"/>
    <w:rsid w:val="00A02A62"/>
    <w:rsid w:val="00A06347"/>
    <w:rsid w:val="00A10BAB"/>
    <w:rsid w:val="00A114D9"/>
    <w:rsid w:val="00A11B89"/>
    <w:rsid w:val="00A12917"/>
    <w:rsid w:val="00A12BB5"/>
    <w:rsid w:val="00A15566"/>
    <w:rsid w:val="00A161AB"/>
    <w:rsid w:val="00A2153D"/>
    <w:rsid w:val="00A22399"/>
    <w:rsid w:val="00A22468"/>
    <w:rsid w:val="00A22DAC"/>
    <w:rsid w:val="00A24597"/>
    <w:rsid w:val="00A24AB2"/>
    <w:rsid w:val="00A269AE"/>
    <w:rsid w:val="00A35A50"/>
    <w:rsid w:val="00A436C8"/>
    <w:rsid w:val="00A45DF2"/>
    <w:rsid w:val="00A500E0"/>
    <w:rsid w:val="00A51BBF"/>
    <w:rsid w:val="00A54FD4"/>
    <w:rsid w:val="00A563AE"/>
    <w:rsid w:val="00A70C3A"/>
    <w:rsid w:val="00A74B4D"/>
    <w:rsid w:val="00A762C1"/>
    <w:rsid w:val="00A8131E"/>
    <w:rsid w:val="00A83FD4"/>
    <w:rsid w:val="00A868E1"/>
    <w:rsid w:val="00A914B3"/>
    <w:rsid w:val="00A9346A"/>
    <w:rsid w:val="00AA0AD1"/>
    <w:rsid w:val="00AA16B8"/>
    <w:rsid w:val="00AB2241"/>
    <w:rsid w:val="00AB59CF"/>
    <w:rsid w:val="00AD2B83"/>
    <w:rsid w:val="00AE5529"/>
    <w:rsid w:val="00AE5BCB"/>
    <w:rsid w:val="00AE5C72"/>
    <w:rsid w:val="00AF05B0"/>
    <w:rsid w:val="00AF7A56"/>
    <w:rsid w:val="00B04713"/>
    <w:rsid w:val="00B1476B"/>
    <w:rsid w:val="00B15252"/>
    <w:rsid w:val="00B2505B"/>
    <w:rsid w:val="00B324B8"/>
    <w:rsid w:val="00B32643"/>
    <w:rsid w:val="00B37273"/>
    <w:rsid w:val="00B40F80"/>
    <w:rsid w:val="00B41ED0"/>
    <w:rsid w:val="00B43A50"/>
    <w:rsid w:val="00B46AFB"/>
    <w:rsid w:val="00B53C74"/>
    <w:rsid w:val="00B63B74"/>
    <w:rsid w:val="00B64DF7"/>
    <w:rsid w:val="00B64ED5"/>
    <w:rsid w:val="00B724D3"/>
    <w:rsid w:val="00B7535A"/>
    <w:rsid w:val="00B8000F"/>
    <w:rsid w:val="00B80572"/>
    <w:rsid w:val="00B80CC8"/>
    <w:rsid w:val="00B95061"/>
    <w:rsid w:val="00B97E18"/>
    <w:rsid w:val="00BA0959"/>
    <w:rsid w:val="00BA3EB8"/>
    <w:rsid w:val="00BA588D"/>
    <w:rsid w:val="00BB0546"/>
    <w:rsid w:val="00BC2945"/>
    <w:rsid w:val="00BC5DBA"/>
    <w:rsid w:val="00BC7B5D"/>
    <w:rsid w:val="00BE175D"/>
    <w:rsid w:val="00BE47B0"/>
    <w:rsid w:val="00BF1ABB"/>
    <w:rsid w:val="00C070A0"/>
    <w:rsid w:val="00C123C9"/>
    <w:rsid w:val="00C16EF7"/>
    <w:rsid w:val="00C22177"/>
    <w:rsid w:val="00C23F61"/>
    <w:rsid w:val="00C25F03"/>
    <w:rsid w:val="00C274E2"/>
    <w:rsid w:val="00C573D6"/>
    <w:rsid w:val="00C610CD"/>
    <w:rsid w:val="00C6157A"/>
    <w:rsid w:val="00C6434D"/>
    <w:rsid w:val="00C6736C"/>
    <w:rsid w:val="00C70109"/>
    <w:rsid w:val="00C7086E"/>
    <w:rsid w:val="00C70E5B"/>
    <w:rsid w:val="00C711AD"/>
    <w:rsid w:val="00C71E19"/>
    <w:rsid w:val="00C731E3"/>
    <w:rsid w:val="00C7689F"/>
    <w:rsid w:val="00C83C6A"/>
    <w:rsid w:val="00C878A0"/>
    <w:rsid w:val="00CA0E4B"/>
    <w:rsid w:val="00CA2FE2"/>
    <w:rsid w:val="00CA5B5D"/>
    <w:rsid w:val="00CB14FD"/>
    <w:rsid w:val="00CB2491"/>
    <w:rsid w:val="00CD275E"/>
    <w:rsid w:val="00CD6F3C"/>
    <w:rsid w:val="00CE4FF4"/>
    <w:rsid w:val="00CF24F9"/>
    <w:rsid w:val="00D0450C"/>
    <w:rsid w:val="00D139EF"/>
    <w:rsid w:val="00D1710C"/>
    <w:rsid w:val="00D17CD1"/>
    <w:rsid w:val="00D220A1"/>
    <w:rsid w:val="00D257C9"/>
    <w:rsid w:val="00D26802"/>
    <w:rsid w:val="00D35CC2"/>
    <w:rsid w:val="00D37C07"/>
    <w:rsid w:val="00D411EA"/>
    <w:rsid w:val="00D41E6E"/>
    <w:rsid w:val="00D522BC"/>
    <w:rsid w:val="00D5534F"/>
    <w:rsid w:val="00D55612"/>
    <w:rsid w:val="00D608DA"/>
    <w:rsid w:val="00D65E47"/>
    <w:rsid w:val="00D70A43"/>
    <w:rsid w:val="00D75B69"/>
    <w:rsid w:val="00D75E40"/>
    <w:rsid w:val="00D84D38"/>
    <w:rsid w:val="00D8527F"/>
    <w:rsid w:val="00D9031D"/>
    <w:rsid w:val="00D9082B"/>
    <w:rsid w:val="00D910D3"/>
    <w:rsid w:val="00DA51B6"/>
    <w:rsid w:val="00DA5CD9"/>
    <w:rsid w:val="00DA7515"/>
    <w:rsid w:val="00DA7802"/>
    <w:rsid w:val="00DB1162"/>
    <w:rsid w:val="00DB35A1"/>
    <w:rsid w:val="00DB455D"/>
    <w:rsid w:val="00DB46BC"/>
    <w:rsid w:val="00DB4C4A"/>
    <w:rsid w:val="00DB5367"/>
    <w:rsid w:val="00DC137A"/>
    <w:rsid w:val="00DC4664"/>
    <w:rsid w:val="00DC6D82"/>
    <w:rsid w:val="00DD14C3"/>
    <w:rsid w:val="00DE31F8"/>
    <w:rsid w:val="00DF528F"/>
    <w:rsid w:val="00DF6437"/>
    <w:rsid w:val="00E013F2"/>
    <w:rsid w:val="00E042F5"/>
    <w:rsid w:val="00E147BA"/>
    <w:rsid w:val="00E25674"/>
    <w:rsid w:val="00E3126E"/>
    <w:rsid w:val="00E34848"/>
    <w:rsid w:val="00E34920"/>
    <w:rsid w:val="00E37985"/>
    <w:rsid w:val="00E5211D"/>
    <w:rsid w:val="00E662FF"/>
    <w:rsid w:val="00E679F4"/>
    <w:rsid w:val="00E67C5F"/>
    <w:rsid w:val="00E70301"/>
    <w:rsid w:val="00E70651"/>
    <w:rsid w:val="00E75A92"/>
    <w:rsid w:val="00E824CF"/>
    <w:rsid w:val="00E87B7A"/>
    <w:rsid w:val="00E90D61"/>
    <w:rsid w:val="00E91C89"/>
    <w:rsid w:val="00E94504"/>
    <w:rsid w:val="00E94B13"/>
    <w:rsid w:val="00E971BA"/>
    <w:rsid w:val="00E97445"/>
    <w:rsid w:val="00EA1CC7"/>
    <w:rsid w:val="00EB063D"/>
    <w:rsid w:val="00EB0C6F"/>
    <w:rsid w:val="00EB2A98"/>
    <w:rsid w:val="00ED2923"/>
    <w:rsid w:val="00EE5C50"/>
    <w:rsid w:val="00EF2C14"/>
    <w:rsid w:val="00EF7938"/>
    <w:rsid w:val="00F004AA"/>
    <w:rsid w:val="00F02AF1"/>
    <w:rsid w:val="00F07748"/>
    <w:rsid w:val="00F123E0"/>
    <w:rsid w:val="00F16E35"/>
    <w:rsid w:val="00F204F6"/>
    <w:rsid w:val="00F21446"/>
    <w:rsid w:val="00F22447"/>
    <w:rsid w:val="00F2646D"/>
    <w:rsid w:val="00F315AF"/>
    <w:rsid w:val="00F40818"/>
    <w:rsid w:val="00F41B2F"/>
    <w:rsid w:val="00F43980"/>
    <w:rsid w:val="00F61725"/>
    <w:rsid w:val="00F67B17"/>
    <w:rsid w:val="00F75BA4"/>
    <w:rsid w:val="00F7773B"/>
    <w:rsid w:val="00F77A18"/>
    <w:rsid w:val="00F80DDF"/>
    <w:rsid w:val="00F81FF7"/>
    <w:rsid w:val="00F836B2"/>
    <w:rsid w:val="00F83C03"/>
    <w:rsid w:val="00F87185"/>
    <w:rsid w:val="00FB085B"/>
    <w:rsid w:val="00FB1719"/>
    <w:rsid w:val="00FB25D4"/>
    <w:rsid w:val="00FB44E8"/>
    <w:rsid w:val="00FB5EB5"/>
    <w:rsid w:val="00FC10AC"/>
    <w:rsid w:val="00FC1BC7"/>
    <w:rsid w:val="00FC5BAB"/>
    <w:rsid w:val="00FC7742"/>
    <w:rsid w:val="00FD243F"/>
    <w:rsid w:val="00FD283F"/>
    <w:rsid w:val="00FD31F1"/>
    <w:rsid w:val="00FE2DBE"/>
    <w:rsid w:val="00FE5E3A"/>
    <w:rsid w:val="00FE667F"/>
    <w:rsid w:val="00FF2E7A"/>
    <w:rsid w:val="00FF40D1"/>
    <w:rsid w:val="00FF59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978073"/>
  <w15:docId w15:val="{1DC755F6-807E-4D4A-BBA3-57142548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01C"/>
    <w:pPr>
      <w:spacing w:after="200" w:line="276" w:lineRule="auto"/>
    </w:pPr>
    <w:rPr>
      <w:rFonts w:ascii="Calibri" w:hAnsi="Calibri"/>
      <w:sz w:val="22"/>
      <w:szCs w:val="22"/>
      <w:lang w:val="es-ES" w:eastAsia="en-US"/>
    </w:rPr>
  </w:style>
  <w:style w:type="paragraph" w:styleId="Heading1">
    <w:name w:val="heading 1"/>
    <w:basedOn w:val="Normal"/>
    <w:next w:val="Normal"/>
    <w:link w:val="Heading1Char"/>
    <w:uiPriority w:val="9"/>
    <w:qFormat/>
    <w:locked/>
    <w:rsid w:val="0026731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99"/>
    <w:qFormat/>
    <w:rsid w:val="00BC5DBA"/>
    <w:rPr>
      <w:rFonts w:cs="Times New Roman"/>
      <w:i/>
    </w:rPr>
  </w:style>
  <w:style w:type="character" w:styleId="Hyperlink">
    <w:name w:val="Hyperlink"/>
    <w:uiPriority w:val="99"/>
    <w:rsid w:val="00BC5DBA"/>
    <w:rPr>
      <w:rFonts w:cs="Times New Roman"/>
      <w:color w:val="0000FF"/>
      <w:u w:val="single"/>
    </w:rPr>
  </w:style>
  <w:style w:type="paragraph" w:styleId="Header">
    <w:name w:val="header"/>
    <w:basedOn w:val="Normal"/>
    <w:link w:val="HeaderChar"/>
    <w:uiPriority w:val="99"/>
    <w:rsid w:val="008C73C0"/>
    <w:pPr>
      <w:tabs>
        <w:tab w:val="center" w:pos="4252"/>
        <w:tab w:val="right" w:pos="8504"/>
      </w:tabs>
      <w:spacing w:after="0" w:line="240" w:lineRule="auto"/>
    </w:pPr>
  </w:style>
  <w:style w:type="character" w:customStyle="1" w:styleId="HeaderChar">
    <w:name w:val="Header Char"/>
    <w:link w:val="Header"/>
    <w:uiPriority w:val="99"/>
    <w:locked/>
    <w:rsid w:val="008C73C0"/>
    <w:rPr>
      <w:rFonts w:ascii="Calibri" w:hAnsi="Calibri" w:cs="Times New Roman"/>
      <w:position w:val="0"/>
      <w:sz w:val="22"/>
      <w:szCs w:val="22"/>
    </w:rPr>
  </w:style>
  <w:style w:type="paragraph" w:styleId="Footer">
    <w:name w:val="footer"/>
    <w:basedOn w:val="Normal"/>
    <w:link w:val="FooterChar"/>
    <w:uiPriority w:val="99"/>
    <w:rsid w:val="008C73C0"/>
    <w:pPr>
      <w:tabs>
        <w:tab w:val="center" w:pos="4252"/>
        <w:tab w:val="right" w:pos="8504"/>
      </w:tabs>
      <w:spacing w:after="0" w:line="240" w:lineRule="auto"/>
    </w:pPr>
  </w:style>
  <w:style w:type="character" w:customStyle="1" w:styleId="FooterChar">
    <w:name w:val="Footer Char"/>
    <w:link w:val="Footer"/>
    <w:uiPriority w:val="99"/>
    <w:locked/>
    <w:rsid w:val="008C73C0"/>
    <w:rPr>
      <w:rFonts w:ascii="Calibri" w:hAnsi="Calibri" w:cs="Times New Roman"/>
      <w:position w:val="0"/>
      <w:sz w:val="22"/>
      <w:szCs w:val="22"/>
    </w:rPr>
  </w:style>
  <w:style w:type="paragraph" w:styleId="FootnoteText">
    <w:name w:val="footnote text"/>
    <w:basedOn w:val="Normal"/>
    <w:link w:val="FootnoteTextChar"/>
    <w:uiPriority w:val="99"/>
    <w:rsid w:val="003C1E9B"/>
    <w:pPr>
      <w:spacing w:after="0" w:line="240" w:lineRule="auto"/>
    </w:pPr>
    <w:rPr>
      <w:sz w:val="20"/>
      <w:szCs w:val="20"/>
    </w:rPr>
  </w:style>
  <w:style w:type="character" w:customStyle="1" w:styleId="FootnoteTextChar">
    <w:name w:val="Footnote Text Char"/>
    <w:link w:val="FootnoteText"/>
    <w:uiPriority w:val="99"/>
    <w:locked/>
    <w:rsid w:val="003C1E9B"/>
    <w:rPr>
      <w:rFonts w:ascii="Calibri" w:hAnsi="Calibri" w:cs="Times New Roman"/>
      <w:position w:val="0"/>
      <w:sz w:val="20"/>
      <w:szCs w:val="20"/>
    </w:rPr>
  </w:style>
  <w:style w:type="character" w:styleId="FootnoteReference">
    <w:name w:val="footnote reference"/>
    <w:uiPriority w:val="99"/>
    <w:rsid w:val="003C1E9B"/>
    <w:rPr>
      <w:rFonts w:cs="Times New Roman"/>
      <w:vertAlign w:val="superscript"/>
    </w:rPr>
  </w:style>
  <w:style w:type="paragraph" w:styleId="ListParagraph">
    <w:name w:val="List Paragraph"/>
    <w:basedOn w:val="Normal"/>
    <w:uiPriority w:val="99"/>
    <w:qFormat/>
    <w:rsid w:val="003C1E9B"/>
    <w:pPr>
      <w:ind w:left="720"/>
      <w:contextualSpacing/>
    </w:pPr>
  </w:style>
  <w:style w:type="character" w:styleId="CommentReference">
    <w:name w:val="annotation reference"/>
    <w:uiPriority w:val="99"/>
    <w:semiHidden/>
    <w:rsid w:val="003C1E9B"/>
    <w:rPr>
      <w:rFonts w:cs="Times New Roman"/>
      <w:sz w:val="16"/>
    </w:rPr>
  </w:style>
  <w:style w:type="paragraph" w:styleId="CommentText">
    <w:name w:val="annotation text"/>
    <w:basedOn w:val="Normal"/>
    <w:link w:val="CommentTextChar"/>
    <w:uiPriority w:val="99"/>
    <w:rsid w:val="003C1E9B"/>
    <w:pPr>
      <w:spacing w:line="240" w:lineRule="auto"/>
    </w:pPr>
    <w:rPr>
      <w:sz w:val="20"/>
      <w:szCs w:val="20"/>
    </w:rPr>
  </w:style>
  <w:style w:type="character" w:customStyle="1" w:styleId="CommentTextChar">
    <w:name w:val="Comment Text Char"/>
    <w:link w:val="CommentText"/>
    <w:uiPriority w:val="99"/>
    <w:locked/>
    <w:rsid w:val="003C1E9B"/>
    <w:rPr>
      <w:rFonts w:ascii="Calibri" w:hAnsi="Calibri" w:cs="Times New Roman"/>
      <w:position w:val="0"/>
      <w:sz w:val="20"/>
      <w:szCs w:val="20"/>
    </w:rPr>
  </w:style>
  <w:style w:type="paragraph" w:styleId="CommentSubject">
    <w:name w:val="annotation subject"/>
    <w:basedOn w:val="CommentText"/>
    <w:next w:val="CommentText"/>
    <w:link w:val="CommentSubjectChar"/>
    <w:uiPriority w:val="99"/>
    <w:semiHidden/>
    <w:rsid w:val="003C1E9B"/>
    <w:rPr>
      <w:b/>
      <w:bCs/>
    </w:rPr>
  </w:style>
  <w:style w:type="character" w:customStyle="1" w:styleId="CommentSubjectChar">
    <w:name w:val="Comment Subject Char"/>
    <w:link w:val="CommentSubject"/>
    <w:uiPriority w:val="99"/>
    <w:semiHidden/>
    <w:locked/>
    <w:rsid w:val="003C1E9B"/>
    <w:rPr>
      <w:rFonts w:ascii="Calibri" w:hAnsi="Calibri" w:cs="Times New Roman"/>
      <w:b/>
      <w:bCs/>
      <w:position w:val="0"/>
      <w:sz w:val="20"/>
      <w:szCs w:val="20"/>
    </w:rPr>
  </w:style>
  <w:style w:type="paragraph" w:styleId="BalloonText">
    <w:name w:val="Balloon Text"/>
    <w:basedOn w:val="Normal"/>
    <w:link w:val="BalloonTextChar"/>
    <w:uiPriority w:val="99"/>
    <w:semiHidden/>
    <w:rsid w:val="003C1E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C1E9B"/>
    <w:rPr>
      <w:rFonts w:ascii="Tahoma" w:hAnsi="Tahoma" w:cs="Tahoma"/>
      <w:position w:val="0"/>
      <w:sz w:val="16"/>
      <w:szCs w:val="16"/>
    </w:rPr>
  </w:style>
  <w:style w:type="table" w:styleId="TableGrid">
    <w:name w:val="Table Grid"/>
    <w:basedOn w:val="TableNormal"/>
    <w:uiPriority w:val="99"/>
    <w:rsid w:val="003C1E9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C1E9B"/>
    <w:pPr>
      <w:spacing w:before="100" w:beforeAutospacing="1" w:after="100" w:afterAutospacing="1" w:line="240" w:lineRule="auto"/>
    </w:pPr>
    <w:rPr>
      <w:rFonts w:ascii="Times New Roman" w:eastAsia="Times New Roman" w:hAnsi="Times New Roman"/>
      <w:sz w:val="24"/>
      <w:szCs w:val="24"/>
      <w:lang w:eastAsia="es-ES"/>
    </w:rPr>
  </w:style>
  <w:style w:type="paragraph" w:styleId="Revision">
    <w:name w:val="Revision"/>
    <w:hidden/>
    <w:uiPriority w:val="99"/>
    <w:semiHidden/>
    <w:rsid w:val="003C1E9B"/>
    <w:rPr>
      <w:rFonts w:ascii="Calibri" w:hAnsi="Calibri"/>
      <w:sz w:val="22"/>
      <w:szCs w:val="22"/>
      <w:lang w:val="es-ES" w:eastAsia="en-US"/>
    </w:rPr>
  </w:style>
  <w:style w:type="character" w:styleId="PageNumber">
    <w:name w:val="page number"/>
    <w:uiPriority w:val="99"/>
    <w:semiHidden/>
    <w:rsid w:val="00874F2F"/>
    <w:rPr>
      <w:rFonts w:cs="Times New Roman"/>
    </w:rPr>
  </w:style>
  <w:style w:type="character" w:customStyle="1" w:styleId="apple-converted-space">
    <w:name w:val="apple-converted-space"/>
    <w:uiPriority w:val="99"/>
    <w:rsid w:val="00AB59CF"/>
    <w:rPr>
      <w:rFonts w:cs="Times New Roman"/>
    </w:rPr>
  </w:style>
  <w:style w:type="paragraph" w:customStyle="1" w:styleId="Normal1">
    <w:name w:val="Normal1"/>
    <w:uiPriority w:val="99"/>
    <w:rsid w:val="00564F15"/>
    <w:pPr>
      <w:spacing w:after="200" w:line="276" w:lineRule="auto"/>
    </w:pPr>
    <w:rPr>
      <w:rFonts w:ascii="Calibri" w:hAnsi="Calibri" w:cs="Calibri"/>
      <w:color w:val="000000"/>
      <w:sz w:val="22"/>
      <w:szCs w:val="22"/>
      <w:lang w:val="en-US" w:eastAsia="en-US"/>
    </w:rPr>
  </w:style>
  <w:style w:type="character" w:customStyle="1" w:styleId="Heading1Char">
    <w:name w:val="Heading 1 Char"/>
    <w:basedOn w:val="DefaultParagraphFont"/>
    <w:link w:val="Heading1"/>
    <w:uiPriority w:val="9"/>
    <w:rsid w:val="00267317"/>
    <w:rPr>
      <w:rFonts w:asciiTheme="majorHAnsi" w:eastAsiaTheme="majorEastAsia" w:hAnsiTheme="majorHAnsi" w:cstheme="majorBidi"/>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9977">
      <w:bodyDiv w:val="1"/>
      <w:marLeft w:val="0"/>
      <w:marRight w:val="0"/>
      <w:marTop w:val="0"/>
      <w:marBottom w:val="0"/>
      <w:divBdr>
        <w:top w:val="none" w:sz="0" w:space="0" w:color="auto"/>
        <w:left w:val="none" w:sz="0" w:space="0" w:color="auto"/>
        <w:bottom w:val="none" w:sz="0" w:space="0" w:color="auto"/>
        <w:right w:val="none" w:sz="0" w:space="0" w:color="auto"/>
      </w:divBdr>
    </w:div>
    <w:div w:id="323971121">
      <w:bodyDiv w:val="1"/>
      <w:marLeft w:val="0"/>
      <w:marRight w:val="0"/>
      <w:marTop w:val="0"/>
      <w:marBottom w:val="0"/>
      <w:divBdr>
        <w:top w:val="none" w:sz="0" w:space="0" w:color="auto"/>
        <w:left w:val="none" w:sz="0" w:space="0" w:color="auto"/>
        <w:bottom w:val="none" w:sz="0" w:space="0" w:color="auto"/>
        <w:right w:val="none" w:sz="0" w:space="0" w:color="auto"/>
      </w:divBdr>
    </w:div>
    <w:div w:id="389884836">
      <w:bodyDiv w:val="1"/>
      <w:marLeft w:val="0"/>
      <w:marRight w:val="0"/>
      <w:marTop w:val="0"/>
      <w:marBottom w:val="0"/>
      <w:divBdr>
        <w:top w:val="none" w:sz="0" w:space="0" w:color="auto"/>
        <w:left w:val="none" w:sz="0" w:space="0" w:color="auto"/>
        <w:bottom w:val="none" w:sz="0" w:space="0" w:color="auto"/>
        <w:right w:val="none" w:sz="0" w:space="0" w:color="auto"/>
      </w:divBdr>
      <w:divsChild>
        <w:div w:id="928008426">
          <w:marLeft w:val="0"/>
          <w:marRight w:val="0"/>
          <w:marTop w:val="0"/>
          <w:marBottom w:val="0"/>
          <w:divBdr>
            <w:top w:val="none" w:sz="0" w:space="0" w:color="auto"/>
            <w:left w:val="none" w:sz="0" w:space="0" w:color="auto"/>
            <w:bottom w:val="none" w:sz="0" w:space="0" w:color="auto"/>
            <w:right w:val="none" w:sz="0" w:space="0" w:color="auto"/>
          </w:divBdr>
        </w:div>
        <w:div w:id="1601572545">
          <w:marLeft w:val="0"/>
          <w:marRight w:val="0"/>
          <w:marTop w:val="0"/>
          <w:marBottom w:val="0"/>
          <w:divBdr>
            <w:top w:val="none" w:sz="0" w:space="0" w:color="auto"/>
            <w:left w:val="none" w:sz="0" w:space="0" w:color="auto"/>
            <w:bottom w:val="none" w:sz="0" w:space="0" w:color="auto"/>
            <w:right w:val="none" w:sz="0" w:space="0" w:color="auto"/>
          </w:divBdr>
        </w:div>
      </w:divsChild>
    </w:div>
    <w:div w:id="858203247">
      <w:bodyDiv w:val="1"/>
      <w:marLeft w:val="0"/>
      <w:marRight w:val="0"/>
      <w:marTop w:val="0"/>
      <w:marBottom w:val="0"/>
      <w:divBdr>
        <w:top w:val="none" w:sz="0" w:space="0" w:color="auto"/>
        <w:left w:val="none" w:sz="0" w:space="0" w:color="auto"/>
        <w:bottom w:val="none" w:sz="0" w:space="0" w:color="auto"/>
        <w:right w:val="none" w:sz="0" w:space="0" w:color="auto"/>
      </w:divBdr>
      <w:divsChild>
        <w:div w:id="732627135">
          <w:marLeft w:val="0"/>
          <w:marRight w:val="0"/>
          <w:marTop w:val="0"/>
          <w:marBottom w:val="0"/>
          <w:divBdr>
            <w:top w:val="none" w:sz="0" w:space="0" w:color="auto"/>
            <w:left w:val="none" w:sz="0" w:space="0" w:color="auto"/>
            <w:bottom w:val="none" w:sz="0" w:space="0" w:color="auto"/>
            <w:right w:val="none" w:sz="0" w:space="0" w:color="auto"/>
          </w:divBdr>
        </w:div>
        <w:div w:id="817235156">
          <w:marLeft w:val="0"/>
          <w:marRight w:val="0"/>
          <w:marTop w:val="0"/>
          <w:marBottom w:val="0"/>
          <w:divBdr>
            <w:top w:val="none" w:sz="0" w:space="0" w:color="auto"/>
            <w:left w:val="none" w:sz="0" w:space="0" w:color="auto"/>
            <w:bottom w:val="none" w:sz="0" w:space="0" w:color="auto"/>
            <w:right w:val="none" w:sz="0" w:space="0" w:color="auto"/>
          </w:divBdr>
        </w:div>
      </w:divsChild>
    </w:div>
    <w:div w:id="867910976">
      <w:bodyDiv w:val="1"/>
      <w:marLeft w:val="0"/>
      <w:marRight w:val="0"/>
      <w:marTop w:val="0"/>
      <w:marBottom w:val="0"/>
      <w:divBdr>
        <w:top w:val="none" w:sz="0" w:space="0" w:color="auto"/>
        <w:left w:val="none" w:sz="0" w:space="0" w:color="auto"/>
        <w:bottom w:val="none" w:sz="0" w:space="0" w:color="auto"/>
        <w:right w:val="none" w:sz="0" w:space="0" w:color="auto"/>
      </w:divBdr>
    </w:div>
    <w:div w:id="878516345">
      <w:bodyDiv w:val="1"/>
      <w:marLeft w:val="0"/>
      <w:marRight w:val="0"/>
      <w:marTop w:val="0"/>
      <w:marBottom w:val="0"/>
      <w:divBdr>
        <w:top w:val="none" w:sz="0" w:space="0" w:color="auto"/>
        <w:left w:val="none" w:sz="0" w:space="0" w:color="auto"/>
        <w:bottom w:val="none" w:sz="0" w:space="0" w:color="auto"/>
        <w:right w:val="none" w:sz="0" w:space="0" w:color="auto"/>
      </w:divBdr>
    </w:div>
    <w:div w:id="1129477061">
      <w:bodyDiv w:val="1"/>
      <w:marLeft w:val="0"/>
      <w:marRight w:val="0"/>
      <w:marTop w:val="0"/>
      <w:marBottom w:val="0"/>
      <w:divBdr>
        <w:top w:val="none" w:sz="0" w:space="0" w:color="auto"/>
        <w:left w:val="none" w:sz="0" w:space="0" w:color="auto"/>
        <w:bottom w:val="none" w:sz="0" w:space="0" w:color="auto"/>
        <w:right w:val="none" w:sz="0" w:space="0" w:color="auto"/>
      </w:divBdr>
      <w:divsChild>
        <w:div w:id="1660620376">
          <w:marLeft w:val="0"/>
          <w:marRight w:val="0"/>
          <w:marTop w:val="0"/>
          <w:marBottom w:val="0"/>
          <w:divBdr>
            <w:top w:val="none" w:sz="0" w:space="0" w:color="auto"/>
            <w:left w:val="none" w:sz="0" w:space="0" w:color="auto"/>
            <w:bottom w:val="none" w:sz="0" w:space="0" w:color="auto"/>
            <w:right w:val="none" w:sz="0" w:space="0" w:color="auto"/>
          </w:divBdr>
        </w:div>
      </w:divsChild>
    </w:div>
    <w:div w:id="1182667214">
      <w:bodyDiv w:val="1"/>
      <w:marLeft w:val="0"/>
      <w:marRight w:val="0"/>
      <w:marTop w:val="0"/>
      <w:marBottom w:val="0"/>
      <w:divBdr>
        <w:top w:val="none" w:sz="0" w:space="0" w:color="auto"/>
        <w:left w:val="none" w:sz="0" w:space="0" w:color="auto"/>
        <w:bottom w:val="none" w:sz="0" w:space="0" w:color="auto"/>
        <w:right w:val="none" w:sz="0" w:space="0" w:color="auto"/>
      </w:divBdr>
      <w:divsChild>
        <w:div w:id="2047484472">
          <w:marLeft w:val="0"/>
          <w:marRight w:val="0"/>
          <w:marTop w:val="0"/>
          <w:marBottom w:val="0"/>
          <w:divBdr>
            <w:top w:val="none" w:sz="0" w:space="0" w:color="auto"/>
            <w:left w:val="none" w:sz="0" w:space="0" w:color="auto"/>
            <w:bottom w:val="none" w:sz="0" w:space="0" w:color="auto"/>
            <w:right w:val="none" w:sz="0" w:space="0" w:color="auto"/>
          </w:divBdr>
        </w:div>
        <w:div w:id="1456019525">
          <w:marLeft w:val="0"/>
          <w:marRight w:val="0"/>
          <w:marTop w:val="0"/>
          <w:marBottom w:val="0"/>
          <w:divBdr>
            <w:top w:val="none" w:sz="0" w:space="0" w:color="auto"/>
            <w:left w:val="none" w:sz="0" w:space="0" w:color="auto"/>
            <w:bottom w:val="none" w:sz="0" w:space="0" w:color="auto"/>
            <w:right w:val="none" w:sz="0" w:space="0" w:color="auto"/>
          </w:divBdr>
        </w:div>
        <w:div w:id="789664413">
          <w:marLeft w:val="0"/>
          <w:marRight w:val="0"/>
          <w:marTop w:val="0"/>
          <w:marBottom w:val="0"/>
          <w:divBdr>
            <w:top w:val="none" w:sz="0" w:space="0" w:color="auto"/>
            <w:left w:val="none" w:sz="0" w:space="0" w:color="auto"/>
            <w:bottom w:val="none" w:sz="0" w:space="0" w:color="auto"/>
            <w:right w:val="none" w:sz="0" w:space="0" w:color="auto"/>
          </w:divBdr>
        </w:div>
        <w:div w:id="2089770052">
          <w:marLeft w:val="0"/>
          <w:marRight w:val="0"/>
          <w:marTop w:val="0"/>
          <w:marBottom w:val="0"/>
          <w:divBdr>
            <w:top w:val="none" w:sz="0" w:space="0" w:color="auto"/>
            <w:left w:val="none" w:sz="0" w:space="0" w:color="auto"/>
            <w:bottom w:val="none" w:sz="0" w:space="0" w:color="auto"/>
            <w:right w:val="none" w:sz="0" w:space="0" w:color="auto"/>
          </w:divBdr>
        </w:div>
      </w:divsChild>
    </w:div>
    <w:div w:id="1375160132">
      <w:bodyDiv w:val="1"/>
      <w:marLeft w:val="0"/>
      <w:marRight w:val="0"/>
      <w:marTop w:val="0"/>
      <w:marBottom w:val="0"/>
      <w:divBdr>
        <w:top w:val="none" w:sz="0" w:space="0" w:color="auto"/>
        <w:left w:val="none" w:sz="0" w:space="0" w:color="auto"/>
        <w:bottom w:val="none" w:sz="0" w:space="0" w:color="auto"/>
        <w:right w:val="none" w:sz="0" w:space="0" w:color="auto"/>
      </w:divBdr>
      <w:divsChild>
        <w:div w:id="29191114">
          <w:marLeft w:val="0"/>
          <w:marRight w:val="0"/>
          <w:marTop w:val="0"/>
          <w:marBottom w:val="0"/>
          <w:divBdr>
            <w:top w:val="none" w:sz="0" w:space="0" w:color="auto"/>
            <w:left w:val="none" w:sz="0" w:space="0" w:color="auto"/>
            <w:bottom w:val="none" w:sz="0" w:space="0" w:color="auto"/>
            <w:right w:val="none" w:sz="0" w:space="0" w:color="auto"/>
          </w:divBdr>
        </w:div>
      </w:divsChild>
    </w:div>
    <w:div w:id="1532451502">
      <w:bodyDiv w:val="1"/>
      <w:marLeft w:val="0"/>
      <w:marRight w:val="0"/>
      <w:marTop w:val="0"/>
      <w:marBottom w:val="0"/>
      <w:divBdr>
        <w:top w:val="none" w:sz="0" w:space="0" w:color="auto"/>
        <w:left w:val="none" w:sz="0" w:space="0" w:color="auto"/>
        <w:bottom w:val="none" w:sz="0" w:space="0" w:color="auto"/>
        <w:right w:val="none" w:sz="0" w:space="0" w:color="auto"/>
      </w:divBdr>
      <w:divsChild>
        <w:div w:id="2027360526">
          <w:marLeft w:val="0"/>
          <w:marRight w:val="0"/>
          <w:marTop w:val="0"/>
          <w:marBottom w:val="0"/>
          <w:divBdr>
            <w:top w:val="none" w:sz="0" w:space="0" w:color="auto"/>
            <w:left w:val="none" w:sz="0" w:space="0" w:color="auto"/>
            <w:bottom w:val="none" w:sz="0" w:space="0" w:color="auto"/>
            <w:right w:val="none" w:sz="0" w:space="0" w:color="auto"/>
          </w:divBdr>
        </w:div>
      </w:divsChild>
    </w:div>
    <w:div w:id="1611863125">
      <w:bodyDiv w:val="1"/>
      <w:marLeft w:val="0"/>
      <w:marRight w:val="0"/>
      <w:marTop w:val="0"/>
      <w:marBottom w:val="0"/>
      <w:divBdr>
        <w:top w:val="none" w:sz="0" w:space="0" w:color="auto"/>
        <w:left w:val="none" w:sz="0" w:space="0" w:color="auto"/>
        <w:bottom w:val="none" w:sz="0" w:space="0" w:color="auto"/>
        <w:right w:val="none" w:sz="0" w:space="0" w:color="auto"/>
      </w:divBdr>
      <w:divsChild>
        <w:div w:id="1008287240">
          <w:marLeft w:val="0"/>
          <w:marRight w:val="0"/>
          <w:marTop w:val="0"/>
          <w:marBottom w:val="0"/>
          <w:divBdr>
            <w:top w:val="none" w:sz="0" w:space="0" w:color="auto"/>
            <w:left w:val="none" w:sz="0" w:space="0" w:color="auto"/>
            <w:bottom w:val="none" w:sz="0" w:space="0" w:color="auto"/>
            <w:right w:val="none" w:sz="0" w:space="0" w:color="auto"/>
          </w:divBdr>
        </w:div>
      </w:divsChild>
    </w:div>
    <w:div w:id="1804152073">
      <w:bodyDiv w:val="1"/>
      <w:marLeft w:val="0"/>
      <w:marRight w:val="0"/>
      <w:marTop w:val="0"/>
      <w:marBottom w:val="0"/>
      <w:divBdr>
        <w:top w:val="none" w:sz="0" w:space="0" w:color="auto"/>
        <w:left w:val="none" w:sz="0" w:space="0" w:color="auto"/>
        <w:bottom w:val="none" w:sz="0" w:space="0" w:color="auto"/>
        <w:right w:val="none" w:sz="0" w:space="0" w:color="auto"/>
      </w:divBdr>
      <w:divsChild>
        <w:div w:id="649746060">
          <w:marLeft w:val="0"/>
          <w:marRight w:val="0"/>
          <w:marTop w:val="0"/>
          <w:marBottom w:val="0"/>
          <w:divBdr>
            <w:top w:val="none" w:sz="0" w:space="0" w:color="auto"/>
            <w:left w:val="none" w:sz="0" w:space="0" w:color="auto"/>
            <w:bottom w:val="none" w:sz="0" w:space="0" w:color="auto"/>
            <w:right w:val="none" w:sz="0" w:space="0" w:color="auto"/>
          </w:divBdr>
        </w:div>
      </w:divsChild>
    </w:div>
    <w:div w:id="1840148226">
      <w:bodyDiv w:val="1"/>
      <w:marLeft w:val="0"/>
      <w:marRight w:val="0"/>
      <w:marTop w:val="0"/>
      <w:marBottom w:val="0"/>
      <w:divBdr>
        <w:top w:val="none" w:sz="0" w:space="0" w:color="auto"/>
        <w:left w:val="none" w:sz="0" w:space="0" w:color="auto"/>
        <w:bottom w:val="none" w:sz="0" w:space="0" w:color="auto"/>
        <w:right w:val="none" w:sz="0" w:space="0" w:color="auto"/>
      </w:divBdr>
      <w:divsChild>
        <w:div w:id="191654775">
          <w:marLeft w:val="0"/>
          <w:marRight w:val="0"/>
          <w:marTop w:val="0"/>
          <w:marBottom w:val="0"/>
          <w:divBdr>
            <w:top w:val="none" w:sz="0" w:space="0" w:color="auto"/>
            <w:left w:val="none" w:sz="0" w:space="0" w:color="auto"/>
            <w:bottom w:val="none" w:sz="0" w:space="0" w:color="auto"/>
            <w:right w:val="none" w:sz="0" w:space="0" w:color="auto"/>
          </w:divBdr>
        </w:div>
      </w:divsChild>
    </w:div>
    <w:div w:id="2134014579">
      <w:bodyDiv w:val="1"/>
      <w:marLeft w:val="0"/>
      <w:marRight w:val="0"/>
      <w:marTop w:val="0"/>
      <w:marBottom w:val="0"/>
      <w:divBdr>
        <w:top w:val="none" w:sz="0" w:space="0" w:color="auto"/>
        <w:left w:val="none" w:sz="0" w:space="0" w:color="auto"/>
        <w:bottom w:val="none" w:sz="0" w:space="0" w:color="auto"/>
        <w:right w:val="none" w:sz="0" w:space="0" w:color="auto"/>
      </w:divBdr>
      <w:divsChild>
        <w:div w:id="1326277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56312-1558-4D30-B2F4-6A899AD2F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9402</Words>
  <Characters>53595</Characters>
  <Application>Microsoft Office Word</Application>
  <DocSecurity>0</DocSecurity>
  <Lines>446</Lines>
  <Paragraphs>125</Paragraphs>
  <ScaleCrop>false</ScaleCrop>
  <HeadingPairs>
    <vt:vector size="6" baseType="variant">
      <vt:variant>
        <vt:lpstr>Title</vt:lpstr>
      </vt:variant>
      <vt:variant>
        <vt:i4>1</vt:i4>
      </vt:variant>
      <vt:variant>
        <vt:lpstr>Headings</vt:lpstr>
      </vt:variant>
      <vt:variant>
        <vt:i4>100</vt:i4>
      </vt:variant>
      <vt:variant>
        <vt:lpstr>Título</vt:lpstr>
      </vt:variant>
      <vt:variant>
        <vt:i4>1</vt:i4>
      </vt:variant>
    </vt:vector>
  </HeadingPairs>
  <TitlesOfParts>
    <vt:vector size="102" baseType="lpstr">
      <vt:lpstr/>
      <vt:lpstr>Abstract:</vt:lpstr>
      <vt:lpstr/>
      <vt:lpstr/>
      <vt:lpstr>2     Theoretical underpinning</vt:lpstr>
      <vt:lpstr/>
      <vt:lpstr>2.1 Business model and value capture</vt:lpstr>
      <vt:lpstr/>
      <vt:lpstr/>
      <vt:lpstr>2.2     The context of the study: The recorded music industry</vt:lpstr>
      <vt:lpstr/>
      <vt:lpstr>2.2.1 Business model experimentation in the recorded music industry</vt:lpstr>
      <vt:lpstr/>
      <vt:lpstr/>
      <vt:lpstr>2.3 Value capture and empirical hypothesis development</vt:lpstr>
      <vt:lpstr/>
      <vt:lpstr/>
      <vt:lpstr/>
      <vt:lpstr>3     Method     </vt:lpstr>
      <vt:lpstr/>
      <vt:lpstr>3.1 Empirical approach</vt:lpstr>
      <vt:lpstr/>
      <vt:lpstr/>
      <vt:lpstr/>
      <vt:lpstr>4     Results</vt:lpstr>
      <vt:lpstr/>
      <vt:lpstr/>
      <vt:lpstr>5     Conclusions and implications</vt:lpstr>
      <vt:lpstr/>
      <vt:lpstr>5.1 Theoretical contributions</vt:lpstr>
      <vt:lpstr/>
      <vt:lpstr/>
      <vt:lpstr>5.2 Practical implications</vt:lpstr>
      <vt:lpstr/>
      <vt:lpstr/>
      <vt:lpstr>6     Limitations and future research avenues</vt:lpstr>
      <vt:lpstr/>
      <vt:lpstr/>
      <vt:lpstr/>
      <vt:lpstr>References</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Tables: </vt:lpstr>
      <vt:lpstr/>
      <vt:lpstr/>
      <vt:lpstr/>
      <vt:lpstr/>
      <vt:lpstr/>
      <vt:lpstr>Table 1. Descriptive statistics dependent and independent variable</vt:lpstr>
      <vt:lpstr>Table 2. Descriptive statistics control variables</vt:lpstr>
      <vt:lpstr/>
      <vt:lpstr/>
      <vt:lpstr/>
      <vt:lpstr/>
      <vt:lpstr/>
      <vt:lpstr/>
      <vt:lpstr/>
      <vt:lpstr/>
      <vt:lpstr/>
      <vt:lpstr/>
      <vt:lpstr/>
      <vt:lpstr/>
    </vt:vector>
  </TitlesOfParts>
  <Company>University of the West of England</Company>
  <LinksUpToDate>false</LinksUpToDate>
  <CharactersWithSpaces>62872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Glenn Parry</cp:lastModifiedBy>
  <cp:revision>2</cp:revision>
  <cp:lastPrinted>2018-03-21T15:30:00Z</cp:lastPrinted>
  <dcterms:created xsi:type="dcterms:W3CDTF">2018-04-11T08:20:00Z</dcterms:created>
  <dcterms:modified xsi:type="dcterms:W3CDTF">2018-04-11T08:20:00Z</dcterms:modified>
</cp:coreProperties>
</file>