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49ABD" w14:textId="7A09B999" w:rsidR="00242F9B" w:rsidRPr="000F4A69" w:rsidRDefault="00C05253" w:rsidP="00242F9B">
      <w:pPr>
        <w:spacing w:after="120"/>
        <w:rPr>
          <w:b/>
          <w:sz w:val="28"/>
        </w:rPr>
      </w:pPr>
      <w:bookmarkStart w:id="0" w:name="OLE_LINK8"/>
      <w:bookmarkStart w:id="1" w:name="_GoBack"/>
      <w:bookmarkEnd w:id="1"/>
      <w:r w:rsidRPr="000F4A69">
        <w:rPr>
          <w:b/>
          <w:sz w:val="28"/>
        </w:rPr>
        <w:t>Fatigue in Developmental Coordination Disorder: an exploration of the risk factors among adults</w:t>
      </w:r>
    </w:p>
    <w:bookmarkEnd w:id="0"/>
    <w:p w14:paraId="2C510FBD" w14:textId="77777777" w:rsidR="002F0FFB" w:rsidRPr="000F4A69" w:rsidRDefault="002F0FFB" w:rsidP="00242F9B">
      <w:pPr>
        <w:pStyle w:val="Articletitle"/>
      </w:pPr>
    </w:p>
    <w:p w14:paraId="3CD59FA6" w14:textId="77777777" w:rsidR="00242F9B" w:rsidRPr="000F4A69" w:rsidRDefault="00242F9B" w:rsidP="00242F9B">
      <w:pPr>
        <w:pStyle w:val="Articletitle"/>
      </w:pPr>
      <w:r w:rsidRPr="000F4A69">
        <w:t>Marie Thomas</w:t>
      </w:r>
    </w:p>
    <w:p w14:paraId="6A5A82E9" w14:textId="58F83FA4" w:rsidR="00242F9B" w:rsidRPr="000F4A69" w:rsidRDefault="00242F9B" w:rsidP="00242F9B">
      <w:pPr>
        <w:spacing w:after="120"/>
        <w:rPr>
          <w:i/>
        </w:rPr>
      </w:pPr>
      <w:r w:rsidRPr="000F4A69">
        <w:rPr>
          <w:i/>
        </w:rPr>
        <w:t xml:space="preserve">College of Liberal Arts, Bath Spa University, </w:t>
      </w:r>
      <w:r w:rsidR="000F4A69">
        <w:rPr>
          <w:i/>
        </w:rPr>
        <w:t xml:space="preserve">Bath, </w:t>
      </w:r>
      <w:r w:rsidRPr="000F4A69">
        <w:rPr>
          <w:i/>
        </w:rPr>
        <w:t>UK</w:t>
      </w:r>
    </w:p>
    <w:p w14:paraId="2D5D1C28" w14:textId="77777777" w:rsidR="00442B9C" w:rsidRPr="000F4A69" w:rsidRDefault="00242F9B" w:rsidP="00242F9B">
      <w:pPr>
        <w:pStyle w:val="Articletitle"/>
      </w:pPr>
      <w:r w:rsidRPr="000F4A69">
        <w:t>Gary Christopher</w:t>
      </w:r>
    </w:p>
    <w:p w14:paraId="680DF981" w14:textId="77777777" w:rsidR="00997B0F" w:rsidRPr="000F4A69" w:rsidRDefault="00242F9B" w:rsidP="00242F9B">
      <w:pPr>
        <w:pStyle w:val="Affiliation"/>
      </w:pPr>
      <w:r w:rsidRPr="000F4A69">
        <w:t xml:space="preserve">Department of Health and Social Sciences, University of the West of England, Bristol, UK </w:t>
      </w:r>
    </w:p>
    <w:p w14:paraId="7B29B4EF" w14:textId="77777777" w:rsidR="002F0FFB" w:rsidRPr="000F4A69" w:rsidRDefault="002F0FFB" w:rsidP="00A2360E">
      <w:pPr>
        <w:pStyle w:val="Correspondencedetails"/>
      </w:pPr>
    </w:p>
    <w:p w14:paraId="0A0F2452" w14:textId="77777777" w:rsidR="000A4428" w:rsidRPr="000F4A69" w:rsidRDefault="00242F9B" w:rsidP="00A2360E">
      <w:pPr>
        <w:pStyle w:val="Correspondencedetails"/>
      </w:pPr>
      <w:r w:rsidRPr="000F4A69">
        <w:t>C</w:t>
      </w:r>
      <w:r w:rsidR="00C14585" w:rsidRPr="000F4A69">
        <w:t>orresponding author</w:t>
      </w:r>
      <w:r w:rsidRPr="000F4A69">
        <w:t>: Dr Marie Thomas, College of Liberal Arts. Bath Spa University, UK. Email: m.thomas4@bathspa.ac.uk</w:t>
      </w:r>
    </w:p>
    <w:p w14:paraId="01F11C0F" w14:textId="77777777" w:rsidR="002F0FFB" w:rsidRPr="000F4A69" w:rsidRDefault="002F0FFB" w:rsidP="00242F9B">
      <w:pPr>
        <w:pStyle w:val="Notesoncontributors"/>
      </w:pPr>
    </w:p>
    <w:p w14:paraId="19CE1CC1" w14:textId="77777777" w:rsidR="00242F9B" w:rsidRPr="000F4A69" w:rsidRDefault="00242F9B" w:rsidP="00242F9B">
      <w:pPr>
        <w:pStyle w:val="Notesoncontributors"/>
      </w:pPr>
      <w:r w:rsidRPr="000F4A69">
        <w:t>Dr Marie Thomas is Reader in Psychology at Bath Spa University. Her expertise lies in the effects of a range of health-related factors in human mood, psychopathology and performance – including caffeine, alcohol and colds and influenza. She is particularly interested in fatigue and cognition, her PhD focusses on Chronic Fatigue Syndrome and she has widened her research to investigate fatigue across a range of health conditions.</w:t>
      </w:r>
    </w:p>
    <w:p w14:paraId="1331DF86" w14:textId="77777777" w:rsidR="00242F9B" w:rsidRPr="000F4A69" w:rsidRDefault="00242F9B" w:rsidP="00242F9B">
      <w:pPr>
        <w:pStyle w:val="Notesoncontributors"/>
      </w:pPr>
    </w:p>
    <w:p w14:paraId="7B58E620" w14:textId="35488E70" w:rsidR="00242F9B" w:rsidRPr="000F4A69" w:rsidRDefault="00242F9B" w:rsidP="00242F9B">
      <w:pPr>
        <w:pStyle w:val="Notesoncontributors"/>
      </w:pPr>
      <w:r w:rsidRPr="000F4A69">
        <w:t>Dr Gary Christopher is Senior Lecturer in Cognition and Ageing and Theme Leader for the Lifespan and Developmental Psychology section of the Psychological Science</w:t>
      </w:r>
      <w:r w:rsidR="006F6EBC" w:rsidRPr="000F4A69">
        <w:t>s</w:t>
      </w:r>
      <w:r w:rsidRPr="000F4A69">
        <w:t xml:space="preserve"> Research Group at the University of the West of England</w:t>
      </w:r>
      <w:r w:rsidR="00C05253" w:rsidRPr="000F4A69">
        <w:t>, Bristol</w:t>
      </w:r>
      <w:r w:rsidRPr="000F4A69">
        <w:t>. His expertise lies in emotion regulation and cognitive impairment in the context of physical and mental health, specifically anxiety, depression, fatigue, personality disorder, and most recently dementia.  He is particularly interested in ageing and recently published a textbook, The Psychology of Ageing: From Mind to Society, by Palgrave Macmillan.</w:t>
      </w:r>
    </w:p>
    <w:p w14:paraId="680BE5F1" w14:textId="59FFD8C5" w:rsidR="00A005E3" w:rsidRPr="000F4A69" w:rsidRDefault="00C14585" w:rsidP="00A005E3">
      <w:pPr>
        <w:spacing w:after="120"/>
        <w:rPr>
          <w:b/>
          <w:sz w:val="28"/>
        </w:rPr>
      </w:pPr>
      <w:r w:rsidRPr="000F4A69">
        <w:br w:type="page"/>
      </w:r>
      <w:r w:rsidR="00C05253" w:rsidRPr="000F4A69">
        <w:rPr>
          <w:b/>
          <w:sz w:val="28"/>
        </w:rPr>
        <w:lastRenderedPageBreak/>
        <w:t>Fatigue in Developmental Coordination Disorder: an exploration of the risk factors among adults</w:t>
      </w:r>
    </w:p>
    <w:p w14:paraId="2A658012" w14:textId="77777777" w:rsidR="0038163F" w:rsidRPr="000F4A69" w:rsidRDefault="00242F9B" w:rsidP="0038163F">
      <w:pPr>
        <w:spacing w:before="360" w:after="120"/>
        <w:ind w:left="720" w:right="567"/>
        <w:rPr>
          <w:sz w:val="22"/>
          <w:szCs w:val="22"/>
        </w:rPr>
      </w:pPr>
      <w:bookmarkStart w:id="2" w:name="_Hlk496268713"/>
      <w:bookmarkStart w:id="3" w:name="OLE_LINK5"/>
      <w:r w:rsidRPr="000F4A69">
        <w:rPr>
          <w:sz w:val="22"/>
          <w:szCs w:val="22"/>
        </w:rPr>
        <w:t xml:space="preserve">Background: The </w:t>
      </w:r>
      <w:r w:rsidR="00C87647" w:rsidRPr="000F4A69">
        <w:rPr>
          <w:sz w:val="22"/>
          <w:szCs w:val="22"/>
        </w:rPr>
        <w:t xml:space="preserve">reporting </w:t>
      </w:r>
      <w:r w:rsidRPr="000F4A69">
        <w:rPr>
          <w:sz w:val="22"/>
          <w:szCs w:val="22"/>
        </w:rPr>
        <w:t xml:space="preserve">of fatigue in the clinical management of Developmental Coordination Disorder (DCD) is increasingly being acknowledged.  </w:t>
      </w:r>
      <w:r w:rsidR="0038163F" w:rsidRPr="000F4A69">
        <w:rPr>
          <w:sz w:val="22"/>
          <w:szCs w:val="22"/>
        </w:rPr>
        <w:t>This is particularly relevant for adults with the condition.  However, until now</w:t>
      </w:r>
      <w:r w:rsidR="007B6939" w:rsidRPr="000F4A69">
        <w:rPr>
          <w:sz w:val="22"/>
          <w:szCs w:val="22"/>
        </w:rPr>
        <w:t>,</w:t>
      </w:r>
      <w:r w:rsidR="0038163F" w:rsidRPr="000F4A69">
        <w:rPr>
          <w:sz w:val="22"/>
          <w:szCs w:val="22"/>
        </w:rPr>
        <w:t xml:space="preserve"> no research has explored the nature of the fatigue experienced by adults with this disorder. </w:t>
      </w:r>
    </w:p>
    <w:bookmarkEnd w:id="2"/>
    <w:p w14:paraId="12EEFC1F" w14:textId="0BA53FD2" w:rsidR="00242F9B" w:rsidRPr="000F4A69" w:rsidRDefault="00242F9B" w:rsidP="00306A20">
      <w:pPr>
        <w:spacing w:before="360" w:after="120"/>
        <w:ind w:left="720" w:right="567"/>
        <w:rPr>
          <w:sz w:val="22"/>
        </w:rPr>
      </w:pPr>
      <w:r w:rsidRPr="000F4A69">
        <w:rPr>
          <w:sz w:val="22"/>
        </w:rPr>
        <w:t xml:space="preserve">Purpose: Based on </w:t>
      </w:r>
      <w:r w:rsidR="007B6939" w:rsidRPr="000F4A69">
        <w:rPr>
          <w:sz w:val="22"/>
        </w:rPr>
        <w:t xml:space="preserve">our existing </w:t>
      </w:r>
      <w:r w:rsidRPr="000F4A69">
        <w:rPr>
          <w:sz w:val="22"/>
        </w:rPr>
        <w:t xml:space="preserve">model of </w:t>
      </w:r>
      <w:r w:rsidR="007B6939" w:rsidRPr="000F4A69">
        <w:rPr>
          <w:sz w:val="22"/>
        </w:rPr>
        <w:t>fatigue</w:t>
      </w:r>
      <w:r w:rsidRPr="000F4A69">
        <w:rPr>
          <w:sz w:val="22"/>
        </w:rPr>
        <w:t xml:space="preserve">, this paper aims to examine fatigue </w:t>
      </w:r>
      <w:r w:rsidR="007B6939" w:rsidRPr="000F4A69">
        <w:rPr>
          <w:sz w:val="22"/>
        </w:rPr>
        <w:t xml:space="preserve">in DCD </w:t>
      </w:r>
      <w:r w:rsidRPr="000F4A69">
        <w:rPr>
          <w:sz w:val="22"/>
        </w:rPr>
        <w:t xml:space="preserve">within the context of a range of psychosocial measures </w:t>
      </w:r>
      <w:r w:rsidR="00C87647" w:rsidRPr="000F4A69">
        <w:rPr>
          <w:sz w:val="22"/>
        </w:rPr>
        <w:t xml:space="preserve">such as </w:t>
      </w:r>
      <w:r w:rsidRPr="000F4A69">
        <w:rPr>
          <w:sz w:val="22"/>
        </w:rPr>
        <w:t xml:space="preserve">mood and everyday functioning.  </w:t>
      </w:r>
      <w:r w:rsidR="00EF273D" w:rsidRPr="000F4A69">
        <w:rPr>
          <w:sz w:val="22"/>
        </w:rPr>
        <w:t>A</w:t>
      </w:r>
      <w:r w:rsidRPr="000F4A69">
        <w:rPr>
          <w:sz w:val="22"/>
        </w:rPr>
        <w:t>dults with DCD a</w:t>
      </w:r>
      <w:r w:rsidR="009D0743" w:rsidRPr="000F4A69">
        <w:rPr>
          <w:sz w:val="22"/>
        </w:rPr>
        <w:t>re</w:t>
      </w:r>
      <w:r w:rsidRPr="000F4A69">
        <w:rPr>
          <w:sz w:val="22"/>
        </w:rPr>
        <w:t xml:space="preserve"> compare</w:t>
      </w:r>
      <w:r w:rsidR="009D0743" w:rsidRPr="000F4A69">
        <w:rPr>
          <w:sz w:val="22"/>
        </w:rPr>
        <w:t>d</w:t>
      </w:r>
      <w:r w:rsidRPr="000F4A69">
        <w:rPr>
          <w:sz w:val="22"/>
        </w:rPr>
        <w:t xml:space="preserve"> to a group of adults with </w:t>
      </w:r>
      <w:r w:rsidR="007B6939" w:rsidRPr="000F4A69">
        <w:rPr>
          <w:sz w:val="22"/>
        </w:rPr>
        <w:t>Chronic Fatigue Syndrome (</w:t>
      </w:r>
      <w:r w:rsidRPr="000F4A69">
        <w:rPr>
          <w:sz w:val="22"/>
        </w:rPr>
        <w:t>CFS</w:t>
      </w:r>
      <w:r w:rsidR="007B6939" w:rsidRPr="000F4A69">
        <w:rPr>
          <w:sz w:val="22"/>
        </w:rPr>
        <w:t>) – a condition characterised by excessive, prolonged fatigue –</w:t>
      </w:r>
      <w:r w:rsidRPr="000F4A69">
        <w:rPr>
          <w:sz w:val="22"/>
        </w:rPr>
        <w:t xml:space="preserve"> a</w:t>
      </w:r>
      <w:r w:rsidR="009D0743" w:rsidRPr="000F4A69">
        <w:rPr>
          <w:sz w:val="22"/>
        </w:rPr>
        <w:t>s</w:t>
      </w:r>
      <w:r w:rsidR="007B6939" w:rsidRPr="000F4A69">
        <w:rPr>
          <w:sz w:val="22"/>
        </w:rPr>
        <w:t xml:space="preserve"> </w:t>
      </w:r>
      <w:r w:rsidR="009D0743" w:rsidRPr="000F4A69">
        <w:rPr>
          <w:sz w:val="22"/>
        </w:rPr>
        <w:t>well as a</w:t>
      </w:r>
      <w:r w:rsidRPr="000F4A69">
        <w:rPr>
          <w:sz w:val="22"/>
        </w:rPr>
        <w:t xml:space="preserve"> typically developing/ non-</w:t>
      </w:r>
      <w:r w:rsidR="007B6939" w:rsidRPr="000F4A69">
        <w:rPr>
          <w:sz w:val="22"/>
        </w:rPr>
        <w:t xml:space="preserve">fatigued </w:t>
      </w:r>
      <w:r w:rsidR="009D0743" w:rsidRPr="000F4A69">
        <w:rPr>
          <w:sz w:val="22"/>
        </w:rPr>
        <w:t>group</w:t>
      </w:r>
      <w:r w:rsidRPr="000F4A69">
        <w:rPr>
          <w:sz w:val="22"/>
        </w:rPr>
        <w:t>.</w:t>
      </w:r>
    </w:p>
    <w:p w14:paraId="754AF2F9" w14:textId="77777777" w:rsidR="00242F9B" w:rsidRPr="000F4A69" w:rsidRDefault="00242F9B" w:rsidP="00306A20">
      <w:pPr>
        <w:spacing w:before="360" w:after="120"/>
        <w:ind w:left="720" w:right="567"/>
        <w:rPr>
          <w:sz w:val="22"/>
        </w:rPr>
      </w:pPr>
      <w:r w:rsidRPr="000F4A69">
        <w:rPr>
          <w:sz w:val="22"/>
        </w:rPr>
        <w:t xml:space="preserve">Method: </w:t>
      </w:r>
      <w:r w:rsidR="00C87647" w:rsidRPr="000F4A69">
        <w:rPr>
          <w:sz w:val="22"/>
        </w:rPr>
        <w:t>Fifty-three adults with DCD, 84 with CFS and 52 typically developing/ non</w:t>
      </w:r>
      <w:r w:rsidR="007B6939" w:rsidRPr="000F4A69">
        <w:rPr>
          <w:sz w:val="22"/>
        </w:rPr>
        <w:t>-</w:t>
      </w:r>
      <w:r w:rsidR="00C87647" w:rsidRPr="000F4A69">
        <w:rPr>
          <w:sz w:val="22"/>
        </w:rPr>
        <w:t>CFS adults completed all questionnaires.  </w:t>
      </w:r>
      <w:r w:rsidRPr="000F4A69">
        <w:rPr>
          <w:sz w:val="22"/>
        </w:rPr>
        <w:t xml:space="preserve">A range of established measures were administered to participants via an online data collection tool.  This was similar to work carried out previously involving CFS patients in a longitudinal study. </w:t>
      </w:r>
    </w:p>
    <w:p w14:paraId="57581FC2" w14:textId="38986962" w:rsidR="00242F9B" w:rsidRPr="000F4A69" w:rsidRDefault="00242F9B" w:rsidP="00306A20">
      <w:pPr>
        <w:spacing w:before="360" w:after="120"/>
        <w:ind w:left="720" w:right="567"/>
        <w:rPr>
          <w:sz w:val="22"/>
        </w:rPr>
      </w:pPr>
      <w:bookmarkStart w:id="4" w:name="_Hlk500948691"/>
      <w:bookmarkStart w:id="5" w:name="OLE_LINK18"/>
      <w:r w:rsidRPr="000F4A69">
        <w:rPr>
          <w:sz w:val="22"/>
        </w:rPr>
        <w:t xml:space="preserve">Results: </w:t>
      </w:r>
      <w:bookmarkEnd w:id="4"/>
      <w:bookmarkEnd w:id="5"/>
      <w:r w:rsidRPr="000F4A69">
        <w:rPr>
          <w:sz w:val="22"/>
        </w:rPr>
        <w:t xml:space="preserve">Findings demonstrate clear differences between the DCD and </w:t>
      </w:r>
      <w:r w:rsidR="009934B4" w:rsidRPr="000F4A69">
        <w:t>TD</w:t>
      </w:r>
      <w:r w:rsidR="009934B4" w:rsidRPr="000F4A69">
        <w:rPr>
          <w:sz w:val="22"/>
        </w:rPr>
        <w:t xml:space="preserve"> </w:t>
      </w:r>
      <w:r w:rsidRPr="000F4A69">
        <w:rPr>
          <w:sz w:val="22"/>
        </w:rPr>
        <w:t>groups for all measures administered</w:t>
      </w:r>
      <w:r w:rsidR="00130DB3" w:rsidRPr="000F4A69">
        <w:rPr>
          <w:sz w:val="22"/>
        </w:rPr>
        <w:t>, including fatigue</w:t>
      </w:r>
      <w:r w:rsidRPr="000F4A69">
        <w:rPr>
          <w:sz w:val="22"/>
        </w:rPr>
        <w:t> </w:t>
      </w:r>
      <w:r w:rsidR="00C708C0" w:rsidRPr="000F4A69">
        <w:t>(p&lt;0.001)</w:t>
      </w:r>
      <w:r w:rsidR="00C708C0" w:rsidRPr="000F4A69">
        <w:rPr>
          <w:sz w:val="22"/>
        </w:rPr>
        <w:t>.</w:t>
      </w:r>
      <w:r w:rsidRPr="000F4A69">
        <w:rPr>
          <w:sz w:val="22"/>
        </w:rPr>
        <w:t xml:space="preserve"> When compared to the CFS group, the adults with DCD </w:t>
      </w:r>
      <w:r w:rsidR="009D0743" w:rsidRPr="000F4A69">
        <w:rPr>
          <w:sz w:val="22"/>
        </w:rPr>
        <w:t xml:space="preserve">showed several </w:t>
      </w:r>
      <w:r w:rsidRPr="000F4A69">
        <w:rPr>
          <w:sz w:val="22"/>
        </w:rPr>
        <w:t xml:space="preserve">similarities </w:t>
      </w:r>
      <w:r w:rsidR="009D0743" w:rsidRPr="000F4A69">
        <w:rPr>
          <w:sz w:val="22"/>
        </w:rPr>
        <w:t>in their profile</w:t>
      </w:r>
      <w:r w:rsidRPr="000F4A69">
        <w:rPr>
          <w:sz w:val="22"/>
        </w:rPr>
        <w:t>.</w:t>
      </w:r>
    </w:p>
    <w:p w14:paraId="6AC7457E" w14:textId="434A89E3" w:rsidR="00242F9B" w:rsidRPr="000F4A69" w:rsidRDefault="00242F9B" w:rsidP="00306A20">
      <w:pPr>
        <w:spacing w:before="360" w:after="120"/>
        <w:ind w:left="720" w:right="567"/>
        <w:rPr>
          <w:sz w:val="22"/>
        </w:rPr>
      </w:pPr>
      <w:r w:rsidRPr="000F4A69">
        <w:rPr>
          <w:sz w:val="22"/>
        </w:rPr>
        <w:t xml:space="preserve">Conclusions: Of particular importance in the current study was the capture of data that corroborated anecdotal evidence of heightened levels of fatigue in adults </w:t>
      </w:r>
      <w:r w:rsidRPr="000F4A69">
        <w:rPr>
          <w:sz w:val="22"/>
        </w:rPr>
        <w:lastRenderedPageBreak/>
        <w:t xml:space="preserve">with DCD along with </w:t>
      </w:r>
      <w:r w:rsidR="00C87647" w:rsidRPr="000F4A69">
        <w:rPr>
          <w:sz w:val="22"/>
          <w:szCs w:val="22"/>
        </w:rPr>
        <w:t>impairments relating to</w:t>
      </w:r>
      <w:r w:rsidR="00C87647" w:rsidRPr="000F4A69">
        <w:t xml:space="preserve"> </w:t>
      </w:r>
      <w:r w:rsidRPr="000F4A69">
        <w:rPr>
          <w:sz w:val="22"/>
        </w:rPr>
        <w:t>key indicators of well-being</w:t>
      </w:r>
      <w:r w:rsidR="00C87647" w:rsidRPr="000F4A69">
        <w:rPr>
          <w:sz w:val="22"/>
        </w:rPr>
        <w:t xml:space="preserve"> such as</w:t>
      </w:r>
      <w:r w:rsidRPr="000F4A69">
        <w:rPr>
          <w:sz w:val="22"/>
        </w:rPr>
        <w:t xml:space="preserve"> depression, anxiety, cognitive functioning, self-esteem and sleep.  In addition, the comparison between DCD and the existing model of fatigue in CFS provided overlaps which might indicate commonalities in the psychophysiological mechanism underlying both conditions.</w:t>
      </w:r>
      <w:bookmarkEnd w:id="3"/>
    </w:p>
    <w:p w14:paraId="79C1E1D0" w14:textId="77777777" w:rsidR="00C13A07" w:rsidRPr="000F4A69" w:rsidRDefault="00242F9B" w:rsidP="00306A20">
      <w:pPr>
        <w:spacing w:before="360" w:after="120"/>
        <w:ind w:left="720" w:right="567"/>
        <w:rPr>
          <w:sz w:val="22"/>
        </w:rPr>
      </w:pPr>
      <w:bookmarkStart w:id="6" w:name="OLE_LINK4"/>
      <w:r w:rsidRPr="000F4A69">
        <w:rPr>
          <w:sz w:val="22"/>
        </w:rPr>
        <w:t xml:space="preserve">Keywords: fatigue; Developmental Coordination Disorder; </w:t>
      </w:r>
      <w:bookmarkStart w:id="7" w:name="OLE_LINK6"/>
      <w:r w:rsidRPr="000F4A69">
        <w:rPr>
          <w:sz w:val="22"/>
        </w:rPr>
        <w:t>psychosocial measures</w:t>
      </w:r>
      <w:bookmarkEnd w:id="7"/>
      <w:r w:rsidRPr="000F4A69">
        <w:rPr>
          <w:sz w:val="22"/>
        </w:rPr>
        <w:t xml:space="preserve">; Chronic Fatigue Syndrome; </w:t>
      </w:r>
      <w:r w:rsidR="009D0743" w:rsidRPr="000F4A69">
        <w:rPr>
          <w:sz w:val="22"/>
        </w:rPr>
        <w:t>well-being</w:t>
      </w:r>
    </w:p>
    <w:p w14:paraId="1E00F043" w14:textId="77777777" w:rsidR="00C13A07" w:rsidRPr="000F4A69" w:rsidRDefault="00C13A07" w:rsidP="003C7876">
      <w:pPr>
        <w:spacing w:before="240"/>
        <w:rPr>
          <w:b/>
        </w:rPr>
      </w:pPr>
      <w:r w:rsidRPr="000F4A69">
        <w:rPr>
          <w:sz w:val="22"/>
        </w:rPr>
        <w:br w:type="page"/>
      </w:r>
      <w:r w:rsidRPr="000F4A69">
        <w:rPr>
          <w:b/>
          <w:bCs/>
          <w:kern w:val="32"/>
          <w:szCs w:val="32"/>
        </w:rPr>
        <w:lastRenderedPageBreak/>
        <w:t>Introduction</w:t>
      </w:r>
    </w:p>
    <w:p w14:paraId="250DEC05" w14:textId="1A418D41" w:rsidR="00C13A07" w:rsidRPr="000F4A69" w:rsidRDefault="00C13A07" w:rsidP="003C7876">
      <w:pPr>
        <w:pStyle w:val="Body1"/>
        <w:spacing w:before="240" w:line="480" w:lineRule="auto"/>
        <w:ind w:firstLine="720"/>
        <w:rPr>
          <w:rFonts w:eastAsia="Calibri"/>
          <w:color w:val="auto"/>
          <w:szCs w:val="24"/>
          <w:lang w:eastAsia="en-US"/>
        </w:rPr>
      </w:pPr>
      <w:bookmarkStart w:id="8" w:name="_Hlk496268909"/>
      <w:bookmarkStart w:id="9" w:name="OLE_LINK7"/>
      <w:r w:rsidRPr="000F4A69">
        <w:rPr>
          <w:rFonts w:eastAsia="Calibri"/>
          <w:color w:val="auto"/>
          <w:szCs w:val="24"/>
          <w:lang w:eastAsia="en-US"/>
        </w:rPr>
        <w:t xml:space="preserve">A great deal of research focuses on developmental disorders in children and adolescents, yet these conditions </w:t>
      </w:r>
      <w:r w:rsidR="001A15D1" w:rsidRPr="000F4A69">
        <w:rPr>
          <w:rFonts w:eastAsia="Calibri"/>
          <w:color w:val="auto"/>
          <w:szCs w:val="24"/>
          <w:lang w:eastAsia="en-US"/>
        </w:rPr>
        <w:t>may</w:t>
      </w:r>
      <w:r w:rsidRPr="000F4A69">
        <w:rPr>
          <w:rFonts w:eastAsia="Calibri"/>
          <w:color w:val="auto"/>
          <w:szCs w:val="24"/>
          <w:lang w:eastAsia="en-US"/>
        </w:rPr>
        <w:t xml:space="preserve"> not disappear with age.  Our understanding of how these conditions impact on the lives of adults and older adults is unclear.  This paper focuses on one particular developmental disorder, Developmental Coordination Disorder (DCD), and examines the role of fatigue in the development and maintenance of this condition</w:t>
      </w:r>
      <w:r w:rsidR="00BD3FE1" w:rsidRPr="000F4A69">
        <w:rPr>
          <w:rFonts w:eastAsia="Calibri"/>
          <w:color w:val="auto"/>
          <w:szCs w:val="24"/>
          <w:lang w:eastAsia="en-US"/>
        </w:rPr>
        <w:t xml:space="preserve"> in adults</w:t>
      </w:r>
      <w:r w:rsidRPr="000F4A69">
        <w:rPr>
          <w:rFonts w:eastAsia="Calibri"/>
          <w:color w:val="auto"/>
          <w:szCs w:val="24"/>
          <w:lang w:eastAsia="en-US"/>
        </w:rPr>
        <w:t>.  Clinicians have reported anecdotal evidence to indicate that fatigue in DCD is a real issue.  However, this is the first paper to examine this</w:t>
      </w:r>
      <w:r w:rsidR="00BD3FE1" w:rsidRPr="000F4A69">
        <w:rPr>
          <w:rFonts w:eastAsia="Calibri"/>
          <w:color w:val="auto"/>
          <w:szCs w:val="24"/>
          <w:lang w:eastAsia="en-US"/>
        </w:rPr>
        <w:t xml:space="preserve"> in an adult sample</w:t>
      </w:r>
      <w:r w:rsidRPr="000F4A69">
        <w:rPr>
          <w:rFonts w:eastAsia="Calibri"/>
          <w:color w:val="auto"/>
          <w:szCs w:val="24"/>
          <w:lang w:eastAsia="en-US"/>
        </w:rPr>
        <w:t>.   There is a substantial literature on the role of fatigue in a number of conditions, including chronic fatigue syndrome</w:t>
      </w:r>
      <w:r w:rsidR="007B6939" w:rsidRPr="000F4A69">
        <w:rPr>
          <w:rFonts w:eastAsia="Calibri"/>
          <w:color w:val="auto"/>
          <w:szCs w:val="24"/>
          <w:lang w:eastAsia="en-US"/>
        </w:rPr>
        <w:t xml:space="preserve"> (CFS)</w:t>
      </w:r>
      <w:r w:rsidRPr="000F4A69">
        <w:rPr>
          <w:rFonts w:eastAsia="Calibri"/>
          <w:color w:val="auto"/>
          <w:szCs w:val="24"/>
          <w:lang w:eastAsia="en-US"/>
        </w:rPr>
        <w:t>, and it is clear that acknowledgement of fatigue</w:t>
      </w:r>
      <w:r w:rsidR="0098257B" w:rsidRPr="000F4A69">
        <w:rPr>
          <w:rFonts w:eastAsia="Calibri"/>
          <w:color w:val="auto"/>
          <w:szCs w:val="24"/>
          <w:lang w:eastAsia="en-US"/>
        </w:rPr>
        <w:t xml:space="preserve">, if present, </w:t>
      </w:r>
      <w:r w:rsidRPr="000F4A69">
        <w:rPr>
          <w:rFonts w:eastAsia="Calibri"/>
          <w:color w:val="auto"/>
          <w:szCs w:val="24"/>
          <w:lang w:eastAsia="en-US"/>
        </w:rPr>
        <w:t>is vital to the clinical management of</w:t>
      </w:r>
      <w:r w:rsidR="007B6939" w:rsidRPr="000F4A69">
        <w:rPr>
          <w:rFonts w:eastAsia="Calibri"/>
          <w:color w:val="auto"/>
          <w:szCs w:val="24"/>
          <w:lang w:eastAsia="en-US"/>
        </w:rPr>
        <w:t xml:space="preserve"> these conditions</w:t>
      </w:r>
      <w:r w:rsidR="0098257B" w:rsidRPr="000F4A69">
        <w:rPr>
          <w:rFonts w:eastAsia="Calibri"/>
          <w:color w:val="auto"/>
          <w:szCs w:val="24"/>
          <w:lang w:eastAsia="en-US"/>
        </w:rPr>
        <w:t>.</w:t>
      </w:r>
      <w:r w:rsidR="007B6939" w:rsidRPr="000F4A69">
        <w:rPr>
          <w:rFonts w:eastAsia="Calibri"/>
          <w:color w:val="auto"/>
          <w:szCs w:val="24"/>
          <w:lang w:eastAsia="en-US"/>
        </w:rPr>
        <w:t xml:space="preserve"> </w:t>
      </w:r>
      <w:bookmarkEnd w:id="8"/>
      <w:bookmarkEnd w:id="9"/>
    </w:p>
    <w:p w14:paraId="22243FB4" w14:textId="1BD7F99A" w:rsidR="00C13A07" w:rsidRPr="000F4A69" w:rsidRDefault="00C13A07" w:rsidP="003C7876">
      <w:pPr>
        <w:pStyle w:val="Body1"/>
        <w:spacing w:before="240" w:line="480" w:lineRule="auto"/>
        <w:ind w:firstLine="720"/>
        <w:rPr>
          <w:rFonts w:eastAsia="Calibri"/>
          <w:color w:val="auto"/>
          <w:szCs w:val="24"/>
          <w:lang w:eastAsia="en-US"/>
        </w:rPr>
      </w:pPr>
      <w:r w:rsidRPr="000F4A69">
        <w:rPr>
          <w:rFonts w:eastAsia="Calibri"/>
          <w:color w:val="auto"/>
          <w:szCs w:val="24"/>
          <w:lang w:eastAsia="en-US"/>
        </w:rPr>
        <w:t xml:space="preserve">DCD is a neurodevelopmental disorder which is diagnosed, for the most part, on the basis of poor motor coordination. The current edition of the American </w:t>
      </w:r>
      <w:r w:rsidR="00A92034" w:rsidRPr="000F4A69">
        <w:rPr>
          <w:rFonts w:eastAsia="Calibri"/>
          <w:color w:val="auto"/>
          <w:szCs w:val="24"/>
          <w:lang w:eastAsia="en-US"/>
        </w:rPr>
        <w:t xml:space="preserve">Psychiatric </w:t>
      </w:r>
      <w:r w:rsidRPr="000F4A69">
        <w:rPr>
          <w:rFonts w:eastAsia="Calibri"/>
          <w:color w:val="auto"/>
          <w:szCs w:val="24"/>
          <w:lang w:eastAsia="en-US"/>
        </w:rPr>
        <w:t>Association’s (APA) Diagnostic and Statistical Manual of Mental Disorders (DSM-5)</w:t>
      </w:r>
      <w:r w:rsidR="00342858" w:rsidRPr="000F4A69">
        <w:rPr>
          <w:rFonts w:eastAsia="Calibri"/>
          <w:color w:val="auto"/>
          <w:szCs w:val="24"/>
          <w:vertAlign w:val="superscript"/>
          <w:lang w:eastAsia="en-US"/>
        </w:rPr>
        <w:t>1</w:t>
      </w:r>
      <w:r w:rsidRPr="000F4A69">
        <w:rPr>
          <w:rFonts w:eastAsia="Calibri"/>
          <w:color w:val="auto"/>
          <w:szCs w:val="24"/>
          <w:lang w:eastAsia="en-US"/>
        </w:rPr>
        <w:t xml:space="preserve"> describes the motor difficulties in DCD as significant when considering the individual’s age and level of pre-existing skill. Indeed, the impairment experienced is at a level which impacts on daily activities and academic achievement and is evident in early development.     </w:t>
      </w:r>
    </w:p>
    <w:p w14:paraId="15BDF8B2" w14:textId="33FA8793" w:rsidR="00546359" w:rsidRPr="000F4A69" w:rsidRDefault="00546359" w:rsidP="003C7876">
      <w:pPr>
        <w:pStyle w:val="Body1"/>
        <w:spacing w:before="240" w:line="480" w:lineRule="auto"/>
        <w:ind w:firstLine="720"/>
        <w:rPr>
          <w:rFonts w:eastAsia="Calibri"/>
          <w:color w:val="auto"/>
          <w:szCs w:val="24"/>
          <w:lang w:eastAsia="en-US"/>
        </w:rPr>
      </w:pPr>
      <w:r w:rsidRPr="000F4A69">
        <w:rPr>
          <w:rFonts w:eastAsia="Calibri"/>
          <w:color w:val="auto"/>
          <w:szCs w:val="24"/>
          <w:lang w:eastAsia="en-US"/>
        </w:rPr>
        <w:t>Prevalence of DCD</w:t>
      </w:r>
    </w:p>
    <w:p w14:paraId="63ACA598" w14:textId="48465360" w:rsidR="00C13A07" w:rsidRPr="000F4A69" w:rsidRDefault="00C13A07" w:rsidP="003C7876">
      <w:pPr>
        <w:pStyle w:val="Body1"/>
        <w:spacing w:before="240" w:line="480" w:lineRule="auto"/>
        <w:ind w:firstLine="720"/>
        <w:rPr>
          <w:rFonts w:eastAsia="Calibri"/>
          <w:color w:val="auto"/>
          <w:szCs w:val="24"/>
          <w:lang w:eastAsia="en-US"/>
        </w:rPr>
      </w:pPr>
      <w:r w:rsidRPr="000F4A69">
        <w:rPr>
          <w:rFonts w:eastAsia="Calibri"/>
          <w:color w:val="auto"/>
          <w:szCs w:val="24"/>
          <w:lang w:eastAsia="en-US"/>
        </w:rPr>
        <w:t xml:space="preserve">Although initially considered to be a childhood disorder, there is increasing evidence that the difficulties associated with DCD (sometimes referred to as </w:t>
      </w:r>
      <w:r w:rsidRPr="000F4A69">
        <w:rPr>
          <w:rFonts w:eastAsia="Calibri"/>
          <w:i/>
          <w:color w:val="auto"/>
          <w:szCs w:val="24"/>
          <w:lang w:eastAsia="en-US"/>
        </w:rPr>
        <w:t>dyspraxia</w:t>
      </w:r>
      <w:r w:rsidRPr="000F4A69">
        <w:rPr>
          <w:rFonts w:eastAsia="Calibri"/>
          <w:color w:val="auto"/>
          <w:szCs w:val="24"/>
          <w:lang w:eastAsia="en-US"/>
        </w:rPr>
        <w:t>) continue into adulthood.</w:t>
      </w:r>
      <w:r w:rsidRPr="000F4A69">
        <w:rPr>
          <w:color w:val="auto"/>
          <w:szCs w:val="24"/>
        </w:rPr>
        <w:t xml:space="preserve"> In children, p</w:t>
      </w:r>
      <w:r w:rsidRPr="000F4A69">
        <w:rPr>
          <w:rFonts w:eastAsia="Calibri"/>
          <w:color w:val="auto"/>
          <w:szCs w:val="24"/>
          <w:lang w:eastAsia="en-US"/>
        </w:rPr>
        <w:t xml:space="preserve">revalence rates vary around the world. For example, a </w:t>
      </w:r>
      <w:r w:rsidR="007B6939" w:rsidRPr="000F4A69">
        <w:rPr>
          <w:rFonts w:eastAsia="Calibri"/>
          <w:color w:val="auto"/>
          <w:szCs w:val="24"/>
          <w:lang w:eastAsia="en-US"/>
        </w:rPr>
        <w:t>population-</w:t>
      </w:r>
      <w:r w:rsidRPr="000F4A69">
        <w:rPr>
          <w:rFonts w:eastAsia="Calibri"/>
          <w:color w:val="auto"/>
          <w:szCs w:val="24"/>
          <w:lang w:eastAsia="en-US"/>
        </w:rPr>
        <w:t xml:space="preserve">based study of seven-year-olds in the UK </w:t>
      </w:r>
      <w:r w:rsidR="007B6939" w:rsidRPr="000F4A69">
        <w:rPr>
          <w:rFonts w:eastAsia="Calibri"/>
          <w:color w:val="auto"/>
          <w:szCs w:val="24"/>
          <w:lang w:eastAsia="en-US"/>
        </w:rPr>
        <w:t xml:space="preserve">reported </w:t>
      </w:r>
      <w:r w:rsidRPr="000F4A69">
        <w:rPr>
          <w:rFonts w:eastAsia="Calibri"/>
          <w:color w:val="auto"/>
          <w:szCs w:val="24"/>
          <w:lang w:eastAsia="en-US"/>
        </w:rPr>
        <w:t xml:space="preserve">prevalence </w:t>
      </w:r>
      <w:r w:rsidRPr="000F4A69">
        <w:rPr>
          <w:rFonts w:eastAsia="Calibri"/>
          <w:color w:val="auto"/>
          <w:szCs w:val="24"/>
          <w:lang w:eastAsia="en-US"/>
        </w:rPr>
        <w:lastRenderedPageBreak/>
        <w:t>rates ranging from 1.8 and 4.9%</w:t>
      </w:r>
      <w:r w:rsidRPr="000F4A69">
        <w:rPr>
          <w:rFonts w:eastAsia="Calibri"/>
          <w:color w:val="auto"/>
          <w:szCs w:val="24"/>
          <w:vertAlign w:val="superscript"/>
          <w:lang w:eastAsia="en-US"/>
        </w:rPr>
        <w:t>2</w:t>
      </w:r>
      <w:r w:rsidRPr="000F4A69">
        <w:rPr>
          <w:rFonts w:eastAsia="Calibri"/>
          <w:color w:val="auto"/>
          <w:szCs w:val="24"/>
          <w:lang w:eastAsia="en-US"/>
        </w:rPr>
        <w:t>, whereas a similar Swedish study reported higher prevalence ranging from 4.9 to 8.6%</w:t>
      </w:r>
      <w:r w:rsidR="009D0743" w:rsidRPr="000F4A69">
        <w:rPr>
          <w:rFonts w:eastAsia="Calibri"/>
          <w:color w:val="auto"/>
          <w:szCs w:val="24"/>
          <w:vertAlign w:val="superscript"/>
          <w:lang w:eastAsia="en-US"/>
        </w:rPr>
        <w:t>3</w:t>
      </w:r>
      <w:r w:rsidRPr="000F4A69">
        <w:rPr>
          <w:rFonts w:eastAsia="Calibri"/>
          <w:color w:val="auto"/>
          <w:szCs w:val="24"/>
          <w:lang w:eastAsia="en-US"/>
        </w:rPr>
        <w:t>. The discrepancy has been attributed to both the stringency of the criteria used to describe the sample and the assessment tools and their clinical cut-offs chosen for the measurement of impairment. To add further confusion to measuring the prevalence of DCD, it is commonly acknowledged that overlap between the developmental disorders frequently occurs</w:t>
      </w:r>
      <w:r w:rsidRPr="000F4A69">
        <w:rPr>
          <w:rFonts w:eastAsia="Calibri"/>
          <w:color w:val="auto"/>
          <w:szCs w:val="24"/>
          <w:vertAlign w:val="superscript"/>
          <w:lang w:eastAsia="en-US"/>
        </w:rPr>
        <w:t>4</w:t>
      </w:r>
      <w:r w:rsidRPr="000F4A69">
        <w:rPr>
          <w:rFonts w:eastAsia="Calibri"/>
          <w:color w:val="auto"/>
          <w:szCs w:val="24"/>
          <w:lang w:eastAsia="en-US"/>
        </w:rPr>
        <w:t xml:space="preserve">. </w:t>
      </w:r>
    </w:p>
    <w:p w14:paraId="7159A3D0" w14:textId="03B11B9B" w:rsidR="00C13A07" w:rsidRPr="000F4A69" w:rsidRDefault="00BC47EC" w:rsidP="003C7876">
      <w:pPr>
        <w:spacing w:before="240"/>
        <w:ind w:firstLine="720"/>
        <w:outlineLvl w:val="0"/>
      </w:pPr>
      <w:bookmarkStart w:id="10" w:name="OLE_LINK9"/>
      <w:r w:rsidRPr="000F4A69">
        <w:t>When considering the transition into adulthood</w:t>
      </w:r>
      <w:r w:rsidR="00C13A07" w:rsidRPr="000F4A69">
        <w:t xml:space="preserve">, again taking the caveats mentioned above into consideration, prevalence rates vary from </w:t>
      </w:r>
      <w:r w:rsidR="00C05253" w:rsidRPr="000F4A69">
        <w:t>30—87%</w:t>
      </w:r>
      <w:r w:rsidR="00C708C0" w:rsidRPr="000F4A69">
        <w:rPr>
          <w:vertAlign w:val="superscript"/>
        </w:rPr>
        <w:t>5-9</w:t>
      </w:r>
      <w:r w:rsidR="00C05253" w:rsidRPr="000F4A69">
        <w:t xml:space="preserve">.  </w:t>
      </w:r>
      <w:r w:rsidR="00C13A07" w:rsidRPr="000F4A69">
        <w:t xml:space="preserve">However, despite the increasing evidence suggesting that DCD continues beyond childhood, diagnostic pathways and service provision for adults seeking a diagnosis of DCD are inconsistent across the UK. </w:t>
      </w:r>
    </w:p>
    <w:bookmarkEnd w:id="10"/>
    <w:p w14:paraId="16EE5C79" w14:textId="2B22A45E" w:rsidR="00C13A07" w:rsidRPr="000F4A69" w:rsidRDefault="00C13A07" w:rsidP="003C7876">
      <w:pPr>
        <w:spacing w:before="240"/>
        <w:ind w:firstLine="720"/>
        <w:outlineLvl w:val="0"/>
      </w:pPr>
      <w:r w:rsidRPr="000F4A69">
        <w:t xml:space="preserve">Defining DCD in adulthood remains a challenge. Factors such as past intervention, strategies employed by the individual to avoid tasks which cause them difficulty, and the presence of co-occurring conditions should be taken into consideration. As a consequence, research in this field has tended to present this group in a number of ways. </w:t>
      </w:r>
      <w:bookmarkStart w:id="11" w:name="_Hlk500949673"/>
      <w:bookmarkStart w:id="12" w:name="OLE_LINK21"/>
      <w:r w:rsidRPr="000F4A69">
        <w:t xml:space="preserve">Some studies describe adults with motor difficulties </w:t>
      </w:r>
      <w:r w:rsidR="00C05253" w:rsidRPr="000F4A69">
        <w:t xml:space="preserve">as opposed to specifically DCD </w:t>
      </w:r>
      <w:r w:rsidRPr="000F4A69">
        <w:t xml:space="preserve">as a diagnosis </w:t>
      </w:r>
      <w:r w:rsidR="00C05253" w:rsidRPr="000F4A69">
        <w:t xml:space="preserve">of DCD </w:t>
      </w:r>
      <w:r w:rsidRPr="000F4A69">
        <w:t>had not been made in childhood</w:t>
      </w:r>
      <w:r w:rsidRPr="000F4A69">
        <w:rPr>
          <w:vertAlign w:val="superscript"/>
        </w:rPr>
        <w:t>4</w:t>
      </w:r>
      <w:r w:rsidR="00C04ABA" w:rsidRPr="000F4A69">
        <w:t xml:space="preserve">; </w:t>
      </w:r>
      <w:r w:rsidRPr="000F4A69">
        <w:t>others included those who self-reported they had DCD or a motor coordination difficulty (no formal diagnosis)</w:t>
      </w:r>
      <w:r w:rsidRPr="000F4A69">
        <w:rPr>
          <w:vertAlign w:val="superscript"/>
        </w:rPr>
        <w:t>10</w:t>
      </w:r>
      <w:r w:rsidRPr="000F4A69">
        <w:t xml:space="preserve">. </w:t>
      </w:r>
      <w:bookmarkEnd w:id="11"/>
      <w:bookmarkEnd w:id="12"/>
      <w:r w:rsidRPr="000F4A69">
        <w:t>These studies did, however, use recognised screening tools as part of the inclusion criteria process</w:t>
      </w:r>
      <w:r w:rsidR="00B00534" w:rsidRPr="000F4A69">
        <w:t xml:space="preserve"> such as the Adult DCD </w:t>
      </w:r>
      <w:r w:rsidR="0039742B" w:rsidRPr="000F4A69">
        <w:t>Check-list</w:t>
      </w:r>
      <w:r w:rsidR="00FE4576" w:rsidRPr="000F4A69">
        <w:rPr>
          <w:vertAlign w:val="superscript"/>
        </w:rPr>
        <w:t>11</w:t>
      </w:r>
      <w:r w:rsidR="00B00534" w:rsidRPr="000F4A69">
        <w:rPr>
          <w:vertAlign w:val="superscript"/>
        </w:rPr>
        <w:t xml:space="preserve"> </w:t>
      </w:r>
      <w:r w:rsidR="00B00534" w:rsidRPr="000F4A69">
        <w:t>and the Adolescents and Adults Coordination Questionnaire</w:t>
      </w:r>
      <w:r w:rsidR="00B00534" w:rsidRPr="000F4A69">
        <w:rPr>
          <w:vertAlign w:val="superscript"/>
        </w:rPr>
        <w:t>1</w:t>
      </w:r>
      <w:r w:rsidR="00FE4576" w:rsidRPr="000F4A69">
        <w:rPr>
          <w:vertAlign w:val="superscript"/>
        </w:rPr>
        <w:t>2</w:t>
      </w:r>
      <w:r w:rsidRPr="000F4A69">
        <w:t xml:space="preserve">. </w:t>
      </w:r>
    </w:p>
    <w:p w14:paraId="2D2FF41C" w14:textId="23B4AA9E" w:rsidR="00546359" w:rsidRPr="000F4A69" w:rsidRDefault="00546359" w:rsidP="003C7876">
      <w:pPr>
        <w:spacing w:before="240"/>
        <w:ind w:firstLine="720"/>
        <w:outlineLvl w:val="0"/>
      </w:pPr>
      <w:r w:rsidRPr="000F4A69">
        <w:t>Fatigue in DCD and chronic fatigue syndrome</w:t>
      </w:r>
    </w:p>
    <w:p w14:paraId="515E55D0" w14:textId="5EE990B5" w:rsidR="00C13A07" w:rsidRPr="000F4A69" w:rsidRDefault="0098257B" w:rsidP="003C7876">
      <w:pPr>
        <w:spacing w:before="240"/>
        <w:ind w:firstLine="720"/>
        <w:outlineLvl w:val="0"/>
      </w:pPr>
      <w:bookmarkStart w:id="13" w:name="OLE_LINK10"/>
      <w:r w:rsidRPr="000F4A69">
        <w:t xml:space="preserve">Although not </w:t>
      </w:r>
      <w:r w:rsidR="00C13A07" w:rsidRPr="000F4A69">
        <w:t xml:space="preserve">viewed as a typical symptom in the classification of DCD, anecdotal evidence exists of individuals </w:t>
      </w:r>
      <w:r w:rsidRPr="000F4A69">
        <w:t xml:space="preserve">with DCD </w:t>
      </w:r>
      <w:r w:rsidR="00C13A07" w:rsidRPr="000F4A69">
        <w:t xml:space="preserve">reporting high levels of fatigue when </w:t>
      </w:r>
      <w:r w:rsidR="00C13A07" w:rsidRPr="000F4A69">
        <w:lastRenderedPageBreak/>
        <w:t xml:space="preserve">presenting to General Practitioners (GP) and other healthcare professionals. This is true for both children and adults. </w:t>
      </w:r>
      <w:r w:rsidR="00047DB4" w:rsidRPr="000F4A69">
        <w:t>Apart from clinical practice, t</w:t>
      </w:r>
      <w:r w:rsidR="00636A5B" w:rsidRPr="000F4A69">
        <w:t>here has been a wealth of research conducted into the</w:t>
      </w:r>
      <w:r w:rsidR="00BC47EC" w:rsidRPr="000F4A69">
        <w:t xml:space="preserve"> fatigue </w:t>
      </w:r>
      <w:r w:rsidR="00636A5B" w:rsidRPr="000F4A69">
        <w:t xml:space="preserve">experienced </w:t>
      </w:r>
      <w:r w:rsidR="00BC47EC" w:rsidRPr="000F4A69">
        <w:t>in childhood</w:t>
      </w:r>
      <w:r w:rsidR="00C04ABA" w:rsidRPr="000F4A69">
        <w:t xml:space="preserve"> DCD</w:t>
      </w:r>
      <w:r w:rsidR="00636A5B" w:rsidRPr="000F4A69">
        <w:t xml:space="preserve">. This has </w:t>
      </w:r>
      <w:r w:rsidR="00C13A07" w:rsidRPr="000F4A69">
        <w:t>been attributed to a number of causes such as inefficient patterns of movement leading to higher energy expenditure</w:t>
      </w:r>
      <w:r w:rsidR="00683A7B" w:rsidRPr="000F4A69">
        <w:rPr>
          <w:vertAlign w:val="superscript"/>
        </w:rPr>
        <w:t>1</w:t>
      </w:r>
      <w:r w:rsidR="00FE4576" w:rsidRPr="000F4A69">
        <w:rPr>
          <w:vertAlign w:val="superscript"/>
        </w:rPr>
        <w:t>3</w:t>
      </w:r>
      <w:r w:rsidR="00683A7B" w:rsidRPr="000F4A69">
        <w:t>.</w:t>
      </w:r>
      <w:r w:rsidR="00C13A07" w:rsidRPr="000F4A69">
        <w:t xml:space="preserve">  </w:t>
      </w:r>
      <w:r w:rsidR="00636A5B" w:rsidRPr="000F4A69">
        <w:t xml:space="preserve">However, DCD </w:t>
      </w:r>
      <w:r w:rsidR="00047DB4" w:rsidRPr="000F4A69">
        <w:t>in adults has not been formally studied, as far as we are aware. This initial study will provide preliminary data on fatigue in adult DCD</w:t>
      </w:r>
      <w:r w:rsidR="00636A5B" w:rsidRPr="000F4A69">
        <w:t>.</w:t>
      </w:r>
    </w:p>
    <w:bookmarkEnd w:id="13"/>
    <w:p w14:paraId="2B0EEDD2" w14:textId="7D03FAB1" w:rsidR="00C13A07" w:rsidRPr="000F4A69" w:rsidRDefault="00047DB4" w:rsidP="003C7876">
      <w:pPr>
        <w:autoSpaceDE w:val="0"/>
        <w:autoSpaceDN w:val="0"/>
        <w:adjustRightInd w:val="0"/>
        <w:spacing w:before="240"/>
        <w:ind w:firstLine="720"/>
      </w:pPr>
      <w:r w:rsidRPr="000F4A69">
        <w:t>Apart from fatigue as intrinsic to DCD, t</w:t>
      </w:r>
      <w:r w:rsidR="00C13A07" w:rsidRPr="000F4A69">
        <w:t>he fatigue could also be linked to the high rates of comorbid depression and anxiety reported</w:t>
      </w:r>
      <w:r w:rsidR="00C13A07" w:rsidRPr="000F4A69">
        <w:rPr>
          <w:vertAlign w:val="superscript"/>
        </w:rPr>
        <w:t>4, 1</w:t>
      </w:r>
      <w:r w:rsidR="00FE4576" w:rsidRPr="000F4A69">
        <w:rPr>
          <w:vertAlign w:val="superscript"/>
        </w:rPr>
        <w:t>4</w:t>
      </w:r>
      <w:r w:rsidR="00C13A07" w:rsidRPr="000F4A69">
        <w:t>. Furthermore, anxiety and depressive disorders are associated with somatic cardiopulmonary symptoms, musculoskeletal symptoms, and gastrointestinal symptoms</w:t>
      </w:r>
      <w:r w:rsidR="00C13A07" w:rsidRPr="000F4A69">
        <w:rPr>
          <w:vertAlign w:val="superscript"/>
        </w:rPr>
        <w:t>1</w:t>
      </w:r>
      <w:r w:rsidR="00FE4576" w:rsidRPr="000F4A69">
        <w:rPr>
          <w:vertAlign w:val="superscript"/>
        </w:rPr>
        <w:t>5</w:t>
      </w:r>
      <w:r w:rsidR="00C13A07" w:rsidRPr="000F4A69">
        <w:t xml:space="preserve">. Consequently, when measuring fatigue in those with DCD, one </w:t>
      </w:r>
      <w:r w:rsidRPr="000F4A69">
        <w:t xml:space="preserve">approach </w:t>
      </w:r>
      <w:r w:rsidR="00C13A07" w:rsidRPr="000F4A69">
        <w:t xml:space="preserve">is to also assess levels of these associated symptoms. </w:t>
      </w:r>
      <w:r w:rsidRPr="000F4A69">
        <w:t>U</w:t>
      </w:r>
      <w:r w:rsidR="00C13A07" w:rsidRPr="000F4A69">
        <w:t xml:space="preserve">nderstanding the nature of the fatigue experienced by individuals with DCD will have valuable implications, both for clinicians managing the condition, and for those with the diagnosis. </w:t>
      </w:r>
    </w:p>
    <w:p w14:paraId="76C66249" w14:textId="0735B9F7" w:rsidR="00C13A07" w:rsidRPr="000F4A69" w:rsidRDefault="00C13A07" w:rsidP="003C7876">
      <w:pPr>
        <w:autoSpaceDE w:val="0"/>
        <w:autoSpaceDN w:val="0"/>
        <w:adjustRightInd w:val="0"/>
        <w:spacing w:before="240"/>
        <w:ind w:firstLine="720"/>
      </w:pPr>
      <w:r w:rsidRPr="000F4A69">
        <w:t xml:space="preserve">An area of fatigue that has been extensively researched is </w:t>
      </w:r>
      <w:r w:rsidR="00047DB4" w:rsidRPr="000F4A69">
        <w:t xml:space="preserve">the illness </w:t>
      </w:r>
      <w:r w:rsidRPr="000F4A69">
        <w:t>of Chronic Fatigue Syndrome (CFS). CFS</w:t>
      </w:r>
      <w:r w:rsidR="00047DB4" w:rsidRPr="000F4A69">
        <w:t xml:space="preserve"> is</w:t>
      </w:r>
      <w:r w:rsidRPr="000F4A69">
        <w:t xml:space="preserve"> </w:t>
      </w:r>
      <w:r w:rsidR="00047DB4" w:rsidRPr="000F4A69">
        <w:t xml:space="preserve">characterized by </w:t>
      </w:r>
      <w:r w:rsidRPr="000F4A69">
        <w:t xml:space="preserve">excessive fatigue </w:t>
      </w:r>
      <w:r w:rsidR="00047DB4" w:rsidRPr="000F4A69">
        <w:t xml:space="preserve">(plus several secondary symptoms) lasting at least </w:t>
      </w:r>
      <w:r w:rsidRPr="000F4A69">
        <w:t xml:space="preserve">six months </w:t>
      </w:r>
      <w:r w:rsidR="00047DB4" w:rsidRPr="000F4A69">
        <w:t>which is unresolved by rest or sleep.</w:t>
      </w:r>
      <w:r w:rsidR="00047DB4" w:rsidRPr="000F4A69">
        <w:rPr>
          <w:vertAlign w:val="superscript"/>
        </w:rPr>
        <w:t>16</w:t>
      </w:r>
      <w:r w:rsidRPr="000F4A69">
        <w:t xml:space="preserve"> </w:t>
      </w:r>
      <w:r w:rsidR="00047DB4" w:rsidRPr="000F4A69">
        <w:t xml:space="preserve">The illness </w:t>
      </w:r>
      <w:r w:rsidRPr="000F4A69">
        <w:t xml:space="preserve">has no known aetiology or distinctive biological diagnostic markers. </w:t>
      </w:r>
      <w:bookmarkStart w:id="14" w:name="OLE_LINK15"/>
      <w:r w:rsidR="00751582" w:rsidRPr="000F4A69">
        <w:t>The condition has a higher prevalence in middle</w:t>
      </w:r>
      <w:r w:rsidR="00C04ABA" w:rsidRPr="000F4A69">
        <w:t>-</w:t>
      </w:r>
      <w:r w:rsidR="00751582" w:rsidRPr="000F4A69">
        <w:t>aged women and</w:t>
      </w:r>
      <w:r w:rsidRPr="000F4A69">
        <w:t xml:space="preserve"> those who </w:t>
      </w:r>
      <w:r w:rsidR="00C04ABA" w:rsidRPr="000F4A69">
        <w:t xml:space="preserve">are diagnosed with </w:t>
      </w:r>
      <w:r w:rsidR="00D175EA" w:rsidRPr="000F4A69">
        <w:t>it</w:t>
      </w:r>
      <w:r w:rsidRPr="000F4A69">
        <w:t xml:space="preserve"> experience measurable cognitive impairment</w:t>
      </w:r>
      <w:r w:rsidRPr="000F4A69">
        <w:rPr>
          <w:vertAlign w:val="superscript"/>
        </w:rPr>
        <w:t>1</w:t>
      </w:r>
      <w:r w:rsidR="00FE4576" w:rsidRPr="000F4A69">
        <w:rPr>
          <w:vertAlign w:val="superscript"/>
        </w:rPr>
        <w:t>7</w:t>
      </w:r>
      <w:r w:rsidRPr="000F4A69">
        <w:t xml:space="preserve"> and high levels of somatic symptoms, anxiety, and depression</w:t>
      </w:r>
      <w:r w:rsidRPr="000F4A69">
        <w:rPr>
          <w:vertAlign w:val="superscript"/>
        </w:rPr>
        <w:t>1</w:t>
      </w:r>
      <w:r w:rsidR="00FE4576" w:rsidRPr="000F4A69">
        <w:rPr>
          <w:vertAlign w:val="superscript"/>
        </w:rPr>
        <w:t>8</w:t>
      </w:r>
      <w:r w:rsidRPr="000F4A69">
        <w:t xml:space="preserve">. </w:t>
      </w:r>
      <w:bookmarkEnd w:id="14"/>
      <w:r w:rsidRPr="000F4A69">
        <w:t xml:space="preserve">Together with decreased personal, occupational, and social activities which impact </w:t>
      </w:r>
      <w:r w:rsidR="00C04ABA" w:rsidRPr="000F4A69">
        <w:t xml:space="preserve">negatively </w:t>
      </w:r>
      <w:r w:rsidRPr="000F4A69">
        <w:t>on their quality of life, individuals with CFS are more likely to be unemployed than their peers</w:t>
      </w:r>
      <w:r w:rsidRPr="000F4A69">
        <w:rPr>
          <w:vertAlign w:val="superscript"/>
        </w:rPr>
        <w:t>1</w:t>
      </w:r>
      <w:r w:rsidR="00FE4576" w:rsidRPr="000F4A69">
        <w:rPr>
          <w:vertAlign w:val="superscript"/>
        </w:rPr>
        <w:t>9</w:t>
      </w:r>
      <w:r w:rsidRPr="000F4A69">
        <w:t xml:space="preserve">. </w:t>
      </w:r>
    </w:p>
    <w:p w14:paraId="33B571EC" w14:textId="65023E12" w:rsidR="00C13A07" w:rsidRPr="000F4A69" w:rsidRDefault="00C13A07" w:rsidP="003C7876">
      <w:pPr>
        <w:spacing w:before="240"/>
        <w:ind w:firstLine="720"/>
      </w:pPr>
      <w:r w:rsidRPr="000F4A69">
        <w:lastRenderedPageBreak/>
        <w:t>When comparing CFS and DCD, one can see distinct similarities in terms of how problems manifest. Both are heterogeneous in nature and associated with a comparable pattern of symptomatology, including fatigue, somatic symptoms, as well as impairments in both cognition and mood</w:t>
      </w:r>
      <w:r w:rsidRPr="000F4A69">
        <w:rPr>
          <w:vertAlign w:val="superscript"/>
        </w:rPr>
        <w:t>4, 1</w:t>
      </w:r>
      <w:r w:rsidR="00FE4576" w:rsidRPr="000F4A69">
        <w:rPr>
          <w:vertAlign w:val="superscript"/>
        </w:rPr>
        <w:t>7</w:t>
      </w:r>
      <w:r w:rsidRPr="000F4A69">
        <w:t>.  In both conditions adults report difficulties gaining and maintaining employment</w:t>
      </w:r>
      <w:r w:rsidRPr="000F4A69">
        <w:rPr>
          <w:vertAlign w:val="superscript"/>
        </w:rPr>
        <w:t>1</w:t>
      </w:r>
      <w:r w:rsidR="00FE4576" w:rsidRPr="000F4A69">
        <w:rPr>
          <w:vertAlign w:val="superscript"/>
        </w:rPr>
        <w:t>7</w:t>
      </w:r>
      <w:r w:rsidRPr="000F4A69">
        <w:rPr>
          <w:vertAlign w:val="superscript"/>
        </w:rPr>
        <w:t xml:space="preserve">, </w:t>
      </w:r>
      <w:r w:rsidR="00FE4576" w:rsidRPr="000F4A69">
        <w:rPr>
          <w:vertAlign w:val="superscript"/>
        </w:rPr>
        <w:t>20</w:t>
      </w:r>
      <w:r w:rsidRPr="000F4A69">
        <w:t xml:space="preserve">. Furthermore, there has been an increase in the number of cases presenting at specialised clinics where individuals have received a dual diagnosis of DCD and CFS. Given the detrimental impact of fatigue on one’s quality of life, it is important to understand the extent and nature of fatigue in this group.  </w:t>
      </w:r>
    </w:p>
    <w:p w14:paraId="674AE367" w14:textId="77777777" w:rsidR="001B60BC" w:rsidRPr="000F4A69" w:rsidRDefault="00C13A07" w:rsidP="003C7876">
      <w:pPr>
        <w:spacing w:before="240"/>
        <w:ind w:firstLine="720"/>
      </w:pPr>
      <w:bookmarkStart w:id="15" w:name="_Hlk496270860"/>
      <w:r w:rsidRPr="000F4A69">
        <w:t>Based on the absence of research exploring the fatigue reported by adults with DCD, the present study adopted a model used previously to investigate the impairments associated with CFS</w:t>
      </w:r>
      <w:r w:rsidRPr="000F4A69">
        <w:rPr>
          <w:vertAlign w:val="superscript"/>
        </w:rPr>
        <w:t>1</w:t>
      </w:r>
      <w:r w:rsidR="00FE4576" w:rsidRPr="000F4A69">
        <w:rPr>
          <w:vertAlign w:val="superscript"/>
        </w:rPr>
        <w:t>7</w:t>
      </w:r>
      <w:r w:rsidRPr="000F4A69">
        <w:rPr>
          <w:vertAlign w:val="superscript"/>
        </w:rPr>
        <w:t>, 1</w:t>
      </w:r>
      <w:r w:rsidR="00FE4576" w:rsidRPr="000F4A69">
        <w:rPr>
          <w:vertAlign w:val="superscript"/>
        </w:rPr>
        <w:t>8</w:t>
      </w:r>
      <w:r w:rsidRPr="000F4A69">
        <w:rPr>
          <w:vertAlign w:val="superscript"/>
        </w:rPr>
        <w:t xml:space="preserve">, </w:t>
      </w:r>
      <w:r w:rsidR="00FE4576" w:rsidRPr="000F4A69">
        <w:rPr>
          <w:vertAlign w:val="superscript"/>
        </w:rPr>
        <w:t>21</w:t>
      </w:r>
      <w:r w:rsidRPr="000F4A69">
        <w:t xml:space="preserve">. </w:t>
      </w:r>
      <w:bookmarkStart w:id="16" w:name="_Hlk497925489"/>
      <w:bookmarkStart w:id="17" w:name="OLE_LINK17"/>
      <w:r w:rsidR="005563FC" w:rsidRPr="000F4A69">
        <w:t>Th</w:t>
      </w:r>
      <w:r w:rsidR="00640A17" w:rsidRPr="000F4A69">
        <w:t>is work was</w:t>
      </w:r>
      <w:r w:rsidR="005563FC" w:rsidRPr="000F4A69">
        <w:t xml:space="preserve"> conducted in </w:t>
      </w:r>
      <w:r w:rsidR="00CC435A" w:rsidRPr="000F4A69">
        <w:t xml:space="preserve">response to </w:t>
      </w:r>
      <w:r w:rsidR="005563FC" w:rsidRPr="000F4A69">
        <w:t xml:space="preserve">recommendations made </w:t>
      </w:r>
      <w:r w:rsidR="00CC435A" w:rsidRPr="000F4A69">
        <w:t xml:space="preserve">by </w:t>
      </w:r>
      <w:r w:rsidR="00112BB3" w:rsidRPr="000F4A69">
        <w:t xml:space="preserve">the </w:t>
      </w:r>
      <w:r w:rsidR="00CC435A" w:rsidRPr="000F4A69">
        <w:t xml:space="preserve">UK </w:t>
      </w:r>
      <w:r w:rsidR="00112BB3" w:rsidRPr="000F4A69">
        <w:t xml:space="preserve">CFS consensus meeting </w:t>
      </w:r>
      <w:r w:rsidR="00CC435A" w:rsidRPr="000F4A69">
        <w:t>which aimed to</w:t>
      </w:r>
      <w:r w:rsidR="00640A17" w:rsidRPr="000F4A69">
        <w:t xml:space="preserve"> seek agreement amongst research workers for the conduct and reporting of future studies of patients with chronic fatigue</w:t>
      </w:r>
      <w:r w:rsidR="00CC435A" w:rsidRPr="000F4A69">
        <w:rPr>
          <w:vertAlign w:val="superscript"/>
        </w:rPr>
        <w:t>2</w:t>
      </w:r>
      <w:r w:rsidR="00FE4576" w:rsidRPr="000F4A69">
        <w:rPr>
          <w:vertAlign w:val="superscript"/>
        </w:rPr>
        <w:t>2</w:t>
      </w:r>
      <w:r w:rsidR="00CC435A" w:rsidRPr="000F4A69">
        <w:t xml:space="preserve">. </w:t>
      </w:r>
      <w:bookmarkEnd w:id="16"/>
      <w:bookmarkEnd w:id="17"/>
      <w:r w:rsidRPr="000F4A69">
        <w:t>The CFS model was chosen as the syndrome</w:t>
      </w:r>
      <w:r w:rsidR="001B60BC" w:rsidRPr="000F4A69">
        <w:t xml:space="preserve"> which</w:t>
      </w:r>
      <w:r w:rsidRPr="000F4A69">
        <w:t xml:space="preserve">, much like DCD, does not have an established aetiology or known mechanism for the fatigue experienced. </w:t>
      </w:r>
    </w:p>
    <w:p w14:paraId="52E037AF" w14:textId="2F367D4A" w:rsidR="00C13A07" w:rsidRPr="000F4A69" w:rsidRDefault="00C13A07" w:rsidP="003C7876">
      <w:pPr>
        <w:spacing w:before="240"/>
        <w:ind w:firstLine="720"/>
      </w:pPr>
      <w:r w:rsidRPr="000F4A69">
        <w:t xml:space="preserve">We aimed to compare the level of fatigue and associated symptoms experienced by adults with DCD with that of a group of adults with CFS and a typically developing (TD)/non-CFS group using established self-report measures outlined below. It was hypothesised that the DCD group would report both greater levels of fatigue and psychosocial impairments than the TD/non-CFS adults. </w:t>
      </w:r>
      <w:r w:rsidR="00E60318" w:rsidRPr="000F4A69">
        <w:t>I</w:t>
      </w:r>
      <w:r w:rsidRPr="000F4A69">
        <w:t>t has not yet been determined whether the impairments in DCD are similar to those reported in CFS</w:t>
      </w:r>
      <w:r w:rsidR="00E60318" w:rsidRPr="000F4A69">
        <w:t>, although</w:t>
      </w:r>
      <w:r w:rsidR="00C04ABA" w:rsidRPr="000F4A69">
        <w:t>, as already stated,</w:t>
      </w:r>
      <w:r w:rsidR="00E60318" w:rsidRPr="000F4A69">
        <w:t xml:space="preserve"> DCD/CFS dual diagnos</w:t>
      </w:r>
      <w:r w:rsidR="00C04ABA" w:rsidRPr="000F4A69">
        <w:t>e</w:t>
      </w:r>
      <w:r w:rsidR="00E60318" w:rsidRPr="000F4A69">
        <w:t>s</w:t>
      </w:r>
      <w:r w:rsidR="008C1E29" w:rsidRPr="000F4A69">
        <w:t xml:space="preserve"> </w:t>
      </w:r>
      <w:r w:rsidR="00C04ABA" w:rsidRPr="000F4A69">
        <w:t>are occurring</w:t>
      </w:r>
      <w:r w:rsidR="00E60318" w:rsidRPr="000F4A69">
        <w:t xml:space="preserve">. It is not the remit of this preliminary study to assert any </w:t>
      </w:r>
      <w:r w:rsidR="00137C28" w:rsidRPr="000F4A69">
        <w:t xml:space="preserve">direct </w:t>
      </w:r>
      <w:r w:rsidR="00E60318" w:rsidRPr="000F4A69">
        <w:t>link between the two conditions, rather</w:t>
      </w:r>
      <w:r w:rsidR="00C04ABA" w:rsidRPr="000F4A69">
        <w:t xml:space="preserve"> the aim </w:t>
      </w:r>
      <w:r w:rsidR="00C04ABA" w:rsidRPr="000F4A69">
        <w:lastRenderedPageBreak/>
        <w:t>here is</w:t>
      </w:r>
      <w:r w:rsidR="00E60318" w:rsidRPr="000F4A69">
        <w:t xml:space="preserve"> to quantify the level of </w:t>
      </w:r>
      <w:r w:rsidR="004B252C" w:rsidRPr="000F4A69">
        <w:t xml:space="preserve">fatigue and </w:t>
      </w:r>
      <w:r w:rsidR="00E60318" w:rsidRPr="000F4A69">
        <w:t>impairment experienced in adults with DCD</w:t>
      </w:r>
      <w:r w:rsidR="00B97857" w:rsidRPr="000F4A69">
        <w:t xml:space="preserve"> using measures previously used in CFS research</w:t>
      </w:r>
      <w:r w:rsidR="00C04ABA" w:rsidRPr="000F4A69">
        <w:t>.</w:t>
      </w:r>
      <w:r w:rsidRPr="000F4A69">
        <w:t xml:space="preserve">   </w:t>
      </w:r>
    </w:p>
    <w:bookmarkEnd w:id="15"/>
    <w:p w14:paraId="7EC52351" w14:textId="77777777" w:rsidR="00306A20" w:rsidRPr="000F4A69" w:rsidRDefault="00C13A07" w:rsidP="003C7876">
      <w:pPr>
        <w:spacing w:before="240"/>
        <w:rPr>
          <w:b/>
          <w:bCs/>
          <w:kern w:val="32"/>
          <w:szCs w:val="32"/>
        </w:rPr>
      </w:pPr>
      <w:r w:rsidRPr="000F4A69">
        <w:rPr>
          <w:b/>
          <w:bCs/>
          <w:kern w:val="32"/>
          <w:szCs w:val="32"/>
        </w:rPr>
        <w:t>Methods</w:t>
      </w:r>
    </w:p>
    <w:p w14:paraId="6BE8C618" w14:textId="77777777" w:rsidR="00C13A07" w:rsidRPr="000F4A69" w:rsidRDefault="00C13A07" w:rsidP="003C7876">
      <w:pPr>
        <w:spacing w:before="240"/>
        <w:rPr>
          <w:b/>
          <w:bCs/>
          <w:kern w:val="32"/>
          <w:szCs w:val="32"/>
        </w:rPr>
      </w:pPr>
      <w:r w:rsidRPr="000F4A69">
        <w:rPr>
          <w:rFonts w:cs="Arial"/>
          <w:b/>
          <w:bCs/>
          <w:i/>
          <w:iCs/>
          <w:szCs w:val="28"/>
        </w:rPr>
        <w:t>Design</w:t>
      </w:r>
    </w:p>
    <w:p w14:paraId="5C0487AB" w14:textId="2A38D18F" w:rsidR="00C13A07" w:rsidRPr="000F4A69" w:rsidRDefault="00C13A07" w:rsidP="003C7876">
      <w:pPr>
        <w:spacing w:before="240"/>
        <w:ind w:firstLine="567"/>
      </w:pPr>
      <w:r w:rsidRPr="000F4A69">
        <w:t>A cross-sectional group comparison between the DCD, CFS and TD/</w:t>
      </w:r>
      <w:r w:rsidR="00DC4B00" w:rsidRPr="000F4A69">
        <w:t>non-</w:t>
      </w:r>
      <w:r w:rsidRPr="000F4A69">
        <w:t>CFS was used.</w:t>
      </w:r>
    </w:p>
    <w:p w14:paraId="34D59C30" w14:textId="77777777" w:rsidR="00C13A07" w:rsidRPr="000F4A69" w:rsidRDefault="00C13A07" w:rsidP="003C7876">
      <w:pPr>
        <w:spacing w:before="240"/>
        <w:rPr>
          <w:rFonts w:cs="Arial"/>
          <w:b/>
          <w:bCs/>
          <w:i/>
          <w:iCs/>
          <w:szCs w:val="28"/>
        </w:rPr>
      </w:pPr>
      <w:r w:rsidRPr="000F4A69">
        <w:rPr>
          <w:rFonts w:cs="Arial"/>
          <w:b/>
          <w:bCs/>
          <w:i/>
          <w:iCs/>
          <w:szCs w:val="28"/>
        </w:rPr>
        <w:t>Participants</w:t>
      </w:r>
    </w:p>
    <w:p w14:paraId="01D5BAF4" w14:textId="16D2E98D" w:rsidR="00C13A07" w:rsidRPr="000F4A69" w:rsidRDefault="00C13A07" w:rsidP="003C7876">
      <w:pPr>
        <w:spacing w:before="240"/>
        <w:ind w:firstLine="567"/>
      </w:pPr>
      <w:bookmarkStart w:id="18" w:name="_Hlk496280326"/>
      <w:bookmarkStart w:id="19" w:name="OLE_LINK12"/>
      <w:r w:rsidRPr="000F4A69">
        <w:t xml:space="preserve">Adults with DCD were recruited via advertisement on the Dyspraxia Foundation’s webpages and via email to international organisations and support groups. The CFS participants were recruited via advertisement on the Action for ME webpages and via email to international support groups. </w:t>
      </w:r>
      <w:r w:rsidR="009934B4" w:rsidRPr="000F4A69">
        <w:t xml:space="preserve">The </w:t>
      </w:r>
      <w:r w:rsidRPr="000F4A69">
        <w:t xml:space="preserve">TD/ non-CFS </w:t>
      </w:r>
      <w:r w:rsidR="009934B4" w:rsidRPr="000F4A69">
        <w:t xml:space="preserve">group was </w:t>
      </w:r>
      <w:r w:rsidRPr="000F4A69">
        <w:t xml:space="preserve">invited to participate in the research via an advertisement on an institutional staff website and </w:t>
      </w:r>
      <w:r w:rsidR="000A6D8E" w:rsidRPr="000F4A69">
        <w:t xml:space="preserve">by referral </w:t>
      </w:r>
      <w:r w:rsidR="00ED64AE" w:rsidRPr="000F4A69">
        <w:t>from</w:t>
      </w:r>
      <w:r w:rsidRPr="000F4A69">
        <w:t xml:space="preserve"> individuals with DCD participating in the study. </w:t>
      </w:r>
      <w:bookmarkEnd w:id="18"/>
      <w:bookmarkEnd w:id="19"/>
    </w:p>
    <w:p w14:paraId="7F71CA20" w14:textId="234F1068" w:rsidR="00B26077" w:rsidRPr="000F4A69" w:rsidRDefault="000A6D8E" w:rsidP="00B26077">
      <w:pPr>
        <w:spacing w:after="120"/>
        <w:ind w:firstLine="567"/>
      </w:pPr>
      <w:bookmarkStart w:id="20" w:name="OLE_LINK11"/>
      <w:r w:rsidRPr="000F4A69">
        <w:t xml:space="preserve">Cases were </w:t>
      </w:r>
      <w:r w:rsidR="00B26077" w:rsidRPr="000F4A69">
        <w:t>exclu</w:t>
      </w:r>
      <w:r w:rsidRPr="000F4A69">
        <w:t>ded if</w:t>
      </w:r>
      <w:r w:rsidR="00B26077" w:rsidRPr="000F4A69">
        <w:t xml:space="preserve">: 1) there was no evidence of a diagnosis of DCD or CFS by a relevant healthcare professional / </w:t>
      </w:r>
      <w:r w:rsidR="00622BD0" w:rsidRPr="000F4A69">
        <w:t>C</w:t>
      </w:r>
      <w:r w:rsidR="00B26077" w:rsidRPr="000F4A69">
        <w:t xml:space="preserve">entre of </w:t>
      </w:r>
      <w:r w:rsidR="00622BD0" w:rsidRPr="000F4A69">
        <w:t>E</w:t>
      </w:r>
      <w:r w:rsidR="00B26077" w:rsidRPr="000F4A69">
        <w:t xml:space="preserve">xcellence / NHS service and 2) participants did not complete the full questionnaire set. </w:t>
      </w:r>
    </w:p>
    <w:bookmarkEnd w:id="20"/>
    <w:p w14:paraId="749C5511" w14:textId="39288C38" w:rsidR="00060082" w:rsidRPr="000F4A69" w:rsidRDefault="00C13A07" w:rsidP="00060082">
      <w:pPr>
        <w:spacing w:before="240"/>
        <w:ind w:firstLine="567"/>
      </w:pPr>
      <w:r w:rsidRPr="000F4A69">
        <w:t xml:space="preserve">A total of 189 adults </w:t>
      </w:r>
      <w:r w:rsidR="00B26077" w:rsidRPr="000F4A69">
        <w:t>completed</w:t>
      </w:r>
      <w:r w:rsidRPr="000F4A69">
        <w:t xml:space="preserve"> the online questionnaire – 53 had a </w:t>
      </w:r>
      <w:r w:rsidR="00060082" w:rsidRPr="000F4A69">
        <w:t xml:space="preserve">self-report </w:t>
      </w:r>
      <w:r w:rsidRPr="000F4A69">
        <w:t>diagnosis of DCD, 84 had a diagnosis of CFS</w:t>
      </w:r>
      <w:r w:rsidR="009D0743" w:rsidRPr="000F4A69">
        <w:t>,</w:t>
      </w:r>
      <w:r w:rsidRPr="000F4A69">
        <w:t xml:space="preserve"> and 52 were TD/non-CFS (referred to hereafter as the </w:t>
      </w:r>
      <w:r w:rsidR="00A31D74" w:rsidRPr="000F4A69">
        <w:t xml:space="preserve">TD </w:t>
      </w:r>
      <w:r w:rsidRPr="000F4A69">
        <w:t>group).  Table 1 describes the age and gender data for the three groups.</w:t>
      </w:r>
      <w:r w:rsidR="00060082" w:rsidRPr="000F4A69">
        <w:t xml:space="preserve">  </w:t>
      </w:r>
      <w:bookmarkStart w:id="21" w:name="OLE_LINK13"/>
      <w:r w:rsidR="00060082" w:rsidRPr="000F4A69">
        <w:t xml:space="preserve">When exploring these data, 14 adults with DCD reported also having a diagnosis of CFS. Due to the small number with both diagnoses, these data were not included in the final analysis. </w:t>
      </w:r>
    </w:p>
    <w:bookmarkEnd w:id="21"/>
    <w:p w14:paraId="76DCB320" w14:textId="77777777" w:rsidR="00060082" w:rsidRPr="000F4A69" w:rsidRDefault="00060082" w:rsidP="00060082">
      <w:pPr>
        <w:spacing w:before="240"/>
        <w:ind w:firstLine="567"/>
      </w:pPr>
    </w:p>
    <w:p w14:paraId="192B11EA" w14:textId="0BD0D946" w:rsidR="00C13A07" w:rsidRPr="000F4A69" w:rsidRDefault="00C13A07" w:rsidP="00060082">
      <w:pPr>
        <w:spacing w:before="240"/>
        <w:ind w:firstLine="567"/>
        <w:rPr>
          <w:i/>
        </w:rPr>
      </w:pPr>
      <w:r w:rsidRPr="000F4A69">
        <w:rPr>
          <w:i/>
        </w:rPr>
        <w:t xml:space="preserve">Insert Table 1 </w:t>
      </w:r>
      <w:r w:rsidR="00306A20" w:rsidRPr="000F4A69">
        <w:rPr>
          <w:i/>
        </w:rPr>
        <w:t xml:space="preserve">about </w:t>
      </w:r>
      <w:r w:rsidRPr="000F4A69">
        <w:rPr>
          <w:i/>
        </w:rPr>
        <w:t>here</w:t>
      </w:r>
    </w:p>
    <w:p w14:paraId="5147E433" w14:textId="77777777" w:rsidR="00C13A07" w:rsidRPr="000F4A69" w:rsidRDefault="00C13A07" w:rsidP="003C7876">
      <w:pPr>
        <w:spacing w:before="240"/>
        <w:rPr>
          <w:rFonts w:cs="Arial"/>
          <w:b/>
          <w:bCs/>
          <w:i/>
          <w:iCs/>
          <w:szCs w:val="28"/>
        </w:rPr>
      </w:pPr>
      <w:r w:rsidRPr="000F4A69">
        <w:rPr>
          <w:rFonts w:cs="Arial"/>
          <w:b/>
          <w:bCs/>
          <w:i/>
          <w:iCs/>
          <w:szCs w:val="28"/>
        </w:rPr>
        <w:t>Materials and apparatus</w:t>
      </w:r>
    </w:p>
    <w:p w14:paraId="4E0A561D" w14:textId="4E2327ED" w:rsidR="00C13A07" w:rsidRPr="000F4A69" w:rsidRDefault="00C13A07" w:rsidP="003C7876">
      <w:pPr>
        <w:spacing w:before="240"/>
        <w:ind w:firstLine="567"/>
      </w:pPr>
      <w:r w:rsidRPr="000F4A69">
        <w:t xml:space="preserve">Online questionnaires required participants to first state their diagnostic status (i.e. DCD, CFS, </w:t>
      </w:r>
      <w:r w:rsidR="00A31D74" w:rsidRPr="000F4A69">
        <w:t>TD</w:t>
      </w:r>
      <w:r w:rsidRPr="000F4A69">
        <w:t>)</w:t>
      </w:r>
      <w:r w:rsidR="00B26077" w:rsidRPr="000F4A69">
        <w:t xml:space="preserve">. To do this, participants were asked: 1) </w:t>
      </w:r>
      <w:r w:rsidR="00D10C5C" w:rsidRPr="000F4A69">
        <w:t>i</w:t>
      </w:r>
      <w:r w:rsidR="00B26077" w:rsidRPr="000F4A69">
        <w:t xml:space="preserve">f they had a diagnosis of DCD or CFS, 2) </w:t>
      </w:r>
      <w:r w:rsidR="00D10C5C" w:rsidRPr="000F4A69">
        <w:t>w</w:t>
      </w:r>
      <w:r w:rsidR="00B26077" w:rsidRPr="000F4A69">
        <w:t>ho made the diagnosis and 3)</w:t>
      </w:r>
      <w:r w:rsidR="00060082" w:rsidRPr="000F4A69">
        <w:t xml:space="preserve"> </w:t>
      </w:r>
      <w:r w:rsidR="00D10C5C" w:rsidRPr="000F4A69">
        <w:t>w</w:t>
      </w:r>
      <w:r w:rsidR="00B26077" w:rsidRPr="000F4A69">
        <w:t xml:space="preserve">hen was the diagnosis made.  Demographic information including age and gender was also collected. </w:t>
      </w:r>
      <w:r w:rsidRPr="000F4A69">
        <w:t xml:space="preserve"> This was followed by a number of established measures used previously to assess levels of fatigue and psychosocial impairments.</w:t>
      </w:r>
    </w:p>
    <w:p w14:paraId="7D966B5A" w14:textId="5CE7D668" w:rsidR="00C13A07" w:rsidRPr="000F4A69" w:rsidRDefault="00C13A07" w:rsidP="003C7876">
      <w:pPr>
        <w:spacing w:before="240"/>
        <w:rPr>
          <w:rFonts w:cs="Arial"/>
          <w:bCs/>
          <w:i/>
          <w:szCs w:val="26"/>
          <w:vertAlign w:val="superscript"/>
        </w:rPr>
      </w:pPr>
      <w:r w:rsidRPr="000F4A69">
        <w:rPr>
          <w:rFonts w:cs="Arial"/>
          <w:bCs/>
          <w:i/>
          <w:szCs w:val="26"/>
        </w:rPr>
        <w:t>Profile of Fatigue Related Symptoms (PFRS)</w:t>
      </w:r>
      <w:r w:rsidR="00342858" w:rsidRPr="000F4A69">
        <w:rPr>
          <w:rFonts w:cs="Arial"/>
          <w:bCs/>
          <w:i/>
          <w:szCs w:val="26"/>
          <w:vertAlign w:val="superscript"/>
        </w:rPr>
        <w:t>2</w:t>
      </w:r>
      <w:r w:rsidR="00FE4576" w:rsidRPr="000F4A69">
        <w:rPr>
          <w:rFonts w:cs="Arial"/>
          <w:bCs/>
          <w:i/>
          <w:szCs w:val="26"/>
          <w:vertAlign w:val="superscript"/>
        </w:rPr>
        <w:t>3</w:t>
      </w:r>
    </w:p>
    <w:p w14:paraId="0EA14D37" w14:textId="77777777" w:rsidR="00C13A07" w:rsidRPr="000F4A69" w:rsidRDefault="00C13A07" w:rsidP="003C7876">
      <w:pPr>
        <w:spacing w:before="240"/>
        <w:ind w:firstLine="567"/>
      </w:pPr>
      <w:r w:rsidRPr="000F4A69">
        <w:t xml:space="preserve">The PFRS is a 54-item self-report measure designed specifically to assess fatigue and related symptoms in those with Chronic Fatigue Syndrome. Each item consists of a statement (e.g. </w:t>
      </w:r>
      <w:r w:rsidRPr="000F4A69">
        <w:rPr>
          <w:i/>
        </w:rPr>
        <w:t>feeling physically tired even when taking things easy</w:t>
      </w:r>
      <w:r w:rsidRPr="000F4A69">
        <w:t>) along with a seven-point Likert scale on which the participant rates the extent to which they have experienced the symptom during the past week from 1 (not at all) to 7 (extremely).  The PFRS consists of four subscales: emotional distress, fatigue, cognitive difficulty, and somatic symptoms.  Each subscale demonstrated high internal reliability, with alpha coefficients ranging from 0.88 to 0.96. Higher scores indicate greater levels of emotional distress, fatigue, cognitive difficulties or somatic symptoms.</w:t>
      </w:r>
    </w:p>
    <w:p w14:paraId="5D1BF1A6" w14:textId="095EB7B8" w:rsidR="00C13A07" w:rsidRPr="000F4A69" w:rsidRDefault="00C13A07" w:rsidP="003C7876">
      <w:pPr>
        <w:spacing w:before="240"/>
        <w:rPr>
          <w:rFonts w:cs="Arial"/>
          <w:bCs/>
          <w:i/>
          <w:szCs w:val="26"/>
          <w:vertAlign w:val="superscript"/>
        </w:rPr>
      </w:pPr>
      <w:r w:rsidRPr="000F4A69">
        <w:rPr>
          <w:rFonts w:cs="Arial"/>
          <w:bCs/>
          <w:i/>
          <w:szCs w:val="26"/>
        </w:rPr>
        <w:t>State-Trait Anxiety Inventory (STAI-T)</w:t>
      </w:r>
      <w:r w:rsidR="00342858" w:rsidRPr="000F4A69">
        <w:rPr>
          <w:rFonts w:cs="Arial"/>
          <w:bCs/>
          <w:i/>
          <w:szCs w:val="26"/>
          <w:vertAlign w:val="superscript"/>
        </w:rPr>
        <w:t>2</w:t>
      </w:r>
      <w:r w:rsidR="00FE4576" w:rsidRPr="000F4A69">
        <w:rPr>
          <w:rFonts w:cs="Arial"/>
          <w:bCs/>
          <w:i/>
          <w:szCs w:val="26"/>
          <w:vertAlign w:val="superscript"/>
        </w:rPr>
        <w:t>4</w:t>
      </w:r>
    </w:p>
    <w:p w14:paraId="14124FC3" w14:textId="77777777" w:rsidR="00C13A07" w:rsidRPr="000F4A69" w:rsidRDefault="00C13A07" w:rsidP="003C7876">
      <w:pPr>
        <w:spacing w:before="240"/>
        <w:ind w:firstLine="567"/>
      </w:pPr>
      <w:r w:rsidRPr="000F4A69">
        <w:t xml:space="preserve">The State-Trait Anxiety Inventory is a widely used 40-item measure of trait and state anxiety. The trait scale (STAI-T) consists of 20 statements relating to the persons </w:t>
      </w:r>
      <w:r w:rsidRPr="000F4A69">
        <w:lastRenderedPageBreak/>
        <w:t xml:space="preserve">general propensity to experience anxiety (e.g. </w:t>
      </w:r>
      <w:r w:rsidRPr="000F4A69">
        <w:rPr>
          <w:i/>
        </w:rPr>
        <w:t>I lack self-confidence</w:t>
      </w:r>
      <w:r w:rsidRPr="000F4A69">
        <w:t>). Participants report the degree to which they feel each statement describes them on a four-point Likert scale from 0 (not at all) to 4 (very much so). The STAI-T has been found to have a high test-retest reliability (0.73-0.86) and concurrent validity with other measures of anxiety (0.73-0.85). Higher scores indicate greater levels of anxiety.</w:t>
      </w:r>
    </w:p>
    <w:p w14:paraId="1D8AB93E" w14:textId="5CF2EC19" w:rsidR="00C13A07" w:rsidRPr="000F4A69" w:rsidRDefault="00C13A07" w:rsidP="003C7876">
      <w:pPr>
        <w:spacing w:before="240"/>
        <w:rPr>
          <w:rFonts w:cs="Arial"/>
          <w:bCs/>
          <w:i/>
          <w:szCs w:val="26"/>
          <w:vertAlign w:val="superscript"/>
        </w:rPr>
      </w:pPr>
      <w:r w:rsidRPr="000F4A69">
        <w:rPr>
          <w:rFonts w:cs="Arial"/>
          <w:bCs/>
          <w:i/>
          <w:szCs w:val="26"/>
        </w:rPr>
        <w:t>Centre for Epidemiological Studies Depression Scale (CES-D scale)</w:t>
      </w:r>
      <w:r w:rsidR="004D08B7" w:rsidRPr="000F4A69">
        <w:rPr>
          <w:rFonts w:cs="Arial"/>
          <w:bCs/>
          <w:i/>
          <w:szCs w:val="26"/>
          <w:vertAlign w:val="superscript"/>
        </w:rPr>
        <w:t>2</w:t>
      </w:r>
      <w:r w:rsidR="00FE4576" w:rsidRPr="000F4A69">
        <w:rPr>
          <w:rFonts w:cs="Arial"/>
          <w:bCs/>
          <w:i/>
          <w:szCs w:val="26"/>
          <w:vertAlign w:val="superscript"/>
        </w:rPr>
        <w:t>5</w:t>
      </w:r>
    </w:p>
    <w:p w14:paraId="6DF14B59" w14:textId="77777777" w:rsidR="00C13A07" w:rsidRPr="000F4A69" w:rsidRDefault="00C13A07" w:rsidP="003C7876">
      <w:pPr>
        <w:spacing w:before="240"/>
        <w:ind w:firstLine="567"/>
      </w:pPr>
      <w:r w:rsidRPr="000F4A69">
        <w:t xml:space="preserve">The CES-D scale is a brief self-report scale which measures symptoms of depression in the general population. The measure contains 20 items, each asking subjects to report on the frequency of their symptoms (e.g. </w:t>
      </w:r>
      <w:r w:rsidRPr="000F4A69">
        <w:rPr>
          <w:i/>
        </w:rPr>
        <w:t>I had crying spells</w:t>
      </w:r>
      <w:r w:rsidRPr="000F4A69">
        <w:t>) during the past week along a scale from 0 (rarely or none of the time) to 4 (most or all of the time).  A higher score (</w:t>
      </w:r>
      <w:r w:rsidRPr="000F4A69">
        <w:rPr>
          <w:i/>
        </w:rPr>
        <w:t>&gt;15</w:t>
      </w:r>
      <w:r w:rsidRPr="000F4A69">
        <w:t>) is indicative of greater morbidity. High internal consistency (coefficient alpha) with both clinical (0.90) and general populations (0.85) and a moderate test-retest correlation (0.45 -0.70) of the measure has been found. Higher scores indicate greater levels of depression.</w:t>
      </w:r>
    </w:p>
    <w:p w14:paraId="5CE48EA4" w14:textId="516AA91E" w:rsidR="00C13A07" w:rsidRPr="000F4A69" w:rsidRDefault="00C13A07" w:rsidP="003C7876">
      <w:pPr>
        <w:spacing w:before="240"/>
        <w:rPr>
          <w:rFonts w:cs="Arial"/>
          <w:bCs/>
          <w:i/>
          <w:szCs w:val="26"/>
          <w:vertAlign w:val="superscript"/>
        </w:rPr>
      </w:pPr>
      <w:r w:rsidRPr="000F4A69">
        <w:rPr>
          <w:rFonts w:cs="Arial"/>
          <w:bCs/>
          <w:i/>
          <w:szCs w:val="26"/>
        </w:rPr>
        <w:t>Positive and negative affect</w:t>
      </w:r>
      <w:r w:rsidR="00342858" w:rsidRPr="000F4A69">
        <w:rPr>
          <w:rFonts w:cs="Arial"/>
          <w:bCs/>
          <w:i/>
          <w:szCs w:val="26"/>
          <w:vertAlign w:val="superscript"/>
        </w:rPr>
        <w:t>2</w:t>
      </w:r>
      <w:r w:rsidR="00FE4576" w:rsidRPr="000F4A69">
        <w:rPr>
          <w:rFonts w:cs="Arial"/>
          <w:bCs/>
          <w:i/>
          <w:szCs w:val="26"/>
          <w:vertAlign w:val="superscript"/>
        </w:rPr>
        <w:t>6</w:t>
      </w:r>
    </w:p>
    <w:p w14:paraId="4741066A" w14:textId="01F626C5" w:rsidR="00C13A07" w:rsidRPr="000F4A69" w:rsidRDefault="00C13A07" w:rsidP="003C7876">
      <w:pPr>
        <w:autoSpaceDE w:val="0"/>
        <w:autoSpaceDN w:val="0"/>
        <w:adjustRightInd w:val="0"/>
        <w:spacing w:before="240"/>
      </w:pPr>
      <w:r w:rsidRPr="000F4A69">
        <w:tab/>
        <w:t xml:space="preserve">This 30-item scale produces measures for both positive and negative affect. Participants are asked to rate how they have felt in the past week (e.g. </w:t>
      </w:r>
      <w:r w:rsidRPr="000F4A69">
        <w:rPr>
          <w:i/>
        </w:rPr>
        <w:t xml:space="preserve">how attentive have you felt this week </w:t>
      </w:r>
      <w:r w:rsidRPr="000F4A69">
        <w:t xml:space="preserve">or </w:t>
      </w:r>
      <w:r w:rsidRPr="000F4A69">
        <w:rPr>
          <w:i/>
        </w:rPr>
        <w:t>how distressed have you felt this week</w:t>
      </w:r>
      <w:r w:rsidRPr="000F4A69">
        <w:t>)</w:t>
      </w:r>
      <w:r w:rsidRPr="000F4A69">
        <w:rPr>
          <w:i/>
        </w:rPr>
        <w:t xml:space="preserve"> </w:t>
      </w:r>
      <w:r w:rsidRPr="000F4A69">
        <w:t>on a scale from 0 (not at all) to 4 (extremely). The alpha reliabilities for Positive Affect are from between 0.83 to 0.90 and for Negative Affect are from 0.85 to 0.90</w:t>
      </w:r>
      <w:r w:rsidR="00E260F7" w:rsidRPr="000F4A69">
        <w:rPr>
          <w:vertAlign w:val="superscript"/>
        </w:rPr>
        <w:t>27</w:t>
      </w:r>
      <w:r w:rsidR="00E260F7" w:rsidRPr="000F4A69">
        <w:t>.</w:t>
      </w:r>
      <w:r w:rsidR="00A31D74" w:rsidRPr="000F4A69">
        <w:t xml:space="preserve"> High scores on the Positive Affect sub-scale indicate greater positive mood, whereas high scores on the Negative Affect sub-scale indicate a more negative mood.  </w:t>
      </w:r>
    </w:p>
    <w:p w14:paraId="249FEC5F" w14:textId="76ED0A7F" w:rsidR="00C13A07" w:rsidRPr="000F4A69" w:rsidRDefault="00C13A07" w:rsidP="003C7876">
      <w:pPr>
        <w:autoSpaceDE w:val="0"/>
        <w:autoSpaceDN w:val="0"/>
        <w:adjustRightInd w:val="0"/>
        <w:spacing w:before="240"/>
        <w:rPr>
          <w:rFonts w:cs="Arial"/>
          <w:bCs/>
          <w:i/>
          <w:szCs w:val="26"/>
          <w:vertAlign w:val="superscript"/>
        </w:rPr>
      </w:pPr>
      <w:r w:rsidRPr="000F4A69">
        <w:rPr>
          <w:rFonts w:cs="Arial"/>
          <w:bCs/>
          <w:i/>
          <w:szCs w:val="26"/>
        </w:rPr>
        <w:t>Perceived Stress Scale (PSS)</w:t>
      </w:r>
      <w:r w:rsidR="00E260F7" w:rsidRPr="000F4A69">
        <w:rPr>
          <w:rFonts w:cs="Arial"/>
          <w:bCs/>
          <w:i/>
          <w:szCs w:val="26"/>
          <w:vertAlign w:val="superscript"/>
        </w:rPr>
        <w:t>28</w:t>
      </w:r>
    </w:p>
    <w:p w14:paraId="263BC684" w14:textId="05CDF7C6" w:rsidR="00C13A07" w:rsidRPr="000F4A69" w:rsidRDefault="00C13A07" w:rsidP="003C7876">
      <w:pPr>
        <w:shd w:val="clear" w:color="auto" w:fill="FFFFFF"/>
        <w:spacing w:before="240"/>
        <w:ind w:firstLine="567"/>
        <w:jc w:val="both"/>
        <w:rPr>
          <w:i/>
        </w:rPr>
      </w:pPr>
      <w:r w:rsidRPr="000F4A69">
        <w:lastRenderedPageBreak/>
        <w:t xml:space="preserve">The PSS is a self-report measure designed to assess the extent to which a person views situations in their life as stressful, uncontrollable, or overloading. The measure asks participants to rate along a four-point scale from 0 (never) to 4 (very often) how often they have felt or thought a certain way during the past month (e.g. </w:t>
      </w:r>
      <w:r w:rsidRPr="000F4A69">
        <w:rPr>
          <w:i/>
        </w:rPr>
        <w:t>how often have you been upset because of something that happened unexpectedly</w:t>
      </w:r>
      <w:r w:rsidRPr="000F4A69">
        <w:t>?). PSS scores have been found to correlate with biological indicators of stress, such as cortisol</w:t>
      </w:r>
      <w:r w:rsidR="00E260F7" w:rsidRPr="000F4A69">
        <w:rPr>
          <w:vertAlign w:val="superscript"/>
        </w:rPr>
        <w:t>29, 30</w:t>
      </w:r>
      <w:r w:rsidRPr="000F4A69">
        <w:t>, suggesting the PSS is a valid measure of stress. Higher scores indicate greater levels of perceived stress.</w:t>
      </w:r>
    </w:p>
    <w:p w14:paraId="5E3B6CCD" w14:textId="6B9E3F17" w:rsidR="00C13A07" w:rsidRPr="000F4A69" w:rsidRDefault="00C13A07" w:rsidP="003C7876">
      <w:pPr>
        <w:spacing w:before="240"/>
        <w:rPr>
          <w:rFonts w:cs="Arial"/>
          <w:bCs/>
          <w:i/>
          <w:szCs w:val="26"/>
          <w:vertAlign w:val="superscript"/>
        </w:rPr>
      </w:pPr>
      <w:r w:rsidRPr="000F4A69">
        <w:rPr>
          <w:rFonts w:cs="Arial"/>
          <w:bCs/>
          <w:i/>
          <w:szCs w:val="26"/>
        </w:rPr>
        <w:t>Cognitive Failures Questionnaire (CFQ)</w:t>
      </w:r>
      <w:r w:rsidR="00E260F7" w:rsidRPr="000F4A69">
        <w:rPr>
          <w:rFonts w:cs="Arial"/>
          <w:bCs/>
          <w:i/>
          <w:szCs w:val="26"/>
          <w:vertAlign w:val="superscript"/>
        </w:rPr>
        <w:t>31</w:t>
      </w:r>
    </w:p>
    <w:p w14:paraId="28C9CCD1" w14:textId="6C488EE2" w:rsidR="00C13A07" w:rsidRPr="000F4A69" w:rsidRDefault="00C13A07" w:rsidP="003C7876">
      <w:pPr>
        <w:spacing w:before="240"/>
      </w:pPr>
      <w:r w:rsidRPr="000F4A69">
        <w:tab/>
        <w:t xml:space="preserve">The CFQ is a self-report measure designed to assess failures in perception, memory, and motor function. The 25-item measure asks participants to rate how often certain things happened over the past six months (e.g. </w:t>
      </w:r>
      <w:r w:rsidRPr="000F4A69">
        <w:rPr>
          <w:i/>
        </w:rPr>
        <w:t>do you bump into people</w:t>
      </w:r>
      <w:r w:rsidR="00ED64AE" w:rsidRPr="000F4A69">
        <w:rPr>
          <w:i/>
        </w:rPr>
        <w:t>?</w:t>
      </w:r>
      <w:r w:rsidRPr="000F4A69">
        <w:t>). Participants can rate each event from 0 (never) to 4 (very often). The test-retest correlation for this measure has been calculated between 0.80 and 0.82. Higher scores are indicative of greater cognitive failures.</w:t>
      </w:r>
    </w:p>
    <w:p w14:paraId="60C32752" w14:textId="3A1EE88D" w:rsidR="00C13A07" w:rsidRPr="000F4A69" w:rsidRDefault="00C13A07" w:rsidP="003C7876">
      <w:pPr>
        <w:spacing w:before="240"/>
        <w:rPr>
          <w:rFonts w:cs="Arial"/>
          <w:bCs/>
          <w:i/>
          <w:szCs w:val="26"/>
          <w:vertAlign w:val="superscript"/>
        </w:rPr>
      </w:pPr>
      <w:r w:rsidRPr="000F4A69">
        <w:rPr>
          <w:rFonts w:cs="Arial"/>
          <w:bCs/>
          <w:i/>
          <w:szCs w:val="26"/>
        </w:rPr>
        <w:t>Self-Esteem</w:t>
      </w:r>
      <w:r w:rsidR="00E260F7" w:rsidRPr="000F4A69">
        <w:rPr>
          <w:rFonts w:cs="Arial"/>
          <w:bCs/>
          <w:i/>
          <w:szCs w:val="26"/>
          <w:vertAlign w:val="superscript"/>
        </w:rPr>
        <w:t>32</w:t>
      </w:r>
    </w:p>
    <w:p w14:paraId="39C853E0" w14:textId="369E6133" w:rsidR="00C13A07" w:rsidRPr="000F4A69" w:rsidRDefault="00C13A07" w:rsidP="003C7876">
      <w:pPr>
        <w:spacing w:before="240"/>
      </w:pPr>
      <w:r w:rsidRPr="000F4A69">
        <w:tab/>
        <w:t>This self-report measure was designed to assess factors of social confidence, ability, and self-regard. Fourteen items (or situations) were posed to the participants (e.g.</w:t>
      </w:r>
      <w:r w:rsidR="00ED64AE" w:rsidRPr="000F4A69">
        <w:t>,</w:t>
      </w:r>
      <w:r w:rsidRPr="000F4A69">
        <w:t xml:space="preserve"> </w:t>
      </w:r>
      <w:r w:rsidRPr="000F4A69">
        <w:rPr>
          <w:i/>
        </w:rPr>
        <w:t>I often dislike myself</w:t>
      </w:r>
      <w:r w:rsidRPr="000F4A69">
        <w:t>) who were asked rate their response along a six-point scale from 1 (agree very much) to 6 (disagree very much). The test-retest correlation for this measure has been reported as 0.83.  Higher scores indicate greater levels of self-esteem.</w:t>
      </w:r>
    </w:p>
    <w:p w14:paraId="55467F1B" w14:textId="64C5EB11" w:rsidR="00C13A07" w:rsidRPr="000F4A69" w:rsidRDefault="00C13A07" w:rsidP="003C7876">
      <w:pPr>
        <w:spacing w:before="240"/>
        <w:rPr>
          <w:rFonts w:cs="Arial"/>
          <w:bCs/>
          <w:i/>
          <w:szCs w:val="26"/>
          <w:vertAlign w:val="superscript"/>
        </w:rPr>
      </w:pPr>
      <w:r w:rsidRPr="000F4A69">
        <w:rPr>
          <w:rFonts w:cs="Arial"/>
          <w:bCs/>
          <w:i/>
          <w:szCs w:val="26"/>
        </w:rPr>
        <w:t>Symptoms checklist and sleep behaviour</w:t>
      </w:r>
      <w:r w:rsidRPr="000F4A69">
        <w:t xml:space="preserve"> </w:t>
      </w:r>
      <w:r w:rsidRPr="000F4A69">
        <w:rPr>
          <w:rFonts w:cs="Arial"/>
          <w:bCs/>
          <w:i/>
          <w:szCs w:val="26"/>
        </w:rPr>
        <w:t>measure</w:t>
      </w:r>
      <w:r w:rsidR="00FE4576" w:rsidRPr="000F4A69">
        <w:rPr>
          <w:rFonts w:cs="Arial"/>
          <w:bCs/>
          <w:i/>
          <w:szCs w:val="26"/>
          <w:vertAlign w:val="superscript"/>
        </w:rPr>
        <w:t>21</w:t>
      </w:r>
    </w:p>
    <w:p w14:paraId="0C871AA2" w14:textId="77777777" w:rsidR="00C13A07" w:rsidRPr="000F4A69" w:rsidRDefault="00C13A07" w:rsidP="003C7876">
      <w:pPr>
        <w:spacing w:before="240"/>
        <w:ind w:firstLine="567"/>
      </w:pPr>
      <w:r w:rsidRPr="000F4A69">
        <w:t>A symptoms checklist and sleep behaviours measure used in previous research</w:t>
      </w:r>
      <w:r w:rsidR="004D08B7" w:rsidRPr="000F4A69">
        <w:rPr>
          <w:vertAlign w:val="superscript"/>
        </w:rPr>
        <w:t>19</w:t>
      </w:r>
      <w:r w:rsidR="004D08B7" w:rsidRPr="000F4A69">
        <w:t xml:space="preserve"> </w:t>
      </w:r>
      <w:r w:rsidRPr="000F4A69">
        <w:t xml:space="preserve">was also included in the questionnaire. The symptoms checklist presented participants </w:t>
      </w:r>
      <w:r w:rsidRPr="000F4A69">
        <w:lastRenderedPageBreak/>
        <w:t xml:space="preserve">with 28 physical (e.g. </w:t>
      </w:r>
      <w:r w:rsidRPr="000F4A69">
        <w:rPr>
          <w:i/>
        </w:rPr>
        <w:t>legs feeling heavy</w:t>
      </w:r>
      <w:r w:rsidRPr="000F4A69">
        <w:t xml:space="preserve">) and psychological ailments (e.g. </w:t>
      </w:r>
      <w:r w:rsidRPr="000F4A69">
        <w:rPr>
          <w:i/>
        </w:rPr>
        <w:t>anxiety/panic feelings</w:t>
      </w:r>
      <w:r w:rsidRPr="000F4A69">
        <w:t xml:space="preserve">) from which they could select symptoms they were currently experiencing.  A brief four-item measure of sleep behaviour was also included. The first item asked participants how many hours (on average) per night they sleep. The remaining three items required participants to respond to questions regarding the quality of their sleep (e.g. </w:t>
      </w:r>
      <w:r w:rsidRPr="000F4A69">
        <w:rPr>
          <w:i/>
        </w:rPr>
        <w:t>how often do you feel rested from your night’s sleep</w:t>
      </w:r>
      <w:r w:rsidRPr="000F4A69">
        <w:t xml:space="preserve">?) using a four-point Likert scale from 0 (never) to 4 (very often). </w:t>
      </w:r>
    </w:p>
    <w:p w14:paraId="36157AF0" w14:textId="77777777" w:rsidR="00C13A07" w:rsidRPr="000F4A69" w:rsidRDefault="00C13A07" w:rsidP="003C7876">
      <w:pPr>
        <w:spacing w:before="240"/>
        <w:rPr>
          <w:b/>
        </w:rPr>
      </w:pPr>
      <w:r w:rsidRPr="000F4A69">
        <w:rPr>
          <w:b/>
        </w:rPr>
        <w:t>Procedure</w:t>
      </w:r>
    </w:p>
    <w:p w14:paraId="711A2AF7" w14:textId="77777777" w:rsidR="00C13A07" w:rsidRPr="000F4A69" w:rsidRDefault="00C13A07" w:rsidP="003C7876">
      <w:pPr>
        <w:spacing w:before="240"/>
        <w:ind w:firstLine="567"/>
      </w:pPr>
      <w:r w:rsidRPr="000F4A69">
        <w:t xml:space="preserve">The questionnaires described above were transcribed into the Survey Monkey™ online data collection tool and checked by an independent researcher for accuracy. An information sheet advising individuals about the purpose of the study and the requirements of participation and a consent form were included at the beginning of the questionnaire batch. Access to the questionnaire was only allowed once participants had provided consent. If consent was not given, the data collection tool prevented further participation. The study was approved by the local Research Ethics Committee.  </w:t>
      </w:r>
    </w:p>
    <w:p w14:paraId="13EF4782" w14:textId="77777777" w:rsidR="00C13A07" w:rsidRPr="000F4A69" w:rsidRDefault="00C13A07" w:rsidP="003C7876">
      <w:pPr>
        <w:spacing w:before="240"/>
        <w:rPr>
          <w:b/>
          <w:bCs/>
          <w:kern w:val="32"/>
          <w:szCs w:val="32"/>
        </w:rPr>
      </w:pPr>
      <w:r w:rsidRPr="000F4A69">
        <w:rPr>
          <w:b/>
          <w:bCs/>
          <w:kern w:val="32"/>
          <w:szCs w:val="32"/>
        </w:rPr>
        <w:t>Data analysis</w:t>
      </w:r>
    </w:p>
    <w:p w14:paraId="5D9710C7" w14:textId="652B1801" w:rsidR="00C13A07" w:rsidRPr="000F4A69" w:rsidRDefault="00C13A07" w:rsidP="003C7876">
      <w:pPr>
        <w:spacing w:before="240"/>
      </w:pPr>
      <w:bookmarkStart w:id="22" w:name="OLE_LINK14"/>
      <w:r w:rsidRPr="000F4A69">
        <w:t>Data from the questionnaires were downloaded directly into the Statistical Package for Social Sciences (SPSS) Version 22. Chi-squared cross-tabulation</w:t>
      </w:r>
      <w:r w:rsidR="00ED64AE" w:rsidRPr="000F4A69">
        <w:t>s</w:t>
      </w:r>
      <w:r w:rsidRPr="000F4A69">
        <w:t xml:space="preserve"> were used to compare the demographic nature of the t</w:t>
      </w:r>
      <w:r w:rsidR="000B7331" w:rsidRPr="000F4A69">
        <w:t>hree</w:t>
      </w:r>
      <w:r w:rsidRPr="000F4A69">
        <w:t xml:space="preserve"> groups and </w:t>
      </w:r>
      <w:r w:rsidR="0007756C" w:rsidRPr="000F4A69">
        <w:t>multivariate analysis of var</w:t>
      </w:r>
      <w:r w:rsidR="00FE4576" w:rsidRPr="000F4A69">
        <w:t>iance was used to compare group</w:t>
      </w:r>
      <w:r w:rsidRPr="000F4A69">
        <w:t xml:space="preserve"> data across the questionnaires used. </w:t>
      </w:r>
    </w:p>
    <w:bookmarkEnd w:id="22"/>
    <w:p w14:paraId="076B983C" w14:textId="77777777" w:rsidR="00C13A07" w:rsidRPr="000F4A69" w:rsidRDefault="00C13A07" w:rsidP="003C7876">
      <w:pPr>
        <w:spacing w:before="240"/>
        <w:rPr>
          <w:b/>
          <w:bCs/>
          <w:kern w:val="32"/>
          <w:szCs w:val="32"/>
        </w:rPr>
      </w:pPr>
      <w:r w:rsidRPr="000F4A69">
        <w:rPr>
          <w:b/>
          <w:bCs/>
          <w:kern w:val="32"/>
          <w:szCs w:val="32"/>
        </w:rPr>
        <w:t>Results</w:t>
      </w:r>
    </w:p>
    <w:p w14:paraId="45BBE587" w14:textId="57203862" w:rsidR="00C13A07" w:rsidRPr="000F4A69" w:rsidRDefault="00060082" w:rsidP="003C7876">
      <w:pPr>
        <w:spacing w:before="240"/>
        <w:ind w:firstLine="567"/>
      </w:pPr>
      <w:bookmarkStart w:id="23" w:name="_Hlk500951281"/>
      <w:r w:rsidRPr="000F4A69">
        <w:t>T</w:t>
      </w:r>
      <w:r w:rsidR="00C13A07" w:rsidRPr="000F4A69">
        <w:t xml:space="preserve">here was no significant difference between the DCD and </w:t>
      </w:r>
      <w:r w:rsidR="003E0D56" w:rsidRPr="000F4A69">
        <w:t xml:space="preserve">TD </w:t>
      </w:r>
      <w:r w:rsidR="00C13A07" w:rsidRPr="000F4A69">
        <w:t xml:space="preserve">groups in terms of gender or age. However, the CFS group </w:t>
      </w:r>
      <w:r w:rsidR="00ED64AE" w:rsidRPr="000F4A69">
        <w:t xml:space="preserve">was </w:t>
      </w:r>
      <w:r w:rsidR="00C13A07" w:rsidRPr="000F4A69">
        <w:t xml:space="preserve">significantly more likely to be female </w:t>
      </w:r>
      <w:r w:rsidR="00C13A07" w:rsidRPr="000F4A69">
        <w:lastRenderedPageBreak/>
        <w:t>(x=19.109, df=2, p&lt;0.001) and were older than</w:t>
      </w:r>
      <w:r w:rsidR="003E0D56" w:rsidRPr="000F4A69">
        <w:t xml:space="preserve"> both</w:t>
      </w:r>
      <w:r w:rsidR="00C13A07" w:rsidRPr="000F4A69">
        <w:t xml:space="preserve"> the DCD and </w:t>
      </w:r>
      <w:r w:rsidR="00A31D74" w:rsidRPr="000F4A69">
        <w:t>TD</w:t>
      </w:r>
      <w:r w:rsidR="00C13A07" w:rsidRPr="000F4A69">
        <w:t xml:space="preserve"> groups (F=8.162, df=2, 161, p&lt;0.001).</w:t>
      </w:r>
      <w:r w:rsidRPr="000F4A69">
        <w:t xml:space="preserve">  </w:t>
      </w:r>
    </w:p>
    <w:bookmarkEnd w:id="23"/>
    <w:p w14:paraId="54613A91" w14:textId="77777777" w:rsidR="00F82FCB" w:rsidRPr="000F4A69" w:rsidRDefault="00F82FCB" w:rsidP="003C7876">
      <w:pPr>
        <w:spacing w:before="240"/>
        <w:ind w:firstLine="720"/>
      </w:pPr>
      <w:r w:rsidRPr="000F4A69">
        <w:t>The DCD data revealed that 19 participants had received a diagnosis in childhood and 34 had received a diagnosis in adulthood. Comparisons between those who were diagnosed in childhood versus those diagnosed in adulthood uncovered no significant differences across individual measures used. For the purpose of the current study the two diagnostics group were, therefore, considered as a whole for the analysis.</w:t>
      </w:r>
    </w:p>
    <w:p w14:paraId="39EEDA66" w14:textId="234715EC" w:rsidR="00C13A07" w:rsidRPr="000F4A69" w:rsidRDefault="00C13A07" w:rsidP="003C7876">
      <w:pPr>
        <w:spacing w:before="240"/>
        <w:ind w:firstLine="720"/>
      </w:pPr>
      <w:r w:rsidRPr="000F4A69">
        <w:t xml:space="preserve">There </w:t>
      </w:r>
      <w:r w:rsidR="00ED64AE" w:rsidRPr="000F4A69">
        <w:t>was</w:t>
      </w:r>
      <w:r w:rsidRPr="000F4A69">
        <w:t xml:space="preserve"> an overall group effect for each of the measures used. </w:t>
      </w:r>
      <w:r w:rsidR="001B733B" w:rsidRPr="000F4A69">
        <w:t>When</w:t>
      </w:r>
      <w:r w:rsidR="0057076C" w:rsidRPr="000F4A69">
        <w:t xml:space="preserve"> compared to the CFS and </w:t>
      </w:r>
      <w:r w:rsidR="00A31D74" w:rsidRPr="000F4A69">
        <w:t xml:space="preserve">TD </w:t>
      </w:r>
      <w:r w:rsidR="0057076C" w:rsidRPr="000F4A69">
        <w:t>groups, a</w:t>
      </w:r>
      <w:r w:rsidRPr="000F4A69">
        <w:t xml:space="preserve">dults with DCD </w:t>
      </w:r>
      <w:r w:rsidR="0057076C" w:rsidRPr="000F4A69">
        <w:t xml:space="preserve">reported </w:t>
      </w:r>
      <w:r w:rsidRPr="000F4A69">
        <w:t>significantly higher levels of</w:t>
      </w:r>
      <w:r w:rsidR="0057076C" w:rsidRPr="000F4A69">
        <w:t xml:space="preserve"> </w:t>
      </w:r>
      <w:r w:rsidRPr="000F4A69">
        <w:t xml:space="preserve">cognitive difficulties (p&lt;0.001), fatigue </w:t>
      </w:r>
      <w:bookmarkStart w:id="24" w:name="OLE_LINK19"/>
      <w:bookmarkStart w:id="25" w:name="OLE_LINK20"/>
      <w:r w:rsidRPr="000F4A69">
        <w:t>(p&lt;0.001)</w:t>
      </w:r>
      <w:bookmarkEnd w:id="24"/>
      <w:bookmarkEnd w:id="25"/>
      <w:r w:rsidRPr="000F4A69">
        <w:t>, emotional distress (p&lt;0.001), and somatic symptoms (p&lt;0.01). The DCD group also showed higher levels of anxiety (p&lt;0.001), depression (p&lt;0.001), stress (p&lt;0.001), cognitive failures (p&lt;0.001), total symptoms (p&lt;0.001), and negative affect (p&lt;0.001). In addition, the DCD group presented with lower levels of self-esteem (p&lt;0.001) and positive affect (p&lt;0.05) than the</w:t>
      </w:r>
      <w:r w:rsidR="00ED64AE" w:rsidRPr="000F4A69">
        <w:t xml:space="preserve"> CFS and </w:t>
      </w:r>
      <w:r w:rsidR="00A31D74" w:rsidRPr="000F4A69">
        <w:t xml:space="preserve">TD </w:t>
      </w:r>
      <w:r w:rsidR="00ED64AE" w:rsidRPr="000F4A69">
        <w:t>groups</w:t>
      </w:r>
      <w:r w:rsidRPr="000F4A69">
        <w:t>.</w:t>
      </w:r>
    </w:p>
    <w:p w14:paraId="1B3D417D" w14:textId="543E3DD4" w:rsidR="00C13A07" w:rsidRPr="000F4A69" w:rsidRDefault="00C13A07" w:rsidP="003C7876">
      <w:pPr>
        <w:spacing w:before="240"/>
        <w:ind w:firstLine="567"/>
      </w:pPr>
      <w:bookmarkStart w:id="26" w:name="OLE_LINK23"/>
      <w:r w:rsidRPr="000F4A69">
        <w:t>When comparing the DCD and CFS groups, a slightly different picture emerge</w:t>
      </w:r>
      <w:r w:rsidR="00ED64AE" w:rsidRPr="000F4A69">
        <w:t>d</w:t>
      </w:r>
      <w:r w:rsidRPr="000F4A69">
        <w:t xml:space="preserve">. Adults with DCD report significantly lower levels of cognitive difficulties (p&lt;0.05), fatigue (p&lt;0.001), somatic symptoms (p&lt;0.001), and total symptoms (p&lt;0.001) than the CFS group. However, there was no significant difference between the DCD and CFS groups in terms of </w:t>
      </w:r>
      <w:bookmarkStart w:id="27" w:name="OLE_LINK1"/>
      <w:r w:rsidRPr="000F4A69">
        <w:t>levels of anxiety, depression, stress, emotional distress, cognitive failures, negative and positive affect, or indeed self-esteem.</w:t>
      </w:r>
      <w:bookmarkEnd w:id="27"/>
    </w:p>
    <w:p w14:paraId="1806285D" w14:textId="77777777" w:rsidR="00C13A07" w:rsidRPr="000F4A69" w:rsidRDefault="00C13A07" w:rsidP="003C7876">
      <w:pPr>
        <w:spacing w:before="240"/>
        <w:ind w:firstLine="567"/>
        <w:jc w:val="center"/>
        <w:rPr>
          <w:i/>
        </w:rPr>
      </w:pPr>
      <w:bookmarkStart w:id="28" w:name="OLE_LINK2"/>
      <w:bookmarkStart w:id="29" w:name="OLE_LINK3"/>
      <w:bookmarkEnd w:id="26"/>
      <w:r w:rsidRPr="000F4A69">
        <w:rPr>
          <w:i/>
        </w:rPr>
        <w:t xml:space="preserve">Insert Table 2 </w:t>
      </w:r>
      <w:r w:rsidR="00306A20" w:rsidRPr="000F4A69">
        <w:rPr>
          <w:i/>
        </w:rPr>
        <w:t xml:space="preserve">about </w:t>
      </w:r>
      <w:r w:rsidRPr="000F4A69">
        <w:rPr>
          <w:i/>
        </w:rPr>
        <w:t>here</w:t>
      </w:r>
    </w:p>
    <w:p w14:paraId="3F4723FE" w14:textId="18F6F647" w:rsidR="00C13A07" w:rsidRPr="000F4A69" w:rsidRDefault="00C13A07" w:rsidP="003C7876">
      <w:pPr>
        <w:spacing w:before="240"/>
        <w:ind w:firstLine="567"/>
      </w:pPr>
      <w:r w:rsidRPr="000F4A69">
        <w:lastRenderedPageBreak/>
        <w:t xml:space="preserve">On examining measures of sleep behaviour in the three groups, there was no difference between them in terms of the average number of hours slept. However, when the quality of sleep </w:t>
      </w:r>
      <w:r w:rsidR="00ED64AE" w:rsidRPr="000F4A69">
        <w:t>was</w:t>
      </w:r>
      <w:r w:rsidRPr="000F4A69">
        <w:t xml:space="preserve"> considered, the CFS group was significantly less likely to feel rested by sleep than both the DCD and </w:t>
      </w:r>
      <w:r w:rsidR="00A31D74" w:rsidRPr="000F4A69">
        <w:t xml:space="preserve">TD </w:t>
      </w:r>
      <w:r w:rsidRPr="000F4A69">
        <w:t xml:space="preserve">groups, and were significantly more likely to have difficulty falling asleep and waking early than the </w:t>
      </w:r>
      <w:r w:rsidR="00A31D74" w:rsidRPr="000F4A69">
        <w:t xml:space="preserve">TD </w:t>
      </w:r>
      <w:r w:rsidR="00ED64AE" w:rsidRPr="000F4A69">
        <w:t>group</w:t>
      </w:r>
      <w:r w:rsidRPr="000F4A69">
        <w:t xml:space="preserve">. The DCD adults were also significantly less likely to feel rested by sleep than the </w:t>
      </w:r>
      <w:r w:rsidR="00A31D74" w:rsidRPr="000F4A69">
        <w:t xml:space="preserve">TD </w:t>
      </w:r>
      <w:r w:rsidRPr="000F4A69">
        <w:t xml:space="preserve">group. There was no difference between the DCD and </w:t>
      </w:r>
      <w:r w:rsidR="00A31D74" w:rsidRPr="000F4A69">
        <w:t xml:space="preserve">TD </w:t>
      </w:r>
      <w:r w:rsidRPr="000F4A69">
        <w:t xml:space="preserve">group in terms of difficulty falling asleep or waking early. </w:t>
      </w:r>
      <w:bookmarkEnd w:id="28"/>
      <w:bookmarkEnd w:id="29"/>
    </w:p>
    <w:p w14:paraId="273CA78F" w14:textId="77777777" w:rsidR="00C13A07" w:rsidRPr="000F4A69" w:rsidRDefault="00C13A07" w:rsidP="003C7876">
      <w:pPr>
        <w:spacing w:before="240"/>
        <w:jc w:val="center"/>
        <w:rPr>
          <w:i/>
        </w:rPr>
      </w:pPr>
      <w:r w:rsidRPr="000F4A69">
        <w:rPr>
          <w:i/>
        </w:rPr>
        <w:t xml:space="preserve">Insert Table 3 </w:t>
      </w:r>
      <w:r w:rsidR="00306A20" w:rsidRPr="000F4A69">
        <w:rPr>
          <w:i/>
        </w:rPr>
        <w:t xml:space="preserve">about </w:t>
      </w:r>
      <w:r w:rsidRPr="000F4A69">
        <w:rPr>
          <w:i/>
        </w:rPr>
        <w:t>here</w:t>
      </w:r>
    </w:p>
    <w:p w14:paraId="5CF4DC15" w14:textId="77777777" w:rsidR="00C13A07" w:rsidRPr="000F4A69" w:rsidRDefault="00C13A07" w:rsidP="003C7876">
      <w:pPr>
        <w:spacing w:before="240"/>
      </w:pPr>
    </w:p>
    <w:p w14:paraId="38AC083E" w14:textId="0F20AAAC" w:rsidR="00C13A07" w:rsidRPr="000F4A69" w:rsidRDefault="00C13A07" w:rsidP="003C7876">
      <w:pPr>
        <w:spacing w:before="240"/>
        <w:rPr>
          <w:b/>
        </w:rPr>
      </w:pPr>
      <w:r w:rsidRPr="000F4A69">
        <w:rPr>
          <w:b/>
        </w:rPr>
        <w:br w:type="page"/>
      </w:r>
      <w:r w:rsidRPr="000F4A69">
        <w:rPr>
          <w:b/>
        </w:rPr>
        <w:lastRenderedPageBreak/>
        <w:t>Discussion</w:t>
      </w:r>
      <w:r w:rsidR="00B55A58" w:rsidRPr="000F4A69">
        <w:rPr>
          <w:b/>
        </w:rPr>
        <w:t>-need more subheadings</w:t>
      </w:r>
    </w:p>
    <w:p w14:paraId="3AC4FA9B" w14:textId="26C7ABC4" w:rsidR="00C13A07" w:rsidRPr="000F4A69" w:rsidRDefault="00C13A07" w:rsidP="003C7876">
      <w:pPr>
        <w:spacing w:before="240"/>
        <w:ind w:firstLine="567"/>
      </w:pPr>
      <w:r w:rsidRPr="000F4A69">
        <w:t xml:space="preserve">Fatigue is a difficult symptom to accurately assess and quantify. This is especially true in cases where the cause of the fatigue and mechanisms which perpetuate it, are unknown.  In order to address this, we adopted an established model </w:t>
      </w:r>
      <w:r w:rsidR="00D10C5C" w:rsidRPr="000F4A69">
        <w:t xml:space="preserve">of </w:t>
      </w:r>
      <w:r w:rsidRPr="000F4A69">
        <w:t xml:space="preserve">fatigue and associated symptoms </w:t>
      </w:r>
      <w:r w:rsidR="00D10C5C" w:rsidRPr="000F4A69">
        <w:t xml:space="preserve">used </w:t>
      </w:r>
      <w:r w:rsidRPr="000F4A69">
        <w:t xml:space="preserve">in </w:t>
      </w:r>
      <w:r w:rsidR="00D10C5C" w:rsidRPr="000F4A69">
        <w:t xml:space="preserve">previous </w:t>
      </w:r>
      <w:r w:rsidRPr="000F4A69">
        <w:t>CFS</w:t>
      </w:r>
      <w:r w:rsidR="00D10C5C" w:rsidRPr="000F4A69">
        <w:t xml:space="preserve"> research</w:t>
      </w:r>
      <w:r w:rsidRPr="000F4A69">
        <w:rPr>
          <w:vertAlign w:val="superscript"/>
        </w:rPr>
        <w:t>1</w:t>
      </w:r>
      <w:r w:rsidR="00FE4576" w:rsidRPr="000F4A69">
        <w:rPr>
          <w:vertAlign w:val="superscript"/>
        </w:rPr>
        <w:t>7</w:t>
      </w:r>
      <w:r w:rsidRPr="000F4A69">
        <w:rPr>
          <w:vertAlign w:val="superscript"/>
        </w:rPr>
        <w:t>, 1</w:t>
      </w:r>
      <w:r w:rsidR="00FE4576" w:rsidRPr="000F4A69">
        <w:rPr>
          <w:vertAlign w:val="superscript"/>
        </w:rPr>
        <w:t>8</w:t>
      </w:r>
      <w:r w:rsidRPr="000F4A69">
        <w:rPr>
          <w:vertAlign w:val="superscript"/>
        </w:rPr>
        <w:t xml:space="preserve">, </w:t>
      </w:r>
      <w:r w:rsidR="00FE4576" w:rsidRPr="000F4A69">
        <w:rPr>
          <w:vertAlign w:val="superscript"/>
        </w:rPr>
        <w:t>2</w:t>
      </w:r>
      <w:r w:rsidRPr="000F4A69">
        <w:rPr>
          <w:vertAlign w:val="superscript"/>
        </w:rPr>
        <w:t>1</w:t>
      </w:r>
      <w:r w:rsidR="0057076C" w:rsidRPr="000F4A69">
        <w:t>.  In this</w:t>
      </w:r>
      <w:r w:rsidRPr="000F4A69">
        <w:t xml:space="preserve"> study</w:t>
      </w:r>
      <w:r w:rsidR="0057076C" w:rsidRPr="000F4A69">
        <w:t>, which appears to be the first of its type</w:t>
      </w:r>
      <w:r w:rsidRPr="000F4A69">
        <w:t xml:space="preserve"> in the developmental literature, data collected from a DCD group were compared to both a group of adults with CFS as well as to a TD/non-CFS group in a cross-sectional study.  </w:t>
      </w:r>
    </w:p>
    <w:p w14:paraId="31CEDC1C" w14:textId="3933FC17" w:rsidR="00B67D06" w:rsidRPr="000F4A69" w:rsidRDefault="00B67D06" w:rsidP="003C7876">
      <w:pPr>
        <w:spacing w:before="240"/>
        <w:ind w:firstLine="567"/>
      </w:pPr>
      <w:r w:rsidRPr="000F4A69">
        <w:t xml:space="preserve">The CFS group recruited to the current study reported a significantly greater impairment for each measure than the </w:t>
      </w:r>
      <w:r w:rsidR="009934B4" w:rsidRPr="000F4A69">
        <w:t>TD</w:t>
      </w:r>
      <w:r w:rsidRPr="000F4A69">
        <w:t xml:space="preserve">, </w:t>
      </w:r>
      <w:r w:rsidR="002F1CA2" w:rsidRPr="000F4A69">
        <w:t xml:space="preserve">with performance being </w:t>
      </w:r>
      <w:r w:rsidRPr="000F4A69">
        <w:t>comparable to those recruited to previous studies.  This also acted to replicated findings by Thomas and Smith</w:t>
      </w:r>
      <w:r w:rsidRPr="000F4A69">
        <w:rPr>
          <w:vertAlign w:val="superscript"/>
        </w:rPr>
        <w:t>1</w:t>
      </w:r>
      <w:r w:rsidR="00FE4576" w:rsidRPr="000F4A69">
        <w:rPr>
          <w:vertAlign w:val="superscript"/>
        </w:rPr>
        <w:t>7</w:t>
      </w:r>
      <w:r w:rsidRPr="000F4A69">
        <w:t xml:space="preserve">. In addition, the </w:t>
      </w:r>
      <w:r w:rsidR="009934B4" w:rsidRPr="000F4A69">
        <w:t xml:space="preserve">TD </w:t>
      </w:r>
      <w:r w:rsidRPr="000F4A69">
        <w:t>group data used here were comparable to that reported in the same previously published CFS study</w:t>
      </w:r>
      <w:r w:rsidRPr="000F4A69">
        <w:rPr>
          <w:vertAlign w:val="superscript"/>
        </w:rPr>
        <w:t>1</w:t>
      </w:r>
      <w:r w:rsidR="00FE4576" w:rsidRPr="000F4A69">
        <w:rPr>
          <w:vertAlign w:val="superscript"/>
        </w:rPr>
        <w:t>7</w:t>
      </w:r>
      <w:r w:rsidRPr="000F4A69">
        <w:t>.</w:t>
      </w:r>
      <w:r w:rsidR="00F80AD3" w:rsidRPr="000F4A69">
        <w:t xml:space="preserve"> </w:t>
      </w:r>
      <w:r w:rsidR="002F1CA2" w:rsidRPr="000F4A69">
        <w:t xml:space="preserve">Given this, it was possible to </w:t>
      </w:r>
      <w:r w:rsidR="00162D3A" w:rsidRPr="000F4A69">
        <w:t xml:space="preserve">more confidently </w:t>
      </w:r>
      <w:r w:rsidR="002F1CA2" w:rsidRPr="000F4A69">
        <w:t xml:space="preserve">assess </w:t>
      </w:r>
      <w:r w:rsidR="00162D3A" w:rsidRPr="000F4A69">
        <w:t xml:space="preserve">fatigue and </w:t>
      </w:r>
      <w:r w:rsidR="002F1CA2" w:rsidRPr="000F4A69">
        <w:t xml:space="preserve">functioning of the DCD group in relation to both </w:t>
      </w:r>
      <w:r w:rsidR="009934B4" w:rsidRPr="000F4A69">
        <w:t xml:space="preserve">TD </w:t>
      </w:r>
      <w:r w:rsidR="002F1CA2" w:rsidRPr="000F4A69">
        <w:t xml:space="preserve">and CFS data.  </w:t>
      </w:r>
      <w:bookmarkStart w:id="30" w:name="_Hlk500952081"/>
      <w:bookmarkStart w:id="31" w:name="OLE_LINK24"/>
      <w:r w:rsidR="00F80AD3" w:rsidRPr="000F4A69">
        <w:t xml:space="preserve">Previous studies had ruled out gender and age </w:t>
      </w:r>
      <w:r w:rsidR="002F1CA2" w:rsidRPr="000F4A69">
        <w:t xml:space="preserve">among other things </w:t>
      </w:r>
      <w:r w:rsidR="00F80AD3" w:rsidRPr="000F4A69">
        <w:t>as confounding factors in the outcome measures</w:t>
      </w:r>
      <w:r w:rsidR="00F80AD3" w:rsidRPr="000F4A69">
        <w:rPr>
          <w:vertAlign w:val="superscript"/>
        </w:rPr>
        <w:t>1</w:t>
      </w:r>
      <w:r w:rsidR="00FE4576" w:rsidRPr="000F4A69">
        <w:rPr>
          <w:vertAlign w:val="superscript"/>
        </w:rPr>
        <w:t>7</w:t>
      </w:r>
      <w:r w:rsidR="00F80AD3" w:rsidRPr="000F4A69">
        <w:t>.</w:t>
      </w:r>
      <w:r w:rsidR="00254F8F" w:rsidRPr="000F4A69">
        <w:t xml:space="preserve"> </w:t>
      </w:r>
      <w:bookmarkEnd w:id="30"/>
      <w:bookmarkEnd w:id="31"/>
      <w:r w:rsidR="00254F8F" w:rsidRPr="000F4A69">
        <w:t xml:space="preserve"> </w:t>
      </w:r>
    </w:p>
    <w:p w14:paraId="67DEE2CE" w14:textId="2B380972" w:rsidR="00C13A07" w:rsidRPr="000F4A69" w:rsidRDefault="00C13A07" w:rsidP="003C7876">
      <w:pPr>
        <w:spacing w:before="240"/>
        <w:ind w:firstLine="567"/>
      </w:pPr>
      <w:bookmarkStart w:id="32" w:name="_Hlk500952261"/>
      <w:bookmarkStart w:id="33" w:name="OLE_LINK25"/>
      <w:r w:rsidRPr="000F4A69">
        <w:t>It was clear the CFS group recruited here was comparable in profile to previous samples</w:t>
      </w:r>
      <w:r w:rsidR="002F1CA2" w:rsidRPr="000F4A69">
        <w:t xml:space="preserve">, showing </w:t>
      </w:r>
      <w:r w:rsidR="00E87A73" w:rsidRPr="000F4A69">
        <w:t xml:space="preserve">similar </w:t>
      </w:r>
      <w:r w:rsidR="002F1CA2" w:rsidRPr="000F4A69">
        <w:t>level</w:t>
      </w:r>
      <w:r w:rsidR="00E87A73" w:rsidRPr="000F4A69">
        <w:t>s</w:t>
      </w:r>
      <w:r w:rsidR="002F1CA2" w:rsidRPr="000F4A69">
        <w:t xml:space="preserve"> of impairment</w:t>
      </w:r>
      <w:r w:rsidRPr="000F4A69">
        <w:rPr>
          <w:vertAlign w:val="superscript"/>
        </w:rPr>
        <w:t>1</w:t>
      </w:r>
      <w:r w:rsidR="00FE4576" w:rsidRPr="000F4A69">
        <w:rPr>
          <w:vertAlign w:val="superscript"/>
        </w:rPr>
        <w:t>7</w:t>
      </w:r>
      <w:r w:rsidRPr="000F4A69">
        <w:t xml:space="preserve">.  </w:t>
      </w:r>
      <w:bookmarkEnd w:id="32"/>
      <w:bookmarkEnd w:id="33"/>
      <w:r w:rsidRPr="000F4A69">
        <w:t>However,</w:t>
      </w:r>
      <w:r w:rsidR="00162D3A" w:rsidRPr="000F4A69">
        <w:t xml:space="preserve"> </w:t>
      </w:r>
      <w:r w:rsidR="00D375EE" w:rsidRPr="000F4A69">
        <w:t>t</w:t>
      </w:r>
      <w:r w:rsidRPr="000F4A69">
        <w:t xml:space="preserve">he important finding </w:t>
      </w:r>
      <w:r w:rsidR="00B55A58" w:rsidRPr="000F4A69">
        <w:t xml:space="preserve">in this study </w:t>
      </w:r>
      <w:r w:rsidRPr="000F4A69">
        <w:t xml:space="preserve">was </w:t>
      </w:r>
      <w:r w:rsidR="00162D3A" w:rsidRPr="000F4A69">
        <w:t xml:space="preserve">the presence of </w:t>
      </w:r>
      <w:r w:rsidRPr="000F4A69">
        <w:t>marked fatigue in adults diagnosed with DCD when compared to a typically-developing group.  This finding gives credence to clinical observations that have been hitherto unexplored</w:t>
      </w:r>
      <w:r w:rsidR="00B55A58" w:rsidRPr="000F4A69">
        <w:t xml:space="preserve"> in the research literature</w:t>
      </w:r>
      <w:r w:rsidRPr="000F4A69">
        <w:t xml:space="preserve">.  The impact of the experienced fatigue is widespread, affecting a number of key indicators of well-being, such as mood, cognitive function, self-esteem, and sleep.  </w:t>
      </w:r>
    </w:p>
    <w:p w14:paraId="6CAFE15C" w14:textId="5D83E62F" w:rsidR="00C13A07" w:rsidRPr="000F4A69" w:rsidRDefault="00C13A07" w:rsidP="003C7876">
      <w:pPr>
        <w:pStyle w:val="CommentText"/>
        <w:spacing w:before="240" w:after="0" w:line="480" w:lineRule="auto"/>
        <w:ind w:firstLine="567"/>
        <w:rPr>
          <w:rFonts w:ascii="Times New Roman" w:hAnsi="Times New Roman"/>
          <w:sz w:val="24"/>
          <w:szCs w:val="24"/>
        </w:rPr>
      </w:pPr>
      <w:r w:rsidRPr="000F4A69">
        <w:rPr>
          <w:rFonts w:ascii="Times New Roman" w:hAnsi="Times New Roman"/>
          <w:sz w:val="24"/>
          <w:szCs w:val="24"/>
        </w:rPr>
        <w:lastRenderedPageBreak/>
        <w:t xml:space="preserve">It was interesting to note that the DCD group produced a pattern of impairment that was comparable to the CFS group yet </w:t>
      </w:r>
      <w:r w:rsidR="002F1CA2" w:rsidRPr="000F4A69">
        <w:rPr>
          <w:rFonts w:ascii="Times New Roman" w:hAnsi="Times New Roman"/>
          <w:sz w:val="24"/>
          <w:szCs w:val="24"/>
        </w:rPr>
        <w:t xml:space="preserve">also </w:t>
      </w:r>
      <w:r w:rsidRPr="000F4A69">
        <w:rPr>
          <w:rFonts w:ascii="Times New Roman" w:hAnsi="Times New Roman"/>
          <w:sz w:val="24"/>
          <w:szCs w:val="24"/>
        </w:rPr>
        <w:t xml:space="preserve">distinct. </w:t>
      </w:r>
      <w:bookmarkStart w:id="34" w:name="_Hlk500952439"/>
      <w:r w:rsidRPr="000F4A69">
        <w:rPr>
          <w:rFonts w:ascii="Times New Roman" w:hAnsi="Times New Roman"/>
          <w:sz w:val="24"/>
          <w:szCs w:val="24"/>
        </w:rPr>
        <w:t xml:space="preserve">Levels of anxiety, depression, and negative and positive affect were very similar, as were overall levels of stress and emotional distress.  Indeed, our findings of significantly increased self-reported anxiety and depression in adults with DCD </w:t>
      </w:r>
      <w:r w:rsidR="00575F77" w:rsidRPr="000F4A69">
        <w:rPr>
          <w:rFonts w:ascii="Times New Roman" w:hAnsi="Times New Roman"/>
          <w:sz w:val="24"/>
          <w:szCs w:val="24"/>
        </w:rPr>
        <w:t xml:space="preserve">- </w:t>
      </w:r>
      <w:r w:rsidR="00D375EE" w:rsidRPr="000F4A69">
        <w:rPr>
          <w:rFonts w:ascii="Times New Roman" w:hAnsi="Times New Roman"/>
          <w:sz w:val="24"/>
          <w:szCs w:val="24"/>
        </w:rPr>
        <w:t xml:space="preserve">when compared to TD controls - </w:t>
      </w:r>
      <w:r w:rsidRPr="000F4A69">
        <w:rPr>
          <w:rFonts w:ascii="Times New Roman" w:hAnsi="Times New Roman"/>
          <w:sz w:val="24"/>
          <w:szCs w:val="24"/>
        </w:rPr>
        <w:t>are in keeping with those by Kirby et al</w:t>
      </w:r>
      <w:r w:rsidRPr="000F4A69">
        <w:rPr>
          <w:rFonts w:ascii="Times New Roman" w:hAnsi="Times New Roman"/>
          <w:sz w:val="24"/>
          <w:szCs w:val="24"/>
          <w:vertAlign w:val="superscript"/>
        </w:rPr>
        <w:t>4</w:t>
      </w:r>
      <w:r w:rsidRPr="000F4A69">
        <w:rPr>
          <w:rFonts w:ascii="Times New Roman" w:hAnsi="Times New Roman"/>
          <w:sz w:val="24"/>
          <w:szCs w:val="24"/>
        </w:rPr>
        <w:t>.</w:t>
      </w:r>
      <w:r w:rsidR="004F409F" w:rsidRPr="000F4A69">
        <w:rPr>
          <w:rFonts w:ascii="Times New Roman" w:hAnsi="Times New Roman"/>
          <w:i/>
          <w:sz w:val="24"/>
          <w:szCs w:val="24"/>
        </w:rPr>
        <w:t xml:space="preserve"> </w:t>
      </w:r>
      <w:bookmarkEnd w:id="34"/>
      <w:r w:rsidRPr="000F4A69">
        <w:rPr>
          <w:rFonts w:ascii="Times New Roman" w:hAnsi="Times New Roman"/>
          <w:sz w:val="24"/>
          <w:szCs w:val="24"/>
        </w:rPr>
        <w:t>This is indicative of issues with emotion regulation.  Fluctuations in mood and perceived distress have a detrimental effect on everyday function</w:t>
      </w:r>
      <w:r w:rsidR="00B55A58" w:rsidRPr="000F4A69">
        <w:rPr>
          <w:rFonts w:ascii="Times New Roman" w:hAnsi="Times New Roman"/>
          <w:sz w:val="24"/>
          <w:szCs w:val="24"/>
        </w:rPr>
        <w:t xml:space="preserve"> which may</w:t>
      </w:r>
      <w:r w:rsidRPr="000F4A69">
        <w:rPr>
          <w:rFonts w:ascii="Times New Roman" w:hAnsi="Times New Roman"/>
          <w:sz w:val="24"/>
          <w:szCs w:val="24"/>
        </w:rPr>
        <w:t xml:space="preserve"> contribut</w:t>
      </w:r>
      <w:r w:rsidR="00B55A58" w:rsidRPr="000F4A69">
        <w:rPr>
          <w:rFonts w:ascii="Times New Roman" w:hAnsi="Times New Roman"/>
          <w:sz w:val="24"/>
          <w:szCs w:val="24"/>
        </w:rPr>
        <w:t>e</w:t>
      </w:r>
      <w:r w:rsidRPr="000F4A69">
        <w:rPr>
          <w:rFonts w:ascii="Times New Roman" w:hAnsi="Times New Roman"/>
          <w:sz w:val="24"/>
          <w:szCs w:val="24"/>
        </w:rPr>
        <w:t xml:space="preserve"> to day-to-day cognitive deficits</w:t>
      </w:r>
      <w:r w:rsidR="00E260F7" w:rsidRPr="000F4A69">
        <w:rPr>
          <w:rFonts w:ascii="Times New Roman" w:hAnsi="Times New Roman"/>
          <w:sz w:val="24"/>
          <w:szCs w:val="24"/>
          <w:vertAlign w:val="superscript"/>
        </w:rPr>
        <w:t>33</w:t>
      </w:r>
      <w:r w:rsidRPr="000F4A69">
        <w:rPr>
          <w:rFonts w:ascii="Times New Roman" w:hAnsi="Times New Roman"/>
          <w:sz w:val="24"/>
          <w:szCs w:val="24"/>
        </w:rPr>
        <w:t xml:space="preserve"> as well as fatigue and tiredness</w:t>
      </w:r>
      <w:r w:rsidR="00E260F7" w:rsidRPr="000F4A69">
        <w:rPr>
          <w:rFonts w:ascii="Times New Roman" w:hAnsi="Times New Roman"/>
          <w:sz w:val="24"/>
          <w:szCs w:val="24"/>
          <w:vertAlign w:val="superscript"/>
        </w:rPr>
        <w:t>34</w:t>
      </w:r>
      <w:r w:rsidRPr="000F4A69">
        <w:rPr>
          <w:rFonts w:ascii="Times New Roman" w:hAnsi="Times New Roman"/>
          <w:sz w:val="24"/>
          <w:szCs w:val="24"/>
        </w:rPr>
        <w:t>. These issues are explored further in Thomas and Christopher</w:t>
      </w:r>
      <w:r w:rsidR="00E260F7" w:rsidRPr="000F4A69">
        <w:rPr>
          <w:rFonts w:ascii="Times New Roman" w:hAnsi="Times New Roman"/>
          <w:sz w:val="24"/>
          <w:szCs w:val="24"/>
          <w:vertAlign w:val="superscript"/>
        </w:rPr>
        <w:t>35</w:t>
      </w:r>
      <w:r w:rsidRPr="000F4A69">
        <w:rPr>
          <w:rFonts w:ascii="Times New Roman" w:hAnsi="Times New Roman"/>
          <w:sz w:val="24"/>
          <w:szCs w:val="24"/>
        </w:rPr>
        <w:t xml:space="preserve">. </w:t>
      </w:r>
    </w:p>
    <w:p w14:paraId="32656F2C" w14:textId="387500E6" w:rsidR="00C13A07" w:rsidRPr="000F4A69" w:rsidRDefault="00C13A07" w:rsidP="003C7876">
      <w:pPr>
        <w:spacing w:before="240"/>
        <w:ind w:firstLine="567"/>
      </w:pPr>
      <w:r w:rsidRPr="000F4A69">
        <w:t>Self-esteem was also significantly lower in the</w:t>
      </w:r>
      <w:r w:rsidR="00130389" w:rsidRPr="000F4A69">
        <w:t xml:space="preserve"> DCD and CFS </w:t>
      </w:r>
      <w:r w:rsidRPr="000F4A69">
        <w:t xml:space="preserve">groups compared to the </w:t>
      </w:r>
      <w:r w:rsidR="009934B4" w:rsidRPr="000F4A69">
        <w:t xml:space="preserve">TD </w:t>
      </w:r>
      <w:r w:rsidRPr="000F4A69">
        <w:t>group.  Previous research has shown low self-esteem in children with DCD</w:t>
      </w:r>
      <w:r w:rsidR="00E260F7" w:rsidRPr="000F4A69">
        <w:rPr>
          <w:vertAlign w:val="superscript"/>
        </w:rPr>
        <w:t>36</w:t>
      </w:r>
      <w:r w:rsidRPr="000F4A69">
        <w:t xml:space="preserve">, so this finding </w:t>
      </w:r>
      <w:r w:rsidR="00130389" w:rsidRPr="000F4A69">
        <w:t xml:space="preserve">appears to be </w:t>
      </w:r>
      <w:r w:rsidRPr="000F4A69">
        <w:t xml:space="preserve">replicated in </w:t>
      </w:r>
      <w:r w:rsidR="00130389" w:rsidRPr="000F4A69">
        <w:t xml:space="preserve">our </w:t>
      </w:r>
      <w:r w:rsidRPr="000F4A69">
        <w:t xml:space="preserve">adult group.  Low self-esteem is linked to anxiety and depression. </w:t>
      </w:r>
      <w:bookmarkStart w:id="35" w:name="_Hlk500952807"/>
      <w:r w:rsidRPr="000F4A69">
        <w:t>A meta-analysis of longitudinal studies</w:t>
      </w:r>
      <w:r w:rsidR="00E260F7" w:rsidRPr="000F4A69">
        <w:rPr>
          <w:vertAlign w:val="superscript"/>
        </w:rPr>
        <w:t>37</w:t>
      </w:r>
      <w:r w:rsidRPr="000F4A69">
        <w:rPr>
          <w:vertAlign w:val="superscript"/>
        </w:rPr>
        <w:t xml:space="preserve"> </w:t>
      </w:r>
      <w:r w:rsidRPr="000F4A69">
        <w:t>found that low self-esteem both contributes to and is caused by anxiety. In the case of depression, low self-esteem appears to feed the cycle of depression rather than be caused by depression.</w:t>
      </w:r>
      <w:r w:rsidRPr="000F4A69" w:rsidDel="009D0A6B">
        <w:t xml:space="preserve"> </w:t>
      </w:r>
    </w:p>
    <w:bookmarkEnd w:id="35"/>
    <w:p w14:paraId="42237E7A" w14:textId="417383A1" w:rsidR="00B55A58" w:rsidRPr="000F4A69" w:rsidRDefault="00C13A07" w:rsidP="003C7876">
      <w:pPr>
        <w:spacing w:before="240"/>
        <w:ind w:firstLine="567"/>
        <w:rPr>
          <w:vertAlign w:val="superscript"/>
        </w:rPr>
      </w:pPr>
      <w:r w:rsidRPr="000F4A69">
        <w:t xml:space="preserve">In addition, the level of overall </w:t>
      </w:r>
      <w:r w:rsidR="00130389" w:rsidRPr="000F4A69">
        <w:t xml:space="preserve">self-report </w:t>
      </w:r>
      <w:r w:rsidRPr="000F4A69">
        <w:t xml:space="preserve">cognitive </w:t>
      </w:r>
      <w:r w:rsidR="00B55A58" w:rsidRPr="000F4A69">
        <w:t xml:space="preserve">difficulties </w:t>
      </w:r>
      <w:r w:rsidRPr="000F4A69">
        <w:t xml:space="preserve">across a range of everyday activities was comparable in the two clinical groups.   Such difficulties </w:t>
      </w:r>
      <w:r w:rsidR="00452BC7" w:rsidRPr="000F4A69">
        <w:t xml:space="preserve">may </w:t>
      </w:r>
      <w:r w:rsidRPr="000F4A69">
        <w:t xml:space="preserve">reflect the mental fatigue associated with these conditions. As explored later, physical fatigue and tiredness through a lack of feeling rested </w:t>
      </w:r>
      <w:r w:rsidR="00452BC7" w:rsidRPr="000F4A69">
        <w:t xml:space="preserve">may also </w:t>
      </w:r>
      <w:r w:rsidRPr="000F4A69">
        <w:t xml:space="preserve">contribute to the cognitive problems experienced.  Although cognitive difficulties, fatigue, and symptoms (somatic and total) are lower in DCD </w:t>
      </w:r>
      <w:r w:rsidR="00B55A58" w:rsidRPr="000F4A69">
        <w:t xml:space="preserve">as compared to </w:t>
      </w:r>
      <w:r w:rsidRPr="000F4A69">
        <w:t>CFS, the</w:t>
      </w:r>
      <w:r w:rsidR="00B55A58" w:rsidRPr="000F4A69">
        <w:t>se symptoms</w:t>
      </w:r>
      <w:r w:rsidRPr="000F4A69">
        <w:t xml:space="preserve"> are higher in DCD when compared to the </w:t>
      </w:r>
      <w:r w:rsidR="009934B4" w:rsidRPr="000F4A69">
        <w:t xml:space="preserve">TD </w:t>
      </w:r>
      <w:r w:rsidR="00452BC7" w:rsidRPr="000F4A69">
        <w:t>and should be considered for intervention.</w:t>
      </w:r>
      <w:r w:rsidR="00E260F7" w:rsidRPr="000F4A69">
        <w:rPr>
          <w:vertAlign w:val="superscript"/>
        </w:rPr>
        <w:t>37</w:t>
      </w:r>
      <w:r w:rsidR="00B55A58" w:rsidRPr="000F4A69">
        <w:rPr>
          <w:vertAlign w:val="superscript"/>
        </w:rPr>
        <w:t xml:space="preserve">  </w:t>
      </w:r>
    </w:p>
    <w:p w14:paraId="2E58A4FA" w14:textId="65A79F64" w:rsidR="00C13A07" w:rsidRPr="000F4A69" w:rsidRDefault="00C13A07" w:rsidP="003C7876">
      <w:pPr>
        <w:spacing w:before="240"/>
        <w:ind w:firstLine="567"/>
      </w:pPr>
      <w:r w:rsidRPr="000F4A69">
        <w:lastRenderedPageBreak/>
        <w:t xml:space="preserve">Sleep plays a vital role in resolving fatigue and, as such, is a major consideration when diagnosing such conditions. Findings from the current study suggest that, although those with DCD are sleeping </w:t>
      </w:r>
      <w:r w:rsidR="00B55A58" w:rsidRPr="000F4A69">
        <w:t xml:space="preserve">about </w:t>
      </w:r>
      <w:r w:rsidRPr="000F4A69">
        <w:t xml:space="preserve">the same number of hours per night as the </w:t>
      </w:r>
      <w:r w:rsidR="009934B4" w:rsidRPr="000F4A69">
        <w:t xml:space="preserve">TD </w:t>
      </w:r>
      <w:r w:rsidRPr="000F4A69">
        <w:t>group (6-7 hours), and are not having problems falling asleep or waking early, they are in fact not feeling rested by sleep</w:t>
      </w:r>
      <w:r w:rsidR="00B55A58" w:rsidRPr="000F4A69">
        <w:t>.</w:t>
      </w:r>
      <w:r w:rsidRPr="000F4A69">
        <w:t xml:space="preserve">  Such subjective feelings are likely to contribute to the </w:t>
      </w:r>
      <w:r w:rsidR="00452BC7" w:rsidRPr="000F4A69">
        <w:t xml:space="preserve">daytime </w:t>
      </w:r>
      <w:r w:rsidRPr="000F4A69">
        <w:t>fatigue experienced by this group.</w:t>
      </w:r>
      <w:r w:rsidR="00452BC7" w:rsidRPr="000F4A69">
        <w:t xml:space="preserve"> In addition, p</w:t>
      </w:r>
      <w:r w:rsidRPr="000F4A69">
        <w:t>oor sleep contribut</w:t>
      </w:r>
      <w:r w:rsidR="00452BC7" w:rsidRPr="000F4A69">
        <w:t>es</w:t>
      </w:r>
      <w:r w:rsidRPr="000F4A69">
        <w:t xml:space="preserve"> to poor concentration, and physical and emotional fatigue.  It also acts to lower mood</w:t>
      </w:r>
      <w:r w:rsidR="00E260F7" w:rsidRPr="000F4A69">
        <w:rPr>
          <w:vertAlign w:val="superscript"/>
        </w:rPr>
        <w:t>38</w:t>
      </w:r>
      <w:r w:rsidRPr="000F4A69">
        <w:t xml:space="preserve">.  </w:t>
      </w:r>
      <w:r w:rsidR="00452BC7" w:rsidRPr="000F4A69">
        <w:t>L</w:t>
      </w:r>
      <w:r w:rsidRPr="000F4A69">
        <w:t xml:space="preserve">owered mood and poor physical health </w:t>
      </w:r>
      <w:r w:rsidR="00B55A58" w:rsidRPr="000F4A69">
        <w:t xml:space="preserve">may </w:t>
      </w:r>
      <w:r w:rsidRPr="000F4A69">
        <w:t>further degrade sleep quality</w:t>
      </w:r>
      <w:r w:rsidR="001B733B" w:rsidRPr="000F4A69">
        <w:rPr>
          <w:vertAlign w:val="superscript"/>
        </w:rPr>
        <w:t>39</w:t>
      </w:r>
      <w:r w:rsidRPr="000F4A69">
        <w:t xml:space="preserve">.  </w:t>
      </w:r>
    </w:p>
    <w:p w14:paraId="19BDCC16" w14:textId="2D98AD5D" w:rsidR="00C13A07" w:rsidRPr="000F4A69" w:rsidRDefault="00C13A07" w:rsidP="003C7876">
      <w:pPr>
        <w:spacing w:before="240"/>
        <w:ind w:firstLine="567"/>
      </w:pPr>
      <w:r w:rsidRPr="000F4A69">
        <w:t xml:space="preserve">In terms of the participants, the demographics of each group were consistent with expectations.  The DCD sample was matched appropriately to the </w:t>
      </w:r>
      <w:r w:rsidR="009934B4" w:rsidRPr="000F4A69">
        <w:t xml:space="preserve">TD group </w:t>
      </w:r>
      <w:r w:rsidRPr="000F4A69">
        <w:t>such that there were no significant differences in either age or gender.  Although DCD is thought to be more predominant in males, a previous online study recruited participants with a similar profile to the groups described here</w:t>
      </w:r>
      <w:r w:rsidRPr="000F4A69">
        <w:rPr>
          <w:vertAlign w:val="superscript"/>
        </w:rPr>
        <w:t>4</w:t>
      </w:r>
      <w:r w:rsidRPr="000F4A69">
        <w:t>. The CFS sample was directly comparable to those recruited to previous studies such that it consisted predominantly of females in their forties</w:t>
      </w:r>
      <w:r w:rsidRPr="000F4A69">
        <w:rPr>
          <w:vertAlign w:val="superscript"/>
        </w:rPr>
        <w:t>1</w:t>
      </w:r>
      <w:r w:rsidR="00FE4576" w:rsidRPr="000F4A69">
        <w:rPr>
          <w:vertAlign w:val="superscript"/>
        </w:rPr>
        <w:t>7</w:t>
      </w:r>
      <w:r w:rsidRPr="000F4A69">
        <w:t xml:space="preserve">. </w:t>
      </w:r>
    </w:p>
    <w:p w14:paraId="214B237D" w14:textId="3698B768" w:rsidR="00C13A07" w:rsidRPr="000F4A69" w:rsidRDefault="00C13A07" w:rsidP="003C7876">
      <w:pPr>
        <w:spacing w:before="240"/>
        <w:ind w:firstLine="567"/>
      </w:pPr>
      <w:r w:rsidRPr="000F4A69">
        <w:t>There are clear practical advantages to better understanding the fatigue experienced by individuals with DCD both in terms of their quality of life and with regard</w:t>
      </w:r>
      <w:r w:rsidR="006432F0" w:rsidRPr="000F4A69">
        <w:t xml:space="preserve"> to</w:t>
      </w:r>
      <w:r w:rsidRPr="000F4A69">
        <w:t xml:space="preserve"> clinical management. Prolonged fatigue is likely to have a detrimental impact on an individual’s willingness to engage in, as well as ability to sustain, both physical </w:t>
      </w:r>
      <w:r w:rsidR="006432F0" w:rsidRPr="000F4A69">
        <w:t>and mental activities</w:t>
      </w:r>
      <w:r w:rsidRPr="000F4A69">
        <w:t xml:space="preserve">. The focus of research on DCD to date has been on children.  However, </w:t>
      </w:r>
      <w:r w:rsidR="002F0FFB" w:rsidRPr="000F4A69">
        <w:t>this</w:t>
      </w:r>
      <w:r w:rsidRPr="000F4A69">
        <w:t xml:space="preserve"> stud</w:t>
      </w:r>
      <w:r w:rsidR="002F0FFB" w:rsidRPr="000F4A69">
        <w:t>y</w:t>
      </w:r>
      <w:r w:rsidRPr="000F4A69">
        <w:t xml:space="preserve"> offer</w:t>
      </w:r>
      <w:r w:rsidR="002F0FFB" w:rsidRPr="000F4A69">
        <w:t>s</w:t>
      </w:r>
      <w:r w:rsidRPr="000F4A69">
        <w:t xml:space="preserve"> a number of findings pertinent to adults.  </w:t>
      </w:r>
    </w:p>
    <w:p w14:paraId="5A9D2E6D" w14:textId="642D8812" w:rsidR="00C13A07" w:rsidRPr="000F4A69" w:rsidRDefault="00C13A07" w:rsidP="003C7876">
      <w:pPr>
        <w:spacing w:before="240"/>
        <w:ind w:firstLine="567"/>
      </w:pPr>
      <w:r w:rsidRPr="000F4A69">
        <w:t>Several theories for the fatigue experienced by children with DCD have been postulated, such as higher energy expended due to poor movement control</w:t>
      </w:r>
      <w:r w:rsidRPr="000F4A69">
        <w:rPr>
          <w:vertAlign w:val="superscript"/>
        </w:rPr>
        <w:t>1</w:t>
      </w:r>
      <w:r w:rsidR="00FE4576" w:rsidRPr="000F4A69">
        <w:rPr>
          <w:vertAlign w:val="superscript"/>
        </w:rPr>
        <w:t>3</w:t>
      </w:r>
      <w:r w:rsidRPr="000F4A69">
        <w:rPr>
          <w:vertAlign w:val="superscript"/>
        </w:rPr>
        <w:t>, 1</w:t>
      </w:r>
      <w:r w:rsidR="00FE4576" w:rsidRPr="000F4A69">
        <w:rPr>
          <w:vertAlign w:val="superscript"/>
        </w:rPr>
        <w:t>5</w:t>
      </w:r>
      <w:r w:rsidRPr="000F4A69">
        <w:t xml:space="preserve">.  One area of clinical relevance to be negatively affected by fatigue is physical exercise and </w:t>
      </w:r>
      <w:r w:rsidRPr="000F4A69">
        <w:lastRenderedPageBreak/>
        <w:t>physical health</w:t>
      </w:r>
      <w:r w:rsidR="002F0FFB" w:rsidRPr="000F4A69">
        <w:t>, both of</w:t>
      </w:r>
      <w:r w:rsidRPr="000F4A69">
        <w:t xml:space="preserve"> which are </w:t>
      </w:r>
      <w:r w:rsidR="002F0FFB" w:rsidRPr="000F4A69">
        <w:t xml:space="preserve">major </w:t>
      </w:r>
      <w:r w:rsidRPr="000F4A69">
        <w:t>risk factors for poor health as we age</w:t>
      </w:r>
      <w:r w:rsidR="001B733B" w:rsidRPr="000F4A69">
        <w:rPr>
          <w:vertAlign w:val="superscript"/>
        </w:rPr>
        <w:t>39</w:t>
      </w:r>
      <w:r w:rsidRPr="000F4A69">
        <w:t>.  Physical exercise is of primary importance in either improving or sustaining overall health and life expectancy in adults</w:t>
      </w:r>
      <w:r w:rsidR="001B733B" w:rsidRPr="000F4A69">
        <w:rPr>
          <w:vertAlign w:val="superscript"/>
        </w:rPr>
        <w:t>40</w:t>
      </w:r>
      <w:r w:rsidRPr="000F4A69">
        <w:t>.  Obesity and cardiorespiratory fitness are vital for this, especially when one considers metabolism slows with age, as does the general level of exercise</w:t>
      </w:r>
      <w:r w:rsidR="001B733B" w:rsidRPr="000F4A69">
        <w:rPr>
          <w:vertAlign w:val="superscript"/>
        </w:rPr>
        <w:t>39</w:t>
      </w:r>
      <w:r w:rsidRPr="000F4A69">
        <w:t xml:space="preserve">.  Barriers experienced as children continue to plague the adult.  It is important then to raise awareness that fatigue is a fundamental element of DCD, and in doing so, help facilitate the performance of key physical activities.  Consequently, investigating the fatigue experienced by those with DCD will advance our understanding of how to re-engage them in important daily activities, thereby improving long-term health outcomes.  </w:t>
      </w:r>
    </w:p>
    <w:p w14:paraId="5B0AF864" w14:textId="77777777" w:rsidR="00C13A07" w:rsidRPr="000F4A69" w:rsidRDefault="00C13A07" w:rsidP="003C7876">
      <w:pPr>
        <w:spacing w:before="240"/>
        <w:rPr>
          <w:b/>
          <w:i/>
        </w:rPr>
      </w:pPr>
      <w:r w:rsidRPr="000F4A69">
        <w:rPr>
          <w:b/>
          <w:i/>
        </w:rPr>
        <w:t>Limitations</w:t>
      </w:r>
    </w:p>
    <w:p w14:paraId="4EE80AA4" w14:textId="7BB05450" w:rsidR="00C13A07" w:rsidRPr="000F4A69" w:rsidRDefault="00C13A07" w:rsidP="003C7876">
      <w:pPr>
        <w:spacing w:before="240"/>
        <w:ind w:firstLine="567"/>
        <w:rPr>
          <w:b/>
          <w:i/>
        </w:rPr>
      </w:pPr>
      <w:r w:rsidRPr="000F4A69">
        <w:t xml:space="preserve">The current study was a preliminary investigation into whether it would be possible to in some way quantify the fatigue being reported anecdotally </w:t>
      </w:r>
      <w:r w:rsidR="002F0FFB" w:rsidRPr="000F4A69">
        <w:t xml:space="preserve">to clinicians </w:t>
      </w:r>
      <w:r w:rsidRPr="000F4A69">
        <w:t>by adults with DCD</w:t>
      </w:r>
      <w:bookmarkStart w:id="36" w:name="OLE_LINK16"/>
      <w:r w:rsidRPr="000F4A69">
        <w:t xml:space="preserve">.  </w:t>
      </w:r>
      <w:r w:rsidR="00B67D06" w:rsidRPr="000F4A69">
        <w:t xml:space="preserve">Information around </w:t>
      </w:r>
      <w:r w:rsidR="00B67D06" w:rsidRPr="000F4A69">
        <w:rPr>
          <w:shd w:val="clear" w:color="auto" w:fill="FFFFFF"/>
        </w:rPr>
        <w:t>medical history, heath status</w:t>
      </w:r>
      <w:r w:rsidR="00F31AC6" w:rsidRPr="000F4A69">
        <w:rPr>
          <w:shd w:val="clear" w:color="auto" w:fill="FFFFFF"/>
        </w:rPr>
        <w:t xml:space="preserve"> and </w:t>
      </w:r>
      <w:r w:rsidR="00B67D06" w:rsidRPr="000F4A69">
        <w:rPr>
          <w:shd w:val="clear" w:color="auto" w:fill="FFFFFF"/>
        </w:rPr>
        <w:t xml:space="preserve">medication </w:t>
      </w:r>
      <w:r w:rsidR="00F31AC6" w:rsidRPr="000F4A69">
        <w:rPr>
          <w:shd w:val="clear" w:color="auto" w:fill="FFFFFF"/>
        </w:rPr>
        <w:t xml:space="preserve">/ </w:t>
      </w:r>
      <w:r w:rsidR="00B67D06" w:rsidRPr="000F4A69">
        <w:rPr>
          <w:shd w:val="clear" w:color="auto" w:fill="FFFFFF"/>
        </w:rPr>
        <w:t>intervention</w:t>
      </w:r>
      <w:r w:rsidR="00F31AC6" w:rsidRPr="000F4A69">
        <w:rPr>
          <w:shd w:val="clear" w:color="auto" w:fill="FFFFFF"/>
        </w:rPr>
        <w:t xml:space="preserve"> history were not collected. </w:t>
      </w:r>
      <w:r w:rsidR="00AD434B" w:rsidRPr="000F4A69">
        <w:rPr>
          <w:shd w:val="clear" w:color="auto" w:fill="FFFFFF"/>
        </w:rPr>
        <w:t>Also</w:t>
      </w:r>
      <w:r w:rsidR="00575F77" w:rsidRPr="000F4A69">
        <w:rPr>
          <w:shd w:val="clear" w:color="auto" w:fill="FFFFFF"/>
        </w:rPr>
        <w:t>,</w:t>
      </w:r>
      <w:r w:rsidR="00AD434B" w:rsidRPr="000F4A69">
        <w:rPr>
          <w:shd w:val="clear" w:color="auto" w:fill="FFFFFF"/>
        </w:rPr>
        <w:t xml:space="preserve"> survey</w:t>
      </w:r>
      <w:r w:rsidRPr="000F4A69">
        <w:t xml:space="preserve"> data collection is </w:t>
      </w:r>
      <w:r w:rsidR="006432F0" w:rsidRPr="000F4A69">
        <w:t xml:space="preserve">limited by </w:t>
      </w:r>
      <w:r w:rsidRPr="000F4A69">
        <w:t>self-selecting sample bias</w:t>
      </w:r>
      <w:r w:rsidR="00B55A58" w:rsidRPr="000F4A69">
        <w:t xml:space="preserve"> and</w:t>
      </w:r>
      <w:r w:rsidR="00AD434B" w:rsidRPr="000F4A69">
        <w:t xml:space="preserve"> inability to definitively ascertain diagnosis and medical status</w:t>
      </w:r>
      <w:r w:rsidRPr="000F4A69">
        <w:t>.</w:t>
      </w:r>
      <w:r w:rsidR="00B67D06" w:rsidRPr="000F4A69">
        <w:t xml:space="preserve"> </w:t>
      </w:r>
      <w:r w:rsidR="002F1CA2" w:rsidRPr="000F4A69">
        <w:t>Having said that</w:t>
      </w:r>
      <w:r w:rsidRPr="000F4A69">
        <w:t xml:space="preserve">, data from both the CFS and </w:t>
      </w:r>
      <w:r w:rsidR="009934B4" w:rsidRPr="000F4A69">
        <w:t xml:space="preserve">TD </w:t>
      </w:r>
      <w:r w:rsidRPr="000F4A69">
        <w:t>group matched data collected from previous studies</w:t>
      </w:r>
      <w:r w:rsidR="002F0FFB" w:rsidRPr="000F4A69">
        <w:t>.</w:t>
      </w:r>
      <w:r w:rsidR="0095221C" w:rsidRPr="000F4A69">
        <w:t xml:space="preserve"> </w:t>
      </w:r>
      <w:r w:rsidRPr="000F4A69">
        <w:t xml:space="preserve"> </w:t>
      </w:r>
      <w:r w:rsidR="002F1CA2" w:rsidRPr="000F4A69">
        <w:t>This add</w:t>
      </w:r>
      <w:r w:rsidR="00654F51" w:rsidRPr="000F4A69">
        <w:t>s</w:t>
      </w:r>
      <w:r w:rsidR="002F1CA2" w:rsidRPr="000F4A69">
        <w:t xml:space="preserve"> </w:t>
      </w:r>
      <w:r w:rsidR="00AD434B" w:rsidRPr="000F4A69">
        <w:t xml:space="preserve">some </w:t>
      </w:r>
      <w:r w:rsidR="002F1CA2" w:rsidRPr="000F4A69">
        <w:t xml:space="preserve">confidence in </w:t>
      </w:r>
      <w:r w:rsidR="00654F51" w:rsidRPr="000F4A69">
        <w:t xml:space="preserve">reporting the findings indicating a significant problem of fatigue in adults with DCD.  </w:t>
      </w:r>
      <w:r w:rsidR="00F31AC6" w:rsidRPr="000F4A69">
        <w:t>Future studies would also add an objective element by including</w:t>
      </w:r>
      <w:r w:rsidRPr="000F4A69">
        <w:t xml:space="preserve"> measures </w:t>
      </w:r>
      <w:r w:rsidR="002F0FFB" w:rsidRPr="000F4A69">
        <w:t xml:space="preserve">of performance </w:t>
      </w:r>
      <w:r w:rsidRPr="000F4A69">
        <w:t xml:space="preserve">to further explore the </w:t>
      </w:r>
      <w:r w:rsidR="003F129C" w:rsidRPr="000F4A69">
        <w:t xml:space="preserve">behavioural </w:t>
      </w:r>
      <w:r w:rsidR="00AD434B" w:rsidRPr="000F4A69">
        <w:t xml:space="preserve">impact of </w:t>
      </w:r>
      <w:r w:rsidRPr="000F4A69">
        <w:t>fatigue experienced</w:t>
      </w:r>
      <w:r w:rsidR="002F0FFB" w:rsidRPr="000F4A69">
        <w:t xml:space="preserve"> in this population</w:t>
      </w:r>
      <w:r w:rsidRPr="000F4A69">
        <w:t>.</w:t>
      </w:r>
    </w:p>
    <w:bookmarkEnd w:id="36"/>
    <w:p w14:paraId="36ED0826" w14:textId="77777777" w:rsidR="00C13A07" w:rsidRPr="000F4A69" w:rsidRDefault="00C13A07" w:rsidP="003C7876">
      <w:pPr>
        <w:spacing w:before="240"/>
        <w:rPr>
          <w:b/>
        </w:rPr>
      </w:pPr>
      <w:r w:rsidRPr="000F4A69">
        <w:rPr>
          <w:b/>
        </w:rPr>
        <w:t>Conclusions</w:t>
      </w:r>
    </w:p>
    <w:p w14:paraId="3E5E7A17" w14:textId="3EA94BDA" w:rsidR="002F0FFB" w:rsidRPr="000F4A69" w:rsidRDefault="002F0FFB" w:rsidP="003C7876">
      <w:pPr>
        <w:spacing w:before="240"/>
        <w:ind w:firstLine="720"/>
      </w:pPr>
      <w:r w:rsidRPr="000F4A69">
        <w:t>Fatigue is an increasingly reported problem in primary care, one that is associated with other chronic conditions as a secondary chronic symptom</w:t>
      </w:r>
      <w:r w:rsidR="001B733B" w:rsidRPr="000F4A69">
        <w:rPr>
          <w:vertAlign w:val="superscript"/>
        </w:rPr>
        <w:t>36</w:t>
      </w:r>
      <w:r w:rsidRPr="000F4A69">
        <w:t xml:space="preserve">. However, </w:t>
      </w:r>
      <w:r w:rsidRPr="000F4A69">
        <w:lastRenderedPageBreak/>
        <w:t>there is currently no generalisable intervention to alleviate fatigue across a range of conditions. Future research will focus on the using ob</w:t>
      </w:r>
      <w:r w:rsidR="003F129C" w:rsidRPr="000F4A69">
        <w:t>jective and subjective measures</w:t>
      </w:r>
      <w:r w:rsidRPr="000F4A69">
        <w:rPr>
          <w:vertAlign w:val="superscript"/>
        </w:rPr>
        <w:t>1</w:t>
      </w:r>
      <w:r w:rsidR="00FE4576" w:rsidRPr="000F4A69">
        <w:rPr>
          <w:vertAlign w:val="superscript"/>
        </w:rPr>
        <w:t>7</w:t>
      </w:r>
      <w:r w:rsidRPr="000F4A69">
        <w:t xml:space="preserve"> to monitor interventions for fatigue</w:t>
      </w:r>
      <w:r w:rsidRPr="000F4A69">
        <w:rPr>
          <w:vertAlign w:val="superscript"/>
        </w:rPr>
        <w:t>1</w:t>
      </w:r>
      <w:r w:rsidR="00FE4576" w:rsidRPr="000F4A69">
        <w:rPr>
          <w:vertAlign w:val="superscript"/>
        </w:rPr>
        <w:t>9</w:t>
      </w:r>
      <w:r w:rsidRPr="000F4A69">
        <w:t xml:space="preserve"> associated with a range of conditions in the primary care setting.</w:t>
      </w:r>
    </w:p>
    <w:p w14:paraId="497E877E" w14:textId="537ED02B" w:rsidR="00C13A07" w:rsidRPr="000F4A69" w:rsidRDefault="00C13A07" w:rsidP="003C7876">
      <w:pPr>
        <w:spacing w:before="240"/>
        <w:ind w:firstLine="720"/>
      </w:pPr>
      <w:r w:rsidRPr="000F4A69">
        <w:t xml:space="preserve">The current study is the first of its kind to quantify the level of fatigue experienced by adults with DCD.  The comparability of symptoms with CFS may </w:t>
      </w:r>
      <w:r w:rsidR="0095221C" w:rsidRPr="000F4A69">
        <w:t xml:space="preserve">perhaps </w:t>
      </w:r>
      <w:r w:rsidRPr="000F4A69">
        <w:t>indicate a common psychophysiological mechanism underlying both conditions.  The level of significance of our findings warrants further investigation when one considers the potential impact in terms of clinical management and intervention.  The socio-economic implications of fatigue, mood, and psychosocial impairments in conditions such as CFS have been well documented</w:t>
      </w:r>
      <w:r w:rsidRPr="000F4A69">
        <w:rPr>
          <w:vertAlign w:val="superscript"/>
        </w:rPr>
        <w:t>1</w:t>
      </w:r>
      <w:r w:rsidR="00FE4576" w:rsidRPr="000F4A69">
        <w:rPr>
          <w:vertAlign w:val="superscript"/>
        </w:rPr>
        <w:t>7</w:t>
      </w:r>
      <w:r w:rsidRPr="000F4A69">
        <w:rPr>
          <w:vertAlign w:val="superscript"/>
        </w:rPr>
        <w:t xml:space="preserve">, </w:t>
      </w:r>
      <w:r w:rsidR="00FE4576" w:rsidRPr="000F4A69">
        <w:rPr>
          <w:vertAlign w:val="superscript"/>
        </w:rPr>
        <w:t>2</w:t>
      </w:r>
      <w:r w:rsidRPr="000F4A69">
        <w:rPr>
          <w:vertAlign w:val="superscript"/>
        </w:rPr>
        <w:t>1,</w:t>
      </w:r>
      <w:r w:rsidR="00FE4576" w:rsidRPr="000F4A69">
        <w:t xml:space="preserve"> </w:t>
      </w:r>
      <w:r w:rsidR="001B733B" w:rsidRPr="000F4A69">
        <w:rPr>
          <w:vertAlign w:val="superscript"/>
        </w:rPr>
        <w:t>41</w:t>
      </w:r>
      <w:r w:rsidRPr="000F4A69">
        <w:t xml:space="preserve">.  There is now some evidence to indicate that these factors may be exerting similar effects in adults with DCD, </w:t>
      </w:r>
      <w:r w:rsidR="003F129C" w:rsidRPr="000F4A69">
        <w:t>which perhaps may impact the ability to be employed.</w:t>
      </w:r>
      <w:r w:rsidRPr="000F4A69">
        <w:t xml:space="preserve">   The challenge for future studies will be to unravel some of the inter-relationships reported above and establish the mechanisms at play in DCD that result in fatigue.</w:t>
      </w:r>
    </w:p>
    <w:p w14:paraId="1620BD06" w14:textId="77777777" w:rsidR="00306A20" w:rsidRPr="000F4A69" w:rsidRDefault="00306A20" w:rsidP="002F0FFB">
      <w:pPr>
        <w:spacing w:before="240"/>
      </w:pPr>
      <w:r w:rsidRPr="000F4A69">
        <w:t xml:space="preserve"> </w:t>
      </w:r>
    </w:p>
    <w:p w14:paraId="01005744" w14:textId="77777777" w:rsidR="00C13A07" w:rsidRPr="000F4A69" w:rsidRDefault="00306A20" w:rsidP="002F0FFB">
      <w:pPr>
        <w:spacing w:before="240"/>
        <w:rPr>
          <w:b/>
        </w:rPr>
      </w:pPr>
      <w:r w:rsidRPr="000F4A69">
        <w:br w:type="page"/>
      </w:r>
      <w:r w:rsidRPr="000F4A69">
        <w:rPr>
          <w:b/>
        </w:rPr>
        <w:lastRenderedPageBreak/>
        <w:t>Disclosure</w:t>
      </w:r>
    </w:p>
    <w:p w14:paraId="05207524" w14:textId="77777777" w:rsidR="00306A20" w:rsidRPr="000F4A69" w:rsidRDefault="00306A20" w:rsidP="002F0FFB">
      <w:pPr>
        <w:spacing w:before="240"/>
      </w:pPr>
      <w:r w:rsidRPr="000F4A69">
        <w:t>There is no conflict of interest.</w:t>
      </w:r>
    </w:p>
    <w:p w14:paraId="493AAAB7" w14:textId="77777777" w:rsidR="00306A20" w:rsidRPr="000F4A69" w:rsidRDefault="00306A20" w:rsidP="002F0FFB">
      <w:pPr>
        <w:spacing w:before="240"/>
        <w:rPr>
          <w:b/>
        </w:rPr>
      </w:pPr>
      <w:r w:rsidRPr="000F4A69">
        <w:rPr>
          <w:b/>
        </w:rPr>
        <w:t>Acknowledgement</w:t>
      </w:r>
    </w:p>
    <w:p w14:paraId="6AB3FC23" w14:textId="77777777" w:rsidR="00306A20" w:rsidRPr="000F4A69" w:rsidRDefault="00306A20" w:rsidP="002F0FFB">
      <w:pPr>
        <w:spacing w:before="240"/>
      </w:pPr>
      <w:r w:rsidRPr="000F4A69">
        <w:t xml:space="preserve">The authors would like to thank Natalie Williams and Robert Heriene for their assistance in participant recruitment. We would also like to thank the support groups (the Dyspraxia Foundation and Action for ME) for publicising the study, and all of the adults who took part in the survey. </w:t>
      </w:r>
    </w:p>
    <w:p w14:paraId="15DCBA83" w14:textId="77777777" w:rsidR="00C13A07" w:rsidRPr="000F4A69" w:rsidRDefault="00C13A07" w:rsidP="0024372B">
      <w:pPr>
        <w:spacing w:after="120"/>
      </w:pPr>
    </w:p>
    <w:p w14:paraId="4FEBE75D" w14:textId="77777777" w:rsidR="003C7876" w:rsidRPr="000F4A69" w:rsidRDefault="003C7876" w:rsidP="0024372B">
      <w:pPr>
        <w:spacing w:after="120"/>
      </w:pPr>
    </w:p>
    <w:p w14:paraId="2817C855" w14:textId="77777777" w:rsidR="00C13A07" w:rsidRPr="000F4A69" w:rsidRDefault="003C7876" w:rsidP="003C7876">
      <w:pPr>
        <w:rPr>
          <w:b/>
        </w:rPr>
      </w:pPr>
      <w:r w:rsidRPr="000F4A69">
        <w:br w:type="page"/>
      </w:r>
      <w:r w:rsidR="00C13A07" w:rsidRPr="000F4A69">
        <w:rPr>
          <w:b/>
        </w:rPr>
        <w:lastRenderedPageBreak/>
        <w:fldChar w:fldCharType="begin"/>
      </w:r>
      <w:r w:rsidR="00C13A07" w:rsidRPr="000F4A69">
        <w:rPr>
          <w:b/>
        </w:rPr>
        <w:instrText>ADDIN RW.BIB</w:instrText>
      </w:r>
      <w:r w:rsidR="00C13A07" w:rsidRPr="000F4A69">
        <w:rPr>
          <w:b/>
        </w:rPr>
        <w:fldChar w:fldCharType="separate"/>
      </w:r>
      <w:r w:rsidR="00C13A07" w:rsidRPr="000F4A69">
        <w:rPr>
          <w:b/>
        </w:rPr>
        <w:t>References</w:t>
      </w:r>
    </w:p>
    <w:p w14:paraId="336D2DC9" w14:textId="77777777" w:rsidR="00C13A07" w:rsidRPr="000F4A69" w:rsidRDefault="00C13A07" w:rsidP="003C7876">
      <w:pPr>
        <w:pStyle w:val="Default"/>
        <w:spacing w:line="480" w:lineRule="auto"/>
        <w:ind w:left="720" w:hanging="720"/>
        <w:rPr>
          <w:color w:val="auto"/>
        </w:rPr>
      </w:pPr>
      <w:r w:rsidRPr="000F4A69">
        <w:rPr>
          <w:color w:val="auto"/>
        </w:rPr>
        <w:t xml:space="preserve">1. American Psychiatric Association. (2013). </w:t>
      </w:r>
      <w:r w:rsidRPr="000F4A69">
        <w:rPr>
          <w:i/>
          <w:iCs/>
          <w:color w:val="auto"/>
        </w:rPr>
        <w:t xml:space="preserve">Diagnostic and statistical manual of mental disorders </w:t>
      </w:r>
      <w:r w:rsidRPr="000F4A69">
        <w:rPr>
          <w:color w:val="auto"/>
        </w:rPr>
        <w:t xml:space="preserve">(5th ed.). Arlington, VA: American Psychiatric Publishing. </w:t>
      </w:r>
    </w:p>
    <w:p w14:paraId="7E8247BD" w14:textId="77777777" w:rsidR="00C13A07" w:rsidRPr="000F4A69" w:rsidRDefault="00C13A07" w:rsidP="003C7876">
      <w:pPr>
        <w:pStyle w:val="Default"/>
        <w:spacing w:line="480" w:lineRule="auto"/>
        <w:ind w:left="720" w:hanging="720"/>
        <w:rPr>
          <w:color w:val="auto"/>
        </w:rPr>
      </w:pPr>
      <w:r w:rsidRPr="000F4A69">
        <w:rPr>
          <w:color w:val="auto"/>
        </w:rPr>
        <w:t>2. Lingam, R., Hunt, L., Golding, J., Jongmans, M., &amp; Emond, A. (2009). Prevalence of developmental coordination disorder using the DSM-IV at 7 years of age: A UK population–based study.</w:t>
      </w:r>
      <w:r w:rsidRPr="000F4A69">
        <w:rPr>
          <w:i/>
          <w:iCs/>
          <w:color w:val="auto"/>
        </w:rPr>
        <w:t xml:space="preserve"> Pediatrics, 123</w:t>
      </w:r>
      <w:r w:rsidRPr="000F4A69">
        <w:rPr>
          <w:color w:val="auto"/>
        </w:rPr>
        <w:t>(4), e693-e700.</w:t>
      </w:r>
    </w:p>
    <w:p w14:paraId="6707280D" w14:textId="77777777" w:rsidR="00C13A07" w:rsidRPr="000F4A69" w:rsidRDefault="00C13A07" w:rsidP="003C7876">
      <w:pPr>
        <w:pStyle w:val="Default"/>
        <w:spacing w:line="480" w:lineRule="auto"/>
        <w:ind w:left="720" w:hanging="720"/>
        <w:rPr>
          <w:rFonts w:eastAsia="Times New Roman"/>
          <w:color w:val="auto"/>
          <w:lang w:eastAsia="en-GB"/>
        </w:rPr>
      </w:pPr>
      <w:r w:rsidRPr="000F4A69">
        <w:rPr>
          <w:rFonts w:eastAsia="Times New Roman"/>
          <w:color w:val="auto"/>
          <w:lang w:eastAsia="en-GB"/>
        </w:rPr>
        <w:t>3. Kadesjö, B. &amp; Gillberg, C. (1999). Developmental coordination disorder in</w:t>
      </w:r>
    </w:p>
    <w:p w14:paraId="18986772" w14:textId="77777777" w:rsidR="00C13A07" w:rsidRPr="000F4A69" w:rsidRDefault="00C13A07" w:rsidP="003C7876">
      <w:pPr>
        <w:autoSpaceDE w:val="0"/>
        <w:autoSpaceDN w:val="0"/>
        <w:adjustRightInd w:val="0"/>
        <w:ind w:left="720"/>
      </w:pPr>
      <w:r w:rsidRPr="000F4A69">
        <w:t xml:space="preserve">Swedish 7-year-old children. </w:t>
      </w:r>
      <w:r w:rsidRPr="000F4A69">
        <w:rPr>
          <w:i/>
        </w:rPr>
        <w:t>Journal of the American Academy of Child and Adolescent Psychiatry, 38</w:t>
      </w:r>
      <w:r w:rsidRPr="000F4A69">
        <w:t>, 820–828.</w:t>
      </w:r>
    </w:p>
    <w:p w14:paraId="29C54965" w14:textId="77777777" w:rsidR="00C13A07" w:rsidRPr="000F4A69" w:rsidRDefault="00C13A07" w:rsidP="003C7876">
      <w:pPr>
        <w:autoSpaceDE w:val="0"/>
        <w:autoSpaceDN w:val="0"/>
        <w:adjustRightInd w:val="0"/>
        <w:ind w:left="720" w:hanging="720"/>
        <w:rPr>
          <w:rStyle w:val="Hyperlink"/>
          <w:color w:val="auto"/>
        </w:rPr>
      </w:pPr>
      <w:r w:rsidRPr="000F4A69">
        <w:t>4. Kirby, A., Williams, N., Thomas, M., &amp; Hill, E. L. (2013). Self-reported mood, general health, wellbeing and employment status in adults with suspected DCD.</w:t>
      </w:r>
      <w:r w:rsidRPr="000F4A69">
        <w:rPr>
          <w:i/>
          <w:iCs/>
        </w:rPr>
        <w:t xml:space="preserve"> Research in Developmental Disabilities, 34</w:t>
      </w:r>
      <w:r w:rsidRPr="000F4A69">
        <w:t xml:space="preserve">(4), 1357-1364. </w:t>
      </w:r>
      <w:r w:rsidRPr="000F4A69" w:rsidDel="00416E67">
        <w:t xml:space="preserve"> </w:t>
      </w:r>
    </w:p>
    <w:p w14:paraId="109D7E63" w14:textId="77777777" w:rsidR="00C13A07" w:rsidRPr="000F4A69" w:rsidRDefault="00C13A07" w:rsidP="003C7876">
      <w:pPr>
        <w:pStyle w:val="NormalWeb"/>
        <w:spacing w:before="0" w:beforeAutospacing="0" w:after="120" w:afterAutospacing="0" w:line="480" w:lineRule="auto"/>
        <w:ind w:left="720" w:hanging="720"/>
        <w:rPr>
          <w:rStyle w:val="Hyperlink"/>
          <w:color w:val="auto"/>
        </w:rPr>
      </w:pPr>
      <w:r w:rsidRPr="000F4A69">
        <w:rPr>
          <w:rStyle w:val="Hyperlink"/>
          <w:color w:val="auto"/>
        </w:rPr>
        <w:t xml:space="preserve">5. </w:t>
      </w:r>
      <w:r w:rsidRPr="000F4A69">
        <w:t>Cantell, M. H.</w:t>
      </w:r>
      <w:hyperlink r:id="rId8" w:history="1">
        <w:r w:rsidRPr="000F4A69">
          <w:t>, Smyth, M. M.</w:t>
        </w:r>
      </w:hyperlink>
      <w:r w:rsidRPr="000F4A69">
        <w:t xml:space="preserve">, &amp; Ahonen, T. P. (2003). </w:t>
      </w:r>
      <w:hyperlink r:id="rId9" w:history="1">
        <w:r w:rsidRPr="000F4A69">
          <w:t>Two distinct pathways for developmental coordination disorder: persistence and resolution.</w:t>
        </w:r>
      </w:hyperlink>
      <w:r w:rsidRPr="000F4A69">
        <w:t xml:space="preserve"> </w:t>
      </w:r>
      <w:r w:rsidRPr="000F4A69">
        <w:rPr>
          <w:i/>
        </w:rPr>
        <w:t>Human Movement Science, 22</w:t>
      </w:r>
      <w:r w:rsidRPr="000F4A69">
        <w:t xml:space="preserve">(4-5), 413-431. </w:t>
      </w:r>
      <w:hyperlink r:id="rId10" w:history="1">
        <w:r w:rsidRPr="000F4A69">
          <w:t>10.1016/j.humov.2003.09.002</w:t>
        </w:r>
      </w:hyperlink>
      <w:r w:rsidRPr="000F4A69">
        <w:t>.</w:t>
      </w:r>
    </w:p>
    <w:p w14:paraId="05065584" w14:textId="77777777" w:rsidR="00C13A07" w:rsidRPr="000F4A69" w:rsidRDefault="00C13A07" w:rsidP="003C7876">
      <w:pPr>
        <w:pStyle w:val="NormalWeb"/>
        <w:spacing w:before="0" w:beforeAutospacing="0" w:after="120" w:afterAutospacing="0" w:line="480" w:lineRule="auto"/>
        <w:ind w:left="720" w:hanging="720"/>
      </w:pPr>
      <w:r w:rsidRPr="000F4A69">
        <w:rPr>
          <w:rStyle w:val="Hyperlink"/>
          <w:color w:val="auto"/>
        </w:rPr>
        <w:t xml:space="preserve">6. </w:t>
      </w:r>
      <w:r w:rsidRPr="000F4A69">
        <w:t>Cousins, M.</w:t>
      </w:r>
      <w:hyperlink r:id="rId11" w:history="1">
        <w:r w:rsidRPr="000F4A69">
          <w:t>, &amp; Smyth, M. M.</w:t>
        </w:r>
      </w:hyperlink>
      <w:r w:rsidRPr="000F4A69">
        <w:t xml:space="preserve"> (2003). </w:t>
      </w:r>
      <w:hyperlink r:id="rId12" w:history="1">
        <w:r w:rsidRPr="000F4A69">
          <w:t>Developmental coordination impairments in adulthood.</w:t>
        </w:r>
      </w:hyperlink>
      <w:r w:rsidRPr="000F4A69">
        <w:t xml:space="preserve"> </w:t>
      </w:r>
      <w:r w:rsidRPr="000F4A69">
        <w:rPr>
          <w:i/>
        </w:rPr>
        <w:t>Human Movement Science, 22</w:t>
      </w:r>
      <w:r w:rsidRPr="000F4A69">
        <w:t xml:space="preserve">(4-5), 433-459. </w:t>
      </w:r>
      <w:hyperlink r:id="rId13" w:history="1">
        <w:r w:rsidRPr="000F4A69">
          <w:t>10.1016/j.humov.2003.09.003</w:t>
        </w:r>
      </w:hyperlink>
      <w:r w:rsidRPr="000F4A69">
        <w:t>.</w:t>
      </w:r>
    </w:p>
    <w:p w14:paraId="5F0B493F" w14:textId="77777777" w:rsidR="00C13A07" w:rsidRPr="000F4A69" w:rsidRDefault="00C13A07" w:rsidP="003C7876">
      <w:pPr>
        <w:autoSpaceDE w:val="0"/>
        <w:autoSpaceDN w:val="0"/>
        <w:adjustRightInd w:val="0"/>
        <w:ind w:left="720" w:hanging="720"/>
      </w:pPr>
      <w:r w:rsidRPr="000F4A69">
        <w:rPr>
          <w:rStyle w:val="Hyperlink"/>
          <w:color w:val="auto"/>
        </w:rPr>
        <w:t xml:space="preserve">7. </w:t>
      </w:r>
      <w:r w:rsidRPr="000F4A69">
        <w:t xml:space="preserve">Geuze, R. &amp; Borger, H. (1993). Children who are clumsy: five years later. </w:t>
      </w:r>
      <w:r w:rsidRPr="000F4A69">
        <w:rPr>
          <w:i/>
        </w:rPr>
        <w:t>Adaptive Physical Activity Quarterly, 10,</w:t>
      </w:r>
      <w:r w:rsidRPr="000F4A69">
        <w:t xml:space="preserve"> 10-21.</w:t>
      </w:r>
    </w:p>
    <w:p w14:paraId="4F05DABD" w14:textId="77777777" w:rsidR="00C13A07" w:rsidRPr="000F4A69" w:rsidRDefault="00C13A07" w:rsidP="003C7876">
      <w:pPr>
        <w:autoSpaceDE w:val="0"/>
        <w:autoSpaceDN w:val="0"/>
        <w:adjustRightInd w:val="0"/>
        <w:ind w:left="720" w:hanging="720"/>
      </w:pPr>
      <w:r w:rsidRPr="000F4A69">
        <w:rPr>
          <w:rStyle w:val="Hyperlink"/>
          <w:color w:val="auto"/>
        </w:rPr>
        <w:t xml:space="preserve">8. </w:t>
      </w:r>
      <w:r w:rsidRPr="000F4A69">
        <w:t xml:space="preserve">Knuckey, N.W. &amp; Gubbay, S.S. (1983). Clumsy children: a prognostic study. </w:t>
      </w:r>
      <w:r w:rsidRPr="000F4A69">
        <w:rPr>
          <w:i/>
        </w:rPr>
        <w:t>Australian Paediatric Journal, 19,</w:t>
      </w:r>
      <w:r w:rsidRPr="000F4A69">
        <w:t xml:space="preserve"> 9-13.</w:t>
      </w:r>
    </w:p>
    <w:p w14:paraId="2EA5713C" w14:textId="77777777" w:rsidR="00C13A07" w:rsidRPr="000F4A69" w:rsidRDefault="00C13A07" w:rsidP="003C7876">
      <w:pPr>
        <w:autoSpaceDE w:val="0"/>
        <w:autoSpaceDN w:val="0"/>
        <w:adjustRightInd w:val="0"/>
        <w:ind w:left="720" w:hanging="720"/>
      </w:pPr>
      <w:r w:rsidRPr="000F4A69">
        <w:rPr>
          <w:rStyle w:val="Hyperlink"/>
          <w:color w:val="auto"/>
        </w:rPr>
        <w:t xml:space="preserve">9. </w:t>
      </w:r>
      <w:r w:rsidRPr="000F4A69">
        <w:t xml:space="preserve">Losse, A., Henderson, S., Elliman, D., Hall, D., Knight, E., Jongmans, M. (1991). Clumsiness in children: do they grow out of it? A ten year follow-up study. </w:t>
      </w:r>
      <w:r w:rsidRPr="000F4A69">
        <w:rPr>
          <w:i/>
        </w:rPr>
        <w:t>Developmental  Medicine &amp; Child Neurology,</w:t>
      </w:r>
      <w:r w:rsidRPr="000F4A69">
        <w:t xml:space="preserve"> </w:t>
      </w:r>
      <w:r w:rsidRPr="000F4A69">
        <w:rPr>
          <w:i/>
        </w:rPr>
        <w:t>33</w:t>
      </w:r>
      <w:r w:rsidRPr="000F4A69">
        <w:t>, 55-68.</w:t>
      </w:r>
    </w:p>
    <w:p w14:paraId="1BF5C5D8" w14:textId="77777777" w:rsidR="00C13A07" w:rsidRPr="000F4A69" w:rsidRDefault="00C13A07" w:rsidP="003C7876">
      <w:pPr>
        <w:pStyle w:val="NormalWeb"/>
        <w:spacing w:before="0" w:beforeAutospacing="0" w:after="120" w:afterAutospacing="0" w:line="480" w:lineRule="auto"/>
        <w:ind w:left="720" w:hanging="720"/>
      </w:pPr>
      <w:r w:rsidRPr="000F4A69">
        <w:rPr>
          <w:rStyle w:val="Hyperlink"/>
          <w:color w:val="auto"/>
        </w:rPr>
        <w:lastRenderedPageBreak/>
        <w:t xml:space="preserve">10. </w:t>
      </w:r>
      <w:r w:rsidRPr="000F4A69">
        <w:t xml:space="preserve">Tal-Saban, M., Zarka, S., Grotto, I., Ornoy, A., &amp; Parush, S. (2012). The functional profile of young adults with suspected Developmental Coordination Disorder (DCD). </w:t>
      </w:r>
      <w:r w:rsidRPr="000F4A69">
        <w:rPr>
          <w:i/>
        </w:rPr>
        <w:t>Research in Developmental Disabilities 33</w:t>
      </w:r>
      <w:r w:rsidRPr="000F4A69">
        <w:t>, 2193–2202</w:t>
      </w:r>
    </w:p>
    <w:p w14:paraId="632A1ADB" w14:textId="77777777" w:rsidR="00E764DB" w:rsidRPr="000F4A69" w:rsidRDefault="00E764DB" w:rsidP="00E764DB">
      <w:pPr>
        <w:pStyle w:val="NormalWeb"/>
        <w:spacing w:before="0" w:beforeAutospacing="0" w:after="120" w:afterAutospacing="0" w:line="480" w:lineRule="auto"/>
        <w:ind w:left="720" w:hanging="720"/>
      </w:pPr>
      <w:r w:rsidRPr="000F4A69">
        <w:t xml:space="preserve">11. Kirby, A., Edwards, L., Sugden, D. &amp; Rosenblum, S. (2010). The devlopment and standardisation of the Adult Developmental Coordination Disorder/Dyspraxia Checklist (ADC). </w:t>
      </w:r>
      <w:r w:rsidRPr="000F4A69">
        <w:rPr>
          <w:i/>
        </w:rPr>
        <w:t>Research in Developmental Disabilities, 31</w:t>
      </w:r>
      <w:r w:rsidRPr="000F4A69">
        <w:t>(1), 131-139.</w:t>
      </w:r>
    </w:p>
    <w:p w14:paraId="32618B4F" w14:textId="6155367F" w:rsidR="00E764DB" w:rsidRPr="000F4A69" w:rsidRDefault="00E764DB" w:rsidP="00E764DB">
      <w:pPr>
        <w:pStyle w:val="NormalWeb"/>
        <w:spacing w:before="0" w:beforeAutospacing="0" w:after="120" w:afterAutospacing="0" w:line="480" w:lineRule="auto"/>
        <w:ind w:left="720" w:hanging="720"/>
      </w:pPr>
      <w:r w:rsidRPr="000F4A69">
        <w:t xml:space="preserve">12. Tal-Saban, M., Ornoy, A., Grotto, I. &amp; Parush, S. (2012). The Adolescents and Adults Coordination Questionnaire (AAC-Q): Deevlopmenta and psychometric properties. </w:t>
      </w:r>
      <w:r w:rsidRPr="000F4A69">
        <w:rPr>
          <w:i/>
        </w:rPr>
        <w:t>American Journal of Occupational Therapy, 66</w:t>
      </w:r>
      <w:r w:rsidRPr="000F4A69">
        <w:t>(4), 406-413.</w:t>
      </w:r>
    </w:p>
    <w:p w14:paraId="3EB3A80A" w14:textId="0FBD7286" w:rsidR="00C13A07" w:rsidRPr="000F4A69" w:rsidRDefault="00E764DB" w:rsidP="003C7876">
      <w:pPr>
        <w:pStyle w:val="NormalWeb"/>
        <w:spacing w:before="0" w:beforeAutospacing="0" w:after="120" w:afterAutospacing="0" w:line="480" w:lineRule="auto"/>
        <w:ind w:left="720" w:hanging="720"/>
      </w:pPr>
      <w:r w:rsidRPr="000F4A69">
        <w:t>13</w:t>
      </w:r>
      <w:r w:rsidR="00C13A07" w:rsidRPr="000F4A69">
        <w:t>. Silman, A., Cairney, J., Hay, J., Klentrou, P., &amp; Faught, B. E. (2011). Role of physical activity and perceived adequacy on peak aerobic power in children with developmental coordination disorder.</w:t>
      </w:r>
      <w:r w:rsidR="00C13A07" w:rsidRPr="000F4A69">
        <w:rPr>
          <w:i/>
          <w:iCs/>
        </w:rPr>
        <w:t xml:space="preserve"> Human Movement Science, 30</w:t>
      </w:r>
      <w:r w:rsidR="00C13A07" w:rsidRPr="000F4A69">
        <w:t>(3), 672-681. doi:10.1016/j.humov.2010.08.005 [doi]</w:t>
      </w:r>
    </w:p>
    <w:p w14:paraId="0D4266CC" w14:textId="19E4A218" w:rsidR="00C13A07" w:rsidRPr="000F4A69" w:rsidRDefault="00C13A07" w:rsidP="003C7876">
      <w:pPr>
        <w:pStyle w:val="Heading2"/>
        <w:spacing w:before="0" w:after="120" w:line="480" w:lineRule="auto"/>
        <w:ind w:left="720" w:right="0" w:hanging="720"/>
        <w:rPr>
          <w:rFonts w:cs="Times New Roman"/>
          <w:b w:val="0"/>
          <w:bCs w:val="0"/>
          <w:szCs w:val="24"/>
        </w:rPr>
      </w:pPr>
      <w:r w:rsidRPr="000F4A69">
        <w:rPr>
          <w:rFonts w:cs="Times New Roman"/>
          <w:b w:val="0"/>
          <w:bCs w:val="0"/>
          <w:i w:val="0"/>
          <w:szCs w:val="24"/>
        </w:rPr>
        <w:t>1</w:t>
      </w:r>
      <w:r w:rsidR="00E764DB" w:rsidRPr="000F4A69">
        <w:rPr>
          <w:rFonts w:cs="Times New Roman"/>
          <w:b w:val="0"/>
          <w:bCs w:val="0"/>
          <w:i w:val="0"/>
          <w:szCs w:val="24"/>
        </w:rPr>
        <w:t>4</w:t>
      </w:r>
      <w:r w:rsidRPr="000F4A69">
        <w:rPr>
          <w:rFonts w:cs="Times New Roman"/>
          <w:b w:val="0"/>
          <w:bCs w:val="0"/>
          <w:i w:val="0"/>
          <w:szCs w:val="24"/>
        </w:rPr>
        <w:t>. Campbell, W., Missiuna, C. &amp; Vaillancourt, T. (2012). Peer victimization and</w:t>
      </w:r>
      <w:r w:rsidR="003C7876" w:rsidRPr="000F4A69">
        <w:rPr>
          <w:rFonts w:cs="Times New Roman"/>
          <w:b w:val="0"/>
          <w:bCs w:val="0"/>
          <w:i w:val="0"/>
          <w:szCs w:val="24"/>
        </w:rPr>
        <w:t xml:space="preserve"> depression in</w:t>
      </w:r>
      <w:r w:rsidRPr="000F4A69">
        <w:rPr>
          <w:rFonts w:cs="Times New Roman"/>
          <w:b w:val="0"/>
          <w:bCs w:val="0"/>
          <w:i w:val="0"/>
          <w:szCs w:val="24"/>
        </w:rPr>
        <w:t xml:space="preserve"> children with and without motor coordination difficulties. </w:t>
      </w:r>
      <w:r w:rsidRPr="000F4A69">
        <w:rPr>
          <w:rFonts w:cs="Times New Roman"/>
          <w:b w:val="0"/>
          <w:bCs w:val="0"/>
          <w:szCs w:val="24"/>
        </w:rPr>
        <w:t>Psychology in the Schools, 49(4),</w:t>
      </w:r>
      <w:r w:rsidRPr="000F4A69">
        <w:rPr>
          <w:rFonts w:cs="Times New Roman"/>
          <w:b w:val="0"/>
          <w:bCs w:val="0"/>
          <w:i w:val="0"/>
          <w:szCs w:val="24"/>
        </w:rPr>
        <w:t xml:space="preserve"> 328-341.</w:t>
      </w:r>
    </w:p>
    <w:p w14:paraId="476E4772" w14:textId="5C8439E2" w:rsidR="00C13A07" w:rsidRPr="000F4A69" w:rsidRDefault="00C13A07" w:rsidP="003C7876">
      <w:pPr>
        <w:pStyle w:val="NormalWeb"/>
        <w:spacing w:before="0" w:beforeAutospacing="0" w:after="120" w:afterAutospacing="0" w:line="480" w:lineRule="auto"/>
        <w:ind w:left="720" w:hanging="720"/>
        <w:rPr>
          <w:rStyle w:val="Hyperlink"/>
          <w:color w:val="auto"/>
        </w:rPr>
      </w:pPr>
      <w:r w:rsidRPr="000F4A69">
        <w:t>1</w:t>
      </w:r>
      <w:r w:rsidR="00E764DB" w:rsidRPr="000F4A69">
        <w:t>5</w:t>
      </w:r>
      <w:r w:rsidRPr="000F4A69">
        <w:t>. Bekhuis, E., Boschloo, L., Rosmalen, J. G. M., &amp; Schoevers, R. A. (2015). Differential associations of specific depressive and anxiety disorders with somatic symptoms.</w:t>
      </w:r>
      <w:r w:rsidRPr="000F4A69">
        <w:rPr>
          <w:i/>
          <w:iCs/>
        </w:rPr>
        <w:t xml:space="preserve"> Journal of Psychosomatic Research, 78</w:t>
      </w:r>
      <w:r w:rsidRPr="000F4A69">
        <w:t xml:space="preserve">(2), 116-122. </w:t>
      </w:r>
      <w:r w:rsidRPr="000F4A69">
        <w:rPr>
          <w:rStyle w:val="Hyperlink"/>
          <w:color w:val="auto"/>
        </w:rPr>
        <w:t xml:space="preserve"> </w:t>
      </w:r>
    </w:p>
    <w:p w14:paraId="6CB7C81D" w14:textId="33F122F2" w:rsidR="00C13A07" w:rsidRPr="000F4A69" w:rsidRDefault="00C13A07" w:rsidP="003C7876">
      <w:pPr>
        <w:pStyle w:val="NormalWeb"/>
        <w:spacing w:before="0" w:beforeAutospacing="0" w:after="120" w:afterAutospacing="0" w:line="480" w:lineRule="auto"/>
        <w:ind w:left="720" w:hanging="720"/>
      </w:pPr>
      <w:r w:rsidRPr="000F4A69">
        <w:t>1</w:t>
      </w:r>
      <w:r w:rsidR="00E764DB" w:rsidRPr="000F4A69">
        <w:t>6</w:t>
      </w:r>
      <w:r w:rsidRPr="000F4A69">
        <w:t>. Fukuda, K., Straus, S. E., Hickie, I., Sharpe, M. C., Dobbins, J. G., &amp; Komaroff, A. (1994). The chronic fatigue syndrome: A comprehensive approach to its definition and study.</w:t>
      </w:r>
      <w:r w:rsidRPr="000F4A69">
        <w:rPr>
          <w:i/>
          <w:iCs/>
        </w:rPr>
        <w:t xml:space="preserve"> Annals of Internal Medicine, 121</w:t>
      </w:r>
      <w:r w:rsidRPr="000F4A69">
        <w:t>(12), 953.</w:t>
      </w:r>
    </w:p>
    <w:p w14:paraId="6184E95C" w14:textId="7363B148" w:rsidR="00C13A07" w:rsidRPr="000F4A69" w:rsidRDefault="00C13A07" w:rsidP="003C7876">
      <w:pPr>
        <w:pStyle w:val="NormalWeb"/>
        <w:spacing w:before="0" w:beforeAutospacing="0" w:after="120" w:afterAutospacing="0" w:line="480" w:lineRule="auto"/>
        <w:ind w:left="720" w:hanging="720"/>
      </w:pPr>
      <w:r w:rsidRPr="000F4A69">
        <w:lastRenderedPageBreak/>
        <w:t>1</w:t>
      </w:r>
      <w:r w:rsidR="00E764DB" w:rsidRPr="000F4A69">
        <w:t>7</w:t>
      </w:r>
      <w:r w:rsidRPr="000F4A69">
        <w:t>. Thomas, M., &amp; Smith, A. (2009). An investigation into the cognitive deficits associated with chronic fatigue syndrome.</w:t>
      </w:r>
      <w:r w:rsidRPr="000F4A69">
        <w:rPr>
          <w:i/>
          <w:iCs/>
        </w:rPr>
        <w:t xml:space="preserve"> The Open Neurology Journal, 3</w:t>
      </w:r>
      <w:r w:rsidRPr="000F4A69">
        <w:t>, 13-23. doi:10.2174/1874205X00903010013 [doi]</w:t>
      </w:r>
    </w:p>
    <w:p w14:paraId="42F94CC2" w14:textId="3B498635" w:rsidR="00C13A07" w:rsidRPr="000F4A69" w:rsidRDefault="00C13A07" w:rsidP="003C7876">
      <w:pPr>
        <w:pStyle w:val="NormalWeb"/>
        <w:spacing w:before="0" w:beforeAutospacing="0" w:after="120" w:afterAutospacing="0" w:line="480" w:lineRule="auto"/>
        <w:ind w:left="720" w:hanging="720"/>
      </w:pPr>
      <w:r w:rsidRPr="000F4A69">
        <w:t>1</w:t>
      </w:r>
      <w:r w:rsidR="00E764DB" w:rsidRPr="000F4A69">
        <w:t>8</w:t>
      </w:r>
      <w:r w:rsidRPr="000F4A69">
        <w:t>. Thomas, M., &amp; Smith, A. (2006). An investigation of the long-term benefits of antidepressant medication in the recovery of patients with chronic fatigue syndrome.</w:t>
      </w:r>
      <w:r w:rsidRPr="000F4A69">
        <w:rPr>
          <w:i/>
          <w:iCs/>
        </w:rPr>
        <w:t xml:space="preserve"> Human Psychopharmacology: Clinical and Experimental, 21</w:t>
      </w:r>
      <w:r w:rsidRPr="000F4A69">
        <w:t>(8), 503-509. doi:10.1002/hup.805</w:t>
      </w:r>
    </w:p>
    <w:p w14:paraId="71027C40" w14:textId="537A2125" w:rsidR="00C13A07" w:rsidRPr="000F4A69" w:rsidRDefault="00C13A07" w:rsidP="003C7876">
      <w:pPr>
        <w:pStyle w:val="NormalWeb"/>
        <w:spacing w:before="0" w:beforeAutospacing="0" w:after="120" w:afterAutospacing="0" w:line="480" w:lineRule="auto"/>
        <w:ind w:left="720" w:hanging="720"/>
      </w:pPr>
      <w:r w:rsidRPr="000F4A69">
        <w:t>1</w:t>
      </w:r>
      <w:r w:rsidR="00E764DB" w:rsidRPr="000F4A69">
        <w:t>9</w:t>
      </w:r>
      <w:r w:rsidRPr="000F4A69">
        <w:t>. Smith, A., Thomas, M., &amp; Sadlier, M. (2009). Multi-convergent therapy: A possible intervention to aid return to work.</w:t>
      </w:r>
      <w:r w:rsidRPr="000F4A69">
        <w:rPr>
          <w:i/>
          <w:iCs/>
        </w:rPr>
        <w:t xml:space="preserve"> Occupational Health at Work, 6</w:t>
      </w:r>
    </w:p>
    <w:p w14:paraId="076591EC" w14:textId="2BDD79A5" w:rsidR="00C13A07" w:rsidRPr="000F4A69" w:rsidRDefault="00E764DB" w:rsidP="003C7876">
      <w:pPr>
        <w:pStyle w:val="NormalWeb"/>
        <w:spacing w:before="0" w:beforeAutospacing="0" w:after="120" w:afterAutospacing="0" w:line="480" w:lineRule="auto"/>
        <w:ind w:left="720" w:hanging="720"/>
      </w:pPr>
      <w:r w:rsidRPr="000F4A69">
        <w:t>20</w:t>
      </w:r>
      <w:r w:rsidR="00C13A07" w:rsidRPr="000F4A69">
        <w:t>. Thomas, M., Kirby, A., &amp; Williams, N. (2013). Working with DCD: Supporting adults with DCD in the workplace.</w:t>
      </w:r>
      <w:r w:rsidR="00C13A07" w:rsidRPr="000F4A69">
        <w:rPr>
          <w:i/>
          <w:iCs/>
        </w:rPr>
        <w:t xml:space="preserve"> Occupational Health at Work, 10</w:t>
      </w:r>
      <w:r w:rsidR="00C13A07" w:rsidRPr="000F4A69">
        <w:t>, 33-35.</w:t>
      </w:r>
    </w:p>
    <w:p w14:paraId="5E9BC926" w14:textId="44CDFE7C" w:rsidR="00C13A07" w:rsidRPr="000F4A69" w:rsidRDefault="00E764DB" w:rsidP="003C7876">
      <w:pPr>
        <w:pStyle w:val="NormalWeb"/>
        <w:spacing w:before="0" w:beforeAutospacing="0" w:after="120" w:afterAutospacing="0" w:line="480" w:lineRule="auto"/>
        <w:ind w:left="720" w:hanging="720"/>
      </w:pPr>
      <w:r w:rsidRPr="000F4A69">
        <w:t>2</w:t>
      </w:r>
      <w:r w:rsidR="00C13A07" w:rsidRPr="000F4A69">
        <w:t>1. Smith, A., Borysiewicz, L., Pollock, J., Thomas, M., Perry, K., &amp; Llewelyn, M. (1999). Acute fatigue in chronic fatigue syndrome patients.</w:t>
      </w:r>
      <w:r w:rsidR="00C13A07" w:rsidRPr="000F4A69">
        <w:rPr>
          <w:i/>
          <w:iCs/>
        </w:rPr>
        <w:t xml:space="preserve"> Psychological Medicine, 29</w:t>
      </w:r>
      <w:r w:rsidR="00C13A07" w:rsidRPr="000F4A69">
        <w:t xml:space="preserve">, 283. </w:t>
      </w:r>
    </w:p>
    <w:p w14:paraId="19809C69" w14:textId="3CAEB472" w:rsidR="00342858" w:rsidRPr="000F4A69" w:rsidRDefault="00342858" w:rsidP="003C7876">
      <w:pPr>
        <w:pStyle w:val="NormalWeb"/>
        <w:spacing w:before="0" w:beforeAutospacing="0" w:after="120" w:afterAutospacing="0" w:line="480" w:lineRule="auto"/>
        <w:ind w:left="720" w:hanging="720"/>
      </w:pPr>
      <w:r w:rsidRPr="000F4A69">
        <w:t>2</w:t>
      </w:r>
      <w:r w:rsidR="00E764DB" w:rsidRPr="000F4A69">
        <w:t>2</w:t>
      </w:r>
      <w:r w:rsidRPr="000F4A69">
        <w:t xml:space="preserve">. Sharpe, M.C. et al. (1991). A report - Chronic Fatigue Syndrome: guidelines for research. </w:t>
      </w:r>
      <w:r w:rsidRPr="000F4A69">
        <w:rPr>
          <w:i/>
        </w:rPr>
        <w:t>Journal of the Royal Society of Medicine, 84,</w:t>
      </w:r>
      <w:r w:rsidRPr="000F4A69">
        <w:t xml:space="preserve"> 118-121.</w:t>
      </w:r>
    </w:p>
    <w:p w14:paraId="75FD274E" w14:textId="5400E4F4" w:rsidR="00C13A07" w:rsidRPr="000F4A69" w:rsidRDefault="00342858" w:rsidP="003C7876">
      <w:pPr>
        <w:pStyle w:val="NormalWeb"/>
        <w:spacing w:before="0" w:beforeAutospacing="0" w:after="120" w:afterAutospacing="0" w:line="480" w:lineRule="auto"/>
        <w:ind w:left="720" w:hanging="720"/>
      </w:pPr>
      <w:r w:rsidRPr="000F4A69">
        <w:t>2</w:t>
      </w:r>
      <w:r w:rsidR="00E764DB" w:rsidRPr="000F4A69">
        <w:t>3</w:t>
      </w:r>
      <w:r w:rsidR="00C13A07" w:rsidRPr="000F4A69">
        <w:t>. Ray, C., Weir, W. R. C., Cullen, S., &amp; Phillips, S. (1992). Illness perception and symptom components in chronic fatigue syndrome.</w:t>
      </w:r>
      <w:r w:rsidR="00C13A07" w:rsidRPr="000F4A69">
        <w:rPr>
          <w:i/>
          <w:iCs/>
        </w:rPr>
        <w:t xml:space="preserve"> Journal of Psychosomatic Research, 36</w:t>
      </w:r>
      <w:r w:rsidR="00C13A07" w:rsidRPr="000F4A69">
        <w:t>(3), 243-256.</w:t>
      </w:r>
      <w:r w:rsidR="00C13A07" w:rsidRPr="000F4A69" w:rsidDel="00416E67">
        <w:t xml:space="preserve"> </w:t>
      </w:r>
    </w:p>
    <w:p w14:paraId="0BD9E043" w14:textId="0E3F9F0B" w:rsidR="00C13A07" w:rsidRPr="000F4A69" w:rsidRDefault="00342858" w:rsidP="003C7876">
      <w:pPr>
        <w:pStyle w:val="NormalWeb"/>
        <w:spacing w:before="0" w:beforeAutospacing="0" w:after="120" w:afterAutospacing="0" w:line="480" w:lineRule="auto"/>
        <w:ind w:left="720" w:hanging="720"/>
      </w:pPr>
      <w:r w:rsidRPr="000F4A69">
        <w:t>2</w:t>
      </w:r>
      <w:r w:rsidR="00E764DB" w:rsidRPr="000F4A69">
        <w:t>4</w:t>
      </w:r>
      <w:r w:rsidR="00C13A07" w:rsidRPr="000F4A69">
        <w:t xml:space="preserve">. Spielberger, C., Gorsuch, R., &amp; Lushene, R. (1971). </w:t>
      </w:r>
      <w:r w:rsidR="00C13A07" w:rsidRPr="000F4A69">
        <w:rPr>
          <w:i/>
          <w:iCs/>
        </w:rPr>
        <w:t>STAI manual for the state-trait anxiety inventory. </w:t>
      </w:r>
      <w:r w:rsidR="00C13A07" w:rsidRPr="000F4A69">
        <w:t>. Palo Alto.: Consulting Psychologists Press.</w:t>
      </w:r>
    </w:p>
    <w:p w14:paraId="407D26CF" w14:textId="5BCAC9A4" w:rsidR="00C13A07" w:rsidRPr="000F4A69" w:rsidRDefault="00342858" w:rsidP="003C7876">
      <w:pPr>
        <w:pStyle w:val="NormalWeb"/>
        <w:spacing w:before="0" w:beforeAutospacing="0" w:after="120" w:afterAutospacing="0" w:line="480" w:lineRule="auto"/>
        <w:ind w:left="720" w:hanging="720"/>
      </w:pPr>
      <w:r w:rsidRPr="000F4A69">
        <w:t>2</w:t>
      </w:r>
      <w:r w:rsidR="00E764DB" w:rsidRPr="000F4A69">
        <w:t>5</w:t>
      </w:r>
      <w:r w:rsidR="00C13A07" w:rsidRPr="000F4A69">
        <w:t>. Radloff, L. S. (1977). The CES-D scale: A self-report depression scale for research in the general population.</w:t>
      </w:r>
      <w:r w:rsidR="00C13A07" w:rsidRPr="000F4A69">
        <w:rPr>
          <w:i/>
          <w:iCs/>
        </w:rPr>
        <w:t xml:space="preserve"> Applied Psychological Measurement, 1</w:t>
      </w:r>
      <w:r w:rsidR="00C13A07" w:rsidRPr="000F4A69">
        <w:t>(3), 385-401. doi:10.1177/014662167700100306</w:t>
      </w:r>
    </w:p>
    <w:p w14:paraId="1C469D15" w14:textId="4304D923" w:rsidR="00C13A07" w:rsidRPr="000F4A69" w:rsidRDefault="00342858" w:rsidP="003C7876">
      <w:pPr>
        <w:pStyle w:val="NormalWeb"/>
        <w:spacing w:before="0" w:beforeAutospacing="0" w:after="120" w:afterAutospacing="0" w:line="480" w:lineRule="auto"/>
        <w:ind w:left="720" w:hanging="720"/>
      </w:pPr>
      <w:r w:rsidRPr="000F4A69">
        <w:lastRenderedPageBreak/>
        <w:t>2</w:t>
      </w:r>
      <w:r w:rsidR="00E764DB" w:rsidRPr="000F4A69">
        <w:t>6</w:t>
      </w:r>
      <w:r w:rsidR="00C13A07" w:rsidRPr="000F4A69">
        <w:t xml:space="preserve">. Zevon, M. A., &amp; Tellegen, A. (1982). The structure of mood change: An </w:t>
      </w:r>
      <w:r w:rsidR="003C7876" w:rsidRPr="000F4A69">
        <w:t>idiographic/nomothetic analysis</w:t>
      </w:r>
      <w:r w:rsidR="00C13A07" w:rsidRPr="000F4A69">
        <w:t>.</w:t>
      </w:r>
      <w:r w:rsidR="00C13A07" w:rsidRPr="000F4A69">
        <w:rPr>
          <w:i/>
          <w:iCs/>
        </w:rPr>
        <w:t xml:space="preserve"> Journal of Personality and Social Psychology, 43</w:t>
      </w:r>
      <w:r w:rsidR="00C13A07" w:rsidRPr="000F4A69">
        <w:t>(1), 111-122.</w:t>
      </w:r>
    </w:p>
    <w:p w14:paraId="2C0AF38D" w14:textId="500A85E7" w:rsidR="001B733B" w:rsidRPr="000F4A69" w:rsidRDefault="001B733B" w:rsidP="003C7876">
      <w:pPr>
        <w:pStyle w:val="NormalWeb"/>
        <w:spacing w:before="0" w:beforeAutospacing="0" w:after="120" w:afterAutospacing="0" w:line="480" w:lineRule="auto"/>
        <w:ind w:left="720" w:hanging="720"/>
      </w:pPr>
      <w:r w:rsidRPr="000F4A69">
        <w:t>27.Watson, D. &amp; Clark, L. (1988). Development and Validation of Brief Measures of Positive and Negative Affect: The PANAS Scales.</w:t>
      </w:r>
      <w:r w:rsidRPr="000F4A69">
        <w:rPr>
          <w:i/>
        </w:rPr>
        <w:t xml:space="preserve"> Journal of Personality and Social Psychology, 54</w:t>
      </w:r>
      <w:r w:rsidRPr="000F4A69">
        <w:t>(6), 1063-1070.</w:t>
      </w:r>
    </w:p>
    <w:p w14:paraId="5C04E5DA" w14:textId="1F7127FD" w:rsidR="00C13A07" w:rsidRPr="000F4A69" w:rsidRDefault="00342858" w:rsidP="003C7876">
      <w:pPr>
        <w:pStyle w:val="NormalWeb"/>
        <w:spacing w:before="0" w:beforeAutospacing="0" w:after="120" w:afterAutospacing="0" w:line="480" w:lineRule="auto"/>
        <w:ind w:left="720" w:hanging="720"/>
      </w:pPr>
      <w:r w:rsidRPr="000F4A69">
        <w:t>2</w:t>
      </w:r>
      <w:r w:rsidR="00575F77" w:rsidRPr="000F4A69">
        <w:t>8</w:t>
      </w:r>
      <w:r w:rsidR="00C13A07" w:rsidRPr="000F4A69">
        <w:t>. Cohen, S., Kamarck, T., &amp; Mermelstein, R. (1983). A global measure of perceived stress.</w:t>
      </w:r>
      <w:r w:rsidR="00C13A07" w:rsidRPr="000F4A69">
        <w:rPr>
          <w:i/>
          <w:iCs/>
        </w:rPr>
        <w:t xml:space="preserve"> Journal of Health and Social Behavior, 24</w:t>
      </w:r>
      <w:r w:rsidR="00C13A07" w:rsidRPr="000F4A69">
        <w:t>(4), 385-396.</w:t>
      </w:r>
    </w:p>
    <w:p w14:paraId="42F2B104" w14:textId="53ED9E6F" w:rsidR="00C13A07" w:rsidRPr="000F4A69" w:rsidRDefault="00342858" w:rsidP="003C7876">
      <w:pPr>
        <w:pStyle w:val="Title1"/>
        <w:shd w:val="clear" w:color="auto" w:fill="FFFFFF"/>
        <w:spacing w:before="0" w:beforeAutospacing="0" w:after="0" w:afterAutospacing="0" w:line="480" w:lineRule="auto"/>
        <w:ind w:left="720" w:hanging="720"/>
      </w:pPr>
      <w:r w:rsidRPr="000F4A69">
        <w:t>2</w:t>
      </w:r>
      <w:r w:rsidR="00575F77" w:rsidRPr="000F4A69">
        <w:t>9</w:t>
      </w:r>
      <w:r w:rsidR="00C13A07" w:rsidRPr="000F4A69">
        <w:t xml:space="preserve">. Malarkey WB, Pearl DK, Demers LM, Kiecolt-Glaser JK, Glaser R. </w:t>
      </w:r>
      <w:hyperlink r:id="rId14" w:history="1">
        <w:r w:rsidR="00C13A07" w:rsidRPr="000F4A69">
          <w:t>Influence of academic stress and season on 24-hour mean concentrations of ACTH, cortisol, and beta-endorphin.</w:t>
        </w:r>
      </w:hyperlink>
      <w:r w:rsidR="00C13A07" w:rsidRPr="000F4A69">
        <w:t xml:space="preserve"> </w:t>
      </w:r>
      <w:r w:rsidR="00C13A07" w:rsidRPr="000F4A69">
        <w:rPr>
          <w:i/>
        </w:rPr>
        <w:t>Psychoneuroendocrinology, 20</w:t>
      </w:r>
      <w:r w:rsidR="00C13A07" w:rsidRPr="000F4A69">
        <w:t>(5), 499-508.</w:t>
      </w:r>
    </w:p>
    <w:p w14:paraId="737DB19A" w14:textId="34F3EF37" w:rsidR="00C13A07" w:rsidRPr="000F4A69" w:rsidRDefault="00575F77" w:rsidP="003C7876">
      <w:pPr>
        <w:pStyle w:val="Title1"/>
        <w:shd w:val="clear" w:color="auto" w:fill="FFFFFF"/>
        <w:spacing w:before="0" w:beforeAutospacing="0" w:after="0" w:afterAutospacing="0" w:line="480" w:lineRule="auto"/>
        <w:ind w:left="720" w:hanging="720"/>
      </w:pPr>
      <w:r w:rsidRPr="000F4A69">
        <w:t>30</w:t>
      </w:r>
      <w:r w:rsidR="00C13A07" w:rsidRPr="000F4A69">
        <w:t>. van Eck, M., &amp; Nicholson, N. A. (1994). Perceived stress and salivary cortisol in daily life. Annals of Behavioral Medicine, 16, 221–227.</w:t>
      </w:r>
    </w:p>
    <w:p w14:paraId="38136844" w14:textId="0D61E12C" w:rsidR="00C13A07" w:rsidRPr="000F4A69" w:rsidRDefault="00E764DB" w:rsidP="00D62676">
      <w:pPr>
        <w:pStyle w:val="NormalWeb"/>
        <w:spacing w:before="0" w:beforeAutospacing="0" w:after="120" w:afterAutospacing="0" w:line="480" w:lineRule="auto"/>
        <w:ind w:left="720" w:hanging="720"/>
      </w:pPr>
      <w:r w:rsidRPr="000F4A69">
        <w:t>3</w:t>
      </w:r>
      <w:r w:rsidR="00575F77" w:rsidRPr="000F4A69">
        <w:t>1</w:t>
      </w:r>
      <w:r w:rsidR="00C13A07" w:rsidRPr="000F4A69">
        <w:t>. Broadbent, D. E., Cooper, P. F., FitzGerald, P., &amp; Parkes, K. R. (1982). The cognitive failures questionnaire (CFQ) and its correlates.</w:t>
      </w:r>
      <w:r w:rsidR="00C13A07" w:rsidRPr="000F4A69">
        <w:rPr>
          <w:i/>
          <w:iCs/>
        </w:rPr>
        <w:t xml:space="preserve"> The British Journal of Clinical Psychology / the British Psychological Society, 21 (Pt 1)</w:t>
      </w:r>
      <w:r w:rsidR="00C13A07" w:rsidRPr="000F4A69">
        <w:t xml:space="preserve">(Pt 1), 1-16. </w:t>
      </w:r>
    </w:p>
    <w:p w14:paraId="5B93D457" w14:textId="75B48072" w:rsidR="00C13A07" w:rsidRPr="000F4A69" w:rsidRDefault="00E764DB" w:rsidP="00D62676">
      <w:pPr>
        <w:pStyle w:val="NormalWeb"/>
        <w:spacing w:before="0" w:beforeAutospacing="0" w:after="120" w:afterAutospacing="0" w:line="480" w:lineRule="auto"/>
        <w:ind w:left="720" w:hanging="720"/>
      </w:pPr>
      <w:r w:rsidRPr="000F4A69">
        <w:t>3</w:t>
      </w:r>
      <w:r w:rsidR="00575F77" w:rsidRPr="000F4A69">
        <w:t>2</w:t>
      </w:r>
      <w:r w:rsidR="00C13A07" w:rsidRPr="000F4A69">
        <w:t>. Fleming, J. S., &amp; Watts, W. A. (1980). The dimensionality of self-esteem: Some results of a college sample.</w:t>
      </w:r>
      <w:r w:rsidR="00C13A07" w:rsidRPr="000F4A69">
        <w:rPr>
          <w:i/>
          <w:iCs/>
        </w:rPr>
        <w:t xml:space="preserve"> Journal of Personality and Social Psychology, 39</w:t>
      </w:r>
      <w:r w:rsidR="00C13A07" w:rsidRPr="000F4A69">
        <w:t>(5), 921-929.</w:t>
      </w:r>
    </w:p>
    <w:p w14:paraId="5145ED10" w14:textId="179CB4D7" w:rsidR="00C13A07" w:rsidRPr="000F4A69" w:rsidRDefault="00342858" w:rsidP="00D62676">
      <w:pPr>
        <w:pStyle w:val="NormalWeb"/>
        <w:spacing w:before="0" w:beforeAutospacing="0" w:after="120" w:afterAutospacing="0" w:line="480" w:lineRule="auto"/>
        <w:ind w:left="720" w:hanging="720"/>
        <w:rPr>
          <w:rFonts w:eastAsia="Calibri"/>
          <w:lang w:eastAsia="en-US"/>
        </w:rPr>
      </w:pPr>
      <w:r w:rsidRPr="000F4A69">
        <w:t>3</w:t>
      </w:r>
      <w:r w:rsidR="00575F77" w:rsidRPr="000F4A69">
        <w:t>3</w:t>
      </w:r>
      <w:r w:rsidR="00C13A07" w:rsidRPr="000F4A69">
        <w:t xml:space="preserve">. </w:t>
      </w:r>
      <w:r w:rsidR="00D62676" w:rsidRPr="000F4A69">
        <w:rPr>
          <w:rFonts w:eastAsia="Calibri"/>
          <w:lang w:eastAsia="en-US"/>
        </w:rPr>
        <w:t>Christopher, G. &amp;</w:t>
      </w:r>
      <w:r w:rsidR="00C13A07" w:rsidRPr="000F4A69">
        <w:rPr>
          <w:rFonts w:eastAsia="Calibri"/>
          <w:lang w:eastAsia="en-US"/>
        </w:rPr>
        <w:t xml:space="preserve"> MacDonald, J. (2005). The impact of clinical depression on working memory. </w:t>
      </w:r>
      <w:r w:rsidR="00C13A07" w:rsidRPr="000F4A69">
        <w:rPr>
          <w:rFonts w:eastAsia="Calibri"/>
          <w:i/>
          <w:iCs/>
          <w:lang w:eastAsia="en-US"/>
        </w:rPr>
        <w:t>Cognitive Neuropsychiatry</w:t>
      </w:r>
      <w:r w:rsidR="00C13A07" w:rsidRPr="000F4A69">
        <w:rPr>
          <w:rFonts w:eastAsia="Calibri"/>
          <w:lang w:eastAsia="en-US"/>
        </w:rPr>
        <w:t>, 10 (5). pp. 379-399.</w:t>
      </w:r>
    </w:p>
    <w:p w14:paraId="02A46864" w14:textId="2E51E123" w:rsidR="00C13A07" w:rsidRPr="000F4A69" w:rsidRDefault="00342858" w:rsidP="002F0FFB">
      <w:pPr>
        <w:pStyle w:val="NormalWeb"/>
        <w:spacing w:before="0" w:beforeAutospacing="0" w:after="120" w:afterAutospacing="0" w:line="480" w:lineRule="auto"/>
        <w:ind w:left="720" w:hanging="720"/>
        <w:rPr>
          <w:rFonts w:eastAsia="Calibri"/>
          <w:lang w:eastAsia="en-US"/>
        </w:rPr>
      </w:pPr>
      <w:r w:rsidRPr="000F4A69">
        <w:t>3</w:t>
      </w:r>
      <w:r w:rsidR="00575F77" w:rsidRPr="000F4A69">
        <w:t>4</w:t>
      </w:r>
      <w:r w:rsidR="009D0743" w:rsidRPr="000F4A69">
        <w:t xml:space="preserve">. Breslau, N., Roth, T., Rosenthal, L. &amp; Andreski, P. (1996). Sleep disturbance and psychiatric disorders: A longitudinal epidemiological study of young Adults. </w:t>
      </w:r>
      <w:r w:rsidR="009D0743" w:rsidRPr="000F4A69">
        <w:rPr>
          <w:i/>
        </w:rPr>
        <w:lastRenderedPageBreak/>
        <w:t>Biological Psychiatry,</w:t>
      </w:r>
      <w:r w:rsidR="009D0743" w:rsidRPr="000F4A69">
        <w:t xml:space="preserve"> </w:t>
      </w:r>
      <w:r w:rsidR="009D0743" w:rsidRPr="000F4A69">
        <w:rPr>
          <w:i/>
        </w:rPr>
        <w:t>39</w:t>
      </w:r>
      <w:r w:rsidR="002F0FFB" w:rsidRPr="000F4A69">
        <w:t>(</w:t>
      </w:r>
      <w:r w:rsidR="009D0743" w:rsidRPr="000F4A69">
        <w:t>6</w:t>
      </w:r>
      <w:r w:rsidR="002F0FFB" w:rsidRPr="000F4A69">
        <w:t>)</w:t>
      </w:r>
      <w:r w:rsidR="009D0743" w:rsidRPr="000F4A69">
        <w:t>, 411-418</w:t>
      </w:r>
      <w:r w:rsidR="002F0FFB" w:rsidRPr="000F4A69">
        <w:t xml:space="preserve">. </w:t>
      </w:r>
      <w:r w:rsidR="009D0743" w:rsidRPr="000F4A69">
        <w:t>ISSN 0006-3223, http://dx.doi.org/10.1016/0006-3223(95)00188-3.</w:t>
      </w:r>
    </w:p>
    <w:p w14:paraId="7845752E" w14:textId="4CD4667D" w:rsidR="00C13A07" w:rsidRPr="000F4A69" w:rsidRDefault="00342858" w:rsidP="00D62676">
      <w:pPr>
        <w:pStyle w:val="NormalWeb"/>
        <w:spacing w:before="0" w:beforeAutospacing="0" w:after="120" w:afterAutospacing="0" w:line="480" w:lineRule="auto"/>
        <w:ind w:left="720" w:hanging="720"/>
      </w:pPr>
      <w:r w:rsidRPr="000F4A69">
        <w:rPr>
          <w:rFonts w:eastAsia="Calibri"/>
          <w:lang w:eastAsia="en-US"/>
        </w:rPr>
        <w:t>3</w:t>
      </w:r>
      <w:r w:rsidR="00575F77" w:rsidRPr="000F4A69">
        <w:rPr>
          <w:rFonts w:eastAsia="Calibri"/>
          <w:lang w:eastAsia="en-US"/>
        </w:rPr>
        <w:t>5</w:t>
      </w:r>
      <w:r w:rsidR="00C13A07" w:rsidRPr="000F4A69">
        <w:rPr>
          <w:rFonts w:eastAsia="Calibri"/>
          <w:lang w:eastAsia="en-US"/>
        </w:rPr>
        <w:t xml:space="preserve">. Thomas, M. &amp; Christopher, C. (2009). Social problem solving in chronic fatigue syndrome: preliminary findings. </w:t>
      </w:r>
      <w:r w:rsidR="00C13A07" w:rsidRPr="000F4A69">
        <w:rPr>
          <w:rFonts w:eastAsia="Calibri"/>
          <w:i/>
          <w:lang w:eastAsia="en-US"/>
        </w:rPr>
        <w:t>Stress and Health, 25,</w:t>
      </w:r>
      <w:r w:rsidR="00C13A07" w:rsidRPr="000F4A69">
        <w:rPr>
          <w:rFonts w:eastAsia="Calibri"/>
          <w:lang w:eastAsia="en-US"/>
        </w:rPr>
        <w:t xml:space="preserve"> 161–169.</w:t>
      </w:r>
    </w:p>
    <w:p w14:paraId="1BAD500A" w14:textId="602D3207" w:rsidR="00C13A07" w:rsidRPr="000F4A69" w:rsidRDefault="00342858" w:rsidP="00D62676">
      <w:pPr>
        <w:pStyle w:val="NormalWeb"/>
        <w:spacing w:before="0" w:beforeAutospacing="0" w:after="120" w:afterAutospacing="0" w:line="480" w:lineRule="auto"/>
        <w:ind w:left="720" w:hanging="720"/>
      </w:pPr>
      <w:r w:rsidRPr="000F4A69">
        <w:t>3</w:t>
      </w:r>
      <w:r w:rsidR="00575F77" w:rsidRPr="000F4A69">
        <w:t>6</w:t>
      </w:r>
      <w:r w:rsidR="00C13A07" w:rsidRPr="000F4A69">
        <w:t>. Stephenson, E., &amp; Chesson, R. (2008). ‘Always the guiding hand’: Parents’ accounts of the long-term implications of developmental co-ordination disorder for their children and families.</w:t>
      </w:r>
      <w:r w:rsidR="00C13A07" w:rsidRPr="000F4A69">
        <w:rPr>
          <w:i/>
          <w:iCs/>
        </w:rPr>
        <w:t xml:space="preserve"> Child: Care, Health and Development, 34</w:t>
      </w:r>
      <w:r w:rsidR="00C13A07" w:rsidRPr="000F4A69">
        <w:t>(2), 335-343.</w:t>
      </w:r>
    </w:p>
    <w:p w14:paraId="62E45072" w14:textId="2EDA8F77" w:rsidR="00C13A07" w:rsidRPr="000F4A69" w:rsidRDefault="00342858" w:rsidP="00D62676">
      <w:pPr>
        <w:pStyle w:val="NormalWeb"/>
        <w:spacing w:before="0" w:beforeAutospacing="0" w:after="120" w:afterAutospacing="0" w:line="480" w:lineRule="auto"/>
        <w:ind w:left="720" w:hanging="720"/>
      </w:pPr>
      <w:r w:rsidRPr="000F4A69">
        <w:t>3</w:t>
      </w:r>
      <w:r w:rsidR="00575F77" w:rsidRPr="000F4A69">
        <w:t>7</w:t>
      </w:r>
      <w:r w:rsidR="00C13A07" w:rsidRPr="000F4A69">
        <w:t xml:space="preserve">. Smith, C. &amp; Hale, I. (2007). The effects of non-pharmacological interventions on fatigue in four chronic conditions: a critical review. </w:t>
      </w:r>
      <w:r w:rsidR="00C13A07" w:rsidRPr="000F4A69">
        <w:rPr>
          <w:i/>
        </w:rPr>
        <w:t>Physical Therapy Review</w:t>
      </w:r>
      <w:r w:rsidR="00C13A07" w:rsidRPr="000F4A69">
        <w:t>, 12, 324-334.</w:t>
      </w:r>
    </w:p>
    <w:p w14:paraId="6BEF03D2" w14:textId="5665805A" w:rsidR="00C13A07" w:rsidRPr="000F4A69" w:rsidRDefault="00342858" w:rsidP="00D62676">
      <w:pPr>
        <w:pStyle w:val="NormalWeb"/>
        <w:spacing w:before="0" w:beforeAutospacing="0" w:after="120" w:afterAutospacing="0" w:line="480" w:lineRule="auto"/>
        <w:ind w:left="720" w:hanging="720"/>
      </w:pPr>
      <w:r w:rsidRPr="000F4A69">
        <w:t>3</w:t>
      </w:r>
      <w:r w:rsidR="00575F77" w:rsidRPr="000F4A69">
        <w:t>8</w:t>
      </w:r>
      <w:r w:rsidR="00C13A07" w:rsidRPr="000F4A69">
        <w:t>. Ancoli-Israel, S. (2005). Sleep and aging: Prevalence of disturbed sleep and treatment considerations in older adult</w:t>
      </w:r>
      <w:r w:rsidR="00C13A07" w:rsidRPr="000F4A69">
        <w:rPr>
          <w:i/>
          <w:iCs/>
        </w:rPr>
        <w:t>s. Journal of Clinical Psychiatry, 66</w:t>
      </w:r>
      <w:r w:rsidR="00C13A07" w:rsidRPr="000F4A69">
        <w:t>(9), 42-23.</w:t>
      </w:r>
    </w:p>
    <w:p w14:paraId="4B728A65" w14:textId="23A7C06C" w:rsidR="00C13A07" w:rsidRPr="000F4A69" w:rsidRDefault="00342858" w:rsidP="00D62676">
      <w:pPr>
        <w:pStyle w:val="NormalWeb"/>
        <w:spacing w:before="0" w:beforeAutospacing="0" w:after="120" w:afterAutospacing="0" w:line="480" w:lineRule="auto"/>
        <w:ind w:left="720" w:hanging="720"/>
        <w:rPr>
          <w:lang w:val="fr-FR"/>
        </w:rPr>
      </w:pPr>
      <w:r w:rsidRPr="000F4A69">
        <w:t>3</w:t>
      </w:r>
      <w:r w:rsidR="00575F77" w:rsidRPr="000F4A69">
        <w:t>9</w:t>
      </w:r>
      <w:r w:rsidR="00C13A07" w:rsidRPr="000F4A69">
        <w:t xml:space="preserve">. Christopher, G. (2014). </w:t>
      </w:r>
      <w:r w:rsidR="00C13A07" w:rsidRPr="000F4A69">
        <w:rPr>
          <w:i/>
          <w:iCs/>
        </w:rPr>
        <w:t>The psychology of ageing: From mind to society.</w:t>
      </w:r>
      <w:r w:rsidR="00C13A07" w:rsidRPr="000F4A69">
        <w:t xml:space="preserve"> </w:t>
      </w:r>
      <w:r w:rsidR="00C13A07" w:rsidRPr="000F4A69">
        <w:rPr>
          <w:lang w:val="fr-FR"/>
        </w:rPr>
        <w:t>UK: Palgrave Macmillan.</w:t>
      </w:r>
    </w:p>
    <w:p w14:paraId="04342F51" w14:textId="257272ED" w:rsidR="00C13A07" w:rsidRPr="000F4A69" w:rsidRDefault="00575F77" w:rsidP="00D62676">
      <w:pPr>
        <w:pStyle w:val="NormalWeb"/>
        <w:spacing w:before="0" w:beforeAutospacing="0" w:after="120" w:afterAutospacing="0" w:line="480" w:lineRule="auto"/>
        <w:ind w:left="720" w:hanging="720"/>
      </w:pPr>
      <w:r w:rsidRPr="000F4A69">
        <w:t>40</w:t>
      </w:r>
      <w:r w:rsidR="00C13A07" w:rsidRPr="000F4A69">
        <w:t>. Yang, Z., Bishai, D., &amp; Harman, J. (2008). Convergence of body mass with aging: The longitudinal interrelationship of health, weight, and survival.</w:t>
      </w:r>
      <w:r w:rsidR="00C13A07" w:rsidRPr="000F4A69">
        <w:rPr>
          <w:i/>
          <w:iCs/>
        </w:rPr>
        <w:t xml:space="preserve"> Economics and Human Biology, 6</w:t>
      </w:r>
      <w:r w:rsidR="00C13A07" w:rsidRPr="000F4A69">
        <w:t>(3), 469-481. doi:10.1016/j.ehb.2008.06.006</w:t>
      </w:r>
    </w:p>
    <w:p w14:paraId="6107FC1B" w14:textId="1AA1EA5D" w:rsidR="00C13A07" w:rsidRPr="000F4A69" w:rsidRDefault="00E764DB" w:rsidP="00D62676">
      <w:pPr>
        <w:pStyle w:val="NormalWeb"/>
        <w:spacing w:before="0" w:beforeAutospacing="0" w:after="120" w:afterAutospacing="0" w:line="480" w:lineRule="auto"/>
        <w:ind w:left="720" w:hanging="720"/>
      </w:pPr>
      <w:r w:rsidRPr="000F4A69">
        <w:t>4</w:t>
      </w:r>
      <w:r w:rsidR="00575F77" w:rsidRPr="000F4A69">
        <w:t>1</w:t>
      </w:r>
      <w:r w:rsidR="00C13A07" w:rsidRPr="000F4A69">
        <w:t>. Afari, N., &amp; Buchwald, D. (2003). Chronic fatigue syndrome: A review.</w:t>
      </w:r>
      <w:r w:rsidR="00C13A07" w:rsidRPr="000F4A69">
        <w:rPr>
          <w:i/>
          <w:iCs/>
        </w:rPr>
        <w:t xml:space="preserve"> The American Journal of Psychiatry, 160</w:t>
      </w:r>
      <w:r w:rsidR="00C13A07" w:rsidRPr="000F4A69">
        <w:t>(2), 221-236.</w:t>
      </w:r>
    </w:p>
    <w:p w14:paraId="0A5F952B" w14:textId="77777777" w:rsidR="00C13A07" w:rsidRPr="000F4A69" w:rsidRDefault="00C13A07" w:rsidP="0024372B">
      <w:pPr>
        <w:pStyle w:val="NormalWeb"/>
        <w:spacing w:before="0" w:beforeAutospacing="0" w:after="120" w:afterAutospacing="0" w:line="480" w:lineRule="auto"/>
        <w:ind w:firstLine="720"/>
      </w:pPr>
    </w:p>
    <w:p w14:paraId="0FEA41AE" w14:textId="77777777" w:rsidR="00C13A07" w:rsidRPr="000F4A69" w:rsidRDefault="00C13A07" w:rsidP="0024372B">
      <w:pPr>
        <w:spacing w:after="120"/>
        <w:rPr>
          <w:b/>
        </w:rPr>
      </w:pPr>
      <w:r w:rsidRPr="000F4A69">
        <w:rPr>
          <w:b/>
        </w:rPr>
        <w:fldChar w:fldCharType="end"/>
      </w:r>
    </w:p>
    <w:p w14:paraId="28E66663" w14:textId="77777777" w:rsidR="00C13A07" w:rsidRPr="000F4A69" w:rsidRDefault="00C13A07" w:rsidP="0024372B">
      <w:pPr>
        <w:rPr>
          <w:b/>
        </w:rPr>
      </w:pPr>
      <w:r w:rsidRPr="000F4A69">
        <w:rPr>
          <w:b/>
        </w:rPr>
        <w:lastRenderedPageBreak/>
        <w:br w:type="page"/>
      </w:r>
    </w:p>
    <w:p w14:paraId="29F2A3F5" w14:textId="77777777" w:rsidR="00C13A07" w:rsidRPr="000F4A69" w:rsidRDefault="00C13A07" w:rsidP="00D62676">
      <w:pPr>
        <w:spacing w:after="120" w:line="276" w:lineRule="auto"/>
      </w:pPr>
      <w:r w:rsidRPr="000F4A69">
        <w:lastRenderedPageBreak/>
        <w:t>Table 1:</w:t>
      </w:r>
      <w:r w:rsidRPr="000F4A69">
        <w:tab/>
        <w:t>Gender and age data for the three adult groups</w:t>
      </w:r>
    </w:p>
    <w:tbl>
      <w:tblPr>
        <w:tblW w:w="0" w:type="auto"/>
        <w:tblBorders>
          <w:top w:val="double" w:sz="4" w:space="0" w:color="auto"/>
          <w:bottom w:val="double" w:sz="4" w:space="0" w:color="auto"/>
          <w:insideH w:val="single" w:sz="4" w:space="0" w:color="auto"/>
        </w:tblBorders>
        <w:tblLook w:val="04A0" w:firstRow="1" w:lastRow="0" w:firstColumn="1" w:lastColumn="0" w:noHBand="0" w:noVBand="1"/>
      </w:tblPr>
      <w:tblGrid>
        <w:gridCol w:w="2186"/>
        <w:gridCol w:w="2169"/>
        <w:gridCol w:w="1975"/>
        <w:gridCol w:w="2169"/>
      </w:tblGrid>
      <w:tr w:rsidR="000F4A69" w:rsidRPr="000F4A69" w14:paraId="34ACD589" w14:textId="77777777" w:rsidTr="009C2BA2">
        <w:tc>
          <w:tcPr>
            <w:tcW w:w="2376" w:type="dxa"/>
            <w:shd w:val="clear" w:color="auto" w:fill="auto"/>
          </w:tcPr>
          <w:p w14:paraId="5C88A620" w14:textId="77777777" w:rsidR="00C13A07" w:rsidRPr="000F4A69" w:rsidRDefault="00C13A07" w:rsidP="009C2BA2">
            <w:pPr>
              <w:spacing w:after="120" w:line="276" w:lineRule="auto"/>
              <w:rPr>
                <w:rFonts w:eastAsia="Calibri"/>
                <w:lang w:eastAsia="en-US"/>
              </w:rPr>
            </w:pPr>
          </w:p>
        </w:tc>
        <w:tc>
          <w:tcPr>
            <w:tcW w:w="2363" w:type="dxa"/>
            <w:shd w:val="clear" w:color="auto" w:fill="auto"/>
          </w:tcPr>
          <w:p w14:paraId="0159F557" w14:textId="77777777" w:rsidR="00C13A07" w:rsidRPr="000F4A69" w:rsidRDefault="00C13A07" w:rsidP="009C2BA2">
            <w:pPr>
              <w:spacing w:after="120" w:line="276" w:lineRule="auto"/>
              <w:jc w:val="center"/>
              <w:rPr>
                <w:rFonts w:eastAsia="Calibri"/>
                <w:lang w:eastAsia="en-US"/>
              </w:rPr>
            </w:pPr>
            <w:r w:rsidRPr="000F4A69">
              <w:rPr>
                <w:rFonts w:eastAsia="Calibri"/>
                <w:lang w:eastAsia="en-US"/>
              </w:rPr>
              <w:t>DCD (n=53)</w:t>
            </w:r>
          </w:p>
        </w:tc>
        <w:tc>
          <w:tcPr>
            <w:tcW w:w="2140" w:type="dxa"/>
            <w:shd w:val="clear" w:color="auto" w:fill="auto"/>
          </w:tcPr>
          <w:p w14:paraId="7325CAAB" w14:textId="77777777" w:rsidR="00C13A07" w:rsidRPr="000F4A69" w:rsidRDefault="00C13A07" w:rsidP="009C2BA2">
            <w:pPr>
              <w:spacing w:after="120" w:line="276" w:lineRule="auto"/>
              <w:jc w:val="center"/>
              <w:rPr>
                <w:rFonts w:eastAsia="Calibri"/>
                <w:lang w:eastAsia="en-US"/>
              </w:rPr>
            </w:pPr>
            <w:r w:rsidRPr="000F4A69">
              <w:rPr>
                <w:rFonts w:eastAsia="Calibri"/>
                <w:lang w:eastAsia="en-US"/>
              </w:rPr>
              <w:t>CFS (n=84)</w:t>
            </w:r>
          </w:p>
        </w:tc>
        <w:tc>
          <w:tcPr>
            <w:tcW w:w="2363" w:type="dxa"/>
            <w:shd w:val="clear" w:color="auto" w:fill="auto"/>
          </w:tcPr>
          <w:p w14:paraId="0BDCE794" w14:textId="538457D3" w:rsidR="00C13A07" w:rsidRPr="000F4A69" w:rsidRDefault="009934B4" w:rsidP="009C2BA2">
            <w:pPr>
              <w:spacing w:after="120" w:line="276" w:lineRule="auto"/>
              <w:jc w:val="center"/>
              <w:rPr>
                <w:rFonts w:eastAsia="Calibri"/>
                <w:lang w:eastAsia="en-US"/>
              </w:rPr>
            </w:pPr>
            <w:r w:rsidRPr="000F4A69">
              <w:t>TD</w:t>
            </w:r>
            <w:r w:rsidRPr="000F4A69">
              <w:rPr>
                <w:rFonts w:eastAsia="Calibri"/>
                <w:lang w:eastAsia="en-US"/>
              </w:rPr>
              <w:t xml:space="preserve"> </w:t>
            </w:r>
            <w:r w:rsidR="00C13A07" w:rsidRPr="000F4A69">
              <w:rPr>
                <w:rFonts w:eastAsia="Calibri"/>
                <w:lang w:eastAsia="en-US"/>
              </w:rPr>
              <w:t>(n=52)</w:t>
            </w:r>
          </w:p>
        </w:tc>
      </w:tr>
      <w:tr w:rsidR="000F4A69" w:rsidRPr="000F4A69" w14:paraId="2163E9E7" w14:textId="77777777" w:rsidTr="009C2BA2">
        <w:tc>
          <w:tcPr>
            <w:tcW w:w="2376" w:type="dxa"/>
            <w:shd w:val="clear" w:color="auto" w:fill="auto"/>
          </w:tcPr>
          <w:p w14:paraId="6588A828" w14:textId="77777777" w:rsidR="00C13A07" w:rsidRPr="000F4A69" w:rsidRDefault="00C13A07" w:rsidP="009C2BA2">
            <w:pPr>
              <w:spacing w:after="120" w:line="276" w:lineRule="auto"/>
              <w:rPr>
                <w:rFonts w:eastAsia="Calibri"/>
                <w:lang w:eastAsia="en-US"/>
              </w:rPr>
            </w:pPr>
            <w:r w:rsidRPr="000F4A69">
              <w:rPr>
                <w:rFonts w:eastAsia="Calibri"/>
                <w:lang w:eastAsia="en-US"/>
              </w:rPr>
              <w:t>Male (%)</w:t>
            </w:r>
          </w:p>
          <w:p w14:paraId="46A7F9FF" w14:textId="77777777" w:rsidR="00C13A07" w:rsidRPr="000F4A69" w:rsidRDefault="00C13A07" w:rsidP="009C2BA2">
            <w:pPr>
              <w:spacing w:after="120" w:line="276" w:lineRule="auto"/>
              <w:rPr>
                <w:rFonts w:eastAsia="Calibri"/>
                <w:lang w:eastAsia="en-US"/>
              </w:rPr>
            </w:pPr>
            <w:r w:rsidRPr="000F4A69">
              <w:rPr>
                <w:rFonts w:eastAsia="Calibri"/>
                <w:lang w:eastAsia="en-US"/>
              </w:rPr>
              <w:t>Female (%)</w:t>
            </w:r>
          </w:p>
        </w:tc>
        <w:tc>
          <w:tcPr>
            <w:tcW w:w="2363" w:type="dxa"/>
            <w:shd w:val="clear" w:color="auto" w:fill="auto"/>
          </w:tcPr>
          <w:p w14:paraId="352E81F5" w14:textId="77777777" w:rsidR="00C13A07" w:rsidRPr="000F4A69" w:rsidRDefault="00C13A07" w:rsidP="009C2BA2">
            <w:pPr>
              <w:spacing w:after="120" w:line="276" w:lineRule="auto"/>
              <w:jc w:val="center"/>
              <w:rPr>
                <w:rFonts w:eastAsia="Calibri"/>
                <w:lang w:eastAsia="en-US"/>
              </w:rPr>
            </w:pPr>
            <w:r w:rsidRPr="000F4A69">
              <w:rPr>
                <w:rFonts w:eastAsia="Calibri"/>
                <w:lang w:eastAsia="en-US"/>
              </w:rPr>
              <w:t>23 (43)</w:t>
            </w:r>
          </w:p>
          <w:p w14:paraId="543C5112" w14:textId="77777777" w:rsidR="00C13A07" w:rsidRPr="000F4A69" w:rsidRDefault="00C13A07" w:rsidP="009C2BA2">
            <w:pPr>
              <w:spacing w:after="120" w:line="276" w:lineRule="auto"/>
              <w:jc w:val="center"/>
              <w:rPr>
                <w:rFonts w:eastAsia="Calibri"/>
                <w:lang w:eastAsia="en-US"/>
              </w:rPr>
            </w:pPr>
            <w:r w:rsidRPr="000F4A69">
              <w:rPr>
                <w:rFonts w:eastAsia="Calibri"/>
                <w:lang w:eastAsia="en-US"/>
              </w:rPr>
              <w:t>30 (57)</w:t>
            </w:r>
          </w:p>
        </w:tc>
        <w:tc>
          <w:tcPr>
            <w:tcW w:w="2140" w:type="dxa"/>
            <w:shd w:val="clear" w:color="auto" w:fill="auto"/>
          </w:tcPr>
          <w:p w14:paraId="28FEFACE" w14:textId="77777777" w:rsidR="00C13A07" w:rsidRPr="000F4A69" w:rsidRDefault="00C13A07" w:rsidP="009C2BA2">
            <w:pPr>
              <w:spacing w:after="120" w:line="276" w:lineRule="auto"/>
              <w:jc w:val="center"/>
              <w:rPr>
                <w:rFonts w:eastAsia="Calibri"/>
                <w:lang w:eastAsia="en-US"/>
              </w:rPr>
            </w:pPr>
            <w:r w:rsidRPr="000F4A69">
              <w:rPr>
                <w:rFonts w:eastAsia="Calibri"/>
                <w:lang w:eastAsia="en-US"/>
              </w:rPr>
              <w:t>9 (11)</w:t>
            </w:r>
          </w:p>
          <w:p w14:paraId="58E86D74" w14:textId="77777777" w:rsidR="00C13A07" w:rsidRPr="000F4A69" w:rsidRDefault="00C13A07" w:rsidP="009C2BA2">
            <w:pPr>
              <w:spacing w:after="120" w:line="276" w:lineRule="auto"/>
              <w:jc w:val="center"/>
              <w:rPr>
                <w:rFonts w:eastAsia="Calibri"/>
                <w:lang w:eastAsia="en-US"/>
              </w:rPr>
            </w:pPr>
            <w:r w:rsidRPr="000F4A69">
              <w:rPr>
                <w:rFonts w:eastAsia="Calibri"/>
                <w:lang w:eastAsia="en-US"/>
              </w:rPr>
              <w:t>75 (89)</w:t>
            </w:r>
          </w:p>
        </w:tc>
        <w:tc>
          <w:tcPr>
            <w:tcW w:w="2363" w:type="dxa"/>
            <w:shd w:val="clear" w:color="auto" w:fill="auto"/>
          </w:tcPr>
          <w:p w14:paraId="67BBD2F4" w14:textId="77777777" w:rsidR="00C13A07" w:rsidRPr="000F4A69" w:rsidRDefault="00C13A07" w:rsidP="009C2BA2">
            <w:pPr>
              <w:spacing w:after="120" w:line="276" w:lineRule="auto"/>
              <w:jc w:val="center"/>
              <w:rPr>
                <w:rFonts w:eastAsia="Calibri"/>
                <w:lang w:eastAsia="en-US"/>
              </w:rPr>
            </w:pPr>
            <w:r w:rsidRPr="000F4A69">
              <w:rPr>
                <w:rFonts w:eastAsia="Calibri"/>
                <w:lang w:eastAsia="en-US"/>
              </w:rPr>
              <w:t>14 (27)</w:t>
            </w:r>
          </w:p>
          <w:p w14:paraId="2B98D659" w14:textId="77777777" w:rsidR="00C13A07" w:rsidRPr="000F4A69" w:rsidRDefault="00C13A07" w:rsidP="009C2BA2">
            <w:pPr>
              <w:spacing w:after="120" w:line="276" w:lineRule="auto"/>
              <w:jc w:val="center"/>
              <w:rPr>
                <w:rFonts w:eastAsia="Calibri"/>
                <w:lang w:eastAsia="en-US"/>
              </w:rPr>
            </w:pPr>
            <w:r w:rsidRPr="000F4A69">
              <w:rPr>
                <w:rFonts w:eastAsia="Calibri"/>
                <w:lang w:eastAsia="en-US"/>
              </w:rPr>
              <w:t>38 (73)</w:t>
            </w:r>
          </w:p>
        </w:tc>
      </w:tr>
      <w:tr w:rsidR="009C2BA2" w:rsidRPr="000F4A69" w14:paraId="7375839E" w14:textId="77777777" w:rsidTr="009C2BA2">
        <w:tc>
          <w:tcPr>
            <w:tcW w:w="2376" w:type="dxa"/>
            <w:shd w:val="clear" w:color="auto" w:fill="auto"/>
          </w:tcPr>
          <w:p w14:paraId="11110708" w14:textId="77777777" w:rsidR="00C13A07" w:rsidRPr="000F4A69" w:rsidRDefault="00C13A07" w:rsidP="009C2BA2">
            <w:pPr>
              <w:spacing w:after="120" w:line="276" w:lineRule="auto"/>
              <w:rPr>
                <w:rFonts w:eastAsia="Calibri"/>
                <w:lang w:eastAsia="en-US"/>
              </w:rPr>
            </w:pPr>
            <w:r w:rsidRPr="000F4A69">
              <w:rPr>
                <w:rFonts w:eastAsia="Calibri"/>
                <w:lang w:eastAsia="en-US"/>
              </w:rPr>
              <w:t>Mean age: years months (s.d.)</w:t>
            </w:r>
          </w:p>
        </w:tc>
        <w:tc>
          <w:tcPr>
            <w:tcW w:w="2363" w:type="dxa"/>
            <w:shd w:val="clear" w:color="auto" w:fill="auto"/>
          </w:tcPr>
          <w:p w14:paraId="554775A7" w14:textId="77777777" w:rsidR="00C13A07" w:rsidRPr="000F4A69" w:rsidRDefault="00C13A07" w:rsidP="009C2BA2">
            <w:pPr>
              <w:spacing w:after="120" w:line="276" w:lineRule="auto"/>
              <w:jc w:val="center"/>
              <w:rPr>
                <w:rFonts w:eastAsia="Calibri"/>
                <w:lang w:eastAsia="en-US"/>
              </w:rPr>
            </w:pPr>
            <w:r w:rsidRPr="000F4A69">
              <w:rPr>
                <w:rFonts w:eastAsia="Calibri"/>
                <w:lang w:eastAsia="en-US"/>
              </w:rPr>
              <w:t xml:space="preserve">35 yrs 11 mths </w:t>
            </w:r>
          </w:p>
          <w:p w14:paraId="317966E7" w14:textId="77777777" w:rsidR="00C13A07" w:rsidRPr="000F4A69" w:rsidRDefault="00C13A07" w:rsidP="009C2BA2">
            <w:pPr>
              <w:spacing w:after="120" w:line="276" w:lineRule="auto"/>
              <w:jc w:val="center"/>
              <w:rPr>
                <w:rFonts w:eastAsia="Calibri"/>
                <w:lang w:eastAsia="en-US"/>
              </w:rPr>
            </w:pPr>
            <w:r w:rsidRPr="000F4A69">
              <w:rPr>
                <w:rFonts w:eastAsia="Calibri"/>
                <w:lang w:eastAsia="en-US"/>
              </w:rPr>
              <w:t>(12yrs 1 mth)</w:t>
            </w:r>
          </w:p>
        </w:tc>
        <w:tc>
          <w:tcPr>
            <w:tcW w:w="2140" w:type="dxa"/>
            <w:shd w:val="clear" w:color="auto" w:fill="auto"/>
          </w:tcPr>
          <w:p w14:paraId="196D8097" w14:textId="77777777" w:rsidR="00C13A07" w:rsidRPr="000F4A69" w:rsidRDefault="00C13A07" w:rsidP="009C2BA2">
            <w:pPr>
              <w:spacing w:after="120" w:line="276" w:lineRule="auto"/>
              <w:jc w:val="center"/>
              <w:rPr>
                <w:rFonts w:eastAsia="Calibri"/>
                <w:lang w:eastAsia="en-US"/>
              </w:rPr>
            </w:pPr>
            <w:r w:rsidRPr="000F4A69">
              <w:rPr>
                <w:rFonts w:eastAsia="Calibri"/>
                <w:lang w:eastAsia="en-US"/>
              </w:rPr>
              <w:t>43 yrs 5 mths</w:t>
            </w:r>
          </w:p>
          <w:p w14:paraId="18EADE13" w14:textId="77777777" w:rsidR="00C13A07" w:rsidRPr="000F4A69" w:rsidRDefault="00C13A07" w:rsidP="009C2BA2">
            <w:pPr>
              <w:spacing w:after="120" w:line="276" w:lineRule="auto"/>
              <w:jc w:val="center"/>
              <w:rPr>
                <w:rFonts w:eastAsia="Calibri"/>
                <w:lang w:eastAsia="en-US"/>
              </w:rPr>
            </w:pPr>
            <w:r w:rsidRPr="000F4A69">
              <w:rPr>
                <w:rFonts w:eastAsia="Calibri"/>
                <w:lang w:eastAsia="en-US"/>
              </w:rPr>
              <w:t>(14yrs 11 mths)</w:t>
            </w:r>
          </w:p>
        </w:tc>
        <w:tc>
          <w:tcPr>
            <w:tcW w:w="2363" w:type="dxa"/>
            <w:shd w:val="clear" w:color="auto" w:fill="auto"/>
          </w:tcPr>
          <w:p w14:paraId="055641BE" w14:textId="77777777" w:rsidR="00C13A07" w:rsidRPr="000F4A69" w:rsidRDefault="00C13A07" w:rsidP="009C2BA2">
            <w:pPr>
              <w:spacing w:after="120" w:line="276" w:lineRule="auto"/>
              <w:jc w:val="center"/>
              <w:rPr>
                <w:rFonts w:eastAsia="Calibri"/>
                <w:lang w:eastAsia="en-US"/>
              </w:rPr>
            </w:pPr>
            <w:r w:rsidRPr="000F4A69">
              <w:rPr>
                <w:rFonts w:eastAsia="Calibri"/>
                <w:lang w:eastAsia="en-US"/>
              </w:rPr>
              <w:t xml:space="preserve">33 yrs 6 mths </w:t>
            </w:r>
          </w:p>
          <w:p w14:paraId="5924CA66" w14:textId="77777777" w:rsidR="00C13A07" w:rsidRPr="000F4A69" w:rsidRDefault="00C13A07" w:rsidP="009C2BA2">
            <w:pPr>
              <w:spacing w:after="120" w:line="276" w:lineRule="auto"/>
              <w:jc w:val="center"/>
              <w:rPr>
                <w:rFonts w:eastAsia="Calibri"/>
                <w:lang w:eastAsia="en-US"/>
              </w:rPr>
            </w:pPr>
            <w:r w:rsidRPr="000F4A69">
              <w:rPr>
                <w:rFonts w:eastAsia="Calibri"/>
                <w:lang w:eastAsia="en-US"/>
              </w:rPr>
              <w:t>(10 yrs 5 mths)</w:t>
            </w:r>
          </w:p>
        </w:tc>
      </w:tr>
    </w:tbl>
    <w:p w14:paraId="7E47390F" w14:textId="77777777" w:rsidR="00C13A07" w:rsidRPr="000F4A69" w:rsidRDefault="00C13A07" w:rsidP="0024372B">
      <w:pPr>
        <w:spacing w:after="120"/>
        <w:rPr>
          <w:b/>
        </w:rPr>
      </w:pPr>
    </w:p>
    <w:p w14:paraId="0D64ED9D" w14:textId="77777777" w:rsidR="00C13A07" w:rsidRPr="000F4A69" w:rsidRDefault="00C13A07" w:rsidP="0024372B">
      <w:pPr>
        <w:rPr>
          <w:b/>
        </w:rPr>
      </w:pPr>
      <w:r w:rsidRPr="000F4A69">
        <w:rPr>
          <w:b/>
        </w:rPr>
        <w:br w:type="page"/>
      </w:r>
    </w:p>
    <w:p w14:paraId="73FC4892" w14:textId="060868B3" w:rsidR="00C13A07" w:rsidRPr="000F4A69" w:rsidRDefault="00C13A07" w:rsidP="00D62676">
      <w:pPr>
        <w:spacing w:line="276" w:lineRule="auto"/>
      </w:pPr>
      <w:r w:rsidRPr="000F4A69">
        <w:lastRenderedPageBreak/>
        <w:t>Table 2:</w:t>
      </w:r>
      <w:r w:rsidRPr="000F4A69">
        <w:tab/>
        <w:t xml:space="preserve">Measures of fatigue and related symptoms for the DCD, CFS, and </w:t>
      </w:r>
      <w:r w:rsidR="009934B4" w:rsidRPr="000F4A69">
        <w:t xml:space="preserve">TD </w:t>
      </w:r>
      <w:r w:rsidRPr="000F4A69">
        <w:t xml:space="preserve">groups (scores are the means with s.e.m. in parenthesis) </w:t>
      </w:r>
    </w:p>
    <w:tbl>
      <w:tblPr>
        <w:tblW w:w="0" w:type="auto"/>
        <w:tblBorders>
          <w:top w:val="double" w:sz="4" w:space="0" w:color="auto"/>
          <w:bottom w:val="double" w:sz="4" w:space="0" w:color="auto"/>
          <w:insideH w:val="single" w:sz="4" w:space="0" w:color="auto"/>
        </w:tblBorders>
        <w:tblLook w:val="04A0" w:firstRow="1" w:lastRow="0" w:firstColumn="1" w:lastColumn="0" w:noHBand="0" w:noVBand="1"/>
      </w:tblPr>
      <w:tblGrid>
        <w:gridCol w:w="2315"/>
        <w:gridCol w:w="1650"/>
        <w:gridCol w:w="1517"/>
        <w:gridCol w:w="1382"/>
        <w:gridCol w:w="1635"/>
      </w:tblGrid>
      <w:tr w:rsidR="000F4A69" w:rsidRPr="000F4A69" w14:paraId="28F7D561" w14:textId="77777777" w:rsidTr="009C2BA2">
        <w:tc>
          <w:tcPr>
            <w:tcW w:w="2376" w:type="dxa"/>
            <w:shd w:val="clear" w:color="auto" w:fill="auto"/>
          </w:tcPr>
          <w:p w14:paraId="3078ED25" w14:textId="77777777" w:rsidR="00C13A07" w:rsidRPr="000F4A69" w:rsidRDefault="00C13A07" w:rsidP="009C2BA2">
            <w:pPr>
              <w:spacing w:after="120" w:line="276" w:lineRule="auto"/>
              <w:rPr>
                <w:rFonts w:eastAsia="Calibri"/>
                <w:lang w:eastAsia="en-US"/>
              </w:rPr>
            </w:pPr>
          </w:p>
        </w:tc>
        <w:tc>
          <w:tcPr>
            <w:tcW w:w="1701" w:type="dxa"/>
            <w:shd w:val="clear" w:color="auto" w:fill="auto"/>
          </w:tcPr>
          <w:p w14:paraId="2A2E71B2" w14:textId="77777777" w:rsidR="00C13A07" w:rsidRPr="000F4A69" w:rsidRDefault="00C13A07" w:rsidP="009C2BA2">
            <w:pPr>
              <w:spacing w:after="120" w:line="276" w:lineRule="auto"/>
              <w:jc w:val="center"/>
              <w:rPr>
                <w:rFonts w:eastAsia="Calibri"/>
                <w:lang w:eastAsia="en-US"/>
              </w:rPr>
            </w:pPr>
            <w:r w:rsidRPr="000F4A69">
              <w:rPr>
                <w:rFonts w:eastAsia="Calibri"/>
                <w:lang w:eastAsia="en-US"/>
              </w:rPr>
              <w:t>DCD</w:t>
            </w:r>
          </w:p>
        </w:tc>
        <w:tc>
          <w:tcPr>
            <w:tcW w:w="1560" w:type="dxa"/>
            <w:shd w:val="clear" w:color="auto" w:fill="auto"/>
          </w:tcPr>
          <w:p w14:paraId="52CC778E" w14:textId="77777777" w:rsidR="00C13A07" w:rsidRPr="000F4A69" w:rsidRDefault="00C13A07" w:rsidP="009C2BA2">
            <w:pPr>
              <w:spacing w:after="120" w:line="276" w:lineRule="auto"/>
              <w:jc w:val="center"/>
              <w:rPr>
                <w:rFonts w:eastAsia="Calibri"/>
                <w:lang w:eastAsia="en-US"/>
              </w:rPr>
            </w:pPr>
            <w:r w:rsidRPr="000F4A69">
              <w:rPr>
                <w:rFonts w:eastAsia="Calibri"/>
                <w:lang w:eastAsia="en-US"/>
              </w:rPr>
              <w:t>CFS</w:t>
            </w:r>
          </w:p>
        </w:tc>
        <w:tc>
          <w:tcPr>
            <w:tcW w:w="1417" w:type="dxa"/>
            <w:shd w:val="clear" w:color="auto" w:fill="auto"/>
          </w:tcPr>
          <w:p w14:paraId="09135DC7" w14:textId="44B07525" w:rsidR="00C13A07" w:rsidRPr="000F4A69" w:rsidRDefault="009934B4" w:rsidP="009C2BA2">
            <w:pPr>
              <w:spacing w:after="120" w:line="276" w:lineRule="auto"/>
              <w:jc w:val="center"/>
              <w:rPr>
                <w:rFonts w:eastAsia="Calibri"/>
                <w:lang w:eastAsia="en-US"/>
              </w:rPr>
            </w:pPr>
            <w:r w:rsidRPr="000F4A69">
              <w:t>TD</w:t>
            </w:r>
          </w:p>
        </w:tc>
        <w:tc>
          <w:tcPr>
            <w:tcW w:w="1661" w:type="dxa"/>
            <w:shd w:val="clear" w:color="auto" w:fill="auto"/>
          </w:tcPr>
          <w:p w14:paraId="470150F1" w14:textId="77777777" w:rsidR="00C13A07" w:rsidRPr="000F4A69" w:rsidRDefault="00C13A07" w:rsidP="009C2BA2">
            <w:pPr>
              <w:spacing w:after="120" w:line="276" w:lineRule="auto"/>
              <w:jc w:val="center"/>
              <w:rPr>
                <w:rFonts w:eastAsia="Calibri"/>
                <w:lang w:eastAsia="en-US"/>
              </w:rPr>
            </w:pPr>
            <w:r w:rsidRPr="000F4A69">
              <w:rPr>
                <w:rFonts w:eastAsia="Calibri"/>
                <w:lang w:eastAsia="en-US"/>
              </w:rPr>
              <w:t>Group effect</w:t>
            </w:r>
          </w:p>
          <w:p w14:paraId="188B097E" w14:textId="77777777" w:rsidR="00C13A07" w:rsidRPr="000F4A69" w:rsidRDefault="00C13A07" w:rsidP="009C2BA2">
            <w:pPr>
              <w:spacing w:after="120" w:line="276" w:lineRule="auto"/>
              <w:jc w:val="center"/>
              <w:rPr>
                <w:rFonts w:eastAsia="Calibri"/>
                <w:lang w:eastAsia="en-US"/>
              </w:rPr>
            </w:pPr>
            <w:r w:rsidRPr="000F4A69">
              <w:rPr>
                <w:rFonts w:eastAsia="Calibri"/>
                <w:lang w:eastAsia="en-US"/>
              </w:rPr>
              <w:t>(df = 2, 161)</w:t>
            </w:r>
          </w:p>
        </w:tc>
      </w:tr>
      <w:tr w:rsidR="000F4A69" w:rsidRPr="000F4A69" w14:paraId="1D7C7EB9" w14:textId="77777777" w:rsidTr="009C2BA2">
        <w:tc>
          <w:tcPr>
            <w:tcW w:w="2376" w:type="dxa"/>
            <w:shd w:val="clear" w:color="auto" w:fill="auto"/>
          </w:tcPr>
          <w:p w14:paraId="46C1C354" w14:textId="77777777" w:rsidR="00C13A07" w:rsidRPr="000F4A69" w:rsidRDefault="00C13A07" w:rsidP="009C2BA2">
            <w:pPr>
              <w:spacing w:after="120" w:line="276" w:lineRule="auto"/>
              <w:rPr>
                <w:rFonts w:eastAsia="Calibri"/>
                <w:lang w:val="fr-FR" w:eastAsia="en-US"/>
              </w:rPr>
            </w:pPr>
            <w:r w:rsidRPr="000F4A69">
              <w:rPr>
                <w:rFonts w:eastAsia="Calibri"/>
                <w:lang w:val="fr-FR" w:eastAsia="en-US"/>
              </w:rPr>
              <w:t>PFRS:</w:t>
            </w:r>
          </w:p>
          <w:p w14:paraId="126F463C" w14:textId="77777777" w:rsidR="00C13A07" w:rsidRPr="000F4A69" w:rsidRDefault="00C13A07" w:rsidP="009C2BA2">
            <w:pPr>
              <w:spacing w:after="120" w:line="276" w:lineRule="auto"/>
              <w:rPr>
                <w:rFonts w:eastAsia="Calibri"/>
                <w:lang w:val="fr-FR" w:eastAsia="en-US"/>
              </w:rPr>
            </w:pPr>
            <w:r w:rsidRPr="000F4A69">
              <w:rPr>
                <w:rFonts w:eastAsia="Calibri"/>
                <w:lang w:val="fr-FR" w:eastAsia="en-US"/>
              </w:rPr>
              <w:t>Cognitive difficulties</w:t>
            </w:r>
          </w:p>
          <w:p w14:paraId="51E621AB" w14:textId="77777777" w:rsidR="00D62676" w:rsidRPr="000F4A69" w:rsidRDefault="00D62676" w:rsidP="009C2BA2">
            <w:pPr>
              <w:spacing w:after="120" w:line="276" w:lineRule="auto"/>
              <w:rPr>
                <w:rFonts w:eastAsia="Calibri"/>
                <w:lang w:val="fr-FR" w:eastAsia="en-US"/>
              </w:rPr>
            </w:pPr>
          </w:p>
          <w:p w14:paraId="04A68DF8" w14:textId="77777777" w:rsidR="00C13A07" w:rsidRPr="000F4A69" w:rsidRDefault="00C13A07" w:rsidP="009C2BA2">
            <w:pPr>
              <w:spacing w:after="120" w:line="276" w:lineRule="auto"/>
              <w:rPr>
                <w:rFonts w:eastAsia="Calibri"/>
                <w:lang w:val="fr-FR" w:eastAsia="en-US"/>
              </w:rPr>
            </w:pPr>
            <w:r w:rsidRPr="000F4A69">
              <w:rPr>
                <w:rFonts w:eastAsia="Calibri"/>
                <w:lang w:val="fr-FR" w:eastAsia="en-US"/>
              </w:rPr>
              <w:t>Fatigue</w:t>
            </w:r>
          </w:p>
          <w:p w14:paraId="04A10557" w14:textId="77777777" w:rsidR="00D62676" w:rsidRPr="000F4A69" w:rsidRDefault="00D62676" w:rsidP="009C2BA2">
            <w:pPr>
              <w:spacing w:after="120" w:line="276" w:lineRule="auto"/>
              <w:rPr>
                <w:rFonts w:eastAsia="Calibri"/>
                <w:lang w:val="fr-FR" w:eastAsia="en-US"/>
              </w:rPr>
            </w:pPr>
          </w:p>
          <w:p w14:paraId="30568E75" w14:textId="77777777" w:rsidR="00C13A07" w:rsidRPr="000F4A69" w:rsidRDefault="00C13A07" w:rsidP="009C2BA2">
            <w:pPr>
              <w:spacing w:after="120" w:line="276" w:lineRule="auto"/>
              <w:rPr>
                <w:rFonts w:eastAsia="Calibri"/>
                <w:lang w:val="fr-FR" w:eastAsia="en-US"/>
              </w:rPr>
            </w:pPr>
            <w:r w:rsidRPr="000F4A69">
              <w:rPr>
                <w:rFonts w:eastAsia="Calibri"/>
                <w:lang w:val="fr-FR" w:eastAsia="en-US"/>
              </w:rPr>
              <w:t>Emotional distress</w:t>
            </w:r>
          </w:p>
          <w:p w14:paraId="03A3ECA8" w14:textId="77777777" w:rsidR="00D62676" w:rsidRPr="000F4A69" w:rsidRDefault="00D62676" w:rsidP="009C2BA2">
            <w:pPr>
              <w:spacing w:after="120" w:line="276" w:lineRule="auto"/>
              <w:rPr>
                <w:rFonts w:eastAsia="Calibri"/>
                <w:lang w:eastAsia="en-US"/>
              </w:rPr>
            </w:pPr>
          </w:p>
          <w:p w14:paraId="42BAADD1" w14:textId="77777777" w:rsidR="00C13A07" w:rsidRPr="000F4A69" w:rsidRDefault="00C13A07" w:rsidP="009C2BA2">
            <w:pPr>
              <w:spacing w:after="120" w:line="276" w:lineRule="auto"/>
              <w:rPr>
                <w:rFonts w:eastAsia="Calibri"/>
                <w:lang w:eastAsia="en-US"/>
              </w:rPr>
            </w:pPr>
            <w:r w:rsidRPr="000F4A69">
              <w:rPr>
                <w:rFonts w:eastAsia="Calibri"/>
                <w:lang w:eastAsia="en-US"/>
              </w:rPr>
              <w:t>Somatic symptoms</w:t>
            </w:r>
          </w:p>
        </w:tc>
        <w:tc>
          <w:tcPr>
            <w:tcW w:w="1701" w:type="dxa"/>
            <w:shd w:val="clear" w:color="auto" w:fill="auto"/>
          </w:tcPr>
          <w:p w14:paraId="0EAAFB07" w14:textId="77777777" w:rsidR="00C13A07" w:rsidRPr="000F4A69" w:rsidRDefault="00C13A07" w:rsidP="009C2BA2">
            <w:pPr>
              <w:spacing w:after="120" w:line="276" w:lineRule="auto"/>
              <w:jc w:val="center"/>
              <w:rPr>
                <w:rFonts w:eastAsia="Calibri"/>
                <w:lang w:eastAsia="en-US"/>
              </w:rPr>
            </w:pPr>
          </w:p>
          <w:p w14:paraId="506CF5B0" w14:textId="77777777" w:rsidR="00C13A07" w:rsidRPr="000F4A69" w:rsidRDefault="00C13A07" w:rsidP="009C2BA2">
            <w:pPr>
              <w:spacing w:after="120" w:line="276" w:lineRule="auto"/>
              <w:jc w:val="center"/>
              <w:rPr>
                <w:rFonts w:eastAsia="Calibri"/>
                <w:lang w:eastAsia="en-US"/>
              </w:rPr>
            </w:pPr>
            <w:r w:rsidRPr="000F4A69">
              <w:rPr>
                <w:rFonts w:eastAsia="Calibri"/>
                <w:lang w:eastAsia="en-US"/>
              </w:rPr>
              <w:t>45.20 (2.33)</w:t>
            </w:r>
          </w:p>
          <w:p w14:paraId="7F1A38FA" w14:textId="77777777" w:rsidR="00D62676" w:rsidRPr="000F4A69" w:rsidRDefault="00D62676" w:rsidP="009C2BA2">
            <w:pPr>
              <w:spacing w:after="120" w:line="276" w:lineRule="auto"/>
              <w:jc w:val="center"/>
              <w:rPr>
                <w:rFonts w:eastAsia="Calibri"/>
                <w:lang w:eastAsia="en-US"/>
              </w:rPr>
            </w:pPr>
          </w:p>
          <w:p w14:paraId="2C08B912" w14:textId="77777777" w:rsidR="00C13A07" w:rsidRPr="000F4A69" w:rsidRDefault="00C13A07" w:rsidP="009C2BA2">
            <w:pPr>
              <w:spacing w:after="120" w:line="276" w:lineRule="auto"/>
              <w:jc w:val="center"/>
              <w:rPr>
                <w:rFonts w:eastAsia="Calibri"/>
                <w:lang w:eastAsia="en-US"/>
              </w:rPr>
            </w:pPr>
            <w:r w:rsidRPr="000F4A69">
              <w:rPr>
                <w:rFonts w:eastAsia="Calibri"/>
                <w:lang w:eastAsia="en-US"/>
              </w:rPr>
              <w:t>49.32 (2.56)</w:t>
            </w:r>
          </w:p>
          <w:p w14:paraId="65B0B0E4" w14:textId="77777777" w:rsidR="00D62676" w:rsidRPr="000F4A69" w:rsidRDefault="00D62676" w:rsidP="009C2BA2">
            <w:pPr>
              <w:spacing w:after="120" w:line="276" w:lineRule="auto"/>
              <w:jc w:val="center"/>
              <w:rPr>
                <w:rFonts w:eastAsia="Calibri"/>
                <w:lang w:eastAsia="en-US"/>
              </w:rPr>
            </w:pPr>
          </w:p>
          <w:p w14:paraId="467F145D" w14:textId="77777777" w:rsidR="00C13A07" w:rsidRPr="000F4A69" w:rsidRDefault="00C13A07" w:rsidP="009C2BA2">
            <w:pPr>
              <w:spacing w:after="120" w:line="276" w:lineRule="auto"/>
              <w:jc w:val="center"/>
              <w:rPr>
                <w:rFonts w:eastAsia="Calibri"/>
                <w:lang w:eastAsia="en-US"/>
              </w:rPr>
            </w:pPr>
            <w:r w:rsidRPr="000F4A69">
              <w:rPr>
                <w:rFonts w:eastAsia="Calibri"/>
                <w:lang w:eastAsia="en-US"/>
              </w:rPr>
              <w:t>59.43 (3.71)</w:t>
            </w:r>
          </w:p>
          <w:p w14:paraId="143CFF17" w14:textId="77777777" w:rsidR="00D62676" w:rsidRPr="000F4A69" w:rsidRDefault="00D62676" w:rsidP="009C2BA2">
            <w:pPr>
              <w:spacing w:after="120" w:line="276" w:lineRule="auto"/>
              <w:jc w:val="center"/>
              <w:rPr>
                <w:rFonts w:eastAsia="Calibri"/>
                <w:lang w:eastAsia="en-US"/>
              </w:rPr>
            </w:pPr>
          </w:p>
          <w:p w14:paraId="0312DDE4" w14:textId="77777777" w:rsidR="00C13A07" w:rsidRPr="000F4A69" w:rsidRDefault="00C13A07" w:rsidP="009C2BA2">
            <w:pPr>
              <w:spacing w:after="120" w:line="276" w:lineRule="auto"/>
              <w:jc w:val="center"/>
              <w:rPr>
                <w:rFonts w:eastAsia="Calibri"/>
                <w:lang w:eastAsia="en-US"/>
              </w:rPr>
            </w:pPr>
            <w:r w:rsidRPr="000F4A69">
              <w:rPr>
                <w:rFonts w:eastAsia="Calibri"/>
                <w:lang w:eastAsia="en-US"/>
              </w:rPr>
              <w:t>44.27 (3.01)</w:t>
            </w:r>
          </w:p>
        </w:tc>
        <w:tc>
          <w:tcPr>
            <w:tcW w:w="1560" w:type="dxa"/>
            <w:shd w:val="clear" w:color="auto" w:fill="auto"/>
          </w:tcPr>
          <w:p w14:paraId="05D720B7" w14:textId="77777777" w:rsidR="00C13A07" w:rsidRPr="000F4A69" w:rsidRDefault="00C13A07" w:rsidP="009C2BA2">
            <w:pPr>
              <w:spacing w:after="120" w:line="276" w:lineRule="auto"/>
              <w:jc w:val="center"/>
              <w:rPr>
                <w:rFonts w:eastAsia="Calibri"/>
                <w:lang w:eastAsia="en-US"/>
              </w:rPr>
            </w:pPr>
          </w:p>
          <w:p w14:paraId="290EB864" w14:textId="77777777" w:rsidR="00C13A07" w:rsidRPr="000F4A69" w:rsidRDefault="00C13A07" w:rsidP="009C2BA2">
            <w:pPr>
              <w:spacing w:after="120" w:line="276" w:lineRule="auto"/>
              <w:jc w:val="center"/>
              <w:rPr>
                <w:rFonts w:eastAsia="Calibri"/>
                <w:lang w:eastAsia="en-US"/>
              </w:rPr>
            </w:pPr>
            <w:r w:rsidRPr="000F4A69">
              <w:rPr>
                <w:rFonts w:eastAsia="Calibri"/>
                <w:lang w:eastAsia="en-US"/>
              </w:rPr>
              <w:t>51.48 (1.79)</w:t>
            </w:r>
          </w:p>
          <w:p w14:paraId="34C4AFBB" w14:textId="77777777" w:rsidR="00D62676" w:rsidRPr="000F4A69" w:rsidRDefault="00D62676" w:rsidP="009C2BA2">
            <w:pPr>
              <w:spacing w:after="120" w:line="276" w:lineRule="auto"/>
              <w:jc w:val="center"/>
              <w:rPr>
                <w:rFonts w:eastAsia="Calibri"/>
                <w:lang w:eastAsia="en-US"/>
              </w:rPr>
            </w:pPr>
          </w:p>
          <w:p w14:paraId="78967A99" w14:textId="77777777" w:rsidR="00C13A07" w:rsidRPr="000F4A69" w:rsidRDefault="00C13A07" w:rsidP="009C2BA2">
            <w:pPr>
              <w:spacing w:after="120" w:line="276" w:lineRule="auto"/>
              <w:jc w:val="center"/>
              <w:rPr>
                <w:rFonts w:eastAsia="Calibri"/>
                <w:lang w:eastAsia="en-US"/>
              </w:rPr>
            </w:pPr>
            <w:r w:rsidRPr="000F4A69">
              <w:rPr>
                <w:rFonts w:eastAsia="Calibri"/>
                <w:lang w:eastAsia="en-US"/>
              </w:rPr>
              <w:t>70.36 (1.96)</w:t>
            </w:r>
          </w:p>
          <w:p w14:paraId="3FEA4A16" w14:textId="77777777" w:rsidR="00D62676" w:rsidRPr="000F4A69" w:rsidRDefault="00D62676" w:rsidP="009C2BA2">
            <w:pPr>
              <w:spacing w:after="120" w:line="276" w:lineRule="auto"/>
              <w:jc w:val="center"/>
              <w:rPr>
                <w:rFonts w:eastAsia="Calibri"/>
                <w:lang w:eastAsia="en-US"/>
              </w:rPr>
            </w:pPr>
          </w:p>
          <w:p w14:paraId="1A291206" w14:textId="77777777" w:rsidR="00C13A07" w:rsidRPr="000F4A69" w:rsidRDefault="00C13A07" w:rsidP="009C2BA2">
            <w:pPr>
              <w:spacing w:after="120" w:line="276" w:lineRule="auto"/>
              <w:jc w:val="center"/>
              <w:rPr>
                <w:rFonts w:eastAsia="Calibri"/>
                <w:lang w:eastAsia="en-US"/>
              </w:rPr>
            </w:pPr>
            <w:r w:rsidRPr="000F4A69">
              <w:rPr>
                <w:rFonts w:eastAsia="Calibri"/>
                <w:lang w:eastAsia="en-US"/>
              </w:rPr>
              <w:t>57.96 (2.84)</w:t>
            </w:r>
          </w:p>
          <w:p w14:paraId="34A53677" w14:textId="77777777" w:rsidR="00D62676" w:rsidRPr="000F4A69" w:rsidRDefault="00D62676" w:rsidP="009C2BA2">
            <w:pPr>
              <w:spacing w:after="120" w:line="276" w:lineRule="auto"/>
              <w:jc w:val="center"/>
              <w:rPr>
                <w:rFonts w:eastAsia="Calibri"/>
                <w:lang w:eastAsia="en-US"/>
              </w:rPr>
            </w:pPr>
          </w:p>
          <w:p w14:paraId="4127353E" w14:textId="77777777" w:rsidR="00C13A07" w:rsidRPr="000F4A69" w:rsidRDefault="00C13A07" w:rsidP="009C2BA2">
            <w:pPr>
              <w:spacing w:after="120" w:line="276" w:lineRule="auto"/>
              <w:jc w:val="center"/>
              <w:rPr>
                <w:rFonts w:eastAsia="Calibri"/>
                <w:lang w:eastAsia="en-US"/>
              </w:rPr>
            </w:pPr>
            <w:r w:rsidRPr="000F4A69">
              <w:rPr>
                <w:rFonts w:eastAsia="Calibri"/>
                <w:lang w:eastAsia="en-US"/>
              </w:rPr>
              <w:t>64.37 (2.30)</w:t>
            </w:r>
          </w:p>
        </w:tc>
        <w:tc>
          <w:tcPr>
            <w:tcW w:w="1417" w:type="dxa"/>
            <w:shd w:val="clear" w:color="auto" w:fill="auto"/>
          </w:tcPr>
          <w:p w14:paraId="18326657" w14:textId="77777777" w:rsidR="00C13A07" w:rsidRPr="000F4A69" w:rsidRDefault="00C13A07" w:rsidP="009C2BA2">
            <w:pPr>
              <w:spacing w:after="120" w:line="276" w:lineRule="auto"/>
              <w:jc w:val="center"/>
              <w:rPr>
                <w:rFonts w:eastAsia="Calibri"/>
                <w:lang w:eastAsia="en-US"/>
              </w:rPr>
            </w:pPr>
          </w:p>
          <w:p w14:paraId="608CD0C6" w14:textId="77777777" w:rsidR="00C13A07" w:rsidRPr="000F4A69" w:rsidRDefault="00C13A07" w:rsidP="009C2BA2">
            <w:pPr>
              <w:spacing w:after="120" w:line="276" w:lineRule="auto"/>
              <w:jc w:val="center"/>
              <w:rPr>
                <w:rFonts w:eastAsia="Calibri"/>
                <w:lang w:eastAsia="en-US"/>
              </w:rPr>
            </w:pPr>
            <w:r w:rsidRPr="000F4A69">
              <w:rPr>
                <w:rFonts w:eastAsia="Calibri"/>
                <w:lang w:eastAsia="en-US"/>
              </w:rPr>
              <w:t>24.13 (2.31)</w:t>
            </w:r>
          </w:p>
          <w:p w14:paraId="15322C7A" w14:textId="77777777" w:rsidR="00D62676" w:rsidRPr="000F4A69" w:rsidRDefault="00D62676" w:rsidP="009C2BA2">
            <w:pPr>
              <w:spacing w:after="120" w:line="276" w:lineRule="auto"/>
              <w:jc w:val="center"/>
              <w:rPr>
                <w:rFonts w:eastAsia="Calibri"/>
                <w:lang w:eastAsia="en-US"/>
              </w:rPr>
            </w:pPr>
          </w:p>
          <w:p w14:paraId="40E0F10E" w14:textId="77777777" w:rsidR="00C13A07" w:rsidRPr="000F4A69" w:rsidRDefault="00C13A07" w:rsidP="009C2BA2">
            <w:pPr>
              <w:spacing w:after="120" w:line="276" w:lineRule="auto"/>
              <w:jc w:val="center"/>
              <w:rPr>
                <w:rFonts w:eastAsia="Calibri"/>
                <w:lang w:eastAsia="en-US"/>
              </w:rPr>
            </w:pPr>
            <w:r w:rsidRPr="000F4A69">
              <w:rPr>
                <w:rFonts w:eastAsia="Calibri"/>
                <w:lang w:eastAsia="en-US"/>
              </w:rPr>
              <w:t>28.47 (2.53)</w:t>
            </w:r>
          </w:p>
          <w:p w14:paraId="108C6A6C" w14:textId="77777777" w:rsidR="00D62676" w:rsidRPr="000F4A69" w:rsidRDefault="00D62676" w:rsidP="009C2BA2">
            <w:pPr>
              <w:spacing w:after="120" w:line="276" w:lineRule="auto"/>
              <w:jc w:val="center"/>
              <w:rPr>
                <w:rFonts w:eastAsia="Calibri"/>
                <w:lang w:eastAsia="en-US"/>
              </w:rPr>
            </w:pPr>
          </w:p>
          <w:p w14:paraId="75DB7DE2" w14:textId="77777777" w:rsidR="00C13A07" w:rsidRPr="000F4A69" w:rsidRDefault="00C13A07" w:rsidP="009C2BA2">
            <w:pPr>
              <w:spacing w:after="120" w:line="276" w:lineRule="auto"/>
              <w:jc w:val="center"/>
              <w:rPr>
                <w:rFonts w:eastAsia="Calibri"/>
                <w:lang w:eastAsia="en-US"/>
              </w:rPr>
            </w:pPr>
            <w:r w:rsidRPr="000F4A69">
              <w:rPr>
                <w:rFonts w:eastAsia="Calibri"/>
                <w:lang w:eastAsia="en-US"/>
              </w:rPr>
              <w:t>37.16 (3.67)</w:t>
            </w:r>
          </w:p>
          <w:p w14:paraId="00794057" w14:textId="77777777" w:rsidR="00D62676" w:rsidRPr="000F4A69" w:rsidRDefault="00D62676" w:rsidP="009C2BA2">
            <w:pPr>
              <w:spacing w:after="120" w:line="276" w:lineRule="auto"/>
              <w:jc w:val="center"/>
              <w:rPr>
                <w:rFonts w:eastAsia="Calibri"/>
                <w:lang w:eastAsia="en-US"/>
              </w:rPr>
            </w:pPr>
          </w:p>
          <w:p w14:paraId="46A5F92F" w14:textId="77777777" w:rsidR="00C13A07" w:rsidRPr="000F4A69" w:rsidRDefault="00C13A07" w:rsidP="009C2BA2">
            <w:pPr>
              <w:spacing w:after="120" w:line="276" w:lineRule="auto"/>
              <w:jc w:val="center"/>
              <w:rPr>
                <w:rFonts w:eastAsia="Calibri"/>
                <w:lang w:eastAsia="en-US"/>
              </w:rPr>
            </w:pPr>
            <w:r w:rsidRPr="000F4A69">
              <w:rPr>
                <w:rFonts w:eastAsia="Calibri"/>
                <w:lang w:eastAsia="en-US"/>
              </w:rPr>
              <w:t>30.38 (2.97)</w:t>
            </w:r>
          </w:p>
        </w:tc>
        <w:tc>
          <w:tcPr>
            <w:tcW w:w="1661" w:type="dxa"/>
            <w:shd w:val="clear" w:color="auto" w:fill="auto"/>
          </w:tcPr>
          <w:p w14:paraId="68556706" w14:textId="77777777" w:rsidR="00C13A07" w:rsidRPr="000F4A69" w:rsidRDefault="00C13A07" w:rsidP="009C2BA2">
            <w:pPr>
              <w:spacing w:after="120" w:line="276" w:lineRule="auto"/>
              <w:jc w:val="center"/>
              <w:rPr>
                <w:rFonts w:eastAsia="Calibri"/>
                <w:lang w:eastAsia="en-US"/>
              </w:rPr>
            </w:pPr>
          </w:p>
          <w:p w14:paraId="2F5E4C83" w14:textId="77777777" w:rsidR="00C13A07" w:rsidRPr="000F4A69" w:rsidRDefault="00C13A07" w:rsidP="009C2BA2">
            <w:pPr>
              <w:spacing w:after="120" w:line="276" w:lineRule="auto"/>
              <w:jc w:val="center"/>
              <w:rPr>
                <w:rFonts w:eastAsia="Calibri"/>
                <w:lang w:eastAsia="en-US"/>
              </w:rPr>
            </w:pPr>
            <w:r w:rsidRPr="000F4A69">
              <w:rPr>
                <w:rFonts w:eastAsia="Calibri"/>
                <w:lang w:eastAsia="en-US"/>
              </w:rPr>
              <w:t>F=44.903, p&lt;0.001</w:t>
            </w:r>
          </w:p>
          <w:p w14:paraId="4FAA16AE" w14:textId="77777777" w:rsidR="00C13A07" w:rsidRPr="000F4A69" w:rsidRDefault="00C13A07" w:rsidP="009C2BA2">
            <w:pPr>
              <w:spacing w:after="120" w:line="276" w:lineRule="auto"/>
              <w:jc w:val="center"/>
              <w:rPr>
                <w:rFonts w:eastAsia="Calibri"/>
                <w:lang w:eastAsia="en-US"/>
              </w:rPr>
            </w:pPr>
            <w:r w:rsidRPr="000F4A69">
              <w:rPr>
                <w:rFonts w:eastAsia="Calibri"/>
                <w:lang w:eastAsia="en-US"/>
              </w:rPr>
              <w:t>F=87.108, p&lt;0.001</w:t>
            </w:r>
          </w:p>
          <w:p w14:paraId="4B34E9ED" w14:textId="77777777" w:rsidR="00C13A07" w:rsidRPr="000F4A69" w:rsidRDefault="00C13A07" w:rsidP="009C2BA2">
            <w:pPr>
              <w:spacing w:after="120" w:line="276" w:lineRule="auto"/>
              <w:jc w:val="center"/>
              <w:rPr>
                <w:rFonts w:eastAsia="Calibri"/>
                <w:lang w:eastAsia="en-US"/>
              </w:rPr>
            </w:pPr>
            <w:r w:rsidRPr="000F4A69">
              <w:rPr>
                <w:rFonts w:eastAsia="Calibri"/>
                <w:lang w:eastAsia="en-US"/>
              </w:rPr>
              <w:t>F=12.339, p&lt;0.001</w:t>
            </w:r>
          </w:p>
          <w:p w14:paraId="47FF0556" w14:textId="77777777" w:rsidR="00C13A07" w:rsidRPr="000F4A69" w:rsidRDefault="00C13A07" w:rsidP="009C2BA2">
            <w:pPr>
              <w:spacing w:after="120" w:line="276" w:lineRule="auto"/>
              <w:jc w:val="center"/>
              <w:rPr>
                <w:rFonts w:eastAsia="Calibri"/>
                <w:lang w:eastAsia="en-US"/>
              </w:rPr>
            </w:pPr>
            <w:r w:rsidRPr="000F4A69">
              <w:rPr>
                <w:rFonts w:eastAsia="Calibri"/>
                <w:lang w:eastAsia="en-US"/>
              </w:rPr>
              <w:t>F=43.060, p&lt;0.001</w:t>
            </w:r>
          </w:p>
        </w:tc>
      </w:tr>
      <w:tr w:rsidR="000F4A69" w:rsidRPr="000F4A69" w14:paraId="3DB918A2" w14:textId="77777777" w:rsidTr="009C2BA2">
        <w:tc>
          <w:tcPr>
            <w:tcW w:w="2376" w:type="dxa"/>
            <w:shd w:val="clear" w:color="auto" w:fill="auto"/>
          </w:tcPr>
          <w:p w14:paraId="4C1647D0" w14:textId="77777777" w:rsidR="00C13A07" w:rsidRPr="000F4A69" w:rsidRDefault="00C13A07" w:rsidP="009C2BA2">
            <w:pPr>
              <w:spacing w:after="120" w:line="276" w:lineRule="auto"/>
              <w:rPr>
                <w:rFonts w:eastAsia="Calibri"/>
                <w:lang w:eastAsia="en-US"/>
              </w:rPr>
            </w:pPr>
            <w:r w:rsidRPr="000F4A69">
              <w:rPr>
                <w:rFonts w:eastAsia="Calibri"/>
                <w:lang w:eastAsia="en-US"/>
              </w:rPr>
              <w:t>Anxiety</w:t>
            </w:r>
          </w:p>
        </w:tc>
        <w:tc>
          <w:tcPr>
            <w:tcW w:w="1701" w:type="dxa"/>
            <w:shd w:val="clear" w:color="auto" w:fill="auto"/>
          </w:tcPr>
          <w:p w14:paraId="0DCDD0C8" w14:textId="77777777" w:rsidR="00C13A07" w:rsidRPr="000F4A69" w:rsidRDefault="00C13A07" w:rsidP="009C2BA2">
            <w:pPr>
              <w:spacing w:after="120" w:line="276" w:lineRule="auto"/>
              <w:jc w:val="center"/>
              <w:rPr>
                <w:rFonts w:eastAsia="Calibri"/>
                <w:lang w:eastAsia="en-US"/>
              </w:rPr>
            </w:pPr>
            <w:r w:rsidRPr="000F4A69">
              <w:rPr>
                <w:rFonts w:eastAsia="Calibri"/>
                <w:lang w:eastAsia="en-US"/>
              </w:rPr>
              <w:t>55.20 (1.90)</w:t>
            </w:r>
          </w:p>
        </w:tc>
        <w:tc>
          <w:tcPr>
            <w:tcW w:w="1560" w:type="dxa"/>
            <w:shd w:val="clear" w:color="auto" w:fill="auto"/>
          </w:tcPr>
          <w:p w14:paraId="2BCF3072" w14:textId="77777777" w:rsidR="00C13A07" w:rsidRPr="000F4A69" w:rsidRDefault="00C13A07" w:rsidP="009C2BA2">
            <w:pPr>
              <w:spacing w:after="120" w:line="276" w:lineRule="auto"/>
              <w:jc w:val="center"/>
              <w:rPr>
                <w:rFonts w:eastAsia="Calibri"/>
                <w:lang w:eastAsia="en-US"/>
              </w:rPr>
            </w:pPr>
            <w:r w:rsidRPr="000F4A69">
              <w:rPr>
                <w:rFonts w:eastAsia="Calibri"/>
                <w:lang w:eastAsia="en-US"/>
              </w:rPr>
              <w:t>54.49 (1.45)</w:t>
            </w:r>
          </w:p>
        </w:tc>
        <w:tc>
          <w:tcPr>
            <w:tcW w:w="1417" w:type="dxa"/>
            <w:shd w:val="clear" w:color="auto" w:fill="auto"/>
          </w:tcPr>
          <w:p w14:paraId="46824A33" w14:textId="77777777" w:rsidR="00C13A07" w:rsidRPr="000F4A69" w:rsidRDefault="00C13A07" w:rsidP="009C2BA2">
            <w:pPr>
              <w:spacing w:after="120" w:line="276" w:lineRule="auto"/>
              <w:jc w:val="center"/>
              <w:rPr>
                <w:rFonts w:eastAsia="Calibri"/>
                <w:lang w:eastAsia="en-US"/>
              </w:rPr>
            </w:pPr>
            <w:r w:rsidRPr="000F4A69">
              <w:rPr>
                <w:rFonts w:eastAsia="Calibri"/>
                <w:lang w:eastAsia="en-US"/>
              </w:rPr>
              <w:t>40.71 (1.87)</w:t>
            </w:r>
          </w:p>
        </w:tc>
        <w:tc>
          <w:tcPr>
            <w:tcW w:w="1661" w:type="dxa"/>
            <w:shd w:val="clear" w:color="auto" w:fill="auto"/>
          </w:tcPr>
          <w:p w14:paraId="0F6556A1" w14:textId="77777777" w:rsidR="00C13A07" w:rsidRPr="000F4A69" w:rsidRDefault="00C13A07" w:rsidP="009C2BA2">
            <w:pPr>
              <w:spacing w:after="120" w:line="276" w:lineRule="auto"/>
              <w:jc w:val="center"/>
              <w:rPr>
                <w:rFonts w:eastAsia="Calibri"/>
                <w:lang w:eastAsia="en-US"/>
              </w:rPr>
            </w:pPr>
            <w:r w:rsidRPr="000F4A69">
              <w:rPr>
                <w:rFonts w:eastAsia="Calibri"/>
                <w:lang w:eastAsia="en-US"/>
              </w:rPr>
              <w:t>F=20.398, p&lt;0.001</w:t>
            </w:r>
          </w:p>
        </w:tc>
      </w:tr>
      <w:tr w:rsidR="000F4A69" w:rsidRPr="000F4A69" w14:paraId="49AA642A" w14:textId="77777777" w:rsidTr="009C2BA2">
        <w:tc>
          <w:tcPr>
            <w:tcW w:w="2376" w:type="dxa"/>
            <w:shd w:val="clear" w:color="auto" w:fill="auto"/>
          </w:tcPr>
          <w:p w14:paraId="00F2D6E5" w14:textId="77777777" w:rsidR="00C13A07" w:rsidRPr="000F4A69" w:rsidRDefault="00C13A07" w:rsidP="009C2BA2">
            <w:pPr>
              <w:spacing w:after="120" w:line="276" w:lineRule="auto"/>
              <w:rPr>
                <w:rFonts w:eastAsia="Calibri"/>
                <w:lang w:eastAsia="en-US"/>
              </w:rPr>
            </w:pPr>
            <w:r w:rsidRPr="000F4A69">
              <w:rPr>
                <w:rFonts w:eastAsia="Calibri"/>
                <w:lang w:eastAsia="en-US"/>
              </w:rPr>
              <w:t>Depression</w:t>
            </w:r>
          </w:p>
        </w:tc>
        <w:tc>
          <w:tcPr>
            <w:tcW w:w="1701" w:type="dxa"/>
            <w:shd w:val="clear" w:color="auto" w:fill="auto"/>
          </w:tcPr>
          <w:p w14:paraId="7F2AD313" w14:textId="77777777" w:rsidR="00C13A07" w:rsidRPr="000F4A69" w:rsidRDefault="00C13A07" w:rsidP="009C2BA2">
            <w:pPr>
              <w:spacing w:after="120" w:line="276" w:lineRule="auto"/>
              <w:jc w:val="center"/>
              <w:rPr>
                <w:rFonts w:eastAsia="Calibri"/>
                <w:lang w:eastAsia="en-US"/>
              </w:rPr>
            </w:pPr>
            <w:r w:rsidRPr="000F4A69">
              <w:rPr>
                <w:rFonts w:eastAsia="Calibri"/>
                <w:lang w:eastAsia="en-US"/>
              </w:rPr>
              <w:t>48.52 (2.12)</w:t>
            </w:r>
          </w:p>
        </w:tc>
        <w:tc>
          <w:tcPr>
            <w:tcW w:w="1560" w:type="dxa"/>
            <w:shd w:val="clear" w:color="auto" w:fill="auto"/>
          </w:tcPr>
          <w:p w14:paraId="28F06F79" w14:textId="77777777" w:rsidR="00C13A07" w:rsidRPr="000F4A69" w:rsidRDefault="00C13A07" w:rsidP="009C2BA2">
            <w:pPr>
              <w:spacing w:after="120" w:line="276" w:lineRule="auto"/>
              <w:jc w:val="center"/>
              <w:rPr>
                <w:rFonts w:eastAsia="Calibri"/>
                <w:lang w:eastAsia="en-US"/>
              </w:rPr>
            </w:pPr>
            <w:r w:rsidRPr="000F4A69">
              <w:rPr>
                <w:rFonts w:eastAsia="Calibri"/>
                <w:lang w:eastAsia="en-US"/>
              </w:rPr>
              <w:t>48.73 (1.62)</w:t>
            </w:r>
          </w:p>
        </w:tc>
        <w:tc>
          <w:tcPr>
            <w:tcW w:w="1417" w:type="dxa"/>
            <w:shd w:val="clear" w:color="auto" w:fill="auto"/>
          </w:tcPr>
          <w:p w14:paraId="2AF145CE" w14:textId="77777777" w:rsidR="00C13A07" w:rsidRPr="000F4A69" w:rsidRDefault="00C13A07" w:rsidP="009C2BA2">
            <w:pPr>
              <w:spacing w:after="120" w:line="276" w:lineRule="auto"/>
              <w:jc w:val="center"/>
              <w:rPr>
                <w:rFonts w:eastAsia="Calibri"/>
                <w:lang w:eastAsia="en-US"/>
              </w:rPr>
            </w:pPr>
            <w:r w:rsidRPr="000F4A69">
              <w:rPr>
                <w:rFonts w:eastAsia="Calibri"/>
                <w:lang w:eastAsia="en-US"/>
              </w:rPr>
              <w:t>35.31 (2.09)</w:t>
            </w:r>
          </w:p>
        </w:tc>
        <w:tc>
          <w:tcPr>
            <w:tcW w:w="1661" w:type="dxa"/>
            <w:shd w:val="clear" w:color="auto" w:fill="auto"/>
          </w:tcPr>
          <w:p w14:paraId="050FC94E" w14:textId="77777777" w:rsidR="00C13A07" w:rsidRPr="000F4A69" w:rsidRDefault="00C13A07" w:rsidP="009C2BA2">
            <w:pPr>
              <w:spacing w:after="120" w:line="276" w:lineRule="auto"/>
              <w:jc w:val="center"/>
              <w:rPr>
                <w:rFonts w:eastAsia="Calibri"/>
                <w:lang w:eastAsia="en-US"/>
              </w:rPr>
            </w:pPr>
            <w:r w:rsidRPr="000F4A69">
              <w:rPr>
                <w:rFonts w:eastAsia="Calibri"/>
                <w:lang w:eastAsia="en-US"/>
              </w:rPr>
              <w:t>F=14.766, p&lt;0.001</w:t>
            </w:r>
          </w:p>
        </w:tc>
      </w:tr>
      <w:tr w:rsidR="000F4A69" w:rsidRPr="000F4A69" w14:paraId="2DC0D23F" w14:textId="77777777" w:rsidTr="009C2BA2">
        <w:tc>
          <w:tcPr>
            <w:tcW w:w="2376" w:type="dxa"/>
            <w:shd w:val="clear" w:color="auto" w:fill="auto"/>
          </w:tcPr>
          <w:p w14:paraId="28D18D41" w14:textId="77777777" w:rsidR="00C13A07" w:rsidRPr="000F4A69" w:rsidRDefault="00C13A07" w:rsidP="009C2BA2">
            <w:pPr>
              <w:spacing w:after="120" w:line="276" w:lineRule="auto"/>
              <w:rPr>
                <w:rFonts w:eastAsia="Calibri"/>
                <w:lang w:eastAsia="en-US"/>
              </w:rPr>
            </w:pPr>
            <w:r w:rsidRPr="000F4A69">
              <w:rPr>
                <w:rFonts w:eastAsia="Calibri"/>
                <w:lang w:eastAsia="en-US"/>
              </w:rPr>
              <w:t>Positive affect</w:t>
            </w:r>
          </w:p>
          <w:p w14:paraId="0A24C2F8" w14:textId="77777777" w:rsidR="00D62676" w:rsidRPr="000F4A69" w:rsidRDefault="00D62676" w:rsidP="009C2BA2">
            <w:pPr>
              <w:spacing w:after="120" w:line="276" w:lineRule="auto"/>
              <w:rPr>
                <w:rFonts w:eastAsia="Calibri"/>
                <w:lang w:eastAsia="en-US"/>
              </w:rPr>
            </w:pPr>
          </w:p>
          <w:p w14:paraId="3F585B17" w14:textId="77777777" w:rsidR="00C13A07" w:rsidRPr="000F4A69" w:rsidRDefault="00C13A07" w:rsidP="009C2BA2">
            <w:pPr>
              <w:spacing w:after="120" w:line="276" w:lineRule="auto"/>
              <w:rPr>
                <w:rFonts w:eastAsia="Calibri"/>
                <w:lang w:eastAsia="en-US"/>
              </w:rPr>
            </w:pPr>
            <w:r w:rsidRPr="000F4A69">
              <w:rPr>
                <w:rFonts w:eastAsia="Calibri"/>
                <w:lang w:eastAsia="en-US"/>
              </w:rPr>
              <w:t>Negative affect</w:t>
            </w:r>
          </w:p>
        </w:tc>
        <w:tc>
          <w:tcPr>
            <w:tcW w:w="1701" w:type="dxa"/>
            <w:shd w:val="clear" w:color="auto" w:fill="auto"/>
          </w:tcPr>
          <w:p w14:paraId="3BAB67A2" w14:textId="77777777" w:rsidR="00C13A07" w:rsidRPr="000F4A69" w:rsidRDefault="00C13A07" w:rsidP="009C2BA2">
            <w:pPr>
              <w:spacing w:after="120" w:line="276" w:lineRule="auto"/>
              <w:jc w:val="center"/>
              <w:rPr>
                <w:rFonts w:eastAsia="Calibri"/>
                <w:lang w:eastAsia="en-US"/>
              </w:rPr>
            </w:pPr>
            <w:r w:rsidRPr="000F4A69">
              <w:rPr>
                <w:rFonts w:eastAsia="Calibri"/>
                <w:lang w:eastAsia="en-US"/>
              </w:rPr>
              <w:t>25.95 (1.89)</w:t>
            </w:r>
          </w:p>
          <w:p w14:paraId="39B3895E" w14:textId="77777777" w:rsidR="00D62676" w:rsidRPr="000F4A69" w:rsidRDefault="00D62676" w:rsidP="009C2BA2">
            <w:pPr>
              <w:spacing w:after="120" w:line="276" w:lineRule="auto"/>
              <w:jc w:val="center"/>
              <w:rPr>
                <w:rFonts w:eastAsia="Calibri"/>
                <w:lang w:eastAsia="en-US"/>
              </w:rPr>
            </w:pPr>
          </w:p>
          <w:p w14:paraId="37A9BAFC" w14:textId="77777777" w:rsidR="00C13A07" w:rsidRPr="000F4A69" w:rsidRDefault="00C13A07" w:rsidP="009C2BA2">
            <w:pPr>
              <w:spacing w:after="120" w:line="276" w:lineRule="auto"/>
              <w:jc w:val="center"/>
              <w:rPr>
                <w:rFonts w:eastAsia="Calibri"/>
                <w:lang w:eastAsia="en-US"/>
              </w:rPr>
            </w:pPr>
            <w:r w:rsidRPr="000F4A69">
              <w:rPr>
                <w:rFonts w:eastAsia="Calibri"/>
                <w:lang w:eastAsia="en-US"/>
              </w:rPr>
              <w:t>29.39 (2.06)</w:t>
            </w:r>
          </w:p>
        </w:tc>
        <w:tc>
          <w:tcPr>
            <w:tcW w:w="1560" w:type="dxa"/>
            <w:shd w:val="clear" w:color="auto" w:fill="auto"/>
          </w:tcPr>
          <w:p w14:paraId="0577153D" w14:textId="77777777" w:rsidR="00C13A07" w:rsidRPr="000F4A69" w:rsidRDefault="00C13A07" w:rsidP="009C2BA2">
            <w:pPr>
              <w:spacing w:after="120" w:line="276" w:lineRule="auto"/>
              <w:jc w:val="center"/>
              <w:rPr>
                <w:rFonts w:eastAsia="Calibri"/>
                <w:lang w:eastAsia="en-US"/>
              </w:rPr>
            </w:pPr>
            <w:r w:rsidRPr="000F4A69">
              <w:rPr>
                <w:rFonts w:eastAsia="Calibri"/>
                <w:lang w:eastAsia="en-US"/>
              </w:rPr>
              <w:t>23.99 (1.45)</w:t>
            </w:r>
          </w:p>
          <w:p w14:paraId="447687C5" w14:textId="77777777" w:rsidR="00D62676" w:rsidRPr="000F4A69" w:rsidRDefault="00D62676" w:rsidP="009C2BA2">
            <w:pPr>
              <w:spacing w:after="120" w:line="276" w:lineRule="auto"/>
              <w:jc w:val="center"/>
              <w:rPr>
                <w:rFonts w:eastAsia="Calibri"/>
                <w:lang w:eastAsia="en-US"/>
              </w:rPr>
            </w:pPr>
          </w:p>
          <w:p w14:paraId="12437CC4" w14:textId="77777777" w:rsidR="00C13A07" w:rsidRPr="000F4A69" w:rsidRDefault="00C13A07" w:rsidP="009C2BA2">
            <w:pPr>
              <w:spacing w:after="120" w:line="276" w:lineRule="auto"/>
              <w:jc w:val="center"/>
              <w:rPr>
                <w:rFonts w:eastAsia="Calibri"/>
                <w:lang w:eastAsia="en-US"/>
              </w:rPr>
            </w:pPr>
            <w:r w:rsidRPr="000F4A69">
              <w:rPr>
                <w:rFonts w:eastAsia="Calibri"/>
                <w:lang w:eastAsia="en-US"/>
              </w:rPr>
              <w:t>28.75 (1.58)</w:t>
            </w:r>
          </w:p>
        </w:tc>
        <w:tc>
          <w:tcPr>
            <w:tcW w:w="1417" w:type="dxa"/>
            <w:shd w:val="clear" w:color="auto" w:fill="auto"/>
          </w:tcPr>
          <w:p w14:paraId="421629C5" w14:textId="77777777" w:rsidR="00C13A07" w:rsidRPr="000F4A69" w:rsidRDefault="00C13A07" w:rsidP="009C2BA2">
            <w:pPr>
              <w:spacing w:after="120" w:line="276" w:lineRule="auto"/>
              <w:jc w:val="center"/>
              <w:rPr>
                <w:rFonts w:eastAsia="Calibri"/>
                <w:lang w:eastAsia="en-US"/>
              </w:rPr>
            </w:pPr>
            <w:r w:rsidRPr="000F4A69">
              <w:rPr>
                <w:rFonts w:eastAsia="Calibri"/>
                <w:lang w:eastAsia="en-US"/>
              </w:rPr>
              <w:t>32.27 (1.87)</w:t>
            </w:r>
          </w:p>
          <w:p w14:paraId="674D37BE" w14:textId="77777777" w:rsidR="00D62676" w:rsidRPr="000F4A69" w:rsidRDefault="00D62676" w:rsidP="009C2BA2">
            <w:pPr>
              <w:spacing w:after="120" w:line="276" w:lineRule="auto"/>
              <w:jc w:val="center"/>
              <w:rPr>
                <w:rFonts w:eastAsia="Calibri"/>
                <w:lang w:eastAsia="en-US"/>
              </w:rPr>
            </w:pPr>
          </w:p>
          <w:p w14:paraId="18605150" w14:textId="77777777" w:rsidR="00C13A07" w:rsidRPr="000F4A69" w:rsidRDefault="00C13A07" w:rsidP="009C2BA2">
            <w:pPr>
              <w:spacing w:after="120" w:line="276" w:lineRule="auto"/>
              <w:jc w:val="center"/>
              <w:rPr>
                <w:rFonts w:eastAsia="Calibri"/>
                <w:lang w:eastAsia="en-US"/>
              </w:rPr>
            </w:pPr>
            <w:r w:rsidRPr="000F4A69">
              <w:rPr>
                <w:rFonts w:eastAsia="Calibri"/>
                <w:lang w:eastAsia="en-US"/>
              </w:rPr>
              <w:t>16.22 (2.04)</w:t>
            </w:r>
          </w:p>
        </w:tc>
        <w:tc>
          <w:tcPr>
            <w:tcW w:w="1661" w:type="dxa"/>
            <w:shd w:val="clear" w:color="auto" w:fill="auto"/>
          </w:tcPr>
          <w:p w14:paraId="421C2302" w14:textId="77777777" w:rsidR="00C13A07" w:rsidRPr="000F4A69" w:rsidRDefault="00C13A07" w:rsidP="009C2BA2">
            <w:pPr>
              <w:spacing w:after="120" w:line="276" w:lineRule="auto"/>
              <w:jc w:val="center"/>
              <w:rPr>
                <w:rFonts w:eastAsia="Calibri"/>
                <w:lang w:eastAsia="en-US"/>
              </w:rPr>
            </w:pPr>
            <w:r w:rsidRPr="000F4A69">
              <w:rPr>
                <w:rFonts w:eastAsia="Calibri"/>
                <w:lang w:eastAsia="en-US"/>
              </w:rPr>
              <w:t>F=6.262, p&lt;0.01</w:t>
            </w:r>
          </w:p>
          <w:p w14:paraId="4C77DF5D" w14:textId="77777777" w:rsidR="00C13A07" w:rsidRPr="000F4A69" w:rsidRDefault="00C13A07" w:rsidP="009C2BA2">
            <w:pPr>
              <w:spacing w:after="120" w:line="276" w:lineRule="auto"/>
              <w:jc w:val="center"/>
              <w:rPr>
                <w:rFonts w:eastAsia="Calibri"/>
                <w:lang w:eastAsia="en-US"/>
              </w:rPr>
            </w:pPr>
            <w:r w:rsidRPr="000F4A69">
              <w:rPr>
                <w:rFonts w:eastAsia="Calibri"/>
                <w:lang w:eastAsia="en-US"/>
              </w:rPr>
              <w:t>F=14.231, p&lt;0.001</w:t>
            </w:r>
          </w:p>
        </w:tc>
      </w:tr>
      <w:tr w:rsidR="000F4A69" w:rsidRPr="000F4A69" w14:paraId="28230F33" w14:textId="77777777" w:rsidTr="009C2BA2">
        <w:tc>
          <w:tcPr>
            <w:tcW w:w="2376" w:type="dxa"/>
            <w:shd w:val="clear" w:color="auto" w:fill="auto"/>
          </w:tcPr>
          <w:p w14:paraId="594E7E19" w14:textId="77777777" w:rsidR="00C13A07" w:rsidRPr="000F4A69" w:rsidRDefault="00C13A07" w:rsidP="009C2BA2">
            <w:pPr>
              <w:spacing w:after="120" w:line="276" w:lineRule="auto"/>
              <w:rPr>
                <w:rFonts w:eastAsia="Calibri"/>
                <w:lang w:eastAsia="en-US"/>
              </w:rPr>
            </w:pPr>
            <w:r w:rsidRPr="000F4A69">
              <w:rPr>
                <w:rFonts w:eastAsia="Calibri"/>
                <w:lang w:eastAsia="en-US"/>
              </w:rPr>
              <w:t>Perceived stress</w:t>
            </w:r>
          </w:p>
        </w:tc>
        <w:tc>
          <w:tcPr>
            <w:tcW w:w="1701" w:type="dxa"/>
            <w:shd w:val="clear" w:color="auto" w:fill="auto"/>
          </w:tcPr>
          <w:p w14:paraId="33485C4D" w14:textId="77777777" w:rsidR="00C13A07" w:rsidRPr="000F4A69" w:rsidRDefault="00C13A07" w:rsidP="009C2BA2">
            <w:pPr>
              <w:spacing w:after="120" w:line="276" w:lineRule="auto"/>
              <w:jc w:val="center"/>
              <w:rPr>
                <w:rFonts w:eastAsia="Calibri"/>
                <w:lang w:eastAsia="en-US"/>
              </w:rPr>
            </w:pPr>
            <w:r w:rsidRPr="000F4A69">
              <w:rPr>
                <w:rFonts w:eastAsia="Calibri"/>
                <w:lang w:eastAsia="en-US"/>
              </w:rPr>
              <w:t>33.95 (1.59)</w:t>
            </w:r>
          </w:p>
        </w:tc>
        <w:tc>
          <w:tcPr>
            <w:tcW w:w="1560" w:type="dxa"/>
            <w:shd w:val="clear" w:color="auto" w:fill="auto"/>
          </w:tcPr>
          <w:p w14:paraId="7A09B9EE" w14:textId="77777777" w:rsidR="00C13A07" w:rsidRPr="000F4A69" w:rsidRDefault="00C13A07" w:rsidP="009C2BA2">
            <w:pPr>
              <w:spacing w:after="120" w:line="276" w:lineRule="auto"/>
              <w:jc w:val="center"/>
              <w:rPr>
                <w:rFonts w:eastAsia="Calibri"/>
                <w:lang w:eastAsia="en-US"/>
              </w:rPr>
            </w:pPr>
            <w:r w:rsidRPr="000F4A69">
              <w:rPr>
                <w:rFonts w:eastAsia="Calibri"/>
                <w:lang w:eastAsia="en-US"/>
              </w:rPr>
              <w:t>32.55 (1.22)</w:t>
            </w:r>
          </w:p>
        </w:tc>
        <w:tc>
          <w:tcPr>
            <w:tcW w:w="1417" w:type="dxa"/>
            <w:shd w:val="clear" w:color="auto" w:fill="auto"/>
          </w:tcPr>
          <w:p w14:paraId="622ED5FF" w14:textId="77777777" w:rsidR="00C13A07" w:rsidRPr="000F4A69" w:rsidRDefault="00C13A07" w:rsidP="009C2BA2">
            <w:pPr>
              <w:spacing w:after="120" w:line="276" w:lineRule="auto"/>
              <w:jc w:val="center"/>
              <w:rPr>
                <w:rFonts w:eastAsia="Calibri"/>
                <w:lang w:eastAsia="en-US"/>
              </w:rPr>
            </w:pPr>
            <w:r w:rsidRPr="000F4A69">
              <w:rPr>
                <w:rFonts w:eastAsia="Calibri"/>
                <w:lang w:eastAsia="en-US"/>
              </w:rPr>
              <w:t>24.29 (1.57)</w:t>
            </w:r>
          </w:p>
        </w:tc>
        <w:tc>
          <w:tcPr>
            <w:tcW w:w="1661" w:type="dxa"/>
            <w:shd w:val="clear" w:color="auto" w:fill="auto"/>
          </w:tcPr>
          <w:p w14:paraId="39D47F43" w14:textId="77777777" w:rsidR="00C13A07" w:rsidRPr="000F4A69" w:rsidRDefault="00C13A07" w:rsidP="009C2BA2">
            <w:pPr>
              <w:spacing w:after="120" w:line="276" w:lineRule="auto"/>
              <w:jc w:val="center"/>
              <w:rPr>
                <w:rFonts w:eastAsia="Calibri"/>
                <w:lang w:eastAsia="en-US"/>
              </w:rPr>
            </w:pPr>
            <w:r w:rsidRPr="000F4A69">
              <w:rPr>
                <w:rFonts w:eastAsia="Calibri"/>
                <w:lang w:eastAsia="en-US"/>
              </w:rPr>
              <w:t>F=11.572, p&lt;0.001</w:t>
            </w:r>
          </w:p>
        </w:tc>
      </w:tr>
      <w:tr w:rsidR="000F4A69" w:rsidRPr="000F4A69" w14:paraId="61AC2C01" w14:textId="77777777" w:rsidTr="009C2BA2">
        <w:tc>
          <w:tcPr>
            <w:tcW w:w="2376" w:type="dxa"/>
            <w:shd w:val="clear" w:color="auto" w:fill="auto"/>
          </w:tcPr>
          <w:p w14:paraId="640AD38B" w14:textId="77777777" w:rsidR="00C13A07" w:rsidRPr="000F4A69" w:rsidRDefault="00C13A07" w:rsidP="009C2BA2">
            <w:pPr>
              <w:spacing w:after="120" w:line="276" w:lineRule="auto"/>
              <w:rPr>
                <w:rFonts w:eastAsia="Calibri"/>
                <w:lang w:eastAsia="en-US"/>
              </w:rPr>
            </w:pPr>
            <w:r w:rsidRPr="000F4A69">
              <w:rPr>
                <w:rFonts w:eastAsia="Calibri"/>
                <w:lang w:eastAsia="en-US"/>
              </w:rPr>
              <w:t>Cognitive failures</w:t>
            </w:r>
          </w:p>
        </w:tc>
        <w:tc>
          <w:tcPr>
            <w:tcW w:w="1701" w:type="dxa"/>
            <w:shd w:val="clear" w:color="auto" w:fill="auto"/>
          </w:tcPr>
          <w:p w14:paraId="0E62684C" w14:textId="77777777" w:rsidR="00C13A07" w:rsidRPr="000F4A69" w:rsidRDefault="00C13A07" w:rsidP="009C2BA2">
            <w:pPr>
              <w:spacing w:after="120" w:line="276" w:lineRule="auto"/>
              <w:jc w:val="center"/>
              <w:rPr>
                <w:rFonts w:eastAsia="Calibri"/>
                <w:lang w:eastAsia="en-US"/>
              </w:rPr>
            </w:pPr>
            <w:r w:rsidRPr="000F4A69">
              <w:rPr>
                <w:rFonts w:eastAsia="Calibri"/>
                <w:lang w:eastAsia="en-US"/>
              </w:rPr>
              <w:t>64.98 (2.75)</w:t>
            </w:r>
          </w:p>
        </w:tc>
        <w:tc>
          <w:tcPr>
            <w:tcW w:w="1560" w:type="dxa"/>
            <w:shd w:val="clear" w:color="auto" w:fill="auto"/>
          </w:tcPr>
          <w:p w14:paraId="7047D531" w14:textId="77777777" w:rsidR="00C13A07" w:rsidRPr="000F4A69" w:rsidRDefault="00C13A07" w:rsidP="009C2BA2">
            <w:pPr>
              <w:spacing w:after="120" w:line="276" w:lineRule="auto"/>
              <w:jc w:val="center"/>
              <w:rPr>
                <w:rFonts w:eastAsia="Calibri"/>
                <w:lang w:eastAsia="en-US"/>
              </w:rPr>
            </w:pPr>
            <w:r w:rsidRPr="000F4A69">
              <w:rPr>
                <w:rFonts w:eastAsia="Calibri"/>
                <w:lang w:eastAsia="en-US"/>
              </w:rPr>
              <w:t>59.37 (2.11)</w:t>
            </w:r>
          </w:p>
        </w:tc>
        <w:tc>
          <w:tcPr>
            <w:tcW w:w="1417" w:type="dxa"/>
            <w:shd w:val="clear" w:color="auto" w:fill="auto"/>
          </w:tcPr>
          <w:p w14:paraId="0ECAB1BD" w14:textId="77777777" w:rsidR="00C13A07" w:rsidRPr="000F4A69" w:rsidRDefault="00C13A07" w:rsidP="009C2BA2">
            <w:pPr>
              <w:spacing w:after="120" w:line="276" w:lineRule="auto"/>
              <w:jc w:val="center"/>
              <w:rPr>
                <w:rFonts w:eastAsia="Calibri"/>
                <w:lang w:eastAsia="en-US"/>
              </w:rPr>
            </w:pPr>
            <w:r w:rsidRPr="000F4A69">
              <w:rPr>
                <w:rFonts w:eastAsia="Calibri"/>
                <w:lang w:eastAsia="en-US"/>
              </w:rPr>
              <w:t>42.38 (2.72)</w:t>
            </w:r>
          </w:p>
        </w:tc>
        <w:tc>
          <w:tcPr>
            <w:tcW w:w="1661" w:type="dxa"/>
            <w:shd w:val="clear" w:color="auto" w:fill="auto"/>
          </w:tcPr>
          <w:p w14:paraId="111159BC" w14:textId="77777777" w:rsidR="00C13A07" w:rsidRPr="000F4A69" w:rsidRDefault="00C13A07" w:rsidP="009C2BA2">
            <w:pPr>
              <w:spacing w:after="120" w:line="276" w:lineRule="auto"/>
              <w:jc w:val="center"/>
              <w:rPr>
                <w:rFonts w:eastAsia="Calibri"/>
                <w:lang w:eastAsia="en-US"/>
              </w:rPr>
            </w:pPr>
            <w:r w:rsidRPr="000F4A69">
              <w:rPr>
                <w:rFonts w:eastAsia="Calibri"/>
                <w:lang w:eastAsia="en-US"/>
              </w:rPr>
              <w:t>F=19.118, p&lt;0.001</w:t>
            </w:r>
          </w:p>
        </w:tc>
      </w:tr>
      <w:tr w:rsidR="000F4A69" w:rsidRPr="000F4A69" w14:paraId="14A079A9" w14:textId="77777777" w:rsidTr="009C2BA2">
        <w:tc>
          <w:tcPr>
            <w:tcW w:w="2376" w:type="dxa"/>
            <w:shd w:val="clear" w:color="auto" w:fill="auto"/>
          </w:tcPr>
          <w:p w14:paraId="252110BC" w14:textId="77777777" w:rsidR="00C13A07" w:rsidRPr="000F4A69" w:rsidRDefault="00C13A07" w:rsidP="009C2BA2">
            <w:pPr>
              <w:spacing w:after="120" w:line="276" w:lineRule="auto"/>
              <w:rPr>
                <w:rFonts w:eastAsia="Calibri"/>
                <w:lang w:eastAsia="en-US"/>
              </w:rPr>
            </w:pPr>
            <w:r w:rsidRPr="000F4A69">
              <w:rPr>
                <w:rFonts w:eastAsia="Calibri"/>
                <w:lang w:eastAsia="en-US"/>
              </w:rPr>
              <w:t>Self-esteem</w:t>
            </w:r>
          </w:p>
        </w:tc>
        <w:tc>
          <w:tcPr>
            <w:tcW w:w="1701" w:type="dxa"/>
            <w:shd w:val="clear" w:color="auto" w:fill="auto"/>
          </w:tcPr>
          <w:p w14:paraId="008BC522" w14:textId="77777777" w:rsidR="00C13A07" w:rsidRPr="000F4A69" w:rsidRDefault="00C13A07" w:rsidP="009C2BA2">
            <w:pPr>
              <w:spacing w:after="120" w:line="276" w:lineRule="auto"/>
              <w:jc w:val="center"/>
              <w:rPr>
                <w:rFonts w:eastAsia="Calibri"/>
                <w:lang w:eastAsia="en-US"/>
              </w:rPr>
            </w:pPr>
            <w:r w:rsidRPr="000F4A69">
              <w:rPr>
                <w:rFonts w:eastAsia="Calibri"/>
                <w:lang w:eastAsia="en-US"/>
              </w:rPr>
              <w:t>40.04 (2.71)</w:t>
            </w:r>
          </w:p>
        </w:tc>
        <w:tc>
          <w:tcPr>
            <w:tcW w:w="1560" w:type="dxa"/>
            <w:shd w:val="clear" w:color="auto" w:fill="auto"/>
          </w:tcPr>
          <w:p w14:paraId="0D164BBF" w14:textId="77777777" w:rsidR="00C13A07" w:rsidRPr="000F4A69" w:rsidRDefault="00C13A07" w:rsidP="009C2BA2">
            <w:pPr>
              <w:spacing w:after="120" w:line="276" w:lineRule="auto"/>
              <w:jc w:val="center"/>
              <w:rPr>
                <w:rFonts w:eastAsia="Calibri"/>
                <w:lang w:eastAsia="en-US"/>
              </w:rPr>
            </w:pPr>
            <w:r w:rsidRPr="000F4A69">
              <w:rPr>
                <w:rFonts w:eastAsia="Calibri"/>
                <w:lang w:eastAsia="en-US"/>
              </w:rPr>
              <w:t>45.81 (2.08)</w:t>
            </w:r>
          </w:p>
        </w:tc>
        <w:tc>
          <w:tcPr>
            <w:tcW w:w="1417" w:type="dxa"/>
            <w:shd w:val="clear" w:color="auto" w:fill="auto"/>
          </w:tcPr>
          <w:p w14:paraId="2B64A02D" w14:textId="77777777" w:rsidR="00C13A07" w:rsidRPr="000F4A69" w:rsidRDefault="00C13A07" w:rsidP="009C2BA2">
            <w:pPr>
              <w:spacing w:after="120" w:line="276" w:lineRule="auto"/>
              <w:jc w:val="center"/>
              <w:rPr>
                <w:rFonts w:eastAsia="Calibri"/>
                <w:lang w:eastAsia="en-US"/>
              </w:rPr>
            </w:pPr>
            <w:r w:rsidRPr="000F4A69">
              <w:rPr>
                <w:rFonts w:eastAsia="Calibri"/>
                <w:lang w:eastAsia="en-US"/>
              </w:rPr>
              <w:t>56.91 (2.68)</w:t>
            </w:r>
          </w:p>
        </w:tc>
        <w:tc>
          <w:tcPr>
            <w:tcW w:w="1661" w:type="dxa"/>
            <w:shd w:val="clear" w:color="auto" w:fill="auto"/>
          </w:tcPr>
          <w:p w14:paraId="4E61AFC2" w14:textId="77777777" w:rsidR="00C13A07" w:rsidRPr="000F4A69" w:rsidRDefault="00C13A07" w:rsidP="009C2BA2">
            <w:pPr>
              <w:spacing w:after="120" w:line="276" w:lineRule="auto"/>
              <w:jc w:val="center"/>
              <w:rPr>
                <w:rFonts w:eastAsia="Calibri"/>
                <w:lang w:eastAsia="en-US"/>
              </w:rPr>
            </w:pPr>
            <w:r w:rsidRPr="000F4A69">
              <w:rPr>
                <w:rFonts w:eastAsia="Calibri"/>
                <w:lang w:eastAsia="en-US"/>
              </w:rPr>
              <w:t>F=10.263, p&lt;0.001</w:t>
            </w:r>
          </w:p>
        </w:tc>
      </w:tr>
      <w:tr w:rsidR="009C2BA2" w:rsidRPr="000F4A69" w14:paraId="5A868A0F" w14:textId="77777777" w:rsidTr="009C2BA2">
        <w:tc>
          <w:tcPr>
            <w:tcW w:w="2376" w:type="dxa"/>
            <w:shd w:val="clear" w:color="auto" w:fill="auto"/>
          </w:tcPr>
          <w:p w14:paraId="6B6811D2" w14:textId="77777777" w:rsidR="00C13A07" w:rsidRPr="000F4A69" w:rsidRDefault="00C13A07" w:rsidP="009C2BA2">
            <w:pPr>
              <w:spacing w:after="120" w:line="276" w:lineRule="auto"/>
              <w:rPr>
                <w:rFonts w:eastAsia="Calibri"/>
                <w:lang w:eastAsia="en-US"/>
              </w:rPr>
            </w:pPr>
            <w:r w:rsidRPr="000F4A69">
              <w:rPr>
                <w:rFonts w:eastAsia="Calibri"/>
                <w:lang w:eastAsia="en-US"/>
              </w:rPr>
              <w:t xml:space="preserve">Symptom check-list </w:t>
            </w:r>
            <w:r w:rsidR="00D62676" w:rsidRPr="000F4A69">
              <w:rPr>
                <w:rFonts w:eastAsia="Calibri"/>
                <w:lang w:eastAsia="en-US"/>
              </w:rPr>
              <w:t>- total</w:t>
            </w:r>
          </w:p>
        </w:tc>
        <w:tc>
          <w:tcPr>
            <w:tcW w:w="1701" w:type="dxa"/>
            <w:shd w:val="clear" w:color="auto" w:fill="auto"/>
          </w:tcPr>
          <w:p w14:paraId="1280A5CB" w14:textId="77777777" w:rsidR="00C13A07" w:rsidRPr="000F4A69" w:rsidRDefault="00C13A07" w:rsidP="009C2BA2">
            <w:pPr>
              <w:spacing w:after="120" w:line="276" w:lineRule="auto"/>
              <w:jc w:val="center"/>
              <w:rPr>
                <w:rFonts w:eastAsia="Calibri"/>
                <w:lang w:eastAsia="en-US"/>
              </w:rPr>
            </w:pPr>
            <w:r w:rsidRPr="000F4A69">
              <w:rPr>
                <w:rFonts w:eastAsia="Calibri"/>
                <w:lang w:eastAsia="en-US"/>
              </w:rPr>
              <w:t>9.23 (0.79)</w:t>
            </w:r>
          </w:p>
        </w:tc>
        <w:tc>
          <w:tcPr>
            <w:tcW w:w="1560" w:type="dxa"/>
            <w:shd w:val="clear" w:color="auto" w:fill="auto"/>
          </w:tcPr>
          <w:p w14:paraId="6C652400" w14:textId="77777777" w:rsidR="00C13A07" w:rsidRPr="000F4A69" w:rsidRDefault="00C13A07" w:rsidP="009C2BA2">
            <w:pPr>
              <w:spacing w:after="120" w:line="276" w:lineRule="auto"/>
              <w:jc w:val="center"/>
              <w:rPr>
                <w:rFonts w:eastAsia="Calibri"/>
                <w:lang w:eastAsia="en-US"/>
              </w:rPr>
            </w:pPr>
            <w:r w:rsidRPr="000F4A69">
              <w:rPr>
                <w:rFonts w:eastAsia="Calibri"/>
                <w:lang w:eastAsia="en-US"/>
              </w:rPr>
              <w:t>16.49 (0.06)</w:t>
            </w:r>
          </w:p>
        </w:tc>
        <w:tc>
          <w:tcPr>
            <w:tcW w:w="1417" w:type="dxa"/>
            <w:shd w:val="clear" w:color="auto" w:fill="auto"/>
          </w:tcPr>
          <w:p w14:paraId="7F230A3C" w14:textId="77777777" w:rsidR="00C13A07" w:rsidRPr="000F4A69" w:rsidRDefault="00C13A07" w:rsidP="009C2BA2">
            <w:pPr>
              <w:spacing w:after="120" w:line="276" w:lineRule="auto"/>
              <w:jc w:val="center"/>
              <w:rPr>
                <w:rFonts w:eastAsia="Calibri"/>
                <w:lang w:eastAsia="en-US"/>
              </w:rPr>
            </w:pPr>
            <w:r w:rsidRPr="000F4A69">
              <w:rPr>
                <w:rFonts w:eastAsia="Calibri"/>
                <w:lang w:eastAsia="en-US"/>
              </w:rPr>
              <w:t>2.93 (0.78)</w:t>
            </w:r>
          </w:p>
        </w:tc>
        <w:tc>
          <w:tcPr>
            <w:tcW w:w="1661" w:type="dxa"/>
            <w:shd w:val="clear" w:color="auto" w:fill="auto"/>
          </w:tcPr>
          <w:p w14:paraId="7E4C91E9" w14:textId="77777777" w:rsidR="00C13A07" w:rsidRPr="000F4A69" w:rsidRDefault="00C13A07" w:rsidP="009C2BA2">
            <w:pPr>
              <w:spacing w:after="120" w:line="276" w:lineRule="auto"/>
              <w:jc w:val="center"/>
              <w:rPr>
                <w:rFonts w:eastAsia="Calibri"/>
                <w:lang w:eastAsia="en-US"/>
              </w:rPr>
            </w:pPr>
            <w:r w:rsidRPr="000F4A69">
              <w:rPr>
                <w:rFonts w:eastAsia="Calibri"/>
                <w:lang w:eastAsia="en-US"/>
              </w:rPr>
              <w:t>F=96.511, p&lt;0.001</w:t>
            </w:r>
          </w:p>
        </w:tc>
      </w:tr>
    </w:tbl>
    <w:p w14:paraId="766B495F" w14:textId="77777777" w:rsidR="00C13A07" w:rsidRPr="000F4A69" w:rsidRDefault="00C13A07" w:rsidP="0024372B">
      <w:pPr>
        <w:spacing w:after="120"/>
        <w:rPr>
          <w:b/>
        </w:rPr>
      </w:pPr>
    </w:p>
    <w:p w14:paraId="0CEABF3F" w14:textId="77777777" w:rsidR="00C13A07" w:rsidRPr="000F4A69" w:rsidRDefault="00C13A07" w:rsidP="0024372B">
      <w:r w:rsidRPr="000F4A69">
        <w:br w:type="page"/>
      </w:r>
    </w:p>
    <w:p w14:paraId="24B77F92" w14:textId="77777777" w:rsidR="00C13A07" w:rsidRPr="000F4A69" w:rsidRDefault="00C13A07" w:rsidP="00D62676">
      <w:pPr>
        <w:spacing w:after="120" w:line="276" w:lineRule="auto"/>
      </w:pPr>
      <w:r w:rsidRPr="000F4A69">
        <w:lastRenderedPageBreak/>
        <w:t>Table 3:</w:t>
      </w:r>
      <w:r w:rsidRPr="000F4A69">
        <w:tab/>
        <w:t xml:space="preserve">Measures of sleep behaviour (‘Fairly often’ and ‘Very often’) </w:t>
      </w:r>
    </w:p>
    <w:tbl>
      <w:tblPr>
        <w:tblW w:w="0" w:type="auto"/>
        <w:tblBorders>
          <w:top w:val="double" w:sz="4" w:space="0" w:color="auto"/>
          <w:bottom w:val="double" w:sz="4" w:space="0" w:color="auto"/>
          <w:insideH w:val="single" w:sz="4" w:space="0" w:color="auto"/>
        </w:tblBorders>
        <w:tblLayout w:type="fixed"/>
        <w:tblLook w:val="04A0" w:firstRow="1" w:lastRow="0" w:firstColumn="1" w:lastColumn="0" w:noHBand="0" w:noVBand="1"/>
      </w:tblPr>
      <w:tblGrid>
        <w:gridCol w:w="3369"/>
        <w:gridCol w:w="1275"/>
        <w:gridCol w:w="1276"/>
        <w:gridCol w:w="1276"/>
        <w:gridCol w:w="2046"/>
      </w:tblGrid>
      <w:tr w:rsidR="000F4A69" w:rsidRPr="000F4A69" w14:paraId="673E71CB" w14:textId="77777777" w:rsidTr="009C2BA2">
        <w:tc>
          <w:tcPr>
            <w:tcW w:w="3369" w:type="dxa"/>
            <w:shd w:val="clear" w:color="auto" w:fill="auto"/>
          </w:tcPr>
          <w:p w14:paraId="2EA5D9E9" w14:textId="77777777" w:rsidR="00C13A07" w:rsidRPr="000F4A69" w:rsidRDefault="00C13A07" w:rsidP="009C2BA2">
            <w:pPr>
              <w:spacing w:line="276" w:lineRule="auto"/>
              <w:rPr>
                <w:rFonts w:eastAsia="Calibri"/>
                <w:lang w:eastAsia="en-US"/>
              </w:rPr>
            </w:pPr>
          </w:p>
        </w:tc>
        <w:tc>
          <w:tcPr>
            <w:tcW w:w="1275" w:type="dxa"/>
            <w:shd w:val="clear" w:color="auto" w:fill="auto"/>
          </w:tcPr>
          <w:p w14:paraId="2BA57944" w14:textId="77777777" w:rsidR="00C13A07" w:rsidRPr="000F4A69" w:rsidRDefault="00C13A07" w:rsidP="009C2BA2">
            <w:pPr>
              <w:spacing w:line="276" w:lineRule="auto"/>
              <w:jc w:val="center"/>
              <w:rPr>
                <w:rFonts w:eastAsia="Calibri"/>
                <w:lang w:eastAsia="en-US"/>
              </w:rPr>
            </w:pPr>
            <w:r w:rsidRPr="000F4A69">
              <w:rPr>
                <w:rFonts w:eastAsia="Calibri"/>
                <w:lang w:eastAsia="en-US"/>
              </w:rPr>
              <w:t>DCD</w:t>
            </w:r>
          </w:p>
          <w:p w14:paraId="0629F355" w14:textId="77777777" w:rsidR="00C13A07" w:rsidRPr="000F4A69" w:rsidRDefault="00C13A07" w:rsidP="009C2BA2">
            <w:pPr>
              <w:spacing w:line="276" w:lineRule="auto"/>
              <w:jc w:val="center"/>
              <w:rPr>
                <w:rFonts w:eastAsia="Calibri"/>
                <w:lang w:eastAsia="en-US"/>
              </w:rPr>
            </w:pPr>
            <w:r w:rsidRPr="000F4A69">
              <w:rPr>
                <w:rFonts w:eastAsia="Calibri"/>
                <w:lang w:eastAsia="en-US"/>
              </w:rPr>
              <w:t>Frequency (%)</w:t>
            </w:r>
          </w:p>
        </w:tc>
        <w:tc>
          <w:tcPr>
            <w:tcW w:w="1276" w:type="dxa"/>
            <w:shd w:val="clear" w:color="auto" w:fill="auto"/>
          </w:tcPr>
          <w:p w14:paraId="1268BE40" w14:textId="77777777" w:rsidR="00C13A07" w:rsidRPr="000F4A69" w:rsidRDefault="00C13A07" w:rsidP="009C2BA2">
            <w:pPr>
              <w:spacing w:line="276" w:lineRule="auto"/>
              <w:jc w:val="center"/>
              <w:rPr>
                <w:rFonts w:eastAsia="Calibri"/>
                <w:lang w:eastAsia="en-US"/>
              </w:rPr>
            </w:pPr>
            <w:r w:rsidRPr="000F4A69">
              <w:rPr>
                <w:rFonts w:eastAsia="Calibri"/>
                <w:lang w:eastAsia="en-US"/>
              </w:rPr>
              <w:t>CFS</w:t>
            </w:r>
          </w:p>
          <w:p w14:paraId="575763D5" w14:textId="77777777" w:rsidR="00C13A07" w:rsidRPr="000F4A69" w:rsidRDefault="00C13A07" w:rsidP="009C2BA2">
            <w:pPr>
              <w:spacing w:line="276" w:lineRule="auto"/>
              <w:jc w:val="center"/>
              <w:rPr>
                <w:rFonts w:eastAsia="Calibri"/>
                <w:lang w:eastAsia="en-US"/>
              </w:rPr>
            </w:pPr>
            <w:r w:rsidRPr="000F4A69">
              <w:rPr>
                <w:rFonts w:eastAsia="Calibri"/>
                <w:lang w:eastAsia="en-US"/>
              </w:rPr>
              <w:t>Frequency</w:t>
            </w:r>
          </w:p>
          <w:p w14:paraId="4E9DC043" w14:textId="77777777" w:rsidR="00C13A07" w:rsidRPr="000F4A69" w:rsidRDefault="00C13A07" w:rsidP="009C2BA2">
            <w:pPr>
              <w:spacing w:line="276" w:lineRule="auto"/>
              <w:jc w:val="center"/>
              <w:rPr>
                <w:rFonts w:eastAsia="Calibri"/>
                <w:lang w:eastAsia="en-US"/>
              </w:rPr>
            </w:pPr>
            <w:r w:rsidRPr="000F4A69">
              <w:rPr>
                <w:rFonts w:eastAsia="Calibri"/>
                <w:lang w:eastAsia="en-US"/>
              </w:rPr>
              <w:t>(%)</w:t>
            </w:r>
          </w:p>
        </w:tc>
        <w:tc>
          <w:tcPr>
            <w:tcW w:w="1276" w:type="dxa"/>
            <w:shd w:val="clear" w:color="auto" w:fill="auto"/>
          </w:tcPr>
          <w:p w14:paraId="14E5BB09" w14:textId="77777777" w:rsidR="00C13A07" w:rsidRPr="000F4A69" w:rsidRDefault="00C13A07" w:rsidP="009C2BA2">
            <w:pPr>
              <w:spacing w:line="276" w:lineRule="auto"/>
              <w:jc w:val="center"/>
              <w:rPr>
                <w:rFonts w:eastAsia="Calibri"/>
                <w:lang w:eastAsia="en-US"/>
              </w:rPr>
            </w:pPr>
            <w:r w:rsidRPr="000F4A69">
              <w:rPr>
                <w:rFonts w:eastAsia="Calibri"/>
                <w:lang w:eastAsia="en-US"/>
              </w:rPr>
              <w:t>TD</w:t>
            </w:r>
          </w:p>
          <w:p w14:paraId="4C4502F0" w14:textId="77777777" w:rsidR="00C13A07" w:rsidRPr="000F4A69" w:rsidRDefault="00C13A07" w:rsidP="009C2BA2">
            <w:pPr>
              <w:spacing w:line="276" w:lineRule="auto"/>
              <w:jc w:val="center"/>
              <w:rPr>
                <w:rFonts w:eastAsia="Calibri"/>
                <w:lang w:eastAsia="en-US"/>
              </w:rPr>
            </w:pPr>
            <w:r w:rsidRPr="000F4A69">
              <w:rPr>
                <w:rFonts w:eastAsia="Calibri"/>
                <w:lang w:eastAsia="en-US"/>
              </w:rPr>
              <w:t>Frequency (%)</w:t>
            </w:r>
          </w:p>
        </w:tc>
        <w:tc>
          <w:tcPr>
            <w:tcW w:w="2046" w:type="dxa"/>
            <w:shd w:val="clear" w:color="auto" w:fill="auto"/>
          </w:tcPr>
          <w:p w14:paraId="0E8E93A6" w14:textId="77777777" w:rsidR="00C13A07" w:rsidRPr="000F4A69" w:rsidRDefault="00C13A07" w:rsidP="009C2BA2">
            <w:pPr>
              <w:spacing w:line="276" w:lineRule="auto"/>
              <w:jc w:val="center"/>
              <w:rPr>
                <w:rFonts w:eastAsia="Calibri"/>
                <w:lang w:eastAsia="en-US"/>
              </w:rPr>
            </w:pPr>
            <w:r w:rsidRPr="000F4A69">
              <w:rPr>
                <w:rFonts w:eastAsia="Calibri"/>
                <w:lang w:eastAsia="en-US"/>
              </w:rPr>
              <w:t>Sig</w:t>
            </w:r>
          </w:p>
          <w:p w14:paraId="0EC2EE58" w14:textId="77777777" w:rsidR="00C13A07" w:rsidRPr="000F4A69" w:rsidRDefault="00C13A07" w:rsidP="009C2BA2">
            <w:pPr>
              <w:spacing w:line="276" w:lineRule="auto"/>
              <w:jc w:val="center"/>
              <w:rPr>
                <w:rFonts w:eastAsia="Calibri"/>
                <w:lang w:eastAsia="en-US"/>
              </w:rPr>
            </w:pPr>
            <w:r w:rsidRPr="000F4A69">
              <w:rPr>
                <w:rFonts w:eastAsia="Calibri"/>
                <w:lang w:eastAsia="en-US"/>
              </w:rPr>
              <w:t>df=2</w:t>
            </w:r>
          </w:p>
        </w:tc>
      </w:tr>
      <w:tr w:rsidR="000F4A69" w:rsidRPr="000F4A69" w14:paraId="7B285693" w14:textId="77777777" w:rsidTr="009C2BA2">
        <w:tc>
          <w:tcPr>
            <w:tcW w:w="3369" w:type="dxa"/>
            <w:shd w:val="clear" w:color="auto" w:fill="auto"/>
          </w:tcPr>
          <w:p w14:paraId="61A0720E" w14:textId="77777777" w:rsidR="00C13A07" w:rsidRPr="000F4A69" w:rsidRDefault="00C13A07" w:rsidP="009C2BA2">
            <w:pPr>
              <w:spacing w:line="276" w:lineRule="auto"/>
              <w:rPr>
                <w:rFonts w:eastAsia="Calibri"/>
                <w:lang w:eastAsia="en-US"/>
              </w:rPr>
            </w:pPr>
            <w:r w:rsidRPr="000F4A69">
              <w:rPr>
                <w:rFonts w:eastAsia="Calibri"/>
                <w:lang w:eastAsia="en-US"/>
              </w:rPr>
              <w:t>Rested from sleep</w:t>
            </w:r>
          </w:p>
        </w:tc>
        <w:tc>
          <w:tcPr>
            <w:tcW w:w="1275" w:type="dxa"/>
            <w:shd w:val="clear" w:color="auto" w:fill="auto"/>
          </w:tcPr>
          <w:p w14:paraId="63445FD8" w14:textId="77777777" w:rsidR="00C13A07" w:rsidRPr="000F4A69" w:rsidRDefault="00C13A07" w:rsidP="009C2BA2">
            <w:pPr>
              <w:spacing w:line="276" w:lineRule="auto"/>
              <w:jc w:val="center"/>
              <w:rPr>
                <w:rFonts w:eastAsia="Calibri"/>
                <w:lang w:eastAsia="en-US"/>
              </w:rPr>
            </w:pPr>
            <w:r w:rsidRPr="000F4A69">
              <w:rPr>
                <w:rFonts w:eastAsia="Calibri"/>
                <w:lang w:eastAsia="en-US"/>
              </w:rPr>
              <w:t>11 (20.8)</w:t>
            </w:r>
          </w:p>
        </w:tc>
        <w:tc>
          <w:tcPr>
            <w:tcW w:w="1276" w:type="dxa"/>
            <w:shd w:val="clear" w:color="auto" w:fill="auto"/>
          </w:tcPr>
          <w:p w14:paraId="511DDCBA" w14:textId="77777777" w:rsidR="00C13A07" w:rsidRPr="000F4A69" w:rsidRDefault="00C13A07" w:rsidP="009C2BA2">
            <w:pPr>
              <w:spacing w:line="276" w:lineRule="auto"/>
              <w:jc w:val="center"/>
              <w:rPr>
                <w:rFonts w:eastAsia="Calibri"/>
                <w:lang w:eastAsia="en-US"/>
              </w:rPr>
            </w:pPr>
            <w:r w:rsidRPr="000F4A69">
              <w:rPr>
                <w:rFonts w:eastAsia="Calibri"/>
                <w:lang w:eastAsia="en-US"/>
              </w:rPr>
              <w:t>4 (4.8)</w:t>
            </w:r>
          </w:p>
        </w:tc>
        <w:tc>
          <w:tcPr>
            <w:tcW w:w="1276" w:type="dxa"/>
            <w:shd w:val="clear" w:color="auto" w:fill="auto"/>
          </w:tcPr>
          <w:p w14:paraId="01A99DB2" w14:textId="77777777" w:rsidR="00C13A07" w:rsidRPr="000F4A69" w:rsidRDefault="00C13A07" w:rsidP="009C2BA2">
            <w:pPr>
              <w:spacing w:line="276" w:lineRule="auto"/>
              <w:jc w:val="center"/>
              <w:rPr>
                <w:rFonts w:eastAsia="Calibri"/>
                <w:lang w:eastAsia="en-US"/>
              </w:rPr>
            </w:pPr>
            <w:r w:rsidRPr="000F4A69">
              <w:rPr>
                <w:rFonts w:eastAsia="Calibri"/>
                <w:lang w:eastAsia="en-US"/>
              </w:rPr>
              <w:t>26 (50.0)</w:t>
            </w:r>
          </w:p>
        </w:tc>
        <w:tc>
          <w:tcPr>
            <w:tcW w:w="2046" w:type="dxa"/>
            <w:shd w:val="clear" w:color="auto" w:fill="auto"/>
          </w:tcPr>
          <w:p w14:paraId="63136C23" w14:textId="77777777" w:rsidR="00C13A07" w:rsidRPr="000F4A69" w:rsidRDefault="00C13A07" w:rsidP="009C2BA2">
            <w:pPr>
              <w:spacing w:line="276" w:lineRule="auto"/>
              <w:rPr>
                <w:rFonts w:eastAsia="Calibri"/>
                <w:lang w:eastAsia="en-US"/>
              </w:rPr>
            </w:pPr>
            <w:r w:rsidRPr="000F4A69">
              <w:rPr>
                <w:rFonts w:eastAsia="Calibri"/>
                <w:lang w:eastAsia="en-US"/>
              </w:rPr>
              <w:t>χ=38.731, p&lt;0.001</w:t>
            </w:r>
          </w:p>
        </w:tc>
      </w:tr>
      <w:tr w:rsidR="000F4A69" w:rsidRPr="000F4A69" w14:paraId="5ACC99B5" w14:textId="77777777" w:rsidTr="009C2BA2">
        <w:tc>
          <w:tcPr>
            <w:tcW w:w="3369" w:type="dxa"/>
            <w:shd w:val="clear" w:color="auto" w:fill="auto"/>
          </w:tcPr>
          <w:p w14:paraId="558E453B" w14:textId="77777777" w:rsidR="00C13A07" w:rsidRPr="000F4A69" w:rsidRDefault="00C13A07" w:rsidP="009C2BA2">
            <w:pPr>
              <w:spacing w:line="276" w:lineRule="auto"/>
              <w:rPr>
                <w:rFonts w:eastAsia="Calibri"/>
                <w:lang w:eastAsia="en-US"/>
              </w:rPr>
            </w:pPr>
            <w:r w:rsidRPr="000F4A69">
              <w:rPr>
                <w:rFonts w:eastAsia="Calibri"/>
                <w:lang w:eastAsia="en-US"/>
              </w:rPr>
              <w:t>Difficulty falling asleep</w:t>
            </w:r>
          </w:p>
        </w:tc>
        <w:tc>
          <w:tcPr>
            <w:tcW w:w="1275" w:type="dxa"/>
            <w:shd w:val="clear" w:color="auto" w:fill="auto"/>
          </w:tcPr>
          <w:p w14:paraId="4E02BDC7" w14:textId="77777777" w:rsidR="00C13A07" w:rsidRPr="000F4A69" w:rsidRDefault="00C13A07" w:rsidP="009C2BA2">
            <w:pPr>
              <w:spacing w:line="276" w:lineRule="auto"/>
              <w:jc w:val="center"/>
              <w:rPr>
                <w:rFonts w:eastAsia="Calibri"/>
                <w:lang w:eastAsia="en-US"/>
              </w:rPr>
            </w:pPr>
            <w:r w:rsidRPr="000F4A69">
              <w:rPr>
                <w:rFonts w:eastAsia="Calibri"/>
                <w:lang w:eastAsia="en-US"/>
              </w:rPr>
              <w:t>23 (43.4)</w:t>
            </w:r>
          </w:p>
        </w:tc>
        <w:tc>
          <w:tcPr>
            <w:tcW w:w="1276" w:type="dxa"/>
            <w:shd w:val="clear" w:color="auto" w:fill="auto"/>
          </w:tcPr>
          <w:p w14:paraId="5A3750DC" w14:textId="77777777" w:rsidR="00C13A07" w:rsidRPr="000F4A69" w:rsidRDefault="00C13A07" w:rsidP="009C2BA2">
            <w:pPr>
              <w:spacing w:line="276" w:lineRule="auto"/>
              <w:jc w:val="center"/>
              <w:rPr>
                <w:rFonts w:eastAsia="Calibri"/>
                <w:lang w:eastAsia="en-US"/>
              </w:rPr>
            </w:pPr>
            <w:r w:rsidRPr="000F4A69">
              <w:rPr>
                <w:rFonts w:eastAsia="Calibri"/>
                <w:lang w:eastAsia="en-US"/>
              </w:rPr>
              <w:t>45 (53.6)</w:t>
            </w:r>
          </w:p>
        </w:tc>
        <w:tc>
          <w:tcPr>
            <w:tcW w:w="1276" w:type="dxa"/>
            <w:shd w:val="clear" w:color="auto" w:fill="auto"/>
          </w:tcPr>
          <w:p w14:paraId="1725F266" w14:textId="77777777" w:rsidR="00C13A07" w:rsidRPr="000F4A69" w:rsidRDefault="00C13A07" w:rsidP="009C2BA2">
            <w:pPr>
              <w:spacing w:line="276" w:lineRule="auto"/>
              <w:jc w:val="center"/>
              <w:rPr>
                <w:rFonts w:eastAsia="Calibri"/>
                <w:lang w:eastAsia="en-US"/>
              </w:rPr>
            </w:pPr>
            <w:r w:rsidRPr="000F4A69">
              <w:rPr>
                <w:rFonts w:eastAsia="Calibri"/>
                <w:lang w:eastAsia="en-US"/>
              </w:rPr>
              <w:t>15 (28.8)</w:t>
            </w:r>
          </w:p>
        </w:tc>
        <w:tc>
          <w:tcPr>
            <w:tcW w:w="2046" w:type="dxa"/>
            <w:shd w:val="clear" w:color="auto" w:fill="auto"/>
          </w:tcPr>
          <w:p w14:paraId="25D0EACE" w14:textId="77777777" w:rsidR="00C13A07" w:rsidRPr="000F4A69" w:rsidRDefault="00C13A07" w:rsidP="009C2BA2">
            <w:pPr>
              <w:spacing w:line="276" w:lineRule="auto"/>
              <w:jc w:val="center"/>
              <w:rPr>
                <w:rFonts w:eastAsia="Calibri"/>
                <w:lang w:eastAsia="en-US"/>
              </w:rPr>
            </w:pPr>
            <w:r w:rsidRPr="000F4A69">
              <w:rPr>
                <w:rFonts w:eastAsia="Calibri"/>
                <w:lang w:eastAsia="en-US"/>
              </w:rPr>
              <w:t>χ=7.980, p&lt;0.05</w:t>
            </w:r>
          </w:p>
        </w:tc>
      </w:tr>
      <w:tr w:rsidR="009C2BA2" w:rsidRPr="000F4A69" w14:paraId="3100DF62" w14:textId="77777777" w:rsidTr="009C2BA2">
        <w:tc>
          <w:tcPr>
            <w:tcW w:w="3369" w:type="dxa"/>
            <w:shd w:val="clear" w:color="auto" w:fill="auto"/>
          </w:tcPr>
          <w:p w14:paraId="7631896B" w14:textId="77777777" w:rsidR="00C13A07" w:rsidRPr="000F4A69" w:rsidRDefault="00C13A07" w:rsidP="009C2BA2">
            <w:pPr>
              <w:spacing w:line="276" w:lineRule="auto"/>
              <w:rPr>
                <w:rFonts w:eastAsia="Calibri"/>
                <w:lang w:eastAsia="en-US"/>
              </w:rPr>
            </w:pPr>
            <w:r w:rsidRPr="000F4A69">
              <w:rPr>
                <w:rFonts w:eastAsia="Calibri"/>
                <w:lang w:eastAsia="en-US"/>
              </w:rPr>
              <w:t>Waking up early</w:t>
            </w:r>
          </w:p>
        </w:tc>
        <w:tc>
          <w:tcPr>
            <w:tcW w:w="1275" w:type="dxa"/>
            <w:shd w:val="clear" w:color="auto" w:fill="auto"/>
          </w:tcPr>
          <w:p w14:paraId="6571D7D0" w14:textId="77777777" w:rsidR="00C13A07" w:rsidRPr="000F4A69" w:rsidRDefault="00C13A07" w:rsidP="009C2BA2">
            <w:pPr>
              <w:spacing w:line="276" w:lineRule="auto"/>
              <w:jc w:val="center"/>
              <w:rPr>
                <w:rFonts w:eastAsia="Calibri"/>
                <w:lang w:eastAsia="en-US"/>
              </w:rPr>
            </w:pPr>
            <w:r w:rsidRPr="000F4A69">
              <w:rPr>
                <w:rFonts w:eastAsia="Calibri"/>
                <w:lang w:eastAsia="en-US"/>
              </w:rPr>
              <w:t>22 (41.5)</w:t>
            </w:r>
          </w:p>
        </w:tc>
        <w:tc>
          <w:tcPr>
            <w:tcW w:w="1276" w:type="dxa"/>
            <w:shd w:val="clear" w:color="auto" w:fill="auto"/>
          </w:tcPr>
          <w:p w14:paraId="5B712FD6" w14:textId="77777777" w:rsidR="00C13A07" w:rsidRPr="000F4A69" w:rsidRDefault="00C13A07" w:rsidP="009C2BA2">
            <w:pPr>
              <w:spacing w:line="276" w:lineRule="auto"/>
              <w:jc w:val="center"/>
              <w:rPr>
                <w:rFonts w:eastAsia="Calibri"/>
                <w:lang w:eastAsia="en-US"/>
              </w:rPr>
            </w:pPr>
            <w:r w:rsidRPr="000F4A69">
              <w:rPr>
                <w:rFonts w:eastAsia="Calibri"/>
                <w:lang w:eastAsia="en-US"/>
              </w:rPr>
              <w:t>41 (48.8)</w:t>
            </w:r>
          </w:p>
        </w:tc>
        <w:tc>
          <w:tcPr>
            <w:tcW w:w="1276" w:type="dxa"/>
            <w:shd w:val="clear" w:color="auto" w:fill="auto"/>
          </w:tcPr>
          <w:p w14:paraId="20450673" w14:textId="77777777" w:rsidR="00C13A07" w:rsidRPr="000F4A69" w:rsidRDefault="00C13A07" w:rsidP="009C2BA2">
            <w:pPr>
              <w:spacing w:line="276" w:lineRule="auto"/>
              <w:jc w:val="center"/>
              <w:rPr>
                <w:rFonts w:eastAsia="Calibri"/>
                <w:lang w:eastAsia="en-US"/>
              </w:rPr>
            </w:pPr>
            <w:r w:rsidRPr="000F4A69">
              <w:rPr>
                <w:rFonts w:eastAsia="Calibri"/>
                <w:lang w:eastAsia="en-US"/>
              </w:rPr>
              <w:t>14 (26.9)</w:t>
            </w:r>
          </w:p>
        </w:tc>
        <w:tc>
          <w:tcPr>
            <w:tcW w:w="2046" w:type="dxa"/>
            <w:shd w:val="clear" w:color="auto" w:fill="auto"/>
          </w:tcPr>
          <w:p w14:paraId="13153E39" w14:textId="77777777" w:rsidR="00C13A07" w:rsidRPr="000F4A69" w:rsidRDefault="00C13A07" w:rsidP="009C2BA2">
            <w:pPr>
              <w:spacing w:line="276" w:lineRule="auto"/>
              <w:jc w:val="center"/>
              <w:rPr>
                <w:rFonts w:eastAsia="Calibri"/>
                <w:lang w:eastAsia="en-US"/>
              </w:rPr>
            </w:pPr>
            <w:r w:rsidRPr="000F4A69">
              <w:rPr>
                <w:rFonts w:eastAsia="Calibri"/>
                <w:lang w:eastAsia="en-US"/>
              </w:rPr>
              <w:t>χ=6.391, p&lt;0.05</w:t>
            </w:r>
          </w:p>
        </w:tc>
      </w:tr>
      <w:bookmarkEnd w:id="6"/>
    </w:tbl>
    <w:p w14:paraId="098681CE" w14:textId="77777777" w:rsidR="00242F9B" w:rsidRPr="000F4A69" w:rsidRDefault="00242F9B" w:rsidP="0024372B">
      <w:pPr>
        <w:spacing w:after="120"/>
        <w:rPr>
          <w:sz w:val="22"/>
        </w:rPr>
      </w:pPr>
    </w:p>
    <w:sectPr w:rsidR="00242F9B" w:rsidRPr="000F4A69" w:rsidSect="00074B81">
      <w:pgSz w:w="11901" w:h="16840" w:code="9"/>
      <w:pgMar w:top="1418" w:right="1701" w:bottom="1418"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2A4B81" w16cid:durableId="1DDB9EC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294F7" w14:textId="77777777" w:rsidR="00E4706D" w:rsidRDefault="00E4706D" w:rsidP="00AF2C92">
      <w:r>
        <w:separator/>
      </w:r>
    </w:p>
  </w:endnote>
  <w:endnote w:type="continuationSeparator" w:id="0">
    <w:p w14:paraId="3CBC5935" w14:textId="77777777" w:rsidR="00E4706D" w:rsidRDefault="00E4706D"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8CA71" w14:textId="77777777" w:rsidR="00E4706D" w:rsidRDefault="00E4706D" w:rsidP="00AF2C92">
      <w:r>
        <w:separator/>
      </w:r>
    </w:p>
  </w:footnote>
  <w:footnote w:type="continuationSeparator" w:id="0">
    <w:p w14:paraId="51EDD3D2" w14:textId="77777777" w:rsidR="00E4706D" w:rsidRDefault="00E4706D" w:rsidP="00AF2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4901E9"/>
    <w:multiLevelType w:val="multilevel"/>
    <w:tmpl w:val="FBFEE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8436D88"/>
    <w:multiLevelType w:val="multilevel"/>
    <w:tmpl w:val="7C72B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9DF3B7F"/>
    <w:multiLevelType w:val="hybridMultilevel"/>
    <w:tmpl w:val="936406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5C82805"/>
    <w:multiLevelType w:val="hybridMultilevel"/>
    <w:tmpl w:val="0C6E4B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F5D3DF4"/>
    <w:multiLevelType w:val="multilevel"/>
    <w:tmpl w:val="D0606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663367"/>
    <w:multiLevelType w:val="hybridMultilevel"/>
    <w:tmpl w:val="54C0A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1AC710A"/>
    <w:multiLevelType w:val="multilevel"/>
    <w:tmpl w:val="93385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3B3451"/>
    <w:multiLevelType w:val="hybridMultilevel"/>
    <w:tmpl w:val="1F9AB482"/>
    <w:lvl w:ilvl="0" w:tplc="D4C28D3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6E1F20"/>
    <w:multiLevelType w:val="hybridMultilevel"/>
    <w:tmpl w:val="6FAED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E1D27C9"/>
    <w:multiLevelType w:val="multilevel"/>
    <w:tmpl w:val="F0442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5934DE"/>
    <w:multiLevelType w:val="hybridMultilevel"/>
    <w:tmpl w:val="C6A09B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27"/>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23"/>
  </w:num>
  <w:num w:numId="14">
    <w:abstractNumId w:val="28"/>
  </w:num>
  <w:num w:numId="15">
    <w:abstractNumId w:val="17"/>
  </w:num>
  <w:num w:numId="16">
    <w:abstractNumId w:val="22"/>
  </w:num>
  <w:num w:numId="17">
    <w:abstractNumId w:val="12"/>
  </w:num>
  <w:num w:numId="18">
    <w:abstractNumId w:val="0"/>
  </w:num>
  <w:num w:numId="19">
    <w:abstractNumId w:val="13"/>
  </w:num>
  <w:num w:numId="20">
    <w:abstractNumId w:val="28"/>
  </w:num>
  <w:num w:numId="21">
    <w:abstractNumId w:val="28"/>
  </w:num>
  <w:num w:numId="22">
    <w:abstractNumId w:val="28"/>
  </w:num>
  <w:num w:numId="23">
    <w:abstractNumId w:val="28"/>
  </w:num>
  <w:num w:numId="24">
    <w:abstractNumId w:val="23"/>
  </w:num>
  <w:num w:numId="25">
    <w:abstractNumId w:val="24"/>
  </w:num>
  <w:num w:numId="26">
    <w:abstractNumId w:val="29"/>
  </w:num>
  <w:num w:numId="27">
    <w:abstractNumId w:val="31"/>
  </w:num>
  <w:num w:numId="28">
    <w:abstractNumId w:val="28"/>
  </w:num>
  <w:num w:numId="29">
    <w:abstractNumId w:val="16"/>
  </w:num>
  <w:num w:numId="30">
    <w:abstractNumId w:val="32"/>
  </w:num>
  <w:num w:numId="31">
    <w:abstractNumId w:val="26"/>
  </w:num>
  <w:num w:numId="32">
    <w:abstractNumId w:val="14"/>
  </w:num>
  <w:num w:numId="33">
    <w:abstractNumId w:val="25"/>
  </w:num>
  <w:num w:numId="34">
    <w:abstractNumId w:val="20"/>
  </w:num>
  <w:num w:numId="35">
    <w:abstractNumId w:val="11"/>
  </w:num>
  <w:num w:numId="36">
    <w:abstractNumId w:val="15"/>
  </w:num>
  <w:num w:numId="37">
    <w:abstractNumId w:val="30"/>
  </w:num>
  <w:num w:numId="38">
    <w:abstractNumId w:val="21"/>
  </w:num>
  <w:num w:numId="39">
    <w:abstractNumId w:val="33"/>
  </w:num>
  <w:num w:numId="40">
    <w:abstractNumId w:val="18"/>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F9B"/>
    <w:rsid w:val="00001899"/>
    <w:rsid w:val="00002303"/>
    <w:rsid w:val="000049AD"/>
    <w:rsid w:val="0000681B"/>
    <w:rsid w:val="000133C0"/>
    <w:rsid w:val="00014C4E"/>
    <w:rsid w:val="00017107"/>
    <w:rsid w:val="000202E2"/>
    <w:rsid w:val="00022441"/>
    <w:rsid w:val="0002261E"/>
    <w:rsid w:val="00024839"/>
    <w:rsid w:val="00026871"/>
    <w:rsid w:val="00037A98"/>
    <w:rsid w:val="000427FB"/>
    <w:rsid w:val="0004455E"/>
    <w:rsid w:val="00047CB5"/>
    <w:rsid w:val="00047DB4"/>
    <w:rsid w:val="00051FAA"/>
    <w:rsid w:val="000572A9"/>
    <w:rsid w:val="00060082"/>
    <w:rsid w:val="00061325"/>
    <w:rsid w:val="000733AC"/>
    <w:rsid w:val="00074B81"/>
    <w:rsid w:val="00074D22"/>
    <w:rsid w:val="00075081"/>
    <w:rsid w:val="0007528A"/>
    <w:rsid w:val="0007756C"/>
    <w:rsid w:val="000811AB"/>
    <w:rsid w:val="000812AD"/>
    <w:rsid w:val="00083C5F"/>
    <w:rsid w:val="0009172C"/>
    <w:rsid w:val="000930EC"/>
    <w:rsid w:val="00095E61"/>
    <w:rsid w:val="000966C1"/>
    <w:rsid w:val="000970AC"/>
    <w:rsid w:val="000A1167"/>
    <w:rsid w:val="000A4428"/>
    <w:rsid w:val="000A6D40"/>
    <w:rsid w:val="000A6D8E"/>
    <w:rsid w:val="000A7BC3"/>
    <w:rsid w:val="000B1661"/>
    <w:rsid w:val="000B2E88"/>
    <w:rsid w:val="000B4603"/>
    <w:rsid w:val="000B601E"/>
    <w:rsid w:val="000B7331"/>
    <w:rsid w:val="000C09BE"/>
    <w:rsid w:val="000C1380"/>
    <w:rsid w:val="000C554F"/>
    <w:rsid w:val="000D0DC5"/>
    <w:rsid w:val="000D15FF"/>
    <w:rsid w:val="000D28DF"/>
    <w:rsid w:val="000D488B"/>
    <w:rsid w:val="000D68DF"/>
    <w:rsid w:val="000E138D"/>
    <w:rsid w:val="000E187A"/>
    <w:rsid w:val="000E2D61"/>
    <w:rsid w:val="000E450E"/>
    <w:rsid w:val="000E6259"/>
    <w:rsid w:val="000F4677"/>
    <w:rsid w:val="000F4A69"/>
    <w:rsid w:val="000F5BE0"/>
    <w:rsid w:val="00100587"/>
    <w:rsid w:val="0010284E"/>
    <w:rsid w:val="00103122"/>
    <w:rsid w:val="0010336A"/>
    <w:rsid w:val="001050F1"/>
    <w:rsid w:val="00105AEA"/>
    <w:rsid w:val="00106DAF"/>
    <w:rsid w:val="00112BB3"/>
    <w:rsid w:val="00114ABE"/>
    <w:rsid w:val="00116023"/>
    <w:rsid w:val="00130389"/>
    <w:rsid w:val="00130DB3"/>
    <w:rsid w:val="00134A51"/>
    <w:rsid w:val="00137C28"/>
    <w:rsid w:val="00140727"/>
    <w:rsid w:val="00154D8D"/>
    <w:rsid w:val="00160628"/>
    <w:rsid w:val="00161344"/>
    <w:rsid w:val="00162195"/>
    <w:rsid w:val="00162D3A"/>
    <w:rsid w:val="0016322A"/>
    <w:rsid w:val="00165A21"/>
    <w:rsid w:val="001705CE"/>
    <w:rsid w:val="0017714B"/>
    <w:rsid w:val="001804DF"/>
    <w:rsid w:val="00181BDC"/>
    <w:rsid w:val="00181DB0"/>
    <w:rsid w:val="001829E3"/>
    <w:rsid w:val="00185263"/>
    <w:rsid w:val="001924C0"/>
    <w:rsid w:val="0019731E"/>
    <w:rsid w:val="001A09FE"/>
    <w:rsid w:val="001A15D1"/>
    <w:rsid w:val="001A67C9"/>
    <w:rsid w:val="001A69DE"/>
    <w:rsid w:val="001A713C"/>
    <w:rsid w:val="001B1C7C"/>
    <w:rsid w:val="001B398F"/>
    <w:rsid w:val="001B46C6"/>
    <w:rsid w:val="001B4B48"/>
    <w:rsid w:val="001B4D1F"/>
    <w:rsid w:val="001B60BC"/>
    <w:rsid w:val="001B733B"/>
    <w:rsid w:val="001B7681"/>
    <w:rsid w:val="001B7CAE"/>
    <w:rsid w:val="001C0772"/>
    <w:rsid w:val="001C0D4F"/>
    <w:rsid w:val="001C1BA3"/>
    <w:rsid w:val="001C1DEC"/>
    <w:rsid w:val="001C5736"/>
    <w:rsid w:val="001D647F"/>
    <w:rsid w:val="001D6857"/>
    <w:rsid w:val="001E0572"/>
    <w:rsid w:val="001E0A67"/>
    <w:rsid w:val="001E1028"/>
    <w:rsid w:val="001E14E2"/>
    <w:rsid w:val="001E6302"/>
    <w:rsid w:val="001E7DCB"/>
    <w:rsid w:val="001F3411"/>
    <w:rsid w:val="001F4287"/>
    <w:rsid w:val="001F4DBA"/>
    <w:rsid w:val="0020415E"/>
    <w:rsid w:val="00204FF4"/>
    <w:rsid w:val="0021056E"/>
    <w:rsid w:val="0021075D"/>
    <w:rsid w:val="0021165A"/>
    <w:rsid w:val="00211BC9"/>
    <w:rsid w:val="0021620C"/>
    <w:rsid w:val="00216E78"/>
    <w:rsid w:val="00217275"/>
    <w:rsid w:val="00236F4B"/>
    <w:rsid w:val="00242B0D"/>
    <w:rsid w:val="00242F9B"/>
    <w:rsid w:val="0024372B"/>
    <w:rsid w:val="002467C6"/>
    <w:rsid w:val="0024692A"/>
    <w:rsid w:val="00252BBA"/>
    <w:rsid w:val="00253123"/>
    <w:rsid w:val="00254F8F"/>
    <w:rsid w:val="002578CC"/>
    <w:rsid w:val="00264001"/>
    <w:rsid w:val="00266354"/>
    <w:rsid w:val="00267A18"/>
    <w:rsid w:val="00271F6C"/>
    <w:rsid w:val="00273462"/>
    <w:rsid w:val="0027395B"/>
    <w:rsid w:val="00275854"/>
    <w:rsid w:val="00281BC5"/>
    <w:rsid w:val="00283B41"/>
    <w:rsid w:val="00285F28"/>
    <w:rsid w:val="00286398"/>
    <w:rsid w:val="002A3C42"/>
    <w:rsid w:val="002A5D75"/>
    <w:rsid w:val="002B1B1A"/>
    <w:rsid w:val="002B7228"/>
    <w:rsid w:val="002C53EE"/>
    <w:rsid w:val="002D24F7"/>
    <w:rsid w:val="002D2799"/>
    <w:rsid w:val="002D2CD7"/>
    <w:rsid w:val="002D4DDC"/>
    <w:rsid w:val="002D4F75"/>
    <w:rsid w:val="002D6493"/>
    <w:rsid w:val="002D7AB6"/>
    <w:rsid w:val="002E06D0"/>
    <w:rsid w:val="002E1100"/>
    <w:rsid w:val="002E3C27"/>
    <w:rsid w:val="002E403A"/>
    <w:rsid w:val="002E7F3A"/>
    <w:rsid w:val="002F0FFB"/>
    <w:rsid w:val="002F1CA2"/>
    <w:rsid w:val="002F4EDB"/>
    <w:rsid w:val="002F6054"/>
    <w:rsid w:val="00306A20"/>
    <w:rsid w:val="00315713"/>
    <w:rsid w:val="0031686C"/>
    <w:rsid w:val="00316FE0"/>
    <w:rsid w:val="003204D2"/>
    <w:rsid w:val="0032605E"/>
    <w:rsid w:val="003275D1"/>
    <w:rsid w:val="00330B2A"/>
    <w:rsid w:val="00331E17"/>
    <w:rsid w:val="00333063"/>
    <w:rsid w:val="00333732"/>
    <w:rsid w:val="003408E3"/>
    <w:rsid w:val="00342858"/>
    <w:rsid w:val="00343480"/>
    <w:rsid w:val="00345E89"/>
    <w:rsid w:val="003522A1"/>
    <w:rsid w:val="0035254B"/>
    <w:rsid w:val="00353555"/>
    <w:rsid w:val="003565D4"/>
    <w:rsid w:val="003607FB"/>
    <w:rsid w:val="00360FD5"/>
    <w:rsid w:val="0036340D"/>
    <w:rsid w:val="003634A5"/>
    <w:rsid w:val="00366868"/>
    <w:rsid w:val="00367506"/>
    <w:rsid w:val="00370085"/>
    <w:rsid w:val="003744A7"/>
    <w:rsid w:val="00376235"/>
    <w:rsid w:val="0038163F"/>
    <w:rsid w:val="00381FB6"/>
    <w:rsid w:val="003836D3"/>
    <w:rsid w:val="00383A52"/>
    <w:rsid w:val="00391652"/>
    <w:rsid w:val="0039507F"/>
    <w:rsid w:val="0039742B"/>
    <w:rsid w:val="003A1260"/>
    <w:rsid w:val="003A295F"/>
    <w:rsid w:val="003A41DD"/>
    <w:rsid w:val="003A7033"/>
    <w:rsid w:val="003B47FE"/>
    <w:rsid w:val="003B5673"/>
    <w:rsid w:val="003B62C9"/>
    <w:rsid w:val="003C7176"/>
    <w:rsid w:val="003C7876"/>
    <w:rsid w:val="003D0929"/>
    <w:rsid w:val="003D4729"/>
    <w:rsid w:val="003D7DD6"/>
    <w:rsid w:val="003E0D56"/>
    <w:rsid w:val="003E27ED"/>
    <w:rsid w:val="003E5AAF"/>
    <w:rsid w:val="003E600D"/>
    <w:rsid w:val="003E64DF"/>
    <w:rsid w:val="003E6A5D"/>
    <w:rsid w:val="003F129C"/>
    <w:rsid w:val="003F193A"/>
    <w:rsid w:val="003F4207"/>
    <w:rsid w:val="003F5C46"/>
    <w:rsid w:val="003F6D22"/>
    <w:rsid w:val="003F7CBB"/>
    <w:rsid w:val="003F7D34"/>
    <w:rsid w:val="00412C8E"/>
    <w:rsid w:val="0041518D"/>
    <w:rsid w:val="0042221D"/>
    <w:rsid w:val="00424DD3"/>
    <w:rsid w:val="004269C5"/>
    <w:rsid w:val="00435939"/>
    <w:rsid w:val="00437CC7"/>
    <w:rsid w:val="00442B9C"/>
    <w:rsid w:val="00445EFA"/>
    <w:rsid w:val="0044738A"/>
    <w:rsid w:val="004473D3"/>
    <w:rsid w:val="00452231"/>
    <w:rsid w:val="00452BC7"/>
    <w:rsid w:val="00453737"/>
    <w:rsid w:val="00460C13"/>
    <w:rsid w:val="00463228"/>
    <w:rsid w:val="00463782"/>
    <w:rsid w:val="004667E0"/>
    <w:rsid w:val="0046760E"/>
    <w:rsid w:val="00470E10"/>
    <w:rsid w:val="00477A97"/>
    <w:rsid w:val="00481343"/>
    <w:rsid w:val="0048549E"/>
    <w:rsid w:val="00490FE7"/>
    <w:rsid w:val="00493347"/>
    <w:rsid w:val="00496092"/>
    <w:rsid w:val="004A08DB"/>
    <w:rsid w:val="004A25D0"/>
    <w:rsid w:val="004A37E8"/>
    <w:rsid w:val="004A7549"/>
    <w:rsid w:val="004B09D4"/>
    <w:rsid w:val="004B1D24"/>
    <w:rsid w:val="004B252C"/>
    <w:rsid w:val="004B309D"/>
    <w:rsid w:val="004B330A"/>
    <w:rsid w:val="004B7C8E"/>
    <w:rsid w:val="004C3D3C"/>
    <w:rsid w:val="004D08B7"/>
    <w:rsid w:val="004D0EDC"/>
    <w:rsid w:val="004D1220"/>
    <w:rsid w:val="004D14B3"/>
    <w:rsid w:val="004D1529"/>
    <w:rsid w:val="004D2253"/>
    <w:rsid w:val="004D5514"/>
    <w:rsid w:val="004D56C3"/>
    <w:rsid w:val="004E0338"/>
    <w:rsid w:val="004E4FF3"/>
    <w:rsid w:val="004E56A8"/>
    <w:rsid w:val="004F3B55"/>
    <w:rsid w:val="004F409F"/>
    <w:rsid w:val="004F4E46"/>
    <w:rsid w:val="004F6B7D"/>
    <w:rsid w:val="005015F6"/>
    <w:rsid w:val="005030C4"/>
    <w:rsid w:val="005031C5"/>
    <w:rsid w:val="00504FDC"/>
    <w:rsid w:val="005120CC"/>
    <w:rsid w:val="00512B7B"/>
    <w:rsid w:val="00514EA1"/>
    <w:rsid w:val="0051798B"/>
    <w:rsid w:val="00521F5A"/>
    <w:rsid w:val="00525E06"/>
    <w:rsid w:val="00526454"/>
    <w:rsid w:val="00531823"/>
    <w:rsid w:val="00534ECC"/>
    <w:rsid w:val="0053720D"/>
    <w:rsid w:val="00537745"/>
    <w:rsid w:val="00540EF5"/>
    <w:rsid w:val="00541BF3"/>
    <w:rsid w:val="00541CD3"/>
    <w:rsid w:val="00543270"/>
    <w:rsid w:val="00546359"/>
    <w:rsid w:val="005476FA"/>
    <w:rsid w:val="0055595E"/>
    <w:rsid w:val="005563FC"/>
    <w:rsid w:val="00557988"/>
    <w:rsid w:val="00562C49"/>
    <w:rsid w:val="00562DEF"/>
    <w:rsid w:val="0056321A"/>
    <w:rsid w:val="00563A35"/>
    <w:rsid w:val="00566596"/>
    <w:rsid w:val="0057076C"/>
    <w:rsid w:val="005741E9"/>
    <w:rsid w:val="005748CF"/>
    <w:rsid w:val="00575F77"/>
    <w:rsid w:val="005779C4"/>
    <w:rsid w:val="00584270"/>
    <w:rsid w:val="00584738"/>
    <w:rsid w:val="005920B0"/>
    <w:rsid w:val="0059380D"/>
    <w:rsid w:val="00595A8F"/>
    <w:rsid w:val="005977C2"/>
    <w:rsid w:val="00597BF2"/>
    <w:rsid w:val="005B134E"/>
    <w:rsid w:val="005B2039"/>
    <w:rsid w:val="005B344F"/>
    <w:rsid w:val="005B3FBA"/>
    <w:rsid w:val="005B4A1D"/>
    <w:rsid w:val="005B674D"/>
    <w:rsid w:val="005C0CBE"/>
    <w:rsid w:val="005C1FCF"/>
    <w:rsid w:val="005D1885"/>
    <w:rsid w:val="005D4A38"/>
    <w:rsid w:val="005E2EEA"/>
    <w:rsid w:val="005E3708"/>
    <w:rsid w:val="005E3CCD"/>
    <w:rsid w:val="005E3D6B"/>
    <w:rsid w:val="005E5B55"/>
    <w:rsid w:val="005E5E4A"/>
    <w:rsid w:val="005E693D"/>
    <w:rsid w:val="005E69FC"/>
    <w:rsid w:val="005E75BF"/>
    <w:rsid w:val="005F57BA"/>
    <w:rsid w:val="005F61E6"/>
    <w:rsid w:val="005F6C45"/>
    <w:rsid w:val="006002D8"/>
    <w:rsid w:val="00605A69"/>
    <w:rsid w:val="00606C54"/>
    <w:rsid w:val="00614375"/>
    <w:rsid w:val="00615B0A"/>
    <w:rsid w:val="006168CF"/>
    <w:rsid w:val="0062011B"/>
    <w:rsid w:val="00622BD0"/>
    <w:rsid w:val="00626DE0"/>
    <w:rsid w:val="00630901"/>
    <w:rsid w:val="00631F8E"/>
    <w:rsid w:val="00636A5B"/>
    <w:rsid w:val="00636EE9"/>
    <w:rsid w:val="00640950"/>
    <w:rsid w:val="00640A17"/>
    <w:rsid w:val="00641AE7"/>
    <w:rsid w:val="00642629"/>
    <w:rsid w:val="006432F0"/>
    <w:rsid w:val="0065293D"/>
    <w:rsid w:val="00653EFC"/>
    <w:rsid w:val="00654021"/>
    <w:rsid w:val="00654F51"/>
    <w:rsid w:val="00661045"/>
    <w:rsid w:val="00666DA8"/>
    <w:rsid w:val="00671057"/>
    <w:rsid w:val="00675AAF"/>
    <w:rsid w:val="0068031A"/>
    <w:rsid w:val="00681B2F"/>
    <w:rsid w:val="00682380"/>
    <w:rsid w:val="0068335F"/>
    <w:rsid w:val="00683A7B"/>
    <w:rsid w:val="00687217"/>
    <w:rsid w:val="00693302"/>
    <w:rsid w:val="0069640B"/>
    <w:rsid w:val="006A1661"/>
    <w:rsid w:val="006A1B83"/>
    <w:rsid w:val="006A21CD"/>
    <w:rsid w:val="006A5918"/>
    <w:rsid w:val="006B21B2"/>
    <w:rsid w:val="006B4A4A"/>
    <w:rsid w:val="006C19B2"/>
    <w:rsid w:val="006C5BB8"/>
    <w:rsid w:val="006C6936"/>
    <w:rsid w:val="006C7B01"/>
    <w:rsid w:val="006D0FE8"/>
    <w:rsid w:val="006D4B2B"/>
    <w:rsid w:val="006D4F3C"/>
    <w:rsid w:val="006D5C66"/>
    <w:rsid w:val="006E1B3C"/>
    <w:rsid w:val="006E23FB"/>
    <w:rsid w:val="006E325A"/>
    <w:rsid w:val="006E33EC"/>
    <w:rsid w:val="006E3802"/>
    <w:rsid w:val="006E6C02"/>
    <w:rsid w:val="006F231A"/>
    <w:rsid w:val="006F6B55"/>
    <w:rsid w:val="006F6EBC"/>
    <w:rsid w:val="006F788D"/>
    <w:rsid w:val="006F78E1"/>
    <w:rsid w:val="00701072"/>
    <w:rsid w:val="00702054"/>
    <w:rsid w:val="007035A4"/>
    <w:rsid w:val="0071103E"/>
    <w:rsid w:val="00711799"/>
    <w:rsid w:val="00712B78"/>
    <w:rsid w:val="0071393B"/>
    <w:rsid w:val="00713EE2"/>
    <w:rsid w:val="007177FC"/>
    <w:rsid w:val="00720C5E"/>
    <w:rsid w:val="00721701"/>
    <w:rsid w:val="00731835"/>
    <w:rsid w:val="007341F8"/>
    <w:rsid w:val="00734372"/>
    <w:rsid w:val="00734EB8"/>
    <w:rsid w:val="00735F8B"/>
    <w:rsid w:val="00742D1F"/>
    <w:rsid w:val="00743EBA"/>
    <w:rsid w:val="00744C8E"/>
    <w:rsid w:val="0074707E"/>
    <w:rsid w:val="00751582"/>
    <w:rsid w:val="007516DC"/>
    <w:rsid w:val="00754B80"/>
    <w:rsid w:val="00761918"/>
    <w:rsid w:val="00762F03"/>
    <w:rsid w:val="0076413B"/>
    <w:rsid w:val="007648AE"/>
    <w:rsid w:val="00764BF8"/>
    <w:rsid w:val="0076514D"/>
    <w:rsid w:val="00773D59"/>
    <w:rsid w:val="00781003"/>
    <w:rsid w:val="007911FD"/>
    <w:rsid w:val="00793930"/>
    <w:rsid w:val="00793DD1"/>
    <w:rsid w:val="00794FEC"/>
    <w:rsid w:val="007A003E"/>
    <w:rsid w:val="007A1965"/>
    <w:rsid w:val="007A2ED1"/>
    <w:rsid w:val="007A4BE6"/>
    <w:rsid w:val="007B0DC6"/>
    <w:rsid w:val="007B1094"/>
    <w:rsid w:val="007B1762"/>
    <w:rsid w:val="007B3320"/>
    <w:rsid w:val="007B6939"/>
    <w:rsid w:val="007C301F"/>
    <w:rsid w:val="007C4540"/>
    <w:rsid w:val="007C65AF"/>
    <w:rsid w:val="007D135D"/>
    <w:rsid w:val="007D730F"/>
    <w:rsid w:val="007D7CD8"/>
    <w:rsid w:val="007E3AA7"/>
    <w:rsid w:val="007F0524"/>
    <w:rsid w:val="007F737D"/>
    <w:rsid w:val="0080308E"/>
    <w:rsid w:val="00805303"/>
    <w:rsid w:val="00806705"/>
    <w:rsid w:val="00806738"/>
    <w:rsid w:val="008216D5"/>
    <w:rsid w:val="008249CE"/>
    <w:rsid w:val="00831A50"/>
    <w:rsid w:val="00831B3C"/>
    <w:rsid w:val="00831C89"/>
    <w:rsid w:val="00832114"/>
    <w:rsid w:val="00834C46"/>
    <w:rsid w:val="00835ACD"/>
    <w:rsid w:val="0084093E"/>
    <w:rsid w:val="00841CE1"/>
    <w:rsid w:val="008473D8"/>
    <w:rsid w:val="008528DC"/>
    <w:rsid w:val="00852B8C"/>
    <w:rsid w:val="008535EA"/>
    <w:rsid w:val="00854981"/>
    <w:rsid w:val="00864B2E"/>
    <w:rsid w:val="00865963"/>
    <w:rsid w:val="00871C1D"/>
    <w:rsid w:val="0087450E"/>
    <w:rsid w:val="00875A82"/>
    <w:rsid w:val="00876CA3"/>
    <w:rsid w:val="008772FE"/>
    <w:rsid w:val="008775F1"/>
    <w:rsid w:val="008821AE"/>
    <w:rsid w:val="00883D3A"/>
    <w:rsid w:val="008854F7"/>
    <w:rsid w:val="00885A9D"/>
    <w:rsid w:val="008929D2"/>
    <w:rsid w:val="00893636"/>
    <w:rsid w:val="00893B94"/>
    <w:rsid w:val="00896E9D"/>
    <w:rsid w:val="00896F11"/>
    <w:rsid w:val="008A1049"/>
    <w:rsid w:val="008A1C98"/>
    <w:rsid w:val="008A322D"/>
    <w:rsid w:val="008A4D72"/>
    <w:rsid w:val="008A6285"/>
    <w:rsid w:val="008A63B2"/>
    <w:rsid w:val="008B117B"/>
    <w:rsid w:val="008B345D"/>
    <w:rsid w:val="008C1E29"/>
    <w:rsid w:val="008C1FC2"/>
    <w:rsid w:val="008C2980"/>
    <w:rsid w:val="008C4DD6"/>
    <w:rsid w:val="008C5AFB"/>
    <w:rsid w:val="008D07FB"/>
    <w:rsid w:val="008D0C02"/>
    <w:rsid w:val="008D357D"/>
    <w:rsid w:val="008D435A"/>
    <w:rsid w:val="008D551B"/>
    <w:rsid w:val="008E387B"/>
    <w:rsid w:val="008E6087"/>
    <w:rsid w:val="008E758D"/>
    <w:rsid w:val="008F10A7"/>
    <w:rsid w:val="008F755D"/>
    <w:rsid w:val="008F7A39"/>
    <w:rsid w:val="009021E8"/>
    <w:rsid w:val="00904677"/>
    <w:rsid w:val="00905EE2"/>
    <w:rsid w:val="00911440"/>
    <w:rsid w:val="00911712"/>
    <w:rsid w:val="00911B27"/>
    <w:rsid w:val="009170BE"/>
    <w:rsid w:val="00920B55"/>
    <w:rsid w:val="009262C9"/>
    <w:rsid w:val="00930EB9"/>
    <w:rsid w:val="00933DC7"/>
    <w:rsid w:val="009418F4"/>
    <w:rsid w:val="00942BBC"/>
    <w:rsid w:val="00944180"/>
    <w:rsid w:val="00944AA0"/>
    <w:rsid w:val="00947DA2"/>
    <w:rsid w:val="00951177"/>
    <w:rsid w:val="0095221C"/>
    <w:rsid w:val="009673E8"/>
    <w:rsid w:val="00974DB8"/>
    <w:rsid w:val="00980661"/>
    <w:rsid w:val="0098093B"/>
    <w:rsid w:val="0098257B"/>
    <w:rsid w:val="009876D4"/>
    <w:rsid w:val="009914A5"/>
    <w:rsid w:val="009934B4"/>
    <w:rsid w:val="0099548E"/>
    <w:rsid w:val="00996456"/>
    <w:rsid w:val="00996A12"/>
    <w:rsid w:val="00997B0F"/>
    <w:rsid w:val="009A1CAD"/>
    <w:rsid w:val="009A3440"/>
    <w:rsid w:val="009A5832"/>
    <w:rsid w:val="009A6838"/>
    <w:rsid w:val="009B24B5"/>
    <w:rsid w:val="009B4EBC"/>
    <w:rsid w:val="009B5ABB"/>
    <w:rsid w:val="009B73CE"/>
    <w:rsid w:val="009C2461"/>
    <w:rsid w:val="009C2BA2"/>
    <w:rsid w:val="009C6FE2"/>
    <w:rsid w:val="009C7674"/>
    <w:rsid w:val="009D004A"/>
    <w:rsid w:val="009D0743"/>
    <w:rsid w:val="009D5880"/>
    <w:rsid w:val="009E1FD4"/>
    <w:rsid w:val="009E3B07"/>
    <w:rsid w:val="009E51D1"/>
    <w:rsid w:val="009E5531"/>
    <w:rsid w:val="009F171E"/>
    <w:rsid w:val="009F3D2F"/>
    <w:rsid w:val="009F7052"/>
    <w:rsid w:val="00A005E3"/>
    <w:rsid w:val="00A02668"/>
    <w:rsid w:val="00A02801"/>
    <w:rsid w:val="00A04384"/>
    <w:rsid w:val="00A06A39"/>
    <w:rsid w:val="00A07F58"/>
    <w:rsid w:val="00A131CB"/>
    <w:rsid w:val="00A14847"/>
    <w:rsid w:val="00A16D6D"/>
    <w:rsid w:val="00A21383"/>
    <w:rsid w:val="00A2199F"/>
    <w:rsid w:val="00A21B31"/>
    <w:rsid w:val="00A2360E"/>
    <w:rsid w:val="00A26E0C"/>
    <w:rsid w:val="00A31D74"/>
    <w:rsid w:val="00A32FCB"/>
    <w:rsid w:val="00A34C25"/>
    <w:rsid w:val="00A3507D"/>
    <w:rsid w:val="00A3717A"/>
    <w:rsid w:val="00A4088C"/>
    <w:rsid w:val="00A4456B"/>
    <w:rsid w:val="00A448D4"/>
    <w:rsid w:val="00A452E0"/>
    <w:rsid w:val="00A51EA5"/>
    <w:rsid w:val="00A53742"/>
    <w:rsid w:val="00A54FC5"/>
    <w:rsid w:val="00A557A1"/>
    <w:rsid w:val="00A63059"/>
    <w:rsid w:val="00A63AE3"/>
    <w:rsid w:val="00A651A4"/>
    <w:rsid w:val="00A71361"/>
    <w:rsid w:val="00A746E2"/>
    <w:rsid w:val="00A81FF2"/>
    <w:rsid w:val="00A83904"/>
    <w:rsid w:val="00A90A79"/>
    <w:rsid w:val="00A92034"/>
    <w:rsid w:val="00A95F9F"/>
    <w:rsid w:val="00A96B30"/>
    <w:rsid w:val="00AA59B5"/>
    <w:rsid w:val="00AA7777"/>
    <w:rsid w:val="00AA7B84"/>
    <w:rsid w:val="00AC0B4C"/>
    <w:rsid w:val="00AC1164"/>
    <w:rsid w:val="00AC2296"/>
    <w:rsid w:val="00AC2754"/>
    <w:rsid w:val="00AC48B0"/>
    <w:rsid w:val="00AC4ACD"/>
    <w:rsid w:val="00AC5DFB"/>
    <w:rsid w:val="00AD13DC"/>
    <w:rsid w:val="00AD434B"/>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0534"/>
    <w:rsid w:val="00B024B9"/>
    <w:rsid w:val="00B077FA"/>
    <w:rsid w:val="00B127D7"/>
    <w:rsid w:val="00B13B0C"/>
    <w:rsid w:val="00B1453A"/>
    <w:rsid w:val="00B20F82"/>
    <w:rsid w:val="00B25BD5"/>
    <w:rsid w:val="00B26077"/>
    <w:rsid w:val="00B34079"/>
    <w:rsid w:val="00B3793A"/>
    <w:rsid w:val="00B401BA"/>
    <w:rsid w:val="00B407E4"/>
    <w:rsid w:val="00B425B6"/>
    <w:rsid w:val="00B42A72"/>
    <w:rsid w:val="00B441AE"/>
    <w:rsid w:val="00B45A65"/>
    <w:rsid w:val="00B45F33"/>
    <w:rsid w:val="00B46D50"/>
    <w:rsid w:val="00B53170"/>
    <w:rsid w:val="00B548B9"/>
    <w:rsid w:val="00B554D0"/>
    <w:rsid w:val="00B55A58"/>
    <w:rsid w:val="00B56DBE"/>
    <w:rsid w:val="00B62999"/>
    <w:rsid w:val="00B63BE3"/>
    <w:rsid w:val="00B64885"/>
    <w:rsid w:val="00B66810"/>
    <w:rsid w:val="00B67D06"/>
    <w:rsid w:val="00B72BE3"/>
    <w:rsid w:val="00B73B80"/>
    <w:rsid w:val="00B770C7"/>
    <w:rsid w:val="00B80F26"/>
    <w:rsid w:val="00B822BD"/>
    <w:rsid w:val="00B842F4"/>
    <w:rsid w:val="00B91A7B"/>
    <w:rsid w:val="00B929DD"/>
    <w:rsid w:val="00B93AF6"/>
    <w:rsid w:val="00B95405"/>
    <w:rsid w:val="00B963F1"/>
    <w:rsid w:val="00B97857"/>
    <w:rsid w:val="00BA020A"/>
    <w:rsid w:val="00BB02A4"/>
    <w:rsid w:val="00BB1270"/>
    <w:rsid w:val="00BB1E44"/>
    <w:rsid w:val="00BB5267"/>
    <w:rsid w:val="00BB52B8"/>
    <w:rsid w:val="00BB59D8"/>
    <w:rsid w:val="00BB7E69"/>
    <w:rsid w:val="00BC0E51"/>
    <w:rsid w:val="00BC3C1F"/>
    <w:rsid w:val="00BC47EC"/>
    <w:rsid w:val="00BC7CE7"/>
    <w:rsid w:val="00BD295E"/>
    <w:rsid w:val="00BD3FE1"/>
    <w:rsid w:val="00BD4664"/>
    <w:rsid w:val="00BE1193"/>
    <w:rsid w:val="00BF4849"/>
    <w:rsid w:val="00BF4EA7"/>
    <w:rsid w:val="00C00EDB"/>
    <w:rsid w:val="00C02863"/>
    <w:rsid w:val="00C0383A"/>
    <w:rsid w:val="00C04ABA"/>
    <w:rsid w:val="00C05253"/>
    <w:rsid w:val="00C067FF"/>
    <w:rsid w:val="00C12862"/>
    <w:rsid w:val="00C138C9"/>
    <w:rsid w:val="00C13A07"/>
    <w:rsid w:val="00C13D28"/>
    <w:rsid w:val="00C14585"/>
    <w:rsid w:val="00C165A0"/>
    <w:rsid w:val="00C216CE"/>
    <w:rsid w:val="00C2184F"/>
    <w:rsid w:val="00C22A78"/>
    <w:rsid w:val="00C23C7E"/>
    <w:rsid w:val="00C246C5"/>
    <w:rsid w:val="00C25A82"/>
    <w:rsid w:val="00C30A2A"/>
    <w:rsid w:val="00C33993"/>
    <w:rsid w:val="00C4069E"/>
    <w:rsid w:val="00C41ADC"/>
    <w:rsid w:val="00C44149"/>
    <w:rsid w:val="00C44410"/>
    <w:rsid w:val="00C44A15"/>
    <w:rsid w:val="00C4630A"/>
    <w:rsid w:val="00C523F0"/>
    <w:rsid w:val="00C526D2"/>
    <w:rsid w:val="00C53A91"/>
    <w:rsid w:val="00C5794E"/>
    <w:rsid w:val="00C60968"/>
    <w:rsid w:val="00C63D39"/>
    <w:rsid w:val="00C63EDD"/>
    <w:rsid w:val="00C65B36"/>
    <w:rsid w:val="00C708C0"/>
    <w:rsid w:val="00C7292E"/>
    <w:rsid w:val="00C74E88"/>
    <w:rsid w:val="00C80924"/>
    <w:rsid w:val="00C81C3A"/>
    <w:rsid w:val="00C8286B"/>
    <w:rsid w:val="00C87647"/>
    <w:rsid w:val="00C947F8"/>
    <w:rsid w:val="00C94F32"/>
    <w:rsid w:val="00C9515F"/>
    <w:rsid w:val="00C963C5"/>
    <w:rsid w:val="00CA030C"/>
    <w:rsid w:val="00CA1F41"/>
    <w:rsid w:val="00CA32EE"/>
    <w:rsid w:val="00CA5771"/>
    <w:rsid w:val="00CA6A1A"/>
    <w:rsid w:val="00CC1E75"/>
    <w:rsid w:val="00CC2E0E"/>
    <w:rsid w:val="00CC361C"/>
    <w:rsid w:val="00CC435A"/>
    <w:rsid w:val="00CC474B"/>
    <w:rsid w:val="00CC658C"/>
    <w:rsid w:val="00CC67BF"/>
    <w:rsid w:val="00CD0843"/>
    <w:rsid w:val="00CD5A78"/>
    <w:rsid w:val="00CD7345"/>
    <w:rsid w:val="00CE372E"/>
    <w:rsid w:val="00CF0A1B"/>
    <w:rsid w:val="00CF19F6"/>
    <w:rsid w:val="00CF2F4F"/>
    <w:rsid w:val="00CF536D"/>
    <w:rsid w:val="00D02E9D"/>
    <w:rsid w:val="00D10C5C"/>
    <w:rsid w:val="00D10CB8"/>
    <w:rsid w:val="00D12806"/>
    <w:rsid w:val="00D12D44"/>
    <w:rsid w:val="00D15018"/>
    <w:rsid w:val="00D158AC"/>
    <w:rsid w:val="00D1694C"/>
    <w:rsid w:val="00D175EA"/>
    <w:rsid w:val="00D20F5E"/>
    <w:rsid w:val="00D23B76"/>
    <w:rsid w:val="00D24B4A"/>
    <w:rsid w:val="00D264BB"/>
    <w:rsid w:val="00D375EE"/>
    <w:rsid w:val="00D379A3"/>
    <w:rsid w:val="00D45FF3"/>
    <w:rsid w:val="00D512CF"/>
    <w:rsid w:val="00D528B9"/>
    <w:rsid w:val="00D53186"/>
    <w:rsid w:val="00D5487D"/>
    <w:rsid w:val="00D60140"/>
    <w:rsid w:val="00D6024A"/>
    <w:rsid w:val="00D608B5"/>
    <w:rsid w:val="00D62676"/>
    <w:rsid w:val="00D64739"/>
    <w:rsid w:val="00D71F99"/>
    <w:rsid w:val="00D73CA4"/>
    <w:rsid w:val="00D73D71"/>
    <w:rsid w:val="00D74396"/>
    <w:rsid w:val="00D80284"/>
    <w:rsid w:val="00D8150A"/>
    <w:rsid w:val="00D81F71"/>
    <w:rsid w:val="00D8642D"/>
    <w:rsid w:val="00D90A5E"/>
    <w:rsid w:val="00D91A68"/>
    <w:rsid w:val="00D95A68"/>
    <w:rsid w:val="00DA17C7"/>
    <w:rsid w:val="00DA6A9A"/>
    <w:rsid w:val="00DB1EFD"/>
    <w:rsid w:val="00DB3EAF"/>
    <w:rsid w:val="00DB46C6"/>
    <w:rsid w:val="00DC3203"/>
    <w:rsid w:val="00DC3C99"/>
    <w:rsid w:val="00DC4B00"/>
    <w:rsid w:val="00DC52F5"/>
    <w:rsid w:val="00DC5FD0"/>
    <w:rsid w:val="00DD0354"/>
    <w:rsid w:val="00DD27D7"/>
    <w:rsid w:val="00DD458C"/>
    <w:rsid w:val="00DD72E9"/>
    <w:rsid w:val="00DD7605"/>
    <w:rsid w:val="00DE2020"/>
    <w:rsid w:val="00DE3476"/>
    <w:rsid w:val="00DE7BEA"/>
    <w:rsid w:val="00DF5B84"/>
    <w:rsid w:val="00DF6D5B"/>
    <w:rsid w:val="00DF771B"/>
    <w:rsid w:val="00DF7EE2"/>
    <w:rsid w:val="00E01BAA"/>
    <w:rsid w:val="00E0282A"/>
    <w:rsid w:val="00E02F9B"/>
    <w:rsid w:val="00E07E14"/>
    <w:rsid w:val="00E14F94"/>
    <w:rsid w:val="00E17336"/>
    <w:rsid w:val="00E17D15"/>
    <w:rsid w:val="00E22B95"/>
    <w:rsid w:val="00E260F7"/>
    <w:rsid w:val="00E30331"/>
    <w:rsid w:val="00E30BB8"/>
    <w:rsid w:val="00E31F9C"/>
    <w:rsid w:val="00E40488"/>
    <w:rsid w:val="00E4706D"/>
    <w:rsid w:val="00E50367"/>
    <w:rsid w:val="00E513BC"/>
    <w:rsid w:val="00E51ABA"/>
    <w:rsid w:val="00E524CB"/>
    <w:rsid w:val="00E60318"/>
    <w:rsid w:val="00E6324A"/>
    <w:rsid w:val="00E643F3"/>
    <w:rsid w:val="00E65456"/>
    <w:rsid w:val="00E65A91"/>
    <w:rsid w:val="00E66188"/>
    <w:rsid w:val="00E664FB"/>
    <w:rsid w:val="00E672F0"/>
    <w:rsid w:val="00E70373"/>
    <w:rsid w:val="00E72E40"/>
    <w:rsid w:val="00E73665"/>
    <w:rsid w:val="00E73999"/>
    <w:rsid w:val="00E73BDC"/>
    <w:rsid w:val="00E73E9E"/>
    <w:rsid w:val="00E747FD"/>
    <w:rsid w:val="00E748BB"/>
    <w:rsid w:val="00E764DB"/>
    <w:rsid w:val="00E81660"/>
    <w:rsid w:val="00E854FE"/>
    <w:rsid w:val="00E87A73"/>
    <w:rsid w:val="00E906CC"/>
    <w:rsid w:val="00E939A0"/>
    <w:rsid w:val="00E97E4E"/>
    <w:rsid w:val="00EA1CC2"/>
    <w:rsid w:val="00EA2D76"/>
    <w:rsid w:val="00EA4644"/>
    <w:rsid w:val="00EA758A"/>
    <w:rsid w:val="00EB096F"/>
    <w:rsid w:val="00EB199F"/>
    <w:rsid w:val="00EB27C4"/>
    <w:rsid w:val="00EB5387"/>
    <w:rsid w:val="00EB5C10"/>
    <w:rsid w:val="00EB7322"/>
    <w:rsid w:val="00EC0FE9"/>
    <w:rsid w:val="00EC198B"/>
    <w:rsid w:val="00EC426D"/>
    <w:rsid w:val="00EC571B"/>
    <w:rsid w:val="00EC57D7"/>
    <w:rsid w:val="00EC6385"/>
    <w:rsid w:val="00ED1DE9"/>
    <w:rsid w:val="00ED23D4"/>
    <w:rsid w:val="00ED5E0B"/>
    <w:rsid w:val="00ED64AE"/>
    <w:rsid w:val="00EE37B6"/>
    <w:rsid w:val="00EE6595"/>
    <w:rsid w:val="00EF0F45"/>
    <w:rsid w:val="00EF273D"/>
    <w:rsid w:val="00EF7463"/>
    <w:rsid w:val="00EF7971"/>
    <w:rsid w:val="00F002EF"/>
    <w:rsid w:val="00F01EE9"/>
    <w:rsid w:val="00F04900"/>
    <w:rsid w:val="00F065A4"/>
    <w:rsid w:val="00F06BA9"/>
    <w:rsid w:val="00F126B9"/>
    <w:rsid w:val="00F12715"/>
    <w:rsid w:val="00F144D5"/>
    <w:rsid w:val="00F146F0"/>
    <w:rsid w:val="00F15039"/>
    <w:rsid w:val="00F20FF3"/>
    <w:rsid w:val="00F2190B"/>
    <w:rsid w:val="00F228B5"/>
    <w:rsid w:val="00F2389C"/>
    <w:rsid w:val="00F25C67"/>
    <w:rsid w:val="00F30DFF"/>
    <w:rsid w:val="00F31AC6"/>
    <w:rsid w:val="00F32B80"/>
    <w:rsid w:val="00F340EB"/>
    <w:rsid w:val="00F346D6"/>
    <w:rsid w:val="00F35285"/>
    <w:rsid w:val="00F43B9D"/>
    <w:rsid w:val="00F44D5E"/>
    <w:rsid w:val="00F53A35"/>
    <w:rsid w:val="00F55A3D"/>
    <w:rsid w:val="00F5744B"/>
    <w:rsid w:val="00F61209"/>
    <w:rsid w:val="00F6259E"/>
    <w:rsid w:val="00F65DD4"/>
    <w:rsid w:val="00F672B2"/>
    <w:rsid w:val="00F80AD3"/>
    <w:rsid w:val="00F82FCB"/>
    <w:rsid w:val="00F83973"/>
    <w:rsid w:val="00F87FA3"/>
    <w:rsid w:val="00F93D8C"/>
    <w:rsid w:val="00FA3102"/>
    <w:rsid w:val="00FA48D4"/>
    <w:rsid w:val="00FA54FA"/>
    <w:rsid w:val="00FA6D39"/>
    <w:rsid w:val="00FB227E"/>
    <w:rsid w:val="00FB3D61"/>
    <w:rsid w:val="00FB44CE"/>
    <w:rsid w:val="00FB5009"/>
    <w:rsid w:val="00FB76AB"/>
    <w:rsid w:val="00FD03FE"/>
    <w:rsid w:val="00FD126E"/>
    <w:rsid w:val="00FD3C36"/>
    <w:rsid w:val="00FD4D81"/>
    <w:rsid w:val="00FD7498"/>
    <w:rsid w:val="00FD7FB3"/>
    <w:rsid w:val="00FE158D"/>
    <w:rsid w:val="00FE4576"/>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DB5AC"/>
  <w15:docId w15:val="{044EF52C-5B3C-49A9-8CFE-BBE03E5C8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uiPriority w:val="9"/>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uiPriority w:val="9"/>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link w:val="Heading2"/>
    <w:uiPriority w:val="9"/>
    <w:rsid w:val="008D07FB"/>
    <w:rPr>
      <w:rFonts w:cs="Arial"/>
      <w:b/>
      <w:bCs/>
      <w:i/>
      <w:iCs/>
      <w:sz w:val="24"/>
      <w:szCs w:val="28"/>
    </w:rPr>
  </w:style>
  <w:style w:type="character" w:customStyle="1" w:styleId="Heading1Char">
    <w:name w:val="Heading 1 Char"/>
    <w:link w:val="Heading1"/>
    <w:uiPriority w:val="9"/>
    <w:rsid w:val="00AE1ED4"/>
    <w:rPr>
      <w:rFonts w:cs="Arial"/>
      <w:b/>
      <w:bCs/>
      <w:kern w:val="32"/>
      <w:sz w:val="24"/>
      <w:szCs w:val="32"/>
    </w:rPr>
  </w:style>
  <w:style w:type="character" w:customStyle="1" w:styleId="Heading3Char">
    <w:name w:val="Heading 3 Char"/>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link w:val="FootnoteText"/>
    <w:rsid w:val="006C19B2"/>
    <w:rPr>
      <w:sz w:val="22"/>
    </w:rPr>
  </w:style>
  <w:style w:type="character" w:styleId="FootnoteReference">
    <w:name w:val="footnote reference"/>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link w:val="EndnoteText"/>
    <w:rsid w:val="006C19B2"/>
    <w:rPr>
      <w:sz w:val="22"/>
    </w:rPr>
  </w:style>
  <w:style w:type="character" w:styleId="EndnoteReference">
    <w:name w:val="endnote reference"/>
    <w:rsid w:val="00EC571B"/>
    <w:rPr>
      <w:vertAlign w:val="superscript"/>
    </w:rPr>
  </w:style>
  <w:style w:type="character" w:customStyle="1" w:styleId="Heading4Char">
    <w:name w:val="Heading 4 Char"/>
    <w:link w:val="Heading4"/>
    <w:rsid w:val="00F43B9D"/>
    <w:rPr>
      <w:bCs/>
      <w:sz w:val="24"/>
      <w:szCs w:val="28"/>
    </w:rPr>
  </w:style>
  <w:style w:type="paragraph" w:styleId="Header">
    <w:name w:val="header"/>
    <w:basedOn w:val="Normal"/>
    <w:link w:val="HeaderChar"/>
    <w:uiPriority w:val="99"/>
    <w:rsid w:val="003F193A"/>
    <w:pPr>
      <w:tabs>
        <w:tab w:val="center" w:pos="4320"/>
        <w:tab w:val="right" w:pos="8640"/>
      </w:tabs>
      <w:spacing w:after="120" w:line="240" w:lineRule="auto"/>
      <w:contextualSpacing/>
    </w:pPr>
  </w:style>
  <w:style w:type="character" w:customStyle="1" w:styleId="HeaderChar">
    <w:name w:val="Header Char"/>
    <w:link w:val="Header"/>
    <w:uiPriority w:val="99"/>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uiPriority w:val="99"/>
    <w:unhideWhenUsed/>
    <w:rsid w:val="00242F9B"/>
    <w:rPr>
      <w:strike w:val="0"/>
      <w:dstrike w:val="0"/>
      <w:color w:val="316C9D"/>
      <w:u w:val="none"/>
      <w:effect w:val="none"/>
    </w:rPr>
  </w:style>
  <w:style w:type="character" w:styleId="Emphasis">
    <w:name w:val="Emphasis"/>
    <w:uiPriority w:val="20"/>
    <w:qFormat/>
    <w:rsid w:val="00C13A07"/>
    <w:rPr>
      <w:i/>
      <w:iCs/>
      <w:sz w:val="24"/>
      <w:szCs w:val="24"/>
      <w:bdr w:val="none" w:sz="0" w:space="0" w:color="auto" w:frame="1"/>
      <w:vertAlign w:val="baseline"/>
    </w:rPr>
  </w:style>
  <w:style w:type="paragraph" w:styleId="ListParagraph">
    <w:name w:val="List Paragraph"/>
    <w:basedOn w:val="Normal"/>
    <w:uiPriority w:val="34"/>
    <w:qFormat/>
    <w:rsid w:val="00C13A07"/>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C13A07"/>
    <w:pPr>
      <w:spacing w:before="100" w:beforeAutospacing="1" w:after="100" w:afterAutospacing="1" w:line="240" w:lineRule="auto"/>
    </w:pPr>
  </w:style>
  <w:style w:type="paragraph" w:styleId="BalloonText">
    <w:name w:val="Balloon Text"/>
    <w:basedOn w:val="Normal"/>
    <w:link w:val="BalloonTextChar"/>
    <w:uiPriority w:val="99"/>
    <w:unhideWhenUsed/>
    <w:rsid w:val="00C13A07"/>
    <w:pPr>
      <w:spacing w:line="240" w:lineRule="auto"/>
    </w:pPr>
    <w:rPr>
      <w:rFonts w:ascii="Tahoma" w:eastAsia="Calibri" w:hAnsi="Tahoma" w:cs="Tahoma"/>
      <w:sz w:val="16"/>
      <w:szCs w:val="16"/>
      <w:lang w:eastAsia="en-US"/>
    </w:rPr>
  </w:style>
  <w:style w:type="character" w:customStyle="1" w:styleId="BalloonTextChar">
    <w:name w:val="Balloon Text Char"/>
    <w:link w:val="BalloonText"/>
    <w:uiPriority w:val="99"/>
    <w:rsid w:val="00C13A07"/>
    <w:rPr>
      <w:rFonts w:ascii="Tahoma" w:eastAsia="Calibri" w:hAnsi="Tahoma" w:cs="Tahoma"/>
      <w:sz w:val="16"/>
      <w:szCs w:val="16"/>
      <w:lang w:eastAsia="en-US"/>
    </w:rPr>
  </w:style>
  <w:style w:type="character" w:customStyle="1" w:styleId="apple-converted-space">
    <w:name w:val="apple-converted-space"/>
    <w:rsid w:val="00C13A07"/>
  </w:style>
  <w:style w:type="character" w:styleId="CommentReference">
    <w:name w:val="annotation reference"/>
    <w:uiPriority w:val="99"/>
    <w:semiHidden/>
    <w:unhideWhenUsed/>
    <w:rsid w:val="00C13A07"/>
    <w:rPr>
      <w:sz w:val="16"/>
      <w:szCs w:val="16"/>
    </w:rPr>
  </w:style>
  <w:style w:type="paragraph" w:styleId="CommentText">
    <w:name w:val="annotation text"/>
    <w:basedOn w:val="Normal"/>
    <w:link w:val="CommentTextChar"/>
    <w:uiPriority w:val="99"/>
    <w:unhideWhenUsed/>
    <w:rsid w:val="00C13A07"/>
    <w:pPr>
      <w:spacing w:after="200" w:line="240" w:lineRule="auto"/>
    </w:pPr>
    <w:rPr>
      <w:rFonts w:ascii="Calibri" w:eastAsia="Calibri" w:hAnsi="Calibri"/>
      <w:sz w:val="20"/>
      <w:szCs w:val="20"/>
      <w:lang w:eastAsia="en-US"/>
    </w:rPr>
  </w:style>
  <w:style w:type="character" w:customStyle="1" w:styleId="CommentTextChar">
    <w:name w:val="Comment Text Char"/>
    <w:link w:val="CommentText"/>
    <w:uiPriority w:val="99"/>
    <w:rsid w:val="00C13A07"/>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C13A07"/>
    <w:rPr>
      <w:b/>
      <w:bCs/>
    </w:rPr>
  </w:style>
  <w:style w:type="character" w:customStyle="1" w:styleId="CommentSubjectChar">
    <w:name w:val="Comment Subject Char"/>
    <w:link w:val="CommentSubject"/>
    <w:uiPriority w:val="99"/>
    <w:semiHidden/>
    <w:rsid w:val="00C13A07"/>
    <w:rPr>
      <w:rFonts w:ascii="Calibri" w:eastAsia="Calibri" w:hAnsi="Calibri"/>
      <w:b/>
      <w:bCs/>
      <w:lang w:eastAsia="en-US"/>
    </w:rPr>
  </w:style>
  <w:style w:type="table" w:styleId="TableGrid">
    <w:name w:val="Table Grid"/>
    <w:basedOn w:val="TableNormal"/>
    <w:rsid w:val="00C13A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C13A07"/>
    <w:pPr>
      <w:spacing w:line="276" w:lineRule="auto"/>
      <w:jc w:val="center"/>
    </w:pPr>
    <w:rPr>
      <w:rFonts w:ascii="Calibri" w:eastAsia="Calibri" w:hAnsi="Calibri"/>
      <w:noProof/>
      <w:sz w:val="22"/>
      <w:szCs w:val="22"/>
      <w:lang w:val="en-US" w:eastAsia="en-US"/>
    </w:rPr>
  </w:style>
  <w:style w:type="character" w:customStyle="1" w:styleId="EndNoteBibliographyTitleChar">
    <w:name w:val="EndNote Bibliography Title Char"/>
    <w:link w:val="EndNoteBibliographyTitle"/>
    <w:rsid w:val="00C13A07"/>
    <w:rPr>
      <w:rFonts w:ascii="Calibri" w:eastAsia="Calibri" w:hAnsi="Calibri"/>
      <w:noProof/>
      <w:sz w:val="22"/>
      <w:szCs w:val="22"/>
      <w:lang w:val="en-US" w:eastAsia="en-US"/>
    </w:rPr>
  </w:style>
  <w:style w:type="paragraph" w:customStyle="1" w:styleId="EndNoteBibliography">
    <w:name w:val="EndNote Bibliography"/>
    <w:basedOn w:val="Normal"/>
    <w:link w:val="EndNoteBibliographyChar"/>
    <w:rsid w:val="00C13A07"/>
    <w:pPr>
      <w:spacing w:after="200" w:line="240" w:lineRule="auto"/>
    </w:pPr>
    <w:rPr>
      <w:rFonts w:ascii="Calibri" w:eastAsia="Calibri" w:hAnsi="Calibri"/>
      <w:noProof/>
      <w:sz w:val="22"/>
      <w:szCs w:val="22"/>
      <w:lang w:val="en-US" w:eastAsia="en-US"/>
    </w:rPr>
  </w:style>
  <w:style w:type="character" w:customStyle="1" w:styleId="EndNoteBibliographyChar">
    <w:name w:val="EndNote Bibliography Char"/>
    <w:link w:val="EndNoteBibliography"/>
    <w:rsid w:val="00C13A07"/>
    <w:rPr>
      <w:rFonts w:ascii="Calibri" w:eastAsia="Calibri" w:hAnsi="Calibri"/>
      <w:noProof/>
      <w:sz w:val="22"/>
      <w:szCs w:val="22"/>
      <w:lang w:val="en-US" w:eastAsia="en-US"/>
    </w:rPr>
  </w:style>
  <w:style w:type="paragraph" w:customStyle="1" w:styleId="Body1">
    <w:name w:val="Body 1"/>
    <w:rsid w:val="00C13A07"/>
    <w:pPr>
      <w:outlineLvl w:val="0"/>
    </w:pPr>
    <w:rPr>
      <w:rFonts w:eastAsia="Arial Unicode MS"/>
      <w:color w:val="000000"/>
      <w:sz w:val="24"/>
      <w:u w:color="000000"/>
    </w:rPr>
  </w:style>
  <w:style w:type="paragraph" w:styleId="Revision">
    <w:name w:val="Revision"/>
    <w:hidden/>
    <w:uiPriority w:val="99"/>
    <w:semiHidden/>
    <w:rsid w:val="00C13A07"/>
    <w:rPr>
      <w:rFonts w:ascii="Calibri" w:eastAsia="Calibri" w:hAnsi="Calibri"/>
      <w:sz w:val="22"/>
      <w:szCs w:val="22"/>
      <w:lang w:eastAsia="en-US"/>
    </w:rPr>
  </w:style>
  <w:style w:type="character" w:customStyle="1" w:styleId="personname">
    <w:name w:val="person_name"/>
    <w:rsid w:val="00C13A07"/>
  </w:style>
  <w:style w:type="character" w:customStyle="1" w:styleId="maintitle">
    <w:name w:val="maintitle"/>
    <w:rsid w:val="00C13A07"/>
  </w:style>
  <w:style w:type="paragraph" w:customStyle="1" w:styleId="articledetails">
    <w:name w:val="articledetails"/>
    <w:basedOn w:val="Normal"/>
    <w:rsid w:val="00C13A07"/>
    <w:pPr>
      <w:spacing w:before="100" w:beforeAutospacing="1" w:after="100" w:afterAutospacing="1" w:line="240" w:lineRule="auto"/>
    </w:pPr>
  </w:style>
  <w:style w:type="paragraph" w:customStyle="1" w:styleId="Default">
    <w:name w:val="Default"/>
    <w:rsid w:val="00C13A07"/>
    <w:pPr>
      <w:autoSpaceDE w:val="0"/>
      <w:autoSpaceDN w:val="0"/>
      <w:adjustRightInd w:val="0"/>
    </w:pPr>
    <w:rPr>
      <w:rFonts w:eastAsia="Calibri"/>
      <w:color w:val="000000"/>
      <w:sz w:val="24"/>
      <w:szCs w:val="24"/>
      <w:lang w:eastAsia="en-US"/>
    </w:rPr>
  </w:style>
  <w:style w:type="paragraph" w:customStyle="1" w:styleId="Title1">
    <w:name w:val="Title1"/>
    <w:basedOn w:val="Normal"/>
    <w:rsid w:val="00C13A07"/>
    <w:pPr>
      <w:spacing w:before="100" w:beforeAutospacing="1" w:after="100" w:afterAutospacing="1" w:line="240" w:lineRule="auto"/>
    </w:pPr>
  </w:style>
  <w:style w:type="paragraph" w:customStyle="1" w:styleId="desc">
    <w:name w:val="desc"/>
    <w:basedOn w:val="Normal"/>
    <w:rsid w:val="00C13A07"/>
    <w:pPr>
      <w:spacing w:before="100" w:beforeAutospacing="1" w:after="100" w:afterAutospacing="1" w:line="240" w:lineRule="auto"/>
    </w:pPr>
  </w:style>
  <w:style w:type="paragraph" w:customStyle="1" w:styleId="details">
    <w:name w:val="details"/>
    <w:basedOn w:val="Normal"/>
    <w:rsid w:val="00C13A07"/>
    <w:pPr>
      <w:spacing w:before="100" w:beforeAutospacing="1" w:after="100" w:afterAutospacing="1" w:line="240" w:lineRule="auto"/>
    </w:pPr>
  </w:style>
  <w:style w:type="character" w:customStyle="1" w:styleId="jrnl">
    <w:name w:val="jrnl"/>
    <w:rsid w:val="00C13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030878">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371227415">
      <w:bodyDiv w:val="1"/>
      <w:marLeft w:val="0"/>
      <w:marRight w:val="0"/>
      <w:marTop w:val="0"/>
      <w:marBottom w:val="0"/>
      <w:divBdr>
        <w:top w:val="none" w:sz="0" w:space="0" w:color="auto"/>
        <w:left w:val="none" w:sz="0" w:space="0" w:color="auto"/>
        <w:bottom w:val="none" w:sz="0" w:space="0" w:color="auto"/>
        <w:right w:val="none" w:sz="0" w:space="0" w:color="auto"/>
      </w:divBdr>
    </w:div>
    <w:div w:id="201425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earch.lancs.ac.uk/portal/en/people/mary-smyth(cb9e91ce-f9de-44ab-8ea6-103a4f5e549d).html" TargetMode="External"/><Relationship Id="rId13" Type="http://schemas.openxmlformats.org/officeDocument/2006/relationships/hyperlink" Target="http://dx.doi.org/10.1016/j.humov.2003.09.00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search.lancs.ac.uk/portal/en/publications/developmental-coordination-impairments-in-adulthood(cde84fec-10ec-4def-b97b-c793302422b2).html"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search.lancs.ac.uk/portal/en/people/mary-smyth(cb9e91ce-f9de-44ab-8ea6-103a4f5e549d).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x.doi.org/10.1016/j.humov.2003.09.002" TargetMode="External"/><Relationship Id="rId4" Type="http://schemas.openxmlformats.org/officeDocument/2006/relationships/settings" Target="settings.xml"/><Relationship Id="rId9" Type="http://schemas.openxmlformats.org/officeDocument/2006/relationships/hyperlink" Target="http://www.research.lancs.ac.uk/portal/en/publications/two-distinct-pathways-for-developmental-coordination-disorder-persistence-and-resolution(e4fe2e69-9492-43da-b2dc-8d5c037d8793).html" TargetMode="External"/><Relationship Id="rId14" Type="http://schemas.openxmlformats.org/officeDocument/2006/relationships/hyperlink" Target="https://www.ncbi.nlm.nih.gov/pubmed/76759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szi\AppData\Local\Temp\Temp1_TF_Template_Word_Windows_2010.zip\TF_Template_Word_Windows_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327D2-87F9-4923-9E1A-F258555FE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TF_Template_Word_Windows_2010</Template>
  <TotalTime>1</TotalTime>
  <Pages>29</Pages>
  <Words>6006</Words>
  <Characters>34236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TF_Template_Word_Windows_2010</vt:lpstr>
    </vt:vector>
  </TitlesOfParts>
  <Company>Informa Plc</Company>
  <LinksUpToDate>false</LinksUpToDate>
  <CharactersWithSpaces>40162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TF_Template_Word_Windows_2010</dc:title>
  <dc:creator>Marie Thomas</dc:creator>
  <cp:lastModifiedBy>Charlotte Vaughton</cp:lastModifiedBy>
  <cp:revision>2</cp:revision>
  <cp:lastPrinted>2017-11-14T07:55:00Z</cp:lastPrinted>
  <dcterms:created xsi:type="dcterms:W3CDTF">2018-01-30T11:35:00Z</dcterms:created>
  <dcterms:modified xsi:type="dcterms:W3CDTF">2018-01-30T11:35:00Z</dcterms:modified>
</cp:coreProperties>
</file>