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725D" w14:textId="77777777" w:rsidR="007952D2" w:rsidRPr="00BC32CF" w:rsidRDefault="007952D2" w:rsidP="00606DB8">
      <w:pPr>
        <w:spacing w:line="480" w:lineRule="auto"/>
        <w:jc w:val="both"/>
        <w:rPr>
          <w:rFonts w:ascii="Candara" w:hAnsi="Candara"/>
          <w:b/>
          <w:sz w:val="28"/>
          <w:szCs w:val="28"/>
        </w:rPr>
      </w:pPr>
      <w:r w:rsidRPr="00BC32CF">
        <w:rPr>
          <w:rFonts w:ascii="Candara" w:hAnsi="Candara"/>
          <w:b/>
          <w:sz w:val="28"/>
          <w:szCs w:val="28"/>
        </w:rPr>
        <w:t>Public Private Partnership</w:t>
      </w:r>
      <w:r w:rsidR="007D0BCF" w:rsidRPr="00BC32CF">
        <w:rPr>
          <w:rFonts w:ascii="Candara" w:hAnsi="Candara"/>
          <w:b/>
          <w:sz w:val="28"/>
          <w:szCs w:val="28"/>
        </w:rPr>
        <w:t>s</w:t>
      </w:r>
      <w:r w:rsidRPr="00BC32CF">
        <w:rPr>
          <w:rFonts w:ascii="Candara" w:hAnsi="Candara"/>
          <w:b/>
          <w:sz w:val="28"/>
          <w:szCs w:val="28"/>
        </w:rPr>
        <w:t xml:space="preserve"> (PPP) in </w:t>
      </w:r>
      <w:r w:rsidR="00ED26B6" w:rsidRPr="00BC32CF">
        <w:rPr>
          <w:rFonts w:ascii="Candara" w:hAnsi="Candara"/>
          <w:b/>
          <w:sz w:val="28"/>
          <w:szCs w:val="28"/>
        </w:rPr>
        <w:t>the Developing World</w:t>
      </w:r>
      <w:r w:rsidRPr="00BC32CF">
        <w:rPr>
          <w:rFonts w:ascii="Candara" w:hAnsi="Candara"/>
          <w:b/>
          <w:sz w:val="28"/>
          <w:szCs w:val="28"/>
        </w:rPr>
        <w:t>: Mitigating Financiers’ Risks</w:t>
      </w:r>
    </w:p>
    <w:p w14:paraId="1E233460" w14:textId="77777777" w:rsidR="00326A62" w:rsidRPr="00BC32CF" w:rsidRDefault="0044333C" w:rsidP="002B3BF8">
      <w:pPr>
        <w:pStyle w:val="Heading1"/>
        <w:spacing w:before="0" w:after="0" w:line="480" w:lineRule="auto"/>
        <w:jc w:val="both"/>
      </w:pPr>
      <w:r w:rsidRPr="00BC32CF">
        <w:t>Abstract</w:t>
      </w:r>
      <w:r w:rsidR="0021423F" w:rsidRPr="00BC32CF">
        <w:t>:</w:t>
      </w:r>
    </w:p>
    <w:p w14:paraId="479D1181" w14:textId="0012AC8F" w:rsidR="00133D14" w:rsidRPr="00BC32CF" w:rsidRDefault="002B3BF8" w:rsidP="00133D14">
      <w:pPr>
        <w:spacing w:line="480" w:lineRule="auto"/>
        <w:jc w:val="both"/>
        <w:rPr>
          <w:rFonts w:ascii="Times New Roman" w:hAnsi="Times New Roman"/>
          <w:sz w:val="24"/>
          <w:szCs w:val="24"/>
        </w:rPr>
      </w:pPr>
      <w:r w:rsidRPr="00BC32CF">
        <w:rPr>
          <w:rFonts w:ascii="Times New Roman" w:hAnsi="Times New Roman"/>
          <w:sz w:val="24"/>
          <w:szCs w:val="24"/>
        </w:rPr>
        <w:t xml:space="preserve">A major challenge for foreign lenders in financing PPP infrastructure projects in an emerging market is the bankability of country-related risks. Despite existing studies on country risks in international project financing, perspectives of foreign </w:t>
      </w:r>
      <w:r w:rsidR="00DD7F08" w:rsidRPr="00BC32CF">
        <w:rPr>
          <w:rFonts w:ascii="Times New Roman" w:hAnsi="Times New Roman"/>
          <w:sz w:val="24"/>
          <w:szCs w:val="24"/>
        </w:rPr>
        <w:t>financiers</w:t>
      </w:r>
      <w:r w:rsidRPr="00BC32CF">
        <w:rPr>
          <w:rFonts w:ascii="Times New Roman" w:hAnsi="Times New Roman"/>
          <w:sz w:val="24"/>
          <w:szCs w:val="24"/>
        </w:rPr>
        <w:t xml:space="preserve"> on bankability of country-specific risks in an emerging market is yet to be explored. Hen</w:t>
      </w:r>
      <w:r w:rsidR="00DD7F08" w:rsidRPr="00BC32CF">
        <w:rPr>
          <w:rFonts w:ascii="Times New Roman" w:hAnsi="Times New Roman"/>
          <w:sz w:val="24"/>
          <w:szCs w:val="24"/>
        </w:rPr>
        <w:t>ce, using a mixed methodology</w:t>
      </w:r>
      <w:r w:rsidRPr="00BC32CF">
        <w:rPr>
          <w:rFonts w:ascii="Times New Roman" w:hAnsi="Times New Roman"/>
          <w:sz w:val="24"/>
          <w:szCs w:val="24"/>
        </w:rPr>
        <w:t xml:space="preserve"> approach to research, three PFI/PPP projects in Sub Saharan Africa (Nigeria) were used to investigate the bankability requirements for political risk, sponsor, concession and legal risks in PPP loan applications. Focus group discussions and loan documentations obtained from foreign project </w:t>
      </w:r>
      <w:r w:rsidR="00593A13" w:rsidRPr="00BC32CF">
        <w:rPr>
          <w:rFonts w:ascii="Times New Roman" w:hAnsi="Times New Roman"/>
          <w:sz w:val="24"/>
          <w:szCs w:val="24"/>
        </w:rPr>
        <w:t>financiers with experience</w:t>
      </w:r>
      <w:r w:rsidRPr="00BC32CF">
        <w:rPr>
          <w:rFonts w:ascii="Times New Roman" w:hAnsi="Times New Roman"/>
          <w:sz w:val="24"/>
          <w:szCs w:val="24"/>
        </w:rPr>
        <w:t xml:space="preserve"> in </w:t>
      </w:r>
      <w:r w:rsidR="00593A13" w:rsidRPr="00BC32CF">
        <w:rPr>
          <w:rFonts w:ascii="Times New Roman" w:hAnsi="Times New Roman"/>
          <w:sz w:val="24"/>
          <w:szCs w:val="24"/>
        </w:rPr>
        <w:t>PPP</w:t>
      </w:r>
      <w:r w:rsidRPr="00BC32CF">
        <w:rPr>
          <w:rFonts w:ascii="Times New Roman" w:hAnsi="Times New Roman"/>
          <w:sz w:val="24"/>
          <w:szCs w:val="24"/>
        </w:rPr>
        <w:t xml:space="preserve"> </w:t>
      </w:r>
      <w:r w:rsidR="00593A13" w:rsidRPr="00BC32CF">
        <w:rPr>
          <w:rFonts w:ascii="Times New Roman" w:hAnsi="Times New Roman"/>
          <w:sz w:val="24"/>
          <w:szCs w:val="24"/>
        </w:rPr>
        <w:t xml:space="preserve">financing in Nigeria </w:t>
      </w:r>
      <w:r w:rsidRPr="00BC32CF">
        <w:rPr>
          <w:rFonts w:ascii="Times New Roman" w:hAnsi="Times New Roman"/>
          <w:sz w:val="24"/>
          <w:szCs w:val="24"/>
        </w:rPr>
        <w:t xml:space="preserve">were used as sources of evidence. Results identified </w:t>
      </w:r>
      <w:r w:rsidR="00CE10EA" w:rsidRPr="00BC32CF">
        <w:rPr>
          <w:rFonts w:ascii="Times New Roman" w:hAnsi="Times New Roman"/>
          <w:sz w:val="24"/>
          <w:szCs w:val="24"/>
        </w:rPr>
        <w:t>22</w:t>
      </w:r>
      <w:r w:rsidRPr="00BC32CF">
        <w:rPr>
          <w:rFonts w:ascii="Times New Roman" w:hAnsi="Times New Roman"/>
          <w:sz w:val="24"/>
          <w:szCs w:val="24"/>
        </w:rPr>
        <w:t xml:space="preserve"> bankability criteria for evaluating country-related risks (political risk, sponsor, concession and legal risks). These criteria were later put in a questionnaire survey to local and international project financiers with experiences in PPPs within Nigerian. Reliability analysis </w:t>
      </w:r>
      <w:r w:rsidR="00835464" w:rsidRPr="00BC32CF">
        <w:rPr>
          <w:rFonts w:ascii="Times New Roman" w:hAnsi="Times New Roman"/>
          <w:sz w:val="24"/>
          <w:szCs w:val="24"/>
        </w:rPr>
        <w:t>and significance index ranking were</w:t>
      </w:r>
      <w:r w:rsidRPr="00BC32CF">
        <w:rPr>
          <w:rFonts w:ascii="Times New Roman" w:hAnsi="Times New Roman"/>
          <w:sz w:val="24"/>
          <w:szCs w:val="24"/>
        </w:rPr>
        <w:t xml:space="preserve"> carried out. The significance index ranking helped ascertain the </w:t>
      </w:r>
      <w:r w:rsidR="00835464" w:rsidRPr="00BC32CF">
        <w:rPr>
          <w:rFonts w:ascii="Times New Roman" w:hAnsi="Times New Roman"/>
          <w:sz w:val="24"/>
          <w:szCs w:val="24"/>
        </w:rPr>
        <w:t>top 7 criteria</w:t>
      </w:r>
      <w:r w:rsidRPr="00BC32CF">
        <w:rPr>
          <w:rFonts w:ascii="Times New Roman" w:hAnsi="Times New Roman"/>
          <w:sz w:val="24"/>
          <w:szCs w:val="24"/>
        </w:rPr>
        <w:t xml:space="preserve"> influencing bankability of country-specific risks</w:t>
      </w:r>
      <w:r w:rsidR="00835464" w:rsidRPr="00BC32CF">
        <w:rPr>
          <w:rFonts w:ascii="Times New Roman" w:hAnsi="Times New Roman"/>
          <w:sz w:val="24"/>
          <w:szCs w:val="24"/>
        </w:rPr>
        <w:t xml:space="preserve"> in emerging market PPPs</w:t>
      </w:r>
      <w:r w:rsidRPr="00BC32CF">
        <w:rPr>
          <w:rFonts w:ascii="Times New Roman" w:hAnsi="Times New Roman"/>
          <w:sz w:val="24"/>
          <w:szCs w:val="24"/>
        </w:rPr>
        <w:t xml:space="preserve">. A </w:t>
      </w:r>
      <w:r w:rsidR="009A72A3" w:rsidRPr="00BC32CF">
        <w:rPr>
          <w:rFonts w:ascii="Times New Roman" w:hAnsi="Times New Roman"/>
          <w:sz w:val="24"/>
          <w:szCs w:val="24"/>
        </w:rPr>
        <w:t xml:space="preserve">conceptual </w:t>
      </w:r>
      <w:r w:rsidRPr="00BC32CF">
        <w:rPr>
          <w:rFonts w:ascii="Times New Roman" w:hAnsi="Times New Roman"/>
          <w:sz w:val="24"/>
          <w:szCs w:val="24"/>
        </w:rPr>
        <w:t>“Risk</w:t>
      </w:r>
      <w:r w:rsidR="009A72A3" w:rsidRPr="00BC32CF">
        <w:rPr>
          <w:rFonts w:ascii="Times New Roman" w:hAnsi="Times New Roman"/>
          <w:sz w:val="24"/>
          <w:szCs w:val="24"/>
        </w:rPr>
        <w:t xml:space="preserve"> and Bankability Framework</w:t>
      </w:r>
      <w:r w:rsidRPr="00BC32CF">
        <w:rPr>
          <w:rFonts w:ascii="Times New Roman" w:hAnsi="Times New Roman"/>
          <w:sz w:val="24"/>
          <w:szCs w:val="24"/>
        </w:rPr>
        <w:t>” was then constr</w:t>
      </w:r>
      <w:r w:rsidR="009A72A3" w:rsidRPr="00BC32CF">
        <w:rPr>
          <w:rFonts w:ascii="Times New Roman" w:hAnsi="Times New Roman"/>
          <w:sz w:val="24"/>
          <w:szCs w:val="24"/>
        </w:rPr>
        <w:t>ucted from the findings and</w:t>
      </w:r>
      <w:r w:rsidRPr="00BC32CF">
        <w:rPr>
          <w:rFonts w:ascii="Times New Roman" w:hAnsi="Times New Roman"/>
          <w:sz w:val="24"/>
          <w:szCs w:val="24"/>
        </w:rPr>
        <w:t xml:space="preserve"> validated with new data from other PPP financiers in emerging markets.  The </w:t>
      </w:r>
      <w:r w:rsidR="009A72A3" w:rsidRPr="00BC32CF">
        <w:rPr>
          <w:rFonts w:ascii="Times New Roman" w:hAnsi="Times New Roman"/>
          <w:sz w:val="24"/>
          <w:szCs w:val="24"/>
        </w:rPr>
        <w:t xml:space="preserve">proposed conceptual </w:t>
      </w:r>
      <w:r w:rsidRPr="00BC32CF">
        <w:rPr>
          <w:rFonts w:ascii="Times New Roman" w:hAnsi="Times New Roman"/>
          <w:sz w:val="24"/>
          <w:szCs w:val="24"/>
        </w:rPr>
        <w:t>frame</w:t>
      </w:r>
      <w:r w:rsidR="009A72A3" w:rsidRPr="00BC32CF">
        <w:rPr>
          <w:rFonts w:ascii="Times New Roman" w:hAnsi="Times New Roman"/>
          <w:sz w:val="24"/>
          <w:szCs w:val="24"/>
        </w:rPr>
        <w:t>work</w:t>
      </w:r>
      <w:r w:rsidRPr="00BC32CF">
        <w:rPr>
          <w:rFonts w:ascii="Times New Roman" w:hAnsi="Times New Roman"/>
          <w:sz w:val="24"/>
          <w:szCs w:val="24"/>
        </w:rPr>
        <w:t xml:space="preserve"> represents critical parameters for winning foreign </w:t>
      </w:r>
      <w:r w:rsidR="009A72A3" w:rsidRPr="00BC32CF">
        <w:rPr>
          <w:rFonts w:ascii="Times New Roman" w:hAnsi="Times New Roman"/>
          <w:sz w:val="24"/>
          <w:szCs w:val="24"/>
        </w:rPr>
        <w:t>financiers’</w:t>
      </w:r>
      <w:r w:rsidRPr="00BC32CF">
        <w:rPr>
          <w:rFonts w:ascii="Times New Roman" w:hAnsi="Times New Roman"/>
          <w:sz w:val="24"/>
          <w:szCs w:val="24"/>
        </w:rPr>
        <w:t xml:space="preserve"> approval for PPP loan applications from emerging market.</w:t>
      </w:r>
    </w:p>
    <w:p w14:paraId="6FB55867" w14:textId="77777777" w:rsidR="002B3BF8" w:rsidRPr="00BC32CF" w:rsidRDefault="002B3BF8" w:rsidP="00133D14">
      <w:pPr>
        <w:spacing w:line="480" w:lineRule="auto"/>
        <w:jc w:val="both"/>
        <w:rPr>
          <w:rFonts w:ascii="Times New Roman" w:hAnsi="Times New Roman"/>
          <w:sz w:val="24"/>
          <w:szCs w:val="24"/>
        </w:rPr>
      </w:pPr>
    </w:p>
    <w:p w14:paraId="1B0D5FC1" w14:textId="4DF57D84" w:rsidR="00570B50" w:rsidRPr="00BC32CF" w:rsidRDefault="0021423F" w:rsidP="00EE42D3">
      <w:pPr>
        <w:spacing w:line="480" w:lineRule="auto"/>
        <w:jc w:val="both"/>
        <w:rPr>
          <w:rFonts w:ascii="Times New Roman" w:hAnsi="Times New Roman"/>
          <w:sz w:val="24"/>
          <w:szCs w:val="24"/>
        </w:rPr>
      </w:pPr>
      <w:r w:rsidRPr="00BC32CF">
        <w:rPr>
          <w:rFonts w:ascii="Times New Roman" w:hAnsi="Times New Roman"/>
          <w:b/>
          <w:sz w:val="24"/>
          <w:szCs w:val="24"/>
          <w:u w:val="single"/>
        </w:rPr>
        <w:t>Keywords</w:t>
      </w:r>
      <w:r w:rsidRPr="00BC32CF">
        <w:rPr>
          <w:rFonts w:ascii="Times New Roman" w:hAnsi="Times New Roman"/>
          <w:sz w:val="24"/>
          <w:szCs w:val="24"/>
        </w:rPr>
        <w:t xml:space="preserve">: Public Private Partnerships (PPP); Emerging Markets; Risks; Bankability, Foreign </w:t>
      </w:r>
      <w:r w:rsidR="00FD6B70" w:rsidRPr="00BC32CF">
        <w:rPr>
          <w:rFonts w:ascii="Times New Roman" w:hAnsi="Times New Roman"/>
          <w:sz w:val="24"/>
          <w:szCs w:val="24"/>
        </w:rPr>
        <w:t>Financiers</w:t>
      </w:r>
      <w:r w:rsidRPr="00BC32CF">
        <w:rPr>
          <w:rFonts w:ascii="Times New Roman" w:hAnsi="Times New Roman"/>
          <w:sz w:val="24"/>
          <w:szCs w:val="24"/>
        </w:rPr>
        <w:t xml:space="preserve">. </w:t>
      </w:r>
      <w:r w:rsidR="00133D14" w:rsidRPr="00BC32CF">
        <w:rPr>
          <w:rFonts w:ascii="Times New Roman" w:hAnsi="Times New Roman"/>
          <w:sz w:val="24"/>
          <w:szCs w:val="24"/>
        </w:rPr>
        <w:br w:type="page"/>
      </w:r>
    </w:p>
    <w:p w14:paraId="6B1F3E29" w14:textId="77777777" w:rsidR="0044333C" w:rsidRPr="00BC32CF" w:rsidRDefault="0044333C" w:rsidP="00606DB8">
      <w:pPr>
        <w:pStyle w:val="Heading1"/>
        <w:numPr>
          <w:ilvl w:val="0"/>
          <w:numId w:val="10"/>
        </w:numPr>
        <w:spacing w:after="0" w:line="480" w:lineRule="auto"/>
        <w:jc w:val="both"/>
      </w:pPr>
      <w:r w:rsidRPr="00BC32CF">
        <w:lastRenderedPageBreak/>
        <w:t>Introduction</w:t>
      </w:r>
    </w:p>
    <w:p w14:paraId="28A09CF0" w14:textId="499A338E" w:rsidR="0021423F" w:rsidRPr="00BC32CF" w:rsidRDefault="0021423F" w:rsidP="00606DB8">
      <w:pPr>
        <w:spacing w:after="0" w:line="480" w:lineRule="auto"/>
        <w:jc w:val="both"/>
        <w:rPr>
          <w:rFonts w:ascii="Times New Roman" w:hAnsi="Times New Roman"/>
          <w:sz w:val="24"/>
          <w:szCs w:val="24"/>
        </w:rPr>
      </w:pPr>
      <w:r w:rsidRPr="00BC32CF">
        <w:rPr>
          <w:rFonts w:ascii="Times New Roman" w:hAnsi="Times New Roman"/>
          <w:sz w:val="24"/>
          <w:szCs w:val="24"/>
        </w:rPr>
        <w:t xml:space="preserve">Despite the huge </w:t>
      </w:r>
      <w:r w:rsidR="00207DE0" w:rsidRPr="00BC32CF">
        <w:rPr>
          <w:rFonts w:ascii="Times New Roman" w:hAnsi="Times New Roman"/>
          <w:sz w:val="24"/>
          <w:szCs w:val="24"/>
        </w:rPr>
        <w:t>record</w:t>
      </w:r>
      <w:r w:rsidR="00751A73" w:rsidRPr="00BC32CF">
        <w:rPr>
          <w:rFonts w:ascii="Times New Roman" w:hAnsi="Times New Roman"/>
          <w:sz w:val="24"/>
          <w:szCs w:val="24"/>
        </w:rPr>
        <w:t xml:space="preserve"> of </w:t>
      </w:r>
      <w:r w:rsidRPr="00BC32CF">
        <w:rPr>
          <w:rFonts w:ascii="Times New Roman" w:hAnsi="Times New Roman"/>
          <w:sz w:val="24"/>
          <w:szCs w:val="24"/>
        </w:rPr>
        <w:t>project finance investments in emerging markets</w:t>
      </w:r>
      <w:r w:rsidR="00751A73" w:rsidRPr="00BC32CF">
        <w:rPr>
          <w:rFonts w:ascii="Times New Roman" w:hAnsi="Times New Roman"/>
          <w:sz w:val="24"/>
          <w:szCs w:val="24"/>
        </w:rPr>
        <w:t xml:space="preserve"> (EM</w:t>
      </w:r>
      <w:r w:rsidR="00AE05E0" w:rsidRPr="00BC32CF">
        <w:rPr>
          <w:rFonts w:ascii="Times New Roman" w:hAnsi="Times New Roman"/>
          <w:sz w:val="24"/>
          <w:szCs w:val="24"/>
        </w:rPr>
        <w:t xml:space="preserve">) </w:t>
      </w:r>
      <w:r w:rsidR="002B17BE" w:rsidRPr="00BC32CF">
        <w:rPr>
          <w:rFonts w:ascii="Times New Roman" w:hAnsi="Times New Roman"/>
          <w:sz w:val="24"/>
          <w:szCs w:val="24"/>
        </w:rPr>
        <w:t>so far</w:t>
      </w:r>
      <w:r w:rsidR="00751A73" w:rsidRPr="00BC32CF">
        <w:rPr>
          <w:rFonts w:ascii="Times New Roman" w:hAnsi="Times New Roman"/>
          <w:sz w:val="24"/>
          <w:szCs w:val="24"/>
        </w:rPr>
        <w:t xml:space="preserve"> </w:t>
      </w:r>
      <w:r w:rsidRPr="00BC32CF">
        <w:rPr>
          <w:rFonts w:ascii="Times New Roman" w:hAnsi="Times New Roman"/>
          <w:sz w:val="24"/>
          <w:szCs w:val="24"/>
        </w:rPr>
        <w:t>(</w:t>
      </w:r>
      <w:r w:rsidR="005A5E8B" w:rsidRPr="00BC32CF">
        <w:rPr>
          <w:rFonts w:ascii="Times New Roman" w:hAnsi="Times New Roman"/>
          <w:sz w:val="24"/>
          <w:szCs w:val="24"/>
        </w:rPr>
        <w:t>Babatunde and Perera, 2017</w:t>
      </w:r>
      <w:r w:rsidRPr="00BC32CF">
        <w:rPr>
          <w:rFonts w:ascii="Times New Roman" w:hAnsi="Times New Roman"/>
          <w:sz w:val="24"/>
          <w:szCs w:val="24"/>
        </w:rPr>
        <w:t>), financing infrastructures through Public Private Partnerships (PPP) remains risky for foreign lenders (</w:t>
      </w:r>
      <w:r w:rsidR="00896710" w:rsidRPr="00BC32CF">
        <w:rPr>
          <w:rFonts w:ascii="Times New Roman" w:hAnsi="Times New Roman"/>
          <w:sz w:val="24"/>
          <w:szCs w:val="24"/>
        </w:rPr>
        <w:t>Ameyaw and Chan, 2015</w:t>
      </w:r>
      <w:r w:rsidRPr="00BC32CF">
        <w:rPr>
          <w:rFonts w:ascii="Times New Roman" w:hAnsi="Times New Roman"/>
          <w:sz w:val="24"/>
          <w:szCs w:val="24"/>
        </w:rPr>
        <w:t xml:space="preserve">). Studies </w:t>
      </w:r>
      <w:r w:rsidR="00751A73" w:rsidRPr="00BC32CF">
        <w:rPr>
          <w:rFonts w:ascii="Times New Roman" w:hAnsi="Times New Roman"/>
          <w:sz w:val="24"/>
          <w:szCs w:val="24"/>
        </w:rPr>
        <w:t xml:space="preserve">such as </w:t>
      </w:r>
      <w:r w:rsidR="0058006C" w:rsidRPr="00BC32CF">
        <w:rPr>
          <w:rFonts w:ascii="Times New Roman" w:hAnsi="Times New Roman"/>
          <w:sz w:val="24"/>
          <w:szCs w:val="24"/>
        </w:rPr>
        <w:t>Kayaga (2008</w:t>
      </w:r>
      <w:r w:rsidR="00EB00B7" w:rsidRPr="00BC32CF">
        <w:rPr>
          <w:rFonts w:ascii="Times New Roman" w:hAnsi="Times New Roman"/>
          <w:sz w:val="24"/>
          <w:szCs w:val="24"/>
        </w:rPr>
        <w:t xml:space="preserve">) and </w:t>
      </w:r>
      <w:r w:rsidR="00311CDD" w:rsidRPr="00BC32CF">
        <w:rPr>
          <w:rFonts w:ascii="Times New Roman" w:hAnsi="Times New Roman"/>
          <w:sz w:val="24"/>
          <w:szCs w:val="24"/>
        </w:rPr>
        <w:t>Ameyaw and Chan (2015)</w:t>
      </w:r>
      <w:r w:rsidRPr="00BC32CF">
        <w:rPr>
          <w:rFonts w:ascii="Times New Roman" w:hAnsi="Times New Roman"/>
          <w:sz w:val="24"/>
          <w:szCs w:val="24"/>
        </w:rPr>
        <w:t xml:space="preserve"> have </w:t>
      </w:r>
      <w:r w:rsidR="00896710" w:rsidRPr="00BC32CF">
        <w:rPr>
          <w:rFonts w:ascii="Times New Roman" w:hAnsi="Times New Roman"/>
          <w:sz w:val="24"/>
          <w:szCs w:val="24"/>
        </w:rPr>
        <w:t xml:space="preserve">once </w:t>
      </w:r>
      <w:r w:rsidRPr="00BC32CF">
        <w:rPr>
          <w:rFonts w:ascii="Times New Roman" w:hAnsi="Times New Roman"/>
          <w:sz w:val="24"/>
          <w:szCs w:val="24"/>
        </w:rPr>
        <w:t xml:space="preserve">attributed the associated risks to </w:t>
      </w:r>
      <w:r w:rsidR="002B17BE" w:rsidRPr="00BC32CF">
        <w:rPr>
          <w:rFonts w:ascii="Times New Roman" w:hAnsi="Times New Roman"/>
          <w:sz w:val="24"/>
          <w:szCs w:val="24"/>
        </w:rPr>
        <w:t xml:space="preserve">country-specific </w:t>
      </w:r>
      <w:r w:rsidRPr="00BC32CF">
        <w:rPr>
          <w:rFonts w:ascii="Times New Roman" w:hAnsi="Times New Roman"/>
          <w:sz w:val="24"/>
          <w:szCs w:val="24"/>
        </w:rPr>
        <w:t>factors relating to the macroeconomic conditions of the project host nation</w:t>
      </w:r>
      <w:r w:rsidR="002B17BE" w:rsidRPr="00BC32CF">
        <w:rPr>
          <w:rFonts w:ascii="Times New Roman" w:hAnsi="Times New Roman"/>
          <w:sz w:val="24"/>
          <w:szCs w:val="24"/>
        </w:rPr>
        <w:t>s</w:t>
      </w:r>
      <w:r w:rsidRPr="00BC32CF">
        <w:rPr>
          <w:rFonts w:ascii="Times New Roman" w:hAnsi="Times New Roman"/>
          <w:sz w:val="24"/>
          <w:szCs w:val="24"/>
        </w:rPr>
        <w:t>. According to Atmo and Duffield (2014), out of all the current emerging markets (i.e. Brazil, India, Russia, Indonesia etc.); Sub Saharan Africa ha</w:t>
      </w:r>
      <w:r w:rsidR="007F011A" w:rsidRPr="00BC32CF">
        <w:rPr>
          <w:rFonts w:ascii="Times New Roman" w:hAnsi="Times New Roman"/>
          <w:sz w:val="24"/>
          <w:szCs w:val="24"/>
        </w:rPr>
        <w:t>s a higher country-related risk</w:t>
      </w:r>
      <w:r w:rsidRPr="00BC32CF">
        <w:rPr>
          <w:rFonts w:ascii="Times New Roman" w:hAnsi="Times New Roman"/>
          <w:sz w:val="24"/>
          <w:szCs w:val="24"/>
        </w:rPr>
        <w:t xml:space="preserve"> perception. This situation has </w:t>
      </w:r>
      <w:r w:rsidR="00BD0711" w:rsidRPr="00BC32CF">
        <w:rPr>
          <w:rFonts w:ascii="Times New Roman" w:hAnsi="Times New Roman"/>
          <w:sz w:val="24"/>
          <w:szCs w:val="24"/>
        </w:rPr>
        <w:t xml:space="preserve">therefore </w:t>
      </w:r>
      <w:r w:rsidRPr="00BC32CF">
        <w:rPr>
          <w:rFonts w:ascii="Times New Roman" w:hAnsi="Times New Roman"/>
          <w:sz w:val="24"/>
          <w:szCs w:val="24"/>
        </w:rPr>
        <w:t xml:space="preserve">hindered her capacity to attract sufficient foreign inflows for </w:t>
      </w:r>
      <w:r w:rsidR="003537F4" w:rsidRPr="00BC32CF">
        <w:rPr>
          <w:rFonts w:ascii="Times New Roman" w:hAnsi="Times New Roman"/>
          <w:sz w:val="24"/>
          <w:szCs w:val="24"/>
        </w:rPr>
        <w:t>prosecuting</w:t>
      </w:r>
      <w:r w:rsidR="00BD0711" w:rsidRPr="00BC32CF">
        <w:rPr>
          <w:rFonts w:ascii="Times New Roman" w:hAnsi="Times New Roman"/>
          <w:sz w:val="24"/>
          <w:szCs w:val="24"/>
        </w:rPr>
        <w:t xml:space="preserve"> her PPP infrastructure development ambitions</w:t>
      </w:r>
      <w:r w:rsidR="00E57AED" w:rsidRPr="00BC32CF">
        <w:rPr>
          <w:rFonts w:ascii="Times New Roman" w:hAnsi="Times New Roman"/>
          <w:sz w:val="24"/>
          <w:szCs w:val="24"/>
        </w:rPr>
        <w:t xml:space="preserve"> </w:t>
      </w:r>
      <w:r w:rsidRPr="00BC32CF">
        <w:rPr>
          <w:rFonts w:ascii="Times New Roman" w:hAnsi="Times New Roman"/>
          <w:sz w:val="24"/>
          <w:szCs w:val="24"/>
        </w:rPr>
        <w:t>(</w:t>
      </w:r>
      <w:r w:rsidR="00D405A4" w:rsidRPr="00BC32CF">
        <w:rPr>
          <w:rFonts w:ascii="Times New Roman" w:hAnsi="Times New Roman"/>
          <w:sz w:val="24"/>
          <w:szCs w:val="24"/>
        </w:rPr>
        <w:t xml:space="preserve">Briceño-Garmendia </w:t>
      </w:r>
      <w:r w:rsidR="00D405A4" w:rsidRPr="00BC32CF">
        <w:rPr>
          <w:rFonts w:ascii="Times New Roman" w:hAnsi="Times New Roman"/>
          <w:i/>
          <w:sz w:val="24"/>
          <w:szCs w:val="24"/>
        </w:rPr>
        <w:t>et al</w:t>
      </w:r>
      <w:r w:rsidR="00D405A4" w:rsidRPr="00BC32CF">
        <w:rPr>
          <w:rFonts w:ascii="Times New Roman" w:hAnsi="Times New Roman"/>
          <w:sz w:val="24"/>
          <w:szCs w:val="24"/>
        </w:rPr>
        <w:t>., 2008</w:t>
      </w:r>
      <w:r w:rsidRPr="00BC32CF">
        <w:rPr>
          <w:rFonts w:ascii="Times New Roman" w:hAnsi="Times New Roman"/>
          <w:sz w:val="24"/>
          <w:szCs w:val="24"/>
        </w:rPr>
        <w:t xml:space="preserve">). </w:t>
      </w:r>
      <w:r w:rsidR="00BD0711" w:rsidRPr="00BC32CF">
        <w:rPr>
          <w:rFonts w:ascii="Times New Roman" w:hAnsi="Times New Roman"/>
          <w:sz w:val="24"/>
          <w:szCs w:val="24"/>
        </w:rPr>
        <w:t>Yet</w:t>
      </w:r>
      <w:r w:rsidRPr="00BC32CF">
        <w:rPr>
          <w:rFonts w:ascii="Times New Roman" w:hAnsi="Times New Roman"/>
          <w:sz w:val="24"/>
          <w:szCs w:val="24"/>
        </w:rPr>
        <w:t xml:space="preserve">, with an estimated annual investment of $48billion finance gap required to meet </w:t>
      </w:r>
      <w:r w:rsidR="00BD0711" w:rsidRPr="00BC32CF">
        <w:rPr>
          <w:rFonts w:ascii="Times New Roman" w:hAnsi="Times New Roman"/>
          <w:sz w:val="24"/>
          <w:szCs w:val="24"/>
        </w:rPr>
        <w:t>current</w:t>
      </w:r>
      <w:r w:rsidRPr="00BC32CF">
        <w:rPr>
          <w:rFonts w:ascii="Times New Roman" w:hAnsi="Times New Roman"/>
          <w:sz w:val="24"/>
          <w:szCs w:val="24"/>
        </w:rPr>
        <w:t xml:space="preserve"> infrastructural deficit (</w:t>
      </w:r>
      <w:r w:rsidR="00B86916" w:rsidRPr="00BC32CF">
        <w:rPr>
          <w:rFonts w:ascii="Times New Roman" w:hAnsi="Times New Roman"/>
          <w:sz w:val="24"/>
          <w:szCs w:val="24"/>
        </w:rPr>
        <w:t>Gutman and Chattopadhyay, 2015</w:t>
      </w:r>
      <w:r w:rsidRPr="00BC32CF">
        <w:rPr>
          <w:rFonts w:ascii="Times New Roman" w:hAnsi="Times New Roman"/>
          <w:sz w:val="24"/>
          <w:szCs w:val="24"/>
        </w:rPr>
        <w:t>); PPP remains the only viable option for Sub Saharan Africa (</w:t>
      </w:r>
      <w:r w:rsidR="0008605B" w:rsidRPr="00BC32CF">
        <w:rPr>
          <w:rFonts w:ascii="Times New Roman" w:hAnsi="Times New Roman"/>
          <w:sz w:val="24"/>
          <w:szCs w:val="24"/>
        </w:rPr>
        <w:t>Salawu and Fadhlin, 2015</w:t>
      </w:r>
      <w:r w:rsidR="00D405A4" w:rsidRPr="00BC32CF">
        <w:rPr>
          <w:rFonts w:ascii="Times New Roman" w:hAnsi="Times New Roman"/>
          <w:sz w:val="24"/>
          <w:szCs w:val="24"/>
        </w:rPr>
        <w:t>)</w:t>
      </w:r>
      <w:r w:rsidRPr="00BC32CF">
        <w:rPr>
          <w:rFonts w:ascii="Times New Roman" w:hAnsi="Times New Roman"/>
          <w:sz w:val="24"/>
          <w:szCs w:val="24"/>
        </w:rPr>
        <w:t xml:space="preserve">. </w:t>
      </w:r>
    </w:p>
    <w:p w14:paraId="34B16859" w14:textId="77777777" w:rsidR="0021423F" w:rsidRPr="00BC32CF" w:rsidRDefault="0021423F" w:rsidP="00606DB8">
      <w:pPr>
        <w:spacing w:after="0" w:line="480" w:lineRule="auto"/>
        <w:jc w:val="both"/>
        <w:rPr>
          <w:rFonts w:ascii="Times New Roman" w:hAnsi="Times New Roman"/>
          <w:sz w:val="24"/>
          <w:szCs w:val="24"/>
        </w:rPr>
      </w:pPr>
    </w:p>
    <w:p w14:paraId="14FCEAE9" w14:textId="346D8987" w:rsidR="0021423F" w:rsidRPr="00BC32CF" w:rsidRDefault="0021423F" w:rsidP="00606DB8">
      <w:pPr>
        <w:spacing w:after="0" w:line="480" w:lineRule="auto"/>
        <w:jc w:val="both"/>
        <w:rPr>
          <w:rFonts w:ascii="Times New Roman" w:hAnsi="Times New Roman"/>
          <w:sz w:val="24"/>
          <w:szCs w:val="24"/>
        </w:rPr>
      </w:pPr>
      <w:r w:rsidRPr="00BC32CF">
        <w:rPr>
          <w:rFonts w:ascii="Times New Roman" w:hAnsi="Times New Roman"/>
          <w:sz w:val="24"/>
          <w:szCs w:val="24"/>
        </w:rPr>
        <w:t xml:space="preserve">Several studies have argued that, foreign </w:t>
      </w:r>
      <w:r w:rsidR="00931FC5" w:rsidRPr="00BC32CF">
        <w:rPr>
          <w:rFonts w:ascii="Times New Roman" w:hAnsi="Times New Roman"/>
          <w:sz w:val="24"/>
          <w:szCs w:val="24"/>
        </w:rPr>
        <w:t>financier</w:t>
      </w:r>
      <w:r w:rsidRPr="00BC32CF">
        <w:rPr>
          <w:rFonts w:ascii="Times New Roman" w:hAnsi="Times New Roman"/>
          <w:sz w:val="24"/>
          <w:szCs w:val="24"/>
        </w:rPr>
        <w:t xml:space="preserve">s’ </w:t>
      </w:r>
      <w:r w:rsidR="00C236BA" w:rsidRPr="00BC32CF">
        <w:rPr>
          <w:rFonts w:ascii="Times New Roman" w:hAnsi="Times New Roman"/>
          <w:sz w:val="24"/>
          <w:szCs w:val="24"/>
        </w:rPr>
        <w:t>interested</w:t>
      </w:r>
      <w:r w:rsidRPr="00BC32CF">
        <w:rPr>
          <w:rFonts w:ascii="Times New Roman" w:hAnsi="Times New Roman"/>
          <w:sz w:val="24"/>
          <w:szCs w:val="24"/>
        </w:rPr>
        <w:t xml:space="preserve"> in African PPPs must </w:t>
      </w:r>
      <w:r w:rsidR="00B379FB" w:rsidRPr="00BC32CF">
        <w:rPr>
          <w:rFonts w:ascii="Times New Roman" w:hAnsi="Times New Roman"/>
          <w:sz w:val="24"/>
          <w:szCs w:val="24"/>
        </w:rPr>
        <w:t xml:space="preserve">pay </w:t>
      </w:r>
      <w:r w:rsidR="007732E8" w:rsidRPr="00BC32CF">
        <w:rPr>
          <w:rFonts w:ascii="Times New Roman" w:hAnsi="Times New Roman"/>
          <w:sz w:val="24"/>
          <w:szCs w:val="24"/>
        </w:rPr>
        <w:t>attention to</w:t>
      </w:r>
      <w:r w:rsidR="007A0569" w:rsidRPr="00BC32CF">
        <w:rPr>
          <w:rFonts w:ascii="Times New Roman" w:hAnsi="Times New Roman"/>
          <w:sz w:val="24"/>
          <w:szCs w:val="24"/>
        </w:rPr>
        <w:t>wards</w:t>
      </w:r>
      <w:r w:rsidR="007732E8" w:rsidRPr="00BC32CF">
        <w:rPr>
          <w:rFonts w:ascii="Times New Roman" w:hAnsi="Times New Roman"/>
          <w:sz w:val="24"/>
          <w:szCs w:val="24"/>
        </w:rPr>
        <w:t>, not only</w:t>
      </w:r>
      <w:r w:rsidRPr="00BC32CF">
        <w:rPr>
          <w:rFonts w:ascii="Times New Roman" w:hAnsi="Times New Roman"/>
          <w:sz w:val="24"/>
          <w:szCs w:val="24"/>
        </w:rPr>
        <w:t xml:space="preserve"> projects’</w:t>
      </w:r>
      <w:r w:rsidR="007732E8" w:rsidRPr="00BC32CF">
        <w:rPr>
          <w:rFonts w:ascii="Times New Roman" w:hAnsi="Times New Roman"/>
          <w:sz w:val="24"/>
          <w:szCs w:val="24"/>
        </w:rPr>
        <w:t xml:space="preserve"> commercial risks but </w:t>
      </w:r>
      <w:r w:rsidRPr="00BC32CF">
        <w:rPr>
          <w:rFonts w:ascii="Times New Roman" w:hAnsi="Times New Roman"/>
          <w:sz w:val="24"/>
          <w:szCs w:val="24"/>
        </w:rPr>
        <w:t xml:space="preserve">the bankability of country-related risks (Al Khattab </w:t>
      </w:r>
      <w:r w:rsidRPr="00BC32CF">
        <w:rPr>
          <w:rFonts w:ascii="Times New Roman" w:hAnsi="Times New Roman"/>
          <w:i/>
          <w:sz w:val="24"/>
          <w:szCs w:val="24"/>
        </w:rPr>
        <w:t>et al.</w:t>
      </w:r>
      <w:r w:rsidRPr="00BC32CF">
        <w:rPr>
          <w:rFonts w:ascii="Times New Roman" w:hAnsi="Times New Roman"/>
          <w:sz w:val="24"/>
          <w:szCs w:val="24"/>
        </w:rPr>
        <w:t>, 2007; Busse, M. and Hefeker, 2007; Mills, 2010). According to Ncube (2010)</w:t>
      </w:r>
      <w:r w:rsidR="00E34EEA" w:rsidRPr="00BC32CF">
        <w:rPr>
          <w:rFonts w:ascii="Times New Roman" w:hAnsi="Times New Roman"/>
          <w:sz w:val="24"/>
          <w:szCs w:val="24"/>
        </w:rPr>
        <w:t>, bankability in PPP project financing</w:t>
      </w:r>
      <w:r w:rsidRPr="00BC32CF">
        <w:rPr>
          <w:rFonts w:ascii="Times New Roman" w:hAnsi="Times New Roman"/>
          <w:sz w:val="24"/>
          <w:szCs w:val="24"/>
        </w:rPr>
        <w:t xml:space="preserve"> is a big concern despite active roles of multilateral and bilateral agencies in Sub Saharan Africa. In many instances, risks associated with weak credit capacity to obtain foreign loan by indigenous sponsors usually give rise to sponsor risk (Mills, 2010). From foreign financiers’ perspective, </w:t>
      </w:r>
      <w:r w:rsidR="006A749C" w:rsidRPr="00BC32CF">
        <w:rPr>
          <w:rFonts w:ascii="Times New Roman" w:hAnsi="Times New Roman"/>
          <w:sz w:val="24"/>
          <w:szCs w:val="24"/>
        </w:rPr>
        <w:t>sponsor</w:t>
      </w:r>
      <w:r w:rsidRPr="00BC32CF">
        <w:rPr>
          <w:rFonts w:ascii="Times New Roman" w:hAnsi="Times New Roman"/>
          <w:sz w:val="24"/>
          <w:szCs w:val="24"/>
        </w:rPr>
        <w:t xml:space="preserve"> risk discourages lenders from </w:t>
      </w:r>
      <w:r w:rsidR="006A749C" w:rsidRPr="00BC32CF">
        <w:rPr>
          <w:rFonts w:ascii="Times New Roman" w:hAnsi="Times New Roman"/>
          <w:sz w:val="24"/>
          <w:szCs w:val="24"/>
        </w:rPr>
        <w:t xml:space="preserve">financing </w:t>
      </w:r>
      <w:r w:rsidR="00D521BB" w:rsidRPr="00BC32CF">
        <w:rPr>
          <w:rFonts w:ascii="Times New Roman" w:hAnsi="Times New Roman"/>
          <w:sz w:val="24"/>
          <w:szCs w:val="24"/>
        </w:rPr>
        <w:t xml:space="preserve">or compels them to reduce the size of loan to invest in a project’ </w:t>
      </w:r>
      <w:r w:rsidRPr="00BC32CF">
        <w:rPr>
          <w:rFonts w:ascii="Times New Roman" w:hAnsi="Times New Roman"/>
          <w:sz w:val="24"/>
          <w:szCs w:val="24"/>
        </w:rPr>
        <w:t xml:space="preserve">(Mills, 2010). </w:t>
      </w:r>
      <w:r w:rsidR="006A749C" w:rsidRPr="00BC32CF">
        <w:rPr>
          <w:rFonts w:ascii="Times New Roman" w:hAnsi="Times New Roman"/>
          <w:sz w:val="24"/>
          <w:szCs w:val="24"/>
        </w:rPr>
        <w:t>In addition, scenarios</w:t>
      </w:r>
      <w:r w:rsidRPr="00BC32CF">
        <w:rPr>
          <w:rFonts w:ascii="Times New Roman" w:hAnsi="Times New Roman"/>
          <w:sz w:val="24"/>
          <w:szCs w:val="24"/>
        </w:rPr>
        <w:t xml:space="preserve"> such as civil unrest, currency devaluation, leadership instability,</w:t>
      </w:r>
      <w:r w:rsidRPr="00BC32CF">
        <w:t xml:space="preserve"> </w:t>
      </w:r>
      <w:r w:rsidRPr="00BC32CF">
        <w:rPr>
          <w:rFonts w:ascii="Times New Roman" w:hAnsi="Times New Roman"/>
          <w:sz w:val="24"/>
          <w:szCs w:val="24"/>
        </w:rPr>
        <w:t>weak legal framework for PPP etc. generate real threat of political risk in project financing (</w:t>
      </w:r>
      <w:r w:rsidR="003602BB" w:rsidRPr="00BC32CF">
        <w:rPr>
          <w:rFonts w:ascii="Times New Roman" w:hAnsi="Times New Roman"/>
          <w:sz w:val="24"/>
          <w:szCs w:val="24"/>
        </w:rPr>
        <w:t xml:space="preserve">Bing </w:t>
      </w:r>
      <w:r w:rsidRPr="00BC32CF">
        <w:rPr>
          <w:rFonts w:ascii="Times New Roman" w:hAnsi="Times New Roman"/>
          <w:i/>
          <w:sz w:val="24"/>
          <w:szCs w:val="24"/>
        </w:rPr>
        <w:t>et al.,</w:t>
      </w:r>
      <w:r w:rsidRPr="00BC32CF">
        <w:rPr>
          <w:rFonts w:ascii="Times New Roman" w:hAnsi="Times New Roman"/>
          <w:sz w:val="24"/>
          <w:szCs w:val="24"/>
        </w:rPr>
        <w:t xml:space="preserve"> 2005, Carrieri, </w:t>
      </w:r>
      <w:r w:rsidRPr="00BC32CF">
        <w:rPr>
          <w:rFonts w:ascii="Times New Roman" w:hAnsi="Times New Roman"/>
          <w:i/>
          <w:sz w:val="24"/>
          <w:szCs w:val="24"/>
        </w:rPr>
        <w:t>et al.</w:t>
      </w:r>
      <w:r w:rsidRPr="00BC32CF">
        <w:rPr>
          <w:rFonts w:ascii="Times New Roman" w:hAnsi="Times New Roman"/>
          <w:sz w:val="24"/>
          <w:szCs w:val="24"/>
        </w:rPr>
        <w:t xml:space="preserve">, 2006; Busse and Hefeker, 2007). According to </w:t>
      </w:r>
      <w:r w:rsidRPr="00BC32CF">
        <w:rPr>
          <w:rFonts w:ascii="Times New Roman" w:hAnsi="Times New Roman"/>
          <w:sz w:val="24"/>
          <w:szCs w:val="24"/>
        </w:rPr>
        <w:lastRenderedPageBreak/>
        <w:t xml:space="preserve">Kayaga (2008), expropriation and government repudiation of contracts seriously </w:t>
      </w:r>
      <w:r w:rsidR="00D521BB" w:rsidRPr="00BC32CF">
        <w:rPr>
          <w:rFonts w:ascii="Times New Roman" w:hAnsi="Times New Roman"/>
          <w:sz w:val="24"/>
          <w:szCs w:val="24"/>
        </w:rPr>
        <w:t>limited</w:t>
      </w:r>
      <w:r w:rsidRPr="00BC32CF">
        <w:rPr>
          <w:rFonts w:ascii="Times New Roman" w:hAnsi="Times New Roman"/>
          <w:sz w:val="24"/>
          <w:szCs w:val="24"/>
        </w:rPr>
        <w:t xml:space="preserve"> Africa’s PPP growth, with 80% of PPP contracts attracting disputes and cancelled between 1990 and 2004. Such cancellations usually have sustained impact on a nation’s PPP initiative by dampening market confidence in government’s commitments (Ncube, 2010). </w:t>
      </w:r>
    </w:p>
    <w:p w14:paraId="45CCB88C" w14:textId="77777777" w:rsidR="0021423F" w:rsidRPr="00BC32CF" w:rsidRDefault="0021423F" w:rsidP="00606DB8">
      <w:pPr>
        <w:spacing w:after="0" w:line="480" w:lineRule="auto"/>
        <w:jc w:val="both"/>
        <w:rPr>
          <w:rFonts w:ascii="Times New Roman" w:hAnsi="Times New Roman"/>
          <w:sz w:val="24"/>
          <w:szCs w:val="24"/>
        </w:rPr>
      </w:pPr>
    </w:p>
    <w:p w14:paraId="59D0ACC6" w14:textId="44711A78" w:rsidR="0021423F" w:rsidRPr="00BC32CF" w:rsidRDefault="0021423F" w:rsidP="00606DB8">
      <w:pPr>
        <w:spacing w:after="0" w:line="480" w:lineRule="auto"/>
        <w:jc w:val="both"/>
        <w:rPr>
          <w:rFonts w:ascii="Times New Roman" w:hAnsi="Times New Roman"/>
          <w:sz w:val="24"/>
          <w:szCs w:val="24"/>
        </w:rPr>
      </w:pPr>
      <w:r w:rsidRPr="00BC32CF">
        <w:rPr>
          <w:rFonts w:ascii="Times New Roman" w:hAnsi="Times New Roman"/>
          <w:sz w:val="24"/>
          <w:szCs w:val="24"/>
        </w:rPr>
        <w:t>One of the fundamental aspect of PPP arrangements is full compliance with project’s output specifications, performance contracts and concession termination clauses (</w:t>
      </w:r>
      <w:r w:rsidR="0058006C" w:rsidRPr="00BC32CF">
        <w:rPr>
          <w:rFonts w:ascii="Times New Roman" w:hAnsi="Times New Roman"/>
          <w:sz w:val="24"/>
          <w:szCs w:val="24"/>
        </w:rPr>
        <w:t xml:space="preserve">Oyedele, 2013; </w:t>
      </w:r>
      <w:r w:rsidRPr="00BC32CF">
        <w:rPr>
          <w:rFonts w:ascii="Times New Roman" w:hAnsi="Times New Roman"/>
          <w:sz w:val="24"/>
          <w:szCs w:val="24"/>
        </w:rPr>
        <w:t>Khadaroo, 2014). However, given the relatively weak PPP culture, institutional and re</w:t>
      </w:r>
      <w:r w:rsidR="000A1F6E" w:rsidRPr="00BC32CF">
        <w:rPr>
          <w:rFonts w:ascii="Times New Roman" w:hAnsi="Times New Roman"/>
          <w:sz w:val="24"/>
          <w:szCs w:val="24"/>
        </w:rPr>
        <w:t>gulatory frameworks in many Sub-</w:t>
      </w:r>
      <w:r w:rsidR="006A749C" w:rsidRPr="00BC32CF">
        <w:rPr>
          <w:rFonts w:ascii="Times New Roman" w:hAnsi="Times New Roman"/>
          <w:sz w:val="24"/>
          <w:szCs w:val="24"/>
        </w:rPr>
        <w:t>Sahara</w:t>
      </w:r>
      <w:r w:rsidRPr="00BC32CF">
        <w:rPr>
          <w:rFonts w:ascii="Times New Roman" w:hAnsi="Times New Roman"/>
          <w:sz w:val="24"/>
          <w:szCs w:val="24"/>
        </w:rPr>
        <w:t xml:space="preserve"> </w:t>
      </w:r>
      <w:r w:rsidR="006A749C" w:rsidRPr="00BC32CF">
        <w:rPr>
          <w:rFonts w:ascii="Times New Roman" w:hAnsi="Times New Roman"/>
          <w:sz w:val="24"/>
          <w:szCs w:val="24"/>
        </w:rPr>
        <w:t xml:space="preserve">African </w:t>
      </w:r>
      <w:r w:rsidRPr="00BC32CF">
        <w:rPr>
          <w:rFonts w:ascii="Times New Roman" w:hAnsi="Times New Roman"/>
          <w:sz w:val="24"/>
          <w:szCs w:val="24"/>
        </w:rPr>
        <w:t xml:space="preserve">economies, </w:t>
      </w:r>
      <w:r w:rsidR="000A1F6E" w:rsidRPr="00BC32CF">
        <w:rPr>
          <w:rFonts w:ascii="Times New Roman" w:hAnsi="Times New Roman"/>
          <w:sz w:val="24"/>
          <w:szCs w:val="24"/>
        </w:rPr>
        <w:t xml:space="preserve">failures of </w:t>
      </w:r>
      <w:r w:rsidRPr="00BC32CF">
        <w:rPr>
          <w:rFonts w:ascii="Times New Roman" w:hAnsi="Times New Roman"/>
          <w:sz w:val="24"/>
          <w:szCs w:val="24"/>
        </w:rPr>
        <w:t xml:space="preserve">compliance may create threats of concession related risks. With huge lender’s investments usually at stake in PPPs, contractual infractions and consequent statutory deductions will </w:t>
      </w:r>
      <w:r w:rsidR="000A1F6E" w:rsidRPr="00BC32CF">
        <w:rPr>
          <w:rFonts w:ascii="Times New Roman" w:hAnsi="Times New Roman"/>
          <w:sz w:val="24"/>
          <w:szCs w:val="24"/>
        </w:rPr>
        <w:t>jeopardize</w:t>
      </w:r>
      <w:r w:rsidRPr="00BC32CF">
        <w:rPr>
          <w:rFonts w:ascii="Times New Roman" w:hAnsi="Times New Roman"/>
          <w:sz w:val="24"/>
          <w:szCs w:val="24"/>
        </w:rPr>
        <w:t xml:space="preserve"> </w:t>
      </w:r>
      <w:r w:rsidR="009F1C23" w:rsidRPr="00BC32CF">
        <w:rPr>
          <w:rFonts w:ascii="Times New Roman" w:hAnsi="Times New Roman"/>
          <w:sz w:val="24"/>
          <w:szCs w:val="24"/>
        </w:rPr>
        <w:t>foreign financier</w:t>
      </w:r>
      <w:r w:rsidRPr="00BC32CF">
        <w:rPr>
          <w:rFonts w:ascii="Times New Roman" w:hAnsi="Times New Roman"/>
          <w:sz w:val="24"/>
          <w:szCs w:val="24"/>
        </w:rPr>
        <w:t>s</w:t>
      </w:r>
      <w:r w:rsidR="000A1F6E" w:rsidRPr="00BC32CF">
        <w:rPr>
          <w:rFonts w:ascii="Times New Roman" w:hAnsi="Times New Roman"/>
          <w:sz w:val="24"/>
          <w:szCs w:val="24"/>
        </w:rPr>
        <w:t>’</w:t>
      </w:r>
      <w:r w:rsidRPr="00BC32CF">
        <w:rPr>
          <w:rFonts w:ascii="Times New Roman" w:hAnsi="Times New Roman"/>
          <w:sz w:val="24"/>
          <w:szCs w:val="24"/>
        </w:rPr>
        <w:t xml:space="preserve"> investments on the </w:t>
      </w:r>
      <w:r w:rsidR="009F1C23" w:rsidRPr="00BC32CF">
        <w:rPr>
          <w:rFonts w:ascii="Times New Roman" w:hAnsi="Times New Roman"/>
          <w:sz w:val="24"/>
          <w:szCs w:val="24"/>
        </w:rPr>
        <w:t xml:space="preserve">such </w:t>
      </w:r>
      <w:r w:rsidRPr="00BC32CF">
        <w:rPr>
          <w:rFonts w:ascii="Times New Roman" w:hAnsi="Times New Roman"/>
          <w:sz w:val="24"/>
          <w:szCs w:val="24"/>
        </w:rPr>
        <w:t xml:space="preserve">projects. Other important risk factors may emerge in form of legal or regulatory risks. In most cases, such risk arises in situations where construction or operations of </w:t>
      </w:r>
      <w:r w:rsidR="000A1F6E" w:rsidRPr="00BC32CF">
        <w:rPr>
          <w:rFonts w:ascii="Times New Roman" w:hAnsi="Times New Roman"/>
          <w:sz w:val="24"/>
          <w:szCs w:val="24"/>
        </w:rPr>
        <w:t>PPPs</w:t>
      </w:r>
      <w:r w:rsidRPr="00BC32CF">
        <w:rPr>
          <w:rFonts w:ascii="Times New Roman" w:hAnsi="Times New Roman"/>
          <w:sz w:val="24"/>
          <w:szCs w:val="24"/>
        </w:rPr>
        <w:t xml:space="preserve"> contravene </w:t>
      </w:r>
      <w:r w:rsidR="000A1F6E" w:rsidRPr="00BC32CF">
        <w:rPr>
          <w:rFonts w:ascii="Times New Roman" w:hAnsi="Times New Roman"/>
          <w:sz w:val="24"/>
          <w:szCs w:val="24"/>
        </w:rPr>
        <w:t>domestic</w:t>
      </w:r>
      <w:r w:rsidRPr="00BC32CF">
        <w:rPr>
          <w:rFonts w:ascii="Times New Roman" w:hAnsi="Times New Roman"/>
          <w:sz w:val="24"/>
          <w:szCs w:val="24"/>
        </w:rPr>
        <w:t xml:space="preserve"> laws </w:t>
      </w:r>
      <w:r w:rsidR="000A1F6E" w:rsidRPr="00BC32CF">
        <w:rPr>
          <w:rFonts w:ascii="Times New Roman" w:hAnsi="Times New Roman"/>
          <w:sz w:val="24"/>
          <w:szCs w:val="24"/>
        </w:rPr>
        <w:t>of</w:t>
      </w:r>
      <w:r w:rsidRPr="00BC32CF">
        <w:rPr>
          <w:rFonts w:ascii="Times New Roman" w:hAnsi="Times New Roman"/>
          <w:sz w:val="24"/>
          <w:szCs w:val="24"/>
        </w:rPr>
        <w:t xml:space="preserve"> host nations</w:t>
      </w:r>
      <w:r w:rsidR="000A1F6E" w:rsidRPr="00BC32CF">
        <w:rPr>
          <w:rFonts w:ascii="Times New Roman" w:hAnsi="Times New Roman"/>
          <w:sz w:val="24"/>
          <w:szCs w:val="24"/>
        </w:rPr>
        <w:t>,</w:t>
      </w:r>
      <w:r w:rsidRPr="00BC32CF">
        <w:rPr>
          <w:rFonts w:ascii="Times New Roman" w:hAnsi="Times New Roman"/>
          <w:sz w:val="24"/>
          <w:szCs w:val="24"/>
        </w:rPr>
        <w:t xml:space="preserve"> or problems relating to approval and permits of projects (Sachs </w:t>
      </w:r>
      <w:r w:rsidRPr="00BC32CF">
        <w:rPr>
          <w:rFonts w:ascii="Times New Roman" w:hAnsi="Times New Roman"/>
          <w:i/>
          <w:sz w:val="24"/>
          <w:szCs w:val="24"/>
        </w:rPr>
        <w:t>et al</w:t>
      </w:r>
      <w:r w:rsidRPr="00BC32CF">
        <w:rPr>
          <w:rFonts w:ascii="Times New Roman" w:hAnsi="Times New Roman"/>
          <w:sz w:val="24"/>
          <w:szCs w:val="24"/>
        </w:rPr>
        <w:t>., 2007; Oyedele, 2013).</w:t>
      </w:r>
    </w:p>
    <w:p w14:paraId="35810092" w14:textId="77777777" w:rsidR="0021423F" w:rsidRPr="00BC32CF" w:rsidRDefault="0021423F" w:rsidP="00606DB8">
      <w:pPr>
        <w:spacing w:after="0" w:line="480" w:lineRule="auto"/>
        <w:jc w:val="both"/>
        <w:rPr>
          <w:rFonts w:ascii="Times New Roman" w:hAnsi="Times New Roman"/>
          <w:sz w:val="24"/>
          <w:szCs w:val="24"/>
        </w:rPr>
      </w:pPr>
    </w:p>
    <w:p w14:paraId="30FFB64F" w14:textId="72DE6FB8" w:rsidR="0021423F" w:rsidRPr="00BC32CF" w:rsidRDefault="002A2BA7" w:rsidP="00606DB8">
      <w:pPr>
        <w:spacing w:line="480" w:lineRule="auto"/>
        <w:jc w:val="both"/>
        <w:rPr>
          <w:rFonts w:ascii="Times New Roman" w:hAnsi="Times New Roman"/>
          <w:sz w:val="24"/>
          <w:szCs w:val="24"/>
        </w:rPr>
      </w:pPr>
      <w:r w:rsidRPr="00BC32CF">
        <w:rPr>
          <w:rFonts w:ascii="Times New Roman" w:hAnsi="Times New Roman"/>
          <w:sz w:val="24"/>
          <w:szCs w:val="24"/>
        </w:rPr>
        <w:t>T</w:t>
      </w:r>
      <w:r w:rsidR="0021423F" w:rsidRPr="00BC32CF">
        <w:rPr>
          <w:rFonts w:ascii="Times New Roman" w:hAnsi="Times New Roman"/>
          <w:sz w:val="24"/>
          <w:szCs w:val="24"/>
        </w:rPr>
        <w:t xml:space="preserve">he overall </w:t>
      </w:r>
      <w:r w:rsidRPr="00BC32CF">
        <w:rPr>
          <w:rFonts w:ascii="Times New Roman" w:hAnsi="Times New Roman"/>
          <w:sz w:val="24"/>
          <w:szCs w:val="24"/>
        </w:rPr>
        <w:t>consequence</w:t>
      </w:r>
      <w:r w:rsidR="0021423F" w:rsidRPr="00BC32CF">
        <w:rPr>
          <w:rFonts w:ascii="Times New Roman" w:hAnsi="Times New Roman"/>
          <w:sz w:val="24"/>
          <w:szCs w:val="24"/>
        </w:rPr>
        <w:t xml:space="preserve"> of </w:t>
      </w:r>
      <w:r w:rsidR="003537F4" w:rsidRPr="00BC32CF">
        <w:rPr>
          <w:rFonts w:ascii="Times New Roman" w:hAnsi="Times New Roman"/>
          <w:sz w:val="24"/>
          <w:szCs w:val="24"/>
        </w:rPr>
        <w:t xml:space="preserve">these </w:t>
      </w:r>
      <w:r w:rsidR="00E12CE7" w:rsidRPr="00BC32CF">
        <w:rPr>
          <w:rFonts w:ascii="Times New Roman" w:hAnsi="Times New Roman"/>
          <w:sz w:val="24"/>
          <w:szCs w:val="24"/>
        </w:rPr>
        <w:t xml:space="preserve">identified </w:t>
      </w:r>
      <w:r w:rsidR="0021423F" w:rsidRPr="00BC32CF">
        <w:rPr>
          <w:rFonts w:ascii="Times New Roman" w:hAnsi="Times New Roman"/>
          <w:sz w:val="24"/>
          <w:szCs w:val="24"/>
        </w:rPr>
        <w:t>country-specific</w:t>
      </w:r>
      <w:r w:rsidR="00F235F3" w:rsidRPr="00BC32CF">
        <w:rPr>
          <w:rFonts w:ascii="Times New Roman" w:hAnsi="Times New Roman"/>
          <w:sz w:val="24"/>
          <w:szCs w:val="24"/>
        </w:rPr>
        <w:t xml:space="preserve"> risk factors</w:t>
      </w:r>
      <w:r w:rsidR="0021423F" w:rsidRPr="00BC32CF">
        <w:rPr>
          <w:rFonts w:ascii="Times New Roman" w:hAnsi="Times New Roman"/>
          <w:sz w:val="24"/>
          <w:szCs w:val="24"/>
        </w:rPr>
        <w:t xml:space="preserve"> on foreign </w:t>
      </w:r>
      <w:r w:rsidR="000834DF" w:rsidRPr="00BC32CF">
        <w:rPr>
          <w:rFonts w:ascii="Times New Roman" w:hAnsi="Times New Roman"/>
          <w:sz w:val="24"/>
          <w:szCs w:val="24"/>
        </w:rPr>
        <w:t>financier</w:t>
      </w:r>
      <w:r w:rsidR="0021423F" w:rsidRPr="00BC32CF">
        <w:rPr>
          <w:rFonts w:ascii="Times New Roman" w:hAnsi="Times New Roman"/>
          <w:sz w:val="24"/>
          <w:szCs w:val="24"/>
        </w:rPr>
        <w:t xml:space="preserve">s’ </w:t>
      </w:r>
      <w:r w:rsidR="003537F4" w:rsidRPr="00BC32CF">
        <w:rPr>
          <w:rFonts w:ascii="Times New Roman" w:hAnsi="Times New Roman"/>
          <w:sz w:val="24"/>
          <w:szCs w:val="24"/>
        </w:rPr>
        <w:t>investments</w:t>
      </w:r>
      <w:r w:rsidR="0021423F" w:rsidRPr="00BC32CF">
        <w:rPr>
          <w:rFonts w:ascii="Times New Roman" w:hAnsi="Times New Roman"/>
          <w:sz w:val="24"/>
          <w:szCs w:val="24"/>
        </w:rPr>
        <w:t xml:space="preserve"> in </w:t>
      </w:r>
      <w:r w:rsidR="000834DF" w:rsidRPr="00BC32CF">
        <w:rPr>
          <w:rFonts w:ascii="Times New Roman" w:hAnsi="Times New Roman"/>
          <w:sz w:val="24"/>
          <w:szCs w:val="24"/>
        </w:rPr>
        <w:t xml:space="preserve">sub-Saharan African </w:t>
      </w:r>
      <w:r w:rsidR="0021423F" w:rsidRPr="00BC32CF">
        <w:rPr>
          <w:rFonts w:ascii="Times New Roman" w:hAnsi="Times New Roman"/>
          <w:sz w:val="24"/>
          <w:szCs w:val="24"/>
        </w:rPr>
        <w:t>PPP</w:t>
      </w:r>
      <w:r w:rsidR="00253279" w:rsidRPr="00BC32CF">
        <w:rPr>
          <w:rFonts w:ascii="Times New Roman" w:hAnsi="Times New Roman"/>
          <w:sz w:val="24"/>
          <w:szCs w:val="24"/>
        </w:rPr>
        <w:t>s</w:t>
      </w:r>
      <w:r w:rsidR="0021423F" w:rsidRPr="00BC32CF">
        <w:rPr>
          <w:rFonts w:ascii="Times New Roman" w:hAnsi="Times New Roman"/>
          <w:sz w:val="24"/>
          <w:szCs w:val="24"/>
        </w:rPr>
        <w:t xml:space="preserve"> can be quite damaging. As such, a framework for evaluating the bankability of country-related risks in </w:t>
      </w:r>
      <w:r w:rsidR="00D612D4" w:rsidRPr="00BC32CF">
        <w:rPr>
          <w:rFonts w:ascii="Times New Roman" w:hAnsi="Times New Roman"/>
          <w:sz w:val="24"/>
          <w:szCs w:val="24"/>
        </w:rPr>
        <w:t xml:space="preserve">PPPs </w:t>
      </w:r>
      <w:r w:rsidR="004306C9" w:rsidRPr="00BC32CF">
        <w:rPr>
          <w:rFonts w:ascii="Times New Roman" w:hAnsi="Times New Roman"/>
          <w:sz w:val="24"/>
          <w:szCs w:val="24"/>
        </w:rPr>
        <w:t>with</w:t>
      </w:r>
      <w:r w:rsidR="00D612D4" w:rsidRPr="00BC32CF">
        <w:rPr>
          <w:rFonts w:ascii="Times New Roman" w:hAnsi="Times New Roman"/>
          <w:sz w:val="24"/>
          <w:szCs w:val="24"/>
        </w:rPr>
        <w:t xml:space="preserve">in </w:t>
      </w:r>
      <w:r w:rsidR="0021423F" w:rsidRPr="00BC32CF">
        <w:rPr>
          <w:rFonts w:ascii="Times New Roman" w:hAnsi="Times New Roman"/>
          <w:sz w:val="24"/>
          <w:szCs w:val="24"/>
        </w:rPr>
        <w:t xml:space="preserve">an emerging market </w:t>
      </w:r>
      <w:r w:rsidR="00626EC9" w:rsidRPr="00BC32CF">
        <w:rPr>
          <w:rFonts w:ascii="Times New Roman" w:hAnsi="Times New Roman"/>
          <w:sz w:val="24"/>
          <w:szCs w:val="24"/>
        </w:rPr>
        <w:t xml:space="preserve">context </w:t>
      </w:r>
      <w:r w:rsidR="0021423F" w:rsidRPr="00BC32CF">
        <w:rPr>
          <w:rFonts w:ascii="Times New Roman" w:hAnsi="Times New Roman"/>
          <w:sz w:val="24"/>
          <w:szCs w:val="24"/>
        </w:rPr>
        <w:t>has been canvassed (</w:t>
      </w:r>
      <w:r w:rsidR="00FD3EB1" w:rsidRPr="00BC32CF">
        <w:rPr>
          <w:rFonts w:ascii="Times New Roman" w:hAnsi="Times New Roman"/>
          <w:sz w:val="24"/>
          <w:szCs w:val="24"/>
        </w:rPr>
        <w:t xml:space="preserve">Olsson, </w:t>
      </w:r>
      <w:r w:rsidR="0058006C" w:rsidRPr="00BC32CF">
        <w:rPr>
          <w:rFonts w:ascii="Times New Roman" w:hAnsi="Times New Roman"/>
          <w:sz w:val="24"/>
          <w:szCs w:val="24"/>
        </w:rPr>
        <w:t>2002</w:t>
      </w:r>
      <w:r w:rsidR="00556642" w:rsidRPr="00BC32CF">
        <w:rPr>
          <w:rFonts w:ascii="Times New Roman" w:hAnsi="Times New Roman"/>
          <w:sz w:val="24"/>
          <w:szCs w:val="24"/>
        </w:rPr>
        <w:t>;</w:t>
      </w:r>
      <w:r w:rsidR="00556642" w:rsidRPr="00BC32CF">
        <w:rPr>
          <w:rFonts w:ascii="Times New Roman" w:eastAsia="Calibri" w:hAnsi="Times New Roman" w:cs="Times New Roman"/>
          <w:sz w:val="24"/>
          <w:szCs w:val="24"/>
          <w:lang w:val="en-US"/>
        </w:rPr>
        <w:t xml:space="preserve"> </w:t>
      </w:r>
      <w:r w:rsidR="0058006C" w:rsidRPr="00BC32CF">
        <w:rPr>
          <w:rFonts w:ascii="Times New Roman" w:eastAsia="Calibri" w:hAnsi="Times New Roman" w:cs="Times New Roman"/>
          <w:sz w:val="24"/>
          <w:szCs w:val="24"/>
          <w:lang w:val="en-US"/>
        </w:rPr>
        <w:t>Atmo and Duffield,</w:t>
      </w:r>
      <w:r w:rsidR="0021147F" w:rsidRPr="00BC32CF">
        <w:rPr>
          <w:rFonts w:ascii="Times New Roman" w:eastAsia="Calibri" w:hAnsi="Times New Roman" w:cs="Times New Roman"/>
          <w:sz w:val="24"/>
          <w:szCs w:val="24"/>
          <w:lang w:val="en-US"/>
        </w:rPr>
        <w:t xml:space="preserve"> </w:t>
      </w:r>
      <w:r w:rsidR="0058006C" w:rsidRPr="00BC32CF">
        <w:rPr>
          <w:rFonts w:ascii="Times New Roman" w:eastAsia="Calibri" w:hAnsi="Times New Roman" w:cs="Times New Roman"/>
          <w:sz w:val="24"/>
          <w:szCs w:val="24"/>
          <w:lang w:val="en-US"/>
        </w:rPr>
        <w:t xml:space="preserve">2014; </w:t>
      </w:r>
      <w:r w:rsidR="00556642" w:rsidRPr="00BC32CF">
        <w:rPr>
          <w:rFonts w:ascii="Times New Roman" w:eastAsia="Calibri" w:hAnsi="Times New Roman" w:cs="Times New Roman"/>
          <w:sz w:val="24"/>
          <w:szCs w:val="24"/>
          <w:lang w:val="en-US"/>
        </w:rPr>
        <w:t>Giannetti an</w:t>
      </w:r>
      <w:r w:rsidR="0022433A" w:rsidRPr="00BC32CF">
        <w:rPr>
          <w:rFonts w:ascii="Times New Roman" w:eastAsia="Calibri" w:hAnsi="Times New Roman" w:cs="Times New Roman"/>
          <w:sz w:val="24"/>
          <w:szCs w:val="24"/>
          <w:lang w:val="en-US"/>
        </w:rPr>
        <w:t>d</w:t>
      </w:r>
      <w:r w:rsidR="00556642" w:rsidRPr="00BC32CF">
        <w:rPr>
          <w:rFonts w:ascii="Times New Roman" w:eastAsia="Calibri" w:hAnsi="Times New Roman" w:cs="Times New Roman"/>
          <w:sz w:val="24"/>
          <w:szCs w:val="24"/>
          <w:lang w:val="en-US"/>
        </w:rPr>
        <w:t xml:space="preserve"> Ongena, 2012</w:t>
      </w:r>
      <w:r w:rsidR="00556642" w:rsidRPr="00BC32CF">
        <w:rPr>
          <w:rFonts w:ascii="Times New Roman" w:hAnsi="Times New Roman"/>
          <w:sz w:val="24"/>
          <w:szCs w:val="24"/>
        </w:rPr>
        <w:t>)</w:t>
      </w:r>
      <w:r w:rsidR="0021423F" w:rsidRPr="00BC32CF">
        <w:rPr>
          <w:rFonts w:ascii="Times New Roman" w:hAnsi="Times New Roman"/>
          <w:sz w:val="24"/>
          <w:szCs w:val="24"/>
        </w:rPr>
        <w:t>. Albeit</w:t>
      </w:r>
      <w:r w:rsidR="00A22FAB" w:rsidRPr="00BC32CF">
        <w:rPr>
          <w:rFonts w:ascii="Times New Roman" w:hAnsi="Times New Roman"/>
          <w:sz w:val="24"/>
          <w:szCs w:val="24"/>
        </w:rPr>
        <w:t>,</w:t>
      </w:r>
      <w:r w:rsidR="0021423F" w:rsidRPr="00BC32CF">
        <w:rPr>
          <w:rFonts w:ascii="Times New Roman" w:hAnsi="Times New Roman"/>
          <w:sz w:val="24"/>
          <w:szCs w:val="24"/>
        </w:rPr>
        <w:t xml:space="preserve"> enormous literatures abound on risks in PFI/PPP generally (Bing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2005; Eaton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2006; Hoffman, 2008; Quiggin, 2004; Hardcastle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2005; Hammami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2006; Khadaroo, 2014). </w:t>
      </w:r>
      <w:r w:rsidR="00ED0A43" w:rsidRPr="00BC32CF">
        <w:rPr>
          <w:rFonts w:ascii="Times New Roman" w:hAnsi="Times New Roman"/>
          <w:sz w:val="24"/>
          <w:szCs w:val="24"/>
        </w:rPr>
        <w:t>However, m</w:t>
      </w:r>
      <w:r w:rsidR="0021423F" w:rsidRPr="00BC32CF">
        <w:rPr>
          <w:rFonts w:ascii="Times New Roman" w:hAnsi="Times New Roman"/>
          <w:sz w:val="24"/>
          <w:szCs w:val="24"/>
        </w:rPr>
        <w:t>uch of these studies have focused on projects in advanced economies like UK, Australia, Canada, US etc. (Demirag e</w:t>
      </w:r>
      <w:r w:rsidR="0021423F" w:rsidRPr="00BC32CF">
        <w:rPr>
          <w:rFonts w:ascii="Times New Roman" w:hAnsi="Times New Roman"/>
          <w:i/>
          <w:sz w:val="24"/>
          <w:szCs w:val="24"/>
        </w:rPr>
        <w:t>t al.,</w:t>
      </w:r>
      <w:r w:rsidR="0021423F" w:rsidRPr="00BC32CF">
        <w:rPr>
          <w:rFonts w:ascii="Times New Roman" w:hAnsi="Times New Roman"/>
          <w:sz w:val="24"/>
          <w:szCs w:val="24"/>
        </w:rPr>
        <w:t xml:space="preserve"> 2011; Grimsey and Lewis, 2002; Bing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2005; Khadaroo, 2014). Although</w:t>
      </w:r>
      <w:r w:rsidR="00ED0A43" w:rsidRPr="00BC32CF">
        <w:rPr>
          <w:rFonts w:ascii="Times New Roman" w:hAnsi="Times New Roman"/>
          <w:sz w:val="24"/>
          <w:szCs w:val="24"/>
        </w:rPr>
        <w:t>,</w:t>
      </w:r>
      <w:r w:rsidR="0021423F" w:rsidRPr="00BC32CF">
        <w:rPr>
          <w:rFonts w:ascii="Times New Roman" w:hAnsi="Times New Roman"/>
          <w:sz w:val="24"/>
          <w:szCs w:val="24"/>
        </w:rPr>
        <w:t xml:space="preserve"> few studies exist on </w:t>
      </w:r>
      <w:r w:rsidR="0021423F" w:rsidRPr="00BC32CF">
        <w:rPr>
          <w:rFonts w:ascii="Times New Roman" w:hAnsi="Times New Roman"/>
          <w:sz w:val="24"/>
          <w:szCs w:val="24"/>
        </w:rPr>
        <w:lastRenderedPageBreak/>
        <w:t>risks in</w:t>
      </w:r>
      <w:r w:rsidR="00ED0A43" w:rsidRPr="00BC32CF">
        <w:rPr>
          <w:rFonts w:ascii="Times New Roman" w:hAnsi="Times New Roman"/>
          <w:sz w:val="24"/>
          <w:szCs w:val="24"/>
        </w:rPr>
        <w:t xml:space="preserve"> PPP in</w:t>
      </w:r>
      <w:r w:rsidR="0021423F" w:rsidRPr="00BC32CF">
        <w:rPr>
          <w:rFonts w:ascii="Times New Roman" w:hAnsi="Times New Roman"/>
          <w:sz w:val="24"/>
          <w:szCs w:val="24"/>
        </w:rPr>
        <w:t xml:space="preserve"> some emerging economies i.e. China, Indian, Turkey etc. (; Quiggin, 2004; Chan </w:t>
      </w:r>
      <w:r w:rsidR="0021423F" w:rsidRPr="00BC32CF">
        <w:rPr>
          <w:rFonts w:ascii="Times New Roman" w:hAnsi="Times New Roman"/>
          <w:i/>
          <w:sz w:val="24"/>
          <w:szCs w:val="24"/>
        </w:rPr>
        <w:t>et al.,</w:t>
      </w:r>
      <w:r w:rsidR="0021423F" w:rsidRPr="00BC32CF">
        <w:rPr>
          <w:rFonts w:ascii="Times New Roman" w:hAnsi="Times New Roman"/>
          <w:sz w:val="24"/>
          <w:szCs w:val="24"/>
        </w:rPr>
        <w:t xml:space="preserve"> 2014; Sachs, 2007</w:t>
      </w:r>
      <w:r w:rsidR="000A5862" w:rsidRPr="00BC32CF">
        <w:rPr>
          <w:rFonts w:ascii="Times New Roman" w:hAnsi="Times New Roman"/>
          <w:sz w:val="24"/>
          <w:szCs w:val="24"/>
        </w:rPr>
        <w:t>; Giannetti and Ongena, 2012</w:t>
      </w:r>
      <w:r w:rsidR="0021423F" w:rsidRPr="00BC32CF">
        <w:rPr>
          <w:rFonts w:ascii="Times New Roman" w:hAnsi="Times New Roman"/>
          <w:sz w:val="24"/>
          <w:szCs w:val="24"/>
        </w:rPr>
        <w:t>), there is currently no research exploring the bankability of country-related risks in PPP projects in Sub Saharan Africa, especially from foreign</w:t>
      </w:r>
      <w:r w:rsidR="005F1072" w:rsidRPr="00BC32CF">
        <w:rPr>
          <w:rFonts w:ascii="Times New Roman" w:hAnsi="Times New Roman"/>
          <w:sz w:val="24"/>
          <w:szCs w:val="24"/>
        </w:rPr>
        <w:t xml:space="preserve"> financiers’</w:t>
      </w:r>
      <w:r w:rsidR="0021423F" w:rsidRPr="00BC32CF">
        <w:rPr>
          <w:rFonts w:ascii="Times New Roman" w:hAnsi="Times New Roman"/>
          <w:sz w:val="24"/>
          <w:szCs w:val="24"/>
        </w:rPr>
        <w:t xml:space="preserve"> perspectives. This </w:t>
      </w:r>
      <w:r w:rsidR="006B5D62" w:rsidRPr="00BC32CF">
        <w:rPr>
          <w:rFonts w:ascii="Times New Roman" w:hAnsi="Times New Roman"/>
          <w:sz w:val="24"/>
          <w:szCs w:val="24"/>
        </w:rPr>
        <w:t xml:space="preserve">therefore </w:t>
      </w:r>
      <w:r w:rsidR="0021423F" w:rsidRPr="00BC32CF">
        <w:rPr>
          <w:rFonts w:ascii="Times New Roman" w:hAnsi="Times New Roman"/>
          <w:sz w:val="24"/>
          <w:szCs w:val="24"/>
        </w:rPr>
        <w:t>represents a significant gap in knowledge on which basis the</w:t>
      </w:r>
      <w:r w:rsidR="005E71CC" w:rsidRPr="00BC32CF">
        <w:rPr>
          <w:rFonts w:ascii="Times New Roman" w:hAnsi="Times New Roman"/>
          <w:sz w:val="24"/>
          <w:szCs w:val="24"/>
        </w:rPr>
        <w:t xml:space="preserve"> current</w:t>
      </w:r>
      <w:r w:rsidR="0021423F" w:rsidRPr="00BC32CF">
        <w:rPr>
          <w:rFonts w:ascii="Times New Roman" w:hAnsi="Times New Roman"/>
          <w:sz w:val="24"/>
          <w:szCs w:val="24"/>
        </w:rPr>
        <w:t xml:space="preserve"> study emerged. The overall aim of this study is to investigate </w:t>
      </w:r>
      <w:r w:rsidR="00ED31A7" w:rsidRPr="00BC32CF">
        <w:rPr>
          <w:rFonts w:ascii="Times New Roman" w:hAnsi="Times New Roman"/>
          <w:sz w:val="24"/>
          <w:szCs w:val="24"/>
        </w:rPr>
        <w:t>the</w:t>
      </w:r>
      <w:r w:rsidR="007F5F63" w:rsidRPr="00BC32CF">
        <w:rPr>
          <w:rFonts w:ascii="Times New Roman" w:hAnsi="Times New Roman"/>
          <w:sz w:val="24"/>
          <w:szCs w:val="24"/>
        </w:rPr>
        <w:t xml:space="preserve"> </w:t>
      </w:r>
      <w:r w:rsidR="00C34B78" w:rsidRPr="00BC32CF">
        <w:rPr>
          <w:rFonts w:ascii="Times New Roman" w:hAnsi="Times New Roman"/>
          <w:sz w:val="24"/>
          <w:szCs w:val="24"/>
        </w:rPr>
        <w:t xml:space="preserve">bankability criteria </w:t>
      </w:r>
      <w:r w:rsidR="00ED31A7" w:rsidRPr="00BC32CF">
        <w:rPr>
          <w:rFonts w:ascii="Times New Roman" w:hAnsi="Times New Roman"/>
          <w:sz w:val="24"/>
          <w:szCs w:val="24"/>
        </w:rPr>
        <w:t>and</w:t>
      </w:r>
      <w:r w:rsidR="007F5F63" w:rsidRPr="00BC32CF">
        <w:rPr>
          <w:rFonts w:ascii="Times New Roman" w:hAnsi="Times New Roman"/>
          <w:sz w:val="24"/>
          <w:szCs w:val="24"/>
        </w:rPr>
        <w:t xml:space="preserve"> associated risk mitigation strategies </w:t>
      </w:r>
      <w:r w:rsidR="0021423F" w:rsidRPr="00BC32CF">
        <w:rPr>
          <w:rFonts w:ascii="Times New Roman" w:hAnsi="Times New Roman"/>
          <w:sz w:val="24"/>
          <w:szCs w:val="24"/>
        </w:rPr>
        <w:t xml:space="preserve">used </w:t>
      </w:r>
      <w:r w:rsidR="00C34B78" w:rsidRPr="00BC32CF">
        <w:rPr>
          <w:rFonts w:ascii="Times New Roman" w:hAnsi="Times New Roman"/>
          <w:sz w:val="24"/>
          <w:szCs w:val="24"/>
        </w:rPr>
        <w:t xml:space="preserve">by foreign </w:t>
      </w:r>
      <w:r w:rsidR="005E71CC" w:rsidRPr="00BC32CF">
        <w:rPr>
          <w:rFonts w:ascii="Times New Roman" w:hAnsi="Times New Roman"/>
          <w:sz w:val="24"/>
          <w:szCs w:val="24"/>
        </w:rPr>
        <w:t>financiers</w:t>
      </w:r>
      <w:r w:rsidR="00C34B78" w:rsidRPr="00BC32CF">
        <w:rPr>
          <w:rFonts w:ascii="Times New Roman" w:hAnsi="Times New Roman"/>
          <w:sz w:val="24"/>
          <w:szCs w:val="24"/>
        </w:rPr>
        <w:t xml:space="preserve"> to evaluate</w:t>
      </w:r>
      <w:r w:rsidR="0021423F" w:rsidRPr="00BC32CF">
        <w:rPr>
          <w:rFonts w:ascii="Times New Roman" w:hAnsi="Times New Roman"/>
          <w:sz w:val="24"/>
          <w:szCs w:val="24"/>
        </w:rPr>
        <w:t xml:space="preserve"> country-specific risks in PPP </w:t>
      </w:r>
      <w:r w:rsidR="00373EA2" w:rsidRPr="00BC32CF">
        <w:rPr>
          <w:rFonts w:ascii="Times New Roman" w:hAnsi="Times New Roman"/>
          <w:sz w:val="24"/>
          <w:szCs w:val="24"/>
        </w:rPr>
        <w:t>funding</w:t>
      </w:r>
      <w:r w:rsidR="0021423F" w:rsidRPr="00BC32CF">
        <w:rPr>
          <w:rFonts w:ascii="Times New Roman" w:hAnsi="Times New Roman"/>
          <w:sz w:val="24"/>
          <w:szCs w:val="24"/>
        </w:rPr>
        <w:t xml:space="preserve"> applications </w:t>
      </w:r>
      <w:r w:rsidR="007E61FC" w:rsidRPr="00BC32CF">
        <w:rPr>
          <w:rFonts w:ascii="Times New Roman" w:hAnsi="Times New Roman"/>
          <w:sz w:val="24"/>
          <w:szCs w:val="24"/>
        </w:rPr>
        <w:t>within</w:t>
      </w:r>
      <w:r w:rsidR="0021423F" w:rsidRPr="00BC32CF">
        <w:rPr>
          <w:rFonts w:ascii="Times New Roman" w:hAnsi="Times New Roman"/>
          <w:sz w:val="24"/>
          <w:szCs w:val="24"/>
        </w:rPr>
        <w:t xml:space="preserve"> emerging market</w:t>
      </w:r>
      <w:r w:rsidR="007E61FC" w:rsidRPr="00BC32CF">
        <w:rPr>
          <w:rFonts w:ascii="Times New Roman" w:hAnsi="Times New Roman"/>
          <w:sz w:val="24"/>
          <w:szCs w:val="24"/>
        </w:rPr>
        <w:t xml:space="preserve"> context</w:t>
      </w:r>
      <w:r w:rsidR="0021423F" w:rsidRPr="00BC32CF">
        <w:rPr>
          <w:rFonts w:ascii="Times New Roman" w:hAnsi="Times New Roman"/>
          <w:sz w:val="24"/>
          <w:szCs w:val="24"/>
        </w:rPr>
        <w:t>. The following objectives have been identified for the study:</w:t>
      </w:r>
    </w:p>
    <w:p w14:paraId="5D01C34C" w14:textId="77777777" w:rsidR="0021423F" w:rsidRPr="00BC32CF" w:rsidRDefault="0021423F" w:rsidP="00606DB8">
      <w:pPr>
        <w:numPr>
          <w:ilvl w:val="0"/>
          <w:numId w:val="9"/>
        </w:numPr>
        <w:spacing w:after="200" w:line="480" w:lineRule="auto"/>
        <w:jc w:val="both"/>
        <w:rPr>
          <w:rFonts w:ascii="Times New Roman" w:hAnsi="Times New Roman"/>
          <w:sz w:val="24"/>
          <w:szCs w:val="24"/>
        </w:rPr>
      </w:pPr>
      <w:r w:rsidRPr="00BC32CF">
        <w:rPr>
          <w:rFonts w:ascii="Times New Roman" w:hAnsi="Times New Roman"/>
          <w:sz w:val="24"/>
          <w:szCs w:val="24"/>
        </w:rPr>
        <w:t xml:space="preserve">To identify </w:t>
      </w:r>
      <w:r w:rsidR="00F527B2" w:rsidRPr="00BC32CF">
        <w:rPr>
          <w:rFonts w:ascii="Times New Roman" w:hAnsi="Times New Roman"/>
          <w:sz w:val="24"/>
          <w:szCs w:val="24"/>
        </w:rPr>
        <w:t>relevant</w:t>
      </w:r>
      <w:r w:rsidR="0006322B" w:rsidRPr="00BC32CF">
        <w:rPr>
          <w:rFonts w:ascii="Times New Roman" w:hAnsi="Times New Roman"/>
          <w:sz w:val="24"/>
          <w:szCs w:val="24"/>
        </w:rPr>
        <w:t xml:space="preserve"> </w:t>
      </w:r>
      <w:r w:rsidRPr="00BC32CF">
        <w:rPr>
          <w:rFonts w:ascii="Times New Roman" w:hAnsi="Times New Roman"/>
          <w:sz w:val="24"/>
          <w:szCs w:val="24"/>
        </w:rPr>
        <w:t xml:space="preserve">lenders’ bankability criteria and existing risk mitigation strategies for evaluating sponsor risk, political, concession and </w:t>
      </w:r>
      <w:r w:rsidR="003C1371" w:rsidRPr="00BC32CF">
        <w:rPr>
          <w:rFonts w:ascii="Times New Roman" w:hAnsi="Times New Roman"/>
          <w:sz w:val="24"/>
          <w:szCs w:val="24"/>
        </w:rPr>
        <w:t>regulatory</w:t>
      </w:r>
      <w:r w:rsidRPr="00BC32CF">
        <w:rPr>
          <w:rFonts w:ascii="Times New Roman" w:hAnsi="Times New Roman"/>
          <w:sz w:val="24"/>
          <w:szCs w:val="24"/>
        </w:rPr>
        <w:t xml:space="preserve"> risk</w:t>
      </w:r>
      <w:r w:rsidR="003C1371" w:rsidRPr="00BC32CF">
        <w:rPr>
          <w:rFonts w:ascii="Times New Roman" w:hAnsi="Times New Roman"/>
          <w:sz w:val="24"/>
          <w:szCs w:val="24"/>
        </w:rPr>
        <w:t>s</w:t>
      </w:r>
      <w:r w:rsidRPr="00BC32CF">
        <w:rPr>
          <w:rFonts w:ascii="Times New Roman" w:hAnsi="Times New Roman"/>
          <w:sz w:val="24"/>
          <w:szCs w:val="24"/>
        </w:rPr>
        <w:t xml:space="preserve"> in PPP loan application</w:t>
      </w:r>
      <w:r w:rsidR="003C1371" w:rsidRPr="00BC32CF">
        <w:rPr>
          <w:rFonts w:ascii="Times New Roman" w:hAnsi="Times New Roman"/>
          <w:sz w:val="24"/>
          <w:szCs w:val="24"/>
        </w:rPr>
        <w:t>s</w:t>
      </w:r>
      <w:r w:rsidRPr="00BC32CF">
        <w:rPr>
          <w:rFonts w:ascii="Times New Roman" w:hAnsi="Times New Roman"/>
          <w:sz w:val="24"/>
          <w:szCs w:val="24"/>
        </w:rPr>
        <w:t xml:space="preserve"> in an emerging market.</w:t>
      </w:r>
    </w:p>
    <w:p w14:paraId="27AE2935" w14:textId="77777777" w:rsidR="0021423F" w:rsidRPr="00BC32CF" w:rsidRDefault="003C1371" w:rsidP="00606DB8">
      <w:pPr>
        <w:numPr>
          <w:ilvl w:val="0"/>
          <w:numId w:val="9"/>
        </w:numPr>
        <w:spacing w:after="200" w:line="480" w:lineRule="auto"/>
        <w:jc w:val="both"/>
        <w:rPr>
          <w:rFonts w:ascii="Times New Roman" w:hAnsi="Times New Roman"/>
          <w:sz w:val="24"/>
          <w:szCs w:val="24"/>
        </w:rPr>
      </w:pPr>
      <w:r w:rsidRPr="00BC32CF">
        <w:rPr>
          <w:rFonts w:ascii="Times New Roman" w:hAnsi="Times New Roman"/>
          <w:sz w:val="24"/>
          <w:szCs w:val="24"/>
        </w:rPr>
        <w:t xml:space="preserve">To confirm wider applicability and overall </w:t>
      </w:r>
      <w:r w:rsidR="0021423F" w:rsidRPr="00BC32CF">
        <w:rPr>
          <w:rFonts w:ascii="Times New Roman" w:hAnsi="Times New Roman"/>
          <w:sz w:val="24"/>
          <w:szCs w:val="24"/>
        </w:rPr>
        <w:t xml:space="preserve">significance of the </w:t>
      </w:r>
      <w:r w:rsidR="007F5F63" w:rsidRPr="00BC32CF">
        <w:rPr>
          <w:rFonts w:ascii="Times New Roman" w:hAnsi="Times New Roman"/>
          <w:sz w:val="24"/>
          <w:szCs w:val="24"/>
        </w:rPr>
        <w:t xml:space="preserve">identified </w:t>
      </w:r>
      <w:r w:rsidR="0021423F" w:rsidRPr="00BC32CF">
        <w:rPr>
          <w:rFonts w:ascii="Times New Roman" w:hAnsi="Times New Roman"/>
          <w:sz w:val="24"/>
          <w:szCs w:val="24"/>
        </w:rPr>
        <w:t xml:space="preserve">criteria </w:t>
      </w:r>
      <w:r w:rsidR="007F5F63" w:rsidRPr="00BC32CF">
        <w:rPr>
          <w:rFonts w:ascii="Times New Roman" w:hAnsi="Times New Roman"/>
          <w:sz w:val="24"/>
          <w:szCs w:val="24"/>
        </w:rPr>
        <w:t>towards</w:t>
      </w:r>
      <w:r w:rsidR="0021423F" w:rsidRPr="00BC32CF">
        <w:rPr>
          <w:rFonts w:ascii="Times New Roman" w:hAnsi="Times New Roman"/>
          <w:sz w:val="24"/>
          <w:szCs w:val="24"/>
        </w:rPr>
        <w:t xml:space="preserve"> </w:t>
      </w:r>
      <w:r w:rsidR="007F5F63" w:rsidRPr="00BC32CF">
        <w:rPr>
          <w:rFonts w:ascii="Times New Roman" w:hAnsi="Times New Roman"/>
          <w:sz w:val="24"/>
          <w:szCs w:val="24"/>
        </w:rPr>
        <w:t>influencing</w:t>
      </w:r>
      <w:r w:rsidR="0021423F" w:rsidRPr="00BC32CF">
        <w:rPr>
          <w:rFonts w:ascii="Times New Roman" w:hAnsi="Times New Roman"/>
          <w:sz w:val="24"/>
          <w:szCs w:val="24"/>
        </w:rPr>
        <w:t xml:space="preserve"> </w:t>
      </w:r>
      <w:r w:rsidR="008303C3" w:rsidRPr="00BC32CF">
        <w:rPr>
          <w:rFonts w:ascii="Times New Roman" w:hAnsi="Times New Roman"/>
          <w:sz w:val="24"/>
          <w:szCs w:val="24"/>
        </w:rPr>
        <w:t xml:space="preserve">the </w:t>
      </w:r>
      <w:r w:rsidR="0021423F" w:rsidRPr="00BC32CF">
        <w:rPr>
          <w:rFonts w:ascii="Times New Roman" w:hAnsi="Times New Roman"/>
          <w:sz w:val="24"/>
          <w:szCs w:val="24"/>
        </w:rPr>
        <w:t>bankability</w:t>
      </w:r>
      <w:r w:rsidR="008303C3" w:rsidRPr="00BC32CF">
        <w:rPr>
          <w:rFonts w:ascii="Times New Roman" w:hAnsi="Times New Roman"/>
          <w:sz w:val="24"/>
          <w:szCs w:val="24"/>
        </w:rPr>
        <w:t xml:space="preserve"> of country-specific ri</w:t>
      </w:r>
      <w:r w:rsidR="007F5F63" w:rsidRPr="00BC32CF">
        <w:rPr>
          <w:rFonts w:ascii="Times New Roman" w:hAnsi="Times New Roman"/>
          <w:sz w:val="24"/>
          <w:szCs w:val="24"/>
        </w:rPr>
        <w:t xml:space="preserve">sks in PPP funding applications. </w:t>
      </w:r>
    </w:p>
    <w:p w14:paraId="5F6F8DA0" w14:textId="77777777" w:rsidR="0021423F" w:rsidRPr="00BC32CF" w:rsidRDefault="0021423F" w:rsidP="007F5F63">
      <w:pPr>
        <w:numPr>
          <w:ilvl w:val="0"/>
          <w:numId w:val="9"/>
        </w:numPr>
        <w:spacing w:line="480" w:lineRule="auto"/>
        <w:jc w:val="both"/>
        <w:rPr>
          <w:rFonts w:ascii="Times New Roman" w:hAnsi="Times New Roman"/>
          <w:sz w:val="24"/>
          <w:szCs w:val="24"/>
        </w:rPr>
      </w:pPr>
      <w:r w:rsidRPr="00BC32CF">
        <w:rPr>
          <w:rFonts w:ascii="Times New Roman" w:hAnsi="Times New Roman"/>
          <w:sz w:val="24"/>
          <w:szCs w:val="24"/>
        </w:rPr>
        <w:t>To propose a “</w:t>
      </w:r>
      <w:r w:rsidR="004D2678" w:rsidRPr="00BC32CF">
        <w:rPr>
          <w:rFonts w:ascii="Times New Roman" w:hAnsi="Times New Roman"/>
          <w:sz w:val="24"/>
          <w:szCs w:val="24"/>
        </w:rPr>
        <w:t xml:space="preserve">Risk and </w:t>
      </w:r>
      <w:r w:rsidRPr="00BC32CF">
        <w:rPr>
          <w:rFonts w:ascii="Times New Roman" w:hAnsi="Times New Roman"/>
          <w:sz w:val="24"/>
          <w:szCs w:val="24"/>
        </w:rPr>
        <w:t xml:space="preserve">Bankability” framework </w:t>
      </w:r>
      <w:r w:rsidR="00736616" w:rsidRPr="00BC32CF">
        <w:rPr>
          <w:rFonts w:ascii="Times New Roman" w:hAnsi="Times New Roman"/>
          <w:sz w:val="24"/>
          <w:szCs w:val="24"/>
        </w:rPr>
        <w:t xml:space="preserve">model </w:t>
      </w:r>
      <w:r w:rsidRPr="00BC32CF">
        <w:rPr>
          <w:rFonts w:ascii="Times New Roman" w:hAnsi="Times New Roman"/>
          <w:sz w:val="24"/>
          <w:szCs w:val="24"/>
        </w:rPr>
        <w:t>that pairs country-</w:t>
      </w:r>
      <w:r w:rsidR="007F5F63" w:rsidRPr="00BC32CF">
        <w:rPr>
          <w:rFonts w:ascii="Times New Roman" w:hAnsi="Times New Roman"/>
          <w:sz w:val="24"/>
          <w:szCs w:val="24"/>
        </w:rPr>
        <w:t>specific</w:t>
      </w:r>
      <w:r w:rsidRPr="00BC32CF">
        <w:rPr>
          <w:rFonts w:ascii="Times New Roman" w:hAnsi="Times New Roman"/>
          <w:sz w:val="24"/>
          <w:szCs w:val="24"/>
        </w:rPr>
        <w:t xml:space="preserve"> risks with bankability criteria and risk mitigation strategies</w:t>
      </w:r>
      <w:r w:rsidR="007F5F63" w:rsidRPr="00BC32CF">
        <w:rPr>
          <w:rFonts w:ascii="Times New Roman" w:hAnsi="Times New Roman"/>
          <w:sz w:val="24"/>
          <w:szCs w:val="24"/>
        </w:rPr>
        <w:t xml:space="preserve"> under a robust platform</w:t>
      </w:r>
      <w:r w:rsidR="00BE64AC" w:rsidRPr="00BC32CF">
        <w:rPr>
          <w:rFonts w:ascii="Times New Roman" w:hAnsi="Times New Roman"/>
          <w:sz w:val="24"/>
          <w:szCs w:val="24"/>
        </w:rPr>
        <w:t>,</w:t>
      </w:r>
      <w:r w:rsidRPr="00BC32CF">
        <w:rPr>
          <w:rFonts w:ascii="Times New Roman" w:hAnsi="Times New Roman"/>
          <w:sz w:val="24"/>
          <w:szCs w:val="24"/>
        </w:rPr>
        <w:t xml:space="preserve"> towards aiding </w:t>
      </w:r>
      <w:r w:rsidR="00BE64AC" w:rsidRPr="00BC32CF">
        <w:rPr>
          <w:rFonts w:ascii="Times New Roman" w:hAnsi="Times New Roman"/>
          <w:sz w:val="24"/>
          <w:szCs w:val="24"/>
        </w:rPr>
        <w:t xml:space="preserve">foreign </w:t>
      </w:r>
      <w:r w:rsidRPr="00BC32CF">
        <w:rPr>
          <w:rFonts w:ascii="Times New Roman" w:hAnsi="Times New Roman"/>
          <w:sz w:val="24"/>
          <w:szCs w:val="24"/>
        </w:rPr>
        <w:t>lenders’ bankability decision.</w:t>
      </w:r>
    </w:p>
    <w:p w14:paraId="559915E1" w14:textId="4DAB21AF" w:rsidR="0021423F" w:rsidRPr="00BC32CF" w:rsidRDefault="0021423F" w:rsidP="00606DB8">
      <w:pPr>
        <w:spacing w:after="0" w:line="480" w:lineRule="auto"/>
        <w:jc w:val="both"/>
        <w:rPr>
          <w:rFonts w:ascii="Times New Roman" w:eastAsia="Calibri" w:hAnsi="Times New Roman" w:cs="Times New Roman"/>
          <w:sz w:val="24"/>
          <w:szCs w:val="24"/>
        </w:rPr>
      </w:pPr>
      <w:r w:rsidRPr="00BC32CF">
        <w:rPr>
          <w:rFonts w:ascii="Times New Roman" w:hAnsi="Times New Roman"/>
          <w:sz w:val="24"/>
          <w:szCs w:val="24"/>
        </w:rPr>
        <w:t xml:space="preserve">The study adopts a mixed methodology approach to research (qualitative and quantitative). In other to identify relevant bankability criteria and risk mitigation strategies for evaluating </w:t>
      </w:r>
      <w:r w:rsidR="00645347" w:rsidRPr="00BC32CF">
        <w:rPr>
          <w:rFonts w:ascii="Times New Roman" w:hAnsi="Times New Roman"/>
          <w:sz w:val="24"/>
          <w:szCs w:val="24"/>
        </w:rPr>
        <w:t xml:space="preserve">country-specific risks in </w:t>
      </w:r>
      <w:r w:rsidRPr="00BC32CF">
        <w:rPr>
          <w:rFonts w:ascii="Times New Roman" w:hAnsi="Times New Roman"/>
          <w:sz w:val="24"/>
          <w:szCs w:val="24"/>
        </w:rPr>
        <w:t xml:space="preserve">PPP loan applications in an emerging market, multiple case studies were </w:t>
      </w:r>
      <w:r w:rsidR="007B2CD0" w:rsidRPr="00BC32CF">
        <w:rPr>
          <w:rFonts w:ascii="Times New Roman" w:hAnsi="Times New Roman"/>
          <w:sz w:val="24"/>
          <w:szCs w:val="24"/>
        </w:rPr>
        <w:t>investigated</w:t>
      </w:r>
      <w:r w:rsidRPr="00BC32CF">
        <w:rPr>
          <w:rFonts w:ascii="Times New Roman" w:hAnsi="Times New Roman"/>
          <w:sz w:val="24"/>
          <w:szCs w:val="24"/>
        </w:rPr>
        <w:t xml:space="preserve">. The case studies </w:t>
      </w:r>
      <w:r w:rsidR="007B2CD0" w:rsidRPr="00BC32CF">
        <w:rPr>
          <w:rFonts w:ascii="Times New Roman" w:hAnsi="Times New Roman"/>
          <w:sz w:val="24"/>
          <w:szCs w:val="24"/>
        </w:rPr>
        <w:t>comprised</w:t>
      </w:r>
      <w:r w:rsidRPr="00BC32CF">
        <w:rPr>
          <w:rFonts w:ascii="Times New Roman" w:hAnsi="Times New Roman"/>
          <w:sz w:val="24"/>
          <w:szCs w:val="24"/>
        </w:rPr>
        <w:t xml:space="preserve"> PPP projects in Nigeria that were financed with significant amount of foreign loans. Asides being an emerging market (classified by the World Bank as a MINT nation) and located in sub Saharan Africa, the choice of Nigeria for PPP case studies was based on her increasing portfolio of PPP projects in the region. </w:t>
      </w:r>
      <w:r w:rsidRPr="00BC32CF">
        <w:rPr>
          <w:rFonts w:ascii="Times New Roman" w:hAnsi="Times New Roman"/>
          <w:sz w:val="24"/>
          <w:szCs w:val="24"/>
        </w:rPr>
        <w:lastRenderedPageBreak/>
        <w:t xml:space="preserve">Exploring the subjective views of </w:t>
      </w:r>
      <w:r w:rsidR="00645347" w:rsidRPr="00BC32CF">
        <w:rPr>
          <w:rFonts w:ascii="Times New Roman" w:hAnsi="Times New Roman"/>
          <w:sz w:val="24"/>
          <w:szCs w:val="24"/>
        </w:rPr>
        <w:t xml:space="preserve">foreign </w:t>
      </w:r>
      <w:r w:rsidRPr="00BC32CF">
        <w:rPr>
          <w:rFonts w:ascii="Times New Roman" w:hAnsi="Times New Roman"/>
          <w:sz w:val="24"/>
          <w:szCs w:val="24"/>
        </w:rPr>
        <w:t xml:space="preserve">project </w:t>
      </w:r>
      <w:r w:rsidR="009E3264" w:rsidRPr="00BC32CF">
        <w:rPr>
          <w:rFonts w:ascii="Times New Roman" w:hAnsi="Times New Roman"/>
          <w:sz w:val="24"/>
          <w:szCs w:val="24"/>
        </w:rPr>
        <w:t>financiers</w:t>
      </w:r>
      <w:r w:rsidRPr="00BC32CF">
        <w:rPr>
          <w:rFonts w:ascii="Times New Roman" w:hAnsi="Times New Roman"/>
          <w:sz w:val="24"/>
          <w:szCs w:val="24"/>
        </w:rPr>
        <w:t xml:space="preserve"> was therefore carried out via focus group discussions</w:t>
      </w:r>
      <w:r w:rsidR="00621389" w:rsidRPr="00BC32CF">
        <w:rPr>
          <w:rFonts w:ascii="Times New Roman" w:hAnsi="Times New Roman"/>
          <w:sz w:val="24"/>
          <w:szCs w:val="24"/>
        </w:rPr>
        <w:t xml:space="preserve"> and document analysis</w:t>
      </w:r>
      <w:r w:rsidRPr="00BC32CF">
        <w:rPr>
          <w:rFonts w:ascii="Times New Roman" w:hAnsi="Times New Roman"/>
          <w:sz w:val="24"/>
          <w:szCs w:val="24"/>
        </w:rPr>
        <w:t xml:space="preserve">. Wider applicability of the </w:t>
      </w:r>
      <w:r w:rsidR="00621389" w:rsidRPr="00BC32CF">
        <w:rPr>
          <w:rFonts w:ascii="Times New Roman" w:hAnsi="Times New Roman"/>
          <w:sz w:val="24"/>
          <w:szCs w:val="24"/>
        </w:rPr>
        <w:t xml:space="preserve">qualitative </w:t>
      </w:r>
      <w:r w:rsidRPr="00BC32CF">
        <w:rPr>
          <w:rFonts w:ascii="Times New Roman" w:hAnsi="Times New Roman"/>
          <w:sz w:val="24"/>
          <w:szCs w:val="24"/>
        </w:rPr>
        <w:t xml:space="preserve">findings was confirmed using questionnaire survey to </w:t>
      </w:r>
      <w:r w:rsidR="00F0661D" w:rsidRPr="00BC32CF">
        <w:rPr>
          <w:rFonts w:ascii="Times New Roman" w:hAnsi="Times New Roman"/>
          <w:sz w:val="24"/>
          <w:szCs w:val="24"/>
        </w:rPr>
        <w:t>both local and international</w:t>
      </w:r>
      <w:r w:rsidR="00845A87" w:rsidRPr="00BC32CF">
        <w:rPr>
          <w:rFonts w:ascii="Times New Roman" w:hAnsi="Times New Roman"/>
          <w:sz w:val="24"/>
          <w:szCs w:val="24"/>
        </w:rPr>
        <w:t xml:space="preserve"> </w:t>
      </w:r>
      <w:r w:rsidR="00F0661D" w:rsidRPr="00BC32CF">
        <w:rPr>
          <w:rFonts w:ascii="Times New Roman" w:hAnsi="Times New Roman"/>
          <w:sz w:val="24"/>
          <w:szCs w:val="24"/>
        </w:rPr>
        <w:t>project financiers</w:t>
      </w:r>
      <w:r w:rsidRPr="00BC32CF">
        <w:rPr>
          <w:rFonts w:ascii="Times New Roman" w:hAnsi="Times New Roman"/>
          <w:sz w:val="24"/>
          <w:szCs w:val="24"/>
        </w:rPr>
        <w:t xml:space="preserve"> </w:t>
      </w:r>
      <w:r w:rsidR="00645347" w:rsidRPr="00BC32CF">
        <w:rPr>
          <w:rFonts w:ascii="Times New Roman" w:hAnsi="Times New Roman"/>
          <w:sz w:val="24"/>
          <w:szCs w:val="24"/>
        </w:rPr>
        <w:t xml:space="preserve">with </w:t>
      </w:r>
      <w:r w:rsidR="00621389" w:rsidRPr="00BC32CF">
        <w:rPr>
          <w:rFonts w:ascii="Times New Roman" w:hAnsi="Times New Roman"/>
          <w:sz w:val="24"/>
          <w:szCs w:val="24"/>
        </w:rPr>
        <w:t xml:space="preserve">involvement </w:t>
      </w:r>
      <w:r w:rsidR="009F27FB" w:rsidRPr="00BC32CF">
        <w:rPr>
          <w:rFonts w:ascii="Times New Roman" w:hAnsi="Times New Roman"/>
          <w:sz w:val="24"/>
          <w:szCs w:val="24"/>
        </w:rPr>
        <w:t xml:space="preserve">in </w:t>
      </w:r>
      <w:r w:rsidR="002276DE" w:rsidRPr="00BC32CF">
        <w:rPr>
          <w:rFonts w:ascii="Times New Roman" w:hAnsi="Times New Roman"/>
          <w:sz w:val="24"/>
          <w:szCs w:val="24"/>
        </w:rPr>
        <w:t>Nigeria</w:t>
      </w:r>
      <w:r w:rsidR="00621389" w:rsidRPr="00BC32CF">
        <w:rPr>
          <w:rFonts w:ascii="Times New Roman" w:hAnsi="Times New Roman"/>
          <w:sz w:val="24"/>
          <w:szCs w:val="24"/>
        </w:rPr>
        <w:t>’s PPP projects</w:t>
      </w:r>
      <w:r w:rsidRPr="00BC32CF">
        <w:rPr>
          <w:rFonts w:ascii="Times New Roman" w:hAnsi="Times New Roman"/>
          <w:sz w:val="24"/>
          <w:szCs w:val="24"/>
        </w:rPr>
        <w:t xml:space="preserve">. </w:t>
      </w:r>
      <w:r w:rsidR="003C1371" w:rsidRPr="00BC32CF">
        <w:rPr>
          <w:rFonts w:ascii="Times New Roman" w:hAnsi="Times New Roman"/>
          <w:sz w:val="24"/>
          <w:szCs w:val="24"/>
        </w:rPr>
        <w:t>A “</w:t>
      </w:r>
      <w:r w:rsidR="00DE5CEB" w:rsidRPr="00BC32CF">
        <w:rPr>
          <w:rFonts w:ascii="Times New Roman" w:hAnsi="Times New Roman"/>
          <w:sz w:val="24"/>
          <w:szCs w:val="24"/>
        </w:rPr>
        <w:t xml:space="preserve">Risk </w:t>
      </w:r>
      <w:r w:rsidR="003C1371" w:rsidRPr="00BC32CF">
        <w:rPr>
          <w:rFonts w:ascii="Times New Roman" w:hAnsi="Times New Roman"/>
          <w:sz w:val="24"/>
          <w:szCs w:val="24"/>
        </w:rPr>
        <w:t xml:space="preserve">and </w:t>
      </w:r>
      <w:r w:rsidR="00DE5CEB" w:rsidRPr="00BC32CF">
        <w:rPr>
          <w:rFonts w:ascii="Times New Roman" w:hAnsi="Times New Roman"/>
          <w:sz w:val="24"/>
          <w:szCs w:val="24"/>
        </w:rPr>
        <w:t>Bankability</w:t>
      </w:r>
      <w:r w:rsidR="003C1371" w:rsidRPr="00BC32CF">
        <w:rPr>
          <w:rFonts w:ascii="Times New Roman" w:hAnsi="Times New Roman"/>
          <w:sz w:val="24"/>
          <w:szCs w:val="24"/>
        </w:rPr>
        <w:t xml:space="preserve">” framework was thereafter developed from </w:t>
      </w:r>
      <w:r w:rsidR="00877535" w:rsidRPr="00BC32CF">
        <w:rPr>
          <w:rFonts w:ascii="Times New Roman" w:hAnsi="Times New Roman"/>
          <w:sz w:val="24"/>
          <w:szCs w:val="24"/>
        </w:rPr>
        <w:t>the overall</w:t>
      </w:r>
      <w:r w:rsidR="003C1371" w:rsidRPr="00BC32CF">
        <w:rPr>
          <w:rFonts w:ascii="Times New Roman" w:hAnsi="Times New Roman"/>
          <w:sz w:val="24"/>
          <w:szCs w:val="24"/>
        </w:rPr>
        <w:t xml:space="preserve"> findings</w:t>
      </w:r>
      <w:r w:rsidR="002F4626" w:rsidRPr="00BC32CF">
        <w:rPr>
          <w:rFonts w:ascii="Times New Roman" w:hAnsi="Times New Roman"/>
          <w:sz w:val="24"/>
          <w:szCs w:val="24"/>
        </w:rPr>
        <w:t xml:space="preserve"> and validated with new data from </w:t>
      </w:r>
      <w:r w:rsidR="00F0661D" w:rsidRPr="00BC32CF">
        <w:rPr>
          <w:rFonts w:ascii="Times New Roman" w:hAnsi="Times New Roman"/>
          <w:sz w:val="24"/>
          <w:szCs w:val="24"/>
        </w:rPr>
        <w:t>project financiers</w:t>
      </w:r>
      <w:r w:rsidR="003C1371" w:rsidRPr="00BC32CF">
        <w:rPr>
          <w:rFonts w:ascii="Times New Roman" w:hAnsi="Times New Roman"/>
          <w:sz w:val="24"/>
          <w:szCs w:val="24"/>
        </w:rPr>
        <w:t>. This</w:t>
      </w:r>
      <w:r w:rsidRPr="00BC32CF">
        <w:rPr>
          <w:rFonts w:ascii="Times New Roman" w:hAnsi="Times New Roman"/>
          <w:sz w:val="24"/>
          <w:szCs w:val="24"/>
        </w:rPr>
        <w:t xml:space="preserve"> </w:t>
      </w:r>
      <w:r w:rsidR="00A71197" w:rsidRPr="00BC32CF">
        <w:rPr>
          <w:rFonts w:ascii="Times New Roman" w:hAnsi="Times New Roman"/>
          <w:sz w:val="24"/>
          <w:szCs w:val="24"/>
        </w:rPr>
        <w:t>model</w:t>
      </w:r>
      <w:r w:rsidR="00A532E6" w:rsidRPr="00BC32CF">
        <w:rPr>
          <w:rFonts w:ascii="Times New Roman" w:hAnsi="Times New Roman"/>
          <w:sz w:val="24"/>
          <w:szCs w:val="24"/>
        </w:rPr>
        <w:t xml:space="preserve"> provides</w:t>
      </w:r>
      <w:r w:rsidRPr="00BC32CF">
        <w:rPr>
          <w:rFonts w:ascii="Times New Roman" w:hAnsi="Times New Roman"/>
          <w:sz w:val="24"/>
          <w:szCs w:val="24"/>
        </w:rPr>
        <w:t xml:space="preserve"> a </w:t>
      </w:r>
      <w:r w:rsidR="000A652F" w:rsidRPr="00BC32CF">
        <w:rPr>
          <w:rFonts w:ascii="Times New Roman" w:hAnsi="Times New Roman"/>
          <w:sz w:val="24"/>
          <w:szCs w:val="24"/>
        </w:rPr>
        <w:t xml:space="preserve">valuable </w:t>
      </w:r>
      <w:r w:rsidR="00A01B3F" w:rsidRPr="00BC32CF">
        <w:rPr>
          <w:rFonts w:ascii="Times New Roman" w:hAnsi="Times New Roman"/>
          <w:sz w:val="24"/>
          <w:szCs w:val="24"/>
        </w:rPr>
        <w:t>mind-</w:t>
      </w:r>
      <w:r w:rsidRPr="00BC32CF">
        <w:rPr>
          <w:rFonts w:ascii="Times New Roman" w:hAnsi="Times New Roman"/>
          <w:sz w:val="24"/>
          <w:szCs w:val="24"/>
        </w:rPr>
        <w:t>map for foreign</w:t>
      </w:r>
      <w:r w:rsidR="005E65DD" w:rsidRPr="00BC32CF">
        <w:rPr>
          <w:rFonts w:ascii="Times New Roman" w:hAnsi="Times New Roman"/>
          <w:sz w:val="24"/>
          <w:szCs w:val="24"/>
        </w:rPr>
        <w:t xml:space="preserve"> financiers</w:t>
      </w:r>
      <w:r w:rsidRPr="00BC32CF">
        <w:rPr>
          <w:rFonts w:ascii="Times New Roman" w:hAnsi="Times New Roman"/>
          <w:sz w:val="24"/>
          <w:szCs w:val="24"/>
        </w:rPr>
        <w:t xml:space="preserve"> and project sponsors desirous of investing in PPP</w:t>
      </w:r>
      <w:r w:rsidR="00887454" w:rsidRPr="00BC32CF">
        <w:rPr>
          <w:rFonts w:ascii="Times New Roman" w:hAnsi="Times New Roman"/>
          <w:sz w:val="24"/>
          <w:szCs w:val="24"/>
        </w:rPr>
        <w:t>s</w:t>
      </w:r>
      <w:r w:rsidRPr="00BC32CF">
        <w:rPr>
          <w:rFonts w:ascii="Times New Roman" w:hAnsi="Times New Roman"/>
          <w:sz w:val="24"/>
          <w:szCs w:val="24"/>
        </w:rPr>
        <w:t xml:space="preserve"> in an emerging market. The paper is laid out </w:t>
      </w:r>
      <w:r w:rsidR="003301E8" w:rsidRPr="00BC32CF">
        <w:rPr>
          <w:rFonts w:ascii="Times New Roman" w:hAnsi="Times New Roman"/>
          <w:sz w:val="24"/>
          <w:szCs w:val="24"/>
        </w:rPr>
        <w:t>under</w:t>
      </w:r>
      <w:r w:rsidRPr="00BC32CF">
        <w:rPr>
          <w:rFonts w:ascii="Times New Roman" w:hAnsi="Times New Roman"/>
          <w:sz w:val="24"/>
          <w:szCs w:val="24"/>
        </w:rPr>
        <w:t xml:space="preserve"> four major sections. Sectio</w:t>
      </w:r>
      <w:r w:rsidR="00845A87" w:rsidRPr="00BC32CF">
        <w:rPr>
          <w:rFonts w:ascii="Times New Roman" w:hAnsi="Times New Roman"/>
          <w:sz w:val="24"/>
          <w:szCs w:val="24"/>
        </w:rPr>
        <w:t>n</w:t>
      </w:r>
      <w:r w:rsidR="005C6D96" w:rsidRPr="00BC32CF">
        <w:rPr>
          <w:rFonts w:ascii="Times New Roman" w:hAnsi="Times New Roman"/>
          <w:sz w:val="24"/>
          <w:szCs w:val="24"/>
        </w:rPr>
        <w:t>s</w:t>
      </w:r>
      <w:r w:rsidR="00845A87" w:rsidRPr="00BC32CF">
        <w:rPr>
          <w:rFonts w:ascii="Times New Roman" w:hAnsi="Times New Roman"/>
          <w:sz w:val="24"/>
          <w:szCs w:val="24"/>
        </w:rPr>
        <w:t xml:space="preserve"> 2 and 3</w:t>
      </w:r>
      <w:r w:rsidRPr="00BC32CF">
        <w:rPr>
          <w:rFonts w:ascii="Times New Roman" w:hAnsi="Times New Roman"/>
          <w:sz w:val="24"/>
          <w:szCs w:val="24"/>
        </w:rPr>
        <w:t xml:space="preserve"> </w:t>
      </w:r>
      <w:r w:rsidR="005C6D96" w:rsidRPr="00BC32CF">
        <w:rPr>
          <w:rFonts w:ascii="Times New Roman" w:hAnsi="Times New Roman"/>
          <w:sz w:val="24"/>
          <w:szCs w:val="24"/>
        </w:rPr>
        <w:t>focus</w:t>
      </w:r>
      <w:r w:rsidRPr="00BC32CF">
        <w:rPr>
          <w:rFonts w:ascii="Times New Roman" w:hAnsi="Times New Roman"/>
          <w:sz w:val="24"/>
          <w:szCs w:val="24"/>
        </w:rPr>
        <w:t xml:space="preserve"> on literature review. Section </w:t>
      </w:r>
      <w:r w:rsidR="00845A87" w:rsidRPr="00BC32CF">
        <w:rPr>
          <w:rFonts w:ascii="Times New Roman" w:hAnsi="Times New Roman"/>
          <w:sz w:val="24"/>
          <w:szCs w:val="24"/>
        </w:rPr>
        <w:t>4</w:t>
      </w:r>
      <w:r w:rsidRPr="00BC32CF">
        <w:rPr>
          <w:rFonts w:ascii="Times New Roman" w:hAnsi="Times New Roman"/>
          <w:sz w:val="24"/>
          <w:szCs w:val="24"/>
        </w:rPr>
        <w:t xml:space="preserve"> </w:t>
      </w:r>
      <w:r w:rsidR="005C6D96" w:rsidRPr="00BC32CF">
        <w:rPr>
          <w:rFonts w:ascii="Times New Roman" w:hAnsi="Times New Roman"/>
          <w:sz w:val="24"/>
          <w:szCs w:val="24"/>
        </w:rPr>
        <w:t>discusses</w:t>
      </w:r>
      <w:r w:rsidRPr="00BC32CF">
        <w:rPr>
          <w:rFonts w:ascii="Times New Roman" w:hAnsi="Times New Roman"/>
          <w:sz w:val="24"/>
          <w:szCs w:val="24"/>
        </w:rPr>
        <w:t xml:space="preserve"> the research m</w:t>
      </w:r>
      <w:r w:rsidR="003804B2" w:rsidRPr="00BC32CF">
        <w:rPr>
          <w:rFonts w:ascii="Times New Roman" w:hAnsi="Times New Roman"/>
          <w:sz w:val="24"/>
          <w:szCs w:val="24"/>
        </w:rPr>
        <w:t>ethodology and described the</w:t>
      </w:r>
      <w:r w:rsidR="008B01D0" w:rsidRPr="00BC32CF">
        <w:rPr>
          <w:rFonts w:ascii="Times New Roman" w:hAnsi="Times New Roman"/>
          <w:sz w:val="24"/>
          <w:szCs w:val="24"/>
        </w:rPr>
        <w:t xml:space="preserve"> three</w:t>
      </w:r>
      <w:r w:rsidRPr="00BC32CF">
        <w:rPr>
          <w:rFonts w:ascii="Times New Roman" w:hAnsi="Times New Roman"/>
          <w:sz w:val="24"/>
          <w:szCs w:val="24"/>
        </w:rPr>
        <w:t xml:space="preserve"> </w:t>
      </w:r>
      <w:r w:rsidR="008B01D0" w:rsidRPr="00BC32CF">
        <w:rPr>
          <w:rFonts w:ascii="Times New Roman" w:hAnsi="Times New Roman"/>
          <w:sz w:val="24"/>
          <w:szCs w:val="24"/>
        </w:rPr>
        <w:t xml:space="preserve">PPP projects’ </w:t>
      </w:r>
      <w:r w:rsidR="003804B2" w:rsidRPr="00BC32CF">
        <w:rPr>
          <w:rFonts w:ascii="Times New Roman" w:hAnsi="Times New Roman"/>
          <w:sz w:val="24"/>
          <w:szCs w:val="24"/>
        </w:rPr>
        <w:t xml:space="preserve">used as </w:t>
      </w:r>
      <w:r w:rsidR="008B01D0" w:rsidRPr="00BC32CF">
        <w:rPr>
          <w:rFonts w:ascii="Times New Roman" w:hAnsi="Times New Roman"/>
          <w:sz w:val="24"/>
          <w:szCs w:val="24"/>
        </w:rPr>
        <w:t>case studies</w:t>
      </w:r>
      <w:r w:rsidRPr="00BC32CF">
        <w:rPr>
          <w:rFonts w:ascii="Times New Roman" w:hAnsi="Times New Roman"/>
          <w:sz w:val="24"/>
          <w:szCs w:val="24"/>
        </w:rPr>
        <w:t xml:space="preserve"> from Nigeria.</w:t>
      </w:r>
      <w:r w:rsidR="00A0749E" w:rsidRPr="00BC32CF">
        <w:rPr>
          <w:rFonts w:ascii="Times New Roman" w:hAnsi="Times New Roman"/>
          <w:sz w:val="24"/>
          <w:szCs w:val="24"/>
        </w:rPr>
        <w:t xml:space="preserve"> Section </w:t>
      </w:r>
      <w:r w:rsidR="002276DE" w:rsidRPr="00BC32CF">
        <w:rPr>
          <w:rFonts w:ascii="Times New Roman" w:hAnsi="Times New Roman"/>
          <w:sz w:val="24"/>
          <w:szCs w:val="24"/>
        </w:rPr>
        <w:t>5</w:t>
      </w:r>
      <w:r w:rsidR="00560450" w:rsidRPr="00BC32CF">
        <w:rPr>
          <w:rFonts w:ascii="Times New Roman" w:hAnsi="Times New Roman"/>
          <w:sz w:val="24"/>
          <w:szCs w:val="24"/>
        </w:rPr>
        <w:t xml:space="preserve"> </w:t>
      </w:r>
      <w:r w:rsidR="00A0749E" w:rsidRPr="00BC32CF">
        <w:rPr>
          <w:rFonts w:ascii="Times New Roman" w:hAnsi="Times New Roman"/>
          <w:sz w:val="24"/>
          <w:szCs w:val="24"/>
        </w:rPr>
        <w:t>presents</w:t>
      </w:r>
      <w:r w:rsidR="002276DE" w:rsidRPr="00BC32CF">
        <w:rPr>
          <w:rFonts w:ascii="Times New Roman" w:hAnsi="Times New Roman"/>
          <w:sz w:val="24"/>
          <w:szCs w:val="24"/>
        </w:rPr>
        <w:t xml:space="preserve"> the </w:t>
      </w:r>
      <w:r w:rsidR="00A0749E" w:rsidRPr="00BC32CF">
        <w:rPr>
          <w:rFonts w:ascii="Times New Roman" w:hAnsi="Times New Roman"/>
          <w:sz w:val="24"/>
          <w:szCs w:val="24"/>
        </w:rPr>
        <w:t xml:space="preserve">qualitative and quantitative </w:t>
      </w:r>
      <w:r w:rsidR="002276DE" w:rsidRPr="00BC32CF">
        <w:rPr>
          <w:rFonts w:ascii="Times New Roman" w:hAnsi="Times New Roman"/>
          <w:sz w:val="24"/>
          <w:szCs w:val="24"/>
        </w:rPr>
        <w:t>data analysis (from focus group discussions and questionnaire survey)</w:t>
      </w:r>
      <w:r w:rsidR="00A0749E" w:rsidRPr="00BC32CF">
        <w:rPr>
          <w:rFonts w:ascii="Times New Roman" w:hAnsi="Times New Roman"/>
          <w:sz w:val="24"/>
          <w:szCs w:val="24"/>
        </w:rPr>
        <w:t>, while section 6</w:t>
      </w:r>
      <w:r w:rsidR="002276DE" w:rsidRPr="00BC32CF">
        <w:rPr>
          <w:rFonts w:ascii="Times New Roman" w:hAnsi="Times New Roman"/>
          <w:sz w:val="24"/>
          <w:szCs w:val="24"/>
        </w:rPr>
        <w:t xml:space="preserve"> </w:t>
      </w:r>
      <w:r w:rsidRPr="00BC32CF">
        <w:rPr>
          <w:rFonts w:ascii="Times New Roman" w:hAnsi="Times New Roman"/>
          <w:sz w:val="24"/>
          <w:szCs w:val="24"/>
        </w:rPr>
        <w:t>discuss</w:t>
      </w:r>
      <w:r w:rsidR="00A0749E" w:rsidRPr="00BC32CF">
        <w:rPr>
          <w:rFonts w:ascii="Times New Roman" w:hAnsi="Times New Roman"/>
          <w:sz w:val="24"/>
          <w:szCs w:val="24"/>
        </w:rPr>
        <w:t>es the</w:t>
      </w:r>
      <w:r w:rsidRPr="00BC32CF">
        <w:rPr>
          <w:rFonts w:ascii="Times New Roman" w:hAnsi="Times New Roman"/>
          <w:sz w:val="24"/>
          <w:szCs w:val="24"/>
        </w:rPr>
        <w:t xml:space="preserve"> general </w:t>
      </w:r>
      <w:r w:rsidR="002276DE" w:rsidRPr="00BC32CF">
        <w:rPr>
          <w:rFonts w:ascii="Times New Roman" w:hAnsi="Times New Roman"/>
          <w:sz w:val="24"/>
          <w:szCs w:val="24"/>
        </w:rPr>
        <w:t>findings</w:t>
      </w:r>
      <w:r w:rsidR="00560450" w:rsidRPr="00BC32CF">
        <w:rPr>
          <w:rFonts w:ascii="Times New Roman" w:hAnsi="Times New Roman"/>
          <w:sz w:val="24"/>
          <w:szCs w:val="24"/>
        </w:rPr>
        <w:t xml:space="preserve"> </w:t>
      </w:r>
      <w:r w:rsidR="00A0749E" w:rsidRPr="00BC32CF">
        <w:rPr>
          <w:rFonts w:ascii="Times New Roman" w:hAnsi="Times New Roman"/>
          <w:sz w:val="24"/>
          <w:szCs w:val="24"/>
        </w:rPr>
        <w:t>from the study</w:t>
      </w:r>
      <w:r w:rsidR="002276DE" w:rsidRPr="00BC32CF">
        <w:rPr>
          <w:rFonts w:ascii="Times New Roman" w:hAnsi="Times New Roman"/>
          <w:sz w:val="24"/>
          <w:szCs w:val="24"/>
        </w:rPr>
        <w:t>. The last section of the paper</w:t>
      </w:r>
      <w:r w:rsidRPr="00BC32CF">
        <w:rPr>
          <w:rFonts w:ascii="Times New Roman" w:hAnsi="Times New Roman"/>
          <w:sz w:val="24"/>
          <w:szCs w:val="24"/>
        </w:rPr>
        <w:t xml:space="preserve"> conclude</w:t>
      </w:r>
      <w:r w:rsidR="002276DE" w:rsidRPr="00BC32CF">
        <w:rPr>
          <w:rFonts w:ascii="Times New Roman" w:hAnsi="Times New Roman"/>
          <w:sz w:val="24"/>
          <w:szCs w:val="24"/>
        </w:rPr>
        <w:t>s</w:t>
      </w:r>
      <w:r w:rsidRPr="00BC32CF">
        <w:rPr>
          <w:rFonts w:ascii="Times New Roman" w:hAnsi="Times New Roman"/>
          <w:sz w:val="24"/>
          <w:szCs w:val="24"/>
        </w:rPr>
        <w:t xml:space="preserve"> the study.</w:t>
      </w:r>
    </w:p>
    <w:p w14:paraId="6CE94203" w14:textId="77777777" w:rsidR="00845A87" w:rsidRPr="00BC32CF" w:rsidRDefault="00845A87" w:rsidP="00606DB8">
      <w:pPr>
        <w:pStyle w:val="Heading1"/>
        <w:numPr>
          <w:ilvl w:val="0"/>
          <w:numId w:val="10"/>
        </w:numPr>
        <w:spacing w:line="480" w:lineRule="auto"/>
        <w:jc w:val="both"/>
      </w:pPr>
      <w:r w:rsidRPr="00BC32CF">
        <w:t>PFI/PPP Infrastructure Developments in Emerging Markets</w:t>
      </w:r>
    </w:p>
    <w:p w14:paraId="4B964ECC" w14:textId="1327A1B3" w:rsidR="00111E36" w:rsidRPr="00BC32CF" w:rsidRDefault="00111E36" w:rsidP="00606DB8">
      <w:pPr>
        <w:spacing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Since its proliferation in November, 1992 in the United Kingdom under the name Private Finance Initiatives (PFI), the application of PPP have crossed bilateral </w:t>
      </w:r>
      <w:r w:rsidR="000A02CD" w:rsidRPr="00BC32CF">
        <w:rPr>
          <w:rFonts w:ascii="Times New Roman" w:eastAsia="Calibri" w:hAnsi="Times New Roman" w:cs="Times New Roman"/>
          <w:sz w:val="24"/>
          <w:szCs w:val="24"/>
        </w:rPr>
        <w:t>and</w:t>
      </w:r>
      <w:r w:rsidRPr="00BC32CF">
        <w:rPr>
          <w:rFonts w:ascii="Times New Roman" w:eastAsia="Calibri" w:hAnsi="Times New Roman" w:cs="Times New Roman"/>
          <w:sz w:val="24"/>
          <w:szCs w:val="24"/>
        </w:rPr>
        <w:t xml:space="preserve"> multilate</w:t>
      </w:r>
      <w:r w:rsidR="005C6D96" w:rsidRPr="00BC32CF">
        <w:rPr>
          <w:rFonts w:ascii="Times New Roman" w:eastAsia="Calibri" w:hAnsi="Times New Roman" w:cs="Times New Roman"/>
          <w:sz w:val="24"/>
          <w:szCs w:val="24"/>
        </w:rPr>
        <w:t>ral borders with private sector-</w:t>
      </w:r>
      <w:r w:rsidRPr="00BC32CF">
        <w:rPr>
          <w:rFonts w:ascii="Times New Roman" w:eastAsia="Calibri" w:hAnsi="Times New Roman" w:cs="Times New Roman"/>
          <w:sz w:val="24"/>
          <w:szCs w:val="24"/>
        </w:rPr>
        <w:t xml:space="preserve">led developmental initiatives (Oyedele, 2013, Demirag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2011). According to </w:t>
      </w:r>
      <w:r w:rsidR="00EF037D" w:rsidRPr="00BC32CF">
        <w:rPr>
          <w:rFonts w:ascii="Times New Roman" w:eastAsia="Calibri" w:hAnsi="Times New Roman" w:cs="Times New Roman"/>
          <w:sz w:val="24"/>
          <w:szCs w:val="24"/>
        </w:rPr>
        <w:t>Atmo and Duffield (2014)</w:t>
      </w:r>
      <w:r w:rsidRPr="00BC32CF">
        <w:rPr>
          <w:rFonts w:ascii="Times New Roman" w:eastAsia="Calibri" w:hAnsi="Times New Roman" w:cs="Times New Roman"/>
          <w:sz w:val="24"/>
          <w:szCs w:val="24"/>
        </w:rPr>
        <w:t xml:space="preserve">, the last ten years have witnessed a significant drive towards private participation in the delivery of infrastructures especially in developing economies. The increasing provision of public utilities through public private partnerships have made vital infrastructures such as schools, prisons, hospitals, power plants, bridges, toll roads etc. possible in emerging economies. In a recent study by Hammami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(2006), the World Bank is reported to have estimated that 20% of global infrastructure investments amounting to US$850billion were financed during the 1990s through the PPP strategy in emerging economies. </w:t>
      </w:r>
    </w:p>
    <w:p w14:paraId="6059BC8D" w14:textId="155DCE05" w:rsidR="00111E36" w:rsidRPr="00BC32CF" w:rsidRDefault="00111E36" w:rsidP="00606DB8">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lastRenderedPageBreak/>
        <w:t>Additionally, recent findings culled from Thomson Reuters PFI database confirmed that the volume of non-recourse project finance deals in emerging economies reached an all-time high in 2010. More than 200 deals were struck, with a total capital outlay of over US$130bn across the BRICs (Brazil, Russia, India and China); Europe and the next frontier economies in Africa, Asia, Middle-East and Latin America. However, despite recent popularity, there are mixed fortunes for PPP in emerging markets, considering the significant differences in performance</w:t>
      </w:r>
      <w:r w:rsidR="00F67037" w:rsidRPr="00BC32CF">
        <w:rPr>
          <w:rFonts w:ascii="Times New Roman" w:eastAsia="Calibri" w:hAnsi="Times New Roman" w:cs="Times New Roman"/>
          <w:sz w:val="24"/>
          <w:szCs w:val="24"/>
        </w:rPr>
        <w:t>s</w:t>
      </w:r>
      <w:r w:rsidRPr="00BC32CF">
        <w:rPr>
          <w:rFonts w:ascii="Times New Roman" w:eastAsia="Calibri" w:hAnsi="Times New Roman" w:cs="Times New Roman"/>
          <w:sz w:val="24"/>
          <w:szCs w:val="24"/>
        </w:rPr>
        <w:t xml:space="preserve"> among the EM nations i.e. China, Hong Kong, Taiwan, India, Indonesia, Malaysia, the Philippines, Brazil, Singapore, Sub Saharan Africa etc. (Cavusgil, 1997; Ramamurti and Singh, 2009). Currently, Africa’s public sectors still retain the lion’s share of infrastructure financing (Briceño-Garmendia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2008). </w:t>
      </w:r>
      <w:r w:rsidR="00F67037" w:rsidRPr="00BC32CF">
        <w:rPr>
          <w:rFonts w:ascii="Times New Roman" w:eastAsia="Calibri" w:hAnsi="Times New Roman" w:cs="Times New Roman"/>
          <w:sz w:val="24"/>
          <w:szCs w:val="24"/>
        </w:rPr>
        <w:t>Whereas private-</w:t>
      </w:r>
      <w:r w:rsidRPr="00BC32CF">
        <w:rPr>
          <w:rFonts w:ascii="Times New Roman" w:eastAsia="Calibri" w:hAnsi="Times New Roman" w:cs="Times New Roman"/>
          <w:sz w:val="24"/>
          <w:szCs w:val="24"/>
        </w:rPr>
        <w:t xml:space="preserve">sector </w:t>
      </w:r>
      <w:r w:rsidR="00F67037" w:rsidRPr="00BC32CF">
        <w:rPr>
          <w:rFonts w:ascii="Times New Roman" w:eastAsia="Calibri" w:hAnsi="Times New Roman" w:cs="Times New Roman"/>
          <w:sz w:val="24"/>
          <w:szCs w:val="24"/>
        </w:rPr>
        <w:t xml:space="preserve">led infrastructure </w:t>
      </w:r>
      <w:r w:rsidRPr="00BC32CF">
        <w:rPr>
          <w:rFonts w:ascii="Times New Roman" w:eastAsia="Calibri" w:hAnsi="Times New Roman" w:cs="Times New Roman"/>
          <w:sz w:val="24"/>
          <w:szCs w:val="24"/>
        </w:rPr>
        <w:t>finance in Sub-Saharan Africa is still limited to about 5% -10% growth with an annual $48billion financing gap as at 2012 (IFC Report, 2013), the so-called BRIC nati</w:t>
      </w:r>
      <w:r w:rsidR="00F67037" w:rsidRPr="00BC32CF">
        <w:rPr>
          <w:rFonts w:ascii="Times New Roman" w:eastAsia="Calibri" w:hAnsi="Times New Roman" w:cs="Times New Roman"/>
          <w:sz w:val="24"/>
          <w:szCs w:val="24"/>
        </w:rPr>
        <w:t>ons accounts for 62% of private-</w:t>
      </w:r>
      <w:r w:rsidRPr="00BC32CF">
        <w:rPr>
          <w:rFonts w:ascii="Times New Roman" w:eastAsia="Calibri" w:hAnsi="Times New Roman" w:cs="Times New Roman"/>
          <w:sz w:val="24"/>
          <w:szCs w:val="24"/>
        </w:rPr>
        <w:t>sector led infrastructure investments, with 60% growth trend as at 2008 (Basilio, 2011). See Fig.1 below for distribution of investment in infrastructures among BRICs and other nations across the globe.</w:t>
      </w:r>
    </w:p>
    <w:p w14:paraId="6DA36242" w14:textId="77777777" w:rsidR="00111E36" w:rsidRPr="00BC32CF" w:rsidRDefault="00111E36" w:rsidP="00606DB8">
      <w:pPr>
        <w:spacing w:after="200" w:line="480" w:lineRule="auto"/>
        <w:jc w:val="both"/>
        <w:rPr>
          <w:rFonts w:ascii="Times New Roman" w:eastAsia="Calibri" w:hAnsi="Times New Roman" w:cs="Times New Roman"/>
          <w:i/>
          <w:sz w:val="20"/>
          <w:szCs w:val="20"/>
        </w:rPr>
      </w:pPr>
      <w:r w:rsidRPr="00BC32CF">
        <w:rPr>
          <w:rFonts w:ascii="Calibri" w:eastAsia="Calibri" w:hAnsi="Calibri" w:cs="Times New Roman"/>
          <w:noProof/>
          <w:lang w:eastAsia="en-GB"/>
        </w:rPr>
        <w:drawing>
          <wp:inline distT="0" distB="0" distL="0" distR="0" wp14:anchorId="2612CAF8" wp14:editId="3A014CC2">
            <wp:extent cx="5046345" cy="2114550"/>
            <wp:effectExtent l="0" t="0" r="190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FD738A" w14:textId="105933DF" w:rsidR="00111E36" w:rsidRPr="00BC32CF" w:rsidRDefault="00111E36" w:rsidP="00606DB8">
      <w:pPr>
        <w:spacing w:after="200" w:line="480" w:lineRule="auto"/>
        <w:jc w:val="both"/>
        <w:rPr>
          <w:rFonts w:ascii="Times New Roman" w:eastAsia="Calibri" w:hAnsi="Times New Roman" w:cs="Times New Roman"/>
          <w:i/>
          <w:sz w:val="24"/>
          <w:szCs w:val="24"/>
        </w:rPr>
      </w:pPr>
      <w:r w:rsidRPr="00BC32CF">
        <w:rPr>
          <w:rFonts w:ascii="Times New Roman" w:eastAsia="Calibri" w:hAnsi="Times New Roman" w:cs="Times New Roman"/>
          <w:i/>
          <w:sz w:val="20"/>
          <w:szCs w:val="20"/>
        </w:rPr>
        <w:t>Fig.1 Geographical spread of investments in infrastructure projects in BRICs nations as at 2008</w:t>
      </w:r>
      <w:r w:rsidRPr="00BC32CF">
        <w:rPr>
          <w:rFonts w:ascii="Times New Roman" w:eastAsia="Calibri" w:hAnsi="Times New Roman" w:cs="Times New Roman"/>
          <w:b/>
          <w:sz w:val="20"/>
          <w:szCs w:val="20"/>
        </w:rPr>
        <w:t xml:space="preserve"> Source: Basilio (2008)</w:t>
      </w:r>
    </w:p>
    <w:p w14:paraId="29464ED3" w14:textId="308034D8" w:rsidR="00B96630" w:rsidRPr="00BC32CF" w:rsidRDefault="002155B6" w:rsidP="00D23C33">
      <w:pPr>
        <w:spacing w:before="240"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lastRenderedPageBreak/>
        <w:t xml:space="preserve">From another perspective, </w:t>
      </w:r>
      <w:smartTag w:uri="urn:schemas-microsoft-com:office:smarttags" w:element="stockticker">
        <w:r w:rsidR="00111E36" w:rsidRPr="00BC32CF">
          <w:rPr>
            <w:rFonts w:ascii="Times New Roman" w:eastAsia="Calibri" w:hAnsi="Times New Roman" w:cs="Times New Roman"/>
            <w:sz w:val="24"/>
            <w:szCs w:val="24"/>
          </w:rPr>
          <w:t>PPP</w:t>
        </w:r>
      </w:smartTag>
      <w:r w:rsidR="00111E36" w:rsidRPr="00BC32CF">
        <w:rPr>
          <w:rFonts w:ascii="Times New Roman" w:eastAsia="Calibri" w:hAnsi="Times New Roman" w:cs="Times New Roman"/>
          <w:sz w:val="24"/>
          <w:szCs w:val="24"/>
        </w:rPr>
        <w:t xml:space="preserve"> infrastructure procurement in Nigeria has gathered momentum in the last decade, with ove</w:t>
      </w:r>
      <w:r w:rsidR="00A8322A" w:rsidRPr="00BC32CF">
        <w:rPr>
          <w:rFonts w:ascii="Times New Roman" w:eastAsia="Calibri" w:hAnsi="Times New Roman" w:cs="Times New Roman"/>
          <w:sz w:val="24"/>
          <w:szCs w:val="24"/>
        </w:rPr>
        <w:t>r 25 infrastructure projects bei</w:t>
      </w:r>
      <w:r w:rsidR="00111E36" w:rsidRPr="00BC32CF">
        <w:rPr>
          <w:rFonts w:ascii="Times New Roman" w:eastAsia="Calibri" w:hAnsi="Times New Roman" w:cs="Times New Roman"/>
          <w:sz w:val="24"/>
          <w:szCs w:val="24"/>
        </w:rPr>
        <w:t>n</w:t>
      </w:r>
      <w:r w:rsidR="00A8322A" w:rsidRPr="00BC32CF">
        <w:rPr>
          <w:rFonts w:ascii="Times New Roman" w:eastAsia="Calibri" w:hAnsi="Times New Roman" w:cs="Times New Roman"/>
          <w:sz w:val="24"/>
          <w:szCs w:val="24"/>
        </w:rPr>
        <w:t>g</w:t>
      </w:r>
      <w:r w:rsidR="00111E36" w:rsidRPr="00BC32CF">
        <w:rPr>
          <w:rFonts w:ascii="Times New Roman" w:eastAsia="Calibri" w:hAnsi="Times New Roman" w:cs="Times New Roman"/>
          <w:sz w:val="24"/>
          <w:szCs w:val="24"/>
        </w:rPr>
        <w:t xml:space="preserve"> executed across state and federal levels (</w:t>
      </w:r>
      <w:r w:rsidR="00E93BD4" w:rsidRPr="00BC32CF">
        <w:rPr>
          <w:rFonts w:ascii="Times New Roman" w:eastAsia="Calibri" w:hAnsi="Times New Roman" w:cs="Times New Roman"/>
          <w:sz w:val="24"/>
          <w:szCs w:val="24"/>
        </w:rPr>
        <w:t>Solomon</w:t>
      </w:r>
      <w:r w:rsidR="00111E36" w:rsidRPr="00BC32CF">
        <w:rPr>
          <w:rFonts w:ascii="Times New Roman" w:eastAsia="Calibri" w:hAnsi="Times New Roman" w:cs="Times New Roman"/>
          <w:sz w:val="24"/>
          <w:szCs w:val="24"/>
        </w:rPr>
        <w:t xml:space="preserve"> </w:t>
      </w:r>
      <w:r w:rsidR="00111E36" w:rsidRPr="00BC32CF">
        <w:rPr>
          <w:rFonts w:ascii="Times New Roman" w:eastAsia="Calibri" w:hAnsi="Times New Roman" w:cs="Times New Roman"/>
          <w:i/>
          <w:sz w:val="24"/>
          <w:szCs w:val="24"/>
        </w:rPr>
        <w:t>et al,</w:t>
      </w:r>
      <w:r w:rsidR="00E93BD4" w:rsidRPr="00BC32CF">
        <w:rPr>
          <w:rFonts w:ascii="Times New Roman" w:eastAsia="Calibri" w:hAnsi="Times New Roman" w:cs="Times New Roman"/>
          <w:sz w:val="24"/>
          <w:szCs w:val="24"/>
        </w:rPr>
        <w:t xml:space="preserve"> 2015</w:t>
      </w:r>
      <w:r w:rsidR="00111E36" w:rsidRPr="00BC32CF">
        <w:rPr>
          <w:rFonts w:ascii="Times New Roman" w:eastAsia="Calibri" w:hAnsi="Times New Roman" w:cs="Times New Roman"/>
          <w:sz w:val="24"/>
          <w:szCs w:val="24"/>
        </w:rPr>
        <w:t xml:space="preserve">). Since the first wave of </w:t>
      </w:r>
      <w:smartTag w:uri="urn:schemas-microsoft-com:office:smarttags" w:element="stockticker">
        <w:r w:rsidR="00111E36" w:rsidRPr="00BC32CF">
          <w:rPr>
            <w:rFonts w:ascii="Times New Roman" w:eastAsia="Calibri" w:hAnsi="Times New Roman" w:cs="Times New Roman"/>
            <w:sz w:val="24"/>
            <w:szCs w:val="24"/>
          </w:rPr>
          <w:t>PPP</w:t>
        </w:r>
      </w:smartTag>
      <w:r w:rsidR="00111E36" w:rsidRPr="00BC32CF">
        <w:rPr>
          <w:rFonts w:ascii="Times New Roman" w:eastAsia="Calibri" w:hAnsi="Times New Roman" w:cs="Times New Roman"/>
          <w:sz w:val="24"/>
          <w:szCs w:val="24"/>
        </w:rPr>
        <w:t xml:space="preserve"> projects in Nigeria which was kick</w:t>
      </w:r>
      <w:r w:rsidR="005C6D96" w:rsidRPr="00BC32CF">
        <w:rPr>
          <w:rFonts w:ascii="Times New Roman" w:eastAsia="Calibri" w:hAnsi="Times New Roman" w:cs="Times New Roman"/>
          <w:sz w:val="24"/>
          <w:szCs w:val="24"/>
        </w:rPr>
        <w:t>-</w:t>
      </w:r>
      <w:r w:rsidR="00111E36" w:rsidRPr="00BC32CF">
        <w:rPr>
          <w:rFonts w:ascii="Times New Roman" w:eastAsia="Calibri" w:hAnsi="Times New Roman" w:cs="Times New Roman"/>
          <w:sz w:val="24"/>
          <w:szCs w:val="24"/>
        </w:rPr>
        <w:t>sta</w:t>
      </w:r>
      <w:r w:rsidR="005C6D96" w:rsidRPr="00BC32CF">
        <w:rPr>
          <w:rFonts w:ascii="Times New Roman" w:eastAsia="Calibri" w:hAnsi="Times New Roman" w:cs="Times New Roman"/>
          <w:sz w:val="24"/>
          <w:szCs w:val="24"/>
        </w:rPr>
        <w:t>r</w:t>
      </w:r>
      <w:r w:rsidR="00111E36" w:rsidRPr="00BC32CF">
        <w:rPr>
          <w:rFonts w:ascii="Times New Roman" w:eastAsia="Calibri" w:hAnsi="Times New Roman" w:cs="Times New Roman"/>
          <w:sz w:val="24"/>
          <w:szCs w:val="24"/>
        </w:rPr>
        <w:t xml:space="preserve">ted with the rebuilding of the Murtala Mohammed Airport (MM2) project in 2003 (Ibem, 2010), several major infrastructure projects have been procured through </w:t>
      </w:r>
      <w:smartTag w:uri="urn:schemas-microsoft-com:office:smarttags" w:element="stockticker">
        <w:r w:rsidR="00111E36" w:rsidRPr="00BC32CF">
          <w:rPr>
            <w:rFonts w:ascii="Times New Roman" w:eastAsia="Calibri" w:hAnsi="Times New Roman" w:cs="Times New Roman"/>
            <w:sz w:val="24"/>
            <w:szCs w:val="24"/>
          </w:rPr>
          <w:t>PPP</w:t>
        </w:r>
      </w:smartTag>
      <w:r w:rsidR="00111E36" w:rsidRPr="00BC32CF">
        <w:rPr>
          <w:rFonts w:ascii="Times New Roman" w:eastAsia="Calibri" w:hAnsi="Times New Roman" w:cs="Times New Roman"/>
          <w:sz w:val="24"/>
          <w:szCs w:val="24"/>
        </w:rPr>
        <w:t xml:space="preserve"> (</w:t>
      </w:r>
      <w:r w:rsidR="00D006A7" w:rsidRPr="00BC32CF">
        <w:rPr>
          <w:rFonts w:ascii="Times New Roman" w:eastAsia="Calibri" w:hAnsi="Times New Roman" w:cs="Times New Roman"/>
          <w:sz w:val="24"/>
          <w:szCs w:val="24"/>
        </w:rPr>
        <w:t>Mudi</w:t>
      </w:r>
      <w:r w:rsidR="00111E36" w:rsidRPr="00BC32CF">
        <w:rPr>
          <w:rFonts w:ascii="Times New Roman" w:eastAsia="Calibri" w:hAnsi="Times New Roman" w:cs="Times New Roman"/>
          <w:sz w:val="24"/>
          <w:szCs w:val="24"/>
        </w:rPr>
        <w:t xml:space="preserve"> </w:t>
      </w:r>
      <w:r w:rsidR="00111E36" w:rsidRPr="00BC32CF">
        <w:rPr>
          <w:rFonts w:ascii="Times New Roman" w:eastAsia="Calibri" w:hAnsi="Times New Roman" w:cs="Times New Roman"/>
          <w:i/>
          <w:sz w:val="24"/>
          <w:szCs w:val="24"/>
        </w:rPr>
        <w:t>et al</w:t>
      </w:r>
      <w:r w:rsidR="00D006A7" w:rsidRPr="00BC32CF">
        <w:rPr>
          <w:rFonts w:ascii="Times New Roman" w:eastAsia="Calibri" w:hAnsi="Times New Roman" w:cs="Times New Roman"/>
          <w:sz w:val="24"/>
          <w:szCs w:val="24"/>
        </w:rPr>
        <w:t>, 2015</w:t>
      </w:r>
      <w:r w:rsidR="00111E36" w:rsidRPr="00BC32CF">
        <w:rPr>
          <w:rFonts w:ascii="Times New Roman" w:eastAsia="Calibri" w:hAnsi="Times New Roman" w:cs="Times New Roman"/>
          <w:sz w:val="24"/>
          <w:szCs w:val="24"/>
        </w:rPr>
        <w:t xml:space="preserve">). As of now, recent statistics show that about N10trillion has been invested in various </w:t>
      </w:r>
      <w:smartTag w:uri="urn:schemas-microsoft-com:office:smarttags" w:element="stockticker">
        <w:r w:rsidR="00111E36" w:rsidRPr="00BC32CF">
          <w:rPr>
            <w:rFonts w:ascii="Times New Roman" w:eastAsia="Calibri" w:hAnsi="Times New Roman" w:cs="Times New Roman"/>
            <w:sz w:val="24"/>
            <w:szCs w:val="24"/>
          </w:rPr>
          <w:t>PPP</w:t>
        </w:r>
      </w:smartTag>
      <w:r w:rsidR="00111E36" w:rsidRPr="00BC32CF">
        <w:rPr>
          <w:rFonts w:ascii="Times New Roman" w:eastAsia="Calibri" w:hAnsi="Times New Roman" w:cs="Times New Roman"/>
          <w:sz w:val="24"/>
          <w:szCs w:val="24"/>
        </w:rPr>
        <w:t xml:space="preserve"> projects by different levels of government in the country (</w:t>
      </w:r>
      <w:r w:rsidR="00D006A7" w:rsidRPr="00BC32CF">
        <w:rPr>
          <w:rFonts w:ascii="Times New Roman" w:eastAsia="Calibri" w:hAnsi="Times New Roman" w:cs="Times New Roman"/>
          <w:sz w:val="24"/>
          <w:szCs w:val="24"/>
        </w:rPr>
        <w:t>Solomon</w:t>
      </w:r>
      <w:r w:rsidR="00111E36" w:rsidRPr="00BC32CF">
        <w:rPr>
          <w:rFonts w:ascii="Times New Roman" w:eastAsia="Calibri" w:hAnsi="Times New Roman" w:cs="Times New Roman"/>
          <w:sz w:val="24"/>
          <w:szCs w:val="24"/>
        </w:rPr>
        <w:t xml:space="preserve"> </w:t>
      </w:r>
      <w:r w:rsidR="00111E36" w:rsidRPr="00BC32CF">
        <w:rPr>
          <w:rFonts w:ascii="Times New Roman" w:eastAsia="Calibri" w:hAnsi="Times New Roman" w:cs="Times New Roman"/>
          <w:i/>
          <w:sz w:val="24"/>
          <w:szCs w:val="24"/>
        </w:rPr>
        <w:t>et al.,</w:t>
      </w:r>
      <w:r w:rsidR="00D006A7" w:rsidRPr="00BC32CF">
        <w:rPr>
          <w:rFonts w:ascii="Times New Roman" w:eastAsia="Calibri" w:hAnsi="Times New Roman" w:cs="Times New Roman"/>
          <w:sz w:val="24"/>
          <w:szCs w:val="24"/>
        </w:rPr>
        <w:t xml:space="preserve"> 2015</w:t>
      </w:r>
      <w:r w:rsidR="00111E36" w:rsidRPr="00BC32CF">
        <w:rPr>
          <w:rFonts w:ascii="Times New Roman" w:eastAsia="Calibri" w:hAnsi="Times New Roman" w:cs="Times New Roman"/>
          <w:sz w:val="24"/>
          <w:szCs w:val="24"/>
        </w:rPr>
        <w:t xml:space="preserve">).  </w:t>
      </w:r>
      <w:r w:rsidR="00D006A7" w:rsidRPr="00BC32CF">
        <w:rPr>
          <w:rFonts w:ascii="Times New Roman" w:eastAsia="Calibri" w:hAnsi="Times New Roman" w:cs="Times New Roman"/>
          <w:sz w:val="24"/>
          <w:szCs w:val="24"/>
        </w:rPr>
        <w:t>However, d</w:t>
      </w:r>
      <w:r w:rsidR="00111E36" w:rsidRPr="00BC32CF">
        <w:rPr>
          <w:rFonts w:ascii="Times New Roman" w:eastAsia="Calibri" w:hAnsi="Times New Roman" w:cs="Times New Roman"/>
          <w:sz w:val="24"/>
          <w:szCs w:val="24"/>
        </w:rPr>
        <w:t xml:space="preserve">espite the current efforts, Nigeria remains behind many other </w:t>
      </w:r>
      <w:r w:rsidR="00D006A7" w:rsidRPr="00BC32CF">
        <w:rPr>
          <w:rFonts w:ascii="Times New Roman" w:eastAsia="Calibri" w:hAnsi="Times New Roman" w:cs="Times New Roman"/>
          <w:sz w:val="24"/>
          <w:szCs w:val="24"/>
        </w:rPr>
        <w:t>emerging market</w:t>
      </w:r>
      <w:r w:rsidR="00111E36" w:rsidRPr="00BC32CF">
        <w:rPr>
          <w:rFonts w:ascii="Times New Roman" w:eastAsia="Calibri" w:hAnsi="Times New Roman" w:cs="Times New Roman"/>
          <w:sz w:val="24"/>
          <w:szCs w:val="24"/>
        </w:rPr>
        <w:t xml:space="preserve"> economies in terms of infrastructu</w:t>
      </w:r>
      <w:r w:rsidR="00D006A7" w:rsidRPr="00BC32CF">
        <w:rPr>
          <w:rFonts w:ascii="Times New Roman" w:eastAsia="Calibri" w:hAnsi="Times New Roman" w:cs="Times New Roman"/>
          <w:sz w:val="24"/>
          <w:szCs w:val="24"/>
        </w:rPr>
        <w:t>ral deficit (</w:t>
      </w:r>
      <w:r w:rsidR="00093CC5" w:rsidRPr="00BC32CF">
        <w:rPr>
          <w:rFonts w:ascii="Times New Roman" w:eastAsia="Calibri" w:hAnsi="Times New Roman" w:cs="Times New Roman"/>
          <w:sz w:val="24"/>
          <w:szCs w:val="24"/>
        </w:rPr>
        <w:t>New telegraph, March 21</w:t>
      </w:r>
      <w:r w:rsidR="00093CC5" w:rsidRPr="00BC32CF">
        <w:rPr>
          <w:rFonts w:ascii="Times New Roman" w:eastAsia="Calibri" w:hAnsi="Times New Roman" w:cs="Times New Roman"/>
          <w:sz w:val="24"/>
          <w:szCs w:val="24"/>
          <w:vertAlign w:val="superscript"/>
        </w:rPr>
        <w:t>st</w:t>
      </w:r>
      <w:r w:rsidR="00093CC5" w:rsidRPr="00BC32CF">
        <w:rPr>
          <w:rFonts w:ascii="Times New Roman" w:eastAsia="Calibri" w:hAnsi="Times New Roman" w:cs="Times New Roman"/>
          <w:sz w:val="24"/>
          <w:szCs w:val="24"/>
        </w:rPr>
        <w:t>, 2018</w:t>
      </w:r>
      <w:r w:rsidR="00D006A7" w:rsidRPr="00BC32CF">
        <w:rPr>
          <w:rFonts w:ascii="Times New Roman" w:eastAsia="Calibri" w:hAnsi="Times New Roman" w:cs="Times New Roman"/>
          <w:sz w:val="24"/>
          <w:szCs w:val="24"/>
        </w:rPr>
        <w:t>). Recent statistics suggest</w:t>
      </w:r>
      <w:r w:rsidR="00111E36" w:rsidRPr="00BC32CF">
        <w:rPr>
          <w:rFonts w:ascii="Times New Roman" w:eastAsia="Calibri" w:hAnsi="Times New Roman" w:cs="Times New Roman"/>
          <w:sz w:val="24"/>
          <w:szCs w:val="24"/>
        </w:rPr>
        <w:t xml:space="preserve"> an annual infrastructure investment of between $12 and $15billion for the next six years </w:t>
      </w:r>
      <w:r w:rsidR="00D006A7" w:rsidRPr="00BC32CF">
        <w:rPr>
          <w:rFonts w:ascii="Times New Roman" w:eastAsia="Calibri" w:hAnsi="Times New Roman" w:cs="Times New Roman"/>
          <w:sz w:val="24"/>
          <w:szCs w:val="24"/>
        </w:rPr>
        <w:t>is needed in order to meet Nigeria’s</w:t>
      </w:r>
      <w:r w:rsidR="00111E36" w:rsidRPr="00BC32CF">
        <w:rPr>
          <w:rFonts w:ascii="Times New Roman" w:eastAsia="Calibri" w:hAnsi="Times New Roman" w:cs="Times New Roman"/>
          <w:sz w:val="24"/>
          <w:szCs w:val="24"/>
        </w:rPr>
        <w:t xml:space="preserve"> growing infrastructural deficit (</w:t>
      </w:r>
      <w:r w:rsidR="00217883" w:rsidRPr="00BC32CF">
        <w:rPr>
          <w:rFonts w:ascii="Times New Roman" w:eastAsia="Calibri" w:hAnsi="Times New Roman" w:cs="Times New Roman"/>
          <w:sz w:val="24"/>
          <w:szCs w:val="24"/>
        </w:rPr>
        <w:t>Emmanuel, 2016</w:t>
      </w:r>
      <w:r w:rsidR="00E877B0" w:rsidRPr="00BC32CF">
        <w:rPr>
          <w:rFonts w:ascii="Times New Roman" w:eastAsia="Calibri" w:hAnsi="Times New Roman" w:cs="Times New Roman"/>
          <w:sz w:val="24"/>
          <w:szCs w:val="24"/>
        </w:rPr>
        <w:t>; New telegraph, March-2018</w:t>
      </w:r>
      <w:r w:rsidR="00111E36" w:rsidRPr="00BC32CF">
        <w:rPr>
          <w:rFonts w:ascii="Times New Roman" w:eastAsia="Calibri" w:hAnsi="Times New Roman" w:cs="Times New Roman"/>
          <w:sz w:val="24"/>
          <w:szCs w:val="24"/>
        </w:rPr>
        <w:t xml:space="preserve">). </w:t>
      </w:r>
    </w:p>
    <w:p w14:paraId="094AB864" w14:textId="77777777" w:rsidR="00D23C33" w:rsidRPr="00BC32CF" w:rsidRDefault="00D23C33" w:rsidP="00606DB8">
      <w:pPr>
        <w:spacing w:before="240" w:line="480" w:lineRule="auto"/>
        <w:jc w:val="both"/>
        <w:rPr>
          <w:rFonts w:ascii="Times New Roman" w:eastAsia="Calibri" w:hAnsi="Times New Roman" w:cs="Times New Roman"/>
          <w:sz w:val="24"/>
          <w:szCs w:val="24"/>
        </w:rPr>
      </w:pPr>
    </w:p>
    <w:p w14:paraId="12908F99" w14:textId="77777777" w:rsidR="0044333C" w:rsidRPr="00BC32CF" w:rsidRDefault="0021423F" w:rsidP="00606DB8">
      <w:pPr>
        <w:pStyle w:val="Heading1"/>
        <w:spacing w:before="0" w:line="480" w:lineRule="auto"/>
        <w:jc w:val="both"/>
      </w:pPr>
      <w:r w:rsidRPr="00BC32CF">
        <w:rPr>
          <w:rFonts w:ascii="Times New Roman" w:hAnsi="Times New Roman"/>
        </w:rPr>
        <w:t>3.0</w:t>
      </w:r>
      <w:r w:rsidRPr="00BC32CF">
        <w:rPr>
          <w:rFonts w:ascii="Times New Roman" w:hAnsi="Times New Roman"/>
        </w:rPr>
        <w:tab/>
        <w:t xml:space="preserve"> </w:t>
      </w:r>
      <w:r w:rsidR="00845A87" w:rsidRPr="00BC32CF">
        <w:t>Risk in PPP Infrastructures in Nigeria</w:t>
      </w:r>
    </w:p>
    <w:p w14:paraId="289FFB59" w14:textId="5228CCFB" w:rsidR="00AD775F" w:rsidRPr="00BC32CF" w:rsidRDefault="00111E36" w:rsidP="00606DB8">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In a study by Royal Society (1983, p.22) cited in Demirag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(2011), risk is described as the probability that a specific adverse event </w:t>
      </w:r>
      <w:r w:rsidR="002B52DE" w:rsidRPr="00BC32CF">
        <w:rPr>
          <w:rFonts w:ascii="Times New Roman" w:eastAsia="Calibri" w:hAnsi="Times New Roman" w:cs="Times New Roman"/>
          <w:sz w:val="24"/>
          <w:szCs w:val="24"/>
        </w:rPr>
        <w:t>will happen</w:t>
      </w:r>
      <w:r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at</w:t>
      </w:r>
      <w:r w:rsidRPr="00BC32CF">
        <w:rPr>
          <w:rFonts w:ascii="Times New Roman" w:eastAsia="Calibri" w:hAnsi="Times New Roman" w:cs="Times New Roman"/>
          <w:sz w:val="24"/>
          <w:szCs w:val="24"/>
        </w:rPr>
        <w:t xml:space="preserve"> a particular period of time. Risk is also referred to </w:t>
      </w:r>
      <w:r w:rsidR="000F71E5" w:rsidRPr="00BC32CF">
        <w:rPr>
          <w:rFonts w:ascii="Times New Roman" w:eastAsia="Calibri" w:hAnsi="Times New Roman" w:cs="Times New Roman"/>
          <w:sz w:val="24"/>
          <w:szCs w:val="24"/>
        </w:rPr>
        <w:t xml:space="preserve">as </w:t>
      </w:r>
      <w:r w:rsidRPr="00BC32CF">
        <w:rPr>
          <w:rFonts w:ascii="Times New Roman" w:eastAsia="Calibri" w:hAnsi="Times New Roman" w:cs="Times New Roman"/>
          <w:sz w:val="24"/>
          <w:szCs w:val="24"/>
        </w:rPr>
        <w:t>the possibility that an event, its resulting impact and dynamic interaction turns out against anticipated outcome (</w:t>
      </w:r>
      <w:r w:rsidR="0058006C" w:rsidRPr="00BC32CF">
        <w:rPr>
          <w:rFonts w:ascii="Times New Roman" w:eastAsia="Calibri" w:hAnsi="Times New Roman" w:cs="Times New Roman"/>
          <w:sz w:val="24"/>
          <w:szCs w:val="24"/>
        </w:rPr>
        <w:t xml:space="preserve">Bing </w:t>
      </w:r>
      <w:r w:rsidR="0058006C" w:rsidRPr="00BC32CF">
        <w:rPr>
          <w:rFonts w:ascii="Times New Roman" w:eastAsia="Calibri" w:hAnsi="Times New Roman" w:cs="Times New Roman"/>
          <w:i/>
          <w:sz w:val="24"/>
          <w:szCs w:val="24"/>
        </w:rPr>
        <w:t>et al.,</w:t>
      </w:r>
      <w:r w:rsidR="0058006C" w:rsidRPr="00BC32CF">
        <w:rPr>
          <w:rFonts w:ascii="Times New Roman" w:eastAsia="Calibri" w:hAnsi="Times New Roman" w:cs="Times New Roman"/>
          <w:sz w:val="24"/>
          <w:szCs w:val="24"/>
        </w:rPr>
        <w:t xml:space="preserve"> 2005</w:t>
      </w:r>
      <w:r w:rsidRPr="00BC32CF">
        <w:rPr>
          <w:rFonts w:ascii="Times New Roman" w:eastAsia="Calibri" w:hAnsi="Times New Roman" w:cs="Times New Roman"/>
          <w:sz w:val="24"/>
          <w:szCs w:val="24"/>
        </w:rPr>
        <w:t xml:space="preserve">). Wang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(2004) classified risks in PPP projects into internal and external risks. While internal risks are common with every project </w:t>
      </w:r>
      <w:r w:rsidR="00803980" w:rsidRPr="00BC32CF">
        <w:rPr>
          <w:rFonts w:ascii="Times New Roman" w:eastAsia="Calibri" w:hAnsi="Times New Roman" w:cs="Times New Roman"/>
          <w:sz w:val="24"/>
          <w:szCs w:val="24"/>
        </w:rPr>
        <w:t>such as</w:t>
      </w:r>
      <w:r w:rsidRPr="00BC32CF">
        <w:rPr>
          <w:rFonts w:ascii="Times New Roman" w:eastAsia="Calibri" w:hAnsi="Times New Roman" w:cs="Times New Roman"/>
          <w:sz w:val="24"/>
          <w:szCs w:val="24"/>
        </w:rPr>
        <w:t xml:space="preserve"> design risk, construction risk, operation</w:t>
      </w:r>
      <w:r w:rsidR="00803980" w:rsidRPr="00BC32CF">
        <w:rPr>
          <w:rFonts w:ascii="Times New Roman" w:eastAsia="Calibri" w:hAnsi="Times New Roman" w:cs="Times New Roman"/>
          <w:sz w:val="24"/>
          <w:szCs w:val="24"/>
        </w:rPr>
        <w:t xml:space="preserve"> and maintenance risks among others,</w:t>
      </w:r>
      <w:r w:rsidRPr="00BC32CF">
        <w:rPr>
          <w:rFonts w:ascii="Times New Roman" w:eastAsia="Calibri" w:hAnsi="Times New Roman" w:cs="Times New Roman"/>
          <w:sz w:val="24"/>
          <w:szCs w:val="24"/>
        </w:rPr>
        <w:t xml:space="preserve"> external risks are </w:t>
      </w:r>
      <w:r w:rsidR="002B52DE" w:rsidRPr="00BC32CF">
        <w:rPr>
          <w:rFonts w:ascii="Times New Roman" w:eastAsia="Calibri" w:hAnsi="Times New Roman" w:cs="Times New Roman"/>
          <w:sz w:val="24"/>
          <w:szCs w:val="24"/>
        </w:rPr>
        <w:t xml:space="preserve">negative </w:t>
      </w:r>
      <w:r w:rsidRPr="00BC32CF">
        <w:rPr>
          <w:rFonts w:ascii="Times New Roman" w:eastAsia="Calibri" w:hAnsi="Times New Roman" w:cs="Times New Roman"/>
          <w:sz w:val="24"/>
          <w:szCs w:val="24"/>
        </w:rPr>
        <w:t>uncertain</w:t>
      </w:r>
      <w:r w:rsidR="002B52DE" w:rsidRPr="00BC32CF">
        <w:rPr>
          <w:rFonts w:ascii="Times New Roman" w:eastAsia="Calibri" w:hAnsi="Times New Roman" w:cs="Times New Roman"/>
          <w:sz w:val="24"/>
          <w:szCs w:val="24"/>
        </w:rPr>
        <w:t>ties</w:t>
      </w:r>
      <w:r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arising due to</w:t>
      </w:r>
      <w:r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 xml:space="preserve">project’s interaction with </w:t>
      </w:r>
      <w:r w:rsidR="00AD775F" w:rsidRPr="00BC32CF">
        <w:rPr>
          <w:rFonts w:ascii="Times New Roman" w:eastAsia="Calibri" w:hAnsi="Times New Roman" w:cs="Times New Roman"/>
          <w:sz w:val="24"/>
          <w:szCs w:val="24"/>
        </w:rPr>
        <w:t>the</w:t>
      </w:r>
      <w:r w:rsidR="002B52DE" w:rsidRPr="00BC32CF">
        <w:rPr>
          <w:rFonts w:ascii="Times New Roman" w:eastAsia="Calibri" w:hAnsi="Times New Roman" w:cs="Times New Roman"/>
          <w:sz w:val="24"/>
          <w:szCs w:val="24"/>
        </w:rPr>
        <w:t xml:space="preserve"> </w:t>
      </w:r>
      <w:r w:rsidR="000F71E5" w:rsidRPr="00BC32CF">
        <w:rPr>
          <w:rFonts w:ascii="Times New Roman" w:eastAsia="Calibri" w:hAnsi="Times New Roman" w:cs="Times New Roman"/>
          <w:sz w:val="24"/>
          <w:szCs w:val="24"/>
        </w:rPr>
        <w:t xml:space="preserve">environment. Examples of external risks in PPP projects include </w:t>
      </w:r>
      <w:r w:rsidRPr="00BC32CF">
        <w:rPr>
          <w:rFonts w:ascii="Times New Roman" w:eastAsia="Calibri" w:hAnsi="Times New Roman" w:cs="Times New Roman"/>
          <w:sz w:val="24"/>
          <w:szCs w:val="24"/>
        </w:rPr>
        <w:t>regulatory</w:t>
      </w:r>
      <w:r w:rsidR="000F71E5" w:rsidRPr="00BC32CF">
        <w:rPr>
          <w:rFonts w:ascii="Times New Roman" w:eastAsia="Calibri" w:hAnsi="Times New Roman" w:cs="Times New Roman"/>
          <w:sz w:val="24"/>
          <w:szCs w:val="24"/>
        </w:rPr>
        <w:t xml:space="preserve"> risk</w:t>
      </w:r>
      <w:r w:rsidRPr="00BC32CF">
        <w:rPr>
          <w:rFonts w:ascii="Times New Roman" w:eastAsia="Calibri" w:hAnsi="Times New Roman" w:cs="Times New Roman"/>
          <w:sz w:val="24"/>
          <w:szCs w:val="24"/>
        </w:rPr>
        <w:t>, concession</w:t>
      </w:r>
      <w:r w:rsidR="000F71E5" w:rsidRPr="00BC32CF">
        <w:rPr>
          <w:rFonts w:ascii="Times New Roman" w:eastAsia="Calibri" w:hAnsi="Times New Roman" w:cs="Times New Roman"/>
          <w:sz w:val="24"/>
          <w:szCs w:val="24"/>
        </w:rPr>
        <w:t xml:space="preserve"> risk</w:t>
      </w:r>
      <w:r w:rsidRPr="00BC32CF">
        <w:rPr>
          <w:rFonts w:ascii="Times New Roman" w:eastAsia="Calibri" w:hAnsi="Times New Roman" w:cs="Times New Roman"/>
          <w:sz w:val="24"/>
          <w:szCs w:val="24"/>
        </w:rPr>
        <w:t xml:space="preserve">, </w:t>
      </w:r>
      <w:r w:rsidR="000F71E5" w:rsidRPr="00BC32CF">
        <w:rPr>
          <w:rFonts w:ascii="Times New Roman" w:eastAsia="Calibri" w:hAnsi="Times New Roman" w:cs="Times New Roman"/>
          <w:sz w:val="24"/>
          <w:szCs w:val="24"/>
        </w:rPr>
        <w:t xml:space="preserve">currency or foreign exchange risk, </w:t>
      </w:r>
      <w:r w:rsidRPr="00BC32CF">
        <w:rPr>
          <w:rFonts w:ascii="Times New Roman" w:eastAsia="Calibri" w:hAnsi="Times New Roman" w:cs="Times New Roman"/>
          <w:sz w:val="24"/>
          <w:szCs w:val="24"/>
        </w:rPr>
        <w:t>political</w:t>
      </w:r>
      <w:r w:rsidR="000F71E5" w:rsidRPr="00BC32CF">
        <w:rPr>
          <w:rFonts w:ascii="Times New Roman" w:eastAsia="Calibri" w:hAnsi="Times New Roman" w:cs="Times New Roman"/>
          <w:sz w:val="24"/>
          <w:szCs w:val="24"/>
        </w:rPr>
        <w:t xml:space="preserve"> or social uncertainties,</w:t>
      </w:r>
      <w:r w:rsidRPr="00BC32CF">
        <w:rPr>
          <w:rFonts w:ascii="Times New Roman" w:eastAsia="Calibri" w:hAnsi="Times New Roman" w:cs="Times New Roman"/>
          <w:sz w:val="24"/>
          <w:szCs w:val="24"/>
        </w:rPr>
        <w:t xml:space="preserve"> reputational risk </w:t>
      </w:r>
      <w:r w:rsidR="000F71E5" w:rsidRPr="00BC32CF">
        <w:rPr>
          <w:rFonts w:ascii="Times New Roman" w:eastAsia="Calibri" w:hAnsi="Times New Roman" w:cs="Times New Roman"/>
          <w:sz w:val="24"/>
          <w:szCs w:val="24"/>
        </w:rPr>
        <w:t>among others</w:t>
      </w:r>
      <w:r w:rsidR="0046024A" w:rsidRPr="00BC32CF">
        <w:rPr>
          <w:rFonts w:ascii="Times New Roman" w:eastAsia="Calibri" w:hAnsi="Times New Roman" w:cs="Times New Roman"/>
          <w:sz w:val="24"/>
          <w:szCs w:val="24"/>
        </w:rPr>
        <w:t xml:space="preserve"> (</w:t>
      </w:r>
      <w:r w:rsidR="001226DF" w:rsidRPr="00BC32CF">
        <w:rPr>
          <w:rFonts w:ascii="Times New Roman" w:eastAsia="Calibri" w:hAnsi="Times New Roman" w:cs="Times New Roman"/>
          <w:sz w:val="24"/>
          <w:szCs w:val="24"/>
        </w:rPr>
        <w:t>Akintoye</w:t>
      </w:r>
      <w:r w:rsidR="0046024A" w:rsidRPr="00BC32CF">
        <w:rPr>
          <w:rFonts w:ascii="Times New Roman" w:eastAsia="Calibri" w:hAnsi="Times New Roman" w:cs="Times New Roman"/>
          <w:sz w:val="24"/>
          <w:szCs w:val="24"/>
        </w:rPr>
        <w:t xml:space="preserve"> </w:t>
      </w:r>
      <w:r w:rsidR="0046024A" w:rsidRPr="00BC32CF">
        <w:rPr>
          <w:rFonts w:ascii="Times New Roman" w:eastAsia="Calibri" w:hAnsi="Times New Roman" w:cs="Times New Roman"/>
          <w:i/>
          <w:sz w:val="24"/>
          <w:szCs w:val="24"/>
        </w:rPr>
        <w:t>et al</w:t>
      </w:r>
      <w:r w:rsidR="000B746D" w:rsidRPr="00BC32CF">
        <w:rPr>
          <w:rFonts w:ascii="Times New Roman" w:eastAsia="Calibri" w:hAnsi="Times New Roman" w:cs="Times New Roman"/>
          <w:sz w:val="24"/>
          <w:szCs w:val="24"/>
        </w:rPr>
        <w:t>., 2015; Oyedele, 2013</w:t>
      </w:r>
      <w:r w:rsidR="0046024A" w:rsidRPr="00BC32CF">
        <w:rPr>
          <w:rFonts w:ascii="Times New Roman" w:eastAsia="Calibri" w:hAnsi="Times New Roman" w:cs="Times New Roman"/>
          <w:sz w:val="24"/>
          <w:szCs w:val="24"/>
        </w:rPr>
        <w:t>)</w:t>
      </w:r>
      <w:r w:rsidRPr="00BC32CF">
        <w:rPr>
          <w:rFonts w:ascii="Times New Roman" w:eastAsia="Calibri" w:hAnsi="Times New Roman" w:cs="Times New Roman"/>
          <w:sz w:val="24"/>
          <w:szCs w:val="24"/>
        </w:rPr>
        <w:t xml:space="preserve">. </w:t>
      </w:r>
    </w:p>
    <w:p w14:paraId="17FEC0B1" w14:textId="77777777" w:rsidR="00AD775F" w:rsidRPr="00BC32CF" w:rsidRDefault="00AD775F" w:rsidP="00606DB8">
      <w:pPr>
        <w:spacing w:after="0" w:line="480" w:lineRule="auto"/>
        <w:jc w:val="both"/>
        <w:rPr>
          <w:rFonts w:ascii="Times New Roman" w:eastAsia="Calibri" w:hAnsi="Times New Roman" w:cs="Times New Roman"/>
          <w:sz w:val="24"/>
          <w:szCs w:val="24"/>
        </w:rPr>
      </w:pPr>
    </w:p>
    <w:p w14:paraId="123D015E" w14:textId="49350F92" w:rsidR="000B746D" w:rsidRPr="00BC32CF" w:rsidRDefault="0046024A" w:rsidP="00606DB8">
      <w:pPr>
        <w:spacing w:after="0" w:line="480" w:lineRule="auto"/>
        <w:jc w:val="both"/>
        <w:rPr>
          <w:rFonts w:ascii="Times New Roman" w:eastAsia="Calibri" w:hAnsi="Times New Roman" w:cs="Times New Roman"/>
          <w:sz w:val="24"/>
          <w:szCs w:val="24"/>
          <w:u w:val="single"/>
        </w:rPr>
      </w:pPr>
      <w:r w:rsidRPr="00BC32CF">
        <w:rPr>
          <w:rFonts w:ascii="Times New Roman" w:eastAsia="Calibri" w:hAnsi="Times New Roman" w:cs="Times New Roman"/>
          <w:sz w:val="24"/>
          <w:szCs w:val="24"/>
        </w:rPr>
        <w:t>According to Liu</w:t>
      </w:r>
      <w:r w:rsidRPr="00BC32CF">
        <w:rPr>
          <w:rFonts w:ascii="Times New Roman" w:eastAsia="Calibri" w:hAnsi="Times New Roman" w:cs="Times New Roman"/>
          <w:i/>
          <w:sz w:val="24"/>
          <w:szCs w:val="24"/>
        </w:rPr>
        <w:t xml:space="preserve"> et al.</w:t>
      </w:r>
      <w:r w:rsidRPr="00BC32CF">
        <w:rPr>
          <w:rFonts w:ascii="Times New Roman" w:eastAsia="Calibri" w:hAnsi="Times New Roman" w:cs="Times New Roman"/>
          <w:sz w:val="24"/>
          <w:szCs w:val="24"/>
        </w:rPr>
        <w:t xml:space="preserve"> (2016), although</w:t>
      </w:r>
      <w:r w:rsidR="002B52DE" w:rsidRPr="00BC32CF">
        <w:rPr>
          <w:rFonts w:ascii="Times New Roman" w:eastAsia="Calibri" w:hAnsi="Times New Roman" w:cs="Times New Roman"/>
          <w:sz w:val="24"/>
          <w:szCs w:val="24"/>
        </w:rPr>
        <w:t xml:space="preserve"> external risks abound in most </w:t>
      </w:r>
      <w:r w:rsidR="00AD775F" w:rsidRPr="00BC32CF">
        <w:rPr>
          <w:rFonts w:ascii="Times New Roman" w:eastAsia="Calibri" w:hAnsi="Times New Roman" w:cs="Times New Roman"/>
          <w:sz w:val="24"/>
          <w:szCs w:val="24"/>
        </w:rPr>
        <w:t xml:space="preserve">projects regardless of where </w:t>
      </w:r>
      <w:r w:rsidR="00FF712C" w:rsidRPr="00BC32CF">
        <w:rPr>
          <w:rFonts w:ascii="Times New Roman" w:eastAsia="Calibri" w:hAnsi="Times New Roman" w:cs="Times New Roman"/>
          <w:sz w:val="24"/>
          <w:szCs w:val="24"/>
        </w:rPr>
        <w:t>they are</w:t>
      </w:r>
      <w:r w:rsidR="00AD775F" w:rsidRPr="00BC32CF">
        <w:rPr>
          <w:rFonts w:ascii="Times New Roman" w:eastAsia="Calibri" w:hAnsi="Times New Roman" w:cs="Times New Roman"/>
          <w:sz w:val="24"/>
          <w:szCs w:val="24"/>
        </w:rPr>
        <w:t xml:space="preserve"> be</w:t>
      </w:r>
      <w:r w:rsidR="00FF712C" w:rsidRPr="00BC32CF">
        <w:rPr>
          <w:rFonts w:ascii="Times New Roman" w:eastAsia="Calibri" w:hAnsi="Times New Roman" w:cs="Times New Roman"/>
          <w:sz w:val="24"/>
          <w:szCs w:val="24"/>
        </w:rPr>
        <w:t>i</w:t>
      </w:r>
      <w:r w:rsidR="00AD775F" w:rsidRPr="00BC32CF">
        <w:rPr>
          <w:rFonts w:ascii="Times New Roman" w:eastAsia="Calibri" w:hAnsi="Times New Roman" w:cs="Times New Roman"/>
          <w:sz w:val="24"/>
          <w:szCs w:val="24"/>
        </w:rPr>
        <w:t>n</w:t>
      </w:r>
      <w:r w:rsidR="00FF712C" w:rsidRPr="00BC32CF">
        <w:rPr>
          <w:rFonts w:ascii="Times New Roman" w:eastAsia="Calibri" w:hAnsi="Times New Roman" w:cs="Times New Roman"/>
          <w:sz w:val="24"/>
          <w:szCs w:val="24"/>
        </w:rPr>
        <w:t>g</w:t>
      </w:r>
      <w:r w:rsidR="00AD775F" w:rsidRPr="00BC32CF">
        <w:rPr>
          <w:rFonts w:ascii="Times New Roman" w:eastAsia="Calibri" w:hAnsi="Times New Roman" w:cs="Times New Roman"/>
          <w:sz w:val="24"/>
          <w:szCs w:val="24"/>
        </w:rPr>
        <w:t xml:space="preserve"> delivered</w:t>
      </w:r>
      <w:r w:rsidR="00FF712C"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the severity of external uncertainties is</w:t>
      </w:r>
      <w:r w:rsidR="00111E36"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 xml:space="preserve">higher in </w:t>
      </w:r>
      <w:r w:rsidR="00111E36" w:rsidRPr="00BC32CF">
        <w:rPr>
          <w:rFonts w:ascii="Times New Roman" w:eastAsia="Calibri" w:hAnsi="Times New Roman" w:cs="Times New Roman"/>
          <w:sz w:val="24"/>
          <w:szCs w:val="24"/>
        </w:rPr>
        <w:t xml:space="preserve">emerging market </w:t>
      </w:r>
      <w:r w:rsidR="002B52DE" w:rsidRPr="00BC32CF">
        <w:rPr>
          <w:rFonts w:ascii="Times New Roman" w:eastAsia="Calibri" w:hAnsi="Times New Roman" w:cs="Times New Roman"/>
          <w:sz w:val="24"/>
          <w:szCs w:val="24"/>
        </w:rPr>
        <w:t xml:space="preserve">PPP </w:t>
      </w:r>
      <w:r w:rsidR="00111E36" w:rsidRPr="00BC32CF">
        <w:rPr>
          <w:rFonts w:ascii="Times New Roman" w:eastAsia="Calibri" w:hAnsi="Times New Roman" w:cs="Times New Roman"/>
          <w:sz w:val="24"/>
          <w:szCs w:val="24"/>
        </w:rPr>
        <w:t>project</w:t>
      </w:r>
      <w:r w:rsidR="002B52DE" w:rsidRPr="00BC32CF">
        <w:rPr>
          <w:rFonts w:ascii="Times New Roman" w:eastAsia="Calibri" w:hAnsi="Times New Roman" w:cs="Times New Roman"/>
          <w:sz w:val="24"/>
          <w:szCs w:val="24"/>
        </w:rPr>
        <w:t xml:space="preserve">s. For example, </w:t>
      </w:r>
      <w:r w:rsidR="00FF712C" w:rsidRPr="00BC32CF">
        <w:rPr>
          <w:rFonts w:ascii="Times New Roman" w:eastAsia="Calibri" w:hAnsi="Times New Roman" w:cs="Times New Roman"/>
          <w:sz w:val="24"/>
          <w:szCs w:val="24"/>
        </w:rPr>
        <w:t>a country</w:t>
      </w:r>
      <w:r w:rsidR="00AD775F" w:rsidRPr="00BC32CF">
        <w:rPr>
          <w:rFonts w:ascii="Times New Roman" w:eastAsia="Calibri" w:hAnsi="Times New Roman" w:cs="Times New Roman"/>
          <w:sz w:val="24"/>
          <w:szCs w:val="24"/>
        </w:rPr>
        <w:t xml:space="preserve"> like </w:t>
      </w:r>
      <w:r w:rsidR="00111E36" w:rsidRPr="00BC32CF">
        <w:rPr>
          <w:rFonts w:ascii="Times New Roman" w:eastAsia="Calibri" w:hAnsi="Times New Roman" w:cs="Times New Roman"/>
          <w:sz w:val="24"/>
          <w:szCs w:val="24"/>
        </w:rPr>
        <w:t xml:space="preserve">Nigeria </w:t>
      </w:r>
      <w:r w:rsidR="00AD775F" w:rsidRPr="00BC32CF">
        <w:rPr>
          <w:rFonts w:ascii="Times New Roman" w:eastAsia="Calibri" w:hAnsi="Times New Roman" w:cs="Times New Roman"/>
          <w:sz w:val="24"/>
          <w:szCs w:val="24"/>
        </w:rPr>
        <w:t xml:space="preserve">which is an emerging economy </w:t>
      </w:r>
      <w:r w:rsidRPr="00BC32CF">
        <w:rPr>
          <w:rFonts w:ascii="Times New Roman" w:eastAsia="Calibri" w:hAnsi="Times New Roman" w:cs="Times New Roman"/>
          <w:sz w:val="24"/>
          <w:szCs w:val="24"/>
        </w:rPr>
        <w:t>and</w:t>
      </w:r>
      <w:r w:rsidR="002B52DE" w:rsidRPr="00BC32CF">
        <w:rPr>
          <w:rFonts w:ascii="Times New Roman" w:eastAsia="Calibri" w:hAnsi="Times New Roman" w:cs="Times New Roman"/>
          <w:sz w:val="24"/>
          <w:szCs w:val="24"/>
        </w:rPr>
        <w:t xml:space="preserve"> currently at </w:t>
      </w:r>
      <w:r w:rsidR="00FF712C" w:rsidRPr="00BC32CF">
        <w:rPr>
          <w:rFonts w:ascii="Times New Roman" w:eastAsia="Calibri" w:hAnsi="Times New Roman" w:cs="Times New Roman"/>
          <w:sz w:val="24"/>
          <w:szCs w:val="24"/>
        </w:rPr>
        <w:t>the</w:t>
      </w:r>
      <w:r w:rsidR="002B52DE" w:rsidRPr="00BC32CF">
        <w:rPr>
          <w:rFonts w:ascii="Times New Roman" w:eastAsia="Calibri" w:hAnsi="Times New Roman" w:cs="Times New Roman"/>
          <w:sz w:val="24"/>
          <w:szCs w:val="24"/>
        </w:rPr>
        <w:t xml:space="preserve"> lower-level of PFI/PPP maturity model</w:t>
      </w:r>
      <w:r w:rsidR="00111E36" w:rsidRPr="00BC32CF">
        <w:rPr>
          <w:rFonts w:ascii="Times New Roman" w:eastAsia="Calibri" w:hAnsi="Times New Roman" w:cs="Times New Roman"/>
          <w:sz w:val="24"/>
          <w:szCs w:val="24"/>
        </w:rPr>
        <w:t xml:space="preserve"> </w:t>
      </w:r>
      <w:r w:rsidR="002B52DE" w:rsidRPr="00BC32CF">
        <w:rPr>
          <w:rFonts w:ascii="Times New Roman" w:eastAsia="Calibri" w:hAnsi="Times New Roman" w:cs="Times New Roman"/>
          <w:sz w:val="24"/>
          <w:szCs w:val="24"/>
        </w:rPr>
        <w:t>has been bedevilled by a lot of</w:t>
      </w:r>
      <w:r w:rsidR="00111E36" w:rsidRPr="00BC32CF">
        <w:rPr>
          <w:rFonts w:ascii="Times New Roman" w:eastAsia="Calibri" w:hAnsi="Times New Roman" w:cs="Times New Roman"/>
          <w:sz w:val="24"/>
          <w:szCs w:val="24"/>
        </w:rPr>
        <w:t xml:space="preserve"> country-related </w:t>
      </w:r>
      <w:r w:rsidRPr="00BC32CF">
        <w:rPr>
          <w:rFonts w:ascii="Times New Roman" w:eastAsia="Calibri" w:hAnsi="Times New Roman" w:cs="Times New Roman"/>
          <w:sz w:val="24"/>
          <w:szCs w:val="24"/>
        </w:rPr>
        <w:t>risk factors</w:t>
      </w:r>
      <w:r w:rsidR="00111E36" w:rsidRPr="00BC32CF">
        <w:rPr>
          <w:rFonts w:ascii="Times New Roman" w:eastAsia="Calibri" w:hAnsi="Times New Roman" w:cs="Times New Roman"/>
          <w:sz w:val="24"/>
          <w:szCs w:val="24"/>
        </w:rPr>
        <w:t xml:space="preserve"> (</w:t>
      </w:r>
      <w:r w:rsidR="000B746D" w:rsidRPr="00BC32CF">
        <w:rPr>
          <w:rFonts w:ascii="Times New Roman" w:eastAsia="Calibri" w:hAnsi="Times New Roman" w:cs="Times New Roman"/>
          <w:sz w:val="24"/>
          <w:szCs w:val="24"/>
        </w:rPr>
        <w:t>Osei and Chan, 2015</w:t>
      </w:r>
      <w:r w:rsidR="00111E36" w:rsidRPr="00BC32CF">
        <w:rPr>
          <w:rFonts w:ascii="Times New Roman" w:eastAsia="Calibri" w:hAnsi="Times New Roman" w:cs="Times New Roman"/>
          <w:sz w:val="24"/>
          <w:szCs w:val="24"/>
        </w:rPr>
        <w:t xml:space="preserve">). </w:t>
      </w:r>
      <w:r w:rsidR="000B746D" w:rsidRPr="00BC32CF">
        <w:rPr>
          <w:rFonts w:ascii="Times New Roman" w:eastAsia="Calibri" w:hAnsi="Times New Roman" w:cs="Times New Roman"/>
          <w:sz w:val="24"/>
          <w:szCs w:val="24"/>
        </w:rPr>
        <w:t xml:space="preserve">As argued by </w:t>
      </w:r>
      <w:r w:rsidR="001226DF" w:rsidRPr="00BC32CF">
        <w:rPr>
          <w:rFonts w:ascii="Times New Roman" w:eastAsia="Calibri" w:hAnsi="Times New Roman" w:cs="Times New Roman"/>
          <w:sz w:val="24"/>
          <w:szCs w:val="24"/>
        </w:rPr>
        <w:t>Akintoye</w:t>
      </w:r>
      <w:r w:rsidR="002B52DE" w:rsidRPr="00BC32CF">
        <w:rPr>
          <w:rFonts w:ascii="Times New Roman" w:eastAsia="Calibri" w:hAnsi="Times New Roman" w:cs="Times New Roman"/>
          <w:sz w:val="24"/>
          <w:szCs w:val="24"/>
        </w:rPr>
        <w:t xml:space="preserve"> </w:t>
      </w:r>
      <w:r w:rsidR="00111E36" w:rsidRPr="00BC32CF">
        <w:rPr>
          <w:rFonts w:ascii="Times New Roman" w:eastAsia="Calibri" w:hAnsi="Times New Roman" w:cs="Times New Roman"/>
          <w:i/>
          <w:sz w:val="24"/>
          <w:szCs w:val="24"/>
        </w:rPr>
        <w:t>et al.</w:t>
      </w:r>
      <w:r w:rsidR="002B52DE" w:rsidRPr="00BC32CF">
        <w:rPr>
          <w:rFonts w:ascii="Times New Roman" w:eastAsia="Calibri" w:hAnsi="Times New Roman" w:cs="Times New Roman"/>
          <w:sz w:val="24"/>
          <w:szCs w:val="24"/>
        </w:rPr>
        <w:t xml:space="preserve"> (2015</w:t>
      </w:r>
      <w:r w:rsidR="000B746D" w:rsidRPr="00BC32CF">
        <w:rPr>
          <w:rFonts w:ascii="Times New Roman" w:eastAsia="Calibri" w:hAnsi="Times New Roman" w:cs="Times New Roman"/>
          <w:sz w:val="24"/>
          <w:szCs w:val="24"/>
        </w:rPr>
        <w:t xml:space="preserve">), </w:t>
      </w:r>
      <w:r w:rsidR="00AA25A9" w:rsidRPr="00BC32CF">
        <w:rPr>
          <w:rFonts w:ascii="Times New Roman" w:eastAsia="Calibri" w:hAnsi="Times New Roman" w:cs="Times New Roman"/>
          <w:sz w:val="24"/>
          <w:szCs w:val="24"/>
        </w:rPr>
        <w:t>apart from</w:t>
      </w:r>
      <w:r w:rsidR="00111E36" w:rsidRPr="00BC32CF">
        <w:rPr>
          <w:rFonts w:ascii="Times New Roman" w:eastAsia="Calibri" w:hAnsi="Times New Roman" w:cs="Times New Roman"/>
          <w:sz w:val="24"/>
          <w:szCs w:val="24"/>
        </w:rPr>
        <w:t xml:space="preserve"> </w:t>
      </w:r>
      <w:r w:rsidR="00AA25A9" w:rsidRPr="00BC32CF">
        <w:rPr>
          <w:rFonts w:ascii="Times New Roman" w:eastAsia="Calibri" w:hAnsi="Times New Roman" w:cs="Times New Roman"/>
          <w:sz w:val="24"/>
          <w:szCs w:val="24"/>
        </w:rPr>
        <w:t xml:space="preserve">challenges </w:t>
      </w:r>
      <w:r w:rsidR="00D963B2" w:rsidRPr="00BC32CF">
        <w:rPr>
          <w:rFonts w:ascii="Times New Roman" w:eastAsia="Calibri" w:hAnsi="Times New Roman" w:cs="Times New Roman"/>
          <w:sz w:val="24"/>
          <w:szCs w:val="24"/>
        </w:rPr>
        <w:t>of</w:t>
      </w:r>
      <w:r w:rsidR="00AA25A9" w:rsidRPr="00BC32CF">
        <w:rPr>
          <w:rFonts w:ascii="Times New Roman" w:eastAsia="Calibri" w:hAnsi="Times New Roman" w:cs="Times New Roman"/>
          <w:sz w:val="24"/>
          <w:szCs w:val="24"/>
        </w:rPr>
        <w:t xml:space="preserve"> </w:t>
      </w:r>
      <w:r w:rsidR="00AD775F" w:rsidRPr="00BC32CF">
        <w:rPr>
          <w:rFonts w:ascii="Times New Roman" w:eastAsia="Calibri" w:hAnsi="Times New Roman" w:cs="Times New Roman"/>
          <w:sz w:val="24"/>
          <w:szCs w:val="24"/>
        </w:rPr>
        <w:t xml:space="preserve">packaging </w:t>
      </w:r>
      <w:r w:rsidR="00AA25A9" w:rsidRPr="00BC32CF">
        <w:rPr>
          <w:rFonts w:ascii="Times New Roman" w:eastAsia="Calibri" w:hAnsi="Times New Roman" w:cs="Times New Roman"/>
          <w:sz w:val="24"/>
          <w:szCs w:val="24"/>
        </w:rPr>
        <w:t>bankable</w:t>
      </w:r>
      <w:r w:rsidR="00111E36" w:rsidRPr="00BC32CF">
        <w:rPr>
          <w:rFonts w:ascii="Times New Roman" w:eastAsia="Calibri" w:hAnsi="Times New Roman" w:cs="Times New Roman"/>
          <w:sz w:val="24"/>
          <w:szCs w:val="24"/>
        </w:rPr>
        <w:t xml:space="preserve"> PPP project</w:t>
      </w:r>
      <w:r w:rsidR="00AA25A9" w:rsidRPr="00BC32CF">
        <w:rPr>
          <w:rFonts w:ascii="Times New Roman" w:eastAsia="Calibri" w:hAnsi="Times New Roman" w:cs="Times New Roman"/>
          <w:sz w:val="24"/>
          <w:szCs w:val="24"/>
        </w:rPr>
        <w:t>s</w:t>
      </w:r>
      <w:r w:rsidR="00111E36" w:rsidRPr="00BC32CF">
        <w:rPr>
          <w:rFonts w:ascii="Times New Roman" w:eastAsia="Calibri" w:hAnsi="Times New Roman" w:cs="Times New Roman"/>
          <w:sz w:val="24"/>
          <w:szCs w:val="24"/>
        </w:rPr>
        <w:t xml:space="preserve">, </w:t>
      </w:r>
      <w:r w:rsidR="00AD775F" w:rsidRPr="00BC32CF">
        <w:rPr>
          <w:rFonts w:ascii="Times New Roman" w:eastAsia="Calibri" w:hAnsi="Times New Roman" w:cs="Times New Roman"/>
          <w:sz w:val="24"/>
          <w:szCs w:val="24"/>
        </w:rPr>
        <w:t xml:space="preserve">Nigeria is faced with </w:t>
      </w:r>
      <w:r w:rsidR="00D963B2" w:rsidRPr="00BC32CF">
        <w:rPr>
          <w:rFonts w:ascii="Times New Roman" w:eastAsia="Calibri" w:hAnsi="Times New Roman" w:cs="Times New Roman"/>
          <w:sz w:val="24"/>
          <w:szCs w:val="24"/>
        </w:rPr>
        <w:t>problems</w:t>
      </w:r>
      <w:r w:rsidR="00FF712C" w:rsidRPr="00BC32CF">
        <w:rPr>
          <w:rFonts w:ascii="Times New Roman" w:eastAsia="Calibri" w:hAnsi="Times New Roman" w:cs="Times New Roman"/>
          <w:sz w:val="24"/>
          <w:szCs w:val="24"/>
        </w:rPr>
        <w:t xml:space="preserve"> like</w:t>
      </w:r>
      <w:r w:rsidR="00111E36" w:rsidRPr="00BC32CF">
        <w:rPr>
          <w:rFonts w:ascii="Times New Roman" w:eastAsia="Calibri" w:hAnsi="Times New Roman" w:cs="Times New Roman"/>
          <w:sz w:val="24"/>
          <w:szCs w:val="24"/>
        </w:rPr>
        <w:t xml:space="preserve"> politicizatio</w:t>
      </w:r>
      <w:r w:rsidR="00AA25A9" w:rsidRPr="00BC32CF">
        <w:rPr>
          <w:rFonts w:ascii="Times New Roman" w:eastAsia="Calibri" w:hAnsi="Times New Roman" w:cs="Times New Roman"/>
          <w:sz w:val="24"/>
          <w:szCs w:val="24"/>
        </w:rPr>
        <w:t>n of concession contracts, non-</w:t>
      </w:r>
      <w:r w:rsidR="00111E36" w:rsidRPr="00BC32CF">
        <w:rPr>
          <w:rFonts w:ascii="Times New Roman" w:eastAsia="Calibri" w:hAnsi="Times New Roman" w:cs="Times New Roman"/>
          <w:sz w:val="24"/>
          <w:szCs w:val="24"/>
        </w:rPr>
        <w:t>competitive bidding, and land acquisition proble</w:t>
      </w:r>
      <w:r w:rsidR="00FF712C" w:rsidRPr="00BC32CF">
        <w:rPr>
          <w:rFonts w:ascii="Times New Roman" w:eastAsia="Calibri" w:hAnsi="Times New Roman" w:cs="Times New Roman"/>
          <w:sz w:val="24"/>
          <w:szCs w:val="24"/>
        </w:rPr>
        <w:t>ms.</w:t>
      </w:r>
      <w:r w:rsidR="00111E36" w:rsidRPr="00BC32CF">
        <w:rPr>
          <w:rFonts w:ascii="Times New Roman" w:eastAsia="Calibri" w:hAnsi="Times New Roman" w:cs="Times New Roman"/>
          <w:sz w:val="24"/>
          <w:szCs w:val="24"/>
        </w:rPr>
        <w:t xml:space="preserve"> </w:t>
      </w:r>
      <w:r w:rsidR="00AA25A9" w:rsidRPr="00BC32CF">
        <w:rPr>
          <w:rFonts w:ascii="Times New Roman" w:eastAsia="Calibri" w:hAnsi="Times New Roman" w:cs="Times New Roman"/>
          <w:sz w:val="24"/>
          <w:szCs w:val="24"/>
        </w:rPr>
        <w:t>In a</w:t>
      </w:r>
      <w:r w:rsidR="00FF712C" w:rsidRPr="00BC32CF">
        <w:rPr>
          <w:rFonts w:ascii="Times New Roman" w:eastAsia="Calibri" w:hAnsi="Times New Roman" w:cs="Times New Roman"/>
          <w:sz w:val="24"/>
          <w:szCs w:val="24"/>
        </w:rPr>
        <w:t>nother</w:t>
      </w:r>
      <w:r w:rsidR="00AA25A9" w:rsidRPr="00BC32CF">
        <w:rPr>
          <w:rFonts w:ascii="Times New Roman" w:eastAsia="Calibri" w:hAnsi="Times New Roman" w:cs="Times New Roman"/>
          <w:sz w:val="24"/>
          <w:szCs w:val="24"/>
        </w:rPr>
        <w:t xml:space="preserve"> related study, Opawole and Jagboro (2016) </w:t>
      </w:r>
      <w:r w:rsidR="000F71E5" w:rsidRPr="00BC32CF">
        <w:rPr>
          <w:rFonts w:ascii="Times New Roman" w:eastAsia="Calibri" w:hAnsi="Times New Roman" w:cs="Times New Roman"/>
          <w:sz w:val="24"/>
          <w:szCs w:val="24"/>
        </w:rPr>
        <w:t>bemoaned the</w:t>
      </w:r>
      <w:r w:rsidR="00FF712C" w:rsidRPr="00BC32CF">
        <w:rPr>
          <w:rFonts w:ascii="Times New Roman" w:eastAsia="Calibri" w:hAnsi="Times New Roman" w:cs="Times New Roman"/>
          <w:sz w:val="24"/>
          <w:szCs w:val="24"/>
        </w:rPr>
        <w:t xml:space="preserve"> lack of demarcation of responsibilities among parties</w:t>
      </w:r>
      <w:r w:rsidR="000F71E5" w:rsidRPr="00BC32CF">
        <w:rPr>
          <w:rFonts w:ascii="Times New Roman" w:eastAsia="Calibri" w:hAnsi="Times New Roman" w:cs="Times New Roman"/>
          <w:sz w:val="24"/>
          <w:szCs w:val="24"/>
        </w:rPr>
        <w:t xml:space="preserve"> in Nigeria’s PPP</w:t>
      </w:r>
      <w:r w:rsidRPr="00BC32CF">
        <w:rPr>
          <w:rFonts w:ascii="Times New Roman" w:eastAsia="Calibri" w:hAnsi="Times New Roman" w:cs="Times New Roman"/>
          <w:sz w:val="24"/>
          <w:szCs w:val="24"/>
        </w:rPr>
        <w:t xml:space="preserve"> projects.</w:t>
      </w:r>
      <w:r w:rsidR="000F71E5" w:rsidRPr="00BC32CF">
        <w:rPr>
          <w:rFonts w:ascii="Times New Roman" w:eastAsia="Calibri" w:hAnsi="Times New Roman" w:cs="Times New Roman"/>
          <w:sz w:val="24"/>
          <w:szCs w:val="24"/>
        </w:rPr>
        <w:t xml:space="preserve"> </w:t>
      </w:r>
      <w:r w:rsidR="001D643F" w:rsidRPr="00BC32CF">
        <w:rPr>
          <w:rFonts w:ascii="Times New Roman" w:eastAsia="Calibri" w:hAnsi="Times New Roman" w:cs="Times New Roman"/>
          <w:sz w:val="24"/>
          <w:szCs w:val="24"/>
        </w:rPr>
        <w:t xml:space="preserve">According to them, Poor clarity in duties results in </w:t>
      </w:r>
      <w:r w:rsidR="000B746D" w:rsidRPr="00BC32CF">
        <w:rPr>
          <w:rFonts w:ascii="Times New Roman" w:eastAsia="Calibri" w:hAnsi="Times New Roman" w:cs="Times New Roman"/>
          <w:sz w:val="24"/>
          <w:szCs w:val="24"/>
        </w:rPr>
        <w:t>g</w:t>
      </w:r>
      <w:r w:rsidR="000F71E5" w:rsidRPr="00BC32CF">
        <w:rPr>
          <w:rFonts w:ascii="Times New Roman" w:eastAsia="Calibri" w:hAnsi="Times New Roman" w:cs="Times New Roman"/>
          <w:sz w:val="24"/>
          <w:szCs w:val="24"/>
        </w:rPr>
        <w:t>overnment performing the duties of private contractors</w:t>
      </w:r>
      <w:r w:rsidR="001D643F" w:rsidRPr="00BC32CF">
        <w:rPr>
          <w:rFonts w:ascii="Times New Roman" w:eastAsia="Calibri" w:hAnsi="Times New Roman" w:cs="Times New Roman"/>
          <w:sz w:val="24"/>
          <w:szCs w:val="24"/>
        </w:rPr>
        <w:t xml:space="preserve"> </w:t>
      </w:r>
      <w:r w:rsidR="000B746D" w:rsidRPr="00BC32CF">
        <w:rPr>
          <w:rFonts w:ascii="Times New Roman" w:eastAsia="Calibri" w:hAnsi="Times New Roman" w:cs="Times New Roman"/>
          <w:sz w:val="24"/>
          <w:szCs w:val="24"/>
        </w:rPr>
        <w:t xml:space="preserve">which may lead to project failure </w:t>
      </w:r>
      <w:r w:rsidR="001D643F" w:rsidRPr="00BC32CF">
        <w:rPr>
          <w:rFonts w:ascii="Times New Roman" w:eastAsia="Calibri" w:hAnsi="Times New Roman" w:cs="Times New Roman"/>
          <w:sz w:val="24"/>
          <w:szCs w:val="24"/>
        </w:rPr>
        <w:t>(Opawole and Jagboro, 2016)</w:t>
      </w:r>
      <w:r w:rsidR="00FF712C" w:rsidRPr="00BC32CF">
        <w:rPr>
          <w:rFonts w:ascii="Times New Roman" w:eastAsia="Calibri" w:hAnsi="Times New Roman" w:cs="Times New Roman"/>
          <w:sz w:val="24"/>
          <w:szCs w:val="24"/>
        </w:rPr>
        <w:t xml:space="preserve">. </w:t>
      </w:r>
      <w:r w:rsidR="001D643F" w:rsidRPr="00BC32CF">
        <w:rPr>
          <w:rFonts w:ascii="Times New Roman" w:eastAsia="Calibri" w:hAnsi="Times New Roman" w:cs="Times New Roman"/>
          <w:sz w:val="24"/>
          <w:szCs w:val="24"/>
        </w:rPr>
        <w:t>W</w:t>
      </w:r>
      <w:r w:rsidR="00FF712C" w:rsidRPr="00BC32CF">
        <w:rPr>
          <w:rFonts w:ascii="Times New Roman" w:eastAsia="Calibri" w:hAnsi="Times New Roman" w:cs="Times New Roman"/>
          <w:sz w:val="24"/>
          <w:szCs w:val="24"/>
        </w:rPr>
        <w:t>hile examining barriers to PPP development in Nigeria</w:t>
      </w:r>
      <w:r w:rsidR="000B746D" w:rsidRPr="00BC32CF">
        <w:rPr>
          <w:rFonts w:ascii="Times New Roman" w:eastAsia="Calibri" w:hAnsi="Times New Roman" w:cs="Times New Roman"/>
          <w:sz w:val="24"/>
          <w:szCs w:val="24"/>
        </w:rPr>
        <w:t>,</w:t>
      </w:r>
      <w:r w:rsidR="00FF712C" w:rsidRPr="00BC32CF">
        <w:rPr>
          <w:rFonts w:ascii="Times New Roman" w:eastAsia="Calibri" w:hAnsi="Times New Roman" w:cs="Times New Roman"/>
          <w:sz w:val="24"/>
          <w:szCs w:val="24"/>
        </w:rPr>
        <w:t xml:space="preserve"> </w:t>
      </w:r>
      <w:r w:rsidR="001D643F" w:rsidRPr="00BC32CF">
        <w:rPr>
          <w:rFonts w:ascii="Times New Roman" w:eastAsia="Calibri" w:hAnsi="Times New Roman" w:cs="Times New Roman"/>
          <w:sz w:val="24"/>
          <w:szCs w:val="24"/>
        </w:rPr>
        <w:t xml:space="preserve">Solomon </w:t>
      </w:r>
      <w:r w:rsidR="001D643F" w:rsidRPr="00BC32CF">
        <w:rPr>
          <w:rFonts w:ascii="Times New Roman" w:eastAsia="Calibri" w:hAnsi="Times New Roman" w:cs="Times New Roman"/>
          <w:i/>
          <w:sz w:val="24"/>
          <w:szCs w:val="24"/>
        </w:rPr>
        <w:t>et al.,</w:t>
      </w:r>
      <w:r w:rsidR="001D643F" w:rsidRPr="00BC32CF">
        <w:rPr>
          <w:rFonts w:ascii="Times New Roman" w:eastAsia="Calibri" w:hAnsi="Times New Roman" w:cs="Times New Roman"/>
          <w:sz w:val="24"/>
          <w:szCs w:val="24"/>
        </w:rPr>
        <w:t xml:space="preserve"> (2015) also </w:t>
      </w:r>
      <w:r w:rsidR="00FF712C" w:rsidRPr="00BC32CF">
        <w:rPr>
          <w:rFonts w:ascii="Times New Roman" w:eastAsia="Calibri" w:hAnsi="Times New Roman" w:cs="Times New Roman"/>
          <w:sz w:val="24"/>
          <w:szCs w:val="24"/>
        </w:rPr>
        <w:t>suggested</w:t>
      </w:r>
      <w:r w:rsidR="000F71E5" w:rsidRPr="00BC32CF">
        <w:rPr>
          <w:rFonts w:ascii="Times New Roman" w:eastAsia="Calibri" w:hAnsi="Times New Roman" w:cs="Times New Roman"/>
          <w:sz w:val="24"/>
          <w:szCs w:val="24"/>
        </w:rPr>
        <w:t xml:space="preserve"> foreign exchange risk, high country risk perception, weak risk assessment and management as challenges that need improvement in order to strengthen Nigeria’s PPP market</w:t>
      </w:r>
      <w:r w:rsidR="00FF712C" w:rsidRPr="00BC32CF">
        <w:rPr>
          <w:rFonts w:ascii="Times New Roman" w:eastAsia="Calibri" w:hAnsi="Times New Roman" w:cs="Times New Roman"/>
          <w:sz w:val="24"/>
          <w:szCs w:val="24"/>
        </w:rPr>
        <w:t>.</w:t>
      </w:r>
      <w:r w:rsidR="00AA25A9" w:rsidRPr="00BC32CF">
        <w:rPr>
          <w:rFonts w:ascii="Times New Roman" w:eastAsia="Calibri" w:hAnsi="Times New Roman" w:cs="Times New Roman"/>
          <w:sz w:val="24"/>
          <w:szCs w:val="24"/>
        </w:rPr>
        <w:t xml:space="preserve"> </w:t>
      </w:r>
      <w:r w:rsidR="000B746D" w:rsidRPr="00BC32CF">
        <w:rPr>
          <w:rFonts w:ascii="Times New Roman" w:eastAsia="Calibri" w:hAnsi="Times New Roman" w:cs="Times New Roman"/>
          <w:sz w:val="24"/>
          <w:szCs w:val="24"/>
        </w:rPr>
        <w:t>Dominic</w:t>
      </w:r>
      <w:r w:rsidR="000F71E5" w:rsidRPr="00BC32CF">
        <w:rPr>
          <w:rFonts w:ascii="Times New Roman" w:eastAsia="Calibri" w:hAnsi="Times New Roman" w:cs="Times New Roman"/>
          <w:sz w:val="24"/>
          <w:szCs w:val="24"/>
        </w:rPr>
        <w:t xml:space="preserve"> </w:t>
      </w:r>
      <w:r w:rsidR="000F71E5" w:rsidRPr="00BC32CF">
        <w:rPr>
          <w:rFonts w:ascii="Times New Roman" w:eastAsia="Calibri" w:hAnsi="Times New Roman" w:cs="Times New Roman"/>
          <w:i/>
          <w:sz w:val="24"/>
          <w:szCs w:val="24"/>
        </w:rPr>
        <w:t>et al.</w:t>
      </w:r>
      <w:r w:rsidR="000F71E5" w:rsidRPr="00BC32CF">
        <w:rPr>
          <w:rFonts w:ascii="Times New Roman" w:eastAsia="Calibri" w:hAnsi="Times New Roman" w:cs="Times New Roman"/>
          <w:sz w:val="24"/>
          <w:szCs w:val="24"/>
        </w:rPr>
        <w:t xml:space="preserve"> </w:t>
      </w:r>
      <w:r w:rsidR="000B746D" w:rsidRPr="00BC32CF">
        <w:rPr>
          <w:rFonts w:ascii="Times New Roman" w:eastAsia="Calibri" w:hAnsi="Times New Roman" w:cs="Times New Roman"/>
          <w:sz w:val="24"/>
          <w:szCs w:val="24"/>
        </w:rPr>
        <w:t xml:space="preserve">(2015) argued for better risk allocation that will strengthen service efficiency, including adequate risk transfer to the private sector party for successful PPP implementation in Nigeria. </w:t>
      </w:r>
      <w:r w:rsidR="00167174" w:rsidRPr="00BC32CF">
        <w:rPr>
          <w:rFonts w:ascii="Times New Roman" w:eastAsia="Calibri" w:hAnsi="Times New Roman" w:cs="Times New Roman"/>
          <w:sz w:val="24"/>
          <w:szCs w:val="24"/>
        </w:rPr>
        <w:t xml:space="preserve">Similarly, </w:t>
      </w:r>
      <w:r w:rsidR="00803980" w:rsidRPr="00BC32CF">
        <w:rPr>
          <w:rFonts w:ascii="Times New Roman" w:eastAsia="Calibri" w:hAnsi="Times New Roman" w:cs="Times New Roman"/>
          <w:sz w:val="24"/>
          <w:szCs w:val="24"/>
        </w:rPr>
        <w:t>Salawu and Fadhlin (2015), whilst</w:t>
      </w:r>
      <w:r w:rsidR="00167174" w:rsidRPr="00BC32CF">
        <w:rPr>
          <w:rFonts w:ascii="Times New Roman" w:eastAsia="Calibri" w:hAnsi="Times New Roman" w:cs="Times New Roman"/>
          <w:sz w:val="24"/>
          <w:szCs w:val="24"/>
        </w:rPr>
        <w:t xml:space="preserve"> assessing risk management maturity of Nigerian PPP contractors condemned the overall risk management maturity level o</w:t>
      </w:r>
      <w:bookmarkStart w:id="0" w:name="_GoBack"/>
      <w:bookmarkEnd w:id="0"/>
      <w:r w:rsidR="00167174" w:rsidRPr="00BC32CF">
        <w:rPr>
          <w:rFonts w:ascii="Times New Roman" w:eastAsia="Calibri" w:hAnsi="Times New Roman" w:cs="Times New Roman"/>
          <w:sz w:val="24"/>
          <w:szCs w:val="24"/>
        </w:rPr>
        <w:t>f local contractors. According to the authors, higher risk assessment maturity level is needed to enable improved project performance and reduced uncertainties in project outcome</w:t>
      </w:r>
      <w:r w:rsidR="00803980" w:rsidRPr="00BC32CF">
        <w:rPr>
          <w:rFonts w:ascii="Times New Roman" w:eastAsia="Calibri" w:hAnsi="Times New Roman" w:cs="Times New Roman"/>
          <w:sz w:val="24"/>
          <w:szCs w:val="24"/>
        </w:rPr>
        <w:t>s</w:t>
      </w:r>
      <w:r w:rsidR="00167174" w:rsidRPr="00BC32CF">
        <w:rPr>
          <w:rFonts w:ascii="Times New Roman" w:eastAsia="Calibri" w:hAnsi="Times New Roman" w:cs="Times New Roman"/>
          <w:sz w:val="24"/>
          <w:szCs w:val="24"/>
        </w:rPr>
        <w:t xml:space="preserve">. Kwofie </w:t>
      </w:r>
      <w:r w:rsidR="00167174" w:rsidRPr="00BC32CF">
        <w:rPr>
          <w:rFonts w:ascii="Times New Roman" w:eastAsia="Calibri" w:hAnsi="Times New Roman" w:cs="Times New Roman"/>
          <w:i/>
          <w:sz w:val="24"/>
          <w:szCs w:val="24"/>
        </w:rPr>
        <w:t>et al.</w:t>
      </w:r>
      <w:r w:rsidR="00167174" w:rsidRPr="00BC32CF">
        <w:rPr>
          <w:rFonts w:ascii="Times New Roman" w:eastAsia="Calibri" w:hAnsi="Times New Roman" w:cs="Times New Roman"/>
          <w:sz w:val="24"/>
          <w:szCs w:val="24"/>
        </w:rPr>
        <w:t xml:space="preserve"> (2016) aligned with above perspective by suggesting effective risk assessment and stakeholder analysis as essential factors for improving the low social acceptability of many Nigerian PPP projects.</w:t>
      </w:r>
    </w:p>
    <w:p w14:paraId="2820A84D" w14:textId="77777777" w:rsidR="000B746D" w:rsidRPr="00BC32CF" w:rsidRDefault="000B746D" w:rsidP="00606DB8">
      <w:pPr>
        <w:spacing w:after="0" w:line="480" w:lineRule="auto"/>
        <w:jc w:val="both"/>
        <w:rPr>
          <w:rFonts w:ascii="Times New Roman" w:eastAsia="Calibri" w:hAnsi="Times New Roman" w:cs="Times New Roman"/>
          <w:sz w:val="24"/>
          <w:szCs w:val="24"/>
          <w:u w:val="single"/>
        </w:rPr>
      </w:pPr>
    </w:p>
    <w:p w14:paraId="4EE1AE0F" w14:textId="24C65FF6" w:rsidR="008E7942" w:rsidRPr="00BC32CF" w:rsidRDefault="006E73BF" w:rsidP="00606DB8">
      <w:pPr>
        <w:spacing w:after="0" w:line="480" w:lineRule="auto"/>
        <w:jc w:val="both"/>
        <w:rPr>
          <w:rFonts w:ascii="Calibri" w:eastAsia="Calibri" w:hAnsi="Calibri" w:cs="Times New Roman"/>
          <w:lang w:val="en-US"/>
        </w:rPr>
      </w:pPr>
      <w:r w:rsidRPr="00BC32CF">
        <w:rPr>
          <w:rFonts w:ascii="Times New Roman" w:eastAsia="Calibri" w:hAnsi="Times New Roman" w:cs="Times New Roman"/>
          <w:sz w:val="24"/>
          <w:szCs w:val="24"/>
          <w:u w:val="single"/>
        </w:rPr>
        <w:lastRenderedPageBreak/>
        <w:t>Albeit, Nigeria’s</w:t>
      </w:r>
      <w:r w:rsidR="00111E36" w:rsidRPr="00BC32CF">
        <w:rPr>
          <w:rFonts w:ascii="Times New Roman" w:eastAsia="Calibri" w:hAnsi="Times New Roman" w:cs="Times New Roman"/>
          <w:sz w:val="24"/>
          <w:szCs w:val="24"/>
          <w:u w:val="single"/>
        </w:rPr>
        <w:t xml:space="preserve"> Infrastructure Concession Regulatory Commission (ICRC) at</w:t>
      </w:r>
      <w:r w:rsidRPr="00BC32CF">
        <w:rPr>
          <w:rFonts w:ascii="Times New Roman" w:eastAsia="Calibri" w:hAnsi="Times New Roman" w:cs="Times New Roman"/>
          <w:sz w:val="24"/>
          <w:szCs w:val="24"/>
          <w:u w:val="single"/>
        </w:rPr>
        <w:t xml:space="preserve"> the </w:t>
      </w:r>
      <w:r w:rsidR="00111E36" w:rsidRPr="00BC32CF">
        <w:rPr>
          <w:rFonts w:ascii="Times New Roman" w:eastAsia="Calibri" w:hAnsi="Times New Roman" w:cs="Times New Roman"/>
          <w:sz w:val="24"/>
          <w:szCs w:val="24"/>
          <w:u w:val="single"/>
        </w:rPr>
        <w:t>federal level</w:t>
      </w:r>
      <w:r w:rsidRPr="00BC32CF">
        <w:rPr>
          <w:rFonts w:ascii="Times New Roman" w:eastAsia="Calibri" w:hAnsi="Times New Roman" w:cs="Times New Roman"/>
          <w:sz w:val="24"/>
          <w:szCs w:val="24"/>
          <w:u w:val="single"/>
        </w:rPr>
        <w:t>, including some few states (Lagos, Rivers, Cross-River etc.) have made serious strides in some aspects of PPP such as project development and preparation, regulation and market awareness. However, mo</w:t>
      </w:r>
      <w:r w:rsidR="00111E36" w:rsidRPr="00BC32CF">
        <w:rPr>
          <w:rFonts w:ascii="Times New Roman" w:eastAsia="Calibri" w:hAnsi="Times New Roman" w:cs="Times New Roman"/>
          <w:sz w:val="24"/>
          <w:szCs w:val="24"/>
          <w:u w:val="single"/>
        </w:rPr>
        <w:t>re needs to be done</w:t>
      </w:r>
      <w:r w:rsidRPr="00BC32CF">
        <w:rPr>
          <w:rFonts w:ascii="Times New Roman" w:eastAsia="Calibri" w:hAnsi="Times New Roman" w:cs="Times New Roman"/>
          <w:sz w:val="24"/>
          <w:szCs w:val="24"/>
          <w:u w:val="single"/>
        </w:rPr>
        <w:t xml:space="preserve"> in terms of, not only improving Nigeria’s infrastructure portfolio, but also the investment climate for PPP financing to thrive</w:t>
      </w:r>
      <w:r w:rsidR="00111E36" w:rsidRPr="00BC32CF">
        <w:rPr>
          <w:rFonts w:ascii="Times New Roman" w:eastAsia="Calibri" w:hAnsi="Times New Roman" w:cs="Times New Roman"/>
          <w:sz w:val="24"/>
          <w:szCs w:val="24"/>
          <w:u w:val="single"/>
        </w:rPr>
        <w:t xml:space="preserve">. </w:t>
      </w:r>
      <w:r w:rsidRPr="00BC32CF">
        <w:rPr>
          <w:rFonts w:ascii="Times New Roman" w:eastAsia="Calibri" w:hAnsi="Times New Roman" w:cs="Times New Roman"/>
          <w:sz w:val="24"/>
          <w:szCs w:val="24"/>
          <w:u w:val="single"/>
        </w:rPr>
        <w:t>As such</w:t>
      </w:r>
      <w:r w:rsidR="00146CE1" w:rsidRPr="00BC32CF">
        <w:rPr>
          <w:rFonts w:ascii="Times New Roman" w:eastAsia="Calibri" w:hAnsi="Times New Roman" w:cs="Times New Roman"/>
          <w:sz w:val="24"/>
          <w:szCs w:val="24"/>
          <w:u w:val="single"/>
        </w:rPr>
        <w:t>, attracting foreign financiers</w:t>
      </w:r>
      <w:r w:rsidR="00111E36" w:rsidRPr="00BC32CF">
        <w:rPr>
          <w:rFonts w:ascii="Times New Roman" w:eastAsia="Calibri" w:hAnsi="Times New Roman" w:cs="Times New Roman"/>
          <w:sz w:val="24"/>
          <w:szCs w:val="24"/>
          <w:u w:val="single"/>
        </w:rPr>
        <w:t xml:space="preserve"> to PPP opportunities in Nigeria will require more effective approach</w:t>
      </w:r>
      <w:r w:rsidR="00146CE1" w:rsidRPr="00BC32CF">
        <w:rPr>
          <w:rFonts w:ascii="Times New Roman" w:eastAsia="Calibri" w:hAnsi="Times New Roman" w:cs="Times New Roman"/>
          <w:sz w:val="24"/>
          <w:szCs w:val="24"/>
          <w:u w:val="single"/>
        </w:rPr>
        <w:t>es</w:t>
      </w:r>
      <w:r w:rsidR="00111E36" w:rsidRPr="00BC32CF">
        <w:rPr>
          <w:rFonts w:ascii="Times New Roman" w:eastAsia="Calibri" w:hAnsi="Times New Roman" w:cs="Times New Roman"/>
          <w:sz w:val="24"/>
          <w:szCs w:val="24"/>
          <w:u w:val="single"/>
        </w:rPr>
        <w:t xml:space="preserve"> in </w:t>
      </w:r>
      <w:r w:rsidRPr="00BC32CF">
        <w:rPr>
          <w:rFonts w:ascii="Times New Roman" w:eastAsia="Calibri" w:hAnsi="Times New Roman" w:cs="Times New Roman"/>
          <w:sz w:val="24"/>
          <w:szCs w:val="24"/>
          <w:u w:val="single"/>
        </w:rPr>
        <w:t xml:space="preserve">areas of </w:t>
      </w:r>
      <w:r w:rsidR="00146CE1" w:rsidRPr="00BC32CF">
        <w:rPr>
          <w:rFonts w:ascii="Times New Roman" w:eastAsia="Calibri" w:hAnsi="Times New Roman" w:cs="Times New Roman"/>
          <w:sz w:val="24"/>
          <w:szCs w:val="24"/>
          <w:u w:val="single"/>
        </w:rPr>
        <w:t>enabling risk awareness</w:t>
      </w:r>
      <w:r w:rsidR="00803980" w:rsidRPr="00BC32CF">
        <w:rPr>
          <w:rFonts w:ascii="Times New Roman" w:eastAsia="Calibri" w:hAnsi="Times New Roman" w:cs="Times New Roman"/>
          <w:sz w:val="24"/>
          <w:szCs w:val="24"/>
          <w:u w:val="single"/>
        </w:rPr>
        <w:t>, identification, assessment and</w:t>
      </w:r>
      <w:r w:rsidR="00146CE1" w:rsidRPr="00BC32CF">
        <w:rPr>
          <w:rFonts w:ascii="Times New Roman" w:eastAsia="Calibri" w:hAnsi="Times New Roman" w:cs="Times New Roman"/>
          <w:sz w:val="24"/>
          <w:szCs w:val="24"/>
          <w:u w:val="single"/>
        </w:rPr>
        <w:t xml:space="preserve"> </w:t>
      </w:r>
      <w:r w:rsidR="00803980" w:rsidRPr="00BC32CF">
        <w:rPr>
          <w:rFonts w:ascii="Times New Roman" w:eastAsia="Calibri" w:hAnsi="Times New Roman" w:cs="Times New Roman"/>
          <w:sz w:val="24"/>
          <w:szCs w:val="24"/>
          <w:u w:val="single"/>
        </w:rPr>
        <w:t>management</w:t>
      </w:r>
      <w:r w:rsidRPr="00BC32CF">
        <w:rPr>
          <w:rFonts w:ascii="Times New Roman" w:eastAsia="Calibri" w:hAnsi="Times New Roman" w:cs="Times New Roman"/>
          <w:sz w:val="24"/>
          <w:szCs w:val="24"/>
          <w:u w:val="single"/>
        </w:rPr>
        <w:t>. This</w:t>
      </w:r>
      <w:r w:rsidR="00146CE1" w:rsidRPr="00BC32CF">
        <w:rPr>
          <w:rFonts w:ascii="Times New Roman" w:eastAsia="Calibri" w:hAnsi="Times New Roman" w:cs="Times New Roman"/>
          <w:sz w:val="24"/>
          <w:szCs w:val="24"/>
          <w:u w:val="single"/>
        </w:rPr>
        <w:t xml:space="preserve"> will ultimately have huge impact on PPP growth in Nigeria and </w:t>
      </w:r>
      <w:r w:rsidR="00803980" w:rsidRPr="00BC32CF">
        <w:rPr>
          <w:rFonts w:ascii="Times New Roman" w:eastAsia="Calibri" w:hAnsi="Times New Roman" w:cs="Times New Roman"/>
          <w:sz w:val="24"/>
          <w:szCs w:val="24"/>
          <w:u w:val="single"/>
        </w:rPr>
        <w:t xml:space="preserve">also </w:t>
      </w:r>
      <w:r w:rsidR="00146CE1" w:rsidRPr="00BC32CF">
        <w:rPr>
          <w:rFonts w:ascii="Times New Roman" w:eastAsia="Calibri" w:hAnsi="Times New Roman" w:cs="Times New Roman"/>
          <w:sz w:val="24"/>
          <w:szCs w:val="24"/>
          <w:u w:val="single"/>
        </w:rPr>
        <w:t>ensure that more</w:t>
      </w:r>
      <w:r w:rsidR="00111E36" w:rsidRPr="00BC32CF">
        <w:rPr>
          <w:rFonts w:ascii="Times New Roman" w:eastAsia="Calibri" w:hAnsi="Times New Roman" w:cs="Times New Roman"/>
          <w:sz w:val="24"/>
          <w:szCs w:val="24"/>
          <w:u w:val="single"/>
        </w:rPr>
        <w:t xml:space="preserve"> bankable project</w:t>
      </w:r>
      <w:r w:rsidR="00146CE1" w:rsidRPr="00BC32CF">
        <w:rPr>
          <w:rFonts w:ascii="Times New Roman" w:eastAsia="Calibri" w:hAnsi="Times New Roman" w:cs="Times New Roman"/>
          <w:sz w:val="24"/>
          <w:szCs w:val="24"/>
          <w:u w:val="single"/>
        </w:rPr>
        <w:t xml:space="preserve">s that </w:t>
      </w:r>
      <w:r w:rsidR="00F82980" w:rsidRPr="00BC32CF">
        <w:rPr>
          <w:rFonts w:ascii="Times New Roman" w:eastAsia="Calibri" w:hAnsi="Times New Roman" w:cs="Times New Roman"/>
          <w:sz w:val="24"/>
          <w:szCs w:val="24"/>
          <w:u w:val="single"/>
        </w:rPr>
        <w:t xml:space="preserve">can </w:t>
      </w:r>
      <w:r w:rsidR="00146CE1" w:rsidRPr="00BC32CF">
        <w:rPr>
          <w:rFonts w:ascii="Times New Roman" w:eastAsia="Calibri" w:hAnsi="Times New Roman" w:cs="Times New Roman"/>
          <w:sz w:val="24"/>
          <w:szCs w:val="24"/>
          <w:u w:val="single"/>
        </w:rPr>
        <w:t>attract both local and foreign investors are packaged</w:t>
      </w:r>
      <w:r w:rsidR="00111E36" w:rsidRPr="00BC32CF">
        <w:rPr>
          <w:rFonts w:ascii="Times New Roman" w:eastAsia="Calibri" w:hAnsi="Times New Roman" w:cs="Times New Roman"/>
          <w:sz w:val="24"/>
          <w:szCs w:val="24"/>
        </w:rPr>
        <w:t xml:space="preserve">. </w:t>
      </w:r>
    </w:p>
    <w:p w14:paraId="42DF483F" w14:textId="77777777" w:rsidR="004C70C3" w:rsidRPr="00BC32CF" w:rsidRDefault="004C70C3" w:rsidP="00606DB8">
      <w:pPr>
        <w:spacing w:after="0" w:line="480" w:lineRule="auto"/>
        <w:jc w:val="both"/>
        <w:rPr>
          <w:rFonts w:ascii="Times New Roman" w:eastAsia="Calibri" w:hAnsi="Times New Roman" w:cs="Times New Roman"/>
          <w:sz w:val="24"/>
          <w:szCs w:val="24"/>
        </w:rPr>
      </w:pPr>
    </w:p>
    <w:p w14:paraId="0AE367B7" w14:textId="77777777" w:rsidR="0021423F" w:rsidRPr="00BC32CF" w:rsidRDefault="0021423F" w:rsidP="00606DB8">
      <w:pPr>
        <w:pStyle w:val="Heading1"/>
        <w:spacing w:before="0" w:after="0" w:line="480" w:lineRule="auto"/>
        <w:jc w:val="both"/>
      </w:pPr>
      <w:r w:rsidRPr="00BC32CF">
        <w:t>4.0</w:t>
      </w:r>
      <w:r w:rsidRPr="00BC32CF">
        <w:tab/>
      </w:r>
      <w:r w:rsidR="00845A87" w:rsidRPr="00BC32CF">
        <w:t>Methodology</w:t>
      </w:r>
    </w:p>
    <w:p w14:paraId="510E8E41" w14:textId="183CAB2D" w:rsidR="00ED4626" w:rsidRPr="00BC32CF" w:rsidRDefault="00ED4626" w:rsidP="00ED4626">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In order to explore the subjective opinions of foreign PPP </w:t>
      </w:r>
      <w:r w:rsidR="00AE5382" w:rsidRPr="00BC32CF">
        <w:rPr>
          <w:rFonts w:ascii="Times New Roman" w:eastAsia="Calibri" w:hAnsi="Times New Roman" w:cs="Times New Roman"/>
          <w:sz w:val="24"/>
          <w:szCs w:val="24"/>
        </w:rPr>
        <w:t>financiers</w:t>
      </w:r>
      <w:r w:rsidRPr="00BC32CF">
        <w:rPr>
          <w:rFonts w:ascii="Times New Roman" w:eastAsia="Calibri" w:hAnsi="Times New Roman" w:cs="Times New Roman"/>
          <w:sz w:val="24"/>
          <w:szCs w:val="24"/>
        </w:rPr>
        <w:t xml:space="preserve"> while </w:t>
      </w:r>
      <w:r w:rsidR="00AE5382" w:rsidRPr="00BC32CF">
        <w:rPr>
          <w:rFonts w:ascii="Times New Roman" w:eastAsia="Calibri" w:hAnsi="Times New Roman" w:cs="Times New Roman"/>
          <w:sz w:val="24"/>
          <w:szCs w:val="24"/>
        </w:rPr>
        <w:t xml:space="preserve">also </w:t>
      </w:r>
      <w:r w:rsidRPr="00BC32CF">
        <w:rPr>
          <w:rFonts w:ascii="Times New Roman" w:eastAsia="Calibri" w:hAnsi="Times New Roman" w:cs="Times New Roman"/>
          <w:sz w:val="24"/>
          <w:szCs w:val="24"/>
        </w:rPr>
        <w:t xml:space="preserve">confirming wider applicability of such views, a ‘Mixed Methodology Approach’ was employed for the study. With mixed methodology, the research team </w:t>
      </w:r>
      <w:r w:rsidR="00D14EAE" w:rsidRPr="00BC32CF">
        <w:rPr>
          <w:rFonts w:ascii="Times New Roman" w:eastAsia="Calibri" w:hAnsi="Times New Roman" w:cs="Times New Roman"/>
          <w:sz w:val="24"/>
          <w:szCs w:val="24"/>
        </w:rPr>
        <w:t>collected</w:t>
      </w:r>
      <w:r w:rsidRPr="00BC32CF">
        <w:rPr>
          <w:rFonts w:ascii="Times New Roman" w:eastAsia="Calibri" w:hAnsi="Times New Roman" w:cs="Times New Roman"/>
          <w:sz w:val="24"/>
          <w:szCs w:val="24"/>
        </w:rPr>
        <w:t xml:space="preserve"> both qu</w:t>
      </w:r>
      <w:r w:rsidR="00AE5382" w:rsidRPr="00BC32CF">
        <w:rPr>
          <w:rFonts w:ascii="Times New Roman" w:eastAsia="Calibri" w:hAnsi="Times New Roman" w:cs="Times New Roman"/>
          <w:sz w:val="24"/>
          <w:szCs w:val="24"/>
        </w:rPr>
        <w:t>alitative and quantitative data</w:t>
      </w:r>
      <w:r w:rsidRPr="00BC32CF">
        <w:rPr>
          <w:rFonts w:ascii="Times New Roman" w:eastAsia="Calibri" w:hAnsi="Times New Roman" w:cs="Times New Roman"/>
          <w:sz w:val="24"/>
          <w:szCs w:val="24"/>
        </w:rPr>
        <w:t xml:space="preserve"> </w:t>
      </w:r>
      <w:r w:rsidR="00257374" w:rsidRPr="00BC32CF">
        <w:rPr>
          <w:rFonts w:ascii="Times New Roman" w:eastAsia="Calibri" w:hAnsi="Times New Roman" w:cs="Times New Roman"/>
          <w:sz w:val="24"/>
          <w:szCs w:val="24"/>
        </w:rPr>
        <w:t>towards</w:t>
      </w:r>
      <w:r w:rsidRPr="00BC32CF">
        <w:rPr>
          <w:rFonts w:ascii="Times New Roman" w:eastAsia="Calibri" w:hAnsi="Times New Roman" w:cs="Times New Roman"/>
          <w:sz w:val="24"/>
          <w:szCs w:val="24"/>
        </w:rPr>
        <w:t xml:space="preserve"> to address</w:t>
      </w:r>
      <w:r w:rsidR="00257374" w:rsidRPr="00BC32CF">
        <w:rPr>
          <w:rFonts w:ascii="Times New Roman" w:eastAsia="Calibri" w:hAnsi="Times New Roman" w:cs="Times New Roman"/>
          <w:sz w:val="24"/>
          <w:szCs w:val="24"/>
        </w:rPr>
        <w:t>ing</w:t>
      </w:r>
      <w:r w:rsidRPr="00BC32CF">
        <w:rPr>
          <w:rFonts w:ascii="Times New Roman" w:eastAsia="Calibri" w:hAnsi="Times New Roman" w:cs="Times New Roman"/>
          <w:sz w:val="24"/>
          <w:szCs w:val="24"/>
        </w:rPr>
        <w:t xml:space="preserve"> the research problem (Creswell, 2013). The qualitat</w:t>
      </w:r>
      <w:r w:rsidR="00257374" w:rsidRPr="00BC32CF">
        <w:rPr>
          <w:rFonts w:ascii="Times New Roman" w:eastAsia="Calibri" w:hAnsi="Times New Roman" w:cs="Times New Roman"/>
          <w:sz w:val="24"/>
          <w:szCs w:val="24"/>
        </w:rPr>
        <w:t>ive phase of the study commenced</w:t>
      </w:r>
      <w:r w:rsidRPr="00BC32CF">
        <w:rPr>
          <w:rFonts w:ascii="Times New Roman" w:eastAsia="Calibri" w:hAnsi="Times New Roman" w:cs="Times New Roman"/>
          <w:sz w:val="24"/>
          <w:szCs w:val="24"/>
        </w:rPr>
        <w:t xml:space="preserve"> with multiple case study exploration of three (3) PPP projects in Nigeria. The adoption of case study strategy was based on the unique nature of PFI/PPP projects in which every project is not the same. Additionally, the choice of Nigerian PPP case studies was hinged on her status as an emerging market with growing portfolio of PPP projects in Sub Saharan Africa. However, considering the need to capture diverse opinions of project financiers across various types of PPP projects while </w:t>
      </w:r>
      <w:r w:rsidR="00AE5382" w:rsidRPr="00BC32CF">
        <w:rPr>
          <w:rFonts w:ascii="Times New Roman" w:eastAsia="Calibri" w:hAnsi="Times New Roman" w:cs="Times New Roman"/>
          <w:sz w:val="24"/>
          <w:szCs w:val="24"/>
        </w:rPr>
        <w:t xml:space="preserve">also </w:t>
      </w:r>
      <w:r w:rsidRPr="00BC32CF">
        <w:rPr>
          <w:rFonts w:ascii="Times New Roman" w:eastAsia="Calibri" w:hAnsi="Times New Roman" w:cs="Times New Roman"/>
          <w:sz w:val="24"/>
          <w:szCs w:val="24"/>
        </w:rPr>
        <w:t xml:space="preserve">bracketing out presuppositions about the phenomenon (Feagin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1991</w:t>
      </w:r>
      <w:r w:rsidR="00AE5201" w:rsidRPr="00BC32CF">
        <w:rPr>
          <w:rFonts w:ascii="Times New Roman" w:eastAsia="Calibri" w:hAnsi="Times New Roman" w:cs="Times New Roman"/>
          <w:sz w:val="24"/>
          <w:szCs w:val="24"/>
        </w:rPr>
        <w:t>; Yin, 1994</w:t>
      </w:r>
      <w:r w:rsidRPr="00BC32CF">
        <w:rPr>
          <w:rFonts w:ascii="Times New Roman" w:eastAsia="Calibri" w:hAnsi="Times New Roman" w:cs="Times New Roman"/>
          <w:sz w:val="24"/>
          <w:szCs w:val="24"/>
        </w:rPr>
        <w:t>), the study investigated three different type</w:t>
      </w:r>
      <w:r w:rsidR="00D14EAE" w:rsidRPr="00BC32CF">
        <w:rPr>
          <w:rFonts w:ascii="Times New Roman" w:eastAsia="Calibri" w:hAnsi="Times New Roman" w:cs="Times New Roman"/>
          <w:sz w:val="24"/>
          <w:szCs w:val="24"/>
        </w:rPr>
        <w:t>s</w:t>
      </w:r>
      <w:r w:rsidRPr="00BC32CF">
        <w:rPr>
          <w:rFonts w:ascii="Times New Roman" w:eastAsia="Calibri" w:hAnsi="Times New Roman" w:cs="Times New Roman"/>
          <w:sz w:val="24"/>
          <w:szCs w:val="24"/>
        </w:rPr>
        <w:t xml:space="preserve"> of PPP projects’ case studies. A purposive sampling strategy was employed</w:t>
      </w:r>
      <w:r w:rsidR="00D14EAE" w:rsidRPr="00BC32CF">
        <w:rPr>
          <w:rFonts w:ascii="Times New Roman" w:eastAsia="Calibri" w:hAnsi="Times New Roman" w:cs="Times New Roman"/>
          <w:sz w:val="24"/>
          <w:szCs w:val="24"/>
        </w:rPr>
        <w:t>,</w:t>
      </w:r>
      <w:r w:rsidRPr="00BC32CF">
        <w:rPr>
          <w:rFonts w:ascii="Times New Roman" w:eastAsia="Calibri" w:hAnsi="Times New Roman" w:cs="Times New Roman"/>
          <w:sz w:val="24"/>
          <w:szCs w:val="24"/>
        </w:rPr>
        <w:t xml:space="preserve"> in order to identify suitable case study projects as well as information-rich participants.  Also </w:t>
      </w:r>
      <w:r w:rsidR="00D14EAE" w:rsidRPr="00BC32CF">
        <w:rPr>
          <w:rFonts w:ascii="Times New Roman" w:eastAsia="Calibri" w:hAnsi="Times New Roman" w:cs="Times New Roman"/>
          <w:sz w:val="24"/>
          <w:szCs w:val="24"/>
        </w:rPr>
        <w:t>known as</w:t>
      </w:r>
      <w:r w:rsidRPr="00BC32CF">
        <w:rPr>
          <w:rFonts w:ascii="Times New Roman" w:eastAsia="Calibri" w:hAnsi="Times New Roman" w:cs="Times New Roman"/>
          <w:sz w:val="24"/>
          <w:szCs w:val="24"/>
        </w:rPr>
        <w:t xml:space="preserve"> </w:t>
      </w:r>
      <w:r w:rsidRPr="00BC32CF">
        <w:rPr>
          <w:rFonts w:ascii="Times New Roman" w:eastAsia="Calibri" w:hAnsi="Times New Roman" w:cs="Times New Roman"/>
          <w:i/>
          <w:sz w:val="24"/>
          <w:szCs w:val="24"/>
        </w:rPr>
        <w:t xml:space="preserve">“Judgement Sampling” </w:t>
      </w:r>
      <w:r w:rsidRPr="00BC32CF">
        <w:rPr>
          <w:rFonts w:ascii="Times New Roman" w:eastAsia="Calibri" w:hAnsi="Times New Roman" w:cs="Times New Roman"/>
          <w:sz w:val="24"/>
          <w:szCs w:val="24"/>
        </w:rPr>
        <w:t>(see</w:t>
      </w:r>
      <w:r w:rsidRPr="00BC32CF">
        <w:t xml:space="preserve">, </w:t>
      </w:r>
      <w:r w:rsidRPr="00BC32CF">
        <w:rPr>
          <w:rFonts w:ascii="Times New Roman" w:eastAsia="Calibri" w:hAnsi="Times New Roman" w:cs="Times New Roman"/>
          <w:sz w:val="24"/>
          <w:szCs w:val="24"/>
        </w:rPr>
        <w:t xml:space="preserve">Coviello and </w:t>
      </w:r>
      <w:r w:rsidRPr="00BC32CF">
        <w:rPr>
          <w:rFonts w:ascii="Times New Roman" w:eastAsia="Calibri" w:hAnsi="Times New Roman" w:cs="Times New Roman"/>
          <w:sz w:val="24"/>
          <w:szCs w:val="24"/>
        </w:rPr>
        <w:lastRenderedPageBreak/>
        <w:t>Jones, 2004), purposive sampling strategy involves deliberate search f</w:t>
      </w:r>
      <w:r w:rsidR="00AE5382" w:rsidRPr="00BC32CF">
        <w:rPr>
          <w:rFonts w:ascii="Times New Roman" w:eastAsia="Calibri" w:hAnsi="Times New Roman" w:cs="Times New Roman"/>
          <w:sz w:val="24"/>
          <w:szCs w:val="24"/>
        </w:rPr>
        <w:t>or informants, based on defined</w:t>
      </w:r>
      <w:r w:rsidRPr="00BC32CF">
        <w:rPr>
          <w:rFonts w:ascii="Times New Roman" w:eastAsia="Calibri" w:hAnsi="Times New Roman" w:cs="Times New Roman"/>
          <w:sz w:val="24"/>
          <w:szCs w:val="24"/>
        </w:rPr>
        <w:t xml:space="preserve"> qualities that they possess (Yin, 1994). This sampling approach allowed the research team to leverage on her network of contact</w:t>
      </w:r>
      <w:r w:rsidR="00257374" w:rsidRPr="00BC32CF">
        <w:rPr>
          <w:rFonts w:ascii="Times New Roman" w:eastAsia="Calibri" w:hAnsi="Times New Roman" w:cs="Times New Roman"/>
          <w:sz w:val="24"/>
          <w:szCs w:val="24"/>
        </w:rPr>
        <w:t>s within Nigeria’s PPP industry</w:t>
      </w:r>
      <w:r w:rsidRPr="00BC32CF">
        <w:rPr>
          <w:rFonts w:ascii="Times New Roman" w:eastAsia="Calibri" w:hAnsi="Times New Roman" w:cs="Times New Roman"/>
          <w:sz w:val="24"/>
          <w:szCs w:val="24"/>
        </w:rPr>
        <w:t xml:space="preserve"> to identify participants and </w:t>
      </w:r>
      <w:r w:rsidR="003A2D77" w:rsidRPr="00BC32CF">
        <w:rPr>
          <w:rFonts w:ascii="Times New Roman" w:eastAsia="Calibri" w:hAnsi="Times New Roman" w:cs="Times New Roman"/>
          <w:sz w:val="24"/>
          <w:szCs w:val="24"/>
        </w:rPr>
        <w:t xml:space="preserve">access suitable </w:t>
      </w:r>
      <w:r w:rsidRPr="00BC32CF">
        <w:rPr>
          <w:rFonts w:ascii="Times New Roman" w:eastAsia="Calibri" w:hAnsi="Times New Roman" w:cs="Times New Roman"/>
          <w:sz w:val="24"/>
          <w:szCs w:val="24"/>
        </w:rPr>
        <w:t xml:space="preserve">PPP case studies. Studies such as Grimsey and Lewis (2002), Oyedele (2013); Bing </w:t>
      </w:r>
      <w:r w:rsidRPr="00BC32CF">
        <w:rPr>
          <w:rFonts w:ascii="Times New Roman" w:eastAsia="Calibri" w:hAnsi="Times New Roman" w:cs="Times New Roman"/>
          <w:i/>
          <w:sz w:val="24"/>
          <w:szCs w:val="24"/>
        </w:rPr>
        <w:t>et al.</w:t>
      </w:r>
      <w:r w:rsidRPr="00BC32CF">
        <w:rPr>
          <w:rFonts w:ascii="Times New Roman" w:eastAsia="Calibri" w:hAnsi="Times New Roman" w:cs="Times New Roman"/>
          <w:sz w:val="24"/>
          <w:szCs w:val="24"/>
        </w:rPr>
        <w:t xml:space="preserve"> (2005) and Eaton (2006) have </w:t>
      </w:r>
      <w:r w:rsidR="00AE5382" w:rsidRPr="00BC32CF">
        <w:rPr>
          <w:rFonts w:ascii="Times New Roman" w:eastAsia="Calibri" w:hAnsi="Times New Roman" w:cs="Times New Roman"/>
          <w:sz w:val="24"/>
          <w:szCs w:val="24"/>
        </w:rPr>
        <w:t xml:space="preserve">all </w:t>
      </w:r>
      <w:r w:rsidRPr="00BC32CF">
        <w:rPr>
          <w:rFonts w:ascii="Times New Roman" w:eastAsia="Calibri" w:hAnsi="Times New Roman" w:cs="Times New Roman"/>
          <w:sz w:val="24"/>
          <w:szCs w:val="24"/>
        </w:rPr>
        <w:t xml:space="preserve">adopted similar sampling method within the realm of PFI/PPP literatures. </w:t>
      </w:r>
    </w:p>
    <w:p w14:paraId="367424FC" w14:textId="77777777" w:rsidR="00ED4626" w:rsidRPr="00BC32CF" w:rsidRDefault="00ED4626" w:rsidP="00ED4626">
      <w:pPr>
        <w:spacing w:after="0" w:line="480" w:lineRule="auto"/>
        <w:jc w:val="both"/>
        <w:rPr>
          <w:rFonts w:ascii="Times New Roman" w:eastAsia="Calibri" w:hAnsi="Times New Roman" w:cs="Times New Roman"/>
          <w:sz w:val="24"/>
          <w:szCs w:val="24"/>
        </w:rPr>
      </w:pPr>
    </w:p>
    <w:p w14:paraId="20BBBB6E" w14:textId="78CC2009" w:rsidR="00ED4626" w:rsidRPr="00BC32CF" w:rsidRDefault="00ED4626" w:rsidP="00ED4626">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In more specific terms, the study considered the following criteria in selecting</w:t>
      </w:r>
      <w:r w:rsidR="00AE5382" w:rsidRPr="00BC32CF">
        <w:rPr>
          <w:rFonts w:ascii="Times New Roman" w:eastAsia="Calibri" w:hAnsi="Times New Roman" w:cs="Times New Roman"/>
          <w:sz w:val="24"/>
          <w:szCs w:val="24"/>
        </w:rPr>
        <w:t xml:space="preserve"> appropriate PPP projects’ case</w:t>
      </w:r>
      <w:r w:rsidRPr="00BC32CF">
        <w:rPr>
          <w:rFonts w:ascii="Times New Roman" w:eastAsia="Calibri" w:hAnsi="Times New Roman" w:cs="Times New Roman"/>
          <w:sz w:val="24"/>
          <w:szCs w:val="24"/>
        </w:rPr>
        <w:t xml:space="preserve"> </w:t>
      </w:r>
      <w:r w:rsidR="00AE5382" w:rsidRPr="00BC32CF">
        <w:rPr>
          <w:rFonts w:ascii="Times New Roman" w:eastAsia="Calibri" w:hAnsi="Times New Roman" w:cs="Times New Roman"/>
          <w:sz w:val="24"/>
          <w:szCs w:val="24"/>
        </w:rPr>
        <w:t xml:space="preserve">studies </w:t>
      </w:r>
      <w:r w:rsidRPr="00BC32CF">
        <w:rPr>
          <w:rFonts w:ascii="Times New Roman" w:eastAsia="Calibri" w:hAnsi="Times New Roman" w:cs="Times New Roman"/>
          <w:sz w:val="24"/>
          <w:szCs w:val="24"/>
        </w:rPr>
        <w:t>for the</w:t>
      </w:r>
      <w:r w:rsidR="00AE5382" w:rsidRPr="00BC32CF">
        <w:rPr>
          <w:rFonts w:ascii="Times New Roman" w:eastAsia="Calibri" w:hAnsi="Times New Roman" w:cs="Times New Roman"/>
          <w:sz w:val="24"/>
          <w:szCs w:val="24"/>
        </w:rPr>
        <w:t xml:space="preserve"> research</w:t>
      </w:r>
      <w:r w:rsidRPr="00BC32CF">
        <w:rPr>
          <w:rFonts w:ascii="Times New Roman" w:eastAsia="Calibri" w:hAnsi="Times New Roman" w:cs="Times New Roman"/>
          <w:sz w:val="24"/>
          <w:szCs w:val="24"/>
        </w:rPr>
        <w:t>:</w:t>
      </w:r>
    </w:p>
    <w:p w14:paraId="5D12234E" w14:textId="7FD271C7" w:rsidR="00ED4626" w:rsidRPr="00BC32CF" w:rsidRDefault="00ED4626" w:rsidP="00ED4626">
      <w:pPr>
        <w:pStyle w:val="ListParagraph"/>
        <w:numPr>
          <w:ilvl w:val="0"/>
          <w:numId w:val="2"/>
        </w:num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Selection of Nigerian PPP projects wholly or partly financed by international </w:t>
      </w:r>
      <w:r w:rsidR="00AE5382" w:rsidRPr="00BC32CF">
        <w:rPr>
          <w:rFonts w:ascii="Times New Roman" w:eastAsia="Calibri" w:hAnsi="Times New Roman" w:cs="Times New Roman"/>
          <w:sz w:val="24"/>
          <w:szCs w:val="24"/>
        </w:rPr>
        <w:t>financiers</w:t>
      </w:r>
      <w:r w:rsidRPr="00BC32CF">
        <w:rPr>
          <w:rFonts w:ascii="Times New Roman" w:eastAsia="Calibri" w:hAnsi="Times New Roman" w:cs="Times New Roman"/>
          <w:sz w:val="24"/>
          <w:szCs w:val="24"/>
        </w:rPr>
        <w:t>.</w:t>
      </w:r>
    </w:p>
    <w:p w14:paraId="1BE157F5" w14:textId="2E6BB272" w:rsidR="00ED4626" w:rsidRPr="00BC32CF" w:rsidRDefault="00ED4626" w:rsidP="00ED4626">
      <w:pPr>
        <w:pStyle w:val="ListParagraph"/>
        <w:numPr>
          <w:ilvl w:val="0"/>
          <w:numId w:val="2"/>
        </w:num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Availability of evidence-based financing decisions right from funding applications stage by project sponsors, </w:t>
      </w:r>
      <w:r w:rsidR="00D14EAE" w:rsidRPr="00BC32CF">
        <w:rPr>
          <w:rFonts w:ascii="Times New Roman" w:eastAsia="Calibri" w:hAnsi="Times New Roman" w:cs="Times New Roman"/>
          <w:sz w:val="24"/>
          <w:szCs w:val="24"/>
        </w:rPr>
        <w:t xml:space="preserve">up till </w:t>
      </w:r>
      <w:r w:rsidR="00B20922" w:rsidRPr="00BC32CF">
        <w:rPr>
          <w:rFonts w:ascii="Times New Roman" w:eastAsia="Calibri" w:hAnsi="Times New Roman" w:cs="Times New Roman"/>
          <w:sz w:val="24"/>
          <w:szCs w:val="24"/>
        </w:rPr>
        <w:t>financiers</w:t>
      </w:r>
      <w:r w:rsidR="00D14EAE" w:rsidRPr="00BC32CF">
        <w:rPr>
          <w:rFonts w:ascii="Times New Roman" w:eastAsia="Calibri" w:hAnsi="Times New Roman" w:cs="Times New Roman"/>
          <w:sz w:val="24"/>
          <w:szCs w:val="24"/>
        </w:rPr>
        <w:t>’</w:t>
      </w:r>
      <w:r w:rsidRPr="00BC32CF">
        <w:rPr>
          <w:rFonts w:ascii="Times New Roman" w:eastAsia="Calibri" w:hAnsi="Times New Roman" w:cs="Times New Roman"/>
          <w:sz w:val="24"/>
          <w:szCs w:val="24"/>
        </w:rPr>
        <w:t xml:space="preserve"> decision to fund the project; </w:t>
      </w:r>
    </w:p>
    <w:p w14:paraId="2EF805B5" w14:textId="4AD08E6B" w:rsidR="00ED4626" w:rsidRPr="00BC32CF" w:rsidRDefault="00ED4626" w:rsidP="00ED4626">
      <w:pPr>
        <w:pStyle w:val="ListParagraph"/>
        <w:numPr>
          <w:ilvl w:val="0"/>
          <w:numId w:val="2"/>
        </w:num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willingness of </w:t>
      </w:r>
      <w:r w:rsidR="00B20922" w:rsidRPr="00BC32CF">
        <w:rPr>
          <w:rFonts w:ascii="Times New Roman" w:eastAsia="Calibri" w:hAnsi="Times New Roman" w:cs="Times New Roman"/>
          <w:sz w:val="24"/>
          <w:szCs w:val="24"/>
        </w:rPr>
        <w:t>financier</w:t>
      </w:r>
      <w:r w:rsidRPr="00BC32CF">
        <w:rPr>
          <w:rFonts w:ascii="Times New Roman" w:eastAsia="Calibri" w:hAnsi="Times New Roman" w:cs="Times New Roman"/>
          <w:sz w:val="24"/>
          <w:szCs w:val="24"/>
        </w:rPr>
        <w:t>s</w:t>
      </w:r>
      <w:r w:rsidR="00D14EAE" w:rsidRPr="00BC32CF">
        <w:rPr>
          <w:rFonts w:ascii="Times New Roman" w:eastAsia="Calibri" w:hAnsi="Times New Roman" w:cs="Times New Roman"/>
          <w:sz w:val="24"/>
          <w:szCs w:val="24"/>
        </w:rPr>
        <w:t>’</w:t>
      </w:r>
      <w:r w:rsidRPr="00BC32CF">
        <w:rPr>
          <w:rFonts w:ascii="Times New Roman" w:eastAsia="Calibri" w:hAnsi="Times New Roman" w:cs="Times New Roman"/>
          <w:sz w:val="24"/>
          <w:szCs w:val="24"/>
        </w:rPr>
        <w:t xml:space="preserve"> team to partake in the study; and </w:t>
      </w:r>
    </w:p>
    <w:p w14:paraId="7BFFB0F7" w14:textId="2251D7B4" w:rsidR="00ED4626" w:rsidRPr="00BC32CF" w:rsidRDefault="00ED4626" w:rsidP="00ED4626">
      <w:pPr>
        <w:pStyle w:val="ListParagraph"/>
        <w:numPr>
          <w:ilvl w:val="0"/>
          <w:numId w:val="2"/>
        </w:num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Availability of at least three accessible informants (experienced staff in foreign lenders’ project finance team), who have been centrally involved in reviewing the PPP </w:t>
      </w:r>
      <w:r w:rsidR="00B20922" w:rsidRPr="00BC32CF">
        <w:rPr>
          <w:rFonts w:ascii="Times New Roman" w:eastAsia="Calibri" w:hAnsi="Times New Roman" w:cs="Times New Roman"/>
          <w:sz w:val="24"/>
          <w:szCs w:val="24"/>
        </w:rPr>
        <w:t>funding</w:t>
      </w:r>
      <w:r w:rsidRPr="00BC32CF">
        <w:rPr>
          <w:rFonts w:ascii="Times New Roman" w:eastAsia="Calibri" w:hAnsi="Times New Roman" w:cs="Times New Roman"/>
          <w:sz w:val="24"/>
          <w:szCs w:val="24"/>
        </w:rPr>
        <w:t xml:space="preserve"> applications of the selected PPP projects’ case studies. </w:t>
      </w:r>
    </w:p>
    <w:p w14:paraId="1B34E71F" w14:textId="14AE6A64" w:rsidR="00ED4626" w:rsidRPr="00BC32CF" w:rsidRDefault="00ED4626" w:rsidP="00ED4626">
      <w:pPr>
        <w:pStyle w:val="ListParagraph"/>
        <w:numPr>
          <w:ilvl w:val="0"/>
          <w:numId w:val="2"/>
        </w:num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Study to examine any three PPP projects executed in Nigeria between 2003 until 2014.</w:t>
      </w:r>
    </w:p>
    <w:p w14:paraId="57935F9C" w14:textId="77777777" w:rsidR="00ED4626" w:rsidRPr="00BC32CF" w:rsidRDefault="00ED4626" w:rsidP="00ED4626">
      <w:pPr>
        <w:pStyle w:val="ListParagraph"/>
        <w:spacing w:after="0" w:line="480" w:lineRule="auto"/>
        <w:jc w:val="both"/>
        <w:rPr>
          <w:rFonts w:ascii="Times New Roman" w:eastAsia="Calibri" w:hAnsi="Times New Roman" w:cs="Times New Roman"/>
          <w:sz w:val="16"/>
          <w:szCs w:val="24"/>
        </w:rPr>
      </w:pPr>
    </w:p>
    <w:p w14:paraId="4BC7CB39" w14:textId="47DAB4E1" w:rsidR="00D14EAE" w:rsidRPr="00BC32CF" w:rsidRDefault="005C76B4" w:rsidP="002C5CC1">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Based on</w:t>
      </w:r>
      <w:r w:rsidR="00ED4626" w:rsidRPr="00BC32CF">
        <w:rPr>
          <w:rFonts w:ascii="Times New Roman" w:eastAsia="Calibri" w:hAnsi="Times New Roman" w:cs="Times New Roman"/>
          <w:sz w:val="24"/>
          <w:szCs w:val="24"/>
        </w:rPr>
        <w:t xml:space="preserve"> the</w:t>
      </w:r>
      <w:r w:rsidRPr="00BC32CF">
        <w:rPr>
          <w:rFonts w:ascii="Times New Roman" w:eastAsia="Calibri" w:hAnsi="Times New Roman" w:cs="Times New Roman"/>
          <w:sz w:val="24"/>
          <w:szCs w:val="24"/>
        </w:rPr>
        <w:t xml:space="preserve"> above</w:t>
      </w:r>
      <w:r w:rsidR="00ED4626" w:rsidRPr="00BC32CF">
        <w:rPr>
          <w:rFonts w:ascii="Times New Roman" w:eastAsia="Calibri" w:hAnsi="Times New Roman" w:cs="Times New Roman"/>
          <w:sz w:val="24"/>
          <w:szCs w:val="24"/>
        </w:rPr>
        <w:t xml:space="preserve"> criteria, the three case studies that fulfilled the requirements were a PPP Power Project in South West Nigeria, a PPP Seaport Expansion and Maintenance Project in South West Nigeria and a PPP Hospital Project in South-South of Nigeria. While the PPP power project is a 10-year concession valued at $25.5 million, the </w:t>
      </w:r>
      <w:r w:rsidR="00D14EAE" w:rsidRPr="00BC32CF">
        <w:rPr>
          <w:rFonts w:ascii="Times New Roman" w:eastAsia="Calibri" w:hAnsi="Times New Roman" w:cs="Times New Roman"/>
          <w:sz w:val="24"/>
          <w:szCs w:val="24"/>
        </w:rPr>
        <w:t>s</w:t>
      </w:r>
      <w:r w:rsidR="00ED4626" w:rsidRPr="00BC32CF">
        <w:rPr>
          <w:rFonts w:ascii="Times New Roman" w:eastAsia="Calibri" w:hAnsi="Times New Roman" w:cs="Times New Roman"/>
          <w:sz w:val="24"/>
          <w:szCs w:val="24"/>
        </w:rPr>
        <w:t>eaport expansion project was contracted on 25-year concession with a pro</w:t>
      </w:r>
      <w:r w:rsidR="00D14EAE" w:rsidRPr="00BC32CF">
        <w:rPr>
          <w:rFonts w:ascii="Times New Roman" w:eastAsia="Calibri" w:hAnsi="Times New Roman" w:cs="Times New Roman"/>
          <w:sz w:val="24"/>
          <w:szCs w:val="24"/>
        </w:rPr>
        <w:t>ject value of $60 million. The hospital p</w:t>
      </w:r>
      <w:r w:rsidR="00ED4626" w:rsidRPr="00BC32CF">
        <w:rPr>
          <w:rFonts w:ascii="Times New Roman" w:eastAsia="Calibri" w:hAnsi="Times New Roman" w:cs="Times New Roman"/>
          <w:sz w:val="24"/>
          <w:szCs w:val="24"/>
        </w:rPr>
        <w:t xml:space="preserve">roject in South-South Nigeria </w:t>
      </w:r>
      <w:r w:rsidR="003A2D77" w:rsidRPr="00BC32CF">
        <w:rPr>
          <w:rFonts w:ascii="Times New Roman" w:eastAsia="Calibri" w:hAnsi="Times New Roman" w:cs="Times New Roman"/>
          <w:sz w:val="24"/>
          <w:szCs w:val="24"/>
        </w:rPr>
        <w:t>is a</w:t>
      </w:r>
      <w:r w:rsidR="00ED4626" w:rsidRPr="00BC32CF">
        <w:rPr>
          <w:rFonts w:ascii="Times New Roman" w:eastAsia="Calibri" w:hAnsi="Times New Roman" w:cs="Times New Roman"/>
          <w:sz w:val="24"/>
          <w:szCs w:val="24"/>
        </w:rPr>
        <w:t xml:space="preserve"> 10-year concession project with a v</w:t>
      </w:r>
      <w:r w:rsidR="0066357F" w:rsidRPr="00BC32CF">
        <w:rPr>
          <w:rFonts w:ascii="Times New Roman" w:eastAsia="Calibri" w:hAnsi="Times New Roman" w:cs="Times New Roman"/>
          <w:sz w:val="24"/>
          <w:szCs w:val="24"/>
        </w:rPr>
        <w:t xml:space="preserve">alue of $37 million </w:t>
      </w:r>
      <w:r w:rsidR="0066357F" w:rsidRPr="00BC32CF">
        <w:rPr>
          <w:rFonts w:ascii="Times New Roman" w:eastAsia="Calibri" w:hAnsi="Times New Roman" w:cs="Times New Roman"/>
          <w:sz w:val="24"/>
          <w:szCs w:val="24"/>
        </w:rPr>
        <w:lastRenderedPageBreak/>
        <w:t>(see Table 1</w:t>
      </w:r>
      <w:r w:rsidR="00ED4626" w:rsidRPr="00BC32CF">
        <w:rPr>
          <w:rFonts w:ascii="Times New Roman" w:eastAsia="Calibri" w:hAnsi="Times New Roman" w:cs="Times New Roman"/>
          <w:sz w:val="24"/>
          <w:szCs w:val="24"/>
        </w:rPr>
        <w:t xml:space="preserve"> for the nature and attributes of the three </w:t>
      </w:r>
      <w:r w:rsidR="00D14EAE" w:rsidRPr="00BC32CF">
        <w:rPr>
          <w:rFonts w:ascii="Times New Roman" w:eastAsia="Calibri" w:hAnsi="Times New Roman" w:cs="Times New Roman"/>
          <w:sz w:val="24"/>
          <w:szCs w:val="24"/>
        </w:rPr>
        <w:t>PPP case study projects</w:t>
      </w:r>
      <w:r w:rsidR="00ED4626" w:rsidRPr="00BC32CF">
        <w:rPr>
          <w:rFonts w:ascii="Times New Roman" w:eastAsia="Calibri" w:hAnsi="Times New Roman" w:cs="Times New Roman"/>
          <w:sz w:val="24"/>
          <w:szCs w:val="24"/>
        </w:rPr>
        <w:t xml:space="preserve">).  Going further, after careful selection of the case studies and research participants, the study conducted three (3) focus group discussions which were supported with evidences from loan documentations from </w:t>
      </w:r>
      <w:r w:rsidR="003A2D77" w:rsidRPr="00BC32CF">
        <w:rPr>
          <w:rFonts w:ascii="Times New Roman" w:eastAsia="Calibri" w:hAnsi="Times New Roman" w:cs="Times New Roman"/>
          <w:sz w:val="24"/>
          <w:szCs w:val="24"/>
        </w:rPr>
        <w:t xml:space="preserve">project </w:t>
      </w:r>
      <w:r w:rsidR="00ED4626" w:rsidRPr="00BC32CF">
        <w:rPr>
          <w:rFonts w:ascii="Times New Roman" w:eastAsia="Calibri" w:hAnsi="Times New Roman" w:cs="Times New Roman"/>
          <w:sz w:val="24"/>
          <w:szCs w:val="24"/>
        </w:rPr>
        <w:t>financiers’</w:t>
      </w:r>
      <w:r w:rsidR="00D14EAE" w:rsidRPr="00BC32CF">
        <w:rPr>
          <w:rFonts w:ascii="Times New Roman" w:eastAsia="Calibri" w:hAnsi="Times New Roman" w:cs="Times New Roman"/>
          <w:sz w:val="24"/>
          <w:szCs w:val="24"/>
        </w:rPr>
        <w:t xml:space="preserve"> for</w:t>
      </w:r>
      <w:r w:rsidR="00ED4626" w:rsidRPr="00BC32CF">
        <w:rPr>
          <w:rFonts w:ascii="Times New Roman" w:eastAsia="Calibri" w:hAnsi="Times New Roman" w:cs="Times New Roman"/>
          <w:sz w:val="24"/>
          <w:szCs w:val="24"/>
        </w:rPr>
        <w:t xml:space="preserve"> </w:t>
      </w:r>
      <w:r w:rsidR="003A2D77" w:rsidRPr="00BC32CF">
        <w:rPr>
          <w:rFonts w:ascii="Times New Roman" w:eastAsia="Calibri" w:hAnsi="Times New Roman" w:cs="Times New Roman"/>
          <w:sz w:val="24"/>
          <w:szCs w:val="24"/>
        </w:rPr>
        <w:t xml:space="preserve">qualitative </w:t>
      </w:r>
      <w:r w:rsidR="00ED4626" w:rsidRPr="00BC32CF">
        <w:rPr>
          <w:rFonts w:ascii="Times New Roman" w:eastAsia="Calibri" w:hAnsi="Times New Roman" w:cs="Times New Roman"/>
          <w:sz w:val="24"/>
          <w:szCs w:val="24"/>
        </w:rPr>
        <w:t>d</w:t>
      </w:r>
      <w:r w:rsidR="0066357F" w:rsidRPr="00BC32CF">
        <w:rPr>
          <w:rFonts w:ascii="Times New Roman" w:eastAsia="Calibri" w:hAnsi="Times New Roman" w:cs="Times New Roman"/>
          <w:sz w:val="24"/>
          <w:szCs w:val="24"/>
        </w:rPr>
        <w:t>ata collection (also see Table 1</w:t>
      </w:r>
      <w:r w:rsidR="00ED4626" w:rsidRPr="00BC32CF">
        <w:rPr>
          <w:rFonts w:ascii="Times New Roman" w:eastAsia="Calibri" w:hAnsi="Times New Roman" w:cs="Times New Roman"/>
          <w:sz w:val="24"/>
          <w:szCs w:val="24"/>
        </w:rPr>
        <w:t xml:space="preserve"> for attributes of focus group discussion participants). This was achieved after reaching a non-disclosure agreement with the project financiers especially </w:t>
      </w:r>
      <w:r w:rsidR="00D14EAE" w:rsidRPr="00BC32CF">
        <w:rPr>
          <w:rFonts w:ascii="Times New Roman" w:eastAsia="Calibri" w:hAnsi="Times New Roman" w:cs="Times New Roman"/>
          <w:sz w:val="24"/>
          <w:szCs w:val="24"/>
        </w:rPr>
        <w:t xml:space="preserve">restrictions </w:t>
      </w:r>
      <w:r w:rsidR="00ED4626" w:rsidRPr="00BC32CF">
        <w:rPr>
          <w:rFonts w:ascii="Times New Roman" w:eastAsia="Calibri" w:hAnsi="Times New Roman" w:cs="Times New Roman"/>
          <w:sz w:val="24"/>
          <w:szCs w:val="24"/>
        </w:rPr>
        <w:t xml:space="preserve">with respect to </w:t>
      </w:r>
      <w:r w:rsidR="00D14EAE" w:rsidRPr="00BC32CF">
        <w:rPr>
          <w:rFonts w:ascii="Times New Roman" w:eastAsia="Calibri" w:hAnsi="Times New Roman" w:cs="Times New Roman"/>
          <w:sz w:val="24"/>
          <w:szCs w:val="24"/>
        </w:rPr>
        <w:t xml:space="preserve">revealing </w:t>
      </w:r>
      <w:r w:rsidR="00ED4626" w:rsidRPr="00BC32CF">
        <w:rPr>
          <w:rFonts w:ascii="Times New Roman" w:eastAsia="Calibri" w:hAnsi="Times New Roman" w:cs="Times New Roman"/>
          <w:sz w:val="24"/>
          <w:szCs w:val="24"/>
        </w:rPr>
        <w:t>vivid information capable of giving</w:t>
      </w:r>
      <w:r w:rsidR="00D14EAE" w:rsidRPr="00BC32CF">
        <w:rPr>
          <w:rFonts w:ascii="Times New Roman" w:eastAsia="Calibri" w:hAnsi="Times New Roman" w:cs="Times New Roman"/>
          <w:sz w:val="24"/>
          <w:szCs w:val="24"/>
        </w:rPr>
        <w:t xml:space="preserve"> out</w:t>
      </w:r>
      <w:r w:rsidR="00ED4626" w:rsidRPr="00BC32CF">
        <w:rPr>
          <w:rFonts w:ascii="Times New Roman" w:eastAsia="Calibri" w:hAnsi="Times New Roman" w:cs="Times New Roman"/>
          <w:sz w:val="24"/>
          <w:szCs w:val="24"/>
        </w:rPr>
        <w:t xml:space="preserve"> the </w:t>
      </w:r>
      <w:r w:rsidR="004668CD" w:rsidRPr="00BC32CF">
        <w:rPr>
          <w:rFonts w:ascii="Times New Roman" w:eastAsia="Calibri" w:hAnsi="Times New Roman" w:cs="Times New Roman"/>
          <w:sz w:val="24"/>
          <w:szCs w:val="24"/>
        </w:rPr>
        <w:t>financier</w:t>
      </w:r>
      <w:r w:rsidR="00ED4626" w:rsidRPr="00BC32CF">
        <w:rPr>
          <w:rFonts w:ascii="Times New Roman" w:eastAsia="Calibri" w:hAnsi="Times New Roman" w:cs="Times New Roman"/>
          <w:sz w:val="24"/>
          <w:szCs w:val="24"/>
        </w:rPr>
        <w:t xml:space="preserve">s identity </w:t>
      </w:r>
      <w:r w:rsidR="00D14EAE" w:rsidRPr="00BC32CF">
        <w:rPr>
          <w:rFonts w:ascii="Times New Roman" w:eastAsia="Calibri" w:hAnsi="Times New Roman" w:cs="Times New Roman"/>
          <w:sz w:val="24"/>
          <w:szCs w:val="24"/>
        </w:rPr>
        <w:t>as well as</w:t>
      </w:r>
      <w:r w:rsidR="00ED4626" w:rsidRPr="00BC32CF">
        <w:rPr>
          <w:rFonts w:ascii="Times New Roman" w:eastAsia="Calibri" w:hAnsi="Times New Roman" w:cs="Times New Roman"/>
          <w:sz w:val="24"/>
          <w:szCs w:val="24"/>
        </w:rPr>
        <w:t xml:space="preserve"> detailed project description. Participants in the focus group discussions comprised financial risk managers, senior credit analysts, heads of structured finance divisions etc. While the focus group discussions facilitated in-depth understanding of lenders’ shared opinions concerning the </w:t>
      </w:r>
      <w:r w:rsidR="003A2D77" w:rsidRPr="00BC32CF">
        <w:rPr>
          <w:rFonts w:ascii="Times New Roman" w:eastAsia="Calibri" w:hAnsi="Times New Roman" w:cs="Times New Roman"/>
          <w:sz w:val="24"/>
          <w:szCs w:val="24"/>
        </w:rPr>
        <w:t>phenomenon</w:t>
      </w:r>
      <w:r w:rsidR="00ED4626" w:rsidRPr="00BC32CF">
        <w:rPr>
          <w:rFonts w:ascii="Times New Roman" w:eastAsia="Calibri" w:hAnsi="Times New Roman" w:cs="Times New Roman"/>
          <w:sz w:val="24"/>
          <w:szCs w:val="24"/>
        </w:rPr>
        <w:t xml:space="preserve">, less-sensitive loan documentations were used to </w:t>
      </w:r>
      <w:r w:rsidR="003A2D77" w:rsidRPr="00BC32CF">
        <w:rPr>
          <w:rFonts w:ascii="Times New Roman" w:eastAsia="Calibri" w:hAnsi="Times New Roman" w:cs="Times New Roman"/>
          <w:sz w:val="24"/>
          <w:szCs w:val="24"/>
        </w:rPr>
        <w:t>confirm</w:t>
      </w:r>
      <w:r w:rsidR="00ED4626" w:rsidRPr="00BC32CF">
        <w:rPr>
          <w:rFonts w:ascii="Times New Roman" w:eastAsia="Calibri" w:hAnsi="Times New Roman" w:cs="Times New Roman"/>
          <w:sz w:val="24"/>
          <w:szCs w:val="24"/>
        </w:rPr>
        <w:t xml:space="preserve"> the </w:t>
      </w:r>
      <w:r w:rsidR="003A2D77" w:rsidRPr="00BC32CF">
        <w:rPr>
          <w:rFonts w:ascii="Times New Roman" w:eastAsia="Calibri" w:hAnsi="Times New Roman" w:cs="Times New Roman"/>
          <w:sz w:val="24"/>
          <w:szCs w:val="24"/>
        </w:rPr>
        <w:t>claims made</w:t>
      </w:r>
      <w:r w:rsidR="00ED4626" w:rsidRPr="00BC32CF">
        <w:rPr>
          <w:rFonts w:ascii="Times New Roman" w:eastAsia="Calibri" w:hAnsi="Times New Roman" w:cs="Times New Roman"/>
          <w:sz w:val="24"/>
          <w:szCs w:val="24"/>
        </w:rPr>
        <w:t xml:space="preserve"> by </w:t>
      </w:r>
      <w:r w:rsidR="004668CD" w:rsidRPr="00BC32CF">
        <w:rPr>
          <w:rFonts w:ascii="Times New Roman" w:eastAsia="Calibri" w:hAnsi="Times New Roman" w:cs="Times New Roman"/>
          <w:sz w:val="24"/>
          <w:szCs w:val="24"/>
        </w:rPr>
        <w:t>financier</w:t>
      </w:r>
      <w:r w:rsidR="003A2D77" w:rsidRPr="00BC32CF">
        <w:rPr>
          <w:rFonts w:ascii="Times New Roman" w:eastAsia="Calibri" w:hAnsi="Times New Roman" w:cs="Times New Roman"/>
          <w:sz w:val="24"/>
          <w:szCs w:val="24"/>
        </w:rPr>
        <w:t>s during the focus group discussions</w:t>
      </w:r>
      <w:r w:rsidR="00ED4626" w:rsidRPr="00BC32CF">
        <w:rPr>
          <w:rFonts w:ascii="Times New Roman" w:eastAsia="Calibri" w:hAnsi="Times New Roman" w:cs="Times New Roman"/>
          <w:sz w:val="24"/>
          <w:szCs w:val="24"/>
        </w:rPr>
        <w:t xml:space="preserve">. The focus group discussions lasted an average of 55mins and were tape recorded, transcribed and later analysed using Nvivo10 Software. Various codes and nodes were assigned to different emergent themes within the data while carrying out a thorough thematic analysis. </w:t>
      </w:r>
      <w:r w:rsidR="003A2D77" w:rsidRPr="00BC32CF">
        <w:rPr>
          <w:rFonts w:ascii="Times New Roman" w:eastAsia="Calibri" w:hAnsi="Times New Roman" w:cs="Times New Roman"/>
          <w:sz w:val="24"/>
          <w:szCs w:val="24"/>
        </w:rPr>
        <w:t>T</w:t>
      </w:r>
      <w:r w:rsidR="00D14EAE" w:rsidRPr="00BC32CF">
        <w:rPr>
          <w:rFonts w:ascii="Times New Roman" w:eastAsia="Calibri" w:hAnsi="Times New Roman" w:cs="Times New Roman"/>
          <w:sz w:val="24"/>
          <w:szCs w:val="24"/>
        </w:rPr>
        <w:t xml:space="preserve">wenty-two (22) criteria relevant for evaluating </w:t>
      </w:r>
      <w:r w:rsidR="003A2D77" w:rsidRPr="00BC32CF">
        <w:rPr>
          <w:rFonts w:ascii="Times New Roman" w:eastAsia="Calibri" w:hAnsi="Times New Roman" w:cs="Times New Roman"/>
          <w:sz w:val="24"/>
          <w:szCs w:val="24"/>
        </w:rPr>
        <w:t xml:space="preserve">the </w:t>
      </w:r>
      <w:r w:rsidR="00D14EAE" w:rsidRPr="00BC32CF">
        <w:rPr>
          <w:rFonts w:ascii="Times New Roman" w:eastAsia="Calibri" w:hAnsi="Times New Roman" w:cs="Times New Roman"/>
          <w:sz w:val="24"/>
          <w:szCs w:val="24"/>
        </w:rPr>
        <w:t>bankability of sponsor risk, political, legal and concession risks were unravelled. This was in addition to identifying some risk mitigation strategies used by project sponsors in most loan applications. Other sub-risk components emerging from the major risk factors during the proce</w:t>
      </w:r>
      <w:r w:rsidR="004668CD" w:rsidRPr="00BC32CF">
        <w:rPr>
          <w:rFonts w:ascii="Times New Roman" w:eastAsia="Calibri" w:hAnsi="Times New Roman" w:cs="Times New Roman"/>
          <w:sz w:val="24"/>
          <w:szCs w:val="24"/>
        </w:rPr>
        <w:t xml:space="preserve">ss of due diligence appraisal </w:t>
      </w:r>
      <w:r w:rsidR="00D14EAE" w:rsidRPr="00BC32CF">
        <w:rPr>
          <w:rFonts w:ascii="Times New Roman" w:eastAsia="Calibri" w:hAnsi="Times New Roman" w:cs="Times New Roman"/>
          <w:sz w:val="24"/>
          <w:szCs w:val="24"/>
        </w:rPr>
        <w:t>were also uncovered.</w:t>
      </w:r>
    </w:p>
    <w:p w14:paraId="4ACC2498" w14:textId="77777777" w:rsidR="002C5CC1" w:rsidRPr="00BC32CF" w:rsidRDefault="002C5CC1" w:rsidP="002C5CC1">
      <w:pPr>
        <w:spacing w:after="0" w:line="480" w:lineRule="auto"/>
        <w:jc w:val="both"/>
        <w:rPr>
          <w:rFonts w:ascii="Times New Roman" w:eastAsia="Calibri" w:hAnsi="Times New Roman" w:cs="Times New Roman"/>
          <w:sz w:val="24"/>
          <w:szCs w:val="24"/>
        </w:rPr>
      </w:pPr>
    </w:p>
    <w:p w14:paraId="14A4C1B9" w14:textId="77777777" w:rsidR="00ED26B6" w:rsidRPr="00BC32CF" w:rsidRDefault="00ED26B6" w:rsidP="002C5CC1">
      <w:pPr>
        <w:rPr>
          <w:rFonts w:ascii="Times New Roman" w:eastAsia="Calibri" w:hAnsi="Times New Roman" w:cs="Times New Roman"/>
          <w:i/>
          <w:sz w:val="24"/>
          <w:szCs w:val="24"/>
        </w:rPr>
      </w:pPr>
    </w:p>
    <w:p w14:paraId="0FA89C45" w14:textId="77777777" w:rsidR="00ED26B6" w:rsidRPr="00BC32CF" w:rsidRDefault="00ED26B6" w:rsidP="002C5CC1">
      <w:pPr>
        <w:rPr>
          <w:rFonts w:ascii="Times New Roman" w:eastAsia="Calibri" w:hAnsi="Times New Roman" w:cs="Times New Roman"/>
          <w:i/>
          <w:sz w:val="24"/>
          <w:szCs w:val="24"/>
        </w:rPr>
        <w:sectPr w:rsidR="00ED26B6" w:rsidRPr="00BC32CF" w:rsidSect="00537AFC">
          <w:headerReference w:type="default" r:id="rId9"/>
          <w:footerReference w:type="default" r:id="rId10"/>
          <w:pgSz w:w="11906" w:h="16838"/>
          <w:pgMar w:top="1440" w:right="1440" w:bottom="1440" w:left="1440" w:header="708" w:footer="708" w:gutter="0"/>
          <w:lnNumType w:countBy="1" w:restart="continuous"/>
          <w:cols w:space="708"/>
          <w:docGrid w:linePitch="360"/>
        </w:sectPr>
      </w:pPr>
    </w:p>
    <w:p w14:paraId="527FB02C" w14:textId="77777777" w:rsidR="00ED26B6" w:rsidRPr="00BC32CF" w:rsidRDefault="00ED26B6" w:rsidP="00ED26B6">
      <w:pPr>
        <w:ind w:left="1440" w:firstLine="720"/>
        <w:rPr>
          <w:rFonts w:ascii="Times New Roman" w:eastAsia="Calibri" w:hAnsi="Times New Roman" w:cs="Times New Roman"/>
          <w:b/>
          <w:sz w:val="28"/>
          <w:szCs w:val="28"/>
        </w:rPr>
      </w:pPr>
      <w:r w:rsidRPr="00BC32CF">
        <w:rPr>
          <w:rFonts w:ascii="Times New Roman" w:eastAsia="Calibri" w:hAnsi="Times New Roman" w:cs="Times New Roman"/>
          <w:b/>
          <w:sz w:val="28"/>
          <w:szCs w:val="28"/>
        </w:rPr>
        <w:lastRenderedPageBreak/>
        <w:t xml:space="preserve">Table 1: </w:t>
      </w:r>
      <w:r w:rsidRPr="00BC32CF">
        <w:rPr>
          <w:rFonts w:ascii="Times New Roman" w:eastAsia="Calibri" w:hAnsi="Times New Roman" w:cs="Times New Roman"/>
          <w:b/>
          <w:sz w:val="24"/>
          <w:szCs w:val="24"/>
        </w:rPr>
        <w:t>Attributes of PPP Case Study Projects and Focus Group Discussion Participants</w:t>
      </w:r>
    </w:p>
    <w:tbl>
      <w:tblPr>
        <w:tblStyle w:val="LightGrid-Accent2"/>
        <w:tblW w:w="15344" w:type="dxa"/>
        <w:tblLook w:val="04A0" w:firstRow="1" w:lastRow="0" w:firstColumn="1" w:lastColumn="0" w:noHBand="0" w:noVBand="1"/>
      </w:tblPr>
      <w:tblGrid>
        <w:gridCol w:w="3518"/>
        <w:gridCol w:w="3941"/>
        <w:gridCol w:w="3941"/>
        <w:gridCol w:w="3944"/>
      </w:tblGrid>
      <w:tr w:rsidR="00BC32CF" w:rsidRPr="00BC32CF" w14:paraId="5B2BD0A4" w14:textId="77777777" w:rsidTr="00D31FDB">
        <w:trPr>
          <w:cnfStyle w:val="100000000000" w:firstRow="1" w:lastRow="0" w:firstColumn="0" w:lastColumn="0" w:oddVBand="0" w:evenVBand="0" w:oddHBand="0" w:evenHBand="0" w:firstRowFirstColumn="0" w:firstRowLastColumn="0" w:lastRowFirstColumn="0" w:lastRowLastColumn="0"/>
          <w:trHeight w:hRule="exact" w:val="716"/>
        </w:trPr>
        <w:tc>
          <w:tcPr>
            <w:cnfStyle w:val="001000000000" w:firstRow="0" w:lastRow="0" w:firstColumn="1" w:lastColumn="0" w:oddVBand="0" w:evenVBand="0" w:oddHBand="0" w:evenHBand="0" w:firstRowFirstColumn="0" w:firstRowLastColumn="0" w:lastRowFirstColumn="0" w:lastRowLastColumn="0"/>
            <w:tcW w:w="3518" w:type="dxa"/>
          </w:tcPr>
          <w:p w14:paraId="07966F2A" w14:textId="77777777" w:rsidR="00ED26B6" w:rsidRPr="00BC32CF" w:rsidRDefault="00ED26B6" w:rsidP="00ED26B6">
            <w:pPr>
              <w:jc w:val="center"/>
              <w:rPr>
                <w:rFonts w:ascii="Times New Roman" w:eastAsia="Calibri" w:hAnsi="Times New Roman" w:cs="Times New Roman"/>
                <w:sz w:val="18"/>
                <w:szCs w:val="18"/>
                <w:lang w:val="en-US"/>
              </w:rPr>
            </w:pPr>
            <w:r w:rsidRPr="00BC32CF">
              <w:rPr>
                <w:rFonts w:ascii="Times New Roman" w:eastAsia="Calibri" w:hAnsi="Times New Roman" w:cs="Times New Roman"/>
                <w:sz w:val="18"/>
                <w:szCs w:val="18"/>
                <w:lang w:val="en-US"/>
              </w:rPr>
              <w:t>Characteristic of Focus Group Discussion Participants</w:t>
            </w:r>
          </w:p>
        </w:tc>
        <w:tc>
          <w:tcPr>
            <w:tcW w:w="3941" w:type="dxa"/>
          </w:tcPr>
          <w:p w14:paraId="3133564E" w14:textId="77777777" w:rsidR="00ED26B6" w:rsidRPr="00BC32CF" w:rsidRDefault="00ED26B6" w:rsidP="00ED26B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val="en-US"/>
              </w:rPr>
            </w:pPr>
            <w:r w:rsidRPr="00BC32CF">
              <w:rPr>
                <w:rFonts w:ascii="Times New Roman" w:eastAsia="Calibri" w:hAnsi="Times New Roman" w:cs="Times New Roman"/>
                <w:sz w:val="18"/>
                <w:szCs w:val="18"/>
                <w:lang w:val="en-US"/>
              </w:rPr>
              <w:t>Case Study A</w:t>
            </w:r>
          </w:p>
        </w:tc>
        <w:tc>
          <w:tcPr>
            <w:tcW w:w="3941" w:type="dxa"/>
          </w:tcPr>
          <w:p w14:paraId="1982C315" w14:textId="77777777" w:rsidR="00ED26B6" w:rsidRPr="00BC32CF" w:rsidRDefault="00ED26B6" w:rsidP="00ED26B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val="en-US"/>
              </w:rPr>
            </w:pPr>
            <w:r w:rsidRPr="00BC32CF">
              <w:rPr>
                <w:rFonts w:ascii="Times New Roman" w:eastAsia="Calibri" w:hAnsi="Times New Roman" w:cs="Times New Roman"/>
                <w:sz w:val="18"/>
                <w:szCs w:val="18"/>
                <w:lang w:val="en-US"/>
              </w:rPr>
              <w:t>Case Study B</w:t>
            </w:r>
          </w:p>
        </w:tc>
        <w:tc>
          <w:tcPr>
            <w:tcW w:w="3943" w:type="dxa"/>
          </w:tcPr>
          <w:p w14:paraId="4882C0D0" w14:textId="77777777" w:rsidR="00ED26B6" w:rsidRPr="00BC32CF" w:rsidRDefault="00ED26B6" w:rsidP="00ED26B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val="en-US"/>
              </w:rPr>
            </w:pPr>
            <w:r w:rsidRPr="00BC32CF">
              <w:rPr>
                <w:rFonts w:ascii="Times New Roman" w:eastAsia="Calibri" w:hAnsi="Times New Roman" w:cs="Times New Roman"/>
                <w:sz w:val="18"/>
                <w:szCs w:val="18"/>
                <w:lang w:val="en-US"/>
              </w:rPr>
              <w:t>Case Study C</w:t>
            </w:r>
          </w:p>
        </w:tc>
      </w:tr>
      <w:tr w:rsidR="00BC32CF" w:rsidRPr="00BC32CF" w14:paraId="28C68D54" w14:textId="77777777" w:rsidTr="00D31FD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18" w:type="dxa"/>
          </w:tcPr>
          <w:p w14:paraId="3AEFFEB1" w14:textId="77777777" w:rsidR="00ED26B6" w:rsidRPr="00BC32CF" w:rsidRDefault="00ED26B6" w:rsidP="00ED26B6">
            <w:pPr>
              <w:rPr>
                <w:rFonts w:ascii="Times New Roman" w:eastAsia="Calibri" w:hAnsi="Times New Roman" w:cs="Times New Roman"/>
                <w:i/>
                <w:sz w:val="18"/>
                <w:szCs w:val="18"/>
                <w:lang w:val="en-US"/>
              </w:rPr>
            </w:pPr>
            <w:r w:rsidRPr="00BC32CF">
              <w:rPr>
                <w:rFonts w:ascii="Times New Roman" w:eastAsia="Calibri" w:hAnsi="Times New Roman" w:cs="Times New Roman"/>
                <w:bCs w:val="0"/>
                <w:i/>
                <w:sz w:val="18"/>
                <w:szCs w:val="18"/>
                <w:lang w:val="en-US"/>
              </w:rPr>
              <w:t xml:space="preserve">No. of </w:t>
            </w:r>
            <w:r w:rsidRPr="00BC32CF">
              <w:rPr>
                <w:rFonts w:ascii="Times New Roman" w:eastAsia="Calibri" w:hAnsi="Times New Roman" w:cs="Times New Roman"/>
                <w:i/>
                <w:sz w:val="18"/>
                <w:szCs w:val="18"/>
                <w:lang w:val="en-US"/>
              </w:rPr>
              <w:t xml:space="preserve"> Participants</w:t>
            </w:r>
          </w:p>
        </w:tc>
        <w:tc>
          <w:tcPr>
            <w:tcW w:w="3941" w:type="dxa"/>
          </w:tcPr>
          <w:p w14:paraId="240AA159"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3</w:t>
            </w:r>
          </w:p>
        </w:tc>
        <w:tc>
          <w:tcPr>
            <w:tcW w:w="3941" w:type="dxa"/>
          </w:tcPr>
          <w:p w14:paraId="46DC8D07"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c>
          <w:tcPr>
            <w:tcW w:w="3943" w:type="dxa"/>
          </w:tcPr>
          <w:p w14:paraId="161B1A2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4</w:t>
            </w:r>
          </w:p>
        </w:tc>
      </w:tr>
      <w:tr w:rsidR="00BC32CF" w:rsidRPr="00BC32CF" w14:paraId="1C362E02" w14:textId="77777777" w:rsidTr="00D31FDB">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8" w:type="dxa"/>
          </w:tcPr>
          <w:p w14:paraId="64289679" w14:textId="77777777" w:rsidR="00ED26B6" w:rsidRPr="00BC32CF" w:rsidRDefault="00ED26B6" w:rsidP="00ED26B6">
            <w:pPr>
              <w:rPr>
                <w:rFonts w:ascii="Times New Roman" w:eastAsia="Calibri" w:hAnsi="Times New Roman" w:cs="Times New Roman"/>
                <w:i/>
                <w:sz w:val="18"/>
                <w:szCs w:val="18"/>
                <w:lang w:val="en-US"/>
              </w:rPr>
            </w:pPr>
            <w:r w:rsidRPr="00BC32CF">
              <w:rPr>
                <w:rFonts w:ascii="Times New Roman" w:eastAsia="Calibri" w:hAnsi="Times New Roman" w:cs="Times New Roman"/>
                <w:i/>
                <w:sz w:val="18"/>
                <w:szCs w:val="18"/>
                <w:lang w:val="en-US"/>
              </w:rPr>
              <w:t>Average Experience in Emerging Market PPP financing</w:t>
            </w:r>
          </w:p>
        </w:tc>
        <w:tc>
          <w:tcPr>
            <w:tcW w:w="3941" w:type="dxa"/>
            <w:vAlign w:val="center"/>
          </w:tcPr>
          <w:p w14:paraId="04217A53"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7</w:t>
            </w:r>
          </w:p>
        </w:tc>
        <w:tc>
          <w:tcPr>
            <w:tcW w:w="3941" w:type="dxa"/>
            <w:vAlign w:val="center"/>
          </w:tcPr>
          <w:p w14:paraId="135E77E1"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5</w:t>
            </w:r>
          </w:p>
        </w:tc>
        <w:tc>
          <w:tcPr>
            <w:tcW w:w="3943" w:type="dxa"/>
            <w:vAlign w:val="center"/>
          </w:tcPr>
          <w:p w14:paraId="2A29AF48"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8</w:t>
            </w:r>
          </w:p>
        </w:tc>
      </w:tr>
      <w:tr w:rsidR="00BC32CF" w:rsidRPr="00BC32CF" w14:paraId="7C52C661" w14:textId="77777777" w:rsidTr="00D31F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8" w:type="dxa"/>
          </w:tcPr>
          <w:p w14:paraId="658FB5D3" w14:textId="77777777" w:rsidR="00ED26B6" w:rsidRPr="00BC32CF" w:rsidRDefault="00ED26B6" w:rsidP="00ED26B6">
            <w:pPr>
              <w:rPr>
                <w:rFonts w:ascii="Times New Roman" w:eastAsia="Calibri" w:hAnsi="Times New Roman" w:cs="Times New Roman"/>
                <w:i/>
                <w:sz w:val="18"/>
                <w:szCs w:val="18"/>
                <w:lang w:val="en-US"/>
              </w:rPr>
            </w:pPr>
            <w:r w:rsidRPr="00BC32CF">
              <w:rPr>
                <w:rFonts w:ascii="Times New Roman" w:eastAsia="Calibri" w:hAnsi="Times New Roman" w:cs="Times New Roman"/>
                <w:i/>
                <w:sz w:val="18"/>
                <w:szCs w:val="18"/>
                <w:lang w:val="en-US"/>
              </w:rPr>
              <w:t>Average PFI/PPP Experience in Nigeria</w:t>
            </w:r>
          </w:p>
        </w:tc>
        <w:tc>
          <w:tcPr>
            <w:tcW w:w="3941" w:type="dxa"/>
          </w:tcPr>
          <w:p w14:paraId="553F5B3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3</w:t>
            </w:r>
          </w:p>
        </w:tc>
        <w:tc>
          <w:tcPr>
            <w:tcW w:w="3941" w:type="dxa"/>
          </w:tcPr>
          <w:p w14:paraId="7A9AEE3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3</w:t>
            </w:r>
          </w:p>
        </w:tc>
        <w:tc>
          <w:tcPr>
            <w:tcW w:w="3943" w:type="dxa"/>
          </w:tcPr>
          <w:p w14:paraId="24B2D99B"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6</w:t>
            </w:r>
          </w:p>
        </w:tc>
      </w:tr>
      <w:tr w:rsidR="00BC32CF" w:rsidRPr="00BC32CF" w14:paraId="7AC8BC97" w14:textId="77777777" w:rsidTr="00D31FDB">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344" w:type="dxa"/>
            <w:gridSpan w:val="4"/>
          </w:tcPr>
          <w:p w14:paraId="0E91647D" w14:textId="77777777" w:rsidR="00ED26B6" w:rsidRPr="00BC32CF" w:rsidRDefault="00ED26B6" w:rsidP="00ED26B6">
            <w:pPr>
              <w:rPr>
                <w:rFonts w:ascii="Times New Roman" w:eastAsia="Calibri" w:hAnsi="Times New Roman" w:cs="Times New Roman"/>
                <w:b w:val="0"/>
                <w:i/>
                <w:sz w:val="18"/>
                <w:szCs w:val="18"/>
                <w:lang w:val="en-US"/>
              </w:rPr>
            </w:pPr>
            <w:r w:rsidRPr="00BC32CF">
              <w:rPr>
                <w:rFonts w:ascii="Times New Roman" w:eastAsia="Calibri" w:hAnsi="Times New Roman" w:cs="Times New Roman"/>
                <w:i/>
                <w:sz w:val="18"/>
                <w:szCs w:val="18"/>
                <w:lang w:val="en-US"/>
              </w:rPr>
              <w:t>Project Types involved in</w:t>
            </w:r>
            <w:r w:rsidRPr="00BC32CF">
              <w:rPr>
                <w:rFonts w:ascii="Times New Roman" w:eastAsia="Calibri" w:hAnsi="Times New Roman" w:cs="Times New Roman"/>
                <w:bCs w:val="0"/>
                <w:i/>
                <w:sz w:val="18"/>
                <w:szCs w:val="18"/>
                <w:lang w:val="en-US"/>
              </w:rPr>
              <w:t xml:space="preserve"> by lenders:</w:t>
            </w:r>
          </w:p>
        </w:tc>
      </w:tr>
      <w:tr w:rsidR="00BC32CF" w:rsidRPr="00BC32CF" w14:paraId="5A1E39B8" w14:textId="77777777" w:rsidTr="00D31FD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18" w:type="dxa"/>
          </w:tcPr>
          <w:p w14:paraId="01F7DB01" w14:textId="77777777" w:rsidR="00ED26B6" w:rsidRPr="00BC32CF" w:rsidRDefault="00ED26B6" w:rsidP="00ED26B6">
            <w:pPr>
              <w:numPr>
                <w:ilvl w:val="0"/>
                <w:numId w:val="18"/>
              </w:numPr>
              <w:ind w:left="630" w:hanging="450"/>
              <w:contextualSpacing/>
              <w:rPr>
                <w:rFonts w:ascii="Times New Roman" w:eastAsia="Calibri" w:hAnsi="Times New Roman" w:cs="Times New Roman"/>
                <w:b w:val="0"/>
                <w:i/>
                <w:sz w:val="18"/>
                <w:szCs w:val="18"/>
                <w:lang w:val="en-US"/>
              </w:rPr>
            </w:pPr>
            <w:r w:rsidRPr="00BC32CF">
              <w:rPr>
                <w:rFonts w:ascii="Times New Roman" w:eastAsia="Calibri" w:hAnsi="Times New Roman" w:cs="Times New Roman"/>
                <w:b w:val="0"/>
                <w:i/>
                <w:sz w:val="18"/>
                <w:szCs w:val="18"/>
                <w:lang w:val="en-US"/>
              </w:rPr>
              <w:t>Power Project</w:t>
            </w:r>
          </w:p>
        </w:tc>
        <w:tc>
          <w:tcPr>
            <w:tcW w:w="3941" w:type="dxa"/>
          </w:tcPr>
          <w:p w14:paraId="1C99697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c>
          <w:tcPr>
            <w:tcW w:w="3941" w:type="dxa"/>
          </w:tcPr>
          <w:p w14:paraId="446ED0B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c>
          <w:tcPr>
            <w:tcW w:w="3943" w:type="dxa"/>
          </w:tcPr>
          <w:p w14:paraId="6A4AFEC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r>
      <w:tr w:rsidR="00BC32CF" w:rsidRPr="00BC32CF" w14:paraId="3383B971" w14:textId="77777777" w:rsidTr="00D31FDB">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18" w:type="dxa"/>
          </w:tcPr>
          <w:p w14:paraId="54991E9C" w14:textId="77777777" w:rsidR="00ED26B6" w:rsidRPr="00BC32CF" w:rsidRDefault="00ED26B6" w:rsidP="00ED26B6">
            <w:pPr>
              <w:numPr>
                <w:ilvl w:val="0"/>
                <w:numId w:val="18"/>
              </w:numPr>
              <w:ind w:left="630" w:hanging="450"/>
              <w:contextualSpacing/>
              <w:rPr>
                <w:rFonts w:ascii="Times New Roman" w:eastAsia="Calibri" w:hAnsi="Times New Roman" w:cs="Times New Roman"/>
                <w:b w:val="0"/>
                <w:i/>
                <w:sz w:val="18"/>
                <w:szCs w:val="18"/>
                <w:lang w:val="en-US"/>
              </w:rPr>
            </w:pPr>
            <w:r w:rsidRPr="00BC32CF">
              <w:rPr>
                <w:rFonts w:ascii="Times New Roman" w:eastAsia="Calibri" w:hAnsi="Times New Roman" w:cs="Times New Roman"/>
                <w:b w:val="0"/>
                <w:i/>
                <w:sz w:val="18"/>
                <w:szCs w:val="18"/>
                <w:lang w:val="en-US"/>
              </w:rPr>
              <w:t>Road Project</w:t>
            </w:r>
          </w:p>
        </w:tc>
        <w:tc>
          <w:tcPr>
            <w:tcW w:w="3941" w:type="dxa"/>
          </w:tcPr>
          <w:p w14:paraId="11382D8D"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c>
          <w:tcPr>
            <w:tcW w:w="3941" w:type="dxa"/>
          </w:tcPr>
          <w:p w14:paraId="33383CC3"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c>
          <w:tcPr>
            <w:tcW w:w="3943" w:type="dxa"/>
          </w:tcPr>
          <w:p w14:paraId="0F7FC3B5"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3</w:t>
            </w:r>
          </w:p>
        </w:tc>
      </w:tr>
      <w:tr w:rsidR="00BC32CF" w:rsidRPr="00BC32CF" w14:paraId="5774EFA2" w14:textId="77777777" w:rsidTr="00D31FD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518" w:type="dxa"/>
          </w:tcPr>
          <w:p w14:paraId="5F6DF0DA" w14:textId="77777777" w:rsidR="00ED26B6" w:rsidRPr="00BC32CF" w:rsidRDefault="00ED26B6" w:rsidP="00ED26B6">
            <w:pPr>
              <w:numPr>
                <w:ilvl w:val="0"/>
                <w:numId w:val="18"/>
              </w:numPr>
              <w:ind w:left="630" w:hanging="450"/>
              <w:contextualSpacing/>
              <w:rPr>
                <w:rFonts w:ascii="Times New Roman" w:eastAsia="Calibri" w:hAnsi="Times New Roman" w:cs="Times New Roman"/>
                <w:b w:val="0"/>
                <w:i/>
                <w:sz w:val="18"/>
                <w:szCs w:val="18"/>
                <w:lang w:val="en-US"/>
              </w:rPr>
            </w:pPr>
            <w:r w:rsidRPr="00BC32CF">
              <w:rPr>
                <w:rFonts w:ascii="Times New Roman" w:eastAsia="Calibri" w:hAnsi="Times New Roman" w:cs="Times New Roman"/>
                <w:b w:val="0"/>
                <w:i/>
                <w:sz w:val="18"/>
                <w:szCs w:val="18"/>
                <w:lang w:val="en-US"/>
              </w:rPr>
              <w:t>Port Project</w:t>
            </w:r>
          </w:p>
        </w:tc>
        <w:tc>
          <w:tcPr>
            <w:tcW w:w="3941" w:type="dxa"/>
          </w:tcPr>
          <w:p w14:paraId="17BDBC0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c>
          <w:tcPr>
            <w:tcW w:w="3941" w:type="dxa"/>
          </w:tcPr>
          <w:p w14:paraId="64E23FEA"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c>
          <w:tcPr>
            <w:tcW w:w="3943" w:type="dxa"/>
          </w:tcPr>
          <w:p w14:paraId="56BACDC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r>
      <w:tr w:rsidR="00BC32CF" w:rsidRPr="00BC32CF" w14:paraId="4DF9B248" w14:textId="77777777" w:rsidTr="00D31FDB">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518" w:type="dxa"/>
          </w:tcPr>
          <w:p w14:paraId="3C19F75D" w14:textId="77777777" w:rsidR="00ED26B6" w:rsidRPr="00BC32CF" w:rsidRDefault="00ED26B6" w:rsidP="00ED26B6">
            <w:pPr>
              <w:numPr>
                <w:ilvl w:val="0"/>
                <w:numId w:val="18"/>
              </w:numPr>
              <w:ind w:left="630" w:hanging="450"/>
              <w:contextualSpacing/>
              <w:rPr>
                <w:rFonts w:ascii="Times New Roman" w:eastAsia="Calibri" w:hAnsi="Times New Roman" w:cs="Times New Roman"/>
                <w:b w:val="0"/>
                <w:i/>
                <w:sz w:val="18"/>
                <w:szCs w:val="18"/>
                <w:lang w:val="en-US"/>
              </w:rPr>
            </w:pPr>
            <w:r w:rsidRPr="00BC32CF">
              <w:rPr>
                <w:rFonts w:ascii="Times New Roman" w:eastAsia="Calibri" w:hAnsi="Times New Roman" w:cs="Times New Roman"/>
                <w:b w:val="0"/>
                <w:i/>
                <w:sz w:val="18"/>
                <w:szCs w:val="18"/>
                <w:lang w:val="en-US"/>
              </w:rPr>
              <w:t>Hospital Project</w:t>
            </w:r>
          </w:p>
        </w:tc>
        <w:tc>
          <w:tcPr>
            <w:tcW w:w="3941" w:type="dxa"/>
          </w:tcPr>
          <w:p w14:paraId="4B3378A3"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c>
          <w:tcPr>
            <w:tcW w:w="3941" w:type="dxa"/>
          </w:tcPr>
          <w:p w14:paraId="10A7D47E"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1</w:t>
            </w:r>
          </w:p>
        </w:tc>
        <w:tc>
          <w:tcPr>
            <w:tcW w:w="3943" w:type="dxa"/>
          </w:tcPr>
          <w:p w14:paraId="118F9FFF" w14:textId="77777777" w:rsidR="00ED26B6" w:rsidRPr="00BC32CF" w:rsidRDefault="00ED26B6" w:rsidP="00ED26B6">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18"/>
                <w:szCs w:val="18"/>
                <w:lang w:val="en-US"/>
              </w:rPr>
            </w:pPr>
            <w:r w:rsidRPr="00BC32CF">
              <w:rPr>
                <w:rFonts w:ascii="Times New Roman" w:eastAsia="Calibri" w:hAnsi="Times New Roman" w:cs="Times New Roman"/>
                <w:b/>
                <w:i/>
                <w:sz w:val="18"/>
                <w:szCs w:val="18"/>
                <w:lang w:val="en-US"/>
              </w:rPr>
              <w:t>2</w:t>
            </w:r>
          </w:p>
        </w:tc>
      </w:tr>
      <w:tr w:rsidR="00BC32CF" w:rsidRPr="00BC32CF" w14:paraId="1E9A68F0" w14:textId="77777777" w:rsidTr="00D31FD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518" w:type="dxa"/>
            <w:vAlign w:val="center"/>
          </w:tcPr>
          <w:p w14:paraId="7F395A48" w14:textId="77777777" w:rsidR="00ED26B6" w:rsidRPr="00BC32CF" w:rsidRDefault="00ED26B6" w:rsidP="00ED26B6">
            <w:pPr>
              <w:jc w:val="center"/>
              <w:rPr>
                <w:rFonts w:ascii="Times New Roman" w:eastAsia="Calibri" w:hAnsi="Times New Roman" w:cs="Times New Roman"/>
                <w:bCs w:val="0"/>
                <w:i/>
                <w:sz w:val="18"/>
                <w:szCs w:val="18"/>
                <w:lang w:val="en-US"/>
              </w:rPr>
            </w:pPr>
            <w:r w:rsidRPr="00BC32CF">
              <w:rPr>
                <w:rFonts w:ascii="Times New Roman" w:eastAsia="Calibri" w:hAnsi="Times New Roman" w:cs="Times New Roman"/>
                <w:bCs w:val="0"/>
                <w:i/>
                <w:sz w:val="18"/>
                <w:szCs w:val="18"/>
                <w:lang w:val="en-US"/>
              </w:rPr>
              <w:t>Project Nature and Description</w:t>
            </w:r>
          </w:p>
        </w:tc>
        <w:tc>
          <w:tcPr>
            <w:tcW w:w="3941" w:type="dxa"/>
          </w:tcPr>
          <w:p w14:paraId="56496C19"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u w:val="single"/>
                <w:lang w:val="en-US"/>
              </w:rPr>
            </w:pPr>
            <w:r w:rsidRPr="00BC32CF">
              <w:rPr>
                <w:rFonts w:ascii="Times New Roman" w:eastAsia="Calibri" w:hAnsi="Times New Roman" w:cs="Times New Roman"/>
                <w:b/>
                <w:sz w:val="16"/>
                <w:szCs w:val="16"/>
                <w:u w:val="single"/>
                <w:lang w:val="en-US"/>
              </w:rPr>
              <w:t xml:space="preserve">Power Project </w:t>
            </w:r>
          </w:p>
          <w:p w14:paraId="59C4E34E"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u w:val="single"/>
                <w:lang w:val="en-US"/>
              </w:rPr>
            </w:pPr>
          </w:p>
          <w:p w14:paraId="71511A93"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lang w:val="en-US"/>
              </w:rPr>
            </w:pPr>
            <w:r w:rsidRPr="00BC32CF">
              <w:rPr>
                <w:rFonts w:ascii="Times New Roman" w:eastAsia="Calibri" w:hAnsi="Times New Roman" w:cs="Times New Roman"/>
                <w:sz w:val="16"/>
                <w:szCs w:val="16"/>
                <w:lang w:val="en-US"/>
              </w:rPr>
              <w:t>This project is a 10-year concession contract for the development and maintenance of an independent power plant in Nigeria under a Build Operate and Transfer (BOT) arrangement. The power project, which cost about $25.5million, was constructed to generate 12.15megawatts of electricity. This was aimed at providing uninterrupted electric power for two water plants both with combined installed capacity of 115million gallons of potable water per day. The project also included the construction of a 13km gas grid connected to the power plant and designed to expand water supply capacity to 85%, as against the initial 40% capacity of the project. The project facility also included a 10year Power Purchase Agreement (Offtake contract) with the government. With the Power Purchase Agreement, the project secured a long-term regular purchase of generated electricity with the water department arm of the public sector client. The project was said to have boosted revenue generation and reduced carbon emissions in the region by 30%.</w:t>
            </w:r>
          </w:p>
        </w:tc>
        <w:tc>
          <w:tcPr>
            <w:tcW w:w="3941" w:type="dxa"/>
          </w:tcPr>
          <w:p w14:paraId="4F75612D"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u w:val="single"/>
                <w:lang w:val="en-US"/>
              </w:rPr>
            </w:pPr>
            <w:r w:rsidRPr="00BC32CF">
              <w:rPr>
                <w:rFonts w:ascii="Times New Roman" w:eastAsia="Calibri" w:hAnsi="Times New Roman" w:cs="Times New Roman"/>
                <w:b/>
                <w:sz w:val="16"/>
                <w:szCs w:val="16"/>
                <w:u w:val="single"/>
                <w:lang w:val="en-US"/>
              </w:rPr>
              <w:t xml:space="preserve">Sea Port Expansion Project </w:t>
            </w:r>
          </w:p>
          <w:p w14:paraId="651DEB37"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47D57E16"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lang w:val="en-US"/>
              </w:rPr>
            </w:pPr>
            <w:r w:rsidRPr="00BC32CF">
              <w:rPr>
                <w:rFonts w:ascii="Times New Roman" w:eastAsia="Calibri" w:hAnsi="Times New Roman" w:cs="Times New Roman"/>
                <w:sz w:val="16"/>
                <w:szCs w:val="16"/>
                <w:lang w:val="en-US"/>
              </w:rPr>
              <w:t>This project is a seaport PPP concession contracted under a Build Own Operate Transfer (BOOT) model. The two phased development project involved the construction of a new 220mt harbour, flooring of 220, 000sqmeter area and the provision of other physical as well as IT infrastructures to the terminal. The project which was estimated at $60million (N9.6billion) was to run under a 25year concession agreement by the private sector, with a regular royalty arrangement with the public sector client. The second phase of the project also included the construction of a 200mt harbour and the reclamation of another 40,000sqm of the terminal area. The project was also targeted to produce about 300 direct jobs while contributing additional 1000 indirect job to the national workforce.</w:t>
            </w:r>
          </w:p>
        </w:tc>
        <w:tc>
          <w:tcPr>
            <w:tcW w:w="3943" w:type="dxa"/>
          </w:tcPr>
          <w:p w14:paraId="6452FB6A"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u w:val="single"/>
                <w:lang w:val="en-US"/>
              </w:rPr>
            </w:pPr>
            <w:r w:rsidRPr="00BC32CF">
              <w:rPr>
                <w:rFonts w:ascii="Times New Roman" w:eastAsia="Calibri" w:hAnsi="Times New Roman" w:cs="Times New Roman"/>
                <w:b/>
                <w:sz w:val="16"/>
                <w:szCs w:val="16"/>
                <w:u w:val="single"/>
                <w:lang w:val="en-US"/>
              </w:rPr>
              <w:t xml:space="preserve">Hospital Project </w:t>
            </w:r>
          </w:p>
          <w:p w14:paraId="5E840126"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lang w:val="en-US"/>
              </w:rPr>
            </w:pPr>
          </w:p>
          <w:p w14:paraId="092D0160" w14:textId="77777777" w:rsidR="00ED26B6" w:rsidRPr="00BC32CF" w:rsidRDefault="00ED26B6" w:rsidP="00ED26B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lang w:val="en-US"/>
              </w:rPr>
            </w:pPr>
            <w:r w:rsidRPr="00BC32CF">
              <w:rPr>
                <w:rFonts w:ascii="Times New Roman" w:eastAsia="Calibri" w:hAnsi="Times New Roman" w:cs="Times New Roman"/>
                <w:sz w:val="16"/>
                <w:szCs w:val="16"/>
                <w:lang w:val="en-US"/>
              </w:rPr>
              <w:t>This project is a Hospital project delivered under the Design, Build, Finance and Operate (DBFO) model. The facility was designed to accommodate about 105-hospital beds and serves as referral hospital. Estimated at a value of about $37million, this facility was procured on a Turnkey basis with 24hours operation and maintenance being undertaken by a group of health consortium. The project is run under a 10-year concession agreement and will ensure the provision of quality and affordable access to regional level clinical services. The facility is also expected to provide advanced secondary clinical and diagnostic services to the populace within its geographical location. An estimated 60,000 patients per annum is expected to patronise the hospital facility.</w:t>
            </w:r>
          </w:p>
        </w:tc>
      </w:tr>
    </w:tbl>
    <w:p w14:paraId="24B88758" w14:textId="77777777" w:rsidR="00ED26B6" w:rsidRPr="00BC32CF" w:rsidRDefault="00ED26B6">
      <w:r w:rsidRPr="00BC32CF">
        <w:br w:type="page"/>
      </w:r>
    </w:p>
    <w:p w14:paraId="562D11BC" w14:textId="77777777" w:rsidR="002C5CC1" w:rsidRPr="00BC32CF" w:rsidRDefault="002C5CC1" w:rsidP="002C5CC1">
      <w:pPr>
        <w:spacing w:after="0" w:line="480" w:lineRule="auto"/>
        <w:jc w:val="both"/>
        <w:sectPr w:rsidR="002C5CC1" w:rsidRPr="00BC32CF" w:rsidSect="00537AFC">
          <w:pgSz w:w="16838" w:h="11906" w:orient="landscape"/>
          <w:pgMar w:top="0" w:right="1440" w:bottom="1440" w:left="709" w:header="708" w:footer="708" w:gutter="0"/>
          <w:lnNumType w:countBy="1" w:restart="continuous"/>
          <w:cols w:space="708"/>
          <w:docGrid w:linePitch="360"/>
        </w:sectPr>
      </w:pPr>
    </w:p>
    <w:p w14:paraId="1A0E402D" w14:textId="30E52B19" w:rsidR="004C5EFE" w:rsidRPr="00BC32CF" w:rsidRDefault="00AE5201" w:rsidP="002A2D4B">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lastRenderedPageBreak/>
        <w:t>The second phase</w:t>
      </w:r>
      <w:r w:rsidR="00DC14F0" w:rsidRPr="00BC32CF">
        <w:rPr>
          <w:rFonts w:ascii="Times New Roman" w:eastAsia="Calibri" w:hAnsi="Times New Roman" w:cs="Times New Roman"/>
          <w:sz w:val="24"/>
          <w:szCs w:val="24"/>
        </w:rPr>
        <w:t xml:space="preserve"> of the study involved questionnaire survey developed from findings from the focus group discussion</w:t>
      </w:r>
      <w:r w:rsidR="009B1970" w:rsidRPr="00BC32CF">
        <w:rPr>
          <w:rFonts w:ascii="Times New Roman" w:eastAsia="Calibri" w:hAnsi="Times New Roman" w:cs="Times New Roman"/>
          <w:sz w:val="24"/>
          <w:szCs w:val="24"/>
        </w:rPr>
        <w:t>s</w:t>
      </w:r>
      <w:r w:rsidR="0066357F" w:rsidRPr="00BC32CF">
        <w:rPr>
          <w:rFonts w:ascii="Times New Roman" w:eastAsia="Calibri" w:hAnsi="Times New Roman" w:cs="Times New Roman"/>
          <w:sz w:val="24"/>
          <w:szCs w:val="24"/>
        </w:rPr>
        <w:t xml:space="preserve"> and loan documentations</w:t>
      </w:r>
      <w:r w:rsidR="00DC14F0" w:rsidRPr="00BC32CF">
        <w:rPr>
          <w:rFonts w:ascii="Times New Roman" w:eastAsia="Calibri" w:hAnsi="Times New Roman" w:cs="Times New Roman"/>
          <w:sz w:val="24"/>
          <w:szCs w:val="24"/>
        </w:rPr>
        <w:t xml:space="preserve">. </w:t>
      </w:r>
      <w:r w:rsidR="00CE0710" w:rsidRPr="00BC32CF">
        <w:rPr>
          <w:rFonts w:ascii="Times New Roman" w:eastAsia="Calibri" w:hAnsi="Times New Roman" w:cs="Times New Roman"/>
          <w:sz w:val="24"/>
          <w:szCs w:val="24"/>
        </w:rPr>
        <w:t xml:space="preserve">This ensured validity </w:t>
      </w:r>
      <w:r w:rsidR="00B31C3B" w:rsidRPr="00BC32CF">
        <w:rPr>
          <w:rFonts w:ascii="Times New Roman" w:eastAsia="Calibri" w:hAnsi="Times New Roman" w:cs="Times New Roman"/>
          <w:sz w:val="24"/>
          <w:szCs w:val="24"/>
        </w:rPr>
        <w:t xml:space="preserve">and </w:t>
      </w:r>
      <w:r w:rsidR="00CE0710" w:rsidRPr="00BC32CF">
        <w:rPr>
          <w:rFonts w:ascii="Times New Roman" w:eastAsia="Calibri" w:hAnsi="Times New Roman" w:cs="Times New Roman"/>
          <w:sz w:val="24"/>
          <w:szCs w:val="24"/>
        </w:rPr>
        <w:t xml:space="preserve">wider applicability of results from the qualitative </w:t>
      </w:r>
      <w:r w:rsidR="004668CD" w:rsidRPr="00BC32CF">
        <w:rPr>
          <w:rFonts w:ascii="Times New Roman" w:eastAsia="Calibri" w:hAnsi="Times New Roman" w:cs="Times New Roman"/>
          <w:sz w:val="24"/>
          <w:szCs w:val="24"/>
        </w:rPr>
        <w:t>findings</w:t>
      </w:r>
      <w:r w:rsidR="00063E70" w:rsidRPr="00BC32CF">
        <w:rPr>
          <w:rFonts w:ascii="Times New Roman" w:eastAsia="Calibri" w:hAnsi="Times New Roman" w:cs="Times New Roman"/>
          <w:sz w:val="24"/>
          <w:szCs w:val="24"/>
        </w:rPr>
        <w:t xml:space="preserve"> (Oyedele, 2013)</w:t>
      </w:r>
      <w:r w:rsidR="00C84DBF" w:rsidRPr="00BC32CF">
        <w:rPr>
          <w:rFonts w:ascii="Times New Roman" w:eastAsia="Calibri" w:hAnsi="Times New Roman" w:cs="Times New Roman"/>
          <w:sz w:val="24"/>
          <w:szCs w:val="24"/>
        </w:rPr>
        <w:t xml:space="preserve">. </w:t>
      </w:r>
      <w:r w:rsidR="00153AFA" w:rsidRPr="00BC32CF">
        <w:rPr>
          <w:rFonts w:ascii="Times New Roman" w:eastAsia="Calibri" w:hAnsi="Times New Roman" w:cs="Times New Roman"/>
          <w:sz w:val="24"/>
          <w:szCs w:val="24"/>
        </w:rPr>
        <w:t xml:space="preserve">The survey targeted wider audiences of </w:t>
      </w:r>
      <w:r w:rsidR="001D0961" w:rsidRPr="00BC32CF">
        <w:rPr>
          <w:rFonts w:ascii="Times New Roman" w:eastAsia="Calibri" w:hAnsi="Times New Roman" w:cs="Times New Roman"/>
          <w:sz w:val="24"/>
          <w:szCs w:val="24"/>
        </w:rPr>
        <w:t>local and i</w:t>
      </w:r>
      <w:r w:rsidRPr="00BC32CF">
        <w:rPr>
          <w:rFonts w:ascii="Times New Roman" w:eastAsia="Calibri" w:hAnsi="Times New Roman" w:cs="Times New Roman"/>
          <w:sz w:val="24"/>
          <w:szCs w:val="24"/>
        </w:rPr>
        <w:t xml:space="preserve">nternational </w:t>
      </w:r>
      <w:r w:rsidR="00153AFA" w:rsidRPr="00BC32CF">
        <w:rPr>
          <w:rFonts w:ascii="Times New Roman" w:eastAsia="Calibri" w:hAnsi="Times New Roman" w:cs="Times New Roman"/>
          <w:sz w:val="24"/>
          <w:szCs w:val="24"/>
        </w:rPr>
        <w:t>project financ</w:t>
      </w:r>
      <w:r w:rsidRPr="00BC32CF">
        <w:rPr>
          <w:rFonts w:ascii="Times New Roman" w:eastAsia="Calibri" w:hAnsi="Times New Roman" w:cs="Times New Roman"/>
          <w:sz w:val="24"/>
          <w:szCs w:val="24"/>
        </w:rPr>
        <w:t>i</w:t>
      </w:r>
      <w:r w:rsidR="00153AFA" w:rsidRPr="00BC32CF">
        <w:rPr>
          <w:rFonts w:ascii="Times New Roman" w:eastAsia="Calibri" w:hAnsi="Times New Roman" w:cs="Times New Roman"/>
          <w:sz w:val="24"/>
          <w:szCs w:val="24"/>
        </w:rPr>
        <w:t>e</w:t>
      </w:r>
      <w:r w:rsidRPr="00BC32CF">
        <w:rPr>
          <w:rFonts w:ascii="Times New Roman" w:eastAsia="Calibri" w:hAnsi="Times New Roman" w:cs="Times New Roman"/>
          <w:sz w:val="24"/>
          <w:szCs w:val="24"/>
        </w:rPr>
        <w:t>rs</w:t>
      </w:r>
      <w:r w:rsidR="00153AFA" w:rsidRPr="00BC32CF">
        <w:rPr>
          <w:rFonts w:ascii="Times New Roman" w:eastAsia="Calibri" w:hAnsi="Times New Roman" w:cs="Times New Roman"/>
          <w:sz w:val="24"/>
          <w:szCs w:val="24"/>
        </w:rPr>
        <w:t xml:space="preserve"> who have been involved in </w:t>
      </w:r>
      <w:r w:rsidRPr="00BC32CF">
        <w:rPr>
          <w:rFonts w:ascii="Times New Roman" w:eastAsia="Calibri" w:hAnsi="Times New Roman" w:cs="Times New Roman"/>
          <w:sz w:val="24"/>
          <w:szCs w:val="24"/>
        </w:rPr>
        <w:t>structuring</w:t>
      </w:r>
      <w:r w:rsidR="00153AFA" w:rsidRPr="00BC32CF">
        <w:rPr>
          <w:rFonts w:ascii="Times New Roman" w:eastAsia="Calibri" w:hAnsi="Times New Roman" w:cs="Times New Roman"/>
          <w:sz w:val="24"/>
          <w:szCs w:val="24"/>
        </w:rPr>
        <w:t xml:space="preserve"> </w:t>
      </w:r>
      <w:r w:rsidRPr="00BC32CF">
        <w:rPr>
          <w:rFonts w:ascii="Times New Roman" w:eastAsia="Calibri" w:hAnsi="Times New Roman" w:cs="Times New Roman"/>
          <w:sz w:val="24"/>
          <w:szCs w:val="24"/>
        </w:rPr>
        <w:t xml:space="preserve">financial packages for PPP </w:t>
      </w:r>
      <w:r w:rsidR="004814F3" w:rsidRPr="00BC32CF">
        <w:rPr>
          <w:rFonts w:ascii="Times New Roman" w:eastAsia="Calibri" w:hAnsi="Times New Roman" w:cs="Times New Roman"/>
          <w:sz w:val="24"/>
          <w:szCs w:val="24"/>
        </w:rPr>
        <w:t>projects</w:t>
      </w:r>
      <w:r w:rsidRPr="00BC32CF">
        <w:rPr>
          <w:rFonts w:ascii="Times New Roman" w:eastAsia="Calibri" w:hAnsi="Times New Roman" w:cs="Times New Roman"/>
          <w:sz w:val="24"/>
          <w:szCs w:val="24"/>
        </w:rPr>
        <w:t xml:space="preserve"> in </w:t>
      </w:r>
      <w:r w:rsidR="00FA10B1" w:rsidRPr="00BC32CF">
        <w:rPr>
          <w:rFonts w:ascii="Times New Roman" w:eastAsia="Calibri" w:hAnsi="Times New Roman" w:cs="Times New Roman"/>
          <w:sz w:val="24"/>
          <w:szCs w:val="24"/>
        </w:rPr>
        <w:t>Nigeria</w:t>
      </w:r>
      <w:r w:rsidR="00153AFA" w:rsidRPr="00BC32CF">
        <w:rPr>
          <w:rFonts w:ascii="Times New Roman" w:eastAsia="Calibri" w:hAnsi="Times New Roman" w:cs="Times New Roman"/>
          <w:sz w:val="24"/>
          <w:szCs w:val="24"/>
        </w:rPr>
        <w:t xml:space="preserve">. </w:t>
      </w:r>
      <w:r w:rsidR="007C1CE9" w:rsidRPr="00BC32CF">
        <w:rPr>
          <w:rFonts w:ascii="Times New Roman" w:eastAsia="Calibri" w:hAnsi="Times New Roman" w:cs="Times New Roman"/>
          <w:sz w:val="24"/>
          <w:szCs w:val="24"/>
        </w:rPr>
        <w:t xml:space="preserve">Questionnaires were distributed using </w:t>
      </w:r>
      <w:r w:rsidR="002E4787" w:rsidRPr="00BC32CF">
        <w:rPr>
          <w:rFonts w:ascii="Times New Roman" w:eastAsia="Calibri" w:hAnsi="Times New Roman" w:cs="Times New Roman"/>
          <w:sz w:val="24"/>
          <w:szCs w:val="24"/>
        </w:rPr>
        <w:t xml:space="preserve">a </w:t>
      </w:r>
      <w:r w:rsidR="004814F3" w:rsidRPr="00BC32CF">
        <w:rPr>
          <w:rFonts w:ascii="Times New Roman" w:eastAsia="Calibri" w:hAnsi="Times New Roman" w:cs="Times New Roman"/>
          <w:sz w:val="24"/>
          <w:szCs w:val="24"/>
        </w:rPr>
        <w:t>snowball</w:t>
      </w:r>
      <w:r w:rsidR="002E4787" w:rsidRPr="00BC32CF">
        <w:rPr>
          <w:rFonts w:ascii="Times New Roman" w:eastAsia="Calibri" w:hAnsi="Times New Roman" w:cs="Times New Roman"/>
          <w:sz w:val="24"/>
          <w:szCs w:val="24"/>
        </w:rPr>
        <w:t xml:space="preserve"> </w:t>
      </w:r>
      <w:r w:rsidR="004814F3" w:rsidRPr="00BC32CF">
        <w:rPr>
          <w:rFonts w:ascii="Times New Roman" w:eastAsia="Calibri" w:hAnsi="Times New Roman" w:cs="Times New Roman"/>
          <w:sz w:val="24"/>
          <w:szCs w:val="24"/>
        </w:rPr>
        <w:t>sampling</w:t>
      </w:r>
      <w:r w:rsidR="007C1CE9" w:rsidRPr="00BC32CF">
        <w:rPr>
          <w:rFonts w:ascii="Times New Roman" w:eastAsia="Calibri" w:hAnsi="Times New Roman" w:cs="Times New Roman"/>
          <w:sz w:val="24"/>
          <w:szCs w:val="24"/>
        </w:rPr>
        <w:t xml:space="preserve"> approach</w:t>
      </w:r>
      <w:r w:rsidR="004814F3" w:rsidRPr="00BC32CF">
        <w:rPr>
          <w:rFonts w:ascii="Times New Roman" w:eastAsia="Calibri" w:hAnsi="Times New Roman" w:cs="Times New Roman"/>
          <w:sz w:val="24"/>
          <w:szCs w:val="24"/>
        </w:rPr>
        <w:t>. As such,</w:t>
      </w:r>
      <w:r w:rsidR="007C1CE9" w:rsidRPr="00BC32CF">
        <w:rPr>
          <w:rFonts w:ascii="Times New Roman" w:eastAsia="Calibri" w:hAnsi="Times New Roman" w:cs="Times New Roman"/>
          <w:sz w:val="24"/>
          <w:szCs w:val="24"/>
        </w:rPr>
        <w:t xml:space="preserve"> the research team </w:t>
      </w:r>
      <w:r w:rsidR="004814F3" w:rsidRPr="00BC32CF">
        <w:rPr>
          <w:rFonts w:ascii="Times New Roman" w:eastAsia="Calibri" w:hAnsi="Times New Roman" w:cs="Times New Roman"/>
          <w:sz w:val="24"/>
          <w:szCs w:val="24"/>
        </w:rPr>
        <w:t xml:space="preserve">built on referrals from </w:t>
      </w:r>
      <w:r w:rsidR="00744153" w:rsidRPr="00BC32CF">
        <w:rPr>
          <w:rFonts w:ascii="Times New Roman" w:eastAsia="Calibri" w:hAnsi="Times New Roman" w:cs="Times New Roman"/>
          <w:sz w:val="24"/>
          <w:szCs w:val="24"/>
        </w:rPr>
        <w:t>the</w:t>
      </w:r>
      <w:r w:rsidR="008E2227" w:rsidRPr="00BC32CF">
        <w:rPr>
          <w:rFonts w:ascii="Times New Roman" w:eastAsia="Calibri" w:hAnsi="Times New Roman" w:cs="Times New Roman"/>
          <w:sz w:val="24"/>
          <w:szCs w:val="24"/>
        </w:rPr>
        <w:t>i</w:t>
      </w:r>
      <w:r w:rsidR="00744153" w:rsidRPr="00BC32CF">
        <w:rPr>
          <w:rFonts w:ascii="Times New Roman" w:eastAsia="Calibri" w:hAnsi="Times New Roman" w:cs="Times New Roman"/>
          <w:sz w:val="24"/>
          <w:szCs w:val="24"/>
        </w:rPr>
        <w:t>r</w:t>
      </w:r>
      <w:r w:rsidR="004814F3" w:rsidRPr="00BC32CF">
        <w:rPr>
          <w:rFonts w:ascii="Times New Roman" w:eastAsia="Calibri" w:hAnsi="Times New Roman" w:cs="Times New Roman"/>
          <w:sz w:val="24"/>
          <w:szCs w:val="24"/>
        </w:rPr>
        <w:t xml:space="preserve"> ex</w:t>
      </w:r>
      <w:r w:rsidR="0066357F" w:rsidRPr="00BC32CF">
        <w:rPr>
          <w:rFonts w:ascii="Times New Roman" w:eastAsia="Calibri" w:hAnsi="Times New Roman" w:cs="Times New Roman"/>
          <w:sz w:val="24"/>
          <w:szCs w:val="24"/>
        </w:rPr>
        <w:t xml:space="preserve">isting contacts among local and </w:t>
      </w:r>
      <w:r w:rsidR="004814F3" w:rsidRPr="00BC32CF">
        <w:rPr>
          <w:rFonts w:ascii="Times New Roman" w:eastAsia="Calibri" w:hAnsi="Times New Roman" w:cs="Times New Roman"/>
          <w:sz w:val="24"/>
          <w:szCs w:val="24"/>
        </w:rPr>
        <w:t>international project financiers</w:t>
      </w:r>
      <w:r w:rsidR="0066357F" w:rsidRPr="00BC32CF">
        <w:rPr>
          <w:rFonts w:ascii="Times New Roman" w:eastAsia="Calibri" w:hAnsi="Times New Roman" w:cs="Times New Roman"/>
          <w:sz w:val="24"/>
          <w:szCs w:val="24"/>
        </w:rPr>
        <w:t xml:space="preserve"> as well as </w:t>
      </w:r>
      <w:r w:rsidR="001D0961" w:rsidRPr="00BC32CF">
        <w:rPr>
          <w:rFonts w:ascii="Times New Roman" w:eastAsia="Calibri" w:hAnsi="Times New Roman" w:cs="Times New Roman"/>
          <w:sz w:val="24"/>
          <w:szCs w:val="24"/>
        </w:rPr>
        <w:t xml:space="preserve">other </w:t>
      </w:r>
      <w:r w:rsidR="0066357F" w:rsidRPr="00BC32CF">
        <w:rPr>
          <w:rFonts w:ascii="Times New Roman" w:eastAsia="Calibri" w:hAnsi="Times New Roman" w:cs="Times New Roman"/>
          <w:sz w:val="24"/>
          <w:szCs w:val="24"/>
        </w:rPr>
        <w:t xml:space="preserve">subject matter experts involved in </w:t>
      </w:r>
      <w:r w:rsidR="00A92BA5" w:rsidRPr="00BC32CF">
        <w:rPr>
          <w:rFonts w:ascii="Times New Roman" w:eastAsia="Calibri" w:hAnsi="Times New Roman" w:cs="Times New Roman"/>
          <w:sz w:val="24"/>
          <w:szCs w:val="24"/>
        </w:rPr>
        <w:t>PPP financing in Nigeria</w:t>
      </w:r>
      <w:r w:rsidR="007C1CE9" w:rsidRPr="00BC32CF">
        <w:rPr>
          <w:rFonts w:ascii="Times New Roman" w:eastAsia="Calibri" w:hAnsi="Times New Roman" w:cs="Times New Roman"/>
          <w:sz w:val="24"/>
          <w:szCs w:val="24"/>
        </w:rPr>
        <w:t xml:space="preserve">.  </w:t>
      </w:r>
      <w:r w:rsidR="00F71363" w:rsidRPr="00BC32CF">
        <w:rPr>
          <w:rFonts w:ascii="Times New Roman" w:eastAsia="Calibri" w:hAnsi="Times New Roman" w:cs="Times New Roman"/>
          <w:sz w:val="24"/>
          <w:szCs w:val="24"/>
        </w:rPr>
        <w:t xml:space="preserve">The </w:t>
      </w:r>
      <w:r w:rsidR="0066357F" w:rsidRPr="00BC32CF">
        <w:rPr>
          <w:rFonts w:ascii="Times New Roman" w:eastAsia="Calibri" w:hAnsi="Times New Roman" w:cs="Times New Roman"/>
          <w:sz w:val="24"/>
          <w:szCs w:val="24"/>
        </w:rPr>
        <w:t>survey</w:t>
      </w:r>
      <w:r w:rsidR="00F71363" w:rsidRPr="00BC32CF">
        <w:rPr>
          <w:rFonts w:ascii="Times New Roman" w:eastAsia="Calibri" w:hAnsi="Times New Roman" w:cs="Times New Roman"/>
          <w:sz w:val="24"/>
          <w:szCs w:val="24"/>
        </w:rPr>
        <w:t xml:space="preserve"> respondents </w:t>
      </w:r>
      <w:r w:rsidR="00CE2101" w:rsidRPr="00BC32CF">
        <w:rPr>
          <w:rFonts w:ascii="Times New Roman" w:eastAsia="Calibri" w:hAnsi="Times New Roman" w:cs="Times New Roman"/>
          <w:sz w:val="24"/>
          <w:szCs w:val="24"/>
        </w:rPr>
        <w:t>comprised senior lenders, financial consultants and infrastructure finance and investment firms</w:t>
      </w:r>
      <w:r w:rsidR="000425C4" w:rsidRPr="00BC32CF">
        <w:rPr>
          <w:rFonts w:ascii="Times New Roman" w:eastAsia="Calibri" w:hAnsi="Times New Roman" w:cs="Times New Roman"/>
          <w:sz w:val="24"/>
          <w:szCs w:val="24"/>
        </w:rPr>
        <w:t xml:space="preserve">. </w:t>
      </w:r>
      <w:r w:rsidR="00F5620D" w:rsidRPr="00BC32CF">
        <w:rPr>
          <w:rFonts w:ascii="Times New Roman" w:eastAsia="Calibri" w:hAnsi="Times New Roman" w:cs="Times New Roman"/>
          <w:sz w:val="24"/>
          <w:szCs w:val="24"/>
        </w:rPr>
        <w:t xml:space="preserve">A pilot study involving three separate financiers and two academics </w:t>
      </w:r>
      <w:r w:rsidR="009B7FD6" w:rsidRPr="00BC32CF">
        <w:rPr>
          <w:rFonts w:ascii="Times New Roman" w:eastAsia="Calibri" w:hAnsi="Times New Roman" w:cs="Times New Roman"/>
          <w:sz w:val="24"/>
          <w:szCs w:val="24"/>
        </w:rPr>
        <w:t xml:space="preserve">with an average of 7years prior experience </w:t>
      </w:r>
      <w:r w:rsidR="0078096E" w:rsidRPr="00BC32CF">
        <w:rPr>
          <w:rFonts w:ascii="Times New Roman" w:eastAsia="Calibri" w:hAnsi="Times New Roman" w:cs="Times New Roman"/>
          <w:sz w:val="24"/>
          <w:szCs w:val="24"/>
        </w:rPr>
        <w:t xml:space="preserve">in </w:t>
      </w:r>
      <w:r w:rsidR="0066357F" w:rsidRPr="00BC32CF">
        <w:rPr>
          <w:rFonts w:ascii="Times New Roman" w:eastAsia="Calibri" w:hAnsi="Times New Roman" w:cs="Times New Roman"/>
          <w:sz w:val="24"/>
          <w:szCs w:val="24"/>
        </w:rPr>
        <w:t>PFI/PPP project finance</w:t>
      </w:r>
      <w:r w:rsidR="00F5620D" w:rsidRPr="00BC32CF">
        <w:rPr>
          <w:rFonts w:ascii="Times New Roman" w:eastAsia="Calibri" w:hAnsi="Times New Roman" w:cs="Times New Roman"/>
          <w:sz w:val="24"/>
          <w:szCs w:val="24"/>
        </w:rPr>
        <w:t xml:space="preserve"> was conducted. The study implemented their </w:t>
      </w:r>
      <w:r w:rsidR="006D4D1A" w:rsidRPr="00BC32CF">
        <w:rPr>
          <w:rFonts w:ascii="Times New Roman" w:eastAsia="Calibri" w:hAnsi="Times New Roman" w:cs="Times New Roman"/>
          <w:sz w:val="24"/>
          <w:szCs w:val="24"/>
        </w:rPr>
        <w:t>feedbacks, which</w:t>
      </w:r>
      <w:r w:rsidR="00F5620D" w:rsidRPr="00BC32CF">
        <w:rPr>
          <w:rFonts w:ascii="Times New Roman" w:eastAsia="Calibri" w:hAnsi="Times New Roman" w:cs="Times New Roman"/>
          <w:sz w:val="24"/>
          <w:szCs w:val="24"/>
        </w:rPr>
        <w:t xml:space="preserve"> included shortening of sentences and rewording of questions</w:t>
      </w:r>
      <w:r w:rsidR="0062531F" w:rsidRPr="00BC32CF">
        <w:rPr>
          <w:rFonts w:ascii="Times New Roman" w:eastAsia="Calibri" w:hAnsi="Times New Roman" w:cs="Times New Roman"/>
          <w:sz w:val="24"/>
          <w:szCs w:val="24"/>
        </w:rPr>
        <w:t xml:space="preserve"> to develop the final questionnaire.</w:t>
      </w:r>
      <w:r w:rsidR="003B16FC" w:rsidRPr="00BC32CF">
        <w:rPr>
          <w:rFonts w:ascii="Times New Roman" w:eastAsia="Calibri" w:hAnsi="Times New Roman" w:cs="Times New Roman"/>
          <w:sz w:val="24"/>
          <w:szCs w:val="24"/>
        </w:rPr>
        <w:t xml:space="preserve"> </w:t>
      </w:r>
      <w:r w:rsidR="0062531F" w:rsidRPr="00BC32CF">
        <w:rPr>
          <w:rFonts w:ascii="Times New Roman" w:eastAsia="Calibri" w:hAnsi="Times New Roman" w:cs="Times New Roman"/>
          <w:sz w:val="24"/>
          <w:szCs w:val="24"/>
        </w:rPr>
        <w:t>In the final questionnaire</w:t>
      </w:r>
      <w:r w:rsidR="0078096E" w:rsidRPr="00BC32CF">
        <w:rPr>
          <w:rFonts w:ascii="Times New Roman" w:eastAsia="Calibri" w:hAnsi="Times New Roman" w:cs="Times New Roman"/>
          <w:sz w:val="24"/>
          <w:szCs w:val="24"/>
        </w:rPr>
        <w:t xml:space="preserve">, respondents were asked to rank the perceived importance of each identified </w:t>
      </w:r>
      <w:r w:rsidR="00F416C4" w:rsidRPr="00BC32CF">
        <w:rPr>
          <w:rFonts w:ascii="Times New Roman" w:eastAsia="Calibri" w:hAnsi="Times New Roman" w:cs="Times New Roman"/>
          <w:sz w:val="24"/>
          <w:szCs w:val="24"/>
        </w:rPr>
        <w:t>criterion</w:t>
      </w:r>
      <w:r w:rsidR="0078096E" w:rsidRPr="00BC32CF">
        <w:rPr>
          <w:rFonts w:ascii="Times New Roman" w:eastAsia="Calibri" w:hAnsi="Times New Roman" w:cs="Times New Roman"/>
          <w:sz w:val="24"/>
          <w:szCs w:val="24"/>
        </w:rPr>
        <w:t xml:space="preserve"> </w:t>
      </w:r>
      <w:r w:rsidR="0068187E" w:rsidRPr="00BC32CF">
        <w:rPr>
          <w:rFonts w:ascii="Times New Roman" w:eastAsia="Calibri" w:hAnsi="Times New Roman" w:cs="Times New Roman"/>
          <w:sz w:val="24"/>
          <w:szCs w:val="24"/>
        </w:rPr>
        <w:t>on</w:t>
      </w:r>
      <w:r w:rsidR="0078096E" w:rsidRPr="00BC32CF">
        <w:rPr>
          <w:rFonts w:ascii="Times New Roman" w:eastAsia="Calibri" w:hAnsi="Times New Roman" w:cs="Times New Roman"/>
          <w:sz w:val="24"/>
          <w:szCs w:val="24"/>
        </w:rPr>
        <w:t xml:space="preserve"> </w:t>
      </w:r>
      <w:r w:rsidR="00524441" w:rsidRPr="00BC32CF">
        <w:rPr>
          <w:rFonts w:ascii="Times New Roman" w:eastAsia="Calibri" w:hAnsi="Times New Roman" w:cs="Times New Roman"/>
          <w:sz w:val="24"/>
          <w:szCs w:val="24"/>
        </w:rPr>
        <w:t xml:space="preserve">the bankability of </w:t>
      </w:r>
      <w:r w:rsidR="0068187E" w:rsidRPr="00BC32CF">
        <w:rPr>
          <w:rFonts w:ascii="Times New Roman" w:eastAsia="Calibri" w:hAnsi="Times New Roman" w:cs="Times New Roman"/>
          <w:sz w:val="24"/>
          <w:szCs w:val="24"/>
        </w:rPr>
        <w:t xml:space="preserve">the </w:t>
      </w:r>
      <w:r w:rsidR="00524441" w:rsidRPr="00BC32CF">
        <w:rPr>
          <w:rFonts w:ascii="Times New Roman" w:eastAsia="Calibri" w:hAnsi="Times New Roman" w:cs="Times New Roman"/>
          <w:sz w:val="24"/>
          <w:szCs w:val="24"/>
        </w:rPr>
        <w:t>country-specific risks in PPP funding applications from</w:t>
      </w:r>
      <w:r w:rsidR="00537567" w:rsidRPr="00BC32CF">
        <w:rPr>
          <w:rFonts w:ascii="Times New Roman" w:eastAsia="Calibri" w:hAnsi="Times New Roman" w:cs="Times New Roman"/>
          <w:sz w:val="24"/>
          <w:szCs w:val="24"/>
        </w:rPr>
        <w:t xml:space="preserve"> </w:t>
      </w:r>
      <w:r w:rsidR="003F32F9" w:rsidRPr="00BC32CF">
        <w:rPr>
          <w:rFonts w:ascii="Times New Roman" w:eastAsia="Calibri" w:hAnsi="Times New Roman" w:cs="Times New Roman"/>
          <w:sz w:val="24"/>
          <w:szCs w:val="24"/>
        </w:rPr>
        <w:t>an emerging market</w:t>
      </w:r>
      <w:r w:rsidR="000425C4" w:rsidRPr="00BC32CF">
        <w:rPr>
          <w:rFonts w:ascii="Times New Roman" w:eastAsia="Calibri" w:hAnsi="Times New Roman" w:cs="Times New Roman"/>
          <w:sz w:val="24"/>
          <w:szCs w:val="24"/>
        </w:rPr>
        <w:t xml:space="preserve">. </w:t>
      </w:r>
      <w:r w:rsidR="003F32F9" w:rsidRPr="00BC32CF">
        <w:rPr>
          <w:rFonts w:ascii="Times New Roman" w:eastAsia="Calibri" w:hAnsi="Times New Roman" w:cs="Times New Roman"/>
          <w:sz w:val="24"/>
          <w:szCs w:val="24"/>
        </w:rPr>
        <w:t xml:space="preserve">This </w:t>
      </w:r>
      <w:r w:rsidR="004A716B" w:rsidRPr="00BC32CF">
        <w:rPr>
          <w:rFonts w:ascii="Times New Roman" w:eastAsia="Calibri" w:hAnsi="Times New Roman" w:cs="Times New Roman"/>
          <w:sz w:val="24"/>
          <w:szCs w:val="24"/>
        </w:rPr>
        <w:t>was done with the aid of a five-</w:t>
      </w:r>
      <w:r w:rsidR="003F32F9" w:rsidRPr="00BC32CF">
        <w:rPr>
          <w:rFonts w:ascii="Times New Roman" w:eastAsia="Calibri" w:hAnsi="Times New Roman" w:cs="Times New Roman"/>
          <w:sz w:val="24"/>
          <w:szCs w:val="24"/>
        </w:rPr>
        <w:t>point</w:t>
      </w:r>
      <w:r w:rsidR="00537567" w:rsidRPr="00BC32CF">
        <w:rPr>
          <w:rFonts w:ascii="Times New Roman" w:eastAsia="Calibri" w:hAnsi="Times New Roman" w:cs="Times New Roman"/>
          <w:sz w:val="24"/>
          <w:szCs w:val="24"/>
        </w:rPr>
        <w:t xml:space="preserve"> </w:t>
      </w:r>
      <w:r w:rsidR="003F32F9" w:rsidRPr="00BC32CF">
        <w:rPr>
          <w:rFonts w:ascii="Times New Roman" w:eastAsia="Calibri" w:hAnsi="Times New Roman" w:cs="Times New Roman"/>
          <w:sz w:val="24"/>
          <w:szCs w:val="24"/>
        </w:rPr>
        <w:t>Likert Scale</w:t>
      </w:r>
      <w:r w:rsidR="003B16FC" w:rsidRPr="00BC32CF">
        <w:rPr>
          <w:rFonts w:ascii="Times New Roman" w:eastAsia="Calibri" w:hAnsi="Times New Roman" w:cs="Times New Roman"/>
          <w:sz w:val="24"/>
          <w:szCs w:val="24"/>
        </w:rPr>
        <w:t xml:space="preserve"> </w:t>
      </w:r>
      <w:r w:rsidR="004A716B" w:rsidRPr="00BC32CF">
        <w:rPr>
          <w:rFonts w:ascii="Times New Roman" w:eastAsia="Calibri" w:hAnsi="Times New Roman" w:cs="Times New Roman"/>
          <w:sz w:val="24"/>
          <w:szCs w:val="24"/>
        </w:rPr>
        <w:t xml:space="preserve">in which; </w:t>
      </w:r>
      <w:r w:rsidR="00B06259" w:rsidRPr="00BC32CF">
        <w:rPr>
          <w:rFonts w:ascii="Times New Roman" w:eastAsia="Calibri" w:hAnsi="Times New Roman" w:cs="Times New Roman"/>
          <w:sz w:val="24"/>
          <w:szCs w:val="24"/>
        </w:rPr>
        <w:t>5</w:t>
      </w:r>
      <w:r w:rsidR="004A716B" w:rsidRPr="00BC32CF">
        <w:rPr>
          <w:rFonts w:ascii="Times New Roman" w:eastAsia="Calibri" w:hAnsi="Times New Roman" w:cs="Times New Roman"/>
          <w:sz w:val="24"/>
          <w:szCs w:val="24"/>
        </w:rPr>
        <w:t xml:space="preserve"> represented</w:t>
      </w:r>
      <w:r w:rsidR="003B16FC" w:rsidRPr="00BC32CF">
        <w:rPr>
          <w:rFonts w:ascii="Times New Roman" w:eastAsia="Calibri" w:hAnsi="Times New Roman" w:cs="Times New Roman"/>
          <w:sz w:val="24"/>
          <w:szCs w:val="24"/>
        </w:rPr>
        <w:t xml:space="preserve"> </w:t>
      </w:r>
      <w:r w:rsidR="004A716B" w:rsidRPr="00BC32CF">
        <w:rPr>
          <w:rFonts w:ascii="Times New Roman" w:eastAsia="Calibri" w:hAnsi="Times New Roman" w:cs="Times New Roman"/>
          <w:sz w:val="24"/>
          <w:szCs w:val="24"/>
        </w:rPr>
        <w:t xml:space="preserve">“Most Important” while </w:t>
      </w:r>
      <w:r w:rsidR="00B06259" w:rsidRPr="00BC32CF">
        <w:rPr>
          <w:rFonts w:ascii="Times New Roman" w:eastAsia="Calibri" w:hAnsi="Times New Roman" w:cs="Times New Roman"/>
          <w:sz w:val="24"/>
          <w:szCs w:val="24"/>
        </w:rPr>
        <w:t>1</w:t>
      </w:r>
      <w:r w:rsidR="004A716B" w:rsidRPr="00BC32CF">
        <w:rPr>
          <w:rFonts w:ascii="Times New Roman" w:eastAsia="Calibri" w:hAnsi="Times New Roman" w:cs="Times New Roman"/>
          <w:sz w:val="24"/>
          <w:szCs w:val="24"/>
        </w:rPr>
        <w:t xml:space="preserve"> represented “Not Important”.</w:t>
      </w:r>
    </w:p>
    <w:p w14:paraId="2FC0C0E3" w14:textId="77777777" w:rsidR="00157E16" w:rsidRPr="00BC32CF" w:rsidRDefault="00157E16" w:rsidP="002A2D4B">
      <w:pPr>
        <w:spacing w:line="480" w:lineRule="auto"/>
        <w:jc w:val="both"/>
        <w:rPr>
          <w:rFonts w:ascii="Times New Roman" w:eastAsia="Calibri" w:hAnsi="Times New Roman" w:cs="Times New Roman"/>
          <w:sz w:val="16"/>
          <w:szCs w:val="24"/>
        </w:rPr>
      </w:pPr>
    </w:p>
    <w:p w14:paraId="10B48355" w14:textId="7A8112D1" w:rsidR="002C5CC1" w:rsidRPr="00BC32CF" w:rsidRDefault="0043775E" w:rsidP="002A2D4B">
      <w:pPr>
        <w:spacing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The questionnaire survey was distributed to respondents via </w:t>
      </w:r>
      <w:r w:rsidR="00F06858" w:rsidRPr="00BC32CF">
        <w:rPr>
          <w:rFonts w:ascii="Times New Roman" w:eastAsia="Calibri" w:hAnsi="Times New Roman" w:cs="Times New Roman"/>
          <w:sz w:val="24"/>
          <w:szCs w:val="24"/>
        </w:rPr>
        <w:t>email and</w:t>
      </w:r>
      <w:r w:rsidRPr="00BC32CF">
        <w:rPr>
          <w:rFonts w:ascii="Times New Roman" w:eastAsia="Calibri" w:hAnsi="Times New Roman" w:cs="Times New Roman"/>
          <w:sz w:val="24"/>
          <w:szCs w:val="24"/>
        </w:rPr>
        <w:t xml:space="preserve"> was accompanied by a letter of introduction detailing the objective of the study. Two hundred and fifty (250) questionnaires were distributed in all, out </w:t>
      </w:r>
      <w:r w:rsidR="0034309E" w:rsidRPr="00BC32CF">
        <w:rPr>
          <w:rFonts w:ascii="Times New Roman" w:eastAsia="Calibri" w:hAnsi="Times New Roman" w:cs="Times New Roman"/>
          <w:sz w:val="24"/>
          <w:szCs w:val="24"/>
        </w:rPr>
        <w:t xml:space="preserve">of </w:t>
      </w:r>
      <w:r w:rsidRPr="00BC32CF">
        <w:rPr>
          <w:rFonts w:ascii="Times New Roman" w:eastAsia="Calibri" w:hAnsi="Times New Roman" w:cs="Times New Roman"/>
          <w:sz w:val="24"/>
          <w:szCs w:val="24"/>
        </w:rPr>
        <w:t>which 173 were returned</w:t>
      </w:r>
      <w:r w:rsidR="00F67004" w:rsidRPr="00BC32CF">
        <w:rPr>
          <w:rFonts w:ascii="Times New Roman" w:eastAsia="Calibri" w:hAnsi="Times New Roman" w:cs="Times New Roman"/>
          <w:sz w:val="24"/>
          <w:szCs w:val="24"/>
        </w:rPr>
        <w:t xml:space="preserve"> after several reminder emails</w:t>
      </w:r>
      <w:r w:rsidR="00FD3D21" w:rsidRPr="00BC32CF">
        <w:rPr>
          <w:rFonts w:ascii="Times New Roman" w:eastAsia="Calibri" w:hAnsi="Times New Roman" w:cs="Times New Roman"/>
          <w:sz w:val="24"/>
          <w:szCs w:val="24"/>
        </w:rPr>
        <w:t xml:space="preserve"> </w:t>
      </w:r>
      <w:r w:rsidR="00F81084" w:rsidRPr="00BC32CF">
        <w:rPr>
          <w:rFonts w:ascii="Times New Roman" w:eastAsia="Calibri" w:hAnsi="Times New Roman" w:cs="Times New Roman"/>
          <w:sz w:val="24"/>
          <w:szCs w:val="24"/>
        </w:rPr>
        <w:t xml:space="preserve">from </w:t>
      </w:r>
      <w:r w:rsidR="00F06858" w:rsidRPr="00BC32CF">
        <w:rPr>
          <w:rFonts w:ascii="Times New Roman" w:eastAsia="Calibri" w:hAnsi="Times New Roman" w:cs="Times New Roman"/>
          <w:sz w:val="24"/>
          <w:szCs w:val="24"/>
        </w:rPr>
        <w:t>June 2013</w:t>
      </w:r>
      <w:r w:rsidR="00FD3D21" w:rsidRPr="00BC32CF">
        <w:rPr>
          <w:rFonts w:ascii="Times New Roman" w:eastAsia="Calibri" w:hAnsi="Times New Roman" w:cs="Times New Roman"/>
          <w:sz w:val="24"/>
          <w:szCs w:val="24"/>
        </w:rPr>
        <w:t xml:space="preserve"> to </w:t>
      </w:r>
      <w:r w:rsidR="00F81084" w:rsidRPr="00BC32CF">
        <w:rPr>
          <w:rFonts w:ascii="Times New Roman" w:eastAsia="Calibri" w:hAnsi="Times New Roman" w:cs="Times New Roman"/>
          <w:sz w:val="24"/>
          <w:szCs w:val="24"/>
        </w:rPr>
        <w:t>March</w:t>
      </w:r>
      <w:r w:rsidR="00FD3D21" w:rsidRPr="00BC32CF">
        <w:rPr>
          <w:rFonts w:ascii="Times New Roman" w:eastAsia="Calibri" w:hAnsi="Times New Roman" w:cs="Times New Roman"/>
          <w:sz w:val="24"/>
          <w:szCs w:val="24"/>
        </w:rPr>
        <w:t xml:space="preserve"> 2015</w:t>
      </w:r>
      <w:r w:rsidR="00F67004" w:rsidRPr="00BC32CF">
        <w:rPr>
          <w:rFonts w:ascii="Times New Roman" w:eastAsia="Calibri" w:hAnsi="Times New Roman" w:cs="Times New Roman"/>
          <w:sz w:val="24"/>
          <w:szCs w:val="24"/>
        </w:rPr>
        <w:t xml:space="preserve">. </w:t>
      </w:r>
      <w:r w:rsidR="004E7E12" w:rsidRPr="00BC32CF">
        <w:rPr>
          <w:rFonts w:ascii="Times New Roman" w:eastAsia="Calibri" w:hAnsi="Times New Roman" w:cs="Times New Roman"/>
          <w:sz w:val="24"/>
          <w:szCs w:val="24"/>
        </w:rPr>
        <w:t xml:space="preserve">The rate of </w:t>
      </w:r>
      <w:r w:rsidR="001729BE" w:rsidRPr="00BC32CF">
        <w:rPr>
          <w:rFonts w:ascii="Times New Roman" w:eastAsia="Calibri" w:hAnsi="Times New Roman" w:cs="Times New Roman"/>
          <w:sz w:val="24"/>
          <w:szCs w:val="24"/>
        </w:rPr>
        <w:t xml:space="preserve">response </w:t>
      </w:r>
      <w:r w:rsidR="004E7E12" w:rsidRPr="00BC32CF">
        <w:rPr>
          <w:rFonts w:ascii="Times New Roman" w:eastAsia="Calibri" w:hAnsi="Times New Roman" w:cs="Times New Roman"/>
          <w:sz w:val="24"/>
          <w:szCs w:val="24"/>
        </w:rPr>
        <w:t>represents</w:t>
      </w:r>
      <w:r w:rsidRPr="00BC32CF">
        <w:rPr>
          <w:rFonts w:ascii="Times New Roman" w:eastAsia="Calibri" w:hAnsi="Times New Roman" w:cs="Times New Roman"/>
          <w:sz w:val="24"/>
          <w:szCs w:val="24"/>
        </w:rPr>
        <w:t xml:space="preserve"> 69.2% of total distributed questionnaires. </w:t>
      </w:r>
      <w:r w:rsidR="00CE1FED" w:rsidRPr="00BC32CF">
        <w:rPr>
          <w:rFonts w:ascii="Times New Roman" w:eastAsia="Calibri" w:hAnsi="Times New Roman" w:cs="Times New Roman"/>
          <w:sz w:val="24"/>
          <w:szCs w:val="24"/>
        </w:rPr>
        <w:t xml:space="preserve">The return rate was considered suitable for analysis owing to the claim by Oyedele (2013) that </w:t>
      </w:r>
      <w:r w:rsidR="00AB7407" w:rsidRPr="00BC32CF">
        <w:rPr>
          <w:rFonts w:ascii="Times New Roman" w:eastAsia="Calibri" w:hAnsi="Times New Roman" w:cs="Times New Roman"/>
          <w:sz w:val="24"/>
          <w:szCs w:val="24"/>
        </w:rPr>
        <w:t>survey results lower</w:t>
      </w:r>
      <w:r w:rsidR="00CE1FED" w:rsidRPr="00BC32CF">
        <w:rPr>
          <w:rFonts w:ascii="Times New Roman" w:eastAsia="Calibri" w:hAnsi="Times New Roman" w:cs="Times New Roman"/>
          <w:sz w:val="24"/>
          <w:szCs w:val="24"/>
        </w:rPr>
        <w:t xml:space="preserve"> than 30 to 40% could be considered of little significance and biased. </w:t>
      </w:r>
      <w:r w:rsidR="00EF2A6A" w:rsidRPr="00BC32CF">
        <w:rPr>
          <w:rFonts w:ascii="Times New Roman" w:eastAsia="Calibri" w:hAnsi="Times New Roman" w:cs="Times New Roman"/>
          <w:sz w:val="24"/>
          <w:szCs w:val="24"/>
        </w:rPr>
        <w:t>Out of the r</w:t>
      </w:r>
      <w:r w:rsidR="005D2D7C" w:rsidRPr="00BC32CF">
        <w:rPr>
          <w:rFonts w:ascii="Times New Roman" w:eastAsia="Calibri" w:hAnsi="Times New Roman" w:cs="Times New Roman"/>
          <w:sz w:val="24"/>
          <w:szCs w:val="24"/>
        </w:rPr>
        <w:t>eturned questionnaires, twenty-</w:t>
      </w:r>
      <w:r w:rsidR="00EF2A6A" w:rsidRPr="00BC32CF">
        <w:rPr>
          <w:rFonts w:ascii="Times New Roman" w:eastAsia="Calibri" w:hAnsi="Times New Roman" w:cs="Times New Roman"/>
          <w:sz w:val="24"/>
          <w:szCs w:val="24"/>
        </w:rPr>
        <w:t xml:space="preserve">seven (27) were incomplete and so rejected, leaving us with 146 </w:t>
      </w:r>
      <w:r w:rsidR="00F67004" w:rsidRPr="00BC32CF">
        <w:rPr>
          <w:rFonts w:ascii="Times New Roman" w:eastAsia="Calibri" w:hAnsi="Times New Roman" w:cs="Times New Roman"/>
          <w:sz w:val="24"/>
          <w:szCs w:val="24"/>
        </w:rPr>
        <w:t xml:space="preserve">(58%) </w:t>
      </w:r>
      <w:r w:rsidR="00EF2A6A" w:rsidRPr="00BC32CF">
        <w:rPr>
          <w:rFonts w:ascii="Times New Roman" w:eastAsia="Calibri" w:hAnsi="Times New Roman" w:cs="Times New Roman"/>
          <w:sz w:val="24"/>
          <w:szCs w:val="24"/>
        </w:rPr>
        <w:t>usable questionnaires</w:t>
      </w:r>
      <w:r w:rsidR="009E72C9" w:rsidRPr="00BC32CF">
        <w:rPr>
          <w:rFonts w:ascii="Times New Roman" w:eastAsia="Calibri" w:hAnsi="Times New Roman" w:cs="Times New Roman"/>
          <w:sz w:val="24"/>
          <w:szCs w:val="24"/>
        </w:rPr>
        <w:t xml:space="preserve"> from s</w:t>
      </w:r>
      <w:r w:rsidR="00EF2A6A" w:rsidRPr="00BC32CF">
        <w:rPr>
          <w:rFonts w:ascii="Times New Roman" w:eastAsia="Calibri" w:hAnsi="Times New Roman" w:cs="Times New Roman"/>
          <w:sz w:val="24"/>
          <w:szCs w:val="24"/>
        </w:rPr>
        <w:t xml:space="preserve">enior </w:t>
      </w:r>
      <w:r w:rsidR="00EF2A6A" w:rsidRPr="00BC32CF">
        <w:rPr>
          <w:rFonts w:ascii="Times New Roman" w:eastAsia="Calibri" w:hAnsi="Times New Roman" w:cs="Times New Roman"/>
          <w:sz w:val="24"/>
          <w:szCs w:val="24"/>
        </w:rPr>
        <w:lastRenderedPageBreak/>
        <w:t>lenders,</w:t>
      </w:r>
      <w:r w:rsidR="009E72C9" w:rsidRPr="00BC32CF">
        <w:rPr>
          <w:rFonts w:ascii="Times New Roman" w:eastAsia="Calibri" w:hAnsi="Times New Roman" w:cs="Times New Roman"/>
          <w:sz w:val="24"/>
          <w:szCs w:val="24"/>
        </w:rPr>
        <w:t xml:space="preserve"> infrastructure finance </w:t>
      </w:r>
      <w:r w:rsidR="005D2D7C" w:rsidRPr="00BC32CF">
        <w:rPr>
          <w:rFonts w:ascii="Times New Roman" w:eastAsia="Calibri" w:hAnsi="Times New Roman" w:cs="Times New Roman"/>
          <w:sz w:val="24"/>
          <w:szCs w:val="24"/>
        </w:rPr>
        <w:t>experts</w:t>
      </w:r>
      <w:r w:rsidR="00EF2A6A" w:rsidRPr="00BC32CF">
        <w:rPr>
          <w:rFonts w:ascii="Times New Roman" w:eastAsia="Calibri" w:hAnsi="Times New Roman" w:cs="Times New Roman"/>
          <w:sz w:val="24"/>
          <w:szCs w:val="24"/>
        </w:rPr>
        <w:t xml:space="preserve"> </w:t>
      </w:r>
      <w:r w:rsidR="00F67004" w:rsidRPr="00BC32CF">
        <w:rPr>
          <w:rFonts w:ascii="Times New Roman" w:eastAsia="Calibri" w:hAnsi="Times New Roman" w:cs="Times New Roman"/>
          <w:sz w:val="24"/>
          <w:szCs w:val="24"/>
        </w:rPr>
        <w:t>and financial</w:t>
      </w:r>
      <w:r w:rsidR="009E72C9" w:rsidRPr="00BC32CF">
        <w:rPr>
          <w:rFonts w:ascii="Times New Roman" w:eastAsia="Calibri" w:hAnsi="Times New Roman" w:cs="Times New Roman"/>
          <w:sz w:val="24"/>
          <w:szCs w:val="24"/>
        </w:rPr>
        <w:t xml:space="preserve"> </w:t>
      </w:r>
      <w:r w:rsidR="00A93D5F" w:rsidRPr="00BC32CF">
        <w:rPr>
          <w:rFonts w:ascii="Times New Roman" w:eastAsia="Calibri" w:hAnsi="Times New Roman" w:cs="Times New Roman"/>
          <w:sz w:val="24"/>
          <w:szCs w:val="24"/>
        </w:rPr>
        <w:t>a</w:t>
      </w:r>
      <w:r w:rsidR="00F67004" w:rsidRPr="00BC32CF">
        <w:rPr>
          <w:rFonts w:ascii="Times New Roman" w:eastAsia="Calibri" w:hAnsi="Times New Roman" w:cs="Times New Roman"/>
          <w:sz w:val="24"/>
          <w:szCs w:val="24"/>
        </w:rPr>
        <w:t xml:space="preserve">dvisory </w:t>
      </w:r>
      <w:r w:rsidR="009E72C9" w:rsidRPr="00BC32CF">
        <w:rPr>
          <w:rFonts w:ascii="Times New Roman" w:eastAsia="Calibri" w:hAnsi="Times New Roman" w:cs="Times New Roman"/>
          <w:sz w:val="24"/>
          <w:szCs w:val="24"/>
        </w:rPr>
        <w:t>consultants</w:t>
      </w:r>
      <w:r w:rsidR="005D2D7C" w:rsidRPr="00BC32CF">
        <w:rPr>
          <w:rFonts w:ascii="Times New Roman" w:eastAsia="Calibri" w:hAnsi="Times New Roman" w:cs="Times New Roman"/>
          <w:sz w:val="24"/>
          <w:szCs w:val="24"/>
        </w:rPr>
        <w:t xml:space="preserve">. </w:t>
      </w:r>
      <w:r w:rsidR="00D97102" w:rsidRPr="00BC32CF">
        <w:rPr>
          <w:rFonts w:ascii="Times New Roman" w:eastAsia="Calibri" w:hAnsi="Times New Roman" w:cs="Times New Roman"/>
          <w:sz w:val="24"/>
          <w:szCs w:val="24"/>
        </w:rPr>
        <w:t>Among the questionnaire respondents, 71 were senior lenders, 49 of them were infrastructure finance experts while the remaining 26 were financial advisory consultants</w:t>
      </w:r>
      <w:r w:rsidR="00C53146" w:rsidRPr="00BC32CF">
        <w:rPr>
          <w:rFonts w:ascii="Times New Roman" w:eastAsia="Calibri" w:hAnsi="Times New Roman" w:cs="Times New Roman"/>
          <w:sz w:val="24"/>
          <w:szCs w:val="24"/>
        </w:rPr>
        <w:t xml:space="preserve"> (see Table 2 for demographics of survey respondents)</w:t>
      </w:r>
      <w:r w:rsidR="00D97102" w:rsidRPr="00BC32CF">
        <w:rPr>
          <w:rFonts w:ascii="Times New Roman" w:eastAsia="Calibri" w:hAnsi="Times New Roman" w:cs="Times New Roman"/>
          <w:sz w:val="24"/>
          <w:szCs w:val="24"/>
        </w:rPr>
        <w:t xml:space="preserve">. On average, all the </w:t>
      </w:r>
      <w:r w:rsidR="00057584" w:rsidRPr="00BC32CF">
        <w:rPr>
          <w:rFonts w:ascii="Times New Roman" w:eastAsia="Calibri" w:hAnsi="Times New Roman" w:cs="Times New Roman"/>
          <w:sz w:val="24"/>
          <w:szCs w:val="24"/>
        </w:rPr>
        <w:t>respondents have 11.7</w:t>
      </w:r>
      <w:r w:rsidR="00D97102" w:rsidRPr="00BC32CF">
        <w:rPr>
          <w:rFonts w:ascii="Times New Roman" w:eastAsia="Calibri" w:hAnsi="Times New Roman" w:cs="Times New Roman"/>
          <w:sz w:val="24"/>
          <w:szCs w:val="24"/>
        </w:rPr>
        <w:t xml:space="preserve">years of experience in project financing in emerging economies. </w:t>
      </w:r>
      <w:r w:rsidR="00F416C4" w:rsidRPr="00BC32CF">
        <w:rPr>
          <w:rFonts w:ascii="Times New Roman" w:eastAsia="Calibri" w:hAnsi="Times New Roman" w:cs="Times New Roman"/>
          <w:sz w:val="24"/>
          <w:szCs w:val="24"/>
        </w:rPr>
        <w:t>With</w:t>
      </w:r>
      <w:r w:rsidR="00645E68" w:rsidRPr="00BC32CF">
        <w:rPr>
          <w:rFonts w:ascii="Times New Roman" w:eastAsia="Calibri" w:hAnsi="Times New Roman" w:cs="Times New Roman"/>
          <w:sz w:val="24"/>
          <w:szCs w:val="24"/>
        </w:rPr>
        <w:t xml:space="preserve"> the aid</w:t>
      </w:r>
      <w:r w:rsidR="00F416C4" w:rsidRPr="00BC32CF">
        <w:rPr>
          <w:rFonts w:ascii="Times New Roman" w:eastAsia="Calibri" w:hAnsi="Times New Roman" w:cs="Times New Roman"/>
          <w:sz w:val="24"/>
          <w:szCs w:val="24"/>
        </w:rPr>
        <w:t xml:space="preserve"> of Statistical Package for Social Sciences (SPSS), the result of the survey was analysed.</w:t>
      </w:r>
      <w:r w:rsidRPr="00BC32CF">
        <w:rPr>
          <w:rFonts w:ascii="Times New Roman" w:eastAsia="Calibri" w:hAnsi="Times New Roman" w:cs="Times New Roman"/>
          <w:sz w:val="24"/>
          <w:szCs w:val="24"/>
        </w:rPr>
        <w:t xml:space="preserve"> </w:t>
      </w:r>
      <w:r w:rsidR="004A3423" w:rsidRPr="00BC32CF">
        <w:rPr>
          <w:rFonts w:ascii="Times New Roman" w:eastAsia="Calibri" w:hAnsi="Times New Roman" w:cs="Times New Roman"/>
          <w:sz w:val="24"/>
          <w:szCs w:val="24"/>
        </w:rPr>
        <w:t>R</w:t>
      </w:r>
      <w:r w:rsidR="00DF6000" w:rsidRPr="00BC32CF">
        <w:rPr>
          <w:rFonts w:ascii="Times New Roman" w:eastAsia="Calibri" w:hAnsi="Times New Roman" w:cs="Times New Roman"/>
          <w:sz w:val="24"/>
          <w:szCs w:val="24"/>
        </w:rPr>
        <w:t xml:space="preserve">eliability analysis </w:t>
      </w:r>
      <w:r w:rsidR="004A3423" w:rsidRPr="00BC32CF">
        <w:rPr>
          <w:rFonts w:ascii="Times New Roman" w:eastAsia="Calibri" w:hAnsi="Times New Roman" w:cs="Times New Roman"/>
          <w:sz w:val="24"/>
          <w:szCs w:val="24"/>
        </w:rPr>
        <w:t xml:space="preserve">to determine </w:t>
      </w:r>
      <w:r w:rsidR="005D2D7C" w:rsidRPr="00BC32CF">
        <w:rPr>
          <w:rFonts w:ascii="Times New Roman" w:eastAsia="Calibri" w:hAnsi="Times New Roman" w:cs="Times New Roman"/>
          <w:sz w:val="24"/>
          <w:szCs w:val="24"/>
        </w:rPr>
        <w:t>whether the variables we</w:t>
      </w:r>
      <w:r w:rsidR="004A3423" w:rsidRPr="00BC32CF">
        <w:rPr>
          <w:rFonts w:ascii="Times New Roman" w:eastAsia="Calibri" w:hAnsi="Times New Roman" w:cs="Times New Roman"/>
          <w:sz w:val="24"/>
          <w:szCs w:val="24"/>
        </w:rPr>
        <w:t>re true measures of the construct was carried out. This was then followed by</w:t>
      </w:r>
      <w:r w:rsidR="00DF6000" w:rsidRPr="00BC32CF">
        <w:rPr>
          <w:rFonts w:ascii="Times New Roman" w:eastAsia="Calibri" w:hAnsi="Times New Roman" w:cs="Times New Roman"/>
          <w:sz w:val="24"/>
          <w:szCs w:val="24"/>
        </w:rPr>
        <w:t xml:space="preserve"> </w:t>
      </w:r>
      <w:r w:rsidR="00A92BA5" w:rsidRPr="00BC32CF">
        <w:rPr>
          <w:rFonts w:ascii="Times New Roman" w:eastAsia="Calibri" w:hAnsi="Times New Roman" w:cs="Times New Roman"/>
          <w:sz w:val="24"/>
          <w:szCs w:val="24"/>
        </w:rPr>
        <w:t>correlation analysis and significance index ranking to ascertain</w:t>
      </w:r>
      <w:r w:rsidR="004A3423" w:rsidRPr="00BC32CF">
        <w:rPr>
          <w:rFonts w:ascii="Times New Roman" w:eastAsia="Calibri" w:hAnsi="Times New Roman" w:cs="Times New Roman"/>
          <w:sz w:val="24"/>
          <w:szCs w:val="24"/>
        </w:rPr>
        <w:t xml:space="preserve"> </w:t>
      </w:r>
      <w:r w:rsidR="00F416C4" w:rsidRPr="00BC32CF">
        <w:rPr>
          <w:rFonts w:ascii="Times New Roman" w:eastAsia="Calibri" w:hAnsi="Times New Roman" w:cs="Times New Roman"/>
          <w:sz w:val="24"/>
          <w:szCs w:val="24"/>
        </w:rPr>
        <w:t xml:space="preserve">the </w:t>
      </w:r>
      <w:r w:rsidR="00783AF1" w:rsidRPr="00BC32CF">
        <w:rPr>
          <w:rFonts w:ascii="Times New Roman" w:eastAsia="Calibri" w:hAnsi="Times New Roman" w:cs="Times New Roman"/>
          <w:sz w:val="24"/>
          <w:szCs w:val="24"/>
        </w:rPr>
        <w:t xml:space="preserve">subjective </w:t>
      </w:r>
      <w:r w:rsidR="00F416C4" w:rsidRPr="00BC32CF">
        <w:rPr>
          <w:rFonts w:ascii="Times New Roman" w:eastAsia="Calibri" w:hAnsi="Times New Roman" w:cs="Times New Roman"/>
          <w:sz w:val="24"/>
          <w:szCs w:val="24"/>
        </w:rPr>
        <w:t>importance</w:t>
      </w:r>
      <w:r w:rsidR="00783AF1" w:rsidRPr="00BC32CF">
        <w:rPr>
          <w:rFonts w:ascii="Times New Roman" w:eastAsia="Calibri" w:hAnsi="Times New Roman" w:cs="Times New Roman"/>
          <w:sz w:val="24"/>
          <w:szCs w:val="24"/>
        </w:rPr>
        <w:t xml:space="preserve"> (based on lenders’ perception)</w:t>
      </w:r>
      <w:r w:rsidR="00F416C4" w:rsidRPr="00BC32CF">
        <w:rPr>
          <w:rFonts w:ascii="Times New Roman" w:eastAsia="Calibri" w:hAnsi="Times New Roman" w:cs="Times New Roman"/>
          <w:sz w:val="24"/>
          <w:szCs w:val="24"/>
        </w:rPr>
        <w:t xml:space="preserve"> of each bankability criterion identified </w:t>
      </w:r>
      <w:r w:rsidR="00A92BA5" w:rsidRPr="00BC32CF">
        <w:rPr>
          <w:rFonts w:ascii="Times New Roman" w:eastAsia="Calibri" w:hAnsi="Times New Roman" w:cs="Times New Roman"/>
          <w:sz w:val="24"/>
          <w:szCs w:val="24"/>
        </w:rPr>
        <w:t>in the study</w:t>
      </w:r>
      <w:r w:rsidR="00F416C4" w:rsidRPr="00BC32CF">
        <w:rPr>
          <w:rFonts w:ascii="Times New Roman" w:eastAsia="Calibri" w:hAnsi="Times New Roman" w:cs="Times New Roman"/>
          <w:sz w:val="24"/>
          <w:szCs w:val="24"/>
        </w:rPr>
        <w:t>.</w:t>
      </w:r>
      <w:r w:rsidR="002A7E01" w:rsidRPr="00BC32CF">
        <w:rPr>
          <w:rFonts w:ascii="Times New Roman" w:eastAsia="Calibri" w:hAnsi="Times New Roman" w:cs="Times New Roman"/>
          <w:sz w:val="24"/>
          <w:szCs w:val="24"/>
        </w:rPr>
        <w:t xml:space="preserve"> </w:t>
      </w:r>
      <w:r w:rsidR="0068187E" w:rsidRPr="00BC32CF">
        <w:rPr>
          <w:rFonts w:ascii="Times New Roman" w:eastAsia="Calibri" w:hAnsi="Times New Roman" w:cs="Times New Roman"/>
          <w:sz w:val="24"/>
          <w:szCs w:val="24"/>
        </w:rPr>
        <w:t>Results from the study were</w:t>
      </w:r>
      <w:r w:rsidR="000A5A7F" w:rsidRPr="00BC32CF">
        <w:rPr>
          <w:rFonts w:ascii="Times New Roman" w:eastAsia="Calibri" w:hAnsi="Times New Roman" w:cs="Times New Roman"/>
          <w:sz w:val="24"/>
          <w:szCs w:val="24"/>
        </w:rPr>
        <w:t xml:space="preserve"> later used to develop a “Risk an</w:t>
      </w:r>
      <w:r w:rsidR="00373109" w:rsidRPr="00BC32CF">
        <w:rPr>
          <w:rFonts w:ascii="Times New Roman" w:eastAsia="Calibri" w:hAnsi="Times New Roman" w:cs="Times New Roman"/>
          <w:sz w:val="24"/>
          <w:szCs w:val="24"/>
        </w:rPr>
        <w:t xml:space="preserve">d Bankability Framework”. </w:t>
      </w:r>
      <w:r w:rsidR="009D1C57" w:rsidRPr="00BC32CF">
        <w:rPr>
          <w:rFonts w:ascii="Times New Roman" w:eastAsia="Calibri" w:hAnsi="Times New Roman" w:cs="Times New Roman"/>
          <w:sz w:val="24"/>
          <w:szCs w:val="24"/>
        </w:rPr>
        <w:t>However, in order to ensure reliability and validity of the proposed framework model, the study validated it with three new PPP Projects in Nigeria. The three projects comprised a $25 million Waste to Energy PPP project in south west of Nigeria, a $703 million BOT Bridge project in South East/South-South of Nigeria as well as a $150 million PPP port project in South West Nigeria. Using snowball sampling, the research team built on referrals from their exiting contacts to access new international project finance experts involved in these projects. The study obtained less-sensitive loan documentations from the financiers to validate the model.</w:t>
      </w:r>
    </w:p>
    <w:p w14:paraId="781F1690" w14:textId="77777777" w:rsidR="00ED26B6" w:rsidRPr="00BC32CF" w:rsidRDefault="00ED26B6" w:rsidP="00ED26B6">
      <w:pPr>
        <w:ind w:left="2160" w:firstLine="720"/>
        <w:rPr>
          <w:rFonts w:ascii="Arial" w:hAnsi="Arial" w:cs="Arial"/>
          <w:b/>
          <w:sz w:val="24"/>
          <w:szCs w:val="24"/>
        </w:rPr>
      </w:pPr>
      <w:r w:rsidRPr="00BC32CF">
        <w:rPr>
          <w:rFonts w:ascii="Times New Roman" w:eastAsia="Calibri" w:hAnsi="Times New Roman" w:cs="Times New Roman"/>
          <w:i/>
          <w:sz w:val="24"/>
          <w:szCs w:val="24"/>
        </w:rPr>
        <w:br w:type="page"/>
      </w:r>
    </w:p>
    <w:p w14:paraId="5BB1857A" w14:textId="77777777" w:rsidR="00ED26B6" w:rsidRPr="00BC32CF" w:rsidRDefault="00ED26B6" w:rsidP="00ED26B6">
      <w:pPr>
        <w:ind w:left="720" w:firstLine="720"/>
        <w:rPr>
          <w:rFonts w:ascii="Times New Roman" w:hAnsi="Times New Roman" w:cs="Times New Roman"/>
          <w:b/>
          <w:sz w:val="24"/>
          <w:szCs w:val="24"/>
        </w:rPr>
      </w:pPr>
      <w:r w:rsidRPr="00BC32CF">
        <w:rPr>
          <w:rFonts w:ascii="Times New Roman" w:hAnsi="Times New Roman" w:cs="Times New Roman"/>
          <w:b/>
          <w:sz w:val="24"/>
          <w:szCs w:val="24"/>
        </w:rPr>
        <w:lastRenderedPageBreak/>
        <w:t>Table 2: Demographics of Respondents in the Survey.</w:t>
      </w:r>
    </w:p>
    <w:p w14:paraId="445A7A34" w14:textId="77777777" w:rsidR="00ED26B6" w:rsidRPr="00BC32CF" w:rsidRDefault="00ED26B6" w:rsidP="00ED26B6">
      <w:pPr>
        <w:ind w:left="2160" w:firstLine="720"/>
        <w:rPr>
          <w:rFonts w:ascii="Arial" w:hAnsi="Arial" w:cs="Arial"/>
          <w:b/>
          <w:sz w:val="24"/>
          <w:szCs w:val="24"/>
        </w:rPr>
      </w:pPr>
    </w:p>
    <w:tbl>
      <w:tblPr>
        <w:tblStyle w:val="GridTable6Colorful-Accent22"/>
        <w:tblW w:w="0" w:type="auto"/>
        <w:jc w:val="center"/>
        <w:tblLook w:val="04A0" w:firstRow="1" w:lastRow="0" w:firstColumn="1" w:lastColumn="0" w:noHBand="0" w:noVBand="1"/>
      </w:tblPr>
      <w:tblGrid>
        <w:gridCol w:w="4508"/>
        <w:gridCol w:w="4508"/>
      </w:tblGrid>
      <w:tr w:rsidR="00BC32CF" w:rsidRPr="00BC32CF" w14:paraId="62B9F676" w14:textId="77777777" w:rsidTr="00ED2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5E0EF169" w14:textId="77777777" w:rsidR="00ED26B6" w:rsidRPr="00BC32CF" w:rsidRDefault="00ED26B6" w:rsidP="00ED26B6">
            <w:pPr>
              <w:jc w:val="center"/>
              <w:rPr>
                <w:rFonts w:ascii="Times New Roman" w:hAnsi="Times New Roman" w:cs="Times New Roman"/>
                <w:color w:val="auto"/>
              </w:rPr>
            </w:pPr>
            <w:r w:rsidRPr="00BC32CF">
              <w:rPr>
                <w:rFonts w:ascii="Times New Roman" w:hAnsi="Times New Roman" w:cs="Times New Roman"/>
                <w:color w:val="auto"/>
              </w:rPr>
              <w:t>Variables</w:t>
            </w:r>
          </w:p>
        </w:tc>
        <w:tc>
          <w:tcPr>
            <w:tcW w:w="4508" w:type="dxa"/>
          </w:tcPr>
          <w:p w14:paraId="7E501EC9"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Sample Size</w:t>
            </w:r>
          </w:p>
        </w:tc>
      </w:tr>
      <w:tr w:rsidR="00BC32CF" w:rsidRPr="00BC32CF" w14:paraId="64B1F98C"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1330E702" w14:textId="77777777" w:rsidR="00ED26B6" w:rsidRPr="00BC32CF" w:rsidRDefault="00ED26B6" w:rsidP="00ED26B6">
            <w:pPr>
              <w:rPr>
                <w:rFonts w:ascii="Times New Roman" w:hAnsi="Times New Roman" w:cs="Times New Roman"/>
                <w:i/>
                <w:color w:val="auto"/>
                <w:sz w:val="24"/>
                <w:szCs w:val="24"/>
              </w:rPr>
            </w:pPr>
            <w:r w:rsidRPr="00BC32CF">
              <w:rPr>
                <w:rFonts w:ascii="Times New Roman" w:hAnsi="Times New Roman" w:cs="Times New Roman"/>
                <w:i/>
                <w:color w:val="auto"/>
                <w:sz w:val="24"/>
                <w:szCs w:val="24"/>
              </w:rPr>
              <w:t>Total Number of Respondents</w:t>
            </w:r>
          </w:p>
        </w:tc>
        <w:tc>
          <w:tcPr>
            <w:tcW w:w="4508" w:type="dxa"/>
          </w:tcPr>
          <w:p w14:paraId="561AFEE8"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146</w:t>
            </w:r>
          </w:p>
        </w:tc>
      </w:tr>
      <w:tr w:rsidR="00BC32CF" w:rsidRPr="00BC32CF" w14:paraId="3BB6D8F2"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9016" w:type="dxa"/>
            <w:gridSpan w:val="2"/>
          </w:tcPr>
          <w:p w14:paraId="1ABF65F3" w14:textId="77777777" w:rsidR="00ED26B6" w:rsidRPr="00BC32CF" w:rsidRDefault="00ED26B6" w:rsidP="00ED26B6">
            <w:pPr>
              <w:rPr>
                <w:rFonts w:ascii="Times New Roman" w:hAnsi="Times New Roman" w:cs="Times New Roman"/>
                <w:i/>
                <w:color w:val="auto"/>
                <w:sz w:val="24"/>
                <w:szCs w:val="24"/>
              </w:rPr>
            </w:pPr>
            <w:r w:rsidRPr="00BC32CF">
              <w:rPr>
                <w:rFonts w:ascii="Times New Roman" w:hAnsi="Times New Roman" w:cs="Times New Roman"/>
                <w:i/>
                <w:color w:val="auto"/>
                <w:sz w:val="24"/>
                <w:szCs w:val="24"/>
              </w:rPr>
              <w:t>Type of Organisation</w:t>
            </w:r>
          </w:p>
        </w:tc>
      </w:tr>
      <w:tr w:rsidR="00BC32CF" w:rsidRPr="00BC32CF" w14:paraId="07E3A906"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70AD8232" w14:textId="77777777" w:rsidR="00ED26B6" w:rsidRPr="00BC32CF" w:rsidRDefault="00ED26B6" w:rsidP="00ED26B6">
            <w:pPr>
              <w:pStyle w:val="ListParagraph"/>
              <w:numPr>
                <w:ilvl w:val="0"/>
                <w:numId w:val="20"/>
              </w:numPr>
              <w:ind w:left="313" w:hanging="284"/>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Senior lenders (Staff Members of banks)</w:t>
            </w:r>
          </w:p>
        </w:tc>
        <w:tc>
          <w:tcPr>
            <w:tcW w:w="4508" w:type="dxa"/>
          </w:tcPr>
          <w:p w14:paraId="4B68A08A"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71</w:t>
            </w:r>
          </w:p>
        </w:tc>
      </w:tr>
      <w:tr w:rsidR="00BC32CF" w:rsidRPr="00BC32CF" w14:paraId="25416E4E"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43D80B52" w14:textId="77777777" w:rsidR="00ED26B6" w:rsidRPr="00BC32CF" w:rsidRDefault="00ED26B6" w:rsidP="00ED26B6">
            <w:pPr>
              <w:pStyle w:val="ListParagraph"/>
              <w:numPr>
                <w:ilvl w:val="0"/>
                <w:numId w:val="20"/>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Infrastructure Financiers</w:t>
            </w:r>
          </w:p>
        </w:tc>
        <w:tc>
          <w:tcPr>
            <w:tcW w:w="4508" w:type="dxa"/>
          </w:tcPr>
          <w:p w14:paraId="52370ED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49</w:t>
            </w:r>
          </w:p>
        </w:tc>
      </w:tr>
      <w:tr w:rsidR="00BC32CF" w:rsidRPr="00BC32CF" w14:paraId="550841B9"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5A316726" w14:textId="77777777" w:rsidR="00ED26B6" w:rsidRPr="00BC32CF" w:rsidRDefault="00ED26B6" w:rsidP="00ED26B6">
            <w:pPr>
              <w:pStyle w:val="ListParagraph"/>
              <w:numPr>
                <w:ilvl w:val="0"/>
                <w:numId w:val="20"/>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Financial Advisory</w:t>
            </w:r>
          </w:p>
        </w:tc>
        <w:tc>
          <w:tcPr>
            <w:tcW w:w="4508" w:type="dxa"/>
          </w:tcPr>
          <w:p w14:paraId="344EFB37"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26</w:t>
            </w:r>
          </w:p>
        </w:tc>
      </w:tr>
      <w:tr w:rsidR="00BC32CF" w:rsidRPr="00BC32CF" w14:paraId="5B971131"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9016" w:type="dxa"/>
            <w:gridSpan w:val="2"/>
          </w:tcPr>
          <w:p w14:paraId="38CE40C1" w14:textId="77777777" w:rsidR="00ED26B6" w:rsidRPr="00BC32CF" w:rsidRDefault="00ED26B6" w:rsidP="00ED26B6">
            <w:pPr>
              <w:rPr>
                <w:rFonts w:ascii="Times New Roman" w:hAnsi="Times New Roman" w:cs="Times New Roman"/>
                <w:i/>
                <w:color w:val="auto"/>
                <w:sz w:val="24"/>
                <w:szCs w:val="24"/>
              </w:rPr>
            </w:pPr>
            <w:r w:rsidRPr="00BC32CF">
              <w:rPr>
                <w:rFonts w:ascii="Times New Roman" w:hAnsi="Times New Roman" w:cs="Times New Roman"/>
                <w:i/>
                <w:color w:val="auto"/>
                <w:sz w:val="24"/>
                <w:szCs w:val="24"/>
              </w:rPr>
              <w:t>Years of Experience in PPP Project Finance</w:t>
            </w:r>
          </w:p>
        </w:tc>
      </w:tr>
      <w:tr w:rsidR="00BC32CF" w:rsidRPr="00BC32CF" w14:paraId="6399F7C7"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4D7B5FEA"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&lt;1</w:t>
            </w:r>
          </w:p>
        </w:tc>
        <w:tc>
          <w:tcPr>
            <w:tcW w:w="4508" w:type="dxa"/>
          </w:tcPr>
          <w:p w14:paraId="111B690E"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3</w:t>
            </w:r>
          </w:p>
        </w:tc>
      </w:tr>
      <w:tr w:rsidR="00BC32CF" w:rsidRPr="00BC32CF" w14:paraId="7855743D"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24C38841"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1-5</w:t>
            </w:r>
          </w:p>
        </w:tc>
        <w:tc>
          <w:tcPr>
            <w:tcW w:w="4508" w:type="dxa"/>
          </w:tcPr>
          <w:p w14:paraId="7C4EDBDC"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35</w:t>
            </w:r>
          </w:p>
        </w:tc>
      </w:tr>
      <w:tr w:rsidR="00BC32CF" w:rsidRPr="00BC32CF" w14:paraId="0FF435E5"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015948F7"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6-10</w:t>
            </w:r>
          </w:p>
        </w:tc>
        <w:tc>
          <w:tcPr>
            <w:tcW w:w="4508" w:type="dxa"/>
          </w:tcPr>
          <w:p w14:paraId="5950E87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47</w:t>
            </w:r>
          </w:p>
        </w:tc>
      </w:tr>
      <w:tr w:rsidR="00BC32CF" w:rsidRPr="00BC32CF" w14:paraId="2C4676FF"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26C44465"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11-15</w:t>
            </w:r>
          </w:p>
        </w:tc>
        <w:tc>
          <w:tcPr>
            <w:tcW w:w="4508" w:type="dxa"/>
          </w:tcPr>
          <w:p w14:paraId="5280A4FE"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33</w:t>
            </w:r>
          </w:p>
        </w:tc>
      </w:tr>
      <w:tr w:rsidR="00BC32CF" w:rsidRPr="00BC32CF" w14:paraId="5AA996E7" w14:textId="77777777" w:rsidTr="00ED2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264FDC7F"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16-20</w:t>
            </w:r>
          </w:p>
        </w:tc>
        <w:tc>
          <w:tcPr>
            <w:tcW w:w="4508" w:type="dxa"/>
          </w:tcPr>
          <w:p w14:paraId="60CAAF07"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21</w:t>
            </w:r>
          </w:p>
        </w:tc>
      </w:tr>
      <w:tr w:rsidR="00BC32CF" w:rsidRPr="00BC32CF" w14:paraId="398A9A68" w14:textId="77777777" w:rsidTr="00ED26B6">
        <w:trPr>
          <w:jc w:val="center"/>
        </w:trPr>
        <w:tc>
          <w:tcPr>
            <w:cnfStyle w:val="001000000000" w:firstRow="0" w:lastRow="0" w:firstColumn="1" w:lastColumn="0" w:oddVBand="0" w:evenVBand="0" w:oddHBand="0" w:evenHBand="0" w:firstRowFirstColumn="0" w:firstRowLastColumn="0" w:lastRowFirstColumn="0" w:lastRowLastColumn="0"/>
            <w:tcW w:w="4508" w:type="dxa"/>
          </w:tcPr>
          <w:p w14:paraId="370F0352" w14:textId="77777777" w:rsidR="00ED26B6" w:rsidRPr="00BC32CF" w:rsidRDefault="00ED26B6" w:rsidP="00ED26B6">
            <w:pPr>
              <w:pStyle w:val="ListParagraph"/>
              <w:numPr>
                <w:ilvl w:val="0"/>
                <w:numId w:val="21"/>
              </w:numPr>
              <w:ind w:hanging="691"/>
              <w:rPr>
                <w:rFonts w:ascii="Times New Roman" w:hAnsi="Times New Roman" w:cs="Times New Roman"/>
                <w:b w:val="0"/>
                <w:color w:val="auto"/>
                <w:sz w:val="24"/>
                <w:szCs w:val="24"/>
              </w:rPr>
            </w:pPr>
            <w:r w:rsidRPr="00BC32CF">
              <w:rPr>
                <w:rFonts w:ascii="Times New Roman" w:hAnsi="Times New Roman" w:cs="Times New Roman"/>
                <w:b w:val="0"/>
                <w:color w:val="auto"/>
                <w:sz w:val="24"/>
                <w:szCs w:val="24"/>
              </w:rPr>
              <w:t>&gt;20</w:t>
            </w:r>
          </w:p>
        </w:tc>
        <w:tc>
          <w:tcPr>
            <w:tcW w:w="4508" w:type="dxa"/>
          </w:tcPr>
          <w:p w14:paraId="55FF2DB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32CF">
              <w:rPr>
                <w:rFonts w:ascii="Times New Roman" w:hAnsi="Times New Roman" w:cs="Times New Roman"/>
                <w:color w:val="auto"/>
                <w:sz w:val="24"/>
                <w:szCs w:val="24"/>
              </w:rPr>
              <w:t>7</w:t>
            </w:r>
          </w:p>
        </w:tc>
      </w:tr>
    </w:tbl>
    <w:p w14:paraId="15524D18" w14:textId="77777777" w:rsidR="0043775E" w:rsidRPr="00BC32CF" w:rsidRDefault="0043775E" w:rsidP="00ED26B6">
      <w:pPr>
        <w:spacing w:after="0" w:line="480" w:lineRule="auto"/>
        <w:rPr>
          <w:rFonts w:ascii="Times New Roman" w:eastAsia="Calibri" w:hAnsi="Times New Roman" w:cs="Times New Roman"/>
          <w:i/>
          <w:sz w:val="18"/>
          <w:szCs w:val="18"/>
        </w:rPr>
      </w:pPr>
    </w:p>
    <w:p w14:paraId="116445DF" w14:textId="77777777" w:rsidR="00485E58" w:rsidRPr="00BC32CF" w:rsidRDefault="007F5F63" w:rsidP="002C5CC1">
      <w:pPr>
        <w:pStyle w:val="Heading1"/>
        <w:spacing w:after="0"/>
        <w:rPr>
          <w:rFonts w:eastAsia="Calibri"/>
        </w:rPr>
      </w:pPr>
      <w:r w:rsidRPr="00BC32CF">
        <w:rPr>
          <w:rFonts w:eastAsia="Calibri"/>
        </w:rPr>
        <w:t>5</w:t>
      </w:r>
      <w:r w:rsidR="00485E58" w:rsidRPr="00BC32CF">
        <w:rPr>
          <w:rFonts w:eastAsia="Calibri"/>
        </w:rPr>
        <w:t>.0</w:t>
      </w:r>
      <w:r w:rsidR="00485E58" w:rsidRPr="00BC32CF">
        <w:rPr>
          <w:rFonts w:eastAsia="Calibri"/>
        </w:rPr>
        <w:tab/>
        <w:t>Data Analysis and Findings</w:t>
      </w:r>
    </w:p>
    <w:p w14:paraId="4ED93FAC" w14:textId="77777777" w:rsidR="002C5CC1" w:rsidRPr="00BC32CF" w:rsidRDefault="002C5CC1" w:rsidP="002C5CC1">
      <w:pPr>
        <w:rPr>
          <w:highlight w:val="yellow"/>
        </w:rPr>
      </w:pPr>
    </w:p>
    <w:p w14:paraId="7F6C8425" w14:textId="77777777" w:rsidR="00485E58" w:rsidRPr="00BC32CF" w:rsidRDefault="00485E58" w:rsidP="002A2D4B">
      <w:pPr>
        <w:spacing w:line="480" w:lineRule="auto"/>
        <w:jc w:val="both"/>
        <w:rPr>
          <w:rFonts w:ascii="Times New Roman" w:hAnsi="Times New Roman" w:cs="Times New Roman"/>
          <w:sz w:val="24"/>
          <w:szCs w:val="24"/>
        </w:rPr>
      </w:pPr>
      <w:r w:rsidRPr="00BC32CF">
        <w:rPr>
          <w:rFonts w:ascii="Times New Roman" w:hAnsi="Times New Roman" w:cs="Times New Roman"/>
          <w:sz w:val="24"/>
          <w:szCs w:val="24"/>
        </w:rPr>
        <w:t xml:space="preserve">This section presents analysis of qualitative and quantitative findings from the study. It commences with the qualitative analysis of </w:t>
      </w:r>
      <w:r w:rsidR="0066357F" w:rsidRPr="00BC32CF">
        <w:rPr>
          <w:rFonts w:ascii="Times New Roman" w:hAnsi="Times New Roman" w:cs="Times New Roman"/>
          <w:sz w:val="24"/>
          <w:szCs w:val="24"/>
        </w:rPr>
        <w:t xml:space="preserve">loan documentations and </w:t>
      </w:r>
      <w:r w:rsidRPr="00BC32CF">
        <w:rPr>
          <w:rFonts w:ascii="Times New Roman" w:hAnsi="Times New Roman" w:cs="Times New Roman"/>
          <w:sz w:val="24"/>
          <w:szCs w:val="24"/>
        </w:rPr>
        <w:t xml:space="preserve">focus group discussions conducted with foreign lenders involved in financing PPP projects in Nigeria. Immediately </w:t>
      </w:r>
      <w:r w:rsidR="0066357F" w:rsidRPr="00BC32CF">
        <w:rPr>
          <w:rFonts w:ascii="Times New Roman" w:hAnsi="Times New Roman" w:cs="Times New Roman"/>
          <w:sz w:val="24"/>
          <w:szCs w:val="24"/>
        </w:rPr>
        <w:t xml:space="preserve">following </w:t>
      </w:r>
      <w:r w:rsidRPr="00BC32CF">
        <w:rPr>
          <w:rFonts w:ascii="Times New Roman" w:hAnsi="Times New Roman" w:cs="Times New Roman"/>
          <w:sz w:val="24"/>
          <w:szCs w:val="24"/>
        </w:rPr>
        <w:t xml:space="preserve">the qualitative analysis is the quantitative analysis of questionnaire survey distributed to wider audiences of </w:t>
      </w:r>
      <w:r w:rsidR="0066357F" w:rsidRPr="00BC32CF">
        <w:rPr>
          <w:rFonts w:ascii="Times New Roman" w:hAnsi="Times New Roman" w:cs="Times New Roman"/>
          <w:sz w:val="24"/>
          <w:szCs w:val="24"/>
        </w:rPr>
        <w:t>local and international</w:t>
      </w:r>
      <w:r w:rsidR="001D0961" w:rsidRPr="00BC32CF">
        <w:rPr>
          <w:rFonts w:ascii="Times New Roman" w:hAnsi="Times New Roman" w:cs="Times New Roman"/>
          <w:sz w:val="24"/>
          <w:szCs w:val="24"/>
        </w:rPr>
        <w:t xml:space="preserve"> project financiers </w:t>
      </w:r>
      <w:r w:rsidR="005E20E6" w:rsidRPr="00BC32CF">
        <w:rPr>
          <w:rFonts w:ascii="Times New Roman" w:hAnsi="Times New Roman" w:cs="Times New Roman"/>
          <w:sz w:val="24"/>
          <w:szCs w:val="24"/>
        </w:rPr>
        <w:t>as well as</w:t>
      </w:r>
      <w:r w:rsidR="001D0961" w:rsidRPr="00BC32CF">
        <w:rPr>
          <w:rFonts w:ascii="Times New Roman" w:hAnsi="Times New Roman" w:cs="Times New Roman"/>
          <w:sz w:val="24"/>
          <w:szCs w:val="24"/>
        </w:rPr>
        <w:t xml:space="preserve"> other</w:t>
      </w:r>
      <w:r w:rsidR="0066357F" w:rsidRPr="00BC32CF">
        <w:rPr>
          <w:rFonts w:ascii="Times New Roman" w:hAnsi="Times New Roman" w:cs="Times New Roman"/>
          <w:sz w:val="24"/>
          <w:szCs w:val="24"/>
        </w:rPr>
        <w:t xml:space="preserve"> </w:t>
      </w:r>
      <w:r w:rsidR="001D0961" w:rsidRPr="00BC32CF">
        <w:rPr>
          <w:rFonts w:ascii="Times New Roman" w:hAnsi="Times New Roman" w:cs="Times New Roman"/>
          <w:sz w:val="24"/>
          <w:szCs w:val="24"/>
        </w:rPr>
        <w:t xml:space="preserve">subject matter </w:t>
      </w:r>
      <w:r w:rsidR="0066357F" w:rsidRPr="00BC32CF">
        <w:rPr>
          <w:rFonts w:ascii="Times New Roman" w:hAnsi="Times New Roman" w:cs="Times New Roman"/>
          <w:sz w:val="24"/>
          <w:szCs w:val="24"/>
        </w:rPr>
        <w:t>experts involved Nigeria’s PPPs and other emerging economies</w:t>
      </w:r>
      <w:r w:rsidRPr="00BC32CF">
        <w:rPr>
          <w:rFonts w:ascii="Times New Roman" w:hAnsi="Times New Roman" w:cs="Times New Roman"/>
          <w:sz w:val="24"/>
          <w:szCs w:val="24"/>
        </w:rPr>
        <w:t>.</w:t>
      </w:r>
    </w:p>
    <w:p w14:paraId="01167768" w14:textId="33550CA8" w:rsidR="00485E58" w:rsidRPr="00BC32CF" w:rsidRDefault="007F5F63" w:rsidP="009E6E50">
      <w:pPr>
        <w:pStyle w:val="Heading2"/>
        <w:rPr>
          <w:rFonts w:eastAsia="Calibri"/>
        </w:rPr>
      </w:pPr>
      <w:r w:rsidRPr="00BC32CF">
        <w:rPr>
          <w:rFonts w:eastAsia="Calibri"/>
        </w:rPr>
        <w:t>5</w:t>
      </w:r>
      <w:r w:rsidR="007533E8" w:rsidRPr="00BC32CF">
        <w:rPr>
          <w:rFonts w:eastAsia="Calibri"/>
        </w:rPr>
        <w:t>.1</w:t>
      </w:r>
      <w:r w:rsidR="007533E8" w:rsidRPr="00BC32CF">
        <w:rPr>
          <w:rFonts w:eastAsia="Calibri"/>
        </w:rPr>
        <w:tab/>
      </w:r>
      <w:r w:rsidR="007B2CD0" w:rsidRPr="00BC32CF">
        <w:rPr>
          <w:rFonts w:eastAsia="Calibri"/>
        </w:rPr>
        <w:t xml:space="preserve">Qualitative </w:t>
      </w:r>
      <w:r w:rsidR="00E20102" w:rsidRPr="00BC32CF">
        <w:rPr>
          <w:rFonts w:eastAsia="Calibri"/>
        </w:rPr>
        <w:t>Data Analysis</w:t>
      </w:r>
      <w:r w:rsidR="007912BD" w:rsidRPr="00BC32CF">
        <w:rPr>
          <w:rFonts w:eastAsia="Calibri"/>
        </w:rPr>
        <w:t xml:space="preserve"> </w:t>
      </w:r>
    </w:p>
    <w:p w14:paraId="55EF7CEA" w14:textId="77777777" w:rsidR="009F647F" w:rsidRPr="00BC32CF" w:rsidRDefault="00E20102" w:rsidP="00691009">
      <w:pPr>
        <w:spacing w:after="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The data analysis commenced with the qualitative aspect of the study. The focus group discussions transcripts were analysed using Nvivo 10 software. The author set out to investigate </w:t>
      </w:r>
      <w:r w:rsidR="00511F9B" w:rsidRPr="00BC32CF">
        <w:rPr>
          <w:rFonts w:ascii="Times New Roman" w:eastAsia="Calibri" w:hAnsi="Times New Roman" w:cs="Times New Roman"/>
          <w:sz w:val="24"/>
          <w:szCs w:val="24"/>
        </w:rPr>
        <w:t>suitable</w:t>
      </w:r>
      <w:r w:rsidRPr="00BC32CF">
        <w:rPr>
          <w:rFonts w:ascii="Times New Roman" w:eastAsia="Calibri" w:hAnsi="Times New Roman" w:cs="Times New Roman"/>
          <w:sz w:val="24"/>
          <w:szCs w:val="24"/>
        </w:rPr>
        <w:t xml:space="preserve"> criteria influencing </w:t>
      </w:r>
      <w:r w:rsidR="00511F9B" w:rsidRPr="00BC32CF">
        <w:rPr>
          <w:rFonts w:ascii="Times New Roman" w:eastAsia="Calibri" w:hAnsi="Times New Roman" w:cs="Times New Roman"/>
          <w:sz w:val="24"/>
          <w:szCs w:val="24"/>
        </w:rPr>
        <w:t xml:space="preserve">the </w:t>
      </w:r>
      <w:r w:rsidRPr="00BC32CF">
        <w:rPr>
          <w:rFonts w:ascii="Times New Roman" w:eastAsia="Calibri" w:hAnsi="Times New Roman" w:cs="Times New Roman"/>
          <w:sz w:val="24"/>
          <w:szCs w:val="24"/>
        </w:rPr>
        <w:t xml:space="preserve">bankability of four major risks (sponsor risk, political, concession and regulatory risks) common with emerging market PPPs. Thematic analysis of </w:t>
      </w:r>
      <w:r w:rsidR="000517B7" w:rsidRPr="00BC32CF">
        <w:rPr>
          <w:rFonts w:ascii="Times New Roman" w:eastAsia="Calibri" w:hAnsi="Times New Roman" w:cs="Times New Roman"/>
          <w:sz w:val="24"/>
          <w:szCs w:val="24"/>
        </w:rPr>
        <w:t>data transcripts</w:t>
      </w:r>
      <w:r w:rsidR="00873FD4" w:rsidRPr="00BC32CF">
        <w:rPr>
          <w:rFonts w:ascii="Times New Roman" w:eastAsia="Calibri" w:hAnsi="Times New Roman" w:cs="Times New Roman"/>
          <w:sz w:val="24"/>
          <w:szCs w:val="24"/>
        </w:rPr>
        <w:t xml:space="preserve"> was carried out using various coding and nodes</w:t>
      </w:r>
      <w:r w:rsidRPr="00BC32CF">
        <w:rPr>
          <w:rFonts w:ascii="Times New Roman" w:eastAsia="Calibri" w:hAnsi="Times New Roman" w:cs="Times New Roman"/>
          <w:sz w:val="24"/>
          <w:szCs w:val="24"/>
        </w:rPr>
        <w:t xml:space="preserve">. After exhaustive analysis, 22 </w:t>
      </w:r>
      <w:r w:rsidR="00873FD4" w:rsidRPr="00BC32CF">
        <w:rPr>
          <w:rFonts w:ascii="Times New Roman" w:eastAsia="Calibri" w:hAnsi="Times New Roman" w:cs="Times New Roman"/>
          <w:sz w:val="24"/>
          <w:szCs w:val="24"/>
        </w:rPr>
        <w:t>relevant</w:t>
      </w:r>
      <w:r w:rsidRPr="00BC32CF">
        <w:rPr>
          <w:rFonts w:ascii="Times New Roman" w:eastAsia="Calibri" w:hAnsi="Times New Roman" w:cs="Times New Roman"/>
          <w:sz w:val="24"/>
          <w:szCs w:val="24"/>
        </w:rPr>
        <w:t xml:space="preserve"> criteria influencing bankabili</w:t>
      </w:r>
      <w:r w:rsidR="007332F2" w:rsidRPr="00BC32CF">
        <w:rPr>
          <w:rFonts w:ascii="Times New Roman" w:eastAsia="Calibri" w:hAnsi="Times New Roman" w:cs="Times New Roman"/>
          <w:sz w:val="24"/>
          <w:szCs w:val="24"/>
        </w:rPr>
        <w:t xml:space="preserve">ty of political risk, sponsors, </w:t>
      </w:r>
      <w:r w:rsidRPr="00BC32CF">
        <w:rPr>
          <w:rFonts w:ascii="Times New Roman" w:eastAsia="Calibri" w:hAnsi="Times New Roman" w:cs="Times New Roman"/>
          <w:sz w:val="24"/>
          <w:szCs w:val="24"/>
        </w:rPr>
        <w:t xml:space="preserve">concession </w:t>
      </w:r>
      <w:r w:rsidRPr="00BC32CF">
        <w:rPr>
          <w:rFonts w:ascii="Times New Roman" w:eastAsia="Calibri" w:hAnsi="Times New Roman" w:cs="Times New Roman"/>
          <w:sz w:val="24"/>
          <w:szCs w:val="24"/>
        </w:rPr>
        <w:lastRenderedPageBreak/>
        <w:t>and regulatory risks</w:t>
      </w:r>
      <w:r w:rsidR="007332F2" w:rsidRPr="00BC32CF">
        <w:rPr>
          <w:rFonts w:ascii="Times New Roman" w:eastAsia="Calibri" w:hAnsi="Times New Roman" w:cs="Times New Roman"/>
          <w:sz w:val="24"/>
          <w:szCs w:val="24"/>
        </w:rPr>
        <w:t xml:space="preserve"> were unravelled</w:t>
      </w:r>
      <w:r w:rsidR="007912BD" w:rsidRPr="00BC32CF">
        <w:rPr>
          <w:rFonts w:ascii="Times New Roman" w:eastAsia="Calibri" w:hAnsi="Times New Roman" w:cs="Times New Roman"/>
          <w:sz w:val="24"/>
          <w:szCs w:val="24"/>
        </w:rPr>
        <w:t xml:space="preserve"> </w:t>
      </w:r>
      <w:r w:rsidR="007332F2" w:rsidRPr="00BC32CF">
        <w:rPr>
          <w:rFonts w:ascii="Times New Roman" w:eastAsia="Calibri" w:hAnsi="Times New Roman" w:cs="Times New Roman"/>
          <w:sz w:val="24"/>
          <w:szCs w:val="24"/>
        </w:rPr>
        <w:t>(see, Table 3</w:t>
      </w:r>
      <w:r w:rsidR="00C77172" w:rsidRPr="00BC32CF">
        <w:rPr>
          <w:rFonts w:ascii="Times New Roman" w:eastAsia="Calibri" w:hAnsi="Times New Roman" w:cs="Times New Roman"/>
          <w:sz w:val="24"/>
          <w:szCs w:val="24"/>
        </w:rPr>
        <w:t xml:space="preserve"> for bankability criteria and some mitigations strategies for evaluating country-related risks in PPPs</w:t>
      </w:r>
      <w:r w:rsidR="007332F2" w:rsidRPr="00BC32CF">
        <w:rPr>
          <w:rFonts w:ascii="Times New Roman" w:eastAsia="Calibri" w:hAnsi="Times New Roman" w:cs="Times New Roman"/>
          <w:sz w:val="24"/>
          <w:szCs w:val="24"/>
        </w:rPr>
        <w:t>).</w:t>
      </w:r>
      <w:r w:rsidR="00873FD4" w:rsidRPr="00BC32CF">
        <w:rPr>
          <w:rFonts w:ascii="Times New Roman" w:eastAsia="Calibri" w:hAnsi="Times New Roman" w:cs="Times New Roman"/>
          <w:sz w:val="24"/>
          <w:szCs w:val="24"/>
        </w:rPr>
        <w:t xml:space="preserve"> T</w:t>
      </w:r>
      <w:r w:rsidR="007332F2" w:rsidRPr="00BC32CF">
        <w:rPr>
          <w:rFonts w:ascii="Times New Roman" w:eastAsia="Calibri" w:hAnsi="Times New Roman" w:cs="Times New Roman"/>
          <w:sz w:val="24"/>
          <w:szCs w:val="24"/>
        </w:rPr>
        <w:t>hese bankability criteria</w:t>
      </w:r>
      <w:r w:rsidR="00873FD4" w:rsidRPr="00BC32CF">
        <w:rPr>
          <w:rFonts w:ascii="Times New Roman" w:eastAsia="Calibri" w:hAnsi="Times New Roman" w:cs="Times New Roman"/>
          <w:sz w:val="24"/>
          <w:szCs w:val="24"/>
        </w:rPr>
        <w:t>, as argued by most focus group discussants,</w:t>
      </w:r>
      <w:r w:rsidR="007332F2" w:rsidRPr="00BC32CF">
        <w:rPr>
          <w:rFonts w:ascii="Times New Roman" w:eastAsia="Calibri" w:hAnsi="Times New Roman" w:cs="Times New Roman"/>
          <w:sz w:val="24"/>
          <w:szCs w:val="24"/>
        </w:rPr>
        <w:t xml:space="preserve"> </w:t>
      </w:r>
      <w:r w:rsidR="00873FD4" w:rsidRPr="00BC32CF">
        <w:rPr>
          <w:rFonts w:ascii="Times New Roman" w:eastAsia="Calibri" w:hAnsi="Times New Roman" w:cs="Times New Roman"/>
          <w:sz w:val="24"/>
          <w:szCs w:val="24"/>
        </w:rPr>
        <w:t>are crucial towards</w:t>
      </w:r>
      <w:r w:rsidR="007332F2" w:rsidRPr="00BC32CF">
        <w:rPr>
          <w:rFonts w:ascii="Times New Roman" w:eastAsia="Calibri" w:hAnsi="Times New Roman" w:cs="Times New Roman"/>
          <w:sz w:val="24"/>
          <w:szCs w:val="24"/>
        </w:rPr>
        <w:t xml:space="preserve"> influencing </w:t>
      </w:r>
      <w:r w:rsidR="00873FD4" w:rsidRPr="00BC32CF">
        <w:rPr>
          <w:rFonts w:ascii="Times New Roman" w:eastAsia="Calibri" w:hAnsi="Times New Roman" w:cs="Times New Roman"/>
          <w:sz w:val="24"/>
          <w:szCs w:val="24"/>
        </w:rPr>
        <w:t xml:space="preserve">bankability of the identified risks and </w:t>
      </w:r>
      <w:r w:rsidR="007332F2" w:rsidRPr="00BC32CF">
        <w:rPr>
          <w:rFonts w:ascii="Times New Roman" w:eastAsia="Calibri" w:hAnsi="Times New Roman" w:cs="Times New Roman"/>
          <w:sz w:val="24"/>
          <w:szCs w:val="24"/>
        </w:rPr>
        <w:t>foreign lenders</w:t>
      </w:r>
      <w:r w:rsidR="00873FD4" w:rsidRPr="00BC32CF">
        <w:rPr>
          <w:rFonts w:ascii="Times New Roman" w:eastAsia="Calibri" w:hAnsi="Times New Roman" w:cs="Times New Roman"/>
          <w:sz w:val="24"/>
          <w:szCs w:val="24"/>
        </w:rPr>
        <w:t>’</w:t>
      </w:r>
      <w:r w:rsidR="007332F2" w:rsidRPr="00BC32CF">
        <w:rPr>
          <w:rFonts w:ascii="Times New Roman" w:eastAsia="Calibri" w:hAnsi="Times New Roman" w:cs="Times New Roman"/>
          <w:sz w:val="24"/>
          <w:szCs w:val="24"/>
        </w:rPr>
        <w:t xml:space="preserve"> loan approval for PPPs in an emerging market.</w:t>
      </w:r>
    </w:p>
    <w:p w14:paraId="5F97F652" w14:textId="77777777" w:rsidR="00691009" w:rsidRPr="00BC32CF" w:rsidRDefault="00691009" w:rsidP="002A2D4B">
      <w:pPr>
        <w:spacing w:line="480" w:lineRule="auto"/>
        <w:jc w:val="both"/>
        <w:rPr>
          <w:rFonts w:ascii="Times New Roman" w:eastAsia="Calibri" w:hAnsi="Times New Roman" w:cs="Times New Roman"/>
          <w:sz w:val="18"/>
          <w:szCs w:val="24"/>
        </w:rPr>
      </w:pPr>
    </w:p>
    <w:p w14:paraId="63D1A0DF" w14:textId="77777777" w:rsidR="00691009" w:rsidRPr="00BC32CF" w:rsidRDefault="00873FD4" w:rsidP="00277918">
      <w:pPr>
        <w:spacing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In addition, t</w:t>
      </w:r>
      <w:r w:rsidR="006A3055" w:rsidRPr="00BC32CF">
        <w:rPr>
          <w:rFonts w:ascii="Times New Roman" w:eastAsia="Calibri" w:hAnsi="Times New Roman" w:cs="Times New Roman"/>
          <w:sz w:val="24"/>
          <w:szCs w:val="24"/>
        </w:rPr>
        <w:t>he qualitative analysis also produced a couple of existing risk mitigation strategies often put forward by project sponsors in PPP loan applications in emerging economies, coupled with various sub-risk components resulting from the four major risk factors (Sponsors risk, political, concession and regulatory risk). According to many of the participants, where PPP loan applicants had offered risk mitigation</w:t>
      </w:r>
      <w:r w:rsidR="00C65D64" w:rsidRPr="00BC32CF">
        <w:rPr>
          <w:rFonts w:ascii="Times New Roman" w:eastAsia="Calibri" w:hAnsi="Times New Roman" w:cs="Times New Roman"/>
          <w:sz w:val="24"/>
          <w:szCs w:val="24"/>
        </w:rPr>
        <w:t>s</w:t>
      </w:r>
      <w:r w:rsidR="006A3055" w:rsidRPr="00BC32CF">
        <w:rPr>
          <w:rFonts w:ascii="Times New Roman" w:eastAsia="Calibri" w:hAnsi="Times New Roman" w:cs="Times New Roman"/>
          <w:sz w:val="24"/>
          <w:szCs w:val="24"/>
        </w:rPr>
        <w:t xml:space="preserve"> that are not considered critical to bankability by the lenders, such mitigation strategy only give </w:t>
      </w:r>
      <w:r w:rsidR="009922CF" w:rsidRPr="00BC32CF">
        <w:rPr>
          <w:rFonts w:ascii="Times New Roman" w:eastAsia="Calibri" w:hAnsi="Times New Roman" w:cs="Times New Roman"/>
          <w:sz w:val="24"/>
          <w:szCs w:val="24"/>
        </w:rPr>
        <w:t>“</w:t>
      </w:r>
      <w:r w:rsidR="007D28F0" w:rsidRPr="00BC32CF">
        <w:rPr>
          <w:rFonts w:ascii="Times New Roman" w:eastAsia="Calibri" w:hAnsi="Times New Roman" w:cs="Times New Roman"/>
          <w:sz w:val="24"/>
          <w:szCs w:val="24"/>
        </w:rPr>
        <w:t>more</w:t>
      </w:r>
      <w:r w:rsidR="006A3055" w:rsidRPr="00BC32CF">
        <w:rPr>
          <w:rFonts w:ascii="Times New Roman" w:eastAsia="Calibri" w:hAnsi="Times New Roman" w:cs="Times New Roman"/>
          <w:sz w:val="24"/>
          <w:szCs w:val="24"/>
        </w:rPr>
        <w:t xml:space="preserve"> advantage</w:t>
      </w:r>
      <w:r w:rsidR="009922CF" w:rsidRPr="00BC32CF">
        <w:rPr>
          <w:rFonts w:ascii="Times New Roman" w:eastAsia="Calibri" w:hAnsi="Times New Roman" w:cs="Times New Roman"/>
          <w:sz w:val="24"/>
          <w:szCs w:val="24"/>
        </w:rPr>
        <w:t>”</w:t>
      </w:r>
      <w:r w:rsidR="006A3055" w:rsidRPr="00BC32CF">
        <w:rPr>
          <w:rFonts w:ascii="Times New Roman" w:eastAsia="Calibri" w:hAnsi="Times New Roman" w:cs="Times New Roman"/>
          <w:sz w:val="24"/>
          <w:szCs w:val="24"/>
        </w:rPr>
        <w:t xml:space="preserve"> to the </w:t>
      </w:r>
      <w:r w:rsidR="007D28F0" w:rsidRPr="00BC32CF">
        <w:rPr>
          <w:rFonts w:ascii="Times New Roman" w:eastAsia="Calibri" w:hAnsi="Times New Roman" w:cs="Times New Roman"/>
          <w:sz w:val="24"/>
          <w:szCs w:val="24"/>
        </w:rPr>
        <w:t>lenders</w:t>
      </w:r>
      <w:r w:rsidR="006A3055" w:rsidRPr="00BC32CF">
        <w:rPr>
          <w:rFonts w:ascii="Times New Roman" w:eastAsia="Calibri" w:hAnsi="Times New Roman" w:cs="Times New Roman"/>
          <w:sz w:val="24"/>
          <w:szCs w:val="24"/>
        </w:rPr>
        <w:t xml:space="preserve">. However, the important bankability criteria to lenders </w:t>
      </w:r>
      <w:r w:rsidR="003F4540" w:rsidRPr="00BC32CF">
        <w:rPr>
          <w:rFonts w:ascii="Times New Roman" w:eastAsia="Calibri" w:hAnsi="Times New Roman" w:cs="Times New Roman"/>
          <w:sz w:val="24"/>
          <w:szCs w:val="24"/>
        </w:rPr>
        <w:t xml:space="preserve">are clearly and </w:t>
      </w:r>
      <w:r w:rsidR="006A3055" w:rsidRPr="00BC32CF">
        <w:rPr>
          <w:rFonts w:ascii="Times New Roman" w:eastAsia="Calibri" w:hAnsi="Times New Roman" w:cs="Times New Roman"/>
          <w:sz w:val="24"/>
          <w:szCs w:val="24"/>
        </w:rPr>
        <w:t>explicitly r</w:t>
      </w:r>
      <w:r w:rsidR="00C65D64" w:rsidRPr="00BC32CF">
        <w:rPr>
          <w:rFonts w:ascii="Times New Roman" w:eastAsia="Calibri" w:hAnsi="Times New Roman" w:cs="Times New Roman"/>
          <w:sz w:val="24"/>
          <w:szCs w:val="24"/>
        </w:rPr>
        <w:t>equested from project</w:t>
      </w:r>
      <w:r w:rsidR="00C77172" w:rsidRPr="00BC32CF">
        <w:rPr>
          <w:rFonts w:ascii="Times New Roman" w:eastAsia="Calibri" w:hAnsi="Times New Roman" w:cs="Times New Roman"/>
          <w:sz w:val="24"/>
          <w:szCs w:val="24"/>
        </w:rPr>
        <w:t xml:space="preserve"> </w:t>
      </w:r>
      <w:r w:rsidR="00533998" w:rsidRPr="00BC32CF">
        <w:rPr>
          <w:rFonts w:ascii="Times New Roman" w:eastAsia="Calibri" w:hAnsi="Times New Roman" w:cs="Times New Roman"/>
          <w:sz w:val="24"/>
          <w:szCs w:val="24"/>
        </w:rPr>
        <w:t>sponsors</w:t>
      </w:r>
      <w:r w:rsidR="007D28F0" w:rsidRPr="00BC32CF">
        <w:rPr>
          <w:rFonts w:ascii="Times New Roman" w:eastAsia="Calibri" w:hAnsi="Times New Roman" w:cs="Times New Roman"/>
          <w:sz w:val="24"/>
          <w:szCs w:val="24"/>
        </w:rPr>
        <w:t xml:space="preserve"> (See Table 3</w:t>
      </w:r>
      <w:r w:rsidR="009922CF" w:rsidRPr="00BC32CF">
        <w:rPr>
          <w:rFonts w:ascii="Times New Roman" w:eastAsia="Calibri" w:hAnsi="Times New Roman" w:cs="Times New Roman"/>
          <w:sz w:val="24"/>
          <w:szCs w:val="24"/>
        </w:rPr>
        <w:t>)</w:t>
      </w:r>
      <w:r w:rsidR="00533998" w:rsidRPr="00BC32CF">
        <w:rPr>
          <w:rFonts w:ascii="Times New Roman" w:eastAsia="Calibri" w:hAnsi="Times New Roman" w:cs="Times New Roman"/>
          <w:sz w:val="24"/>
          <w:szCs w:val="24"/>
        </w:rPr>
        <w:t>.</w:t>
      </w:r>
    </w:p>
    <w:p w14:paraId="7C15793A" w14:textId="77777777" w:rsidR="00ED26B6" w:rsidRPr="00BC32CF" w:rsidRDefault="00277918" w:rsidP="00277918">
      <w:pPr>
        <w:spacing w:after="0" w:line="480" w:lineRule="auto"/>
        <w:jc w:val="both"/>
        <w:rPr>
          <w:rFonts w:ascii="Times New Roman" w:hAnsi="Times New Roman" w:cs="Times New Roman"/>
          <w:b/>
          <w:sz w:val="24"/>
          <w:szCs w:val="24"/>
        </w:rPr>
      </w:pPr>
      <w:r w:rsidRPr="00BC32CF">
        <w:rPr>
          <w:rFonts w:ascii="Times New Roman" w:hAnsi="Times New Roman" w:cs="Times New Roman"/>
          <w:i/>
          <w:sz w:val="24"/>
          <w:szCs w:val="24"/>
        </w:rPr>
        <w:t>Table 3: Analysis of Lenders’ Bankability Criteria Adopted for Evaluating for Case Studies</w:t>
      </w:r>
      <w:r w:rsidR="007F5F63" w:rsidRPr="00BC32CF">
        <w:rPr>
          <w:rFonts w:ascii="Times New Roman" w:hAnsi="Times New Roman" w:cs="Times New Roman"/>
          <w:b/>
          <w:sz w:val="24"/>
          <w:szCs w:val="24"/>
        </w:rPr>
        <w:t xml:space="preserve"> </w:t>
      </w:r>
    </w:p>
    <w:p w14:paraId="5ED8ADB0" w14:textId="77777777" w:rsidR="00ED26B6" w:rsidRPr="00BC32CF" w:rsidRDefault="00ED26B6">
      <w:pPr>
        <w:rPr>
          <w:rFonts w:ascii="Times New Roman" w:hAnsi="Times New Roman" w:cs="Times New Roman"/>
          <w:b/>
          <w:sz w:val="24"/>
          <w:szCs w:val="24"/>
        </w:rPr>
      </w:pPr>
      <w:r w:rsidRPr="00BC32CF">
        <w:rPr>
          <w:rFonts w:ascii="Times New Roman" w:hAnsi="Times New Roman" w:cs="Times New Roman"/>
          <w:b/>
          <w:sz w:val="24"/>
          <w:szCs w:val="24"/>
        </w:rPr>
        <w:br w:type="page"/>
      </w:r>
    </w:p>
    <w:p w14:paraId="398C3073" w14:textId="77777777" w:rsidR="00ED26B6" w:rsidRPr="00BC32CF" w:rsidRDefault="00ED26B6" w:rsidP="00277918">
      <w:pPr>
        <w:spacing w:after="0" w:line="480" w:lineRule="auto"/>
        <w:jc w:val="both"/>
        <w:rPr>
          <w:rFonts w:ascii="Times New Roman" w:hAnsi="Times New Roman" w:cs="Times New Roman"/>
          <w:b/>
          <w:sz w:val="24"/>
          <w:szCs w:val="24"/>
        </w:rPr>
        <w:sectPr w:rsidR="00ED26B6" w:rsidRPr="00BC32CF" w:rsidSect="00537AFC">
          <w:pgSz w:w="11906" w:h="16838"/>
          <w:pgMar w:top="1440" w:right="1440" w:bottom="1440" w:left="1440" w:header="709" w:footer="709" w:gutter="0"/>
          <w:lnNumType w:countBy="1" w:restart="continuous"/>
          <w:cols w:space="708"/>
          <w:docGrid w:linePitch="360"/>
        </w:sectPr>
      </w:pPr>
    </w:p>
    <w:p w14:paraId="522B7AC0" w14:textId="77777777" w:rsidR="00ED26B6" w:rsidRPr="00BC32CF" w:rsidRDefault="007F5F63" w:rsidP="00ED26B6">
      <w:pPr>
        <w:suppressAutoHyphens/>
        <w:autoSpaceDN w:val="0"/>
        <w:spacing w:line="251" w:lineRule="auto"/>
        <w:ind w:left="1440" w:firstLine="720"/>
        <w:textAlignment w:val="baseline"/>
        <w:rPr>
          <w:rFonts w:ascii="Arial" w:hAnsi="Arial" w:cs="Arial"/>
          <w:b/>
          <w:sz w:val="24"/>
          <w:szCs w:val="24"/>
        </w:rPr>
      </w:pPr>
      <w:r w:rsidRPr="00BC32CF">
        <w:rPr>
          <w:rFonts w:ascii="Times New Roman" w:hAnsi="Times New Roman" w:cs="Times New Roman"/>
          <w:b/>
          <w:sz w:val="24"/>
          <w:szCs w:val="24"/>
        </w:rPr>
        <w:lastRenderedPageBreak/>
        <w:t xml:space="preserve">    </w:t>
      </w:r>
      <w:r w:rsidR="00ED26B6" w:rsidRPr="00BC32CF">
        <w:rPr>
          <w:rFonts w:ascii="Times New Roman" w:hAnsi="Times New Roman" w:cs="Times New Roman"/>
          <w:b/>
          <w:sz w:val="24"/>
          <w:szCs w:val="24"/>
        </w:rPr>
        <w:t xml:space="preserve">        </w:t>
      </w:r>
    </w:p>
    <w:p w14:paraId="691102D2" w14:textId="77777777" w:rsidR="00ED26B6" w:rsidRPr="00BC32CF" w:rsidRDefault="00ED26B6" w:rsidP="00ED26B6">
      <w:pPr>
        <w:suppressAutoHyphens/>
        <w:autoSpaceDN w:val="0"/>
        <w:spacing w:line="251" w:lineRule="auto"/>
        <w:ind w:left="1440" w:firstLine="720"/>
        <w:textAlignment w:val="baseline"/>
        <w:rPr>
          <w:rFonts w:ascii="Times New Roman" w:hAnsi="Times New Roman" w:cs="Times New Roman"/>
          <w:b/>
          <w:sz w:val="24"/>
          <w:szCs w:val="24"/>
        </w:rPr>
      </w:pPr>
      <w:r w:rsidRPr="00BC32CF">
        <w:rPr>
          <w:rFonts w:ascii="Times New Roman" w:hAnsi="Times New Roman" w:cs="Times New Roman"/>
          <w:b/>
          <w:sz w:val="24"/>
          <w:szCs w:val="24"/>
        </w:rPr>
        <w:t>Table 3: Analysis of Lenders’ Bankability Criteria Adopted for Evaluating for Case Studies</w:t>
      </w:r>
    </w:p>
    <w:tbl>
      <w:tblPr>
        <w:tblStyle w:val="GridTable6Colorful-Accent21"/>
        <w:tblW w:w="15227" w:type="dxa"/>
        <w:jc w:val="center"/>
        <w:tblLook w:val="04A0" w:firstRow="1" w:lastRow="0" w:firstColumn="1" w:lastColumn="0" w:noHBand="0" w:noVBand="1"/>
      </w:tblPr>
      <w:tblGrid>
        <w:gridCol w:w="2226"/>
        <w:gridCol w:w="4699"/>
        <w:gridCol w:w="4852"/>
        <w:gridCol w:w="1274"/>
        <w:gridCol w:w="1239"/>
        <w:gridCol w:w="937"/>
      </w:tblGrid>
      <w:tr w:rsidR="00BC32CF" w:rsidRPr="00BC32CF" w14:paraId="777F91E3" w14:textId="77777777" w:rsidTr="0041282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26" w:type="dxa"/>
            <w:vMerge w:val="restart"/>
            <w:vAlign w:val="center"/>
          </w:tcPr>
          <w:p w14:paraId="4CA621C8" w14:textId="77777777" w:rsidR="00ED26B6" w:rsidRPr="00BC32CF" w:rsidRDefault="00ED26B6" w:rsidP="00ED26B6">
            <w:pPr>
              <w:pStyle w:val="NoSpacing"/>
              <w:jc w:val="center"/>
              <w:rPr>
                <w:rFonts w:ascii="Times New Roman" w:hAnsi="Times New Roman" w:cs="Times New Roman"/>
                <w:color w:val="auto"/>
              </w:rPr>
            </w:pPr>
            <w:r w:rsidRPr="00BC32CF">
              <w:rPr>
                <w:rFonts w:ascii="Times New Roman" w:hAnsi="Times New Roman" w:cs="Times New Roman"/>
                <w:color w:val="auto"/>
              </w:rPr>
              <w:t>Risk Factors (RF)</w:t>
            </w:r>
          </w:p>
        </w:tc>
        <w:tc>
          <w:tcPr>
            <w:tcW w:w="4699" w:type="dxa"/>
            <w:vMerge w:val="restart"/>
            <w:vAlign w:val="center"/>
          </w:tcPr>
          <w:p w14:paraId="1C6ADA4A"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Risk Mitigation Strategies Proffered by Project</w:t>
            </w:r>
          </w:p>
          <w:p w14:paraId="4A44FA2F"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color w:val="auto"/>
              </w:rPr>
            </w:pPr>
            <w:r w:rsidRPr="00BC32CF">
              <w:rPr>
                <w:rFonts w:ascii="Times New Roman" w:hAnsi="Times New Roman" w:cs="Times New Roman"/>
                <w:color w:val="auto"/>
              </w:rPr>
              <w:t>Sponsors</w:t>
            </w:r>
          </w:p>
        </w:tc>
        <w:tc>
          <w:tcPr>
            <w:tcW w:w="4852" w:type="dxa"/>
            <w:vMerge w:val="restart"/>
            <w:vAlign w:val="center"/>
          </w:tcPr>
          <w:p w14:paraId="533ECAD8"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Lenders Bankability Criteria for Project Appraisal</w:t>
            </w:r>
          </w:p>
        </w:tc>
        <w:tc>
          <w:tcPr>
            <w:tcW w:w="1274" w:type="dxa"/>
            <w:vAlign w:val="center"/>
          </w:tcPr>
          <w:p w14:paraId="2AF89E48"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BC32CF">
              <w:rPr>
                <w:rFonts w:ascii="Times New Roman" w:hAnsi="Times New Roman" w:cs="Times New Roman"/>
                <w:color w:val="auto"/>
              </w:rPr>
              <w:t>Case Study A</w:t>
            </w:r>
          </w:p>
        </w:tc>
        <w:tc>
          <w:tcPr>
            <w:tcW w:w="1239" w:type="dxa"/>
            <w:vAlign w:val="center"/>
          </w:tcPr>
          <w:p w14:paraId="1EDCF385"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BC32CF">
              <w:rPr>
                <w:rFonts w:ascii="Times New Roman" w:hAnsi="Times New Roman" w:cs="Times New Roman"/>
                <w:color w:val="auto"/>
              </w:rPr>
              <w:t>Case Study B</w:t>
            </w:r>
          </w:p>
        </w:tc>
        <w:tc>
          <w:tcPr>
            <w:tcW w:w="937" w:type="dxa"/>
            <w:vAlign w:val="center"/>
          </w:tcPr>
          <w:p w14:paraId="1D76F41C" w14:textId="77777777" w:rsidR="00ED26B6" w:rsidRPr="00BC32CF" w:rsidRDefault="00ED26B6" w:rsidP="00ED26B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BC32CF">
              <w:rPr>
                <w:rFonts w:ascii="Times New Roman" w:hAnsi="Times New Roman" w:cs="Times New Roman"/>
                <w:color w:val="auto"/>
              </w:rPr>
              <w:t>Case Study C</w:t>
            </w:r>
          </w:p>
        </w:tc>
      </w:tr>
      <w:tr w:rsidR="00BC32CF" w:rsidRPr="00BC32CF" w14:paraId="51D5B61F" w14:textId="77777777" w:rsidTr="00412820">
        <w:trPr>
          <w:cnfStyle w:val="100000000000" w:firstRow="1" w:lastRow="0" w:firstColumn="0" w:lastColumn="0" w:oddVBand="0" w:evenVBand="0" w:oddHBand="0" w:evenHBand="0" w:firstRowFirstColumn="0" w:firstRowLastColumn="0" w:lastRowFirstColumn="0" w:lastRowLastColumn="0"/>
          <w:trHeight w:hRule="exact" w:val="397"/>
          <w:tblHeader/>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740CA8BF" w14:textId="77777777" w:rsidR="00ED26B6" w:rsidRPr="00BC32CF" w:rsidRDefault="00ED26B6" w:rsidP="00ED26B6">
            <w:pPr>
              <w:spacing w:after="200" w:line="480" w:lineRule="auto"/>
              <w:jc w:val="center"/>
              <w:rPr>
                <w:rFonts w:ascii="Times New Roman" w:eastAsia="Calibri" w:hAnsi="Times New Roman" w:cs="Times New Roman"/>
                <w:color w:val="auto"/>
                <w:sz w:val="24"/>
                <w:szCs w:val="24"/>
              </w:rPr>
            </w:pPr>
          </w:p>
        </w:tc>
        <w:tc>
          <w:tcPr>
            <w:tcW w:w="4699" w:type="dxa"/>
            <w:vMerge/>
            <w:vAlign w:val="center"/>
          </w:tcPr>
          <w:p w14:paraId="24B2AE2F"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4852" w:type="dxa"/>
            <w:vMerge/>
            <w:vAlign w:val="center"/>
          </w:tcPr>
          <w:p w14:paraId="75D11238"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1274" w:type="dxa"/>
            <w:vAlign w:val="center"/>
          </w:tcPr>
          <w:p w14:paraId="70B4E3AE"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r w:rsidRPr="00BC32CF">
              <w:rPr>
                <w:rFonts w:ascii="Times New Roman" w:eastAsia="Calibri" w:hAnsi="Times New Roman" w:cs="Times New Roman"/>
                <w:color w:val="auto"/>
                <w:sz w:val="16"/>
                <w:szCs w:val="16"/>
              </w:rPr>
              <w:t>Focus Group</w:t>
            </w:r>
          </w:p>
          <w:p w14:paraId="668F756E"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6"/>
                <w:szCs w:val="16"/>
              </w:rPr>
            </w:pPr>
          </w:p>
          <w:p w14:paraId="2898FA78"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18"/>
                <w:szCs w:val="18"/>
              </w:rPr>
            </w:pPr>
            <w:r w:rsidRPr="00BC32CF">
              <w:rPr>
                <w:rFonts w:ascii="Times New Roman" w:eastAsia="Calibri" w:hAnsi="Times New Roman" w:cs="Times New Roman"/>
                <w:color w:val="auto"/>
                <w:sz w:val="16"/>
                <w:szCs w:val="16"/>
              </w:rPr>
              <w:t xml:space="preserve"> Discussion </w:t>
            </w:r>
            <w:r w:rsidRPr="00BC32CF">
              <w:rPr>
                <w:rFonts w:ascii="Times New Roman" w:eastAsia="Calibri" w:hAnsi="Times New Roman" w:cs="Times New Roman"/>
                <w:color w:val="auto"/>
                <w:sz w:val="18"/>
                <w:szCs w:val="18"/>
              </w:rPr>
              <w:t>Grouscussion</w:t>
            </w:r>
          </w:p>
        </w:tc>
        <w:tc>
          <w:tcPr>
            <w:tcW w:w="1239" w:type="dxa"/>
            <w:vAlign w:val="center"/>
          </w:tcPr>
          <w:p w14:paraId="0FCD8A97"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16"/>
                <w:szCs w:val="16"/>
              </w:rPr>
            </w:pPr>
            <w:r w:rsidRPr="00BC32CF">
              <w:rPr>
                <w:rFonts w:ascii="Times New Roman" w:eastAsia="Calibri" w:hAnsi="Times New Roman" w:cs="Times New Roman"/>
                <w:color w:val="auto"/>
                <w:sz w:val="16"/>
                <w:szCs w:val="16"/>
              </w:rPr>
              <w:t>Focus Group Discussion</w:t>
            </w:r>
          </w:p>
        </w:tc>
        <w:tc>
          <w:tcPr>
            <w:tcW w:w="937" w:type="dxa"/>
            <w:vAlign w:val="center"/>
          </w:tcPr>
          <w:p w14:paraId="5B4A70C9"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auto"/>
                <w:sz w:val="16"/>
                <w:szCs w:val="16"/>
              </w:rPr>
            </w:pPr>
            <w:r w:rsidRPr="00BC32CF">
              <w:rPr>
                <w:rFonts w:ascii="Times New Roman" w:eastAsia="Calibri" w:hAnsi="Times New Roman" w:cs="Times New Roman"/>
                <w:color w:val="auto"/>
                <w:sz w:val="16"/>
                <w:szCs w:val="16"/>
              </w:rPr>
              <w:t>Focus Group Discussion</w:t>
            </w:r>
          </w:p>
        </w:tc>
      </w:tr>
      <w:tr w:rsidR="00BC32CF" w:rsidRPr="00BC32CF" w14:paraId="0F697AD8" w14:textId="77777777" w:rsidTr="00412820">
        <w:trPr>
          <w:cnfStyle w:val="100000000000" w:firstRow="1" w:lastRow="0" w:firstColumn="0" w:lastColumn="0" w:oddVBand="0" w:evenVBand="0" w:oddHBand="0" w:evenHBand="0" w:firstRowFirstColumn="0" w:firstRowLastColumn="0" w:lastRowFirstColumn="0" w:lastRowLastColumn="0"/>
          <w:trHeight w:hRule="exact" w:val="397"/>
          <w:tblHeader/>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0EB89AB5" w14:textId="77777777" w:rsidR="00ED26B6" w:rsidRPr="00BC32CF" w:rsidRDefault="00ED26B6" w:rsidP="00ED26B6">
            <w:pPr>
              <w:spacing w:after="200" w:line="480" w:lineRule="auto"/>
              <w:jc w:val="center"/>
              <w:rPr>
                <w:rFonts w:ascii="Times New Roman" w:eastAsia="Calibri" w:hAnsi="Times New Roman" w:cs="Times New Roman"/>
                <w:color w:val="auto"/>
                <w:sz w:val="24"/>
                <w:szCs w:val="24"/>
              </w:rPr>
            </w:pPr>
          </w:p>
        </w:tc>
        <w:tc>
          <w:tcPr>
            <w:tcW w:w="4699" w:type="dxa"/>
            <w:vMerge/>
            <w:vAlign w:val="center"/>
          </w:tcPr>
          <w:p w14:paraId="5B13C441"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4852" w:type="dxa"/>
            <w:vMerge/>
            <w:vAlign w:val="center"/>
          </w:tcPr>
          <w:p w14:paraId="205CDBCA"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1274" w:type="dxa"/>
            <w:vAlign w:val="center"/>
          </w:tcPr>
          <w:p w14:paraId="2568969F"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Times New Roman" w:eastAsia="Calibri" w:hAnsi="Times New Roman" w:cs="Times New Roman"/>
                <w:color w:val="auto"/>
                <w:sz w:val="20"/>
                <w:szCs w:val="20"/>
              </w:rPr>
              <w:t>(1)</w:t>
            </w:r>
          </w:p>
        </w:tc>
        <w:tc>
          <w:tcPr>
            <w:tcW w:w="1239" w:type="dxa"/>
            <w:vAlign w:val="center"/>
          </w:tcPr>
          <w:p w14:paraId="38671B1E"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Times New Roman" w:eastAsia="Calibri" w:hAnsi="Times New Roman" w:cs="Times New Roman"/>
                <w:color w:val="auto"/>
                <w:sz w:val="20"/>
                <w:szCs w:val="20"/>
              </w:rPr>
              <w:t>(1)</w:t>
            </w:r>
          </w:p>
        </w:tc>
        <w:tc>
          <w:tcPr>
            <w:tcW w:w="937" w:type="dxa"/>
            <w:vAlign w:val="center"/>
          </w:tcPr>
          <w:p w14:paraId="66882111" w14:textId="77777777" w:rsidR="00ED26B6" w:rsidRPr="00BC32CF" w:rsidRDefault="00ED26B6" w:rsidP="00ED26B6">
            <w:pPr>
              <w:spacing w:after="20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Times New Roman" w:eastAsia="Calibri" w:hAnsi="Times New Roman" w:cs="Times New Roman"/>
                <w:color w:val="auto"/>
                <w:sz w:val="20"/>
                <w:szCs w:val="20"/>
              </w:rPr>
              <w:t>(1)</w:t>
            </w:r>
          </w:p>
        </w:tc>
      </w:tr>
      <w:tr w:rsidR="00BC32CF" w:rsidRPr="00BC32CF" w14:paraId="069C5649" w14:textId="77777777" w:rsidTr="0041282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restart"/>
            <w:vAlign w:val="center"/>
          </w:tcPr>
          <w:p w14:paraId="5C9A78FF" w14:textId="77777777" w:rsidR="00ED26B6" w:rsidRPr="00BC32CF" w:rsidRDefault="00ED26B6" w:rsidP="00ED26B6">
            <w:pPr>
              <w:pStyle w:val="NoSpacing"/>
              <w:jc w:val="center"/>
              <w:rPr>
                <w:rFonts w:ascii="Times New Roman" w:hAnsi="Times New Roman" w:cs="Times New Roman"/>
                <w:color w:val="auto"/>
              </w:rPr>
            </w:pPr>
            <w:r w:rsidRPr="00BC32CF">
              <w:rPr>
                <w:rFonts w:ascii="Times New Roman" w:hAnsi="Times New Roman" w:cs="Times New Roman"/>
                <w:color w:val="auto"/>
              </w:rPr>
              <w:t>Sponsor Risk</w:t>
            </w:r>
          </w:p>
        </w:tc>
        <w:tc>
          <w:tcPr>
            <w:tcW w:w="4699" w:type="dxa"/>
            <w:vAlign w:val="center"/>
          </w:tcPr>
          <w:p w14:paraId="2D20C83F"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Sponsor presents full financial guarantee.</w:t>
            </w:r>
          </w:p>
        </w:tc>
        <w:tc>
          <w:tcPr>
            <w:tcW w:w="4852" w:type="dxa"/>
            <w:vAlign w:val="center"/>
          </w:tcPr>
          <w:p w14:paraId="5DAEEB28"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More Advantage</w:t>
            </w:r>
          </w:p>
        </w:tc>
        <w:tc>
          <w:tcPr>
            <w:tcW w:w="1274" w:type="dxa"/>
            <w:vAlign w:val="center"/>
          </w:tcPr>
          <w:p w14:paraId="1A80484F"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20"/>
                <w:szCs w:val="20"/>
              </w:rPr>
              <w:t></w:t>
            </w:r>
          </w:p>
        </w:tc>
        <w:tc>
          <w:tcPr>
            <w:tcW w:w="1239" w:type="dxa"/>
            <w:vAlign w:val="center"/>
          </w:tcPr>
          <w:p w14:paraId="4662ABF5"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526BA4C1"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C32CF" w:rsidRPr="00BC32CF" w14:paraId="5485C130" w14:textId="77777777" w:rsidTr="0041282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36A6DDA6" w14:textId="77777777" w:rsidR="00ED26B6" w:rsidRPr="00BC32CF" w:rsidRDefault="00ED26B6" w:rsidP="00ED26B6">
            <w:pPr>
              <w:pStyle w:val="NoSpacing"/>
              <w:rPr>
                <w:color w:val="auto"/>
                <w:sz w:val="18"/>
                <w:szCs w:val="18"/>
              </w:rPr>
            </w:pPr>
          </w:p>
        </w:tc>
        <w:tc>
          <w:tcPr>
            <w:tcW w:w="4699" w:type="dxa"/>
            <w:vAlign w:val="center"/>
          </w:tcPr>
          <w:p w14:paraId="3A920CCF"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Sponsor’s background check, credit history and   experience in project finance contracts</w:t>
            </w:r>
          </w:p>
        </w:tc>
        <w:tc>
          <w:tcPr>
            <w:tcW w:w="4852" w:type="dxa"/>
            <w:vAlign w:val="center"/>
          </w:tcPr>
          <w:p w14:paraId="1002436F"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Sponsors with track record of successful project finance contracts delivered on schedule and within budget</w:t>
            </w:r>
          </w:p>
        </w:tc>
        <w:tc>
          <w:tcPr>
            <w:tcW w:w="1274" w:type="dxa"/>
            <w:vAlign w:val="center"/>
          </w:tcPr>
          <w:p w14:paraId="41E1B1D2"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0A6F9D7C"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76F94981"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7B76CD7B" w14:textId="77777777" w:rsidTr="0041282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A513ADC" w14:textId="77777777" w:rsidR="00ED26B6" w:rsidRPr="00BC32CF" w:rsidRDefault="00ED26B6" w:rsidP="00ED26B6">
            <w:pPr>
              <w:pStyle w:val="NoSpacing"/>
              <w:rPr>
                <w:color w:val="auto"/>
                <w:sz w:val="18"/>
                <w:szCs w:val="18"/>
              </w:rPr>
            </w:pPr>
          </w:p>
        </w:tc>
        <w:tc>
          <w:tcPr>
            <w:tcW w:w="4699" w:type="dxa"/>
            <w:vAlign w:val="center"/>
          </w:tcPr>
          <w:p w14:paraId="094BDD65"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3rd party debt guarantee in  form of corporate/Bank guarantee</w:t>
            </w:r>
          </w:p>
        </w:tc>
        <w:tc>
          <w:tcPr>
            <w:tcW w:w="4852" w:type="dxa"/>
            <w:vAlign w:val="center"/>
          </w:tcPr>
          <w:p w14:paraId="3E792C81"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Bank-financed guarantee facility or Pre-completion Guarantee.</w:t>
            </w:r>
          </w:p>
        </w:tc>
        <w:tc>
          <w:tcPr>
            <w:tcW w:w="1274" w:type="dxa"/>
            <w:vAlign w:val="center"/>
          </w:tcPr>
          <w:p w14:paraId="49AD2F46"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39" w:type="dxa"/>
            <w:vAlign w:val="center"/>
          </w:tcPr>
          <w:p w14:paraId="13FB652D"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2E653389"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524EE00A" w14:textId="77777777" w:rsidTr="0041282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17B5E92A" w14:textId="77777777" w:rsidR="00ED26B6" w:rsidRPr="00BC32CF" w:rsidRDefault="00ED26B6" w:rsidP="00ED26B6">
            <w:pPr>
              <w:pStyle w:val="NoSpacing"/>
              <w:rPr>
                <w:color w:val="auto"/>
                <w:sz w:val="18"/>
                <w:szCs w:val="18"/>
              </w:rPr>
            </w:pPr>
          </w:p>
        </w:tc>
        <w:tc>
          <w:tcPr>
            <w:tcW w:w="4699" w:type="dxa"/>
            <w:vAlign w:val="center"/>
          </w:tcPr>
          <w:p w14:paraId="38BE9EF0"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Not Provided/Negotiated</w:t>
            </w:r>
          </w:p>
        </w:tc>
        <w:tc>
          <w:tcPr>
            <w:tcW w:w="4852" w:type="dxa"/>
            <w:vAlign w:val="center"/>
          </w:tcPr>
          <w:p w14:paraId="03E43D40"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Mix of management skills and experience demonstrated by or available to the sponsors</w:t>
            </w:r>
          </w:p>
        </w:tc>
        <w:tc>
          <w:tcPr>
            <w:tcW w:w="1274" w:type="dxa"/>
            <w:vAlign w:val="center"/>
          </w:tcPr>
          <w:p w14:paraId="660E6E7B"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52B1414B"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7522C790"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5AF97A27" w14:textId="77777777" w:rsidTr="0041282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36F5BBDF" w14:textId="77777777" w:rsidR="00ED26B6" w:rsidRPr="00BC32CF" w:rsidRDefault="00ED26B6" w:rsidP="00ED26B6">
            <w:pPr>
              <w:pStyle w:val="NoSpacing"/>
              <w:rPr>
                <w:color w:val="auto"/>
                <w:sz w:val="18"/>
                <w:szCs w:val="18"/>
              </w:rPr>
            </w:pPr>
          </w:p>
        </w:tc>
        <w:tc>
          <w:tcPr>
            <w:tcW w:w="4699" w:type="dxa"/>
            <w:vAlign w:val="center"/>
          </w:tcPr>
          <w:p w14:paraId="0C35247E"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Not Provided/Negotiated</w:t>
            </w:r>
          </w:p>
        </w:tc>
        <w:tc>
          <w:tcPr>
            <w:tcW w:w="4852" w:type="dxa"/>
            <w:vAlign w:val="center"/>
          </w:tcPr>
          <w:p w14:paraId="6DC5BE60"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Sponsor with well-established relationship with a lender</w:t>
            </w:r>
          </w:p>
        </w:tc>
        <w:tc>
          <w:tcPr>
            <w:tcW w:w="1274" w:type="dxa"/>
            <w:vAlign w:val="center"/>
          </w:tcPr>
          <w:p w14:paraId="56256973"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744B554A"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7" w:type="dxa"/>
            <w:vAlign w:val="center"/>
          </w:tcPr>
          <w:p w14:paraId="0913E309"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2CFFE0CF" w14:textId="77777777" w:rsidTr="0041282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FD0189D" w14:textId="77777777" w:rsidR="00ED26B6" w:rsidRPr="00BC32CF" w:rsidRDefault="00ED26B6" w:rsidP="00ED26B6">
            <w:pPr>
              <w:pStyle w:val="NoSpacing"/>
              <w:rPr>
                <w:color w:val="auto"/>
                <w:sz w:val="18"/>
                <w:szCs w:val="18"/>
              </w:rPr>
            </w:pPr>
          </w:p>
        </w:tc>
        <w:tc>
          <w:tcPr>
            <w:tcW w:w="4699" w:type="dxa"/>
            <w:vAlign w:val="center"/>
          </w:tcPr>
          <w:p w14:paraId="5D4D0ED5"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Front-ended equity contribution</w:t>
            </w:r>
          </w:p>
        </w:tc>
        <w:tc>
          <w:tcPr>
            <w:tcW w:w="4852" w:type="dxa"/>
            <w:vAlign w:val="center"/>
          </w:tcPr>
          <w:p w14:paraId="703EEC60"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Satisfactory Equity contribution by the sponsor</w:t>
            </w:r>
          </w:p>
        </w:tc>
        <w:tc>
          <w:tcPr>
            <w:tcW w:w="1274" w:type="dxa"/>
            <w:vAlign w:val="center"/>
          </w:tcPr>
          <w:p w14:paraId="38FF0767"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2ACBBCE2"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6519E1FF"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4B4E9FB9" w14:textId="77777777" w:rsidTr="0041282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6F6031A0" w14:textId="77777777" w:rsidR="00ED26B6" w:rsidRPr="00BC32CF" w:rsidRDefault="00ED26B6" w:rsidP="00ED26B6">
            <w:pPr>
              <w:pStyle w:val="NoSpacing"/>
              <w:rPr>
                <w:color w:val="auto"/>
                <w:sz w:val="18"/>
                <w:szCs w:val="18"/>
              </w:rPr>
            </w:pPr>
          </w:p>
        </w:tc>
        <w:tc>
          <w:tcPr>
            <w:tcW w:w="4699" w:type="dxa"/>
            <w:vAlign w:val="center"/>
          </w:tcPr>
          <w:p w14:paraId="585CAB74"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Not Provided/Negotiated</w:t>
            </w:r>
          </w:p>
        </w:tc>
        <w:tc>
          <w:tcPr>
            <w:tcW w:w="4852" w:type="dxa"/>
            <w:vAlign w:val="center"/>
          </w:tcPr>
          <w:p w14:paraId="762A635E"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Equity contributions must be available either in cash or in a blocked account.</w:t>
            </w:r>
          </w:p>
        </w:tc>
        <w:tc>
          <w:tcPr>
            <w:tcW w:w="1274" w:type="dxa"/>
            <w:vAlign w:val="center"/>
          </w:tcPr>
          <w:p w14:paraId="5333125F"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39" w:type="dxa"/>
            <w:vAlign w:val="center"/>
          </w:tcPr>
          <w:p w14:paraId="69549EDA"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6E5EF0F3"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C32CF" w:rsidRPr="00BC32CF" w14:paraId="683899CF" w14:textId="77777777" w:rsidTr="00412820">
        <w:trPr>
          <w:trHeight w:hRule="exact" w:val="452"/>
          <w:jc w:val="center"/>
        </w:trPr>
        <w:tc>
          <w:tcPr>
            <w:cnfStyle w:val="001000000000" w:firstRow="0" w:lastRow="0" w:firstColumn="1" w:lastColumn="0" w:oddVBand="0" w:evenVBand="0" w:oddHBand="0" w:evenHBand="0" w:firstRowFirstColumn="0" w:firstRowLastColumn="0" w:lastRowFirstColumn="0" w:lastRowLastColumn="0"/>
            <w:tcW w:w="2226" w:type="dxa"/>
            <w:vMerge w:val="restart"/>
            <w:vAlign w:val="center"/>
          </w:tcPr>
          <w:p w14:paraId="22526961" w14:textId="77777777" w:rsidR="00ED26B6" w:rsidRPr="00BC32CF" w:rsidRDefault="00ED26B6" w:rsidP="00ED26B6">
            <w:pPr>
              <w:pStyle w:val="NoSpacing"/>
              <w:rPr>
                <w:rFonts w:ascii="Times New Roman" w:hAnsi="Times New Roman" w:cs="Times New Roman"/>
                <w:color w:val="auto"/>
              </w:rPr>
            </w:pPr>
            <w:r w:rsidRPr="00BC32CF">
              <w:rPr>
                <w:rFonts w:ascii="Times New Roman" w:hAnsi="Times New Roman" w:cs="Times New Roman"/>
                <w:color w:val="auto"/>
              </w:rPr>
              <w:t>Country/</w:t>
            </w:r>
          </w:p>
          <w:p w14:paraId="4EA17AAA" w14:textId="77777777" w:rsidR="00ED26B6" w:rsidRPr="00BC32CF" w:rsidRDefault="00ED26B6" w:rsidP="00ED26B6">
            <w:pPr>
              <w:pStyle w:val="NoSpacing"/>
              <w:rPr>
                <w:rFonts w:ascii="Times New Roman" w:hAnsi="Times New Roman" w:cs="Times New Roman"/>
                <w:color w:val="auto"/>
              </w:rPr>
            </w:pPr>
            <w:r w:rsidRPr="00BC32CF">
              <w:rPr>
                <w:rFonts w:ascii="Times New Roman" w:hAnsi="Times New Roman" w:cs="Times New Roman"/>
                <w:color w:val="auto"/>
              </w:rPr>
              <w:t>Political</w:t>
            </w:r>
          </w:p>
          <w:p w14:paraId="23EBB017" w14:textId="77777777" w:rsidR="00ED26B6" w:rsidRPr="00BC32CF" w:rsidRDefault="00ED26B6" w:rsidP="00ED26B6">
            <w:pPr>
              <w:pStyle w:val="NoSpacing"/>
              <w:rPr>
                <w:color w:val="auto"/>
                <w:sz w:val="18"/>
                <w:szCs w:val="18"/>
              </w:rPr>
            </w:pPr>
            <w:r w:rsidRPr="00BC32CF">
              <w:rPr>
                <w:rFonts w:ascii="Times New Roman" w:hAnsi="Times New Roman" w:cs="Times New Roman"/>
                <w:color w:val="auto"/>
              </w:rPr>
              <w:t>Risk</w:t>
            </w:r>
          </w:p>
        </w:tc>
        <w:tc>
          <w:tcPr>
            <w:tcW w:w="4699" w:type="dxa"/>
            <w:vAlign w:val="center"/>
          </w:tcPr>
          <w:p w14:paraId="23CF1E26"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Supervision of emerging market risk exposure by Lenders’ home country's Central Bank.</w:t>
            </w:r>
          </w:p>
        </w:tc>
        <w:tc>
          <w:tcPr>
            <w:tcW w:w="4852" w:type="dxa"/>
            <w:vAlign w:val="center"/>
          </w:tcPr>
          <w:p w14:paraId="5BC46FB2"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More Advantage</w:t>
            </w:r>
          </w:p>
        </w:tc>
        <w:tc>
          <w:tcPr>
            <w:tcW w:w="1274" w:type="dxa"/>
            <w:vAlign w:val="center"/>
          </w:tcPr>
          <w:p w14:paraId="19FDDBFA"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39" w:type="dxa"/>
            <w:vAlign w:val="center"/>
          </w:tcPr>
          <w:p w14:paraId="3AECD745"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2B0B368D"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646D6CF3" w14:textId="77777777" w:rsidTr="00412820">
        <w:trPr>
          <w:cnfStyle w:val="000000100000" w:firstRow="0" w:lastRow="0" w:firstColumn="0" w:lastColumn="0" w:oddVBand="0" w:evenVBand="0" w:oddHBand="1" w:evenHBand="0" w:firstRowFirstColumn="0" w:firstRowLastColumn="0" w:lastRowFirstColumn="0" w:lastRowLastColumn="0"/>
          <w:trHeight w:hRule="exact" w:val="736"/>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5E718B31" w14:textId="77777777" w:rsidR="00ED26B6" w:rsidRPr="00BC32CF" w:rsidRDefault="00ED26B6" w:rsidP="00ED26B6">
            <w:pPr>
              <w:pStyle w:val="NoSpacing"/>
              <w:rPr>
                <w:color w:val="auto"/>
                <w:sz w:val="18"/>
                <w:szCs w:val="18"/>
              </w:rPr>
            </w:pPr>
          </w:p>
        </w:tc>
        <w:tc>
          <w:tcPr>
            <w:tcW w:w="4699" w:type="dxa"/>
            <w:vAlign w:val="center"/>
          </w:tcPr>
          <w:p w14:paraId="44F5AD58"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Bank’s Internal Country Risk committee to periodically determine appropriate levels of country risk limits</w:t>
            </w:r>
          </w:p>
        </w:tc>
        <w:tc>
          <w:tcPr>
            <w:tcW w:w="4852" w:type="dxa"/>
            <w:vAlign w:val="center"/>
          </w:tcPr>
          <w:p w14:paraId="2007DAF1"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Transfer of Political Risk to Export Credit Agency (ECA)</w:t>
            </w:r>
          </w:p>
        </w:tc>
        <w:tc>
          <w:tcPr>
            <w:tcW w:w="1274" w:type="dxa"/>
            <w:vAlign w:val="center"/>
          </w:tcPr>
          <w:p w14:paraId="68671E73"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570805E1"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69D67C5A"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BC32CF" w:rsidRPr="00BC32CF" w14:paraId="0DC56A64" w14:textId="77777777" w:rsidTr="0041282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54F98177" w14:textId="77777777" w:rsidR="00ED26B6" w:rsidRPr="00BC32CF" w:rsidRDefault="00ED26B6" w:rsidP="00ED26B6">
            <w:pPr>
              <w:pStyle w:val="NoSpacing"/>
              <w:rPr>
                <w:color w:val="auto"/>
                <w:sz w:val="18"/>
                <w:szCs w:val="18"/>
              </w:rPr>
            </w:pPr>
          </w:p>
        </w:tc>
        <w:tc>
          <w:tcPr>
            <w:tcW w:w="4699" w:type="dxa"/>
            <w:vAlign w:val="center"/>
          </w:tcPr>
          <w:p w14:paraId="02E88E3F"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Country/Political risk insurance from private sector insurers</w:t>
            </w:r>
          </w:p>
        </w:tc>
        <w:tc>
          <w:tcPr>
            <w:tcW w:w="4852" w:type="dxa"/>
            <w:vAlign w:val="center"/>
          </w:tcPr>
          <w:p w14:paraId="2EA5BC76"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Country Capacity/Political Risk Insurance from private sector insurance</w:t>
            </w:r>
          </w:p>
        </w:tc>
        <w:tc>
          <w:tcPr>
            <w:tcW w:w="1274" w:type="dxa"/>
            <w:vAlign w:val="center"/>
          </w:tcPr>
          <w:p w14:paraId="273BCFD7"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3CA134D6"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37" w:type="dxa"/>
            <w:vAlign w:val="center"/>
          </w:tcPr>
          <w:p w14:paraId="0F74C565"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C32CF" w:rsidRPr="00BC32CF" w14:paraId="56A9A847" w14:textId="77777777" w:rsidTr="00412820">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698F48BB" w14:textId="77777777" w:rsidR="00ED26B6" w:rsidRPr="00BC32CF" w:rsidRDefault="00ED26B6" w:rsidP="00ED26B6">
            <w:pPr>
              <w:pStyle w:val="NoSpacing"/>
              <w:rPr>
                <w:color w:val="auto"/>
                <w:sz w:val="18"/>
                <w:szCs w:val="18"/>
              </w:rPr>
            </w:pPr>
          </w:p>
        </w:tc>
        <w:tc>
          <w:tcPr>
            <w:tcW w:w="4699" w:type="dxa"/>
            <w:vAlign w:val="center"/>
          </w:tcPr>
          <w:p w14:paraId="38E615EF"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Not Provided/Negotiated</w:t>
            </w:r>
          </w:p>
        </w:tc>
        <w:tc>
          <w:tcPr>
            <w:tcW w:w="4852" w:type="dxa"/>
            <w:vAlign w:val="center"/>
          </w:tcPr>
          <w:p w14:paraId="6DE45028"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Raising a part of the project loan from banks in the host country may reduce currency risk.</w:t>
            </w:r>
          </w:p>
        </w:tc>
        <w:tc>
          <w:tcPr>
            <w:tcW w:w="1274" w:type="dxa"/>
            <w:vAlign w:val="center"/>
          </w:tcPr>
          <w:p w14:paraId="6AE402AB"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484748F1"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7" w:type="dxa"/>
            <w:vAlign w:val="center"/>
          </w:tcPr>
          <w:p w14:paraId="71C611E6"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00BCCF05" w14:textId="77777777" w:rsidTr="0041282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45A99238" w14:textId="77777777" w:rsidR="00ED26B6" w:rsidRPr="00BC32CF" w:rsidRDefault="00ED26B6" w:rsidP="00ED26B6">
            <w:pPr>
              <w:pStyle w:val="NoSpacing"/>
              <w:rPr>
                <w:color w:val="auto"/>
                <w:sz w:val="18"/>
                <w:szCs w:val="18"/>
              </w:rPr>
            </w:pPr>
          </w:p>
        </w:tc>
        <w:tc>
          <w:tcPr>
            <w:tcW w:w="4699" w:type="dxa"/>
            <w:vAlign w:val="center"/>
          </w:tcPr>
          <w:p w14:paraId="155B53CD"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World Bank Backed Project</w:t>
            </w:r>
          </w:p>
        </w:tc>
        <w:tc>
          <w:tcPr>
            <w:tcW w:w="4852" w:type="dxa"/>
            <w:vAlign w:val="center"/>
          </w:tcPr>
          <w:p w14:paraId="6BAA90B3"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Multilateral-Backed loan facility</w:t>
            </w:r>
          </w:p>
        </w:tc>
        <w:tc>
          <w:tcPr>
            <w:tcW w:w="1274" w:type="dxa"/>
            <w:vAlign w:val="center"/>
          </w:tcPr>
          <w:p w14:paraId="097E09D5"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434BEBF2"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52A78C43"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C32CF" w:rsidRPr="00BC32CF" w14:paraId="7E876D30" w14:textId="77777777" w:rsidTr="0041282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665E9CC6" w14:textId="77777777" w:rsidR="00ED26B6" w:rsidRPr="00BC32CF" w:rsidRDefault="00ED26B6" w:rsidP="00ED26B6">
            <w:pPr>
              <w:pStyle w:val="NoSpacing"/>
              <w:rPr>
                <w:color w:val="auto"/>
                <w:sz w:val="18"/>
                <w:szCs w:val="18"/>
              </w:rPr>
            </w:pPr>
          </w:p>
        </w:tc>
        <w:tc>
          <w:tcPr>
            <w:tcW w:w="4699" w:type="dxa"/>
            <w:vAlign w:val="center"/>
          </w:tcPr>
          <w:p w14:paraId="56B14D58"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Not Provided/Negotiated</w:t>
            </w:r>
          </w:p>
        </w:tc>
        <w:tc>
          <w:tcPr>
            <w:tcW w:w="4852" w:type="dxa"/>
            <w:vAlign w:val="center"/>
          </w:tcPr>
          <w:p w14:paraId="6AF1001C"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"Preferred Creditor status" to the MLA</w:t>
            </w:r>
          </w:p>
        </w:tc>
        <w:tc>
          <w:tcPr>
            <w:tcW w:w="1274" w:type="dxa"/>
            <w:vAlign w:val="center"/>
          </w:tcPr>
          <w:p w14:paraId="3A9E1587"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1239" w:type="dxa"/>
            <w:vAlign w:val="center"/>
          </w:tcPr>
          <w:p w14:paraId="5DACB07C"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44FB7A16"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6DD5D1CC" w14:textId="77777777" w:rsidTr="00412820">
        <w:trPr>
          <w:trHeight w:hRule="exact" w:val="537"/>
          <w:jc w:val="center"/>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C74CA6B" w14:textId="77777777" w:rsidR="00ED26B6" w:rsidRPr="00BC32CF" w:rsidRDefault="00ED26B6" w:rsidP="00ED26B6">
            <w:pPr>
              <w:pStyle w:val="NoSpacing"/>
              <w:jc w:val="center"/>
              <w:rPr>
                <w:rFonts w:ascii="Times New Roman" w:hAnsi="Times New Roman" w:cs="Times New Roman"/>
                <w:color w:val="auto"/>
              </w:rPr>
            </w:pPr>
          </w:p>
        </w:tc>
        <w:tc>
          <w:tcPr>
            <w:tcW w:w="4699" w:type="dxa"/>
            <w:vAlign w:val="center"/>
          </w:tcPr>
          <w:p w14:paraId="178627A4"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Sponsor to be responsible for obtaining necessary permit and approval</w:t>
            </w:r>
          </w:p>
        </w:tc>
        <w:tc>
          <w:tcPr>
            <w:tcW w:w="4852" w:type="dxa"/>
            <w:vAlign w:val="center"/>
          </w:tcPr>
          <w:p w14:paraId="10AB7DF8"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Existence of operational permit and approval from the public sector</w:t>
            </w:r>
          </w:p>
        </w:tc>
        <w:tc>
          <w:tcPr>
            <w:tcW w:w="1274" w:type="dxa"/>
            <w:vAlign w:val="center"/>
          </w:tcPr>
          <w:p w14:paraId="1E0C6033"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auto"/>
                <w:sz w:val="18"/>
                <w:szCs w:val="18"/>
              </w:rPr>
            </w:pPr>
            <w:r w:rsidRPr="00BC32CF">
              <w:rPr>
                <w:rFonts w:ascii="Wingdings" w:eastAsia="Wingdings" w:hAnsi="Wingdings" w:cs="Wingdings"/>
                <w:color w:val="auto"/>
                <w:sz w:val="18"/>
                <w:szCs w:val="18"/>
              </w:rPr>
              <w:t></w:t>
            </w:r>
          </w:p>
        </w:tc>
        <w:tc>
          <w:tcPr>
            <w:tcW w:w="1239" w:type="dxa"/>
            <w:vAlign w:val="center"/>
          </w:tcPr>
          <w:p w14:paraId="5BD3347B"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auto"/>
                <w:sz w:val="18"/>
                <w:szCs w:val="18"/>
              </w:rPr>
            </w:pPr>
            <w:r w:rsidRPr="00BC32CF">
              <w:rPr>
                <w:rFonts w:ascii="Wingdings" w:eastAsia="Wingdings" w:hAnsi="Wingdings" w:cs="Wingdings"/>
                <w:color w:val="auto"/>
                <w:sz w:val="18"/>
                <w:szCs w:val="18"/>
              </w:rPr>
              <w:t></w:t>
            </w:r>
          </w:p>
        </w:tc>
        <w:tc>
          <w:tcPr>
            <w:tcW w:w="937" w:type="dxa"/>
            <w:vAlign w:val="center"/>
          </w:tcPr>
          <w:p w14:paraId="5091361D"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color w:val="auto"/>
                <w:sz w:val="18"/>
                <w:szCs w:val="18"/>
              </w:rPr>
            </w:pPr>
            <w:r w:rsidRPr="00BC32CF">
              <w:rPr>
                <w:rFonts w:ascii="Wingdings" w:eastAsia="Wingdings" w:hAnsi="Wingdings" w:cs="Wingdings"/>
                <w:color w:val="auto"/>
                <w:sz w:val="18"/>
                <w:szCs w:val="18"/>
              </w:rPr>
              <w:t></w:t>
            </w:r>
          </w:p>
        </w:tc>
      </w:tr>
      <w:tr w:rsidR="00BC32CF" w:rsidRPr="00BC32CF" w14:paraId="425DBD8B" w14:textId="77777777" w:rsidTr="00412820">
        <w:trPr>
          <w:cnfStyle w:val="000000100000" w:firstRow="0" w:lastRow="0" w:firstColumn="0" w:lastColumn="0" w:oddVBand="0" w:evenVBand="0" w:oddHBand="1" w:evenHBand="0" w:firstRowFirstColumn="0" w:firstRowLastColumn="0" w:lastRowFirstColumn="0" w:lastRowLastColumn="0"/>
          <w:trHeight w:hRule="exact" w:val="537"/>
          <w:jc w:val="center"/>
        </w:trPr>
        <w:tc>
          <w:tcPr>
            <w:cnfStyle w:val="001000000000" w:firstRow="0" w:lastRow="0" w:firstColumn="1" w:lastColumn="0" w:oddVBand="0" w:evenVBand="0" w:oddHBand="0" w:evenHBand="0" w:firstRowFirstColumn="0" w:firstRowLastColumn="0" w:lastRowFirstColumn="0" w:lastRowLastColumn="0"/>
            <w:tcW w:w="2226" w:type="dxa"/>
            <w:vMerge w:val="restart"/>
            <w:vAlign w:val="center"/>
          </w:tcPr>
          <w:p w14:paraId="3EDE6217" w14:textId="77777777" w:rsidR="00ED26B6" w:rsidRPr="00BC32CF" w:rsidRDefault="00ED26B6" w:rsidP="00ED26B6">
            <w:pPr>
              <w:pStyle w:val="NoSpacing"/>
              <w:jc w:val="center"/>
              <w:rPr>
                <w:rFonts w:ascii="Times New Roman" w:hAnsi="Times New Roman" w:cs="Times New Roman"/>
                <w:color w:val="auto"/>
              </w:rPr>
            </w:pPr>
            <w:r w:rsidRPr="00BC32CF">
              <w:rPr>
                <w:rFonts w:ascii="Times New Roman" w:hAnsi="Times New Roman" w:cs="Times New Roman"/>
                <w:color w:val="auto"/>
              </w:rPr>
              <w:lastRenderedPageBreak/>
              <w:t>Legal Risk</w:t>
            </w:r>
          </w:p>
        </w:tc>
        <w:tc>
          <w:tcPr>
            <w:tcW w:w="4699" w:type="dxa"/>
            <w:vAlign w:val="center"/>
          </w:tcPr>
          <w:p w14:paraId="7465E43E"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Pre-construction environmental impact assessment</w:t>
            </w:r>
          </w:p>
        </w:tc>
        <w:tc>
          <w:tcPr>
            <w:tcW w:w="4852" w:type="dxa"/>
            <w:vAlign w:val="center"/>
          </w:tcPr>
          <w:p w14:paraId="03F22134"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Social and Environmental Due diligence</w:t>
            </w:r>
          </w:p>
        </w:tc>
        <w:tc>
          <w:tcPr>
            <w:tcW w:w="1274" w:type="dxa"/>
            <w:vAlign w:val="center"/>
          </w:tcPr>
          <w:p w14:paraId="7AF072F9"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7577A54D"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0A0D7C14"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5582A639" w14:textId="77777777" w:rsidTr="00412820">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13D52C4" w14:textId="77777777" w:rsidR="00ED26B6" w:rsidRPr="00BC32CF" w:rsidRDefault="00ED26B6" w:rsidP="00ED26B6">
            <w:pPr>
              <w:pStyle w:val="NoSpacing"/>
              <w:rPr>
                <w:color w:val="auto"/>
                <w:sz w:val="18"/>
                <w:szCs w:val="18"/>
              </w:rPr>
            </w:pPr>
          </w:p>
        </w:tc>
        <w:tc>
          <w:tcPr>
            <w:tcW w:w="4699" w:type="dxa"/>
            <w:vAlign w:val="center"/>
          </w:tcPr>
          <w:p w14:paraId="489CF7CD"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Compliance with Equator Principles</w:t>
            </w:r>
          </w:p>
        </w:tc>
        <w:tc>
          <w:tcPr>
            <w:tcW w:w="4852" w:type="dxa"/>
            <w:vAlign w:val="center"/>
          </w:tcPr>
          <w:p w14:paraId="48DB6211"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Compliance with Equator Principles</w:t>
            </w:r>
          </w:p>
        </w:tc>
        <w:tc>
          <w:tcPr>
            <w:tcW w:w="1274" w:type="dxa"/>
            <w:vAlign w:val="center"/>
          </w:tcPr>
          <w:p w14:paraId="234E03EA"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02F8E467"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215F0655"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3E9C061B" w14:textId="77777777" w:rsidTr="00412820">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102FC428" w14:textId="77777777" w:rsidR="00ED26B6" w:rsidRPr="00BC32CF" w:rsidRDefault="00ED26B6" w:rsidP="00ED26B6">
            <w:pPr>
              <w:pStyle w:val="NoSpacing"/>
              <w:rPr>
                <w:color w:val="auto"/>
                <w:sz w:val="18"/>
                <w:szCs w:val="18"/>
              </w:rPr>
            </w:pPr>
          </w:p>
        </w:tc>
        <w:tc>
          <w:tcPr>
            <w:tcW w:w="4699" w:type="dxa"/>
            <w:vAlign w:val="center"/>
          </w:tcPr>
          <w:p w14:paraId="1384F825"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Sponsors to bear legal risk</w:t>
            </w:r>
          </w:p>
        </w:tc>
        <w:tc>
          <w:tcPr>
            <w:tcW w:w="4852" w:type="dxa"/>
            <w:vAlign w:val="center"/>
          </w:tcPr>
          <w:p w14:paraId="6F304D19"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Legal Risk to be borne by sponsor</w:t>
            </w:r>
          </w:p>
        </w:tc>
        <w:tc>
          <w:tcPr>
            <w:tcW w:w="1274" w:type="dxa"/>
            <w:vAlign w:val="center"/>
          </w:tcPr>
          <w:p w14:paraId="2B0AB7FC"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1239" w:type="dxa"/>
            <w:vAlign w:val="center"/>
          </w:tcPr>
          <w:p w14:paraId="55411AC8"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3DAD5B80"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r>
      <w:tr w:rsidR="00BC32CF" w:rsidRPr="00BC32CF" w14:paraId="46E0C27A" w14:textId="77777777" w:rsidTr="00412820">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02A31407" w14:textId="77777777" w:rsidR="00ED26B6" w:rsidRPr="00BC32CF" w:rsidRDefault="00ED26B6" w:rsidP="00ED26B6">
            <w:pPr>
              <w:pStyle w:val="NoSpacing"/>
              <w:rPr>
                <w:color w:val="auto"/>
                <w:sz w:val="18"/>
                <w:szCs w:val="18"/>
              </w:rPr>
            </w:pPr>
          </w:p>
        </w:tc>
        <w:tc>
          <w:tcPr>
            <w:tcW w:w="4699" w:type="dxa"/>
            <w:vAlign w:val="center"/>
          </w:tcPr>
          <w:p w14:paraId="4543F854"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Not provided</w:t>
            </w:r>
          </w:p>
        </w:tc>
        <w:tc>
          <w:tcPr>
            <w:tcW w:w="4852" w:type="dxa"/>
            <w:vAlign w:val="center"/>
          </w:tcPr>
          <w:p w14:paraId="5B9A99AA"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color w:val="auto"/>
                <w:sz w:val="19"/>
                <w:szCs w:val="19"/>
              </w:rPr>
              <w:t>Annual Reporting of EP’s application</w:t>
            </w:r>
          </w:p>
        </w:tc>
        <w:tc>
          <w:tcPr>
            <w:tcW w:w="1274" w:type="dxa"/>
            <w:vAlign w:val="center"/>
          </w:tcPr>
          <w:p w14:paraId="5505F5DC"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239" w:type="dxa"/>
            <w:vAlign w:val="center"/>
          </w:tcPr>
          <w:p w14:paraId="60B5D05D"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BC32CF">
              <w:rPr>
                <w:rFonts w:ascii="Wingdings" w:eastAsia="Wingdings" w:hAnsi="Wingdings" w:cs="Wingdings"/>
                <w:color w:val="auto"/>
                <w:sz w:val="18"/>
                <w:szCs w:val="18"/>
              </w:rPr>
              <w:t></w:t>
            </w:r>
          </w:p>
        </w:tc>
        <w:tc>
          <w:tcPr>
            <w:tcW w:w="937" w:type="dxa"/>
            <w:vAlign w:val="center"/>
          </w:tcPr>
          <w:p w14:paraId="3A0758A7" w14:textId="77777777" w:rsidR="00ED26B6" w:rsidRPr="00BC32CF" w:rsidRDefault="00ED26B6" w:rsidP="00ED26B6">
            <w:pPr>
              <w:pStyle w:val="NoSpacing"/>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BC32CF" w:rsidRPr="00BC32CF" w14:paraId="6C3176AD" w14:textId="77777777" w:rsidTr="00412820">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226" w:type="dxa"/>
            <w:vMerge w:val="restart"/>
            <w:vAlign w:val="center"/>
          </w:tcPr>
          <w:p w14:paraId="3791AAEC" w14:textId="77777777" w:rsidR="00ED26B6" w:rsidRPr="00BC32CF" w:rsidRDefault="00ED26B6" w:rsidP="00ED26B6">
            <w:pPr>
              <w:rPr>
                <w:rFonts w:ascii="Times New Roman" w:hAnsi="Times New Roman" w:cs="Times New Roman"/>
                <w:color w:val="auto"/>
              </w:rPr>
            </w:pPr>
            <w:r w:rsidRPr="00BC32CF">
              <w:rPr>
                <w:rFonts w:ascii="Times New Roman" w:eastAsia="Times New Roman" w:hAnsi="Times New Roman" w:cs="Times New Roman"/>
                <w:bCs w:val="0"/>
                <w:color w:val="auto"/>
              </w:rPr>
              <w:t>Concession Risk</w:t>
            </w:r>
          </w:p>
        </w:tc>
        <w:tc>
          <w:tcPr>
            <w:tcW w:w="4699" w:type="dxa"/>
            <w:vAlign w:val="center"/>
          </w:tcPr>
          <w:p w14:paraId="6A56E916"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rFonts w:ascii="Times New Roman" w:hAnsi="Times New Roman" w:cs="Times New Roman"/>
                <w:color w:val="auto"/>
                <w:sz w:val="19"/>
                <w:szCs w:val="19"/>
              </w:rPr>
              <w:t>Concession risk to be borne by project sponsors</w:t>
            </w:r>
          </w:p>
        </w:tc>
        <w:tc>
          <w:tcPr>
            <w:tcW w:w="4852" w:type="dxa"/>
            <w:vAlign w:val="center"/>
          </w:tcPr>
          <w:p w14:paraId="2338EA87" w14:textId="77777777" w:rsidR="00ED26B6" w:rsidRPr="00BC32CF" w:rsidRDefault="00ED26B6" w:rsidP="00ED26B6">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Concession risk to be transferred to the SPV</w:t>
            </w:r>
          </w:p>
        </w:tc>
        <w:tc>
          <w:tcPr>
            <w:tcW w:w="1274" w:type="dxa"/>
            <w:vAlign w:val="center"/>
          </w:tcPr>
          <w:p w14:paraId="598A0858"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1F6F06DD"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01671F89"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BC32CF" w:rsidRPr="00BC32CF" w14:paraId="6F3042D6" w14:textId="77777777" w:rsidTr="00412820">
        <w:trPr>
          <w:trHeight w:hRule="exact" w:val="667"/>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40A2B59F"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3D1E73FF"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color w:val="auto"/>
                <w:sz w:val="19"/>
                <w:szCs w:val="19"/>
              </w:rPr>
            </w:pPr>
            <w:r w:rsidRPr="00BC32CF">
              <w:rPr>
                <w:rFonts w:ascii="Times New Roman" w:hAnsi="Times New Roman" w:cs="Times New Roman"/>
                <w:color w:val="auto"/>
                <w:sz w:val="19"/>
                <w:szCs w:val="19"/>
              </w:rPr>
              <w:t>Risks arising from performance failure deductions will be transferred to O&amp;M contract</w:t>
            </w:r>
            <w:r w:rsidRPr="00BC32CF">
              <w:rPr>
                <w:color w:val="auto"/>
                <w:sz w:val="19"/>
                <w:szCs w:val="19"/>
              </w:rPr>
              <w:t>or</w:t>
            </w:r>
          </w:p>
        </w:tc>
        <w:tc>
          <w:tcPr>
            <w:tcW w:w="4852" w:type="dxa"/>
            <w:vAlign w:val="center"/>
          </w:tcPr>
          <w:p w14:paraId="5454D24E" w14:textId="77777777" w:rsidR="00ED26B6" w:rsidRPr="00BC32CF" w:rsidRDefault="00ED26B6" w:rsidP="00ED26B6">
            <w:pPr>
              <w:spacing w:after="200"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O&amp;M contractor to bear performance failure risks</w:t>
            </w:r>
          </w:p>
        </w:tc>
        <w:tc>
          <w:tcPr>
            <w:tcW w:w="1274" w:type="dxa"/>
            <w:vAlign w:val="center"/>
          </w:tcPr>
          <w:p w14:paraId="5514DDEA"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1C924336"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322922FE"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r>
      <w:tr w:rsidR="00BC32CF" w:rsidRPr="00BC32CF" w14:paraId="4C0CE7E4" w14:textId="77777777" w:rsidTr="00412820">
        <w:trPr>
          <w:cnfStyle w:val="000000100000" w:firstRow="0" w:lastRow="0" w:firstColumn="0" w:lastColumn="0" w:oddVBand="0" w:evenVBand="0" w:oddHBand="1" w:evenHBand="0" w:firstRowFirstColumn="0" w:firstRowLastColumn="0" w:lastRowFirstColumn="0" w:lastRowLastColumn="0"/>
          <w:trHeight w:hRule="exact" w:val="545"/>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9810068"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54F96893"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color w:val="auto"/>
                <w:sz w:val="19"/>
                <w:szCs w:val="19"/>
              </w:rPr>
            </w:pPr>
            <w:r w:rsidRPr="00BC32CF">
              <w:rPr>
                <w:color w:val="auto"/>
                <w:sz w:val="19"/>
                <w:szCs w:val="19"/>
              </w:rPr>
              <w:t>Project Grantor identified and has capacity for approvals</w:t>
            </w:r>
          </w:p>
        </w:tc>
        <w:tc>
          <w:tcPr>
            <w:tcW w:w="4852" w:type="dxa"/>
            <w:vAlign w:val="center"/>
          </w:tcPr>
          <w:p w14:paraId="7F2DC496"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Identity of Grantor and its approval capacity must be known</w:t>
            </w:r>
          </w:p>
        </w:tc>
        <w:tc>
          <w:tcPr>
            <w:tcW w:w="1274" w:type="dxa"/>
            <w:vAlign w:val="center"/>
          </w:tcPr>
          <w:p w14:paraId="19DBB1FE"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1C482EB9"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183533B2"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r>
      <w:tr w:rsidR="00BC32CF" w:rsidRPr="00BC32CF" w14:paraId="56F00C0E" w14:textId="77777777" w:rsidTr="00412820">
        <w:trPr>
          <w:trHeight w:hRule="exact" w:val="443"/>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628E075"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0937BF0D" w14:textId="77777777" w:rsidR="00ED26B6" w:rsidRPr="00BC32CF" w:rsidRDefault="00ED26B6" w:rsidP="00ED26B6">
            <w:pPr>
              <w:spacing w:after="200"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Not Provided/Negotiated</w:t>
            </w:r>
          </w:p>
        </w:tc>
        <w:tc>
          <w:tcPr>
            <w:tcW w:w="4852" w:type="dxa"/>
            <w:vAlign w:val="center"/>
          </w:tcPr>
          <w:p w14:paraId="3AA90155"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Direct Agreement with project grantor and other project contractors and sub-contractors</w:t>
            </w:r>
          </w:p>
        </w:tc>
        <w:tc>
          <w:tcPr>
            <w:tcW w:w="1274" w:type="dxa"/>
            <w:vAlign w:val="center"/>
          </w:tcPr>
          <w:p w14:paraId="00A4E8C8"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1239" w:type="dxa"/>
            <w:vAlign w:val="center"/>
          </w:tcPr>
          <w:p w14:paraId="5182FE65"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29665C4F"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r>
      <w:tr w:rsidR="00BC32CF" w:rsidRPr="00BC32CF" w14:paraId="71F87FA4" w14:textId="77777777" w:rsidTr="00412820">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520B4841"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15DFD748" w14:textId="77777777" w:rsidR="00ED26B6" w:rsidRPr="00BC32CF" w:rsidRDefault="00ED26B6" w:rsidP="00ED26B6">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Not Provided/Negotiated</w:t>
            </w:r>
          </w:p>
        </w:tc>
        <w:tc>
          <w:tcPr>
            <w:tcW w:w="4852" w:type="dxa"/>
            <w:vAlign w:val="center"/>
          </w:tcPr>
          <w:p w14:paraId="4752ADB0"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Debt repayments to terminate one or two years before the expiry of concession contract</w:t>
            </w:r>
          </w:p>
        </w:tc>
        <w:tc>
          <w:tcPr>
            <w:tcW w:w="1274" w:type="dxa"/>
            <w:vAlign w:val="center"/>
          </w:tcPr>
          <w:p w14:paraId="49DE0C2F" w14:textId="77777777" w:rsidR="00ED26B6" w:rsidRPr="00BC32CF" w:rsidRDefault="00ED26B6" w:rsidP="00ED26B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66863958"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4652CFBE"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r>
      <w:tr w:rsidR="00BC32CF" w:rsidRPr="00BC32CF" w14:paraId="2A738DD3" w14:textId="77777777" w:rsidTr="00412820">
        <w:trPr>
          <w:trHeight w:hRule="exact" w:val="53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6545ABB0"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3CD87B8B" w14:textId="77777777" w:rsidR="00ED26B6" w:rsidRPr="00BC32CF" w:rsidRDefault="00ED26B6" w:rsidP="00ED26B6">
            <w:pPr>
              <w:spacing w:after="200"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Not Provided/Negotiated</w:t>
            </w:r>
          </w:p>
        </w:tc>
        <w:tc>
          <w:tcPr>
            <w:tcW w:w="4852" w:type="dxa"/>
            <w:vAlign w:val="center"/>
          </w:tcPr>
          <w:p w14:paraId="58085FF5" w14:textId="77777777" w:rsidR="00ED26B6" w:rsidRPr="00BC32CF" w:rsidRDefault="00ED26B6" w:rsidP="00ED26B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Security rights over SPV’s insurance policies, Cash flows and other corresponding assets.</w:t>
            </w:r>
          </w:p>
        </w:tc>
        <w:tc>
          <w:tcPr>
            <w:tcW w:w="1274" w:type="dxa"/>
            <w:vAlign w:val="center"/>
          </w:tcPr>
          <w:p w14:paraId="54561963"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0618CD93"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00933561" w14:textId="77777777" w:rsidR="00ED26B6" w:rsidRPr="00BC32CF" w:rsidRDefault="00ED26B6" w:rsidP="00ED26B6">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r>
      <w:tr w:rsidR="00BC32CF" w:rsidRPr="00BC32CF" w14:paraId="58D67746" w14:textId="77777777" w:rsidTr="0041282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2226" w:type="dxa"/>
            <w:vMerge/>
            <w:vAlign w:val="center"/>
          </w:tcPr>
          <w:p w14:paraId="2E14AB5A" w14:textId="77777777" w:rsidR="00ED26B6" w:rsidRPr="00BC32CF" w:rsidRDefault="00ED26B6" w:rsidP="00ED26B6">
            <w:pPr>
              <w:spacing w:after="200" w:line="480" w:lineRule="auto"/>
              <w:jc w:val="center"/>
              <w:rPr>
                <w:rFonts w:ascii="Times New Roman" w:eastAsia="Calibri" w:hAnsi="Times New Roman" w:cs="Times New Roman"/>
                <w:color w:val="auto"/>
                <w:sz w:val="18"/>
                <w:szCs w:val="18"/>
              </w:rPr>
            </w:pPr>
          </w:p>
        </w:tc>
        <w:tc>
          <w:tcPr>
            <w:tcW w:w="4699" w:type="dxa"/>
            <w:vAlign w:val="center"/>
          </w:tcPr>
          <w:p w14:paraId="69FE568D" w14:textId="77777777" w:rsidR="00ED26B6" w:rsidRPr="00BC32CF" w:rsidRDefault="00ED26B6" w:rsidP="00ED26B6">
            <w:pPr>
              <w:spacing w:after="200"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19"/>
                <w:szCs w:val="19"/>
              </w:rPr>
            </w:pPr>
            <w:r w:rsidRPr="00BC32CF">
              <w:rPr>
                <w:rFonts w:ascii="Times New Roman" w:eastAsia="Calibri" w:hAnsi="Times New Roman" w:cs="Times New Roman"/>
                <w:color w:val="auto"/>
                <w:sz w:val="19"/>
                <w:szCs w:val="19"/>
              </w:rPr>
              <w:t>Not Provided/Negotiated</w:t>
            </w:r>
          </w:p>
        </w:tc>
        <w:tc>
          <w:tcPr>
            <w:tcW w:w="4852" w:type="dxa"/>
            <w:vAlign w:val="center"/>
          </w:tcPr>
          <w:p w14:paraId="5D4B3FEB" w14:textId="77777777" w:rsidR="00ED26B6" w:rsidRPr="00BC32CF" w:rsidRDefault="00ED26B6" w:rsidP="00ED26B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Right of lenders to replace O&amp;M Contractor</w:t>
            </w:r>
          </w:p>
        </w:tc>
        <w:tc>
          <w:tcPr>
            <w:tcW w:w="1274" w:type="dxa"/>
            <w:vAlign w:val="center"/>
          </w:tcPr>
          <w:p w14:paraId="2ADFF0B1"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1239" w:type="dxa"/>
            <w:vAlign w:val="center"/>
          </w:tcPr>
          <w:p w14:paraId="6C21735D"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c>
          <w:tcPr>
            <w:tcW w:w="937" w:type="dxa"/>
            <w:vAlign w:val="center"/>
          </w:tcPr>
          <w:p w14:paraId="5A53B869" w14:textId="77777777" w:rsidR="00ED26B6" w:rsidRPr="00BC32CF" w:rsidRDefault="00ED26B6" w:rsidP="00ED26B6">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BC32CF">
              <w:rPr>
                <w:rFonts w:ascii="Wingdings" w:eastAsia="Wingdings" w:hAnsi="Wingdings" w:cs="Wingdings"/>
                <w:color w:val="auto"/>
                <w:sz w:val="18"/>
                <w:szCs w:val="18"/>
              </w:rPr>
              <w:t></w:t>
            </w:r>
          </w:p>
        </w:tc>
      </w:tr>
    </w:tbl>
    <w:p w14:paraId="36AA9E2F" w14:textId="77777777" w:rsidR="00ED26B6" w:rsidRPr="00BC32CF" w:rsidRDefault="00ED26B6" w:rsidP="00ED26B6">
      <w:pPr>
        <w:pStyle w:val="NoSpacing"/>
        <w:rPr>
          <w:rFonts w:ascii="Times New Roman" w:hAnsi="Times New Roman" w:cs="Times New Roman"/>
          <w:i/>
          <w:sz w:val="18"/>
          <w:szCs w:val="18"/>
        </w:rPr>
      </w:pPr>
      <w:r w:rsidRPr="00BC32CF">
        <w:rPr>
          <w:rFonts w:ascii="Times New Roman" w:hAnsi="Times New Roman" w:cs="Times New Roman"/>
          <w:i/>
          <w:sz w:val="18"/>
          <w:szCs w:val="18"/>
        </w:rPr>
        <w:t xml:space="preserve"> Based on evidences from the study, </w:t>
      </w:r>
      <w:r w:rsidRPr="00BC32CF">
        <w:rPr>
          <w:rFonts w:ascii="Times New Roman" w:hAnsi="Times New Roman" w:cs="Times New Roman"/>
          <w:b/>
          <w:i/>
          <w:sz w:val="18"/>
          <w:szCs w:val="18"/>
        </w:rPr>
        <w:t>“More Advantage”</w:t>
      </w:r>
      <w:r w:rsidRPr="00BC32CF">
        <w:rPr>
          <w:rFonts w:ascii="Times New Roman" w:hAnsi="Times New Roman" w:cs="Times New Roman"/>
          <w:i/>
          <w:sz w:val="18"/>
          <w:szCs w:val="18"/>
        </w:rPr>
        <w:t xml:space="preserve"> indicates that the corresponding risk mitigation strategy proposed by the sponsors were not essential but offer more advantage to lenders.</w:t>
      </w:r>
    </w:p>
    <w:p w14:paraId="4A833E2D" w14:textId="77777777" w:rsidR="00ED26B6" w:rsidRPr="00BC32CF" w:rsidRDefault="00ED26B6" w:rsidP="00ED26B6">
      <w:pPr>
        <w:pStyle w:val="NoSpacing"/>
        <w:rPr>
          <w:rFonts w:ascii="Times New Roman" w:hAnsi="Times New Roman" w:cs="Times New Roman"/>
          <w:i/>
          <w:sz w:val="18"/>
          <w:szCs w:val="18"/>
        </w:rPr>
      </w:pPr>
      <w:r w:rsidRPr="00BC32CF">
        <w:rPr>
          <w:rFonts w:ascii="Times New Roman" w:hAnsi="Times New Roman" w:cs="Times New Roman"/>
          <w:b/>
          <w:i/>
          <w:sz w:val="18"/>
          <w:szCs w:val="18"/>
        </w:rPr>
        <w:t>“Not Provided/Negotiated”</w:t>
      </w:r>
      <w:r w:rsidRPr="00BC32CF">
        <w:rPr>
          <w:rFonts w:ascii="Times New Roman" w:hAnsi="Times New Roman" w:cs="Times New Roman"/>
          <w:i/>
          <w:sz w:val="18"/>
          <w:szCs w:val="18"/>
        </w:rPr>
        <w:t xml:space="preserve"> indicates that project sponsors did not provide the required bankability criteria from lenders, but rather negotiated such criteria with by offering other mitigations.</w:t>
      </w:r>
    </w:p>
    <w:p w14:paraId="27F51AAB" w14:textId="77777777" w:rsidR="00ED26B6" w:rsidRPr="00BC32CF" w:rsidRDefault="00ED26B6" w:rsidP="00ED26B6">
      <w:pPr>
        <w:rPr>
          <w:rFonts w:ascii="Times New Roman" w:hAnsi="Times New Roman" w:cs="Times New Roman"/>
          <w:i/>
          <w:sz w:val="18"/>
          <w:szCs w:val="18"/>
        </w:rPr>
      </w:pPr>
      <w:r w:rsidRPr="00BC32CF">
        <w:rPr>
          <w:rFonts w:ascii="Times New Roman" w:hAnsi="Times New Roman" w:cs="Times New Roman"/>
          <w:i/>
          <w:sz w:val="18"/>
          <w:szCs w:val="18"/>
        </w:rPr>
        <w:br w:type="page"/>
      </w:r>
    </w:p>
    <w:p w14:paraId="010CCF31" w14:textId="77777777" w:rsidR="00691009" w:rsidRPr="00BC32CF" w:rsidRDefault="00691009" w:rsidP="00ED26B6">
      <w:pPr>
        <w:spacing w:after="0" w:line="480" w:lineRule="auto"/>
        <w:ind w:left="-1134"/>
        <w:jc w:val="both"/>
        <w:rPr>
          <w:rFonts w:ascii="Times New Roman" w:hAnsi="Times New Roman" w:cs="Times New Roman"/>
          <w:b/>
          <w:sz w:val="24"/>
          <w:szCs w:val="24"/>
        </w:rPr>
        <w:sectPr w:rsidR="00691009" w:rsidRPr="00BC32CF" w:rsidSect="00537AFC">
          <w:type w:val="continuous"/>
          <w:pgSz w:w="16838" w:h="11906" w:orient="landscape"/>
          <w:pgMar w:top="142" w:right="253" w:bottom="1560" w:left="1440" w:header="709" w:footer="709" w:gutter="0"/>
          <w:lnNumType w:countBy="1" w:restart="continuous"/>
          <w:cols w:space="708"/>
          <w:docGrid w:linePitch="360"/>
        </w:sectPr>
      </w:pPr>
    </w:p>
    <w:p w14:paraId="63753FB3" w14:textId="546C93C7" w:rsidR="0091605B" w:rsidRPr="00BC32CF" w:rsidRDefault="00277918" w:rsidP="00277918">
      <w:pPr>
        <w:pStyle w:val="Heading2"/>
        <w:rPr>
          <w:rFonts w:eastAsia="Calibri"/>
        </w:rPr>
      </w:pPr>
      <w:r w:rsidRPr="00BC32CF">
        <w:rPr>
          <w:rFonts w:eastAsia="Calibri"/>
        </w:rPr>
        <w:lastRenderedPageBreak/>
        <w:t xml:space="preserve">5.2 </w:t>
      </w:r>
      <w:r w:rsidR="0091605B" w:rsidRPr="00BC32CF">
        <w:rPr>
          <w:rFonts w:eastAsia="Calibri"/>
        </w:rPr>
        <w:t xml:space="preserve">Quantitative Data Analysis </w:t>
      </w:r>
    </w:p>
    <w:p w14:paraId="24199903" w14:textId="77777777" w:rsidR="0091605B" w:rsidRPr="00BC32CF" w:rsidRDefault="0091605B" w:rsidP="0091605B">
      <w:pPr>
        <w:suppressAutoHyphens/>
        <w:autoSpaceDN w:val="0"/>
        <w:spacing w:line="480" w:lineRule="auto"/>
        <w:jc w:val="both"/>
        <w:textAlignment w:val="baseline"/>
        <w:rPr>
          <w:rFonts w:ascii="Times New Roman" w:eastAsia="Calibri" w:hAnsi="Times New Roman" w:cs="Times New Roman"/>
          <w:b/>
          <w:i/>
          <w:sz w:val="24"/>
          <w:szCs w:val="24"/>
        </w:rPr>
      </w:pPr>
      <w:r w:rsidRPr="00BC32CF">
        <w:rPr>
          <w:rFonts w:ascii="Times New Roman" w:eastAsia="Calibri" w:hAnsi="Times New Roman" w:cs="Times New Roman"/>
          <w:b/>
          <w:i/>
          <w:sz w:val="24"/>
          <w:szCs w:val="24"/>
        </w:rPr>
        <w:t xml:space="preserve">Reliability Analysis </w:t>
      </w:r>
    </w:p>
    <w:p w14:paraId="050FC503" w14:textId="77777777" w:rsidR="0091605B" w:rsidRPr="00BC32CF" w:rsidRDefault="0091605B" w:rsidP="0091605B">
      <w:pPr>
        <w:suppressAutoHyphens/>
        <w:autoSpaceDN w:val="0"/>
        <w:spacing w:after="0" w:line="480" w:lineRule="auto"/>
        <w:textAlignment w:val="baseline"/>
        <w:rPr>
          <w:rFonts w:ascii="Times New Roman" w:hAnsi="Times New Roman" w:cs="Times New Roman"/>
          <w:sz w:val="24"/>
          <w:szCs w:val="24"/>
        </w:rPr>
      </w:pPr>
      <w:r w:rsidRPr="00BC32CF">
        <w:rPr>
          <w:rFonts w:ascii="Times New Roman" w:eastAsia="Calibri" w:hAnsi="Times New Roman" w:cs="Times New Roman"/>
          <w:sz w:val="24"/>
          <w:szCs w:val="24"/>
        </w:rPr>
        <w:t xml:space="preserve">Since one of the major objectives of this study is to confirm the wider applicability of the various bankability criteria unravelled through the qualitative study, statistical analysis of the questionnaire survey to </w:t>
      </w:r>
      <w:r w:rsidR="001D0961" w:rsidRPr="00BC32CF">
        <w:rPr>
          <w:rFonts w:ascii="Times New Roman" w:eastAsia="Calibri" w:hAnsi="Times New Roman" w:cs="Times New Roman"/>
          <w:sz w:val="24"/>
          <w:szCs w:val="24"/>
        </w:rPr>
        <w:t>financiers</w:t>
      </w:r>
      <w:r w:rsidRPr="00BC32CF">
        <w:rPr>
          <w:rFonts w:ascii="Times New Roman" w:eastAsia="Calibri" w:hAnsi="Times New Roman" w:cs="Times New Roman"/>
          <w:sz w:val="24"/>
          <w:szCs w:val="24"/>
        </w:rPr>
        <w:t xml:space="preserve"> was carried out. </w:t>
      </w:r>
      <w:r w:rsidRPr="00BC32CF">
        <w:rPr>
          <w:rFonts w:ascii="Times New Roman" w:hAnsi="Times New Roman" w:cs="Times New Roman"/>
          <w:sz w:val="24"/>
          <w:szCs w:val="24"/>
        </w:rPr>
        <w:t>As argued by many social scientists (Spector, 1992; Field, 2005;</w:t>
      </w:r>
      <w:r w:rsidRPr="00BC32CF">
        <w:t xml:space="preserve"> </w:t>
      </w:r>
      <w:r w:rsidRPr="00BC32CF">
        <w:rPr>
          <w:rFonts w:ascii="Times New Roman" w:hAnsi="Times New Roman" w:cs="Times New Roman"/>
          <w:sz w:val="24"/>
          <w:szCs w:val="24"/>
        </w:rPr>
        <w:t xml:space="preserve">Santos, 1999), when using Likert Scale questionnaire, a Cronbach's alpha coefficient of reliability must be calculated. Reliability analysis facilitates validity and wider applicability of the bankability criteria, while ensuring the criteria </w:t>
      </w:r>
      <w:r w:rsidR="001D0961" w:rsidRPr="00BC32CF">
        <w:rPr>
          <w:rFonts w:ascii="Times New Roman" w:hAnsi="Times New Roman" w:cs="Times New Roman"/>
          <w:sz w:val="24"/>
          <w:szCs w:val="24"/>
        </w:rPr>
        <w:t>represents</w:t>
      </w:r>
      <w:r w:rsidRPr="00BC32CF">
        <w:rPr>
          <w:rFonts w:ascii="Times New Roman" w:hAnsi="Times New Roman" w:cs="Times New Roman"/>
          <w:sz w:val="24"/>
          <w:szCs w:val="24"/>
        </w:rPr>
        <w:t xml:space="preserve"> true measures of the construct (bankability of the four major risks in PPP loan application from an emerging market). Cronbach’s Alpha is mathematically written as:</w:t>
      </w:r>
    </w:p>
    <w:p w14:paraId="4905AB0D" w14:textId="77777777" w:rsidR="0091605B" w:rsidRPr="00BC32CF" w:rsidRDefault="0091605B" w:rsidP="0091605B">
      <w:pPr>
        <w:suppressAutoHyphens/>
        <w:autoSpaceDN w:val="0"/>
        <w:spacing w:line="480" w:lineRule="auto"/>
        <w:textAlignment w:val="baseline"/>
        <w:rPr>
          <w:rFonts w:ascii="Times New Roman" w:hAnsi="Times New Roman" w:cs="Times New Roman"/>
          <w:i/>
          <w:sz w:val="24"/>
          <w:szCs w:val="24"/>
        </w:rPr>
      </w:pPr>
      <m:oMathPara>
        <m:oMath>
          <m:r>
            <w:rPr>
              <w:rFonts w:ascii="Cambria Math" w:hAnsi="Cambria Math" w:cs="Times New Roman"/>
              <w:sz w:val="24"/>
              <w:szCs w:val="24"/>
            </w:rPr>
            <m:t>α=</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bar>
                <m:barPr>
                  <m:pos m:val="top"/>
                  <m:ctrlPr>
                    <w:rPr>
                      <w:rFonts w:ascii="Cambria Math" w:hAnsi="Cambria Math" w:cs="Times New Roman"/>
                      <w:i/>
                      <w:sz w:val="24"/>
                      <w:szCs w:val="24"/>
                    </w:rPr>
                  </m:ctrlPr>
                </m:barPr>
                <m:e>
                  <m:r>
                    <w:rPr>
                      <w:rFonts w:ascii="Cambria Math" w:hAnsi="Cambria Math" w:cs="Times New Roman"/>
                      <w:sz w:val="24"/>
                      <w:szCs w:val="24"/>
                    </w:rPr>
                    <m:t>COV</m:t>
                  </m:r>
                </m:e>
              </m:bar>
            </m:num>
            <m:den>
              <m:nary>
                <m:naryPr>
                  <m:chr m:val="∑"/>
                  <m:limLoc m:val="subSup"/>
                  <m:ctrlPr>
                    <w:rPr>
                      <w:rFonts w:ascii="Cambria Math" w:hAnsi="Cambria Math" w:cs="Times New Roman"/>
                      <w:i/>
                      <w:sz w:val="24"/>
                      <w:szCs w:val="24"/>
                    </w:rPr>
                  </m:ctrlPr>
                </m:naryPr>
                <m:sub>
                  <m:r>
                    <w:rPr>
                      <w:rFonts w:ascii="Cambria Math" w:hAnsi="Cambria Math" w:cs="Times New Roman"/>
                      <w:sz w:val="24"/>
                      <w:szCs w:val="24"/>
                    </w:rPr>
                    <m:t>factor</m:t>
                  </m:r>
                </m:sub>
                <m:sup>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sup>
                <m:e>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COV</m:t>
                      </m:r>
                      <m:sSub>
                        <m:sSubPr>
                          <m:ctrlPr>
                            <w:rPr>
                              <w:rFonts w:ascii="Cambria Math" w:hAnsi="Cambria Math" w:cs="Times New Roman"/>
                              <w:i/>
                              <w:sz w:val="24"/>
                              <w:szCs w:val="24"/>
                            </w:rPr>
                          </m:ctrlPr>
                        </m:sSubPr>
                        <m:e>
                          <m:r>
                            <w:rPr>
                              <w:rFonts w:ascii="Cambria Math" w:hAnsi="Cambria Math" w:cs="Times New Roman"/>
                              <w:sz w:val="24"/>
                              <w:szCs w:val="24"/>
                            </w:rPr>
                            <m:t xml:space="preserve"> </m:t>
                          </m:r>
                        </m:e>
                        <m:sub>
                          <m:r>
                            <w:rPr>
                              <w:rFonts w:ascii="Cambria Math" w:hAnsi="Cambria Math" w:cs="Times New Roman"/>
                              <w:sz w:val="24"/>
                              <w:szCs w:val="24"/>
                            </w:rPr>
                            <m:t>factor</m:t>
                          </m:r>
                        </m:sub>
                      </m:sSub>
                    </m:e>
                  </m:nary>
                </m:e>
              </m:nary>
            </m:den>
          </m:f>
        </m:oMath>
      </m:oMathPara>
    </w:p>
    <w:p w14:paraId="797FFCF1" w14:textId="0BEB8D71" w:rsidR="00ED26B6" w:rsidRPr="00BC32CF" w:rsidRDefault="0091605B" w:rsidP="00ED26B6">
      <w:pPr>
        <w:spacing w:after="0" w:line="480" w:lineRule="auto"/>
        <w:jc w:val="both"/>
        <w:rPr>
          <w:rFonts w:ascii="Times New Roman" w:hAnsi="Times New Roman" w:cs="Times New Roman"/>
          <w:sz w:val="24"/>
          <w:szCs w:val="24"/>
        </w:rPr>
      </w:pPr>
      <w:r w:rsidRPr="00BC32CF">
        <w:rPr>
          <w:rFonts w:ascii="Times New Roman" w:hAnsi="Times New Roman" w:cs="Times New Roman"/>
          <w:sz w:val="24"/>
          <w:szCs w:val="24"/>
        </w:rPr>
        <w:t>Where N = the total number of criteria; COV = average covariance between criteria; S</w:t>
      </w:r>
      <w:r w:rsidRPr="00BC32CF">
        <w:rPr>
          <w:rFonts w:ascii="Times New Roman" w:hAnsi="Times New Roman" w:cs="Times New Roman"/>
          <w:sz w:val="24"/>
          <w:szCs w:val="24"/>
          <w:vertAlign w:val="subscript"/>
        </w:rPr>
        <w:t xml:space="preserve"> factor</w:t>
      </w:r>
      <w:r w:rsidRPr="00BC32CF">
        <w:rPr>
          <w:rFonts w:ascii="Times New Roman" w:hAnsi="Times New Roman" w:cs="Times New Roman"/>
          <w:sz w:val="24"/>
          <w:szCs w:val="24"/>
        </w:rPr>
        <w:t xml:space="preserve"> = variance of each criterion; and COV factor = covariance within a criterion.</w:t>
      </w:r>
      <w:r w:rsidR="001539C6" w:rsidRPr="00BC32CF">
        <w:rPr>
          <w:rFonts w:ascii="Times New Roman" w:hAnsi="Times New Roman" w:cs="Times New Roman"/>
          <w:sz w:val="24"/>
          <w:szCs w:val="24"/>
        </w:rPr>
        <w:t xml:space="preserve"> Since the rule of thumb in Cronbach's alpha coefficient is usually between 0 and 1; a value of 0.7 was considered acceptable (George and Mallery, 2003), while a value of 0.8 suggests strong internal consistency. Using the Statistical Package for Social Sciences (SPSS) software tool, the Cronbach's alpha coefficient for this study was 0.745</w:t>
      </w:r>
      <w:r w:rsidR="005C76B4" w:rsidRPr="00BC32CF">
        <w:rPr>
          <w:rFonts w:ascii="Times New Roman" w:hAnsi="Times New Roman" w:cs="Times New Roman"/>
          <w:sz w:val="24"/>
          <w:szCs w:val="24"/>
        </w:rPr>
        <w:t xml:space="preserve"> (see Table 4</w:t>
      </w:r>
      <w:r w:rsidR="001539C6" w:rsidRPr="00BC32CF">
        <w:rPr>
          <w:rFonts w:ascii="Times New Roman" w:hAnsi="Times New Roman" w:cs="Times New Roman"/>
          <w:sz w:val="24"/>
          <w:szCs w:val="24"/>
        </w:rPr>
        <w:t xml:space="preserve"> for Reliability Analysis results). This demonstrated good internal consistency and reliability of most of the bankability criteria. </w:t>
      </w:r>
      <w:r w:rsidR="00742953" w:rsidRPr="00BC32CF">
        <w:rPr>
          <w:rFonts w:ascii="Times New Roman" w:hAnsi="Times New Roman" w:cs="Times New Roman"/>
          <w:sz w:val="24"/>
          <w:szCs w:val="24"/>
        </w:rPr>
        <w:t>Additionally, i</w:t>
      </w:r>
      <w:r w:rsidR="001539C6" w:rsidRPr="00BC32CF">
        <w:rPr>
          <w:rFonts w:ascii="Times New Roman" w:hAnsi="Times New Roman" w:cs="Times New Roman"/>
          <w:sz w:val="24"/>
          <w:szCs w:val="24"/>
        </w:rPr>
        <w:t>n order to ascertain whether all the bankability criteria are truly contributing to internal consistency of the construct, the fifth</w:t>
      </w:r>
      <w:r w:rsidR="005C76B4" w:rsidRPr="00BC32CF">
        <w:rPr>
          <w:rFonts w:ascii="Times New Roman" w:hAnsi="Times New Roman" w:cs="Times New Roman"/>
          <w:sz w:val="24"/>
          <w:szCs w:val="24"/>
        </w:rPr>
        <w:t xml:space="preserve"> column of Table 4</w:t>
      </w:r>
      <w:r w:rsidR="001539C6" w:rsidRPr="00BC32CF">
        <w:rPr>
          <w:rFonts w:ascii="Times New Roman" w:hAnsi="Times New Roman" w:cs="Times New Roman"/>
          <w:sz w:val="24"/>
          <w:szCs w:val="24"/>
        </w:rPr>
        <w:t xml:space="preserve"> labelled “Cronbach's alpha if item deleted” was examined.</w:t>
      </w:r>
      <w:r w:rsidR="001539C6" w:rsidRPr="00BC32CF">
        <w:t xml:space="preserve"> </w:t>
      </w:r>
      <w:r w:rsidR="001539C6" w:rsidRPr="00BC32CF">
        <w:rPr>
          <w:rFonts w:ascii="Times New Roman" w:hAnsi="Times New Roman" w:cs="Times New Roman"/>
          <w:sz w:val="24"/>
          <w:szCs w:val="24"/>
        </w:rPr>
        <w:t>According to George and Mallery (2003), any criterion that is not contributing to the overall reliability of the data, will have its Cronbach's alpha coefficient higher than the overall coefficient (0.745).</w:t>
      </w:r>
    </w:p>
    <w:p w14:paraId="3E17A6FB" w14:textId="77777777" w:rsidR="00ED26B6" w:rsidRPr="00BC32CF" w:rsidRDefault="00ED26B6" w:rsidP="00ED26B6">
      <w:pPr>
        <w:spacing w:after="0" w:line="480" w:lineRule="auto"/>
        <w:jc w:val="both"/>
        <w:rPr>
          <w:rFonts w:ascii="Times New Roman" w:hAnsi="Times New Roman" w:cs="Times New Roman"/>
          <w:sz w:val="24"/>
          <w:szCs w:val="24"/>
        </w:rPr>
        <w:sectPr w:rsidR="00ED26B6" w:rsidRPr="00BC32CF" w:rsidSect="00537AFC">
          <w:type w:val="continuous"/>
          <w:pgSz w:w="11906" w:h="16838"/>
          <w:pgMar w:top="1440" w:right="1440" w:bottom="1440" w:left="1440" w:header="709" w:footer="709" w:gutter="0"/>
          <w:lnNumType w:countBy="1" w:restart="continuous"/>
          <w:cols w:space="708"/>
          <w:docGrid w:linePitch="360"/>
        </w:sectPr>
      </w:pPr>
    </w:p>
    <w:p w14:paraId="2C6DC7B9" w14:textId="77777777" w:rsidR="00ED26B6" w:rsidRPr="00BC32CF" w:rsidRDefault="00ED26B6" w:rsidP="00ED26B6">
      <w:pPr>
        <w:tabs>
          <w:tab w:val="left" w:pos="142"/>
        </w:tabs>
        <w:spacing w:after="0" w:line="480" w:lineRule="auto"/>
        <w:ind w:left="-709"/>
        <w:rPr>
          <w:rFonts w:ascii="Times New Roman" w:eastAsia="Calibri" w:hAnsi="Times New Roman" w:cs="Times New Roman"/>
          <w:b/>
          <w:sz w:val="2"/>
          <w:szCs w:val="24"/>
        </w:rPr>
      </w:pPr>
    </w:p>
    <w:p w14:paraId="0A93C433" w14:textId="77777777" w:rsidR="00ED26B6" w:rsidRPr="00BC32CF" w:rsidRDefault="00ED26B6" w:rsidP="00ED26B6">
      <w:pPr>
        <w:spacing w:after="0" w:line="480" w:lineRule="auto"/>
        <w:ind w:left="2880" w:firstLine="720"/>
        <w:rPr>
          <w:rFonts w:ascii="Times New Roman" w:eastAsia="Calibri" w:hAnsi="Times New Roman" w:cs="Times New Roman"/>
          <w:b/>
          <w:sz w:val="24"/>
          <w:szCs w:val="24"/>
        </w:rPr>
      </w:pPr>
      <w:r w:rsidRPr="00BC32CF">
        <w:rPr>
          <w:rFonts w:ascii="Times New Roman" w:eastAsia="Calibri" w:hAnsi="Times New Roman" w:cs="Times New Roman"/>
          <w:b/>
          <w:sz w:val="24"/>
          <w:szCs w:val="24"/>
        </w:rPr>
        <w:t>Table 4:  Reliability Analysis and Significance Ranking of Bankability Criteria</w:t>
      </w:r>
    </w:p>
    <w:tbl>
      <w:tblPr>
        <w:tblStyle w:val="GridTable6Colorful-Accent21"/>
        <w:tblW w:w="15447" w:type="dxa"/>
        <w:tblInd w:w="-601" w:type="dxa"/>
        <w:tblLook w:val="04A0" w:firstRow="1" w:lastRow="0" w:firstColumn="1" w:lastColumn="0" w:noHBand="0" w:noVBand="1"/>
      </w:tblPr>
      <w:tblGrid>
        <w:gridCol w:w="1397"/>
        <w:gridCol w:w="683"/>
        <w:gridCol w:w="6796"/>
        <w:gridCol w:w="1349"/>
        <w:gridCol w:w="1417"/>
        <w:gridCol w:w="1456"/>
        <w:gridCol w:w="1214"/>
        <w:gridCol w:w="1135"/>
      </w:tblGrid>
      <w:tr w:rsidR="00BC32CF" w:rsidRPr="00BC32CF" w14:paraId="483338A1" w14:textId="77777777" w:rsidTr="00ED2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Align w:val="center"/>
          </w:tcPr>
          <w:p w14:paraId="61DA90A6" w14:textId="77777777" w:rsidR="00ED26B6" w:rsidRPr="00BC32CF" w:rsidRDefault="00ED26B6" w:rsidP="00ED26B6">
            <w:pPr>
              <w:jc w:val="center"/>
              <w:rPr>
                <w:rFonts w:ascii="Times New Roman" w:hAnsi="Times New Roman" w:cs="Times New Roman"/>
                <w:color w:val="auto"/>
              </w:rPr>
            </w:pPr>
            <w:r w:rsidRPr="00BC32CF">
              <w:rPr>
                <w:rFonts w:ascii="Times New Roman" w:hAnsi="Times New Roman" w:cs="Times New Roman"/>
                <w:color w:val="auto"/>
              </w:rPr>
              <w:t>Risk Factors</w:t>
            </w:r>
          </w:p>
          <w:p w14:paraId="18EC0C05" w14:textId="77777777" w:rsidR="00ED26B6" w:rsidRPr="00BC32CF" w:rsidRDefault="00ED26B6" w:rsidP="00ED26B6">
            <w:pPr>
              <w:jc w:val="center"/>
              <w:rPr>
                <w:rFonts w:ascii="Times New Roman" w:hAnsi="Times New Roman" w:cs="Times New Roman"/>
                <w:color w:val="auto"/>
              </w:rPr>
            </w:pPr>
            <w:r w:rsidRPr="00BC32CF">
              <w:rPr>
                <w:rFonts w:ascii="Times New Roman" w:hAnsi="Times New Roman" w:cs="Times New Roman"/>
                <w:color w:val="auto"/>
              </w:rPr>
              <w:t>(RF)</w:t>
            </w:r>
          </w:p>
        </w:tc>
        <w:tc>
          <w:tcPr>
            <w:tcW w:w="683" w:type="dxa"/>
            <w:vAlign w:val="center"/>
          </w:tcPr>
          <w:p w14:paraId="3295DBE2"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796" w:type="dxa"/>
            <w:vAlign w:val="center"/>
          </w:tcPr>
          <w:p w14:paraId="3A212C31"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Lenders Bankability Criteria for Evaluating PFI/PPP Loan Application in an Emerging Market Project</w:t>
            </w:r>
          </w:p>
        </w:tc>
        <w:tc>
          <w:tcPr>
            <w:tcW w:w="1349" w:type="dxa"/>
            <w:vAlign w:val="center"/>
          </w:tcPr>
          <w:p w14:paraId="25A92B65"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Corrected Items:</w:t>
            </w:r>
          </w:p>
          <w:p w14:paraId="65F28221"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total correlation</w:t>
            </w:r>
          </w:p>
        </w:tc>
        <w:tc>
          <w:tcPr>
            <w:tcW w:w="1417" w:type="dxa"/>
            <w:vAlign w:val="center"/>
          </w:tcPr>
          <w:p w14:paraId="23770DEC"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Cronbach’s α if items deleted</w:t>
            </w:r>
          </w:p>
        </w:tc>
        <w:tc>
          <w:tcPr>
            <w:tcW w:w="1456" w:type="dxa"/>
            <w:vAlign w:val="center"/>
          </w:tcPr>
          <w:p w14:paraId="295DD9B9"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Significance Index (%)</w:t>
            </w:r>
          </w:p>
        </w:tc>
        <w:tc>
          <w:tcPr>
            <w:tcW w:w="1214" w:type="dxa"/>
            <w:vAlign w:val="center"/>
          </w:tcPr>
          <w:p w14:paraId="10765086"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Ranking within Group</w:t>
            </w:r>
          </w:p>
        </w:tc>
        <w:tc>
          <w:tcPr>
            <w:tcW w:w="1135" w:type="dxa"/>
            <w:vAlign w:val="center"/>
          </w:tcPr>
          <w:p w14:paraId="25FBCEA4" w14:textId="77777777" w:rsidR="00ED26B6" w:rsidRPr="00BC32CF" w:rsidRDefault="00ED26B6" w:rsidP="00ED2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C32CF">
              <w:rPr>
                <w:rFonts w:ascii="Times New Roman" w:hAnsi="Times New Roman" w:cs="Times New Roman"/>
                <w:color w:val="auto"/>
              </w:rPr>
              <w:t>Overall Ranking</w:t>
            </w:r>
          </w:p>
        </w:tc>
      </w:tr>
      <w:tr w:rsidR="00BC32CF" w:rsidRPr="00BC32CF" w14:paraId="777B637C"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restart"/>
            <w:vAlign w:val="center"/>
          </w:tcPr>
          <w:p w14:paraId="7010442A" w14:textId="77777777" w:rsidR="00ED26B6" w:rsidRPr="00BC32CF" w:rsidRDefault="00ED26B6" w:rsidP="00ED26B6">
            <w:pPr>
              <w:jc w:val="center"/>
              <w:rPr>
                <w:rFonts w:ascii="Times New Roman" w:hAnsi="Times New Roman" w:cs="Times New Roman"/>
                <w:color w:val="auto"/>
                <w:sz w:val="20"/>
                <w:szCs w:val="20"/>
              </w:rPr>
            </w:pPr>
            <w:r w:rsidRPr="00BC32CF">
              <w:rPr>
                <w:rFonts w:ascii="Times New Roman" w:hAnsi="Times New Roman" w:cs="Times New Roman"/>
                <w:color w:val="auto"/>
                <w:sz w:val="20"/>
                <w:szCs w:val="20"/>
              </w:rPr>
              <w:t>Sponsor Risk</w:t>
            </w:r>
          </w:p>
        </w:tc>
        <w:tc>
          <w:tcPr>
            <w:tcW w:w="683" w:type="dxa"/>
          </w:tcPr>
          <w:p w14:paraId="3B13EAA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w:t>
            </w:r>
          </w:p>
        </w:tc>
        <w:tc>
          <w:tcPr>
            <w:tcW w:w="6796" w:type="dxa"/>
          </w:tcPr>
          <w:p w14:paraId="061D0792"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Sponsors with track record of successful project financing, strong credit quality and financial capacity</w:t>
            </w:r>
          </w:p>
        </w:tc>
        <w:tc>
          <w:tcPr>
            <w:tcW w:w="1349" w:type="dxa"/>
          </w:tcPr>
          <w:p w14:paraId="22B820CA"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0.608</w:t>
            </w:r>
          </w:p>
        </w:tc>
        <w:tc>
          <w:tcPr>
            <w:tcW w:w="1417" w:type="dxa"/>
          </w:tcPr>
          <w:p w14:paraId="0CCEBA6E"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0.721</w:t>
            </w:r>
          </w:p>
        </w:tc>
        <w:tc>
          <w:tcPr>
            <w:tcW w:w="1456" w:type="dxa"/>
          </w:tcPr>
          <w:p w14:paraId="71D2C7A7"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85.10</w:t>
            </w:r>
          </w:p>
        </w:tc>
        <w:tc>
          <w:tcPr>
            <w:tcW w:w="1214" w:type="dxa"/>
          </w:tcPr>
          <w:p w14:paraId="3E424CA0"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w:t>
            </w:r>
          </w:p>
        </w:tc>
        <w:tc>
          <w:tcPr>
            <w:tcW w:w="1135" w:type="dxa"/>
          </w:tcPr>
          <w:p w14:paraId="108272D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4</w:t>
            </w:r>
          </w:p>
        </w:tc>
      </w:tr>
      <w:tr w:rsidR="00BC32CF" w:rsidRPr="00BC32CF" w14:paraId="1AC18F4E"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53A488A7"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6A1B4B34"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BC2</w:t>
            </w:r>
          </w:p>
        </w:tc>
        <w:tc>
          <w:tcPr>
            <w:tcW w:w="6796" w:type="dxa"/>
          </w:tcPr>
          <w:p w14:paraId="3420F03E"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Bank-financed guarantee facility or Pre-completion guarantee</w:t>
            </w:r>
          </w:p>
        </w:tc>
        <w:tc>
          <w:tcPr>
            <w:tcW w:w="1349" w:type="dxa"/>
          </w:tcPr>
          <w:p w14:paraId="6EAD590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0.308</w:t>
            </w:r>
          </w:p>
        </w:tc>
        <w:tc>
          <w:tcPr>
            <w:tcW w:w="1417" w:type="dxa"/>
          </w:tcPr>
          <w:p w14:paraId="0B3C7D7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0.736</w:t>
            </w:r>
          </w:p>
        </w:tc>
        <w:tc>
          <w:tcPr>
            <w:tcW w:w="1456" w:type="dxa"/>
          </w:tcPr>
          <w:p w14:paraId="2AA5181E"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84.11</w:t>
            </w:r>
          </w:p>
        </w:tc>
        <w:tc>
          <w:tcPr>
            <w:tcW w:w="1214" w:type="dxa"/>
          </w:tcPr>
          <w:p w14:paraId="1A9AF5FE"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w:t>
            </w:r>
          </w:p>
        </w:tc>
        <w:tc>
          <w:tcPr>
            <w:tcW w:w="1135" w:type="dxa"/>
          </w:tcPr>
          <w:p w14:paraId="45DBC280"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10</w:t>
            </w:r>
          </w:p>
        </w:tc>
      </w:tr>
      <w:tr w:rsidR="00BC32CF" w:rsidRPr="00BC32CF" w14:paraId="1CD11F9C"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0EA35EE8"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2C7CAD4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BC3</w:t>
            </w:r>
          </w:p>
        </w:tc>
        <w:tc>
          <w:tcPr>
            <w:tcW w:w="6796" w:type="dxa"/>
          </w:tcPr>
          <w:p w14:paraId="460FF261"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Mix of management skills and experience demonstrated by or available to sponsors</w:t>
            </w:r>
          </w:p>
        </w:tc>
        <w:tc>
          <w:tcPr>
            <w:tcW w:w="1349" w:type="dxa"/>
          </w:tcPr>
          <w:p w14:paraId="6CD2438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0.544</w:t>
            </w:r>
          </w:p>
        </w:tc>
        <w:tc>
          <w:tcPr>
            <w:tcW w:w="1417" w:type="dxa"/>
          </w:tcPr>
          <w:p w14:paraId="5976BA5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0.719</w:t>
            </w:r>
          </w:p>
        </w:tc>
        <w:tc>
          <w:tcPr>
            <w:tcW w:w="1456" w:type="dxa"/>
          </w:tcPr>
          <w:p w14:paraId="3AD84D8A"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69.10</w:t>
            </w:r>
          </w:p>
        </w:tc>
        <w:tc>
          <w:tcPr>
            <w:tcW w:w="1214" w:type="dxa"/>
          </w:tcPr>
          <w:p w14:paraId="1723731D"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w:t>
            </w:r>
          </w:p>
        </w:tc>
        <w:tc>
          <w:tcPr>
            <w:tcW w:w="1135" w:type="dxa"/>
          </w:tcPr>
          <w:p w14:paraId="4603DA0E"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18</w:t>
            </w:r>
          </w:p>
        </w:tc>
      </w:tr>
      <w:tr w:rsidR="00BC32CF" w:rsidRPr="00BC32CF" w14:paraId="582A78EB"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1DB652F4"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769925B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BC4</w:t>
            </w:r>
          </w:p>
        </w:tc>
        <w:tc>
          <w:tcPr>
            <w:tcW w:w="6796" w:type="dxa"/>
          </w:tcPr>
          <w:p w14:paraId="6C48DDD5"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Sponsor with well-established relationship with a lender</w:t>
            </w:r>
          </w:p>
        </w:tc>
        <w:tc>
          <w:tcPr>
            <w:tcW w:w="1349" w:type="dxa"/>
          </w:tcPr>
          <w:p w14:paraId="42731410"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0.512</w:t>
            </w:r>
          </w:p>
        </w:tc>
        <w:tc>
          <w:tcPr>
            <w:tcW w:w="1417" w:type="dxa"/>
          </w:tcPr>
          <w:p w14:paraId="53D5820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0.718</w:t>
            </w:r>
          </w:p>
        </w:tc>
        <w:tc>
          <w:tcPr>
            <w:tcW w:w="1456" w:type="dxa"/>
          </w:tcPr>
          <w:p w14:paraId="40E9322F"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70.23</w:t>
            </w:r>
          </w:p>
        </w:tc>
        <w:tc>
          <w:tcPr>
            <w:tcW w:w="1214" w:type="dxa"/>
          </w:tcPr>
          <w:p w14:paraId="4D371C6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4</w:t>
            </w:r>
          </w:p>
        </w:tc>
        <w:tc>
          <w:tcPr>
            <w:tcW w:w="1135" w:type="dxa"/>
          </w:tcPr>
          <w:p w14:paraId="5649616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17</w:t>
            </w:r>
          </w:p>
        </w:tc>
      </w:tr>
      <w:tr w:rsidR="00BC32CF" w:rsidRPr="00BC32CF" w14:paraId="2F2FA66F"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706DBAAA"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3C9F1028"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BC5</w:t>
            </w:r>
          </w:p>
        </w:tc>
        <w:tc>
          <w:tcPr>
            <w:tcW w:w="6796" w:type="dxa"/>
          </w:tcPr>
          <w:p w14:paraId="3D3BA6DF"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Satisfactory equity contribution by the sponsors</w:t>
            </w:r>
          </w:p>
        </w:tc>
        <w:tc>
          <w:tcPr>
            <w:tcW w:w="1349" w:type="dxa"/>
          </w:tcPr>
          <w:p w14:paraId="347D98C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0.450</w:t>
            </w:r>
          </w:p>
        </w:tc>
        <w:tc>
          <w:tcPr>
            <w:tcW w:w="1417" w:type="dxa"/>
          </w:tcPr>
          <w:p w14:paraId="515A9CA6"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0.730</w:t>
            </w:r>
          </w:p>
        </w:tc>
        <w:tc>
          <w:tcPr>
            <w:tcW w:w="1456" w:type="dxa"/>
          </w:tcPr>
          <w:p w14:paraId="1C387967"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84.03</w:t>
            </w:r>
          </w:p>
        </w:tc>
        <w:tc>
          <w:tcPr>
            <w:tcW w:w="1214" w:type="dxa"/>
          </w:tcPr>
          <w:p w14:paraId="3D9629E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3</w:t>
            </w:r>
          </w:p>
        </w:tc>
        <w:tc>
          <w:tcPr>
            <w:tcW w:w="1135" w:type="dxa"/>
          </w:tcPr>
          <w:p w14:paraId="44D15ED3"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11</w:t>
            </w:r>
          </w:p>
        </w:tc>
      </w:tr>
      <w:tr w:rsidR="00BC32CF" w:rsidRPr="00BC32CF" w14:paraId="136632AC"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5210CBBC"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6964DC3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BC6</w:t>
            </w:r>
          </w:p>
        </w:tc>
        <w:tc>
          <w:tcPr>
            <w:tcW w:w="6796" w:type="dxa"/>
          </w:tcPr>
          <w:p w14:paraId="5D60F98E"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Equity contribution must be available either in cash or in a blocked account</w:t>
            </w:r>
          </w:p>
        </w:tc>
        <w:tc>
          <w:tcPr>
            <w:tcW w:w="1349" w:type="dxa"/>
          </w:tcPr>
          <w:p w14:paraId="6C5292A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0.568</w:t>
            </w:r>
          </w:p>
        </w:tc>
        <w:tc>
          <w:tcPr>
            <w:tcW w:w="1417" w:type="dxa"/>
          </w:tcPr>
          <w:p w14:paraId="36D1EBB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0.727</w:t>
            </w:r>
          </w:p>
        </w:tc>
        <w:tc>
          <w:tcPr>
            <w:tcW w:w="1456" w:type="dxa"/>
          </w:tcPr>
          <w:p w14:paraId="2E4D72E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55.65</w:t>
            </w:r>
          </w:p>
        </w:tc>
        <w:tc>
          <w:tcPr>
            <w:tcW w:w="1214" w:type="dxa"/>
          </w:tcPr>
          <w:p w14:paraId="6C3EA99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6</w:t>
            </w:r>
          </w:p>
        </w:tc>
        <w:tc>
          <w:tcPr>
            <w:tcW w:w="1135" w:type="dxa"/>
          </w:tcPr>
          <w:p w14:paraId="3AFCE83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20</w:t>
            </w:r>
          </w:p>
        </w:tc>
      </w:tr>
      <w:tr w:rsidR="00BC32CF" w:rsidRPr="00BC32CF" w14:paraId="29D8CB16"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7" w:type="dxa"/>
            <w:gridSpan w:val="8"/>
            <w:vAlign w:val="center"/>
          </w:tcPr>
          <w:p w14:paraId="52B2A109" w14:textId="77777777" w:rsidR="00ED26B6" w:rsidRPr="00BC32CF" w:rsidRDefault="00ED26B6" w:rsidP="00ED26B6">
            <w:pPr>
              <w:jc w:val="center"/>
              <w:rPr>
                <w:rFonts w:ascii="Times New Roman" w:hAnsi="Times New Roman" w:cs="Times New Roman"/>
                <w:color w:val="auto"/>
                <w:sz w:val="20"/>
                <w:szCs w:val="20"/>
              </w:rPr>
            </w:pPr>
          </w:p>
        </w:tc>
      </w:tr>
      <w:tr w:rsidR="00BC32CF" w:rsidRPr="00BC32CF" w14:paraId="13298DDB"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restart"/>
            <w:vAlign w:val="center"/>
          </w:tcPr>
          <w:p w14:paraId="7CF3C548" w14:textId="77777777" w:rsidR="00ED26B6" w:rsidRPr="00BC32CF" w:rsidRDefault="00ED26B6" w:rsidP="00ED26B6">
            <w:pPr>
              <w:jc w:val="center"/>
              <w:rPr>
                <w:rFonts w:ascii="Times New Roman" w:hAnsi="Times New Roman" w:cs="Times New Roman"/>
                <w:color w:val="auto"/>
                <w:sz w:val="20"/>
                <w:szCs w:val="20"/>
              </w:rPr>
            </w:pPr>
            <w:r w:rsidRPr="00BC32CF">
              <w:rPr>
                <w:rFonts w:ascii="Times New Roman" w:hAnsi="Times New Roman" w:cs="Times New Roman"/>
                <w:color w:val="auto"/>
                <w:sz w:val="20"/>
                <w:szCs w:val="20"/>
              </w:rPr>
              <w:t>Political Risk</w:t>
            </w:r>
          </w:p>
        </w:tc>
        <w:tc>
          <w:tcPr>
            <w:tcW w:w="683" w:type="dxa"/>
          </w:tcPr>
          <w:p w14:paraId="2EE46780"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BC7</w:t>
            </w:r>
          </w:p>
        </w:tc>
        <w:tc>
          <w:tcPr>
            <w:tcW w:w="6796" w:type="dxa"/>
          </w:tcPr>
          <w:p w14:paraId="0B635539"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Full Transfer of political risk to export credit agency (ECA)</w:t>
            </w:r>
          </w:p>
        </w:tc>
        <w:tc>
          <w:tcPr>
            <w:tcW w:w="1349" w:type="dxa"/>
          </w:tcPr>
          <w:p w14:paraId="7CC91643"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0.333</w:t>
            </w:r>
          </w:p>
        </w:tc>
        <w:tc>
          <w:tcPr>
            <w:tcW w:w="1417" w:type="dxa"/>
          </w:tcPr>
          <w:p w14:paraId="49680F23"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0.736</w:t>
            </w:r>
          </w:p>
        </w:tc>
        <w:tc>
          <w:tcPr>
            <w:tcW w:w="1456" w:type="dxa"/>
          </w:tcPr>
          <w:p w14:paraId="381982D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85.32</w:t>
            </w:r>
          </w:p>
        </w:tc>
        <w:tc>
          <w:tcPr>
            <w:tcW w:w="1214" w:type="dxa"/>
          </w:tcPr>
          <w:p w14:paraId="45BE2742"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w:t>
            </w:r>
          </w:p>
        </w:tc>
        <w:tc>
          <w:tcPr>
            <w:tcW w:w="1135" w:type="dxa"/>
          </w:tcPr>
          <w:p w14:paraId="2AF4FA0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w:t>
            </w:r>
          </w:p>
        </w:tc>
      </w:tr>
      <w:tr w:rsidR="00BC32CF" w:rsidRPr="00BC32CF" w14:paraId="2BDBF6C1"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3C33C8D3"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29AC1E52"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BC8</w:t>
            </w:r>
          </w:p>
        </w:tc>
        <w:tc>
          <w:tcPr>
            <w:tcW w:w="6796" w:type="dxa"/>
          </w:tcPr>
          <w:p w14:paraId="4B13F732"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 xml:space="preserve">Country capacity/political risk insurance from private sector insurer </w:t>
            </w:r>
          </w:p>
        </w:tc>
        <w:tc>
          <w:tcPr>
            <w:tcW w:w="1349" w:type="dxa"/>
          </w:tcPr>
          <w:p w14:paraId="57FF16F9"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0.310</w:t>
            </w:r>
          </w:p>
        </w:tc>
        <w:tc>
          <w:tcPr>
            <w:tcW w:w="1417" w:type="dxa"/>
          </w:tcPr>
          <w:p w14:paraId="7021382E"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0.737</w:t>
            </w:r>
          </w:p>
        </w:tc>
        <w:tc>
          <w:tcPr>
            <w:tcW w:w="1456" w:type="dxa"/>
          </w:tcPr>
          <w:p w14:paraId="457521DD"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76.41</w:t>
            </w:r>
          </w:p>
        </w:tc>
        <w:tc>
          <w:tcPr>
            <w:tcW w:w="1214" w:type="dxa"/>
          </w:tcPr>
          <w:p w14:paraId="39A0FD8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4</w:t>
            </w:r>
          </w:p>
        </w:tc>
        <w:tc>
          <w:tcPr>
            <w:tcW w:w="1135" w:type="dxa"/>
          </w:tcPr>
          <w:p w14:paraId="702A8FC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14</w:t>
            </w:r>
          </w:p>
        </w:tc>
      </w:tr>
      <w:tr w:rsidR="00BC32CF" w:rsidRPr="00BC32CF" w14:paraId="202A1A4F"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30961C03"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09BD670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BC9</w:t>
            </w:r>
          </w:p>
        </w:tc>
        <w:tc>
          <w:tcPr>
            <w:tcW w:w="6796" w:type="dxa"/>
          </w:tcPr>
          <w:p w14:paraId="4226130B"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Raising part of the project loan from indigenous banks in project host nation to reduce currency risk</w:t>
            </w:r>
          </w:p>
        </w:tc>
        <w:tc>
          <w:tcPr>
            <w:tcW w:w="1349" w:type="dxa"/>
          </w:tcPr>
          <w:p w14:paraId="49B559DF"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0.510</w:t>
            </w:r>
          </w:p>
        </w:tc>
        <w:tc>
          <w:tcPr>
            <w:tcW w:w="1417" w:type="dxa"/>
          </w:tcPr>
          <w:p w14:paraId="4D45A7C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0.738</w:t>
            </w:r>
          </w:p>
        </w:tc>
        <w:tc>
          <w:tcPr>
            <w:tcW w:w="1456" w:type="dxa"/>
          </w:tcPr>
          <w:p w14:paraId="0442B9D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59.01</w:t>
            </w:r>
          </w:p>
        </w:tc>
        <w:tc>
          <w:tcPr>
            <w:tcW w:w="1214" w:type="dxa"/>
          </w:tcPr>
          <w:p w14:paraId="0EDF3AB4"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w:t>
            </w:r>
          </w:p>
        </w:tc>
        <w:tc>
          <w:tcPr>
            <w:tcW w:w="1135" w:type="dxa"/>
          </w:tcPr>
          <w:p w14:paraId="24DBD293"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19</w:t>
            </w:r>
          </w:p>
        </w:tc>
      </w:tr>
      <w:tr w:rsidR="00BC32CF" w:rsidRPr="00BC32CF" w14:paraId="5C81BE81"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0A40186D"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57F5CB43"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BC10</w:t>
            </w:r>
          </w:p>
        </w:tc>
        <w:tc>
          <w:tcPr>
            <w:tcW w:w="6796" w:type="dxa"/>
          </w:tcPr>
          <w:p w14:paraId="0B83B5FD"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Multilateral Agency-Backed Loan facility</w:t>
            </w:r>
          </w:p>
        </w:tc>
        <w:tc>
          <w:tcPr>
            <w:tcW w:w="1349" w:type="dxa"/>
          </w:tcPr>
          <w:p w14:paraId="56E96CE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0.377</w:t>
            </w:r>
          </w:p>
        </w:tc>
        <w:tc>
          <w:tcPr>
            <w:tcW w:w="1417" w:type="dxa"/>
          </w:tcPr>
          <w:p w14:paraId="5404748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0.720</w:t>
            </w:r>
          </w:p>
        </w:tc>
        <w:tc>
          <w:tcPr>
            <w:tcW w:w="1456" w:type="dxa"/>
          </w:tcPr>
          <w:p w14:paraId="49F7FE6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85.21</w:t>
            </w:r>
          </w:p>
        </w:tc>
        <w:tc>
          <w:tcPr>
            <w:tcW w:w="1214" w:type="dxa"/>
          </w:tcPr>
          <w:p w14:paraId="49E732D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w:t>
            </w:r>
          </w:p>
        </w:tc>
        <w:tc>
          <w:tcPr>
            <w:tcW w:w="1135" w:type="dxa"/>
          </w:tcPr>
          <w:p w14:paraId="4597681B"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w:t>
            </w:r>
          </w:p>
        </w:tc>
      </w:tr>
      <w:tr w:rsidR="00BC32CF" w:rsidRPr="00BC32CF" w14:paraId="43EB28EA"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78764DE0"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6D96839B"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BC11</w:t>
            </w:r>
          </w:p>
        </w:tc>
        <w:tc>
          <w:tcPr>
            <w:tcW w:w="6796" w:type="dxa"/>
          </w:tcPr>
          <w:p w14:paraId="4243CD9D"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w:t>
            </w:r>
            <w:r w:rsidRPr="00BC32CF">
              <w:rPr>
                <w:rFonts w:ascii="Times New Roman" w:hAnsi="Times New Roman" w:cs="Times New Roman"/>
                <w:b/>
                <w:color w:val="auto"/>
                <w:sz w:val="19"/>
                <w:szCs w:val="19"/>
              </w:rPr>
              <w:t>Preferred Creditor Status” granted by the MLA to participating banks</w:t>
            </w:r>
          </w:p>
        </w:tc>
        <w:tc>
          <w:tcPr>
            <w:tcW w:w="1349" w:type="dxa"/>
          </w:tcPr>
          <w:p w14:paraId="3E33E710"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0.359</w:t>
            </w:r>
          </w:p>
        </w:tc>
        <w:tc>
          <w:tcPr>
            <w:tcW w:w="1417" w:type="dxa"/>
          </w:tcPr>
          <w:p w14:paraId="6834214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0.738</w:t>
            </w:r>
          </w:p>
        </w:tc>
        <w:tc>
          <w:tcPr>
            <w:tcW w:w="1456" w:type="dxa"/>
          </w:tcPr>
          <w:p w14:paraId="32EDCA82"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81.15</w:t>
            </w:r>
          </w:p>
        </w:tc>
        <w:tc>
          <w:tcPr>
            <w:tcW w:w="1214" w:type="dxa"/>
          </w:tcPr>
          <w:p w14:paraId="677EA0A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3</w:t>
            </w:r>
          </w:p>
        </w:tc>
        <w:tc>
          <w:tcPr>
            <w:tcW w:w="1135" w:type="dxa"/>
          </w:tcPr>
          <w:p w14:paraId="7FE65F83"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12</w:t>
            </w:r>
          </w:p>
        </w:tc>
      </w:tr>
      <w:tr w:rsidR="00BC32CF" w:rsidRPr="00BC32CF" w14:paraId="5F39CEFD"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7" w:type="dxa"/>
            <w:gridSpan w:val="8"/>
            <w:vAlign w:val="center"/>
          </w:tcPr>
          <w:p w14:paraId="2F8D6A75" w14:textId="77777777" w:rsidR="00ED26B6" w:rsidRPr="00BC32CF" w:rsidRDefault="00ED26B6" w:rsidP="00ED26B6">
            <w:pPr>
              <w:jc w:val="center"/>
              <w:rPr>
                <w:rFonts w:ascii="Times New Roman" w:hAnsi="Times New Roman" w:cs="Times New Roman"/>
                <w:color w:val="auto"/>
                <w:sz w:val="20"/>
                <w:szCs w:val="20"/>
              </w:rPr>
            </w:pPr>
          </w:p>
        </w:tc>
      </w:tr>
      <w:tr w:rsidR="00BC32CF" w:rsidRPr="00BC32CF" w14:paraId="4B0C7027"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restart"/>
            <w:vAlign w:val="center"/>
          </w:tcPr>
          <w:p w14:paraId="47C69A80" w14:textId="77777777" w:rsidR="00ED26B6" w:rsidRPr="00BC32CF" w:rsidRDefault="00ED26B6" w:rsidP="00ED26B6">
            <w:pPr>
              <w:jc w:val="center"/>
              <w:rPr>
                <w:rFonts w:ascii="Times New Roman" w:hAnsi="Times New Roman" w:cs="Times New Roman"/>
                <w:color w:val="auto"/>
                <w:sz w:val="20"/>
                <w:szCs w:val="20"/>
              </w:rPr>
            </w:pPr>
            <w:r w:rsidRPr="00BC32CF">
              <w:rPr>
                <w:rFonts w:ascii="Times New Roman" w:hAnsi="Times New Roman" w:cs="Times New Roman"/>
                <w:color w:val="auto"/>
                <w:sz w:val="20"/>
                <w:szCs w:val="20"/>
              </w:rPr>
              <w:t>Legal Risk</w:t>
            </w:r>
          </w:p>
        </w:tc>
        <w:tc>
          <w:tcPr>
            <w:tcW w:w="683" w:type="dxa"/>
          </w:tcPr>
          <w:p w14:paraId="2921EB2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BC12</w:t>
            </w:r>
          </w:p>
        </w:tc>
        <w:tc>
          <w:tcPr>
            <w:tcW w:w="6796" w:type="dxa"/>
          </w:tcPr>
          <w:p w14:paraId="15462789"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Existence of Operational permit and approval from the project grantor</w:t>
            </w:r>
          </w:p>
        </w:tc>
        <w:tc>
          <w:tcPr>
            <w:tcW w:w="1349" w:type="dxa"/>
          </w:tcPr>
          <w:p w14:paraId="3F675E6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0.314</w:t>
            </w:r>
          </w:p>
        </w:tc>
        <w:tc>
          <w:tcPr>
            <w:tcW w:w="1417" w:type="dxa"/>
          </w:tcPr>
          <w:p w14:paraId="7B9C7E22"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0.733</w:t>
            </w:r>
          </w:p>
        </w:tc>
        <w:tc>
          <w:tcPr>
            <w:tcW w:w="1456" w:type="dxa"/>
          </w:tcPr>
          <w:p w14:paraId="3D9FE8D2"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85.01</w:t>
            </w:r>
          </w:p>
        </w:tc>
        <w:tc>
          <w:tcPr>
            <w:tcW w:w="1214" w:type="dxa"/>
          </w:tcPr>
          <w:p w14:paraId="3AB38D8A"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w:t>
            </w:r>
          </w:p>
        </w:tc>
        <w:tc>
          <w:tcPr>
            <w:tcW w:w="1135" w:type="dxa"/>
          </w:tcPr>
          <w:p w14:paraId="1549CB64"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w:t>
            </w:r>
          </w:p>
        </w:tc>
      </w:tr>
      <w:tr w:rsidR="00BC32CF" w:rsidRPr="00BC32CF" w14:paraId="75CEDF8F"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3737642E"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630B14A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BC13</w:t>
            </w:r>
          </w:p>
        </w:tc>
        <w:tc>
          <w:tcPr>
            <w:tcW w:w="6796" w:type="dxa"/>
          </w:tcPr>
          <w:p w14:paraId="3B23F946"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Social and environmental due diligence</w:t>
            </w:r>
          </w:p>
        </w:tc>
        <w:tc>
          <w:tcPr>
            <w:tcW w:w="1349" w:type="dxa"/>
          </w:tcPr>
          <w:p w14:paraId="6E1ECB8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0.378</w:t>
            </w:r>
          </w:p>
        </w:tc>
        <w:tc>
          <w:tcPr>
            <w:tcW w:w="1417" w:type="dxa"/>
          </w:tcPr>
          <w:p w14:paraId="2E728608"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0.740</w:t>
            </w:r>
          </w:p>
        </w:tc>
        <w:tc>
          <w:tcPr>
            <w:tcW w:w="1456" w:type="dxa"/>
          </w:tcPr>
          <w:p w14:paraId="7A8CBD2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84.43</w:t>
            </w:r>
          </w:p>
        </w:tc>
        <w:tc>
          <w:tcPr>
            <w:tcW w:w="1214" w:type="dxa"/>
          </w:tcPr>
          <w:p w14:paraId="0440FEED"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w:t>
            </w:r>
          </w:p>
        </w:tc>
        <w:tc>
          <w:tcPr>
            <w:tcW w:w="1135" w:type="dxa"/>
          </w:tcPr>
          <w:p w14:paraId="4C806C7D"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w:t>
            </w:r>
          </w:p>
        </w:tc>
      </w:tr>
      <w:tr w:rsidR="00BC32CF" w:rsidRPr="00BC32CF" w14:paraId="3A25BCBA"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1C635D39"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2AFC195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BC14</w:t>
            </w:r>
          </w:p>
        </w:tc>
        <w:tc>
          <w:tcPr>
            <w:tcW w:w="6796" w:type="dxa"/>
          </w:tcPr>
          <w:p w14:paraId="24640874"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Compliance with Equator Principles</w:t>
            </w:r>
          </w:p>
        </w:tc>
        <w:tc>
          <w:tcPr>
            <w:tcW w:w="1349" w:type="dxa"/>
          </w:tcPr>
          <w:p w14:paraId="2CA4FD51"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0.388</w:t>
            </w:r>
          </w:p>
        </w:tc>
        <w:tc>
          <w:tcPr>
            <w:tcW w:w="1417" w:type="dxa"/>
          </w:tcPr>
          <w:p w14:paraId="5096E89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0.746</w:t>
            </w:r>
          </w:p>
        </w:tc>
        <w:tc>
          <w:tcPr>
            <w:tcW w:w="1456" w:type="dxa"/>
          </w:tcPr>
          <w:p w14:paraId="4865AC5E"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84.15</w:t>
            </w:r>
          </w:p>
        </w:tc>
        <w:tc>
          <w:tcPr>
            <w:tcW w:w="1214" w:type="dxa"/>
          </w:tcPr>
          <w:p w14:paraId="7F925EDF"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3</w:t>
            </w:r>
          </w:p>
        </w:tc>
        <w:tc>
          <w:tcPr>
            <w:tcW w:w="1135" w:type="dxa"/>
          </w:tcPr>
          <w:p w14:paraId="2D4E913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9</w:t>
            </w:r>
          </w:p>
        </w:tc>
      </w:tr>
      <w:tr w:rsidR="00BC32CF" w:rsidRPr="00BC32CF" w14:paraId="217E45C3"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ign w:val="center"/>
          </w:tcPr>
          <w:p w14:paraId="54C60BED" w14:textId="77777777" w:rsidR="00ED26B6" w:rsidRPr="00BC32CF" w:rsidRDefault="00ED26B6" w:rsidP="00ED26B6">
            <w:pPr>
              <w:jc w:val="center"/>
              <w:rPr>
                <w:rFonts w:ascii="Times New Roman" w:hAnsi="Times New Roman" w:cs="Times New Roman"/>
                <w:color w:val="auto"/>
                <w:sz w:val="20"/>
                <w:szCs w:val="20"/>
              </w:rPr>
            </w:pPr>
          </w:p>
        </w:tc>
        <w:tc>
          <w:tcPr>
            <w:tcW w:w="683" w:type="dxa"/>
          </w:tcPr>
          <w:p w14:paraId="4CC47391"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BC15</w:t>
            </w:r>
          </w:p>
        </w:tc>
        <w:tc>
          <w:tcPr>
            <w:tcW w:w="6796" w:type="dxa"/>
          </w:tcPr>
          <w:p w14:paraId="27924DCE"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Annual reporting of Equator Principles implementation on the project</w:t>
            </w:r>
          </w:p>
        </w:tc>
        <w:tc>
          <w:tcPr>
            <w:tcW w:w="1349" w:type="dxa"/>
          </w:tcPr>
          <w:p w14:paraId="32BFA04B"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0.114*</w:t>
            </w:r>
          </w:p>
        </w:tc>
        <w:tc>
          <w:tcPr>
            <w:tcW w:w="1417" w:type="dxa"/>
          </w:tcPr>
          <w:p w14:paraId="7C75298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0.820*</w:t>
            </w:r>
          </w:p>
        </w:tc>
        <w:tc>
          <w:tcPr>
            <w:tcW w:w="1456" w:type="dxa"/>
          </w:tcPr>
          <w:p w14:paraId="35C6D013"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51.24</w:t>
            </w:r>
          </w:p>
        </w:tc>
        <w:tc>
          <w:tcPr>
            <w:tcW w:w="1214" w:type="dxa"/>
          </w:tcPr>
          <w:p w14:paraId="27292D0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4</w:t>
            </w:r>
          </w:p>
        </w:tc>
        <w:tc>
          <w:tcPr>
            <w:tcW w:w="1135" w:type="dxa"/>
          </w:tcPr>
          <w:p w14:paraId="71B0AA32"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22</w:t>
            </w:r>
          </w:p>
        </w:tc>
      </w:tr>
      <w:tr w:rsidR="00BC32CF" w:rsidRPr="00BC32CF" w14:paraId="376D24AE" w14:textId="77777777" w:rsidTr="00ED26B6">
        <w:tc>
          <w:tcPr>
            <w:cnfStyle w:val="001000000000" w:firstRow="0" w:lastRow="0" w:firstColumn="1" w:lastColumn="0" w:oddVBand="0" w:evenVBand="0" w:oddHBand="0" w:evenHBand="0" w:firstRowFirstColumn="0" w:firstRowLastColumn="0" w:lastRowFirstColumn="0" w:lastRowLastColumn="0"/>
            <w:tcW w:w="15447" w:type="dxa"/>
            <w:gridSpan w:val="8"/>
            <w:vAlign w:val="center"/>
          </w:tcPr>
          <w:p w14:paraId="04471E96" w14:textId="77777777" w:rsidR="00ED26B6" w:rsidRPr="00BC32CF" w:rsidRDefault="00ED26B6" w:rsidP="00ED26B6">
            <w:pPr>
              <w:jc w:val="center"/>
              <w:rPr>
                <w:rFonts w:ascii="Times New Roman" w:hAnsi="Times New Roman" w:cs="Times New Roman"/>
                <w:color w:val="auto"/>
                <w:sz w:val="20"/>
                <w:szCs w:val="20"/>
              </w:rPr>
            </w:pPr>
          </w:p>
        </w:tc>
      </w:tr>
      <w:tr w:rsidR="00BC32CF" w:rsidRPr="00BC32CF" w14:paraId="4C5E52A8"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val="restart"/>
            <w:vAlign w:val="center"/>
          </w:tcPr>
          <w:p w14:paraId="7124E5EC" w14:textId="77777777" w:rsidR="00ED26B6" w:rsidRPr="00BC32CF" w:rsidRDefault="00ED26B6" w:rsidP="00ED26B6">
            <w:pPr>
              <w:jc w:val="center"/>
              <w:rPr>
                <w:rFonts w:ascii="Times New Roman" w:hAnsi="Times New Roman" w:cs="Times New Roman"/>
                <w:color w:val="auto"/>
                <w:sz w:val="20"/>
                <w:szCs w:val="20"/>
              </w:rPr>
            </w:pPr>
            <w:r w:rsidRPr="00BC32CF">
              <w:rPr>
                <w:rFonts w:ascii="Times New Roman" w:hAnsi="Times New Roman" w:cs="Times New Roman"/>
                <w:color w:val="auto"/>
                <w:sz w:val="20"/>
                <w:szCs w:val="20"/>
              </w:rPr>
              <w:t>Concession Risk</w:t>
            </w:r>
          </w:p>
        </w:tc>
        <w:tc>
          <w:tcPr>
            <w:tcW w:w="683" w:type="dxa"/>
          </w:tcPr>
          <w:p w14:paraId="2F959036"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BC16</w:t>
            </w:r>
          </w:p>
        </w:tc>
        <w:tc>
          <w:tcPr>
            <w:tcW w:w="6796" w:type="dxa"/>
          </w:tcPr>
          <w:p w14:paraId="17CA3CAA"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Concession risk to be transferred to the project company</w:t>
            </w:r>
          </w:p>
        </w:tc>
        <w:tc>
          <w:tcPr>
            <w:tcW w:w="1349" w:type="dxa"/>
          </w:tcPr>
          <w:p w14:paraId="4485FF7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0.484</w:t>
            </w:r>
          </w:p>
        </w:tc>
        <w:tc>
          <w:tcPr>
            <w:tcW w:w="1417" w:type="dxa"/>
          </w:tcPr>
          <w:p w14:paraId="63A5D9B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0.725</w:t>
            </w:r>
          </w:p>
        </w:tc>
        <w:tc>
          <w:tcPr>
            <w:tcW w:w="1456" w:type="dxa"/>
          </w:tcPr>
          <w:p w14:paraId="6C9EDDE8"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72.15</w:t>
            </w:r>
          </w:p>
        </w:tc>
        <w:tc>
          <w:tcPr>
            <w:tcW w:w="1214" w:type="dxa"/>
          </w:tcPr>
          <w:p w14:paraId="25B3FA9B"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w:t>
            </w:r>
          </w:p>
        </w:tc>
        <w:tc>
          <w:tcPr>
            <w:tcW w:w="1135" w:type="dxa"/>
          </w:tcPr>
          <w:p w14:paraId="04A1C063"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15</w:t>
            </w:r>
          </w:p>
        </w:tc>
      </w:tr>
      <w:tr w:rsidR="00BC32CF" w:rsidRPr="00BC32CF" w14:paraId="13F98755"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tcPr>
          <w:p w14:paraId="5995D5D0" w14:textId="77777777" w:rsidR="00ED26B6" w:rsidRPr="00BC32CF" w:rsidRDefault="00ED26B6" w:rsidP="00ED26B6">
            <w:pPr>
              <w:rPr>
                <w:rFonts w:ascii="Times New Roman" w:hAnsi="Times New Roman" w:cs="Times New Roman"/>
                <w:color w:val="auto"/>
                <w:sz w:val="20"/>
                <w:szCs w:val="20"/>
              </w:rPr>
            </w:pPr>
          </w:p>
        </w:tc>
        <w:tc>
          <w:tcPr>
            <w:tcW w:w="683" w:type="dxa"/>
          </w:tcPr>
          <w:p w14:paraId="64388425"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BC17</w:t>
            </w:r>
          </w:p>
        </w:tc>
        <w:tc>
          <w:tcPr>
            <w:tcW w:w="6796" w:type="dxa"/>
          </w:tcPr>
          <w:p w14:paraId="67327BBF"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Direct contractual relationship between lenders and project grantor, as well as other project contractors and sub-contractors respectively</w:t>
            </w:r>
          </w:p>
        </w:tc>
        <w:tc>
          <w:tcPr>
            <w:tcW w:w="1349" w:type="dxa"/>
          </w:tcPr>
          <w:p w14:paraId="16C2355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0.529</w:t>
            </w:r>
          </w:p>
        </w:tc>
        <w:tc>
          <w:tcPr>
            <w:tcW w:w="1417" w:type="dxa"/>
          </w:tcPr>
          <w:p w14:paraId="3385141C"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0.721</w:t>
            </w:r>
          </w:p>
        </w:tc>
        <w:tc>
          <w:tcPr>
            <w:tcW w:w="1456" w:type="dxa"/>
          </w:tcPr>
          <w:p w14:paraId="13615748"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84.70</w:t>
            </w:r>
          </w:p>
        </w:tc>
        <w:tc>
          <w:tcPr>
            <w:tcW w:w="1214" w:type="dxa"/>
          </w:tcPr>
          <w:p w14:paraId="185E2838"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w:t>
            </w:r>
          </w:p>
        </w:tc>
        <w:tc>
          <w:tcPr>
            <w:tcW w:w="1135" w:type="dxa"/>
          </w:tcPr>
          <w:p w14:paraId="6F39B59F"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6</w:t>
            </w:r>
          </w:p>
        </w:tc>
      </w:tr>
      <w:tr w:rsidR="00BC32CF" w:rsidRPr="00BC32CF" w14:paraId="5865408E"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tcPr>
          <w:p w14:paraId="66C97103" w14:textId="77777777" w:rsidR="00ED26B6" w:rsidRPr="00BC32CF" w:rsidRDefault="00ED26B6" w:rsidP="00ED26B6">
            <w:pPr>
              <w:rPr>
                <w:rFonts w:ascii="Times New Roman" w:hAnsi="Times New Roman" w:cs="Times New Roman"/>
                <w:color w:val="auto"/>
                <w:sz w:val="20"/>
                <w:szCs w:val="20"/>
              </w:rPr>
            </w:pPr>
          </w:p>
        </w:tc>
        <w:tc>
          <w:tcPr>
            <w:tcW w:w="683" w:type="dxa"/>
          </w:tcPr>
          <w:p w14:paraId="5901759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BC18</w:t>
            </w:r>
          </w:p>
        </w:tc>
        <w:tc>
          <w:tcPr>
            <w:tcW w:w="6796" w:type="dxa"/>
          </w:tcPr>
          <w:p w14:paraId="2808816A"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Security rights over project company’s insurance policies, cash flows and other income generating contracts as well as assets</w:t>
            </w:r>
          </w:p>
        </w:tc>
        <w:tc>
          <w:tcPr>
            <w:tcW w:w="1349" w:type="dxa"/>
          </w:tcPr>
          <w:p w14:paraId="69598065"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0.540</w:t>
            </w:r>
          </w:p>
        </w:tc>
        <w:tc>
          <w:tcPr>
            <w:tcW w:w="1417" w:type="dxa"/>
          </w:tcPr>
          <w:p w14:paraId="299F8812"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0.723</w:t>
            </w:r>
          </w:p>
        </w:tc>
        <w:tc>
          <w:tcPr>
            <w:tcW w:w="1456" w:type="dxa"/>
          </w:tcPr>
          <w:p w14:paraId="6833EB29"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84.49</w:t>
            </w:r>
          </w:p>
        </w:tc>
        <w:tc>
          <w:tcPr>
            <w:tcW w:w="1214" w:type="dxa"/>
          </w:tcPr>
          <w:p w14:paraId="2AD16ED2"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3</w:t>
            </w:r>
          </w:p>
        </w:tc>
        <w:tc>
          <w:tcPr>
            <w:tcW w:w="1135" w:type="dxa"/>
          </w:tcPr>
          <w:p w14:paraId="3F95297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w:t>
            </w:r>
          </w:p>
        </w:tc>
      </w:tr>
      <w:tr w:rsidR="00BC32CF" w:rsidRPr="00BC32CF" w14:paraId="7EB085AB"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tcPr>
          <w:p w14:paraId="3F6A5E81" w14:textId="77777777" w:rsidR="00ED26B6" w:rsidRPr="00BC32CF" w:rsidRDefault="00ED26B6" w:rsidP="00ED26B6">
            <w:pPr>
              <w:rPr>
                <w:rFonts w:ascii="Times New Roman" w:hAnsi="Times New Roman" w:cs="Times New Roman"/>
                <w:color w:val="auto"/>
                <w:sz w:val="20"/>
                <w:szCs w:val="20"/>
              </w:rPr>
            </w:pPr>
          </w:p>
        </w:tc>
        <w:tc>
          <w:tcPr>
            <w:tcW w:w="683" w:type="dxa"/>
          </w:tcPr>
          <w:p w14:paraId="6EB84950"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BC19</w:t>
            </w:r>
          </w:p>
        </w:tc>
        <w:tc>
          <w:tcPr>
            <w:tcW w:w="6796" w:type="dxa"/>
          </w:tcPr>
          <w:p w14:paraId="2EE162B9"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Identity of project grantor and her approval capacity must be ascertained</w:t>
            </w:r>
          </w:p>
        </w:tc>
        <w:tc>
          <w:tcPr>
            <w:tcW w:w="1349" w:type="dxa"/>
          </w:tcPr>
          <w:p w14:paraId="179512F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0.507</w:t>
            </w:r>
          </w:p>
        </w:tc>
        <w:tc>
          <w:tcPr>
            <w:tcW w:w="1417" w:type="dxa"/>
          </w:tcPr>
          <w:p w14:paraId="4D05A409"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0.726</w:t>
            </w:r>
          </w:p>
        </w:tc>
        <w:tc>
          <w:tcPr>
            <w:tcW w:w="1456" w:type="dxa"/>
          </w:tcPr>
          <w:p w14:paraId="6C72D558"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85.12</w:t>
            </w:r>
          </w:p>
        </w:tc>
        <w:tc>
          <w:tcPr>
            <w:tcW w:w="1214" w:type="dxa"/>
          </w:tcPr>
          <w:p w14:paraId="0C6F764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w:t>
            </w:r>
          </w:p>
        </w:tc>
        <w:tc>
          <w:tcPr>
            <w:tcW w:w="1135" w:type="dxa"/>
          </w:tcPr>
          <w:p w14:paraId="2B192516"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3</w:t>
            </w:r>
          </w:p>
        </w:tc>
      </w:tr>
      <w:tr w:rsidR="00BC32CF" w:rsidRPr="00BC32CF" w14:paraId="233F36BC"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tcPr>
          <w:p w14:paraId="5504F8AA" w14:textId="77777777" w:rsidR="00ED26B6" w:rsidRPr="00BC32CF" w:rsidRDefault="00ED26B6" w:rsidP="00ED26B6">
            <w:pPr>
              <w:rPr>
                <w:rFonts w:ascii="Times New Roman" w:hAnsi="Times New Roman" w:cs="Times New Roman"/>
                <w:color w:val="auto"/>
                <w:sz w:val="20"/>
                <w:szCs w:val="20"/>
              </w:rPr>
            </w:pPr>
          </w:p>
        </w:tc>
        <w:tc>
          <w:tcPr>
            <w:tcW w:w="683" w:type="dxa"/>
          </w:tcPr>
          <w:p w14:paraId="3AC4823A"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BC20</w:t>
            </w:r>
          </w:p>
        </w:tc>
        <w:tc>
          <w:tcPr>
            <w:tcW w:w="6796" w:type="dxa"/>
          </w:tcPr>
          <w:p w14:paraId="1FC4B733"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Debt repayments to terminate one or two years before the expiration of concession</w:t>
            </w:r>
          </w:p>
        </w:tc>
        <w:tc>
          <w:tcPr>
            <w:tcW w:w="1349" w:type="dxa"/>
          </w:tcPr>
          <w:p w14:paraId="58B4E7FB"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0.217*</w:t>
            </w:r>
          </w:p>
        </w:tc>
        <w:tc>
          <w:tcPr>
            <w:tcW w:w="1417" w:type="dxa"/>
          </w:tcPr>
          <w:p w14:paraId="2F347AD3"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9"/>
                <w:szCs w:val="19"/>
              </w:rPr>
            </w:pPr>
            <w:r w:rsidRPr="00BC32CF">
              <w:rPr>
                <w:rFonts w:ascii="Times New Roman" w:hAnsi="Times New Roman" w:cs="Times New Roman"/>
                <w:b/>
                <w:color w:val="auto"/>
                <w:sz w:val="19"/>
                <w:szCs w:val="19"/>
              </w:rPr>
              <w:t>0.771*</w:t>
            </w:r>
          </w:p>
        </w:tc>
        <w:tc>
          <w:tcPr>
            <w:tcW w:w="1456" w:type="dxa"/>
          </w:tcPr>
          <w:p w14:paraId="0B58C70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54.11</w:t>
            </w:r>
          </w:p>
        </w:tc>
        <w:tc>
          <w:tcPr>
            <w:tcW w:w="1214" w:type="dxa"/>
          </w:tcPr>
          <w:p w14:paraId="67D8DB64"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w:t>
            </w:r>
          </w:p>
        </w:tc>
        <w:tc>
          <w:tcPr>
            <w:tcW w:w="1135" w:type="dxa"/>
          </w:tcPr>
          <w:p w14:paraId="056588D6"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21</w:t>
            </w:r>
          </w:p>
        </w:tc>
      </w:tr>
      <w:tr w:rsidR="00BC32CF" w:rsidRPr="00BC32CF" w14:paraId="04431967" w14:textId="77777777" w:rsidTr="00ED26B6">
        <w:tc>
          <w:tcPr>
            <w:cnfStyle w:val="001000000000" w:firstRow="0" w:lastRow="0" w:firstColumn="1" w:lastColumn="0" w:oddVBand="0" w:evenVBand="0" w:oddHBand="0" w:evenHBand="0" w:firstRowFirstColumn="0" w:firstRowLastColumn="0" w:lastRowFirstColumn="0" w:lastRowLastColumn="0"/>
            <w:tcW w:w="1397" w:type="dxa"/>
            <w:vMerge/>
          </w:tcPr>
          <w:p w14:paraId="4B239E97" w14:textId="77777777" w:rsidR="00ED26B6" w:rsidRPr="00BC32CF" w:rsidRDefault="00ED26B6" w:rsidP="00ED26B6">
            <w:pPr>
              <w:rPr>
                <w:rFonts w:ascii="Times New Roman" w:hAnsi="Times New Roman" w:cs="Times New Roman"/>
                <w:color w:val="auto"/>
                <w:sz w:val="20"/>
                <w:szCs w:val="20"/>
              </w:rPr>
            </w:pPr>
          </w:p>
        </w:tc>
        <w:tc>
          <w:tcPr>
            <w:tcW w:w="683" w:type="dxa"/>
          </w:tcPr>
          <w:p w14:paraId="3087EDF5"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BC21</w:t>
            </w:r>
          </w:p>
        </w:tc>
        <w:tc>
          <w:tcPr>
            <w:tcW w:w="6796" w:type="dxa"/>
          </w:tcPr>
          <w:p w14:paraId="69C0A771" w14:textId="77777777" w:rsidR="00ED26B6" w:rsidRPr="00BC32CF" w:rsidRDefault="00ED26B6" w:rsidP="00ED26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Right of lenders to replace operations and maintenance contractor</w:t>
            </w:r>
          </w:p>
        </w:tc>
        <w:tc>
          <w:tcPr>
            <w:tcW w:w="1349" w:type="dxa"/>
          </w:tcPr>
          <w:p w14:paraId="1EE49948"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0.554</w:t>
            </w:r>
          </w:p>
        </w:tc>
        <w:tc>
          <w:tcPr>
            <w:tcW w:w="1417" w:type="dxa"/>
          </w:tcPr>
          <w:p w14:paraId="42D922F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0.745</w:t>
            </w:r>
          </w:p>
        </w:tc>
        <w:tc>
          <w:tcPr>
            <w:tcW w:w="1456" w:type="dxa"/>
          </w:tcPr>
          <w:p w14:paraId="1F1F4655"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71.04</w:t>
            </w:r>
          </w:p>
        </w:tc>
        <w:tc>
          <w:tcPr>
            <w:tcW w:w="1214" w:type="dxa"/>
          </w:tcPr>
          <w:p w14:paraId="0DD9F43D"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6</w:t>
            </w:r>
          </w:p>
        </w:tc>
        <w:tc>
          <w:tcPr>
            <w:tcW w:w="1135" w:type="dxa"/>
          </w:tcPr>
          <w:p w14:paraId="7D7B74F7" w14:textId="77777777" w:rsidR="00ED26B6" w:rsidRPr="00BC32CF" w:rsidRDefault="00ED26B6" w:rsidP="00ED26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16</w:t>
            </w:r>
          </w:p>
        </w:tc>
      </w:tr>
      <w:tr w:rsidR="00BC32CF" w:rsidRPr="00BC32CF" w14:paraId="007DACE3" w14:textId="77777777" w:rsidTr="00ED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vMerge/>
          </w:tcPr>
          <w:p w14:paraId="1D3226AA" w14:textId="77777777" w:rsidR="00ED26B6" w:rsidRPr="00BC32CF" w:rsidRDefault="00ED26B6" w:rsidP="00ED26B6">
            <w:pPr>
              <w:rPr>
                <w:rFonts w:ascii="Times New Roman" w:hAnsi="Times New Roman" w:cs="Times New Roman"/>
                <w:color w:val="auto"/>
                <w:sz w:val="20"/>
                <w:szCs w:val="20"/>
              </w:rPr>
            </w:pPr>
          </w:p>
        </w:tc>
        <w:tc>
          <w:tcPr>
            <w:tcW w:w="683" w:type="dxa"/>
          </w:tcPr>
          <w:p w14:paraId="2801FB9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C32CF">
              <w:rPr>
                <w:rFonts w:ascii="Times New Roman" w:hAnsi="Times New Roman" w:cs="Times New Roman"/>
                <w:color w:val="auto"/>
                <w:sz w:val="20"/>
                <w:szCs w:val="20"/>
              </w:rPr>
              <w:t>BC22</w:t>
            </w:r>
          </w:p>
        </w:tc>
        <w:tc>
          <w:tcPr>
            <w:tcW w:w="6796" w:type="dxa"/>
          </w:tcPr>
          <w:p w14:paraId="6F1E5DD2" w14:textId="77777777" w:rsidR="00ED26B6" w:rsidRPr="00BC32CF" w:rsidRDefault="00ED26B6" w:rsidP="00ED26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Operations and Maintenance contractor to bear performance failure risks</w:t>
            </w:r>
          </w:p>
        </w:tc>
        <w:tc>
          <w:tcPr>
            <w:tcW w:w="1349" w:type="dxa"/>
          </w:tcPr>
          <w:p w14:paraId="7B022C6F"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0.388</w:t>
            </w:r>
          </w:p>
        </w:tc>
        <w:tc>
          <w:tcPr>
            <w:tcW w:w="1417" w:type="dxa"/>
          </w:tcPr>
          <w:p w14:paraId="1D6F94F0"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0.718</w:t>
            </w:r>
          </w:p>
        </w:tc>
        <w:tc>
          <w:tcPr>
            <w:tcW w:w="1456" w:type="dxa"/>
          </w:tcPr>
          <w:p w14:paraId="5CB18358"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79.17</w:t>
            </w:r>
          </w:p>
        </w:tc>
        <w:tc>
          <w:tcPr>
            <w:tcW w:w="1214" w:type="dxa"/>
          </w:tcPr>
          <w:p w14:paraId="21089DBD"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4</w:t>
            </w:r>
          </w:p>
        </w:tc>
        <w:tc>
          <w:tcPr>
            <w:tcW w:w="1135" w:type="dxa"/>
          </w:tcPr>
          <w:p w14:paraId="62981C2C" w14:textId="77777777" w:rsidR="00ED26B6" w:rsidRPr="00BC32CF" w:rsidRDefault="00ED26B6" w:rsidP="00ED26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9"/>
                <w:szCs w:val="19"/>
              </w:rPr>
            </w:pPr>
            <w:r w:rsidRPr="00BC32CF">
              <w:rPr>
                <w:rFonts w:ascii="Times New Roman" w:hAnsi="Times New Roman" w:cs="Times New Roman"/>
                <w:color w:val="auto"/>
                <w:sz w:val="19"/>
                <w:szCs w:val="19"/>
              </w:rPr>
              <w:t>13</w:t>
            </w:r>
          </w:p>
        </w:tc>
      </w:tr>
    </w:tbl>
    <w:p w14:paraId="705E3F54" w14:textId="77777777" w:rsidR="00ED26B6" w:rsidRPr="00BC32CF" w:rsidRDefault="00ED26B6" w:rsidP="00ED26B6">
      <w:pPr>
        <w:pStyle w:val="NoSpacing"/>
        <w:rPr>
          <w:rFonts w:ascii="Times New Roman" w:hAnsi="Times New Roman" w:cs="Times New Roman"/>
          <w:i/>
        </w:rPr>
      </w:pPr>
    </w:p>
    <w:p w14:paraId="6AB06290" w14:textId="77777777" w:rsidR="00ED26B6" w:rsidRPr="00BC32CF" w:rsidRDefault="00ED26B6" w:rsidP="00ED26B6">
      <w:pPr>
        <w:pStyle w:val="NoSpacing"/>
        <w:rPr>
          <w:rFonts w:ascii="Times New Roman" w:hAnsi="Times New Roman" w:cs="Times New Roman"/>
          <w:i/>
          <w:sz w:val="20"/>
          <w:szCs w:val="20"/>
        </w:rPr>
      </w:pPr>
      <w:r w:rsidRPr="00BC32CF">
        <w:rPr>
          <w:rFonts w:ascii="Times New Roman" w:hAnsi="Times New Roman" w:cs="Times New Roman"/>
          <w:i/>
          <w:sz w:val="20"/>
          <w:szCs w:val="20"/>
        </w:rPr>
        <w:t>Cronbach’s alpha (α) coefficient for overall reliability of the data is 0.745; Bankability Criteria coefficient marked (*) represent items deleted; BC means Bankability Criteria</w:t>
      </w:r>
    </w:p>
    <w:p w14:paraId="0BC22D05" w14:textId="77777777" w:rsidR="008461C8" w:rsidRPr="00BC32CF" w:rsidRDefault="008461C8" w:rsidP="008461C8">
      <w:pPr>
        <w:spacing w:after="200" w:line="480" w:lineRule="auto"/>
        <w:ind w:left="-1080"/>
        <w:jc w:val="both"/>
        <w:rPr>
          <w:rFonts w:ascii="Calibri" w:eastAsia="Calibri" w:hAnsi="Calibri" w:cs="Times New Roman"/>
          <w:noProof/>
          <w:lang w:eastAsia="en-GB"/>
        </w:rPr>
      </w:pPr>
    </w:p>
    <w:p w14:paraId="3345D236" w14:textId="77777777" w:rsidR="008461C8" w:rsidRPr="00BC32CF" w:rsidRDefault="008461C8" w:rsidP="008461C8">
      <w:pPr>
        <w:spacing w:after="200" w:line="480" w:lineRule="auto"/>
        <w:ind w:left="-567"/>
        <w:jc w:val="both"/>
        <w:rPr>
          <w:rFonts w:ascii="Times New Roman" w:eastAsia="Calibri" w:hAnsi="Times New Roman" w:cs="Times New Roman"/>
          <w:i/>
          <w:sz w:val="16"/>
          <w:szCs w:val="16"/>
          <w:lang w:val="en-US"/>
        </w:rPr>
      </w:pPr>
      <w:r w:rsidRPr="00BC32CF">
        <w:rPr>
          <w:rFonts w:ascii="Calibri" w:eastAsia="Calibri" w:hAnsi="Calibri" w:cs="Times New Roman"/>
          <w:noProof/>
          <w:lang w:eastAsia="en-GB"/>
        </w:rPr>
        <w:drawing>
          <wp:inline distT="0" distB="0" distL="0" distR="0" wp14:anchorId="5EEA7EF3" wp14:editId="65150D43">
            <wp:extent cx="9350060" cy="485824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9009" cy="4868093"/>
                    </a:xfrm>
                    <a:prstGeom prst="rect">
                      <a:avLst/>
                    </a:prstGeom>
                    <a:noFill/>
                    <a:ln>
                      <a:noFill/>
                    </a:ln>
                  </pic:spPr>
                </pic:pic>
              </a:graphicData>
            </a:graphic>
          </wp:inline>
        </w:drawing>
      </w:r>
    </w:p>
    <w:p w14:paraId="189E40B4" w14:textId="6C0622D6" w:rsidR="00F46337" w:rsidRPr="00BC32CF" w:rsidRDefault="008461C8" w:rsidP="008461C8">
      <w:pPr>
        <w:spacing w:after="200" w:line="480" w:lineRule="auto"/>
        <w:ind w:left="1593" w:firstLine="1287"/>
        <w:jc w:val="both"/>
        <w:rPr>
          <w:rFonts w:ascii="Times New Roman" w:eastAsia="Calibri" w:hAnsi="Times New Roman" w:cs="Times New Roman"/>
          <w:sz w:val="24"/>
          <w:szCs w:val="24"/>
        </w:rPr>
      </w:pPr>
      <w:r w:rsidRPr="00BC32CF">
        <w:rPr>
          <w:rFonts w:ascii="Times New Roman" w:eastAsia="Calibri" w:hAnsi="Times New Roman" w:cs="Times New Roman"/>
          <w:i/>
          <w:sz w:val="20"/>
          <w:szCs w:val="20"/>
          <w:lang w:val="en-US"/>
        </w:rPr>
        <w:t>Fig.2: Framework for Risks, Mitigation Strategies and Associated Bankability Criteria</w:t>
      </w:r>
      <w:r w:rsidR="00ED26B6" w:rsidRPr="00BC32CF">
        <w:rPr>
          <w:rFonts w:ascii="Times New Roman" w:eastAsia="Calibri" w:hAnsi="Times New Roman" w:cs="Times New Roman"/>
          <w:sz w:val="24"/>
          <w:szCs w:val="24"/>
        </w:rPr>
        <w:br w:type="page"/>
      </w:r>
    </w:p>
    <w:p w14:paraId="0A250020" w14:textId="77777777" w:rsidR="008461C8" w:rsidRPr="00BC32CF" w:rsidRDefault="008461C8" w:rsidP="00F46337">
      <w:pPr>
        <w:spacing w:after="0" w:line="480" w:lineRule="auto"/>
        <w:rPr>
          <w:rFonts w:ascii="Times New Roman" w:hAnsi="Times New Roman" w:cs="Times New Roman"/>
          <w:sz w:val="24"/>
          <w:szCs w:val="24"/>
        </w:rPr>
        <w:sectPr w:rsidR="008461C8" w:rsidRPr="00BC32CF" w:rsidSect="00537AFC">
          <w:type w:val="continuous"/>
          <w:pgSz w:w="16838" w:h="11906" w:orient="landscape"/>
          <w:pgMar w:top="0" w:right="678" w:bottom="1440" w:left="1440" w:header="709" w:footer="709" w:gutter="0"/>
          <w:lnNumType w:countBy="1" w:restart="continuous"/>
          <w:cols w:space="708"/>
          <w:docGrid w:linePitch="360"/>
        </w:sectPr>
      </w:pPr>
    </w:p>
    <w:p w14:paraId="48829115" w14:textId="77777777" w:rsidR="00F46337" w:rsidRPr="00BC32CF" w:rsidRDefault="00F46337" w:rsidP="00F46337">
      <w:pPr>
        <w:spacing w:after="0" w:line="480" w:lineRule="auto"/>
        <w:rPr>
          <w:rFonts w:ascii="Times New Roman" w:hAnsi="Times New Roman" w:cs="Times New Roman"/>
          <w:sz w:val="24"/>
          <w:szCs w:val="24"/>
        </w:rPr>
      </w:pPr>
    </w:p>
    <w:p w14:paraId="5404BB14" w14:textId="77777777" w:rsidR="008111D8" w:rsidRPr="00BC32CF" w:rsidRDefault="008111D8" w:rsidP="008111D8">
      <w:pPr>
        <w:suppressAutoHyphens/>
        <w:autoSpaceDN w:val="0"/>
        <w:spacing w:line="480" w:lineRule="auto"/>
        <w:jc w:val="both"/>
        <w:textAlignment w:val="baseline"/>
        <w:rPr>
          <w:rFonts w:ascii="Times New Roman" w:hAnsi="Times New Roman" w:cs="Times New Roman"/>
          <w:sz w:val="24"/>
          <w:szCs w:val="24"/>
        </w:rPr>
      </w:pPr>
      <w:r w:rsidRPr="00BC32CF">
        <w:rPr>
          <w:rFonts w:ascii="Times New Roman" w:hAnsi="Times New Roman" w:cs="Times New Roman"/>
          <w:sz w:val="24"/>
          <w:szCs w:val="24"/>
        </w:rPr>
        <w:t>This suggests that such higher value for a criterion, if deleted, would improve the overall reliability of the entire data set (Field, 2005). Based on this rule, only two criteria (BC15 and BC20) were revealed to have values of 0.820 and 0.771 respectively as reflected in the fifth column of Table 8. This indicate</w:t>
      </w:r>
      <w:r w:rsidR="00BC5282" w:rsidRPr="00BC32CF">
        <w:rPr>
          <w:rFonts w:ascii="Times New Roman" w:hAnsi="Times New Roman" w:cs="Times New Roman"/>
          <w:sz w:val="24"/>
          <w:szCs w:val="24"/>
        </w:rPr>
        <w:t>s</w:t>
      </w:r>
      <w:r w:rsidRPr="00BC32CF">
        <w:rPr>
          <w:rFonts w:ascii="Times New Roman" w:hAnsi="Times New Roman" w:cs="Times New Roman"/>
          <w:sz w:val="24"/>
          <w:szCs w:val="24"/>
        </w:rPr>
        <w:t xml:space="preserve"> that the criteria – “Annual reporting of Equator principles in project host nation”  and “Debt repayments to terminate one or two years before the expiry of concession contract “ are considered unreliable and do not represent a good measure  of evaluating bankability of legal and concession risks. This also corresponds with the low correlation coefficient of these two criteria, as shown in the fourth column of Table 8. </w:t>
      </w:r>
      <w:r w:rsidRPr="00BC32CF">
        <w:rPr>
          <w:rFonts w:ascii="Times New Roman" w:hAnsi="Times New Roman" w:cs="Times New Roman"/>
          <w:b/>
          <w:i/>
          <w:sz w:val="24"/>
          <w:szCs w:val="24"/>
        </w:rPr>
        <w:t>The Correlated item:</w:t>
      </w:r>
      <w:r w:rsidRPr="00BC32CF">
        <w:rPr>
          <w:rFonts w:ascii="Times New Roman" w:hAnsi="Times New Roman" w:cs="Times New Roman"/>
          <w:sz w:val="24"/>
          <w:szCs w:val="24"/>
        </w:rPr>
        <w:t xml:space="preserve"> total correlation column represents the correlation between each criterion and Cronbach’s alpha (α) of the entire data. In reliable data, all criteria are expected to correlate with the overall reliability. As such, any correlation coefficient that is less than 0.3 should be dropped (Santos, 1999). In view of this, the two bankability criteria BC15 and BC20 show correlation coefficient of 0.237 and 0.117 respectively. As such, these two criteria were later dropped from the list, leaving us with only </w:t>
      </w:r>
      <w:r w:rsidR="00FE05EF" w:rsidRPr="00BC32CF">
        <w:rPr>
          <w:rFonts w:ascii="Times New Roman" w:hAnsi="Times New Roman" w:cs="Times New Roman"/>
          <w:sz w:val="24"/>
          <w:szCs w:val="24"/>
        </w:rPr>
        <w:t>20 reliable</w:t>
      </w:r>
      <w:r w:rsidRPr="00BC32CF">
        <w:rPr>
          <w:rFonts w:ascii="Times New Roman" w:hAnsi="Times New Roman" w:cs="Times New Roman"/>
          <w:sz w:val="24"/>
          <w:szCs w:val="24"/>
        </w:rPr>
        <w:t xml:space="preserve"> bankability criteria.</w:t>
      </w:r>
    </w:p>
    <w:p w14:paraId="5489D00C" w14:textId="77777777" w:rsidR="008111D8" w:rsidRPr="00BC32CF" w:rsidRDefault="008111D8" w:rsidP="008111D8">
      <w:pPr>
        <w:suppressAutoHyphens/>
        <w:autoSpaceDN w:val="0"/>
        <w:spacing w:line="480" w:lineRule="auto"/>
        <w:jc w:val="both"/>
        <w:textAlignment w:val="baseline"/>
        <w:rPr>
          <w:rFonts w:ascii="Times New Roman" w:hAnsi="Times New Roman" w:cs="Times New Roman"/>
          <w:b/>
          <w:i/>
          <w:sz w:val="24"/>
          <w:szCs w:val="24"/>
        </w:rPr>
      </w:pPr>
      <w:r w:rsidRPr="00BC32CF">
        <w:rPr>
          <w:rFonts w:ascii="Times New Roman" w:hAnsi="Times New Roman" w:cs="Times New Roman"/>
          <w:b/>
          <w:i/>
          <w:sz w:val="24"/>
          <w:szCs w:val="24"/>
        </w:rPr>
        <w:t>Significance Index Ranking</w:t>
      </w:r>
    </w:p>
    <w:p w14:paraId="45FF37C6" w14:textId="77777777" w:rsidR="008111D8" w:rsidRPr="00BC32CF" w:rsidRDefault="008111D8" w:rsidP="008111D8">
      <w:pPr>
        <w:spacing w:after="0" w:line="480" w:lineRule="auto"/>
        <w:jc w:val="both"/>
        <w:rPr>
          <w:rFonts w:ascii="Times New Roman" w:eastAsia="Calibri" w:hAnsi="Times New Roman" w:cs="Times New Roman"/>
          <w:sz w:val="24"/>
          <w:szCs w:val="24"/>
        </w:rPr>
      </w:pPr>
      <w:r w:rsidRPr="00BC32CF">
        <w:rPr>
          <w:rFonts w:ascii="Times New Roman" w:hAnsi="Times New Roman" w:cs="Times New Roman"/>
          <w:sz w:val="24"/>
          <w:szCs w:val="24"/>
        </w:rPr>
        <w:t xml:space="preserve">After conducting reliability and correlation analysis, this study proceeded to identify the significance index ranking of each criterion based on lenders’ perception. </w:t>
      </w:r>
      <w:r w:rsidRPr="00BC32CF">
        <w:rPr>
          <w:rFonts w:ascii="Times New Roman" w:eastAsia="Calibri" w:hAnsi="Times New Roman" w:cs="Times New Roman"/>
          <w:sz w:val="24"/>
          <w:szCs w:val="24"/>
        </w:rPr>
        <w:t xml:space="preserve">Significance indexing is a quantitative technique, which ranks all criteria from the survey based on their relative significance value. Similar to the approached used by </w:t>
      </w:r>
      <w:r w:rsidRPr="00BC32CF">
        <w:rPr>
          <w:rFonts w:ascii="Times New Roman" w:hAnsi="Times New Roman" w:cs="Times New Roman"/>
          <w:sz w:val="24"/>
          <w:szCs w:val="24"/>
        </w:rPr>
        <w:t xml:space="preserve">Spillane </w:t>
      </w:r>
      <w:r w:rsidRPr="00BC32CF">
        <w:rPr>
          <w:rFonts w:ascii="Times New Roman" w:hAnsi="Times New Roman" w:cs="Times New Roman"/>
          <w:i/>
          <w:sz w:val="24"/>
          <w:szCs w:val="24"/>
        </w:rPr>
        <w:t>et al</w:t>
      </w:r>
      <w:r w:rsidRPr="00BC32CF">
        <w:rPr>
          <w:rFonts w:ascii="Times New Roman" w:hAnsi="Times New Roman" w:cs="Times New Roman"/>
          <w:sz w:val="24"/>
          <w:szCs w:val="24"/>
        </w:rPr>
        <w:t xml:space="preserve">. (2012) and Tam </w:t>
      </w:r>
      <w:r w:rsidRPr="00BC32CF">
        <w:rPr>
          <w:rFonts w:ascii="Times New Roman" w:hAnsi="Times New Roman" w:cs="Times New Roman"/>
          <w:i/>
          <w:sz w:val="24"/>
          <w:szCs w:val="24"/>
        </w:rPr>
        <w:t>et al</w:t>
      </w:r>
      <w:r w:rsidRPr="00BC32CF">
        <w:rPr>
          <w:rFonts w:ascii="Times New Roman" w:hAnsi="Times New Roman" w:cs="Times New Roman"/>
          <w:sz w:val="24"/>
          <w:szCs w:val="24"/>
        </w:rPr>
        <w:t>. (2000)</w:t>
      </w:r>
      <w:r w:rsidR="007A3B6E" w:rsidRPr="00BC32CF">
        <w:rPr>
          <w:rFonts w:ascii="Times New Roman" w:eastAsia="Calibri" w:hAnsi="Times New Roman" w:cs="Times New Roman"/>
          <w:sz w:val="24"/>
          <w:szCs w:val="24"/>
        </w:rPr>
        <w:t>, the significance index ratings</w:t>
      </w:r>
      <w:r w:rsidRPr="00BC32CF">
        <w:rPr>
          <w:rFonts w:ascii="Times New Roman" w:eastAsia="Calibri" w:hAnsi="Times New Roman" w:cs="Times New Roman"/>
          <w:sz w:val="24"/>
          <w:szCs w:val="24"/>
        </w:rPr>
        <w:t xml:space="preserve"> for the 22 criteria were arrived at using a simple mathematical equation expressed below</w:t>
      </w:r>
      <w:r w:rsidRPr="00BC32CF">
        <w:rPr>
          <w:rFonts w:ascii="Times New Roman" w:hAnsi="Times New Roman" w:cs="Times New Roman"/>
          <w:sz w:val="24"/>
          <w:szCs w:val="24"/>
        </w:rPr>
        <w:t>:</w:t>
      </w:r>
    </w:p>
    <w:p w14:paraId="6B0B717B" w14:textId="77777777" w:rsidR="008111D8" w:rsidRPr="00BC32CF" w:rsidRDefault="0074536E" w:rsidP="008111D8">
      <w:pPr>
        <w:suppressAutoHyphens/>
        <w:autoSpaceDN w:val="0"/>
        <w:spacing w:line="480" w:lineRule="auto"/>
        <w:jc w:val="both"/>
        <w:textAlignment w:val="baseline"/>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Significance Index (SI)= </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d>
                            <m:dPr>
                              <m:ctrlPr>
                                <w:rPr>
                                  <w:rFonts w:ascii="Cambria Math" w:eastAsia="Calibri" w:hAnsi="Cambria Math" w:cs="Times New Roman"/>
                                  <w:i/>
                                  <w:sz w:val="24"/>
                                  <w:szCs w:val="24"/>
                                </w:rPr>
                              </m:ctrlPr>
                            </m:dPr>
                            <m:e>
                              <m:r>
                                <w:rPr>
                                  <w:rFonts w:ascii="Cambria Math" w:eastAsia="Calibri" w:hAnsi="Cambria Math" w:cs="Times New Roman"/>
                                  <w:sz w:val="24"/>
                                  <w:szCs w:val="24"/>
                                </w:rPr>
                                <m:t>s</m:t>
                              </m:r>
                            </m:e>
                          </m:d>
                        </m:e>
                      </m:nary>
                    </m:num>
                    <m:den>
                      <m:r>
                        <w:rPr>
                          <w:rFonts w:ascii="Cambria Math" w:eastAsia="Calibri" w:hAnsi="Cambria Math" w:cs="Times New Roman"/>
                          <w:sz w:val="24"/>
                          <w:szCs w:val="24"/>
                        </w:rPr>
                        <m:t>NS</m:t>
                      </m:r>
                    </m:den>
                  </m:f>
                </m:e>
              </m:d>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100%</m:t>
                      </m:r>
                    </m:e>
                    <m:sup>
                      <m:r>
                        <w:rPr>
                          <w:rFonts w:ascii="Cambria Math" w:eastAsia="Calibri" w:hAnsi="Cambria Math" w:cs="Times New Roman"/>
                          <w:sz w:val="24"/>
                          <w:szCs w:val="24"/>
                        </w:rPr>
                        <m:t xml:space="preserve"> </m:t>
                      </m:r>
                    </m:sup>
                  </m:sSup>
                </m:e>
                <m:sup>
                  <m:r>
                    <w:rPr>
                      <w:rFonts w:ascii="Cambria Math" w:eastAsia="Calibri" w:hAnsi="Cambria Math" w:cs="Times New Roman"/>
                      <w:sz w:val="24"/>
                      <w:szCs w:val="24"/>
                    </w:rPr>
                    <m:t xml:space="preserve"> </m:t>
                  </m:r>
                </m:sup>
              </m:sSup>
            </m:e>
            <m:sub>
              <m:r>
                <w:rPr>
                  <w:rFonts w:ascii="Cambria Math" w:eastAsia="Calibri" w:hAnsi="Cambria Math" w:cs="Times New Roman"/>
                  <w:sz w:val="24"/>
                  <w:szCs w:val="24"/>
                </w:rPr>
                <m:t xml:space="preserve"> </m:t>
              </m:r>
            </m:sub>
          </m:sSub>
        </m:oMath>
      </m:oMathPara>
    </w:p>
    <w:p w14:paraId="310D719F" w14:textId="77777777" w:rsidR="008111D8" w:rsidRPr="00BC32CF" w:rsidRDefault="008111D8" w:rsidP="008111D8">
      <w:pPr>
        <w:spacing w:line="480" w:lineRule="auto"/>
        <w:jc w:val="both"/>
        <w:rPr>
          <w:rFonts w:ascii="Times New Roman" w:eastAsia="Calibri" w:hAnsi="Times New Roman" w:cs="Times New Roman"/>
          <w:b/>
          <w:sz w:val="24"/>
          <w:szCs w:val="24"/>
        </w:rPr>
        <w:sectPr w:rsidR="008111D8" w:rsidRPr="00BC32CF" w:rsidSect="00537AFC">
          <w:type w:val="continuous"/>
          <w:pgSz w:w="11906" w:h="16838"/>
          <w:pgMar w:top="1440" w:right="1080" w:bottom="1440" w:left="1080" w:header="709" w:footer="709" w:gutter="0"/>
          <w:lnNumType w:countBy="1" w:restart="continuous"/>
          <w:cols w:space="708"/>
          <w:docGrid w:linePitch="360"/>
        </w:sectPr>
      </w:pPr>
    </w:p>
    <w:p w14:paraId="6BCCB700" w14:textId="77777777" w:rsidR="00691009" w:rsidRPr="00BC32CF" w:rsidRDefault="00691009" w:rsidP="00691009">
      <w:p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 xml:space="preserve">Where s represents the significance rating on a Likert scale of 1 to 5, S is the highest significance rating (that is 5) and N is the total number of responses for that particular criteria. The significance index and ranking are shown in column six, seven and eight of Table 8 respectively. With </w:t>
      </w:r>
      <w:r w:rsidR="008E6FB5" w:rsidRPr="00BC32CF">
        <w:rPr>
          <w:rFonts w:ascii="Times New Roman" w:eastAsia="Calibri" w:hAnsi="Times New Roman" w:cs="Times New Roman"/>
          <w:sz w:val="24"/>
          <w:szCs w:val="24"/>
        </w:rPr>
        <w:lastRenderedPageBreak/>
        <w:t>significance index calculation</w:t>
      </w:r>
      <w:r w:rsidRPr="00BC32CF">
        <w:rPr>
          <w:rFonts w:ascii="Times New Roman" w:eastAsia="Calibri" w:hAnsi="Times New Roman" w:cs="Times New Roman"/>
          <w:sz w:val="24"/>
          <w:szCs w:val="24"/>
        </w:rPr>
        <w:t>, the linear five-point Likert scale used in the questionnaire is converted into a percentage scale. As such, 0% represents the lowest, while 100% represents the highest significance value achievable. This indicated that the Likert scale values of 1, 2, 3, 4, and 5 have significance indexes of 0, 25, 50, 75, and 100, respectively. Based on the survey analysis, significance index (SI) values were produced for the 22 bankability criteria ranging from 85.32 to 51.24 (see Table 8 for bankability criteria’s significance index ranking). The top seven most significant bankability criteria with an overall index ranking of moderately significant or SI value of ≥75.00 across the four country-specific risks are:</w:t>
      </w:r>
    </w:p>
    <w:p w14:paraId="27957DD4"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BC7= Full Transfer of Political Risk to Export Credit Agency (ECA).</w:t>
      </w:r>
    </w:p>
    <w:p w14:paraId="2D08E730"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BC10=</w:t>
      </w:r>
      <w:r w:rsidRPr="00BC32CF">
        <w:t xml:space="preserve"> </w:t>
      </w:r>
      <w:r w:rsidRPr="00BC32CF">
        <w:rPr>
          <w:rFonts w:ascii="Times New Roman" w:eastAsia="Calibri" w:hAnsi="Times New Roman" w:cs="Times New Roman"/>
          <w:sz w:val="24"/>
          <w:szCs w:val="24"/>
        </w:rPr>
        <w:t>Multilateral Agency-Backed Loan Facility</w:t>
      </w:r>
    </w:p>
    <w:p w14:paraId="4999E69E"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BC19= Identity of project grantor and her approval capacity must be known.</w:t>
      </w:r>
    </w:p>
    <w:p w14:paraId="30310E7F"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 Sponsors with track record of successful project financing, strong credit quality and financial capacity.</w:t>
      </w:r>
    </w:p>
    <w:p w14:paraId="6505E278"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BC12= Existence of operational permit and approval from the project grantor.</w:t>
      </w:r>
    </w:p>
    <w:p w14:paraId="2DCE089C"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BC17= Direct contractual agreement between lenders and project grantor, as well as other project contractors and sub-contractors respectively.</w:t>
      </w:r>
    </w:p>
    <w:p w14:paraId="542D1B8B" w14:textId="77777777" w:rsidR="00691009" w:rsidRPr="00BC32CF" w:rsidRDefault="00691009" w:rsidP="00691009">
      <w:pPr>
        <w:pStyle w:val="ListParagraph"/>
        <w:numPr>
          <w:ilvl w:val="0"/>
          <w:numId w:val="17"/>
        </w:numPr>
        <w:suppressAutoHyphens/>
        <w:autoSpaceDN w:val="0"/>
        <w:spacing w:line="480" w:lineRule="auto"/>
        <w:jc w:val="both"/>
        <w:textAlignment w:val="baseline"/>
        <w:rPr>
          <w:rFonts w:ascii="Times New Roman" w:eastAsia="Calibri" w:hAnsi="Times New Roman" w:cs="Times New Roman"/>
          <w:sz w:val="24"/>
          <w:szCs w:val="24"/>
        </w:rPr>
      </w:pPr>
      <w:r w:rsidRPr="00BC32CF">
        <w:rPr>
          <w:rFonts w:ascii="Times New Roman" w:eastAsia="Calibri" w:hAnsi="Times New Roman" w:cs="Times New Roman"/>
          <w:sz w:val="24"/>
          <w:szCs w:val="24"/>
        </w:rPr>
        <w:t>BC18= Security rights over SPV’s insurance policies, Cash flows and other corresponding assets.</w:t>
      </w:r>
    </w:p>
    <w:p w14:paraId="6186794A" w14:textId="77777777" w:rsidR="00691009" w:rsidRPr="00BC32CF" w:rsidRDefault="00691009" w:rsidP="00691009">
      <w:pPr>
        <w:pStyle w:val="ListParagraph"/>
        <w:suppressAutoHyphens/>
        <w:autoSpaceDN w:val="0"/>
        <w:spacing w:line="480" w:lineRule="auto"/>
        <w:jc w:val="both"/>
        <w:textAlignment w:val="baseline"/>
        <w:rPr>
          <w:rFonts w:ascii="Times New Roman" w:eastAsia="Calibri" w:hAnsi="Times New Roman" w:cs="Times New Roman"/>
          <w:sz w:val="24"/>
          <w:szCs w:val="24"/>
        </w:rPr>
      </w:pPr>
    </w:p>
    <w:p w14:paraId="7EE7E4E5" w14:textId="77777777" w:rsidR="00691009" w:rsidRPr="00BC32CF" w:rsidRDefault="009C3835" w:rsidP="00691009">
      <w:pPr>
        <w:pStyle w:val="Heading1"/>
        <w:spacing w:before="0" w:after="0" w:line="480" w:lineRule="auto"/>
        <w:rPr>
          <w:rFonts w:eastAsia="Calibri"/>
        </w:rPr>
      </w:pPr>
      <w:r w:rsidRPr="00BC32CF">
        <w:rPr>
          <w:rFonts w:eastAsia="Calibri"/>
        </w:rPr>
        <w:t>6</w:t>
      </w:r>
      <w:r w:rsidR="00691009" w:rsidRPr="00BC32CF">
        <w:rPr>
          <w:rFonts w:eastAsia="Calibri"/>
        </w:rPr>
        <w:t>.0</w:t>
      </w:r>
      <w:r w:rsidR="00691009" w:rsidRPr="00BC32CF">
        <w:rPr>
          <w:rFonts w:eastAsia="Calibri"/>
        </w:rPr>
        <w:tab/>
        <w:t>Discussion of Findings</w:t>
      </w:r>
    </w:p>
    <w:p w14:paraId="21451D4E" w14:textId="39478D5C" w:rsidR="001539C6" w:rsidRPr="00BC32CF" w:rsidRDefault="00691009" w:rsidP="001539C6">
      <w:pPr>
        <w:suppressAutoHyphens/>
        <w:autoSpaceDN w:val="0"/>
        <w:spacing w:line="480" w:lineRule="auto"/>
        <w:textAlignment w:val="baseline"/>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This section discusses findings from focus group discussions and questionnaire survey to foreign </w:t>
      </w:r>
      <w:r w:rsidR="00BE29DF" w:rsidRPr="00BC32CF">
        <w:rPr>
          <w:rFonts w:ascii="Times New Roman" w:eastAsia="Calibri" w:hAnsi="Times New Roman" w:cs="Times New Roman"/>
          <w:sz w:val="24"/>
          <w:szCs w:val="24"/>
          <w:lang w:val="en-US"/>
        </w:rPr>
        <w:t>project financiers and experts</w:t>
      </w:r>
      <w:r w:rsidRPr="00BC32CF">
        <w:rPr>
          <w:rFonts w:ascii="Times New Roman" w:eastAsia="Calibri" w:hAnsi="Times New Roman" w:cs="Times New Roman"/>
          <w:sz w:val="24"/>
          <w:szCs w:val="24"/>
          <w:lang w:val="en-US"/>
        </w:rPr>
        <w:t xml:space="preserve"> concerning bankability of country-specific risks (Sponsor, political, Legal and concession risks) in PPP loan </w:t>
      </w:r>
      <w:r w:rsidR="00932ACE" w:rsidRPr="00BC32CF">
        <w:rPr>
          <w:rFonts w:ascii="Times New Roman" w:eastAsia="Calibri" w:hAnsi="Times New Roman" w:cs="Times New Roman"/>
          <w:sz w:val="24"/>
          <w:szCs w:val="24"/>
          <w:lang w:val="en-US"/>
        </w:rPr>
        <w:t>applications in an emerging market</w:t>
      </w:r>
      <w:r w:rsidR="00BC7A00" w:rsidRPr="00BC32CF">
        <w:rPr>
          <w:rFonts w:ascii="Times New Roman" w:eastAsia="Calibri" w:hAnsi="Times New Roman" w:cs="Times New Roman"/>
          <w:sz w:val="24"/>
          <w:szCs w:val="24"/>
          <w:lang w:val="en-US"/>
        </w:rPr>
        <w:t>. Twenty (20</w:t>
      </w:r>
      <w:r w:rsidRPr="00BC32CF">
        <w:rPr>
          <w:rFonts w:ascii="Times New Roman" w:eastAsia="Calibri" w:hAnsi="Times New Roman" w:cs="Times New Roman"/>
          <w:sz w:val="24"/>
          <w:szCs w:val="24"/>
          <w:lang w:val="en-US"/>
        </w:rPr>
        <w:t xml:space="preserve">) </w:t>
      </w:r>
      <w:r w:rsidRPr="00BC32CF">
        <w:rPr>
          <w:rFonts w:ascii="Times New Roman" w:eastAsia="Calibri" w:hAnsi="Times New Roman" w:cs="Times New Roman"/>
          <w:sz w:val="24"/>
          <w:szCs w:val="24"/>
        </w:rPr>
        <w:t xml:space="preserve">important bankability criteria for evaluating the four risks were explored from foreign </w:t>
      </w:r>
      <w:r w:rsidR="00BE29DF" w:rsidRPr="00BC32CF">
        <w:rPr>
          <w:rFonts w:ascii="Times New Roman" w:eastAsia="Calibri" w:hAnsi="Times New Roman" w:cs="Times New Roman"/>
          <w:sz w:val="24"/>
          <w:szCs w:val="24"/>
        </w:rPr>
        <w:t>financiers</w:t>
      </w:r>
      <w:r w:rsidRPr="00BC32CF">
        <w:rPr>
          <w:rFonts w:ascii="Times New Roman" w:eastAsia="Calibri" w:hAnsi="Times New Roman" w:cs="Times New Roman"/>
          <w:sz w:val="24"/>
          <w:szCs w:val="24"/>
        </w:rPr>
        <w:t>’ perspectives</w:t>
      </w:r>
      <w:r w:rsidRPr="00BC32CF">
        <w:rPr>
          <w:rFonts w:ascii="Times New Roman" w:eastAsia="Calibri" w:hAnsi="Times New Roman" w:cs="Times New Roman"/>
          <w:sz w:val="24"/>
          <w:szCs w:val="24"/>
          <w:lang w:val="en-US"/>
        </w:rPr>
        <w:t xml:space="preserve">. </w:t>
      </w:r>
      <w:r w:rsidRPr="00BC32CF">
        <w:rPr>
          <w:rFonts w:ascii="Times New Roman" w:eastAsia="Calibri" w:hAnsi="Times New Roman" w:cs="Times New Roman"/>
          <w:sz w:val="24"/>
          <w:szCs w:val="24"/>
          <w:lang w:val="en-US"/>
        </w:rPr>
        <w:lastRenderedPageBreak/>
        <w:t>T</w:t>
      </w:r>
      <w:r w:rsidRPr="00BC32CF">
        <w:rPr>
          <w:rFonts w:ascii="Times New Roman" w:eastAsia="Calibri" w:hAnsi="Times New Roman" w:cs="Times New Roman"/>
          <w:sz w:val="24"/>
          <w:szCs w:val="24"/>
        </w:rPr>
        <w:t>he significance ranking of each criterion towards determining the bankability of country-specific risks in PPP loan applications was calculated.</w:t>
      </w:r>
      <w:r w:rsidRPr="00BC32CF">
        <w:rPr>
          <w:rFonts w:ascii="Times New Roman" w:eastAsia="Calibri" w:hAnsi="Times New Roman" w:cs="Times New Roman"/>
          <w:sz w:val="24"/>
          <w:szCs w:val="24"/>
          <w:lang w:val="en-US"/>
        </w:rPr>
        <w:t xml:space="preserve"> </w:t>
      </w:r>
      <w:r w:rsidR="00BE29DF" w:rsidRPr="00BC32CF">
        <w:rPr>
          <w:rFonts w:ascii="Times New Roman" w:eastAsia="Calibri" w:hAnsi="Times New Roman" w:cs="Times New Roman"/>
          <w:sz w:val="24"/>
          <w:szCs w:val="24"/>
          <w:lang w:val="en-US"/>
        </w:rPr>
        <w:t>E</w:t>
      </w:r>
      <w:r w:rsidRPr="00BC32CF">
        <w:rPr>
          <w:rFonts w:ascii="Times New Roman" w:eastAsia="Calibri" w:hAnsi="Times New Roman" w:cs="Times New Roman"/>
          <w:sz w:val="24"/>
          <w:szCs w:val="24"/>
          <w:lang w:val="en-US"/>
        </w:rPr>
        <w:t>vidences from the questionn</w:t>
      </w:r>
      <w:r w:rsidR="00932ACE" w:rsidRPr="00BC32CF">
        <w:rPr>
          <w:rFonts w:ascii="Times New Roman" w:eastAsia="Calibri" w:hAnsi="Times New Roman" w:cs="Times New Roman"/>
          <w:sz w:val="24"/>
          <w:szCs w:val="24"/>
          <w:lang w:val="en-US"/>
        </w:rPr>
        <w:t>aire survey, as shown in Table 4</w:t>
      </w:r>
      <w:r w:rsidR="00BC7A00" w:rsidRPr="00BC32CF">
        <w:rPr>
          <w:rFonts w:ascii="Times New Roman" w:eastAsia="Calibri" w:hAnsi="Times New Roman" w:cs="Times New Roman"/>
          <w:sz w:val="24"/>
          <w:szCs w:val="24"/>
          <w:lang w:val="en-US"/>
        </w:rPr>
        <w:t xml:space="preserve"> above</w:t>
      </w:r>
      <w:r w:rsidRPr="00BC32CF">
        <w:rPr>
          <w:rFonts w:ascii="Times New Roman" w:eastAsia="Calibri" w:hAnsi="Times New Roman" w:cs="Times New Roman"/>
          <w:sz w:val="24"/>
          <w:szCs w:val="24"/>
          <w:lang w:val="en-US"/>
        </w:rPr>
        <w:t>, were corroborated with findings from the focus group discussi</w:t>
      </w:r>
      <w:r w:rsidR="00932ACE" w:rsidRPr="00BC32CF">
        <w:rPr>
          <w:rFonts w:ascii="Times New Roman" w:eastAsia="Calibri" w:hAnsi="Times New Roman" w:cs="Times New Roman"/>
          <w:sz w:val="24"/>
          <w:szCs w:val="24"/>
          <w:lang w:val="en-US"/>
        </w:rPr>
        <w:t>ons with financiers (See Table 3 and 4</w:t>
      </w:r>
      <w:r w:rsidRPr="00BC32CF">
        <w:rPr>
          <w:rFonts w:ascii="Times New Roman" w:eastAsia="Calibri" w:hAnsi="Times New Roman" w:cs="Times New Roman"/>
          <w:sz w:val="24"/>
          <w:szCs w:val="24"/>
          <w:lang w:val="en-US"/>
        </w:rPr>
        <w:t xml:space="preserve">).  Results from the study were used to construct a “Risk and Bankability Framework” and </w:t>
      </w:r>
      <w:r w:rsidR="00BE29DF" w:rsidRPr="00BC32CF">
        <w:rPr>
          <w:rFonts w:ascii="Times New Roman" w:eastAsia="Calibri" w:hAnsi="Times New Roman" w:cs="Times New Roman"/>
          <w:sz w:val="24"/>
          <w:szCs w:val="24"/>
          <w:lang w:val="en-US"/>
        </w:rPr>
        <w:t xml:space="preserve">validated with new data set from project financiers (see </w:t>
      </w:r>
      <w:r w:rsidRPr="00BC32CF">
        <w:rPr>
          <w:rFonts w:ascii="Times New Roman" w:eastAsia="Calibri" w:hAnsi="Times New Roman" w:cs="Times New Roman"/>
          <w:sz w:val="24"/>
          <w:szCs w:val="24"/>
          <w:lang w:val="en-US"/>
        </w:rPr>
        <w:t>Fig.2.</w:t>
      </w:r>
      <w:r w:rsidR="00BE29DF" w:rsidRPr="00BC32CF">
        <w:rPr>
          <w:rFonts w:ascii="Times New Roman" w:eastAsia="Calibri" w:hAnsi="Times New Roman" w:cs="Times New Roman"/>
          <w:sz w:val="24"/>
          <w:szCs w:val="24"/>
          <w:lang w:val="en-US"/>
        </w:rPr>
        <w:t xml:space="preserve"> for Risk and Bankability Framework).</w:t>
      </w:r>
    </w:p>
    <w:p w14:paraId="7381F367" w14:textId="77777777" w:rsidR="003A1FDF" w:rsidRPr="00BC32CF" w:rsidRDefault="009C3835" w:rsidP="001539C6">
      <w:pPr>
        <w:pStyle w:val="Heading2"/>
      </w:pPr>
      <w:r w:rsidRPr="00BC32CF">
        <w:t>6</w:t>
      </w:r>
      <w:r w:rsidR="003A1FDF" w:rsidRPr="00BC32CF">
        <w:t xml:space="preserve">.1. </w:t>
      </w:r>
      <w:r w:rsidR="000A590B" w:rsidRPr="00BC32CF">
        <w:t>Sponsor Risk and Associated Bankability Criteria</w:t>
      </w:r>
    </w:p>
    <w:p w14:paraId="5B63ADDA" w14:textId="77777777" w:rsidR="003A1FDF" w:rsidRPr="00BC32CF" w:rsidRDefault="003A1FDF" w:rsidP="002A2D4B">
      <w:pPr>
        <w:spacing w:before="240"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Evidences from </w:t>
      </w:r>
      <w:r w:rsidR="001B064E" w:rsidRPr="00BC32CF">
        <w:rPr>
          <w:rFonts w:ascii="Times New Roman" w:eastAsia="Calibri" w:hAnsi="Times New Roman" w:cs="Times New Roman"/>
          <w:sz w:val="24"/>
          <w:szCs w:val="24"/>
          <w:lang w:val="en-US"/>
        </w:rPr>
        <w:t>the study</w:t>
      </w:r>
      <w:r w:rsidRPr="00BC32CF">
        <w:rPr>
          <w:rFonts w:ascii="Times New Roman" w:eastAsia="Calibri" w:hAnsi="Times New Roman" w:cs="Times New Roman"/>
          <w:sz w:val="24"/>
          <w:szCs w:val="24"/>
          <w:lang w:val="en-US"/>
        </w:rPr>
        <w:t xml:space="preserve">, as reflected in Table </w:t>
      </w:r>
      <w:r w:rsidR="00BE29DF" w:rsidRPr="00BC32CF">
        <w:rPr>
          <w:rFonts w:ascii="Times New Roman" w:eastAsia="Calibri" w:hAnsi="Times New Roman" w:cs="Times New Roman"/>
          <w:sz w:val="24"/>
          <w:szCs w:val="24"/>
          <w:lang w:val="en-US"/>
        </w:rPr>
        <w:t>3</w:t>
      </w:r>
      <w:r w:rsidRPr="00BC32CF">
        <w:rPr>
          <w:rFonts w:ascii="Times New Roman" w:eastAsia="Calibri" w:hAnsi="Times New Roman" w:cs="Times New Roman"/>
          <w:sz w:val="24"/>
          <w:szCs w:val="24"/>
          <w:lang w:val="en-US"/>
        </w:rPr>
        <w:t xml:space="preserve">, </w:t>
      </w:r>
      <w:r w:rsidR="001A6D08" w:rsidRPr="00BC32CF">
        <w:rPr>
          <w:rFonts w:ascii="Times New Roman" w:eastAsia="Calibri" w:hAnsi="Times New Roman" w:cs="Times New Roman"/>
          <w:sz w:val="24"/>
          <w:szCs w:val="24"/>
          <w:lang w:val="en-US"/>
        </w:rPr>
        <w:t>revealed</w:t>
      </w:r>
      <w:r w:rsidRPr="00BC32CF">
        <w:rPr>
          <w:rFonts w:ascii="Times New Roman" w:eastAsia="Calibri" w:hAnsi="Times New Roman" w:cs="Times New Roman"/>
          <w:sz w:val="24"/>
          <w:szCs w:val="24"/>
          <w:lang w:val="en-US"/>
        </w:rPr>
        <w:t xml:space="preserve"> sponsor risk is inherent in the </w:t>
      </w:r>
      <w:r w:rsidR="0095283D" w:rsidRPr="00BC32CF">
        <w:rPr>
          <w:rFonts w:ascii="Times New Roman" w:eastAsia="Calibri" w:hAnsi="Times New Roman" w:cs="Times New Roman"/>
          <w:sz w:val="24"/>
          <w:szCs w:val="24"/>
          <w:lang w:val="en-US"/>
        </w:rPr>
        <w:t xml:space="preserve">three </w:t>
      </w:r>
      <w:r w:rsidR="00BE29DF" w:rsidRPr="00BC32CF">
        <w:rPr>
          <w:rFonts w:ascii="Times New Roman" w:eastAsia="Calibri" w:hAnsi="Times New Roman" w:cs="Times New Roman"/>
          <w:sz w:val="24"/>
          <w:szCs w:val="24"/>
          <w:lang w:val="en-US"/>
        </w:rPr>
        <w:t>PPP</w:t>
      </w:r>
      <w:r w:rsidR="001A6D08" w:rsidRPr="00BC32CF">
        <w:rPr>
          <w:rFonts w:ascii="Times New Roman" w:eastAsia="Calibri" w:hAnsi="Times New Roman" w:cs="Times New Roman"/>
          <w:sz w:val="24"/>
          <w:szCs w:val="24"/>
          <w:lang w:val="en-US"/>
        </w:rPr>
        <w:t xml:space="preserve"> </w:t>
      </w:r>
      <w:r w:rsidRPr="00BC32CF">
        <w:rPr>
          <w:rFonts w:ascii="Times New Roman" w:eastAsia="Calibri" w:hAnsi="Times New Roman" w:cs="Times New Roman"/>
          <w:sz w:val="24"/>
          <w:szCs w:val="24"/>
          <w:lang w:val="en-US"/>
        </w:rPr>
        <w:t xml:space="preserve">case studies investigated. </w:t>
      </w:r>
      <w:r w:rsidR="001B064E" w:rsidRPr="00BC32CF">
        <w:rPr>
          <w:rFonts w:ascii="Times New Roman" w:eastAsia="Calibri" w:hAnsi="Times New Roman" w:cs="Times New Roman"/>
          <w:sz w:val="24"/>
          <w:szCs w:val="24"/>
          <w:lang w:val="en-US"/>
        </w:rPr>
        <w:t>Focus Group Discussion (FGD) p</w:t>
      </w:r>
      <w:r w:rsidRPr="00BC32CF">
        <w:rPr>
          <w:rFonts w:ascii="Times New Roman" w:eastAsia="Calibri" w:hAnsi="Times New Roman" w:cs="Times New Roman"/>
          <w:sz w:val="24"/>
          <w:szCs w:val="24"/>
          <w:lang w:val="en-US"/>
        </w:rPr>
        <w:t xml:space="preserve">articipants referred to sponsor risk analysis as </w:t>
      </w:r>
      <w:r w:rsidR="001B064E" w:rsidRPr="00BC32CF">
        <w:rPr>
          <w:rFonts w:ascii="Times New Roman" w:eastAsia="Calibri" w:hAnsi="Times New Roman" w:cs="Times New Roman"/>
          <w:sz w:val="24"/>
          <w:szCs w:val="24"/>
          <w:lang w:val="en-US"/>
        </w:rPr>
        <w:t xml:space="preserve">a </w:t>
      </w:r>
      <w:r w:rsidRPr="00BC32CF">
        <w:rPr>
          <w:rFonts w:ascii="Times New Roman" w:eastAsia="Calibri" w:hAnsi="Times New Roman" w:cs="Times New Roman"/>
          <w:sz w:val="24"/>
          <w:szCs w:val="24"/>
          <w:lang w:val="en-US"/>
        </w:rPr>
        <w:t xml:space="preserve">“smell test” </w:t>
      </w:r>
      <w:r w:rsidR="001B064E" w:rsidRPr="00BC32CF">
        <w:rPr>
          <w:rFonts w:ascii="Times New Roman" w:eastAsia="Calibri" w:hAnsi="Times New Roman" w:cs="Times New Roman"/>
          <w:sz w:val="24"/>
          <w:szCs w:val="24"/>
          <w:lang w:val="en-US"/>
        </w:rPr>
        <w:t xml:space="preserve">that </w:t>
      </w:r>
      <w:r w:rsidR="001A6D08" w:rsidRPr="00BC32CF">
        <w:rPr>
          <w:rFonts w:ascii="Times New Roman" w:eastAsia="Calibri" w:hAnsi="Times New Roman" w:cs="Times New Roman"/>
          <w:sz w:val="24"/>
          <w:szCs w:val="24"/>
          <w:lang w:val="en-US"/>
        </w:rPr>
        <w:t xml:space="preserve">must be </w:t>
      </w:r>
      <w:r w:rsidRPr="00BC32CF">
        <w:rPr>
          <w:rFonts w:ascii="Times New Roman" w:eastAsia="Calibri" w:hAnsi="Times New Roman" w:cs="Times New Roman"/>
          <w:sz w:val="24"/>
          <w:szCs w:val="24"/>
          <w:lang w:val="en-US"/>
        </w:rPr>
        <w:t>conducted by lenders</w:t>
      </w:r>
      <w:r w:rsidR="001B064E" w:rsidRPr="00BC32CF">
        <w:rPr>
          <w:rFonts w:ascii="Times New Roman" w:eastAsia="Calibri" w:hAnsi="Times New Roman" w:cs="Times New Roman"/>
          <w:sz w:val="24"/>
          <w:szCs w:val="24"/>
          <w:lang w:val="en-US"/>
        </w:rPr>
        <w:t xml:space="preserve"> before loan</w:t>
      </w:r>
      <w:r w:rsidR="00C154EB" w:rsidRPr="00BC32CF">
        <w:rPr>
          <w:rFonts w:ascii="Times New Roman" w:eastAsia="Calibri" w:hAnsi="Times New Roman" w:cs="Times New Roman"/>
          <w:sz w:val="24"/>
          <w:szCs w:val="24"/>
          <w:lang w:val="en-US"/>
        </w:rPr>
        <w:t>s</w:t>
      </w:r>
      <w:r w:rsidR="001B064E" w:rsidRPr="00BC32CF">
        <w:rPr>
          <w:rFonts w:ascii="Times New Roman" w:eastAsia="Calibri" w:hAnsi="Times New Roman" w:cs="Times New Roman"/>
          <w:sz w:val="24"/>
          <w:szCs w:val="24"/>
          <w:lang w:val="en-US"/>
        </w:rPr>
        <w:t xml:space="preserve"> are granted</w:t>
      </w:r>
      <w:r w:rsidRPr="00BC32CF">
        <w:rPr>
          <w:rFonts w:ascii="Times New Roman" w:eastAsia="Calibri" w:hAnsi="Times New Roman" w:cs="Times New Roman"/>
          <w:sz w:val="24"/>
          <w:szCs w:val="24"/>
          <w:lang w:val="en-US"/>
        </w:rPr>
        <w:t xml:space="preserve">. </w:t>
      </w:r>
      <w:r w:rsidR="001A6D08" w:rsidRPr="00BC32CF">
        <w:rPr>
          <w:rFonts w:ascii="Times New Roman" w:eastAsia="Calibri" w:hAnsi="Times New Roman" w:cs="Times New Roman"/>
          <w:sz w:val="24"/>
          <w:szCs w:val="24"/>
          <w:lang w:val="en-US"/>
        </w:rPr>
        <w:t xml:space="preserve">In evaluating sponsor risk in PPP loan applications within </w:t>
      </w:r>
      <w:r w:rsidR="00973FA4" w:rsidRPr="00BC32CF">
        <w:rPr>
          <w:rFonts w:ascii="Times New Roman" w:eastAsia="Calibri" w:hAnsi="Times New Roman" w:cs="Times New Roman"/>
          <w:sz w:val="24"/>
          <w:szCs w:val="24"/>
          <w:lang w:val="en-US"/>
        </w:rPr>
        <w:t>emerging market</w:t>
      </w:r>
      <w:r w:rsidR="00BE29DF" w:rsidRPr="00BC32CF">
        <w:rPr>
          <w:rFonts w:ascii="Times New Roman" w:eastAsia="Calibri" w:hAnsi="Times New Roman" w:cs="Times New Roman"/>
          <w:sz w:val="24"/>
          <w:szCs w:val="24"/>
          <w:lang w:val="en-US"/>
        </w:rPr>
        <w:t xml:space="preserve"> context</w:t>
      </w:r>
      <w:r w:rsidR="00973FA4" w:rsidRPr="00BC32CF">
        <w:rPr>
          <w:rFonts w:ascii="Times New Roman" w:eastAsia="Calibri" w:hAnsi="Times New Roman" w:cs="Times New Roman"/>
          <w:sz w:val="24"/>
          <w:szCs w:val="24"/>
          <w:lang w:val="en-US"/>
        </w:rPr>
        <w:t xml:space="preserve">, lenders consider the </w:t>
      </w:r>
      <w:r w:rsidR="00A04777" w:rsidRPr="00BC32CF">
        <w:rPr>
          <w:rFonts w:ascii="Times New Roman" w:eastAsia="Calibri" w:hAnsi="Times New Roman" w:cs="Times New Roman"/>
          <w:b/>
          <w:sz w:val="24"/>
          <w:szCs w:val="24"/>
          <w:lang w:val="en-US"/>
        </w:rPr>
        <w:t>“</w:t>
      </w:r>
      <w:r w:rsidR="001A6D08" w:rsidRPr="00BC32CF">
        <w:rPr>
          <w:rFonts w:ascii="Times New Roman" w:eastAsia="Calibri" w:hAnsi="Times New Roman" w:cs="Times New Roman"/>
          <w:b/>
          <w:sz w:val="24"/>
          <w:szCs w:val="24"/>
          <w:lang w:val="en-US"/>
        </w:rPr>
        <w:t>competence of the project sponsors</w:t>
      </w:r>
      <w:r w:rsidR="00A04777" w:rsidRPr="00BC32CF">
        <w:rPr>
          <w:rFonts w:ascii="Times New Roman" w:eastAsia="Calibri" w:hAnsi="Times New Roman" w:cs="Times New Roman"/>
          <w:b/>
          <w:sz w:val="24"/>
          <w:szCs w:val="24"/>
          <w:lang w:val="en-US"/>
        </w:rPr>
        <w:t>”</w:t>
      </w:r>
      <w:r w:rsidR="001A6D08" w:rsidRPr="00BC32CF">
        <w:rPr>
          <w:rFonts w:ascii="Times New Roman" w:eastAsia="Calibri" w:hAnsi="Times New Roman" w:cs="Times New Roman"/>
          <w:b/>
          <w:sz w:val="24"/>
          <w:szCs w:val="24"/>
          <w:lang w:val="en-US"/>
        </w:rPr>
        <w:t xml:space="preserve"> </w:t>
      </w:r>
      <w:r w:rsidR="00973FA4" w:rsidRPr="00BC32CF">
        <w:rPr>
          <w:rFonts w:ascii="Times New Roman" w:eastAsia="Calibri" w:hAnsi="Times New Roman" w:cs="Times New Roman"/>
          <w:sz w:val="24"/>
          <w:szCs w:val="24"/>
          <w:lang w:val="en-US"/>
        </w:rPr>
        <w:t>to be crucial to bankability</w:t>
      </w:r>
      <w:r w:rsidRPr="00BC32CF">
        <w:rPr>
          <w:rFonts w:ascii="Times New Roman" w:eastAsia="Calibri" w:hAnsi="Times New Roman" w:cs="Times New Roman"/>
          <w:sz w:val="24"/>
          <w:szCs w:val="24"/>
          <w:lang w:val="en-US"/>
        </w:rPr>
        <w:t xml:space="preserve">. </w:t>
      </w:r>
      <w:r w:rsidR="00973FA4" w:rsidRPr="00BC32CF">
        <w:rPr>
          <w:rFonts w:ascii="Times New Roman" w:eastAsia="Calibri" w:hAnsi="Times New Roman" w:cs="Times New Roman"/>
          <w:sz w:val="24"/>
          <w:szCs w:val="24"/>
          <w:lang w:val="en-US"/>
        </w:rPr>
        <w:t xml:space="preserve">This is </w:t>
      </w:r>
      <w:r w:rsidR="006A0559" w:rsidRPr="00BC32CF">
        <w:rPr>
          <w:rFonts w:ascii="Times New Roman" w:eastAsia="Calibri" w:hAnsi="Times New Roman" w:cs="Times New Roman"/>
          <w:sz w:val="24"/>
          <w:szCs w:val="24"/>
          <w:lang w:val="en-US"/>
        </w:rPr>
        <w:t>based on</w:t>
      </w:r>
      <w:r w:rsidR="00973FA4" w:rsidRPr="00BC32CF">
        <w:rPr>
          <w:rFonts w:ascii="Times New Roman" w:eastAsia="Calibri" w:hAnsi="Times New Roman" w:cs="Times New Roman"/>
          <w:sz w:val="24"/>
          <w:szCs w:val="24"/>
          <w:lang w:val="en-US"/>
        </w:rPr>
        <w:t xml:space="preserve"> results from the</w:t>
      </w:r>
      <w:r w:rsidR="006A0559" w:rsidRPr="00BC32CF">
        <w:rPr>
          <w:rFonts w:ascii="Times New Roman" w:eastAsia="Calibri" w:hAnsi="Times New Roman" w:cs="Times New Roman"/>
          <w:sz w:val="24"/>
          <w:szCs w:val="24"/>
          <w:lang w:val="en-US"/>
        </w:rPr>
        <w:t xml:space="preserve"> questionnaire survey, which shows a high significance index ranking of </w:t>
      </w:r>
      <w:r w:rsidR="006A0559" w:rsidRPr="00BC32CF">
        <w:rPr>
          <w:rFonts w:ascii="Times New Roman" w:eastAsia="Calibri" w:hAnsi="Times New Roman" w:cs="Times New Roman"/>
          <w:sz w:val="24"/>
          <w:szCs w:val="24"/>
        </w:rPr>
        <w:t xml:space="preserve">85.10, in terms of its influence on bankability </w:t>
      </w:r>
      <w:r w:rsidR="00156843" w:rsidRPr="00BC32CF">
        <w:rPr>
          <w:rFonts w:ascii="Times New Roman" w:eastAsia="Calibri" w:hAnsi="Times New Roman" w:cs="Times New Roman"/>
          <w:sz w:val="24"/>
          <w:szCs w:val="24"/>
        </w:rPr>
        <w:t xml:space="preserve">of </w:t>
      </w:r>
      <w:r w:rsidR="006A0559" w:rsidRPr="00BC32CF">
        <w:rPr>
          <w:rFonts w:ascii="Times New Roman" w:eastAsia="Calibri" w:hAnsi="Times New Roman" w:cs="Times New Roman"/>
          <w:sz w:val="24"/>
          <w:szCs w:val="24"/>
        </w:rPr>
        <w:t>sponsor risk</w:t>
      </w:r>
      <w:r w:rsidR="00BE29DF" w:rsidRPr="00BC32CF">
        <w:rPr>
          <w:rFonts w:ascii="Times New Roman" w:eastAsia="Calibri" w:hAnsi="Times New Roman" w:cs="Times New Roman"/>
          <w:sz w:val="24"/>
          <w:szCs w:val="24"/>
        </w:rPr>
        <w:t xml:space="preserve"> (see Table 4)</w:t>
      </w:r>
      <w:r w:rsidR="006A0559" w:rsidRPr="00BC32CF">
        <w:rPr>
          <w:rFonts w:ascii="Times New Roman" w:eastAsia="Calibri" w:hAnsi="Times New Roman" w:cs="Times New Roman"/>
          <w:sz w:val="24"/>
          <w:szCs w:val="24"/>
        </w:rPr>
        <w:t>.</w:t>
      </w:r>
      <w:r w:rsidR="006A0559" w:rsidRPr="00BC32CF">
        <w:rPr>
          <w:rFonts w:ascii="Times New Roman" w:eastAsia="Calibri" w:hAnsi="Times New Roman" w:cs="Times New Roman"/>
          <w:sz w:val="24"/>
          <w:szCs w:val="24"/>
          <w:lang w:val="en-US"/>
        </w:rPr>
        <w:t xml:space="preserve"> T</w:t>
      </w:r>
      <w:r w:rsidR="00156843" w:rsidRPr="00BC32CF">
        <w:rPr>
          <w:rFonts w:ascii="Times New Roman" w:eastAsia="Calibri" w:hAnsi="Times New Roman" w:cs="Times New Roman"/>
          <w:sz w:val="24"/>
          <w:szCs w:val="24"/>
          <w:lang w:val="en-US"/>
        </w:rPr>
        <w:t xml:space="preserve">he result </w:t>
      </w:r>
      <w:r w:rsidR="006A0559" w:rsidRPr="00BC32CF">
        <w:rPr>
          <w:rFonts w:ascii="Times New Roman" w:eastAsia="Calibri" w:hAnsi="Times New Roman" w:cs="Times New Roman"/>
          <w:sz w:val="24"/>
          <w:szCs w:val="24"/>
          <w:lang w:val="en-US"/>
        </w:rPr>
        <w:t xml:space="preserve">confirms findings from the </w:t>
      </w:r>
      <w:r w:rsidR="00156843" w:rsidRPr="00BC32CF">
        <w:rPr>
          <w:rFonts w:ascii="Times New Roman" w:eastAsia="Calibri" w:hAnsi="Times New Roman" w:cs="Times New Roman"/>
          <w:sz w:val="24"/>
          <w:szCs w:val="24"/>
          <w:lang w:val="en-US"/>
        </w:rPr>
        <w:t xml:space="preserve">FGD captured in the views of one of the </w:t>
      </w:r>
      <w:r w:rsidRPr="00BC32CF">
        <w:rPr>
          <w:rFonts w:ascii="Times New Roman" w:eastAsia="Calibri" w:hAnsi="Times New Roman" w:cs="Times New Roman"/>
          <w:sz w:val="24"/>
          <w:szCs w:val="24"/>
          <w:lang w:val="en-US"/>
        </w:rPr>
        <w:t>participants</w:t>
      </w:r>
      <w:r w:rsidR="001C0048" w:rsidRPr="00BC32CF">
        <w:rPr>
          <w:rFonts w:ascii="Times New Roman" w:eastAsia="Calibri" w:hAnsi="Times New Roman" w:cs="Times New Roman"/>
          <w:sz w:val="24"/>
          <w:szCs w:val="24"/>
          <w:lang w:val="en-US"/>
        </w:rPr>
        <w:t xml:space="preserve"> who argued that</w:t>
      </w:r>
      <w:r w:rsidRPr="00BC32CF">
        <w:rPr>
          <w:rFonts w:ascii="Times New Roman" w:eastAsia="Calibri" w:hAnsi="Times New Roman" w:cs="Times New Roman"/>
          <w:sz w:val="24"/>
          <w:szCs w:val="24"/>
          <w:lang w:val="en-US"/>
        </w:rPr>
        <w:t xml:space="preserve">: </w:t>
      </w:r>
    </w:p>
    <w:p w14:paraId="1A1172B8" w14:textId="77777777" w:rsidR="003A1FDF" w:rsidRPr="00BC32CF" w:rsidRDefault="003A1FDF" w:rsidP="002A2D4B">
      <w:pPr>
        <w:spacing w:after="20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“Foreign lenders will consider factors like sponsor’s identity, sponsors’ credit background, the sponsor’s financial strength, the sponsor’s history of corporate dealings, probability of default etc.”</w:t>
      </w:r>
    </w:p>
    <w:p w14:paraId="2A6AAD40" w14:textId="77777777" w:rsidR="003A1FDF" w:rsidRPr="00BC32CF" w:rsidRDefault="003A1FDF" w:rsidP="002A2D4B">
      <w:pPr>
        <w:spacing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The above assertions highlights </w:t>
      </w:r>
      <w:r w:rsidR="000A5862" w:rsidRPr="00BC32CF">
        <w:rPr>
          <w:rFonts w:ascii="Times New Roman" w:eastAsia="Calibri" w:hAnsi="Times New Roman" w:cs="Times New Roman"/>
          <w:sz w:val="24"/>
          <w:szCs w:val="24"/>
          <w:lang w:val="en-US"/>
        </w:rPr>
        <w:t>Atmo and Duffield (2014</w:t>
      </w:r>
      <w:r w:rsidRPr="00BC32CF">
        <w:rPr>
          <w:rFonts w:ascii="Times New Roman" w:eastAsia="Calibri" w:hAnsi="Times New Roman" w:cs="Times New Roman"/>
          <w:sz w:val="24"/>
          <w:szCs w:val="24"/>
          <w:lang w:val="en-US"/>
        </w:rPr>
        <w:t xml:space="preserve">) </w:t>
      </w:r>
      <w:r w:rsidR="00BE29DF" w:rsidRPr="00BC32CF">
        <w:rPr>
          <w:rFonts w:ascii="Times New Roman" w:eastAsia="Calibri" w:hAnsi="Times New Roman" w:cs="Times New Roman"/>
          <w:sz w:val="24"/>
          <w:szCs w:val="24"/>
          <w:lang w:val="en-US"/>
        </w:rPr>
        <w:t>as well as</w:t>
      </w:r>
      <w:r w:rsidRPr="00BC32CF">
        <w:rPr>
          <w:rFonts w:ascii="Times New Roman" w:eastAsia="Calibri" w:hAnsi="Times New Roman" w:cs="Times New Roman"/>
          <w:sz w:val="24"/>
          <w:szCs w:val="24"/>
          <w:lang w:val="en-US"/>
        </w:rPr>
        <w:t xml:space="preserve"> Hoffman (2008) who argue that the fact that project finance loans are granted to a newly formed Special Purpose Vehicle (SPV) does not </w:t>
      </w:r>
      <w:r w:rsidR="00BE29DF" w:rsidRPr="00BC32CF">
        <w:rPr>
          <w:rFonts w:ascii="Times New Roman" w:eastAsia="Calibri" w:hAnsi="Times New Roman" w:cs="Times New Roman"/>
          <w:sz w:val="24"/>
          <w:szCs w:val="24"/>
          <w:lang w:val="en-US"/>
        </w:rPr>
        <w:t>suggest</w:t>
      </w:r>
      <w:r w:rsidRPr="00BC32CF">
        <w:rPr>
          <w:rFonts w:ascii="Times New Roman" w:eastAsia="Calibri" w:hAnsi="Times New Roman" w:cs="Times New Roman"/>
          <w:sz w:val="24"/>
          <w:szCs w:val="24"/>
          <w:lang w:val="en-US"/>
        </w:rPr>
        <w:t xml:space="preserve"> lenders are not interested in the identity and credit history of project sponsors. </w:t>
      </w:r>
      <w:r w:rsidR="00932ACE" w:rsidRPr="00BC32CF">
        <w:rPr>
          <w:rFonts w:ascii="Times New Roman" w:eastAsia="Calibri" w:hAnsi="Times New Roman" w:cs="Times New Roman"/>
          <w:sz w:val="24"/>
          <w:szCs w:val="24"/>
          <w:lang w:val="en-US"/>
        </w:rPr>
        <w:t xml:space="preserve">Rather, the profile of the project sponsors or any prior banking relationship with the lender will play a crucial role in addressing possible information asymmetry. </w:t>
      </w:r>
      <w:r w:rsidR="00156843" w:rsidRPr="00BC32CF">
        <w:rPr>
          <w:rFonts w:ascii="Times New Roman" w:eastAsia="Calibri" w:hAnsi="Times New Roman" w:cs="Times New Roman"/>
          <w:sz w:val="24"/>
          <w:szCs w:val="24"/>
          <w:lang w:val="en-US"/>
        </w:rPr>
        <w:t xml:space="preserve">Another important bankability criterion for evaluating sponsor risk, based on results from the survey, is the </w:t>
      </w:r>
      <w:r w:rsidR="0036076A" w:rsidRPr="00BC32CF">
        <w:rPr>
          <w:rFonts w:ascii="Times New Roman" w:eastAsia="Calibri" w:hAnsi="Times New Roman" w:cs="Times New Roman"/>
          <w:b/>
          <w:sz w:val="24"/>
          <w:szCs w:val="24"/>
          <w:lang w:val="en-US"/>
        </w:rPr>
        <w:t>“</w:t>
      </w:r>
      <w:r w:rsidR="00156843" w:rsidRPr="00BC32CF">
        <w:rPr>
          <w:rFonts w:ascii="Times New Roman" w:eastAsia="Calibri" w:hAnsi="Times New Roman" w:cs="Times New Roman"/>
          <w:b/>
          <w:sz w:val="24"/>
          <w:szCs w:val="24"/>
          <w:lang w:val="en-US"/>
        </w:rPr>
        <w:t xml:space="preserve">existence of Pre-completion </w:t>
      </w:r>
      <w:r w:rsidR="00156843" w:rsidRPr="00BC32CF">
        <w:rPr>
          <w:rFonts w:ascii="Times New Roman" w:eastAsia="Calibri" w:hAnsi="Times New Roman" w:cs="Times New Roman"/>
          <w:b/>
          <w:sz w:val="24"/>
          <w:szCs w:val="24"/>
          <w:lang w:val="en-US"/>
        </w:rPr>
        <w:lastRenderedPageBreak/>
        <w:t>guarantee or full-financial guarantee presented by project sponsors</w:t>
      </w:r>
      <w:r w:rsidR="0036076A" w:rsidRPr="00BC32CF">
        <w:rPr>
          <w:rFonts w:ascii="Times New Roman" w:eastAsia="Calibri" w:hAnsi="Times New Roman" w:cs="Times New Roman"/>
          <w:b/>
          <w:sz w:val="24"/>
          <w:szCs w:val="24"/>
          <w:lang w:val="en-US"/>
        </w:rPr>
        <w:t>”</w:t>
      </w:r>
      <w:r w:rsidR="00156843" w:rsidRPr="00BC32CF">
        <w:rPr>
          <w:rFonts w:ascii="Times New Roman" w:eastAsia="Calibri" w:hAnsi="Times New Roman" w:cs="Times New Roman"/>
          <w:b/>
          <w:sz w:val="24"/>
          <w:szCs w:val="24"/>
          <w:lang w:val="en-US"/>
        </w:rPr>
        <w:t xml:space="preserve">. </w:t>
      </w:r>
      <w:r w:rsidR="00BE29DF" w:rsidRPr="00BC32CF">
        <w:rPr>
          <w:rFonts w:ascii="Times New Roman" w:eastAsia="Calibri" w:hAnsi="Times New Roman" w:cs="Times New Roman"/>
          <w:sz w:val="24"/>
          <w:szCs w:val="24"/>
          <w:lang w:val="en-US"/>
        </w:rPr>
        <w:t xml:space="preserve">Evidences </w:t>
      </w:r>
      <w:r w:rsidR="00932ACE" w:rsidRPr="00BC32CF">
        <w:rPr>
          <w:rFonts w:ascii="Times New Roman" w:eastAsia="Calibri" w:hAnsi="Times New Roman" w:cs="Times New Roman"/>
          <w:sz w:val="24"/>
          <w:szCs w:val="24"/>
          <w:lang w:val="en-US"/>
        </w:rPr>
        <w:t>in</w:t>
      </w:r>
      <w:r w:rsidR="00BE29DF" w:rsidRPr="00BC32CF">
        <w:rPr>
          <w:rFonts w:ascii="Times New Roman" w:eastAsia="Calibri" w:hAnsi="Times New Roman" w:cs="Times New Roman"/>
          <w:sz w:val="24"/>
          <w:szCs w:val="24"/>
          <w:lang w:val="en-US"/>
        </w:rPr>
        <w:t xml:space="preserve"> Table 4</w:t>
      </w:r>
      <w:r w:rsidR="00156843" w:rsidRPr="00BC32CF">
        <w:rPr>
          <w:rFonts w:ascii="Times New Roman" w:eastAsia="Calibri" w:hAnsi="Times New Roman" w:cs="Times New Roman"/>
          <w:sz w:val="24"/>
          <w:szCs w:val="24"/>
          <w:lang w:val="en-US"/>
        </w:rPr>
        <w:t xml:space="preserve"> show a significance </w:t>
      </w:r>
      <w:r w:rsidR="00932ACE" w:rsidRPr="00BC32CF">
        <w:rPr>
          <w:rFonts w:ascii="Times New Roman" w:eastAsia="Calibri" w:hAnsi="Times New Roman" w:cs="Times New Roman"/>
          <w:sz w:val="24"/>
          <w:szCs w:val="24"/>
          <w:lang w:val="en-US"/>
        </w:rPr>
        <w:t xml:space="preserve">index </w:t>
      </w:r>
      <w:r w:rsidR="00156843" w:rsidRPr="00BC32CF">
        <w:rPr>
          <w:rFonts w:ascii="Times New Roman" w:eastAsia="Calibri" w:hAnsi="Times New Roman" w:cs="Times New Roman"/>
          <w:sz w:val="24"/>
          <w:szCs w:val="24"/>
          <w:lang w:val="en-US"/>
        </w:rPr>
        <w:t xml:space="preserve">ranking of 84.11, indicating high lenders’ perception of the criterion towards influencing   lenders bankability decision. The result buttresses suggestions from </w:t>
      </w:r>
      <w:r w:rsidR="0044644A" w:rsidRPr="00BC32CF">
        <w:rPr>
          <w:rFonts w:ascii="Times New Roman" w:eastAsia="Calibri" w:hAnsi="Times New Roman" w:cs="Times New Roman"/>
          <w:sz w:val="24"/>
          <w:szCs w:val="24"/>
          <w:lang w:val="en-US"/>
        </w:rPr>
        <w:t xml:space="preserve">some of the </w:t>
      </w:r>
      <w:r w:rsidR="00156843" w:rsidRPr="00BC32CF">
        <w:rPr>
          <w:rFonts w:ascii="Times New Roman" w:eastAsia="Calibri" w:hAnsi="Times New Roman" w:cs="Times New Roman"/>
          <w:sz w:val="24"/>
          <w:szCs w:val="24"/>
          <w:lang w:val="en-US"/>
        </w:rPr>
        <w:t xml:space="preserve">FGD participants who </w:t>
      </w:r>
      <w:r w:rsidR="0044644A" w:rsidRPr="00BC32CF">
        <w:rPr>
          <w:rFonts w:ascii="Times New Roman" w:eastAsia="Calibri" w:hAnsi="Times New Roman" w:cs="Times New Roman"/>
          <w:sz w:val="24"/>
          <w:szCs w:val="24"/>
          <w:lang w:val="en-US"/>
        </w:rPr>
        <w:t>argued</w:t>
      </w:r>
      <w:r w:rsidR="00156843" w:rsidRPr="00BC32CF">
        <w:rPr>
          <w:rFonts w:ascii="Times New Roman" w:eastAsia="Calibri" w:hAnsi="Times New Roman" w:cs="Times New Roman"/>
          <w:sz w:val="24"/>
          <w:szCs w:val="24"/>
          <w:lang w:val="en-US"/>
        </w:rPr>
        <w:t xml:space="preserve"> that,</w:t>
      </w:r>
      <w:r w:rsidRPr="00BC32CF">
        <w:rPr>
          <w:rFonts w:ascii="Times New Roman" w:eastAsia="Calibri" w:hAnsi="Times New Roman" w:cs="Times New Roman"/>
          <w:sz w:val="24"/>
          <w:szCs w:val="24"/>
          <w:lang w:val="en-US"/>
        </w:rPr>
        <w:t xml:space="preserve"> where lenders </w:t>
      </w:r>
      <w:r w:rsidR="00156843" w:rsidRPr="00BC32CF">
        <w:rPr>
          <w:rFonts w:ascii="Times New Roman" w:eastAsia="Calibri" w:hAnsi="Times New Roman" w:cs="Times New Roman"/>
          <w:sz w:val="24"/>
          <w:szCs w:val="24"/>
          <w:lang w:val="en-US"/>
        </w:rPr>
        <w:t>are</w:t>
      </w:r>
      <w:r w:rsidRPr="00BC32CF">
        <w:rPr>
          <w:rFonts w:ascii="Times New Roman" w:eastAsia="Calibri" w:hAnsi="Times New Roman" w:cs="Times New Roman"/>
          <w:sz w:val="24"/>
          <w:szCs w:val="24"/>
          <w:lang w:val="en-US"/>
        </w:rPr>
        <w:t xml:space="preserve"> not satisfied with the credit risk </w:t>
      </w:r>
      <w:r w:rsidR="00932ACE" w:rsidRPr="00BC32CF">
        <w:rPr>
          <w:rFonts w:ascii="Times New Roman" w:eastAsia="Calibri" w:hAnsi="Times New Roman" w:cs="Times New Roman"/>
          <w:sz w:val="24"/>
          <w:szCs w:val="24"/>
          <w:lang w:val="en-US"/>
        </w:rPr>
        <w:t xml:space="preserve">profile </w:t>
      </w:r>
      <w:r w:rsidRPr="00BC32CF">
        <w:rPr>
          <w:rFonts w:ascii="Times New Roman" w:eastAsia="Calibri" w:hAnsi="Times New Roman" w:cs="Times New Roman"/>
          <w:sz w:val="24"/>
          <w:szCs w:val="24"/>
          <w:lang w:val="en-US"/>
        </w:rPr>
        <w:t xml:space="preserve">of </w:t>
      </w:r>
      <w:r w:rsidR="00BE29DF" w:rsidRPr="00BC32CF">
        <w:rPr>
          <w:rFonts w:ascii="Times New Roman" w:eastAsia="Calibri" w:hAnsi="Times New Roman" w:cs="Times New Roman"/>
          <w:sz w:val="24"/>
          <w:szCs w:val="24"/>
          <w:lang w:val="en-US"/>
        </w:rPr>
        <w:t>a project</w:t>
      </w:r>
      <w:r w:rsidRPr="00BC32CF">
        <w:rPr>
          <w:rFonts w:ascii="Times New Roman" w:eastAsia="Calibri" w:hAnsi="Times New Roman" w:cs="Times New Roman"/>
          <w:sz w:val="24"/>
          <w:szCs w:val="24"/>
          <w:lang w:val="en-US"/>
        </w:rPr>
        <w:t xml:space="preserve"> sponsor: </w:t>
      </w:r>
    </w:p>
    <w:p w14:paraId="598530C3" w14:textId="77777777" w:rsidR="003A1FDF" w:rsidRPr="00BC32CF" w:rsidRDefault="003A1FDF" w:rsidP="008461C8">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“In such cases a foreign bank will demand credit risk enhancements such </w:t>
      </w:r>
      <w:r w:rsidR="005623E9" w:rsidRPr="00BC32CF">
        <w:rPr>
          <w:rFonts w:ascii="Times New Roman" w:eastAsia="Calibri" w:hAnsi="Times New Roman" w:cs="Times New Roman"/>
          <w:i/>
          <w:sz w:val="24"/>
          <w:szCs w:val="24"/>
          <w:lang w:val="en-US"/>
        </w:rPr>
        <w:t xml:space="preserve">as </w:t>
      </w:r>
      <w:r w:rsidRPr="00BC32CF">
        <w:rPr>
          <w:rFonts w:ascii="Times New Roman" w:eastAsia="Calibri" w:hAnsi="Times New Roman" w:cs="Times New Roman"/>
          <w:i/>
          <w:sz w:val="24"/>
          <w:szCs w:val="24"/>
          <w:lang w:val="en-US"/>
        </w:rPr>
        <w:t>Pre-completion Guarantee, full-financial Guarantee, third party guarantee or even a bank</w:t>
      </w:r>
      <w:r w:rsidR="00BE29DF" w:rsidRPr="00BC32CF">
        <w:rPr>
          <w:rFonts w:ascii="Times New Roman" w:eastAsia="Calibri" w:hAnsi="Times New Roman" w:cs="Times New Roman"/>
          <w:i/>
          <w:sz w:val="24"/>
          <w:szCs w:val="24"/>
          <w:lang w:val="en-US"/>
        </w:rPr>
        <w:t>-financed</w:t>
      </w:r>
      <w:r w:rsidRPr="00BC32CF">
        <w:rPr>
          <w:rFonts w:ascii="Times New Roman" w:eastAsia="Calibri" w:hAnsi="Times New Roman" w:cs="Times New Roman"/>
          <w:i/>
          <w:sz w:val="24"/>
          <w:szCs w:val="24"/>
          <w:lang w:val="en-US"/>
        </w:rPr>
        <w:t xml:space="preserve"> guarante</w:t>
      </w:r>
      <w:r w:rsidR="008461C8" w:rsidRPr="00BC32CF">
        <w:rPr>
          <w:rFonts w:ascii="Times New Roman" w:eastAsia="Calibri" w:hAnsi="Times New Roman" w:cs="Times New Roman"/>
          <w:i/>
          <w:sz w:val="24"/>
          <w:szCs w:val="24"/>
          <w:lang w:val="en-US"/>
        </w:rPr>
        <w:t xml:space="preserve">e, for better considerations.” </w:t>
      </w:r>
    </w:p>
    <w:p w14:paraId="65AC91BD" w14:textId="77777777" w:rsidR="002644EC" w:rsidRPr="00BC32CF" w:rsidRDefault="003A1FDF" w:rsidP="002A2D4B">
      <w:pPr>
        <w:spacing w:after="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This is in line with </w:t>
      </w:r>
      <w:r w:rsidR="00CF314D" w:rsidRPr="00BC32CF">
        <w:rPr>
          <w:rFonts w:ascii="Times New Roman" w:eastAsia="Calibri" w:hAnsi="Times New Roman" w:cs="Times New Roman"/>
          <w:sz w:val="24"/>
          <w:szCs w:val="24"/>
          <w:lang w:val="en-US"/>
        </w:rPr>
        <w:t>Hoffman (2008</w:t>
      </w:r>
      <w:r w:rsidRPr="00BC32CF">
        <w:rPr>
          <w:rFonts w:ascii="Times New Roman" w:eastAsia="Calibri" w:hAnsi="Times New Roman" w:cs="Times New Roman"/>
          <w:sz w:val="24"/>
          <w:szCs w:val="24"/>
          <w:lang w:val="en-US"/>
        </w:rPr>
        <w:t xml:space="preserve">) and </w:t>
      </w:r>
      <w:r w:rsidR="009179BB" w:rsidRPr="00BC32CF">
        <w:rPr>
          <w:rFonts w:ascii="Times New Roman" w:eastAsia="Calibri" w:hAnsi="Times New Roman" w:cs="Times New Roman"/>
          <w:sz w:val="24"/>
          <w:szCs w:val="24"/>
          <w:lang w:val="en-US"/>
        </w:rPr>
        <w:t>Mills (2010</w:t>
      </w:r>
      <w:r w:rsidRPr="00BC32CF">
        <w:rPr>
          <w:rFonts w:ascii="Times New Roman" w:eastAsia="Calibri" w:hAnsi="Times New Roman" w:cs="Times New Roman"/>
          <w:sz w:val="24"/>
          <w:szCs w:val="24"/>
          <w:lang w:val="en-US"/>
        </w:rPr>
        <w:t>) who opine</w:t>
      </w:r>
      <w:r w:rsidR="00BE29DF" w:rsidRPr="00BC32CF">
        <w:rPr>
          <w:rFonts w:ascii="Times New Roman" w:eastAsia="Calibri" w:hAnsi="Times New Roman" w:cs="Times New Roman"/>
          <w:sz w:val="24"/>
          <w:szCs w:val="24"/>
          <w:lang w:val="en-US"/>
        </w:rPr>
        <w:t>d</w:t>
      </w:r>
      <w:r w:rsidRPr="00BC32CF">
        <w:rPr>
          <w:rFonts w:ascii="Times New Roman" w:eastAsia="Calibri" w:hAnsi="Times New Roman" w:cs="Times New Roman"/>
          <w:sz w:val="24"/>
          <w:szCs w:val="24"/>
          <w:lang w:val="en-US"/>
        </w:rPr>
        <w:t xml:space="preserve"> that</w:t>
      </w:r>
      <w:r w:rsidR="00BE29DF"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to foreign lenders, credit guarantee serves as collateral against project incompletion. Hence, the presence of such facilities in a PPP loan application will improve the bankability of such funding applications </w:t>
      </w:r>
      <w:r w:rsidR="00EE4B14" w:rsidRPr="00BC32CF">
        <w:rPr>
          <w:rFonts w:ascii="Times New Roman" w:eastAsia="Calibri" w:hAnsi="Times New Roman" w:cs="Times New Roman"/>
          <w:sz w:val="24"/>
          <w:szCs w:val="24"/>
          <w:lang w:val="en-US"/>
        </w:rPr>
        <w:t>from</w:t>
      </w:r>
      <w:r w:rsidRPr="00BC32CF">
        <w:rPr>
          <w:rFonts w:ascii="Times New Roman" w:eastAsia="Calibri" w:hAnsi="Times New Roman" w:cs="Times New Roman"/>
          <w:sz w:val="24"/>
          <w:szCs w:val="24"/>
          <w:lang w:val="en-US"/>
        </w:rPr>
        <w:t xml:space="preserve"> foreign financiers</w:t>
      </w:r>
      <w:r w:rsidR="00EE4B14" w:rsidRPr="00BC32CF">
        <w:rPr>
          <w:rFonts w:ascii="Times New Roman" w:eastAsia="Calibri" w:hAnsi="Times New Roman" w:cs="Times New Roman"/>
          <w:sz w:val="24"/>
          <w:szCs w:val="24"/>
          <w:lang w:val="en-US"/>
        </w:rPr>
        <w:t>’ perspectives</w:t>
      </w:r>
      <w:r w:rsidRPr="00BC32CF">
        <w:rPr>
          <w:rFonts w:ascii="Times New Roman" w:eastAsia="Calibri" w:hAnsi="Times New Roman" w:cs="Times New Roman"/>
          <w:sz w:val="24"/>
          <w:szCs w:val="24"/>
          <w:lang w:val="en-US"/>
        </w:rPr>
        <w:t xml:space="preserve"> (Grimsey and Lewis, 2002). </w:t>
      </w:r>
      <w:r w:rsidR="00BE29DF" w:rsidRPr="00BC32CF">
        <w:rPr>
          <w:rFonts w:ascii="Times New Roman" w:eastAsia="Calibri" w:hAnsi="Times New Roman" w:cs="Times New Roman"/>
          <w:sz w:val="24"/>
          <w:szCs w:val="24"/>
          <w:lang w:val="en-US"/>
        </w:rPr>
        <w:t xml:space="preserve">According to Yescombe (2007) and Mills (2010), credit risk enhancement </w:t>
      </w:r>
      <w:r w:rsidR="00237AD5" w:rsidRPr="00BC32CF">
        <w:rPr>
          <w:rFonts w:ascii="Times New Roman" w:eastAsia="Calibri" w:hAnsi="Times New Roman" w:cs="Times New Roman"/>
          <w:sz w:val="24"/>
          <w:szCs w:val="24"/>
          <w:lang w:val="en-US"/>
        </w:rPr>
        <w:t>may become</w:t>
      </w:r>
      <w:r w:rsidR="00BE29DF" w:rsidRPr="00BC32CF">
        <w:rPr>
          <w:rFonts w:ascii="Times New Roman" w:eastAsia="Calibri" w:hAnsi="Times New Roman" w:cs="Times New Roman"/>
          <w:sz w:val="24"/>
          <w:szCs w:val="24"/>
          <w:lang w:val="en-US"/>
        </w:rPr>
        <w:t xml:space="preserve"> crucial to lenders where the sponsors have weak credit quality or ha</w:t>
      </w:r>
      <w:r w:rsidR="003A33DC" w:rsidRPr="00BC32CF">
        <w:rPr>
          <w:rFonts w:ascii="Times New Roman" w:eastAsia="Calibri" w:hAnsi="Times New Roman" w:cs="Times New Roman"/>
          <w:sz w:val="24"/>
          <w:szCs w:val="24"/>
          <w:lang w:val="en-US"/>
        </w:rPr>
        <w:t>ve</w:t>
      </w:r>
      <w:r w:rsidR="00BE29DF" w:rsidRPr="00BC32CF">
        <w:rPr>
          <w:rFonts w:ascii="Times New Roman" w:eastAsia="Calibri" w:hAnsi="Times New Roman" w:cs="Times New Roman"/>
          <w:sz w:val="24"/>
          <w:szCs w:val="24"/>
          <w:lang w:val="en-US"/>
        </w:rPr>
        <w:t xml:space="preserve"> no prior experience in project financing arrangements. </w:t>
      </w:r>
      <w:r w:rsidR="00540FEF" w:rsidRPr="00BC32CF">
        <w:rPr>
          <w:rFonts w:ascii="Times New Roman" w:eastAsia="Calibri" w:hAnsi="Times New Roman" w:cs="Times New Roman"/>
          <w:sz w:val="24"/>
          <w:szCs w:val="24"/>
          <w:lang w:val="en-US"/>
        </w:rPr>
        <w:t>In addition</w:t>
      </w:r>
      <w:r w:rsidRPr="00BC32CF">
        <w:rPr>
          <w:rFonts w:ascii="Times New Roman" w:eastAsia="Calibri" w:hAnsi="Times New Roman" w:cs="Times New Roman"/>
          <w:sz w:val="24"/>
          <w:szCs w:val="24"/>
          <w:lang w:val="en-US"/>
        </w:rPr>
        <w:t xml:space="preserve">, going by </w:t>
      </w:r>
      <w:r w:rsidR="00540FEF" w:rsidRPr="00BC32CF">
        <w:rPr>
          <w:rFonts w:ascii="Times New Roman" w:eastAsia="Calibri" w:hAnsi="Times New Roman" w:cs="Times New Roman"/>
          <w:sz w:val="24"/>
          <w:szCs w:val="24"/>
          <w:lang w:val="en-US"/>
        </w:rPr>
        <w:t xml:space="preserve">findings revealed in </w:t>
      </w:r>
      <w:r w:rsidRPr="00BC32CF">
        <w:rPr>
          <w:rFonts w:ascii="Times New Roman" w:eastAsia="Calibri" w:hAnsi="Times New Roman" w:cs="Times New Roman"/>
          <w:sz w:val="24"/>
          <w:szCs w:val="24"/>
          <w:lang w:val="en-US"/>
        </w:rPr>
        <w:t xml:space="preserve">Table </w:t>
      </w:r>
      <w:r w:rsidR="00EE4B14" w:rsidRPr="00BC32CF">
        <w:rPr>
          <w:rFonts w:ascii="Times New Roman" w:eastAsia="Calibri" w:hAnsi="Times New Roman" w:cs="Times New Roman"/>
          <w:sz w:val="24"/>
          <w:szCs w:val="24"/>
          <w:lang w:val="en-US"/>
        </w:rPr>
        <w:t>3</w:t>
      </w:r>
      <w:r w:rsidRPr="00BC32CF">
        <w:rPr>
          <w:rFonts w:ascii="Times New Roman" w:eastAsia="Calibri" w:hAnsi="Times New Roman" w:cs="Times New Roman"/>
          <w:sz w:val="24"/>
          <w:szCs w:val="24"/>
          <w:lang w:val="en-US"/>
        </w:rPr>
        <w:t xml:space="preserve">, another crucial bankability </w:t>
      </w:r>
      <w:r w:rsidR="00540FEF" w:rsidRPr="00BC32CF">
        <w:rPr>
          <w:rFonts w:ascii="Times New Roman" w:eastAsia="Calibri" w:hAnsi="Times New Roman" w:cs="Times New Roman"/>
          <w:sz w:val="24"/>
          <w:szCs w:val="24"/>
          <w:lang w:val="en-US"/>
        </w:rPr>
        <w:t>criterion</w:t>
      </w:r>
      <w:r w:rsidRPr="00BC32CF">
        <w:rPr>
          <w:rFonts w:ascii="Times New Roman" w:eastAsia="Calibri" w:hAnsi="Times New Roman" w:cs="Times New Roman"/>
          <w:sz w:val="24"/>
          <w:szCs w:val="24"/>
          <w:lang w:val="en-US"/>
        </w:rPr>
        <w:t xml:space="preserve"> used for evaluating </w:t>
      </w:r>
      <w:r w:rsidR="00540FEF" w:rsidRPr="00BC32CF">
        <w:rPr>
          <w:rFonts w:ascii="Times New Roman" w:eastAsia="Calibri" w:hAnsi="Times New Roman" w:cs="Times New Roman"/>
          <w:sz w:val="24"/>
          <w:szCs w:val="24"/>
          <w:lang w:val="en-US"/>
        </w:rPr>
        <w:t xml:space="preserve">sponsor risk in </w:t>
      </w:r>
      <w:r w:rsidRPr="00BC32CF">
        <w:rPr>
          <w:rFonts w:ascii="Times New Roman" w:eastAsia="Calibri" w:hAnsi="Times New Roman" w:cs="Times New Roman"/>
          <w:sz w:val="24"/>
          <w:szCs w:val="24"/>
          <w:lang w:val="en-US"/>
        </w:rPr>
        <w:t xml:space="preserve">PPP </w:t>
      </w:r>
      <w:r w:rsidR="00237AD5" w:rsidRPr="00BC32CF">
        <w:rPr>
          <w:rFonts w:ascii="Times New Roman" w:eastAsia="Calibri" w:hAnsi="Times New Roman" w:cs="Times New Roman"/>
          <w:sz w:val="24"/>
          <w:szCs w:val="24"/>
          <w:lang w:val="en-US"/>
        </w:rPr>
        <w:t>loan applications from</w:t>
      </w:r>
      <w:r w:rsidR="00540FEF" w:rsidRPr="00BC32CF">
        <w:rPr>
          <w:rFonts w:ascii="Times New Roman" w:eastAsia="Calibri" w:hAnsi="Times New Roman" w:cs="Times New Roman"/>
          <w:sz w:val="24"/>
          <w:szCs w:val="24"/>
          <w:lang w:val="en-US"/>
        </w:rPr>
        <w:t xml:space="preserve"> an emerging market</w:t>
      </w:r>
      <w:r w:rsidRPr="00BC32CF">
        <w:rPr>
          <w:rFonts w:ascii="Times New Roman" w:eastAsia="Calibri" w:hAnsi="Times New Roman" w:cs="Times New Roman"/>
          <w:sz w:val="24"/>
          <w:szCs w:val="24"/>
          <w:lang w:val="en-US"/>
        </w:rPr>
        <w:t xml:space="preserve"> is the </w:t>
      </w:r>
      <w:r w:rsidR="0036076A" w:rsidRPr="00BC32CF">
        <w:rPr>
          <w:rFonts w:ascii="Times New Roman" w:eastAsia="Calibri" w:hAnsi="Times New Roman" w:cs="Times New Roman"/>
          <w:b/>
          <w:sz w:val="24"/>
          <w:szCs w:val="24"/>
          <w:lang w:val="en-US"/>
        </w:rPr>
        <w:t>“</w:t>
      </w:r>
      <w:r w:rsidRPr="00BC32CF">
        <w:rPr>
          <w:rFonts w:ascii="Times New Roman" w:eastAsia="Calibri" w:hAnsi="Times New Roman" w:cs="Times New Roman"/>
          <w:b/>
          <w:sz w:val="24"/>
          <w:szCs w:val="24"/>
          <w:lang w:val="en-US"/>
        </w:rPr>
        <w:t>sponsors’ equity case</w:t>
      </w:r>
      <w:r w:rsidR="0036076A" w:rsidRPr="00BC32CF">
        <w:rPr>
          <w:rFonts w:ascii="Times New Roman" w:eastAsia="Calibri" w:hAnsi="Times New Roman" w:cs="Times New Roman"/>
          <w:b/>
          <w:sz w:val="24"/>
          <w:szCs w:val="24"/>
          <w:lang w:val="en-US"/>
        </w:rPr>
        <w:t>”</w:t>
      </w:r>
      <w:r w:rsidRPr="00BC32CF">
        <w:rPr>
          <w:rFonts w:ascii="Times New Roman" w:eastAsia="Calibri" w:hAnsi="Times New Roman" w:cs="Times New Roman"/>
          <w:b/>
          <w:sz w:val="24"/>
          <w:szCs w:val="24"/>
          <w:lang w:val="en-US"/>
        </w:rPr>
        <w:t>.</w:t>
      </w:r>
      <w:r w:rsidRPr="00BC32CF">
        <w:rPr>
          <w:rFonts w:ascii="Times New Roman" w:eastAsia="Calibri" w:hAnsi="Times New Roman" w:cs="Times New Roman"/>
          <w:sz w:val="24"/>
          <w:szCs w:val="24"/>
          <w:lang w:val="en-US"/>
        </w:rPr>
        <w:t xml:space="preserve"> Relying on </w:t>
      </w:r>
      <w:r w:rsidR="00540FEF" w:rsidRPr="00BC32CF">
        <w:rPr>
          <w:rFonts w:ascii="Times New Roman" w:eastAsia="Calibri" w:hAnsi="Times New Roman" w:cs="Times New Roman"/>
          <w:sz w:val="24"/>
          <w:szCs w:val="24"/>
          <w:lang w:val="en-US"/>
        </w:rPr>
        <w:t xml:space="preserve">survey </w:t>
      </w:r>
      <w:r w:rsidRPr="00BC32CF">
        <w:rPr>
          <w:rFonts w:ascii="Times New Roman" w:eastAsia="Calibri" w:hAnsi="Times New Roman" w:cs="Times New Roman"/>
          <w:sz w:val="24"/>
          <w:szCs w:val="24"/>
          <w:lang w:val="en-US"/>
        </w:rPr>
        <w:t xml:space="preserve">findings </w:t>
      </w:r>
      <w:r w:rsidR="00540FEF" w:rsidRPr="00BC32CF">
        <w:rPr>
          <w:rFonts w:ascii="Times New Roman" w:eastAsia="Calibri" w:hAnsi="Times New Roman" w:cs="Times New Roman"/>
          <w:sz w:val="24"/>
          <w:szCs w:val="24"/>
          <w:lang w:val="en-US"/>
        </w:rPr>
        <w:t>which show a significance ranking of 84.03 for this criterion</w:t>
      </w:r>
      <w:r w:rsidR="00EE4B14" w:rsidRPr="00BC32CF">
        <w:rPr>
          <w:rFonts w:ascii="Times New Roman" w:eastAsia="Calibri" w:hAnsi="Times New Roman" w:cs="Times New Roman"/>
          <w:sz w:val="24"/>
          <w:szCs w:val="24"/>
          <w:lang w:val="en-US"/>
        </w:rPr>
        <w:t xml:space="preserve"> (see Table 4)</w:t>
      </w:r>
      <w:r w:rsidRPr="00BC32CF">
        <w:rPr>
          <w:rFonts w:ascii="Times New Roman" w:eastAsia="Calibri" w:hAnsi="Times New Roman" w:cs="Times New Roman"/>
          <w:sz w:val="24"/>
          <w:szCs w:val="24"/>
          <w:lang w:val="en-US"/>
        </w:rPr>
        <w:t xml:space="preserve">, </w:t>
      </w:r>
      <w:r w:rsidR="002644EC" w:rsidRPr="00BC32CF">
        <w:rPr>
          <w:rFonts w:ascii="Times New Roman" w:eastAsia="Calibri" w:hAnsi="Times New Roman" w:cs="Times New Roman"/>
          <w:sz w:val="24"/>
          <w:szCs w:val="24"/>
          <w:lang w:val="en-US"/>
        </w:rPr>
        <w:t xml:space="preserve">the </w:t>
      </w:r>
      <w:r w:rsidR="00EE4B14" w:rsidRPr="00BC32CF">
        <w:rPr>
          <w:rFonts w:ascii="Times New Roman" w:eastAsia="Calibri" w:hAnsi="Times New Roman" w:cs="Times New Roman"/>
          <w:sz w:val="24"/>
          <w:szCs w:val="24"/>
          <w:lang w:val="en-US"/>
        </w:rPr>
        <w:t xml:space="preserve">share of </w:t>
      </w:r>
      <w:r w:rsidR="002644EC" w:rsidRPr="00BC32CF">
        <w:rPr>
          <w:rFonts w:ascii="Times New Roman" w:eastAsia="Calibri" w:hAnsi="Times New Roman" w:cs="Times New Roman"/>
          <w:sz w:val="24"/>
          <w:szCs w:val="24"/>
          <w:lang w:val="en-US"/>
        </w:rPr>
        <w:t>equity contribution of projects sponsors must be satisfactory to lenders. As confirmed by FGD findings, participants’ argue that</w:t>
      </w:r>
      <w:r w:rsidRPr="00BC32CF">
        <w:rPr>
          <w:rFonts w:ascii="Times New Roman" w:eastAsia="Calibri" w:hAnsi="Times New Roman" w:cs="Times New Roman"/>
          <w:sz w:val="24"/>
          <w:szCs w:val="24"/>
          <w:lang w:val="en-US"/>
        </w:rPr>
        <w:t>:</w:t>
      </w:r>
    </w:p>
    <w:p w14:paraId="285FE4E4" w14:textId="77777777" w:rsidR="003A1FDF" w:rsidRPr="00BC32CF" w:rsidRDefault="003A1FDF" w:rsidP="002A2D4B">
      <w:pPr>
        <w:spacing w:after="20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 “It is also important to consider the debt equity ratio on offer. This is because; the amount of equity to be injected into the project by the sponsor team and the timing of such injection will also influe</w:t>
      </w:r>
      <w:r w:rsidR="002644EC" w:rsidRPr="00BC32CF">
        <w:rPr>
          <w:rFonts w:ascii="Times New Roman" w:eastAsia="Calibri" w:hAnsi="Times New Roman" w:cs="Times New Roman"/>
          <w:i/>
          <w:sz w:val="24"/>
          <w:szCs w:val="24"/>
          <w:lang w:val="en-US"/>
        </w:rPr>
        <w:t xml:space="preserve">nce foreign funding decision”. </w:t>
      </w:r>
    </w:p>
    <w:p w14:paraId="01DCC185" w14:textId="77777777" w:rsidR="00077A60" w:rsidRPr="00BC32CF" w:rsidRDefault="003A1FDF" w:rsidP="002A2D4B">
      <w:pPr>
        <w:spacing w:after="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Studies such as Demirag </w:t>
      </w:r>
      <w:r w:rsidRPr="00BC32CF">
        <w:rPr>
          <w:rFonts w:ascii="Times New Roman" w:eastAsia="Calibri" w:hAnsi="Times New Roman" w:cs="Times New Roman"/>
          <w:i/>
          <w:sz w:val="24"/>
          <w:szCs w:val="24"/>
          <w:lang w:val="en-US"/>
        </w:rPr>
        <w:t>et al.</w:t>
      </w:r>
      <w:r w:rsidRPr="00BC32CF">
        <w:rPr>
          <w:rFonts w:ascii="Times New Roman" w:eastAsia="Calibri" w:hAnsi="Times New Roman" w:cs="Times New Roman"/>
          <w:sz w:val="24"/>
          <w:szCs w:val="24"/>
          <w:lang w:val="en-US"/>
        </w:rPr>
        <w:t xml:space="preserve"> (2011), </w:t>
      </w:r>
      <w:r w:rsidR="000A5862" w:rsidRPr="00BC32CF">
        <w:rPr>
          <w:rFonts w:ascii="Times New Roman" w:eastAsia="Calibri" w:hAnsi="Times New Roman" w:cs="Times New Roman"/>
          <w:sz w:val="24"/>
          <w:szCs w:val="24"/>
          <w:lang w:val="en-US"/>
        </w:rPr>
        <w:t xml:space="preserve">Al-Khattab </w:t>
      </w:r>
      <w:r w:rsidR="000A5862" w:rsidRPr="00BC32CF">
        <w:rPr>
          <w:rFonts w:ascii="Times New Roman" w:eastAsia="Calibri" w:hAnsi="Times New Roman" w:cs="Times New Roman"/>
          <w:i/>
          <w:sz w:val="24"/>
          <w:szCs w:val="24"/>
          <w:lang w:val="en-US"/>
        </w:rPr>
        <w:t>et al</w:t>
      </w:r>
      <w:r w:rsidR="000A5862" w:rsidRPr="00BC32CF">
        <w:rPr>
          <w:rFonts w:ascii="Times New Roman" w:eastAsia="Calibri" w:hAnsi="Times New Roman" w:cs="Times New Roman"/>
          <w:sz w:val="24"/>
          <w:szCs w:val="24"/>
          <w:lang w:val="en-US"/>
        </w:rPr>
        <w:t>. (2007</w:t>
      </w:r>
      <w:r w:rsidRPr="00BC32CF">
        <w:rPr>
          <w:rFonts w:ascii="Times New Roman" w:eastAsia="Calibri" w:hAnsi="Times New Roman" w:cs="Times New Roman"/>
          <w:sz w:val="24"/>
          <w:szCs w:val="24"/>
          <w:lang w:val="en-US"/>
        </w:rPr>
        <w:t xml:space="preserve">) and </w:t>
      </w:r>
      <w:r w:rsidR="0058006C" w:rsidRPr="00BC32CF">
        <w:rPr>
          <w:rFonts w:ascii="Times New Roman" w:eastAsia="Calibri" w:hAnsi="Times New Roman" w:cs="Times New Roman"/>
          <w:sz w:val="24"/>
          <w:szCs w:val="24"/>
          <w:lang w:val="en-US"/>
        </w:rPr>
        <w:t>Mills (2010</w:t>
      </w:r>
      <w:r w:rsidRPr="00BC32CF">
        <w:rPr>
          <w:rFonts w:ascii="Times New Roman" w:eastAsia="Calibri" w:hAnsi="Times New Roman" w:cs="Times New Roman"/>
          <w:sz w:val="24"/>
          <w:szCs w:val="24"/>
          <w:lang w:val="en-US"/>
        </w:rPr>
        <w:t>) have confirmed the above claim and argued that the amount of equity contribution of sponsor</w:t>
      </w:r>
      <w:r w:rsidR="00EE4B14" w:rsidRPr="00BC32CF">
        <w:rPr>
          <w:rFonts w:ascii="Times New Roman" w:eastAsia="Calibri" w:hAnsi="Times New Roman" w:cs="Times New Roman"/>
          <w:sz w:val="24"/>
          <w:szCs w:val="24"/>
          <w:lang w:val="en-US"/>
        </w:rPr>
        <w:t>s</w:t>
      </w:r>
      <w:r w:rsidRPr="00BC32CF">
        <w:rPr>
          <w:rFonts w:ascii="Times New Roman" w:eastAsia="Calibri" w:hAnsi="Times New Roman" w:cs="Times New Roman"/>
          <w:sz w:val="24"/>
          <w:szCs w:val="24"/>
          <w:lang w:val="en-US"/>
        </w:rPr>
        <w:t xml:space="preserve"> will determine the extent of the lenders’ funding, </w:t>
      </w:r>
      <w:r w:rsidR="005B5F8D" w:rsidRPr="00BC32CF">
        <w:rPr>
          <w:rFonts w:ascii="Times New Roman" w:eastAsia="Calibri" w:hAnsi="Times New Roman" w:cs="Times New Roman"/>
          <w:sz w:val="24"/>
          <w:szCs w:val="24"/>
          <w:lang w:val="en-US"/>
        </w:rPr>
        <w:t xml:space="preserve">her </w:t>
      </w:r>
      <w:r w:rsidRPr="00BC32CF">
        <w:rPr>
          <w:rFonts w:ascii="Times New Roman" w:eastAsia="Calibri" w:hAnsi="Times New Roman" w:cs="Times New Roman"/>
          <w:sz w:val="24"/>
          <w:szCs w:val="24"/>
          <w:lang w:val="en-US"/>
        </w:rPr>
        <w:t xml:space="preserve">recourse as well as the </w:t>
      </w:r>
      <w:r w:rsidR="005B5F8D" w:rsidRPr="00BC32CF">
        <w:rPr>
          <w:rFonts w:ascii="Times New Roman" w:eastAsia="Calibri" w:hAnsi="Times New Roman" w:cs="Times New Roman"/>
          <w:sz w:val="24"/>
          <w:szCs w:val="24"/>
          <w:lang w:val="en-US"/>
        </w:rPr>
        <w:t xml:space="preserve">loan </w:t>
      </w:r>
      <w:r w:rsidRPr="00BC32CF">
        <w:rPr>
          <w:rFonts w:ascii="Times New Roman" w:eastAsia="Calibri" w:hAnsi="Times New Roman" w:cs="Times New Roman"/>
          <w:sz w:val="24"/>
          <w:szCs w:val="24"/>
          <w:lang w:val="en-US"/>
        </w:rPr>
        <w:t xml:space="preserve">price during due diligence appraisal. </w:t>
      </w:r>
      <w:r w:rsidRPr="00BC32CF">
        <w:rPr>
          <w:rFonts w:ascii="Times New Roman" w:eastAsia="Calibri" w:hAnsi="Times New Roman" w:cs="Times New Roman"/>
          <w:sz w:val="24"/>
          <w:szCs w:val="24"/>
          <w:lang w:val="en-US"/>
        </w:rPr>
        <w:lastRenderedPageBreak/>
        <w:t xml:space="preserve">According to </w:t>
      </w:r>
      <w:r w:rsidR="000A5862" w:rsidRPr="00BC32CF">
        <w:rPr>
          <w:rFonts w:ascii="Times New Roman" w:eastAsia="Calibri" w:hAnsi="Times New Roman" w:cs="Times New Roman"/>
          <w:sz w:val="24"/>
          <w:szCs w:val="24"/>
          <w:lang w:val="en-US"/>
        </w:rPr>
        <w:t>Hoffman (2008</w:t>
      </w:r>
      <w:r w:rsidRPr="00BC32CF">
        <w:rPr>
          <w:rFonts w:ascii="Times New Roman" w:eastAsia="Calibri" w:hAnsi="Times New Roman" w:cs="Times New Roman"/>
          <w:sz w:val="24"/>
          <w:szCs w:val="24"/>
          <w:lang w:val="en-US"/>
        </w:rPr>
        <w:t xml:space="preserve">), lenders </w:t>
      </w:r>
      <w:r w:rsidR="00EE4B14" w:rsidRPr="00BC32CF">
        <w:rPr>
          <w:rFonts w:ascii="Times New Roman" w:eastAsia="Calibri" w:hAnsi="Times New Roman" w:cs="Times New Roman"/>
          <w:sz w:val="24"/>
          <w:szCs w:val="24"/>
          <w:lang w:val="en-US"/>
        </w:rPr>
        <w:t>believe</w:t>
      </w:r>
      <w:r w:rsidRPr="00BC32CF">
        <w:rPr>
          <w:rFonts w:ascii="Times New Roman" w:eastAsia="Calibri" w:hAnsi="Times New Roman" w:cs="Times New Roman"/>
          <w:sz w:val="24"/>
          <w:szCs w:val="24"/>
          <w:lang w:val="en-US"/>
        </w:rPr>
        <w:t xml:space="preserve"> that, the more the sponsor’s equity at stake i</w:t>
      </w:r>
      <w:r w:rsidR="00EE4B14" w:rsidRPr="00BC32CF">
        <w:rPr>
          <w:rFonts w:ascii="Times New Roman" w:eastAsia="Calibri" w:hAnsi="Times New Roman" w:cs="Times New Roman"/>
          <w:sz w:val="24"/>
          <w:szCs w:val="24"/>
          <w:lang w:val="en-US"/>
        </w:rPr>
        <w:t>n PPP projects, the higher the c</w:t>
      </w:r>
      <w:r w:rsidRPr="00BC32CF">
        <w:rPr>
          <w:rFonts w:ascii="Times New Roman" w:eastAsia="Calibri" w:hAnsi="Times New Roman" w:cs="Times New Roman"/>
          <w:sz w:val="24"/>
          <w:szCs w:val="24"/>
          <w:lang w:val="en-US"/>
        </w:rPr>
        <w:t xml:space="preserve">ommitment and the lesser the possibility of walking away in case the project </w:t>
      </w:r>
      <w:r w:rsidR="00EE4B14" w:rsidRPr="00BC32CF">
        <w:rPr>
          <w:rFonts w:ascii="Times New Roman" w:eastAsia="Calibri" w:hAnsi="Times New Roman" w:cs="Times New Roman"/>
          <w:sz w:val="24"/>
          <w:szCs w:val="24"/>
          <w:lang w:val="en-US"/>
        </w:rPr>
        <w:t>encounter</w:t>
      </w:r>
      <w:r w:rsidR="00237AD5" w:rsidRPr="00BC32CF">
        <w:rPr>
          <w:rFonts w:ascii="Times New Roman" w:eastAsia="Calibri" w:hAnsi="Times New Roman" w:cs="Times New Roman"/>
          <w:sz w:val="24"/>
          <w:szCs w:val="24"/>
          <w:lang w:val="en-US"/>
        </w:rPr>
        <w:t>s</w:t>
      </w:r>
      <w:r w:rsidR="00EE4B14" w:rsidRPr="00BC32CF">
        <w:rPr>
          <w:rFonts w:ascii="Times New Roman" w:eastAsia="Calibri" w:hAnsi="Times New Roman" w:cs="Times New Roman"/>
          <w:sz w:val="24"/>
          <w:szCs w:val="24"/>
          <w:lang w:val="en-US"/>
        </w:rPr>
        <w:t xml:space="preserve"> challenges</w:t>
      </w:r>
      <w:r w:rsidRPr="00BC32CF">
        <w:rPr>
          <w:rFonts w:ascii="Times New Roman" w:eastAsia="Calibri" w:hAnsi="Times New Roman" w:cs="Times New Roman"/>
          <w:sz w:val="24"/>
          <w:szCs w:val="24"/>
          <w:lang w:val="en-US"/>
        </w:rPr>
        <w:t xml:space="preserve">. </w:t>
      </w:r>
    </w:p>
    <w:p w14:paraId="0CF8B1C2" w14:textId="77777777" w:rsidR="00522F7B" w:rsidRPr="00BC32CF" w:rsidRDefault="009C3835" w:rsidP="002A2D4B">
      <w:pPr>
        <w:pStyle w:val="Heading2"/>
        <w:rPr>
          <w:rFonts w:eastAsia="Calibri"/>
        </w:rPr>
      </w:pPr>
      <w:r w:rsidRPr="00BC32CF">
        <w:t>6</w:t>
      </w:r>
      <w:r w:rsidR="000A590B" w:rsidRPr="00BC32CF">
        <w:t>.2</w:t>
      </w:r>
      <w:r w:rsidR="000A590B" w:rsidRPr="00BC32CF">
        <w:tab/>
        <w:t>Country/Political Risk and Associated Bankability Criteria</w:t>
      </w:r>
    </w:p>
    <w:p w14:paraId="3BC819EC" w14:textId="77777777" w:rsidR="001B0F52" w:rsidRPr="00BC32CF" w:rsidRDefault="00EE5882" w:rsidP="002A2D4B">
      <w:pPr>
        <w:spacing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Going by evidences from the study, political risk was considered very important in the three PPP projects’ case studies investigated. </w:t>
      </w:r>
      <w:r w:rsidR="004241E5" w:rsidRPr="00BC32CF">
        <w:rPr>
          <w:rFonts w:ascii="Times New Roman" w:eastAsia="Calibri" w:hAnsi="Times New Roman" w:cs="Times New Roman"/>
          <w:sz w:val="24"/>
          <w:szCs w:val="24"/>
          <w:lang w:val="en-US"/>
        </w:rPr>
        <w:t>As shown in the results from the question</w:t>
      </w:r>
      <w:r w:rsidR="00267F70" w:rsidRPr="00BC32CF">
        <w:rPr>
          <w:rFonts w:ascii="Times New Roman" w:eastAsia="Calibri" w:hAnsi="Times New Roman" w:cs="Times New Roman"/>
          <w:sz w:val="24"/>
          <w:szCs w:val="24"/>
          <w:lang w:val="en-US"/>
        </w:rPr>
        <w:t>naire</w:t>
      </w:r>
      <w:r w:rsidR="00FF4ED0" w:rsidRPr="00BC32CF">
        <w:rPr>
          <w:rFonts w:ascii="Times New Roman" w:eastAsia="Calibri" w:hAnsi="Times New Roman" w:cs="Times New Roman"/>
          <w:sz w:val="24"/>
          <w:szCs w:val="24"/>
          <w:lang w:val="en-US"/>
        </w:rPr>
        <w:t xml:space="preserve"> survey (see Table 3 and 4</w:t>
      </w:r>
      <w:r w:rsidR="004241E5" w:rsidRPr="00BC32CF">
        <w:rPr>
          <w:rFonts w:ascii="Times New Roman" w:eastAsia="Calibri" w:hAnsi="Times New Roman" w:cs="Times New Roman"/>
          <w:sz w:val="24"/>
          <w:szCs w:val="24"/>
          <w:lang w:val="en-US"/>
        </w:rPr>
        <w:t xml:space="preserve">), an important bankability criterion for evaluating political risk in PPP loan applications is the </w:t>
      </w:r>
      <w:r w:rsidR="004241E5" w:rsidRPr="00BC32CF">
        <w:rPr>
          <w:rFonts w:ascii="Times New Roman" w:eastAsia="Calibri" w:hAnsi="Times New Roman" w:cs="Times New Roman"/>
          <w:b/>
          <w:sz w:val="24"/>
          <w:szCs w:val="24"/>
          <w:lang w:val="en-US"/>
        </w:rPr>
        <w:t>“transfer of political risk to Export credit agencies”</w:t>
      </w:r>
      <w:r w:rsidR="004241E5" w:rsidRPr="00BC32CF">
        <w:rPr>
          <w:rFonts w:ascii="Times New Roman" w:eastAsia="Calibri" w:hAnsi="Times New Roman" w:cs="Times New Roman"/>
          <w:sz w:val="24"/>
          <w:szCs w:val="24"/>
          <w:lang w:val="en-US"/>
        </w:rPr>
        <w:t xml:space="preserve">. </w:t>
      </w:r>
      <w:r w:rsidR="00267F70" w:rsidRPr="00BC32CF">
        <w:rPr>
          <w:rFonts w:ascii="Times New Roman" w:eastAsia="Calibri" w:hAnsi="Times New Roman" w:cs="Times New Roman"/>
          <w:sz w:val="24"/>
          <w:szCs w:val="24"/>
          <w:lang w:val="en-US"/>
        </w:rPr>
        <w:t>The high significance ranking</w:t>
      </w:r>
      <w:r w:rsidR="001B0F52" w:rsidRPr="00BC32CF">
        <w:rPr>
          <w:rFonts w:ascii="Times New Roman" w:eastAsia="Calibri" w:hAnsi="Times New Roman" w:cs="Times New Roman"/>
          <w:sz w:val="24"/>
          <w:szCs w:val="24"/>
          <w:lang w:val="en-US"/>
        </w:rPr>
        <w:t xml:space="preserve"> of the criterion (85.32)</w:t>
      </w:r>
      <w:r w:rsidR="00267F70" w:rsidRPr="00BC32CF">
        <w:rPr>
          <w:rFonts w:ascii="Times New Roman" w:eastAsia="Calibri" w:hAnsi="Times New Roman" w:cs="Times New Roman"/>
          <w:sz w:val="24"/>
          <w:szCs w:val="24"/>
          <w:lang w:val="en-US"/>
        </w:rPr>
        <w:t xml:space="preserve"> </w:t>
      </w:r>
      <w:r w:rsidR="001B0F52" w:rsidRPr="00BC32CF">
        <w:rPr>
          <w:rFonts w:ascii="Times New Roman" w:eastAsia="Calibri" w:hAnsi="Times New Roman" w:cs="Times New Roman"/>
          <w:sz w:val="24"/>
          <w:szCs w:val="24"/>
          <w:lang w:val="en-US"/>
        </w:rPr>
        <w:t>confirms</w:t>
      </w:r>
      <w:r w:rsidR="00267F70" w:rsidRPr="00BC32CF">
        <w:rPr>
          <w:rFonts w:ascii="Times New Roman" w:eastAsia="Calibri" w:hAnsi="Times New Roman" w:cs="Times New Roman"/>
          <w:sz w:val="24"/>
          <w:szCs w:val="24"/>
          <w:lang w:val="en-US"/>
        </w:rPr>
        <w:t xml:space="preserve"> lenders’ </w:t>
      </w:r>
      <w:r w:rsidR="001B0F52" w:rsidRPr="00BC32CF">
        <w:rPr>
          <w:rFonts w:ascii="Times New Roman" w:eastAsia="Calibri" w:hAnsi="Times New Roman" w:cs="Times New Roman"/>
          <w:sz w:val="24"/>
          <w:szCs w:val="24"/>
          <w:lang w:val="en-US"/>
        </w:rPr>
        <w:t xml:space="preserve">strong </w:t>
      </w:r>
      <w:r w:rsidR="00267F70" w:rsidRPr="00BC32CF">
        <w:rPr>
          <w:rFonts w:ascii="Times New Roman" w:eastAsia="Calibri" w:hAnsi="Times New Roman" w:cs="Times New Roman"/>
          <w:sz w:val="24"/>
          <w:szCs w:val="24"/>
          <w:lang w:val="en-US"/>
        </w:rPr>
        <w:t xml:space="preserve">perception of its influence </w:t>
      </w:r>
      <w:r w:rsidR="001B0F52" w:rsidRPr="00BC32CF">
        <w:rPr>
          <w:rFonts w:ascii="Times New Roman" w:eastAsia="Calibri" w:hAnsi="Times New Roman" w:cs="Times New Roman"/>
          <w:sz w:val="24"/>
          <w:szCs w:val="24"/>
          <w:lang w:val="en-US"/>
        </w:rPr>
        <w:t xml:space="preserve">on the </w:t>
      </w:r>
      <w:r w:rsidR="00267F70" w:rsidRPr="00BC32CF">
        <w:rPr>
          <w:rFonts w:ascii="Times New Roman" w:eastAsia="Calibri" w:hAnsi="Times New Roman" w:cs="Times New Roman"/>
          <w:sz w:val="24"/>
          <w:szCs w:val="24"/>
          <w:lang w:val="en-US"/>
        </w:rPr>
        <w:t>bankability</w:t>
      </w:r>
      <w:r w:rsidR="001B0F52" w:rsidRPr="00BC32CF">
        <w:rPr>
          <w:rFonts w:ascii="Times New Roman" w:eastAsia="Calibri" w:hAnsi="Times New Roman" w:cs="Times New Roman"/>
          <w:sz w:val="24"/>
          <w:szCs w:val="24"/>
          <w:lang w:val="en-US"/>
        </w:rPr>
        <w:t xml:space="preserve"> of political risk in PPP</w:t>
      </w:r>
      <w:r w:rsidR="00FF4ED0" w:rsidRPr="00BC32CF">
        <w:rPr>
          <w:rFonts w:ascii="Times New Roman" w:eastAsia="Calibri" w:hAnsi="Times New Roman" w:cs="Times New Roman"/>
          <w:sz w:val="24"/>
          <w:szCs w:val="24"/>
          <w:lang w:val="en-US"/>
        </w:rPr>
        <w:t>s</w:t>
      </w:r>
      <w:r w:rsidR="001B0F52" w:rsidRPr="00BC32CF">
        <w:rPr>
          <w:rFonts w:ascii="Times New Roman" w:eastAsia="Calibri" w:hAnsi="Times New Roman" w:cs="Times New Roman"/>
          <w:sz w:val="24"/>
          <w:szCs w:val="24"/>
          <w:lang w:val="en-US"/>
        </w:rPr>
        <w:t>, especially from an emerging market context</w:t>
      </w:r>
      <w:r w:rsidR="00FF4ED0" w:rsidRPr="00BC32CF">
        <w:rPr>
          <w:rFonts w:ascii="Times New Roman" w:eastAsia="Calibri" w:hAnsi="Times New Roman" w:cs="Times New Roman"/>
          <w:sz w:val="24"/>
          <w:szCs w:val="24"/>
          <w:lang w:val="en-US"/>
        </w:rPr>
        <w:t xml:space="preserve"> (see Table 4)</w:t>
      </w:r>
      <w:r w:rsidR="00267F70" w:rsidRPr="00BC32CF">
        <w:rPr>
          <w:rFonts w:ascii="Times New Roman" w:eastAsia="Calibri" w:hAnsi="Times New Roman" w:cs="Times New Roman"/>
          <w:sz w:val="24"/>
          <w:szCs w:val="24"/>
          <w:lang w:val="en-US"/>
        </w:rPr>
        <w:t xml:space="preserve">. </w:t>
      </w:r>
      <w:r w:rsidR="001B0F52" w:rsidRPr="00BC32CF">
        <w:rPr>
          <w:rFonts w:ascii="Times New Roman" w:eastAsia="Calibri" w:hAnsi="Times New Roman" w:cs="Times New Roman"/>
          <w:sz w:val="24"/>
          <w:szCs w:val="24"/>
          <w:lang w:val="en-US"/>
        </w:rPr>
        <w:t xml:space="preserve">This perspective was </w:t>
      </w:r>
      <w:r w:rsidR="00725C57" w:rsidRPr="00BC32CF">
        <w:rPr>
          <w:rFonts w:ascii="Times New Roman" w:eastAsia="Calibri" w:hAnsi="Times New Roman" w:cs="Times New Roman"/>
          <w:sz w:val="24"/>
          <w:szCs w:val="24"/>
          <w:lang w:val="en-US"/>
        </w:rPr>
        <w:t xml:space="preserve">also </w:t>
      </w:r>
      <w:r w:rsidR="001B0F52" w:rsidRPr="00BC32CF">
        <w:rPr>
          <w:rFonts w:ascii="Times New Roman" w:eastAsia="Calibri" w:hAnsi="Times New Roman" w:cs="Times New Roman"/>
          <w:sz w:val="24"/>
          <w:szCs w:val="24"/>
          <w:lang w:val="en-US"/>
        </w:rPr>
        <w:t xml:space="preserve">highlighted </w:t>
      </w:r>
      <w:r w:rsidR="00725C57" w:rsidRPr="00BC32CF">
        <w:rPr>
          <w:rFonts w:ascii="Times New Roman" w:eastAsia="Calibri" w:hAnsi="Times New Roman" w:cs="Times New Roman"/>
          <w:sz w:val="24"/>
          <w:szCs w:val="24"/>
          <w:lang w:val="en-US"/>
        </w:rPr>
        <w:t xml:space="preserve">by discussants in </w:t>
      </w:r>
      <w:r w:rsidR="001B0F52" w:rsidRPr="00BC32CF">
        <w:rPr>
          <w:rFonts w:ascii="Times New Roman" w:eastAsia="Calibri" w:hAnsi="Times New Roman" w:cs="Times New Roman"/>
          <w:sz w:val="24"/>
          <w:szCs w:val="24"/>
          <w:lang w:val="en-US"/>
        </w:rPr>
        <w:t xml:space="preserve">some of </w:t>
      </w:r>
      <w:r w:rsidR="00725C57" w:rsidRPr="00BC32CF">
        <w:rPr>
          <w:rFonts w:ascii="Times New Roman" w:eastAsia="Calibri" w:hAnsi="Times New Roman" w:cs="Times New Roman"/>
          <w:sz w:val="24"/>
          <w:szCs w:val="24"/>
          <w:lang w:val="en-US"/>
        </w:rPr>
        <w:t>the focus g</w:t>
      </w:r>
      <w:r w:rsidR="001B0F52" w:rsidRPr="00BC32CF">
        <w:rPr>
          <w:rFonts w:ascii="Times New Roman" w:eastAsia="Calibri" w:hAnsi="Times New Roman" w:cs="Times New Roman"/>
          <w:sz w:val="24"/>
          <w:szCs w:val="24"/>
          <w:lang w:val="en-US"/>
        </w:rPr>
        <w:t xml:space="preserve">roup </w:t>
      </w:r>
      <w:r w:rsidR="00725C57" w:rsidRPr="00BC32CF">
        <w:rPr>
          <w:rFonts w:ascii="Times New Roman" w:eastAsia="Calibri" w:hAnsi="Times New Roman" w:cs="Times New Roman"/>
          <w:sz w:val="24"/>
          <w:szCs w:val="24"/>
          <w:lang w:val="en-US"/>
        </w:rPr>
        <w:t>d</w:t>
      </w:r>
      <w:r w:rsidR="001B0F52" w:rsidRPr="00BC32CF">
        <w:rPr>
          <w:rFonts w:ascii="Times New Roman" w:eastAsia="Calibri" w:hAnsi="Times New Roman" w:cs="Times New Roman"/>
          <w:sz w:val="24"/>
          <w:szCs w:val="24"/>
          <w:lang w:val="en-US"/>
        </w:rPr>
        <w:t xml:space="preserve">iscussions. </w:t>
      </w:r>
    </w:p>
    <w:p w14:paraId="06975748" w14:textId="77777777" w:rsidR="001B0F52" w:rsidRPr="00BC32CF" w:rsidRDefault="006B3E84" w:rsidP="002A2D4B">
      <w:pPr>
        <w:pStyle w:val="Quote"/>
        <w:spacing w:line="480" w:lineRule="auto"/>
        <w:rPr>
          <w:color w:val="auto"/>
          <w:lang w:val="en-US"/>
        </w:rPr>
      </w:pPr>
      <w:r w:rsidRPr="00BC32CF">
        <w:rPr>
          <w:color w:val="auto"/>
          <w:lang w:val="en-US"/>
        </w:rPr>
        <w:t>“</w:t>
      </w:r>
      <w:r w:rsidR="009B75B8" w:rsidRPr="00BC32CF">
        <w:rPr>
          <w:color w:val="auto"/>
          <w:lang w:val="en-US"/>
        </w:rPr>
        <w:t>Definitely</w:t>
      </w:r>
      <w:r w:rsidR="001B0F52" w:rsidRPr="00BC32CF">
        <w:rPr>
          <w:color w:val="auto"/>
          <w:lang w:val="en-US"/>
        </w:rPr>
        <w:t xml:space="preserve">, Export Credit Agency (ECA) assisted facility has got high bankability potentials. Foreign Banks can be sure their political risk exposure is covered to a significant level”.   </w:t>
      </w:r>
    </w:p>
    <w:p w14:paraId="76FC2691" w14:textId="77777777" w:rsidR="000A590B" w:rsidRPr="00BC32CF" w:rsidRDefault="00725C57" w:rsidP="002A2D4B">
      <w:pPr>
        <w:spacing w:before="240" w:after="200" w:line="480" w:lineRule="auto"/>
        <w:jc w:val="both"/>
        <w:rPr>
          <w:rFonts w:ascii="Times New Roman" w:eastAsia="Calibri" w:hAnsi="Times New Roman"/>
          <w:sz w:val="24"/>
          <w:szCs w:val="24"/>
          <w:lang w:val="en-US"/>
        </w:rPr>
      </w:pPr>
      <w:r w:rsidRPr="00BC32CF">
        <w:rPr>
          <w:rFonts w:ascii="Times New Roman" w:eastAsia="Calibri" w:hAnsi="Times New Roman"/>
          <w:sz w:val="24"/>
          <w:szCs w:val="24"/>
          <w:lang w:val="en-US"/>
        </w:rPr>
        <w:t>In buttressing the above perspective, Matsukawa and Habe</w:t>
      </w:r>
      <w:r w:rsidR="00237AD5" w:rsidRPr="00BC32CF">
        <w:rPr>
          <w:rFonts w:ascii="Times New Roman" w:eastAsia="Calibri" w:hAnsi="Times New Roman"/>
          <w:sz w:val="24"/>
          <w:szCs w:val="24"/>
          <w:lang w:val="en-US"/>
        </w:rPr>
        <w:t>ck</w:t>
      </w:r>
      <w:r w:rsidRPr="00BC32CF">
        <w:rPr>
          <w:rFonts w:ascii="Times New Roman" w:eastAsia="Calibri" w:hAnsi="Times New Roman"/>
          <w:sz w:val="24"/>
          <w:szCs w:val="24"/>
          <w:lang w:val="en-US"/>
        </w:rPr>
        <w:t xml:space="preserve"> (2007) argued that, ECAs </w:t>
      </w:r>
      <w:r w:rsidR="001B6871" w:rsidRPr="00BC32CF">
        <w:rPr>
          <w:rFonts w:ascii="Times New Roman" w:eastAsia="Calibri" w:hAnsi="Times New Roman"/>
          <w:sz w:val="24"/>
          <w:szCs w:val="24"/>
          <w:lang w:val="en-US"/>
        </w:rPr>
        <w:t>are providing a new source of long-term finance for infrastructures especially in the eme</w:t>
      </w:r>
      <w:r w:rsidR="006726B1" w:rsidRPr="00BC32CF">
        <w:rPr>
          <w:rFonts w:ascii="Times New Roman" w:eastAsia="Calibri" w:hAnsi="Times New Roman"/>
          <w:sz w:val="24"/>
          <w:szCs w:val="24"/>
          <w:lang w:val="en-US"/>
        </w:rPr>
        <w:t>rging BRICs nations. This helps</w:t>
      </w:r>
      <w:r w:rsidR="001B6871" w:rsidRPr="00BC32CF">
        <w:rPr>
          <w:rFonts w:ascii="Times New Roman" w:eastAsia="Calibri" w:hAnsi="Times New Roman"/>
          <w:sz w:val="24"/>
          <w:szCs w:val="24"/>
          <w:lang w:val="en-US"/>
        </w:rPr>
        <w:t xml:space="preserve"> reduce cost of lending to critical infrastructures, while international lenders are able to transfer political risks in projects to the public financial agencies. </w:t>
      </w:r>
      <w:r w:rsidR="001B0F52" w:rsidRPr="00BC32CF">
        <w:rPr>
          <w:rFonts w:ascii="Times New Roman" w:eastAsia="Calibri" w:hAnsi="Times New Roman"/>
          <w:sz w:val="24"/>
          <w:szCs w:val="24"/>
          <w:lang w:val="en-US"/>
        </w:rPr>
        <w:t xml:space="preserve">However, </w:t>
      </w:r>
      <w:r w:rsidR="001B6871" w:rsidRPr="00BC32CF">
        <w:rPr>
          <w:rFonts w:ascii="Times New Roman" w:eastAsia="Calibri" w:hAnsi="Times New Roman"/>
          <w:sz w:val="24"/>
          <w:szCs w:val="24"/>
          <w:lang w:val="en-US"/>
        </w:rPr>
        <w:t xml:space="preserve">according to Giannetti and Ongena (2012), </w:t>
      </w:r>
      <w:r w:rsidR="001B0F52" w:rsidRPr="00BC32CF">
        <w:rPr>
          <w:rFonts w:ascii="Times New Roman" w:eastAsia="Calibri" w:hAnsi="Times New Roman"/>
          <w:sz w:val="24"/>
          <w:szCs w:val="24"/>
          <w:lang w:val="en-US"/>
        </w:rPr>
        <w:t>in practice, ECAs do not provide “Full Risk Transfer” to lenders</w:t>
      </w:r>
      <w:r w:rsidR="00FF4ED0" w:rsidRPr="00BC32CF">
        <w:rPr>
          <w:rFonts w:ascii="Times New Roman" w:eastAsia="Calibri" w:hAnsi="Times New Roman"/>
          <w:sz w:val="24"/>
          <w:szCs w:val="24"/>
          <w:lang w:val="en-US"/>
        </w:rPr>
        <w:t xml:space="preserve"> because</w:t>
      </w:r>
      <w:r w:rsidR="001B0F52" w:rsidRPr="00BC32CF">
        <w:rPr>
          <w:rFonts w:ascii="Times New Roman" w:eastAsia="Calibri" w:hAnsi="Times New Roman"/>
          <w:sz w:val="24"/>
          <w:szCs w:val="24"/>
          <w:lang w:val="en-US"/>
        </w:rPr>
        <w:t xml:space="preserve"> certain percentage of the project loan (5%-10%) </w:t>
      </w:r>
      <w:r w:rsidR="00FF4ED0" w:rsidRPr="00BC32CF">
        <w:rPr>
          <w:rFonts w:ascii="Times New Roman" w:eastAsia="Calibri" w:hAnsi="Times New Roman"/>
          <w:sz w:val="24"/>
          <w:szCs w:val="24"/>
          <w:lang w:val="en-US"/>
        </w:rPr>
        <w:t>is usually</w:t>
      </w:r>
      <w:r w:rsidR="001B0F52" w:rsidRPr="00BC32CF">
        <w:rPr>
          <w:rFonts w:ascii="Times New Roman" w:eastAsia="Calibri" w:hAnsi="Times New Roman"/>
          <w:sz w:val="24"/>
          <w:szCs w:val="24"/>
          <w:lang w:val="en-US"/>
        </w:rPr>
        <w:t xml:space="preserve"> uncovered under the ECA</w:t>
      </w:r>
      <w:r w:rsidR="00FF4ED0" w:rsidRPr="00BC32CF">
        <w:rPr>
          <w:rFonts w:ascii="Times New Roman" w:eastAsia="Calibri" w:hAnsi="Times New Roman"/>
          <w:sz w:val="24"/>
          <w:szCs w:val="24"/>
          <w:lang w:val="en-US"/>
        </w:rPr>
        <w:t>s’</w:t>
      </w:r>
      <w:r w:rsidR="001B0F52" w:rsidRPr="00BC32CF">
        <w:rPr>
          <w:rFonts w:ascii="Times New Roman" w:eastAsia="Calibri" w:hAnsi="Times New Roman"/>
          <w:sz w:val="24"/>
          <w:szCs w:val="24"/>
          <w:lang w:val="en-US"/>
        </w:rPr>
        <w:t xml:space="preserve"> political risk guarantee</w:t>
      </w:r>
      <w:r w:rsidR="001342AC" w:rsidRPr="00BC32CF">
        <w:rPr>
          <w:rFonts w:ascii="Times New Roman" w:eastAsia="Calibri" w:hAnsi="Times New Roman"/>
          <w:sz w:val="24"/>
          <w:szCs w:val="24"/>
          <w:lang w:val="en-US"/>
        </w:rPr>
        <w:t xml:space="preserve">. </w:t>
      </w:r>
      <w:r w:rsidR="000A590B" w:rsidRPr="00BC32CF">
        <w:rPr>
          <w:rFonts w:ascii="Times New Roman" w:eastAsia="Calibri" w:hAnsi="Times New Roman" w:cs="Times New Roman"/>
          <w:sz w:val="24"/>
          <w:szCs w:val="24"/>
          <w:lang w:val="en-US"/>
        </w:rPr>
        <w:t xml:space="preserve">In addition, going by findings from the survey as well as the focus group discussions, the involvement of </w:t>
      </w:r>
      <w:r w:rsidR="0036076A" w:rsidRPr="00BC32CF">
        <w:rPr>
          <w:rFonts w:ascii="Times New Roman" w:eastAsia="Calibri" w:hAnsi="Times New Roman" w:cs="Times New Roman"/>
          <w:b/>
          <w:sz w:val="24"/>
          <w:szCs w:val="24"/>
          <w:lang w:val="en-US"/>
        </w:rPr>
        <w:t>“</w:t>
      </w:r>
      <w:r w:rsidR="000A590B" w:rsidRPr="00BC32CF">
        <w:rPr>
          <w:rFonts w:ascii="Times New Roman" w:eastAsia="Calibri" w:hAnsi="Times New Roman" w:cs="Times New Roman"/>
          <w:b/>
          <w:sz w:val="24"/>
          <w:szCs w:val="24"/>
          <w:lang w:val="en-US"/>
        </w:rPr>
        <w:t>Multilateral Agencies (MLA)</w:t>
      </w:r>
      <w:r w:rsidR="0036076A" w:rsidRPr="00BC32CF">
        <w:rPr>
          <w:rFonts w:ascii="Times New Roman" w:eastAsia="Calibri" w:hAnsi="Times New Roman" w:cs="Times New Roman"/>
          <w:b/>
          <w:sz w:val="24"/>
          <w:szCs w:val="24"/>
          <w:lang w:val="en-US"/>
        </w:rPr>
        <w:t>”</w:t>
      </w:r>
      <w:r w:rsidR="000A590B" w:rsidRPr="00BC32CF">
        <w:rPr>
          <w:rFonts w:ascii="Times New Roman" w:eastAsia="Calibri" w:hAnsi="Times New Roman" w:cs="Times New Roman"/>
          <w:b/>
          <w:sz w:val="24"/>
          <w:szCs w:val="24"/>
          <w:lang w:val="en-US"/>
        </w:rPr>
        <w:t xml:space="preserve"> </w:t>
      </w:r>
      <w:r w:rsidR="000A590B" w:rsidRPr="00BC32CF">
        <w:rPr>
          <w:rFonts w:ascii="Times New Roman" w:eastAsia="Calibri" w:hAnsi="Times New Roman" w:cs="Times New Roman"/>
          <w:sz w:val="24"/>
          <w:szCs w:val="24"/>
          <w:lang w:val="en-US"/>
        </w:rPr>
        <w:t xml:space="preserve">such as the World Bank </w:t>
      </w:r>
      <w:r w:rsidR="006726B1" w:rsidRPr="00BC32CF">
        <w:rPr>
          <w:rFonts w:ascii="Times New Roman" w:eastAsia="Calibri" w:hAnsi="Times New Roman" w:cs="Times New Roman"/>
          <w:sz w:val="24"/>
          <w:szCs w:val="24"/>
          <w:lang w:val="en-US"/>
        </w:rPr>
        <w:t>usually</w:t>
      </w:r>
      <w:r w:rsidR="000A590B" w:rsidRPr="00BC32CF">
        <w:rPr>
          <w:rFonts w:ascii="Times New Roman" w:eastAsia="Calibri" w:hAnsi="Times New Roman" w:cs="Times New Roman"/>
          <w:sz w:val="24"/>
          <w:szCs w:val="24"/>
          <w:lang w:val="en-US"/>
        </w:rPr>
        <w:t xml:space="preserve"> </w:t>
      </w:r>
      <w:r w:rsidR="00FF4ED0" w:rsidRPr="00BC32CF">
        <w:rPr>
          <w:rFonts w:ascii="Times New Roman" w:eastAsia="Calibri" w:hAnsi="Times New Roman" w:cs="Times New Roman"/>
          <w:sz w:val="24"/>
          <w:szCs w:val="24"/>
          <w:lang w:val="en-US"/>
        </w:rPr>
        <w:t>enhances the potentials of indigenous</w:t>
      </w:r>
      <w:r w:rsidR="000A590B" w:rsidRPr="00BC32CF">
        <w:rPr>
          <w:rFonts w:ascii="Times New Roman" w:eastAsia="Calibri" w:hAnsi="Times New Roman" w:cs="Times New Roman"/>
          <w:sz w:val="24"/>
          <w:szCs w:val="24"/>
          <w:lang w:val="en-US"/>
        </w:rPr>
        <w:t xml:space="preserve"> investors’ loan applications. Evidences from the survey revealed high lenders </w:t>
      </w:r>
      <w:r w:rsidR="00237AD5" w:rsidRPr="00BC32CF">
        <w:rPr>
          <w:rFonts w:ascii="Times New Roman" w:eastAsia="Calibri" w:hAnsi="Times New Roman" w:cs="Times New Roman"/>
          <w:sz w:val="24"/>
          <w:szCs w:val="24"/>
          <w:lang w:val="en-US"/>
        </w:rPr>
        <w:t>perception</w:t>
      </w:r>
      <w:r w:rsidR="00FF4ED0" w:rsidRPr="00BC32CF">
        <w:rPr>
          <w:rFonts w:ascii="Times New Roman" w:eastAsia="Calibri" w:hAnsi="Times New Roman" w:cs="Times New Roman"/>
          <w:sz w:val="24"/>
          <w:szCs w:val="24"/>
          <w:lang w:val="en-US"/>
        </w:rPr>
        <w:t xml:space="preserve"> with a significance index of 85.21,</w:t>
      </w:r>
      <w:r w:rsidR="000A590B" w:rsidRPr="00BC32CF">
        <w:rPr>
          <w:rFonts w:ascii="Times New Roman" w:eastAsia="Calibri" w:hAnsi="Times New Roman" w:cs="Times New Roman"/>
          <w:sz w:val="24"/>
          <w:szCs w:val="24"/>
          <w:lang w:val="en-US"/>
        </w:rPr>
        <w:t xml:space="preserve"> concerning the important role of </w:t>
      </w:r>
      <w:r w:rsidR="000A590B" w:rsidRPr="00BC32CF">
        <w:rPr>
          <w:rFonts w:ascii="Times New Roman" w:eastAsia="Calibri" w:hAnsi="Times New Roman" w:cs="Times New Roman"/>
          <w:sz w:val="24"/>
          <w:szCs w:val="24"/>
          <w:lang w:val="en-US"/>
        </w:rPr>
        <w:lastRenderedPageBreak/>
        <w:t>MLAs in providing political risk cover for PPPs in emerging markets.  This buttressed the perspectives of many FGD participants, who opined that:</w:t>
      </w:r>
    </w:p>
    <w:p w14:paraId="42607878" w14:textId="77777777" w:rsidR="000A590B" w:rsidRPr="00BC32CF" w:rsidRDefault="000A590B" w:rsidP="008461C8">
      <w:pPr>
        <w:pStyle w:val="Quote"/>
        <w:spacing w:after="0" w:line="480" w:lineRule="auto"/>
        <w:rPr>
          <w:color w:val="auto"/>
          <w:lang w:val="en-US"/>
        </w:rPr>
      </w:pPr>
      <w:r w:rsidRPr="00BC32CF">
        <w:rPr>
          <w:color w:val="auto"/>
          <w:lang w:val="en-US"/>
        </w:rPr>
        <w:t xml:space="preserve">“Many PPP projects in these (developing) economies are often World Bank and IFC (International Finance Corporation) </w:t>
      </w:r>
      <w:r w:rsidR="0057226A" w:rsidRPr="00BC32CF">
        <w:rPr>
          <w:color w:val="auto"/>
          <w:lang w:val="en-US"/>
        </w:rPr>
        <w:t>assisted</w:t>
      </w:r>
      <w:r w:rsidRPr="00BC32CF">
        <w:rPr>
          <w:color w:val="auto"/>
          <w:lang w:val="en-US"/>
        </w:rPr>
        <w:t xml:space="preserve">….especially Africa …. And that’s good for us as an international lender since it provides much guarantee against the common political risk situations in many of these (emerging) places. </w:t>
      </w:r>
    </w:p>
    <w:p w14:paraId="09FA6DBC" w14:textId="77777777" w:rsidR="000A590B" w:rsidRPr="00BC32CF" w:rsidRDefault="000A590B" w:rsidP="002A2D4B">
      <w:pPr>
        <w:spacing w:before="240"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sz w:val="24"/>
          <w:szCs w:val="24"/>
          <w:lang w:val="en-US"/>
        </w:rPr>
        <w:t xml:space="preserve">This view has been </w:t>
      </w:r>
      <w:r w:rsidR="00FF4ED0" w:rsidRPr="00BC32CF">
        <w:rPr>
          <w:rFonts w:ascii="Times New Roman" w:eastAsia="Calibri" w:hAnsi="Times New Roman"/>
          <w:sz w:val="24"/>
          <w:szCs w:val="24"/>
          <w:lang w:val="en-US"/>
        </w:rPr>
        <w:t>confirmed</w:t>
      </w:r>
      <w:r w:rsidRPr="00BC32CF">
        <w:rPr>
          <w:rFonts w:ascii="Times New Roman" w:eastAsia="Calibri" w:hAnsi="Times New Roman"/>
          <w:sz w:val="24"/>
          <w:szCs w:val="24"/>
          <w:lang w:val="en-US"/>
        </w:rPr>
        <w:t xml:space="preserve"> by </w:t>
      </w:r>
      <w:r w:rsidR="006D26FE" w:rsidRPr="00BC32CF">
        <w:rPr>
          <w:rFonts w:ascii="Times New Roman" w:eastAsia="Calibri" w:hAnsi="Times New Roman"/>
          <w:sz w:val="24"/>
          <w:szCs w:val="24"/>
          <w:lang w:val="en-US"/>
        </w:rPr>
        <w:t>Hoffman</w:t>
      </w:r>
      <w:r w:rsidR="00BF05AA" w:rsidRPr="00BC32CF">
        <w:rPr>
          <w:rFonts w:ascii="Times New Roman" w:eastAsia="Calibri" w:hAnsi="Times New Roman"/>
          <w:sz w:val="24"/>
          <w:szCs w:val="24"/>
          <w:lang w:val="en-US"/>
        </w:rPr>
        <w:t xml:space="preserve"> (20</w:t>
      </w:r>
      <w:r w:rsidR="006D26FE" w:rsidRPr="00BC32CF">
        <w:rPr>
          <w:rFonts w:ascii="Times New Roman" w:eastAsia="Calibri" w:hAnsi="Times New Roman"/>
          <w:sz w:val="24"/>
          <w:szCs w:val="24"/>
          <w:lang w:val="en-US"/>
        </w:rPr>
        <w:t>08</w:t>
      </w:r>
      <w:r w:rsidR="00237AD5" w:rsidRPr="00BC32CF">
        <w:rPr>
          <w:rFonts w:ascii="Times New Roman" w:eastAsia="Calibri" w:hAnsi="Times New Roman"/>
          <w:sz w:val="24"/>
          <w:szCs w:val="24"/>
          <w:lang w:val="en-US"/>
        </w:rPr>
        <w:t>) and</w:t>
      </w:r>
      <w:r w:rsidRPr="00BC32CF">
        <w:rPr>
          <w:rFonts w:ascii="Times New Roman" w:eastAsia="Calibri" w:hAnsi="Times New Roman"/>
          <w:sz w:val="24"/>
          <w:szCs w:val="24"/>
          <w:lang w:val="en-US"/>
        </w:rPr>
        <w:t xml:space="preserve"> Ramamurti (200</w:t>
      </w:r>
      <w:r w:rsidR="003A4DC9" w:rsidRPr="00BC32CF">
        <w:rPr>
          <w:rFonts w:ascii="Times New Roman" w:eastAsia="Calibri" w:hAnsi="Times New Roman"/>
          <w:sz w:val="24"/>
          <w:szCs w:val="24"/>
          <w:lang w:val="en-US"/>
        </w:rPr>
        <w:t>9</w:t>
      </w:r>
      <w:r w:rsidRPr="00BC32CF">
        <w:rPr>
          <w:rFonts w:ascii="Times New Roman" w:eastAsia="Calibri" w:hAnsi="Times New Roman"/>
          <w:sz w:val="24"/>
          <w:szCs w:val="24"/>
          <w:lang w:val="en-US"/>
        </w:rPr>
        <w:t>) who suggest</w:t>
      </w:r>
      <w:r w:rsidR="00237AD5" w:rsidRPr="00BC32CF">
        <w:rPr>
          <w:rFonts w:ascii="Times New Roman" w:eastAsia="Calibri" w:hAnsi="Times New Roman"/>
          <w:sz w:val="24"/>
          <w:szCs w:val="24"/>
          <w:lang w:val="en-US"/>
        </w:rPr>
        <w:t>ed that MLAs provide</w:t>
      </w:r>
      <w:r w:rsidRPr="00BC32CF">
        <w:rPr>
          <w:rFonts w:ascii="Times New Roman" w:eastAsia="Calibri" w:hAnsi="Times New Roman"/>
          <w:sz w:val="24"/>
          <w:szCs w:val="24"/>
          <w:lang w:val="en-US"/>
        </w:rPr>
        <w:t xml:space="preserve"> some form of political risk guarantees for participating banks</w:t>
      </w:r>
      <w:r w:rsidR="00237AD5" w:rsidRPr="00BC32CF">
        <w:rPr>
          <w:rFonts w:ascii="Times New Roman" w:eastAsia="Calibri" w:hAnsi="Times New Roman"/>
          <w:sz w:val="24"/>
          <w:szCs w:val="24"/>
          <w:lang w:val="en-US"/>
        </w:rPr>
        <w:t xml:space="preserve"> in order to encourage financing</w:t>
      </w:r>
      <w:r w:rsidRPr="00BC32CF">
        <w:rPr>
          <w:rFonts w:ascii="Times New Roman" w:eastAsia="Calibri" w:hAnsi="Times New Roman"/>
          <w:sz w:val="24"/>
          <w:szCs w:val="24"/>
          <w:lang w:val="en-US"/>
        </w:rPr>
        <w:t xml:space="preserve">. </w:t>
      </w:r>
      <w:r w:rsidR="00FF4ED0" w:rsidRPr="00BC32CF">
        <w:rPr>
          <w:rFonts w:ascii="Times New Roman" w:eastAsia="Calibri" w:hAnsi="Times New Roman"/>
          <w:sz w:val="24"/>
          <w:szCs w:val="24"/>
          <w:lang w:val="en-US"/>
        </w:rPr>
        <w:t xml:space="preserve">This is </w:t>
      </w:r>
      <w:r w:rsidR="00237AD5" w:rsidRPr="00BC32CF">
        <w:rPr>
          <w:rFonts w:ascii="Times New Roman" w:eastAsia="Calibri" w:hAnsi="Times New Roman"/>
          <w:sz w:val="24"/>
          <w:szCs w:val="24"/>
          <w:lang w:val="en-US"/>
        </w:rPr>
        <w:t>evidenced by</w:t>
      </w:r>
      <w:r w:rsidR="00FF4ED0" w:rsidRPr="00BC32CF">
        <w:rPr>
          <w:rFonts w:ascii="Times New Roman" w:eastAsia="Calibri" w:hAnsi="Times New Roman"/>
          <w:sz w:val="24"/>
          <w:szCs w:val="24"/>
          <w:lang w:val="en-US"/>
        </w:rPr>
        <w:t xml:space="preserve"> the </w:t>
      </w:r>
      <w:r w:rsidRPr="00BC32CF">
        <w:rPr>
          <w:rFonts w:ascii="Times New Roman" w:eastAsia="Calibri" w:hAnsi="Times New Roman"/>
          <w:sz w:val="24"/>
          <w:szCs w:val="24"/>
          <w:lang w:val="en-US"/>
        </w:rPr>
        <w:t xml:space="preserve">“Preferred Creditor’s </w:t>
      </w:r>
      <w:r w:rsidR="00FF4ED0" w:rsidRPr="00BC32CF">
        <w:rPr>
          <w:rFonts w:ascii="Times New Roman" w:eastAsia="Calibri" w:hAnsi="Times New Roman"/>
          <w:sz w:val="24"/>
          <w:szCs w:val="24"/>
          <w:lang w:val="en-US"/>
        </w:rPr>
        <w:t>S</w:t>
      </w:r>
      <w:r w:rsidRPr="00BC32CF">
        <w:rPr>
          <w:rFonts w:ascii="Times New Roman" w:eastAsia="Calibri" w:hAnsi="Times New Roman"/>
          <w:sz w:val="24"/>
          <w:szCs w:val="24"/>
          <w:lang w:val="en-US"/>
        </w:rPr>
        <w:t xml:space="preserve">tatus” </w:t>
      </w:r>
      <w:r w:rsidR="00237AD5" w:rsidRPr="00BC32CF">
        <w:rPr>
          <w:rFonts w:ascii="Times New Roman" w:eastAsia="Calibri" w:hAnsi="Times New Roman"/>
          <w:sz w:val="24"/>
          <w:szCs w:val="24"/>
          <w:lang w:val="en-US"/>
        </w:rPr>
        <w:t xml:space="preserve">usually </w:t>
      </w:r>
      <w:r w:rsidRPr="00BC32CF">
        <w:rPr>
          <w:rFonts w:ascii="Times New Roman" w:eastAsia="Calibri" w:hAnsi="Times New Roman"/>
          <w:sz w:val="24"/>
          <w:szCs w:val="24"/>
          <w:lang w:val="en-US"/>
        </w:rPr>
        <w:t xml:space="preserve">granted </w:t>
      </w:r>
      <w:r w:rsidR="00FF4ED0" w:rsidRPr="00BC32CF">
        <w:rPr>
          <w:rFonts w:ascii="Times New Roman" w:eastAsia="Calibri" w:hAnsi="Times New Roman"/>
          <w:sz w:val="24"/>
          <w:szCs w:val="24"/>
          <w:lang w:val="en-US"/>
        </w:rPr>
        <w:t>banks collaborating with MLA</w:t>
      </w:r>
      <w:r w:rsidRPr="00BC32CF">
        <w:rPr>
          <w:rFonts w:ascii="Times New Roman" w:eastAsia="Calibri" w:hAnsi="Times New Roman"/>
          <w:sz w:val="24"/>
          <w:szCs w:val="24"/>
          <w:lang w:val="en-US"/>
        </w:rPr>
        <w:t>s</w:t>
      </w:r>
      <w:r w:rsidR="00FF4ED0" w:rsidRPr="00BC32CF">
        <w:rPr>
          <w:rFonts w:ascii="Times New Roman" w:eastAsia="Calibri" w:hAnsi="Times New Roman"/>
          <w:sz w:val="24"/>
          <w:szCs w:val="24"/>
          <w:lang w:val="en-US"/>
        </w:rPr>
        <w:t xml:space="preserve"> in financing a project. Such</w:t>
      </w:r>
      <w:r w:rsidRPr="00BC32CF">
        <w:rPr>
          <w:rFonts w:ascii="Times New Roman" w:eastAsia="Calibri" w:hAnsi="Times New Roman"/>
          <w:sz w:val="24"/>
          <w:szCs w:val="24"/>
          <w:lang w:val="en-US"/>
        </w:rPr>
        <w:t xml:space="preserve"> </w:t>
      </w:r>
      <w:r w:rsidR="00FF4ED0" w:rsidRPr="00BC32CF">
        <w:rPr>
          <w:rFonts w:ascii="Times New Roman" w:eastAsia="Calibri" w:hAnsi="Times New Roman"/>
          <w:sz w:val="24"/>
          <w:szCs w:val="24"/>
          <w:lang w:val="en-US"/>
        </w:rPr>
        <w:t xml:space="preserve">involvement of international development financier </w:t>
      </w:r>
      <w:r w:rsidR="003A33DC" w:rsidRPr="00BC32CF">
        <w:rPr>
          <w:rFonts w:ascii="Times New Roman" w:eastAsia="Calibri" w:hAnsi="Times New Roman"/>
          <w:sz w:val="24"/>
          <w:szCs w:val="24"/>
          <w:lang w:val="en-US"/>
        </w:rPr>
        <w:t>boo</w:t>
      </w:r>
      <w:r w:rsidRPr="00BC32CF">
        <w:rPr>
          <w:rFonts w:ascii="Times New Roman" w:eastAsia="Calibri" w:hAnsi="Times New Roman"/>
          <w:sz w:val="24"/>
          <w:szCs w:val="24"/>
          <w:lang w:val="en-US"/>
        </w:rPr>
        <w:t>st</w:t>
      </w:r>
      <w:r w:rsidR="00237AD5" w:rsidRPr="00BC32CF">
        <w:rPr>
          <w:rFonts w:ascii="Times New Roman" w:eastAsia="Calibri" w:hAnsi="Times New Roman"/>
          <w:sz w:val="24"/>
          <w:szCs w:val="24"/>
          <w:lang w:val="en-US"/>
        </w:rPr>
        <w:t>s the bankability consideration</w:t>
      </w:r>
      <w:r w:rsidRPr="00BC32CF">
        <w:rPr>
          <w:rFonts w:ascii="Times New Roman" w:eastAsia="Calibri" w:hAnsi="Times New Roman"/>
          <w:sz w:val="24"/>
          <w:szCs w:val="24"/>
          <w:lang w:val="en-US"/>
        </w:rPr>
        <w:t xml:space="preserve"> of </w:t>
      </w:r>
      <w:r w:rsidR="00237AD5" w:rsidRPr="00BC32CF">
        <w:rPr>
          <w:rFonts w:ascii="Times New Roman" w:eastAsia="Calibri" w:hAnsi="Times New Roman"/>
          <w:sz w:val="24"/>
          <w:szCs w:val="24"/>
          <w:lang w:val="en-US"/>
        </w:rPr>
        <w:t xml:space="preserve">a </w:t>
      </w:r>
      <w:r w:rsidRPr="00BC32CF">
        <w:rPr>
          <w:rFonts w:ascii="Times New Roman" w:eastAsia="Calibri" w:hAnsi="Times New Roman"/>
          <w:sz w:val="24"/>
          <w:szCs w:val="24"/>
          <w:lang w:val="en-US"/>
        </w:rPr>
        <w:t xml:space="preserve">prospective PPP project (Delmon, 2011). </w:t>
      </w:r>
      <w:r w:rsidRPr="00BC32CF">
        <w:rPr>
          <w:rFonts w:ascii="Times New Roman" w:eastAsia="Calibri" w:hAnsi="Times New Roman" w:cs="Times New Roman"/>
          <w:sz w:val="24"/>
          <w:szCs w:val="24"/>
          <w:lang w:val="en-US"/>
        </w:rPr>
        <w:t>Further findings from FGD participants as reflected in Fig. 4 above, identified three sub-risk components</w:t>
      </w:r>
      <w:r w:rsidR="0060430D" w:rsidRPr="00BC32CF">
        <w:rPr>
          <w:rFonts w:ascii="Times New Roman" w:eastAsia="Calibri" w:hAnsi="Times New Roman" w:cs="Times New Roman"/>
          <w:sz w:val="24"/>
          <w:szCs w:val="24"/>
          <w:lang w:val="en-US"/>
        </w:rPr>
        <w:t>, which</w:t>
      </w:r>
      <w:r w:rsidRPr="00BC32CF">
        <w:rPr>
          <w:rFonts w:ascii="Times New Roman" w:eastAsia="Calibri" w:hAnsi="Times New Roman" w:cs="Times New Roman"/>
          <w:sz w:val="24"/>
          <w:szCs w:val="24"/>
          <w:lang w:val="en-US"/>
        </w:rPr>
        <w:t xml:space="preserve"> often </w:t>
      </w:r>
      <w:r w:rsidR="0060430D" w:rsidRPr="00BC32CF">
        <w:rPr>
          <w:rFonts w:ascii="Times New Roman" w:eastAsia="Calibri" w:hAnsi="Times New Roman" w:cs="Times New Roman"/>
          <w:sz w:val="24"/>
          <w:szCs w:val="24"/>
          <w:lang w:val="en-US"/>
        </w:rPr>
        <w:t>spinout</w:t>
      </w:r>
      <w:r w:rsidRPr="00BC32CF">
        <w:rPr>
          <w:rFonts w:ascii="Times New Roman" w:eastAsia="Calibri" w:hAnsi="Times New Roman" w:cs="Times New Roman"/>
          <w:sz w:val="24"/>
          <w:szCs w:val="24"/>
          <w:lang w:val="en-US"/>
        </w:rPr>
        <w:t xml:space="preserve"> from </w:t>
      </w:r>
      <w:r w:rsidR="0060430D" w:rsidRPr="00BC32CF">
        <w:rPr>
          <w:rFonts w:ascii="Times New Roman" w:eastAsia="Calibri" w:hAnsi="Times New Roman" w:cs="Times New Roman"/>
          <w:sz w:val="24"/>
          <w:szCs w:val="24"/>
          <w:lang w:val="en-US"/>
        </w:rPr>
        <w:t>political</w:t>
      </w:r>
      <w:r w:rsidRPr="00BC32CF">
        <w:rPr>
          <w:rFonts w:ascii="Times New Roman" w:eastAsia="Calibri" w:hAnsi="Times New Roman" w:cs="Times New Roman"/>
          <w:sz w:val="24"/>
          <w:szCs w:val="24"/>
          <w:lang w:val="en-US"/>
        </w:rPr>
        <w:t xml:space="preserve"> risk and are thus inter-dependent: </w:t>
      </w:r>
    </w:p>
    <w:p w14:paraId="67508C7A" w14:textId="77777777" w:rsidR="000A590B" w:rsidRPr="00BC32CF" w:rsidRDefault="000A590B" w:rsidP="002A2D4B">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“We </w:t>
      </w:r>
      <w:r w:rsidR="0060430D" w:rsidRPr="00BC32CF">
        <w:rPr>
          <w:rFonts w:ascii="Times New Roman" w:eastAsia="Calibri" w:hAnsi="Times New Roman" w:cs="Times New Roman"/>
          <w:i/>
          <w:sz w:val="24"/>
          <w:szCs w:val="24"/>
          <w:lang w:val="en-US"/>
        </w:rPr>
        <w:t>could</w:t>
      </w:r>
      <w:r w:rsidRPr="00BC32CF">
        <w:rPr>
          <w:rFonts w:ascii="Times New Roman" w:eastAsia="Calibri" w:hAnsi="Times New Roman" w:cs="Times New Roman"/>
          <w:i/>
          <w:sz w:val="24"/>
          <w:szCs w:val="24"/>
          <w:lang w:val="en-US"/>
        </w:rPr>
        <w:t xml:space="preserve"> </w:t>
      </w:r>
      <w:r w:rsidR="0060430D" w:rsidRPr="00BC32CF">
        <w:rPr>
          <w:rFonts w:ascii="Times New Roman" w:eastAsia="Calibri" w:hAnsi="Times New Roman" w:cs="Times New Roman"/>
          <w:i/>
          <w:sz w:val="24"/>
          <w:szCs w:val="24"/>
          <w:lang w:val="en-US"/>
        </w:rPr>
        <w:t>classify</w:t>
      </w:r>
      <w:r w:rsidRPr="00BC32CF">
        <w:rPr>
          <w:rFonts w:ascii="Times New Roman" w:eastAsia="Calibri" w:hAnsi="Times New Roman" w:cs="Times New Roman"/>
          <w:i/>
          <w:sz w:val="24"/>
          <w:szCs w:val="24"/>
          <w:lang w:val="en-US"/>
        </w:rPr>
        <w:t xml:space="preserve"> political risk </w:t>
      </w:r>
      <w:r w:rsidR="0060430D" w:rsidRPr="00BC32CF">
        <w:rPr>
          <w:rFonts w:ascii="Times New Roman" w:eastAsia="Calibri" w:hAnsi="Times New Roman" w:cs="Times New Roman"/>
          <w:i/>
          <w:sz w:val="24"/>
          <w:szCs w:val="24"/>
          <w:lang w:val="en-US"/>
        </w:rPr>
        <w:t>in</w:t>
      </w:r>
      <w:r w:rsidRPr="00BC32CF">
        <w:rPr>
          <w:rFonts w:ascii="Times New Roman" w:eastAsia="Calibri" w:hAnsi="Times New Roman" w:cs="Times New Roman"/>
          <w:i/>
          <w:sz w:val="24"/>
          <w:szCs w:val="24"/>
          <w:lang w:val="en-US"/>
        </w:rPr>
        <w:t>to (i) Expropriation, Confiscation and Nationalisation (ECN) risk, (ii) Strike, Riot, and Civil commotion (SRCC) (iii) and currency risk.</w:t>
      </w:r>
      <w:r w:rsidR="0060430D" w:rsidRPr="00BC32CF">
        <w:rPr>
          <w:rFonts w:ascii="Times New Roman" w:eastAsia="Calibri" w:hAnsi="Times New Roman" w:cs="Times New Roman"/>
          <w:i/>
          <w:sz w:val="24"/>
          <w:szCs w:val="24"/>
          <w:lang w:val="en-US"/>
        </w:rPr>
        <w:t xml:space="preserve"> And you will agree with me that</w:t>
      </w:r>
      <w:r w:rsidR="0013192F" w:rsidRPr="00BC32CF">
        <w:rPr>
          <w:rFonts w:ascii="Times New Roman" w:eastAsia="Calibri" w:hAnsi="Times New Roman" w:cs="Times New Roman"/>
          <w:i/>
          <w:sz w:val="24"/>
          <w:szCs w:val="24"/>
          <w:lang w:val="en-US"/>
        </w:rPr>
        <w:t xml:space="preserve">, </w:t>
      </w:r>
      <w:r w:rsidR="0060430D" w:rsidRPr="00BC32CF">
        <w:rPr>
          <w:rFonts w:ascii="Times New Roman" w:eastAsia="Calibri" w:hAnsi="Times New Roman" w:cs="Times New Roman"/>
          <w:i/>
          <w:sz w:val="24"/>
          <w:szCs w:val="24"/>
          <w:lang w:val="en-US"/>
        </w:rPr>
        <w:t>all t</w:t>
      </w:r>
      <w:r w:rsidR="0013192F" w:rsidRPr="00BC32CF">
        <w:rPr>
          <w:rFonts w:ascii="Times New Roman" w:eastAsia="Calibri" w:hAnsi="Times New Roman" w:cs="Times New Roman"/>
          <w:i/>
          <w:sz w:val="24"/>
          <w:szCs w:val="24"/>
          <w:lang w:val="en-US"/>
        </w:rPr>
        <w:t>he</w:t>
      </w:r>
      <w:r w:rsidR="0060430D" w:rsidRPr="00BC32CF">
        <w:rPr>
          <w:rFonts w:ascii="Times New Roman" w:eastAsia="Calibri" w:hAnsi="Times New Roman" w:cs="Times New Roman"/>
          <w:i/>
          <w:sz w:val="24"/>
          <w:szCs w:val="24"/>
          <w:lang w:val="en-US"/>
        </w:rPr>
        <w:t xml:space="preserve"> risks </w:t>
      </w:r>
      <w:r w:rsidR="00237AD5" w:rsidRPr="00BC32CF">
        <w:rPr>
          <w:rFonts w:ascii="Times New Roman" w:eastAsia="Calibri" w:hAnsi="Times New Roman" w:cs="Times New Roman"/>
          <w:i/>
          <w:sz w:val="24"/>
          <w:szCs w:val="24"/>
          <w:lang w:val="en-US"/>
        </w:rPr>
        <w:t>present</w:t>
      </w:r>
      <w:r w:rsidR="0060430D" w:rsidRPr="00BC32CF">
        <w:rPr>
          <w:rFonts w:ascii="Times New Roman" w:eastAsia="Calibri" w:hAnsi="Times New Roman" w:cs="Times New Roman"/>
          <w:i/>
          <w:sz w:val="24"/>
          <w:szCs w:val="24"/>
          <w:lang w:val="en-US"/>
        </w:rPr>
        <w:t xml:space="preserve"> various threats to lenders investments in such projects”</w:t>
      </w:r>
    </w:p>
    <w:p w14:paraId="182A1397" w14:textId="77777777" w:rsidR="001342AC" w:rsidRPr="00BC32CF" w:rsidRDefault="002C62AE" w:rsidP="002A2D4B">
      <w:pPr>
        <w:spacing w:after="200" w:line="480" w:lineRule="auto"/>
        <w:jc w:val="both"/>
        <w:rPr>
          <w:rFonts w:ascii="Times New Roman" w:eastAsia="Calibri" w:hAnsi="Times New Roman" w:cs="Times New Roman"/>
          <w:sz w:val="24"/>
          <w:szCs w:val="24"/>
        </w:rPr>
      </w:pPr>
      <w:r w:rsidRPr="00BC32CF">
        <w:rPr>
          <w:rFonts w:ascii="Times New Roman" w:eastAsia="Calibri" w:hAnsi="Times New Roman" w:cs="Times New Roman"/>
          <w:sz w:val="24"/>
          <w:szCs w:val="24"/>
          <w:lang w:val="en-US"/>
        </w:rPr>
        <w:t>According to Khoury and Zhou (1998), w</w:t>
      </w:r>
      <w:r w:rsidR="000A590B" w:rsidRPr="00BC32CF">
        <w:rPr>
          <w:rFonts w:ascii="Times New Roman" w:eastAsia="Calibri" w:hAnsi="Times New Roman" w:cs="Times New Roman"/>
          <w:sz w:val="24"/>
          <w:szCs w:val="24"/>
          <w:lang w:val="en-US"/>
        </w:rPr>
        <w:t>here a project host nation has high political risk index, any of the above components may be responsible.</w:t>
      </w:r>
      <w:r w:rsidR="000A590B" w:rsidRPr="00BC32CF">
        <w:rPr>
          <w:rFonts w:ascii="Times New Roman" w:eastAsia="Calibri" w:hAnsi="Times New Roman" w:cs="Times New Roman"/>
          <w:sz w:val="24"/>
          <w:szCs w:val="24"/>
        </w:rPr>
        <w:t xml:space="preserve"> </w:t>
      </w:r>
      <w:r w:rsidRPr="00BC32CF">
        <w:rPr>
          <w:rFonts w:ascii="Times New Roman" w:eastAsia="Calibri" w:hAnsi="Times New Roman" w:cs="Times New Roman"/>
          <w:sz w:val="24"/>
          <w:szCs w:val="24"/>
        </w:rPr>
        <w:t>In tackling these likely threats to lenders financial stakes in projects, an</w:t>
      </w:r>
      <w:r w:rsidR="001342AC" w:rsidRPr="00BC32CF">
        <w:rPr>
          <w:rFonts w:ascii="Times New Roman" w:eastAsia="Calibri" w:hAnsi="Times New Roman" w:cs="Times New Roman"/>
          <w:sz w:val="24"/>
          <w:szCs w:val="24"/>
          <w:lang w:val="en-US"/>
        </w:rPr>
        <w:t xml:space="preserve"> important bankability criterion </w:t>
      </w:r>
      <w:r w:rsidRPr="00BC32CF">
        <w:rPr>
          <w:rFonts w:ascii="Times New Roman" w:eastAsia="Calibri" w:hAnsi="Times New Roman" w:cs="Times New Roman"/>
          <w:sz w:val="24"/>
          <w:szCs w:val="24"/>
          <w:lang w:val="en-US"/>
        </w:rPr>
        <w:t>for</w:t>
      </w:r>
      <w:r w:rsidR="001342AC" w:rsidRPr="00BC32CF">
        <w:rPr>
          <w:rFonts w:ascii="Times New Roman" w:eastAsia="Calibri" w:hAnsi="Times New Roman" w:cs="Times New Roman"/>
          <w:sz w:val="24"/>
          <w:szCs w:val="24"/>
          <w:lang w:val="en-US"/>
        </w:rPr>
        <w:t xml:space="preserve"> lende</w:t>
      </w:r>
      <w:r w:rsidRPr="00BC32CF">
        <w:rPr>
          <w:rFonts w:ascii="Times New Roman" w:eastAsia="Calibri" w:hAnsi="Times New Roman" w:cs="Times New Roman"/>
          <w:sz w:val="24"/>
          <w:szCs w:val="24"/>
          <w:lang w:val="en-US"/>
        </w:rPr>
        <w:t>rs to consider</w:t>
      </w:r>
      <w:r w:rsidR="001342AC" w:rsidRPr="00BC32CF">
        <w:rPr>
          <w:rFonts w:ascii="Times New Roman" w:eastAsia="Calibri" w:hAnsi="Times New Roman" w:cs="Times New Roman"/>
          <w:sz w:val="24"/>
          <w:szCs w:val="24"/>
          <w:lang w:val="en-US"/>
        </w:rPr>
        <w:t xml:space="preserve"> is the </w:t>
      </w:r>
      <w:r w:rsidR="001342AC" w:rsidRPr="00BC32CF">
        <w:rPr>
          <w:rFonts w:ascii="Times New Roman" w:eastAsia="Calibri" w:hAnsi="Times New Roman" w:cs="Times New Roman"/>
          <w:b/>
          <w:sz w:val="24"/>
          <w:szCs w:val="24"/>
          <w:lang w:val="en-US"/>
        </w:rPr>
        <w:t>“Existence of Private-Sector Political Risk Insurance Cover”</w:t>
      </w:r>
      <w:r w:rsidR="001342AC" w:rsidRPr="00BC32CF">
        <w:rPr>
          <w:rFonts w:ascii="Times New Roman" w:eastAsia="Calibri" w:hAnsi="Times New Roman" w:cs="Times New Roman"/>
          <w:sz w:val="24"/>
          <w:szCs w:val="24"/>
          <w:lang w:val="en-US"/>
        </w:rPr>
        <w:t xml:space="preserve">. This was confirmed by results from the survey, showing a significance index </w:t>
      </w:r>
      <w:r w:rsidR="007845C2" w:rsidRPr="00BC32CF">
        <w:rPr>
          <w:rFonts w:ascii="Times New Roman" w:eastAsia="Calibri" w:hAnsi="Times New Roman" w:cs="Times New Roman"/>
          <w:sz w:val="24"/>
          <w:szCs w:val="24"/>
          <w:lang w:val="en-US"/>
        </w:rPr>
        <w:t xml:space="preserve">rating </w:t>
      </w:r>
      <w:r w:rsidR="001342AC" w:rsidRPr="00BC32CF">
        <w:rPr>
          <w:rFonts w:ascii="Times New Roman" w:eastAsia="Calibri" w:hAnsi="Times New Roman" w:cs="Times New Roman"/>
          <w:sz w:val="24"/>
          <w:szCs w:val="24"/>
          <w:lang w:val="en-US"/>
        </w:rPr>
        <w:t xml:space="preserve">of 76.41, indicating </w:t>
      </w:r>
      <w:r w:rsidR="00237AD5" w:rsidRPr="00BC32CF">
        <w:rPr>
          <w:rFonts w:ascii="Times New Roman" w:eastAsia="Calibri" w:hAnsi="Times New Roman" w:cs="Times New Roman"/>
          <w:sz w:val="24"/>
          <w:szCs w:val="24"/>
          <w:lang w:val="en-US"/>
        </w:rPr>
        <w:t xml:space="preserve">high </w:t>
      </w:r>
      <w:r w:rsidR="001342AC" w:rsidRPr="00BC32CF">
        <w:rPr>
          <w:rFonts w:ascii="Times New Roman" w:eastAsia="Calibri" w:hAnsi="Times New Roman" w:cs="Times New Roman"/>
          <w:sz w:val="24"/>
          <w:szCs w:val="24"/>
          <w:lang w:val="en-US"/>
        </w:rPr>
        <w:t>lenders</w:t>
      </w:r>
      <w:r w:rsidR="007845C2" w:rsidRPr="00BC32CF">
        <w:rPr>
          <w:rFonts w:ascii="Times New Roman" w:eastAsia="Calibri" w:hAnsi="Times New Roman" w:cs="Times New Roman"/>
          <w:sz w:val="24"/>
          <w:szCs w:val="24"/>
          <w:lang w:val="en-US"/>
        </w:rPr>
        <w:t>’</w:t>
      </w:r>
      <w:r w:rsidR="001342AC" w:rsidRPr="00BC32CF">
        <w:rPr>
          <w:rFonts w:ascii="Times New Roman" w:eastAsia="Calibri" w:hAnsi="Times New Roman" w:cs="Times New Roman"/>
          <w:sz w:val="24"/>
          <w:szCs w:val="24"/>
          <w:lang w:val="en-US"/>
        </w:rPr>
        <w:t xml:space="preserve"> perception. </w:t>
      </w:r>
      <w:r w:rsidR="009F3059" w:rsidRPr="00BC32CF">
        <w:rPr>
          <w:rFonts w:ascii="Times New Roman" w:eastAsia="Calibri" w:hAnsi="Times New Roman" w:cs="Times New Roman"/>
          <w:sz w:val="24"/>
          <w:szCs w:val="24"/>
          <w:lang w:val="en-US"/>
        </w:rPr>
        <w:t>In what seem</w:t>
      </w:r>
      <w:r w:rsidRPr="00BC32CF">
        <w:rPr>
          <w:rFonts w:ascii="Times New Roman" w:eastAsia="Calibri" w:hAnsi="Times New Roman" w:cs="Times New Roman"/>
          <w:sz w:val="24"/>
          <w:szCs w:val="24"/>
          <w:lang w:val="en-US"/>
        </w:rPr>
        <w:t>ed</w:t>
      </w:r>
      <w:r w:rsidR="009F3059" w:rsidRPr="00BC32CF">
        <w:rPr>
          <w:rFonts w:ascii="Times New Roman" w:eastAsia="Calibri" w:hAnsi="Times New Roman" w:cs="Times New Roman"/>
          <w:sz w:val="24"/>
          <w:szCs w:val="24"/>
          <w:lang w:val="en-US"/>
        </w:rPr>
        <w:t xml:space="preserve"> largely </w:t>
      </w:r>
      <w:r w:rsidR="007845C2" w:rsidRPr="00BC32CF">
        <w:rPr>
          <w:rFonts w:ascii="Times New Roman" w:eastAsia="Calibri" w:hAnsi="Times New Roman" w:cs="Times New Roman"/>
          <w:sz w:val="24"/>
          <w:szCs w:val="24"/>
          <w:lang w:val="en-US"/>
        </w:rPr>
        <w:t xml:space="preserve">a </w:t>
      </w:r>
      <w:r w:rsidR="009F3059" w:rsidRPr="00BC32CF">
        <w:rPr>
          <w:rFonts w:ascii="Times New Roman" w:eastAsia="Calibri" w:hAnsi="Times New Roman" w:cs="Times New Roman"/>
          <w:sz w:val="24"/>
          <w:szCs w:val="24"/>
          <w:lang w:val="en-US"/>
        </w:rPr>
        <w:t xml:space="preserve">unanimous </w:t>
      </w:r>
      <w:r w:rsidR="00237AD5" w:rsidRPr="00BC32CF">
        <w:rPr>
          <w:rFonts w:ascii="Times New Roman" w:eastAsia="Calibri" w:hAnsi="Times New Roman" w:cs="Times New Roman"/>
          <w:sz w:val="24"/>
          <w:szCs w:val="24"/>
          <w:lang w:val="en-US"/>
        </w:rPr>
        <w:t>opinion,</w:t>
      </w:r>
      <w:r w:rsidR="003A33DC" w:rsidRPr="00BC32CF">
        <w:rPr>
          <w:rFonts w:ascii="Times New Roman" w:eastAsia="Calibri" w:hAnsi="Times New Roman" w:cs="Times New Roman"/>
          <w:sz w:val="24"/>
          <w:szCs w:val="24"/>
          <w:lang w:val="en-US"/>
        </w:rPr>
        <w:t xml:space="preserve"> most FGD</w:t>
      </w:r>
      <w:r w:rsidR="009F3059" w:rsidRPr="00BC32CF">
        <w:rPr>
          <w:rFonts w:ascii="Times New Roman" w:eastAsia="Calibri" w:hAnsi="Times New Roman" w:cs="Times New Roman"/>
          <w:sz w:val="24"/>
          <w:szCs w:val="24"/>
          <w:lang w:val="en-US"/>
        </w:rPr>
        <w:t xml:space="preserve"> participants emphasized the importance of </w:t>
      </w:r>
      <w:r w:rsidR="00F431CE" w:rsidRPr="00BC32CF">
        <w:rPr>
          <w:rFonts w:ascii="Times New Roman" w:eastAsia="Calibri" w:hAnsi="Times New Roman" w:cs="Times New Roman"/>
          <w:sz w:val="24"/>
          <w:szCs w:val="24"/>
          <w:lang w:val="en-US"/>
        </w:rPr>
        <w:t>private-</w:t>
      </w:r>
      <w:r w:rsidR="00BD0853" w:rsidRPr="00BC32CF">
        <w:rPr>
          <w:rFonts w:ascii="Times New Roman" w:eastAsia="Calibri" w:hAnsi="Times New Roman" w:cs="Times New Roman"/>
          <w:sz w:val="24"/>
          <w:szCs w:val="24"/>
          <w:lang w:val="en-US"/>
        </w:rPr>
        <w:t xml:space="preserve">sector </w:t>
      </w:r>
      <w:r w:rsidR="009F3059" w:rsidRPr="00BC32CF">
        <w:rPr>
          <w:rFonts w:ascii="Times New Roman" w:eastAsia="Calibri" w:hAnsi="Times New Roman" w:cs="Times New Roman"/>
          <w:sz w:val="24"/>
          <w:szCs w:val="24"/>
          <w:lang w:val="en-US"/>
        </w:rPr>
        <w:lastRenderedPageBreak/>
        <w:t>political risk insurance in financing PPPs in emerging market. As captured in the view of one of the participants</w:t>
      </w:r>
      <w:r w:rsidR="001342AC" w:rsidRPr="00BC32CF">
        <w:rPr>
          <w:rFonts w:ascii="Times New Roman" w:eastAsia="Calibri" w:hAnsi="Times New Roman" w:cs="Times New Roman"/>
          <w:sz w:val="24"/>
          <w:szCs w:val="24"/>
          <w:lang w:val="en-US"/>
        </w:rPr>
        <w:t xml:space="preserve">: </w:t>
      </w:r>
    </w:p>
    <w:p w14:paraId="213E5795" w14:textId="77777777" w:rsidR="001342AC" w:rsidRPr="00BC32CF" w:rsidRDefault="001342AC" w:rsidP="002A2D4B">
      <w:pPr>
        <w:pStyle w:val="Quote"/>
        <w:spacing w:line="480" w:lineRule="auto"/>
        <w:rPr>
          <w:color w:val="auto"/>
          <w:lang w:val="en-US"/>
        </w:rPr>
      </w:pPr>
      <w:r w:rsidRPr="00BC32CF">
        <w:rPr>
          <w:color w:val="auto"/>
          <w:lang w:val="en-US"/>
        </w:rPr>
        <w:t xml:space="preserve"> “If foreign Banks were to finance such projects, depending on the country capacity of the project host nation, we would definitely request a Private-Sector Political Risk Insurance Cover from would-be project sponsors. This is one of the most common global </w:t>
      </w:r>
      <w:r w:rsidR="00237AD5" w:rsidRPr="00BC32CF">
        <w:rPr>
          <w:color w:val="auto"/>
          <w:lang w:val="en-US"/>
        </w:rPr>
        <w:t xml:space="preserve">best </w:t>
      </w:r>
      <w:r w:rsidRPr="00BC32CF">
        <w:rPr>
          <w:color w:val="auto"/>
          <w:lang w:val="en-US"/>
        </w:rPr>
        <w:t>practices in international lending</w:t>
      </w:r>
      <w:r w:rsidR="00237AD5" w:rsidRPr="00BC32CF">
        <w:rPr>
          <w:color w:val="auto"/>
          <w:lang w:val="en-US"/>
        </w:rPr>
        <w:t xml:space="preserve"> to projects</w:t>
      </w:r>
      <w:r w:rsidRPr="00BC32CF">
        <w:rPr>
          <w:color w:val="auto"/>
          <w:lang w:val="en-US"/>
        </w:rPr>
        <w:t xml:space="preserve">. It does not have to be a PPP project before banks consider political risk insurance cover”. </w:t>
      </w:r>
    </w:p>
    <w:p w14:paraId="6FB2ACCB" w14:textId="77777777" w:rsidR="001342AC" w:rsidRPr="00BC32CF" w:rsidRDefault="001342AC" w:rsidP="002A2D4B">
      <w:pPr>
        <w:spacing w:before="240"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Studies such as</w:t>
      </w:r>
      <w:r w:rsidR="00254966" w:rsidRPr="00BC32CF">
        <w:rPr>
          <w:rFonts w:ascii="Times New Roman" w:eastAsia="Calibri" w:hAnsi="Times New Roman" w:cs="Times New Roman"/>
          <w:sz w:val="24"/>
          <w:szCs w:val="24"/>
          <w:lang w:val="en-US"/>
        </w:rPr>
        <w:t xml:space="preserve"> </w:t>
      </w:r>
      <w:r w:rsidR="0058006C" w:rsidRPr="00BC32CF">
        <w:rPr>
          <w:rFonts w:ascii="Times New Roman" w:eastAsia="Calibri" w:hAnsi="Times New Roman" w:cs="Times New Roman"/>
          <w:sz w:val="24"/>
          <w:szCs w:val="24"/>
          <w:lang w:val="en-US"/>
        </w:rPr>
        <w:t>Hoffman (2008</w:t>
      </w:r>
      <w:r w:rsidRPr="00BC32CF">
        <w:rPr>
          <w:rFonts w:ascii="Times New Roman" w:eastAsia="Calibri" w:hAnsi="Times New Roman" w:cs="Times New Roman"/>
          <w:sz w:val="24"/>
          <w:szCs w:val="24"/>
          <w:lang w:val="en-US"/>
        </w:rPr>
        <w:t>)</w:t>
      </w:r>
      <w:r w:rsidR="00254966"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w:t>
      </w:r>
      <w:r w:rsidR="0058006C" w:rsidRPr="00BC32CF">
        <w:rPr>
          <w:rFonts w:ascii="Times New Roman" w:eastAsia="Calibri" w:hAnsi="Times New Roman" w:cs="Times New Roman"/>
          <w:sz w:val="24"/>
          <w:szCs w:val="24"/>
          <w:lang w:val="en-US"/>
        </w:rPr>
        <w:t>Yescombe (</w:t>
      </w:r>
      <w:r w:rsidR="00254966" w:rsidRPr="00BC32CF">
        <w:rPr>
          <w:rFonts w:ascii="Times New Roman" w:eastAsia="Calibri" w:hAnsi="Times New Roman" w:cs="Times New Roman"/>
          <w:sz w:val="24"/>
          <w:szCs w:val="24"/>
          <w:lang w:val="en-US"/>
        </w:rPr>
        <w:t xml:space="preserve">2007), Atmo, and Duffield (2014) </w:t>
      </w:r>
      <w:r w:rsidR="002C62AE" w:rsidRPr="00BC32CF">
        <w:rPr>
          <w:rFonts w:ascii="Times New Roman" w:eastAsia="Calibri" w:hAnsi="Times New Roman" w:cs="Times New Roman"/>
          <w:sz w:val="24"/>
          <w:szCs w:val="24"/>
          <w:lang w:val="en-US"/>
        </w:rPr>
        <w:t>have confirmed these</w:t>
      </w:r>
      <w:r w:rsidRPr="00BC32CF">
        <w:rPr>
          <w:rFonts w:ascii="Times New Roman" w:eastAsia="Calibri" w:hAnsi="Times New Roman" w:cs="Times New Roman"/>
          <w:sz w:val="24"/>
          <w:szCs w:val="24"/>
          <w:lang w:val="en-US"/>
        </w:rPr>
        <w:t xml:space="preserve"> assert</w:t>
      </w:r>
      <w:r w:rsidR="003A4DC9" w:rsidRPr="00BC32CF">
        <w:rPr>
          <w:rFonts w:ascii="Times New Roman" w:eastAsia="Calibri" w:hAnsi="Times New Roman" w:cs="Times New Roman"/>
          <w:sz w:val="24"/>
          <w:szCs w:val="24"/>
          <w:lang w:val="en-US"/>
        </w:rPr>
        <w:t>ion</w:t>
      </w:r>
      <w:r w:rsidR="002C62AE" w:rsidRPr="00BC32CF">
        <w:rPr>
          <w:rFonts w:ascii="Times New Roman" w:eastAsia="Calibri" w:hAnsi="Times New Roman" w:cs="Times New Roman"/>
          <w:sz w:val="24"/>
          <w:szCs w:val="24"/>
          <w:lang w:val="en-US"/>
        </w:rPr>
        <w:t>s</w:t>
      </w:r>
      <w:r w:rsidR="003A4DC9" w:rsidRPr="00BC32CF">
        <w:rPr>
          <w:rFonts w:ascii="Times New Roman" w:eastAsia="Calibri" w:hAnsi="Times New Roman" w:cs="Times New Roman"/>
          <w:sz w:val="24"/>
          <w:szCs w:val="24"/>
          <w:lang w:val="en-US"/>
        </w:rPr>
        <w:t xml:space="preserve">. According to </w:t>
      </w:r>
      <w:r w:rsidR="00EF037D" w:rsidRPr="00BC32CF">
        <w:rPr>
          <w:rFonts w:ascii="Times New Roman" w:eastAsia="Calibri" w:hAnsi="Times New Roman" w:cs="Times New Roman"/>
          <w:sz w:val="24"/>
          <w:szCs w:val="24"/>
          <w:lang w:val="en-US"/>
        </w:rPr>
        <w:t>Yescombe (2007)</w:t>
      </w:r>
      <w:r w:rsidR="003A4DC9" w:rsidRPr="00BC32CF">
        <w:rPr>
          <w:rFonts w:ascii="Times New Roman" w:eastAsia="Calibri" w:hAnsi="Times New Roman" w:cs="Times New Roman"/>
          <w:sz w:val="24"/>
          <w:szCs w:val="24"/>
          <w:lang w:val="en-US"/>
        </w:rPr>
        <w:t xml:space="preserve">and </w:t>
      </w:r>
      <w:r w:rsidR="00EF037D" w:rsidRPr="00BC32CF">
        <w:rPr>
          <w:rFonts w:ascii="Times New Roman" w:eastAsia="Calibri" w:hAnsi="Times New Roman" w:cs="Times New Roman"/>
          <w:sz w:val="24"/>
          <w:szCs w:val="24"/>
          <w:lang w:val="en-US"/>
        </w:rPr>
        <w:t>Hoffman (2008)</w:t>
      </w:r>
      <w:r w:rsidRPr="00BC32CF">
        <w:rPr>
          <w:rFonts w:ascii="Times New Roman" w:eastAsia="Calibri" w:hAnsi="Times New Roman" w:cs="Times New Roman"/>
          <w:sz w:val="24"/>
          <w:szCs w:val="24"/>
          <w:lang w:val="en-US"/>
        </w:rPr>
        <w:t xml:space="preserve">, </w:t>
      </w:r>
      <w:r w:rsidR="00F431CE" w:rsidRPr="00BC32CF">
        <w:rPr>
          <w:rFonts w:ascii="Times New Roman" w:eastAsia="Calibri" w:hAnsi="Times New Roman" w:cs="Times New Roman"/>
          <w:sz w:val="24"/>
          <w:szCs w:val="24"/>
          <w:lang w:val="en-US"/>
        </w:rPr>
        <w:t>private-</w:t>
      </w:r>
      <w:r w:rsidR="00FD64A6" w:rsidRPr="00BC32CF">
        <w:rPr>
          <w:rFonts w:ascii="Times New Roman" w:eastAsia="Calibri" w:hAnsi="Times New Roman" w:cs="Times New Roman"/>
          <w:sz w:val="24"/>
          <w:szCs w:val="24"/>
          <w:lang w:val="en-US"/>
        </w:rPr>
        <w:t xml:space="preserve">sector </w:t>
      </w:r>
      <w:r w:rsidRPr="00BC32CF">
        <w:rPr>
          <w:rFonts w:ascii="Times New Roman" w:eastAsia="Calibri" w:hAnsi="Times New Roman" w:cs="Times New Roman"/>
          <w:sz w:val="24"/>
          <w:szCs w:val="24"/>
          <w:lang w:val="en-US"/>
        </w:rPr>
        <w:t xml:space="preserve">political risk insurance cover may be in form of general insurance cover for </w:t>
      </w:r>
      <w:r w:rsidR="009C6069" w:rsidRPr="00BC32CF">
        <w:rPr>
          <w:rFonts w:ascii="Times New Roman" w:eastAsia="Calibri" w:hAnsi="Times New Roman" w:cs="Times New Roman"/>
          <w:sz w:val="24"/>
          <w:szCs w:val="24"/>
          <w:lang w:val="en-US"/>
        </w:rPr>
        <w:t xml:space="preserve">a </w:t>
      </w:r>
      <w:r w:rsidRPr="00BC32CF">
        <w:rPr>
          <w:rFonts w:ascii="Times New Roman" w:eastAsia="Calibri" w:hAnsi="Times New Roman" w:cs="Times New Roman"/>
          <w:sz w:val="24"/>
          <w:szCs w:val="24"/>
          <w:lang w:val="en-US"/>
        </w:rPr>
        <w:t xml:space="preserve">PPP project;  or may be tailored to the </w:t>
      </w:r>
      <w:r w:rsidR="009C6069" w:rsidRPr="00BC32CF">
        <w:rPr>
          <w:rFonts w:ascii="Times New Roman" w:eastAsia="Calibri" w:hAnsi="Times New Roman" w:cs="Times New Roman"/>
          <w:sz w:val="24"/>
          <w:szCs w:val="24"/>
          <w:lang w:val="en-US"/>
        </w:rPr>
        <w:t xml:space="preserve">foreign </w:t>
      </w:r>
      <w:r w:rsidRPr="00BC32CF">
        <w:rPr>
          <w:rFonts w:ascii="Times New Roman" w:eastAsia="Calibri" w:hAnsi="Times New Roman" w:cs="Times New Roman"/>
          <w:sz w:val="24"/>
          <w:szCs w:val="24"/>
          <w:lang w:val="en-US"/>
        </w:rPr>
        <w:t xml:space="preserve">lenders’ key concerns (Delmon, 2011).  </w:t>
      </w:r>
      <w:r w:rsidR="00E74BAD" w:rsidRPr="00BC32CF">
        <w:rPr>
          <w:rFonts w:ascii="Times New Roman" w:eastAsia="Calibri" w:hAnsi="Times New Roman" w:cs="Times New Roman"/>
          <w:sz w:val="24"/>
          <w:szCs w:val="24"/>
          <w:lang w:val="en-US"/>
        </w:rPr>
        <w:t xml:space="preserve">In situations </w:t>
      </w:r>
      <w:r w:rsidR="0028576B" w:rsidRPr="00BC32CF">
        <w:rPr>
          <w:rFonts w:ascii="Times New Roman" w:eastAsia="Calibri" w:hAnsi="Times New Roman" w:cs="Times New Roman"/>
          <w:sz w:val="24"/>
          <w:szCs w:val="24"/>
          <w:lang w:val="en-US"/>
        </w:rPr>
        <w:t>w</w:t>
      </w:r>
      <w:r w:rsidR="002C62AE" w:rsidRPr="00BC32CF">
        <w:rPr>
          <w:rFonts w:ascii="Times New Roman" w:eastAsia="Calibri" w:hAnsi="Times New Roman" w:cs="Times New Roman"/>
          <w:sz w:val="24"/>
          <w:szCs w:val="24"/>
          <w:lang w:val="en-US"/>
        </w:rPr>
        <w:t xml:space="preserve">here the insurance policy is </w:t>
      </w:r>
      <w:r w:rsidR="00E74BAD" w:rsidRPr="00BC32CF">
        <w:rPr>
          <w:rFonts w:ascii="Times New Roman" w:eastAsia="Calibri" w:hAnsi="Times New Roman" w:cs="Times New Roman"/>
          <w:sz w:val="24"/>
          <w:szCs w:val="24"/>
          <w:lang w:val="en-US"/>
        </w:rPr>
        <w:t>targeted at</w:t>
      </w:r>
      <w:r w:rsidR="0028576B" w:rsidRPr="00BC32CF">
        <w:rPr>
          <w:rFonts w:ascii="Times New Roman" w:eastAsia="Calibri" w:hAnsi="Times New Roman" w:cs="Times New Roman"/>
          <w:sz w:val="24"/>
          <w:szCs w:val="24"/>
          <w:lang w:val="en-US"/>
        </w:rPr>
        <w:t xml:space="preserve"> lenders’</w:t>
      </w:r>
      <w:r w:rsidR="002C62AE" w:rsidRPr="00BC32CF">
        <w:rPr>
          <w:rFonts w:ascii="Times New Roman" w:eastAsia="Calibri" w:hAnsi="Times New Roman" w:cs="Times New Roman"/>
          <w:sz w:val="24"/>
          <w:szCs w:val="24"/>
          <w:lang w:val="en-US"/>
        </w:rPr>
        <w:t xml:space="preserve"> specific concerns in the concession, any risk arising from events not mention</w:t>
      </w:r>
      <w:r w:rsidR="00FF1A53" w:rsidRPr="00BC32CF">
        <w:rPr>
          <w:rFonts w:ascii="Times New Roman" w:eastAsia="Calibri" w:hAnsi="Times New Roman" w:cs="Times New Roman"/>
          <w:sz w:val="24"/>
          <w:szCs w:val="24"/>
          <w:lang w:val="en-US"/>
        </w:rPr>
        <w:t>ed</w:t>
      </w:r>
      <w:r w:rsidR="002C62AE" w:rsidRPr="00BC32CF">
        <w:rPr>
          <w:rFonts w:ascii="Times New Roman" w:eastAsia="Calibri" w:hAnsi="Times New Roman" w:cs="Times New Roman"/>
          <w:sz w:val="24"/>
          <w:szCs w:val="24"/>
          <w:lang w:val="en-US"/>
        </w:rPr>
        <w:t xml:space="preserve"> in the insurance policy will not be </w:t>
      </w:r>
      <w:r w:rsidR="0028576B" w:rsidRPr="00BC32CF">
        <w:rPr>
          <w:rFonts w:ascii="Times New Roman" w:eastAsia="Calibri" w:hAnsi="Times New Roman" w:cs="Times New Roman"/>
          <w:sz w:val="24"/>
          <w:szCs w:val="24"/>
          <w:lang w:val="en-US"/>
        </w:rPr>
        <w:t>reimbursed (Mills, 2010)</w:t>
      </w:r>
      <w:r w:rsidR="002C62AE" w:rsidRPr="00BC32CF">
        <w:rPr>
          <w:rFonts w:ascii="Times New Roman" w:eastAsia="Calibri" w:hAnsi="Times New Roman" w:cs="Times New Roman"/>
          <w:sz w:val="24"/>
          <w:szCs w:val="24"/>
          <w:lang w:val="en-US"/>
        </w:rPr>
        <w:t xml:space="preserve">. </w:t>
      </w:r>
    </w:p>
    <w:p w14:paraId="349BD465" w14:textId="77777777" w:rsidR="00AE2042" w:rsidRPr="00BC32CF" w:rsidRDefault="009C3835" w:rsidP="002A2D4B">
      <w:pPr>
        <w:pStyle w:val="Heading2"/>
        <w:rPr>
          <w:szCs w:val="22"/>
        </w:rPr>
      </w:pPr>
      <w:r w:rsidRPr="00BC32CF">
        <w:t>6</w:t>
      </w:r>
      <w:r w:rsidR="00AE2042" w:rsidRPr="00BC32CF">
        <w:t>.3</w:t>
      </w:r>
      <w:r w:rsidR="00AE2042" w:rsidRPr="00BC32CF">
        <w:tab/>
        <w:t>Legal Risk and Associated Bankability Criteria</w:t>
      </w:r>
    </w:p>
    <w:p w14:paraId="592FE8DA" w14:textId="77777777" w:rsidR="008758AF" w:rsidRPr="00BC32CF" w:rsidRDefault="008758AF" w:rsidP="002A2D4B">
      <w:pPr>
        <w:spacing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Going by evidences from the study, legal risk was important and </w:t>
      </w:r>
      <w:r w:rsidR="00AA3AD3" w:rsidRPr="00BC32CF">
        <w:rPr>
          <w:rFonts w:ascii="Times New Roman" w:eastAsia="Calibri" w:hAnsi="Times New Roman" w:cs="Times New Roman"/>
          <w:sz w:val="24"/>
          <w:szCs w:val="24"/>
          <w:lang w:val="en-US"/>
        </w:rPr>
        <w:t xml:space="preserve">was </w:t>
      </w:r>
      <w:r w:rsidRPr="00BC32CF">
        <w:rPr>
          <w:rFonts w:ascii="Times New Roman" w:eastAsia="Calibri" w:hAnsi="Times New Roman" w:cs="Times New Roman"/>
          <w:sz w:val="24"/>
          <w:szCs w:val="24"/>
          <w:lang w:val="en-US"/>
        </w:rPr>
        <w:t xml:space="preserve">given high consideration </w:t>
      </w:r>
      <w:r w:rsidR="00AA3AD3" w:rsidRPr="00BC32CF">
        <w:rPr>
          <w:rFonts w:ascii="Times New Roman" w:eastAsia="Calibri" w:hAnsi="Times New Roman" w:cs="Times New Roman"/>
          <w:sz w:val="24"/>
          <w:szCs w:val="24"/>
          <w:lang w:val="en-US"/>
        </w:rPr>
        <w:t xml:space="preserve">by financiers </w:t>
      </w:r>
      <w:r w:rsidRPr="00BC32CF">
        <w:rPr>
          <w:rFonts w:ascii="Times New Roman" w:eastAsia="Calibri" w:hAnsi="Times New Roman" w:cs="Times New Roman"/>
          <w:sz w:val="24"/>
          <w:szCs w:val="24"/>
          <w:lang w:val="en-US"/>
        </w:rPr>
        <w:t xml:space="preserve">in the three case studies examined. As represented in the qualitative framework in Figure 2 above, the study identified three sub-risk factors that often emerge from legal risk: permit and approval risk, regulatory risk and environmental risk. Based on evidences from the survey, the bankability criterion </w:t>
      </w:r>
      <w:r w:rsidRPr="00BC32CF">
        <w:rPr>
          <w:rFonts w:ascii="Times New Roman" w:eastAsia="Calibri" w:hAnsi="Times New Roman" w:cs="Times New Roman"/>
          <w:b/>
          <w:sz w:val="24"/>
          <w:szCs w:val="24"/>
          <w:lang w:val="en-US"/>
        </w:rPr>
        <w:t>“existence of operational permit and approval from public sector”</w:t>
      </w:r>
      <w:r w:rsidRPr="00BC32CF">
        <w:rPr>
          <w:rFonts w:ascii="Times New Roman" w:eastAsia="Calibri" w:hAnsi="Times New Roman" w:cs="Times New Roman"/>
          <w:sz w:val="24"/>
          <w:szCs w:val="24"/>
          <w:lang w:val="en-US"/>
        </w:rPr>
        <w:t xml:space="preserve"> is considered most important in legal risk analysis. This </w:t>
      </w:r>
      <w:r w:rsidR="00E167BB" w:rsidRPr="00BC32CF">
        <w:rPr>
          <w:rFonts w:ascii="Times New Roman" w:eastAsia="Calibri" w:hAnsi="Times New Roman" w:cs="Times New Roman"/>
          <w:sz w:val="24"/>
          <w:szCs w:val="24"/>
          <w:lang w:val="en-US"/>
        </w:rPr>
        <w:t>is based on lenders’ perception</w:t>
      </w:r>
      <w:r w:rsidRPr="00BC32CF">
        <w:rPr>
          <w:rFonts w:ascii="Times New Roman" w:eastAsia="Calibri" w:hAnsi="Times New Roman" w:cs="Times New Roman"/>
          <w:sz w:val="24"/>
          <w:szCs w:val="24"/>
          <w:lang w:val="en-US"/>
        </w:rPr>
        <w:t xml:space="preserve"> with a significance index rating of 85.01.  Focus group discussants </w:t>
      </w:r>
      <w:r w:rsidR="004D53B1" w:rsidRPr="00BC32CF">
        <w:rPr>
          <w:rFonts w:ascii="Times New Roman" w:eastAsia="Calibri" w:hAnsi="Times New Roman" w:cs="Times New Roman"/>
          <w:sz w:val="24"/>
          <w:szCs w:val="24"/>
          <w:lang w:val="en-US"/>
        </w:rPr>
        <w:t>also highlighted the</w:t>
      </w:r>
      <w:r w:rsidRPr="00BC32CF">
        <w:rPr>
          <w:rFonts w:ascii="Times New Roman" w:eastAsia="Calibri" w:hAnsi="Times New Roman" w:cs="Times New Roman"/>
          <w:sz w:val="24"/>
          <w:szCs w:val="24"/>
          <w:lang w:val="en-US"/>
        </w:rPr>
        <w:t xml:space="preserve"> importance of permit and approval</w:t>
      </w:r>
      <w:r w:rsidR="00AA3AD3" w:rsidRPr="00BC32CF">
        <w:rPr>
          <w:rFonts w:ascii="Times New Roman" w:eastAsia="Calibri" w:hAnsi="Times New Roman" w:cs="Times New Roman"/>
          <w:sz w:val="24"/>
          <w:szCs w:val="24"/>
          <w:lang w:val="en-US"/>
        </w:rPr>
        <w:t xml:space="preserve"> to successful </w:t>
      </w:r>
      <w:r w:rsidR="00E167BB" w:rsidRPr="00BC32CF">
        <w:rPr>
          <w:rFonts w:ascii="Times New Roman" w:eastAsia="Calibri" w:hAnsi="Times New Roman" w:cs="Times New Roman"/>
          <w:sz w:val="24"/>
          <w:szCs w:val="24"/>
          <w:lang w:val="en-US"/>
        </w:rPr>
        <w:t xml:space="preserve">implementation of </w:t>
      </w:r>
      <w:r w:rsidR="00AA3AD3" w:rsidRPr="00BC32CF">
        <w:rPr>
          <w:rFonts w:ascii="Times New Roman" w:eastAsia="Calibri" w:hAnsi="Times New Roman" w:cs="Times New Roman"/>
          <w:sz w:val="24"/>
          <w:szCs w:val="24"/>
          <w:lang w:val="en-US"/>
        </w:rPr>
        <w:t>PPPs</w:t>
      </w:r>
      <w:r w:rsidRPr="00BC32CF">
        <w:rPr>
          <w:rFonts w:ascii="Times New Roman" w:eastAsia="Calibri" w:hAnsi="Times New Roman" w:cs="Times New Roman"/>
          <w:sz w:val="24"/>
          <w:szCs w:val="24"/>
          <w:lang w:val="en-US"/>
        </w:rPr>
        <w:t xml:space="preserve">, as encapsulated in the views of </w:t>
      </w:r>
      <w:r w:rsidR="00AA3AD3" w:rsidRPr="00BC32CF">
        <w:rPr>
          <w:rFonts w:ascii="Times New Roman" w:eastAsia="Calibri" w:hAnsi="Times New Roman" w:cs="Times New Roman"/>
          <w:sz w:val="24"/>
          <w:szCs w:val="24"/>
          <w:lang w:val="en-US"/>
        </w:rPr>
        <w:t xml:space="preserve">one of the </w:t>
      </w:r>
      <w:r w:rsidRPr="00BC32CF">
        <w:rPr>
          <w:rFonts w:ascii="Times New Roman" w:eastAsia="Calibri" w:hAnsi="Times New Roman" w:cs="Times New Roman"/>
          <w:sz w:val="24"/>
          <w:szCs w:val="24"/>
          <w:lang w:val="en-US"/>
        </w:rPr>
        <w:t>discussant</w:t>
      </w:r>
      <w:r w:rsidR="00AA3AD3" w:rsidRPr="00BC32CF">
        <w:rPr>
          <w:rFonts w:ascii="Times New Roman" w:eastAsia="Calibri" w:hAnsi="Times New Roman" w:cs="Times New Roman"/>
          <w:sz w:val="24"/>
          <w:szCs w:val="24"/>
          <w:lang w:val="en-US"/>
        </w:rPr>
        <w:t>s who argued that</w:t>
      </w:r>
      <w:r w:rsidRPr="00BC32CF">
        <w:rPr>
          <w:rFonts w:ascii="Times New Roman" w:eastAsia="Calibri" w:hAnsi="Times New Roman" w:cs="Times New Roman"/>
          <w:sz w:val="24"/>
          <w:szCs w:val="24"/>
          <w:lang w:val="en-US"/>
        </w:rPr>
        <w:t>:</w:t>
      </w:r>
    </w:p>
    <w:p w14:paraId="1E04DBF3" w14:textId="77777777" w:rsidR="008758AF" w:rsidRPr="00BC32CF" w:rsidRDefault="008758AF" w:rsidP="002A2D4B">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“One needs to determine whether such proposed project has got necessary permits and approval from relevant government departments or agencies. Foreign banks will expect </w:t>
      </w:r>
      <w:r w:rsidRPr="00BC32CF">
        <w:rPr>
          <w:rFonts w:ascii="Times New Roman" w:eastAsia="Calibri" w:hAnsi="Times New Roman" w:cs="Times New Roman"/>
          <w:i/>
          <w:sz w:val="24"/>
          <w:szCs w:val="24"/>
          <w:lang w:val="en-US"/>
        </w:rPr>
        <w:lastRenderedPageBreak/>
        <w:t xml:space="preserve">sponsors of projects to obtain legal and regulatory approvals for the construction and operations of a project. </w:t>
      </w:r>
      <w:r w:rsidR="00AA3AD3" w:rsidRPr="00BC32CF">
        <w:rPr>
          <w:rFonts w:ascii="Times New Roman" w:eastAsia="Calibri" w:hAnsi="Times New Roman" w:cs="Times New Roman"/>
          <w:i/>
          <w:sz w:val="24"/>
          <w:szCs w:val="24"/>
          <w:lang w:val="en-US"/>
        </w:rPr>
        <w:t>Of course failure to obtain</w:t>
      </w:r>
      <w:r w:rsidRPr="00BC32CF">
        <w:rPr>
          <w:rFonts w:ascii="Times New Roman" w:eastAsia="Calibri" w:hAnsi="Times New Roman" w:cs="Times New Roman"/>
          <w:i/>
          <w:sz w:val="24"/>
          <w:szCs w:val="24"/>
          <w:lang w:val="en-US"/>
        </w:rPr>
        <w:t xml:space="preserve"> </w:t>
      </w:r>
      <w:r w:rsidR="00FB6460" w:rsidRPr="00BC32CF">
        <w:rPr>
          <w:rFonts w:ascii="Times New Roman" w:eastAsia="Calibri" w:hAnsi="Times New Roman" w:cs="Times New Roman"/>
          <w:i/>
          <w:sz w:val="24"/>
          <w:szCs w:val="24"/>
          <w:lang w:val="en-US"/>
        </w:rPr>
        <w:t>such results</w:t>
      </w:r>
      <w:r w:rsidR="00AA3AD3" w:rsidRPr="00BC32CF">
        <w:rPr>
          <w:rFonts w:ascii="Times New Roman" w:eastAsia="Calibri" w:hAnsi="Times New Roman" w:cs="Times New Roman"/>
          <w:i/>
          <w:sz w:val="24"/>
          <w:szCs w:val="24"/>
          <w:lang w:val="en-US"/>
        </w:rPr>
        <w:t xml:space="preserve"> in </w:t>
      </w:r>
      <w:r w:rsidRPr="00BC32CF">
        <w:rPr>
          <w:rFonts w:ascii="Times New Roman" w:eastAsia="Calibri" w:hAnsi="Times New Roman" w:cs="Times New Roman"/>
          <w:i/>
          <w:sz w:val="24"/>
          <w:szCs w:val="24"/>
          <w:lang w:val="en-US"/>
        </w:rPr>
        <w:t xml:space="preserve">delay </w:t>
      </w:r>
      <w:r w:rsidR="00E167BB" w:rsidRPr="00BC32CF">
        <w:rPr>
          <w:rFonts w:ascii="Times New Roman" w:eastAsia="Calibri" w:hAnsi="Times New Roman" w:cs="Times New Roman"/>
          <w:i/>
          <w:sz w:val="24"/>
          <w:szCs w:val="24"/>
          <w:lang w:val="en-US"/>
        </w:rPr>
        <w:t xml:space="preserve">in </w:t>
      </w:r>
      <w:r w:rsidRPr="00BC32CF">
        <w:rPr>
          <w:rFonts w:ascii="Times New Roman" w:eastAsia="Calibri" w:hAnsi="Times New Roman" w:cs="Times New Roman"/>
          <w:i/>
          <w:sz w:val="24"/>
          <w:szCs w:val="24"/>
          <w:lang w:val="en-US"/>
        </w:rPr>
        <w:t>project start-up</w:t>
      </w:r>
      <w:r w:rsidR="001B1961" w:rsidRPr="00BC32CF">
        <w:rPr>
          <w:rFonts w:ascii="Times New Roman" w:eastAsia="Calibri" w:hAnsi="Times New Roman" w:cs="Times New Roman"/>
          <w:i/>
          <w:sz w:val="24"/>
          <w:szCs w:val="24"/>
          <w:lang w:val="en-US"/>
        </w:rPr>
        <w:t xml:space="preserve"> </w:t>
      </w:r>
      <w:r w:rsidR="00E167BB" w:rsidRPr="00BC32CF">
        <w:rPr>
          <w:rFonts w:ascii="Times New Roman" w:eastAsia="Calibri" w:hAnsi="Times New Roman" w:cs="Times New Roman"/>
          <w:i/>
          <w:sz w:val="24"/>
          <w:szCs w:val="24"/>
          <w:lang w:val="en-US"/>
        </w:rPr>
        <w:t>which will</w:t>
      </w:r>
      <w:r w:rsidR="001B1961" w:rsidRPr="00BC32CF">
        <w:rPr>
          <w:rFonts w:ascii="Times New Roman" w:eastAsia="Calibri" w:hAnsi="Times New Roman" w:cs="Times New Roman"/>
          <w:i/>
          <w:sz w:val="24"/>
          <w:szCs w:val="24"/>
          <w:lang w:val="en-US"/>
        </w:rPr>
        <w:t xml:space="preserve"> </w:t>
      </w:r>
      <w:r w:rsidR="00AA3AD3" w:rsidRPr="00BC32CF">
        <w:rPr>
          <w:rFonts w:ascii="Times New Roman" w:eastAsia="Calibri" w:hAnsi="Times New Roman" w:cs="Times New Roman"/>
          <w:i/>
          <w:sz w:val="24"/>
          <w:szCs w:val="24"/>
          <w:lang w:val="en-US"/>
        </w:rPr>
        <w:t xml:space="preserve">definitely </w:t>
      </w:r>
      <w:r w:rsidR="001B1961" w:rsidRPr="00BC32CF">
        <w:rPr>
          <w:rFonts w:ascii="Times New Roman" w:eastAsia="Calibri" w:hAnsi="Times New Roman" w:cs="Times New Roman"/>
          <w:i/>
          <w:sz w:val="24"/>
          <w:szCs w:val="24"/>
          <w:lang w:val="en-US"/>
        </w:rPr>
        <w:t>distort financing plan</w:t>
      </w:r>
      <w:r w:rsidR="00AA3AD3" w:rsidRPr="00BC32CF">
        <w:rPr>
          <w:rFonts w:ascii="Times New Roman" w:eastAsia="Calibri" w:hAnsi="Times New Roman" w:cs="Times New Roman"/>
          <w:i/>
          <w:sz w:val="24"/>
          <w:szCs w:val="24"/>
          <w:lang w:val="en-US"/>
        </w:rPr>
        <w:t>s</w:t>
      </w:r>
      <w:r w:rsidRPr="00BC32CF">
        <w:rPr>
          <w:rFonts w:ascii="Times New Roman" w:eastAsia="Calibri" w:hAnsi="Times New Roman" w:cs="Times New Roman"/>
          <w:i/>
          <w:sz w:val="24"/>
          <w:szCs w:val="24"/>
          <w:lang w:val="en-US"/>
        </w:rPr>
        <w:t>”.</w:t>
      </w:r>
    </w:p>
    <w:p w14:paraId="3B76AA35" w14:textId="77777777" w:rsidR="00AE2042" w:rsidRPr="00BC32CF" w:rsidRDefault="008758AF" w:rsidP="002A2D4B">
      <w:pPr>
        <w:spacing w:before="240" w:after="200" w:line="480" w:lineRule="auto"/>
        <w:jc w:val="both"/>
        <w:rPr>
          <w:rFonts w:ascii="Times New Roman" w:eastAsia="Calibri" w:hAnsi="Times New Roman"/>
          <w:sz w:val="24"/>
          <w:szCs w:val="24"/>
          <w:lang w:val="en-US"/>
        </w:rPr>
      </w:pPr>
      <w:r w:rsidRPr="00BC32CF">
        <w:rPr>
          <w:rFonts w:ascii="Times New Roman" w:eastAsia="Calibri" w:hAnsi="Times New Roman" w:cs="Times New Roman"/>
          <w:sz w:val="24"/>
          <w:szCs w:val="24"/>
          <w:lang w:val="en-US"/>
        </w:rPr>
        <w:t xml:space="preserve">This view was </w:t>
      </w:r>
      <w:r w:rsidR="00AA3AD3" w:rsidRPr="00BC32CF">
        <w:rPr>
          <w:rFonts w:ascii="Times New Roman" w:eastAsia="Calibri" w:hAnsi="Times New Roman" w:cs="Times New Roman"/>
          <w:sz w:val="24"/>
          <w:szCs w:val="24"/>
          <w:lang w:val="en-US"/>
        </w:rPr>
        <w:t>buttressed</w:t>
      </w:r>
      <w:r w:rsidRPr="00BC32CF">
        <w:rPr>
          <w:rFonts w:ascii="Times New Roman" w:eastAsia="Calibri" w:hAnsi="Times New Roman" w:cs="Times New Roman"/>
          <w:sz w:val="24"/>
          <w:szCs w:val="24"/>
          <w:lang w:val="en-US"/>
        </w:rPr>
        <w:t xml:space="preserve"> by Wang </w:t>
      </w:r>
      <w:r w:rsidRPr="00BC32CF">
        <w:rPr>
          <w:rFonts w:ascii="Times New Roman" w:eastAsia="Calibri" w:hAnsi="Times New Roman" w:cs="Times New Roman"/>
          <w:i/>
          <w:sz w:val="24"/>
          <w:szCs w:val="24"/>
          <w:lang w:val="en-US"/>
        </w:rPr>
        <w:t>et al.</w:t>
      </w:r>
      <w:r w:rsidRPr="00BC32CF">
        <w:rPr>
          <w:rFonts w:ascii="Times New Roman" w:eastAsia="Calibri" w:hAnsi="Times New Roman" w:cs="Times New Roman"/>
          <w:sz w:val="24"/>
          <w:szCs w:val="24"/>
          <w:lang w:val="en-US"/>
        </w:rPr>
        <w:t xml:space="preserve"> (2004) who argue</w:t>
      </w:r>
      <w:r w:rsidR="00AA3AD3" w:rsidRPr="00BC32CF">
        <w:rPr>
          <w:rFonts w:ascii="Times New Roman" w:eastAsia="Calibri" w:hAnsi="Times New Roman" w:cs="Times New Roman"/>
          <w:sz w:val="24"/>
          <w:szCs w:val="24"/>
          <w:lang w:val="en-US"/>
        </w:rPr>
        <w:t>d</w:t>
      </w:r>
      <w:r w:rsidRPr="00BC32CF">
        <w:rPr>
          <w:rFonts w:ascii="Times New Roman" w:eastAsia="Calibri" w:hAnsi="Times New Roman" w:cs="Times New Roman"/>
          <w:sz w:val="24"/>
          <w:szCs w:val="24"/>
          <w:lang w:val="en-US"/>
        </w:rPr>
        <w:t xml:space="preserve"> that project grantor’s approval is essential to funding decision because </w:t>
      </w:r>
      <w:r w:rsidR="000314F0" w:rsidRPr="00BC32CF">
        <w:rPr>
          <w:rFonts w:ascii="Times New Roman" w:eastAsia="Calibri" w:hAnsi="Times New Roman" w:cs="Times New Roman"/>
          <w:sz w:val="24"/>
          <w:szCs w:val="24"/>
          <w:lang w:val="en-US"/>
        </w:rPr>
        <w:t>most financiers</w:t>
      </w:r>
      <w:r w:rsidRPr="00BC32CF">
        <w:rPr>
          <w:rFonts w:ascii="Times New Roman" w:eastAsia="Calibri" w:hAnsi="Times New Roman" w:cs="Times New Roman"/>
          <w:sz w:val="24"/>
          <w:szCs w:val="24"/>
          <w:lang w:val="en-US"/>
        </w:rPr>
        <w:t xml:space="preserve"> will </w:t>
      </w:r>
      <w:r w:rsidR="00E167BB" w:rsidRPr="00BC32CF">
        <w:rPr>
          <w:rFonts w:ascii="Times New Roman" w:eastAsia="Calibri" w:hAnsi="Times New Roman" w:cs="Times New Roman"/>
          <w:sz w:val="24"/>
          <w:szCs w:val="24"/>
          <w:lang w:val="en-US"/>
        </w:rPr>
        <w:t xml:space="preserve">not </w:t>
      </w:r>
      <w:r w:rsidR="00AA3AD3" w:rsidRPr="00BC32CF">
        <w:rPr>
          <w:rFonts w:ascii="Times New Roman" w:eastAsia="Calibri" w:hAnsi="Times New Roman" w:cs="Times New Roman"/>
          <w:sz w:val="24"/>
          <w:szCs w:val="24"/>
          <w:lang w:val="en-US"/>
        </w:rPr>
        <w:t xml:space="preserve">fund any </w:t>
      </w:r>
      <w:r w:rsidRPr="00BC32CF">
        <w:rPr>
          <w:rFonts w:ascii="Times New Roman" w:eastAsia="Calibri" w:hAnsi="Times New Roman" w:cs="Times New Roman"/>
          <w:sz w:val="24"/>
          <w:szCs w:val="24"/>
          <w:lang w:val="en-US"/>
        </w:rPr>
        <w:t xml:space="preserve">unapproved concession. As such, sponsors are </w:t>
      </w:r>
      <w:r w:rsidR="00AA3AD3" w:rsidRPr="00BC32CF">
        <w:rPr>
          <w:rFonts w:ascii="Times New Roman" w:eastAsia="Calibri" w:hAnsi="Times New Roman" w:cs="Times New Roman"/>
          <w:sz w:val="24"/>
          <w:szCs w:val="24"/>
          <w:lang w:val="en-US"/>
        </w:rPr>
        <w:t xml:space="preserve">usually </w:t>
      </w:r>
      <w:r w:rsidRPr="00BC32CF">
        <w:rPr>
          <w:rFonts w:ascii="Times New Roman" w:eastAsia="Calibri" w:hAnsi="Times New Roman" w:cs="Times New Roman"/>
          <w:sz w:val="24"/>
          <w:szCs w:val="24"/>
          <w:lang w:val="en-US"/>
        </w:rPr>
        <w:t>expected to present lenders with operational permits and approvals of project</w:t>
      </w:r>
      <w:r w:rsidR="00AA3AD3"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as a condition for funding approval.</w:t>
      </w:r>
      <w:r w:rsidRPr="00BC32CF">
        <w:rPr>
          <w:rFonts w:ascii="Times New Roman" w:eastAsia="Calibri" w:hAnsi="Times New Roman"/>
          <w:sz w:val="24"/>
          <w:szCs w:val="24"/>
          <w:lang w:val="en-US"/>
        </w:rPr>
        <w:t xml:space="preserve"> </w:t>
      </w:r>
      <w:r w:rsidRPr="00BC32CF">
        <w:rPr>
          <w:rFonts w:ascii="Times New Roman" w:eastAsia="Calibri" w:hAnsi="Times New Roman" w:cs="Times New Roman"/>
          <w:sz w:val="24"/>
          <w:szCs w:val="24"/>
          <w:lang w:val="en-US"/>
        </w:rPr>
        <w:t>Additionally,</w:t>
      </w:r>
      <w:r w:rsidR="001053F3" w:rsidRPr="00BC32CF">
        <w:rPr>
          <w:rFonts w:ascii="Times New Roman" w:eastAsia="Calibri" w:hAnsi="Times New Roman" w:cs="Times New Roman"/>
          <w:sz w:val="24"/>
          <w:szCs w:val="24"/>
          <w:lang w:val="en-US"/>
        </w:rPr>
        <w:t xml:space="preserve"> in evaluating potential legal risks in a PPP loan application from an emerging market</w:t>
      </w:r>
      <w:r w:rsidR="00AA3AD3" w:rsidRPr="00BC32CF">
        <w:rPr>
          <w:rFonts w:ascii="Times New Roman" w:eastAsia="Calibri" w:hAnsi="Times New Roman" w:cs="Times New Roman"/>
          <w:sz w:val="24"/>
          <w:szCs w:val="24"/>
          <w:lang w:val="en-US"/>
        </w:rPr>
        <w:t xml:space="preserve"> context</w:t>
      </w:r>
      <w:r w:rsidR="001053F3" w:rsidRPr="00BC32CF">
        <w:rPr>
          <w:rFonts w:ascii="Times New Roman" w:eastAsia="Calibri" w:hAnsi="Times New Roman" w:cs="Times New Roman"/>
          <w:sz w:val="24"/>
          <w:szCs w:val="24"/>
          <w:lang w:val="en-US"/>
        </w:rPr>
        <w:t xml:space="preserve">, results from questionnaire survey show that, foreign lenders </w:t>
      </w:r>
      <w:r w:rsidR="00116C7E" w:rsidRPr="00BC32CF">
        <w:rPr>
          <w:rFonts w:ascii="Times New Roman" w:eastAsia="Calibri" w:hAnsi="Times New Roman" w:cs="Times New Roman"/>
          <w:sz w:val="24"/>
          <w:szCs w:val="24"/>
          <w:lang w:val="en-US"/>
        </w:rPr>
        <w:t xml:space="preserve">consider the </w:t>
      </w:r>
      <w:r w:rsidR="00DC3CAE" w:rsidRPr="00BC32CF">
        <w:rPr>
          <w:rFonts w:ascii="Times New Roman" w:eastAsia="Calibri" w:hAnsi="Times New Roman" w:cs="Times New Roman"/>
          <w:b/>
          <w:sz w:val="24"/>
          <w:szCs w:val="24"/>
          <w:lang w:val="en-US"/>
        </w:rPr>
        <w:t>“</w:t>
      </w:r>
      <w:r w:rsidR="00116C7E" w:rsidRPr="00BC32CF">
        <w:rPr>
          <w:rFonts w:ascii="Times New Roman" w:eastAsia="Calibri" w:hAnsi="Times New Roman" w:cs="Times New Roman"/>
          <w:b/>
          <w:sz w:val="24"/>
          <w:szCs w:val="24"/>
          <w:lang w:val="en-US"/>
        </w:rPr>
        <w:t>environmental impact assessment of potential projects</w:t>
      </w:r>
      <w:r w:rsidR="00DC3CAE" w:rsidRPr="00BC32CF">
        <w:rPr>
          <w:rFonts w:ascii="Times New Roman" w:eastAsia="Calibri" w:hAnsi="Times New Roman" w:cs="Times New Roman"/>
          <w:sz w:val="24"/>
          <w:szCs w:val="24"/>
          <w:lang w:val="en-US"/>
        </w:rPr>
        <w:t>”</w:t>
      </w:r>
      <w:r w:rsidR="00116C7E" w:rsidRPr="00BC32CF">
        <w:rPr>
          <w:rFonts w:ascii="Times New Roman" w:eastAsia="Calibri" w:hAnsi="Times New Roman" w:cs="Times New Roman"/>
          <w:sz w:val="24"/>
          <w:szCs w:val="24"/>
          <w:lang w:val="en-US"/>
        </w:rPr>
        <w:t xml:space="preserve"> on host communities, as very crucial to loan approval.</w:t>
      </w:r>
      <w:r w:rsidR="001053F3" w:rsidRPr="00BC32CF">
        <w:rPr>
          <w:rFonts w:ascii="Times New Roman" w:eastAsia="Calibri" w:hAnsi="Times New Roman" w:cs="Times New Roman"/>
          <w:sz w:val="24"/>
          <w:szCs w:val="24"/>
          <w:lang w:val="en-US"/>
        </w:rPr>
        <w:t xml:space="preserve"> </w:t>
      </w:r>
      <w:r w:rsidR="00116C7E" w:rsidRPr="00BC32CF">
        <w:rPr>
          <w:rFonts w:ascii="Times New Roman" w:eastAsia="Calibri" w:hAnsi="Times New Roman" w:cs="Times New Roman"/>
          <w:sz w:val="24"/>
          <w:szCs w:val="24"/>
          <w:lang w:val="en-US"/>
        </w:rPr>
        <w:t>This confirms the high signi</w:t>
      </w:r>
      <w:r w:rsidR="00AA3AD3" w:rsidRPr="00BC32CF">
        <w:rPr>
          <w:rFonts w:ascii="Times New Roman" w:eastAsia="Calibri" w:hAnsi="Times New Roman" w:cs="Times New Roman"/>
          <w:sz w:val="24"/>
          <w:szCs w:val="24"/>
          <w:lang w:val="en-US"/>
        </w:rPr>
        <w:t xml:space="preserve">ficance index of the criterion at </w:t>
      </w:r>
      <w:r w:rsidR="00116C7E" w:rsidRPr="00BC32CF">
        <w:rPr>
          <w:rFonts w:ascii="Times New Roman" w:eastAsia="Calibri" w:hAnsi="Times New Roman" w:cs="Times New Roman"/>
          <w:sz w:val="24"/>
          <w:szCs w:val="24"/>
          <w:lang w:val="en-US"/>
        </w:rPr>
        <w:t>84.43, based on lenders perception.</w:t>
      </w:r>
      <w:r w:rsidR="001053F3" w:rsidRPr="00BC32CF">
        <w:rPr>
          <w:rFonts w:ascii="Times New Roman" w:eastAsia="Calibri" w:hAnsi="Times New Roman" w:cs="Times New Roman"/>
          <w:sz w:val="24"/>
          <w:szCs w:val="24"/>
          <w:lang w:val="en-US"/>
        </w:rPr>
        <w:t xml:space="preserve"> </w:t>
      </w:r>
      <w:r w:rsidR="00116C7E" w:rsidRPr="00BC32CF">
        <w:rPr>
          <w:rFonts w:ascii="Times New Roman" w:eastAsia="Calibri" w:hAnsi="Times New Roman" w:cs="Times New Roman"/>
          <w:sz w:val="24"/>
          <w:szCs w:val="24"/>
          <w:lang w:val="en-US"/>
        </w:rPr>
        <w:t>In supporting the above perspective,</w:t>
      </w:r>
      <w:r w:rsidR="002B7393" w:rsidRPr="00BC32CF">
        <w:rPr>
          <w:rFonts w:ascii="Times New Roman" w:eastAsia="Calibri" w:hAnsi="Times New Roman" w:cs="Times New Roman"/>
          <w:sz w:val="24"/>
          <w:szCs w:val="24"/>
          <w:lang w:val="en-US"/>
        </w:rPr>
        <w:t xml:space="preserve"> many</w:t>
      </w:r>
      <w:r w:rsidR="00116C7E" w:rsidRPr="00BC32CF">
        <w:rPr>
          <w:rFonts w:ascii="Times New Roman" w:eastAsia="Calibri" w:hAnsi="Times New Roman" w:cs="Times New Roman"/>
          <w:sz w:val="24"/>
          <w:szCs w:val="24"/>
          <w:lang w:val="en-US"/>
        </w:rPr>
        <w:t xml:space="preserve"> discussants </w:t>
      </w:r>
      <w:r w:rsidR="002B7393" w:rsidRPr="00BC32CF">
        <w:rPr>
          <w:rFonts w:ascii="Times New Roman" w:eastAsia="Calibri" w:hAnsi="Times New Roman" w:cs="Times New Roman"/>
          <w:sz w:val="24"/>
          <w:szCs w:val="24"/>
          <w:lang w:val="en-US"/>
        </w:rPr>
        <w:t xml:space="preserve">in the focus groups </w:t>
      </w:r>
      <w:r w:rsidR="00AA3AD3" w:rsidRPr="00BC32CF">
        <w:rPr>
          <w:rFonts w:ascii="Times New Roman" w:eastAsia="Calibri" w:hAnsi="Times New Roman" w:cs="Times New Roman"/>
          <w:sz w:val="24"/>
          <w:szCs w:val="24"/>
          <w:lang w:val="en-US"/>
        </w:rPr>
        <w:t>opined</w:t>
      </w:r>
      <w:r w:rsidR="00116C7E" w:rsidRPr="00BC32CF">
        <w:rPr>
          <w:rFonts w:ascii="Times New Roman" w:eastAsia="Calibri" w:hAnsi="Times New Roman" w:cs="Times New Roman"/>
          <w:sz w:val="24"/>
          <w:szCs w:val="24"/>
          <w:lang w:val="en-US"/>
        </w:rPr>
        <w:t xml:space="preserve"> that:</w:t>
      </w:r>
    </w:p>
    <w:p w14:paraId="526C7E2E" w14:textId="77777777" w:rsidR="00AE2042" w:rsidRPr="00BC32CF" w:rsidRDefault="00AE2042" w:rsidP="00AA3AD3">
      <w:pPr>
        <w:pStyle w:val="Quote"/>
        <w:spacing w:line="480" w:lineRule="auto"/>
        <w:rPr>
          <w:color w:val="auto"/>
          <w:lang w:val="en-US"/>
        </w:rPr>
      </w:pPr>
      <w:r w:rsidRPr="00BC32CF">
        <w:rPr>
          <w:color w:val="auto"/>
          <w:lang w:val="en-US"/>
        </w:rPr>
        <w:t xml:space="preserve"> “</w:t>
      </w:r>
      <w:r w:rsidR="00AA3AD3" w:rsidRPr="00BC32CF">
        <w:rPr>
          <w:color w:val="auto"/>
          <w:lang w:val="en-US"/>
        </w:rPr>
        <w:t>International lenders</w:t>
      </w:r>
      <w:r w:rsidRPr="00BC32CF">
        <w:rPr>
          <w:color w:val="auto"/>
          <w:lang w:val="en-US"/>
        </w:rPr>
        <w:t xml:space="preserve"> will request project sponsors to present evidence of Environmental Impact Assessment (EIA) report of the project. The EIA report details the potential impact of the project on the host community. It’s important for banks to avoid litigation arising from environmental damage to a project host community as this portends great danger to lenders funds”. </w:t>
      </w:r>
    </w:p>
    <w:p w14:paraId="27319D21" w14:textId="77777777" w:rsidR="00AE2042" w:rsidRPr="00BC32CF" w:rsidRDefault="00AE2042" w:rsidP="00B23D39">
      <w:pPr>
        <w:spacing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The above perspective is buttressed by Hoffman (2008), who suggested that, lenders are increasingly becoming more environmentally aware of impacts of projects on host communities. </w:t>
      </w:r>
      <w:r w:rsidR="00AA3AD3" w:rsidRPr="00BC32CF">
        <w:rPr>
          <w:rFonts w:ascii="Times New Roman" w:eastAsia="Calibri" w:hAnsi="Times New Roman" w:cs="Times New Roman"/>
          <w:sz w:val="24"/>
          <w:szCs w:val="24"/>
          <w:lang w:val="en-US"/>
        </w:rPr>
        <w:t>As s</w:t>
      </w:r>
      <w:r w:rsidRPr="00BC32CF">
        <w:rPr>
          <w:rFonts w:ascii="Times New Roman" w:eastAsia="Calibri" w:hAnsi="Times New Roman" w:cs="Times New Roman"/>
          <w:sz w:val="24"/>
          <w:szCs w:val="24"/>
          <w:lang w:val="en-US"/>
        </w:rPr>
        <w:t>uch</w:t>
      </w:r>
      <w:r w:rsidR="00AA3AD3" w:rsidRPr="00BC32CF">
        <w:rPr>
          <w:rFonts w:ascii="Times New Roman" w:eastAsia="Calibri" w:hAnsi="Times New Roman" w:cs="Times New Roman"/>
          <w:sz w:val="24"/>
          <w:szCs w:val="24"/>
          <w:lang w:val="en-US"/>
        </w:rPr>
        <w:t xml:space="preserve">, most </w:t>
      </w:r>
      <w:r w:rsidRPr="00BC32CF">
        <w:rPr>
          <w:rFonts w:ascii="Times New Roman" w:eastAsia="Calibri" w:hAnsi="Times New Roman" w:cs="Times New Roman"/>
          <w:sz w:val="24"/>
          <w:szCs w:val="24"/>
          <w:lang w:val="en-US"/>
        </w:rPr>
        <w:t>banks will seek to avoid a reputational risk that may arise due to negative publicity from environmental pressure groups (</w:t>
      </w:r>
      <w:r w:rsidR="00D405A4" w:rsidRPr="00BC32CF">
        <w:rPr>
          <w:rFonts w:ascii="Times New Roman" w:eastAsia="Calibri" w:hAnsi="Times New Roman" w:cs="Times New Roman"/>
          <w:sz w:val="24"/>
          <w:szCs w:val="24"/>
          <w:lang w:val="en-US"/>
        </w:rPr>
        <w:t>Mills, 2010</w:t>
      </w:r>
      <w:r w:rsidRPr="00BC32CF">
        <w:rPr>
          <w:rFonts w:ascii="Times New Roman" w:eastAsia="Calibri" w:hAnsi="Times New Roman" w:cs="Times New Roman"/>
          <w:sz w:val="24"/>
          <w:szCs w:val="24"/>
          <w:lang w:val="en-US"/>
        </w:rPr>
        <w:t xml:space="preserve">). This is </w:t>
      </w:r>
      <w:r w:rsidR="00AA3AD3" w:rsidRPr="00BC32CF">
        <w:rPr>
          <w:rFonts w:ascii="Times New Roman" w:eastAsia="Calibri" w:hAnsi="Times New Roman" w:cs="Times New Roman"/>
          <w:sz w:val="24"/>
          <w:szCs w:val="24"/>
          <w:lang w:val="en-US"/>
        </w:rPr>
        <w:t xml:space="preserve">more essential, </w:t>
      </w:r>
      <w:r w:rsidRPr="00BC32CF">
        <w:rPr>
          <w:rFonts w:ascii="Times New Roman" w:eastAsia="Calibri" w:hAnsi="Times New Roman" w:cs="Times New Roman"/>
          <w:sz w:val="24"/>
          <w:szCs w:val="24"/>
          <w:lang w:val="en-US"/>
        </w:rPr>
        <w:t xml:space="preserve">especially where the project host nations are outside the OECD nations </w:t>
      </w:r>
      <w:r w:rsidR="00881417" w:rsidRPr="00BC32CF">
        <w:rPr>
          <w:rFonts w:ascii="Times New Roman" w:eastAsia="Calibri" w:hAnsi="Times New Roman" w:cs="Times New Roman"/>
          <w:sz w:val="24"/>
          <w:szCs w:val="24"/>
          <w:lang w:val="en-US"/>
        </w:rPr>
        <w:t>and</w:t>
      </w:r>
      <w:r w:rsidR="009D18F6" w:rsidRPr="00BC32CF">
        <w:rPr>
          <w:rFonts w:ascii="Times New Roman" w:eastAsia="Calibri" w:hAnsi="Times New Roman" w:cs="Times New Roman"/>
          <w:sz w:val="24"/>
          <w:szCs w:val="24"/>
          <w:lang w:val="en-US"/>
        </w:rPr>
        <w:t xml:space="preserve"> external risks to</w:t>
      </w:r>
      <w:r w:rsidRPr="00BC32CF">
        <w:rPr>
          <w:rFonts w:ascii="Times New Roman" w:eastAsia="Calibri" w:hAnsi="Times New Roman" w:cs="Times New Roman"/>
          <w:sz w:val="24"/>
          <w:szCs w:val="24"/>
          <w:lang w:val="en-US"/>
        </w:rPr>
        <w:t xml:space="preserve"> projects is often high (Yescombe, 2007). Further </w:t>
      </w:r>
      <w:r w:rsidR="00A32632" w:rsidRPr="00BC32CF">
        <w:rPr>
          <w:rFonts w:ascii="Times New Roman" w:eastAsia="Calibri" w:hAnsi="Times New Roman" w:cs="Times New Roman"/>
          <w:sz w:val="24"/>
          <w:szCs w:val="24"/>
          <w:lang w:val="en-US"/>
        </w:rPr>
        <w:t xml:space="preserve">results from the survey </w:t>
      </w:r>
      <w:r w:rsidR="002B7393" w:rsidRPr="00BC32CF">
        <w:rPr>
          <w:rFonts w:ascii="Times New Roman" w:eastAsia="Calibri" w:hAnsi="Times New Roman" w:cs="Times New Roman"/>
          <w:sz w:val="24"/>
          <w:szCs w:val="24"/>
          <w:lang w:val="en-US"/>
        </w:rPr>
        <w:t xml:space="preserve">also show a high significance index </w:t>
      </w:r>
      <w:r w:rsidR="00A32632" w:rsidRPr="00BC32CF">
        <w:rPr>
          <w:rFonts w:ascii="Times New Roman" w:eastAsia="Calibri" w:hAnsi="Times New Roman" w:cs="Times New Roman"/>
          <w:sz w:val="24"/>
          <w:szCs w:val="24"/>
          <w:lang w:val="en-US"/>
        </w:rPr>
        <w:t xml:space="preserve">rating of 84.15 for </w:t>
      </w:r>
      <w:r w:rsidR="00A32632" w:rsidRPr="00BC32CF">
        <w:rPr>
          <w:rFonts w:ascii="Times New Roman" w:eastAsia="Calibri" w:hAnsi="Times New Roman" w:cs="Times New Roman"/>
          <w:b/>
          <w:sz w:val="24"/>
          <w:szCs w:val="24"/>
          <w:lang w:val="en-US"/>
        </w:rPr>
        <w:t>“Compliance with Equator Principles”</w:t>
      </w:r>
      <w:r w:rsidR="00336301" w:rsidRPr="00BC32CF">
        <w:rPr>
          <w:rFonts w:ascii="Times New Roman" w:eastAsia="Calibri" w:hAnsi="Times New Roman" w:cs="Times New Roman"/>
          <w:sz w:val="24"/>
          <w:szCs w:val="24"/>
          <w:lang w:val="en-US"/>
        </w:rPr>
        <w:t>. The significance index of the criterion</w:t>
      </w:r>
      <w:r w:rsidR="00A32632" w:rsidRPr="00BC32CF">
        <w:rPr>
          <w:rFonts w:ascii="Times New Roman" w:eastAsia="Calibri" w:hAnsi="Times New Roman" w:cs="Times New Roman"/>
          <w:sz w:val="24"/>
          <w:szCs w:val="24"/>
          <w:lang w:val="en-US"/>
        </w:rPr>
        <w:t xml:space="preserve"> confirms evidences from focus group discussions, as captured in the views of one of the discussants who argued that:</w:t>
      </w:r>
    </w:p>
    <w:p w14:paraId="3565BC7A" w14:textId="77777777" w:rsidR="00AE2042" w:rsidRPr="00BC32CF" w:rsidRDefault="00AE2042" w:rsidP="002A2D4B">
      <w:pPr>
        <w:pStyle w:val="Quote"/>
        <w:spacing w:line="480" w:lineRule="auto"/>
        <w:rPr>
          <w:color w:val="auto"/>
        </w:rPr>
      </w:pPr>
      <w:r w:rsidRPr="00BC32CF">
        <w:rPr>
          <w:color w:val="auto"/>
          <w:lang w:val="en-US"/>
        </w:rPr>
        <w:lastRenderedPageBreak/>
        <w:t xml:space="preserve"> </w:t>
      </w:r>
      <w:r w:rsidRPr="00BC32CF">
        <w:rPr>
          <w:color w:val="auto"/>
        </w:rPr>
        <w:t>“</w:t>
      </w:r>
      <w:r w:rsidR="00336301" w:rsidRPr="00BC32CF">
        <w:rPr>
          <w:color w:val="auto"/>
        </w:rPr>
        <w:t xml:space="preserve">We would have to </w:t>
      </w:r>
      <w:r w:rsidR="00FB6460" w:rsidRPr="00BC32CF">
        <w:rPr>
          <w:color w:val="auto"/>
        </w:rPr>
        <w:t>also consider</w:t>
      </w:r>
      <w:r w:rsidRPr="00BC32CF">
        <w:rPr>
          <w:color w:val="auto"/>
        </w:rPr>
        <w:t xml:space="preserve"> the project’s Compliance with Equator Principles (EPs). These equator principles are World Bank’s global environmental best practices, and most international lenders in OECD nations will request this as part of due diligence appraisal for funding approval.”. </w:t>
      </w:r>
    </w:p>
    <w:p w14:paraId="1AFC64B9" w14:textId="77777777" w:rsidR="001342AC" w:rsidRPr="00BC32CF" w:rsidRDefault="00AE2042" w:rsidP="002A2D4B">
      <w:pPr>
        <w:spacing w:before="240"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Existing literatures such as Amalric (2005), Gupta </w:t>
      </w:r>
      <w:r w:rsidRPr="00BC32CF">
        <w:rPr>
          <w:rFonts w:ascii="Times New Roman" w:eastAsia="Calibri" w:hAnsi="Times New Roman" w:cs="Times New Roman"/>
          <w:i/>
          <w:sz w:val="24"/>
          <w:szCs w:val="24"/>
          <w:lang w:val="en-US"/>
        </w:rPr>
        <w:t>et al.</w:t>
      </w:r>
      <w:r w:rsidRPr="00BC32CF">
        <w:rPr>
          <w:rFonts w:ascii="Times New Roman" w:eastAsia="Calibri" w:hAnsi="Times New Roman" w:cs="Times New Roman"/>
          <w:sz w:val="24"/>
          <w:szCs w:val="24"/>
          <w:lang w:val="en-US"/>
        </w:rPr>
        <w:t xml:space="preserve"> (2002), </w:t>
      </w:r>
      <w:r w:rsidR="0058006C" w:rsidRPr="00BC32CF">
        <w:rPr>
          <w:rFonts w:ascii="Times New Roman" w:eastAsia="Calibri" w:hAnsi="Times New Roman" w:cs="Times New Roman"/>
          <w:sz w:val="24"/>
          <w:szCs w:val="24"/>
          <w:lang w:val="en-US"/>
        </w:rPr>
        <w:t>Yescombe (2007)</w:t>
      </w:r>
      <w:r w:rsidRPr="00BC32CF">
        <w:rPr>
          <w:rFonts w:ascii="Times New Roman" w:eastAsia="Calibri" w:hAnsi="Times New Roman" w:cs="Times New Roman"/>
          <w:sz w:val="24"/>
          <w:szCs w:val="24"/>
          <w:lang w:val="en-US"/>
        </w:rPr>
        <w:t xml:space="preserve">, </w:t>
      </w:r>
      <w:r w:rsidR="00A32632" w:rsidRPr="00BC32CF">
        <w:rPr>
          <w:rFonts w:ascii="Times New Roman" w:eastAsia="Calibri" w:hAnsi="Times New Roman" w:cs="Times New Roman"/>
          <w:sz w:val="24"/>
          <w:szCs w:val="24"/>
          <w:lang w:val="en-US"/>
        </w:rPr>
        <w:t>share this perspectives and argued that</w:t>
      </w:r>
      <w:r w:rsidRPr="00BC32CF">
        <w:rPr>
          <w:rFonts w:ascii="Times New Roman" w:eastAsia="Calibri" w:hAnsi="Times New Roman" w:cs="Times New Roman"/>
          <w:sz w:val="24"/>
          <w:szCs w:val="24"/>
          <w:lang w:val="en-US"/>
        </w:rPr>
        <w:t>, a common practice for most compliant banks in OECD nations is</w:t>
      </w:r>
      <w:r w:rsidR="00A32632"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to insist on environmental impact assessment of proposed PPP project</w:t>
      </w:r>
      <w:r w:rsidR="00A32632" w:rsidRPr="00BC32CF">
        <w:rPr>
          <w:rFonts w:ascii="Times New Roman" w:eastAsia="Calibri" w:hAnsi="Times New Roman" w:cs="Times New Roman"/>
          <w:sz w:val="24"/>
          <w:szCs w:val="24"/>
          <w:lang w:val="en-US"/>
        </w:rPr>
        <w:t>s. This is</w:t>
      </w:r>
      <w:r w:rsidRPr="00BC32CF">
        <w:rPr>
          <w:rFonts w:ascii="Times New Roman" w:eastAsia="Calibri" w:hAnsi="Times New Roman" w:cs="Times New Roman"/>
          <w:sz w:val="24"/>
          <w:szCs w:val="24"/>
          <w:lang w:val="en-US"/>
        </w:rPr>
        <w:t xml:space="preserve"> in line with global environmental KPIs’ as prescribed by the Equator Principles</w:t>
      </w:r>
      <w:r w:rsidR="00336301" w:rsidRPr="00BC32CF">
        <w:rPr>
          <w:rFonts w:ascii="Times New Roman" w:eastAsia="Calibri" w:hAnsi="Times New Roman" w:cs="Times New Roman"/>
          <w:sz w:val="24"/>
          <w:szCs w:val="24"/>
          <w:lang w:val="en-US"/>
        </w:rPr>
        <w:t xml:space="preserve"> (Gupta </w:t>
      </w:r>
      <w:r w:rsidR="00336301" w:rsidRPr="00BC32CF">
        <w:rPr>
          <w:rFonts w:ascii="Times New Roman" w:eastAsia="Calibri" w:hAnsi="Times New Roman" w:cs="Times New Roman"/>
          <w:i/>
          <w:sz w:val="24"/>
          <w:szCs w:val="24"/>
          <w:lang w:val="en-US"/>
        </w:rPr>
        <w:t>et al</w:t>
      </w:r>
      <w:r w:rsidR="00336301" w:rsidRPr="00BC32CF">
        <w:rPr>
          <w:rFonts w:ascii="Times New Roman" w:eastAsia="Calibri" w:hAnsi="Times New Roman" w:cs="Times New Roman"/>
          <w:sz w:val="24"/>
          <w:szCs w:val="24"/>
          <w:lang w:val="en-US"/>
        </w:rPr>
        <w:t>., 2002)</w:t>
      </w:r>
      <w:r w:rsidRPr="00BC32CF">
        <w:rPr>
          <w:rFonts w:ascii="Times New Roman" w:eastAsia="Calibri" w:hAnsi="Times New Roman" w:cs="Times New Roman"/>
          <w:sz w:val="24"/>
          <w:szCs w:val="24"/>
          <w:lang w:val="en-US"/>
        </w:rPr>
        <w:t xml:space="preserve">. Equator Principles (EPs) was introduced in 2003 in Washington DC after a consultation among select international lenders and the International Finance Corporation (IFC) </w:t>
      </w:r>
      <w:r w:rsidRPr="00BC32CF">
        <w:rPr>
          <w:rFonts w:ascii="Calibri" w:eastAsia="Calibri" w:hAnsi="Calibri" w:cs="Times New Roman"/>
          <w:lang w:val="en-US"/>
        </w:rPr>
        <w:t>(</w:t>
      </w:r>
      <w:r w:rsidRPr="00BC32CF">
        <w:rPr>
          <w:rFonts w:ascii="Times New Roman" w:eastAsia="Calibri" w:hAnsi="Times New Roman" w:cs="Times New Roman"/>
          <w:sz w:val="24"/>
          <w:szCs w:val="24"/>
          <w:lang w:val="en-US"/>
        </w:rPr>
        <w:t xml:space="preserve">Hardenbrook, 2007). </w:t>
      </w:r>
      <w:r w:rsidR="009D18F6" w:rsidRPr="00BC32CF">
        <w:rPr>
          <w:rFonts w:ascii="Times New Roman" w:eastAsia="Calibri" w:hAnsi="Times New Roman" w:cs="Times New Roman"/>
          <w:sz w:val="24"/>
          <w:szCs w:val="24"/>
          <w:lang w:val="en-US"/>
        </w:rPr>
        <w:t>With the EP</w:t>
      </w:r>
      <w:r w:rsidR="00336301" w:rsidRPr="00BC32CF">
        <w:rPr>
          <w:rFonts w:ascii="Times New Roman" w:eastAsia="Calibri" w:hAnsi="Times New Roman" w:cs="Times New Roman"/>
          <w:sz w:val="24"/>
          <w:szCs w:val="24"/>
          <w:lang w:val="en-US"/>
        </w:rPr>
        <w:t>s, k</w:t>
      </w:r>
      <w:r w:rsidRPr="00BC32CF">
        <w:rPr>
          <w:rFonts w:ascii="Times New Roman" w:eastAsia="Calibri" w:hAnsi="Times New Roman" w:cs="Times New Roman"/>
          <w:sz w:val="24"/>
          <w:szCs w:val="24"/>
          <w:lang w:val="en-US"/>
        </w:rPr>
        <w:t>ey Performance standards in terms of socio-environmental sustainability</w:t>
      </w:r>
      <w:r w:rsidRPr="00BC32CF">
        <w:rPr>
          <w:rFonts w:ascii="Calibri" w:eastAsia="Calibri" w:hAnsi="Calibri" w:cs="Times New Roman"/>
          <w:lang w:val="en-US"/>
        </w:rPr>
        <w:t xml:space="preserve"> </w:t>
      </w:r>
      <w:r w:rsidRPr="00BC32CF">
        <w:rPr>
          <w:rFonts w:ascii="Times New Roman" w:eastAsia="Calibri" w:hAnsi="Times New Roman" w:cs="Times New Roman"/>
          <w:lang w:val="en-US"/>
        </w:rPr>
        <w:t xml:space="preserve">of </w:t>
      </w:r>
      <w:r w:rsidRPr="00BC32CF">
        <w:rPr>
          <w:rFonts w:ascii="Times New Roman" w:eastAsia="Calibri" w:hAnsi="Times New Roman" w:cs="Times New Roman"/>
          <w:sz w:val="24"/>
          <w:szCs w:val="24"/>
          <w:lang w:val="en-US"/>
        </w:rPr>
        <w:t>project</w:t>
      </w:r>
      <w:r w:rsidR="00120AEC" w:rsidRPr="00BC32CF">
        <w:rPr>
          <w:rFonts w:ascii="Times New Roman" w:eastAsia="Calibri" w:hAnsi="Times New Roman" w:cs="Times New Roman"/>
          <w:sz w:val="24"/>
          <w:szCs w:val="24"/>
          <w:lang w:val="en-US"/>
        </w:rPr>
        <w:t>’s</w:t>
      </w:r>
      <w:r w:rsidRPr="00BC32CF">
        <w:rPr>
          <w:rFonts w:ascii="Times New Roman" w:eastAsia="Calibri" w:hAnsi="Times New Roman" w:cs="Times New Roman"/>
          <w:sz w:val="24"/>
          <w:szCs w:val="24"/>
          <w:lang w:val="en-US"/>
        </w:rPr>
        <w:t xml:space="preserve"> geographical location</w:t>
      </w:r>
      <w:r w:rsidRPr="00BC32CF">
        <w:rPr>
          <w:rFonts w:ascii="Calibri" w:eastAsia="Calibri" w:hAnsi="Calibri" w:cs="Times New Roman"/>
          <w:lang w:val="en-US"/>
        </w:rPr>
        <w:t xml:space="preserve"> </w:t>
      </w:r>
      <w:r w:rsidRPr="00BC32CF">
        <w:rPr>
          <w:rFonts w:ascii="Times New Roman" w:eastAsia="Calibri" w:hAnsi="Times New Roman" w:cs="Times New Roman"/>
          <w:sz w:val="24"/>
          <w:szCs w:val="24"/>
          <w:lang w:val="en-US"/>
        </w:rPr>
        <w:t>were introduced in line with the World Bank health and Safety general guidelines (Giannetti and Ongena, 2012).</w:t>
      </w:r>
    </w:p>
    <w:p w14:paraId="5FB0BCDC" w14:textId="77777777" w:rsidR="000C7C9F" w:rsidRPr="00BC32CF" w:rsidRDefault="009C3835" w:rsidP="002A2D4B">
      <w:pPr>
        <w:pStyle w:val="Heading2"/>
        <w:spacing w:after="240"/>
        <w:rPr>
          <w:szCs w:val="22"/>
        </w:rPr>
      </w:pPr>
      <w:r w:rsidRPr="00BC32CF">
        <w:t>6</w:t>
      </w:r>
      <w:r w:rsidR="000C7C9F" w:rsidRPr="00BC32CF">
        <w:t>.4.</w:t>
      </w:r>
      <w:r w:rsidR="000C7C9F" w:rsidRPr="00BC32CF">
        <w:tab/>
        <w:t>Concession Risk and Associated Bankability Criteria</w:t>
      </w:r>
    </w:p>
    <w:p w14:paraId="1A4A31D8" w14:textId="77777777" w:rsidR="000C7C9F" w:rsidRPr="00BC32CF" w:rsidRDefault="000C7C9F" w:rsidP="002A2D4B">
      <w:pPr>
        <w:spacing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As represented in Table </w:t>
      </w:r>
      <w:r w:rsidR="009D18F6" w:rsidRPr="00BC32CF">
        <w:rPr>
          <w:rFonts w:ascii="Times New Roman" w:eastAsia="Calibri" w:hAnsi="Times New Roman" w:cs="Times New Roman"/>
          <w:sz w:val="24"/>
          <w:szCs w:val="24"/>
          <w:lang w:val="en-US"/>
        </w:rPr>
        <w:t>3</w:t>
      </w:r>
      <w:r w:rsidRPr="00BC32CF">
        <w:rPr>
          <w:rFonts w:ascii="Times New Roman" w:eastAsia="Calibri" w:hAnsi="Times New Roman" w:cs="Times New Roman"/>
          <w:sz w:val="24"/>
          <w:szCs w:val="24"/>
          <w:lang w:val="en-US"/>
        </w:rPr>
        <w:t xml:space="preserve"> above, evidences </w:t>
      </w:r>
      <w:r w:rsidR="00A27595" w:rsidRPr="00BC32CF">
        <w:rPr>
          <w:rFonts w:ascii="Times New Roman" w:eastAsia="Calibri" w:hAnsi="Times New Roman" w:cs="Times New Roman"/>
          <w:sz w:val="24"/>
          <w:szCs w:val="24"/>
          <w:lang w:val="en-US"/>
        </w:rPr>
        <w:t>from the study</w:t>
      </w:r>
      <w:r w:rsidRPr="00BC32CF">
        <w:rPr>
          <w:rFonts w:ascii="Times New Roman" w:eastAsia="Calibri" w:hAnsi="Times New Roman" w:cs="Times New Roman"/>
          <w:sz w:val="24"/>
          <w:szCs w:val="24"/>
          <w:lang w:val="en-US"/>
        </w:rPr>
        <w:t xml:space="preserve"> indicate that</w:t>
      </w:r>
      <w:r w:rsidR="00336301"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w:t>
      </w:r>
      <w:r w:rsidR="00336301" w:rsidRPr="00BC32CF">
        <w:rPr>
          <w:rFonts w:ascii="Times New Roman" w:eastAsia="Calibri" w:hAnsi="Times New Roman" w:cs="Times New Roman"/>
          <w:sz w:val="24"/>
          <w:szCs w:val="24"/>
          <w:lang w:val="en-US"/>
        </w:rPr>
        <w:t>the lenders examined concession</w:t>
      </w:r>
      <w:r w:rsidRPr="00BC32CF">
        <w:rPr>
          <w:rFonts w:ascii="Times New Roman" w:eastAsia="Calibri" w:hAnsi="Times New Roman" w:cs="Times New Roman"/>
          <w:sz w:val="24"/>
          <w:szCs w:val="24"/>
          <w:lang w:val="en-US"/>
        </w:rPr>
        <w:t xml:space="preserve"> risk </w:t>
      </w:r>
      <w:r w:rsidR="00336301" w:rsidRPr="00BC32CF">
        <w:rPr>
          <w:rFonts w:ascii="Times New Roman" w:eastAsia="Calibri" w:hAnsi="Times New Roman" w:cs="Times New Roman"/>
          <w:sz w:val="24"/>
          <w:szCs w:val="24"/>
          <w:lang w:val="en-US"/>
        </w:rPr>
        <w:t>when evaluating</w:t>
      </w:r>
      <w:r w:rsidRPr="00BC32CF">
        <w:rPr>
          <w:rFonts w:ascii="Times New Roman" w:eastAsia="Calibri" w:hAnsi="Times New Roman" w:cs="Times New Roman"/>
          <w:sz w:val="24"/>
          <w:szCs w:val="24"/>
          <w:lang w:val="en-US"/>
        </w:rPr>
        <w:t xml:space="preserve"> the three case studies under investigation. </w:t>
      </w:r>
      <w:r w:rsidR="00336301" w:rsidRPr="00BC32CF">
        <w:rPr>
          <w:rFonts w:ascii="Times New Roman" w:eastAsia="Calibri" w:hAnsi="Times New Roman" w:cs="Times New Roman"/>
          <w:sz w:val="24"/>
          <w:szCs w:val="24"/>
          <w:lang w:val="en-US"/>
        </w:rPr>
        <w:t xml:space="preserve">Based on </w:t>
      </w:r>
      <w:r w:rsidR="00C63F04" w:rsidRPr="00BC32CF">
        <w:rPr>
          <w:rFonts w:ascii="Times New Roman" w:eastAsia="Calibri" w:hAnsi="Times New Roman" w:cs="Times New Roman"/>
          <w:sz w:val="24"/>
          <w:szCs w:val="24"/>
          <w:lang w:val="en-US"/>
        </w:rPr>
        <w:t>results from survey response</w:t>
      </w:r>
      <w:r w:rsidR="00C614BD" w:rsidRPr="00BC32CF">
        <w:rPr>
          <w:rFonts w:ascii="Times New Roman" w:eastAsia="Calibri" w:hAnsi="Times New Roman" w:cs="Times New Roman"/>
          <w:sz w:val="24"/>
          <w:szCs w:val="24"/>
          <w:lang w:val="en-US"/>
        </w:rPr>
        <w:t>s</w:t>
      </w:r>
      <w:r w:rsidR="00336301" w:rsidRPr="00BC32CF">
        <w:rPr>
          <w:rFonts w:ascii="Times New Roman" w:eastAsia="Calibri" w:hAnsi="Times New Roman" w:cs="Times New Roman"/>
          <w:sz w:val="24"/>
          <w:szCs w:val="24"/>
          <w:lang w:val="en-US"/>
        </w:rPr>
        <w:t xml:space="preserve"> with re</w:t>
      </w:r>
      <w:r w:rsidR="00FB6460" w:rsidRPr="00BC32CF">
        <w:rPr>
          <w:rFonts w:ascii="Times New Roman" w:eastAsia="Calibri" w:hAnsi="Times New Roman" w:cs="Times New Roman"/>
          <w:sz w:val="24"/>
          <w:szCs w:val="24"/>
          <w:lang w:val="en-US"/>
        </w:rPr>
        <w:t>spect</w:t>
      </w:r>
      <w:r w:rsidR="00336301" w:rsidRPr="00BC32CF">
        <w:rPr>
          <w:rFonts w:ascii="Times New Roman" w:eastAsia="Calibri" w:hAnsi="Times New Roman" w:cs="Times New Roman"/>
          <w:sz w:val="24"/>
          <w:szCs w:val="24"/>
          <w:lang w:val="en-US"/>
        </w:rPr>
        <w:t xml:space="preserve"> to</w:t>
      </w:r>
      <w:r w:rsidR="00C63F04" w:rsidRPr="00BC32CF">
        <w:rPr>
          <w:rFonts w:ascii="Times New Roman" w:eastAsia="Calibri" w:hAnsi="Times New Roman" w:cs="Times New Roman"/>
          <w:sz w:val="24"/>
          <w:szCs w:val="24"/>
          <w:lang w:val="en-US"/>
        </w:rPr>
        <w:t xml:space="preserve"> determining the bankability of concession risk in PPP loan application within emerging market context</w:t>
      </w:r>
      <w:r w:rsidR="00953089" w:rsidRPr="00BC32CF">
        <w:rPr>
          <w:rFonts w:ascii="Times New Roman" w:eastAsia="Calibri" w:hAnsi="Times New Roman" w:cs="Times New Roman"/>
          <w:sz w:val="24"/>
          <w:szCs w:val="24"/>
          <w:lang w:val="en-US"/>
        </w:rPr>
        <w:t xml:space="preserve"> </w:t>
      </w:r>
      <w:r w:rsidR="009D18F6" w:rsidRPr="00BC32CF">
        <w:rPr>
          <w:rFonts w:ascii="Times New Roman" w:eastAsia="Calibri" w:hAnsi="Times New Roman" w:cs="Times New Roman"/>
          <w:sz w:val="24"/>
          <w:szCs w:val="24"/>
          <w:lang w:val="en-US"/>
        </w:rPr>
        <w:t>(see Table 4)</w:t>
      </w:r>
      <w:r w:rsidR="00C63F04" w:rsidRPr="00BC32CF">
        <w:rPr>
          <w:rFonts w:ascii="Times New Roman" w:eastAsia="Calibri" w:hAnsi="Times New Roman" w:cs="Times New Roman"/>
          <w:sz w:val="24"/>
          <w:szCs w:val="24"/>
          <w:lang w:val="en-US"/>
        </w:rPr>
        <w:t xml:space="preserve">, top on lenders’ criteria </w:t>
      </w:r>
      <w:r w:rsidR="00412BFC" w:rsidRPr="00BC32CF">
        <w:rPr>
          <w:rFonts w:ascii="Times New Roman" w:eastAsia="Calibri" w:hAnsi="Times New Roman" w:cs="Times New Roman"/>
          <w:sz w:val="24"/>
          <w:szCs w:val="24"/>
          <w:lang w:val="en-US"/>
        </w:rPr>
        <w:t>is unravelling the</w:t>
      </w:r>
      <w:r w:rsidR="00C63F04" w:rsidRPr="00BC32CF">
        <w:rPr>
          <w:rFonts w:ascii="Times New Roman" w:eastAsia="Calibri" w:hAnsi="Times New Roman" w:cs="Times New Roman"/>
          <w:sz w:val="24"/>
          <w:szCs w:val="24"/>
          <w:lang w:val="en-US"/>
        </w:rPr>
        <w:t xml:space="preserve"> </w:t>
      </w:r>
      <w:r w:rsidR="005E7182" w:rsidRPr="00BC32CF">
        <w:rPr>
          <w:rFonts w:ascii="Times New Roman" w:eastAsia="Calibri" w:hAnsi="Times New Roman" w:cs="Times New Roman"/>
          <w:b/>
          <w:sz w:val="24"/>
          <w:szCs w:val="24"/>
          <w:lang w:val="en-US"/>
        </w:rPr>
        <w:t>“</w:t>
      </w:r>
      <w:r w:rsidR="00C63F04" w:rsidRPr="00BC32CF">
        <w:rPr>
          <w:rFonts w:ascii="Times New Roman" w:eastAsia="Calibri" w:hAnsi="Times New Roman" w:cs="Times New Roman"/>
          <w:b/>
          <w:sz w:val="24"/>
          <w:szCs w:val="24"/>
          <w:lang w:val="en-US"/>
        </w:rPr>
        <w:t>identity and powers of the project grantor</w:t>
      </w:r>
      <w:r w:rsidR="005E7182" w:rsidRPr="00BC32CF">
        <w:rPr>
          <w:rFonts w:ascii="Times New Roman" w:eastAsia="Calibri" w:hAnsi="Times New Roman" w:cs="Times New Roman"/>
          <w:b/>
          <w:sz w:val="24"/>
          <w:szCs w:val="24"/>
          <w:lang w:val="en-US"/>
        </w:rPr>
        <w:t>”</w:t>
      </w:r>
      <w:r w:rsidR="00C63F04" w:rsidRPr="00BC32CF">
        <w:rPr>
          <w:rFonts w:ascii="Times New Roman" w:eastAsia="Calibri" w:hAnsi="Times New Roman" w:cs="Times New Roman"/>
          <w:sz w:val="24"/>
          <w:szCs w:val="24"/>
          <w:lang w:val="en-US"/>
        </w:rPr>
        <w:t xml:space="preserve">. This is </w:t>
      </w:r>
      <w:r w:rsidR="00C614BD" w:rsidRPr="00BC32CF">
        <w:rPr>
          <w:rFonts w:ascii="Times New Roman" w:eastAsia="Calibri" w:hAnsi="Times New Roman" w:cs="Times New Roman"/>
          <w:sz w:val="24"/>
          <w:szCs w:val="24"/>
          <w:lang w:val="en-US"/>
        </w:rPr>
        <w:t>evidenced by the</w:t>
      </w:r>
      <w:r w:rsidR="00C63F04" w:rsidRPr="00BC32CF">
        <w:rPr>
          <w:rFonts w:ascii="Times New Roman" w:eastAsia="Calibri" w:hAnsi="Times New Roman" w:cs="Times New Roman"/>
          <w:sz w:val="24"/>
          <w:szCs w:val="24"/>
          <w:lang w:val="en-US"/>
        </w:rPr>
        <w:t xml:space="preserve"> significance </w:t>
      </w:r>
      <w:r w:rsidR="00C614BD" w:rsidRPr="00BC32CF">
        <w:rPr>
          <w:rFonts w:ascii="Times New Roman" w:eastAsia="Calibri" w:hAnsi="Times New Roman" w:cs="Times New Roman"/>
          <w:sz w:val="24"/>
          <w:szCs w:val="24"/>
          <w:lang w:val="en-US"/>
        </w:rPr>
        <w:t xml:space="preserve">index rating </w:t>
      </w:r>
      <w:r w:rsidR="00953089" w:rsidRPr="00BC32CF">
        <w:rPr>
          <w:rFonts w:ascii="Times New Roman" w:eastAsia="Calibri" w:hAnsi="Times New Roman" w:cs="Times New Roman"/>
          <w:sz w:val="24"/>
          <w:szCs w:val="24"/>
          <w:lang w:val="en-US"/>
        </w:rPr>
        <w:t>of 85.12</w:t>
      </w:r>
      <w:r w:rsidR="00C63F04" w:rsidRPr="00BC32CF">
        <w:rPr>
          <w:rFonts w:ascii="Times New Roman" w:eastAsia="Calibri" w:hAnsi="Times New Roman" w:cs="Times New Roman"/>
          <w:sz w:val="24"/>
          <w:szCs w:val="24"/>
          <w:lang w:val="en-US"/>
        </w:rPr>
        <w:t xml:space="preserve"> </w:t>
      </w:r>
      <w:r w:rsidR="00C614BD" w:rsidRPr="00BC32CF">
        <w:rPr>
          <w:rFonts w:ascii="Times New Roman" w:eastAsia="Calibri" w:hAnsi="Times New Roman" w:cs="Times New Roman"/>
          <w:sz w:val="24"/>
          <w:szCs w:val="24"/>
          <w:lang w:val="en-US"/>
        </w:rPr>
        <w:t xml:space="preserve">from survey analysis. FGD participants also share </w:t>
      </w:r>
      <w:r w:rsidR="00720BE8" w:rsidRPr="00BC32CF">
        <w:rPr>
          <w:rFonts w:ascii="Times New Roman" w:eastAsia="Calibri" w:hAnsi="Times New Roman" w:cs="Times New Roman"/>
          <w:sz w:val="24"/>
          <w:szCs w:val="24"/>
          <w:lang w:val="en-US"/>
        </w:rPr>
        <w:t>these perspectives</w:t>
      </w:r>
      <w:r w:rsidR="00C614BD" w:rsidRPr="00BC32CF">
        <w:rPr>
          <w:rFonts w:ascii="Times New Roman" w:eastAsia="Calibri" w:hAnsi="Times New Roman" w:cs="Times New Roman"/>
          <w:sz w:val="24"/>
          <w:szCs w:val="24"/>
          <w:lang w:val="en-US"/>
        </w:rPr>
        <w:t xml:space="preserve">, and this was captured in the view of a discussant who argued that: </w:t>
      </w:r>
      <w:r w:rsidR="00C63F04" w:rsidRPr="00BC32CF">
        <w:rPr>
          <w:rFonts w:ascii="Times New Roman" w:eastAsia="Calibri" w:hAnsi="Times New Roman" w:cs="Times New Roman"/>
          <w:sz w:val="24"/>
          <w:szCs w:val="24"/>
          <w:lang w:val="en-US"/>
        </w:rPr>
        <w:t xml:space="preserve">  </w:t>
      </w:r>
    </w:p>
    <w:p w14:paraId="2B66F0DB" w14:textId="77777777" w:rsidR="000C7C9F" w:rsidRPr="00BC32CF" w:rsidRDefault="000C7C9F" w:rsidP="002A2D4B">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 “The identity of the </w:t>
      </w:r>
      <w:r w:rsidR="00412BFC" w:rsidRPr="00BC32CF">
        <w:rPr>
          <w:rFonts w:ascii="Times New Roman" w:eastAsia="Calibri" w:hAnsi="Times New Roman" w:cs="Times New Roman"/>
          <w:i/>
          <w:sz w:val="24"/>
          <w:szCs w:val="24"/>
          <w:lang w:val="en-US"/>
        </w:rPr>
        <w:t>Awarding Authority (</w:t>
      </w:r>
      <w:r w:rsidRPr="00BC32CF">
        <w:rPr>
          <w:rFonts w:ascii="Times New Roman" w:eastAsia="Calibri" w:hAnsi="Times New Roman" w:cs="Times New Roman"/>
          <w:i/>
          <w:sz w:val="24"/>
          <w:szCs w:val="24"/>
          <w:lang w:val="en-US"/>
        </w:rPr>
        <w:t>project grantor</w:t>
      </w:r>
      <w:r w:rsidR="00412BFC" w:rsidRPr="00BC32CF">
        <w:rPr>
          <w:rFonts w:ascii="Times New Roman" w:eastAsia="Calibri" w:hAnsi="Times New Roman" w:cs="Times New Roman"/>
          <w:i/>
          <w:sz w:val="24"/>
          <w:szCs w:val="24"/>
          <w:lang w:val="en-US"/>
        </w:rPr>
        <w:t>)</w:t>
      </w:r>
      <w:r w:rsidRPr="00BC32CF">
        <w:rPr>
          <w:rFonts w:ascii="Times New Roman" w:eastAsia="Calibri" w:hAnsi="Times New Roman" w:cs="Times New Roman"/>
          <w:i/>
          <w:sz w:val="24"/>
          <w:szCs w:val="24"/>
          <w:lang w:val="en-US"/>
        </w:rPr>
        <w:t xml:space="preserve"> coupled with her capacity to grant concession approvals will be critically assessed before foreign banks commit funds to such </w:t>
      </w:r>
      <w:r w:rsidR="00412BFC" w:rsidRPr="00BC32CF">
        <w:rPr>
          <w:rFonts w:ascii="Times New Roman" w:eastAsia="Calibri" w:hAnsi="Times New Roman" w:cs="Times New Roman"/>
          <w:i/>
          <w:sz w:val="24"/>
          <w:szCs w:val="24"/>
          <w:lang w:val="en-US"/>
        </w:rPr>
        <w:t xml:space="preserve">PPP </w:t>
      </w:r>
      <w:r w:rsidRPr="00BC32CF">
        <w:rPr>
          <w:rFonts w:ascii="Times New Roman" w:eastAsia="Calibri" w:hAnsi="Times New Roman" w:cs="Times New Roman"/>
          <w:i/>
          <w:sz w:val="24"/>
          <w:szCs w:val="24"/>
          <w:lang w:val="en-US"/>
        </w:rPr>
        <w:t xml:space="preserve">project”. </w:t>
      </w:r>
    </w:p>
    <w:p w14:paraId="2732BCAE" w14:textId="77777777" w:rsidR="000C7C9F" w:rsidRPr="00BC32CF" w:rsidRDefault="000C7C9F" w:rsidP="002A2D4B">
      <w:pPr>
        <w:spacing w:after="200" w:line="480" w:lineRule="auto"/>
        <w:jc w:val="both"/>
        <w:rPr>
          <w:rFonts w:ascii="Times New Roman" w:eastAsia="Calibri" w:hAnsi="Times New Roman" w:cs="Times New Roman"/>
          <w:sz w:val="24"/>
          <w:szCs w:val="24"/>
          <w:highlight w:val="lightGray"/>
          <w:lang w:val="en-US"/>
        </w:rPr>
      </w:pPr>
      <w:r w:rsidRPr="00BC32CF">
        <w:rPr>
          <w:rFonts w:ascii="Times New Roman" w:eastAsia="Calibri" w:hAnsi="Times New Roman" w:cs="Times New Roman"/>
          <w:sz w:val="24"/>
          <w:szCs w:val="24"/>
          <w:lang w:val="en-US"/>
        </w:rPr>
        <w:lastRenderedPageBreak/>
        <w:t xml:space="preserve">This </w:t>
      </w:r>
      <w:r w:rsidR="00412BFC" w:rsidRPr="00BC32CF">
        <w:rPr>
          <w:rFonts w:ascii="Times New Roman" w:eastAsia="Calibri" w:hAnsi="Times New Roman" w:cs="Times New Roman"/>
          <w:sz w:val="24"/>
          <w:szCs w:val="24"/>
          <w:lang w:val="en-US"/>
        </w:rPr>
        <w:t xml:space="preserve">perspective is in line with Mills (2010) and Delmon (2011) </w:t>
      </w:r>
      <w:r w:rsidRPr="00BC32CF">
        <w:rPr>
          <w:rFonts w:ascii="Times New Roman" w:eastAsia="Calibri" w:hAnsi="Times New Roman" w:cs="Times New Roman"/>
          <w:sz w:val="24"/>
          <w:szCs w:val="24"/>
          <w:lang w:val="en-US"/>
        </w:rPr>
        <w:t xml:space="preserve">who argued that a project grantor must have the legal powers to contract a </w:t>
      </w:r>
      <w:r w:rsidR="00EC62A2" w:rsidRPr="00BC32CF">
        <w:rPr>
          <w:rFonts w:ascii="Times New Roman" w:eastAsia="Calibri" w:hAnsi="Times New Roman" w:cs="Times New Roman"/>
          <w:sz w:val="24"/>
          <w:szCs w:val="24"/>
          <w:lang w:val="en-US"/>
        </w:rPr>
        <w:t xml:space="preserve">project on </w:t>
      </w:r>
      <w:r w:rsidRPr="00BC32CF">
        <w:rPr>
          <w:rFonts w:ascii="Times New Roman" w:eastAsia="Calibri" w:hAnsi="Times New Roman" w:cs="Times New Roman"/>
          <w:sz w:val="24"/>
          <w:szCs w:val="24"/>
          <w:lang w:val="en-US"/>
        </w:rPr>
        <w:t>concession</w:t>
      </w:r>
      <w:r w:rsidR="00EC62A2" w:rsidRPr="00BC32CF">
        <w:rPr>
          <w:rFonts w:ascii="Times New Roman" w:eastAsia="Calibri" w:hAnsi="Times New Roman" w:cs="Times New Roman"/>
          <w:sz w:val="24"/>
          <w:szCs w:val="24"/>
          <w:lang w:val="en-US"/>
        </w:rPr>
        <w:t xml:space="preserve"> basis.</w:t>
      </w:r>
      <w:r w:rsidRPr="00BC32CF">
        <w:rPr>
          <w:rFonts w:ascii="Times New Roman" w:eastAsia="Calibri" w:hAnsi="Times New Roman" w:cs="Times New Roman"/>
          <w:sz w:val="24"/>
          <w:szCs w:val="24"/>
          <w:lang w:val="en-US"/>
        </w:rPr>
        <w:t xml:space="preserve"> </w:t>
      </w:r>
      <w:r w:rsidR="00EC62A2" w:rsidRPr="00BC32CF">
        <w:rPr>
          <w:rFonts w:ascii="Times New Roman" w:eastAsia="Calibri" w:hAnsi="Times New Roman" w:cs="Times New Roman"/>
          <w:sz w:val="24"/>
          <w:szCs w:val="24"/>
          <w:lang w:val="en-US"/>
        </w:rPr>
        <w:t>The l</w:t>
      </w:r>
      <w:r w:rsidRPr="00BC32CF">
        <w:rPr>
          <w:rFonts w:ascii="Times New Roman" w:eastAsia="Calibri" w:hAnsi="Times New Roman" w:cs="Times New Roman"/>
          <w:sz w:val="24"/>
          <w:szCs w:val="24"/>
          <w:lang w:val="en-US"/>
        </w:rPr>
        <w:t xml:space="preserve">ack of such powers </w:t>
      </w:r>
      <w:r w:rsidR="00412BFC" w:rsidRPr="00BC32CF">
        <w:rPr>
          <w:rFonts w:ascii="Times New Roman" w:eastAsia="Calibri" w:hAnsi="Times New Roman" w:cs="Times New Roman"/>
          <w:sz w:val="24"/>
          <w:szCs w:val="24"/>
          <w:lang w:val="en-US"/>
        </w:rPr>
        <w:t xml:space="preserve">therefore, </w:t>
      </w:r>
      <w:r w:rsidRPr="00BC32CF">
        <w:rPr>
          <w:rFonts w:ascii="Times New Roman" w:eastAsia="Calibri" w:hAnsi="Times New Roman" w:cs="Times New Roman"/>
          <w:sz w:val="24"/>
          <w:szCs w:val="24"/>
          <w:lang w:val="en-US"/>
        </w:rPr>
        <w:t>automatically invalidate</w:t>
      </w:r>
      <w:r w:rsidR="00412BFC" w:rsidRPr="00BC32CF">
        <w:rPr>
          <w:rFonts w:ascii="Times New Roman" w:eastAsia="Calibri" w:hAnsi="Times New Roman" w:cs="Times New Roman"/>
          <w:sz w:val="24"/>
          <w:szCs w:val="24"/>
          <w:lang w:val="en-US"/>
        </w:rPr>
        <w:t>s</w:t>
      </w:r>
      <w:r w:rsidRPr="00BC32CF">
        <w:rPr>
          <w:rFonts w:ascii="Times New Roman" w:eastAsia="Calibri" w:hAnsi="Times New Roman" w:cs="Times New Roman"/>
          <w:sz w:val="24"/>
          <w:szCs w:val="24"/>
          <w:lang w:val="en-US"/>
        </w:rPr>
        <w:t xml:space="preserve"> the actions of the </w:t>
      </w:r>
      <w:r w:rsidR="00412BFC" w:rsidRPr="00BC32CF">
        <w:rPr>
          <w:rFonts w:ascii="Times New Roman" w:eastAsia="Calibri" w:hAnsi="Times New Roman" w:cs="Times New Roman"/>
          <w:sz w:val="24"/>
          <w:szCs w:val="24"/>
          <w:lang w:val="en-US"/>
        </w:rPr>
        <w:t>awarding authority and poses threats to the realization of the project</w:t>
      </w:r>
      <w:r w:rsidRPr="00BC32CF">
        <w:rPr>
          <w:rFonts w:ascii="Times New Roman" w:eastAsia="Calibri" w:hAnsi="Times New Roman" w:cs="Times New Roman"/>
          <w:sz w:val="24"/>
          <w:szCs w:val="24"/>
          <w:lang w:val="en-US"/>
        </w:rPr>
        <w:t xml:space="preserve">. Giannetti and Ongena (2012) suggested that foreign lenders </w:t>
      </w:r>
      <w:r w:rsidR="00EC62A2" w:rsidRPr="00BC32CF">
        <w:rPr>
          <w:rFonts w:ascii="Times New Roman" w:eastAsia="Calibri" w:hAnsi="Times New Roman" w:cs="Times New Roman"/>
          <w:sz w:val="24"/>
          <w:szCs w:val="24"/>
          <w:lang w:val="en-US"/>
        </w:rPr>
        <w:t>want to</w:t>
      </w:r>
      <w:r w:rsidRPr="00BC32CF">
        <w:rPr>
          <w:rFonts w:ascii="Times New Roman" w:eastAsia="Calibri" w:hAnsi="Times New Roman" w:cs="Times New Roman"/>
          <w:sz w:val="24"/>
          <w:szCs w:val="24"/>
          <w:lang w:val="en-US"/>
        </w:rPr>
        <w:t xml:space="preserve"> </w:t>
      </w:r>
      <w:r w:rsidR="00CD37EA" w:rsidRPr="00BC32CF">
        <w:rPr>
          <w:rFonts w:ascii="Times New Roman" w:eastAsia="Calibri" w:hAnsi="Times New Roman" w:cs="Times New Roman"/>
          <w:sz w:val="24"/>
          <w:szCs w:val="24"/>
          <w:lang w:val="en-US"/>
        </w:rPr>
        <w:t xml:space="preserve">ascertain </w:t>
      </w:r>
      <w:r w:rsidRPr="00BC32CF">
        <w:rPr>
          <w:rFonts w:ascii="Times New Roman" w:eastAsia="Calibri" w:hAnsi="Times New Roman" w:cs="Times New Roman"/>
          <w:sz w:val="24"/>
          <w:szCs w:val="24"/>
          <w:lang w:val="en-US"/>
        </w:rPr>
        <w:t>whether a project grantor enjoys implicit cooperation and support</w:t>
      </w:r>
      <w:r w:rsidR="001C374E" w:rsidRPr="00BC32CF">
        <w:rPr>
          <w:rFonts w:ascii="Times New Roman" w:eastAsia="Calibri" w:hAnsi="Times New Roman" w:cs="Times New Roman"/>
          <w:sz w:val="24"/>
          <w:szCs w:val="24"/>
          <w:lang w:val="en-US"/>
        </w:rPr>
        <w:t>s</w:t>
      </w:r>
      <w:r w:rsidRPr="00BC32CF">
        <w:rPr>
          <w:rFonts w:ascii="Times New Roman" w:eastAsia="Calibri" w:hAnsi="Times New Roman" w:cs="Times New Roman"/>
          <w:sz w:val="24"/>
          <w:szCs w:val="24"/>
          <w:lang w:val="en-US"/>
        </w:rPr>
        <w:t xml:space="preserve"> of higher authorities in the </w:t>
      </w:r>
      <w:r w:rsidR="001C374E" w:rsidRPr="00BC32CF">
        <w:rPr>
          <w:rFonts w:ascii="Times New Roman" w:eastAsia="Calibri" w:hAnsi="Times New Roman" w:cs="Times New Roman"/>
          <w:sz w:val="24"/>
          <w:szCs w:val="24"/>
          <w:lang w:val="en-US"/>
        </w:rPr>
        <w:t xml:space="preserve">project’s </w:t>
      </w:r>
      <w:r w:rsidRPr="00BC32CF">
        <w:rPr>
          <w:rFonts w:ascii="Times New Roman" w:eastAsia="Calibri" w:hAnsi="Times New Roman" w:cs="Times New Roman"/>
          <w:sz w:val="24"/>
          <w:szCs w:val="24"/>
          <w:lang w:val="en-US"/>
        </w:rPr>
        <w:t xml:space="preserve">host nation for her contractual activities. This enables lenders to envisage any </w:t>
      </w:r>
      <w:r w:rsidR="001C374E" w:rsidRPr="00BC32CF">
        <w:rPr>
          <w:rFonts w:ascii="Times New Roman" w:eastAsia="Calibri" w:hAnsi="Times New Roman" w:cs="Times New Roman"/>
          <w:sz w:val="24"/>
          <w:szCs w:val="24"/>
          <w:lang w:val="en-US"/>
        </w:rPr>
        <w:t xml:space="preserve">potential </w:t>
      </w:r>
      <w:r w:rsidRPr="00BC32CF">
        <w:rPr>
          <w:rFonts w:ascii="Times New Roman" w:eastAsia="Calibri" w:hAnsi="Times New Roman" w:cs="Times New Roman"/>
          <w:sz w:val="24"/>
          <w:szCs w:val="24"/>
          <w:lang w:val="en-US"/>
        </w:rPr>
        <w:t xml:space="preserve">clash of interests </w:t>
      </w:r>
      <w:r w:rsidR="00953089" w:rsidRPr="00BC32CF">
        <w:rPr>
          <w:rFonts w:ascii="Times New Roman" w:eastAsia="Calibri" w:hAnsi="Times New Roman" w:cs="Times New Roman"/>
          <w:sz w:val="24"/>
          <w:szCs w:val="24"/>
          <w:lang w:val="en-US"/>
        </w:rPr>
        <w:t>between</w:t>
      </w:r>
      <w:r w:rsidRPr="00BC32CF">
        <w:rPr>
          <w:rFonts w:ascii="Times New Roman" w:eastAsia="Calibri" w:hAnsi="Times New Roman" w:cs="Times New Roman"/>
          <w:sz w:val="24"/>
          <w:szCs w:val="24"/>
          <w:lang w:val="en-US"/>
        </w:rPr>
        <w:t xml:space="preserve"> the provisions of the concession and existing government </w:t>
      </w:r>
      <w:r w:rsidR="001C374E" w:rsidRPr="00BC32CF">
        <w:rPr>
          <w:rFonts w:ascii="Times New Roman" w:eastAsia="Calibri" w:hAnsi="Times New Roman" w:cs="Times New Roman"/>
          <w:sz w:val="24"/>
          <w:szCs w:val="24"/>
          <w:lang w:val="en-US"/>
        </w:rPr>
        <w:t xml:space="preserve">laws in host nations </w:t>
      </w:r>
      <w:r w:rsidRPr="00BC32CF">
        <w:rPr>
          <w:rFonts w:ascii="Times New Roman" w:eastAsia="Calibri" w:hAnsi="Times New Roman" w:cs="Times New Roman"/>
          <w:sz w:val="24"/>
          <w:szCs w:val="24"/>
          <w:lang w:val="en-US"/>
        </w:rPr>
        <w:t xml:space="preserve">(Sachs </w:t>
      </w:r>
      <w:r w:rsidRPr="00BC32CF">
        <w:rPr>
          <w:rFonts w:ascii="Times New Roman" w:eastAsia="Calibri" w:hAnsi="Times New Roman" w:cs="Times New Roman"/>
          <w:i/>
          <w:sz w:val="24"/>
          <w:szCs w:val="24"/>
          <w:lang w:val="en-US"/>
        </w:rPr>
        <w:t>et al.,</w:t>
      </w:r>
      <w:r w:rsidRPr="00BC32CF">
        <w:rPr>
          <w:rFonts w:ascii="Times New Roman" w:eastAsia="Calibri" w:hAnsi="Times New Roman" w:cs="Times New Roman"/>
          <w:sz w:val="24"/>
          <w:szCs w:val="24"/>
          <w:lang w:val="en-US"/>
        </w:rPr>
        <w:t xml:space="preserve"> 2007). </w:t>
      </w:r>
      <w:r w:rsidR="00EC62A2" w:rsidRPr="00BC32CF">
        <w:rPr>
          <w:rFonts w:ascii="Times New Roman" w:eastAsia="Calibri" w:hAnsi="Times New Roman" w:cs="Times New Roman"/>
          <w:sz w:val="24"/>
          <w:szCs w:val="24"/>
          <w:lang w:val="en-US"/>
        </w:rPr>
        <w:t>Additionally</w:t>
      </w:r>
      <w:r w:rsidRPr="00BC32CF">
        <w:rPr>
          <w:rFonts w:ascii="Times New Roman" w:eastAsia="Calibri" w:hAnsi="Times New Roman" w:cs="Times New Roman"/>
          <w:sz w:val="24"/>
          <w:szCs w:val="24"/>
          <w:lang w:val="en-US"/>
        </w:rPr>
        <w:t xml:space="preserve">, further evidences from </w:t>
      </w:r>
      <w:r w:rsidR="001C374E" w:rsidRPr="00BC32CF">
        <w:rPr>
          <w:rFonts w:ascii="Times New Roman" w:eastAsia="Calibri" w:hAnsi="Times New Roman" w:cs="Times New Roman"/>
          <w:sz w:val="24"/>
          <w:szCs w:val="24"/>
          <w:lang w:val="en-US"/>
        </w:rPr>
        <w:t>the survey as shown in Table 4</w:t>
      </w:r>
      <w:r w:rsidR="00EC62A2" w:rsidRPr="00BC32CF">
        <w:rPr>
          <w:rFonts w:ascii="Times New Roman" w:eastAsia="Calibri" w:hAnsi="Times New Roman" w:cs="Times New Roman"/>
          <w:sz w:val="24"/>
          <w:szCs w:val="24"/>
          <w:lang w:val="en-US"/>
        </w:rPr>
        <w:t xml:space="preserve"> reveal</w:t>
      </w:r>
      <w:r w:rsidR="001C374E" w:rsidRPr="00BC32CF">
        <w:rPr>
          <w:rFonts w:ascii="Times New Roman" w:eastAsia="Calibri" w:hAnsi="Times New Roman" w:cs="Times New Roman"/>
          <w:sz w:val="24"/>
          <w:szCs w:val="24"/>
          <w:lang w:val="en-US"/>
        </w:rPr>
        <w:t>ed</w:t>
      </w:r>
      <w:r w:rsidR="00EC62A2" w:rsidRPr="00BC32CF">
        <w:rPr>
          <w:rFonts w:ascii="Times New Roman" w:eastAsia="Calibri" w:hAnsi="Times New Roman" w:cs="Times New Roman"/>
          <w:sz w:val="24"/>
          <w:szCs w:val="24"/>
          <w:lang w:val="en-US"/>
        </w:rPr>
        <w:t xml:space="preserve"> that, asides unravelling the identity and powers of the </w:t>
      </w:r>
      <w:r w:rsidR="001C374E" w:rsidRPr="00BC32CF">
        <w:rPr>
          <w:rFonts w:ascii="Times New Roman" w:eastAsia="Calibri" w:hAnsi="Times New Roman" w:cs="Times New Roman"/>
          <w:sz w:val="24"/>
          <w:szCs w:val="24"/>
          <w:lang w:val="en-US"/>
        </w:rPr>
        <w:t xml:space="preserve">project </w:t>
      </w:r>
      <w:r w:rsidR="00EC62A2" w:rsidRPr="00BC32CF">
        <w:rPr>
          <w:rFonts w:ascii="Times New Roman" w:eastAsia="Calibri" w:hAnsi="Times New Roman" w:cs="Times New Roman"/>
          <w:sz w:val="24"/>
          <w:szCs w:val="24"/>
          <w:lang w:val="en-US"/>
        </w:rPr>
        <w:t>grantor, foreign lenders considering emerging market PPP loan application</w:t>
      </w:r>
      <w:r w:rsidR="00953089" w:rsidRPr="00BC32CF">
        <w:rPr>
          <w:rFonts w:ascii="Times New Roman" w:eastAsia="Calibri" w:hAnsi="Times New Roman" w:cs="Times New Roman"/>
          <w:sz w:val="24"/>
          <w:szCs w:val="24"/>
          <w:lang w:val="en-US"/>
        </w:rPr>
        <w:t>s</w:t>
      </w:r>
      <w:r w:rsidR="00EC62A2" w:rsidRPr="00BC32CF">
        <w:rPr>
          <w:rFonts w:ascii="Times New Roman" w:eastAsia="Calibri" w:hAnsi="Times New Roman" w:cs="Times New Roman"/>
          <w:sz w:val="24"/>
          <w:szCs w:val="24"/>
          <w:lang w:val="en-US"/>
        </w:rPr>
        <w:t xml:space="preserve"> will also require </w:t>
      </w:r>
      <w:r w:rsidR="00DC3CAE" w:rsidRPr="00BC32CF">
        <w:rPr>
          <w:rFonts w:ascii="Times New Roman" w:eastAsia="Calibri" w:hAnsi="Times New Roman" w:cs="Times New Roman"/>
          <w:b/>
          <w:sz w:val="24"/>
          <w:szCs w:val="24"/>
          <w:lang w:val="en-US"/>
        </w:rPr>
        <w:t>“</w:t>
      </w:r>
      <w:r w:rsidR="00EC62A2" w:rsidRPr="00BC32CF">
        <w:rPr>
          <w:rFonts w:ascii="Times New Roman" w:eastAsia="Calibri" w:hAnsi="Times New Roman" w:cs="Times New Roman"/>
          <w:b/>
          <w:sz w:val="24"/>
          <w:szCs w:val="24"/>
          <w:lang w:val="en-US"/>
        </w:rPr>
        <w:t>direct legal contracts with the project grantor and other parties to the project</w:t>
      </w:r>
      <w:r w:rsidR="00DC3CAE" w:rsidRPr="00BC32CF">
        <w:rPr>
          <w:rFonts w:ascii="Times New Roman" w:eastAsia="Calibri" w:hAnsi="Times New Roman" w:cs="Times New Roman"/>
          <w:b/>
          <w:sz w:val="24"/>
          <w:szCs w:val="24"/>
          <w:lang w:val="en-US"/>
        </w:rPr>
        <w:t>”</w:t>
      </w:r>
      <w:r w:rsidR="00EC62A2" w:rsidRPr="00BC32CF">
        <w:rPr>
          <w:rFonts w:ascii="Times New Roman" w:eastAsia="Calibri" w:hAnsi="Times New Roman" w:cs="Times New Roman"/>
          <w:b/>
          <w:sz w:val="24"/>
          <w:szCs w:val="24"/>
          <w:lang w:val="en-US"/>
        </w:rPr>
        <w:t>.</w:t>
      </w:r>
      <w:r w:rsidR="00EC62A2" w:rsidRPr="00BC32CF">
        <w:rPr>
          <w:rFonts w:ascii="Times New Roman" w:eastAsia="Calibri" w:hAnsi="Times New Roman" w:cs="Times New Roman"/>
          <w:sz w:val="24"/>
          <w:szCs w:val="24"/>
          <w:lang w:val="en-US"/>
        </w:rPr>
        <w:t xml:space="preserve"> Based on significance </w:t>
      </w:r>
      <w:r w:rsidR="00B0196E" w:rsidRPr="00BC32CF">
        <w:rPr>
          <w:rFonts w:ascii="Times New Roman" w:eastAsia="Calibri" w:hAnsi="Times New Roman" w:cs="Times New Roman"/>
          <w:sz w:val="24"/>
          <w:szCs w:val="24"/>
          <w:lang w:val="en-US"/>
        </w:rPr>
        <w:t xml:space="preserve">index </w:t>
      </w:r>
      <w:r w:rsidR="000F5C74" w:rsidRPr="00BC32CF">
        <w:rPr>
          <w:rFonts w:ascii="Times New Roman" w:eastAsia="Calibri" w:hAnsi="Times New Roman" w:cs="Times New Roman"/>
          <w:sz w:val="24"/>
          <w:szCs w:val="24"/>
          <w:lang w:val="en-US"/>
        </w:rPr>
        <w:t>rating of</w:t>
      </w:r>
      <w:r w:rsidR="00EC62A2" w:rsidRPr="00BC32CF">
        <w:rPr>
          <w:rFonts w:ascii="Times New Roman" w:eastAsia="Calibri" w:hAnsi="Times New Roman" w:cs="Times New Roman"/>
          <w:sz w:val="24"/>
          <w:szCs w:val="24"/>
          <w:lang w:val="en-US"/>
        </w:rPr>
        <w:t xml:space="preserve"> </w:t>
      </w:r>
      <w:r w:rsidR="00B0196E" w:rsidRPr="00BC32CF">
        <w:rPr>
          <w:rFonts w:ascii="Times New Roman" w:eastAsia="Calibri" w:hAnsi="Times New Roman" w:cs="Times New Roman"/>
          <w:sz w:val="24"/>
          <w:szCs w:val="24"/>
          <w:lang w:val="en-US"/>
        </w:rPr>
        <w:t>84.70</w:t>
      </w:r>
      <w:r w:rsidR="000F5C74" w:rsidRPr="00BC32CF">
        <w:rPr>
          <w:rFonts w:ascii="Times New Roman" w:eastAsia="Calibri" w:hAnsi="Times New Roman" w:cs="Times New Roman"/>
          <w:sz w:val="24"/>
          <w:szCs w:val="24"/>
          <w:lang w:val="en-US"/>
        </w:rPr>
        <w:t>,</w:t>
      </w:r>
      <w:r w:rsidR="00B0196E" w:rsidRPr="00BC32CF">
        <w:rPr>
          <w:rFonts w:ascii="Times New Roman" w:eastAsia="Calibri" w:hAnsi="Times New Roman" w:cs="Times New Roman"/>
          <w:sz w:val="24"/>
          <w:szCs w:val="24"/>
          <w:lang w:val="en-US"/>
        </w:rPr>
        <w:t xml:space="preserve"> survey respondents consider this criterion important in evaluating concession</w:t>
      </w:r>
      <w:r w:rsidR="001C374E" w:rsidRPr="00BC32CF">
        <w:rPr>
          <w:rFonts w:ascii="Times New Roman" w:eastAsia="Calibri" w:hAnsi="Times New Roman" w:cs="Times New Roman"/>
          <w:sz w:val="24"/>
          <w:szCs w:val="24"/>
          <w:lang w:val="en-US"/>
        </w:rPr>
        <w:t xml:space="preserve"> related</w:t>
      </w:r>
      <w:r w:rsidR="00B0196E" w:rsidRPr="00BC32CF">
        <w:rPr>
          <w:rFonts w:ascii="Times New Roman" w:eastAsia="Calibri" w:hAnsi="Times New Roman" w:cs="Times New Roman"/>
          <w:sz w:val="24"/>
          <w:szCs w:val="24"/>
          <w:lang w:val="en-US"/>
        </w:rPr>
        <w:t xml:space="preserve"> risks in </w:t>
      </w:r>
      <w:r w:rsidR="002552D0" w:rsidRPr="00BC32CF">
        <w:rPr>
          <w:rFonts w:ascii="Times New Roman" w:eastAsia="Calibri" w:hAnsi="Times New Roman" w:cs="Times New Roman"/>
          <w:sz w:val="24"/>
          <w:szCs w:val="24"/>
          <w:lang w:val="en-US"/>
        </w:rPr>
        <w:t xml:space="preserve">an </w:t>
      </w:r>
      <w:r w:rsidR="000F5C74" w:rsidRPr="00BC32CF">
        <w:rPr>
          <w:rFonts w:ascii="Times New Roman" w:eastAsia="Calibri" w:hAnsi="Times New Roman" w:cs="Times New Roman"/>
          <w:sz w:val="24"/>
          <w:szCs w:val="24"/>
          <w:lang w:val="en-US"/>
        </w:rPr>
        <w:t>emerging market</w:t>
      </w:r>
      <w:r w:rsidR="00B0196E" w:rsidRPr="00BC32CF">
        <w:rPr>
          <w:rFonts w:ascii="Times New Roman" w:eastAsia="Calibri" w:hAnsi="Times New Roman" w:cs="Times New Roman"/>
          <w:sz w:val="24"/>
          <w:szCs w:val="24"/>
          <w:lang w:val="en-US"/>
        </w:rPr>
        <w:t xml:space="preserve">. This further attest to evidences from the qualitative study in which </w:t>
      </w:r>
      <w:r w:rsidR="001C374E" w:rsidRPr="00BC32CF">
        <w:rPr>
          <w:rFonts w:ascii="Times New Roman" w:eastAsia="Calibri" w:hAnsi="Times New Roman" w:cs="Times New Roman"/>
          <w:sz w:val="24"/>
          <w:szCs w:val="24"/>
          <w:lang w:val="en-US"/>
        </w:rPr>
        <w:t xml:space="preserve">some </w:t>
      </w:r>
      <w:r w:rsidR="00B0196E" w:rsidRPr="00BC32CF">
        <w:rPr>
          <w:rFonts w:ascii="Times New Roman" w:eastAsia="Calibri" w:hAnsi="Times New Roman" w:cs="Times New Roman"/>
          <w:sz w:val="24"/>
          <w:szCs w:val="24"/>
          <w:lang w:val="en-US"/>
        </w:rPr>
        <w:t xml:space="preserve">focus group participants opined that: </w:t>
      </w:r>
    </w:p>
    <w:p w14:paraId="607D1EC0" w14:textId="77777777" w:rsidR="000C7C9F" w:rsidRPr="00BC32CF" w:rsidRDefault="000C7C9F" w:rsidP="00CA29DD">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 xml:space="preserve">“Usually you find banks having direct contractual agreement with awarding authorities and project sub-contractors in an emerging market PPP project. </w:t>
      </w:r>
      <w:r w:rsidR="001C374E" w:rsidRPr="00BC32CF">
        <w:rPr>
          <w:rFonts w:ascii="Times New Roman" w:eastAsia="Calibri" w:hAnsi="Times New Roman" w:cs="Times New Roman"/>
          <w:i/>
          <w:sz w:val="24"/>
          <w:szCs w:val="24"/>
          <w:lang w:val="en-US"/>
        </w:rPr>
        <w:t>Obviously s</w:t>
      </w:r>
      <w:r w:rsidRPr="00BC32CF">
        <w:rPr>
          <w:rFonts w:ascii="Times New Roman" w:eastAsia="Calibri" w:hAnsi="Times New Roman" w:cs="Times New Roman"/>
          <w:i/>
          <w:sz w:val="24"/>
          <w:szCs w:val="24"/>
          <w:lang w:val="en-US"/>
        </w:rPr>
        <w:t xml:space="preserve">uch agreements </w:t>
      </w:r>
      <w:r w:rsidR="001C374E" w:rsidRPr="00BC32CF">
        <w:rPr>
          <w:rFonts w:ascii="Times New Roman" w:eastAsia="Calibri" w:hAnsi="Times New Roman" w:cs="Times New Roman"/>
          <w:i/>
          <w:sz w:val="24"/>
          <w:szCs w:val="24"/>
          <w:lang w:val="en-US"/>
        </w:rPr>
        <w:t xml:space="preserve">is to enable lenders </w:t>
      </w:r>
      <w:r w:rsidRPr="00BC32CF">
        <w:rPr>
          <w:rFonts w:ascii="Times New Roman" w:eastAsia="Calibri" w:hAnsi="Times New Roman" w:cs="Times New Roman"/>
          <w:i/>
          <w:sz w:val="24"/>
          <w:szCs w:val="24"/>
          <w:lang w:val="en-US"/>
        </w:rPr>
        <w:t xml:space="preserve">protect </w:t>
      </w:r>
      <w:r w:rsidR="00836706" w:rsidRPr="00BC32CF">
        <w:rPr>
          <w:rFonts w:ascii="Times New Roman" w:eastAsia="Calibri" w:hAnsi="Times New Roman" w:cs="Times New Roman"/>
          <w:i/>
          <w:sz w:val="24"/>
          <w:szCs w:val="24"/>
          <w:lang w:val="en-US"/>
        </w:rPr>
        <w:t xml:space="preserve">her </w:t>
      </w:r>
      <w:r w:rsidRPr="00BC32CF">
        <w:rPr>
          <w:rFonts w:ascii="Times New Roman" w:eastAsia="Calibri" w:hAnsi="Times New Roman" w:cs="Times New Roman"/>
          <w:i/>
          <w:sz w:val="24"/>
          <w:szCs w:val="24"/>
          <w:lang w:val="en-US"/>
        </w:rPr>
        <w:t>Secured Creditor’s Rights with the authority</w:t>
      </w:r>
      <w:r w:rsidR="001C374E" w:rsidRPr="00BC32CF">
        <w:rPr>
          <w:rFonts w:ascii="Times New Roman" w:eastAsia="Calibri" w:hAnsi="Times New Roman" w:cs="Times New Roman"/>
          <w:i/>
          <w:sz w:val="24"/>
          <w:szCs w:val="24"/>
          <w:lang w:val="en-US"/>
        </w:rPr>
        <w:t>,</w:t>
      </w:r>
      <w:r w:rsidRPr="00BC32CF">
        <w:rPr>
          <w:rFonts w:ascii="Times New Roman" w:eastAsia="Calibri" w:hAnsi="Times New Roman" w:cs="Times New Roman"/>
          <w:i/>
          <w:sz w:val="24"/>
          <w:szCs w:val="24"/>
          <w:lang w:val="en-US"/>
        </w:rPr>
        <w:t xml:space="preserve"> in case the concession is terminated”. </w:t>
      </w:r>
    </w:p>
    <w:p w14:paraId="3B1186CA" w14:textId="77777777" w:rsidR="001C374E" w:rsidRPr="00BC32CF" w:rsidRDefault="000C7C9F" w:rsidP="001C374E">
      <w:pPr>
        <w:spacing w:before="24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The above assertion is in line with </w:t>
      </w:r>
      <w:r w:rsidR="00955A2D" w:rsidRPr="00BC32CF">
        <w:rPr>
          <w:rFonts w:ascii="Times New Roman" w:eastAsia="Calibri" w:hAnsi="Times New Roman" w:cs="Times New Roman"/>
          <w:sz w:val="24"/>
          <w:szCs w:val="24"/>
          <w:lang w:val="en-US"/>
        </w:rPr>
        <w:t>Busse and Hefeker (2007)</w:t>
      </w:r>
      <w:r w:rsidRPr="00BC32CF">
        <w:rPr>
          <w:rFonts w:ascii="Times New Roman" w:eastAsia="Calibri" w:hAnsi="Times New Roman" w:cs="Times New Roman"/>
          <w:sz w:val="24"/>
          <w:szCs w:val="24"/>
          <w:lang w:val="en-US"/>
        </w:rPr>
        <w:t xml:space="preserve"> and </w:t>
      </w:r>
      <w:r w:rsidR="009179BB" w:rsidRPr="00BC32CF">
        <w:rPr>
          <w:rFonts w:ascii="Times New Roman" w:eastAsia="Calibri" w:hAnsi="Times New Roman" w:cs="Times New Roman"/>
          <w:sz w:val="24"/>
          <w:szCs w:val="24"/>
          <w:lang w:val="en-US"/>
        </w:rPr>
        <w:t xml:space="preserve">Chan </w:t>
      </w:r>
      <w:r w:rsidR="009179BB" w:rsidRPr="00BC32CF">
        <w:rPr>
          <w:rFonts w:ascii="Times New Roman" w:eastAsia="Calibri" w:hAnsi="Times New Roman" w:cs="Times New Roman"/>
          <w:i/>
          <w:sz w:val="24"/>
          <w:szCs w:val="24"/>
          <w:lang w:val="en-US"/>
        </w:rPr>
        <w:t>et al.</w:t>
      </w:r>
      <w:r w:rsidRPr="00BC32CF">
        <w:rPr>
          <w:rFonts w:ascii="Times New Roman" w:eastAsia="Calibri" w:hAnsi="Times New Roman" w:cs="Times New Roman"/>
          <w:sz w:val="24"/>
          <w:szCs w:val="24"/>
          <w:lang w:val="en-US"/>
        </w:rPr>
        <w:t xml:space="preserve"> (201</w:t>
      </w:r>
      <w:r w:rsidR="009179BB" w:rsidRPr="00BC32CF">
        <w:rPr>
          <w:rFonts w:ascii="Times New Roman" w:eastAsia="Calibri" w:hAnsi="Times New Roman" w:cs="Times New Roman"/>
          <w:sz w:val="24"/>
          <w:szCs w:val="24"/>
          <w:lang w:val="en-US"/>
        </w:rPr>
        <w:t>4</w:t>
      </w:r>
      <w:r w:rsidRPr="00BC32CF">
        <w:rPr>
          <w:rFonts w:ascii="Times New Roman" w:eastAsia="Calibri" w:hAnsi="Times New Roman" w:cs="Times New Roman"/>
          <w:sz w:val="24"/>
          <w:szCs w:val="24"/>
          <w:lang w:val="en-US"/>
        </w:rPr>
        <w:t>), who both argue</w:t>
      </w:r>
      <w:r w:rsidR="001C374E" w:rsidRPr="00BC32CF">
        <w:rPr>
          <w:rFonts w:ascii="Times New Roman" w:eastAsia="Calibri" w:hAnsi="Times New Roman" w:cs="Times New Roman"/>
          <w:sz w:val="24"/>
          <w:szCs w:val="24"/>
          <w:lang w:val="en-US"/>
        </w:rPr>
        <w:t>d</w:t>
      </w:r>
      <w:r w:rsidRPr="00BC32CF">
        <w:rPr>
          <w:rFonts w:ascii="Times New Roman" w:eastAsia="Calibri" w:hAnsi="Times New Roman" w:cs="Times New Roman"/>
          <w:sz w:val="24"/>
          <w:szCs w:val="24"/>
          <w:lang w:val="en-US"/>
        </w:rPr>
        <w:t xml:space="preserve"> that lender’s direct agreements ensures that the contractual relationship between the SPV and other sub-contractors are in tandem with clauses and service level specifications stipulated in the concession contract.</w:t>
      </w:r>
      <w:r w:rsidR="00B0196E" w:rsidRPr="00BC32CF">
        <w:rPr>
          <w:rFonts w:ascii="Times New Roman" w:eastAsia="Calibri" w:hAnsi="Times New Roman" w:cs="Times New Roman"/>
          <w:sz w:val="24"/>
          <w:szCs w:val="24"/>
          <w:lang w:val="en-US"/>
        </w:rPr>
        <w:t xml:space="preserve"> Such direct contract therefore puts lenders in the </w:t>
      </w:r>
      <w:r w:rsidR="00953089" w:rsidRPr="00BC32CF">
        <w:rPr>
          <w:rFonts w:ascii="Times New Roman" w:eastAsia="Calibri" w:hAnsi="Times New Roman" w:cs="Times New Roman"/>
          <w:sz w:val="24"/>
          <w:szCs w:val="24"/>
          <w:lang w:val="en-US"/>
        </w:rPr>
        <w:t>supervisory</w:t>
      </w:r>
      <w:r w:rsidR="00B0196E" w:rsidRPr="00BC32CF">
        <w:rPr>
          <w:rFonts w:ascii="Times New Roman" w:eastAsia="Calibri" w:hAnsi="Times New Roman" w:cs="Times New Roman"/>
          <w:sz w:val="24"/>
          <w:szCs w:val="24"/>
          <w:lang w:val="en-US"/>
        </w:rPr>
        <w:t xml:space="preserve"> role, especially consi</w:t>
      </w:r>
      <w:r w:rsidR="00953089" w:rsidRPr="00BC32CF">
        <w:rPr>
          <w:rFonts w:ascii="Times New Roman" w:eastAsia="Calibri" w:hAnsi="Times New Roman" w:cs="Times New Roman"/>
          <w:sz w:val="24"/>
          <w:szCs w:val="24"/>
          <w:lang w:val="en-US"/>
        </w:rPr>
        <w:t>dering the high-leverage nature</w:t>
      </w:r>
      <w:r w:rsidR="00B0196E" w:rsidRPr="00BC32CF">
        <w:rPr>
          <w:rFonts w:ascii="Times New Roman" w:eastAsia="Calibri" w:hAnsi="Times New Roman" w:cs="Times New Roman"/>
          <w:sz w:val="24"/>
          <w:szCs w:val="24"/>
          <w:lang w:val="en-US"/>
        </w:rPr>
        <w:t xml:space="preserve"> of </w:t>
      </w:r>
      <w:r w:rsidR="00F1520B" w:rsidRPr="00BC32CF">
        <w:rPr>
          <w:rFonts w:ascii="Times New Roman" w:eastAsia="Calibri" w:hAnsi="Times New Roman" w:cs="Times New Roman"/>
          <w:sz w:val="24"/>
          <w:szCs w:val="24"/>
          <w:lang w:val="en-US"/>
        </w:rPr>
        <w:t>PPPs and</w:t>
      </w:r>
      <w:r w:rsidR="00B0196E" w:rsidRPr="00BC32CF">
        <w:rPr>
          <w:rFonts w:ascii="Times New Roman" w:eastAsia="Calibri" w:hAnsi="Times New Roman" w:cs="Times New Roman"/>
          <w:sz w:val="24"/>
          <w:szCs w:val="24"/>
          <w:lang w:val="en-US"/>
        </w:rPr>
        <w:t xml:space="preserve"> relative systemic instability in many of the</w:t>
      </w:r>
      <w:r w:rsidR="001C374E" w:rsidRPr="00BC32CF">
        <w:rPr>
          <w:rFonts w:ascii="Times New Roman" w:eastAsia="Calibri" w:hAnsi="Times New Roman" w:cs="Times New Roman"/>
          <w:sz w:val="24"/>
          <w:szCs w:val="24"/>
          <w:lang w:val="en-US"/>
        </w:rPr>
        <w:t>se</w:t>
      </w:r>
      <w:r w:rsidR="00B0196E" w:rsidRPr="00BC32CF">
        <w:rPr>
          <w:rFonts w:ascii="Times New Roman" w:eastAsia="Calibri" w:hAnsi="Times New Roman" w:cs="Times New Roman"/>
          <w:sz w:val="24"/>
          <w:szCs w:val="24"/>
          <w:lang w:val="en-US"/>
        </w:rPr>
        <w:t xml:space="preserve"> regions.</w:t>
      </w:r>
    </w:p>
    <w:p w14:paraId="2A6CC176" w14:textId="77777777" w:rsidR="007857EE" w:rsidRPr="00BC32CF" w:rsidRDefault="007857EE" w:rsidP="002A2D4B">
      <w:pPr>
        <w:spacing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lastRenderedPageBreak/>
        <w:t xml:space="preserve">Further findings </w:t>
      </w:r>
      <w:r w:rsidR="00B90803" w:rsidRPr="00BC32CF">
        <w:rPr>
          <w:rFonts w:ascii="Times New Roman" w:eastAsia="Calibri" w:hAnsi="Times New Roman" w:cs="Times New Roman"/>
          <w:sz w:val="24"/>
          <w:szCs w:val="24"/>
          <w:lang w:val="en-US"/>
        </w:rPr>
        <w:t xml:space="preserve">from the study also indicate that, as part of measures to ensure proper due diligence is taken on funding applications for PPPs in </w:t>
      </w:r>
      <w:r w:rsidR="00C53146" w:rsidRPr="00BC32CF">
        <w:rPr>
          <w:rFonts w:ascii="Times New Roman" w:eastAsia="Calibri" w:hAnsi="Times New Roman" w:cs="Times New Roman"/>
          <w:sz w:val="24"/>
          <w:szCs w:val="24"/>
          <w:lang w:val="en-US"/>
        </w:rPr>
        <w:t xml:space="preserve">an </w:t>
      </w:r>
      <w:r w:rsidR="00B90803" w:rsidRPr="00BC32CF">
        <w:rPr>
          <w:rFonts w:ascii="Times New Roman" w:eastAsia="Calibri" w:hAnsi="Times New Roman" w:cs="Times New Roman"/>
          <w:sz w:val="24"/>
          <w:szCs w:val="24"/>
          <w:lang w:val="en-US"/>
        </w:rPr>
        <w:t xml:space="preserve">emerging </w:t>
      </w:r>
      <w:r w:rsidR="00720BE8" w:rsidRPr="00BC32CF">
        <w:rPr>
          <w:rFonts w:ascii="Times New Roman" w:eastAsia="Calibri" w:hAnsi="Times New Roman" w:cs="Times New Roman"/>
          <w:sz w:val="24"/>
          <w:szCs w:val="24"/>
          <w:lang w:val="en-US"/>
        </w:rPr>
        <w:t>market;</w:t>
      </w:r>
      <w:r w:rsidR="00B90803" w:rsidRPr="00BC32CF">
        <w:rPr>
          <w:rFonts w:ascii="Times New Roman" w:eastAsia="Calibri" w:hAnsi="Times New Roman" w:cs="Times New Roman"/>
          <w:sz w:val="24"/>
          <w:szCs w:val="24"/>
          <w:lang w:val="en-US"/>
        </w:rPr>
        <w:t xml:space="preserve"> </w:t>
      </w:r>
      <w:r w:rsidR="002773C3" w:rsidRPr="00BC32CF">
        <w:rPr>
          <w:rFonts w:ascii="Times New Roman" w:eastAsia="Calibri" w:hAnsi="Times New Roman" w:cs="Times New Roman"/>
          <w:sz w:val="24"/>
          <w:szCs w:val="24"/>
          <w:lang w:val="en-US"/>
        </w:rPr>
        <w:t>“</w:t>
      </w:r>
      <w:r w:rsidR="00B90803" w:rsidRPr="00BC32CF">
        <w:rPr>
          <w:rFonts w:ascii="Times New Roman" w:eastAsia="Calibri" w:hAnsi="Times New Roman" w:cs="Times New Roman"/>
          <w:b/>
          <w:sz w:val="24"/>
          <w:szCs w:val="24"/>
          <w:lang w:val="en-US"/>
        </w:rPr>
        <w:t xml:space="preserve">lenders will impose </w:t>
      </w:r>
      <w:r w:rsidR="00053239" w:rsidRPr="00BC32CF">
        <w:rPr>
          <w:rFonts w:ascii="Times New Roman" w:eastAsia="Calibri" w:hAnsi="Times New Roman" w:cs="Times New Roman"/>
          <w:b/>
          <w:sz w:val="24"/>
          <w:szCs w:val="24"/>
          <w:lang w:val="en-US"/>
        </w:rPr>
        <w:t xml:space="preserve">some </w:t>
      </w:r>
      <w:r w:rsidR="00B90803" w:rsidRPr="00BC32CF">
        <w:rPr>
          <w:rFonts w:ascii="Times New Roman" w:eastAsia="Calibri" w:hAnsi="Times New Roman" w:cs="Times New Roman"/>
          <w:b/>
          <w:sz w:val="24"/>
          <w:szCs w:val="24"/>
          <w:lang w:val="en-US"/>
        </w:rPr>
        <w:t>security rights on the project SPV</w:t>
      </w:r>
      <w:r w:rsidR="002773C3" w:rsidRPr="00BC32CF">
        <w:rPr>
          <w:rFonts w:ascii="Times New Roman" w:eastAsia="Calibri" w:hAnsi="Times New Roman" w:cs="Times New Roman"/>
          <w:b/>
          <w:sz w:val="24"/>
          <w:szCs w:val="24"/>
          <w:lang w:val="en-US"/>
        </w:rPr>
        <w:t>”</w:t>
      </w:r>
      <w:r w:rsidR="00B90803" w:rsidRPr="00BC32CF">
        <w:rPr>
          <w:rFonts w:ascii="Times New Roman" w:eastAsia="Calibri" w:hAnsi="Times New Roman" w:cs="Times New Roman"/>
          <w:sz w:val="24"/>
          <w:szCs w:val="24"/>
          <w:lang w:val="en-US"/>
        </w:rPr>
        <w:t>. Based on survey responses, the significance index ratin</w:t>
      </w:r>
      <w:r w:rsidR="00A348F3" w:rsidRPr="00BC32CF">
        <w:rPr>
          <w:rFonts w:ascii="Times New Roman" w:eastAsia="Calibri" w:hAnsi="Times New Roman" w:cs="Times New Roman"/>
          <w:sz w:val="24"/>
          <w:szCs w:val="24"/>
          <w:lang w:val="en-US"/>
        </w:rPr>
        <w:t>g of this criterion is 84.49. This suggest high lenders</w:t>
      </w:r>
      <w:r w:rsidR="001C374E" w:rsidRPr="00BC32CF">
        <w:rPr>
          <w:rFonts w:ascii="Times New Roman" w:eastAsia="Calibri" w:hAnsi="Times New Roman" w:cs="Times New Roman"/>
          <w:sz w:val="24"/>
          <w:szCs w:val="24"/>
          <w:lang w:val="en-US"/>
        </w:rPr>
        <w:t>’</w:t>
      </w:r>
      <w:r w:rsidR="00A348F3" w:rsidRPr="00BC32CF">
        <w:rPr>
          <w:rFonts w:ascii="Times New Roman" w:eastAsia="Calibri" w:hAnsi="Times New Roman" w:cs="Times New Roman"/>
          <w:sz w:val="24"/>
          <w:szCs w:val="24"/>
          <w:lang w:val="en-US"/>
        </w:rPr>
        <w:t xml:space="preserve"> perception with respect to its influence on bankability of </w:t>
      </w:r>
      <w:r w:rsidR="00053239" w:rsidRPr="00BC32CF">
        <w:rPr>
          <w:rFonts w:ascii="Times New Roman" w:eastAsia="Calibri" w:hAnsi="Times New Roman" w:cs="Times New Roman"/>
          <w:sz w:val="24"/>
          <w:szCs w:val="24"/>
          <w:lang w:val="en-US"/>
        </w:rPr>
        <w:t xml:space="preserve">concession </w:t>
      </w:r>
      <w:r w:rsidR="00A348F3" w:rsidRPr="00BC32CF">
        <w:rPr>
          <w:rFonts w:ascii="Times New Roman" w:eastAsia="Calibri" w:hAnsi="Times New Roman" w:cs="Times New Roman"/>
          <w:sz w:val="24"/>
          <w:szCs w:val="24"/>
          <w:lang w:val="en-US"/>
        </w:rPr>
        <w:t>risk.</w:t>
      </w:r>
      <w:r w:rsidR="00953089" w:rsidRPr="00BC32CF">
        <w:rPr>
          <w:rFonts w:ascii="Times New Roman" w:eastAsia="Calibri" w:hAnsi="Times New Roman" w:cs="Times New Roman"/>
          <w:sz w:val="24"/>
          <w:szCs w:val="24"/>
          <w:lang w:val="en-US"/>
        </w:rPr>
        <w:t xml:space="preserve"> The</w:t>
      </w:r>
      <w:r w:rsidR="00A348F3" w:rsidRPr="00BC32CF">
        <w:rPr>
          <w:rFonts w:ascii="Times New Roman" w:eastAsia="Calibri" w:hAnsi="Times New Roman" w:cs="Times New Roman"/>
          <w:sz w:val="24"/>
          <w:szCs w:val="24"/>
          <w:lang w:val="en-US"/>
        </w:rPr>
        <w:t xml:space="preserve"> </w:t>
      </w:r>
      <w:r w:rsidR="00953089" w:rsidRPr="00BC32CF">
        <w:rPr>
          <w:rFonts w:ascii="Times New Roman" w:eastAsia="Calibri" w:hAnsi="Times New Roman" w:cs="Times New Roman"/>
          <w:sz w:val="24"/>
          <w:szCs w:val="24"/>
          <w:lang w:val="en-US"/>
        </w:rPr>
        <w:t xml:space="preserve">above </w:t>
      </w:r>
      <w:r w:rsidR="00A348F3" w:rsidRPr="00BC32CF">
        <w:rPr>
          <w:rFonts w:ascii="Times New Roman" w:eastAsia="Calibri" w:hAnsi="Times New Roman" w:cs="Times New Roman"/>
          <w:sz w:val="24"/>
          <w:szCs w:val="24"/>
          <w:lang w:val="en-US"/>
        </w:rPr>
        <w:t>evidence</w:t>
      </w:r>
      <w:r w:rsidR="001C374E" w:rsidRPr="00BC32CF">
        <w:rPr>
          <w:rFonts w:ascii="Times New Roman" w:eastAsia="Calibri" w:hAnsi="Times New Roman" w:cs="Times New Roman"/>
          <w:sz w:val="24"/>
          <w:szCs w:val="24"/>
          <w:lang w:val="en-US"/>
        </w:rPr>
        <w:t xml:space="preserve"> further </w:t>
      </w:r>
      <w:r w:rsidR="00A348F3" w:rsidRPr="00BC32CF">
        <w:rPr>
          <w:rFonts w:ascii="Times New Roman" w:eastAsia="Calibri" w:hAnsi="Times New Roman" w:cs="Times New Roman"/>
          <w:sz w:val="24"/>
          <w:szCs w:val="24"/>
          <w:lang w:val="en-US"/>
        </w:rPr>
        <w:t>confirms perspectives highlighted during some of the FGDs. As encapsulated in the argument of one of the discussants:</w:t>
      </w:r>
    </w:p>
    <w:p w14:paraId="294689AF" w14:textId="77777777" w:rsidR="007857EE" w:rsidRPr="00BC32CF" w:rsidRDefault="007857EE" w:rsidP="003A4DC9">
      <w:pPr>
        <w:spacing w:after="0" w:line="480" w:lineRule="auto"/>
        <w:ind w:left="284" w:right="502"/>
        <w:jc w:val="center"/>
        <w:rPr>
          <w:rFonts w:ascii="Times New Roman" w:eastAsia="Calibri" w:hAnsi="Times New Roman" w:cs="Times New Roman"/>
          <w:i/>
          <w:sz w:val="24"/>
          <w:szCs w:val="24"/>
          <w:lang w:val="en-US"/>
        </w:rPr>
      </w:pPr>
      <w:r w:rsidRPr="00BC32CF">
        <w:rPr>
          <w:rFonts w:ascii="Times New Roman" w:eastAsia="Calibri" w:hAnsi="Times New Roman" w:cs="Times New Roman"/>
          <w:i/>
          <w:sz w:val="24"/>
          <w:szCs w:val="24"/>
          <w:lang w:val="en-US"/>
        </w:rPr>
        <w:t>“</w:t>
      </w:r>
      <w:r w:rsidR="00601CD8" w:rsidRPr="00BC32CF">
        <w:rPr>
          <w:rFonts w:ascii="Times New Roman" w:eastAsia="Calibri" w:hAnsi="Times New Roman" w:cs="Times New Roman"/>
          <w:i/>
          <w:sz w:val="24"/>
          <w:szCs w:val="24"/>
          <w:lang w:val="en-US"/>
        </w:rPr>
        <w:t>You have to demand</w:t>
      </w:r>
      <w:r w:rsidRPr="00BC32CF">
        <w:rPr>
          <w:rFonts w:ascii="Times New Roman" w:eastAsia="Calibri" w:hAnsi="Times New Roman" w:cs="Times New Roman"/>
          <w:i/>
          <w:sz w:val="24"/>
          <w:szCs w:val="24"/>
          <w:lang w:val="en-US"/>
        </w:rPr>
        <w:t xml:space="preserve"> contractual security rights on PPP project assets, cash flows and other income generating contracts of the SPV. </w:t>
      </w:r>
      <w:r w:rsidR="001C374E" w:rsidRPr="00BC32CF">
        <w:rPr>
          <w:rFonts w:ascii="Times New Roman" w:eastAsia="Calibri" w:hAnsi="Times New Roman" w:cs="Times New Roman"/>
          <w:i/>
          <w:sz w:val="24"/>
          <w:szCs w:val="24"/>
          <w:lang w:val="en-US"/>
        </w:rPr>
        <w:t>These are very important issues in ban</w:t>
      </w:r>
      <w:r w:rsidR="005F4F89" w:rsidRPr="00BC32CF">
        <w:rPr>
          <w:rFonts w:ascii="Times New Roman" w:eastAsia="Calibri" w:hAnsi="Times New Roman" w:cs="Times New Roman"/>
          <w:i/>
          <w:sz w:val="24"/>
          <w:szCs w:val="24"/>
          <w:lang w:val="en-US"/>
        </w:rPr>
        <w:t xml:space="preserve">kability for most </w:t>
      </w:r>
      <w:r w:rsidR="001C374E" w:rsidRPr="00BC32CF">
        <w:rPr>
          <w:rFonts w:ascii="Times New Roman" w:eastAsia="Calibri" w:hAnsi="Times New Roman" w:cs="Times New Roman"/>
          <w:i/>
          <w:sz w:val="24"/>
          <w:szCs w:val="24"/>
          <w:lang w:val="en-US"/>
        </w:rPr>
        <w:t>lenders</w:t>
      </w:r>
      <w:r w:rsidR="005F4F89" w:rsidRPr="00BC32CF">
        <w:rPr>
          <w:rFonts w:ascii="Times New Roman" w:eastAsia="Calibri" w:hAnsi="Times New Roman" w:cs="Times New Roman"/>
          <w:i/>
          <w:sz w:val="24"/>
          <w:szCs w:val="24"/>
          <w:lang w:val="en-US"/>
        </w:rPr>
        <w:t xml:space="preserve"> to PPPs</w:t>
      </w:r>
      <w:r w:rsidRPr="00BC32CF">
        <w:rPr>
          <w:rFonts w:ascii="Times New Roman" w:eastAsia="Calibri" w:hAnsi="Times New Roman" w:cs="Times New Roman"/>
          <w:i/>
          <w:sz w:val="24"/>
          <w:szCs w:val="24"/>
          <w:lang w:val="en-US"/>
        </w:rPr>
        <w:t xml:space="preserve">”. </w:t>
      </w:r>
    </w:p>
    <w:p w14:paraId="121CD2CC" w14:textId="77777777" w:rsidR="003A4DC9" w:rsidRPr="00BC32CF" w:rsidRDefault="007857EE" w:rsidP="002A2D4B">
      <w:pPr>
        <w:spacing w:before="240" w:after="200" w:line="480" w:lineRule="auto"/>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Boeing and Kalidindi (2009) highlighted </w:t>
      </w:r>
      <w:r w:rsidR="00A348F3" w:rsidRPr="00BC32CF">
        <w:rPr>
          <w:rFonts w:ascii="Times New Roman" w:eastAsia="Calibri" w:hAnsi="Times New Roman" w:cs="Times New Roman"/>
          <w:sz w:val="24"/>
          <w:szCs w:val="24"/>
          <w:lang w:val="en-US"/>
        </w:rPr>
        <w:t>the above</w:t>
      </w:r>
      <w:r w:rsidRPr="00BC32CF">
        <w:rPr>
          <w:rFonts w:ascii="Times New Roman" w:eastAsia="Calibri" w:hAnsi="Times New Roman" w:cs="Times New Roman"/>
          <w:sz w:val="24"/>
          <w:szCs w:val="24"/>
          <w:lang w:val="en-US"/>
        </w:rPr>
        <w:t xml:space="preserve"> </w:t>
      </w:r>
      <w:r w:rsidR="004E3AC9" w:rsidRPr="00BC32CF">
        <w:rPr>
          <w:rFonts w:ascii="Times New Roman" w:eastAsia="Calibri" w:hAnsi="Times New Roman" w:cs="Times New Roman"/>
          <w:sz w:val="24"/>
          <w:szCs w:val="24"/>
          <w:lang w:val="en-US"/>
        </w:rPr>
        <w:t>perspective</w:t>
      </w:r>
      <w:r w:rsidRPr="00BC32CF">
        <w:rPr>
          <w:rFonts w:ascii="Times New Roman" w:eastAsia="Calibri" w:hAnsi="Times New Roman" w:cs="Times New Roman"/>
          <w:sz w:val="24"/>
          <w:szCs w:val="24"/>
          <w:lang w:val="en-US"/>
        </w:rPr>
        <w:t xml:space="preserve"> and suggested that, </w:t>
      </w:r>
      <w:r w:rsidR="00A348F3" w:rsidRPr="00BC32CF">
        <w:rPr>
          <w:rFonts w:ascii="Times New Roman" w:eastAsia="Calibri" w:hAnsi="Times New Roman" w:cs="Times New Roman"/>
          <w:sz w:val="24"/>
          <w:szCs w:val="24"/>
          <w:lang w:val="en-US"/>
        </w:rPr>
        <w:t>in most instances lenders exercise</w:t>
      </w:r>
      <w:r w:rsidRPr="00BC32CF">
        <w:rPr>
          <w:rFonts w:ascii="Times New Roman" w:eastAsia="Calibri" w:hAnsi="Times New Roman" w:cs="Times New Roman"/>
          <w:sz w:val="24"/>
          <w:szCs w:val="24"/>
          <w:lang w:val="en-US"/>
        </w:rPr>
        <w:t xml:space="preserve"> security rights over assets and cash flows of PPP</w:t>
      </w:r>
      <w:r w:rsidR="00A348F3" w:rsidRPr="00BC32CF">
        <w:rPr>
          <w:rFonts w:ascii="Times New Roman" w:eastAsia="Calibri" w:hAnsi="Times New Roman" w:cs="Times New Roman"/>
          <w:sz w:val="24"/>
          <w:szCs w:val="24"/>
          <w:lang w:val="en-US"/>
        </w:rPr>
        <w:t>s</w:t>
      </w:r>
      <w:r w:rsidRPr="00BC32CF">
        <w:rPr>
          <w:rFonts w:ascii="Times New Roman" w:eastAsia="Calibri" w:hAnsi="Times New Roman" w:cs="Times New Roman"/>
          <w:sz w:val="24"/>
          <w:szCs w:val="24"/>
          <w:lang w:val="en-US"/>
        </w:rPr>
        <w:t xml:space="preserve"> </w:t>
      </w:r>
      <w:r w:rsidR="00A348F3" w:rsidRPr="00BC32CF">
        <w:rPr>
          <w:rFonts w:ascii="Times New Roman" w:eastAsia="Calibri" w:hAnsi="Times New Roman" w:cs="Times New Roman"/>
          <w:sz w:val="24"/>
          <w:szCs w:val="24"/>
          <w:lang w:val="en-US"/>
        </w:rPr>
        <w:t>in order to</w:t>
      </w:r>
      <w:r w:rsidRPr="00BC32CF">
        <w:rPr>
          <w:rFonts w:ascii="Times New Roman" w:eastAsia="Calibri" w:hAnsi="Times New Roman" w:cs="Times New Roman"/>
          <w:sz w:val="24"/>
          <w:szCs w:val="24"/>
          <w:lang w:val="en-US"/>
        </w:rPr>
        <w:t xml:space="preserve"> consolidate their positions</w:t>
      </w:r>
      <w:r w:rsidR="004E3AC9" w:rsidRPr="00BC32CF">
        <w:rPr>
          <w:rFonts w:ascii="Times New Roman" w:eastAsia="Calibri" w:hAnsi="Times New Roman" w:cs="Times New Roman"/>
          <w:sz w:val="24"/>
          <w:szCs w:val="24"/>
          <w:lang w:val="en-US"/>
        </w:rPr>
        <w:t xml:space="preserve"> in a project.</w:t>
      </w:r>
      <w:r w:rsidRPr="00BC32CF">
        <w:rPr>
          <w:rFonts w:ascii="Times New Roman" w:eastAsia="Calibri" w:hAnsi="Times New Roman" w:cs="Times New Roman"/>
          <w:sz w:val="24"/>
          <w:szCs w:val="24"/>
          <w:lang w:val="en-US"/>
        </w:rPr>
        <w:t xml:space="preserve"> </w:t>
      </w:r>
      <w:r w:rsidR="004E3AC9" w:rsidRPr="00BC32CF">
        <w:rPr>
          <w:rFonts w:ascii="Times New Roman" w:eastAsia="Calibri" w:hAnsi="Times New Roman" w:cs="Times New Roman"/>
          <w:sz w:val="24"/>
          <w:szCs w:val="24"/>
          <w:lang w:val="en-US"/>
        </w:rPr>
        <w:t xml:space="preserve">This becomes more important </w:t>
      </w:r>
      <w:r w:rsidRPr="00BC32CF">
        <w:rPr>
          <w:rFonts w:ascii="Times New Roman" w:eastAsia="Calibri" w:hAnsi="Times New Roman" w:cs="Times New Roman"/>
          <w:sz w:val="24"/>
          <w:szCs w:val="24"/>
          <w:lang w:val="en-US"/>
        </w:rPr>
        <w:t xml:space="preserve">in the event </w:t>
      </w:r>
      <w:r w:rsidR="00A348F3" w:rsidRPr="00BC32CF">
        <w:rPr>
          <w:rFonts w:ascii="Times New Roman" w:eastAsia="Calibri" w:hAnsi="Times New Roman" w:cs="Times New Roman"/>
          <w:sz w:val="24"/>
          <w:szCs w:val="24"/>
          <w:lang w:val="en-US"/>
        </w:rPr>
        <w:t>of project failure</w:t>
      </w:r>
      <w:r w:rsidRPr="00BC32CF">
        <w:rPr>
          <w:rFonts w:ascii="Times New Roman" w:eastAsia="Calibri" w:hAnsi="Times New Roman" w:cs="Times New Roman"/>
          <w:sz w:val="24"/>
          <w:szCs w:val="24"/>
          <w:lang w:val="en-US"/>
        </w:rPr>
        <w:t xml:space="preserve"> or concession </w:t>
      </w:r>
      <w:r w:rsidR="00A348F3" w:rsidRPr="00BC32CF">
        <w:rPr>
          <w:rFonts w:ascii="Times New Roman" w:eastAsia="Calibri" w:hAnsi="Times New Roman" w:cs="Times New Roman"/>
          <w:sz w:val="24"/>
          <w:szCs w:val="24"/>
          <w:lang w:val="en-US"/>
        </w:rPr>
        <w:t>termination</w:t>
      </w:r>
      <w:r w:rsidRPr="00BC32CF">
        <w:rPr>
          <w:rFonts w:ascii="Times New Roman" w:eastAsia="Calibri" w:hAnsi="Times New Roman" w:cs="Times New Roman"/>
          <w:sz w:val="24"/>
          <w:szCs w:val="24"/>
          <w:lang w:val="en-US"/>
        </w:rPr>
        <w:t xml:space="preserve"> by the </w:t>
      </w:r>
      <w:r w:rsidR="004E3AC9" w:rsidRPr="00BC32CF">
        <w:rPr>
          <w:rFonts w:ascii="Times New Roman" w:eastAsia="Calibri" w:hAnsi="Times New Roman" w:cs="Times New Roman"/>
          <w:sz w:val="24"/>
          <w:szCs w:val="24"/>
          <w:lang w:val="en-US"/>
        </w:rPr>
        <w:t>awarding authority</w:t>
      </w:r>
      <w:r w:rsidRPr="00BC32CF">
        <w:rPr>
          <w:rFonts w:ascii="Times New Roman" w:eastAsia="Calibri" w:hAnsi="Times New Roman" w:cs="Times New Roman"/>
          <w:sz w:val="24"/>
          <w:szCs w:val="24"/>
          <w:lang w:val="en-US"/>
        </w:rPr>
        <w:t>.</w:t>
      </w:r>
      <w:r w:rsidR="00E62D94" w:rsidRPr="00BC32CF">
        <w:rPr>
          <w:rFonts w:ascii="Times New Roman" w:eastAsia="Calibri" w:hAnsi="Times New Roman" w:cs="Times New Roman"/>
          <w:sz w:val="24"/>
          <w:szCs w:val="24"/>
          <w:lang w:val="en-US"/>
        </w:rPr>
        <w:t xml:space="preserve"> </w:t>
      </w:r>
      <w:r w:rsidR="004E3AC9" w:rsidRPr="00BC32CF">
        <w:rPr>
          <w:rFonts w:ascii="Times New Roman" w:eastAsia="Calibri" w:hAnsi="Times New Roman" w:cs="Times New Roman"/>
          <w:sz w:val="24"/>
          <w:szCs w:val="24"/>
          <w:lang w:val="en-US"/>
        </w:rPr>
        <w:t>Hence, such security rights help</w:t>
      </w:r>
      <w:r w:rsidR="00E62D94" w:rsidRPr="00BC32CF">
        <w:rPr>
          <w:rFonts w:ascii="Times New Roman" w:eastAsia="Calibri" w:hAnsi="Times New Roman" w:cs="Times New Roman"/>
          <w:sz w:val="24"/>
          <w:szCs w:val="24"/>
          <w:lang w:val="en-US"/>
        </w:rPr>
        <w:t xml:space="preserve"> foreign lenders to mitigate the severity of any exposure at project default (Hoffman, 2008).</w:t>
      </w:r>
    </w:p>
    <w:p w14:paraId="76CF95E0" w14:textId="77777777" w:rsidR="00A27595" w:rsidRPr="00BC32CF" w:rsidRDefault="009C3835" w:rsidP="002A2D4B">
      <w:pPr>
        <w:pStyle w:val="Heading1"/>
        <w:spacing w:line="480" w:lineRule="auto"/>
      </w:pPr>
      <w:r w:rsidRPr="00BC32CF">
        <w:t>7</w:t>
      </w:r>
      <w:r w:rsidR="00A27595" w:rsidRPr="00BC32CF">
        <w:t>.</w:t>
      </w:r>
      <w:r w:rsidR="00AA7922" w:rsidRPr="00BC32CF">
        <w:t>0</w:t>
      </w:r>
      <w:r w:rsidR="00A27595" w:rsidRPr="00BC32CF">
        <w:tab/>
      </w:r>
      <w:r w:rsidR="00560578" w:rsidRPr="00BC32CF">
        <w:t>Conclusion</w:t>
      </w:r>
    </w:p>
    <w:p w14:paraId="14B5B44E" w14:textId="69F78689" w:rsidR="00A27595" w:rsidRPr="00BC32CF" w:rsidRDefault="004E3AC9" w:rsidP="00850CC6">
      <w:pPr>
        <w:spacing w:line="480" w:lineRule="auto"/>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u w:val="single"/>
          <w:lang w:val="en-US"/>
        </w:rPr>
        <w:t xml:space="preserve">Project finance stakeholders consider the </w:t>
      </w:r>
      <w:r w:rsidR="00A27595" w:rsidRPr="00BC32CF">
        <w:rPr>
          <w:rFonts w:ascii="Times New Roman" w:eastAsia="Calibri" w:hAnsi="Times New Roman" w:cs="Times New Roman"/>
          <w:sz w:val="24"/>
          <w:szCs w:val="24"/>
          <w:u w:val="single"/>
          <w:lang w:val="en-US"/>
        </w:rPr>
        <w:t xml:space="preserve">bankability of country-related risks </w:t>
      </w:r>
      <w:r w:rsidR="00A22016" w:rsidRPr="00BC32CF">
        <w:rPr>
          <w:rFonts w:ascii="Times New Roman" w:eastAsia="Calibri" w:hAnsi="Times New Roman" w:cs="Times New Roman"/>
          <w:sz w:val="24"/>
          <w:szCs w:val="24"/>
          <w:u w:val="single"/>
          <w:lang w:val="en-US"/>
        </w:rPr>
        <w:t xml:space="preserve">as essential for </w:t>
      </w:r>
      <w:r w:rsidR="00283EC3" w:rsidRPr="00BC32CF">
        <w:rPr>
          <w:rFonts w:ascii="Times New Roman" w:eastAsia="Calibri" w:hAnsi="Times New Roman" w:cs="Times New Roman"/>
          <w:sz w:val="24"/>
          <w:szCs w:val="24"/>
          <w:u w:val="single"/>
          <w:lang w:val="en-US"/>
        </w:rPr>
        <w:t xml:space="preserve">funding </w:t>
      </w:r>
      <w:r w:rsidR="001F2F1B" w:rsidRPr="00BC32CF">
        <w:rPr>
          <w:rFonts w:ascii="Times New Roman" w:eastAsia="Calibri" w:hAnsi="Times New Roman" w:cs="Times New Roman"/>
          <w:sz w:val="24"/>
          <w:szCs w:val="24"/>
          <w:u w:val="single"/>
          <w:lang w:val="en-US"/>
        </w:rPr>
        <w:t>PPP projects</w:t>
      </w:r>
      <w:r w:rsidR="00283EC3" w:rsidRPr="00BC32CF">
        <w:rPr>
          <w:rFonts w:ascii="Times New Roman" w:eastAsia="Calibri" w:hAnsi="Times New Roman" w:cs="Times New Roman"/>
          <w:sz w:val="24"/>
          <w:szCs w:val="24"/>
          <w:u w:val="single"/>
          <w:lang w:val="en-US"/>
        </w:rPr>
        <w:t xml:space="preserve"> in</w:t>
      </w:r>
      <w:r w:rsidR="00A27595" w:rsidRPr="00BC32CF">
        <w:rPr>
          <w:rFonts w:ascii="Times New Roman" w:eastAsia="Calibri" w:hAnsi="Times New Roman" w:cs="Times New Roman"/>
          <w:sz w:val="24"/>
          <w:szCs w:val="24"/>
          <w:u w:val="single"/>
          <w:lang w:val="en-US"/>
        </w:rPr>
        <w:t xml:space="preserve"> emerging market</w:t>
      </w:r>
      <w:r w:rsidR="001F2F1B" w:rsidRPr="00BC32CF">
        <w:rPr>
          <w:rFonts w:ascii="Times New Roman" w:eastAsia="Calibri" w:hAnsi="Times New Roman" w:cs="Times New Roman"/>
          <w:sz w:val="24"/>
          <w:szCs w:val="24"/>
          <w:u w:val="single"/>
          <w:lang w:val="en-US"/>
        </w:rPr>
        <w:t>s</w:t>
      </w:r>
      <w:r w:rsidR="00A27595" w:rsidRPr="00BC32CF">
        <w:rPr>
          <w:rFonts w:ascii="Times New Roman" w:eastAsia="Calibri" w:hAnsi="Times New Roman" w:cs="Times New Roman"/>
          <w:sz w:val="24"/>
          <w:szCs w:val="24"/>
          <w:u w:val="single"/>
          <w:lang w:val="en-US"/>
        </w:rPr>
        <w:t xml:space="preserve">. </w:t>
      </w:r>
      <w:r w:rsidR="001F2F1B" w:rsidRPr="00BC32CF">
        <w:rPr>
          <w:rFonts w:ascii="Times New Roman" w:eastAsia="Calibri" w:hAnsi="Times New Roman" w:cs="Times New Roman"/>
          <w:sz w:val="24"/>
          <w:szCs w:val="24"/>
          <w:u w:val="single"/>
          <w:lang w:val="en-US"/>
        </w:rPr>
        <w:t>Bankability of project risk is</w:t>
      </w:r>
      <w:r w:rsidR="00283EC3" w:rsidRPr="00BC32CF">
        <w:rPr>
          <w:rFonts w:ascii="Times New Roman" w:eastAsia="Calibri" w:hAnsi="Times New Roman" w:cs="Times New Roman"/>
          <w:sz w:val="24"/>
          <w:szCs w:val="24"/>
          <w:u w:val="single"/>
          <w:lang w:val="en-US"/>
        </w:rPr>
        <w:t xml:space="preserve"> </w:t>
      </w:r>
      <w:r w:rsidRPr="00BC32CF">
        <w:rPr>
          <w:rFonts w:ascii="Times New Roman" w:eastAsia="Calibri" w:hAnsi="Times New Roman" w:cs="Times New Roman"/>
          <w:sz w:val="24"/>
          <w:szCs w:val="24"/>
          <w:u w:val="single"/>
          <w:lang w:val="en-US"/>
        </w:rPr>
        <w:t xml:space="preserve">even </w:t>
      </w:r>
      <w:r w:rsidR="00283EC3" w:rsidRPr="00BC32CF">
        <w:rPr>
          <w:rFonts w:ascii="Times New Roman" w:eastAsia="Calibri" w:hAnsi="Times New Roman" w:cs="Times New Roman"/>
          <w:sz w:val="24"/>
          <w:szCs w:val="24"/>
          <w:u w:val="single"/>
          <w:lang w:val="en-US"/>
        </w:rPr>
        <w:t>more crucial within</w:t>
      </w:r>
      <w:r w:rsidR="00A27595" w:rsidRPr="00BC32CF">
        <w:rPr>
          <w:rFonts w:ascii="Times New Roman" w:eastAsia="Calibri" w:hAnsi="Times New Roman" w:cs="Times New Roman"/>
          <w:sz w:val="24"/>
          <w:szCs w:val="24"/>
          <w:u w:val="single"/>
          <w:lang w:val="en-US"/>
        </w:rPr>
        <w:t xml:space="preserve"> Sub Saharan Africa</w:t>
      </w:r>
      <w:r w:rsidR="00283EC3" w:rsidRPr="00BC32CF">
        <w:rPr>
          <w:rFonts w:ascii="Times New Roman" w:eastAsia="Calibri" w:hAnsi="Times New Roman" w:cs="Times New Roman"/>
          <w:sz w:val="24"/>
          <w:szCs w:val="24"/>
          <w:u w:val="single"/>
          <w:lang w:val="en-US"/>
        </w:rPr>
        <w:t>n context</w:t>
      </w:r>
      <w:r w:rsidR="00A22016" w:rsidRPr="00BC32CF">
        <w:rPr>
          <w:rFonts w:ascii="Times New Roman" w:eastAsia="Calibri" w:hAnsi="Times New Roman" w:cs="Times New Roman"/>
          <w:sz w:val="24"/>
          <w:szCs w:val="24"/>
          <w:u w:val="single"/>
          <w:lang w:val="en-US"/>
        </w:rPr>
        <w:t xml:space="preserve"> given</w:t>
      </w:r>
      <w:r w:rsidR="00283EC3" w:rsidRPr="00BC32CF">
        <w:rPr>
          <w:rFonts w:ascii="Times New Roman" w:eastAsia="Calibri" w:hAnsi="Times New Roman" w:cs="Times New Roman"/>
          <w:sz w:val="24"/>
          <w:szCs w:val="24"/>
          <w:u w:val="single"/>
          <w:lang w:val="en-US"/>
        </w:rPr>
        <w:t xml:space="preserve"> the </w:t>
      </w:r>
      <w:r w:rsidRPr="00BC32CF">
        <w:rPr>
          <w:rFonts w:ascii="Times New Roman" w:eastAsia="Calibri" w:hAnsi="Times New Roman" w:cs="Times New Roman"/>
          <w:sz w:val="24"/>
          <w:szCs w:val="24"/>
          <w:u w:val="single"/>
          <w:lang w:val="en-US"/>
        </w:rPr>
        <w:t>high</w:t>
      </w:r>
      <w:r w:rsidR="00A22016" w:rsidRPr="00BC32CF">
        <w:rPr>
          <w:rFonts w:ascii="Times New Roman" w:eastAsia="Calibri" w:hAnsi="Times New Roman" w:cs="Times New Roman"/>
          <w:sz w:val="24"/>
          <w:szCs w:val="24"/>
          <w:u w:val="single"/>
          <w:lang w:val="en-US"/>
        </w:rPr>
        <w:t xml:space="preserve"> country</w:t>
      </w:r>
      <w:r w:rsidRPr="00BC32CF">
        <w:rPr>
          <w:rFonts w:ascii="Times New Roman" w:eastAsia="Calibri" w:hAnsi="Times New Roman" w:cs="Times New Roman"/>
          <w:sz w:val="24"/>
          <w:szCs w:val="24"/>
          <w:u w:val="single"/>
          <w:lang w:val="en-US"/>
        </w:rPr>
        <w:t>-risk perception</w:t>
      </w:r>
      <w:r w:rsidR="00A22016" w:rsidRPr="00BC32CF">
        <w:rPr>
          <w:rFonts w:ascii="Times New Roman" w:eastAsia="Calibri" w:hAnsi="Times New Roman" w:cs="Times New Roman"/>
          <w:sz w:val="24"/>
          <w:szCs w:val="24"/>
          <w:u w:val="single"/>
          <w:lang w:val="en-US"/>
        </w:rPr>
        <w:t xml:space="preserve"> </w:t>
      </w:r>
      <w:r w:rsidR="001F2F1B" w:rsidRPr="00BC32CF">
        <w:rPr>
          <w:rFonts w:ascii="Times New Roman" w:eastAsia="Calibri" w:hAnsi="Times New Roman" w:cs="Times New Roman"/>
          <w:sz w:val="24"/>
          <w:szCs w:val="24"/>
          <w:u w:val="single"/>
          <w:lang w:val="en-US"/>
        </w:rPr>
        <w:t>which</w:t>
      </w:r>
      <w:r w:rsidR="00A22016" w:rsidRPr="00BC32CF">
        <w:rPr>
          <w:rFonts w:ascii="Times New Roman" w:eastAsia="Calibri" w:hAnsi="Times New Roman" w:cs="Times New Roman"/>
          <w:sz w:val="24"/>
          <w:szCs w:val="24"/>
          <w:u w:val="single"/>
          <w:lang w:val="en-US"/>
        </w:rPr>
        <w:t xml:space="preserve"> has</w:t>
      </w:r>
      <w:r w:rsidRPr="00BC32CF">
        <w:rPr>
          <w:rFonts w:ascii="Times New Roman" w:eastAsia="Calibri" w:hAnsi="Times New Roman" w:cs="Times New Roman"/>
          <w:sz w:val="24"/>
          <w:szCs w:val="24"/>
          <w:u w:val="single"/>
          <w:lang w:val="en-US"/>
        </w:rPr>
        <w:t xml:space="preserve"> </w:t>
      </w:r>
      <w:r w:rsidR="00A22016" w:rsidRPr="00BC32CF">
        <w:rPr>
          <w:rFonts w:ascii="Times New Roman" w:eastAsia="Calibri" w:hAnsi="Times New Roman" w:cs="Times New Roman"/>
          <w:sz w:val="24"/>
          <w:szCs w:val="24"/>
          <w:u w:val="single"/>
          <w:lang w:val="en-US"/>
        </w:rPr>
        <w:t>hindered adequate</w:t>
      </w:r>
      <w:r w:rsidRPr="00BC32CF">
        <w:rPr>
          <w:rFonts w:ascii="Times New Roman" w:eastAsia="Calibri" w:hAnsi="Times New Roman" w:cs="Times New Roman"/>
          <w:sz w:val="24"/>
          <w:szCs w:val="24"/>
          <w:u w:val="single"/>
          <w:lang w:val="en-US"/>
        </w:rPr>
        <w:t xml:space="preserve"> </w:t>
      </w:r>
      <w:r w:rsidR="00A22016" w:rsidRPr="00BC32CF">
        <w:rPr>
          <w:rFonts w:ascii="Times New Roman" w:eastAsia="Calibri" w:hAnsi="Times New Roman" w:cs="Times New Roman"/>
          <w:sz w:val="24"/>
          <w:szCs w:val="24"/>
          <w:u w:val="single"/>
          <w:lang w:val="en-US"/>
        </w:rPr>
        <w:t>foreign financing.</w:t>
      </w:r>
      <w:r w:rsidR="00A27595" w:rsidRPr="00BC32CF">
        <w:rPr>
          <w:rFonts w:ascii="Times New Roman" w:eastAsia="Calibri" w:hAnsi="Times New Roman" w:cs="Times New Roman"/>
          <w:sz w:val="24"/>
          <w:szCs w:val="24"/>
          <w:u w:val="single"/>
          <w:lang w:val="en-US"/>
        </w:rPr>
        <w:t xml:space="preserve"> This study </w:t>
      </w:r>
      <w:r w:rsidR="001F2F1B" w:rsidRPr="00BC32CF">
        <w:rPr>
          <w:rFonts w:ascii="Times New Roman" w:eastAsia="Calibri" w:hAnsi="Times New Roman" w:cs="Times New Roman"/>
          <w:sz w:val="24"/>
          <w:szCs w:val="24"/>
          <w:u w:val="single"/>
          <w:lang w:val="en-US"/>
        </w:rPr>
        <w:t>embraced a</w:t>
      </w:r>
      <w:r w:rsidR="00A22016" w:rsidRPr="00BC32CF">
        <w:rPr>
          <w:rFonts w:ascii="Times New Roman" w:eastAsia="Calibri" w:hAnsi="Times New Roman" w:cs="Times New Roman"/>
          <w:sz w:val="24"/>
          <w:szCs w:val="24"/>
          <w:u w:val="single"/>
          <w:lang w:val="en-US"/>
        </w:rPr>
        <w:t xml:space="preserve"> mixed </w:t>
      </w:r>
      <w:r w:rsidR="00283EC3" w:rsidRPr="00BC32CF">
        <w:rPr>
          <w:rFonts w:ascii="Times New Roman" w:eastAsia="Calibri" w:hAnsi="Times New Roman" w:cs="Times New Roman"/>
          <w:sz w:val="24"/>
          <w:szCs w:val="24"/>
          <w:u w:val="single"/>
          <w:lang w:val="en-US"/>
        </w:rPr>
        <w:t>method</w:t>
      </w:r>
      <w:r w:rsidR="00A22016" w:rsidRPr="00BC32CF">
        <w:rPr>
          <w:rFonts w:ascii="Times New Roman" w:eastAsia="Calibri" w:hAnsi="Times New Roman" w:cs="Times New Roman"/>
          <w:sz w:val="24"/>
          <w:szCs w:val="24"/>
          <w:u w:val="single"/>
          <w:lang w:val="en-US"/>
        </w:rPr>
        <w:t>ology approach</w:t>
      </w:r>
      <w:r w:rsidR="00A27595" w:rsidRPr="00BC32CF">
        <w:rPr>
          <w:rFonts w:ascii="Times New Roman" w:eastAsia="Calibri" w:hAnsi="Times New Roman" w:cs="Times New Roman"/>
          <w:sz w:val="24"/>
          <w:szCs w:val="24"/>
          <w:u w:val="single"/>
          <w:lang w:val="en-US"/>
        </w:rPr>
        <w:t xml:space="preserve"> </w:t>
      </w:r>
      <w:r w:rsidR="00A22016" w:rsidRPr="00BC32CF">
        <w:rPr>
          <w:rFonts w:ascii="Times New Roman" w:eastAsia="Calibri" w:hAnsi="Times New Roman" w:cs="Times New Roman"/>
          <w:sz w:val="24"/>
          <w:szCs w:val="24"/>
          <w:u w:val="single"/>
          <w:lang w:val="en-US"/>
        </w:rPr>
        <w:t>to investigate</w:t>
      </w:r>
      <w:r w:rsidR="00A27595" w:rsidRPr="00BC32CF">
        <w:rPr>
          <w:rFonts w:ascii="Times New Roman" w:eastAsia="Calibri" w:hAnsi="Times New Roman" w:cs="Times New Roman"/>
          <w:sz w:val="24"/>
          <w:szCs w:val="24"/>
          <w:u w:val="single"/>
          <w:lang w:val="en-US"/>
        </w:rPr>
        <w:t xml:space="preserve"> fou</w:t>
      </w:r>
      <w:r w:rsidR="00A22016" w:rsidRPr="00BC32CF">
        <w:rPr>
          <w:rFonts w:ascii="Times New Roman" w:eastAsia="Calibri" w:hAnsi="Times New Roman" w:cs="Times New Roman"/>
          <w:sz w:val="24"/>
          <w:szCs w:val="24"/>
          <w:u w:val="single"/>
          <w:lang w:val="en-US"/>
        </w:rPr>
        <w:t xml:space="preserve">r country-related risks prevalent in </w:t>
      </w:r>
      <w:r w:rsidR="009239B1" w:rsidRPr="00BC32CF">
        <w:rPr>
          <w:rFonts w:ascii="Times New Roman" w:eastAsia="Calibri" w:hAnsi="Times New Roman" w:cs="Times New Roman"/>
          <w:sz w:val="24"/>
          <w:szCs w:val="24"/>
          <w:u w:val="single"/>
          <w:lang w:val="en-US"/>
        </w:rPr>
        <w:t>many emerging markets</w:t>
      </w:r>
      <w:r w:rsidR="00A22016" w:rsidRPr="00BC32CF">
        <w:rPr>
          <w:rFonts w:ascii="Times New Roman" w:eastAsia="Calibri" w:hAnsi="Times New Roman" w:cs="Times New Roman"/>
          <w:sz w:val="24"/>
          <w:szCs w:val="24"/>
          <w:u w:val="single"/>
          <w:lang w:val="en-US"/>
        </w:rPr>
        <w:t xml:space="preserve"> by using Nigerian PPP</w:t>
      </w:r>
      <w:r w:rsidR="009239B1" w:rsidRPr="00BC32CF">
        <w:rPr>
          <w:rFonts w:ascii="Times New Roman" w:eastAsia="Calibri" w:hAnsi="Times New Roman" w:cs="Times New Roman"/>
          <w:sz w:val="24"/>
          <w:szCs w:val="24"/>
          <w:u w:val="single"/>
          <w:lang w:val="en-US"/>
        </w:rPr>
        <w:t xml:space="preserve"> environment as</w:t>
      </w:r>
      <w:r w:rsidR="00A22016" w:rsidRPr="00BC32CF">
        <w:rPr>
          <w:rFonts w:ascii="Times New Roman" w:eastAsia="Calibri" w:hAnsi="Times New Roman" w:cs="Times New Roman"/>
          <w:sz w:val="24"/>
          <w:szCs w:val="24"/>
          <w:u w:val="single"/>
          <w:lang w:val="en-US"/>
        </w:rPr>
        <w:t xml:space="preserve"> </w:t>
      </w:r>
      <w:r w:rsidR="009239B1" w:rsidRPr="00BC32CF">
        <w:rPr>
          <w:rFonts w:ascii="Times New Roman" w:eastAsia="Calibri" w:hAnsi="Times New Roman" w:cs="Times New Roman"/>
          <w:sz w:val="24"/>
          <w:szCs w:val="24"/>
          <w:u w:val="single"/>
          <w:lang w:val="en-US"/>
        </w:rPr>
        <w:t>context</w:t>
      </w:r>
      <w:r w:rsidR="00A22016" w:rsidRPr="00BC32CF">
        <w:rPr>
          <w:rFonts w:ascii="Times New Roman" w:eastAsia="Calibri" w:hAnsi="Times New Roman" w:cs="Times New Roman"/>
          <w:sz w:val="24"/>
          <w:szCs w:val="24"/>
          <w:u w:val="single"/>
          <w:lang w:val="en-US"/>
        </w:rPr>
        <w:t xml:space="preserve">. The investigated risks included </w:t>
      </w:r>
      <w:r w:rsidRPr="00BC32CF">
        <w:rPr>
          <w:rFonts w:ascii="Times New Roman" w:eastAsia="Calibri" w:hAnsi="Times New Roman" w:cs="Times New Roman"/>
          <w:sz w:val="24"/>
          <w:szCs w:val="24"/>
          <w:u w:val="single"/>
          <w:lang w:val="en-US"/>
        </w:rPr>
        <w:t xml:space="preserve">sponsor risk, political, </w:t>
      </w:r>
      <w:r w:rsidR="009239B1" w:rsidRPr="00BC32CF">
        <w:rPr>
          <w:rFonts w:ascii="Times New Roman" w:eastAsia="Calibri" w:hAnsi="Times New Roman" w:cs="Times New Roman"/>
          <w:sz w:val="24"/>
          <w:szCs w:val="24"/>
          <w:u w:val="single"/>
          <w:lang w:val="en-US"/>
        </w:rPr>
        <w:t>legal and concession risks. M</w:t>
      </w:r>
      <w:r w:rsidR="00283EC3" w:rsidRPr="00BC32CF">
        <w:rPr>
          <w:rFonts w:ascii="Times New Roman" w:eastAsia="Calibri" w:hAnsi="Times New Roman" w:cs="Times New Roman"/>
          <w:sz w:val="24"/>
          <w:szCs w:val="24"/>
          <w:u w:val="single"/>
          <w:lang w:val="en-US"/>
        </w:rPr>
        <w:t xml:space="preserve">ultiple case </w:t>
      </w:r>
      <w:r w:rsidR="009239B1" w:rsidRPr="00BC32CF">
        <w:rPr>
          <w:rFonts w:ascii="Times New Roman" w:eastAsia="Calibri" w:hAnsi="Times New Roman" w:cs="Times New Roman"/>
          <w:sz w:val="24"/>
          <w:szCs w:val="24"/>
          <w:u w:val="single"/>
          <w:lang w:val="en-US"/>
        </w:rPr>
        <w:t>studies</w:t>
      </w:r>
      <w:r w:rsidR="00283EC3" w:rsidRPr="00BC32CF">
        <w:rPr>
          <w:rFonts w:ascii="Times New Roman" w:eastAsia="Calibri" w:hAnsi="Times New Roman" w:cs="Times New Roman"/>
          <w:sz w:val="24"/>
          <w:szCs w:val="24"/>
          <w:u w:val="single"/>
          <w:lang w:val="en-US"/>
        </w:rPr>
        <w:t xml:space="preserve"> of </w:t>
      </w:r>
      <w:r w:rsidR="00A27595" w:rsidRPr="00BC32CF">
        <w:rPr>
          <w:rFonts w:ascii="Times New Roman" w:eastAsia="Calibri" w:hAnsi="Times New Roman" w:cs="Times New Roman"/>
          <w:sz w:val="24"/>
          <w:szCs w:val="24"/>
          <w:u w:val="single"/>
          <w:lang w:val="en-US"/>
        </w:rPr>
        <w:t xml:space="preserve">three PPP projects in Nigeria </w:t>
      </w:r>
      <w:r w:rsidR="009239B1" w:rsidRPr="00BC32CF">
        <w:rPr>
          <w:rFonts w:ascii="Times New Roman" w:eastAsia="Calibri" w:hAnsi="Times New Roman" w:cs="Times New Roman"/>
          <w:sz w:val="24"/>
          <w:szCs w:val="24"/>
          <w:u w:val="single"/>
          <w:lang w:val="en-US"/>
        </w:rPr>
        <w:t>were</w:t>
      </w:r>
      <w:r w:rsidR="00283EC3" w:rsidRPr="00BC32CF">
        <w:rPr>
          <w:rFonts w:ascii="Times New Roman" w:eastAsia="Calibri" w:hAnsi="Times New Roman" w:cs="Times New Roman"/>
          <w:sz w:val="24"/>
          <w:szCs w:val="24"/>
          <w:u w:val="single"/>
          <w:lang w:val="en-US"/>
        </w:rPr>
        <w:t xml:space="preserve"> </w:t>
      </w:r>
      <w:r w:rsidR="009239B1" w:rsidRPr="00BC32CF">
        <w:rPr>
          <w:rFonts w:ascii="Times New Roman" w:eastAsia="Calibri" w:hAnsi="Times New Roman" w:cs="Times New Roman"/>
          <w:sz w:val="24"/>
          <w:szCs w:val="24"/>
          <w:u w:val="single"/>
          <w:lang w:val="en-US"/>
        </w:rPr>
        <w:t>used</w:t>
      </w:r>
      <w:r w:rsidR="00283EC3" w:rsidRPr="00BC32CF">
        <w:rPr>
          <w:rFonts w:ascii="Times New Roman" w:eastAsia="Calibri" w:hAnsi="Times New Roman" w:cs="Times New Roman"/>
          <w:sz w:val="24"/>
          <w:szCs w:val="24"/>
          <w:u w:val="single"/>
          <w:lang w:val="en-US"/>
        </w:rPr>
        <w:t xml:space="preserve"> to </w:t>
      </w:r>
      <w:r w:rsidR="009239B1" w:rsidRPr="00BC32CF">
        <w:rPr>
          <w:rFonts w:ascii="Times New Roman" w:eastAsia="Calibri" w:hAnsi="Times New Roman" w:cs="Times New Roman"/>
          <w:sz w:val="24"/>
          <w:szCs w:val="24"/>
          <w:u w:val="single"/>
          <w:lang w:val="en-US"/>
        </w:rPr>
        <w:t>identify</w:t>
      </w:r>
      <w:r w:rsidR="00283EC3" w:rsidRPr="00BC32CF">
        <w:rPr>
          <w:rFonts w:ascii="Times New Roman" w:eastAsia="Calibri" w:hAnsi="Times New Roman" w:cs="Times New Roman"/>
          <w:sz w:val="24"/>
          <w:szCs w:val="24"/>
          <w:u w:val="single"/>
          <w:lang w:val="en-US"/>
        </w:rPr>
        <w:t xml:space="preserve"> </w:t>
      </w:r>
      <w:r w:rsidR="009239B1" w:rsidRPr="00BC32CF">
        <w:rPr>
          <w:rFonts w:ascii="Times New Roman" w:eastAsia="Calibri" w:hAnsi="Times New Roman" w:cs="Times New Roman"/>
          <w:sz w:val="24"/>
          <w:szCs w:val="24"/>
          <w:u w:val="single"/>
          <w:lang w:val="en-US"/>
        </w:rPr>
        <w:t xml:space="preserve">important </w:t>
      </w:r>
      <w:r w:rsidR="00283EC3" w:rsidRPr="00BC32CF">
        <w:rPr>
          <w:rFonts w:ascii="Times New Roman" w:eastAsia="Calibri" w:hAnsi="Times New Roman" w:cs="Times New Roman"/>
          <w:sz w:val="24"/>
          <w:szCs w:val="24"/>
          <w:u w:val="single"/>
          <w:lang w:val="en-US"/>
        </w:rPr>
        <w:t xml:space="preserve">bankability criteria </w:t>
      </w:r>
      <w:r w:rsidR="009239B1" w:rsidRPr="00BC32CF">
        <w:rPr>
          <w:rFonts w:ascii="Times New Roman" w:eastAsia="Calibri" w:hAnsi="Times New Roman" w:cs="Times New Roman"/>
          <w:sz w:val="24"/>
          <w:szCs w:val="24"/>
          <w:u w:val="single"/>
          <w:lang w:val="en-US"/>
        </w:rPr>
        <w:t xml:space="preserve">for </w:t>
      </w:r>
      <w:r w:rsidR="00283EC3" w:rsidRPr="00BC32CF">
        <w:rPr>
          <w:rFonts w:ascii="Times New Roman" w:eastAsia="Calibri" w:hAnsi="Times New Roman" w:cs="Times New Roman"/>
          <w:sz w:val="24"/>
          <w:szCs w:val="24"/>
          <w:u w:val="single"/>
          <w:lang w:val="en-US"/>
        </w:rPr>
        <w:t xml:space="preserve">evaluating </w:t>
      </w:r>
      <w:r w:rsidR="009239B1" w:rsidRPr="00BC32CF">
        <w:rPr>
          <w:rFonts w:ascii="Times New Roman" w:eastAsia="Calibri" w:hAnsi="Times New Roman" w:cs="Times New Roman"/>
          <w:sz w:val="24"/>
          <w:szCs w:val="24"/>
          <w:u w:val="single"/>
          <w:lang w:val="en-US"/>
        </w:rPr>
        <w:t>project</w:t>
      </w:r>
      <w:r w:rsidR="00283EC3" w:rsidRPr="00BC32CF">
        <w:rPr>
          <w:rFonts w:ascii="Times New Roman" w:eastAsia="Calibri" w:hAnsi="Times New Roman" w:cs="Times New Roman"/>
          <w:sz w:val="24"/>
          <w:szCs w:val="24"/>
          <w:u w:val="single"/>
          <w:lang w:val="en-US"/>
        </w:rPr>
        <w:t xml:space="preserve"> loan applications</w:t>
      </w:r>
      <w:r w:rsidR="009239B1" w:rsidRPr="00BC32CF">
        <w:rPr>
          <w:rFonts w:ascii="Times New Roman" w:eastAsia="Calibri" w:hAnsi="Times New Roman" w:cs="Times New Roman"/>
          <w:sz w:val="24"/>
          <w:szCs w:val="24"/>
          <w:u w:val="single"/>
          <w:lang w:val="en-US"/>
        </w:rPr>
        <w:t xml:space="preserve"> within emerging market context</w:t>
      </w:r>
      <w:r w:rsidR="00A27595" w:rsidRPr="00BC32CF">
        <w:rPr>
          <w:rFonts w:ascii="Times New Roman" w:eastAsia="Calibri" w:hAnsi="Times New Roman" w:cs="Times New Roman"/>
          <w:sz w:val="24"/>
          <w:szCs w:val="24"/>
          <w:u w:val="single"/>
          <w:lang w:val="en-US"/>
        </w:rPr>
        <w:t>.</w:t>
      </w:r>
      <w:r w:rsidR="001F2F1B" w:rsidRPr="00BC32CF">
        <w:rPr>
          <w:rFonts w:ascii="Times New Roman" w:eastAsia="Calibri" w:hAnsi="Times New Roman" w:cs="Times New Roman"/>
          <w:sz w:val="24"/>
          <w:szCs w:val="24"/>
          <w:u w:val="single"/>
          <w:lang w:val="en-US"/>
        </w:rPr>
        <w:t xml:space="preserve"> </w:t>
      </w:r>
      <w:r w:rsidR="00EF243D" w:rsidRPr="00BC32CF">
        <w:rPr>
          <w:rFonts w:ascii="Times New Roman" w:eastAsia="Calibri" w:hAnsi="Times New Roman" w:cs="Times New Roman"/>
          <w:sz w:val="24"/>
          <w:szCs w:val="24"/>
          <w:u w:val="single"/>
          <w:lang w:val="en-US"/>
        </w:rPr>
        <w:t>The q</w:t>
      </w:r>
      <w:r w:rsidR="009239B1" w:rsidRPr="00BC32CF">
        <w:rPr>
          <w:rFonts w:ascii="Times New Roman" w:eastAsia="Calibri" w:hAnsi="Times New Roman" w:cs="Times New Roman"/>
          <w:sz w:val="24"/>
          <w:szCs w:val="24"/>
          <w:u w:val="single"/>
          <w:lang w:val="en-US"/>
        </w:rPr>
        <w:t xml:space="preserve">ualitative </w:t>
      </w:r>
      <w:r w:rsidR="00EF243D" w:rsidRPr="00BC32CF">
        <w:rPr>
          <w:rFonts w:ascii="Times New Roman" w:eastAsia="Calibri" w:hAnsi="Times New Roman" w:cs="Times New Roman"/>
          <w:sz w:val="24"/>
          <w:szCs w:val="24"/>
          <w:u w:val="single"/>
          <w:lang w:val="en-US"/>
        </w:rPr>
        <w:t>strategy comprise</w:t>
      </w:r>
      <w:r w:rsidR="009239B1" w:rsidRPr="00BC32CF">
        <w:rPr>
          <w:rFonts w:ascii="Times New Roman" w:eastAsia="Calibri" w:hAnsi="Times New Roman" w:cs="Times New Roman"/>
          <w:sz w:val="24"/>
          <w:szCs w:val="24"/>
          <w:u w:val="single"/>
          <w:lang w:val="en-US"/>
        </w:rPr>
        <w:t xml:space="preserve"> f</w:t>
      </w:r>
      <w:r w:rsidR="00A27595" w:rsidRPr="00BC32CF">
        <w:rPr>
          <w:rFonts w:ascii="Times New Roman" w:eastAsia="Calibri" w:hAnsi="Times New Roman" w:cs="Times New Roman"/>
          <w:sz w:val="24"/>
          <w:szCs w:val="24"/>
          <w:u w:val="single"/>
          <w:lang w:val="en-US"/>
        </w:rPr>
        <w:t xml:space="preserve">ocus </w:t>
      </w:r>
      <w:r w:rsidR="00A27595" w:rsidRPr="00BC32CF">
        <w:rPr>
          <w:rFonts w:ascii="Times New Roman" w:eastAsia="Calibri" w:hAnsi="Times New Roman" w:cs="Times New Roman"/>
          <w:sz w:val="24"/>
          <w:szCs w:val="24"/>
          <w:u w:val="single"/>
          <w:lang w:val="en-US"/>
        </w:rPr>
        <w:lastRenderedPageBreak/>
        <w:t xml:space="preserve">group </w:t>
      </w:r>
      <w:r w:rsidR="00283EC3" w:rsidRPr="00BC32CF">
        <w:rPr>
          <w:rFonts w:ascii="Times New Roman" w:eastAsia="Calibri" w:hAnsi="Times New Roman" w:cs="Times New Roman"/>
          <w:sz w:val="24"/>
          <w:szCs w:val="24"/>
          <w:u w:val="single"/>
          <w:lang w:val="en-US"/>
        </w:rPr>
        <w:t>discussions</w:t>
      </w:r>
      <w:r w:rsidR="001F2F1B" w:rsidRPr="00BC32CF">
        <w:rPr>
          <w:rFonts w:ascii="Times New Roman" w:eastAsia="Calibri" w:hAnsi="Times New Roman" w:cs="Times New Roman"/>
          <w:sz w:val="24"/>
          <w:szCs w:val="24"/>
          <w:u w:val="single"/>
          <w:lang w:val="en-US"/>
        </w:rPr>
        <w:t xml:space="preserve"> (FGD)</w:t>
      </w:r>
      <w:r w:rsidR="00A27595" w:rsidRPr="00BC32CF">
        <w:rPr>
          <w:rFonts w:ascii="Times New Roman" w:eastAsia="Calibri" w:hAnsi="Times New Roman" w:cs="Times New Roman"/>
          <w:sz w:val="24"/>
          <w:szCs w:val="24"/>
          <w:u w:val="single"/>
          <w:lang w:val="en-US"/>
        </w:rPr>
        <w:t xml:space="preserve"> </w:t>
      </w:r>
      <w:r w:rsidR="009239B1" w:rsidRPr="00BC32CF">
        <w:rPr>
          <w:rFonts w:ascii="Times New Roman" w:eastAsia="Calibri" w:hAnsi="Times New Roman" w:cs="Times New Roman"/>
          <w:sz w:val="24"/>
          <w:szCs w:val="24"/>
          <w:u w:val="single"/>
          <w:lang w:val="en-US"/>
        </w:rPr>
        <w:t xml:space="preserve">with foreign financiers in Nigeria’s existing PPPs, </w:t>
      </w:r>
      <w:r w:rsidR="00EF243D" w:rsidRPr="00BC32CF">
        <w:rPr>
          <w:rFonts w:ascii="Times New Roman" w:eastAsia="Calibri" w:hAnsi="Times New Roman" w:cs="Times New Roman"/>
          <w:sz w:val="24"/>
          <w:szCs w:val="24"/>
          <w:u w:val="single"/>
          <w:lang w:val="en-US"/>
        </w:rPr>
        <w:t>and</w:t>
      </w:r>
      <w:r w:rsidR="0083713C" w:rsidRPr="00BC32CF">
        <w:rPr>
          <w:rFonts w:ascii="Times New Roman" w:eastAsia="Calibri" w:hAnsi="Times New Roman" w:cs="Times New Roman"/>
          <w:sz w:val="24"/>
          <w:szCs w:val="24"/>
          <w:u w:val="single"/>
          <w:lang w:val="en-US"/>
        </w:rPr>
        <w:t xml:space="preserve"> loan document</w:t>
      </w:r>
      <w:r w:rsidR="001F2F1B" w:rsidRPr="00BC32CF">
        <w:rPr>
          <w:rFonts w:ascii="Times New Roman" w:eastAsia="Calibri" w:hAnsi="Times New Roman" w:cs="Times New Roman"/>
          <w:sz w:val="24"/>
          <w:szCs w:val="24"/>
          <w:u w:val="single"/>
          <w:lang w:val="en-US"/>
        </w:rPr>
        <w:t xml:space="preserve"> analysis</w:t>
      </w:r>
      <w:r w:rsidR="00EB7A33" w:rsidRPr="00BC32CF">
        <w:rPr>
          <w:rFonts w:ascii="Times New Roman" w:eastAsia="Calibri" w:hAnsi="Times New Roman" w:cs="Times New Roman"/>
          <w:sz w:val="24"/>
          <w:szCs w:val="24"/>
          <w:u w:val="single"/>
          <w:lang w:val="en-US"/>
        </w:rPr>
        <w:t xml:space="preserve"> </w:t>
      </w:r>
      <w:r w:rsidR="00EF243D" w:rsidRPr="00BC32CF">
        <w:rPr>
          <w:rFonts w:ascii="Times New Roman" w:eastAsia="Calibri" w:hAnsi="Times New Roman" w:cs="Times New Roman"/>
          <w:sz w:val="24"/>
          <w:szCs w:val="24"/>
          <w:u w:val="single"/>
          <w:lang w:val="en-US"/>
        </w:rPr>
        <w:t xml:space="preserve">which </w:t>
      </w:r>
      <w:r w:rsidR="001F2F1B" w:rsidRPr="00BC32CF">
        <w:rPr>
          <w:rFonts w:ascii="Times New Roman" w:eastAsia="Calibri" w:hAnsi="Times New Roman" w:cs="Times New Roman"/>
          <w:sz w:val="24"/>
          <w:szCs w:val="24"/>
          <w:u w:val="single"/>
          <w:lang w:val="en-US"/>
        </w:rPr>
        <w:t xml:space="preserve">helped reveal </w:t>
      </w:r>
      <w:r w:rsidR="00EB7A33" w:rsidRPr="00BC32CF">
        <w:rPr>
          <w:rFonts w:ascii="Times New Roman" w:eastAsia="Calibri" w:hAnsi="Times New Roman" w:cs="Times New Roman"/>
          <w:sz w:val="24"/>
          <w:szCs w:val="24"/>
          <w:u w:val="single"/>
          <w:lang w:val="en-US"/>
        </w:rPr>
        <w:t>22 relevant bankability criteria</w:t>
      </w:r>
      <w:r w:rsidR="001F2F1B" w:rsidRPr="00BC32CF">
        <w:rPr>
          <w:rFonts w:ascii="Times New Roman" w:eastAsia="Calibri" w:hAnsi="Times New Roman" w:cs="Times New Roman"/>
          <w:sz w:val="24"/>
          <w:szCs w:val="24"/>
          <w:u w:val="single"/>
          <w:lang w:val="en-US"/>
        </w:rPr>
        <w:t>.</w:t>
      </w:r>
      <w:r w:rsidR="00EF243D" w:rsidRPr="00BC32CF">
        <w:rPr>
          <w:rFonts w:ascii="Times New Roman" w:eastAsia="Calibri" w:hAnsi="Times New Roman" w:cs="Times New Roman"/>
          <w:sz w:val="24"/>
          <w:szCs w:val="24"/>
          <w:u w:val="single"/>
          <w:lang w:val="en-US"/>
        </w:rPr>
        <w:t xml:space="preserve"> Going further the wider acceptability of the 22 bankability</w:t>
      </w:r>
      <w:r w:rsidR="001F2F1B" w:rsidRPr="00BC32CF">
        <w:rPr>
          <w:rFonts w:ascii="Times New Roman" w:eastAsia="Calibri" w:hAnsi="Times New Roman" w:cs="Times New Roman"/>
          <w:sz w:val="24"/>
          <w:szCs w:val="24"/>
          <w:u w:val="single"/>
          <w:lang w:val="en-US"/>
        </w:rPr>
        <w:t xml:space="preserve"> criteria</w:t>
      </w:r>
      <w:r w:rsidR="00EB7A33" w:rsidRPr="00BC32CF">
        <w:rPr>
          <w:rFonts w:ascii="Times New Roman" w:eastAsia="Calibri" w:hAnsi="Times New Roman" w:cs="Times New Roman"/>
          <w:sz w:val="24"/>
          <w:szCs w:val="24"/>
          <w:u w:val="single"/>
          <w:lang w:val="en-US"/>
        </w:rPr>
        <w:t xml:space="preserve"> </w:t>
      </w:r>
      <w:r w:rsidR="001F2F1B" w:rsidRPr="00BC32CF">
        <w:rPr>
          <w:rFonts w:ascii="Times New Roman" w:eastAsia="Calibri" w:hAnsi="Times New Roman" w:cs="Times New Roman"/>
          <w:sz w:val="24"/>
          <w:szCs w:val="24"/>
          <w:u w:val="single"/>
          <w:lang w:val="en-US"/>
        </w:rPr>
        <w:t xml:space="preserve">were </w:t>
      </w:r>
      <w:r w:rsidR="00EF243D" w:rsidRPr="00BC32CF">
        <w:rPr>
          <w:rFonts w:ascii="Times New Roman" w:eastAsia="Calibri" w:hAnsi="Times New Roman" w:cs="Times New Roman"/>
          <w:sz w:val="24"/>
          <w:szCs w:val="24"/>
          <w:u w:val="single"/>
          <w:lang w:val="en-US"/>
        </w:rPr>
        <w:t>later</w:t>
      </w:r>
      <w:r w:rsidR="0083713C" w:rsidRPr="00BC32CF">
        <w:rPr>
          <w:rFonts w:ascii="Times New Roman" w:eastAsia="Calibri" w:hAnsi="Times New Roman" w:cs="Times New Roman"/>
          <w:sz w:val="24"/>
          <w:szCs w:val="24"/>
          <w:u w:val="single"/>
          <w:lang w:val="en-US"/>
        </w:rPr>
        <w:t xml:space="preserve"> </w:t>
      </w:r>
      <w:r w:rsidR="00EF243D" w:rsidRPr="00BC32CF">
        <w:rPr>
          <w:rFonts w:ascii="Times New Roman" w:eastAsia="Calibri" w:hAnsi="Times New Roman" w:cs="Times New Roman"/>
          <w:sz w:val="24"/>
          <w:szCs w:val="24"/>
          <w:u w:val="single"/>
          <w:lang w:val="en-US"/>
        </w:rPr>
        <w:t>confirmed using</w:t>
      </w:r>
      <w:r w:rsidR="001F2F1B" w:rsidRPr="00BC32CF">
        <w:rPr>
          <w:rFonts w:ascii="Times New Roman" w:eastAsia="Calibri" w:hAnsi="Times New Roman" w:cs="Times New Roman"/>
          <w:sz w:val="24"/>
          <w:szCs w:val="24"/>
          <w:u w:val="single"/>
          <w:lang w:val="en-US"/>
        </w:rPr>
        <w:t xml:space="preserve"> </w:t>
      </w:r>
      <w:r w:rsidR="00EF243D" w:rsidRPr="00BC32CF">
        <w:rPr>
          <w:rFonts w:ascii="Times New Roman" w:eastAsia="Calibri" w:hAnsi="Times New Roman" w:cs="Times New Roman"/>
          <w:sz w:val="24"/>
          <w:szCs w:val="24"/>
          <w:u w:val="single"/>
          <w:lang w:val="en-US"/>
        </w:rPr>
        <w:t xml:space="preserve">a </w:t>
      </w:r>
      <w:r w:rsidR="001F2F1B" w:rsidRPr="00BC32CF">
        <w:rPr>
          <w:rFonts w:ascii="Times New Roman" w:eastAsia="Calibri" w:hAnsi="Times New Roman" w:cs="Times New Roman"/>
          <w:sz w:val="24"/>
          <w:szCs w:val="24"/>
          <w:u w:val="single"/>
          <w:lang w:val="en-US"/>
        </w:rPr>
        <w:t>questionnaire</w:t>
      </w:r>
      <w:r w:rsidR="0083713C" w:rsidRPr="00BC32CF">
        <w:rPr>
          <w:rFonts w:ascii="Times New Roman" w:eastAsia="Calibri" w:hAnsi="Times New Roman" w:cs="Times New Roman"/>
          <w:sz w:val="24"/>
          <w:szCs w:val="24"/>
          <w:u w:val="single"/>
          <w:lang w:val="en-US"/>
        </w:rPr>
        <w:t xml:space="preserve"> survey to wider audiences among foreign and local financiers in Nigeria’s PPP market</w:t>
      </w:r>
      <w:r w:rsidR="00EB7A33" w:rsidRPr="00BC32CF">
        <w:rPr>
          <w:rFonts w:ascii="Times New Roman" w:eastAsia="Calibri" w:hAnsi="Times New Roman" w:cs="Times New Roman"/>
          <w:sz w:val="24"/>
          <w:szCs w:val="24"/>
          <w:lang w:val="en-US"/>
        </w:rPr>
        <w:t xml:space="preserve">. </w:t>
      </w:r>
      <w:r w:rsidR="0083713C" w:rsidRPr="00BC32CF">
        <w:rPr>
          <w:rFonts w:ascii="Times New Roman" w:eastAsia="Calibri" w:hAnsi="Times New Roman" w:cs="Times New Roman"/>
          <w:sz w:val="24"/>
          <w:szCs w:val="24"/>
          <w:lang w:val="en-US"/>
        </w:rPr>
        <w:t>Statistical results of the survey revealed</w:t>
      </w:r>
      <w:r w:rsidR="00EB7A33" w:rsidRPr="00BC32CF">
        <w:rPr>
          <w:rFonts w:ascii="Times New Roman" w:eastAsia="Calibri" w:hAnsi="Times New Roman" w:cs="Times New Roman"/>
          <w:sz w:val="24"/>
          <w:szCs w:val="24"/>
          <w:lang w:val="en-US"/>
        </w:rPr>
        <w:t xml:space="preserve"> </w:t>
      </w:r>
      <w:r w:rsidR="00EF243D" w:rsidRPr="00BC32CF">
        <w:rPr>
          <w:rFonts w:ascii="Times New Roman" w:eastAsia="Calibri" w:hAnsi="Times New Roman" w:cs="Times New Roman"/>
          <w:sz w:val="24"/>
          <w:szCs w:val="24"/>
          <w:lang w:val="en-US"/>
        </w:rPr>
        <w:t xml:space="preserve">top </w:t>
      </w:r>
      <w:r w:rsidR="00EB7A33" w:rsidRPr="00BC32CF">
        <w:rPr>
          <w:rFonts w:ascii="Times New Roman" w:eastAsia="Calibri" w:hAnsi="Times New Roman" w:cs="Times New Roman"/>
          <w:sz w:val="24"/>
          <w:szCs w:val="24"/>
          <w:lang w:val="en-US"/>
        </w:rPr>
        <w:t xml:space="preserve">seven </w:t>
      </w:r>
      <w:r w:rsidR="00B537E1" w:rsidRPr="00BC32CF">
        <w:rPr>
          <w:rFonts w:ascii="Times New Roman" w:eastAsia="Calibri" w:hAnsi="Times New Roman" w:cs="Times New Roman"/>
          <w:sz w:val="24"/>
          <w:szCs w:val="24"/>
          <w:lang w:val="en-US"/>
        </w:rPr>
        <w:t xml:space="preserve">(7) </w:t>
      </w:r>
      <w:r w:rsidR="00EB7A33" w:rsidRPr="00BC32CF">
        <w:rPr>
          <w:rFonts w:ascii="Times New Roman" w:eastAsia="Calibri" w:hAnsi="Times New Roman" w:cs="Times New Roman"/>
          <w:sz w:val="24"/>
          <w:szCs w:val="24"/>
          <w:lang w:val="en-US"/>
        </w:rPr>
        <w:t xml:space="preserve">bankability criteria considered </w:t>
      </w:r>
      <w:r w:rsidR="00F376D0" w:rsidRPr="00BC32CF">
        <w:rPr>
          <w:rFonts w:ascii="Times New Roman" w:eastAsia="Calibri" w:hAnsi="Times New Roman" w:cs="Times New Roman"/>
          <w:sz w:val="24"/>
          <w:szCs w:val="24"/>
          <w:lang w:val="en-US"/>
        </w:rPr>
        <w:t>“</w:t>
      </w:r>
      <w:r w:rsidR="00EB7A33" w:rsidRPr="00BC32CF">
        <w:rPr>
          <w:rFonts w:ascii="Times New Roman" w:eastAsia="Calibri" w:hAnsi="Times New Roman" w:cs="Times New Roman"/>
          <w:sz w:val="24"/>
          <w:szCs w:val="24"/>
          <w:lang w:val="en-US"/>
        </w:rPr>
        <w:t>very important</w:t>
      </w:r>
      <w:r w:rsidR="0083713C" w:rsidRPr="00BC32CF">
        <w:rPr>
          <w:rFonts w:ascii="Times New Roman" w:eastAsia="Calibri" w:hAnsi="Times New Roman" w:cs="Times New Roman"/>
          <w:sz w:val="24"/>
          <w:szCs w:val="24"/>
          <w:lang w:val="en-US"/>
        </w:rPr>
        <w:t>”</w:t>
      </w:r>
      <w:r w:rsidR="0083713C" w:rsidRPr="00BC32CF">
        <w:rPr>
          <w:rFonts w:ascii="Times New Roman" w:eastAsia="Calibri" w:hAnsi="Times New Roman" w:cs="Times New Roman"/>
          <w:b/>
          <w:sz w:val="24"/>
          <w:szCs w:val="24"/>
          <w:lang w:val="en-US"/>
        </w:rPr>
        <w:t xml:space="preserve"> </w:t>
      </w:r>
      <w:r w:rsidR="00EF243D" w:rsidRPr="00BC32CF">
        <w:rPr>
          <w:rFonts w:ascii="Times New Roman" w:eastAsia="Calibri" w:hAnsi="Times New Roman" w:cs="Times New Roman"/>
          <w:sz w:val="24"/>
          <w:szCs w:val="24"/>
          <w:lang w:val="en-US"/>
        </w:rPr>
        <w:t>for winning foreign financiers’ loan</w:t>
      </w:r>
      <w:r w:rsidR="0083713C" w:rsidRPr="00BC32CF">
        <w:rPr>
          <w:rFonts w:ascii="Times New Roman" w:eastAsia="Calibri" w:hAnsi="Times New Roman" w:cs="Times New Roman"/>
          <w:sz w:val="24"/>
          <w:szCs w:val="24"/>
          <w:lang w:val="en-US"/>
        </w:rPr>
        <w:t xml:space="preserve"> approval for PPPs</w:t>
      </w:r>
      <w:r w:rsidR="00EF243D" w:rsidRPr="00BC32CF">
        <w:rPr>
          <w:rFonts w:ascii="Times New Roman" w:eastAsia="Calibri" w:hAnsi="Times New Roman" w:cs="Times New Roman"/>
          <w:sz w:val="24"/>
          <w:szCs w:val="24"/>
          <w:lang w:val="en-US"/>
        </w:rPr>
        <w:t xml:space="preserve"> in emerging market</w:t>
      </w:r>
      <w:r w:rsidR="00EB7A33" w:rsidRPr="00BC32CF">
        <w:rPr>
          <w:rFonts w:ascii="Times New Roman" w:eastAsia="Calibri" w:hAnsi="Times New Roman" w:cs="Times New Roman"/>
          <w:sz w:val="24"/>
          <w:szCs w:val="24"/>
          <w:lang w:val="en-US"/>
        </w:rPr>
        <w:t>.</w:t>
      </w:r>
      <w:r w:rsidR="00A27595" w:rsidRPr="00BC32CF">
        <w:rPr>
          <w:rFonts w:ascii="Times New Roman" w:eastAsia="Calibri" w:hAnsi="Times New Roman" w:cs="Times New Roman"/>
          <w:sz w:val="24"/>
          <w:szCs w:val="24"/>
          <w:lang w:val="en-US"/>
        </w:rPr>
        <w:t xml:space="preserve"> </w:t>
      </w:r>
      <w:r w:rsidR="00EB7A33" w:rsidRPr="00BC32CF">
        <w:rPr>
          <w:rFonts w:ascii="Times New Roman" w:eastAsia="Calibri" w:hAnsi="Times New Roman" w:cs="Times New Roman"/>
          <w:sz w:val="24"/>
          <w:szCs w:val="24"/>
          <w:lang w:val="en-US"/>
        </w:rPr>
        <w:t>These include: BC7= Full Transfer of Political Risk to Export Credit Agency (ECA), BC10= Multilateral Agency-Backed Loan Facility, BC19= Identity of project grantor and her approval capacity must be known., BC1= Sponsors with track record of successful project financing, strong credit quality and financial capacity, BC12= Existence of operational permit and approval from the project grantor, BC17= Direct contractual agreement between lenders and project grantor, as well as other project contractors and sub-contractors respectively,</w:t>
      </w:r>
      <w:r w:rsidR="00E70EC7" w:rsidRPr="00BC32CF">
        <w:rPr>
          <w:rFonts w:ascii="Times New Roman" w:eastAsia="Calibri" w:hAnsi="Times New Roman" w:cs="Times New Roman"/>
          <w:sz w:val="24"/>
          <w:szCs w:val="24"/>
          <w:lang w:val="en-US"/>
        </w:rPr>
        <w:t xml:space="preserve"> and </w:t>
      </w:r>
      <w:r w:rsidR="00EB7A33" w:rsidRPr="00BC32CF">
        <w:rPr>
          <w:rFonts w:ascii="Times New Roman" w:eastAsia="Calibri" w:hAnsi="Times New Roman" w:cs="Times New Roman"/>
          <w:sz w:val="24"/>
          <w:szCs w:val="24"/>
          <w:lang w:val="en-US"/>
        </w:rPr>
        <w:t xml:space="preserve">BC18= Security rights </w:t>
      </w:r>
      <w:r w:rsidR="00F376D0" w:rsidRPr="00BC32CF">
        <w:rPr>
          <w:rFonts w:ascii="Times New Roman" w:eastAsia="Calibri" w:hAnsi="Times New Roman" w:cs="Times New Roman"/>
          <w:sz w:val="24"/>
          <w:szCs w:val="24"/>
          <w:lang w:val="en-US"/>
        </w:rPr>
        <w:t>over SPV’s insurance policies, c</w:t>
      </w:r>
      <w:r w:rsidR="00EB7A33" w:rsidRPr="00BC32CF">
        <w:rPr>
          <w:rFonts w:ascii="Times New Roman" w:eastAsia="Calibri" w:hAnsi="Times New Roman" w:cs="Times New Roman"/>
          <w:sz w:val="24"/>
          <w:szCs w:val="24"/>
          <w:lang w:val="en-US"/>
        </w:rPr>
        <w:t>ash flows and other corresponding assets.</w:t>
      </w:r>
      <w:r w:rsidR="0097185E" w:rsidRPr="00BC32CF">
        <w:rPr>
          <w:rFonts w:ascii="Times New Roman" w:eastAsia="Calibri" w:hAnsi="Times New Roman" w:cs="Times New Roman"/>
          <w:sz w:val="24"/>
          <w:szCs w:val="24"/>
          <w:lang w:val="en-US"/>
        </w:rPr>
        <w:t xml:space="preserve"> </w:t>
      </w:r>
      <w:r w:rsidR="00EB7A33" w:rsidRPr="00BC32CF">
        <w:rPr>
          <w:rFonts w:ascii="Times New Roman" w:eastAsia="Calibri" w:hAnsi="Times New Roman" w:cs="Times New Roman"/>
          <w:sz w:val="24"/>
          <w:szCs w:val="24"/>
          <w:lang w:val="en-US"/>
        </w:rPr>
        <w:t>Further f</w:t>
      </w:r>
      <w:r w:rsidR="00A27595" w:rsidRPr="00BC32CF">
        <w:rPr>
          <w:rFonts w:ascii="Times New Roman" w:eastAsia="Calibri" w:hAnsi="Times New Roman" w:cs="Times New Roman"/>
          <w:sz w:val="24"/>
          <w:szCs w:val="24"/>
          <w:lang w:val="en-US"/>
        </w:rPr>
        <w:t xml:space="preserve">indings from the study also </w:t>
      </w:r>
      <w:r w:rsidR="00EB7A33" w:rsidRPr="00BC32CF">
        <w:rPr>
          <w:rFonts w:ascii="Times New Roman" w:eastAsia="Calibri" w:hAnsi="Times New Roman" w:cs="Times New Roman"/>
          <w:sz w:val="24"/>
          <w:szCs w:val="24"/>
          <w:lang w:val="en-US"/>
        </w:rPr>
        <w:t xml:space="preserve">revealed </w:t>
      </w:r>
      <w:r w:rsidR="0083713C" w:rsidRPr="00BC32CF">
        <w:rPr>
          <w:rFonts w:ascii="Times New Roman" w:eastAsia="Calibri" w:hAnsi="Times New Roman" w:cs="Times New Roman"/>
          <w:sz w:val="24"/>
          <w:szCs w:val="24"/>
          <w:lang w:val="en-US"/>
        </w:rPr>
        <w:t xml:space="preserve">the </w:t>
      </w:r>
      <w:r w:rsidR="00215FED" w:rsidRPr="00BC32CF">
        <w:rPr>
          <w:rFonts w:ascii="Times New Roman" w:eastAsia="Calibri" w:hAnsi="Times New Roman" w:cs="Times New Roman"/>
          <w:sz w:val="24"/>
          <w:szCs w:val="24"/>
          <w:lang w:val="en-US"/>
        </w:rPr>
        <w:t xml:space="preserve">complexity and </w:t>
      </w:r>
      <w:r w:rsidR="0083713C" w:rsidRPr="00BC32CF">
        <w:rPr>
          <w:rFonts w:ascii="Times New Roman" w:eastAsia="Calibri" w:hAnsi="Times New Roman" w:cs="Times New Roman"/>
          <w:sz w:val="24"/>
          <w:szCs w:val="24"/>
          <w:lang w:val="en-US"/>
        </w:rPr>
        <w:t>true structure of certain risks in emerging market</w:t>
      </w:r>
      <w:r w:rsidR="00215FED" w:rsidRPr="00BC32CF">
        <w:rPr>
          <w:rFonts w:ascii="Times New Roman" w:eastAsia="Calibri" w:hAnsi="Times New Roman" w:cs="Times New Roman"/>
          <w:sz w:val="24"/>
          <w:szCs w:val="24"/>
          <w:lang w:val="en-US"/>
        </w:rPr>
        <w:t>s</w:t>
      </w:r>
      <w:r w:rsidR="0083713C" w:rsidRPr="00BC32CF">
        <w:rPr>
          <w:rFonts w:ascii="Times New Roman" w:eastAsia="Calibri" w:hAnsi="Times New Roman" w:cs="Times New Roman"/>
          <w:sz w:val="24"/>
          <w:szCs w:val="24"/>
          <w:lang w:val="en-US"/>
        </w:rPr>
        <w:t xml:space="preserve"> PPPs, with the existence of sub-risk components</w:t>
      </w:r>
      <w:r w:rsidR="00EB7A33" w:rsidRPr="00BC32CF">
        <w:rPr>
          <w:rFonts w:ascii="Times New Roman" w:eastAsia="Calibri" w:hAnsi="Times New Roman" w:cs="Times New Roman"/>
          <w:sz w:val="24"/>
          <w:szCs w:val="24"/>
          <w:lang w:val="en-US"/>
        </w:rPr>
        <w:t xml:space="preserve"> </w:t>
      </w:r>
      <w:r w:rsidR="0083713C" w:rsidRPr="00BC32CF">
        <w:rPr>
          <w:rFonts w:ascii="Times New Roman" w:eastAsia="Calibri" w:hAnsi="Times New Roman" w:cs="Times New Roman"/>
          <w:sz w:val="24"/>
          <w:szCs w:val="24"/>
          <w:lang w:val="en-US"/>
        </w:rPr>
        <w:t>(</w:t>
      </w:r>
      <w:r w:rsidR="0097185E" w:rsidRPr="00BC32CF">
        <w:rPr>
          <w:rFonts w:ascii="Times New Roman" w:eastAsia="Calibri" w:hAnsi="Times New Roman" w:cs="Times New Roman"/>
          <w:sz w:val="24"/>
          <w:szCs w:val="24"/>
          <w:lang w:val="en-US"/>
        </w:rPr>
        <w:t xml:space="preserve">i.e. </w:t>
      </w:r>
      <w:r w:rsidR="00A27595" w:rsidRPr="00BC32CF">
        <w:rPr>
          <w:rFonts w:ascii="Times New Roman" w:eastAsia="Calibri" w:hAnsi="Times New Roman" w:cs="Times New Roman"/>
          <w:sz w:val="24"/>
          <w:szCs w:val="24"/>
          <w:lang w:val="en-US"/>
        </w:rPr>
        <w:t>ECN, SRCC Currenc</w:t>
      </w:r>
      <w:r w:rsidR="0097185E" w:rsidRPr="00BC32CF">
        <w:rPr>
          <w:rFonts w:ascii="Times New Roman" w:eastAsia="Calibri" w:hAnsi="Times New Roman" w:cs="Times New Roman"/>
          <w:sz w:val="24"/>
          <w:szCs w:val="24"/>
          <w:lang w:val="en-US"/>
        </w:rPr>
        <w:t>y, approval, environmental risk, approval risk, etc</w:t>
      </w:r>
      <w:r w:rsidR="0083713C" w:rsidRPr="00BC32CF">
        <w:rPr>
          <w:rFonts w:ascii="Times New Roman" w:eastAsia="Calibri" w:hAnsi="Times New Roman" w:cs="Times New Roman"/>
          <w:sz w:val="24"/>
          <w:szCs w:val="24"/>
          <w:lang w:val="en-US"/>
        </w:rPr>
        <w:t>.)</w:t>
      </w:r>
      <w:r w:rsidR="0097185E" w:rsidRPr="00BC32CF">
        <w:rPr>
          <w:rFonts w:ascii="Times New Roman" w:eastAsia="Calibri" w:hAnsi="Times New Roman" w:cs="Times New Roman"/>
          <w:sz w:val="24"/>
          <w:szCs w:val="24"/>
          <w:lang w:val="en-US"/>
        </w:rPr>
        <w:t xml:space="preserve">. </w:t>
      </w:r>
      <w:r w:rsidR="00F376D0" w:rsidRPr="00BC32CF">
        <w:rPr>
          <w:rFonts w:ascii="Times New Roman" w:eastAsia="Calibri" w:hAnsi="Times New Roman" w:cs="Times New Roman"/>
          <w:sz w:val="24"/>
          <w:szCs w:val="24"/>
          <w:u w:val="single"/>
          <w:lang w:val="en-US"/>
        </w:rPr>
        <w:t>It is relevant to note that,</w:t>
      </w:r>
      <w:r w:rsidR="0097185E" w:rsidRPr="00BC32CF">
        <w:rPr>
          <w:rFonts w:ascii="Times New Roman" w:eastAsia="Calibri" w:hAnsi="Times New Roman" w:cs="Times New Roman"/>
          <w:sz w:val="24"/>
          <w:szCs w:val="24"/>
          <w:u w:val="single"/>
          <w:lang w:val="en-US"/>
        </w:rPr>
        <w:t xml:space="preserve"> </w:t>
      </w:r>
      <w:r w:rsidR="0083713C" w:rsidRPr="00BC32CF">
        <w:rPr>
          <w:rFonts w:ascii="Times New Roman" w:eastAsia="Calibri" w:hAnsi="Times New Roman" w:cs="Times New Roman"/>
          <w:sz w:val="24"/>
          <w:szCs w:val="24"/>
          <w:u w:val="single"/>
          <w:lang w:val="en-US"/>
        </w:rPr>
        <w:t xml:space="preserve">most sub-risk components </w:t>
      </w:r>
      <w:r w:rsidR="00E202E8" w:rsidRPr="00BC32CF">
        <w:rPr>
          <w:rFonts w:ascii="Times New Roman" w:eastAsia="Calibri" w:hAnsi="Times New Roman" w:cs="Times New Roman"/>
          <w:sz w:val="24"/>
          <w:szCs w:val="24"/>
          <w:u w:val="single"/>
          <w:lang w:val="en-US"/>
        </w:rPr>
        <w:t xml:space="preserve">PPP evaluation </w:t>
      </w:r>
      <w:r w:rsidR="00215FED" w:rsidRPr="00BC32CF">
        <w:rPr>
          <w:rFonts w:ascii="Times New Roman" w:eastAsia="Calibri" w:hAnsi="Times New Roman" w:cs="Times New Roman"/>
          <w:sz w:val="24"/>
          <w:szCs w:val="24"/>
          <w:u w:val="single"/>
          <w:lang w:val="en-US"/>
        </w:rPr>
        <w:t>often come as</w:t>
      </w:r>
      <w:r w:rsidR="0083713C" w:rsidRPr="00BC32CF">
        <w:rPr>
          <w:rFonts w:ascii="Times New Roman" w:eastAsia="Calibri" w:hAnsi="Times New Roman" w:cs="Times New Roman"/>
          <w:sz w:val="24"/>
          <w:szCs w:val="24"/>
          <w:u w:val="single"/>
          <w:lang w:val="en-US"/>
        </w:rPr>
        <w:t xml:space="preserve"> offshoots of </w:t>
      </w:r>
      <w:r w:rsidR="00215FED" w:rsidRPr="00BC32CF">
        <w:rPr>
          <w:rFonts w:ascii="Times New Roman" w:eastAsia="Calibri" w:hAnsi="Times New Roman" w:cs="Times New Roman"/>
          <w:sz w:val="24"/>
          <w:szCs w:val="24"/>
          <w:u w:val="single"/>
          <w:lang w:val="en-US"/>
        </w:rPr>
        <w:t xml:space="preserve">many </w:t>
      </w:r>
      <w:r w:rsidR="0083713C" w:rsidRPr="00BC32CF">
        <w:rPr>
          <w:rFonts w:ascii="Times New Roman" w:eastAsia="Calibri" w:hAnsi="Times New Roman" w:cs="Times New Roman"/>
          <w:sz w:val="24"/>
          <w:szCs w:val="24"/>
          <w:u w:val="single"/>
          <w:lang w:val="en-US"/>
        </w:rPr>
        <w:t>major risk factors</w:t>
      </w:r>
      <w:r w:rsidR="00215FED" w:rsidRPr="00BC32CF">
        <w:rPr>
          <w:rFonts w:ascii="Times New Roman" w:eastAsia="Calibri" w:hAnsi="Times New Roman" w:cs="Times New Roman"/>
          <w:sz w:val="24"/>
          <w:szCs w:val="24"/>
          <w:u w:val="single"/>
          <w:lang w:val="en-US"/>
        </w:rPr>
        <w:t xml:space="preserve"> during analysis</w:t>
      </w:r>
      <w:r w:rsidR="0083713C" w:rsidRPr="00BC32CF">
        <w:rPr>
          <w:rFonts w:ascii="Times New Roman" w:eastAsia="Calibri" w:hAnsi="Times New Roman" w:cs="Times New Roman"/>
          <w:sz w:val="24"/>
          <w:szCs w:val="24"/>
          <w:u w:val="single"/>
          <w:lang w:val="en-US"/>
        </w:rPr>
        <w:t>. Hence, the</w:t>
      </w:r>
      <w:r w:rsidR="0097185E" w:rsidRPr="00BC32CF">
        <w:rPr>
          <w:rFonts w:ascii="Times New Roman" w:eastAsia="Calibri" w:hAnsi="Times New Roman" w:cs="Times New Roman"/>
          <w:sz w:val="24"/>
          <w:szCs w:val="24"/>
          <w:u w:val="single"/>
          <w:lang w:val="en-US"/>
        </w:rPr>
        <w:t xml:space="preserve"> </w:t>
      </w:r>
      <w:r w:rsidR="0083713C" w:rsidRPr="00BC32CF">
        <w:rPr>
          <w:rFonts w:ascii="Times New Roman" w:eastAsia="Calibri" w:hAnsi="Times New Roman" w:cs="Times New Roman"/>
          <w:sz w:val="24"/>
          <w:szCs w:val="24"/>
          <w:u w:val="single"/>
          <w:lang w:val="en-US"/>
        </w:rPr>
        <w:t>occurrence of the</w:t>
      </w:r>
      <w:r w:rsidR="00A27595" w:rsidRPr="00BC32CF">
        <w:rPr>
          <w:rFonts w:ascii="Times New Roman" w:eastAsia="Calibri" w:hAnsi="Times New Roman" w:cs="Times New Roman"/>
          <w:sz w:val="24"/>
          <w:szCs w:val="24"/>
          <w:u w:val="single"/>
          <w:lang w:val="en-US"/>
        </w:rPr>
        <w:t xml:space="preserve"> major risk</w:t>
      </w:r>
      <w:r w:rsidR="00F47F8F" w:rsidRPr="00BC32CF">
        <w:rPr>
          <w:rFonts w:ascii="Times New Roman" w:eastAsia="Calibri" w:hAnsi="Times New Roman" w:cs="Times New Roman"/>
          <w:sz w:val="24"/>
          <w:szCs w:val="24"/>
          <w:u w:val="single"/>
          <w:lang w:val="en-US"/>
        </w:rPr>
        <w:t>s will</w:t>
      </w:r>
      <w:r w:rsidR="00A27595" w:rsidRPr="00BC32CF">
        <w:rPr>
          <w:rFonts w:ascii="Times New Roman" w:eastAsia="Calibri" w:hAnsi="Times New Roman" w:cs="Times New Roman"/>
          <w:sz w:val="24"/>
          <w:szCs w:val="24"/>
          <w:u w:val="single"/>
          <w:lang w:val="en-US"/>
        </w:rPr>
        <w:t xml:space="preserve"> automatically th</w:t>
      </w:r>
      <w:r w:rsidR="0097185E" w:rsidRPr="00BC32CF">
        <w:rPr>
          <w:rFonts w:ascii="Times New Roman" w:eastAsia="Calibri" w:hAnsi="Times New Roman" w:cs="Times New Roman"/>
          <w:sz w:val="24"/>
          <w:szCs w:val="24"/>
          <w:u w:val="single"/>
          <w:lang w:val="en-US"/>
        </w:rPr>
        <w:t xml:space="preserve">row up </w:t>
      </w:r>
      <w:r w:rsidR="0083713C" w:rsidRPr="00BC32CF">
        <w:rPr>
          <w:rFonts w:ascii="Times New Roman" w:eastAsia="Calibri" w:hAnsi="Times New Roman" w:cs="Times New Roman"/>
          <w:sz w:val="24"/>
          <w:szCs w:val="24"/>
          <w:u w:val="single"/>
          <w:lang w:val="en-US"/>
        </w:rPr>
        <w:t xml:space="preserve">other emerging </w:t>
      </w:r>
      <w:r w:rsidR="00F47F8F" w:rsidRPr="00BC32CF">
        <w:rPr>
          <w:rFonts w:ascii="Times New Roman" w:eastAsia="Calibri" w:hAnsi="Times New Roman" w:cs="Times New Roman"/>
          <w:sz w:val="24"/>
          <w:szCs w:val="24"/>
          <w:u w:val="single"/>
          <w:lang w:val="en-US"/>
        </w:rPr>
        <w:t xml:space="preserve">risk </w:t>
      </w:r>
      <w:r w:rsidR="0083713C" w:rsidRPr="00BC32CF">
        <w:rPr>
          <w:rFonts w:ascii="Times New Roman" w:eastAsia="Calibri" w:hAnsi="Times New Roman" w:cs="Times New Roman"/>
          <w:sz w:val="24"/>
          <w:szCs w:val="24"/>
          <w:u w:val="single"/>
          <w:lang w:val="en-US"/>
        </w:rPr>
        <w:t xml:space="preserve">components which </w:t>
      </w:r>
      <w:r w:rsidR="00F47F8F" w:rsidRPr="00BC32CF">
        <w:rPr>
          <w:rFonts w:ascii="Times New Roman" w:eastAsia="Calibri" w:hAnsi="Times New Roman" w:cs="Times New Roman"/>
          <w:sz w:val="24"/>
          <w:szCs w:val="24"/>
          <w:u w:val="single"/>
          <w:lang w:val="en-US"/>
        </w:rPr>
        <w:t>require equal and careful bankability evaluation. R</w:t>
      </w:r>
      <w:r w:rsidR="0083713C" w:rsidRPr="00BC32CF">
        <w:rPr>
          <w:rFonts w:ascii="Times New Roman" w:eastAsia="Calibri" w:hAnsi="Times New Roman" w:cs="Times New Roman"/>
          <w:sz w:val="24"/>
          <w:szCs w:val="24"/>
          <w:u w:val="single"/>
          <w:lang w:val="en-US"/>
        </w:rPr>
        <w:t>esult</w:t>
      </w:r>
      <w:r w:rsidR="00F47F8F" w:rsidRPr="00BC32CF">
        <w:rPr>
          <w:rFonts w:ascii="Times New Roman" w:eastAsia="Calibri" w:hAnsi="Times New Roman" w:cs="Times New Roman"/>
          <w:sz w:val="24"/>
          <w:szCs w:val="24"/>
          <w:u w:val="single"/>
          <w:lang w:val="en-US"/>
        </w:rPr>
        <w:t>s from this study</w:t>
      </w:r>
      <w:r w:rsidR="0083713C" w:rsidRPr="00BC32CF">
        <w:rPr>
          <w:rFonts w:ascii="Times New Roman" w:eastAsia="Calibri" w:hAnsi="Times New Roman" w:cs="Times New Roman"/>
          <w:sz w:val="24"/>
          <w:szCs w:val="24"/>
          <w:u w:val="single"/>
          <w:lang w:val="en-US"/>
        </w:rPr>
        <w:t xml:space="preserve"> confirm a number of existing studies by </w:t>
      </w:r>
      <w:r w:rsidR="00E202E8" w:rsidRPr="00BC32CF">
        <w:rPr>
          <w:rFonts w:ascii="Times New Roman" w:eastAsia="Calibri" w:hAnsi="Times New Roman" w:cs="Times New Roman"/>
          <w:sz w:val="24"/>
          <w:szCs w:val="24"/>
          <w:u w:val="single"/>
          <w:lang w:val="en-US"/>
        </w:rPr>
        <w:t>arguing that, unless risks are matched with their bankability criteria and</w:t>
      </w:r>
      <w:r w:rsidR="0083713C" w:rsidRPr="00BC32CF">
        <w:rPr>
          <w:rFonts w:ascii="Times New Roman" w:eastAsia="Calibri" w:hAnsi="Times New Roman" w:cs="Times New Roman"/>
          <w:sz w:val="24"/>
          <w:szCs w:val="24"/>
          <w:u w:val="single"/>
          <w:lang w:val="en-US"/>
        </w:rPr>
        <w:t xml:space="preserve"> practical </w:t>
      </w:r>
      <w:r w:rsidR="00E202E8" w:rsidRPr="00BC32CF">
        <w:rPr>
          <w:rFonts w:ascii="Times New Roman" w:eastAsia="Calibri" w:hAnsi="Times New Roman" w:cs="Times New Roman"/>
          <w:sz w:val="24"/>
          <w:szCs w:val="24"/>
          <w:u w:val="single"/>
          <w:lang w:val="en-US"/>
        </w:rPr>
        <w:t xml:space="preserve">mitigation, the much needed clarity will be lacking especially in </w:t>
      </w:r>
      <w:r w:rsidR="00EF243D" w:rsidRPr="00BC32CF">
        <w:rPr>
          <w:rFonts w:ascii="Times New Roman" w:eastAsia="Calibri" w:hAnsi="Times New Roman" w:cs="Times New Roman"/>
          <w:sz w:val="24"/>
          <w:szCs w:val="24"/>
          <w:u w:val="single"/>
          <w:lang w:val="en-US"/>
        </w:rPr>
        <w:t xml:space="preserve">market </w:t>
      </w:r>
      <w:r w:rsidR="00E202E8" w:rsidRPr="00BC32CF">
        <w:rPr>
          <w:rFonts w:ascii="Times New Roman" w:eastAsia="Calibri" w:hAnsi="Times New Roman" w:cs="Times New Roman"/>
          <w:sz w:val="24"/>
          <w:szCs w:val="24"/>
          <w:u w:val="single"/>
          <w:lang w:val="en-US"/>
        </w:rPr>
        <w:t>where PPP growth is still nascent</w:t>
      </w:r>
      <w:r w:rsidR="00EF243D" w:rsidRPr="00BC32CF">
        <w:rPr>
          <w:rFonts w:ascii="Times New Roman" w:eastAsia="Calibri" w:hAnsi="Times New Roman" w:cs="Times New Roman"/>
          <w:sz w:val="24"/>
          <w:szCs w:val="24"/>
          <w:u w:val="single"/>
          <w:lang w:val="en-US"/>
        </w:rPr>
        <w:t>.</w:t>
      </w:r>
      <w:r w:rsidR="0083713C" w:rsidRPr="00BC32CF">
        <w:rPr>
          <w:rFonts w:ascii="Times New Roman" w:eastAsia="Calibri" w:hAnsi="Times New Roman" w:cs="Times New Roman"/>
          <w:sz w:val="24"/>
          <w:szCs w:val="24"/>
          <w:u w:val="single"/>
          <w:lang w:val="en-US"/>
        </w:rPr>
        <w:t xml:space="preserve"> </w:t>
      </w:r>
      <w:r w:rsidR="00E202E8" w:rsidRPr="00BC32CF">
        <w:rPr>
          <w:rFonts w:ascii="Times New Roman" w:eastAsia="Calibri" w:hAnsi="Times New Roman" w:cs="Times New Roman"/>
          <w:sz w:val="24"/>
          <w:szCs w:val="24"/>
          <w:u w:val="single"/>
          <w:lang w:val="en-US"/>
        </w:rPr>
        <w:t>Based on findings from the study</w:t>
      </w:r>
      <w:r w:rsidR="0097185E" w:rsidRPr="00BC32CF">
        <w:rPr>
          <w:rFonts w:ascii="Times New Roman" w:eastAsia="Calibri" w:hAnsi="Times New Roman" w:cs="Times New Roman"/>
          <w:sz w:val="24"/>
          <w:szCs w:val="24"/>
          <w:u w:val="single"/>
          <w:lang w:val="en-US"/>
        </w:rPr>
        <w:t xml:space="preserve"> a </w:t>
      </w:r>
      <w:r w:rsidR="0097185E" w:rsidRPr="00BC32CF">
        <w:rPr>
          <w:rFonts w:ascii="Times New Roman" w:eastAsia="Calibri" w:hAnsi="Times New Roman" w:cs="Times New Roman"/>
          <w:b/>
          <w:sz w:val="24"/>
          <w:szCs w:val="24"/>
          <w:u w:val="single"/>
          <w:lang w:val="en-US"/>
        </w:rPr>
        <w:t>“Risk and bankability framework model”</w:t>
      </w:r>
      <w:r w:rsidR="0097185E" w:rsidRPr="00BC32CF">
        <w:rPr>
          <w:rFonts w:ascii="Times New Roman" w:eastAsia="Calibri" w:hAnsi="Times New Roman" w:cs="Times New Roman"/>
          <w:sz w:val="24"/>
          <w:szCs w:val="24"/>
          <w:u w:val="single"/>
          <w:lang w:val="en-US"/>
        </w:rPr>
        <w:t xml:space="preserve"> for assessing </w:t>
      </w:r>
      <w:r w:rsidR="00F376D0" w:rsidRPr="00BC32CF">
        <w:rPr>
          <w:rFonts w:ascii="Times New Roman" w:eastAsia="Calibri" w:hAnsi="Times New Roman" w:cs="Times New Roman"/>
          <w:sz w:val="24"/>
          <w:szCs w:val="24"/>
          <w:u w:val="single"/>
          <w:lang w:val="en-US"/>
        </w:rPr>
        <w:t xml:space="preserve">the four </w:t>
      </w:r>
      <w:r w:rsidR="0097185E" w:rsidRPr="00BC32CF">
        <w:rPr>
          <w:rFonts w:ascii="Times New Roman" w:eastAsia="Calibri" w:hAnsi="Times New Roman" w:cs="Times New Roman"/>
          <w:sz w:val="24"/>
          <w:szCs w:val="24"/>
          <w:u w:val="single"/>
          <w:lang w:val="en-US"/>
        </w:rPr>
        <w:t>country-</w:t>
      </w:r>
      <w:r w:rsidR="00F14938" w:rsidRPr="00BC32CF">
        <w:rPr>
          <w:rFonts w:ascii="Times New Roman" w:eastAsia="Calibri" w:hAnsi="Times New Roman" w:cs="Times New Roman"/>
          <w:sz w:val="24"/>
          <w:szCs w:val="24"/>
          <w:u w:val="single"/>
          <w:lang w:val="en-US"/>
        </w:rPr>
        <w:t>specific</w:t>
      </w:r>
      <w:r w:rsidR="0097185E" w:rsidRPr="00BC32CF">
        <w:rPr>
          <w:rFonts w:ascii="Times New Roman" w:eastAsia="Calibri" w:hAnsi="Times New Roman" w:cs="Times New Roman"/>
          <w:sz w:val="24"/>
          <w:szCs w:val="24"/>
          <w:u w:val="single"/>
          <w:lang w:val="en-US"/>
        </w:rPr>
        <w:t xml:space="preserve"> risks in PPP loan applications within an emerging market context</w:t>
      </w:r>
      <w:r w:rsidR="00E202E8" w:rsidRPr="00BC32CF">
        <w:rPr>
          <w:rFonts w:ascii="Times New Roman" w:eastAsia="Calibri" w:hAnsi="Times New Roman" w:cs="Times New Roman"/>
          <w:sz w:val="24"/>
          <w:szCs w:val="24"/>
          <w:u w:val="single"/>
          <w:lang w:val="en-US"/>
        </w:rPr>
        <w:t xml:space="preserve"> was developed</w:t>
      </w:r>
      <w:r w:rsidR="0097185E" w:rsidRPr="00BC32CF">
        <w:rPr>
          <w:rFonts w:ascii="Times New Roman" w:eastAsia="Calibri" w:hAnsi="Times New Roman" w:cs="Times New Roman"/>
          <w:sz w:val="24"/>
          <w:szCs w:val="24"/>
          <w:u w:val="single"/>
          <w:lang w:val="en-US"/>
        </w:rPr>
        <w:t xml:space="preserve">. </w:t>
      </w:r>
      <w:r w:rsidR="00F376D0" w:rsidRPr="00BC32CF">
        <w:rPr>
          <w:rFonts w:ascii="Times New Roman" w:eastAsia="Calibri" w:hAnsi="Times New Roman" w:cs="Times New Roman"/>
          <w:sz w:val="24"/>
          <w:szCs w:val="24"/>
          <w:u w:val="single"/>
          <w:lang w:val="en-US"/>
        </w:rPr>
        <w:t>The</w:t>
      </w:r>
      <w:r w:rsidR="00F14938" w:rsidRPr="00BC32CF">
        <w:rPr>
          <w:rFonts w:ascii="Times New Roman" w:eastAsia="Calibri" w:hAnsi="Times New Roman" w:cs="Times New Roman"/>
          <w:sz w:val="24"/>
          <w:szCs w:val="24"/>
          <w:u w:val="single"/>
          <w:lang w:val="en-US"/>
        </w:rPr>
        <w:t xml:space="preserve"> framework model pairs risk factors with various mitigation strategies as well as associated bankability criteria under a single platform. The study validated the model </w:t>
      </w:r>
      <w:r w:rsidR="0097185E" w:rsidRPr="00BC32CF">
        <w:rPr>
          <w:rFonts w:ascii="Times New Roman" w:eastAsia="Calibri" w:hAnsi="Times New Roman" w:cs="Times New Roman"/>
          <w:sz w:val="24"/>
          <w:szCs w:val="24"/>
          <w:u w:val="single"/>
          <w:lang w:val="en-US"/>
        </w:rPr>
        <w:t xml:space="preserve">with another set of data from </w:t>
      </w:r>
      <w:r w:rsidR="00F376D0" w:rsidRPr="00BC32CF">
        <w:rPr>
          <w:rFonts w:ascii="Times New Roman" w:eastAsia="Calibri" w:hAnsi="Times New Roman" w:cs="Times New Roman"/>
          <w:sz w:val="24"/>
          <w:szCs w:val="24"/>
          <w:u w:val="single"/>
          <w:lang w:val="en-US"/>
        </w:rPr>
        <w:t>foreign project financiers and other</w:t>
      </w:r>
      <w:r w:rsidR="0097185E" w:rsidRPr="00BC32CF">
        <w:rPr>
          <w:rFonts w:ascii="Times New Roman" w:eastAsia="Calibri" w:hAnsi="Times New Roman" w:cs="Times New Roman"/>
          <w:sz w:val="24"/>
          <w:szCs w:val="24"/>
          <w:u w:val="single"/>
          <w:lang w:val="en-US"/>
        </w:rPr>
        <w:t xml:space="preserve"> subject matter experts</w:t>
      </w:r>
      <w:r w:rsidR="00F14938" w:rsidRPr="00BC32CF">
        <w:rPr>
          <w:rFonts w:ascii="Times New Roman" w:eastAsia="Calibri" w:hAnsi="Times New Roman" w:cs="Times New Roman"/>
          <w:sz w:val="24"/>
          <w:szCs w:val="24"/>
          <w:u w:val="single"/>
          <w:lang w:val="en-US"/>
        </w:rPr>
        <w:t xml:space="preserve"> with emerging market project</w:t>
      </w:r>
      <w:r w:rsidR="00F376D0" w:rsidRPr="00BC32CF">
        <w:rPr>
          <w:rFonts w:ascii="Times New Roman" w:eastAsia="Calibri" w:hAnsi="Times New Roman" w:cs="Times New Roman"/>
          <w:sz w:val="24"/>
          <w:szCs w:val="24"/>
          <w:u w:val="single"/>
          <w:lang w:val="en-US"/>
        </w:rPr>
        <w:t xml:space="preserve"> </w:t>
      </w:r>
      <w:r w:rsidR="00F376D0" w:rsidRPr="00BC32CF">
        <w:rPr>
          <w:rFonts w:ascii="Times New Roman" w:eastAsia="Calibri" w:hAnsi="Times New Roman" w:cs="Times New Roman"/>
          <w:sz w:val="24"/>
          <w:szCs w:val="24"/>
          <w:u w:val="single"/>
          <w:lang w:val="en-US"/>
        </w:rPr>
        <w:lastRenderedPageBreak/>
        <w:t>financing</w:t>
      </w:r>
      <w:r w:rsidR="00F14938" w:rsidRPr="00BC32CF">
        <w:rPr>
          <w:rFonts w:ascii="Times New Roman" w:eastAsia="Calibri" w:hAnsi="Times New Roman" w:cs="Times New Roman"/>
          <w:sz w:val="24"/>
          <w:szCs w:val="24"/>
          <w:u w:val="single"/>
          <w:lang w:val="en-US"/>
        </w:rPr>
        <w:t xml:space="preserve"> experiences</w:t>
      </w:r>
      <w:r w:rsidR="0097185E" w:rsidRPr="00BC32CF">
        <w:rPr>
          <w:rFonts w:ascii="Times New Roman" w:eastAsia="Calibri" w:hAnsi="Times New Roman" w:cs="Times New Roman"/>
          <w:sz w:val="24"/>
          <w:szCs w:val="24"/>
          <w:u w:val="single"/>
          <w:lang w:val="en-US"/>
        </w:rPr>
        <w:t xml:space="preserve">. </w:t>
      </w:r>
      <w:r w:rsidR="00F14938" w:rsidRPr="00BC32CF">
        <w:rPr>
          <w:rFonts w:ascii="Times New Roman" w:eastAsia="Calibri" w:hAnsi="Times New Roman" w:cs="Times New Roman"/>
          <w:sz w:val="24"/>
          <w:szCs w:val="24"/>
          <w:u w:val="single"/>
          <w:lang w:val="en-US"/>
        </w:rPr>
        <w:t xml:space="preserve">As such, </w:t>
      </w:r>
      <w:r w:rsidR="00DE716A" w:rsidRPr="00BC32CF">
        <w:rPr>
          <w:rFonts w:ascii="Times New Roman" w:eastAsia="Calibri" w:hAnsi="Times New Roman" w:cs="Times New Roman"/>
          <w:sz w:val="24"/>
          <w:szCs w:val="24"/>
          <w:u w:val="single"/>
          <w:lang w:val="en-US"/>
        </w:rPr>
        <w:t xml:space="preserve">the </w:t>
      </w:r>
      <w:r w:rsidR="00A27595" w:rsidRPr="00BC32CF">
        <w:rPr>
          <w:rFonts w:ascii="Times New Roman" w:eastAsia="Calibri" w:hAnsi="Times New Roman" w:cs="Times New Roman"/>
          <w:sz w:val="24"/>
          <w:szCs w:val="24"/>
          <w:u w:val="single"/>
          <w:lang w:val="en-US"/>
        </w:rPr>
        <w:t xml:space="preserve">framework model </w:t>
      </w:r>
      <w:r w:rsidR="00DE716A" w:rsidRPr="00BC32CF">
        <w:rPr>
          <w:rFonts w:ascii="Times New Roman" w:eastAsia="Calibri" w:hAnsi="Times New Roman" w:cs="Times New Roman"/>
          <w:sz w:val="24"/>
          <w:szCs w:val="24"/>
          <w:u w:val="single"/>
          <w:lang w:val="en-US"/>
        </w:rPr>
        <w:t xml:space="preserve">proposed in the study </w:t>
      </w:r>
      <w:r w:rsidR="00A27595" w:rsidRPr="00BC32CF">
        <w:rPr>
          <w:rFonts w:ascii="Times New Roman" w:eastAsia="Calibri" w:hAnsi="Times New Roman" w:cs="Times New Roman"/>
          <w:sz w:val="24"/>
          <w:szCs w:val="24"/>
          <w:u w:val="single"/>
          <w:lang w:val="en-US"/>
        </w:rPr>
        <w:t xml:space="preserve">presents a </w:t>
      </w:r>
      <w:r w:rsidR="0016792D" w:rsidRPr="00BC32CF">
        <w:rPr>
          <w:rFonts w:ascii="Times New Roman" w:eastAsia="Calibri" w:hAnsi="Times New Roman" w:cs="Times New Roman"/>
          <w:sz w:val="24"/>
          <w:szCs w:val="24"/>
          <w:u w:val="single"/>
          <w:lang w:val="en-US"/>
        </w:rPr>
        <w:t>valuable mind-</w:t>
      </w:r>
      <w:r w:rsidR="00A27595" w:rsidRPr="00BC32CF">
        <w:rPr>
          <w:rFonts w:ascii="Times New Roman" w:eastAsia="Calibri" w:hAnsi="Times New Roman" w:cs="Times New Roman"/>
          <w:sz w:val="24"/>
          <w:szCs w:val="24"/>
          <w:u w:val="single"/>
          <w:lang w:val="en-US"/>
        </w:rPr>
        <w:t xml:space="preserve">map </w:t>
      </w:r>
      <w:r w:rsidR="00E202E8" w:rsidRPr="00BC32CF">
        <w:rPr>
          <w:rFonts w:ascii="Times New Roman" w:eastAsia="Calibri" w:hAnsi="Times New Roman" w:cs="Times New Roman"/>
          <w:sz w:val="24"/>
          <w:szCs w:val="24"/>
          <w:u w:val="single"/>
          <w:lang w:val="en-US"/>
        </w:rPr>
        <w:t xml:space="preserve">tool </w:t>
      </w:r>
      <w:r w:rsidR="00A27595" w:rsidRPr="00BC32CF">
        <w:rPr>
          <w:rFonts w:ascii="Times New Roman" w:eastAsia="Calibri" w:hAnsi="Times New Roman" w:cs="Times New Roman"/>
          <w:sz w:val="24"/>
          <w:szCs w:val="24"/>
          <w:u w:val="single"/>
          <w:lang w:val="en-US"/>
        </w:rPr>
        <w:t xml:space="preserve">and checklist for foreign </w:t>
      </w:r>
      <w:r w:rsidR="00E202E8" w:rsidRPr="00BC32CF">
        <w:rPr>
          <w:rFonts w:ascii="Times New Roman" w:eastAsia="Calibri" w:hAnsi="Times New Roman" w:cs="Times New Roman"/>
          <w:sz w:val="24"/>
          <w:szCs w:val="24"/>
          <w:u w:val="single"/>
          <w:lang w:val="en-US"/>
        </w:rPr>
        <w:t>financiers</w:t>
      </w:r>
      <w:r w:rsidR="00A27595" w:rsidRPr="00BC32CF">
        <w:rPr>
          <w:rFonts w:ascii="Times New Roman" w:eastAsia="Calibri" w:hAnsi="Times New Roman" w:cs="Times New Roman"/>
          <w:sz w:val="24"/>
          <w:szCs w:val="24"/>
          <w:u w:val="single"/>
          <w:lang w:val="en-US"/>
        </w:rPr>
        <w:t xml:space="preserve"> </w:t>
      </w:r>
      <w:r w:rsidR="00E202E8" w:rsidRPr="00BC32CF">
        <w:rPr>
          <w:rFonts w:ascii="Times New Roman" w:eastAsia="Calibri" w:hAnsi="Times New Roman" w:cs="Times New Roman"/>
          <w:sz w:val="24"/>
          <w:szCs w:val="24"/>
          <w:u w:val="single"/>
          <w:lang w:val="en-US"/>
        </w:rPr>
        <w:t>including</w:t>
      </w:r>
      <w:r w:rsidR="00A27595" w:rsidRPr="00BC32CF">
        <w:rPr>
          <w:rFonts w:ascii="Times New Roman" w:eastAsia="Calibri" w:hAnsi="Times New Roman" w:cs="Times New Roman"/>
          <w:sz w:val="24"/>
          <w:szCs w:val="24"/>
          <w:u w:val="single"/>
          <w:lang w:val="en-US"/>
        </w:rPr>
        <w:t xml:space="preserve"> private investors </w:t>
      </w:r>
      <w:r w:rsidR="00E202E8" w:rsidRPr="00BC32CF">
        <w:rPr>
          <w:rFonts w:ascii="Times New Roman" w:eastAsia="Calibri" w:hAnsi="Times New Roman" w:cs="Times New Roman"/>
          <w:sz w:val="24"/>
          <w:szCs w:val="24"/>
          <w:u w:val="single"/>
          <w:lang w:val="en-US"/>
        </w:rPr>
        <w:t>interested in</w:t>
      </w:r>
      <w:r w:rsidR="00A27595" w:rsidRPr="00BC32CF">
        <w:rPr>
          <w:rFonts w:ascii="Times New Roman" w:eastAsia="Calibri" w:hAnsi="Times New Roman" w:cs="Times New Roman"/>
          <w:sz w:val="24"/>
          <w:szCs w:val="24"/>
          <w:u w:val="single"/>
          <w:lang w:val="en-US"/>
        </w:rPr>
        <w:t xml:space="preserve"> </w:t>
      </w:r>
      <w:r w:rsidR="0016792D" w:rsidRPr="00BC32CF">
        <w:rPr>
          <w:rFonts w:ascii="Times New Roman" w:eastAsia="Calibri" w:hAnsi="Times New Roman" w:cs="Times New Roman"/>
          <w:sz w:val="24"/>
          <w:szCs w:val="24"/>
          <w:u w:val="single"/>
          <w:lang w:val="en-US"/>
        </w:rPr>
        <w:t>emerging market</w:t>
      </w:r>
      <w:r w:rsidR="00E202E8" w:rsidRPr="00BC32CF">
        <w:rPr>
          <w:rFonts w:ascii="Times New Roman" w:eastAsia="Calibri" w:hAnsi="Times New Roman" w:cs="Times New Roman"/>
          <w:sz w:val="24"/>
          <w:szCs w:val="24"/>
          <w:u w:val="single"/>
          <w:lang w:val="en-US"/>
        </w:rPr>
        <w:t xml:space="preserve"> PPP projects</w:t>
      </w:r>
      <w:r w:rsidR="00A27595" w:rsidRPr="00BC32CF">
        <w:rPr>
          <w:rFonts w:ascii="Times New Roman" w:eastAsia="Calibri" w:hAnsi="Times New Roman" w:cs="Times New Roman"/>
          <w:sz w:val="24"/>
          <w:szCs w:val="24"/>
          <w:u w:val="single"/>
          <w:lang w:val="en-US"/>
        </w:rPr>
        <w:t>.</w:t>
      </w:r>
      <w:r w:rsidR="00A27595" w:rsidRPr="00BC32CF">
        <w:rPr>
          <w:rFonts w:ascii="Times New Roman" w:eastAsia="Calibri" w:hAnsi="Times New Roman" w:cs="Times New Roman"/>
          <w:sz w:val="24"/>
          <w:szCs w:val="24"/>
          <w:lang w:val="en-US"/>
        </w:rPr>
        <w:t xml:space="preserve"> </w:t>
      </w:r>
      <w:r w:rsidR="00E202E8" w:rsidRPr="00BC32CF">
        <w:rPr>
          <w:rFonts w:ascii="Times New Roman" w:eastAsia="Calibri" w:hAnsi="Times New Roman" w:cs="Times New Roman"/>
          <w:sz w:val="24"/>
          <w:szCs w:val="24"/>
          <w:lang w:val="en-US"/>
        </w:rPr>
        <w:t xml:space="preserve">This result mirrors the perspective of </w:t>
      </w:r>
      <w:r w:rsidR="00F376D0" w:rsidRPr="00BC32CF">
        <w:rPr>
          <w:rFonts w:ascii="Times New Roman" w:eastAsia="Calibri" w:hAnsi="Times New Roman" w:cs="Times New Roman"/>
          <w:sz w:val="24"/>
          <w:szCs w:val="24"/>
          <w:lang w:val="en-US"/>
        </w:rPr>
        <w:t xml:space="preserve">Kayaga </w:t>
      </w:r>
      <w:r w:rsidR="00E202E8" w:rsidRPr="00BC32CF">
        <w:rPr>
          <w:rFonts w:ascii="Times New Roman" w:eastAsia="Calibri" w:hAnsi="Times New Roman" w:cs="Times New Roman"/>
          <w:sz w:val="24"/>
          <w:szCs w:val="24"/>
          <w:lang w:val="en-US"/>
        </w:rPr>
        <w:t>(</w:t>
      </w:r>
      <w:r w:rsidR="00F376D0" w:rsidRPr="00BC32CF">
        <w:rPr>
          <w:rFonts w:ascii="Times New Roman" w:eastAsia="Calibri" w:hAnsi="Times New Roman" w:cs="Times New Roman"/>
          <w:sz w:val="24"/>
          <w:szCs w:val="24"/>
          <w:lang w:val="en-US"/>
        </w:rPr>
        <w:t xml:space="preserve">2008), </w:t>
      </w:r>
      <w:r w:rsidR="00E202E8" w:rsidRPr="00BC32CF">
        <w:rPr>
          <w:rFonts w:ascii="Times New Roman" w:eastAsia="Calibri" w:hAnsi="Times New Roman" w:cs="Times New Roman"/>
          <w:sz w:val="24"/>
          <w:szCs w:val="24"/>
          <w:lang w:val="en-US"/>
        </w:rPr>
        <w:t xml:space="preserve">who suggested that </w:t>
      </w:r>
      <w:r w:rsidR="00F376D0" w:rsidRPr="00BC32CF">
        <w:rPr>
          <w:rFonts w:ascii="Times New Roman" w:eastAsia="Calibri" w:hAnsi="Times New Roman" w:cs="Times New Roman"/>
          <w:sz w:val="24"/>
          <w:szCs w:val="24"/>
          <w:lang w:val="en-US"/>
        </w:rPr>
        <w:t>the relative slow pace of PPP growth in Sub Saharan Africa can be attributed to huge hindrance posed by country-related risks to the bankability of indigenous PPP projects. Thus, r</w:t>
      </w:r>
      <w:r w:rsidR="00DE716A" w:rsidRPr="00BC32CF">
        <w:rPr>
          <w:rFonts w:ascii="Times New Roman" w:eastAsia="Calibri" w:hAnsi="Times New Roman" w:cs="Times New Roman"/>
          <w:sz w:val="24"/>
          <w:szCs w:val="24"/>
          <w:lang w:val="en-US"/>
        </w:rPr>
        <w:t xml:space="preserve">esults from the study </w:t>
      </w:r>
      <w:r w:rsidR="00A27595" w:rsidRPr="00BC32CF">
        <w:rPr>
          <w:rFonts w:ascii="Times New Roman" w:eastAsia="Calibri" w:hAnsi="Times New Roman" w:cs="Times New Roman"/>
          <w:sz w:val="24"/>
          <w:szCs w:val="24"/>
          <w:lang w:val="en-US"/>
        </w:rPr>
        <w:t xml:space="preserve">represent critical parameters for winning foreign loan approval for PPP </w:t>
      </w:r>
      <w:r w:rsidR="00694704" w:rsidRPr="00BC32CF">
        <w:rPr>
          <w:rFonts w:ascii="Times New Roman" w:eastAsia="Calibri" w:hAnsi="Times New Roman" w:cs="Times New Roman"/>
          <w:sz w:val="24"/>
          <w:szCs w:val="24"/>
          <w:lang w:val="en-US"/>
        </w:rPr>
        <w:t xml:space="preserve">infrastructure </w:t>
      </w:r>
      <w:r w:rsidR="00A27595" w:rsidRPr="00BC32CF">
        <w:rPr>
          <w:rFonts w:ascii="Times New Roman" w:eastAsia="Calibri" w:hAnsi="Times New Roman" w:cs="Times New Roman"/>
          <w:sz w:val="24"/>
          <w:szCs w:val="24"/>
          <w:lang w:val="en-US"/>
        </w:rPr>
        <w:t xml:space="preserve">projects </w:t>
      </w:r>
      <w:r w:rsidR="00DE716A" w:rsidRPr="00BC32CF">
        <w:rPr>
          <w:rFonts w:ascii="Times New Roman" w:eastAsia="Calibri" w:hAnsi="Times New Roman" w:cs="Times New Roman"/>
          <w:sz w:val="24"/>
          <w:szCs w:val="24"/>
          <w:lang w:val="en-US"/>
        </w:rPr>
        <w:t>with</w:t>
      </w:r>
      <w:r w:rsidR="00A27595" w:rsidRPr="00BC32CF">
        <w:rPr>
          <w:rFonts w:ascii="Times New Roman" w:eastAsia="Calibri" w:hAnsi="Times New Roman" w:cs="Times New Roman"/>
          <w:sz w:val="24"/>
          <w:szCs w:val="24"/>
          <w:lang w:val="en-US"/>
        </w:rPr>
        <w:t xml:space="preserve">in </w:t>
      </w:r>
      <w:r w:rsidR="00DE716A" w:rsidRPr="00BC32CF">
        <w:rPr>
          <w:rFonts w:ascii="Times New Roman" w:eastAsia="Calibri" w:hAnsi="Times New Roman" w:cs="Times New Roman"/>
          <w:sz w:val="24"/>
          <w:szCs w:val="24"/>
          <w:lang w:val="en-US"/>
        </w:rPr>
        <w:t>an emerging market context.</w:t>
      </w:r>
      <w:r w:rsidR="00A27595" w:rsidRPr="00BC32CF">
        <w:rPr>
          <w:rFonts w:ascii="Times New Roman" w:eastAsia="Calibri" w:hAnsi="Times New Roman" w:cs="Times New Roman"/>
          <w:sz w:val="24"/>
          <w:szCs w:val="24"/>
          <w:lang w:val="en-US"/>
        </w:rPr>
        <w:t xml:space="preserve"> </w:t>
      </w:r>
    </w:p>
    <w:p w14:paraId="2891BB0A" w14:textId="77777777" w:rsidR="00850CC6" w:rsidRPr="00BC32CF" w:rsidRDefault="00850CC6" w:rsidP="00850CC6">
      <w:pPr>
        <w:spacing w:line="480" w:lineRule="auto"/>
        <w:rPr>
          <w:rFonts w:ascii="Times New Roman" w:eastAsia="Calibri" w:hAnsi="Times New Roman" w:cs="Times New Roman"/>
          <w:sz w:val="24"/>
          <w:szCs w:val="24"/>
          <w:lang w:val="en-US"/>
        </w:rPr>
      </w:pPr>
    </w:p>
    <w:p w14:paraId="19D2C69E" w14:textId="01B9900D" w:rsidR="009C48EE" w:rsidRPr="00BC32CF" w:rsidRDefault="00A27595" w:rsidP="00850CC6">
      <w:pPr>
        <w:spacing w:after="200" w:line="480" w:lineRule="auto"/>
        <w:rPr>
          <w:rFonts w:ascii="Times New Roman" w:eastAsia="Calibri" w:hAnsi="Times New Roman" w:cs="Times New Roman"/>
          <w:sz w:val="24"/>
          <w:szCs w:val="24"/>
        </w:rPr>
      </w:pPr>
      <w:r w:rsidRPr="00BC32CF">
        <w:rPr>
          <w:rFonts w:ascii="Times New Roman" w:eastAsia="Calibri" w:hAnsi="Times New Roman" w:cs="Times New Roman"/>
          <w:sz w:val="24"/>
          <w:szCs w:val="24"/>
          <w:lang w:val="en-US"/>
        </w:rPr>
        <w:t xml:space="preserve">Future studies should </w:t>
      </w:r>
      <w:r w:rsidRPr="00BC32CF">
        <w:rPr>
          <w:rFonts w:ascii="Times New Roman" w:eastAsia="Calibri" w:hAnsi="Times New Roman" w:cs="Times New Roman"/>
          <w:sz w:val="24"/>
          <w:szCs w:val="24"/>
        </w:rPr>
        <w:t>endeavour</w:t>
      </w:r>
      <w:r w:rsidR="00C24E3B" w:rsidRPr="00BC32CF">
        <w:rPr>
          <w:rFonts w:ascii="Times New Roman" w:eastAsia="Calibri" w:hAnsi="Times New Roman" w:cs="Times New Roman"/>
          <w:sz w:val="24"/>
          <w:szCs w:val="24"/>
          <w:lang w:val="en-US"/>
        </w:rPr>
        <w:t xml:space="preserve"> to widen the</w:t>
      </w:r>
      <w:r w:rsidRPr="00BC32CF">
        <w:rPr>
          <w:rFonts w:ascii="Times New Roman" w:eastAsia="Calibri" w:hAnsi="Times New Roman" w:cs="Times New Roman"/>
          <w:sz w:val="24"/>
          <w:szCs w:val="24"/>
          <w:lang w:val="en-US"/>
        </w:rPr>
        <w:t xml:space="preserve"> scope of this study. These include using more </w:t>
      </w:r>
      <w:r w:rsidR="00850CC6" w:rsidRPr="00BC32CF">
        <w:rPr>
          <w:rFonts w:ascii="Times New Roman" w:eastAsia="Calibri" w:hAnsi="Times New Roman" w:cs="Times New Roman"/>
          <w:sz w:val="24"/>
          <w:szCs w:val="24"/>
          <w:lang w:val="en-US"/>
        </w:rPr>
        <w:t>contexts</w:t>
      </w:r>
      <w:r w:rsidRPr="00BC32CF">
        <w:rPr>
          <w:rFonts w:ascii="Times New Roman" w:eastAsia="Calibri" w:hAnsi="Times New Roman" w:cs="Times New Roman"/>
          <w:sz w:val="24"/>
          <w:szCs w:val="24"/>
          <w:lang w:val="en-US"/>
        </w:rPr>
        <w:t xml:space="preserve"> to confirm the </w:t>
      </w:r>
      <w:r w:rsidR="00850CC6" w:rsidRPr="00BC32CF">
        <w:rPr>
          <w:rFonts w:ascii="Times New Roman" w:eastAsia="Calibri" w:hAnsi="Times New Roman" w:cs="Times New Roman"/>
          <w:sz w:val="24"/>
          <w:szCs w:val="24"/>
          <w:lang w:val="en-US"/>
        </w:rPr>
        <w:t>applicability of findings from</w:t>
      </w:r>
      <w:r w:rsidRPr="00BC32CF">
        <w:rPr>
          <w:rFonts w:ascii="Times New Roman" w:eastAsia="Calibri" w:hAnsi="Times New Roman" w:cs="Times New Roman"/>
          <w:sz w:val="24"/>
          <w:szCs w:val="24"/>
          <w:lang w:val="en-US"/>
        </w:rPr>
        <w:t xml:space="preserve"> the current study </w:t>
      </w:r>
      <w:r w:rsidR="00850CC6" w:rsidRPr="00BC32CF">
        <w:rPr>
          <w:rFonts w:ascii="Times New Roman" w:eastAsia="Calibri" w:hAnsi="Times New Roman" w:cs="Times New Roman"/>
          <w:sz w:val="24"/>
          <w:szCs w:val="24"/>
          <w:lang w:val="en-US"/>
        </w:rPr>
        <w:t>with respect to</w:t>
      </w:r>
      <w:r w:rsidRPr="00BC32CF">
        <w:rPr>
          <w:rFonts w:ascii="Times New Roman" w:eastAsia="Calibri" w:hAnsi="Times New Roman" w:cs="Times New Roman"/>
          <w:sz w:val="24"/>
          <w:szCs w:val="24"/>
          <w:lang w:val="en-US"/>
        </w:rPr>
        <w:t xml:space="preserve"> other emerging economies. It </w:t>
      </w:r>
      <w:r w:rsidR="00DE716A" w:rsidRPr="00BC32CF">
        <w:rPr>
          <w:rFonts w:ascii="Times New Roman" w:eastAsia="Calibri" w:hAnsi="Times New Roman" w:cs="Times New Roman"/>
          <w:sz w:val="24"/>
          <w:szCs w:val="24"/>
          <w:lang w:val="en-US"/>
        </w:rPr>
        <w:t>may also be very essential to explore the impact of public sector guarantee on the bankability of PPPs within emerging market context.</w:t>
      </w:r>
      <w:r w:rsidRPr="00BC32CF">
        <w:rPr>
          <w:rFonts w:ascii="Times New Roman" w:eastAsia="Calibri" w:hAnsi="Times New Roman" w:cs="Times New Roman"/>
          <w:sz w:val="24"/>
          <w:szCs w:val="24"/>
          <w:lang w:val="en-US"/>
        </w:rPr>
        <w:t xml:space="preserve"> Further empirical studies are also needed on how to avoid lenders’ “call for event of default” in PPP projects, determinants of sponsors’ equity contribution in typical project finance arrangements, and lenders’ perspective to securitization in PPP projects among other things.</w:t>
      </w:r>
      <w:r w:rsidR="009C48EE" w:rsidRPr="00BC32CF">
        <w:rPr>
          <w:rFonts w:ascii="Times New Roman" w:eastAsia="Calibri" w:hAnsi="Times New Roman" w:cs="Times New Roman"/>
          <w:sz w:val="24"/>
          <w:szCs w:val="24"/>
        </w:rPr>
        <w:br w:type="page"/>
      </w:r>
    </w:p>
    <w:p w14:paraId="461A4A4E" w14:textId="77777777" w:rsidR="0013706A" w:rsidRPr="00BC32CF" w:rsidRDefault="009C3835" w:rsidP="00CD1C18">
      <w:pPr>
        <w:pStyle w:val="Heading1"/>
        <w:spacing w:after="0"/>
        <w:rPr>
          <w:rFonts w:eastAsia="Calibri"/>
        </w:rPr>
      </w:pPr>
      <w:r w:rsidRPr="00BC32CF">
        <w:rPr>
          <w:rFonts w:eastAsia="Calibri"/>
        </w:rPr>
        <w:lastRenderedPageBreak/>
        <w:t>8</w:t>
      </w:r>
      <w:r w:rsidR="00AA7922" w:rsidRPr="00BC32CF">
        <w:rPr>
          <w:rFonts w:eastAsia="Calibri"/>
        </w:rPr>
        <w:t>.0</w:t>
      </w:r>
      <w:r w:rsidR="00AA7922" w:rsidRPr="00BC32CF">
        <w:rPr>
          <w:rFonts w:eastAsia="Calibri"/>
        </w:rPr>
        <w:tab/>
      </w:r>
      <w:r w:rsidR="00412BE2" w:rsidRPr="00BC32CF">
        <w:rPr>
          <w:rFonts w:eastAsia="Calibri"/>
        </w:rPr>
        <w:t>References</w:t>
      </w:r>
    </w:p>
    <w:p w14:paraId="79A160EF" w14:textId="77777777" w:rsidR="00CD1C18" w:rsidRPr="00BC32CF" w:rsidRDefault="00CD1C18" w:rsidP="00CD1C18"/>
    <w:p w14:paraId="0ABBB811" w14:textId="77777777" w:rsidR="001226DF" w:rsidRPr="00BC32CF" w:rsidRDefault="001226DF" w:rsidP="001226DF">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Akintoye, A., Beck, M., &amp; Kumaraswamy, M. (Eds.). (2015). Public private partnerships: A global review. Routledge.</w:t>
      </w:r>
    </w:p>
    <w:p w14:paraId="3F109F6B"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Al Khattab, A., Anchor, J., &amp; Davies, E. (2007). Managerial Perceptions of Political Risk in International Projects. </w:t>
      </w:r>
      <w:r w:rsidRPr="00BC32CF">
        <w:rPr>
          <w:rFonts w:ascii="Times New Roman" w:eastAsia="Calibri" w:hAnsi="Times New Roman" w:cs="Times New Roman"/>
          <w:i/>
          <w:sz w:val="24"/>
          <w:szCs w:val="24"/>
          <w:lang w:val="en-US"/>
        </w:rPr>
        <w:t>International Journal of Project Management</w:t>
      </w:r>
      <w:r w:rsidRPr="00BC32CF">
        <w:rPr>
          <w:rFonts w:ascii="Times New Roman" w:eastAsia="Calibri" w:hAnsi="Times New Roman" w:cs="Times New Roman"/>
          <w:sz w:val="24"/>
          <w:szCs w:val="24"/>
          <w:lang w:val="en-US"/>
        </w:rPr>
        <w:t>, 25(7), 734-743.</w:t>
      </w:r>
    </w:p>
    <w:p w14:paraId="7BC0A99A" w14:textId="77777777" w:rsidR="005A1FE6" w:rsidRPr="00BC32CF" w:rsidRDefault="005A1FE6" w:rsidP="00CD1C18">
      <w:pPr>
        <w:spacing w:after="240" w:line="240" w:lineRule="auto"/>
        <w:ind w:left="567" w:hanging="567"/>
        <w:jc w:val="both"/>
        <w:rPr>
          <w:rFonts w:ascii="Times New Roman" w:eastAsia="Calibri" w:hAnsi="Times New Roman" w:cs="Times New Roman"/>
          <w:i/>
          <w:sz w:val="24"/>
          <w:szCs w:val="24"/>
          <w:lang w:val="en-US"/>
        </w:rPr>
      </w:pPr>
      <w:r w:rsidRPr="00BC32CF">
        <w:rPr>
          <w:rFonts w:ascii="Times New Roman" w:eastAsia="Calibri" w:hAnsi="Times New Roman" w:cs="Times New Roman"/>
          <w:sz w:val="24"/>
          <w:szCs w:val="24"/>
          <w:lang w:val="en-US"/>
        </w:rPr>
        <w:t xml:space="preserve">Amalric, F. (2005). The Equator Principles: A Step </w:t>
      </w:r>
      <w:r w:rsidR="00583F4E" w:rsidRPr="00BC32CF">
        <w:rPr>
          <w:rFonts w:ascii="Times New Roman" w:eastAsia="Calibri" w:hAnsi="Times New Roman" w:cs="Times New Roman"/>
          <w:sz w:val="24"/>
          <w:szCs w:val="24"/>
          <w:lang w:val="en-US"/>
        </w:rPr>
        <w:t>towards</w:t>
      </w:r>
      <w:r w:rsidRPr="00BC32CF">
        <w:rPr>
          <w:rFonts w:ascii="Times New Roman" w:eastAsia="Calibri" w:hAnsi="Times New Roman" w:cs="Times New Roman"/>
          <w:sz w:val="24"/>
          <w:szCs w:val="24"/>
          <w:lang w:val="en-US"/>
        </w:rPr>
        <w:t xml:space="preserve"> Sustainability. [Online]. </w:t>
      </w:r>
      <w:r w:rsidRPr="00BC32CF">
        <w:rPr>
          <w:rFonts w:ascii="Times New Roman" w:eastAsia="Calibri" w:hAnsi="Times New Roman" w:cs="Times New Roman"/>
          <w:i/>
          <w:sz w:val="24"/>
          <w:szCs w:val="24"/>
          <w:lang w:val="en-US"/>
        </w:rPr>
        <w:t>Center for Corporate Responsibility and Sustainability. [Accessed 3</w:t>
      </w:r>
      <w:r w:rsidRPr="00BC32CF">
        <w:rPr>
          <w:rFonts w:ascii="Times New Roman" w:eastAsia="Calibri" w:hAnsi="Times New Roman" w:cs="Times New Roman"/>
          <w:i/>
          <w:sz w:val="24"/>
          <w:szCs w:val="24"/>
          <w:vertAlign w:val="superscript"/>
          <w:lang w:val="en-US"/>
        </w:rPr>
        <w:t>rd</w:t>
      </w:r>
      <w:r w:rsidRPr="00BC32CF">
        <w:rPr>
          <w:rFonts w:ascii="Times New Roman" w:eastAsia="Calibri" w:hAnsi="Times New Roman" w:cs="Times New Roman"/>
          <w:i/>
          <w:sz w:val="24"/>
          <w:szCs w:val="24"/>
          <w:lang w:val="en-US"/>
        </w:rPr>
        <w:t xml:space="preserve"> Feb, 2015].</w:t>
      </w:r>
    </w:p>
    <w:p w14:paraId="1FE62BCB" w14:textId="1F0D968E" w:rsidR="004F583F" w:rsidRPr="00BC32CF" w:rsidRDefault="004F583F" w:rsidP="00CD1C18">
      <w:pPr>
        <w:spacing w:after="240" w:line="240" w:lineRule="auto"/>
        <w:ind w:left="567" w:hanging="567"/>
        <w:jc w:val="both"/>
        <w:rPr>
          <w:rFonts w:ascii="Times New Roman" w:eastAsia="Calibri" w:hAnsi="Times New Roman" w:cs="Times New Roman"/>
          <w:i/>
          <w:sz w:val="24"/>
          <w:szCs w:val="24"/>
          <w:lang w:val="en-US"/>
        </w:rPr>
      </w:pPr>
      <w:r w:rsidRPr="00BC32CF">
        <w:rPr>
          <w:rFonts w:ascii="Times New Roman" w:eastAsia="Calibri" w:hAnsi="Times New Roman" w:cs="Times New Roman"/>
          <w:sz w:val="24"/>
          <w:szCs w:val="24"/>
          <w:lang w:val="en-US"/>
        </w:rPr>
        <w:t xml:space="preserve">Ameyaw, E. E., &amp; Chan, A. P. (2015). Evaluation and ranking of risk factors in public–private partnership water supply projects in developing countries using fuzzy synthetic evaluation approach. </w:t>
      </w:r>
      <w:r w:rsidRPr="00BC32CF">
        <w:rPr>
          <w:rFonts w:ascii="Times New Roman" w:eastAsia="Calibri" w:hAnsi="Times New Roman" w:cs="Times New Roman"/>
          <w:i/>
          <w:sz w:val="24"/>
          <w:szCs w:val="24"/>
          <w:lang w:val="en-US"/>
        </w:rPr>
        <w:t>Expert Systems with Applications</w:t>
      </w:r>
      <w:r w:rsidRPr="00BC32CF">
        <w:rPr>
          <w:rFonts w:ascii="Times New Roman" w:eastAsia="Calibri" w:hAnsi="Times New Roman" w:cs="Times New Roman"/>
          <w:sz w:val="24"/>
          <w:szCs w:val="24"/>
          <w:lang w:val="en-US"/>
        </w:rPr>
        <w:t>, 42(12), 5102-5116</w:t>
      </w:r>
      <w:r w:rsidRPr="00BC32CF">
        <w:rPr>
          <w:rFonts w:ascii="Times New Roman" w:eastAsia="Calibri" w:hAnsi="Times New Roman" w:cs="Times New Roman"/>
          <w:i/>
          <w:sz w:val="24"/>
          <w:szCs w:val="24"/>
          <w:lang w:val="en-US"/>
        </w:rPr>
        <w:t>.</w:t>
      </w:r>
    </w:p>
    <w:p w14:paraId="29378211"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Atmo, G. U., and Duffield, C. (2014). Improving Investment Sustainability for PPP Power Projects in Emerging Economies: Value for Money Framework. </w:t>
      </w:r>
      <w:r w:rsidRPr="00BC32CF">
        <w:rPr>
          <w:rFonts w:ascii="Times New Roman" w:eastAsia="Calibri" w:hAnsi="Times New Roman" w:cs="Times New Roman"/>
          <w:i/>
          <w:sz w:val="24"/>
          <w:szCs w:val="24"/>
          <w:lang w:val="en-US"/>
        </w:rPr>
        <w:t>Built Environment Project and Asset Management</w:t>
      </w:r>
      <w:r w:rsidRPr="00BC32CF">
        <w:rPr>
          <w:rFonts w:ascii="Times New Roman" w:eastAsia="Calibri" w:hAnsi="Times New Roman" w:cs="Times New Roman"/>
          <w:sz w:val="24"/>
          <w:szCs w:val="24"/>
          <w:lang w:val="en-US"/>
        </w:rPr>
        <w:t>, 4(4).</w:t>
      </w:r>
    </w:p>
    <w:p w14:paraId="55B6E890" w14:textId="02BBC3C1" w:rsidR="005A5E8B" w:rsidRPr="00BC32CF" w:rsidRDefault="005A5E8B"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Babatunde, S. O., &amp; Perera, S. (2017). Barriers to bond financing for public-private partnership infrastructure projects in emerging markets: A case of Nigeria. Journal of Financial Management of Property and Construction, 22(1), 2-19.</w:t>
      </w:r>
    </w:p>
    <w:p w14:paraId="5185893C"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Babatunde, S. O., Opawole, A., and Akinsiku, O. E. (2012). Critical Success Factors in Public-Private Partnership (PPP) on Infrastructure Delivery in Nigeria. </w:t>
      </w:r>
      <w:r w:rsidRPr="00BC32CF">
        <w:rPr>
          <w:rFonts w:ascii="Times New Roman" w:eastAsia="Calibri" w:hAnsi="Times New Roman" w:cs="Times New Roman"/>
          <w:i/>
          <w:sz w:val="24"/>
          <w:szCs w:val="24"/>
          <w:lang w:val="en-US"/>
        </w:rPr>
        <w:t>Journal of Facilities Management</w:t>
      </w:r>
      <w:r w:rsidRPr="00BC32CF">
        <w:rPr>
          <w:rFonts w:ascii="Times New Roman" w:eastAsia="Calibri" w:hAnsi="Times New Roman" w:cs="Times New Roman"/>
          <w:sz w:val="24"/>
          <w:szCs w:val="24"/>
          <w:lang w:val="en-US"/>
        </w:rPr>
        <w:t>, 10(3), 212-225.</w:t>
      </w:r>
    </w:p>
    <w:p w14:paraId="0AEEB272" w14:textId="77777777" w:rsidR="005A1FE6" w:rsidRPr="00BC32CF" w:rsidRDefault="005A1FE6" w:rsidP="00CD1C18">
      <w:pPr>
        <w:spacing w:after="20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Basılio, M. (2011). Infrastructure PPP investments in Emerging Markets. [Online]. Available at [http://www.efmaefm.org/0EFMAMEETINGS/EFMA%20ANNUAL%20MEETINGS/2011-Braga/papers/0337_update.pdf]. [Accessed on 12</w:t>
      </w:r>
      <w:r w:rsidRPr="00BC32CF">
        <w:rPr>
          <w:rFonts w:ascii="Times New Roman" w:eastAsia="Calibri" w:hAnsi="Times New Roman" w:cs="Times New Roman"/>
          <w:sz w:val="24"/>
          <w:szCs w:val="24"/>
          <w:vertAlign w:val="superscript"/>
          <w:lang w:val="en-US"/>
        </w:rPr>
        <w:t>th</w:t>
      </w:r>
      <w:r w:rsidRPr="00BC32CF">
        <w:rPr>
          <w:rFonts w:ascii="Times New Roman" w:eastAsia="Calibri" w:hAnsi="Times New Roman" w:cs="Times New Roman"/>
          <w:sz w:val="24"/>
          <w:szCs w:val="24"/>
          <w:lang w:val="en-US"/>
        </w:rPr>
        <w:t xml:space="preserve"> Feb, 2015].</w:t>
      </w:r>
    </w:p>
    <w:p w14:paraId="02406542" w14:textId="77777777" w:rsidR="005A1FE6" w:rsidRPr="00BC32CF" w:rsidRDefault="005A1FE6" w:rsidP="00CD1C18">
      <w:pPr>
        <w:spacing w:after="20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Bekaert, G. and Harvey, C. R. (2002). Research in Emerging Markets Finance: Looking to the Future. </w:t>
      </w:r>
      <w:r w:rsidRPr="00BC32CF">
        <w:rPr>
          <w:rFonts w:ascii="Times New Roman" w:eastAsia="Calibri" w:hAnsi="Times New Roman" w:cs="Times New Roman"/>
          <w:i/>
          <w:sz w:val="24"/>
          <w:szCs w:val="24"/>
          <w:lang w:val="en-US"/>
        </w:rPr>
        <w:t>Emerging Markets Review</w:t>
      </w:r>
      <w:r w:rsidRPr="00BC32CF">
        <w:rPr>
          <w:rFonts w:ascii="Times New Roman" w:eastAsia="Calibri" w:hAnsi="Times New Roman" w:cs="Times New Roman"/>
          <w:sz w:val="24"/>
          <w:szCs w:val="24"/>
          <w:lang w:val="en-US"/>
        </w:rPr>
        <w:t>, 3(4), 429-448.</w:t>
      </w:r>
    </w:p>
    <w:p w14:paraId="7B793E09"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Bing, L., Akintoye, A., Edwards, P. J. and Hardcastle, C. (2005). The Allocation of Risk in PPP/PFI Construction Projects in the UK. </w:t>
      </w:r>
      <w:r w:rsidRPr="00BC32CF">
        <w:rPr>
          <w:rFonts w:ascii="Times New Roman" w:eastAsia="Calibri" w:hAnsi="Times New Roman" w:cs="Times New Roman"/>
          <w:i/>
          <w:sz w:val="24"/>
          <w:szCs w:val="24"/>
          <w:lang w:val="en-US"/>
        </w:rPr>
        <w:t>International Journal of project management,</w:t>
      </w:r>
      <w:r w:rsidRPr="00BC32CF">
        <w:rPr>
          <w:rFonts w:ascii="Times New Roman" w:eastAsia="Calibri" w:hAnsi="Times New Roman" w:cs="Times New Roman"/>
          <w:sz w:val="24"/>
          <w:szCs w:val="24"/>
          <w:lang w:val="en-US"/>
        </w:rPr>
        <w:t xml:space="preserve"> 23(1), 25-35.</w:t>
      </w:r>
    </w:p>
    <w:p w14:paraId="754DCDCA"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Briceño-Garmendia, C., Smits, K., an</w:t>
      </w:r>
      <w:r w:rsidR="00583F4E" w:rsidRPr="00BC32CF">
        <w:rPr>
          <w:rFonts w:ascii="Times New Roman" w:eastAsia="Calibri" w:hAnsi="Times New Roman" w:cs="Times New Roman"/>
          <w:sz w:val="24"/>
          <w:szCs w:val="24"/>
          <w:lang w:val="en-US"/>
        </w:rPr>
        <w:t>d Foster, V. (2008). Financing Public Infrastructure in S</w:t>
      </w:r>
      <w:r w:rsidRPr="00BC32CF">
        <w:rPr>
          <w:rFonts w:ascii="Times New Roman" w:eastAsia="Calibri" w:hAnsi="Times New Roman" w:cs="Times New Roman"/>
          <w:sz w:val="24"/>
          <w:szCs w:val="24"/>
          <w:lang w:val="en-US"/>
        </w:rPr>
        <w:t>u</w:t>
      </w:r>
      <w:r w:rsidR="00583F4E" w:rsidRPr="00BC32CF">
        <w:rPr>
          <w:rFonts w:ascii="Times New Roman" w:eastAsia="Calibri" w:hAnsi="Times New Roman" w:cs="Times New Roman"/>
          <w:sz w:val="24"/>
          <w:szCs w:val="24"/>
          <w:lang w:val="en-US"/>
        </w:rPr>
        <w:t>b-Saharan Africa: Patterns and E</w:t>
      </w:r>
      <w:r w:rsidRPr="00BC32CF">
        <w:rPr>
          <w:rFonts w:ascii="Times New Roman" w:eastAsia="Calibri" w:hAnsi="Times New Roman" w:cs="Times New Roman"/>
          <w:sz w:val="24"/>
          <w:szCs w:val="24"/>
          <w:lang w:val="en-US"/>
        </w:rPr>
        <w:t>merging issues</w:t>
      </w:r>
      <w:r w:rsidRPr="00BC32CF">
        <w:rPr>
          <w:rFonts w:ascii="Times New Roman" w:eastAsia="Calibri" w:hAnsi="Times New Roman" w:cs="Times New Roman"/>
          <w:i/>
          <w:sz w:val="24"/>
          <w:szCs w:val="24"/>
          <w:lang w:val="en-US"/>
        </w:rPr>
        <w:t>. AICD Background Paper</w:t>
      </w:r>
      <w:r w:rsidRPr="00BC32CF">
        <w:rPr>
          <w:rFonts w:ascii="Times New Roman" w:eastAsia="Calibri" w:hAnsi="Times New Roman" w:cs="Times New Roman"/>
          <w:sz w:val="24"/>
          <w:szCs w:val="24"/>
          <w:lang w:val="en-US"/>
        </w:rPr>
        <w:t>, 15(1).</w:t>
      </w:r>
    </w:p>
    <w:p w14:paraId="44DCAC27"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Boeing Singh, L. and Kalidindi, S. N. (2009). Criteria Influencing Debt Financing of Indian PPP road projects: A Case Study. </w:t>
      </w:r>
      <w:r w:rsidRPr="00BC32CF">
        <w:rPr>
          <w:rFonts w:ascii="Times New Roman" w:eastAsia="Calibri" w:hAnsi="Times New Roman" w:cs="Times New Roman"/>
          <w:i/>
          <w:sz w:val="24"/>
          <w:szCs w:val="24"/>
          <w:lang w:val="en-US"/>
        </w:rPr>
        <w:t>Journal of Financial Management</w:t>
      </w:r>
      <w:r w:rsidRPr="00BC32CF">
        <w:rPr>
          <w:rFonts w:ascii="Times New Roman" w:eastAsia="Calibri" w:hAnsi="Times New Roman" w:cs="Times New Roman"/>
          <w:sz w:val="24"/>
          <w:szCs w:val="24"/>
          <w:lang w:val="en-US"/>
        </w:rPr>
        <w:t xml:space="preserve"> </w:t>
      </w:r>
      <w:r w:rsidRPr="00BC32CF">
        <w:rPr>
          <w:rFonts w:ascii="Times New Roman" w:eastAsia="Calibri" w:hAnsi="Times New Roman" w:cs="Times New Roman"/>
          <w:i/>
          <w:sz w:val="24"/>
          <w:szCs w:val="24"/>
          <w:lang w:val="en-US"/>
        </w:rPr>
        <w:t>of Property and Construction</w:t>
      </w:r>
      <w:r w:rsidRPr="00BC32CF">
        <w:rPr>
          <w:rFonts w:ascii="Times New Roman" w:eastAsia="Calibri" w:hAnsi="Times New Roman" w:cs="Times New Roman"/>
          <w:sz w:val="24"/>
          <w:szCs w:val="24"/>
          <w:lang w:val="en-US"/>
        </w:rPr>
        <w:t>, 14(1), 34-60</w:t>
      </w:r>
    </w:p>
    <w:p w14:paraId="60C5320D"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Busse, M. and Hefeker, C. (2007). Political Risk, Institutions and Foreign Direct Investment. </w:t>
      </w:r>
      <w:r w:rsidRPr="00BC32CF">
        <w:rPr>
          <w:rFonts w:ascii="Times New Roman" w:eastAsia="Calibri" w:hAnsi="Times New Roman" w:cs="Times New Roman"/>
          <w:i/>
          <w:sz w:val="24"/>
          <w:szCs w:val="24"/>
          <w:lang w:val="en-US"/>
        </w:rPr>
        <w:t>European journal of political economy</w:t>
      </w:r>
      <w:r w:rsidRPr="00BC32CF">
        <w:rPr>
          <w:rFonts w:ascii="Times New Roman" w:eastAsia="Calibri" w:hAnsi="Times New Roman" w:cs="Times New Roman"/>
          <w:sz w:val="24"/>
          <w:szCs w:val="24"/>
          <w:lang w:val="en-US"/>
        </w:rPr>
        <w:t>, 23(2), 397-415.</w:t>
      </w:r>
    </w:p>
    <w:p w14:paraId="081E0D6B"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Cavusgil, S. T. (1997). Measuring the Potential of Emerging Markets: An Indexing Approach. </w:t>
      </w:r>
      <w:r w:rsidRPr="00BC32CF">
        <w:rPr>
          <w:rFonts w:ascii="Times New Roman" w:eastAsia="Calibri" w:hAnsi="Times New Roman" w:cs="Times New Roman"/>
          <w:i/>
          <w:sz w:val="24"/>
          <w:szCs w:val="24"/>
          <w:lang w:val="en-US"/>
        </w:rPr>
        <w:t>Business Horizons,</w:t>
      </w:r>
      <w:r w:rsidRPr="00BC32CF">
        <w:rPr>
          <w:rFonts w:ascii="Times New Roman" w:eastAsia="Calibri" w:hAnsi="Times New Roman" w:cs="Times New Roman"/>
          <w:sz w:val="24"/>
          <w:szCs w:val="24"/>
          <w:lang w:val="en-US"/>
        </w:rPr>
        <w:t xml:space="preserve"> 40(1), 87-91.</w:t>
      </w:r>
    </w:p>
    <w:p w14:paraId="03F57C8B"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lastRenderedPageBreak/>
        <w:t xml:space="preserve">Chan, A. P., Lam, P. T., Wen, Y., Ameyaw, E. E., Wang, S. and Ke, Y. (2014). Cross-Sectional Analysis of Critical Risk Factors for PPP Water Projects in China. </w:t>
      </w:r>
      <w:r w:rsidRPr="00BC32CF">
        <w:rPr>
          <w:rFonts w:ascii="Times New Roman" w:eastAsia="Calibri" w:hAnsi="Times New Roman" w:cs="Times New Roman"/>
          <w:i/>
          <w:sz w:val="24"/>
          <w:szCs w:val="24"/>
          <w:lang w:val="en-US"/>
        </w:rPr>
        <w:t>Journal of Infrastructure Systems</w:t>
      </w:r>
      <w:r w:rsidRPr="00BC32CF">
        <w:rPr>
          <w:rFonts w:ascii="Times New Roman" w:eastAsia="Calibri" w:hAnsi="Times New Roman" w:cs="Times New Roman"/>
          <w:sz w:val="24"/>
          <w:szCs w:val="24"/>
          <w:lang w:val="en-US"/>
        </w:rPr>
        <w:t>.</w:t>
      </w:r>
    </w:p>
    <w:p w14:paraId="7BB79C96"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Creswell, J. W. (2013). Research design: Qualitative, Quantitative, and Mixed Methods Approaches. Sage Publications.</w:t>
      </w:r>
    </w:p>
    <w:p w14:paraId="4DFF1A42"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Coviello, N. E., and Jones, M. V. (2004). Methodological Issues in International Entrepreneurship Research. </w:t>
      </w:r>
      <w:r w:rsidRPr="00BC32CF">
        <w:rPr>
          <w:rFonts w:ascii="Times New Roman" w:eastAsia="Calibri" w:hAnsi="Times New Roman" w:cs="Times New Roman"/>
          <w:i/>
          <w:sz w:val="24"/>
          <w:szCs w:val="24"/>
          <w:lang w:val="en-US"/>
        </w:rPr>
        <w:t>Journal of Business Venturing</w:t>
      </w:r>
      <w:r w:rsidRPr="00BC32CF">
        <w:rPr>
          <w:rFonts w:ascii="Times New Roman" w:eastAsia="Calibri" w:hAnsi="Times New Roman" w:cs="Times New Roman"/>
          <w:sz w:val="24"/>
          <w:szCs w:val="24"/>
          <w:lang w:val="en-US"/>
        </w:rPr>
        <w:t>, 19(4), 485-508.</w:t>
      </w:r>
    </w:p>
    <w:p w14:paraId="4E9F21E1" w14:textId="77777777" w:rsidR="005A1FE6"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Delmon, J., (2011). Public–</w:t>
      </w:r>
      <w:r w:rsidR="005A1FE6" w:rsidRPr="00BC32CF">
        <w:rPr>
          <w:rFonts w:ascii="Times New Roman" w:eastAsia="Calibri" w:hAnsi="Times New Roman" w:cs="Times New Roman"/>
          <w:sz w:val="24"/>
          <w:szCs w:val="24"/>
          <w:lang w:val="en-US"/>
        </w:rPr>
        <w:t>Private Partnership Projects in Infrastructure: An Essential Guide for Policy Makers. New York: Cambridge university press.</w:t>
      </w:r>
    </w:p>
    <w:p w14:paraId="49E38EA7"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Demirag, I., Khadaroo, I., Stapleton, P., and Steven</w:t>
      </w:r>
      <w:r w:rsidR="00891DAC" w:rsidRPr="00BC32CF">
        <w:rPr>
          <w:rFonts w:ascii="Times New Roman" w:eastAsia="Calibri" w:hAnsi="Times New Roman" w:cs="Times New Roman"/>
          <w:sz w:val="24"/>
          <w:szCs w:val="24"/>
          <w:lang w:val="en-US"/>
        </w:rPr>
        <w:t>son, C., (2011). Risks and the F</w:t>
      </w:r>
      <w:r w:rsidRPr="00BC32CF">
        <w:rPr>
          <w:rFonts w:ascii="Times New Roman" w:eastAsia="Calibri" w:hAnsi="Times New Roman" w:cs="Times New Roman"/>
          <w:sz w:val="24"/>
          <w:szCs w:val="24"/>
          <w:lang w:val="en-US"/>
        </w:rPr>
        <w:t>inancing</w:t>
      </w:r>
      <w:r w:rsidR="00891DAC" w:rsidRPr="00BC32CF">
        <w:rPr>
          <w:rFonts w:ascii="Times New Roman" w:eastAsia="Calibri" w:hAnsi="Times New Roman" w:cs="Times New Roman"/>
          <w:sz w:val="24"/>
          <w:szCs w:val="24"/>
          <w:lang w:val="en-US"/>
        </w:rPr>
        <w:t xml:space="preserve"> of PPP: Perspectives from the F</w:t>
      </w:r>
      <w:r w:rsidRPr="00BC32CF">
        <w:rPr>
          <w:rFonts w:ascii="Times New Roman" w:eastAsia="Calibri" w:hAnsi="Times New Roman" w:cs="Times New Roman"/>
          <w:sz w:val="24"/>
          <w:szCs w:val="24"/>
          <w:lang w:val="en-US"/>
        </w:rPr>
        <w:t xml:space="preserve">inanciers. </w:t>
      </w:r>
      <w:r w:rsidRPr="00BC32CF">
        <w:rPr>
          <w:rFonts w:ascii="Times New Roman" w:eastAsia="Calibri" w:hAnsi="Times New Roman" w:cs="Times New Roman"/>
          <w:i/>
          <w:sz w:val="24"/>
          <w:szCs w:val="24"/>
          <w:lang w:val="en-US"/>
        </w:rPr>
        <w:t>The British Accounting Review</w:t>
      </w:r>
      <w:r w:rsidRPr="00BC32CF">
        <w:rPr>
          <w:rFonts w:ascii="Times New Roman" w:eastAsia="Calibri" w:hAnsi="Times New Roman" w:cs="Times New Roman"/>
          <w:sz w:val="24"/>
          <w:szCs w:val="24"/>
          <w:lang w:val="en-US"/>
        </w:rPr>
        <w:t>, 43 (2011) 294–310.</w:t>
      </w:r>
    </w:p>
    <w:p w14:paraId="1D5D4D3D" w14:textId="087DE5E6" w:rsidR="000B746D" w:rsidRPr="00BC32CF" w:rsidRDefault="000B746D"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Dominic, M. U., Ezeabasili, A. C. C., Okoro, B. U., Dim, N. U., &amp; Chikezie, G. C. (2015). A review of Public Private Partnership on some development projects in Nigeria. International Journal of Application Innovation in Engineering &amp; Management, 4(3).</w:t>
      </w:r>
    </w:p>
    <w:p w14:paraId="39E4754F"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Eaton, D., Akbiyikli, R. and Dickinson, M. (2006). An Evaluation of the Stimulants and Impediments to Innovation within PFI/PPP projects. </w:t>
      </w:r>
      <w:r w:rsidRPr="00BC32CF">
        <w:rPr>
          <w:rFonts w:ascii="Times New Roman" w:eastAsia="Calibri" w:hAnsi="Times New Roman" w:cs="Times New Roman"/>
          <w:i/>
          <w:sz w:val="24"/>
          <w:szCs w:val="24"/>
          <w:lang w:val="en-US"/>
        </w:rPr>
        <w:t>Construction Innovation: Information, Process, Management</w:t>
      </w:r>
      <w:r w:rsidRPr="00BC32CF">
        <w:rPr>
          <w:rFonts w:ascii="Times New Roman" w:eastAsia="Calibri" w:hAnsi="Times New Roman" w:cs="Times New Roman"/>
          <w:sz w:val="24"/>
          <w:szCs w:val="24"/>
          <w:lang w:val="en-US"/>
        </w:rPr>
        <w:t>, 6(2), 63-67.</w:t>
      </w:r>
    </w:p>
    <w:p w14:paraId="0C752CF9"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Feagin, J. R., Orum, A. M., and Sjoberg, G. (Eds.). (1991). A case for the case study. UNC Press Books.</w:t>
      </w:r>
    </w:p>
    <w:p w14:paraId="064AF4B3"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Field, A. (2005). Discovering Statistics using SPSS. 2nd Ed., Sage Publications, London.</w:t>
      </w:r>
    </w:p>
    <w:p w14:paraId="049A18E6"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George, D. and Mallery, M., </w:t>
      </w:r>
      <w:r w:rsidR="00891DAC"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2003</w:t>
      </w:r>
      <w:r w:rsidR="00891DAC" w:rsidRPr="00BC32CF">
        <w:rPr>
          <w:rFonts w:ascii="Times New Roman" w:eastAsia="Calibri" w:hAnsi="Times New Roman" w:cs="Times New Roman"/>
          <w:sz w:val="24"/>
          <w:szCs w:val="24"/>
          <w:lang w:val="en-US"/>
        </w:rPr>
        <w:t>). Using SPSS for Windows Step-by-S</w:t>
      </w:r>
      <w:r w:rsidRPr="00BC32CF">
        <w:rPr>
          <w:rFonts w:ascii="Times New Roman" w:eastAsia="Calibri" w:hAnsi="Times New Roman" w:cs="Times New Roman"/>
          <w:sz w:val="24"/>
          <w:szCs w:val="24"/>
          <w:lang w:val="en-US"/>
        </w:rPr>
        <w:t xml:space="preserve">tep: </w:t>
      </w:r>
      <w:r w:rsidR="00891DAC" w:rsidRPr="00BC32CF">
        <w:rPr>
          <w:rFonts w:ascii="Times New Roman" w:eastAsia="Calibri" w:hAnsi="Times New Roman" w:cs="Times New Roman"/>
          <w:sz w:val="24"/>
          <w:szCs w:val="24"/>
          <w:lang w:val="en-US"/>
        </w:rPr>
        <w:t>A S</w:t>
      </w:r>
      <w:r w:rsidRPr="00BC32CF">
        <w:rPr>
          <w:rFonts w:ascii="Times New Roman" w:eastAsia="Calibri" w:hAnsi="Times New Roman" w:cs="Times New Roman"/>
          <w:sz w:val="24"/>
          <w:szCs w:val="24"/>
          <w:lang w:val="en-US"/>
        </w:rPr>
        <w:t xml:space="preserve">imple </w:t>
      </w:r>
      <w:r w:rsidR="00891DAC" w:rsidRPr="00BC32CF">
        <w:rPr>
          <w:rFonts w:ascii="Times New Roman" w:eastAsia="Calibri" w:hAnsi="Times New Roman" w:cs="Times New Roman"/>
          <w:sz w:val="24"/>
          <w:szCs w:val="24"/>
          <w:lang w:val="en-US"/>
        </w:rPr>
        <w:t>Guide and R</w:t>
      </w:r>
      <w:r w:rsidRPr="00BC32CF">
        <w:rPr>
          <w:rFonts w:ascii="Times New Roman" w:eastAsia="Calibri" w:hAnsi="Times New Roman" w:cs="Times New Roman"/>
          <w:sz w:val="24"/>
          <w:szCs w:val="24"/>
          <w:lang w:val="en-US"/>
        </w:rPr>
        <w:t>eference. Bo</w:t>
      </w:r>
      <w:r w:rsidR="00891DAC" w:rsidRPr="00BC32CF">
        <w:rPr>
          <w:rFonts w:ascii="Times New Roman" w:eastAsia="Calibri" w:hAnsi="Times New Roman" w:cs="Times New Roman"/>
          <w:sz w:val="24"/>
          <w:szCs w:val="24"/>
          <w:lang w:val="en-US"/>
        </w:rPr>
        <w:t>ston, MA: Allyn y Bacon.</w:t>
      </w:r>
    </w:p>
    <w:p w14:paraId="26B9E6EE"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Giannetti, M. and Ongena, S. (2012). “Lending by Example”: Direct and Indirect Effects of Foreign Banks in Emerging Markets</w:t>
      </w:r>
      <w:r w:rsidRPr="00BC32CF">
        <w:rPr>
          <w:rFonts w:ascii="Times New Roman" w:eastAsia="Calibri" w:hAnsi="Times New Roman" w:cs="Times New Roman"/>
          <w:i/>
          <w:sz w:val="24"/>
          <w:szCs w:val="24"/>
          <w:lang w:val="en-US"/>
        </w:rPr>
        <w:t>. Journal of International Economics</w:t>
      </w:r>
      <w:r w:rsidRPr="00BC32CF">
        <w:rPr>
          <w:rFonts w:ascii="Times New Roman" w:eastAsia="Calibri" w:hAnsi="Times New Roman" w:cs="Times New Roman"/>
          <w:sz w:val="24"/>
          <w:szCs w:val="24"/>
          <w:lang w:val="en-US"/>
        </w:rPr>
        <w:t>, 86(1), 167-180.</w:t>
      </w:r>
    </w:p>
    <w:p w14:paraId="44DCF4DA"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Grimsey, D., and Lewis, M., (2002). “Evaluating the Risks on Public Private Partnerships for Infrastructure Projects”. </w:t>
      </w:r>
      <w:r w:rsidRPr="00BC32CF">
        <w:rPr>
          <w:rFonts w:ascii="Times New Roman" w:eastAsia="Calibri" w:hAnsi="Times New Roman" w:cs="Times New Roman"/>
          <w:i/>
          <w:sz w:val="24"/>
          <w:szCs w:val="24"/>
          <w:lang w:val="en-US"/>
        </w:rPr>
        <w:t>International Journal of Project Management,</w:t>
      </w:r>
      <w:r w:rsidRPr="00BC32CF">
        <w:rPr>
          <w:rFonts w:ascii="Times New Roman" w:eastAsia="Calibri" w:hAnsi="Times New Roman" w:cs="Times New Roman"/>
          <w:sz w:val="24"/>
          <w:szCs w:val="24"/>
          <w:lang w:val="en-US"/>
        </w:rPr>
        <w:t xml:space="preserve"> Vol. 20, pp 107-118.</w:t>
      </w:r>
    </w:p>
    <w:p w14:paraId="6BAA3878"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Gupta, P., Lamech, R., Mazhar, F. and Wright, J. (2002). Mitigating Regulatory Risk for Distribution Privatization: The World Bank Partial Risk Guarantee. </w:t>
      </w:r>
      <w:r w:rsidRPr="00BC32CF">
        <w:rPr>
          <w:rFonts w:ascii="Times New Roman" w:eastAsia="Calibri" w:hAnsi="Times New Roman" w:cs="Times New Roman"/>
          <w:i/>
          <w:sz w:val="24"/>
          <w:szCs w:val="24"/>
          <w:lang w:val="en-US"/>
        </w:rPr>
        <w:t>Energy &amp; Mining Sector Board Discussion Paper</w:t>
      </w:r>
      <w:r w:rsidRPr="00BC32CF">
        <w:rPr>
          <w:rFonts w:ascii="Times New Roman" w:eastAsia="Calibri" w:hAnsi="Times New Roman" w:cs="Times New Roman"/>
          <w:sz w:val="24"/>
          <w:szCs w:val="24"/>
          <w:lang w:val="en-US"/>
        </w:rPr>
        <w:t>. Series, (5).</w:t>
      </w:r>
    </w:p>
    <w:p w14:paraId="5D65F7CF" w14:textId="3ADCE0D4" w:rsidR="00B53D1A" w:rsidRPr="00BC32CF" w:rsidRDefault="00B8691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Gutman, J., Sy, A., &amp; Chattopadhyay, S. (2015). Financing African infrastructure: Can the world deliver?.</w:t>
      </w:r>
    </w:p>
    <w:p w14:paraId="7C45354C"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Hammami, M., Ruhashyankiko, J. F. and Yehoue, E. B. (2006). Determinants of public-private partnerships in infrastructure. [Online]. </w:t>
      </w:r>
      <w:r w:rsidRPr="00BC32CF">
        <w:rPr>
          <w:rFonts w:ascii="Times New Roman" w:eastAsia="Calibri" w:hAnsi="Times New Roman" w:cs="Times New Roman"/>
          <w:i/>
          <w:sz w:val="24"/>
          <w:szCs w:val="24"/>
          <w:lang w:val="en-US"/>
        </w:rPr>
        <w:t>International Monetary Fund</w:t>
      </w:r>
      <w:r w:rsidRPr="00BC32CF">
        <w:rPr>
          <w:rFonts w:ascii="Times New Roman" w:eastAsia="Calibri" w:hAnsi="Times New Roman" w:cs="Times New Roman"/>
          <w:sz w:val="24"/>
          <w:szCs w:val="24"/>
          <w:lang w:val="en-US"/>
        </w:rPr>
        <w:t>. Available at [https://www.imf.org/external/pubs/ft/wp/2006/wp0699.pdf]. [Accessed on 16</w:t>
      </w:r>
      <w:r w:rsidRPr="00BC32CF">
        <w:rPr>
          <w:rFonts w:ascii="Times New Roman" w:eastAsia="Calibri" w:hAnsi="Times New Roman" w:cs="Times New Roman"/>
          <w:sz w:val="24"/>
          <w:szCs w:val="24"/>
          <w:vertAlign w:val="superscript"/>
          <w:lang w:val="en-US"/>
        </w:rPr>
        <w:t>th</w:t>
      </w:r>
      <w:r w:rsidRPr="00BC32CF">
        <w:rPr>
          <w:rFonts w:ascii="Times New Roman" w:eastAsia="Calibri" w:hAnsi="Times New Roman" w:cs="Times New Roman"/>
          <w:sz w:val="24"/>
          <w:szCs w:val="24"/>
          <w:lang w:val="en-US"/>
        </w:rPr>
        <w:t xml:space="preserve"> Feb, 2015].</w:t>
      </w:r>
    </w:p>
    <w:p w14:paraId="061A9F6C"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Hardcastle, C., Edwards, P. J., Akintoye, A. and Li, B. (2005). Critical Success Factors for PPP/PFI Projects in the UK Construction Industry: A Factor Analysis Approach. </w:t>
      </w:r>
      <w:r w:rsidRPr="00BC32CF">
        <w:rPr>
          <w:rFonts w:ascii="Times New Roman" w:eastAsia="Calibri" w:hAnsi="Times New Roman" w:cs="Times New Roman"/>
          <w:i/>
          <w:sz w:val="24"/>
          <w:szCs w:val="24"/>
          <w:lang w:val="en-US"/>
        </w:rPr>
        <w:t>Construction Management and Economics,</w:t>
      </w:r>
      <w:r w:rsidRPr="00BC32CF">
        <w:rPr>
          <w:rFonts w:ascii="Times New Roman" w:eastAsia="Calibri" w:hAnsi="Times New Roman" w:cs="Times New Roman"/>
          <w:sz w:val="24"/>
          <w:szCs w:val="24"/>
          <w:lang w:val="en-US"/>
        </w:rPr>
        <w:t xml:space="preserve"> 23(5), 459-471.</w:t>
      </w:r>
    </w:p>
    <w:p w14:paraId="46629A9F"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lastRenderedPageBreak/>
        <w:t>Hoffman, S.L., (2008). The Law and Business of International Project Finance, 3rd edition. New York: Cambridge University press.</w:t>
      </w:r>
    </w:p>
    <w:p w14:paraId="4FD29BEE"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Ibem, E. O. (2010). An Assessment of the Role of Government Agencies in Public-Private Partnerships in Housing Delivery in Nigeria. </w:t>
      </w:r>
      <w:r w:rsidRPr="00BC32CF">
        <w:rPr>
          <w:rFonts w:ascii="Times New Roman" w:eastAsia="Calibri" w:hAnsi="Times New Roman" w:cs="Times New Roman"/>
          <w:i/>
          <w:sz w:val="24"/>
          <w:szCs w:val="24"/>
          <w:lang w:val="en-US"/>
        </w:rPr>
        <w:t>Journal of Construction in Developing Countries</w:t>
      </w:r>
      <w:r w:rsidRPr="00BC32CF">
        <w:rPr>
          <w:rFonts w:ascii="Times New Roman" w:eastAsia="Calibri" w:hAnsi="Times New Roman" w:cs="Times New Roman"/>
          <w:sz w:val="24"/>
          <w:szCs w:val="24"/>
          <w:lang w:val="en-US"/>
        </w:rPr>
        <w:t>, 15(2), 23-48.</w:t>
      </w:r>
    </w:p>
    <w:p w14:paraId="5DB4CEF4"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International Finance Corporation Report (2013). Advisory Services in Public Private Partnerships in Sub Saharan Africa.  Available online [www.ifc.org/wps/wcm/connect/.../RegionalFactsheet_Africa.pdf?MOD..]. [Accessed on 3</w:t>
      </w:r>
      <w:r w:rsidRPr="00BC32CF">
        <w:rPr>
          <w:rFonts w:ascii="Times New Roman" w:eastAsia="Calibri" w:hAnsi="Times New Roman" w:cs="Times New Roman"/>
          <w:sz w:val="24"/>
          <w:szCs w:val="24"/>
          <w:vertAlign w:val="superscript"/>
          <w:lang w:val="en-US"/>
        </w:rPr>
        <w:t>rd</w:t>
      </w:r>
      <w:r w:rsidRPr="00BC32CF">
        <w:rPr>
          <w:rFonts w:ascii="Times New Roman" w:eastAsia="Calibri" w:hAnsi="Times New Roman" w:cs="Times New Roman"/>
          <w:sz w:val="24"/>
          <w:szCs w:val="24"/>
          <w:lang w:val="en-US"/>
        </w:rPr>
        <w:t xml:space="preserve"> Jan, 2015].</w:t>
      </w:r>
    </w:p>
    <w:p w14:paraId="7C744A24"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Kayaga, S., (2008). Public-Private Delivery of Urban Water Services in Africa.</w:t>
      </w:r>
    </w:p>
    <w:p w14:paraId="144D4FAD"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Kennedy, M</w:t>
      </w:r>
      <w:r w:rsidR="00891DAC" w:rsidRPr="00BC32CF">
        <w:rPr>
          <w:rFonts w:ascii="Times New Roman" w:eastAsia="Calibri" w:hAnsi="Times New Roman" w:cs="Times New Roman"/>
          <w:sz w:val="24"/>
          <w:szCs w:val="24"/>
          <w:lang w:val="en-US"/>
        </w:rPr>
        <w:t>. M. (1979). Generalizing from Single C</w:t>
      </w:r>
      <w:r w:rsidRPr="00BC32CF">
        <w:rPr>
          <w:rFonts w:ascii="Times New Roman" w:eastAsia="Calibri" w:hAnsi="Times New Roman" w:cs="Times New Roman"/>
          <w:sz w:val="24"/>
          <w:szCs w:val="24"/>
          <w:lang w:val="en-US"/>
        </w:rPr>
        <w:t>ase studies. Evaluation Review, 3(4), 661-678.</w:t>
      </w:r>
    </w:p>
    <w:p w14:paraId="74F6586A"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Khadaroo, I. (2014) The Valuation of Risk Transfer in UK School Public Private Partnership Contracts. </w:t>
      </w:r>
      <w:r w:rsidRPr="00BC32CF">
        <w:rPr>
          <w:rFonts w:ascii="Times New Roman" w:eastAsia="Calibri" w:hAnsi="Times New Roman" w:cs="Times New Roman"/>
          <w:i/>
          <w:sz w:val="24"/>
          <w:szCs w:val="24"/>
          <w:lang w:val="en-US"/>
        </w:rPr>
        <w:t>The British Accounting Review</w:t>
      </w:r>
      <w:r w:rsidRPr="00BC32CF">
        <w:rPr>
          <w:rFonts w:ascii="Times New Roman" w:eastAsia="Calibri" w:hAnsi="Times New Roman" w:cs="Times New Roman"/>
          <w:sz w:val="24"/>
          <w:szCs w:val="24"/>
          <w:lang w:val="en-US"/>
        </w:rPr>
        <w:t>, 46(2), 154-165.</w:t>
      </w:r>
    </w:p>
    <w:p w14:paraId="29AAE008"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Khoury, S. J. and Zhou, C. (1998). Country Risk: Existing Models and New Horizons. </w:t>
      </w:r>
      <w:r w:rsidRPr="00BC32CF">
        <w:rPr>
          <w:rFonts w:ascii="Times New Roman" w:eastAsia="Calibri" w:hAnsi="Times New Roman" w:cs="Times New Roman"/>
          <w:i/>
          <w:sz w:val="24"/>
          <w:szCs w:val="24"/>
          <w:lang w:val="en-US"/>
        </w:rPr>
        <w:t>Handbook of International Banking</w:t>
      </w:r>
      <w:r w:rsidRPr="00BC32CF">
        <w:rPr>
          <w:rFonts w:ascii="Times New Roman" w:eastAsia="Calibri" w:hAnsi="Times New Roman" w:cs="Times New Roman"/>
          <w:sz w:val="24"/>
          <w:szCs w:val="24"/>
          <w:lang w:val="en-US"/>
        </w:rPr>
        <w:t>, 13. 327.</w:t>
      </w:r>
    </w:p>
    <w:p w14:paraId="2D938934" w14:textId="333339D0" w:rsidR="00167174" w:rsidRPr="00BC32CF" w:rsidRDefault="00167174"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Kwofie, T. E., Afram, S., &amp; Botchway, E. (2016). A critical success model for </w:t>
      </w:r>
      <w:smartTag w:uri="urn:schemas-microsoft-com:office:smarttags" w:element="stockticker">
        <w:r w:rsidRPr="00BC32CF">
          <w:rPr>
            <w:rFonts w:ascii="Times New Roman" w:eastAsia="Calibri" w:hAnsi="Times New Roman" w:cs="Times New Roman"/>
            <w:sz w:val="24"/>
            <w:szCs w:val="24"/>
            <w:lang w:val="en-US"/>
          </w:rPr>
          <w:t>PPP</w:t>
        </w:r>
      </w:smartTag>
      <w:r w:rsidRPr="00BC32CF">
        <w:rPr>
          <w:rFonts w:ascii="Times New Roman" w:eastAsia="Calibri" w:hAnsi="Times New Roman" w:cs="Times New Roman"/>
          <w:sz w:val="24"/>
          <w:szCs w:val="24"/>
          <w:lang w:val="en-US"/>
        </w:rPr>
        <w:t xml:space="preserve"> public housing delivery in Ghana. Built Environment Project and Asset Management, 6(1), 58-73.</w:t>
      </w:r>
    </w:p>
    <w:p w14:paraId="3D8D4708" w14:textId="4A685DD1" w:rsidR="0046024A" w:rsidRPr="00BC32CF" w:rsidRDefault="0046024A"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Liu, T., Wang, Y., &amp; Wilkinson, S. (2016). Identifying critical factors affecting the effectiveness and efficiency of tendering processes in Public–Private Partnerships (PPPs): A comparative analysis of Australia and China. International Journal of Project Management, 34(4), 701-716.</w:t>
      </w:r>
    </w:p>
    <w:p w14:paraId="1B6160C2"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Merriam, S. B. (1998). </w:t>
      </w:r>
      <w:r w:rsidRPr="00BC32CF">
        <w:rPr>
          <w:rFonts w:ascii="Times New Roman" w:eastAsia="Calibri" w:hAnsi="Times New Roman" w:cs="Times New Roman"/>
          <w:iCs/>
          <w:sz w:val="24"/>
          <w:szCs w:val="24"/>
          <w:lang w:val="en-US"/>
        </w:rPr>
        <w:t>Qualitative Research and Case Study Applications in Education. Revised and Expanded from" Case Study Research in Education</w:t>
      </w:r>
      <w:r w:rsidRPr="00BC32CF">
        <w:rPr>
          <w:rFonts w:ascii="Times New Roman" w:eastAsia="Calibri" w:hAnsi="Times New Roman" w:cs="Times New Roman"/>
          <w:i/>
          <w:iCs/>
          <w:sz w:val="24"/>
          <w:szCs w:val="24"/>
          <w:lang w:val="en-US"/>
        </w:rPr>
        <w:t>."</w:t>
      </w:r>
      <w:r w:rsidRPr="00BC32CF">
        <w:rPr>
          <w:rFonts w:ascii="Times New Roman" w:eastAsia="Calibri" w:hAnsi="Times New Roman" w:cs="Times New Roman"/>
          <w:sz w:val="24"/>
          <w:szCs w:val="24"/>
          <w:lang w:val="en-US"/>
        </w:rPr>
        <w:t>. Jossey-Bass Publishers, 350 Sansome St, San Francisco, CA 94104.</w:t>
      </w:r>
    </w:p>
    <w:p w14:paraId="01C9C1C1"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Mills, S., (2010). “The Mechanics of Project Finance”. </w:t>
      </w:r>
      <w:r w:rsidRPr="00BC32CF">
        <w:rPr>
          <w:rFonts w:ascii="Times New Roman" w:eastAsia="Calibri" w:hAnsi="Times New Roman" w:cs="Times New Roman"/>
          <w:i/>
          <w:sz w:val="24"/>
          <w:szCs w:val="24"/>
          <w:lang w:val="en-US"/>
        </w:rPr>
        <w:t xml:space="preserve">Institute for International Research </w:t>
      </w:r>
      <w:r w:rsidRPr="00BC32CF">
        <w:rPr>
          <w:rFonts w:ascii="Times New Roman" w:eastAsia="Calibri" w:hAnsi="Times New Roman" w:cs="Times New Roman"/>
          <w:sz w:val="24"/>
          <w:szCs w:val="24"/>
          <w:lang w:val="en-US"/>
        </w:rPr>
        <w:t xml:space="preserve">(IIR), Limited, U.K.  </w:t>
      </w:r>
    </w:p>
    <w:p w14:paraId="176E96E3" w14:textId="279FF2D4" w:rsidR="00D006A7" w:rsidRPr="00BC32CF" w:rsidRDefault="00D006A7"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Mudi, A., Lowe, J., &amp; Manase, D. (2015). Conceptual Framework for Public-Private Financed Road Infrastructure Development in Nigeria. International Journal of Engineering Research &amp; Technology, 4(8), 586-590.</w:t>
      </w:r>
    </w:p>
    <w:p w14:paraId="341AC355"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Ncube, M., </w:t>
      </w:r>
      <w:r w:rsidR="00CD1C18"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2010</w:t>
      </w:r>
      <w:r w:rsidR="00CD1C18" w:rsidRPr="00BC32CF">
        <w:rPr>
          <w:rFonts w:ascii="Times New Roman" w:eastAsia="Calibri" w:hAnsi="Times New Roman" w:cs="Times New Roman"/>
          <w:sz w:val="24"/>
          <w:szCs w:val="24"/>
          <w:lang w:val="en-US"/>
        </w:rPr>
        <w:t>). Financing and M</w:t>
      </w:r>
      <w:r w:rsidRPr="00BC32CF">
        <w:rPr>
          <w:rFonts w:ascii="Times New Roman" w:eastAsia="Calibri" w:hAnsi="Times New Roman" w:cs="Times New Roman"/>
          <w:sz w:val="24"/>
          <w:szCs w:val="24"/>
          <w:lang w:val="en-US"/>
        </w:rPr>
        <w:t xml:space="preserve">anaging </w:t>
      </w:r>
      <w:r w:rsidR="00CD1C18" w:rsidRPr="00BC32CF">
        <w:rPr>
          <w:rFonts w:ascii="Times New Roman" w:eastAsia="Calibri" w:hAnsi="Times New Roman" w:cs="Times New Roman"/>
          <w:sz w:val="24"/>
          <w:szCs w:val="24"/>
          <w:lang w:val="en-US"/>
        </w:rPr>
        <w:t>I</w:t>
      </w:r>
      <w:r w:rsidRPr="00BC32CF">
        <w:rPr>
          <w:rFonts w:ascii="Times New Roman" w:eastAsia="Calibri" w:hAnsi="Times New Roman" w:cs="Times New Roman"/>
          <w:sz w:val="24"/>
          <w:szCs w:val="24"/>
          <w:lang w:val="en-US"/>
        </w:rPr>
        <w:t xml:space="preserve">nfrastructure in Africa. </w:t>
      </w:r>
      <w:r w:rsidRPr="00BC32CF">
        <w:rPr>
          <w:rFonts w:ascii="Times New Roman" w:eastAsia="Calibri" w:hAnsi="Times New Roman" w:cs="Times New Roman"/>
          <w:i/>
          <w:sz w:val="24"/>
          <w:szCs w:val="24"/>
          <w:lang w:val="en-US"/>
        </w:rPr>
        <w:t>Journal of African Economies</w:t>
      </w:r>
      <w:r w:rsidRPr="00BC32CF">
        <w:rPr>
          <w:rFonts w:ascii="Times New Roman" w:eastAsia="Calibri" w:hAnsi="Times New Roman" w:cs="Times New Roman"/>
          <w:sz w:val="24"/>
          <w:szCs w:val="24"/>
          <w:lang w:val="en-US"/>
        </w:rPr>
        <w:t>, 19(suppl 1), pp.i114-i164.</w:t>
      </w:r>
    </w:p>
    <w:p w14:paraId="01C472E5"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Noor, K. B. (2008). Case study: A Strategic Research Methodology. </w:t>
      </w:r>
      <w:r w:rsidRPr="00BC32CF">
        <w:rPr>
          <w:rFonts w:ascii="Times New Roman" w:eastAsia="Calibri" w:hAnsi="Times New Roman" w:cs="Times New Roman"/>
          <w:i/>
          <w:sz w:val="24"/>
          <w:szCs w:val="24"/>
          <w:lang w:val="en-US"/>
        </w:rPr>
        <w:t>American Journal of Applied Sciences,</w:t>
      </w:r>
      <w:r w:rsidRPr="00BC32CF">
        <w:rPr>
          <w:rFonts w:ascii="Times New Roman" w:eastAsia="Calibri" w:hAnsi="Times New Roman" w:cs="Times New Roman"/>
          <w:sz w:val="24"/>
          <w:szCs w:val="24"/>
          <w:lang w:val="en-US"/>
        </w:rPr>
        <w:t xml:space="preserve"> 5(11), 1602.</w:t>
      </w:r>
    </w:p>
    <w:p w14:paraId="68786B98"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Nunnaly, J. (1978) Psychometric Theory. New York: McGraw-Hill.</w:t>
      </w:r>
    </w:p>
    <w:p w14:paraId="6EC48D18" w14:textId="77777777" w:rsidR="005A1FE6" w:rsidRPr="00BC32CF" w:rsidRDefault="00CD1C18"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Olsson, C. (2002). Risk M</w:t>
      </w:r>
      <w:r w:rsidR="005A1FE6" w:rsidRPr="00BC32CF">
        <w:rPr>
          <w:rFonts w:ascii="Times New Roman" w:eastAsia="Calibri" w:hAnsi="Times New Roman" w:cs="Times New Roman"/>
          <w:sz w:val="24"/>
          <w:szCs w:val="24"/>
          <w:lang w:val="en-US"/>
        </w:rPr>
        <w:t xml:space="preserve">anagement in Emerging Markets. </w:t>
      </w:r>
      <w:r w:rsidR="005A1FE6" w:rsidRPr="00BC32CF">
        <w:rPr>
          <w:rFonts w:ascii="Times New Roman" w:eastAsia="Calibri" w:hAnsi="Times New Roman" w:cs="Times New Roman"/>
          <w:i/>
          <w:sz w:val="24"/>
          <w:szCs w:val="24"/>
          <w:lang w:val="en-US"/>
        </w:rPr>
        <w:t>Financial Times and Prentice</w:t>
      </w:r>
      <w:r w:rsidR="005A1FE6" w:rsidRPr="00BC32CF">
        <w:rPr>
          <w:rFonts w:ascii="Times New Roman" w:eastAsia="Calibri" w:hAnsi="Times New Roman" w:cs="Times New Roman"/>
          <w:sz w:val="24"/>
          <w:szCs w:val="24"/>
          <w:lang w:val="en-US"/>
        </w:rPr>
        <w:t xml:space="preserve"> </w:t>
      </w:r>
      <w:r w:rsidR="005A1FE6" w:rsidRPr="00BC32CF">
        <w:rPr>
          <w:rFonts w:ascii="Times New Roman" w:eastAsia="Calibri" w:hAnsi="Times New Roman" w:cs="Times New Roman"/>
          <w:i/>
          <w:sz w:val="24"/>
          <w:szCs w:val="24"/>
          <w:lang w:val="en-US"/>
        </w:rPr>
        <w:t>Hall,</w:t>
      </w:r>
      <w:r w:rsidR="005A1FE6" w:rsidRPr="00BC32CF">
        <w:rPr>
          <w:rFonts w:ascii="Times New Roman" w:eastAsia="Calibri" w:hAnsi="Times New Roman" w:cs="Times New Roman"/>
          <w:sz w:val="24"/>
          <w:szCs w:val="24"/>
          <w:lang w:val="en-US"/>
        </w:rPr>
        <w:t xml:space="preserve"> London.</w:t>
      </w:r>
    </w:p>
    <w:p w14:paraId="0565D1A0"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lastRenderedPageBreak/>
        <w:t xml:space="preserve">Oyedele, L., (2013). “Avoiding Performance Failure Payment Deductions in PFI/PPP Projects: Model of Critical Success Factors”. </w:t>
      </w:r>
      <w:r w:rsidRPr="00BC32CF">
        <w:rPr>
          <w:rFonts w:ascii="Times New Roman" w:eastAsia="Calibri" w:hAnsi="Times New Roman" w:cs="Times New Roman"/>
          <w:i/>
          <w:sz w:val="24"/>
          <w:szCs w:val="24"/>
          <w:lang w:val="en-US"/>
        </w:rPr>
        <w:t>Journal of Performance of Constructed Facilities</w:t>
      </w:r>
      <w:r w:rsidRPr="00BC32CF">
        <w:rPr>
          <w:rFonts w:ascii="Times New Roman" w:eastAsia="Calibri" w:hAnsi="Times New Roman" w:cs="Times New Roman"/>
          <w:sz w:val="24"/>
          <w:szCs w:val="24"/>
          <w:lang w:val="en-US"/>
        </w:rPr>
        <w:t>, Volume 27, Issue 3 (June 2013), pp. 283–294.</w:t>
      </w:r>
    </w:p>
    <w:p w14:paraId="6F9E01CF" w14:textId="239545C8" w:rsidR="000B746D" w:rsidRPr="00BC32CF" w:rsidRDefault="000B746D"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Osei-Kyei, R., &amp; Chan, A. P. (2015). Review of studies on the Critical Success Factors for Public–Private Partnership (PPP) projects from 1990 to 2013. International Journal of Project Management, 33(6), 1335-1346.</w:t>
      </w:r>
    </w:p>
    <w:p w14:paraId="2E279D00"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Quiggin, J. (2004). Risk, PPPs and the Public Sector Comparator. </w:t>
      </w:r>
      <w:r w:rsidRPr="00BC32CF">
        <w:rPr>
          <w:rFonts w:ascii="Times New Roman" w:eastAsia="Calibri" w:hAnsi="Times New Roman" w:cs="Times New Roman"/>
          <w:i/>
          <w:sz w:val="24"/>
          <w:szCs w:val="24"/>
          <w:lang w:val="en-US"/>
        </w:rPr>
        <w:t>Australian Accounting Review</w:t>
      </w:r>
      <w:r w:rsidRPr="00BC32CF">
        <w:rPr>
          <w:rFonts w:ascii="Times New Roman" w:eastAsia="Calibri" w:hAnsi="Times New Roman" w:cs="Times New Roman"/>
          <w:sz w:val="24"/>
          <w:szCs w:val="24"/>
          <w:lang w:val="en-US"/>
        </w:rPr>
        <w:t>, 14(33), 51-61.</w:t>
      </w:r>
    </w:p>
    <w:p w14:paraId="40BED37B"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Ramamurti, R. and Singh, J. V. (Eds.) (2009). Emerging Multinationals in Emerging Markets. Cambridge University Press.</w:t>
      </w:r>
    </w:p>
    <w:p w14:paraId="73C3DE49" w14:textId="77777777" w:rsidR="005A1FE6" w:rsidRPr="00BC32CF" w:rsidRDefault="00CD1C18"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Royal Society. (1983). Risk A</w:t>
      </w:r>
      <w:r w:rsidR="005A1FE6" w:rsidRPr="00BC32CF">
        <w:rPr>
          <w:rFonts w:ascii="Times New Roman" w:eastAsia="Calibri" w:hAnsi="Times New Roman" w:cs="Times New Roman"/>
          <w:sz w:val="24"/>
          <w:szCs w:val="24"/>
          <w:lang w:val="en-US"/>
        </w:rPr>
        <w:t>ssessment: Report of a Royal Society study group. London: Royal Society.</w:t>
      </w:r>
    </w:p>
    <w:p w14:paraId="3C339719"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Sachs, T., T</w:t>
      </w:r>
      <w:r w:rsidR="00CD1C18" w:rsidRPr="00BC32CF">
        <w:rPr>
          <w:rFonts w:ascii="Times New Roman" w:eastAsia="Calibri" w:hAnsi="Times New Roman" w:cs="Times New Roman"/>
          <w:sz w:val="24"/>
          <w:szCs w:val="24"/>
          <w:lang w:val="en-US"/>
        </w:rPr>
        <w:t>iong, R. and Wang, S. Q. (2007).</w:t>
      </w:r>
      <w:r w:rsidRPr="00BC32CF">
        <w:rPr>
          <w:rFonts w:ascii="Times New Roman" w:eastAsia="Calibri" w:hAnsi="Times New Roman" w:cs="Times New Roman"/>
          <w:sz w:val="24"/>
          <w:szCs w:val="24"/>
          <w:lang w:val="en-US"/>
        </w:rPr>
        <w:t xml:space="preserve"> Analysis of Political Risks and Opportunities in Public Private Partnerships (PPP) in China and Selected Asian Countries: Survey Results. </w:t>
      </w:r>
      <w:r w:rsidRPr="00BC32CF">
        <w:rPr>
          <w:rFonts w:ascii="Times New Roman" w:eastAsia="Calibri" w:hAnsi="Times New Roman" w:cs="Times New Roman"/>
          <w:i/>
          <w:sz w:val="24"/>
          <w:szCs w:val="24"/>
          <w:lang w:val="en-US"/>
        </w:rPr>
        <w:t>Chinese Management Studies</w:t>
      </w:r>
      <w:r w:rsidRPr="00BC32CF">
        <w:rPr>
          <w:rFonts w:ascii="Times New Roman" w:eastAsia="Calibri" w:hAnsi="Times New Roman" w:cs="Times New Roman"/>
          <w:sz w:val="24"/>
          <w:szCs w:val="24"/>
          <w:lang w:val="en-US"/>
        </w:rPr>
        <w:t>, 1(2), 126-148.</w:t>
      </w:r>
    </w:p>
    <w:p w14:paraId="2238683C" w14:textId="77777777" w:rsidR="005A1FE6" w:rsidRPr="00BC32CF" w:rsidRDefault="00CD1C18"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Spector, P.E., 1992. Summated Rating Scale C</w:t>
      </w:r>
      <w:r w:rsidR="005A1FE6" w:rsidRPr="00BC32CF">
        <w:rPr>
          <w:rFonts w:ascii="Times New Roman" w:eastAsia="Calibri" w:hAnsi="Times New Roman" w:cs="Times New Roman"/>
          <w:sz w:val="24"/>
          <w:szCs w:val="24"/>
          <w:lang w:val="en-US"/>
        </w:rPr>
        <w:t>onstruction: An introduction (No. 82). Sage.</w:t>
      </w:r>
    </w:p>
    <w:p w14:paraId="69038A94"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Spillane, J.P., Oyedele, L.O., and von Meding, J. (2012) Confined Site Construction. </w:t>
      </w:r>
      <w:r w:rsidRPr="00BC32CF">
        <w:rPr>
          <w:rFonts w:ascii="Times New Roman" w:eastAsia="Calibri" w:hAnsi="Times New Roman" w:cs="Times New Roman"/>
          <w:i/>
          <w:sz w:val="24"/>
          <w:szCs w:val="24"/>
          <w:lang w:val="en-US"/>
        </w:rPr>
        <w:t>Journal of Engineering</w:t>
      </w:r>
      <w:r w:rsidRPr="00BC32CF">
        <w:rPr>
          <w:rFonts w:ascii="Times New Roman" w:eastAsia="Calibri" w:hAnsi="Times New Roman" w:cs="Times New Roman"/>
          <w:sz w:val="24"/>
          <w:szCs w:val="24"/>
          <w:lang w:val="en-US"/>
        </w:rPr>
        <w:t>, Design and Technology. 10(3), pp. 397–420. doi:10.1108/17260531211274747.</w:t>
      </w:r>
    </w:p>
    <w:p w14:paraId="47E8463A"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Tam, C.M., Deng, Z.M., Zeng, S.X., and Ho, C.S. (2000) Quest for Continuous Quality Improvement for Public Housing Construction in Hong Kong, </w:t>
      </w:r>
      <w:r w:rsidRPr="00BC32CF">
        <w:rPr>
          <w:rFonts w:ascii="Times New Roman" w:eastAsia="Calibri" w:hAnsi="Times New Roman" w:cs="Times New Roman"/>
          <w:i/>
          <w:sz w:val="24"/>
          <w:szCs w:val="24"/>
          <w:lang w:val="en-US"/>
        </w:rPr>
        <w:t>Construction Management and Economics</w:t>
      </w:r>
      <w:r w:rsidR="00CD1C18" w:rsidRPr="00BC32CF">
        <w:rPr>
          <w:rFonts w:ascii="Times New Roman" w:eastAsia="Calibri" w:hAnsi="Times New Roman" w:cs="Times New Roman"/>
          <w:sz w:val="24"/>
          <w:szCs w:val="24"/>
          <w:lang w:val="en-US"/>
        </w:rPr>
        <w:t>,</w:t>
      </w:r>
      <w:r w:rsidRPr="00BC32CF">
        <w:rPr>
          <w:rFonts w:ascii="Times New Roman" w:eastAsia="Calibri" w:hAnsi="Times New Roman" w:cs="Times New Roman"/>
          <w:sz w:val="24"/>
          <w:szCs w:val="24"/>
          <w:lang w:val="en-US"/>
        </w:rPr>
        <w:t xml:space="preserve"> 18(4), pp. 437–446. doi:10.1080/01446190050024851.</w:t>
      </w:r>
    </w:p>
    <w:p w14:paraId="34DAFF94" w14:textId="77777777" w:rsidR="00583F4E" w:rsidRPr="00BC32CF" w:rsidRDefault="00583F4E"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Santos, J.R.A., (1999). Cronbach’s </w:t>
      </w:r>
      <w:r w:rsidR="00CD1C18" w:rsidRPr="00BC32CF">
        <w:rPr>
          <w:rFonts w:ascii="Times New Roman" w:eastAsia="Calibri" w:hAnsi="Times New Roman" w:cs="Times New Roman"/>
          <w:sz w:val="24"/>
          <w:szCs w:val="24"/>
          <w:lang w:val="en-US"/>
        </w:rPr>
        <w:t>Alpha: A Tool for Assessing the R</w:t>
      </w:r>
      <w:r w:rsidRPr="00BC32CF">
        <w:rPr>
          <w:rFonts w:ascii="Times New Roman" w:eastAsia="Calibri" w:hAnsi="Times New Roman" w:cs="Times New Roman"/>
          <w:sz w:val="24"/>
          <w:szCs w:val="24"/>
          <w:lang w:val="en-US"/>
        </w:rPr>
        <w:t>eliability o</w:t>
      </w:r>
      <w:r w:rsidR="00CD1C18" w:rsidRPr="00BC32CF">
        <w:rPr>
          <w:rFonts w:ascii="Times New Roman" w:eastAsia="Calibri" w:hAnsi="Times New Roman" w:cs="Times New Roman"/>
          <w:sz w:val="24"/>
          <w:szCs w:val="24"/>
          <w:lang w:val="en-US"/>
        </w:rPr>
        <w:t xml:space="preserve">f Scales. </w:t>
      </w:r>
      <w:r w:rsidR="00CD1C18" w:rsidRPr="00BC32CF">
        <w:rPr>
          <w:rFonts w:ascii="Times New Roman" w:eastAsia="Calibri" w:hAnsi="Times New Roman" w:cs="Times New Roman"/>
          <w:i/>
          <w:sz w:val="24"/>
          <w:szCs w:val="24"/>
          <w:lang w:val="en-US"/>
        </w:rPr>
        <w:t>Journal of E</w:t>
      </w:r>
      <w:r w:rsidRPr="00BC32CF">
        <w:rPr>
          <w:rFonts w:ascii="Times New Roman" w:eastAsia="Calibri" w:hAnsi="Times New Roman" w:cs="Times New Roman"/>
          <w:i/>
          <w:sz w:val="24"/>
          <w:szCs w:val="24"/>
          <w:lang w:val="en-US"/>
        </w:rPr>
        <w:t>xtension</w:t>
      </w:r>
      <w:r w:rsidRPr="00BC32CF">
        <w:rPr>
          <w:rFonts w:ascii="Times New Roman" w:eastAsia="Calibri" w:hAnsi="Times New Roman" w:cs="Times New Roman"/>
          <w:sz w:val="24"/>
          <w:szCs w:val="24"/>
          <w:lang w:val="en-US"/>
        </w:rPr>
        <w:t>, 37(2), pp.1-5.</w:t>
      </w:r>
    </w:p>
    <w:p w14:paraId="508BA8CE"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Stake, R. E. (2013).  </w:t>
      </w:r>
      <w:r w:rsidRPr="00BC32CF">
        <w:rPr>
          <w:rFonts w:ascii="Times New Roman" w:eastAsia="Calibri" w:hAnsi="Times New Roman" w:cs="Times New Roman"/>
          <w:iCs/>
          <w:sz w:val="24"/>
          <w:szCs w:val="24"/>
          <w:lang w:val="en-US"/>
        </w:rPr>
        <w:t xml:space="preserve">Multiple </w:t>
      </w:r>
      <w:r w:rsidR="00CD1C18" w:rsidRPr="00BC32CF">
        <w:rPr>
          <w:rFonts w:ascii="Times New Roman" w:eastAsia="Calibri" w:hAnsi="Times New Roman" w:cs="Times New Roman"/>
          <w:iCs/>
          <w:sz w:val="24"/>
          <w:szCs w:val="24"/>
          <w:lang w:val="en-US"/>
        </w:rPr>
        <w:t>C</w:t>
      </w:r>
      <w:r w:rsidRPr="00BC32CF">
        <w:rPr>
          <w:rFonts w:ascii="Times New Roman" w:eastAsia="Calibri" w:hAnsi="Times New Roman" w:cs="Times New Roman"/>
          <w:iCs/>
          <w:sz w:val="24"/>
          <w:szCs w:val="24"/>
          <w:lang w:val="en-US"/>
        </w:rPr>
        <w:t xml:space="preserve">ase </w:t>
      </w:r>
      <w:r w:rsidR="00CD1C18" w:rsidRPr="00BC32CF">
        <w:rPr>
          <w:rFonts w:ascii="Times New Roman" w:eastAsia="Calibri" w:hAnsi="Times New Roman" w:cs="Times New Roman"/>
          <w:iCs/>
          <w:sz w:val="24"/>
          <w:szCs w:val="24"/>
          <w:lang w:val="en-US"/>
        </w:rPr>
        <w:t>Study A</w:t>
      </w:r>
      <w:r w:rsidRPr="00BC32CF">
        <w:rPr>
          <w:rFonts w:ascii="Times New Roman" w:eastAsia="Calibri" w:hAnsi="Times New Roman" w:cs="Times New Roman"/>
          <w:iCs/>
          <w:sz w:val="24"/>
          <w:szCs w:val="24"/>
          <w:lang w:val="en-US"/>
        </w:rPr>
        <w:t>nalysis</w:t>
      </w:r>
      <w:r w:rsidRPr="00BC32CF">
        <w:rPr>
          <w:rFonts w:ascii="Times New Roman" w:eastAsia="Calibri" w:hAnsi="Times New Roman" w:cs="Times New Roman"/>
          <w:sz w:val="24"/>
          <w:szCs w:val="24"/>
          <w:lang w:val="en-US"/>
        </w:rPr>
        <w:t>. Guilford Press.</w:t>
      </w:r>
    </w:p>
    <w:p w14:paraId="18D7D116"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Vetiva, (2011). C</w:t>
      </w:r>
      <w:r w:rsidR="00CD1C18" w:rsidRPr="00BC32CF">
        <w:rPr>
          <w:rFonts w:ascii="Times New Roman" w:eastAsia="Calibri" w:hAnsi="Times New Roman" w:cs="Times New Roman"/>
          <w:sz w:val="24"/>
          <w:szCs w:val="24"/>
          <w:lang w:val="en-US"/>
        </w:rPr>
        <w:t>onstruction Industry Report: A Haven of O</w:t>
      </w:r>
      <w:r w:rsidRPr="00BC32CF">
        <w:rPr>
          <w:rFonts w:ascii="Times New Roman" w:eastAsia="Calibri" w:hAnsi="Times New Roman" w:cs="Times New Roman"/>
          <w:sz w:val="24"/>
          <w:szCs w:val="24"/>
          <w:lang w:val="en-US"/>
        </w:rPr>
        <w:t>pportunities. [Online] A publication of VETIVA Capital Management Limited. Accessed [18 February, 2015].</w:t>
      </w:r>
    </w:p>
    <w:p w14:paraId="2A7D0233"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 xml:space="preserve">Wang, S. Q., Dulaimi, M. F., and Aguria, M. Y. (2004). Risk Management Framework for Construction Projects in Developing Countries. </w:t>
      </w:r>
      <w:r w:rsidRPr="00BC32CF">
        <w:rPr>
          <w:rFonts w:ascii="Times New Roman" w:eastAsia="Calibri" w:hAnsi="Times New Roman" w:cs="Times New Roman"/>
          <w:i/>
          <w:sz w:val="24"/>
          <w:szCs w:val="24"/>
          <w:lang w:val="en-US"/>
        </w:rPr>
        <w:t>Construction Management and Economics</w:t>
      </w:r>
      <w:r w:rsidRPr="00BC32CF">
        <w:rPr>
          <w:rFonts w:ascii="Times New Roman" w:eastAsia="Calibri" w:hAnsi="Times New Roman" w:cs="Times New Roman"/>
          <w:sz w:val="24"/>
          <w:szCs w:val="24"/>
          <w:lang w:val="en-US"/>
        </w:rPr>
        <w:t>, 22(3), 237-252.</w:t>
      </w:r>
    </w:p>
    <w:p w14:paraId="18CA23C4" w14:textId="77777777" w:rsidR="005A1FE6" w:rsidRPr="00BC32CF" w:rsidRDefault="005A1FE6" w:rsidP="00CD1C18">
      <w:pPr>
        <w:tabs>
          <w:tab w:val="left" w:pos="142"/>
        </w:tabs>
        <w:spacing w:after="0" w:line="240" w:lineRule="auto"/>
        <w:ind w:left="567" w:hanging="567"/>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World Bank Report (2013). Public Private Partnership Programme in Nigeria. Available from: [http://wwwwds.worldbank.org/external/default/WDSContentServer/WDSP/AFR/2013/12/27/090224b0821823a7/1_0/Rendered/PDF/Nigeria000Nige0Report000Sequence005.pdf].  [Accessed on 19th December, 2014].</w:t>
      </w:r>
    </w:p>
    <w:p w14:paraId="1DCAC363" w14:textId="77777777" w:rsidR="00CD1C18" w:rsidRPr="00BC32CF" w:rsidRDefault="00CD1C18" w:rsidP="00CD1C18">
      <w:pPr>
        <w:tabs>
          <w:tab w:val="left" w:pos="142"/>
        </w:tabs>
        <w:spacing w:after="0" w:line="240" w:lineRule="auto"/>
        <w:ind w:left="567" w:hanging="567"/>
        <w:jc w:val="both"/>
        <w:rPr>
          <w:rFonts w:ascii="Times New Roman" w:eastAsia="Calibri" w:hAnsi="Times New Roman" w:cs="Times New Roman"/>
          <w:sz w:val="24"/>
          <w:szCs w:val="24"/>
        </w:rPr>
      </w:pPr>
    </w:p>
    <w:p w14:paraId="06B674C0" w14:textId="77777777" w:rsidR="005A1FE6" w:rsidRPr="00BC32CF" w:rsidRDefault="00583F4E" w:rsidP="00CD1C18">
      <w:pPr>
        <w:spacing w:after="200" w:line="240" w:lineRule="auto"/>
        <w:ind w:left="567" w:hanging="567"/>
        <w:jc w:val="both"/>
        <w:rPr>
          <w:rFonts w:ascii="Times New Roman" w:eastAsia="Calibri" w:hAnsi="Times New Roman" w:cs="Times New Roman"/>
          <w:sz w:val="24"/>
          <w:szCs w:val="24"/>
        </w:rPr>
      </w:pPr>
      <w:r w:rsidRPr="00BC32CF">
        <w:rPr>
          <w:rFonts w:ascii="Times New Roman" w:eastAsia="Calibri" w:hAnsi="Times New Roman" w:cs="Times New Roman"/>
          <w:sz w:val="24"/>
          <w:szCs w:val="24"/>
        </w:rPr>
        <w:t>Yin, R. K. (1994).</w:t>
      </w:r>
      <w:r w:rsidR="00CD1C18" w:rsidRPr="00BC32CF">
        <w:rPr>
          <w:rFonts w:ascii="Times New Roman" w:eastAsia="Calibri" w:hAnsi="Times New Roman" w:cs="Times New Roman"/>
          <w:sz w:val="24"/>
          <w:szCs w:val="24"/>
        </w:rPr>
        <w:t xml:space="preserve"> Case Study Research: Design and M</w:t>
      </w:r>
      <w:r w:rsidRPr="00BC32CF">
        <w:rPr>
          <w:rFonts w:ascii="Times New Roman" w:eastAsia="Calibri" w:hAnsi="Times New Roman" w:cs="Times New Roman"/>
          <w:sz w:val="24"/>
          <w:szCs w:val="24"/>
        </w:rPr>
        <w:t>ethods (2nd ed.). Thousand Oaks, CA: Sage Publication.</w:t>
      </w:r>
    </w:p>
    <w:p w14:paraId="20A99DAD" w14:textId="77777777" w:rsidR="005A1FE6" w:rsidRPr="00BC32CF" w:rsidRDefault="005A1FE6" w:rsidP="00CD1C18">
      <w:pPr>
        <w:spacing w:after="240" w:line="240" w:lineRule="auto"/>
        <w:ind w:left="567" w:hanging="567"/>
        <w:jc w:val="both"/>
        <w:rPr>
          <w:rFonts w:ascii="Times New Roman" w:eastAsia="Calibri" w:hAnsi="Times New Roman" w:cs="Times New Roman"/>
          <w:sz w:val="24"/>
          <w:szCs w:val="24"/>
          <w:lang w:val="en-US"/>
        </w:rPr>
      </w:pPr>
      <w:r w:rsidRPr="00BC32CF">
        <w:rPr>
          <w:rFonts w:ascii="Times New Roman" w:eastAsia="Calibri" w:hAnsi="Times New Roman" w:cs="Times New Roman"/>
          <w:sz w:val="24"/>
          <w:szCs w:val="24"/>
          <w:lang w:val="en-US"/>
        </w:rPr>
        <w:t>Yescombe, E. R. (2007). Public Private Partnership: Principles of Policy and Finance, 1st Edi</w:t>
      </w:r>
      <w:r w:rsidR="00887557" w:rsidRPr="00BC32CF">
        <w:rPr>
          <w:rFonts w:ascii="Times New Roman" w:eastAsia="Calibri" w:hAnsi="Times New Roman" w:cs="Times New Roman"/>
          <w:sz w:val="24"/>
          <w:szCs w:val="24"/>
          <w:lang w:val="en-US"/>
        </w:rPr>
        <w:t>tion. Oxford: Elsevier Limited.</w:t>
      </w:r>
    </w:p>
    <w:sectPr w:rsidR="005A1FE6" w:rsidRPr="00BC32CF" w:rsidSect="00537AFC">
      <w:type w:val="continuous"/>
      <w:pgSz w:w="11906" w:h="16838"/>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E099" w14:textId="77777777" w:rsidR="0074536E" w:rsidRDefault="0074536E" w:rsidP="00F349CB">
      <w:pPr>
        <w:spacing w:after="0" w:line="240" w:lineRule="auto"/>
      </w:pPr>
      <w:r>
        <w:separator/>
      </w:r>
    </w:p>
  </w:endnote>
  <w:endnote w:type="continuationSeparator" w:id="0">
    <w:p w14:paraId="1802DF4B" w14:textId="77777777" w:rsidR="0074536E" w:rsidRDefault="0074536E" w:rsidP="00F3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2662"/>
      <w:docPartObj>
        <w:docPartGallery w:val="Page Numbers (Bottom of Page)"/>
        <w:docPartUnique/>
      </w:docPartObj>
    </w:sdtPr>
    <w:sdtEndPr>
      <w:rPr>
        <w:noProof/>
      </w:rPr>
    </w:sdtEndPr>
    <w:sdtContent>
      <w:p w14:paraId="1B1BF488" w14:textId="62AE1C89" w:rsidR="00CE10EA" w:rsidRDefault="00CE10EA">
        <w:pPr>
          <w:pStyle w:val="Footer"/>
          <w:jc w:val="right"/>
        </w:pPr>
        <w:r>
          <w:fldChar w:fldCharType="begin"/>
        </w:r>
        <w:r>
          <w:instrText xml:space="preserve"> PAGE   \* MERGEFORMAT </w:instrText>
        </w:r>
        <w:r>
          <w:fldChar w:fldCharType="separate"/>
        </w:r>
        <w:r w:rsidR="00BC32CF">
          <w:rPr>
            <w:noProof/>
          </w:rPr>
          <w:t>9</w:t>
        </w:r>
        <w:r>
          <w:rPr>
            <w:noProof/>
          </w:rPr>
          <w:fldChar w:fldCharType="end"/>
        </w:r>
      </w:p>
    </w:sdtContent>
  </w:sdt>
  <w:p w14:paraId="1A80CFD0" w14:textId="77777777" w:rsidR="00CE10EA" w:rsidRDefault="00CE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52211" w14:textId="77777777" w:rsidR="0074536E" w:rsidRDefault="0074536E" w:rsidP="00F349CB">
      <w:pPr>
        <w:spacing w:after="0" w:line="240" w:lineRule="auto"/>
      </w:pPr>
      <w:r>
        <w:separator/>
      </w:r>
    </w:p>
  </w:footnote>
  <w:footnote w:type="continuationSeparator" w:id="0">
    <w:p w14:paraId="2739695F" w14:textId="77777777" w:rsidR="0074536E" w:rsidRDefault="0074536E" w:rsidP="00F3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0DBB" w14:textId="77777777" w:rsidR="00CE10EA" w:rsidRDefault="00CE10EA">
    <w:pPr>
      <w:pStyle w:val="Header"/>
    </w:pPr>
  </w:p>
  <w:p w14:paraId="5589AFD9" w14:textId="77777777" w:rsidR="00CE10EA" w:rsidRDefault="00CE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76F"/>
    <w:multiLevelType w:val="hybridMultilevel"/>
    <w:tmpl w:val="5F92D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5ED"/>
    <w:multiLevelType w:val="hybridMultilevel"/>
    <w:tmpl w:val="95986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D2438"/>
    <w:multiLevelType w:val="hybridMultilevel"/>
    <w:tmpl w:val="83B2A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27BE8"/>
    <w:multiLevelType w:val="hybridMultilevel"/>
    <w:tmpl w:val="54968A86"/>
    <w:lvl w:ilvl="0" w:tplc="B64AD95C">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15:restartNumberingAfterBreak="0">
    <w:nsid w:val="1DF614D8"/>
    <w:multiLevelType w:val="hybridMultilevel"/>
    <w:tmpl w:val="EFB249AA"/>
    <w:lvl w:ilvl="0" w:tplc="D09EC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E6928"/>
    <w:multiLevelType w:val="hybridMultilevel"/>
    <w:tmpl w:val="3D38E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26A9"/>
    <w:multiLevelType w:val="hybridMultilevel"/>
    <w:tmpl w:val="D2243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946A0"/>
    <w:multiLevelType w:val="hybridMultilevel"/>
    <w:tmpl w:val="20B63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33A78"/>
    <w:multiLevelType w:val="hybridMultilevel"/>
    <w:tmpl w:val="869ED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36F02"/>
    <w:multiLevelType w:val="hybridMultilevel"/>
    <w:tmpl w:val="C532A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718F2"/>
    <w:multiLevelType w:val="hybridMultilevel"/>
    <w:tmpl w:val="D3C01A6A"/>
    <w:lvl w:ilvl="0" w:tplc="573A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821A1"/>
    <w:multiLevelType w:val="hybridMultilevel"/>
    <w:tmpl w:val="91D891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A37E9"/>
    <w:multiLevelType w:val="multilevel"/>
    <w:tmpl w:val="6F268566"/>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187AE3"/>
    <w:multiLevelType w:val="hybridMultilevel"/>
    <w:tmpl w:val="671AD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21464"/>
    <w:multiLevelType w:val="multilevel"/>
    <w:tmpl w:val="7902D0E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666B98"/>
    <w:multiLevelType w:val="hybridMultilevel"/>
    <w:tmpl w:val="E6D40F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01855"/>
    <w:multiLevelType w:val="hybridMultilevel"/>
    <w:tmpl w:val="1F241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82761"/>
    <w:multiLevelType w:val="hybridMultilevel"/>
    <w:tmpl w:val="232EE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F6A"/>
    <w:multiLevelType w:val="hybridMultilevel"/>
    <w:tmpl w:val="224E8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1489E"/>
    <w:multiLevelType w:val="hybridMultilevel"/>
    <w:tmpl w:val="302203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35F08"/>
    <w:multiLevelType w:val="hybridMultilevel"/>
    <w:tmpl w:val="66428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17"/>
  </w:num>
  <w:num w:numId="5">
    <w:abstractNumId w:val="13"/>
  </w:num>
  <w:num w:numId="6">
    <w:abstractNumId w:val="18"/>
  </w:num>
  <w:num w:numId="7">
    <w:abstractNumId w:val="6"/>
  </w:num>
  <w:num w:numId="8">
    <w:abstractNumId w:val="5"/>
  </w:num>
  <w:num w:numId="9">
    <w:abstractNumId w:val="14"/>
  </w:num>
  <w:num w:numId="10">
    <w:abstractNumId w:val="12"/>
  </w:num>
  <w:num w:numId="11">
    <w:abstractNumId w:val="2"/>
  </w:num>
  <w:num w:numId="12">
    <w:abstractNumId w:val="9"/>
  </w:num>
  <w:num w:numId="13">
    <w:abstractNumId w:val="7"/>
  </w:num>
  <w:num w:numId="14">
    <w:abstractNumId w:val="11"/>
  </w:num>
  <w:num w:numId="15">
    <w:abstractNumId w:val="8"/>
  </w:num>
  <w:num w:numId="16">
    <w:abstractNumId w:val="1"/>
  </w:num>
  <w:num w:numId="17">
    <w:abstractNumId w:val="15"/>
  </w:num>
  <w:num w:numId="18">
    <w:abstractNumId w:val="20"/>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88"/>
    <w:rsid w:val="000045BA"/>
    <w:rsid w:val="000072BB"/>
    <w:rsid w:val="0001170A"/>
    <w:rsid w:val="00014CA6"/>
    <w:rsid w:val="00015DA5"/>
    <w:rsid w:val="000202BE"/>
    <w:rsid w:val="00021B6D"/>
    <w:rsid w:val="00022403"/>
    <w:rsid w:val="000236C8"/>
    <w:rsid w:val="0002374E"/>
    <w:rsid w:val="00023A0B"/>
    <w:rsid w:val="00024E7F"/>
    <w:rsid w:val="00025161"/>
    <w:rsid w:val="00027B40"/>
    <w:rsid w:val="0003007B"/>
    <w:rsid w:val="000314F0"/>
    <w:rsid w:val="000358B2"/>
    <w:rsid w:val="00036641"/>
    <w:rsid w:val="00037EEE"/>
    <w:rsid w:val="00041C5E"/>
    <w:rsid w:val="000425C4"/>
    <w:rsid w:val="00042FE1"/>
    <w:rsid w:val="00050A82"/>
    <w:rsid w:val="000517B7"/>
    <w:rsid w:val="000522CD"/>
    <w:rsid w:val="00053239"/>
    <w:rsid w:val="000535F3"/>
    <w:rsid w:val="00057584"/>
    <w:rsid w:val="00057B1B"/>
    <w:rsid w:val="00061817"/>
    <w:rsid w:val="00062C76"/>
    <w:rsid w:val="0006322B"/>
    <w:rsid w:val="00063E70"/>
    <w:rsid w:val="00065B0E"/>
    <w:rsid w:val="00067B6D"/>
    <w:rsid w:val="000710F0"/>
    <w:rsid w:val="000716FE"/>
    <w:rsid w:val="00073EB9"/>
    <w:rsid w:val="00074522"/>
    <w:rsid w:val="00077A60"/>
    <w:rsid w:val="00077DF9"/>
    <w:rsid w:val="000811AB"/>
    <w:rsid w:val="00082CA3"/>
    <w:rsid w:val="00082DB8"/>
    <w:rsid w:val="000834DF"/>
    <w:rsid w:val="0008605B"/>
    <w:rsid w:val="00091F73"/>
    <w:rsid w:val="00093CC5"/>
    <w:rsid w:val="00094CEA"/>
    <w:rsid w:val="00095FC1"/>
    <w:rsid w:val="000A02CD"/>
    <w:rsid w:val="000A0760"/>
    <w:rsid w:val="000A095F"/>
    <w:rsid w:val="000A1144"/>
    <w:rsid w:val="000A1F6E"/>
    <w:rsid w:val="000A25D7"/>
    <w:rsid w:val="000A5862"/>
    <w:rsid w:val="000A590B"/>
    <w:rsid w:val="000A5A7F"/>
    <w:rsid w:val="000A652F"/>
    <w:rsid w:val="000B3196"/>
    <w:rsid w:val="000B6CC4"/>
    <w:rsid w:val="000B6E77"/>
    <w:rsid w:val="000B746D"/>
    <w:rsid w:val="000C2139"/>
    <w:rsid w:val="000C3285"/>
    <w:rsid w:val="000C3BF5"/>
    <w:rsid w:val="000C3D2D"/>
    <w:rsid w:val="000C43A7"/>
    <w:rsid w:val="000C718B"/>
    <w:rsid w:val="000C7C9F"/>
    <w:rsid w:val="000D77EF"/>
    <w:rsid w:val="000E0760"/>
    <w:rsid w:val="000E34A4"/>
    <w:rsid w:val="000E6055"/>
    <w:rsid w:val="000F460F"/>
    <w:rsid w:val="000F4FE0"/>
    <w:rsid w:val="000F5C74"/>
    <w:rsid w:val="000F6217"/>
    <w:rsid w:val="000F71E5"/>
    <w:rsid w:val="001053F3"/>
    <w:rsid w:val="001064FC"/>
    <w:rsid w:val="00111E36"/>
    <w:rsid w:val="001142A7"/>
    <w:rsid w:val="00115402"/>
    <w:rsid w:val="00116C7E"/>
    <w:rsid w:val="001178EE"/>
    <w:rsid w:val="0012060F"/>
    <w:rsid w:val="00120AEC"/>
    <w:rsid w:val="0012174C"/>
    <w:rsid w:val="00121AD5"/>
    <w:rsid w:val="00122630"/>
    <w:rsid w:val="001226DF"/>
    <w:rsid w:val="0013192F"/>
    <w:rsid w:val="00133D14"/>
    <w:rsid w:val="001342AC"/>
    <w:rsid w:val="00134ACF"/>
    <w:rsid w:val="0013677F"/>
    <w:rsid w:val="0013706A"/>
    <w:rsid w:val="001404E9"/>
    <w:rsid w:val="001413FD"/>
    <w:rsid w:val="001444AD"/>
    <w:rsid w:val="0014502E"/>
    <w:rsid w:val="00145B24"/>
    <w:rsid w:val="00146CE1"/>
    <w:rsid w:val="001539C6"/>
    <w:rsid w:val="00153AFA"/>
    <w:rsid w:val="00156843"/>
    <w:rsid w:val="00157E16"/>
    <w:rsid w:val="00162867"/>
    <w:rsid w:val="00162C61"/>
    <w:rsid w:val="00162C89"/>
    <w:rsid w:val="00162E03"/>
    <w:rsid w:val="00164969"/>
    <w:rsid w:val="00167174"/>
    <w:rsid w:val="0016792D"/>
    <w:rsid w:val="001729BE"/>
    <w:rsid w:val="00172E40"/>
    <w:rsid w:val="00172FA6"/>
    <w:rsid w:val="00176905"/>
    <w:rsid w:val="00177B2E"/>
    <w:rsid w:val="001949A8"/>
    <w:rsid w:val="001965D9"/>
    <w:rsid w:val="001A5070"/>
    <w:rsid w:val="001A55E1"/>
    <w:rsid w:val="001A6D08"/>
    <w:rsid w:val="001B064E"/>
    <w:rsid w:val="001B0F52"/>
    <w:rsid w:val="001B1961"/>
    <w:rsid w:val="001B3B0A"/>
    <w:rsid w:val="001B6871"/>
    <w:rsid w:val="001C0048"/>
    <w:rsid w:val="001C1978"/>
    <w:rsid w:val="001C374E"/>
    <w:rsid w:val="001C47BB"/>
    <w:rsid w:val="001C4973"/>
    <w:rsid w:val="001C7E01"/>
    <w:rsid w:val="001D0225"/>
    <w:rsid w:val="001D0961"/>
    <w:rsid w:val="001D1879"/>
    <w:rsid w:val="001D2B85"/>
    <w:rsid w:val="001D3E4A"/>
    <w:rsid w:val="001D61A1"/>
    <w:rsid w:val="001D643F"/>
    <w:rsid w:val="001D66C7"/>
    <w:rsid w:val="001D7096"/>
    <w:rsid w:val="001D73CE"/>
    <w:rsid w:val="001E3443"/>
    <w:rsid w:val="001E5BB9"/>
    <w:rsid w:val="001E77EE"/>
    <w:rsid w:val="001F2F1B"/>
    <w:rsid w:val="001F4C03"/>
    <w:rsid w:val="0020013D"/>
    <w:rsid w:val="00205B82"/>
    <w:rsid w:val="00206E77"/>
    <w:rsid w:val="00207DE0"/>
    <w:rsid w:val="0021147F"/>
    <w:rsid w:val="0021423F"/>
    <w:rsid w:val="002155B6"/>
    <w:rsid w:val="002158CF"/>
    <w:rsid w:val="00215FED"/>
    <w:rsid w:val="0021674E"/>
    <w:rsid w:val="00217883"/>
    <w:rsid w:val="00217B74"/>
    <w:rsid w:val="00217F22"/>
    <w:rsid w:val="00224094"/>
    <w:rsid w:val="0022433A"/>
    <w:rsid w:val="002276DE"/>
    <w:rsid w:val="00227855"/>
    <w:rsid w:val="002278BE"/>
    <w:rsid w:val="00237AD5"/>
    <w:rsid w:val="00240AE9"/>
    <w:rsid w:val="00242327"/>
    <w:rsid w:val="00251641"/>
    <w:rsid w:val="00253279"/>
    <w:rsid w:val="00254966"/>
    <w:rsid w:val="002552D0"/>
    <w:rsid w:val="002554CD"/>
    <w:rsid w:val="00257374"/>
    <w:rsid w:val="00257803"/>
    <w:rsid w:val="00262A3A"/>
    <w:rsid w:val="002644EC"/>
    <w:rsid w:val="00265AEB"/>
    <w:rsid w:val="00267997"/>
    <w:rsid w:val="00267F70"/>
    <w:rsid w:val="00270B5D"/>
    <w:rsid w:val="0027267A"/>
    <w:rsid w:val="002773C3"/>
    <w:rsid w:val="00277918"/>
    <w:rsid w:val="00280C57"/>
    <w:rsid w:val="00283EC3"/>
    <w:rsid w:val="0028576B"/>
    <w:rsid w:val="002859C1"/>
    <w:rsid w:val="00286457"/>
    <w:rsid w:val="00290C76"/>
    <w:rsid w:val="002A162B"/>
    <w:rsid w:val="002A2BA7"/>
    <w:rsid w:val="002A2D4B"/>
    <w:rsid w:val="002A525C"/>
    <w:rsid w:val="002A736D"/>
    <w:rsid w:val="002A7E01"/>
    <w:rsid w:val="002B17BE"/>
    <w:rsid w:val="002B239D"/>
    <w:rsid w:val="002B3BF8"/>
    <w:rsid w:val="002B4F7A"/>
    <w:rsid w:val="002B52DE"/>
    <w:rsid w:val="002B53D9"/>
    <w:rsid w:val="002B7393"/>
    <w:rsid w:val="002C258B"/>
    <w:rsid w:val="002C5289"/>
    <w:rsid w:val="002C5CC1"/>
    <w:rsid w:val="002C62AE"/>
    <w:rsid w:val="002C748C"/>
    <w:rsid w:val="002D4F2F"/>
    <w:rsid w:val="002E4787"/>
    <w:rsid w:val="002E728D"/>
    <w:rsid w:val="002F13C8"/>
    <w:rsid w:val="002F1BF2"/>
    <w:rsid w:val="002F4626"/>
    <w:rsid w:val="002F520B"/>
    <w:rsid w:val="002F542A"/>
    <w:rsid w:val="002F5CA3"/>
    <w:rsid w:val="00304098"/>
    <w:rsid w:val="00304189"/>
    <w:rsid w:val="00304B47"/>
    <w:rsid w:val="00311CDD"/>
    <w:rsid w:val="003147CA"/>
    <w:rsid w:val="003201D6"/>
    <w:rsid w:val="00320D61"/>
    <w:rsid w:val="00324128"/>
    <w:rsid w:val="00326A62"/>
    <w:rsid w:val="0032798F"/>
    <w:rsid w:val="003301E8"/>
    <w:rsid w:val="00333A6D"/>
    <w:rsid w:val="00334404"/>
    <w:rsid w:val="00335F4E"/>
    <w:rsid w:val="00336301"/>
    <w:rsid w:val="003363E5"/>
    <w:rsid w:val="0034309E"/>
    <w:rsid w:val="0034488D"/>
    <w:rsid w:val="003537F4"/>
    <w:rsid w:val="003544DC"/>
    <w:rsid w:val="00356835"/>
    <w:rsid w:val="003602BB"/>
    <w:rsid w:val="0036076A"/>
    <w:rsid w:val="00363F1B"/>
    <w:rsid w:val="003644FA"/>
    <w:rsid w:val="0037261F"/>
    <w:rsid w:val="003726AB"/>
    <w:rsid w:val="00373109"/>
    <w:rsid w:val="00373EA2"/>
    <w:rsid w:val="003804B2"/>
    <w:rsid w:val="00381009"/>
    <w:rsid w:val="003909D3"/>
    <w:rsid w:val="003A1FDF"/>
    <w:rsid w:val="003A2D77"/>
    <w:rsid w:val="003A33DC"/>
    <w:rsid w:val="003A4DC9"/>
    <w:rsid w:val="003A5DE7"/>
    <w:rsid w:val="003A6B3B"/>
    <w:rsid w:val="003B02AC"/>
    <w:rsid w:val="003B1425"/>
    <w:rsid w:val="003B16FC"/>
    <w:rsid w:val="003B3064"/>
    <w:rsid w:val="003B4B64"/>
    <w:rsid w:val="003B601D"/>
    <w:rsid w:val="003C1371"/>
    <w:rsid w:val="003C3BCF"/>
    <w:rsid w:val="003D0C39"/>
    <w:rsid w:val="003D3912"/>
    <w:rsid w:val="003D5173"/>
    <w:rsid w:val="003E3BD5"/>
    <w:rsid w:val="003E4D46"/>
    <w:rsid w:val="003F13BE"/>
    <w:rsid w:val="003F2F1E"/>
    <w:rsid w:val="003F32F9"/>
    <w:rsid w:val="003F4540"/>
    <w:rsid w:val="003F6D7C"/>
    <w:rsid w:val="00401EA7"/>
    <w:rsid w:val="00405B23"/>
    <w:rsid w:val="00406567"/>
    <w:rsid w:val="00412820"/>
    <w:rsid w:val="00412BE2"/>
    <w:rsid w:val="00412BFC"/>
    <w:rsid w:val="00416B7B"/>
    <w:rsid w:val="00416CE8"/>
    <w:rsid w:val="004227AB"/>
    <w:rsid w:val="004235FA"/>
    <w:rsid w:val="004241E5"/>
    <w:rsid w:val="004306C9"/>
    <w:rsid w:val="0043115B"/>
    <w:rsid w:val="004352B6"/>
    <w:rsid w:val="00435F7A"/>
    <w:rsid w:val="00436544"/>
    <w:rsid w:val="0043775E"/>
    <w:rsid w:val="0044333C"/>
    <w:rsid w:val="00445CD6"/>
    <w:rsid w:val="0044644A"/>
    <w:rsid w:val="00450D35"/>
    <w:rsid w:val="00453949"/>
    <w:rsid w:val="00456B3E"/>
    <w:rsid w:val="00456D4C"/>
    <w:rsid w:val="0046024A"/>
    <w:rsid w:val="00461BE7"/>
    <w:rsid w:val="004668CD"/>
    <w:rsid w:val="00466ECC"/>
    <w:rsid w:val="00467143"/>
    <w:rsid w:val="00467E84"/>
    <w:rsid w:val="004749CC"/>
    <w:rsid w:val="00477E5E"/>
    <w:rsid w:val="004814F3"/>
    <w:rsid w:val="004818A6"/>
    <w:rsid w:val="00485E58"/>
    <w:rsid w:val="004900B3"/>
    <w:rsid w:val="00493F16"/>
    <w:rsid w:val="00496FBD"/>
    <w:rsid w:val="004A3423"/>
    <w:rsid w:val="004A716B"/>
    <w:rsid w:val="004B1081"/>
    <w:rsid w:val="004C15BC"/>
    <w:rsid w:val="004C1D5B"/>
    <w:rsid w:val="004C2DA3"/>
    <w:rsid w:val="004C5EFE"/>
    <w:rsid w:val="004C70C3"/>
    <w:rsid w:val="004D227B"/>
    <w:rsid w:val="004D2678"/>
    <w:rsid w:val="004D3D66"/>
    <w:rsid w:val="004D4EFE"/>
    <w:rsid w:val="004D53B1"/>
    <w:rsid w:val="004D5EBF"/>
    <w:rsid w:val="004E24E3"/>
    <w:rsid w:val="004E2CA5"/>
    <w:rsid w:val="004E3AC9"/>
    <w:rsid w:val="004E3D79"/>
    <w:rsid w:val="004E7E12"/>
    <w:rsid w:val="004F0A4C"/>
    <w:rsid w:val="004F583F"/>
    <w:rsid w:val="005026C5"/>
    <w:rsid w:val="00502A6F"/>
    <w:rsid w:val="00511F9B"/>
    <w:rsid w:val="00512ED9"/>
    <w:rsid w:val="005203CD"/>
    <w:rsid w:val="00521EDA"/>
    <w:rsid w:val="00522F7B"/>
    <w:rsid w:val="00523734"/>
    <w:rsid w:val="00523FFD"/>
    <w:rsid w:val="00524441"/>
    <w:rsid w:val="00525740"/>
    <w:rsid w:val="005315E8"/>
    <w:rsid w:val="00532DA7"/>
    <w:rsid w:val="00532EB2"/>
    <w:rsid w:val="00533998"/>
    <w:rsid w:val="00534684"/>
    <w:rsid w:val="00537567"/>
    <w:rsid w:val="00537AFC"/>
    <w:rsid w:val="00540FEF"/>
    <w:rsid w:val="00542C4A"/>
    <w:rsid w:val="005437C4"/>
    <w:rsid w:val="00550436"/>
    <w:rsid w:val="00553E83"/>
    <w:rsid w:val="00556642"/>
    <w:rsid w:val="00560450"/>
    <w:rsid w:val="00560578"/>
    <w:rsid w:val="0056078A"/>
    <w:rsid w:val="00560CD6"/>
    <w:rsid w:val="005623E9"/>
    <w:rsid w:val="0056277E"/>
    <w:rsid w:val="00564287"/>
    <w:rsid w:val="00566923"/>
    <w:rsid w:val="005679A9"/>
    <w:rsid w:val="005679DF"/>
    <w:rsid w:val="00570B50"/>
    <w:rsid w:val="0057226A"/>
    <w:rsid w:val="00572AC5"/>
    <w:rsid w:val="00573A2C"/>
    <w:rsid w:val="005752B4"/>
    <w:rsid w:val="0058006C"/>
    <w:rsid w:val="005803CC"/>
    <w:rsid w:val="00583F4E"/>
    <w:rsid w:val="00593A13"/>
    <w:rsid w:val="00595F6C"/>
    <w:rsid w:val="00596BE1"/>
    <w:rsid w:val="005A1FE6"/>
    <w:rsid w:val="005A5E8B"/>
    <w:rsid w:val="005A6964"/>
    <w:rsid w:val="005A73BB"/>
    <w:rsid w:val="005A7C0E"/>
    <w:rsid w:val="005B4C0C"/>
    <w:rsid w:val="005B5F8D"/>
    <w:rsid w:val="005B60AD"/>
    <w:rsid w:val="005B771F"/>
    <w:rsid w:val="005C2DAF"/>
    <w:rsid w:val="005C6445"/>
    <w:rsid w:val="005C6D96"/>
    <w:rsid w:val="005C76B4"/>
    <w:rsid w:val="005D2D7C"/>
    <w:rsid w:val="005D5AB9"/>
    <w:rsid w:val="005E20E6"/>
    <w:rsid w:val="005E2FDF"/>
    <w:rsid w:val="005E59EB"/>
    <w:rsid w:val="005E65DD"/>
    <w:rsid w:val="005E7182"/>
    <w:rsid w:val="005E71CC"/>
    <w:rsid w:val="005E7763"/>
    <w:rsid w:val="005F05FE"/>
    <w:rsid w:val="005F1072"/>
    <w:rsid w:val="005F3F97"/>
    <w:rsid w:val="005F4F89"/>
    <w:rsid w:val="005F7F3C"/>
    <w:rsid w:val="00601CD8"/>
    <w:rsid w:val="00602F7E"/>
    <w:rsid w:val="0060430D"/>
    <w:rsid w:val="00606DB8"/>
    <w:rsid w:val="00607349"/>
    <w:rsid w:val="006075AD"/>
    <w:rsid w:val="00607B19"/>
    <w:rsid w:val="00613A84"/>
    <w:rsid w:val="00621389"/>
    <w:rsid w:val="0062165F"/>
    <w:rsid w:val="00623FEB"/>
    <w:rsid w:val="0062531F"/>
    <w:rsid w:val="00626EC9"/>
    <w:rsid w:val="00630EF0"/>
    <w:rsid w:val="006373A9"/>
    <w:rsid w:val="00644B35"/>
    <w:rsid w:val="006450DD"/>
    <w:rsid w:val="00645347"/>
    <w:rsid w:val="00645E68"/>
    <w:rsid w:val="00655A25"/>
    <w:rsid w:val="006605E9"/>
    <w:rsid w:val="0066357F"/>
    <w:rsid w:val="00663F70"/>
    <w:rsid w:val="00664C62"/>
    <w:rsid w:val="0066577F"/>
    <w:rsid w:val="0067189D"/>
    <w:rsid w:val="006726B1"/>
    <w:rsid w:val="00673B89"/>
    <w:rsid w:val="00675C79"/>
    <w:rsid w:val="0068187E"/>
    <w:rsid w:val="0068322D"/>
    <w:rsid w:val="006850F7"/>
    <w:rsid w:val="00691009"/>
    <w:rsid w:val="00694078"/>
    <w:rsid w:val="00694704"/>
    <w:rsid w:val="0069546F"/>
    <w:rsid w:val="006A0559"/>
    <w:rsid w:val="006A27DA"/>
    <w:rsid w:val="006A3055"/>
    <w:rsid w:val="006A49AB"/>
    <w:rsid w:val="006A5C85"/>
    <w:rsid w:val="006A62C2"/>
    <w:rsid w:val="006A749C"/>
    <w:rsid w:val="006B39AB"/>
    <w:rsid w:val="006B3E84"/>
    <w:rsid w:val="006B5D62"/>
    <w:rsid w:val="006B6CE0"/>
    <w:rsid w:val="006B7C77"/>
    <w:rsid w:val="006C3D27"/>
    <w:rsid w:val="006C4835"/>
    <w:rsid w:val="006D26FE"/>
    <w:rsid w:val="006D46C1"/>
    <w:rsid w:val="006D4D1A"/>
    <w:rsid w:val="006E1DD0"/>
    <w:rsid w:val="006E202C"/>
    <w:rsid w:val="006E6DDA"/>
    <w:rsid w:val="006E73BF"/>
    <w:rsid w:val="006F174A"/>
    <w:rsid w:val="006F44ED"/>
    <w:rsid w:val="006F6CA9"/>
    <w:rsid w:val="007027FB"/>
    <w:rsid w:val="0070412D"/>
    <w:rsid w:val="00704AB8"/>
    <w:rsid w:val="0071774D"/>
    <w:rsid w:val="00720BE8"/>
    <w:rsid w:val="007220B0"/>
    <w:rsid w:val="0072304E"/>
    <w:rsid w:val="0072306F"/>
    <w:rsid w:val="00725C57"/>
    <w:rsid w:val="007332F2"/>
    <w:rsid w:val="00734785"/>
    <w:rsid w:val="007365AA"/>
    <w:rsid w:val="00736616"/>
    <w:rsid w:val="007419DE"/>
    <w:rsid w:val="007425DF"/>
    <w:rsid w:val="00742953"/>
    <w:rsid w:val="0074313A"/>
    <w:rsid w:val="00744153"/>
    <w:rsid w:val="0074536E"/>
    <w:rsid w:val="0074566B"/>
    <w:rsid w:val="00747320"/>
    <w:rsid w:val="00750458"/>
    <w:rsid w:val="00751A73"/>
    <w:rsid w:val="007533E8"/>
    <w:rsid w:val="00763B4F"/>
    <w:rsid w:val="00766A1A"/>
    <w:rsid w:val="00767A73"/>
    <w:rsid w:val="00773192"/>
    <w:rsid w:val="007732E8"/>
    <w:rsid w:val="00773C70"/>
    <w:rsid w:val="0078096E"/>
    <w:rsid w:val="00783AF1"/>
    <w:rsid w:val="007845C2"/>
    <w:rsid w:val="00784DBB"/>
    <w:rsid w:val="0078514D"/>
    <w:rsid w:val="007857EE"/>
    <w:rsid w:val="007912BD"/>
    <w:rsid w:val="00794FE0"/>
    <w:rsid w:val="007952D2"/>
    <w:rsid w:val="00795300"/>
    <w:rsid w:val="007965B7"/>
    <w:rsid w:val="007A0569"/>
    <w:rsid w:val="007A0F99"/>
    <w:rsid w:val="007A101C"/>
    <w:rsid w:val="007A3B6E"/>
    <w:rsid w:val="007A73D9"/>
    <w:rsid w:val="007B28E5"/>
    <w:rsid w:val="007B2CD0"/>
    <w:rsid w:val="007B30E7"/>
    <w:rsid w:val="007B463E"/>
    <w:rsid w:val="007B4A37"/>
    <w:rsid w:val="007B7782"/>
    <w:rsid w:val="007C05EB"/>
    <w:rsid w:val="007C0D0E"/>
    <w:rsid w:val="007C19C9"/>
    <w:rsid w:val="007C1CE9"/>
    <w:rsid w:val="007C3FD9"/>
    <w:rsid w:val="007C433B"/>
    <w:rsid w:val="007C6422"/>
    <w:rsid w:val="007D0BCF"/>
    <w:rsid w:val="007D28F0"/>
    <w:rsid w:val="007D3D43"/>
    <w:rsid w:val="007D4074"/>
    <w:rsid w:val="007D5782"/>
    <w:rsid w:val="007D5A93"/>
    <w:rsid w:val="007E61FC"/>
    <w:rsid w:val="007F011A"/>
    <w:rsid w:val="007F5066"/>
    <w:rsid w:val="007F51F5"/>
    <w:rsid w:val="007F5F63"/>
    <w:rsid w:val="007F7AA3"/>
    <w:rsid w:val="00800BF1"/>
    <w:rsid w:val="00803953"/>
    <w:rsid w:val="00803980"/>
    <w:rsid w:val="00803C43"/>
    <w:rsid w:val="008111D8"/>
    <w:rsid w:val="008133FE"/>
    <w:rsid w:val="0081420D"/>
    <w:rsid w:val="008165A9"/>
    <w:rsid w:val="00821F7D"/>
    <w:rsid w:val="0082223C"/>
    <w:rsid w:val="008225A9"/>
    <w:rsid w:val="008246E6"/>
    <w:rsid w:val="008277A6"/>
    <w:rsid w:val="008303C3"/>
    <w:rsid w:val="00835464"/>
    <w:rsid w:val="00836706"/>
    <w:rsid w:val="0083700F"/>
    <w:rsid w:val="0083713C"/>
    <w:rsid w:val="008372E0"/>
    <w:rsid w:val="0084235C"/>
    <w:rsid w:val="00844F98"/>
    <w:rsid w:val="00845A87"/>
    <w:rsid w:val="00846120"/>
    <w:rsid w:val="008461C8"/>
    <w:rsid w:val="008469F2"/>
    <w:rsid w:val="00850CC6"/>
    <w:rsid w:val="00861EA1"/>
    <w:rsid w:val="008715F9"/>
    <w:rsid w:val="0087301D"/>
    <w:rsid w:val="00873FD4"/>
    <w:rsid w:val="008752D3"/>
    <w:rsid w:val="008758AF"/>
    <w:rsid w:val="00876F84"/>
    <w:rsid w:val="0087732F"/>
    <w:rsid w:val="00877535"/>
    <w:rsid w:val="00881417"/>
    <w:rsid w:val="00885F57"/>
    <w:rsid w:val="008871DE"/>
    <w:rsid w:val="00887454"/>
    <w:rsid w:val="00887557"/>
    <w:rsid w:val="00891DAC"/>
    <w:rsid w:val="0089428C"/>
    <w:rsid w:val="00896710"/>
    <w:rsid w:val="008A1001"/>
    <w:rsid w:val="008A16E4"/>
    <w:rsid w:val="008A2404"/>
    <w:rsid w:val="008A2E3D"/>
    <w:rsid w:val="008A3A2D"/>
    <w:rsid w:val="008A4EFB"/>
    <w:rsid w:val="008A6341"/>
    <w:rsid w:val="008B01D0"/>
    <w:rsid w:val="008C298D"/>
    <w:rsid w:val="008C2A57"/>
    <w:rsid w:val="008C3ABE"/>
    <w:rsid w:val="008C641C"/>
    <w:rsid w:val="008C6888"/>
    <w:rsid w:val="008D05BF"/>
    <w:rsid w:val="008D0D9F"/>
    <w:rsid w:val="008D2EB1"/>
    <w:rsid w:val="008E2227"/>
    <w:rsid w:val="008E34D5"/>
    <w:rsid w:val="008E6FB5"/>
    <w:rsid w:val="008E7942"/>
    <w:rsid w:val="008E79B2"/>
    <w:rsid w:val="00903123"/>
    <w:rsid w:val="009058D5"/>
    <w:rsid w:val="0090786B"/>
    <w:rsid w:val="00911304"/>
    <w:rsid w:val="00912659"/>
    <w:rsid w:val="0091605B"/>
    <w:rsid w:val="009179BB"/>
    <w:rsid w:val="009239B1"/>
    <w:rsid w:val="009266D6"/>
    <w:rsid w:val="00931FC5"/>
    <w:rsid w:val="00932ACE"/>
    <w:rsid w:val="00933296"/>
    <w:rsid w:val="0095136C"/>
    <w:rsid w:val="0095283D"/>
    <w:rsid w:val="00953089"/>
    <w:rsid w:val="00955A2D"/>
    <w:rsid w:val="00955AFD"/>
    <w:rsid w:val="00956941"/>
    <w:rsid w:val="00960887"/>
    <w:rsid w:val="0096218E"/>
    <w:rsid w:val="009717A8"/>
    <w:rsid w:val="0097185E"/>
    <w:rsid w:val="00973FA4"/>
    <w:rsid w:val="009821D0"/>
    <w:rsid w:val="00985777"/>
    <w:rsid w:val="009906B6"/>
    <w:rsid w:val="00991641"/>
    <w:rsid w:val="009918BD"/>
    <w:rsid w:val="009922CF"/>
    <w:rsid w:val="009946C1"/>
    <w:rsid w:val="00994C6D"/>
    <w:rsid w:val="009A1B1E"/>
    <w:rsid w:val="009A44A5"/>
    <w:rsid w:val="009A5EE4"/>
    <w:rsid w:val="009A72A3"/>
    <w:rsid w:val="009B05CA"/>
    <w:rsid w:val="009B13EA"/>
    <w:rsid w:val="009B1970"/>
    <w:rsid w:val="009B1BC0"/>
    <w:rsid w:val="009B3583"/>
    <w:rsid w:val="009B40C7"/>
    <w:rsid w:val="009B75B8"/>
    <w:rsid w:val="009B7FD6"/>
    <w:rsid w:val="009C1823"/>
    <w:rsid w:val="009C3835"/>
    <w:rsid w:val="009C3ADB"/>
    <w:rsid w:val="009C48EE"/>
    <w:rsid w:val="009C4EF1"/>
    <w:rsid w:val="009C6069"/>
    <w:rsid w:val="009C78DC"/>
    <w:rsid w:val="009D18F6"/>
    <w:rsid w:val="009D1C57"/>
    <w:rsid w:val="009D470E"/>
    <w:rsid w:val="009D6199"/>
    <w:rsid w:val="009E1102"/>
    <w:rsid w:val="009E153D"/>
    <w:rsid w:val="009E31A9"/>
    <w:rsid w:val="009E3264"/>
    <w:rsid w:val="009E6E50"/>
    <w:rsid w:val="009E72C9"/>
    <w:rsid w:val="009F1C23"/>
    <w:rsid w:val="009F27FB"/>
    <w:rsid w:val="009F3059"/>
    <w:rsid w:val="009F647F"/>
    <w:rsid w:val="00A01B3F"/>
    <w:rsid w:val="00A024AF"/>
    <w:rsid w:val="00A04777"/>
    <w:rsid w:val="00A06E86"/>
    <w:rsid w:val="00A0749E"/>
    <w:rsid w:val="00A11F09"/>
    <w:rsid w:val="00A1601E"/>
    <w:rsid w:val="00A22016"/>
    <w:rsid w:val="00A22FAB"/>
    <w:rsid w:val="00A23E36"/>
    <w:rsid w:val="00A2619F"/>
    <w:rsid w:val="00A27027"/>
    <w:rsid w:val="00A27595"/>
    <w:rsid w:val="00A32632"/>
    <w:rsid w:val="00A348F3"/>
    <w:rsid w:val="00A37A69"/>
    <w:rsid w:val="00A5250C"/>
    <w:rsid w:val="00A528FB"/>
    <w:rsid w:val="00A529DD"/>
    <w:rsid w:val="00A532E6"/>
    <w:rsid w:val="00A55EC6"/>
    <w:rsid w:val="00A639C1"/>
    <w:rsid w:val="00A66F14"/>
    <w:rsid w:val="00A67122"/>
    <w:rsid w:val="00A71197"/>
    <w:rsid w:val="00A71D48"/>
    <w:rsid w:val="00A726C7"/>
    <w:rsid w:val="00A74588"/>
    <w:rsid w:val="00A7668A"/>
    <w:rsid w:val="00A77A17"/>
    <w:rsid w:val="00A8322A"/>
    <w:rsid w:val="00A832C2"/>
    <w:rsid w:val="00A83F39"/>
    <w:rsid w:val="00A86916"/>
    <w:rsid w:val="00A87008"/>
    <w:rsid w:val="00A92BA5"/>
    <w:rsid w:val="00A9331C"/>
    <w:rsid w:val="00A93D5F"/>
    <w:rsid w:val="00AA25A9"/>
    <w:rsid w:val="00AA2DA5"/>
    <w:rsid w:val="00AA3AD3"/>
    <w:rsid w:val="00AA7922"/>
    <w:rsid w:val="00AB3A83"/>
    <w:rsid w:val="00AB7407"/>
    <w:rsid w:val="00AB7611"/>
    <w:rsid w:val="00AC291D"/>
    <w:rsid w:val="00AC47DC"/>
    <w:rsid w:val="00AC5A60"/>
    <w:rsid w:val="00AC6AFE"/>
    <w:rsid w:val="00AD0AF1"/>
    <w:rsid w:val="00AD1758"/>
    <w:rsid w:val="00AD38BD"/>
    <w:rsid w:val="00AD4D93"/>
    <w:rsid w:val="00AD775F"/>
    <w:rsid w:val="00AE05E0"/>
    <w:rsid w:val="00AE0FF8"/>
    <w:rsid w:val="00AE2042"/>
    <w:rsid w:val="00AE3E27"/>
    <w:rsid w:val="00AE5201"/>
    <w:rsid w:val="00AE5382"/>
    <w:rsid w:val="00AE585A"/>
    <w:rsid w:val="00AF1350"/>
    <w:rsid w:val="00AF4D2E"/>
    <w:rsid w:val="00B0196E"/>
    <w:rsid w:val="00B01DE8"/>
    <w:rsid w:val="00B05010"/>
    <w:rsid w:val="00B06259"/>
    <w:rsid w:val="00B07839"/>
    <w:rsid w:val="00B16533"/>
    <w:rsid w:val="00B20922"/>
    <w:rsid w:val="00B23D39"/>
    <w:rsid w:val="00B25852"/>
    <w:rsid w:val="00B2675B"/>
    <w:rsid w:val="00B31C3B"/>
    <w:rsid w:val="00B379FB"/>
    <w:rsid w:val="00B42823"/>
    <w:rsid w:val="00B45FDB"/>
    <w:rsid w:val="00B46CF7"/>
    <w:rsid w:val="00B502B9"/>
    <w:rsid w:val="00B51E9B"/>
    <w:rsid w:val="00B537E1"/>
    <w:rsid w:val="00B53D1A"/>
    <w:rsid w:val="00B60157"/>
    <w:rsid w:val="00B64518"/>
    <w:rsid w:val="00B72074"/>
    <w:rsid w:val="00B74C9F"/>
    <w:rsid w:val="00B7787F"/>
    <w:rsid w:val="00B86916"/>
    <w:rsid w:val="00B90803"/>
    <w:rsid w:val="00B95983"/>
    <w:rsid w:val="00B95B44"/>
    <w:rsid w:val="00B96630"/>
    <w:rsid w:val="00BA2864"/>
    <w:rsid w:val="00BA33BE"/>
    <w:rsid w:val="00BB5359"/>
    <w:rsid w:val="00BB599B"/>
    <w:rsid w:val="00BC32CF"/>
    <w:rsid w:val="00BC4D9E"/>
    <w:rsid w:val="00BC5282"/>
    <w:rsid w:val="00BC6C5D"/>
    <w:rsid w:val="00BC7A00"/>
    <w:rsid w:val="00BD0711"/>
    <w:rsid w:val="00BD0853"/>
    <w:rsid w:val="00BD1E8A"/>
    <w:rsid w:val="00BD4356"/>
    <w:rsid w:val="00BD555A"/>
    <w:rsid w:val="00BD59D3"/>
    <w:rsid w:val="00BD666A"/>
    <w:rsid w:val="00BD7666"/>
    <w:rsid w:val="00BE11D0"/>
    <w:rsid w:val="00BE29DF"/>
    <w:rsid w:val="00BE308C"/>
    <w:rsid w:val="00BE4128"/>
    <w:rsid w:val="00BE5EC8"/>
    <w:rsid w:val="00BE64AC"/>
    <w:rsid w:val="00BE7413"/>
    <w:rsid w:val="00BF05AA"/>
    <w:rsid w:val="00BF112A"/>
    <w:rsid w:val="00BF2D50"/>
    <w:rsid w:val="00BF4A8D"/>
    <w:rsid w:val="00C05061"/>
    <w:rsid w:val="00C12E06"/>
    <w:rsid w:val="00C154EB"/>
    <w:rsid w:val="00C22D47"/>
    <w:rsid w:val="00C236BA"/>
    <w:rsid w:val="00C244D8"/>
    <w:rsid w:val="00C24C50"/>
    <w:rsid w:val="00C24E3B"/>
    <w:rsid w:val="00C324CD"/>
    <w:rsid w:val="00C336ED"/>
    <w:rsid w:val="00C349B6"/>
    <w:rsid w:val="00C34B78"/>
    <w:rsid w:val="00C356ED"/>
    <w:rsid w:val="00C45D3E"/>
    <w:rsid w:val="00C479B0"/>
    <w:rsid w:val="00C51F93"/>
    <w:rsid w:val="00C53146"/>
    <w:rsid w:val="00C57E58"/>
    <w:rsid w:val="00C614BD"/>
    <w:rsid w:val="00C63F04"/>
    <w:rsid w:val="00C65147"/>
    <w:rsid w:val="00C65D64"/>
    <w:rsid w:val="00C7151B"/>
    <w:rsid w:val="00C72B8E"/>
    <w:rsid w:val="00C763E2"/>
    <w:rsid w:val="00C77172"/>
    <w:rsid w:val="00C84DBF"/>
    <w:rsid w:val="00C93C8E"/>
    <w:rsid w:val="00C97405"/>
    <w:rsid w:val="00CA296F"/>
    <w:rsid w:val="00CA29DD"/>
    <w:rsid w:val="00CA6601"/>
    <w:rsid w:val="00CA67EC"/>
    <w:rsid w:val="00CC3542"/>
    <w:rsid w:val="00CC542A"/>
    <w:rsid w:val="00CC73EC"/>
    <w:rsid w:val="00CC74DF"/>
    <w:rsid w:val="00CC7AD3"/>
    <w:rsid w:val="00CD1967"/>
    <w:rsid w:val="00CD1B37"/>
    <w:rsid w:val="00CD1C18"/>
    <w:rsid w:val="00CD37EA"/>
    <w:rsid w:val="00CE0710"/>
    <w:rsid w:val="00CE10EA"/>
    <w:rsid w:val="00CE1FED"/>
    <w:rsid w:val="00CE2101"/>
    <w:rsid w:val="00CE65D6"/>
    <w:rsid w:val="00CE6BC2"/>
    <w:rsid w:val="00CF0AF0"/>
    <w:rsid w:val="00CF314D"/>
    <w:rsid w:val="00CF47B7"/>
    <w:rsid w:val="00CF63ED"/>
    <w:rsid w:val="00CF6E71"/>
    <w:rsid w:val="00D006A7"/>
    <w:rsid w:val="00D03C45"/>
    <w:rsid w:val="00D140F8"/>
    <w:rsid w:val="00D14EAE"/>
    <w:rsid w:val="00D21992"/>
    <w:rsid w:val="00D23C33"/>
    <w:rsid w:val="00D31FDB"/>
    <w:rsid w:val="00D34CB5"/>
    <w:rsid w:val="00D405A4"/>
    <w:rsid w:val="00D42CEB"/>
    <w:rsid w:val="00D46F32"/>
    <w:rsid w:val="00D51B8F"/>
    <w:rsid w:val="00D521BB"/>
    <w:rsid w:val="00D612D4"/>
    <w:rsid w:val="00D63B4A"/>
    <w:rsid w:val="00D65416"/>
    <w:rsid w:val="00D665E4"/>
    <w:rsid w:val="00D675ED"/>
    <w:rsid w:val="00D93071"/>
    <w:rsid w:val="00D963B2"/>
    <w:rsid w:val="00D97102"/>
    <w:rsid w:val="00DA07E3"/>
    <w:rsid w:val="00DA0EF1"/>
    <w:rsid w:val="00DA6D4A"/>
    <w:rsid w:val="00DB4740"/>
    <w:rsid w:val="00DB49F7"/>
    <w:rsid w:val="00DB597C"/>
    <w:rsid w:val="00DC14F0"/>
    <w:rsid w:val="00DC3CAE"/>
    <w:rsid w:val="00DC3CBE"/>
    <w:rsid w:val="00DC4787"/>
    <w:rsid w:val="00DC4F19"/>
    <w:rsid w:val="00DC5480"/>
    <w:rsid w:val="00DD7F08"/>
    <w:rsid w:val="00DE0CC0"/>
    <w:rsid w:val="00DE24F0"/>
    <w:rsid w:val="00DE24F5"/>
    <w:rsid w:val="00DE3A30"/>
    <w:rsid w:val="00DE5CEB"/>
    <w:rsid w:val="00DE716A"/>
    <w:rsid w:val="00DF6000"/>
    <w:rsid w:val="00DF7BE5"/>
    <w:rsid w:val="00E0188F"/>
    <w:rsid w:val="00E019D3"/>
    <w:rsid w:val="00E02CD3"/>
    <w:rsid w:val="00E049D6"/>
    <w:rsid w:val="00E108E4"/>
    <w:rsid w:val="00E12361"/>
    <w:rsid w:val="00E12961"/>
    <w:rsid w:val="00E12CE7"/>
    <w:rsid w:val="00E13C63"/>
    <w:rsid w:val="00E14173"/>
    <w:rsid w:val="00E167BB"/>
    <w:rsid w:val="00E16D8C"/>
    <w:rsid w:val="00E16EB0"/>
    <w:rsid w:val="00E179EA"/>
    <w:rsid w:val="00E20102"/>
    <w:rsid w:val="00E202E8"/>
    <w:rsid w:val="00E23268"/>
    <w:rsid w:val="00E2496D"/>
    <w:rsid w:val="00E326DA"/>
    <w:rsid w:val="00E3361F"/>
    <w:rsid w:val="00E3408A"/>
    <w:rsid w:val="00E34EEA"/>
    <w:rsid w:val="00E354AD"/>
    <w:rsid w:val="00E410D2"/>
    <w:rsid w:val="00E4477D"/>
    <w:rsid w:val="00E57AED"/>
    <w:rsid w:val="00E6030E"/>
    <w:rsid w:val="00E613CD"/>
    <w:rsid w:val="00E62824"/>
    <w:rsid w:val="00E629C7"/>
    <w:rsid w:val="00E62D94"/>
    <w:rsid w:val="00E6688A"/>
    <w:rsid w:val="00E70EC7"/>
    <w:rsid w:val="00E739E8"/>
    <w:rsid w:val="00E74111"/>
    <w:rsid w:val="00E74BAD"/>
    <w:rsid w:val="00E757DD"/>
    <w:rsid w:val="00E758BC"/>
    <w:rsid w:val="00E76043"/>
    <w:rsid w:val="00E76BDD"/>
    <w:rsid w:val="00E877B0"/>
    <w:rsid w:val="00E90FDF"/>
    <w:rsid w:val="00E93BD4"/>
    <w:rsid w:val="00E9413C"/>
    <w:rsid w:val="00E96394"/>
    <w:rsid w:val="00EA34D3"/>
    <w:rsid w:val="00EB00B7"/>
    <w:rsid w:val="00EB7A33"/>
    <w:rsid w:val="00EC1B16"/>
    <w:rsid w:val="00EC62A2"/>
    <w:rsid w:val="00ED0A43"/>
    <w:rsid w:val="00ED26B6"/>
    <w:rsid w:val="00ED31A7"/>
    <w:rsid w:val="00ED4626"/>
    <w:rsid w:val="00ED747E"/>
    <w:rsid w:val="00EE2647"/>
    <w:rsid w:val="00EE42D3"/>
    <w:rsid w:val="00EE4B14"/>
    <w:rsid w:val="00EE5882"/>
    <w:rsid w:val="00EF037D"/>
    <w:rsid w:val="00EF1DED"/>
    <w:rsid w:val="00EF243D"/>
    <w:rsid w:val="00EF2A6A"/>
    <w:rsid w:val="00EF5F68"/>
    <w:rsid w:val="00F003F9"/>
    <w:rsid w:val="00F05C33"/>
    <w:rsid w:val="00F0661D"/>
    <w:rsid w:val="00F06858"/>
    <w:rsid w:val="00F10287"/>
    <w:rsid w:val="00F10556"/>
    <w:rsid w:val="00F12289"/>
    <w:rsid w:val="00F147FA"/>
    <w:rsid w:val="00F14938"/>
    <w:rsid w:val="00F1520B"/>
    <w:rsid w:val="00F1528C"/>
    <w:rsid w:val="00F235F3"/>
    <w:rsid w:val="00F26266"/>
    <w:rsid w:val="00F27F1C"/>
    <w:rsid w:val="00F31D53"/>
    <w:rsid w:val="00F3437A"/>
    <w:rsid w:val="00F349CB"/>
    <w:rsid w:val="00F376D0"/>
    <w:rsid w:val="00F416C4"/>
    <w:rsid w:val="00F431CE"/>
    <w:rsid w:val="00F4347D"/>
    <w:rsid w:val="00F44925"/>
    <w:rsid w:val="00F46337"/>
    <w:rsid w:val="00F47F8F"/>
    <w:rsid w:val="00F50831"/>
    <w:rsid w:val="00F527B2"/>
    <w:rsid w:val="00F54066"/>
    <w:rsid w:val="00F55E23"/>
    <w:rsid w:val="00F5620D"/>
    <w:rsid w:val="00F61093"/>
    <w:rsid w:val="00F61C71"/>
    <w:rsid w:val="00F62EAC"/>
    <w:rsid w:val="00F62ED9"/>
    <w:rsid w:val="00F64D4C"/>
    <w:rsid w:val="00F67004"/>
    <w:rsid w:val="00F67037"/>
    <w:rsid w:val="00F70648"/>
    <w:rsid w:val="00F71363"/>
    <w:rsid w:val="00F75EA2"/>
    <w:rsid w:val="00F7722A"/>
    <w:rsid w:val="00F81084"/>
    <w:rsid w:val="00F82980"/>
    <w:rsid w:val="00F86381"/>
    <w:rsid w:val="00F946E1"/>
    <w:rsid w:val="00F96877"/>
    <w:rsid w:val="00FA10B1"/>
    <w:rsid w:val="00FA2991"/>
    <w:rsid w:val="00FA5541"/>
    <w:rsid w:val="00FB1410"/>
    <w:rsid w:val="00FB1B5E"/>
    <w:rsid w:val="00FB6460"/>
    <w:rsid w:val="00FB6B89"/>
    <w:rsid w:val="00FB70E6"/>
    <w:rsid w:val="00FC26F2"/>
    <w:rsid w:val="00FD07E3"/>
    <w:rsid w:val="00FD2E76"/>
    <w:rsid w:val="00FD3D21"/>
    <w:rsid w:val="00FD3EB1"/>
    <w:rsid w:val="00FD5672"/>
    <w:rsid w:val="00FD5964"/>
    <w:rsid w:val="00FD64A6"/>
    <w:rsid w:val="00FD6B70"/>
    <w:rsid w:val="00FD7BBA"/>
    <w:rsid w:val="00FE05EF"/>
    <w:rsid w:val="00FE7B54"/>
    <w:rsid w:val="00FF10AA"/>
    <w:rsid w:val="00FF1A53"/>
    <w:rsid w:val="00FF347C"/>
    <w:rsid w:val="00FF4ED0"/>
    <w:rsid w:val="00FF56E8"/>
    <w:rsid w:val="00FF712C"/>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B925B5"/>
  <w15:docId w15:val="{054CB78C-3086-40F0-BBBF-5A29B2F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52"/>
  </w:style>
  <w:style w:type="paragraph" w:styleId="Heading1">
    <w:name w:val="heading 1"/>
    <w:basedOn w:val="Normal"/>
    <w:next w:val="Normal"/>
    <w:link w:val="Heading1Char"/>
    <w:uiPriority w:val="9"/>
    <w:qFormat/>
    <w:rsid w:val="0021423F"/>
    <w:pPr>
      <w:keepNext/>
      <w:keepLines/>
      <w:spacing w:before="600" w:after="120" w:line="240" w:lineRule="auto"/>
      <w:outlineLvl w:val="0"/>
    </w:pPr>
    <w:rPr>
      <w:rFonts w:ascii="Candara" w:eastAsia="Times New Roman" w:hAnsi="Candara" w:cs="Times New Roman"/>
      <w:b/>
      <w:bCs/>
      <w:sz w:val="28"/>
      <w:szCs w:val="28"/>
    </w:rPr>
  </w:style>
  <w:style w:type="paragraph" w:styleId="Heading2">
    <w:name w:val="heading 2"/>
    <w:basedOn w:val="Normal"/>
    <w:next w:val="Normal"/>
    <w:link w:val="Heading2Char"/>
    <w:uiPriority w:val="9"/>
    <w:unhideWhenUsed/>
    <w:qFormat/>
    <w:rsid w:val="0021423F"/>
    <w:pPr>
      <w:keepNext/>
      <w:keepLines/>
      <w:spacing w:before="200" w:after="0" w:line="480" w:lineRule="auto"/>
      <w:outlineLvl w:val="1"/>
    </w:pPr>
    <w:rPr>
      <w:rFonts w:ascii="Candara" w:eastAsia="Times New Roman" w:hAnsi="Candara" w:cs="Times New Roman"/>
      <w:b/>
      <w:bCs/>
      <w:sz w:val="26"/>
      <w:szCs w:val="26"/>
    </w:rPr>
  </w:style>
  <w:style w:type="paragraph" w:styleId="Heading3">
    <w:name w:val="heading 3"/>
    <w:basedOn w:val="Normal"/>
    <w:next w:val="Normal"/>
    <w:link w:val="Heading3Char"/>
    <w:uiPriority w:val="9"/>
    <w:semiHidden/>
    <w:unhideWhenUsed/>
    <w:qFormat/>
    <w:rsid w:val="003A1FD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22"/>
    <w:pPr>
      <w:ind w:left="720"/>
      <w:contextualSpacing/>
    </w:pPr>
  </w:style>
  <w:style w:type="table" w:styleId="TableGrid">
    <w:name w:val="Table Grid"/>
    <w:basedOn w:val="TableNormal"/>
    <w:uiPriority w:val="39"/>
    <w:rsid w:val="002C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0202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Shading">
    <w:name w:val="Light Shading"/>
    <w:basedOn w:val="TableNormal"/>
    <w:uiPriority w:val="60"/>
    <w:rsid w:val="00363F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363F1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1">
    <w:name w:val="Light Grid Accent 1"/>
    <w:basedOn w:val="TableNormal"/>
    <w:uiPriority w:val="62"/>
    <w:rsid w:val="00363F1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Heading1Char">
    <w:name w:val="Heading 1 Char"/>
    <w:basedOn w:val="DefaultParagraphFont"/>
    <w:link w:val="Heading1"/>
    <w:uiPriority w:val="9"/>
    <w:rsid w:val="0021423F"/>
    <w:rPr>
      <w:rFonts w:ascii="Candara" w:eastAsia="Times New Roman" w:hAnsi="Candara" w:cs="Times New Roman"/>
      <w:b/>
      <w:bCs/>
      <w:sz w:val="28"/>
      <w:szCs w:val="28"/>
    </w:rPr>
  </w:style>
  <w:style w:type="character" w:customStyle="1" w:styleId="Heading2Char">
    <w:name w:val="Heading 2 Char"/>
    <w:basedOn w:val="DefaultParagraphFont"/>
    <w:link w:val="Heading2"/>
    <w:uiPriority w:val="9"/>
    <w:rsid w:val="0021423F"/>
    <w:rPr>
      <w:rFonts w:ascii="Candara" w:eastAsia="Times New Roman" w:hAnsi="Candara" w:cs="Times New Roman"/>
      <w:b/>
      <w:bCs/>
      <w:sz w:val="26"/>
      <w:szCs w:val="26"/>
    </w:rPr>
  </w:style>
  <w:style w:type="table" w:customStyle="1" w:styleId="GridTable6Colorful-Accent21">
    <w:name w:val="Grid Table 6 Colorful - Accent 21"/>
    <w:basedOn w:val="TableNormal"/>
    <w:uiPriority w:val="51"/>
    <w:rsid w:val="009918B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595F6C"/>
    <w:rPr>
      <w:color w:val="808080"/>
    </w:rPr>
  </w:style>
  <w:style w:type="paragraph" w:styleId="NoSpacing">
    <w:name w:val="No Spacing"/>
    <w:uiPriority w:val="1"/>
    <w:qFormat/>
    <w:rsid w:val="003A6B3B"/>
    <w:pPr>
      <w:spacing w:after="0" w:line="240" w:lineRule="auto"/>
    </w:pPr>
  </w:style>
  <w:style w:type="paragraph" w:styleId="BalloonText">
    <w:name w:val="Balloon Text"/>
    <w:basedOn w:val="Normal"/>
    <w:link w:val="BalloonTextChar"/>
    <w:uiPriority w:val="99"/>
    <w:semiHidden/>
    <w:unhideWhenUsed/>
    <w:rsid w:val="0004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E1"/>
    <w:rPr>
      <w:rFonts w:ascii="Tahoma" w:hAnsi="Tahoma" w:cs="Tahoma"/>
      <w:sz w:val="16"/>
      <w:szCs w:val="16"/>
    </w:rPr>
  </w:style>
  <w:style w:type="paragraph" w:styleId="Header">
    <w:name w:val="header"/>
    <w:basedOn w:val="Normal"/>
    <w:link w:val="HeaderChar"/>
    <w:uiPriority w:val="99"/>
    <w:unhideWhenUsed/>
    <w:rsid w:val="00F3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CB"/>
  </w:style>
  <w:style w:type="paragraph" w:styleId="Footer">
    <w:name w:val="footer"/>
    <w:basedOn w:val="Normal"/>
    <w:link w:val="FooterChar"/>
    <w:uiPriority w:val="99"/>
    <w:unhideWhenUsed/>
    <w:rsid w:val="00F3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CB"/>
  </w:style>
  <w:style w:type="character" w:customStyle="1" w:styleId="Heading3Char">
    <w:name w:val="Heading 3 Char"/>
    <w:basedOn w:val="DefaultParagraphFont"/>
    <w:link w:val="Heading3"/>
    <w:uiPriority w:val="9"/>
    <w:semiHidden/>
    <w:rsid w:val="003A1FDF"/>
    <w:rPr>
      <w:rFonts w:asciiTheme="majorHAnsi" w:eastAsiaTheme="majorEastAsia" w:hAnsiTheme="majorHAnsi" w:cstheme="majorBidi"/>
      <w:b/>
      <w:bCs/>
      <w:color w:val="5B9BD5" w:themeColor="accent1"/>
    </w:rPr>
  </w:style>
  <w:style w:type="paragraph" w:styleId="Quote">
    <w:name w:val="Quote"/>
    <w:basedOn w:val="Normal"/>
    <w:next w:val="Normal"/>
    <w:link w:val="QuoteChar"/>
    <w:uiPriority w:val="29"/>
    <w:qFormat/>
    <w:rsid w:val="001B0F52"/>
    <w:pPr>
      <w:spacing w:line="360" w:lineRule="auto"/>
      <w:jc w:val="center"/>
    </w:pPr>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1B0F52"/>
    <w:rPr>
      <w:rFonts w:ascii="Times New Roman" w:hAnsi="Times New Roman"/>
      <w:i/>
      <w:iCs/>
      <w:color w:val="000000" w:themeColor="text1"/>
      <w:sz w:val="24"/>
    </w:rPr>
  </w:style>
  <w:style w:type="table" w:customStyle="1" w:styleId="LightGrid-Accent61">
    <w:name w:val="Light Grid - Accent 61"/>
    <w:basedOn w:val="TableNormal"/>
    <w:next w:val="LightGrid-Accent6"/>
    <w:uiPriority w:val="62"/>
    <w:rsid w:val="00023A0B"/>
    <w:pPr>
      <w:spacing w:after="0" w:line="240" w:lineRule="auto"/>
    </w:pPr>
    <w:rPr>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023A0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GridTable6Colorful-Accent22">
    <w:name w:val="Grid Table 6 Colorful - Accent 22"/>
    <w:basedOn w:val="TableNormal"/>
    <w:uiPriority w:val="51"/>
    <w:rsid w:val="00ED26B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asciiTheme="majorHAnsi" w:eastAsiaTheme="majorEastAsia" w:hAnsiTheme="majorHAnsi" w:cstheme="majorBidi"/>
        <w:b/>
        <w:bCs/>
      </w:rPr>
      <w:tblPr/>
      <w:tcPr>
        <w:tcBorders>
          <w:bottom w:val="single" w:sz="12" w:space="0" w:color="F4B083" w:themeColor="accent2" w:themeTint="99"/>
        </w:tcBorders>
      </w:tcPr>
    </w:tblStylePr>
    <w:tblStylePr w:type="lastRow">
      <w:rPr>
        <w:rFonts w:asciiTheme="majorHAnsi" w:eastAsiaTheme="majorEastAsia" w:hAnsiTheme="majorHAnsi" w:cstheme="majorBidi"/>
        <w:b/>
        <w:bCs/>
      </w:rPr>
      <w:tblPr/>
      <w:tcPr>
        <w:tcBorders>
          <w:top w:val="double" w:sz="4" w:space="0" w:color="F4B083" w:themeColor="accent2" w:themeTint="99"/>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ocumentMap">
    <w:name w:val="Document Map"/>
    <w:basedOn w:val="Normal"/>
    <w:link w:val="DocumentMapChar"/>
    <w:uiPriority w:val="99"/>
    <w:semiHidden/>
    <w:unhideWhenUsed/>
    <w:rsid w:val="00F31D5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1D53"/>
    <w:rPr>
      <w:rFonts w:ascii="Times New Roman" w:hAnsi="Times New Roman" w:cs="Times New Roman"/>
      <w:sz w:val="24"/>
      <w:szCs w:val="24"/>
    </w:rPr>
  </w:style>
  <w:style w:type="character" w:styleId="LineNumber">
    <w:name w:val="line number"/>
    <w:basedOn w:val="DefaultParagraphFont"/>
    <w:uiPriority w:val="99"/>
    <w:semiHidden/>
    <w:unhideWhenUsed/>
    <w:rsid w:val="00F3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6.7677100951282598E-2"/>
          <c:y val="0.154514427070261"/>
          <c:w val="0.61024820934755797"/>
          <c:h val="0.73040591418021505"/>
        </c:manualLayout>
      </c:layout>
      <c:pie3DChart>
        <c:varyColors val="1"/>
        <c:ser>
          <c:idx val="0"/>
          <c:order val="0"/>
          <c:explosion val="25"/>
          <c:dPt>
            <c:idx val="0"/>
            <c:bubble3D val="0"/>
            <c:extLst>
              <c:ext xmlns:c16="http://schemas.microsoft.com/office/drawing/2014/chart" uri="{C3380CC4-5D6E-409C-BE32-E72D297353CC}">
                <c16:uniqueId val="{00000000-5442-4387-8F22-C589F369B150}"/>
              </c:ext>
            </c:extLst>
          </c:dPt>
          <c:dPt>
            <c:idx val="1"/>
            <c:bubble3D val="0"/>
            <c:extLst>
              <c:ext xmlns:c16="http://schemas.microsoft.com/office/drawing/2014/chart" uri="{C3380CC4-5D6E-409C-BE32-E72D297353CC}">
                <c16:uniqueId val="{00000001-5442-4387-8F22-C589F369B150}"/>
              </c:ext>
            </c:extLst>
          </c:dPt>
          <c:dPt>
            <c:idx val="2"/>
            <c:bubble3D val="0"/>
            <c:extLst>
              <c:ext xmlns:c16="http://schemas.microsoft.com/office/drawing/2014/chart" uri="{C3380CC4-5D6E-409C-BE32-E72D297353CC}">
                <c16:uniqueId val="{00000002-5442-4387-8F22-C589F369B150}"/>
              </c:ext>
            </c:extLst>
          </c:dPt>
          <c:dPt>
            <c:idx val="3"/>
            <c:bubble3D val="0"/>
            <c:extLst>
              <c:ext xmlns:c16="http://schemas.microsoft.com/office/drawing/2014/chart" uri="{C3380CC4-5D6E-409C-BE32-E72D297353CC}">
                <c16:uniqueId val="{00000003-5442-4387-8F22-C589F369B150}"/>
              </c:ext>
            </c:extLst>
          </c:dPt>
          <c:dPt>
            <c:idx val="4"/>
            <c:bubble3D val="0"/>
            <c:extLst>
              <c:ext xmlns:c16="http://schemas.microsoft.com/office/drawing/2014/chart" uri="{C3380CC4-5D6E-409C-BE32-E72D297353CC}">
                <c16:uniqueId val="{00000004-5442-4387-8F22-C589F369B150}"/>
              </c:ext>
            </c:extLst>
          </c:dPt>
          <c:dPt>
            <c:idx val="5"/>
            <c:bubble3D val="0"/>
            <c:extLst>
              <c:ext xmlns:c16="http://schemas.microsoft.com/office/drawing/2014/chart" uri="{C3380CC4-5D6E-409C-BE32-E72D297353CC}">
                <c16:uniqueId val="{00000005-5442-4387-8F22-C589F369B150}"/>
              </c:ext>
            </c:extLst>
          </c:dPt>
          <c:dPt>
            <c:idx val="6"/>
            <c:bubble3D val="0"/>
            <c:extLst>
              <c:ext xmlns:c16="http://schemas.microsoft.com/office/drawing/2014/chart" uri="{C3380CC4-5D6E-409C-BE32-E72D297353CC}">
                <c16:uniqueId val="{00000006-5442-4387-8F22-C589F369B150}"/>
              </c:ext>
            </c:extLst>
          </c:dPt>
          <c:dLbls>
            <c:dLbl>
              <c:idx val="0"/>
              <c:layout>
                <c:manualLayout>
                  <c:x val="-2.9524715660542399E-2"/>
                  <c:y val="9.4561096529600605E-4"/>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42-4387-8F22-C589F369B150}"/>
                </c:ext>
              </c:extLst>
            </c:dLbl>
            <c:dLbl>
              <c:idx val="1"/>
              <c:layout>
                <c:manualLayout>
                  <c:x val="-2.8671916010498701E-2"/>
                  <c:y val="-5.6476742490522001E-2"/>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42-4387-8F22-C589F369B150}"/>
                </c:ext>
              </c:extLst>
            </c:dLbl>
            <c:dLbl>
              <c:idx val="2"/>
              <c:layout>
                <c:manualLayout>
                  <c:x val="3.9794400699912497E-3"/>
                  <c:y val="-0.105402814231554"/>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42-4387-8F22-C589F369B150}"/>
                </c:ext>
              </c:extLst>
            </c:dLbl>
            <c:dLbl>
              <c:idx val="3"/>
              <c:layout>
                <c:manualLayout>
                  <c:x val="2.1964129483814502E-3"/>
                  <c:y val="-2.17038495188102E-2"/>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42-4387-8F22-C589F369B150}"/>
                </c:ext>
              </c:extLst>
            </c:dLbl>
            <c:dLbl>
              <c:idx val="4"/>
              <c:layout>
                <c:manualLayout>
                  <c:x val="-1.73009623797025E-3"/>
                  <c:y val="-2.40255905511811E-2"/>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442-4387-8F22-C589F369B150}"/>
                </c:ext>
              </c:extLst>
            </c:dLbl>
            <c:dLbl>
              <c:idx val="5"/>
              <c:layout>
                <c:manualLayout>
                  <c:x val="-5.5311570428696499E-2"/>
                  <c:y val="-0.13527413240011699"/>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42-4387-8F22-C589F369B150}"/>
                </c:ext>
              </c:extLst>
            </c:dLbl>
            <c:dLbl>
              <c:idx val="6"/>
              <c:layout>
                <c:manualLayout>
                  <c:x val="3.6306649168853899E-2"/>
                  <c:y val="-5.3872484689413802E-2"/>
                </c:manualLayout>
              </c:layout>
              <c:spPr/>
              <c:txPr>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42-4387-8F22-C589F369B15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Sheet1!$F$8:$F$14</c:f>
              <c:strCache>
                <c:ptCount val="7"/>
                <c:pt idx="0">
                  <c:v>India</c:v>
                </c:pt>
                <c:pt idx="1">
                  <c:v>Brasil</c:v>
                </c:pt>
                <c:pt idx="2">
                  <c:v>Russia Federation</c:v>
                </c:pt>
                <c:pt idx="3">
                  <c:v>China</c:v>
                </c:pt>
                <c:pt idx="4">
                  <c:v>Turkey </c:v>
                </c:pt>
                <c:pt idx="5">
                  <c:v>Mexico</c:v>
                </c:pt>
                <c:pt idx="6">
                  <c:v>Rest of the World</c:v>
                </c:pt>
              </c:strCache>
            </c:strRef>
          </c:cat>
          <c:val>
            <c:numRef>
              <c:f>Sheet1!$G$8:$G$14</c:f>
              <c:numCache>
                <c:formatCode>0%</c:formatCode>
                <c:ptCount val="7"/>
                <c:pt idx="0">
                  <c:v>0.15</c:v>
                </c:pt>
                <c:pt idx="1">
                  <c:v>0.11</c:v>
                </c:pt>
                <c:pt idx="2">
                  <c:v>0.1</c:v>
                </c:pt>
                <c:pt idx="3">
                  <c:v>0.06</c:v>
                </c:pt>
                <c:pt idx="4">
                  <c:v>0.05</c:v>
                </c:pt>
                <c:pt idx="5">
                  <c:v>0.05</c:v>
                </c:pt>
                <c:pt idx="6">
                  <c:v>0.48</c:v>
                </c:pt>
              </c:numCache>
            </c:numRef>
          </c:val>
          <c:extLst>
            <c:ext xmlns:c16="http://schemas.microsoft.com/office/drawing/2014/chart" uri="{C3380CC4-5D6E-409C-BE32-E72D297353CC}">
              <c16:uniqueId val="{00000007-5442-4387-8F22-C589F369B150}"/>
            </c:ext>
          </c:extLst>
        </c:ser>
        <c:dLbls>
          <c:showLegendKey val="0"/>
          <c:showVal val="0"/>
          <c:showCatName val="0"/>
          <c:showSerName val="0"/>
          <c:showPercent val="0"/>
          <c:showBubbleSize val="0"/>
          <c:showLeaderLines val="1"/>
        </c:dLbls>
      </c:pie3DChart>
      <c:spPr>
        <a:noFill/>
        <a:ln w="25372">
          <a:noFill/>
        </a:ln>
      </c:spPr>
    </c:plotArea>
    <c:legend>
      <c:legendPos val="r"/>
      <c:layout>
        <c:manualLayout>
          <c:xMode val="edge"/>
          <c:yMode val="edge"/>
          <c:x val="0.79315960912052097"/>
          <c:y val="5.6895779910521402E-2"/>
          <c:w val="0.193811074918567"/>
          <c:h val="0.94143936904370695"/>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0817-3D20-466D-B9D2-F912C281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11255</Words>
  <Characters>64156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Hakeem Owolabi</dc:creator>
  <cp:lastModifiedBy>Hakeem Owolabi</cp:lastModifiedBy>
  <cp:revision>171</cp:revision>
  <cp:lastPrinted>2016-01-07T10:20:00Z</cp:lastPrinted>
  <dcterms:created xsi:type="dcterms:W3CDTF">2018-07-23T19:25:00Z</dcterms:created>
  <dcterms:modified xsi:type="dcterms:W3CDTF">2018-10-10T12:19:00Z</dcterms:modified>
</cp:coreProperties>
</file>