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5D7D" w14:textId="77777777" w:rsidR="00DA6DCC" w:rsidRPr="00DA6DCC" w:rsidRDefault="00DA6DCC" w:rsidP="00EE0D02">
      <w:pPr>
        <w:jc w:val="both"/>
        <w:rPr>
          <w:rFonts w:ascii="Arial" w:hAnsi="Arial" w:cs="Arial"/>
          <w:b/>
          <w:sz w:val="24"/>
          <w:szCs w:val="24"/>
          <w:u w:val="single"/>
        </w:rPr>
      </w:pPr>
      <w:r>
        <w:rPr>
          <w:rFonts w:ascii="Arial" w:hAnsi="Arial" w:cs="Arial"/>
          <w:b/>
          <w:sz w:val="24"/>
          <w:szCs w:val="24"/>
          <w:u w:val="single"/>
        </w:rPr>
        <w:t>COMPETITION LAW AND LIBOR IN THREE JURISDICTIONS: US, UK AND EU</w:t>
      </w:r>
    </w:p>
    <w:p w14:paraId="0CC74EBE" w14:textId="77777777" w:rsidR="00DA6DCC" w:rsidRDefault="00DA6DCC" w:rsidP="00EE0D02">
      <w:pPr>
        <w:jc w:val="both"/>
        <w:rPr>
          <w:rFonts w:ascii="Arial" w:hAnsi="Arial" w:cs="Arial"/>
          <w:sz w:val="24"/>
          <w:szCs w:val="24"/>
        </w:rPr>
      </w:pPr>
    </w:p>
    <w:p w14:paraId="552489B1" w14:textId="77777777" w:rsidR="004F0714" w:rsidRDefault="00816819" w:rsidP="00EE0D02">
      <w:pPr>
        <w:jc w:val="both"/>
        <w:rPr>
          <w:rFonts w:ascii="Arial" w:hAnsi="Arial" w:cs="Arial"/>
          <w:sz w:val="24"/>
          <w:szCs w:val="24"/>
        </w:rPr>
      </w:pPr>
      <w:r>
        <w:rPr>
          <w:rFonts w:ascii="Arial" w:hAnsi="Arial" w:cs="Arial"/>
          <w:sz w:val="24"/>
          <w:szCs w:val="24"/>
        </w:rPr>
        <w:t>The London Interbank Offered Rate, better known as LIBOR, has ridden turbulent times over the last decade. Major banks, either through the collusion of individual traders operating on a discrete basis or on the instructions from more senior personnel, but always trading across national borders and on a global level, fixed the rate for at least four years. This resultant rigged market worked to limit competition and led to massive profits for the banks and individual traders. Furthermore it enabled banks to be insulated from the shocks of the market during the financial crisis of 2007-2008 and the consequences of that crisis.</w:t>
      </w:r>
    </w:p>
    <w:p w14:paraId="75C32DC1" w14:textId="7510C8B1" w:rsidR="00816819" w:rsidRDefault="00913283" w:rsidP="00EE0D02">
      <w:pPr>
        <w:jc w:val="both"/>
        <w:rPr>
          <w:rFonts w:ascii="Arial" w:hAnsi="Arial" w:cs="Arial"/>
          <w:sz w:val="24"/>
          <w:szCs w:val="24"/>
        </w:rPr>
      </w:pPr>
      <w:r>
        <w:rPr>
          <w:rFonts w:ascii="Arial" w:hAnsi="Arial" w:cs="Arial"/>
          <w:sz w:val="24"/>
          <w:szCs w:val="24"/>
        </w:rPr>
        <w:t>The USA and UK are currently the largest and most important financial markets in the world, markets where most of the LIBOR manipulation took place, with the EU setting competition law standards for the European region. Therefore, t</w:t>
      </w:r>
      <w:r w:rsidR="00816819">
        <w:rPr>
          <w:rFonts w:ascii="Arial" w:hAnsi="Arial" w:cs="Arial"/>
          <w:sz w:val="24"/>
          <w:szCs w:val="24"/>
        </w:rPr>
        <w:t>his chapter will investigate this market manipulation through the lens of competition law</w:t>
      </w:r>
      <w:r w:rsidR="00BB540C">
        <w:rPr>
          <w:rFonts w:ascii="Arial" w:hAnsi="Arial" w:cs="Arial"/>
          <w:sz w:val="24"/>
          <w:szCs w:val="24"/>
        </w:rPr>
        <w:t>, and specifically price fixing,</w:t>
      </w:r>
      <w:r w:rsidR="00816819">
        <w:rPr>
          <w:rFonts w:ascii="Arial" w:hAnsi="Arial" w:cs="Arial"/>
          <w:sz w:val="24"/>
          <w:szCs w:val="24"/>
        </w:rPr>
        <w:t xml:space="preserve"> from the perspective of </w:t>
      </w:r>
      <w:r>
        <w:rPr>
          <w:rFonts w:ascii="Arial" w:hAnsi="Arial" w:cs="Arial"/>
          <w:sz w:val="24"/>
          <w:szCs w:val="24"/>
        </w:rPr>
        <w:t>the three jurisdictions of</w:t>
      </w:r>
      <w:r w:rsidR="00816819">
        <w:rPr>
          <w:rFonts w:ascii="Arial" w:hAnsi="Arial" w:cs="Arial"/>
          <w:sz w:val="24"/>
          <w:szCs w:val="24"/>
        </w:rPr>
        <w:t xml:space="preserve"> the US</w:t>
      </w:r>
      <w:r w:rsidR="00516F19">
        <w:rPr>
          <w:rFonts w:ascii="Arial" w:hAnsi="Arial" w:cs="Arial"/>
          <w:sz w:val="24"/>
          <w:szCs w:val="24"/>
        </w:rPr>
        <w:t>A</w:t>
      </w:r>
      <w:r>
        <w:rPr>
          <w:rFonts w:ascii="Arial" w:hAnsi="Arial" w:cs="Arial"/>
          <w:sz w:val="24"/>
          <w:szCs w:val="24"/>
        </w:rPr>
        <w:t>,</w:t>
      </w:r>
      <w:r w:rsidR="00816819">
        <w:rPr>
          <w:rFonts w:ascii="Arial" w:hAnsi="Arial" w:cs="Arial"/>
          <w:sz w:val="24"/>
          <w:szCs w:val="24"/>
        </w:rPr>
        <w:t xml:space="preserve"> the </w:t>
      </w:r>
      <w:r w:rsidR="00516F19">
        <w:rPr>
          <w:rFonts w:ascii="Arial" w:hAnsi="Arial" w:cs="Arial"/>
          <w:sz w:val="24"/>
          <w:szCs w:val="24"/>
        </w:rPr>
        <w:t>EU</w:t>
      </w:r>
      <w:r w:rsidR="00816819">
        <w:rPr>
          <w:rFonts w:ascii="Arial" w:hAnsi="Arial" w:cs="Arial"/>
          <w:sz w:val="24"/>
          <w:szCs w:val="24"/>
        </w:rPr>
        <w:t xml:space="preserve">, and the </w:t>
      </w:r>
      <w:r w:rsidR="00516F19">
        <w:rPr>
          <w:rFonts w:ascii="Arial" w:hAnsi="Arial" w:cs="Arial"/>
          <w:sz w:val="24"/>
          <w:szCs w:val="24"/>
        </w:rPr>
        <w:t>UK</w:t>
      </w:r>
      <w:r w:rsidR="00816819">
        <w:rPr>
          <w:rFonts w:ascii="Arial" w:hAnsi="Arial" w:cs="Arial"/>
          <w:sz w:val="24"/>
          <w:szCs w:val="24"/>
        </w:rPr>
        <w:t>.</w:t>
      </w:r>
      <w:r w:rsidR="00E8085A">
        <w:rPr>
          <w:rFonts w:ascii="Arial" w:hAnsi="Arial" w:cs="Arial"/>
          <w:sz w:val="24"/>
          <w:szCs w:val="24"/>
        </w:rPr>
        <w:t xml:space="preserve"> </w:t>
      </w:r>
      <w:r w:rsidR="00816819">
        <w:rPr>
          <w:rFonts w:ascii="Arial" w:hAnsi="Arial" w:cs="Arial"/>
          <w:sz w:val="24"/>
          <w:szCs w:val="24"/>
        </w:rPr>
        <w:t>Part one will describe the LIBOR system and the manipulation that took</w:t>
      </w:r>
      <w:r>
        <w:rPr>
          <w:rFonts w:ascii="Arial" w:hAnsi="Arial" w:cs="Arial"/>
          <w:sz w:val="24"/>
          <w:szCs w:val="24"/>
        </w:rPr>
        <w:t xml:space="preserve"> place before p</w:t>
      </w:r>
      <w:r w:rsidR="00816819">
        <w:rPr>
          <w:rFonts w:ascii="Arial" w:hAnsi="Arial" w:cs="Arial"/>
          <w:sz w:val="24"/>
          <w:szCs w:val="24"/>
        </w:rPr>
        <w:t>art two detail</w:t>
      </w:r>
      <w:r>
        <w:rPr>
          <w:rFonts w:ascii="Arial" w:hAnsi="Arial" w:cs="Arial"/>
          <w:sz w:val="24"/>
          <w:szCs w:val="24"/>
        </w:rPr>
        <w:t>s</w:t>
      </w:r>
      <w:r w:rsidR="00816819">
        <w:rPr>
          <w:rFonts w:ascii="Arial" w:hAnsi="Arial" w:cs="Arial"/>
          <w:sz w:val="24"/>
          <w:szCs w:val="24"/>
        </w:rPr>
        <w:t xml:space="preserve"> the competition law requirements for eac</w:t>
      </w:r>
      <w:r w:rsidR="00DA6DCC">
        <w:rPr>
          <w:rFonts w:ascii="Arial" w:hAnsi="Arial" w:cs="Arial"/>
          <w:sz w:val="24"/>
          <w:szCs w:val="24"/>
        </w:rPr>
        <w:t xml:space="preserve">h jurisdiction for enforcements at the public level, both civil and criminal, and at the private level. Part three will document the competition actions in the three jurisdictions </w:t>
      </w:r>
      <w:r>
        <w:rPr>
          <w:rFonts w:ascii="Arial" w:hAnsi="Arial" w:cs="Arial"/>
          <w:sz w:val="24"/>
          <w:szCs w:val="24"/>
        </w:rPr>
        <w:t xml:space="preserve">that have taken place so far. Finally in part four the effectiveness of </w:t>
      </w:r>
      <w:r w:rsidR="00DA6DCC">
        <w:rPr>
          <w:rFonts w:ascii="Arial" w:hAnsi="Arial" w:cs="Arial"/>
          <w:sz w:val="24"/>
          <w:szCs w:val="24"/>
        </w:rPr>
        <w:t>these actions</w:t>
      </w:r>
      <w:r>
        <w:rPr>
          <w:rFonts w:ascii="Arial" w:hAnsi="Arial" w:cs="Arial"/>
          <w:sz w:val="24"/>
          <w:szCs w:val="24"/>
        </w:rPr>
        <w:t xml:space="preserve"> will be examined, identifying</w:t>
      </w:r>
      <w:r w:rsidR="008A22C0">
        <w:rPr>
          <w:rFonts w:ascii="Arial" w:hAnsi="Arial" w:cs="Arial"/>
          <w:sz w:val="24"/>
          <w:szCs w:val="24"/>
        </w:rPr>
        <w:t xml:space="preserve"> problems and solutions for competition regulation of banking practices and questioning the current philosophical basis for competition regulation in general</w:t>
      </w:r>
      <w:r w:rsidR="00DA6DCC">
        <w:rPr>
          <w:rFonts w:ascii="Arial" w:hAnsi="Arial" w:cs="Arial"/>
          <w:sz w:val="24"/>
          <w:szCs w:val="24"/>
        </w:rPr>
        <w:t>.</w:t>
      </w:r>
    </w:p>
    <w:p w14:paraId="1D56B41D" w14:textId="77777777" w:rsidR="009636A5" w:rsidRDefault="009636A5" w:rsidP="00EE0D02">
      <w:pPr>
        <w:jc w:val="both"/>
        <w:rPr>
          <w:rFonts w:ascii="Arial" w:hAnsi="Arial" w:cs="Arial"/>
          <w:sz w:val="24"/>
          <w:szCs w:val="24"/>
        </w:rPr>
      </w:pPr>
    </w:p>
    <w:p w14:paraId="224880DF" w14:textId="7BFD24A3" w:rsidR="009636A5" w:rsidRDefault="00E3775D" w:rsidP="00EE0D02">
      <w:pPr>
        <w:jc w:val="both"/>
        <w:rPr>
          <w:rFonts w:ascii="Arial" w:hAnsi="Arial" w:cs="Arial"/>
          <w:sz w:val="24"/>
          <w:szCs w:val="24"/>
        </w:rPr>
      </w:pPr>
      <w:r>
        <w:rPr>
          <w:rFonts w:ascii="Arial" w:hAnsi="Arial" w:cs="Arial"/>
          <w:sz w:val="24"/>
          <w:szCs w:val="24"/>
          <w:u w:val="single"/>
        </w:rPr>
        <w:t>LIBOR AND MANIP</w:t>
      </w:r>
      <w:r w:rsidR="009636A5">
        <w:rPr>
          <w:rFonts w:ascii="Arial" w:hAnsi="Arial" w:cs="Arial"/>
          <w:sz w:val="24"/>
          <w:szCs w:val="24"/>
          <w:u w:val="single"/>
        </w:rPr>
        <w:t>ULATION</w:t>
      </w:r>
    </w:p>
    <w:p w14:paraId="4886C7A1" w14:textId="77777777" w:rsidR="009636A5" w:rsidRDefault="009636A5" w:rsidP="00EE0D02">
      <w:pPr>
        <w:jc w:val="both"/>
        <w:rPr>
          <w:rFonts w:ascii="Arial" w:hAnsi="Arial" w:cs="Arial"/>
          <w:sz w:val="24"/>
          <w:szCs w:val="24"/>
        </w:rPr>
      </w:pPr>
    </w:p>
    <w:p w14:paraId="75A54147" w14:textId="48661736" w:rsidR="009636A5" w:rsidRDefault="009636A5" w:rsidP="0030693A">
      <w:pPr>
        <w:jc w:val="both"/>
        <w:rPr>
          <w:rFonts w:ascii="Arial" w:hAnsi="Arial" w:cs="Arial"/>
          <w:sz w:val="24"/>
          <w:szCs w:val="24"/>
          <w:lang w:val="en-US"/>
        </w:rPr>
      </w:pPr>
      <w:r>
        <w:rPr>
          <w:rFonts w:ascii="Arial" w:hAnsi="Arial" w:cs="Arial"/>
          <w:sz w:val="24"/>
          <w:szCs w:val="24"/>
        </w:rPr>
        <w:t xml:space="preserve">The LIBOR was established in 1986 </w:t>
      </w:r>
      <w:r w:rsidR="005D6039">
        <w:rPr>
          <w:rFonts w:ascii="Arial" w:hAnsi="Arial" w:cs="Arial"/>
          <w:sz w:val="24"/>
          <w:szCs w:val="24"/>
        </w:rPr>
        <w:t xml:space="preserve">when the British Bankers’ Association </w:t>
      </w:r>
      <w:r w:rsidR="001C18F7">
        <w:rPr>
          <w:rFonts w:ascii="Arial" w:hAnsi="Arial" w:cs="Arial"/>
          <w:sz w:val="24"/>
          <w:szCs w:val="24"/>
        </w:rPr>
        <w:t>(BBA)</w:t>
      </w:r>
      <w:r w:rsidR="009255C0">
        <w:rPr>
          <w:rFonts w:ascii="Arial" w:hAnsi="Arial" w:cs="Arial"/>
          <w:sz w:val="24"/>
          <w:szCs w:val="24"/>
        </w:rPr>
        <w:t>, the trade association of banks,</w:t>
      </w:r>
      <w:r w:rsidR="001C18F7">
        <w:rPr>
          <w:rFonts w:ascii="Arial" w:hAnsi="Arial" w:cs="Arial"/>
          <w:sz w:val="24"/>
          <w:szCs w:val="24"/>
        </w:rPr>
        <w:t xml:space="preserve"> </w:t>
      </w:r>
      <w:r w:rsidR="005D6039">
        <w:rPr>
          <w:rFonts w:ascii="Arial" w:hAnsi="Arial" w:cs="Arial"/>
          <w:sz w:val="24"/>
          <w:szCs w:val="24"/>
        </w:rPr>
        <w:t xml:space="preserve">recognised that banks were trading </w:t>
      </w:r>
      <w:r w:rsidR="0030693A">
        <w:rPr>
          <w:rFonts w:ascii="Arial" w:hAnsi="Arial" w:cs="Arial"/>
          <w:sz w:val="24"/>
          <w:szCs w:val="24"/>
        </w:rPr>
        <w:t xml:space="preserve">with each other </w:t>
      </w:r>
      <w:r w:rsidR="005D6039">
        <w:rPr>
          <w:rFonts w:ascii="Arial" w:hAnsi="Arial" w:cs="Arial"/>
          <w:sz w:val="24"/>
          <w:szCs w:val="24"/>
        </w:rPr>
        <w:t xml:space="preserve">in many new financial instruments without any reference rate against which these trades could be assessed. </w:t>
      </w:r>
      <w:r w:rsidR="00F848D8">
        <w:rPr>
          <w:rFonts w:ascii="Arial" w:hAnsi="Arial" w:cs="Arial"/>
          <w:sz w:val="24"/>
          <w:szCs w:val="24"/>
        </w:rPr>
        <w:t xml:space="preserve">It was considered </w:t>
      </w:r>
      <w:r w:rsidR="0030693A">
        <w:rPr>
          <w:rFonts w:ascii="Arial" w:hAnsi="Arial" w:cs="Arial"/>
          <w:sz w:val="24"/>
          <w:szCs w:val="24"/>
        </w:rPr>
        <w:t>that in a market of floating interest rates</w:t>
      </w:r>
      <w:r w:rsidR="005F1249">
        <w:rPr>
          <w:rFonts w:ascii="Arial" w:hAnsi="Arial" w:cs="Arial"/>
          <w:sz w:val="24"/>
          <w:szCs w:val="24"/>
        </w:rPr>
        <w:t>, the</w:t>
      </w:r>
      <w:r w:rsidR="008A22C0">
        <w:rPr>
          <w:rFonts w:ascii="Arial" w:hAnsi="Arial" w:cs="Arial"/>
          <w:sz w:val="24"/>
          <w:szCs w:val="24"/>
        </w:rPr>
        <w:t xml:space="preserve"> underlying principle of which wa</w:t>
      </w:r>
      <w:r w:rsidR="005F1249">
        <w:rPr>
          <w:rFonts w:ascii="Arial" w:hAnsi="Arial" w:cs="Arial"/>
          <w:sz w:val="24"/>
          <w:szCs w:val="24"/>
        </w:rPr>
        <w:t>s to allow the market to determine the borrowing costs</w:t>
      </w:r>
      <w:r w:rsidR="00E52444">
        <w:rPr>
          <w:rStyle w:val="FootnoteReference"/>
          <w:rFonts w:ascii="Arial" w:hAnsi="Arial" w:cs="Arial"/>
          <w:sz w:val="24"/>
          <w:szCs w:val="24"/>
        </w:rPr>
        <w:footnoteReference w:id="1"/>
      </w:r>
      <w:r w:rsidR="005F1249">
        <w:rPr>
          <w:rFonts w:ascii="Arial" w:hAnsi="Arial" w:cs="Arial"/>
          <w:sz w:val="24"/>
          <w:szCs w:val="24"/>
        </w:rPr>
        <w:t>,</w:t>
      </w:r>
      <w:r w:rsidR="0030693A">
        <w:rPr>
          <w:rFonts w:ascii="Arial" w:hAnsi="Arial" w:cs="Arial"/>
          <w:sz w:val="24"/>
          <w:szCs w:val="24"/>
        </w:rPr>
        <w:t xml:space="preserve"> a benchmark rate would allow banks to trade with one another with relative market certainty thereby ensuring the stability of the global interbank trading system. </w:t>
      </w:r>
      <w:r w:rsidR="005D6039">
        <w:rPr>
          <w:rFonts w:ascii="Arial" w:hAnsi="Arial" w:cs="Arial"/>
          <w:sz w:val="24"/>
          <w:szCs w:val="24"/>
        </w:rPr>
        <w:t xml:space="preserve">LIBOR is the </w:t>
      </w:r>
      <w:r w:rsidR="00F848D8">
        <w:rPr>
          <w:rFonts w:ascii="Arial" w:hAnsi="Arial" w:cs="Arial"/>
          <w:sz w:val="24"/>
          <w:szCs w:val="24"/>
        </w:rPr>
        <w:t xml:space="preserve">benchmark </w:t>
      </w:r>
      <w:r w:rsidR="00F848D8" w:rsidRPr="00F848D8">
        <w:rPr>
          <w:rFonts w:ascii="Arial" w:hAnsi="Arial" w:cs="Arial"/>
          <w:sz w:val="24"/>
          <w:szCs w:val="24"/>
          <w:lang w:val="en-US"/>
        </w:rPr>
        <w:t>interest rate</w:t>
      </w:r>
      <w:r w:rsidR="008A22C0">
        <w:rPr>
          <w:rFonts w:ascii="Arial" w:hAnsi="Arial" w:cs="Arial"/>
          <w:sz w:val="24"/>
          <w:szCs w:val="24"/>
          <w:lang w:val="en-US"/>
        </w:rPr>
        <w:t xml:space="preserve"> as determined in London</w:t>
      </w:r>
      <w:r w:rsidR="0030693A">
        <w:rPr>
          <w:rFonts w:ascii="Arial" w:hAnsi="Arial" w:cs="Arial"/>
          <w:sz w:val="24"/>
          <w:szCs w:val="24"/>
          <w:lang w:val="en-US"/>
        </w:rPr>
        <w:t>, which over time became the average market rate,</w:t>
      </w:r>
      <w:r w:rsidR="00F848D8" w:rsidRPr="00F848D8">
        <w:rPr>
          <w:rFonts w:ascii="Arial" w:hAnsi="Arial" w:cs="Arial"/>
          <w:sz w:val="24"/>
          <w:szCs w:val="24"/>
          <w:lang w:val="en-US"/>
        </w:rPr>
        <w:t xml:space="preserve"> </w:t>
      </w:r>
      <w:r w:rsidR="00F848D8">
        <w:rPr>
          <w:rFonts w:ascii="Arial" w:hAnsi="Arial" w:cs="Arial"/>
          <w:sz w:val="24"/>
          <w:szCs w:val="24"/>
          <w:lang w:val="en-US"/>
        </w:rPr>
        <w:t>against</w:t>
      </w:r>
      <w:r w:rsidR="00F848D8" w:rsidRPr="00F848D8">
        <w:rPr>
          <w:rFonts w:ascii="Arial" w:hAnsi="Arial" w:cs="Arial"/>
          <w:sz w:val="24"/>
          <w:szCs w:val="24"/>
          <w:lang w:val="en-US"/>
        </w:rPr>
        <w:t xml:space="preserve"> which </w:t>
      </w:r>
      <w:r w:rsidR="0030693A" w:rsidRPr="0030693A">
        <w:rPr>
          <w:rFonts w:ascii="Arial" w:hAnsi="Arial" w:cs="Arial"/>
          <w:sz w:val="24"/>
          <w:szCs w:val="24"/>
          <w:lang w:val="en-US"/>
        </w:rPr>
        <w:t>the</w:t>
      </w:r>
      <w:r w:rsidR="0030693A">
        <w:rPr>
          <w:rFonts w:ascii="Arial" w:hAnsi="Arial" w:cs="Arial"/>
          <w:sz w:val="24"/>
          <w:szCs w:val="24"/>
          <w:lang w:val="en-US"/>
        </w:rPr>
        <w:t xml:space="preserve"> </w:t>
      </w:r>
      <w:r w:rsidR="0030693A" w:rsidRPr="0030693A">
        <w:rPr>
          <w:rFonts w:ascii="Arial" w:hAnsi="Arial" w:cs="Arial"/>
          <w:sz w:val="24"/>
          <w:szCs w:val="24"/>
          <w:lang w:val="en-US"/>
        </w:rPr>
        <w:t>largest and ostensibly safest banks in the wo</w:t>
      </w:r>
      <w:r w:rsidR="0030693A">
        <w:rPr>
          <w:rFonts w:ascii="Arial" w:hAnsi="Arial" w:cs="Arial"/>
          <w:sz w:val="24"/>
          <w:szCs w:val="24"/>
          <w:lang w:val="en-US"/>
        </w:rPr>
        <w:t>rld can borrow from</w:t>
      </w:r>
      <w:r w:rsidR="00BB63F0">
        <w:rPr>
          <w:rFonts w:ascii="Arial" w:hAnsi="Arial" w:cs="Arial"/>
          <w:sz w:val="24"/>
          <w:szCs w:val="24"/>
          <w:lang w:val="en-US"/>
        </w:rPr>
        <w:t>,</w:t>
      </w:r>
      <w:r w:rsidR="0030693A">
        <w:rPr>
          <w:rFonts w:ascii="Arial" w:hAnsi="Arial" w:cs="Arial"/>
          <w:sz w:val="24"/>
          <w:szCs w:val="24"/>
          <w:lang w:val="en-US"/>
        </w:rPr>
        <w:t xml:space="preserve"> </w:t>
      </w:r>
      <w:r w:rsidR="005F1249">
        <w:rPr>
          <w:rFonts w:ascii="Arial" w:hAnsi="Arial" w:cs="Arial"/>
          <w:sz w:val="24"/>
          <w:szCs w:val="24"/>
          <w:lang w:val="en-US"/>
        </w:rPr>
        <w:t>or lend to</w:t>
      </w:r>
      <w:r w:rsidR="00BB63F0">
        <w:rPr>
          <w:rFonts w:ascii="Arial" w:hAnsi="Arial" w:cs="Arial"/>
          <w:sz w:val="24"/>
          <w:szCs w:val="24"/>
          <w:lang w:val="en-US"/>
        </w:rPr>
        <w:t>,</w:t>
      </w:r>
      <w:r w:rsidR="005F1249">
        <w:rPr>
          <w:rFonts w:ascii="Arial" w:hAnsi="Arial" w:cs="Arial"/>
          <w:sz w:val="24"/>
          <w:szCs w:val="24"/>
          <w:lang w:val="en-US"/>
        </w:rPr>
        <w:t xml:space="preserve"> each</w:t>
      </w:r>
      <w:r w:rsidR="0030693A">
        <w:rPr>
          <w:rFonts w:ascii="Arial" w:hAnsi="Arial" w:cs="Arial"/>
          <w:sz w:val="24"/>
          <w:szCs w:val="24"/>
          <w:lang w:val="en-US"/>
        </w:rPr>
        <w:t xml:space="preserve"> </w:t>
      </w:r>
      <w:r w:rsidR="00F848D8" w:rsidRPr="00F848D8">
        <w:rPr>
          <w:rFonts w:ascii="Arial" w:hAnsi="Arial" w:cs="Arial"/>
          <w:sz w:val="24"/>
          <w:szCs w:val="24"/>
          <w:lang w:val="en-US"/>
        </w:rPr>
        <w:t xml:space="preserve">other on the </w:t>
      </w:r>
      <w:r w:rsidR="00BB63F0">
        <w:rPr>
          <w:rFonts w:ascii="Arial" w:hAnsi="Arial" w:cs="Arial"/>
          <w:sz w:val="24"/>
          <w:szCs w:val="24"/>
          <w:lang w:val="en-US"/>
        </w:rPr>
        <w:t xml:space="preserve">global </w:t>
      </w:r>
      <w:r w:rsidR="00F848D8" w:rsidRPr="00F848D8">
        <w:rPr>
          <w:rFonts w:ascii="Arial" w:hAnsi="Arial" w:cs="Arial"/>
          <w:sz w:val="24"/>
          <w:szCs w:val="24"/>
          <w:lang w:val="en-US"/>
        </w:rPr>
        <w:t>market.</w:t>
      </w:r>
      <w:r w:rsidR="003A4138">
        <w:rPr>
          <w:rFonts w:ascii="Arial" w:hAnsi="Arial" w:cs="Arial"/>
          <w:sz w:val="24"/>
          <w:szCs w:val="24"/>
          <w:lang w:val="en-US"/>
        </w:rPr>
        <w:t xml:space="preserve"> This London interbank market has enabled banks in need of cash to obtain </w:t>
      </w:r>
      <w:r w:rsidR="003A4138">
        <w:rPr>
          <w:rFonts w:ascii="Arial" w:hAnsi="Arial" w:cs="Arial"/>
          <w:sz w:val="24"/>
          <w:szCs w:val="24"/>
          <w:lang w:val="en-US"/>
        </w:rPr>
        <w:lastRenderedPageBreak/>
        <w:t xml:space="preserve">US Dollar deposits (known as Eurodollar deposits) either overnight or for fixed terms from banks with excess cash. </w:t>
      </w:r>
      <w:r w:rsidR="008A22C0">
        <w:rPr>
          <w:rFonts w:ascii="Arial" w:hAnsi="Arial" w:cs="Arial"/>
          <w:sz w:val="24"/>
          <w:szCs w:val="24"/>
          <w:lang w:val="en-US"/>
        </w:rPr>
        <w:t xml:space="preserve">Consequently </w:t>
      </w:r>
      <w:r w:rsidR="003A4138">
        <w:rPr>
          <w:rFonts w:ascii="Arial" w:hAnsi="Arial" w:cs="Arial"/>
          <w:sz w:val="24"/>
          <w:szCs w:val="24"/>
          <w:lang w:val="en-US"/>
        </w:rPr>
        <w:t>LIBOR</w:t>
      </w:r>
      <w:r w:rsidR="008A22C0">
        <w:rPr>
          <w:rFonts w:ascii="Arial" w:hAnsi="Arial" w:cs="Arial"/>
          <w:sz w:val="24"/>
          <w:szCs w:val="24"/>
          <w:lang w:val="en-US"/>
        </w:rPr>
        <w:t>,</w:t>
      </w:r>
      <w:r w:rsidR="003A4138">
        <w:rPr>
          <w:rFonts w:ascii="Arial" w:hAnsi="Arial" w:cs="Arial"/>
          <w:sz w:val="24"/>
          <w:szCs w:val="24"/>
          <w:lang w:val="en-US"/>
        </w:rPr>
        <w:t xml:space="preserve"> over time</w:t>
      </w:r>
      <w:r w:rsidR="008A22C0">
        <w:rPr>
          <w:rFonts w:ascii="Arial" w:hAnsi="Arial" w:cs="Arial"/>
          <w:sz w:val="24"/>
          <w:szCs w:val="24"/>
          <w:lang w:val="en-US"/>
        </w:rPr>
        <w:t>,</w:t>
      </w:r>
      <w:r w:rsidR="003A4138">
        <w:rPr>
          <w:rFonts w:ascii="Arial" w:hAnsi="Arial" w:cs="Arial"/>
          <w:sz w:val="24"/>
          <w:szCs w:val="24"/>
          <w:lang w:val="en-US"/>
        </w:rPr>
        <w:t xml:space="preserve"> came to be utilised by major banks as a tool to enable large corporate loans to be referenced to a collective interest rate objectively accepted by multiple banks and parties in such deals. </w:t>
      </w:r>
      <w:r w:rsidR="00DB4C6D">
        <w:rPr>
          <w:rFonts w:ascii="Arial" w:hAnsi="Arial" w:cs="Arial"/>
          <w:sz w:val="24"/>
          <w:szCs w:val="24"/>
          <w:lang w:val="en-US"/>
        </w:rPr>
        <w:t>These LIBOR-based interest rates were incorporated into financial contracts, the value of which grew significantly until LIBOR was eventually given the dubious epithet as the “world’s most important number”</w:t>
      </w:r>
      <w:r w:rsidR="00DB4C6D">
        <w:rPr>
          <w:rStyle w:val="FootnoteReference"/>
          <w:rFonts w:ascii="Arial" w:hAnsi="Arial" w:cs="Arial"/>
          <w:sz w:val="24"/>
          <w:szCs w:val="24"/>
          <w:lang w:val="en-US"/>
        </w:rPr>
        <w:footnoteReference w:id="2"/>
      </w:r>
      <w:r w:rsidR="00DB4C6D">
        <w:rPr>
          <w:rFonts w:ascii="Arial" w:hAnsi="Arial" w:cs="Arial"/>
          <w:sz w:val="24"/>
          <w:szCs w:val="24"/>
          <w:lang w:val="en-US"/>
        </w:rPr>
        <w:t>.</w:t>
      </w:r>
    </w:p>
    <w:p w14:paraId="5A4BE604" w14:textId="46D475E9" w:rsidR="00BB63F0" w:rsidRDefault="001C18F7" w:rsidP="000B4995">
      <w:pPr>
        <w:jc w:val="both"/>
        <w:rPr>
          <w:rFonts w:ascii="Arial" w:hAnsi="Arial" w:cs="Arial"/>
          <w:bCs/>
          <w:iCs/>
          <w:sz w:val="24"/>
          <w:szCs w:val="24"/>
          <w:lang w:val="en-US"/>
        </w:rPr>
      </w:pPr>
      <w:r>
        <w:rPr>
          <w:rFonts w:ascii="Arial" w:hAnsi="Arial" w:cs="Arial"/>
          <w:sz w:val="24"/>
          <w:szCs w:val="24"/>
          <w:lang w:val="en-US"/>
        </w:rPr>
        <w:t xml:space="preserve">At the time of the LIBOR scandal the rate was constructed under the umbrella </w:t>
      </w:r>
      <w:r w:rsidR="004F6A9E">
        <w:rPr>
          <w:rFonts w:ascii="Arial" w:hAnsi="Arial" w:cs="Arial"/>
          <w:sz w:val="24"/>
          <w:szCs w:val="24"/>
          <w:lang w:val="en-US"/>
        </w:rPr>
        <w:t xml:space="preserve">and ownership </w:t>
      </w:r>
      <w:r>
        <w:rPr>
          <w:rFonts w:ascii="Arial" w:hAnsi="Arial" w:cs="Arial"/>
          <w:sz w:val="24"/>
          <w:szCs w:val="24"/>
          <w:lang w:val="en-US"/>
        </w:rPr>
        <w:t xml:space="preserve">of the BBA, though </w:t>
      </w:r>
      <w:r w:rsidR="008A22C0">
        <w:rPr>
          <w:rFonts w:ascii="Arial" w:hAnsi="Arial" w:cs="Arial"/>
          <w:sz w:val="24"/>
          <w:szCs w:val="24"/>
          <w:lang w:val="en-US"/>
        </w:rPr>
        <w:t>it was</w:t>
      </w:r>
      <w:r>
        <w:rPr>
          <w:rFonts w:ascii="Arial" w:hAnsi="Arial" w:cs="Arial"/>
          <w:sz w:val="24"/>
          <w:szCs w:val="24"/>
          <w:lang w:val="en-US"/>
        </w:rPr>
        <w:t xml:space="preserve"> Thomson Reuters</w:t>
      </w:r>
      <w:r w:rsidR="008A22C0">
        <w:rPr>
          <w:rFonts w:ascii="Arial" w:hAnsi="Arial" w:cs="Arial"/>
          <w:sz w:val="24"/>
          <w:szCs w:val="24"/>
          <w:lang w:val="en-US"/>
        </w:rPr>
        <w:t xml:space="preserve"> who gathered the information, calculated the rate and published it</w:t>
      </w:r>
      <w:r>
        <w:rPr>
          <w:rFonts w:ascii="Arial" w:hAnsi="Arial" w:cs="Arial"/>
          <w:sz w:val="24"/>
          <w:szCs w:val="24"/>
          <w:lang w:val="en-US"/>
        </w:rPr>
        <w:t xml:space="preserve">. </w:t>
      </w:r>
      <w:r w:rsidR="009A4761">
        <w:rPr>
          <w:rFonts w:ascii="Arial" w:hAnsi="Arial" w:cs="Arial"/>
          <w:sz w:val="24"/>
          <w:szCs w:val="24"/>
          <w:lang w:val="en-US"/>
        </w:rPr>
        <w:t>During the scandal time period, each day LIBOR wa</w:t>
      </w:r>
      <w:r>
        <w:rPr>
          <w:rFonts w:ascii="Arial" w:hAnsi="Arial" w:cs="Arial"/>
          <w:sz w:val="24"/>
          <w:szCs w:val="24"/>
          <w:lang w:val="en-US"/>
        </w:rPr>
        <w:t>s set for fifteen maturities in ten different currencies</w:t>
      </w:r>
      <w:r w:rsidR="009A4761">
        <w:rPr>
          <w:rFonts w:ascii="Arial" w:hAnsi="Arial" w:cs="Arial"/>
          <w:sz w:val="24"/>
          <w:szCs w:val="24"/>
          <w:lang w:val="en-US"/>
        </w:rPr>
        <w:t xml:space="preserve">. </w:t>
      </w:r>
      <w:r w:rsidR="007100DB">
        <w:rPr>
          <w:rFonts w:ascii="Arial" w:hAnsi="Arial" w:cs="Arial"/>
          <w:sz w:val="24"/>
          <w:szCs w:val="24"/>
          <w:lang w:val="en-US"/>
        </w:rPr>
        <w:t xml:space="preserve">Banks were selected by the BBA </w:t>
      </w:r>
      <w:r w:rsidR="006E544E">
        <w:rPr>
          <w:rFonts w:ascii="Arial" w:hAnsi="Arial" w:cs="Arial"/>
          <w:sz w:val="24"/>
          <w:szCs w:val="24"/>
          <w:lang w:val="en-US"/>
        </w:rPr>
        <w:t>to make</w:t>
      </w:r>
      <w:r w:rsidR="00C33D1A">
        <w:rPr>
          <w:rFonts w:ascii="Arial" w:hAnsi="Arial" w:cs="Arial"/>
          <w:sz w:val="24"/>
          <w:szCs w:val="24"/>
          <w:lang w:val="en-US"/>
        </w:rPr>
        <w:t xml:space="preserve"> up</w:t>
      </w:r>
      <w:r w:rsidR="006E544E">
        <w:rPr>
          <w:rFonts w:ascii="Arial" w:hAnsi="Arial" w:cs="Arial"/>
          <w:sz w:val="24"/>
          <w:szCs w:val="24"/>
          <w:lang w:val="en-US"/>
        </w:rPr>
        <w:t xml:space="preserve"> panel</w:t>
      </w:r>
      <w:r w:rsidR="00C33D1A">
        <w:rPr>
          <w:rFonts w:ascii="Arial" w:hAnsi="Arial" w:cs="Arial"/>
          <w:sz w:val="24"/>
          <w:szCs w:val="24"/>
          <w:lang w:val="en-US"/>
        </w:rPr>
        <w:t>s</w:t>
      </w:r>
      <w:r w:rsidR="006E544E">
        <w:rPr>
          <w:rFonts w:ascii="Arial" w:hAnsi="Arial" w:cs="Arial"/>
          <w:sz w:val="24"/>
          <w:szCs w:val="24"/>
          <w:lang w:val="en-US"/>
        </w:rPr>
        <w:t xml:space="preserve"> of banks for each currency</w:t>
      </w:r>
      <w:r w:rsidR="007100DB">
        <w:rPr>
          <w:rFonts w:ascii="Arial" w:hAnsi="Arial" w:cs="Arial"/>
          <w:sz w:val="24"/>
          <w:szCs w:val="24"/>
          <w:lang w:val="en-US"/>
        </w:rPr>
        <w:t xml:space="preserve"> (known as Contributor Banks)</w:t>
      </w:r>
      <w:r w:rsidR="006E544E">
        <w:rPr>
          <w:rFonts w:ascii="Arial" w:hAnsi="Arial" w:cs="Arial"/>
          <w:sz w:val="24"/>
          <w:szCs w:val="24"/>
          <w:lang w:val="en-US"/>
        </w:rPr>
        <w:t xml:space="preserve">, on </w:t>
      </w:r>
      <w:r w:rsidR="00C33D1A">
        <w:rPr>
          <w:rFonts w:ascii="Arial" w:hAnsi="Arial" w:cs="Arial"/>
          <w:sz w:val="24"/>
          <w:szCs w:val="24"/>
          <w:lang w:val="en-US"/>
        </w:rPr>
        <w:t xml:space="preserve">the </w:t>
      </w:r>
      <w:r w:rsidR="007100DB">
        <w:rPr>
          <w:rFonts w:ascii="Arial" w:hAnsi="Arial" w:cs="Arial"/>
          <w:sz w:val="24"/>
          <w:szCs w:val="24"/>
          <w:lang w:val="en-US"/>
        </w:rPr>
        <w:t>basis of the</w:t>
      </w:r>
      <w:r w:rsidR="006E544E" w:rsidRPr="006E544E">
        <w:rPr>
          <w:rFonts w:ascii="Arial" w:hAnsi="Arial" w:cs="Arial"/>
          <w:sz w:val="24"/>
          <w:szCs w:val="24"/>
          <w:lang w:val="en-US"/>
        </w:rPr>
        <w:t xml:space="preserve"> scale of</w:t>
      </w:r>
      <w:r w:rsidR="00C33D1A">
        <w:rPr>
          <w:rFonts w:ascii="Arial" w:hAnsi="Arial" w:cs="Arial"/>
          <w:sz w:val="24"/>
          <w:szCs w:val="24"/>
          <w:lang w:val="en-US"/>
        </w:rPr>
        <w:t xml:space="preserve"> </w:t>
      </w:r>
      <w:r w:rsidR="006E544E" w:rsidRPr="006E544E">
        <w:rPr>
          <w:rFonts w:ascii="Arial" w:hAnsi="Arial" w:cs="Arial"/>
          <w:sz w:val="24"/>
          <w:szCs w:val="24"/>
          <w:lang w:val="en-US"/>
        </w:rPr>
        <w:t>market activity, credit rating, and perceived expe</w:t>
      </w:r>
      <w:r w:rsidR="00C33D1A">
        <w:rPr>
          <w:rFonts w:ascii="Arial" w:hAnsi="Arial" w:cs="Arial"/>
          <w:sz w:val="24"/>
          <w:szCs w:val="24"/>
          <w:lang w:val="en-US"/>
        </w:rPr>
        <w:t>rtise in the</w:t>
      </w:r>
      <w:r w:rsidR="00496EA3">
        <w:rPr>
          <w:rFonts w:ascii="Arial" w:hAnsi="Arial" w:cs="Arial"/>
          <w:sz w:val="24"/>
          <w:szCs w:val="24"/>
          <w:lang w:val="en-US"/>
        </w:rPr>
        <w:t xml:space="preserve"> currency concerned. </w:t>
      </w:r>
      <w:r w:rsidR="000B4995">
        <w:rPr>
          <w:rFonts w:ascii="Arial" w:hAnsi="Arial" w:cs="Arial"/>
          <w:sz w:val="24"/>
          <w:szCs w:val="24"/>
          <w:lang w:val="en-US"/>
        </w:rPr>
        <w:t>Purported r</w:t>
      </w:r>
      <w:r w:rsidR="00193FBF">
        <w:rPr>
          <w:rFonts w:ascii="Arial" w:hAnsi="Arial" w:cs="Arial"/>
          <w:sz w:val="24"/>
          <w:szCs w:val="24"/>
          <w:lang w:val="en-US"/>
        </w:rPr>
        <w:t>ules for the conduct of LIBOR and Contributor Banks were published by the BBA</w:t>
      </w:r>
      <w:r w:rsidR="00193FBF">
        <w:rPr>
          <w:rStyle w:val="FootnoteReference"/>
          <w:rFonts w:ascii="Arial" w:hAnsi="Arial" w:cs="Arial"/>
          <w:sz w:val="24"/>
          <w:szCs w:val="24"/>
          <w:lang w:val="en-US"/>
        </w:rPr>
        <w:footnoteReference w:id="3"/>
      </w:r>
      <w:r w:rsidR="00193FBF">
        <w:rPr>
          <w:rFonts w:ascii="Arial" w:hAnsi="Arial" w:cs="Arial"/>
          <w:sz w:val="24"/>
          <w:szCs w:val="24"/>
          <w:lang w:val="en-US"/>
        </w:rPr>
        <w:t xml:space="preserve">, to which Contributor banks had to agree in order to remain on the LIBOR panels. </w:t>
      </w:r>
      <w:r w:rsidR="00496EA3">
        <w:rPr>
          <w:rFonts w:ascii="Arial" w:hAnsi="Arial" w:cs="Arial"/>
          <w:sz w:val="24"/>
          <w:szCs w:val="24"/>
          <w:lang w:val="en-US"/>
        </w:rPr>
        <w:t xml:space="preserve">Each Contributor Bank </w:t>
      </w:r>
      <w:r w:rsidR="004F6A9E">
        <w:rPr>
          <w:rFonts w:ascii="Arial" w:hAnsi="Arial" w:cs="Arial"/>
          <w:sz w:val="24"/>
          <w:szCs w:val="24"/>
          <w:lang w:val="en-US"/>
        </w:rPr>
        <w:t>had to</w:t>
      </w:r>
      <w:r w:rsidR="007100DB">
        <w:rPr>
          <w:rFonts w:ascii="Arial" w:hAnsi="Arial" w:cs="Arial"/>
          <w:sz w:val="24"/>
          <w:szCs w:val="24"/>
          <w:lang w:val="en-US"/>
        </w:rPr>
        <w:t xml:space="preserve"> </w:t>
      </w:r>
      <w:r w:rsidR="00193FBF">
        <w:rPr>
          <w:rFonts w:ascii="Arial" w:hAnsi="Arial" w:cs="Arial"/>
          <w:sz w:val="24"/>
          <w:szCs w:val="24"/>
          <w:lang w:val="en-US"/>
        </w:rPr>
        <w:t xml:space="preserve">submit its contribution by answering the question, </w:t>
      </w:r>
      <w:r w:rsidR="00193FBF" w:rsidRPr="00193FBF">
        <w:rPr>
          <w:rFonts w:ascii="Arial" w:hAnsi="Arial" w:cs="Arial"/>
          <w:bCs/>
          <w:iCs/>
          <w:sz w:val="24"/>
          <w:szCs w:val="24"/>
          <w:lang w:val="en-US"/>
        </w:rPr>
        <w:t>“At what rate could you borrow funds, were you to do so by asking for and then accepting inter-bank offers in a reasonable market size just prior to 11 am?”</w:t>
      </w:r>
      <w:r w:rsidR="00193FBF">
        <w:rPr>
          <w:rFonts w:ascii="Arial" w:hAnsi="Arial" w:cs="Arial"/>
          <w:bCs/>
          <w:iCs/>
          <w:sz w:val="24"/>
          <w:szCs w:val="24"/>
          <w:lang w:val="en-US"/>
        </w:rPr>
        <w:t xml:space="preserve"> </w:t>
      </w:r>
      <w:r w:rsidR="00F223F9">
        <w:rPr>
          <w:rFonts w:ascii="Arial" w:hAnsi="Arial" w:cs="Arial"/>
          <w:bCs/>
          <w:iCs/>
          <w:sz w:val="24"/>
          <w:szCs w:val="24"/>
          <w:lang w:val="en-US"/>
        </w:rPr>
        <w:t>and</w:t>
      </w:r>
      <w:r w:rsidR="000D36A9">
        <w:rPr>
          <w:rFonts w:ascii="Arial" w:hAnsi="Arial" w:cs="Arial"/>
          <w:bCs/>
          <w:iCs/>
          <w:sz w:val="24"/>
          <w:szCs w:val="24"/>
          <w:lang w:val="en-US"/>
        </w:rPr>
        <w:t xml:space="preserve"> without reference to rates contrib</w:t>
      </w:r>
      <w:r w:rsidR="00F223F9">
        <w:rPr>
          <w:rFonts w:ascii="Arial" w:hAnsi="Arial" w:cs="Arial"/>
          <w:bCs/>
          <w:iCs/>
          <w:sz w:val="24"/>
          <w:szCs w:val="24"/>
          <w:lang w:val="en-US"/>
        </w:rPr>
        <w:t>uted by other Contributor Banks,</w:t>
      </w:r>
      <w:r w:rsidR="000D36A9">
        <w:rPr>
          <w:rFonts w:ascii="Arial" w:hAnsi="Arial" w:cs="Arial"/>
          <w:bCs/>
          <w:iCs/>
          <w:sz w:val="24"/>
          <w:szCs w:val="24"/>
          <w:lang w:val="en-US"/>
        </w:rPr>
        <w:t xml:space="preserve"> </w:t>
      </w:r>
      <w:r w:rsidR="000D36A9" w:rsidRPr="000D36A9">
        <w:rPr>
          <w:rFonts w:ascii="Arial" w:hAnsi="Arial" w:cs="Arial"/>
          <w:bCs/>
          <w:iCs/>
          <w:sz w:val="24"/>
          <w:szCs w:val="24"/>
          <w:lang w:val="en-US"/>
        </w:rPr>
        <w:t>determined by the</w:t>
      </w:r>
      <w:r w:rsidR="000D36A9">
        <w:rPr>
          <w:rFonts w:ascii="Arial" w:hAnsi="Arial" w:cs="Arial"/>
          <w:bCs/>
          <w:iCs/>
          <w:sz w:val="24"/>
          <w:szCs w:val="24"/>
          <w:lang w:val="en-US"/>
        </w:rPr>
        <w:t xml:space="preserve"> </w:t>
      </w:r>
      <w:r w:rsidR="000D36A9" w:rsidRPr="000D36A9">
        <w:rPr>
          <w:rFonts w:ascii="Arial" w:hAnsi="Arial" w:cs="Arial"/>
          <w:bCs/>
          <w:iCs/>
          <w:sz w:val="24"/>
          <w:szCs w:val="24"/>
          <w:lang w:val="en-US"/>
        </w:rPr>
        <w:t>Contributor Bank’s staff primarily responsible for</w:t>
      </w:r>
      <w:r w:rsidR="000B4995">
        <w:rPr>
          <w:rFonts w:ascii="Arial" w:hAnsi="Arial" w:cs="Arial"/>
          <w:bCs/>
          <w:iCs/>
          <w:sz w:val="24"/>
          <w:szCs w:val="24"/>
          <w:lang w:val="en-US"/>
        </w:rPr>
        <w:t xml:space="preserve"> management of that bank’s cash</w:t>
      </w:r>
      <w:r w:rsidR="000D36A9" w:rsidRPr="000D36A9">
        <w:rPr>
          <w:rFonts w:ascii="Arial" w:hAnsi="Arial" w:cs="Arial"/>
          <w:bCs/>
          <w:iCs/>
          <w:sz w:val="24"/>
          <w:szCs w:val="24"/>
          <w:lang w:val="en-US"/>
        </w:rPr>
        <w:t xml:space="preserve"> rather than</w:t>
      </w:r>
      <w:r w:rsidR="000D36A9">
        <w:rPr>
          <w:rFonts w:ascii="Arial" w:hAnsi="Arial" w:cs="Arial"/>
          <w:bCs/>
          <w:iCs/>
          <w:sz w:val="24"/>
          <w:szCs w:val="24"/>
          <w:lang w:val="en-US"/>
        </w:rPr>
        <w:t xml:space="preserve"> </w:t>
      </w:r>
      <w:r w:rsidR="000D36A9" w:rsidRPr="000D36A9">
        <w:rPr>
          <w:rFonts w:ascii="Arial" w:hAnsi="Arial" w:cs="Arial"/>
          <w:bCs/>
          <w:iCs/>
          <w:sz w:val="24"/>
          <w:szCs w:val="24"/>
          <w:lang w:val="en-US"/>
        </w:rPr>
        <w:t>its derivative trading book</w:t>
      </w:r>
      <w:r w:rsidR="00F223F9">
        <w:rPr>
          <w:rFonts w:ascii="Arial" w:hAnsi="Arial" w:cs="Arial"/>
          <w:bCs/>
          <w:iCs/>
          <w:sz w:val="24"/>
          <w:szCs w:val="24"/>
          <w:lang w:val="en-US"/>
        </w:rPr>
        <w:t>,</w:t>
      </w:r>
      <w:r w:rsidR="000D36A9">
        <w:rPr>
          <w:rFonts w:ascii="Arial" w:hAnsi="Arial" w:cs="Arial"/>
          <w:bCs/>
          <w:iCs/>
          <w:sz w:val="24"/>
          <w:szCs w:val="24"/>
          <w:lang w:val="en-US"/>
        </w:rPr>
        <w:t xml:space="preserve"> </w:t>
      </w:r>
      <w:r w:rsidR="000B4995" w:rsidRPr="000B4995">
        <w:rPr>
          <w:rFonts w:ascii="Arial" w:hAnsi="Arial" w:cs="Arial"/>
          <w:bCs/>
          <w:iCs/>
          <w:sz w:val="24"/>
          <w:szCs w:val="24"/>
          <w:lang w:val="en-US"/>
        </w:rPr>
        <w:t>without reference to the pricing of any derivative</w:t>
      </w:r>
      <w:r w:rsidR="000B4995">
        <w:rPr>
          <w:rFonts w:ascii="Arial" w:hAnsi="Arial" w:cs="Arial"/>
          <w:bCs/>
          <w:iCs/>
          <w:sz w:val="24"/>
          <w:szCs w:val="24"/>
          <w:lang w:val="en-US"/>
        </w:rPr>
        <w:t xml:space="preserve"> </w:t>
      </w:r>
      <w:r w:rsidR="00F223F9">
        <w:rPr>
          <w:rFonts w:ascii="Arial" w:hAnsi="Arial" w:cs="Arial"/>
          <w:bCs/>
          <w:iCs/>
          <w:sz w:val="24"/>
          <w:szCs w:val="24"/>
          <w:lang w:val="en-US"/>
        </w:rPr>
        <w:t>financial instrument,</w:t>
      </w:r>
      <w:r w:rsidR="000B4995" w:rsidRPr="000B4995">
        <w:rPr>
          <w:rFonts w:ascii="Arial" w:hAnsi="Arial" w:cs="Arial"/>
          <w:bCs/>
          <w:iCs/>
          <w:sz w:val="24"/>
          <w:szCs w:val="24"/>
          <w:lang w:val="en-US"/>
        </w:rPr>
        <w:t xml:space="preserve"> and</w:t>
      </w:r>
      <w:r w:rsidR="000B4995">
        <w:rPr>
          <w:rFonts w:ascii="Arial" w:hAnsi="Arial" w:cs="Arial"/>
          <w:bCs/>
          <w:iCs/>
          <w:sz w:val="24"/>
          <w:szCs w:val="24"/>
          <w:lang w:val="en-US"/>
        </w:rPr>
        <w:t xml:space="preserve"> that represent</w:t>
      </w:r>
      <w:r w:rsidR="00F223F9">
        <w:rPr>
          <w:rFonts w:ascii="Arial" w:hAnsi="Arial" w:cs="Arial"/>
          <w:bCs/>
          <w:iCs/>
          <w:sz w:val="24"/>
          <w:szCs w:val="24"/>
          <w:lang w:val="en-US"/>
        </w:rPr>
        <w:t>ed</w:t>
      </w:r>
      <w:r w:rsidR="000B4995">
        <w:rPr>
          <w:rFonts w:ascii="Arial" w:hAnsi="Arial" w:cs="Arial"/>
          <w:bCs/>
          <w:iCs/>
          <w:sz w:val="24"/>
          <w:szCs w:val="24"/>
          <w:lang w:val="en-US"/>
        </w:rPr>
        <w:t xml:space="preserve"> the rates it could </w:t>
      </w:r>
      <w:r w:rsidR="000B4995" w:rsidRPr="000B4995">
        <w:rPr>
          <w:rFonts w:ascii="Arial" w:hAnsi="Arial" w:cs="Arial"/>
          <w:bCs/>
          <w:iCs/>
          <w:sz w:val="24"/>
          <w:szCs w:val="24"/>
          <w:lang w:val="en-US"/>
        </w:rPr>
        <w:t>borrow unsecured inter-bank funds in the London money market</w:t>
      </w:r>
      <w:r w:rsidR="00F223F9">
        <w:rPr>
          <w:rStyle w:val="FootnoteReference"/>
          <w:rFonts w:ascii="Arial" w:hAnsi="Arial" w:cs="Arial"/>
          <w:bCs/>
          <w:iCs/>
          <w:sz w:val="24"/>
          <w:szCs w:val="24"/>
          <w:lang w:val="en-US"/>
        </w:rPr>
        <w:footnoteReference w:id="4"/>
      </w:r>
      <w:r w:rsidR="000B4995">
        <w:rPr>
          <w:rFonts w:ascii="Arial" w:hAnsi="Arial" w:cs="Arial"/>
          <w:bCs/>
          <w:iCs/>
          <w:sz w:val="24"/>
          <w:szCs w:val="24"/>
          <w:lang w:val="en-US"/>
        </w:rPr>
        <w:t>.</w:t>
      </w:r>
      <w:r w:rsidR="00E3775D">
        <w:rPr>
          <w:rFonts w:ascii="Arial" w:hAnsi="Arial" w:cs="Arial"/>
          <w:bCs/>
          <w:iCs/>
          <w:sz w:val="24"/>
          <w:szCs w:val="24"/>
          <w:lang w:val="en-US"/>
        </w:rPr>
        <w:t xml:space="preserve"> These rates were tabulated, the top and bottom sections (normally between the top and bottom 15-25%) excluded and the remaining figures averaged to create a mean rate published as the LIBOR fixing at about 1130 each day.</w:t>
      </w:r>
    </w:p>
    <w:p w14:paraId="3FCE0E2B" w14:textId="20239820" w:rsidR="00A00284" w:rsidRDefault="008A22C0" w:rsidP="000B4995">
      <w:pPr>
        <w:jc w:val="both"/>
        <w:rPr>
          <w:rFonts w:ascii="Arial" w:hAnsi="Arial" w:cs="Arial"/>
          <w:bCs/>
          <w:iCs/>
          <w:sz w:val="24"/>
          <w:szCs w:val="24"/>
          <w:lang w:val="en-US"/>
        </w:rPr>
      </w:pPr>
      <w:r>
        <w:rPr>
          <w:rFonts w:ascii="Arial" w:hAnsi="Arial" w:cs="Arial"/>
          <w:bCs/>
          <w:iCs/>
          <w:sz w:val="24"/>
          <w:szCs w:val="24"/>
          <w:lang w:val="en-US"/>
        </w:rPr>
        <w:t>R</w:t>
      </w:r>
      <w:r w:rsidR="00DA62EB">
        <w:rPr>
          <w:rFonts w:ascii="Arial" w:hAnsi="Arial" w:cs="Arial"/>
          <w:bCs/>
          <w:iCs/>
          <w:sz w:val="24"/>
          <w:szCs w:val="24"/>
          <w:lang w:val="en-US"/>
        </w:rPr>
        <w:t xml:space="preserve">egulation of the LIBOR setting process by the BBA and Thompson Reuters was highly limited. As a consequence </w:t>
      </w:r>
      <w:r w:rsidR="00A65D5D">
        <w:rPr>
          <w:rFonts w:ascii="Arial" w:hAnsi="Arial" w:cs="Arial"/>
          <w:bCs/>
          <w:iCs/>
          <w:sz w:val="24"/>
          <w:szCs w:val="24"/>
          <w:lang w:val="en-US"/>
        </w:rPr>
        <w:t xml:space="preserve">LIBOR manipulation could be instigated by </w:t>
      </w:r>
      <w:r w:rsidR="00DA62EB">
        <w:rPr>
          <w:rFonts w:ascii="Arial" w:hAnsi="Arial" w:cs="Arial"/>
          <w:bCs/>
          <w:iCs/>
          <w:sz w:val="24"/>
          <w:szCs w:val="24"/>
          <w:lang w:val="en-US"/>
        </w:rPr>
        <w:t xml:space="preserve">one of </w:t>
      </w:r>
      <w:r w:rsidR="00A65D5D">
        <w:rPr>
          <w:rFonts w:ascii="Arial" w:hAnsi="Arial" w:cs="Arial"/>
          <w:bCs/>
          <w:iCs/>
          <w:sz w:val="24"/>
          <w:szCs w:val="24"/>
          <w:lang w:val="en-US"/>
        </w:rPr>
        <w:t>two different levels of market players</w:t>
      </w:r>
      <w:r w:rsidR="00DA62EB">
        <w:rPr>
          <w:rFonts w:ascii="Arial" w:hAnsi="Arial" w:cs="Arial"/>
          <w:bCs/>
          <w:iCs/>
          <w:sz w:val="24"/>
          <w:szCs w:val="24"/>
          <w:lang w:val="en-US"/>
        </w:rPr>
        <w:t>,</w:t>
      </w:r>
      <w:r w:rsidR="00A65D5D">
        <w:rPr>
          <w:rFonts w:ascii="Arial" w:hAnsi="Arial" w:cs="Arial"/>
          <w:bCs/>
          <w:iCs/>
          <w:sz w:val="24"/>
          <w:szCs w:val="24"/>
          <w:lang w:val="en-US"/>
        </w:rPr>
        <w:t xml:space="preserve"> for two different purposes. The first </w:t>
      </w:r>
      <w:r w:rsidR="00BB540C">
        <w:rPr>
          <w:rFonts w:ascii="Arial" w:hAnsi="Arial" w:cs="Arial"/>
          <w:bCs/>
          <w:iCs/>
          <w:sz w:val="24"/>
          <w:szCs w:val="24"/>
          <w:lang w:val="en-US"/>
        </w:rPr>
        <w:t xml:space="preserve">market player </w:t>
      </w:r>
      <w:r w:rsidR="00A65D5D">
        <w:rPr>
          <w:rFonts w:ascii="Arial" w:hAnsi="Arial" w:cs="Arial"/>
          <w:bCs/>
          <w:iCs/>
          <w:sz w:val="24"/>
          <w:szCs w:val="24"/>
          <w:lang w:val="en-US"/>
        </w:rPr>
        <w:t xml:space="preserve">was at the trader level, where individual traders could collude with other traders for Contributor Banks to submit rates conducive to the individual traders </w:t>
      </w:r>
      <w:r w:rsidR="00A65D5D">
        <w:rPr>
          <w:rFonts w:ascii="Arial" w:hAnsi="Arial" w:cs="Arial"/>
          <w:bCs/>
          <w:iCs/>
          <w:sz w:val="24"/>
          <w:szCs w:val="24"/>
          <w:lang w:val="en-US"/>
        </w:rPr>
        <w:lastRenderedPageBreak/>
        <w:t>stock and trade portfolios</w:t>
      </w:r>
      <w:r w:rsidR="004E20F7">
        <w:rPr>
          <w:rFonts w:ascii="Arial" w:hAnsi="Arial" w:cs="Arial"/>
          <w:bCs/>
          <w:iCs/>
          <w:sz w:val="24"/>
          <w:szCs w:val="24"/>
          <w:lang w:val="en-US"/>
        </w:rPr>
        <w:t xml:space="preserve"> (known as “trader manipulation”</w:t>
      </w:r>
      <w:r w:rsidR="004E20F7">
        <w:rPr>
          <w:rStyle w:val="FootnoteReference"/>
          <w:rFonts w:ascii="Arial" w:hAnsi="Arial" w:cs="Arial"/>
          <w:bCs/>
          <w:iCs/>
          <w:sz w:val="24"/>
          <w:szCs w:val="24"/>
          <w:lang w:val="en-US"/>
        </w:rPr>
        <w:footnoteReference w:id="5"/>
      </w:r>
      <w:r w:rsidR="004E20F7">
        <w:rPr>
          <w:rFonts w:ascii="Arial" w:hAnsi="Arial" w:cs="Arial"/>
          <w:bCs/>
          <w:iCs/>
          <w:sz w:val="24"/>
          <w:szCs w:val="24"/>
          <w:lang w:val="en-US"/>
        </w:rPr>
        <w:t>)</w:t>
      </w:r>
      <w:r w:rsidR="00A65D5D">
        <w:rPr>
          <w:rFonts w:ascii="Arial" w:hAnsi="Arial" w:cs="Arial"/>
          <w:bCs/>
          <w:iCs/>
          <w:sz w:val="24"/>
          <w:szCs w:val="24"/>
          <w:lang w:val="en-US"/>
        </w:rPr>
        <w:t>. The purpose here was to fix prices</w:t>
      </w:r>
      <w:r w:rsidR="00DA62EB">
        <w:rPr>
          <w:rFonts w:ascii="Arial" w:hAnsi="Arial" w:cs="Arial"/>
          <w:bCs/>
          <w:iCs/>
          <w:sz w:val="24"/>
          <w:szCs w:val="24"/>
          <w:lang w:val="en-US"/>
        </w:rPr>
        <w:t xml:space="preserve"> w</w:t>
      </w:r>
      <w:r w:rsidR="001A4FEB">
        <w:rPr>
          <w:rFonts w:ascii="Arial" w:hAnsi="Arial" w:cs="Arial"/>
          <w:bCs/>
          <w:iCs/>
          <w:sz w:val="24"/>
          <w:szCs w:val="24"/>
          <w:lang w:val="en-US"/>
        </w:rPr>
        <w:t xml:space="preserve">ith the sole motivation of profit by seeking to benefit the bank’s trading positions. When the bank was operating alone to manipulate LIBOR then the bank and traders involved benefitted materially by this misconduct at the expense of other traders, banks and market participants. Where the bank colluded with other market operators, profit was </w:t>
      </w:r>
      <w:proofErr w:type="spellStart"/>
      <w:r w:rsidR="001A4FEB">
        <w:rPr>
          <w:rFonts w:ascii="Arial" w:hAnsi="Arial" w:cs="Arial"/>
          <w:bCs/>
          <w:iCs/>
          <w:sz w:val="24"/>
          <w:szCs w:val="24"/>
          <w:lang w:val="en-US"/>
        </w:rPr>
        <w:t>maximised</w:t>
      </w:r>
      <w:proofErr w:type="spellEnd"/>
      <w:r w:rsidR="001A4FEB">
        <w:rPr>
          <w:rFonts w:ascii="Arial" w:hAnsi="Arial" w:cs="Arial"/>
          <w:bCs/>
          <w:iCs/>
          <w:sz w:val="24"/>
          <w:szCs w:val="24"/>
          <w:lang w:val="en-US"/>
        </w:rPr>
        <w:t xml:space="preserve"> at the expense of those banks and traders </w:t>
      </w:r>
      <w:r w:rsidR="004A2D7F">
        <w:rPr>
          <w:rFonts w:ascii="Arial" w:hAnsi="Arial" w:cs="Arial"/>
          <w:bCs/>
          <w:iCs/>
          <w:sz w:val="24"/>
          <w:szCs w:val="24"/>
          <w:lang w:val="en-US"/>
        </w:rPr>
        <w:t xml:space="preserve">that were </w:t>
      </w:r>
      <w:r w:rsidR="001A4FEB">
        <w:rPr>
          <w:rFonts w:ascii="Arial" w:hAnsi="Arial" w:cs="Arial"/>
          <w:bCs/>
          <w:iCs/>
          <w:sz w:val="24"/>
          <w:szCs w:val="24"/>
          <w:lang w:val="en-US"/>
        </w:rPr>
        <w:t xml:space="preserve">not a party to this collusion. </w:t>
      </w:r>
    </w:p>
    <w:p w14:paraId="3973732E" w14:textId="1BD6E08D" w:rsidR="00E3775D" w:rsidRDefault="004A2D7F" w:rsidP="000B4995">
      <w:pPr>
        <w:jc w:val="both"/>
        <w:rPr>
          <w:rFonts w:ascii="Arial" w:hAnsi="Arial" w:cs="Arial"/>
          <w:bCs/>
          <w:iCs/>
          <w:sz w:val="24"/>
          <w:szCs w:val="24"/>
          <w:lang w:val="en-US"/>
        </w:rPr>
      </w:pPr>
      <w:r>
        <w:rPr>
          <w:rFonts w:ascii="Arial" w:hAnsi="Arial" w:cs="Arial"/>
          <w:bCs/>
          <w:iCs/>
          <w:sz w:val="24"/>
          <w:szCs w:val="24"/>
          <w:lang w:val="en-US"/>
        </w:rPr>
        <w:t xml:space="preserve">The second </w:t>
      </w:r>
      <w:r w:rsidR="00BB540C">
        <w:rPr>
          <w:rFonts w:ascii="Arial" w:hAnsi="Arial" w:cs="Arial"/>
          <w:bCs/>
          <w:iCs/>
          <w:sz w:val="24"/>
          <w:szCs w:val="24"/>
          <w:lang w:val="en-US"/>
        </w:rPr>
        <w:t xml:space="preserve">market player </w:t>
      </w:r>
      <w:r>
        <w:rPr>
          <w:rFonts w:ascii="Arial" w:hAnsi="Arial" w:cs="Arial"/>
          <w:bCs/>
          <w:iCs/>
          <w:sz w:val="24"/>
          <w:szCs w:val="24"/>
          <w:lang w:val="en-US"/>
        </w:rPr>
        <w:t>was at more senior management level, where instructions were given to traders to submit artificially lower LIBOR submissions</w:t>
      </w:r>
      <w:r w:rsidR="004E20F7">
        <w:rPr>
          <w:rFonts w:ascii="Arial" w:hAnsi="Arial" w:cs="Arial"/>
          <w:bCs/>
          <w:iCs/>
          <w:sz w:val="24"/>
          <w:szCs w:val="24"/>
          <w:lang w:val="en-US"/>
        </w:rPr>
        <w:t xml:space="preserve"> (known as “lowballing”</w:t>
      </w:r>
      <w:r w:rsidR="004E20F7">
        <w:rPr>
          <w:rStyle w:val="FootnoteReference"/>
          <w:rFonts w:ascii="Arial" w:hAnsi="Arial" w:cs="Arial"/>
          <w:bCs/>
          <w:iCs/>
          <w:sz w:val="24"/>
          <w:szCs w:val="24"/>
          <w:lang w:val="en-US"/>
        </w:rPr>
        <w:footnoteReference w:id="6"/>
      </w:r>
      <w:r w:rsidR="004E20F7">
        <w:rPr>
          <w:rFonts w:ascii="Arial" w:hAnsi="Arial" w:cs="Arial"/>
          <w:bCs/>
          <w:iCs/>
          <w:sz w:val="24"/>
          <w:szCs w:val="24"/>
          <w:lang w:val="en-US"/>
        </w:rPr>
        <w:t>)</w:t>
      </w:r>
      <w:r>
        <w:rPr>
          <w:rFonts w:ascii="Arial" w:hAnsi="Arial" w:cs="Arial"/>
          <w:bCs/>
          <w:iCs/>
          <w:sz w:val="24"/>
          <w:szCs w:val="24"/>
          <w:lang w:val="en-US"/>
        </w:rPr>
        <w:t xml:space="preserve">. </w:t>
      </w:r>
      <w:r w:rsidR="00BB540C">
        <w:rPr>
          <w:rFonts w:ascii="Arial" w:hAnsi="Arial" w:cs="Arial"/>
          <w:bCs/>
          <w:iCs/>
          <w:sz w:val="24"/>
          <w:szCs w:val="24"/>
          <w:lang w:val="en-US"/>
        </w:rPr>
        <w:t xml:space="preserve">The purpose here was to fix prices in order to increase market confidence in the banks and thus either sustain or increase profits. </w:t>
      </w:r>
      <w:r>
        <w:rPr>
          <w:rFonts w:ascii="Arial" w:hAnsi="Arial" w:cs="Arial"/>
          <w:bCs/>
          <w:iCs/>
          <w:sz w:val="24"/>
          <w:szCs w:val="24"/>
          <w:lang w:val="en-US"/>
        </w:rPr>
        <w:t>Liquidity of banks was a central concern during the 2007-2008 financial crisis and it was considered that if a bank over a period of time submitted higher than average assessments for LIBOR then this indicated an issue with liquidity</w:t>
      </w:r>
      <w:r w:rsidR="00A976E6">
        <w:rPr>
          <w:rFonts w:ascii="Arial" w:hAnsi="Arial" w:cs="Arial"/>
          <w:bCs/>
          <w:iCs/>
          <w:sz w:val="24"/>
          <w:szCs w:val="24"/>
          <w:lang w:val="en-US"/>
        </w:rPr>
        <w:t xml:space="preserve"> and an inability to raise funds</w:t>
      </w:r>
      <w:r>
        <w:rPr>
          <w:rFonts w:ascii="Arial" w:hAnsi="Arial" w:cs="Arial"/>
          <w:bCs/>
          <w:iCs/>
          <w:sz w:val="24"/>
          <w:szCs w:val="24"/>
          <w:lang w:val="en-US"/>
        </w:rPr>
        <w:t xml:space="preserve">. This </w:t>
      </w:r>
      <w:r w:rsidR="00A976E6">
        <w:rPr>
          <w:rFonts w:ascii="Arial" w:hAnsi="Arial" w:cs="Arial"/>
          <w:bCs/>
          <w:iCs/>
          <w:sz w:val="24"/>
          <w:szCs w:val="24"/>
          <w:lang w:val="en-US"/>
        </w:rPr>
        <w:t>would then</w:t>
      </w:r>
      <w:r>
        <w:rPr>
          <w:rFonts w:ascii="Arial" w:hAnsi="Arial" w:cs="Arial"/>
          <w:bCs/>
          <w:iCs/>
          <w:sz w:val="24"/>
          <w:szCs w:val="24"/>
          <w:lang w:val="en-US"/>
        </w:rPr>
        <w:t xml:space="preserve"> be reported in the media, undermining confidence in the bank and</w:t>
      </w:r>
      <w:r w:rsidR="00A976E6">
        <w:rPr>
          <w:rFonts w:ascii="Arial" w:hAnsi="Arial" w:cs="Arial"/>
          <w:bCs/>
          <w:iCs/>
          <w:sz w:val="24"/>
          <w:szCs w:val="24"/>
          <w:lang w:val="en-US"/>
        </w:rPr>
        <w:t xml:space="preserve"> its trading position on the market, and thereby</w:t>
      </w:r>
      <w:r>
        <w:rPr>
          <w:rFonts w:ascii="Arial" w:hAnsi="Arial" w:cs="Arial"/>
          <w:bCs/>
          <w:iCs/>
          <w:sz w:val="24"/>
          <w:szCs w:val="24"/>
          <w:lang w:val="en-US"/>
        </w:rPr>
        <w:t xml:space="preserve"> reducing bank profits. </w:t>
      </w:r>
      <w:r w:rsidR="00A00284">
        <w:rPr>
          <w:rFonts w:ascii="Arial" w:hAnsi="Arial" w:cs="Arial"/>
          <w:bCs/>
          <w:iCs/>
          <w:sz w:val="24"/>
          <w:szCs w:val="24"/>
          <w:lang w:val="en-US"/>
        </w:rPr>
        <w:t xml:space="preserve">A further problem could occur if it became clear that some Contributor Banks were submitting higher than expected rates for LIBOR, thereby leading to claims that these banks were afraid to lend to one another, reducing confidence in those banks and diminishing profits. Therefore manipulation of submission rates, and consequently LIBOR itself, </w:t>
      </w:r>
      <w:r w:rsidR="00516F19">
        <w:rPr>
          <w:rFonts w:ascii="Arial" w:hAnsi="Arial" w:cs="Arial"/>
          <w:bCs/>
          <w:iCs/>
          <w:sz w:val="24"/>
          <w:szCs w:val="24"/>
          <w:lang w:val="en-US"/>
        </w:rPr>
        <w:t>through collusion between banks would again fix prices at the expense of other market operators.</w:t>
      </w:r>
    </w:p>
    <w:p w14:paraId="22A5A8A4" w14:textId="77777777" w:rsidR="00516F19" w:rsidRDefault="00516F19" w:rsidP="000B4995">
      <w:pPr>
        <w:jc w:val="both"/>
        <w:rPr>
          <w:rFonts w:ascii="Arial" w:hAnsi="Arial" w:cs="Arial"/>
          <w:bCs/>
          <w:iCs/>
          <w:sz w:val="24"/>
          <w:szCs w:val="24"/>
          <w:lang w:val="en-US"/>
        </w:rPr>
      </w:pPr>
    </w:p>
    <w:p w14:paraId="48436DC6" w14:textId="30AC90F3" w:rsidR="00516F19" w:rsidRDefault="00516F19" w:rsidP="000B4995">
      <w:pPr>
        <w:jc w:val="both"/>
        <w:rPr>
          <w:rFonts w:ascii="Arial" w:hAnsi="Arial" w:cs="Arial"/>
          <w:bCs/>
          <w:iCs/>
          <w:sz w:val="24"/>
          <w:szCs w:val="24"/>
          <w:lang w:val="en-US"/>
        </w:rPr>
      </w:pPr>
      <w:r>
        <w:rPr>
          <w:rFonts w:ascii="Arial" w:hAnsi="Arial" w:cs="Arial"/>
          <w:bCs/>
          <w:iCs/>
          <w:sz w:val="24"/>
          <w:szCs w:val="24"/>
          <w:u w:val="single"/>
          <w:lang w:val="en-US"/>
        </w:rPr>
        <w:t>COMPETITION LAW PROVISIONS AND REGIMES OF THE US, EU &amp; UK</w:t>
      </w:r>
    </w:p>
    <w:p w14:paraId="2E425A24" w14:textId="77777777" w:rsidR="00516F19" w:rsidRDefault="00516F19" w:rsidP="000B4995">
      <w:pPr>
        <w:jc w:val="both"/>
        <w:rPr>
          <w:rFonts w:ascii="Arial" w:hAnsi="Arial" w:cs="Arial"/>
          <w:bCs/>
          <w:iCs/>
          <w:sz w:val="24"/>
          <w:szCs w:val="24"/>
          <w:lang w:val="en-US"/>
        </w:rPr>
      </w:pPr>
    </w:p>
    <w:p w14:paraId="1D714E8D" w14:textId="77777777" w:rsidR="00BB540C" w:rsidRDefault="003A6C7B" w:rsidP="003A6C7B">
      <w:pPr>
        <w:jc w:val="both"/>
        <w:rPr>
          <w:rFonts w:ascii="Arial" w:hAnsi="Arial" w:cs="Arial"/>
          <w:sz w:val="24"/>
          <w:szCs w:val="24"/>
        </w:rPr>
      </w:pPr>
      <w:r>
        <w:rPr>
          <w:rFonts w:ascii="Arial" w:hAnsi="Arial" w:cs="Arial"/>
          <w:sz w:val="24"/>
          <w:szCs w:val="24"/>
        </w:rPr>
        <w:t>Competition</w:t>
      </w:r>
      <w:r w:rsidR="009F4EC6">
        <w:rPr>
          <w:rFonts w:ascii="Arial" w:hAnsi="Arial" w:cs="Arial"/>
          <w:sz w:val="24"/>
          <w:szCs w:val="24"/>
        </w:rPr>
        <w:t xml:space="preserve"> law</w:t>
      </w:r>
      <w:r>
        <w:rPr>
          <w:rFonts w:ascii="Arial" w:hAnsi="Arial" w:cs="Arial"/>
          <w:sz w:val="24"/>
          <w:szCs w:val="24"/>
        </w:rPr>
        <w:t xml:space="preserve"> is a relatively simple concept</w:t>
      </w:r>
      <w:r>
        <w:rPr>
          <w:rStyle w:val="FootnoteReference"/>
          <w:rFonts w:ascii="Arial" w:hAnsi="Arial" w:cs="Arial"/>
          <w:sz w:val="24"/>
          <w:szCs w:val="24"/>
        </w:rPr>
        <w:footnoteReference w:id="7"/>
      </w:r>
      <w:r w:rsidR="009F4EC6">
        <w:rPr>
          <w:rFonts w:ascii="Arial" w:hAnsi="Arial" w:cs="Arial"/>
          <w:sz w:val="24"/>
          <w:szCs w:val="24"/>
        </w:rPr>
        <w:t xml:space="preserve">, although the policy that underpins it is more complex and </w:t>
      </w:r>
      <w:r w:rsidR="002E0C1B">
        <w:rPr>
          <w:rFonts w:ascii="Arial" w:hAnsi="Arial" w:cs="Arial"/>
          <w:sz w:val="24"/>
          <w:szCs w:val="24"/>
        </w:rPr>
        <w:t>vague</w:t>
      </w:r>
      <w:r>
        <w:rPr>
          <w:rFonts w:ascii="Arial" w:hAnsi="Arial" w:cs="Arial"/>
          <w:sz w:val="24"/>
          <w:szCs w:val="24"/>
        </w:rPr>
        <w:t>. In a perfectly competitive market there are a large number of buyers and sellers with perfect information, producing homogenous goods and services, and with no barriers to entry or exit to or from the market</w:t>
      </w:r>
      <w:r>
        <w:rPr>
          <w:rStyle w:val="FootnoteReference"/>
          <w:rFonts w:ascii="Arial" w:hAnsi="Arial" w:cs="Arial"/>
          <w:sz w:val="24"/>
          <w:szCs w:val="24"/>
        </w:rPr>
        <w:footnoteReference w:id="8"/>
      </w:r>
      <w:r>
        <w:rPr>
          <w:rFonts w:ascii="Arial" w:hAnsi="Arial" w:cs="Arial"/>
          <w:sz w:val="24"/>
          <w:szCs w:val="24"/>
        </w:rPr>
        <w:t>. The market under perfect competition provides optimum allocative and productive efficiency</w:t>
      </w:r>
      <w:r>
        <w:rPr>
          <w:rStyle w:val="FootnoteReference"/>
          <w:rFonts w:ascii="Arial" w:hAnsi="Arial" w:cs="Arial"/>
          <w:sz w:val="24"/>
          <w:szCs w:val="24"/>
        </w:rPr>
        <w:footnoteReference w:id="9"/>
      </w:r>
      <w:r>
        <w:rPr>
          <w:rFonts w:ascii="Arial" w:hAnsi="Arial" w:cs="Arial"/>
          <w:sz w:val="24"/>
          <w:szCs w:val="24"/>
        </w:rPr>
        <w:t xml:space="preserve">, with consumer welfare maximised, a measure aimed specifically at the limited group classified as consumers rather than the wider society in general. </w:t>
      </w:r>
    </w:p>
    <w:p w14:paraId="4288D7F7" w14:textId="1EDF3C16" w:rsidR="00516F19" w:rsidRDefault="003A6C7B" w:rsidP="003A6C7B">
      <w:pPr>
        <w:jc w:val="both"/>
        <w:rPr>
          <w:rFonts w:ascii="Arial" w:hAnsi="Arial" w:cs="Arial"/>
          <w:sz w:val="24"/>
          <w:szCs w:val="24"/>
        </w:rPr>
      </w:pPr>
      <w:r>
        <w:rPr>
          <w:rFonts w:ascii="Arial" w:hAnsi="Arial" w:cs="Arial"/>
          <w:sz w:val="24"/>
          <w:szCs w:val="24"/>
        </w:rPr>
        <w:lastRenderedPageBreak/>
        <w:t>Unfortunately perfect competition and the resultant perfect market are for the most part illusions, never to occur in the real world. The assumptions are theoretical and unlikely to be replicated in the practical world</w:t>
      </w:r>
      <w:r w:rsidR="00305780">
        <w:rPr>
          <w:rStyle w:val="FootnoteReference"/>
          <w:rFonts w:ascii="Arial" w:hAnsi="Arial" w:cs="Arial"/>
          <w:sz w:val="24"/>
          <w:szCs w:val="24"/>
        </w:rPr>
        <w:footnoteReference w:id="10"/>
      </w:r>
      <w:r w:rsidR="00305780">
        <w:rPr>
          <w:rFonts w:ascii="Arial" w:hAnsi="Arial" w:cs="Arial"/>
          <w:sz w:val="24"/>
          <w:szCs w:val="24"/>
        </w:rPr>
        <w:t>, where human intervention and behaviour can lead to distortions in competitive conditions leading to market failure and imbalance, and subsequently concerns over fairness and harm to consumer welfare</w:t>
      </w:r>
      <w:r>
        <w:rPr>
          <w:rFonts w:ascii="Arial" w:hAnsi="Arial" w:cs="Arial"/>
          <w:sz w:val="24"/>
          <w:szCs w:val="24"/>
        </w:rPr>
        <w:t>. It is at this point of failure of the market that the law steps in.</w:t>
      </w:r>
      <w:r w:rsidR="00305780">
        <w:rPr>
          <w:rFonts w:ascii="Arial" w:hAnsi="Arial" w:cs="Arial"/>
          <w:sz w:val="24"/>
          <w:szCs w:val="24"/>
        </w:rPr>
        <w:t xml:space="preserve"> The result of leaving the market to function devoid of legal and regulatory control is clearly demonstrated by the “Robber Barons”</w:t>
      </w:r>
      <w:r w:rsidR="00305780">
        <w:rPr>
          <w:rStyle w:val="FootnoteReference"/>
          <w:rFonts w:ascii="Arial" w:hAnsi="Arial" w:cs="Arial"/>
          <w:sz w:val="24"/>
          <w:szCs w:val="24"/>
        </w:rPr>
        <w:footnoteReference w:id="11"/>
      </w:r>
      <w:r w:rsidR="00305780">
        <w:rPr>
          <w:rFonts w:ascii="Arial" w:hAnsi="Arial" w:cs="Arial"/>
          <w:sz w:val="24"/>
          <w:szCs w:val="24"/>
        </w:rPr>
        <w:t xml:space="preserve"> of the nineteenth century that led to the adoption of the Sherman Act in the USA.</w:t>
      </w:r>
    </w:p>
    <w:p w14:paraId="4E927D8E" w14:textId="15A51C7E" w:rsidR="00305780" w:rsidRDefault="00305780" w:rsidP="003A6C7B">
      <w:pPr>
        <w:jc w:val="both"/>
        <w:rPr>
          <w:rFonts w:ascii="Arial" w:hAnsi="Arial" w:cs="Arial"/>
          <w:sz w:val="24"/>
          <w:szCs w:val="24"/>
        </w:rPr>
      </w:pPr>
      <w:r>
        <w:rPr>
          <w:rFonts w:ascii="Arial" w:hAnsi="Arial" w:cs="Arial"/>
          <w:sz w:val="24"/>
          <w:szCs w:val="24"/>
        </w:rPr>
        <w:t xml:space="preserve">There are three possibilities for the law to regulate competition through legal regimes and enforcement: civil public; </w:t>
      </w:r>
      <w:r w:rsidR="00F64554">
        <w:rPr>
          <w:rFonts w:ascii="Arial" w:hAnsi="Arial" w:cs="Arial"/>
          <w:sz w:val="24"/>
          <w:szCs w:val="24"/>
        </w:rPr>
        <w:t>criminal public</w:t>
      </w:r>
      <w:proofErr w:type="gramStart"/>
      <w:r>
        <w:rPr>
          <w:rFonts w:ascii="Arial" w:hAnsi="Arial" w:cs="Arial"/>
          <w:sz w:val="24"/>
          <w:szCs w:val="24"/>
        </w:rPr>
        <w:t>;</w:t>
      </w:r>
      <w:proofErr w:type="gramEnd"/>
      <w:r>
        <w:rPr>
          <w:rFonts w:ascii="Arial" w:hAnsi="Arial" w:cs="Arial"/>
          <w:sz w:val="24"/>
          <w:szCs w:val="24"/>
        </w:rPr>
        <w:t xml:space="preserve"> and,</w:t>
      </w:r>
      <w:r w:rsidR="00F64554" w:rsidRPr="00F64554">
        <w:rPr>
          <w:rFonts w:ascii="Arial" w:hAnsi="Arial" w:cs="Arial"/>
          <w:sz w:val="24"/>
          <w:szCs w:val="24"/>
        </w:rPr>
        <w:t xml:space="preserve"> </w:t>
      </w:r>
      <w:r w:rsidR="00F64554">
        <w:rPr>
          <w:rFonts w:ascii="Arial" w:hAnsi="Arial" w:cs="Arial"/>
          <w:sz w:val="24"/>
          <w:szCs w:val="24"/>
        </w:rPr>
        <w:t>civil private</w:t>
      </w:r>
      <w:r>
        <w:rPr>
          <w:rFonts w:ascii="Arial" w:hAnsi="Arial" w:cs="Arial"/>
          <w:sz w:val="24"/>
          <w:szCs w:val="24"/>
        </w:rPr>
        <w:t>.</w:t>
      </w:r>
    </w:p>
    <w:p w14:paraId="188031B2" w14:textId="77777777" w:rsidR="00D87577" w:rsidRDefault="00D87577" w:rsidP="003A6C7B">
      <w:pPr>
        <w:jc w:val="both"/>
        <w:rPr>
          <w:rFonts w:ascii="Arial" w:hAnsi="Arial" w:cs="Arial"/>
          <w:sz w:val="24"/>
          <w:szCs w:val="24"/>
        </w:rPr>
      </w:pPr>
    </w:p>
    <w:p w14:paraId="6467B699" w14:textId="47752F27" w:rsidR="00303971" w:rsidRPr="00303971" w:rsidRDefault="00303971" w:rsidP="00303971">
      <w:pPr>
        <w:pStyle w:val="ListParagraph"/>
        <w:numPr>
          <w:ilvl w:val="0"/>
          <w:numId w:val="1"/>
        </w:numPr>
        <w:jc w:val="both"/>
        <w:rPr>
          <w:rFonts w:ascii="Arial" w:hAnsi="Arial" w:cs="Arial"/>
          <w:sz w:val="24"/>
          <w:szCs w:val="24"/>
        </w:rPr>
      </w:pPr>
      <w:r w:rsidRPr="00303971">
        <w:rPr>
          <w:rFonts w:ascii="Arial" w:hAnsi="Arial" w:cs="Arial"/>
          <w:sz w:val="24"/>
          <w:szCs w:val="24"/>
        </w:rPr>
        <w:t>The USA</w:t>
      </w:r>
    </w:p>
    <w:p w14:paraId="7A42C00C" w14:textId="6DCE87FD" w:rsidR="00F64554" w:rsidRDefault="00F64554" w:rsidP="00F64554">
      <w:pPr>
        <w:ind w:left="720"/>
        <w:jc w:val="both"/>
        <w:rPr>
          <w:rFonts w:ascii="Arial" w:hAnsi="Arial" w:cs="Arial"/>
          <w:bCs/>
          <w:iCs/>
          <w:sz w:val="24"/>
          <w:szCs w:val="24"/>
          <w:lang w:val="en-US"/>
        </w:rPr>
      </w:pPr>
      <w:r>
        <w:rPr>
          <w:rFonts w:ascii="Arial" w:hAnsi="Arial" w:cs="Arial"/>
          <w:bCs/>
          <w:iCs/>
          <w:sz w:val="24"/>
          <w:szCs w:val="24"/>
          <w:lang w:val="en-US"/>
        </w:rPr>
        <w:t>a.</w:t>
      </w:r>
      <w:r>
        <w:rPr>
          <w:rFonts w:ascii="Arial" w:hAnsi="Arial" w:cs="Arial"/>
          <w:bCs/>
          <w:iCs/>
          <w:sz w:val="24"/>
          <w:szCs w:val="24"/>
          <w:lang w:val="en-US"/>
        </w:rPr>
        <w:tab/>
        <w:t>Civil Public Enforcement</w:t>
      </w:r>
    </w:p>
    <w:p w14:paraId="6ACABDD7" w14:textId="58EEFCE7" w:rsidR="00647FCE" w:rsidRPr="00A226F8" w:rsidRDefault="00303971" w:rsidP="00303971">
      <w:pPr>
        <w:jc w:val="both"/>
        <w:rPr>
          <w:rFonts w:ascii="Arial" w:hAnsi="Arial" w:cs="Arial"/>
          <w:bCs/>
          <w:iCs/>
          <w:sz w:val="24"/>
          <w:szCs w:val="24"/>
        </w:rPr>
      </w:pPr>
      <w:r w:rsidRPr="00A226F8">
        <w:rPr>
          <w:rFonts w:ascii="Arial" w:hAnsi="Arial" w:cs="Arial"/>
          <w:bCs/>
          <w:iCs/>
          <w:sz w:val="24"/>
          <w:szCs w:val="24"/>
          <w:lang w:val="en-US"/>
        </w:rPr>
        <w:t>In the USA the principle legislative instrumen</w:t>
      </w:r>
      <w:r w:rsidR="00CB1544">
        <w:rPr>
          <w:rFonts w:ascii="Arial" w:hAnsi="Arial" w:cs="Arial"/>
          <w:bCs/>
          <w:iCs/>
          <w:sz w:val="24"/>
          <w:szCs w:val="24"/>
          <w:lang w:val="en-US"/>
        </w:rPr>
        <w:t>t dealing with price-</w:t>
      </w:r>
      <w:r w:rsidR="00606FA1" w:rsidRPr="00A226F8">
        <w:rPr>
          <w:rFonts w:ascii="Arial" w:hAnsi="Arial" w:cs="Arial"/>
          <w:bCs/>
          <w:iCs/>
          <w:sz w:val="24"/>
          <w:szCs w:val="24"/>
          <w:lang w:val="en-US"/>
        </w:rPr>
        <w:t>fixing is S</w:t>
      </w:r>
      <w:r w:rsidRPr="00A226F8">
        <w:rPr>
          <w:rFonts w:ascii="Arial" w:hAnsi="Arial" w:cs="Arial"/>
          <w:bCs/>
          <w:iCs/>
          <w:sz w:val="24"/>
          <w:szCs w:val="24"/>
          <w:lang w:val="en-US"/>
        </w:rPr>
        <w:t>ection 1 of the Sherman Act 1890, which states, “</w:t>
      </w:r>
      <w:r w:rsidRPr="00A226F8">
        <w:rPr>
          <w:rFonts w:ascii="Arial" w:hAnsi="Arial" w:cs="Arial"/>
          <w:bCs/>
          <w:iCs/>
          <w:sz w:val="24"/>
          <w:szCs w:val="24"/>
        </w:rPr>
        <w:t xml:space="preserve">Every contract, combination in the form of trust or otherwise, or conspiracy, in restraint of trade or commerce among the several States, or with foreign nations, is declared to be illegal.” </w:t>
      </w:r>
      <w:r w:rsidR="00E6443E" w:rsidRPr="00A226F8">
        <w:rPr>
          <w:rFonts w:ascii="Arial" w:hAnsi="Arial" w:cs="Arial"/>
          <w:bCs/>
          <w:iCs/>
          <w:sz w:val="24"/>
          <w:szCs w:val="24"/>
        </w:rPr>
        <w:t xml:space="preserve">To establish infringement </w:t>
      </w:r>
      <w:r w:rsidR="00BB540C">
        <w:rPr>
          <w:rFonts w:ascii="Arial" w:hAnsi="Arial" w:cs="Arial"/>
          <w:bCs/>
          <w:iCs/>
          <w:sz w:val="24"/>
          <w:szCs w:val="24"/>
        </w:rPr>
        <w:t>four element must be proved</w:t>
      </w:r>
      <w:r w:rsidR="00E6443E" w:rsidRPr="00A226F8">
        <w:rPr>
          <w:rFonts w:ascii="Arial" w:hAnsi="Arial" w:cs="Arial"/>
          <w:bCs/>
          <w:iCs/>
          <w:sz w:val="24"/>
          <w:szCs w:val="24"/>
        </w:rPr>
        <w:t>: an agreement; between separate parties; an unreasonable restraint of trade; and, that operate</w:t>
      </w:r>
      <w:r w:rsidR="00F64554" w:rsidRPr="00A226F8">
        <w:rPr>
          <w:rFonts w:ascii="Arial" w:hAnsi="Arial" w:cs="Arial"/>
          <w:bCs/>
          <w:iCs/>
          <w:sz w:val="24"/>
          <w:szCs w:val="24"/>
        </w:rPr>
        <w:t>s inter rather than intras</w:t>
      </w:r>
      <w:r w:rsidR="00E6443E" w:rsidRPr="00A226F8">
        <w:rPr>
          <w:rFonts w:ascii="Arial" w:hAnsi="Arial" w:cs="Arial"/>
          <w:bCs/>
          <w:iCs/>
          <w:sz w:val="24"/>
          <w:szCs w:val="24"/>
        </w:rPr>
        <w:t>tate.</w:t>
      </w:r>
      <w:r w:rsidR="00606FA1" w:rsidRPr="00A226F8">
        <w:rPr>
          <w:rFonts w:ascii="Arial" w:hAnsi="Arial" w:cs="Arial"/>
          <w:bCs/>
          <w:iCs/>
          <w:sz w:val="24"/>
          <w:szCs w:val="24"/>
        </w:rPr>
        <w:t xml:space="preserve"> </w:t>
      </w:r>
      <w:r w:rsidR="00B02FF3">
        <w:rPr>
          <w:rFonts w:ascii="Arial" w:hAnsi="Arial" w:cs="Arial"/>
          <w:bCs/>
          <w:iCs/>
          <w:sz w:val="24"/>
          <w:szCs w:val="24"/>
        </w:rPr>
        <w:t xml:space="preserve">The Antitrust Division of the Department of Justice </w:t>
      </w:r>
      <w:r w:rsidR="002407B6">
        <w:rPr>
          <w:rFonts w:ascii="Arial" w:hAnsi="Arial" w:cs="Arial"/>
          <w:bCs/>
          <w:iCs/>
          <w:sz w:val="24"/>
          <w:szCs w:val="24"/>
        </w:rPr>
        <w:t xml:space="preserve">(DoJ (AD)) </w:t>
      </w:r>
      <w:r w:rsidR="00B02FF3">
        <w:rPr>
          <w:rFonts w:ascii="Arial" w:hAnsi="Arial" w:cs="Arial"/>
          <w:bCs/>
          <w:iCs/>
          <w:sz w:val="24"/>
          <w:szCs w:val="24"/>
        </w:rPr>
        <w:t xml:space="preserve">has exclusive jurisdiction to enforce Section 1 of the Sherman Act, although the Federal Trade Commission </w:t>
      </w:r>
      <w:r w:rsidR="002407B6">
        <w:rPr>
          <w:rFonts w:ascii="Arial" w:hAnsi="Arial" w:cs="Arial"/>
          <w:bCs/>
          <w:iCs/>
          <w:sz w:val="24"/>
          <w:szCs w:val="24"/>
        </w:rPr>
        <w:t xml:space="preserve">(FTC) </w:t>
      </w:r>
      <w:r w:rsidR="00B02FF3">
        <w:rPr>
          <w:rFonts w:ascii="Arial" w:hAnsi="Arial" w:cs="Arial"/>
          <w:bCs/>
          <w:iCs/>
          <w:sz w:val="24"/>
          <w:szCs w:val="24"/>
        </w:rPr>
        <w:t xml:space="preserve">can investigate </w:t>
      </w:r>
      <w:r w:rsidR="00947773">
        <w:rPr>
          <w:rFonts w:ascii="Arial" w:hAnsi="Arial" w:cs="Arial"/>
          <w:bCs/>
          <w:iCs/>
          <w:sz w:val="24"/>
          <w:szCs w:val="24"/>
        </w:rPr>
        <w:t>non-hard core cartel violations under Section 5 of the Federal Trade Commission Act</w:t>
      </w:r>
      <w:r w:rsidR="002407B6">
        <w:rPr>
          <w:rFonts w:ascii="Arial" w:hAnsi="Arial" w:cs="Arial"/>
          <w:bCs/>
          <w:iCs/>
          <w:sz w:val="24"/>
          <w:szCs w:val="24"/>
        </w:rPr>
        <w:t xml:space="preserve"> 1914</w:t>
      </w:r>
      <w:r w:rsidR="002407B6">
        <w:rPr>
          <w:rStyle w:val="FootnoteReference"/>
          <w:rFonts w:ascii="Arial" w:hAnsi="Arial" w:cs="Arial"/>
          <w:bCs/>
          <w:iCs/>
          <w:sz w:val="24"/>
          <w:szCs w:val="24"/>
        </w:rPr>
        <w:footnoteReference w:id="12"/>
      </w:r>
      <w:r w:rsidR="002407B6">
        <w:rPr>
          <w:rFonts w:ascii="Arial" w:hAnsi="Arial" w:cs="Arial"/>
          <w:bCs/>
          <w:iCs/>
          <w:sz w:val="24"/>
          <w:szCs w:val="24"/>
        </w:rPr>
        <w:t>.</w:t>
      </w:r>
    </w:p>
    <w:p w14:paraId="34CBEE41" w14:textId="51C1789E" w:rsidR="00700579" w:rsidRPr="00A226F8" w:rsidRDefault="00606FA1" w:rsidP="00303971">
      <w:pPr>
        <w:jc w:val="both"/>
        <w:rPr>
          <w:rFonts w:ascii="Arial" w:hAnsi="Arial" w:cs="Arial"/>
          <w:bCs/>
          <w:iCs/>
          <w:sz w:val="24"/>
          <w:szCs w:val="24"/>
        </w:rPr>
      </w:pPr>
      <w:r w:rsidRPr="00A226F8">
        <w:rPr>
          <w:rFonts w:ascii="Arial" w:hAnsi="Arial" w:cs="Arial"/>
          <w:bCs/>
          <w:iCs/>
          <w:sz w:val="24"/>
          <w:szCs w:val="24"/>
        </w:rPr>
        <w:t>The most important element of any Section 1 infringement is the establishment of an agreement</w:t>
      </w:r>
      <w:r w:rsidRPr="00A226F8">
        <w:rPr>
          <w:rStyle w:val="FootnoteReference"/>
          <w:rFonts w:ascii="Arial" w:hAnsi="Arial" w:cs="Arial"/>
          <w:bCs/>
          <w:iCs/>
          <w:sz w:val="24"/>
          <w:szCs w:val="24"/>
        </w:rPr>
        <w:footnoteReference w:id="13"/>
      </w:r>
      <w:r w:rsidRPr="00A226F8">
        <w:rPr>
          <w:rFonts w:ascii="Arial" w:hAnsi="Arial" w:cs="Arial"/>
          <w:bCs/>
          <w:iCs/>
          <w:sz w:val="24"/>
          <w:szCs w:val="24"/>
        </w:rPr>
        <w:t xml:space="preserve">. This can be </w:t>
      </w:r>
      <w:proofErr w:type="gramStart"/>
      <w:r w:rsidRPr="00A226F8">
        <w:rPr>
          <w:rFonts w:ascii="Arial" w:hAnsi="Arial" w:cs="Arial"/>
          <w:bCs/>
          <w:iCs/>
          <w:sz w:val="24"/>
          <w:szCs w:val="24"/>
        </w:rPr>
        <w:t>formed either</w:t>
      </w:r>
      <w:proofErr w:type="gramEnd"/>
      <w:r w:rsidRPr="00A226F8">
        <w:rPr>
          <w:rFonts w:ascii="Arial" w:hAnsi="Arial" w:cs="Arial"/>
          <w:bCs/>
          <w:iCs/>
          <w:sz w:val="24"/>
          <w:szCs w:val="24"/>
        </w:rPr>
        <w:t xml:space="preserve"> horizontally, between competitors, or vertically, between companies operating on different levels of </w:t>
      </w:r>
      <w:r w:rsidR="00BB540C">
        <w:rPr>
          <w:rFonts w:ascii="Arial" w:hAnsi="Arial" w:cs="Arial"/>
          <w:bCs/>
          <w:iCs/>
          <w:sz w:val="24"/>
          <w:szCs w:val="24"/>
        </w:rPr>
        <w:t>economic activity</w:t>
      </w:r>
      <w:r w:rsidRPr="00A226F8">
        <w:rPr>
          <w:rFonts w:ascii="Arial" w:hAnsi="Arial" w:cs="Arial"/>
          <w:bCs/>
          <w:iCs/>
          <w:sz w:val="24"/>
          <w:szCs w:val="24"/>
        </w:rPr>
        <w:t>.</w:t>
      </w:r>
      <w:r w:rsidR="00173435" w:rsidRPr="00A226F8">
        <w:rPr>
          <w:rFonts w:ascii="Arial" w:hAnsi="Arial" w:cs="Arial"/>
          <w:bCs/>
          <w:iCs/>
          <w:sz w:val="24"/>
          <w:szCs w:val="24"/>
        </w:rPr>
        <w:t xml:space="preserve"> At the horizontal level</w:t>
      </w:r>
      <w:r w:rsidR="00E060CE" w:rsidRPr="00A226F8">
        <w:rPr>
          <w:rFonts w:ascii="Arial" w:hAnsi="Arial" w:cs="Arial"/>
          <w:bCs/>
          <w:iCs/>
          <w:sz w:val="24"/>
          <w:szCs w:val="24"/>
        </w:rPr>
        <w:t>, it must be established that there was a meeting of minds between the</w:t>
      </w:r>
      <w:r w:rsidR="00700579" w:rsidRPr="00A226F8">
        <w:rPr>
          <w:rFonts w:ascii="Arial" w:hAnsi="Arial" w:cs="Arial"/>
          <w:bCs/>
          <w:iCs/>
          <w:sz w:val="24"/>
          <w:szCs w:val="24"/>
        </w:rPr>
        <w:t xml:space="preserve"> parties</w:t>
      </w:r>
      <w:r w:rsidR="00700579" w:rsidRPr="00A226F8">
        <w:rPr>
          <w:rStyle w:val="FootnoteReference"/>
          <w:rFonts w:ascii="Arial" w:hAnsi="Arial" w:cs="Arial"/>
          <w:bCs/>
          <w:iCs/>
          <w:sz w:val="24"/>
          <w:szCs w:val="24"/>
        </w:rPr>
        <w:footnoteReference w:id="14"/>
      </w:r>
      <w:r w:rsidR="00700579" w:rsidRPr="00A226F8">
        <w:rPr>
          <w:rFonts w:ascii="Arial" w:hAnsi="Arial" w:cs="Arial"/>
          <w:bCs/>
          <w:iCs/>
          <w:sz w:val="24"/>
          <w:szCs w:val="24"/>
        </w:rPr>
        <w:t xml:space="preserve">, which can be proved by either primary, direct proof, or </w:t>
      </w:r>
      <w:r w:rsidR="00700579" w:rsidRPr="00A226F8">
        <w:rPr>
          <w:rFonts w:ascii="Arial" w:hAnsi="Arial" w:cs="Arial"/>
          <w:bCs/>
          <w:iCs/>
          <w:sz w:val="24"/>
          <w:szCs w:val="24"/>
        </w:rPr>
        <w:lastRenderedPageBreak/>
        <w:t>secondary evidence, made up primarily of circumstantial evidence from which an agreement can be inferred.</w:t>
      </w:r>
    </w:p>
    <w:p w14:paraId="5D6C3C88" w14:textId="1FF7B5A7" w:rsidR="00700579" w:rsidRPr="00A226F8" w:rsidRDefault="00700579" w:rsidP="00303971">
      <w:pPr>
        <w:jc w:val="both"/>
        <w:rPr>
          <w:rFonts w:ascii="Arial" w:hAnsi="Arial" w:cs="Arial"/>
          <w:bCs/>
          <w:iCs/>
          <w:sz w:val="24"/>
          <w:szCs w:val="24"/>
        </w:rPr>
      </w:pPr>
      <w:r w:rsidRPr="00A226F8">
        <w:rPr>
          <w:rFonts w:ascii="Arial" w:hAnsi="Arial" w:cs="Arial"/>
          <w:bCs/>
          <w:iCs/>
          <w:sz w:val="24"/>
          <w:szCs w:val="24"/>
        </w:rPr>
        <w:t xml:space="preserve">The second element comes into play when a corporate entity trades with a subsidiary. If that subsidiary is </w:t>
      </w:r>
      <w:r w:rsidR="00D2485A" w:rsidRPr="00A226F8">
        <w:rPr>
          <w:rFonts w:ascii="Arial" w:hAnsi="Arial" w:cs="Arial"/>
          <w:bCs/>
          <w:iCs/>
          <w:sz w:val="24"/>
          <w:szCs w:val="24"/>
        </w:rPr>
        <w:t xml:space="preserve">whole owned by the corporation then there is not enough separation between the two entities for </w:t>
      </w:r>
      <w:proofErr w:type="gramStart"/>
      <w:r w:rsidR="00D2485A" w:rsidRPr="00A226F8">
        <w:rPr>
          <w:rFonts w:ascii="Arial" w:hAnsi="Arial" w:cs="Arial"/>
          <w:bCs/>
          <w:iCs/>
          <w:sz w:val="24"/>
          <w:szCs w:val="24"/>
        </w:rPr>
        <w:t>there</w:t>
      </w:r>
      <w:proofErr w:type="gramEnd"/>
      <w:r w:rsidR="00D2485A" w:rsidRPr="00A226F8">
        <w:rPr>
          <w:rFonts w:ascii="Arial" w:hAnsi="Arial" w:cs="Arial"/>
          <w:bCs/>
          <w:iCs/>
          <w:sz w:val="24"/>
          <w:szCs w:val="24"/>
        </w:rPr>
        <w:t xml:space="preserve"> to be meaningful trade on which Section 1 can bite, and so the </w:t>
      </w:r>
      <w:r w:rsidR="00DE7D50">
        <w:rPr>
          <w:rFonts w:ascii="Arial" w:hAnsi="Arial" w:cs="Arial"/>
          <w:bCs/>
          <w:iCs/>
          <w:sz w:val="24"/>
          <w:szCs w:val="24"/>
        </w:rPr>
        <w:t>parent</w:t>
      </w:r>
      <w:r w:rsidR="00D2485A" w:rsidRPr="00A226F8">
        <w:rPr>
          <w:rFonts w:ascii="Arial" w:hAnsi="Arial" w:cs="Arial"/>
          <w:bCs/>
          <w:iCs/>
          <w:sz w:val="24"/>
          <w:szCs w:val="24"/>
        </w:rPr>
        <w:t xml:space="preserve"> and subsidiary companies are a single enterprise</w:t>
      </w:r>
      <w:r w:rsidR="00D2485A" w:rsidRPr="00A226F8">
        <w:rPr>
          <w:rStyle w:val="FootnoteReference"/>
          <w:rFonts w:ascii="Arial" w:hAnsi="Arial" w:cs="Arial"/>
          <w:bCs/>
          <w:iCs/>
          <w:sz w:val="24"/>
          <w:szCs w:val="24"/>
        </w:rPr>
        <w:footnoteReference w:id="15"/>
      </w:r>
      <w:r w:rsidR="00D2485A" w:rsidRPr="00A226F8">
        <w:rPr>
          <w:rFonts w:ascii="Arial" w:hAnsi="Arial" w:cs="Arial"/>
          <w:bCs/>
          <w:iCs/>
          <w:sz w:val="24"/>
          <w:szCs w:val="24"/>
        </w:rPr>
        <w:t xml:space="preserve">. However, the Supreme Court in </w:t>
      </w:r>
      <w:proofErr w:type="spellStart"/>
      <w:r w:rsidR="00D2485A" w:rsidRPr="00A226F8">
        <w:rPr>
          <w:rFonts w:ascii="Arial" w:hAnsi="Arial" w:cs="Arial"/>
          <w:bCs/>
          <w:i/>
          <w:iCs/>
          <w:sz w:val="24"/>
          <w:szCs w:val="24"/>
        </w:rPr>
        <w:t>Copperweld</w:t>
      </w:r>
      <w:proofErr w:type="spellEnd"/>
      <w:r w:rsidR="00D2485A" w:rsidRPr="00A226F8">
        <w:rPr>
          <w:rFonts w:ascii="Arial" w:hAnsi="Arial" w:cs="Arial"/>
          <w:bCs/>
          <w:iCs/>
          <w:sz w:val="24"/>
          <w:szCs w:val="24"/>
        </w:rPr>
        <w:t xml:space="preserve"> left </w:t>
      </w:r>
      <w:r w:rsidR="000838DF" w:rsidRPr="00A226F8">
        <w:rPr>
          <w:rFonts w:ascii="Arial" w:hAnsi="Arial" w:cs="Arial"/>
          <w:bCs/>
          <w:iCs/>
          <w:sz w:val="24"/>
          <w:szCs w:val="24"/>
        </w:rPr>
        <w:t xml:space="preserve">open the situation where the subsidiary was less than wholly owned by the parent company. As such the legal position of parent and subsidiary remains ambiguous, not helped by </w:t>
      </w:r>
      <w:r w:rsidR="001C7BC1" w:rsidRPr="00A226F8">
        <w:rPr>
          <w:rFonts w:ascii="Arial" w:hAnsi="Arial" w:cs="Arial"/>
          <w:bCs/>
          <w:iCs/>
          <w:sz w:val="24"/>
          <w:szCs w:val="24"/>
        </w:rPr>
        <w:t>equivocal</w:t>
      </w:r>
      <w:r w:rsidR="000838DF" w:rsidRPr="00A226F8">
        <w:rPr>
          <w:rFonts w:ascii="Arial" w:hAnsi="Arial" w:cs="Arial"/>
          <w:bCs/>
          <w:iCs/>
          <w:sz w:val="24"/>
          <w:szCs w:val="24"/>
        </w:rPr>
        <w:t xml:space="preserve"> Supreme Court judgments on the matter</w:t>
      </w:r>
      <w:r w:rsidR="000838DF" w:rsidRPr="00A226F8">
        <w:rPr>
          <w:rStyle w:val="FootnoteReference"/>
          <w:rFonts w:ascii="Arial" w:hAnsi="Arial" w:cs="Arial"/>
          <w:bCs/>
          <w:iCs/>
          <w:sz w:val="24"/>
          <w:szCs w:val="24"/>
        </w:rPr>
        <w:footnoteReference w:id="16"/>
      </w:r>
      <w:r w:rsidR="001C7BC1" w:rsidRPr="00A226F8">
        <w:rPr>
          <w:rFonts w:ascii="Arial" w:hAnsi="Arial" w:cs="Arial"/>
          <w:bCs/>
          <w:iCs/>
          <w:sz w:val="24"/>
          <w:szCs w:val="24"/>
        </w:rPr>
        <w:t>.</w:t>
      </w:r>
    </w:p>
    <w:p w14:paraId="4E22668D" w14:textId="6475096C" w:rsidR="001C7BC1" w:rsidRPr="00A226F8" w:rsidRDefault="001C7BC1" w:rsidP="00303971">
      <w:pPr>
        <w:jc w:val="both"/>
        <w:rPr>
          <w:rFonts w:ascii="Arial" w:hAnsi="Arial" w:cs="Arial"/>
          <w:bCs/>
          <w:iCs/>
          <w:sz w:val="24"/>
          <w:szCs w:val="24"/>
        </w:rPr>
      </w:pPr>
      <w:r w:rsidRPr="00A226F8">
        <w:rPr>
          <w:rFonts w:ascii="Arial" w:hAnsi="Arial" w:cs="Arial"/>
          <w:bCs/>
          <w:iCs/>
          <w:sz w:val="24"/>
          <w:szCs w:val="24"/>
        </w:rPr>
        <w:t>The unreasonable restraint of trade requirement has been split up into two possible categories</w:t>
      </w:r>
      <w:r w:rsidR="00EC1877" w:rsidRPr="00A226F8">
        <w:rPr>
          <w:rFonts w:ascii="Arial" w:hAnsi="Arial" w:cs="Arial"/>
          <w:bCs/>
          <w:iCs/>
          <w:sz w:val="24"/>
          <w:szCs w:val="24"/>
        </w:rPr>
        <w:t xml:space="preserve"> by the courts</w:t>
      </w:r>
      <w:r w:rsidRPr="00A226F8">
        <w:rPr>
          <w:rFonts w:ascii="Arial" w:hAnsi="Arial" w:cs="Arial"/>
          <w:bCs/>
          <w:iCs/>
          <w:sz w:val="24"/>
          <w:szCs w:val="24"/>
        </w:rPr>
        <w:t xml:space="preserve"> – agreements deemed </w:t>
      </w:r>
      <w:r w:rsidRPr="00A226F8">
        <w:rPr>
          <w:rFonts w:ascii="Arial" w:hAnsi="Arial" w:cs="Arial"/>
          <w:bCs/>
          <w:i/>
          <w:iCs/>
          <w:sz w:val="24"/>
          <w:szCs w:val="24"/>
        </w:rPr>
        <w:t>per se</w:t>
      </w:r>
      <w:r w:rsidRPr="00A226F8">
        <w:rPr>
          <w:rFonts w:ascii="Arial" w:hAnsi="Arial" w:cs="Arial"/>
          <w:bCs/>
          <w:iCs/>
          <w:sz w:val="24"/>
          <w:szCs w:val="24"/>
        </w:rPr>
        <w:t xml:space="preserve"> illegal and agreements considered to be unreasonable after examination under the rule of reason principle. It is enough for present purposes to state that horizontal price fixing is the classic </w:t>
      </w:r>
      <w:r w:rsidRPr="00A226F8">
        <w:rPr>
          <w:rFonts w:ascii="Arial" w:hAnsi="Arial" w:cs="Arial"/>
          <w:bCs/>
          <w:i/>
          <w:iCs/>
          <w:sz w:val="24"/>
          <w:szCs w:val="24"/>
        </w:rPr>
        <w:t>per se</w:t>
      </w:r>
      <w:r w:rsidR="00EC1877" w:rsidRPr="00A226F8">
        <w:rPr>
          <w:rFonts w:ascii="Arial" w:hAnsi="Arial" w:cs="Arial"/>
          <w:bCs/>
          <w:i/>
          <w:iCs/>
          <w:sz w:val="24"/>
          <w:szCs w:val="24"/>
        </w:rPr>
        <w:t xml:space="preserve"> </w:t>
      </w:r>
      <w:r w:rsidRPr="00A226F8">
        <w:rPr>
          <w:rFonts w:ascii="Arial" w:hAnsi="Arial" w:cs="Arial"/>
          <w:bCs/>
          <w:iCs/>
          <w:sz w:val="24"/>
          <w:szCs w:val="24"/>
        </w:rPr>
        <w:t>Section 1 violation</w:t>
      </w:r>
      <w:r w:rsidRPr="00A226F8">
        <w:rPr>
          <w:rStyle w:val="FootnoteReference"/>
          <w:rFonts w:ascii="Arial" w:hAnsi="Arial" w:cs="Arial"/>
          <w:bCs/>
          <w:iCs/>
          <w:sz w:val="24"/>
          <w:szCs w:val="24"/>
        </w:rPr>
        <w:footnoteReference w:id="17"/>
      </w:r>
      <w:r w:rsidR="00EC1877" w:rsidRPr="00A226F8">
        <w:rPr>
          <w:rFonts w:ascii="Arial" w:hAnsi="Arial" w:cs="Arial"/>
          <w:bCs/>
          <w:iCs/>
          <w:sz w:val="24"/>
          <w:szCs w:val="24"/>
        </w:rPr>
        <w:t>, which requires no further investigation once proven.</w:t>
      </w:r>
    </w:p>
    <w:p w14:paraId="6DAEF105" w14:textId="61D4A618" w:rsidR="00F64554" w:rsidRDefault="00F64554" w:rsidP="00303971">
      <w:pPr>
        <w:jc w:val="both"/>
        <w:rPr>
          <w:rFonts w:ascii="Arial" w:hAnsi="Arial" w:cs="Arial"/>
          <w:bCs/>
          <w:iCs/>
          <w:sz w:val="24"/>
          <w:szCs w:val="24"/>
        </w:rPr>
      </w:pPr>
      <w:r w:rsidRPr="00A226F8">
        <w:rPr>
          <w:rFonts w:ascii="Arial" w:hAnsi="Arial" w:cs="Arial"/>
          <w:bCs/>
          <w:iCs/>
          <w:sz w:val="24"/>
          <w:szCs w:val="24"/>
        </w:rPr>
        <w:t xml:space="preserve">Finally the need for intrastate violation </w:t>
      </w:r>
      <w:r w:rsidR="00AD61EC" w:rsidRPr="00A226F8">
        <w:rPr>
          <w:rFonts w:ascii="Arial" w:hAnsi="Arial" w:cs="Arial"/>
          <w:bCs/>
          <w:iCs/>
          <w:sz w:val="24"/>
          <w:szCs w:val="24"/>
        </w:rPr>
        <w:t>requires the Sherman Act, like all federal statutes, to comply with the Commerce Clause of the US Constitution</w:t>
      </w:r>
      <w:r w:rsidR="00AD61EC" w:rsidRPr="00A226F8">
        <w:rPr>
          <w:rStyle w:val="FootnoteReference"/>
          <w:rFonts w:ascii="Arial" w:hAnsi="Arial" w:cs="Arial"/>
          <w:bCs/>
          <w:iCs/>
          <w:sz w:val="24"/>
          <w:szCs w:val="24"/>
        </w:rPr>
        <w:footnoteReference w:id="18"/>
      </w:r>
      <w:r w:rsidR="007F5F03" w:rsidRPr="00A226F8">
        <w:rPr>
          <w:rFonts w:ascii="Arial" w:hAnsi="Arial" w:cs="Arial"/>
          <w:bCs/>
          <w:iCs/>
          <w:sz w:val="24"/>
          <w:szCs w:val="24"/>
        </w:rPr>
        <w:t xml:space="preserve">. Section 1 does so explicitly but also provides for an international dimension by including </w:t>
      </w:r>
      <w:r w:rsidR="00FC5E0C" w:rsidRPr="00A226F8">
        <w:rPr>
          <w:rFonts w:ascii="Arial" w:hAnsi="Arial" w:cs="Arial"/>
          <w:bCs/>
          <w:iCs/>
          <w:sz w:val="24"/>
          <w:szCs w:val="24"/>
        </w:rPr>
        <w:t>agreements that restrain trade with foreign nations.</w:t>
      </w:r>
    </w:p>
    <w:p w14:paraId="0DB7B05C" w14:textId="0E19B06A" w:rsidR="00A51F73" w:rsidRDefault="00A51F73" w:rsidP="00303971">
      <w:pPr>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t>b.</w:t>
      </w:r>
      <w:r>
        <w:rPr>
          <w:rFonts w:ascii="Arial" w:hAnsi="Arial" w:cs="Arial"/>
          <w:bCs/>
          <w:iCs/>
          <w:sz w:val="24"/>
          <w:szCs w:val="24"/>
        </w:rPr>
        <w:tab/>
        <w:t>Criminal Public Enforcement</w:t>
      </w:r>
    </w:p>
    <w:p w14:paraId="2A3FBC7E" w14:textId="77777777" w:rsidR="005B49A7" w:rsidRDefault="00072404" w:rsidP="00A51F73">
      <w:pPr>
        <w:jc w:val="both"/>
        <w:rPr>
          <w:rFonts w:ascii="Arial" w:hAnsi="Arial" w:cs="Arial"/>
          <w:bCs/>
          <w:iCs/>
          <w:sz w:val="24"/>
          <w:szCs w:val="24"/>
          <w:lang w:val="en-US"/>
        </w:rPr>
      </w:pPr>
      <w:r>
        <w:rPr>
          <w:rFonts w:ascii="Arial" w:hAnsi="Arial" w:cs="Arial"/>
          <w:bCs/>
          <w:iCs/>
          <w:sz w:val="24"/>
          <w:szCs w:val="24"/>
        </w:rPr>
        <w:t xml:space="preserve">The latest updated version of </w:t>
      </w:r>
      <w:r w:rsidR="00A51F73">
        <w:rPr>
          <w:rFonts w:ascii="Arial" w:hAnsi="Arial" w:cs="Arial"/>
          <w:bCs/>
          <w:iCs/>
          <w:sz w:val="24"/>
          <w:szCs w:val="24"/>
        </w:rPr>
        <w:t>Section 1 of the Sherman Act 1890 continues with, “</w:t>
      </w:r>
      <w:r w:rsidR="00A51F73" w:rsidRPr="00A51F73">
        <w:rPr>
          <w:rFonts w:ascii="Arial" w:hAnsi="Arial" w:cs="Arial"/>
          <w:bCs/>
          <w:iCs/>
          <w:sz w:val="24"/>
          <w:szCs w:val="24"/>
          <w:lang w:val="en-US"/>
        </w:rPr>
        <w:t>Every person</w:t>
      </w:r>
      <w:r w:rsidR="00A51F73">
        <w:rPr>
          <w:rFonts w:ascii="Arial" w:hAnsi="Arial" w:cs="Arial"/>
          <w:bCs/>
          <w:iCs/>
          <w:sz w:val="24"/>
          <w:szCs w:val="24"/>
          <w:lang w:val="en-US"/>
        </w:rPr>
        <w:t xml:space="preserve"> </w:t>
      </w:r>
      <w:r w:rsidR="00A51F73" w:rsidRPr="00A51F73">
        <w:rPr>
          <w:rFonts w:ascii="Arial" w:hAnsi="Arial" w:cs="Arial"/>
          <w:bCs/>
          <w:iCs/>
          <w:sz w:val="24"/>
          <w:szCs w:val="24"/>
          <w:lang w:val="en-US"/>
        </w:rPr>
        <w:t>who shall make any contract or engage in any combination or conspiracy hereby declared to be</w:t>
      </w:r>
      <w:r w:rsidR="00A51F73">
        <w:rPr>
          <w:rFonts w:ascii="Arial" w:hAnsi="Arial" w:cs="Arial"/>
          <w:bCs/>
          <w:iCs/>
          <w:sz w:val="24"/>
          <w:szCs w:val="24"/>
          <w:lang w:val="en-US"/>
        </w:rPr>
        <w:t xml:space="preserve"> </w:t>
      </w:r>
      <w:r w:rsidR="00A51F73" w:rsidRPr="00A51F73">
        <w:rPr>
          <w:rFonts w:ascii="Arial" w:hAnsi="Arial" w:cs="Arial"/>
          <w:bCs/>
          <w:iCs/>
          <w:sz w:val="24"/>
          <w:szCs w:val="24"/>
          <w:lang w:val="en-US"/>
        </w:rPr>
        <w:t>illegal shall be deemed guilty of a felony, and, on conviction thereof, shall be punished by fine not</w:t>
      </w:r>
      <w:r w:rsidR="00A51F73">
        <w:rPr>
          <w:rFonts w:ascii="Arial" w:hAnsi="Arial" w:cs="Arial"/>
          <w:bCs/>
          <w:iCs/>
          <w:sz w:val="24"/>
          <w:szCs w:val="24"/>
          <w:lang w:val="en-US"/>
        </w:rPr>
        <w:t xml:space="preserve"> </w:t>
      </w:r>
      <w:r w:rsidR="00A51F73" w:rsidRPr="00A51F73">
        <w:rPr>
          <w:rFonts w:ascii="Arial" w:hAnsi="Arial" w:cs="Arial"/>
          <w:bCs/>
          <w:iCs/>
          <w:sz w:val="24"/>
          <w:szCs w:val="24"/>
          <w:lang w:val="en-US"/>
        </w:rPr>
        <w:t>exceeding $100,000,000 if a corporation, or, if any other person, $1,000,000, or by imprisonment not</w:t>
      </w:r>
      <w:r w:rsidR="00A51F73">
        <w:rPr>
          <w:rFonts w:ascii="Arial" w:hAnsi="Arial" w:cs="Arial"/>
          <w:bCs/>
          <w:iCs/>
          <w:sz w:val="24"/>
          <w:szCs w:val="24"/>
          <w:lang w:val="en-US"/>
        </w:rPr>
        <w:t xml:space="preserve"> </w:t>
      </w:r>
      <w:r w:rsidR="00A51F73" w:rsidRPr="00A51F73">
        <w:rPr>
          <w:rFonts w:ascii="Arial" w:hAnsi="Arial" w:cs="Arial"/>
          <w:bCs/>
          <w:iCs/>
          <w:sz w:val="24"/>
          <w:szCs w:val="24"/>
          <w:lang w:val="en-US"/>
        </w:rPr>
        <w:t>exceeding 10 years, or by both said punishments, in the discretion of the court.</w:t>
      </w:r>
      <w:r w:rsidR="00A51F73">
        <w:rPr>
          <w:rFonts w:ascii="Arial" w:hAnsi="Arial" w:cs="Arial"/>
          <w:bCs/>
          <w:iCs/>
          <w:sz w:val="24"/>
          <w:szCs w:val="24"/>
          <w:lang w:val="en-US"/>
        </w:rPr>
        <w:t xml:space="preserve">” The </w:t>
      </w:r>
      <w:proofErr w:type="gramStart"/>
      <w:r w:rsidR="00525572">
        <w:rPr>
          <w:rFonts w:ascii="Arial" w:hAnsi="Arial" w:cs="Arial"/>
          <w:bCs/>
          <w:iCs/>
          <w:sz w:val="24"/>
          <w:szCs w:val="24"/>
          <w:lang w:val="en-US"/>
        </w:rPr>
        <w:t>DoJ(</w:t>
      </w:r>
      <w:proofErr w:type="gramEnd"/>
      <w:r w:rsidR="00525572">
        <w:rPr>
          <w:rFonts w:ascii="Arial" w:hAnsi="Arial" w:cs="Arial"/>
          <w:bCs/>
          <w:iCs/>
          <w:sz w:val="24"/>
          <w:szCs w:val="24"/>
          <w:lang w:val="en-US"/>
        </w:rPr>
        <w:t xml:space="preserve">AD) </w:t>
      </w:r>
      <w:r>
        <w:rPr>
          <w:rFonts w:ascii="Arial" w:hAnsi="Arial" w:cs="Arial"/>
          <w:bCs/>
          <w:iCs/>
          <w:sz w:val="24"/>
          <w:szCs w:val="24"/>
          <w:lang w:val="en-US"/>
        </w:rPr>
        <w:t xml:space="preserve">has exclusive authority for </w:t>
      </w:r>
      <w:r w:rsidRPr="00072404">
        <w:rPr>
          <w:rFonts w:ascii="Arial" w:hAnsi="Arial" w:cs="Arial"/>
          <w:bCs/>
          <w:iCs/>
          <w:sz w:val="24"/>
          <w:szCs w:val="24"/>
          <w:lang w:val="en-US"/>
        </w:rPr>
        <w:t>criminal enforcement at the federal level</w:t>
      </w:r>
      <w:r>
        <w:rPr>
          <w:rFonts w:ascii="Arial" w:hAnsi="Arial" w:cs="Arial"/>
          <w:bCs/>
          <w:iCs/>
          <w:sz w:val="24"/>
          <w:szCs w:val="24"/>
          <w:lang w:val="en-US"/>
        </w:rPr>
        <w:t xml:space="preserve">. </w:t>
      </w:r>
    </w:p>
    <w:p w14:paraId="0A91969F" w14:textId="3DCE55FD" w:rsidR="00A51F73" w:rsidRDefault="005B49A7" w:rsidP="00A51F73">
      <w:pPr>
        <w:jc w:val="both"/>
        <w:rPr>
          <w:rFonts w:ascii="Arial" w:hAnsi="Arial" w:cs="Arial"/>
          <w:bCs/>
          <w:iCs/>
          <w:sz w:val="24"/>
          <w:szCs w:val="24"/>
          <w:lang w:val="en-US"/>
        </w:rPr>
      </w:pPr>
      <w:r>
        <w:rPr>
          <w:rFonts w:ascii="Arial" w:hAnsi="Arial" w:cs="Arial"/>
          <w:bCs/>
          <w:iCs/>
          <w:sz w:val="24"/>
          <w:szCs w:val="24"/>
          <w:lang w:val="en-US"/>
        </w:rPr>
        <w:t>The effect of Section 1 is that all abuses of the antitrust laws are criminal violations. However, in practice the DoJ</w:t>
      </w:r>
      <w:r w:rsidR="00072404">
        <w:rPr>
          <w:rFonts w:ascii="Arial" w:hAnsi="Arial" w:cs="Arial"/>
          <w:bCs/>
          <w:iCs/>
          <w:sz w:val="24"/>
          <w:szCs w:val="24"/>
          <w:lang w:val="en-US"/>
        </w:rPr>
        <w:t xml:space="preserve"> only instigate</w:t>
      </w:r>
      <w:r>
        <w:rPr>
          <w:rFonts w:ascii="Arial" w:hAnsi="Arial" w:cs="Arial"/>
          <w:bCs/>
          <w:iCs/>
          <w:sz w:val="24"/>
          <w:szCs w:val="24"/>
          <w:lang w:val="en-US"/>
        </w:rPr>
        <w:t>s</w:t>
      </w:r>
      <w:r w:rsidR="00072404">
        <w:rPr>
          <w:rFonts w:ascii="Arial" w:hAnsi="Arial" w:cs="Arial"/>
          <w:bCs/>
          <w:iCs/>
          <w:sz w:val="24"/>
          <w:szCs w:val="24"/>
          <w:lang w:val="en-US"/>
        </w:rPr>
        <w:t xml:space="preserve"> criminal action against hard-core cartels, which inc</w:t>
      </w:r>
      <w:r>
        <w:rPr>
          <w:rFonts w:ascii="Arial" w:hAnsi="Arial" w:cs="Arial"/>
          <w:bCs/>
          <w:iCs/>
          <w:sz w:val="24"/>
          <w:szCs w:val="24"/>
          <w:lang w:val="en-US"/>
        </w:rPr>
        <w:t>ludes price-fixing, and will prioritise criminal enforcement for these activities over civil enforcement</w:t>
      </w:r>
      <w:r w:rsidR="00C52448">
        <w:rPr>
          <w:rStyle w:val="FootnoteReference"/>
          <w:rFonts w:ascii="Arial" w:hAnsi="Arial" w:cs="Arial"/>
          <w:bCs/>
          <w:iCs/>
          <w:sz w:val="24"/>
          <w:szCs w:val="24"/>
          <w:lang w:val="en-US"/>
        </w:rPr>
        <w:footnoteReference w:id="19"/>
      </w:r>
      <w:r>
        <w:rPr>
          <w:rFonts w:ascii="Arial" w:hAnsi="Arial" w:cs="Arial"/>
          <w:bCs/>
          <w:iCs/>
          <w:sz w:val="24"/>
          <w:szCs w:val="24"/>
          <w:lang w:val="en-US"/>
        </w:rPr>
        <w:t>.</w:t>
      </w:r>
    </w:p>
    <w:p w14:paraId="1E962F40" w14:textId="0CEBB5C8" w:rsidR="009356DA" w:rsidRDefault="009356DA" w:rsidP="00A51F73">
      <w:pPr>
        <w:jc w:val="both"/>
        <w:rPr>
          <w:rFonts w:ascii="Arial" w:hAnsi="Arial" w:cs="Arial"/>
          <w:bCs/>
          <w:iCs/>
          <w:sz w:val="24"/>
          <w:szCs w:val="24"/>
          <w:lang w:val="en-US"/>
        </w:rPr>
      </w:pPr>
      <w:r>
        <w:rPr>
          <w:rFonts w:ascii="Arial" w:hAnsi="Arial" w:cs="Arial"/>
          <w:bCs/>
          <w:iCs/>
          <w:sz w:val="24"/>
          <w:szCs w:val="24"/>
          <w:lang w:val="en-US"/>
        </w:rPr>
        <w:lastRenderedPageBreak/>
        <w:t xml:space="preserve">In September 2015 the Deputy Attorney General Sally </w:t>
      </w:r>
      <w:proofErr w:type="spellStart"/>
      <w:r>
        <w:rPr>
          <w:rFonts w:ascii="Arial" w:hAnsi="Arial" w:cs="Arial"/>
          <w:bCs/>
          <w:iCs/>
          <w:sz w:val="24"/>
          <w:szCs w:val="24"/>
          <w:lang w:val="en-US"/>
        </w:rPr>
        <w:t>Quillian</w:t>
      </w:r>
      <w:proofErr w:type="spellEnd"/>
      <w:r>
        <w:rPr>
          <w:rFonts w:ascii="Arial" w:hAnsi="Arial" w:cs="Arial"/>
          <w:bCs/>
          <w:iCs/>
          <w:sz w:val="24"/>
          <w:szCs w:val="24"/>
          <w:lang w:val="en-US"/>
        </w:rPr>
        <w:t xml:space="preserve"> Yates sent a memorandum</w:t>
      </w:r>
      <w:r w:rsidR="00B071B5">
        <w:rPr>
          <w:rStyle w:val="FootnoteReference"/>
          <w:rFonts w:ascii="Arial" w:hAnsi="Arial" w:cs="Arial"/>
          <w:bCs/>
          <w:iCs/>
          <w:sz w:val="24"/>
          <w:szCs w:val="24"/>
          <w:lang w:val="en-US"/>
        </w:rPr>
        <w:footnoteReference w:id="20"/>
      </w:r>
      <w:r>
        <w:rPr>
          <w:rFonts w:ascii="Arial" w:hAnsi="Arial" w:cs="Arial"/>
          <w:bCs/>
          <w:iCs/>
          <w:sz w:val="24"/>
          <w:szCs w:val="24"/>
          <w:lang w:val="en-US"/>
        </w:rPr>
        <w:t xml:space="preserve"> to all DoJ attorneys instigating a DoJ initiative to hold individuals responsible for corporate misdeeds, both criminal and civil.</w:t>
      </w:r>
      <w:r w:rsidR="00CF3C48">
        <w:rPr>
          <w:rFonts w:ascii="Arial" w:hAnsi="Arial" w:cs="Arial"/>
          <w:bCs/>
          <w:iCs/>
          <w:sz w:val="24"/>
          <w:szCs w:val="24"/>
          <w:lang w:val="en-US"/>
        </w:rPr>
        <w:t xml:space="preserve"> Although it was suggested that this was a new initiative, it actually simply reinforced previous policy, and this was emphasised by Deputy Assistant </w:t>
      </w:r>
      <w:r w:rsidR="003F1AB6">
        <w:rPr>
          <w:rFonts w:ascii="Arial" w:hAnsi="Arial" w:cs="Arial"/>
          <w:bCs/>
          <w:iCs/>
          <w:sz w:val="24"/>
          <w:szCs w:val="24"/>
          <w:lang w:val="en-US"/>
        </w:rPr>
        <w:t xml:space="preserve">Attorney </w:t>
      </w:r>
      <w:r w:rsidR="00CF3C48">
        <w:rPr>
          <w:rFonts w:ascii="Arial" w:hAnsi="Arial" w:cs="Arial"/>
          <w:bCs/>
          <w:iCs/>
          <w:sz w:val="24"/>
          <w:szCs w:val="24"/>
          <w:lang w:val="en-US"/>
        </w:rPr>
        <w:t>General Brent Snyder of the Antitrust Division in a conference speech at Yale School of Management in February 2016</w:t>
      </w:r>
      <w:r w:rsidR="00CF3C48">
        <w:rPr>
          <w:rStyle w:val="FootnoteReference"/>
          <w:rFonts w:ascii="Arial" w:hAnsi="Arial" w:cs="Arial"/>
          <w:bCs/>
          <w:iCs/>
          <w:sz w:val="24"/>
          <w:szCs w:val="24"/>
          <w:lang w:val="en-US"/>
        </w:rPr>
        <w:footnoteReference w:id="21"/>
      </w:r>
      <w:r w:rsidR="003F1AB6">
        <w:rPr>
          <w:rFonts w:ascii="Arial" w:hAnsi="Arial" w:cs="Arial"/>
          <w:bCs/>
          <w:iCs/>
          <w:sz w:val="24"/>
          <w:szCs w:val="24"/>
          <w:lang w:val="en-US"/>
        </w:rPr>
        <w:t>.</w:t>
      </w:r>
    </w:p>
    <w:p w14:paraId="1B85690E" w14:textId="163C6E63" w:rsidR="00072404" w:rsidRDefault="00072404" w:rsidP="00A51F73">
      <w:pPr>
        <w:jc w:val="both"/>
        <w:rPr>
          <w:rFonts w:ascii="Arial" w:hAnsi="Arial" w:cs="Arial"/>
          <w:bCs/>
          <w:iCs/>
          <w:sz w:val="24"/>
          <w:szCs w:val="24"/>
          <w:lang w:val="en-US"/>
        </w:rPr>
      </w:pPr>
      <w:r>
        <w:rPr>
          <w:rFonts w:ascii="Arial" w:hAnsi="Arial" w:cs="Arial"/>
          <w:bCs/>
          <w:iCs/>
          <w:sz w:val="24"/>
          <w:szCs w:val="24"/>
          <w:lang w:val="en-US"/>
        </w:rPr>
        <w:tab/>
      </w:r>
      <w:r>
        <w:rPr>
          <w:rFonts w:ascii="Arial" w:hAnsi="Arial" w:cs="Arial"/>
          <w:bCs/>
          <w:iCs/>
          <w:sz w:val="24"/>
          <w:szCs w:val="24"/>
          <w:lang w:val="en-US"/>
        </w:rPr>
        <w:tab/>
        <w:t>c.</w:t>
      </w:r>
      <w:r>
        <w:rPr>
          <w:rFonts w:ascii="Arial" w:hAnsi="Arial" w:cs="Arial"/>
          <w:bCs/>
          <w:iCs/>
          <w:sz w:val="24"/>
          <w:szCs w:val="24"/>
          <w:lang w:val="en-US"/>
        </w:rPr>
        <w:tab/>
        <w:t>Civil Private Enforcement</w:t>
      </w:r>
    </w:p>
    <w:p w14:paraId="592C358F" w14:textId="0342893C" w:rsidR="00FD5BFE" w:rsidRDefault="00FD5BFE" w:rsidP="00FD5BFE">
      <w:pPr>
        <w:jc w:val="both"/>
        <w:rPr>
          <w:rFonts w:ascii="Arial" w:hAnsi="Arial" w:cs="Arial"/>
          <w:bCs/>
          <w:iCs/>
          <w:sz w:val="24"/>
          <w:szCs w:val="24"/>
        </w:rPr>
      </w:pPr>
      <w:r w:rsidRPr="00FD5BFE">
        <w:rPr>
          <w:rFonts w:ascii="Arial" w:hAnsi="Arial" w:cs="Arial"/>
          <w:bCs/>
          <w:iCs/>
          <w:sz w:val="24"/>
          <w:szCs w:val="24"/>
        </w:rPr>
        <w:t>The third strand of antitrust enforcement is that by private litigants. Section 4 of the Clayton Act 1914 allows the recovery of damages by “any person injured in his business or property by reason of anything f</w:t>
      </w:r>
      <w:r>
        <w:rPr>
          <w:rFonts w:ascii="Arial" w:hAnsi="Arial" w:cs="Arial"/>
          <w:bCs/>
          <w:iCs/>
          <w:sz w:val="24"/>
          <w:szCs w:val="24"/>
        </w:rPr>
        <w:t xml:space="preserve">orbidden in the antitrust laws”, with a successful litigant being able to claim </w:t>
      </w:r>
      <w:r w:rsidR="009C4EB6">
        <w:rPr>
          <w:rFonts w:ascii="Arial" w:hAnsi="Arial" w:cs="Arial"/>
          <w:bCs/>
          <w:iCs/>
          <w:sz w:val="24"/>
          <w:szCs w:val="24"/>
        </w:rPr>
        <w:t>three times the damage (treble damages)</w:t>
      </w:r>
      <w:r>
        <w:rPr>
          <w:rFonts w:ascii="Arial" w:hAnsi="Arial" w:cs="Arial"/>
          <w:bCs/>
          <w:iCs/>
          <w:sz w:val="24"/>
          <w:szCs w:val="24"/>
        </w:rPr>
        <w:t xml:space="preserve"> and costs</w:t>
      </w:r>
      <w:r w:rsidR="00DB395E">
        <w:rPr>
          <w:rFonts w:ascii="Arial" w:hAnsi="Arial" w:cs="Arial"/>
          <w:bCs/>
          <w:iCs/>
          <w:sz w:val="24"/>
          <w:szCs w:val="24"/>
        </w:rPr>
        <w:t>. Section 4A enables the US to act as a private</w:t>
      </w:r>
      <w:r w:rsidR="009C4EB6">
        <w:rPr>
          <w:rFonts w:ascii="Arial" w:hAnsi="Arial" w:cs="Arial"/>
          <w:bCs/>
          <w:iCs/>
          <w:sz w:val="24"/>
          <w:szCs w:val="24"/>
        </w:rPr>
        <w:t xml:space="preserve"> litigant and to also claim treb</w:t>
      </w:r>
      <w:r w:rsidR="00DB395E">
        <w:rPr>
          <w:rFonts w:ascii="Arial" w:hAnsi="Arial" w:cs="Arial"/>
          <w:bCs/>
          <w:iCs/>
          <w:sz w:val="24"/>
          <w:szCs w:val="24"/>
        </w:rPr>
        <w:t>le damages.</w:t>
      </w:r>
      <w:r w:rsidR="0012013F">
        <w:rPr>
          <w:rFonts w:ascii="Arial" w:hAnsi="Arial" w:cs="Arial"/>
          <w:bCs/>
          <w:iCs/>
          <w:sz w:val="24"/>
          <w:szCs w:val="24"/>
        </w:rPr>
        <w:t xml:space="preserve"> To prove a claim, the claimant must establish both constitutional and antitrust </w:t>
      </w:r>
      <w:r w:rsidR="00086155">
        <w:rPr>
          <w:rFonts w:ascii="Arial" w:hAnsi="Arial" w:cs="Arial"/>
          <w:bCs/>
          <w:iCs/>
          <w:sz w:val="24"/>
          <w:szCs w:val="24"/>
        </w:rPr>
        <w:t>standing. For the former, a mere showing of harm will establish the necessary injury. The latter, however, is more complex.</w:t>
      </w:r>
    </w:p>
    <w:p w14:paraId="7E795B04" w14:textId="77777777" w:rsidR="00BF3D06" w:rsidRDefault="00086155" w:rsidP="00BF3D06">
      <w:pPr>
        <w:jc w:val="both"/>
        <w:rPr>
          <w:rFonts w:ascii="Arial" w:hAnsi="Arial" w:cs="Arial"/>
          <w:bCs/>
          <w:iCs/>
          <w:sz w:val="24"/>
          <w:szCs w:val="24"/>
          <w:lang w:val="en-US"/>
        </w:rPr>
      </w:pPr>
      <w:r>
        <w:rPr>
          <w:rFonts w:ascii="Arial" w:hAnsi="Arial" w:cs="Arial"/>
          <w:bCs/>
          <w:iCs/>
          <w:sz w:val="24"/>
          <w:szCs w:val="24"/>
        </w:rPr>
        <w:t>T</w:t>
      </w:r>
      <w:r w:rsidR="00DB395E">
        <w:rPr>
          <w:rFonts w:ascii="Arial" w:hAnsi="Arial" w:cs="Arial"/>
          <w:bCs/>
          <w:iCs/>
          <w:sz w:val="24"/>
          <w:szCs w:val="24"/>
        </w:rPr>
        <w:t>wo strands</w:t>
      </w:r>
      <w:r>
        <w:rPr>
          <w:rFonts w:ascii="Arial" w:hAnsi="Arial" w:cs="Arial"/>
          <w:bCs/>
          <w:iCs/>
          <w:sz w:val="24"/>
          <w:szCs w:val="24"/>
        </w:rPr>
        <w:t xml:space="preserve"> must be proven for antitrust standing</w:t>
      </w:r>
      <w:r w:rsidR="00DB395E">
        <w:rPr>
          <w:rFonts w:ascii="Arial" w:hAnsi="Arial" w:cs="Arial"/>
          <w:bCs/>
          <w:iCs/>
          <w:sz w:val="24"/>
          <w:szCs w:val="24"/>
        </w:rPr>
        <w:t>. The first is an infringement of the antitrust laws, which follows the principles above</w:t>
      </w:r>
      <w:r>
        <w:rPr>
          <w:rFonts w:ascii="Arial" w:hAnsi="Arial" w:cs="Arial"/>
          <w:bCs/>
          <w:iCs/>
          <w:sz w:val="24"/>
          <w:szCs w:val="24"/>
        </w:rPr>
        <w:t xml:space="preserve"> (antitrust violation). The second is the actual</w:t>
      </w:r>
      <w:r w:rsidR="00DB395E">
        <w:rPr>
          <w:rFonts w:ascii="Arial" w:hAnsi="Arial" w:cs="Arial"/>
          <w:bCs/>
          <w:iCs/>
          <w:sz w:val="24"/>
          <w:szCs w:val="24"/>
        </w:rPr>
        <w:t xml:space="preserve"> establish</w:t>
      </w:r>
      <w:r>
        <w:rPr>
          <w:rFonts w:ascii="Arial" w:hAnsi="Arial" w:cs="Arial"/>
          <w:bCs/>
          <w:iCs/>
          <w:sz w:val="24"/>
          <w:szCs w:val="24"/>
        </w:rPr>
        <w:t>ment of</w:t>
      </w:r>
      <w:r w:rsidR="00DB395E">
        <w:rPr>
          <w:rFonts w:ascii="Arial" w:hAnsi="Arial" w:cs="Arial"/>
          <w:bCs/>
          <w:iCs/>
          <w:sz w:val="24"/>
          <w:szCs w:val="24"/>
        </w:rPr>
        <w:t xml:space="preserve"> antitrust standing. This antitrust standing itself contains two requirements: </w:t>
      </w:r>
      <w:r w:rsidR="00FA44F0">
        <w:rPr>
          <w:rFonts w:ascii="Arial" w:hAnsi="Arial" w:cs="Arial"/>
          <w:bCs/>
          <w:iCs/>
          <w:sz w:val="24"/>
          <w:szCs w:val="24"/>
        </w:rPr>
        <w:t>that the claimant suffered a special type of antitrust injury;</w:t>
      </w:r>
      <w:r w:rsidR="00DB395E">
        <w:rPr>
          <w:rFonts w:ascii="Arial" w:hAnsi="Arial" w:cs="Arial"/>
          <w:bCs/>
          <w:iCs/>
          <w:sz w:val="24"/>
          <w:szCs w:val="24"/>
        </w:rPr>
        <w:t xml:space="preserve"> and</w:t>
      </w:r>
      <w:r w:rsidR="00FA44F0">
        <w:rPr>
          <w:rFonts w:ascii="Arial" w:hAnsi="Arial" w:cs="Arial"/>
          <w:bCs/>
          <w:iCs/>
          <w:sz w:val="24"/>
          <w:szCs w:val="24"/>
        </w:rPr>
        <w:t xml:space="preserve">, the claimant is a suitable candidate to </w:t>
      </w:r>
      <w:r w:rsidR="00FA44F0" w:rsidRPr="00FA44F0">
        <w:rPr>
          <w:rFonts w:ascii="Arial" w:hAnsi="Arial" w:cs="Arial"/>
          <w:bCs/>
          <w:iCs/>
          <w:sz w:val="24"/>
          <w:szCs w:val="24"/>
          <w:lang w:val="en-US"/>
        </w:rPr>
        <w:t xml:space="preserve">pursue the alleged antitrust violations and thus is </w:t>
      </w:r>
      <w:proofErr w:type="gramStart"/>
      <w:r w:rsidR="00FA44F0" w:rsidRPr="00FA44F0">
        <w:rPr>
          <w:rFonts w:ascii="Arial" w:hAnsi="Arial" w:cs="Arial"/>
          <w:bCs/>
          <w:iCs/>
          <w:sz w:val="24"/>
          <w:szCs w:val="24"/>
          <w:lang w:val="en-US"/>
        </w:rPr>
        <w:t>an ‘efficient</w:t>
      </w:r>
      <w:proofErr w:type="gramEnd"/>
      <w:r w:rsidR="00FA44F0" w:rsidRPr="00FA44F0">
        <w:rPr>
          <w:rFonts w:ascii="Arial" w:hAnsi="Arial" w:cs="Arial"/>
          <w:bCs/>
          <w:iCs/>
          <w:sz w:val="24"/>
          <w:szCs w:val="24"/>
          <w:lang w:val="en-US"/>
        </w:rPr>
        <w:t xml:space="preserve"> enforcer’ of the antitrust laws</w:t>
      </w:r>
      <w:r w:rsidR="00FA44F0">
        <w:rPr>
          <w:rStyle w:val="FootnoteReference"/>
          <w:rFonts w:ascii="Arial" w:hAnsi="Arial" w:cs="Arial"/>
          <w:bCs/>
          <w:iCs/>
          <w:sz w:val="24"/>
          <w:szCs w:val="24"/>
          <w:lang w:val="en-US"/>
        </w:rPr>
        <w:footnoteReference w:id="22"/>
      </w:r>
      <w:r w:rsidR="00FA44F0">
        <w:rPr>
          <w:rFonts w:ascii="Arial" w:hAnsi="Arial" w:cs="Arial"/>
          <w:bCs/>
          <w:iCs/>
          <w:sz w:val="24"/>
          <w:szCs w:val="24"/>
          <w:lang w:val="en-US"/>
        </w:rPr>
        <w:t xml:space="preserve">. </w:t>
      </w:r>
      <w:r w:rsidR="00FA44F0" w:rsidRPr="00FA44F0">
        <w:rPr>
          <w:rFonts w:ascii="Arial" w:hAnsi="Arial" w:cs="Arial"/>
          <w:bCs/>
          <w:iCs/>
          <w:sz w:val="24"/>
          <w:szCs w:val="24"/>
          <w:lang w:val="en-US"/>
        </w:rPr>
        <w:t xml:space="preserve"> </w:t>
      </w:r>
      <w:r w:rsidR="00DB395E">
        <w:rPr>
          <w:rFonts w:ascii="Arial" w:hAnsi="Arial" w:cs="Arial"/>
          <w:bCs/>
          <w:iCs/>
          <w:sz w:val="24"/>
          <w:szCs w:val="24"/>
        </w:rPr>
        <w:t xml:space="preserve"> </w:t>
      </w:r>
      <w:r w:rsidR="009C4EB6">
        <w:rPr>
          <w:rFonts w:ascii="Arial" w:hAnsi="Arial" w:cs="Arial"/>
          <w:bCs/>
          <w:iCs/>
          <w:sz w:val="24"/>
          <w:szCs w:val="24"/>
        </w:rPr>
        <w:t xml:space="preserve">In </w:t>
      </w:r>
      <w:r w:rsidR="009C4EB6" w:rsidRPr="003627DF">
        <w:rPr>
          <w:rFonts w:ascii="Arial" w:hAnsi="Arial" w:cs="Arial"/>
          <w:bCs/>
          <w:i/>
          <w:iCs/>
          <w:sz w:val="24"/>
          <w:szCs w:val="24"/>
          <w:lang w:val="en-US"/>
        </w:rPr>
        <w:t>Brunswick Corp. v. Pueblo Bowl-O-Mat, Inc.</w:t>
      </w:r>
      <w:r w:rsidR="009C4EB6">
        <w:rPr>
          <w:rStyle w:val="FootnoteReference"/>
          <w:rFonts w:ascii="Arial" w:hAnsi="Arial" w:cs="Arial"/>
          <w:bCs/>
          <w:iCs/>
          <w:sz w:val="24"/>
          <w:szCs w:val="24"/>
          <w:lang w:val="en-US"/>
        </w:rPr>
        <w:footnoteReference w:id="23"/>
      </w:r>
      <w:r w:rsidR="009C4EB6">
        <w:rPr>
          <w:rFonts w:ascii="Arial" w:hAnsi="Arial" w:cs="Arial"/>
          <w:bCs/>
          <w:iCs/>
          <w:sz w:val="24"/>
          <w:szCs w:val="24"/>
          <w:lang w:val="en-US"/>
        </w:rPr>
        <w:t xml:space="preserve"> the Supreme Court held that for the claimant to prove an antitrust injury then </w:t>
      </w:r>
      <w:r w:rsidR="00E50E04">
        <w:rPr>
          <w:rFonts w:ascii="Arial" w:hAnsi="Arial" w:cs="Arial"/>
          <w:bCs/>
          <w:iCs/>
          <w:sz w:val="24"/>
          <w:szCs w:val="24"/>
          <w:lang w:val="en-US"/>
        </w:rPr>
        <w:t>it</w:t>
      </w:r>
      <w:r w:rsidR="007751FD">
        <w:rPr>
          <w:rFonts w:ascii="Arial" w:hAnsi="Arial" w:cs="Arial"/>
          <w:bCs/>
          <w:iCs/>
          <w:sz w:val="24"/>
          <w:szCs w:val="24"/>
          <w:lang w:val="en-US"/>
        </w:rPr>
        <w:t xml:space="preserve"> must be an</w:t>
      </w:r>
      <w:r w:rsidR="009C4EB6">
        <w:rPr>
          <w:rFonts w:ascii="Arial" w:hAnsi="Arial" w:cs="Arial"/>
          <w:bCs/>
          <w:iCs/>
          <w:sz w:val="24"/>
          <w:szCs w:val="24"/>
          <w:lang w:val="en-US"/>
        </w:rPr>
        <w:t xml:space="preserve"> </w:t>
      </w:r>
      <w:r w:rsidR="009C4EB6" w:rsidRPr="009C4EB6">
        <w:rPr>
          <w:rFonts w:ascii="Arial" w:hAnsi="Arial" w:cs="Arial"/>
          <w:bCs/>
          <w:iCs/>
          <w:sz w:val="24"/>
          <w:szCs w:val="24"/>
          <w:lang w:val="en-US"/>
        </w:rPr>
        <w:t>“injury of the type the antitrust laws were intended to prevent</w:t>
      </w:r>
      <w:r w:rsidR="007751FD">
        <w:rPr>
          <w:rFonts w:ascii="Arial" w:hAnsi="Arial" w:cs="Arial"/>
          <w:bCs/>
          <w:iCs/>
          <w:sz w:val="24"/>
          <w:szCs w:val="24"/>
          <w:lang w:val="en-US"/>
        </w:rPr>
        <w:t>”</w:t>
      </w:r>
      <w:r w:rsidR="007751FD">
        <w:rPr>
          <w:rStyle w:val="FootnoteReference"/>
          <w:rFonts w:ascii="Arial" w:hAnsi="Arial" w:cs="Arial"/>
          <w:bCs/>
          <w:iCs/>
          <w:sz w:val="24"/>
          <w:szCs w:val="24"/>
          <w:lang w:val="en-US"/>
        </w:rPr>
        <w:footnoteReference w:id="24"/>
      </w:r>
      <w:r w:rsidR="009C4EB6" w:rsidRPr="009C4EB6">
        <w:rPr>
          <w:rFonts w:ascii="Arial" w:hAnsi="Arial" w:cs="Arial"/>
          <w:bCs/>
          <w:iCs/>
          <w:sz w:val="24"/>
          <w:szCs w:val="24"/>
          <w:lang w:val="en-US"/>
        </w:rPr>
        <w:t xml:space="preserve"> </w:t>
      </w:r>
      <w:r w:rsidR="007751FD">
        <w:rPr>
          <w:rFonts w:ascii="Arial" w:hAnsi="Arial" w:cs="Arial"/>
          <w:bCs/>
          <w:iCs/>
          <w:sz w:val="24"/>
          <w:szCs w:val="24"/>
          <w:lang w:val="en-US"/>
        </w:rPr>
        <w:t xml:space="preserve">and that </w:t>
      </w:r>
      <w:r w:rsidR="007751FD" w:rsidRPr="007751FD">
        <w:rPr>
          <w:rFonts w:ascii="Arial" w:hAnsi="Arial" w:cs="Arial"/>
          <w:bCs/>
          <w:iCs/>
          <w:sz w:val="24"/>
          <w:szCs w:val="24"/>
          <w:lang w:val="en-US"/>
        </w:rPr>
        <w:t xml:space="preserve">the antitrust laws were designed to protect competition rather than competitors. </w:t>
      </w:r>
      <w:r w:rsidR="007D13DA">
        <w:rPr>
          <w:rFonts w:ascii="Arial" w:hAnsi="Arial" w:cs="Arial"/>
          <w:bCs/>
          <w:iCs/>
          <w:sz w:val="24"/>
          <w:szCs w:val="24"/>
          <w:lang w:val="en-US"/>
        </w:rPr>
        <w:t>As such this question is one of causation</w:t>
      </w:r>
      <w:r w:rsidR="007D13DA">
        <w:rPr>
          <w:rStyle w:val="FootnoteReference"/>
          <w:rFonts w:ascii="Arial" w:hAnsi="Arial" w:cs="Arial"/>
          <w:bCs/>
          <w:iCs/>
          <w:sz w:val="24"/>
          <w:szCs w:val="24"/>
          <w:lang w:val="en-US"/>
        </w:rPr>
        <w:footnoteReference w:id="25"/>
      </w:r>
      <w:r w:rsidR="007D13DA">
        <w:rPr>
          <w:rFonts w:ascii="Arial" w:hAnsi="Arial" w:cs="Arial"/>
          <w:bCs/>
          <w:iCs/>
          <w:sz w:val="24"/>
          <w:szCs w:val="24"/>
          <w:lang w:val="en-US"/>
        </w:rPr>
        <w:t xml:space="preserve"> in which the claimant </w:t>
      </w:r>
      <w:r w:rsidR="009C4EB6">
        <w:rPr>
          <w:rFonts w:ascii="Arial" w:hAnsi="Arial" w:cs="Arial"/>
          <w:bCs/>
          <w:iCs/>
          <w:sz w:val="24"/>
          <w:szCs w:val="24"/>
          <w:lang w:val="en-US"/>
        </w:rPr>
        <w:t xml:space="preserve">must prove </w:t>
      </w:r>
      <w:r w:rsidR="007D13DA">
        <w:rPr>
          <w:rFonts w:ascii="Arial" w:hAnsi="Arial" w:cs="Arial"/>
          <w:bCs/>
          <w:iCs/>
          <w:sz w:val="24"/>
          <w:szCs w:val="24"/>
          <w:lang w:val="en-US"/>
        </w:rPr>
        <w:t xml:space="preserve">the </w:t>
      </w:r>
      <w:r w:rsidR="00DB395E">
        <w:rPr>
          <w:rFonts w:ascii="Arial" w:hAnsi="Arial" w:cs="Arial"/>
          <w:bCs/>
          <w:iCs/>
          <w:sz w:val="24"/>
          <w:szCs w:val="24"/>
        </w:rPr>
        <w:t xml:space="preserve">particular injury </w:t>
      </w:r>
      <w:r w:rsidR="007D13DA">
        <w:rPr>
          <w:rFonts w:ascii="Arial" w:hAnsi="Arial" w:cs="Arial"/>
          <w:bCs/>
          <w:iCs/>
          <w:sz w:val="24"/>
          <w:szCs w:val="24"/>
        </w:rPr>
        <w:t xml:space="preserve">was </w:t>
      </w:r>
      <w:r w:rsidR="00DB395E">
        <w:rPr>
          <w:rFonts w:ascii="Arial" w:hAnsi="Arial" w:cs="Arial"/>
          <w:bCs/>
          <w:iCs/>
          <w:sz w:val="24"/>
          <w:szCs w:val="24"/>
        </w:rPr>
        <w:t xml:space="preserve">caused by the proven anti-competitive activity of the defendant. </w:t>
      </w:r>
      <w:r w:rsidR="009F2F60">
        <w:rPr>
          <w:rFonts w:ascii="Arial" w:hAnsi="Arial" w:cs="Arial"/>
          <w:bCs/>
          <w:iCs/>
          <w:sz w:val="24"/>
          <w:szCs w:val="24"/>
        </w:rPr>
        <w:t xml:space="preserve">In </w:t>
      </w:r>
      <w:r w:rsidR="009F2F60" w:rsidRPr="009F2F60">
        <w:rPr>
          <w:rFonts w:ascii="Arial" w:hAnsi="Arial" w:cs="Arial"/>
          <w:bCs/>
          <w:i/>
          <w:iCs/>
          <w:sz w:val="24"/>
          <w:szCs w:val="24"/>
          <w:lang w:val="en-US"/>
        </w:rPr>
        <w:t>Illinois Brick Co. v. Illinois</w:t>
      </w:r>
      <w:r w:rsidR="009F2F60">
        <w:rPr>
          <w:rStyle w:val="FootnoteReference"/>
          <w:rFonts w:ascii="Arial" w:hAnsi="Arial" w:cs="Arial"/>
          <w:bCs/>
          <w:i/>
          <w:iCs/>
          <w:sz w:val="24"/>
          <w:szCs w:val="24"/>
          <w:lang w:val="en-US"/>
        </w:rPr>
        <w:footnoteReference w:id="26"/>
      </w:r>
      <w:r w:rsidR="009F2F60">
        <w:rPr>
          <w:rFonts w:ascii="Arial" w:hAnsi="Arial" w:cs="Arial"/>
          <w:bCs/>
          <w:iCs/>
          <w:sz w:val="24"/>
          <w:szCs w:val="24"/>
          <w:lang w:val="en-US"/>
        </w:rPr>
        <w:t xml:space="preserve"> the Supreme Court identified a number of factors when considering this issue including </w:t>
      </w:r>
      <w:r w:rsidR="009F2F60" w:rsidRPr="009F2F60">
        <w:rPr>
          <w:rFonts w:ascii="Arial" w:hAnsi="Arial" w:cs="Arial"/>
          <w:bCs/>
          <w:i/>
          <w:iCs/>
          <w:sz w:val="24"/>
          <w:szCs w:val="24"/>
          <w:lang w:val="en-US"/>
        </w:rPr>
        <w:t>inter alia</w:t>
      </w:r>
      <w:r w:rsidR="009F2F60">
        <w:rPr>
          <w:rFonts w:ascii="Arial" w:hAnsi="Arial" w:cs="Arial"/>
          <w:bCs/>
          <w:iCs/>
          <w:sz w:val="24"/>
          <w:szCs w:val="24"/>
          <w:lang w:val="en-US"/>
        </w:rPr>
        <w:t>:</w:t>
      </w:r>
      <w:r w:rsidR="009F2F60" w:rsidRPr="009F2F60">
        <w:rPr>
          <w:rFonts w:ascii="Arial" w:hAnsi="Arial" w:cs="Arial"/>
          <w:bCs/>
          <w:iCs/>
          <w:sz w:val="24"/>
          <w:szCs w:val="24"/>
          <w:lang w:val="en-US"/>
        </w:rPr>
        <w:t xml:space="preserve"> the causal connection between the</w:t>
      </w:r>
      <w:r w:rsidR="009F2F60">
        <w:rPr>
          <w:rFonts w:ascii="Arial" w:hAnsi="Arial" w:cs="Arial"/>
          <w:bCs/>
          <w:iCs/>
          <w:sz w:val="24"/>
          <w:szCs w:val="24"/>
          <w:lang w:val="en-US"/>
        </w:rPr>
        <w:t xml:space="preserve"> alleged antitrust violation and </w:t>
      </w:r>
      <w:r w:rsidR="009F2F60" w:rsidRPr="009F2F60">
        <w:rPr>
          <w:rFonts w:ascii="Arial" w:hAnsi="Arial" w:cs="Arial"/>
          <w:bCs/>
          <w:iCs/>
          <w:sz w:val="24"/>
          <w:szCs w:val="24"/>
          <w:lang w:val="en-US"/>
        </w:rPr>
        <w:t>the plaintiff ’s harm; the defendant’s motive; the nature of the alleged injury;</w:t>
      </w:r>
      <w:r w:rsidR="009F2F60">
        <w:rPr>
          <w:rFonts w:ascii="Arial" w:hAnsi="Arial" w:cs="Arial"/>
          <w:bCs/>
          <w:iCs/>
          <w:sz w:val="24"/>
          <w:szCs w:val="24"/>
          <w:lang w:val="en-US"/>
        </w:rPr>
        <w:t xml:space="preserve"> </w:t>
      </w:r>
      <w:r w:rsidR="009F2F60" w:rsidRPr="009F2F60">
        <w:rPr>
          <w:rFonts w:ascii="Arial" w:hAnsi="Arial" w:cs="Arial"/>
          <w:bCs/>
          <w:iCs/>
          <w:sz w:val="24"/>
          <w:szCs w:val="24"/>
          <w:lang w:val="en-US"/>
        </w:rPr>
        <w:t>and “the directness or indirectness of the asserted injury.”</w:t>
      </w:r>
      <w:r w:rsidR="009F2F60">
        <w:rPr>
          <w:rFonts w:ascii="Arial" w:hAnsi="Arial" w:cs="Arial"/>
          <w:bCs/>
          <w:iCs/>
          <w:sz w:val="24"/>
          <w:szCs w:val="24"/>
          <w:lang w:val="en-US"/>
        </w:rPr>
        <w:t xml:space="preserve"> </w:t>
      </w:r>
      <w:r>
        <w:rPr>
          <w:rFonts w:ascii="Arial" w:hAnsi="Arial" w:cs="Arial"/>
          <w:bCs/>
          <w:iCs/>
          <w:sz w:val="24"/>
          <w:szCs w:val="24"/>
          <w:lang w:val="en-US"/>
        </w:rPr>
        <w:t>For the efficient enforcer a number of</w:t>
      </w:r>
      <w:r w:rsidR="00BF3D06">
        <w:rPr>
          <w:rFonts w:ascii="Arial" w:hAnsi="Arial" w:cs="Arial"/>
          <w:bCs/>
          <w:iCs/>
          <w:sz w:val="24"/>
          <w:szCs w:val="24"/>
          <w:lang w:val="en-US"/>
        </w:rPr>
        <w:t xml:space="preserve"> factors are taken into account: the directness or remoteness of the violation and cause of injury; the identifiable </w:t>
      </w:r>
      <w:r w:rsidR="00BF3D06">
        <w:rPr>
          <w:rFonts w:ascii="Arial" w:hAnsi="Arial" w:cs="Arial"/>
          <w:bCs/>
          <w:iCs/>
          <w:sz w:val="24"/>
          <w:szCs w:val="24"/>
          <w:lang w:val="en-US"/>
        </w:rPr>
        <w:lastRenderedPageBreak/>
        <w:t xml:space="preserve">other class of persons </w:t>
      </w:r>
      <w:r w:rsidR="00BF3D06" w:rsidRPr="00BF3D06">
        <w:rPr>
          <w:rFonts w:ascii="Arial" w:hAnsi="Arial" w:cs="Arial"/>
          <w:bCs/>
          <w:iCs/>
          <w:sz w:val="24"/>
          <w:szCs w:val="24"/>
          <w:lang w:val="en-US"/>
        </w:rPr>
        <w:t>whose self</w:t>
      </w:r>
      <w:r w:rsidR="00BF3D06" w:rsidRPr="00BF3D06">
        <w:rPr>
          <w:rFonts w:ascii="American Typewriter" w:hAnsi="American Typewriter" w:cs="American Typewriter"/>
          <w:bCs/>
          <w:iCs/>
          <w:sz w:val="24"/>
          <w:szCs w:val="24"/>
          <w:lang w:val="en-US"/>
        </w:rPr>
        <w:t>‐</w:t>
      </w:r>
      <w:r w:rsidR="00BF3D06" w:rsidRPr="00BF3D06">
        <w:rPr>
          <w:rFonts w:ascii="Arial" w:hAnsi="Arial" w:cs="Arial"/>
          <w:bCs/>
          <w:iCs/>
          <w:sz w:val="24"/>
          <w:szCs w:val="24"/>
          <w:lang w:val="en-US"/>
        </w:rPr>
        <w:t>interest would normally lead them to sue for the</w:t>
      </w:r>
      <w:r w:rsidR="00BF3D06">
        <w:rPr>
          <w:rFonts w:ascii="Arial" w:hAnsi="Arial" w:cs="Arial"/>
          <w:bCs/>
          <w:iCs/>
          <w:sz w:val="24"/>
          <w:szCs w:val="24"/>
          <w:lang w:val="en-US"/>
        </w:rPr>
        <w:t xml:space="preserve"> v</w:t>
      </w:r>
      <w:r w:rsidR="00BF3D06" w:rsidRPr="00BF3D06">
        <w:rPr>
          <w:rFonts w:ascii="Arial" w:hAnsi="Arial" w:cs="Arial"/>
          <w:bCs/>
          <w:iCs/>
          <w:sz w:val="24"/>
          <w:szCs w:val="24"/>
          <w:lang w:val="en-US"/>
        </w:rPr>
        <w:t>iolation</w:t>
      </w:r>
      <w:r w:rsidR="00BF3D06">
        <w:rPr>
          <w:rFonts w:ascii="Arial" w:hAnsi="Arial" w:cs="Arial"/>
          <w:bCs/>
          <w:iCs/>
          <w:sz w:val="24"/>
          <w:szCs w:val="24"/>
          <w:lang w:val="en-US"/>
        </w:rPr>
        <w:t xml:space="preserve">: the speculative nature of the injury; and, the possibility to identify further claimants who could recover duplicate damages and the difficulty in apportioning damages to actual and potential victims. </w:t>
      </w:r>
    </w:p>
    <w:p w14:paraId="6925989D" w14:textId="116B7B52" w:rsidR="00DB395E" w:rsidRPr="00BF3D06" w:rsidRDefault="009F2F60" w:rsidP="00BF3D06">
      <w:pPr>
        <w:jc w:val="both"/>
        <w:rPr>
          <w:rFonts w:ascii="Arial" w:hAnsi="Arial" w:cs="Arial"/>
          <w:bCs/>
          <w:iCs/>
          <w:sz w:val="24"/>
          <w:szCs w:val="24"/>
          <w:lang w:val="en-US"/>
        </w:rPr>
      </w:pPr>
      <w:r>
        <w:rPr>
          <w:rFonts w:ascii="Arial" w:hAnsi="Arial" w:cs="Arial"/>
          <w:bCs/>
          <w:iCs/>
          <w:sz w:val="24"/>
          <w:szCs w:val="24"/>
          <w:lang w:val="en-US"/>
        </w:rPr>
        <w:t xml:space="preserve">A party suffering an antitrust injury as the result of an </w:t>
      </w:r>
      <w:r w:rsidR="00DB395E">
        <w:rPr>
          <w:rFonts w:ascii="Arial" w:hAnsi="Arial" w:cs="Arial"/>
          <w:bCs/>
          <w:iCs/>
          <w:sz w:val="24"/>
          <w:szCs w:val="24"/>
        </w:rPr>
        <w:t xml:space="preserve">antitrust infringement </w:t>
      </w:r>
      <w:r>
        <w:rPr>
          <w:rFonts w:ascii="Arial" w:hAnsi="Arial" w:cs="Arial"/>
          <w:bCs/>
          <w:iCs/>
          <w:sz w:val="24"/>
          <w:szCs w:val="24"/>
        </w:rPr>
        <w:t xml:space="preserve">that </w:t>
      </w:r>
      <w:r w:rsidR="00DB395E">
        <w:rPr>
          <w:rFonts w:ascii="Arial" w:hAnsi="Arial" w:cs="Arial"/>
          <w:bCs/>
          <w:iCs/>
          <w:sz w:val="24"/>
          <w:szCs w:val="24"/>
        </w:rPr>
        <w:t xml:space="preserve">is a </w:t>
      </w:r>
      <w:r w:rsidR="00DB395E">
        <w:rPr>
          <w:rFonts w:ascii="Arial" w:hAnsi="Arial" w:cs="Arial"/>
          <w:bCs/>
          <w:i/>
          <w:iCs/>
          <w:sz w:val="24"/>
          <w:szCs w:val="24"/>
        </w:rPr>
        <w:t>per se</w:t>
      </w:r>
      <w:r>
        <w:rPr>
          <w:rFonts w:ascii="Arial" w:hAnsi="Arial" w:cs="Arial"/>
          <w:bCs/>
          <w:iCs/>
          <w:sz w:val="24"/>
          <w:szCs w:val="24"/>
        </w:rPr>
        <w:t xml:space="preserve"> violation</w:t>
      </w:r>
      <w:r w:rsidR="00CB1544">
        <w:rPr>
          <w:rFonts w:ascii="Arial" w:hAnsi="Arial" w:cs="Arial"/>
          <w:bCs/>
          <w:iCs/>
          <w:sz w:val="24"/>
          <w:szCs w:val="24"/>
        </w:rPr>
        <w:t>,</w:t>
      </w:r>
      <w:r>
        <w:rPr>
          <w:rFonts w:ascii="Arial" w:hAnsi="Arial" w:cs="Arial"/>
          <w:bCs/>
          <w:iCs/>
          <w:sz w:val="24"/>
          <w:szCs w:val="24"/>
        </w:rPr>
        <w:t xml:space="preserve"> such as price-fixing</w:t>
      </w:r>
      <w:r w:rsidR="00CB1544">
        <w:rPr>
          <w:rFonts w:ascii="Arial" w:hAnsi="Arial" w:cs="Arial"/>
          <w:bCs/>
          <w:iCs/>
          <w:sz w:val="24"/>
          <w:szCs w:val="24"/>
        </w:rPr>
        <w:t>,</w:t>
      </w:r>
      <w:r>
        <w:rPr>
          <w:rFonts w:ascii="Arial" w:hAnsi="Arial" w:cs="Arial"/>
          <w:bCs/>
          <w:iCs/>
          <w:sz w:val="24"/>
          <w:szCs w:val="24"/>
        </w:rPr>
        <w:t xml:space="preserve"> would </w:t>
      </w:r>
      <w:r w:rsidR="00BF3D06">
        <w:rPr>
          <w:rFonts w:ascii="Arial" w:hAnsi="Arial" w:cs="Arial"/>
          <w:bCs/>
          <w:iCs/>
          <w:sz w:val="24"/>
          <w:szCs w:val="24"/>
        </w:rPr>
        <w:t xml:space="preserve">be highly likely to </w:t>
      </w:r>
      <w:r w:rsidR="00CB1544">
        <w:rPr>
          <w:rFonts w:ascii="Arial" w:hAnsi="Arial" w:cs="Arial"/>
          <w:bCs/>
          <w:iCs/>
          <w:sz w:val="24"/>
          <w:szCs w:val="24"/>
        </w:rPr>
        <w:t>satisfy the necessary</w:t>
      </w:r>
      <w:r w:rsidR="00BF3D06">
        <w:rPr>
          <w:rFonts w:ascii="Arial" w:hAnsi="Arial" w:cs="Arial"/>
          <w:bCs/>
          <w:iCs/>
          <w:sz w:val="24"/>
          <w:szCs w:val="24"/>
        </w:rPr>
        <w:t xml:space="preserve"> elements</w:t>
      </w:r>
      <w:r w:rsidR="00CB1544">
        <w:rPr>
          <w:rFonts w:ascii="Arial" w:hAnsi="Arial" w:cs="Arial"/>
          <w:bCs/>
          <w:iCs/>
          <w:sz w:val="24"/>
          <w:szCs w:val="24"/>
        </w:rPr>
        <w:t xml:space="preserve"> to establish liability.</w:t>
      </w:r>
    </w:p>
    <w:p w14:paraId="671C9CE8" w14:textId="77777777" w:rsidR="00CB1544" w:rsidRDefault="00CB1544" w:rsidP="009F2F60">
      <w:pPr>
        <w:jc w:val="both"/>
        <w:rPr>
          <w:rFonts w:ascii="Arial" w:hAnsi="Arial" w:cs="Arial"/>
          <w:bCs/>
          <w:iCs/>
          <w:sz w:val="24"/>
          <w:szCs w:val="24"/>
        </w:rPr>
      </w:pPr>
    </w:p>
    <w:p w14:paraId="4FBC6CF6" w14:textId="58959B05" w:rsidR="00CB1544" w:rsidRPr="00CB1544" w:rsidRDefault="00CB1544" w:rsidP="00CB1544">
      <w:pPr>
        <w:pStyle w:val="ListParagraph"/>
        <w:numPr>
          <w:ilvl w:val="0"/>
          <w:numId w:val="1"/>
        </w:numPr>
        <w:jc w:val="both"/>
        <w:rPr>
          <w:rFonts w:ascii="Arial" w:hAnsi="Arial" w:cs="Arial"/>
          <w:bCs/>
          <w:iCs/>
          <w:sz w:val="24"/>
          <w:szCs w:val="24"/>
        </w:rPr>
      </w:pPr>
      <w:r w:rsidRPr="00CB1544">
        <w:rPr>
          <w:rFonts w:ascii="Arial" w:hAnsi="Arial" w:cs="Arial"/>
          <w:bCs/>
          <w:iCs/>
          <w:sz w:val="24"/>
          <w:szCs w:val="24"/>
        </w:rPr>
        <w:t>The E</w:t>
      </w:r>
      <w:r>
        <w:rPr>
          <w:rFonts w:ascii="Arial" w:hAnsi="Arial" w:cs="Arial"/>
          <w:bCs/>
          <w:iCs/>
          <w:sz w:val="24"/>
          <w:szCs w:val="24"/>
        </w:rPr>
        <w:t xml:space="preserve">uropean </w:t>
      </w:r>
      <w:r w:rsidRPr="00CB1544">
        <w:rPr>
          <w:rFonts w:ascii="Arial" w:hAnsi="Arial" w:cs="Arial"/>
          <w:bCs/>
          <w:iCs/>
          <w:sz w:val="24"/>
          <w:szCs w:val="24"/>
        </w:rPr>
        <w:t>U</w:t>
      </w:r>
      <w:r>
        <w:rPr>
          <w:rFonts w:ascii="Arial" w:hAnsi="Arial" w:cs="Arial"/>
          <w:bCs/>
          <w:iCs/>
          <w:sz w:val="24"/>
          <w:szCs w:val="24"/>
        </w:rPr>
        <w:t>nion</w:t>
      </w:r>
    </w:p>
    <w:p w14:paraId="78E7EEEF" w14:textId="77777777" w:rsidR="00CB1544" w:rsidRDefault="00CB1544" w:rsidP="00CB1544">
      <w:pPr>
        <w:ind w:left="720"/>
        <w:jc w:val="both"/>
        <w:rPr>
          <w:rFonts w:ascii="Arial" w:hAnsi="Arial" w:cs="Arial"/>
          <w:bCs/>
          <w:iCs/>
          <w:sz w:val="24"/>
          <w:szCs w:val="24"/>
          <w:lang w:val="en-US"/>
        </w:rPr>
      </w:pPr>
      <w:r>
        <w:rPr>
          <w:rFonts w:ascii="Arial" w:hAnsi="Arial" w:cs="Arial"/>
          <w:bCs/>
          <w:iCs/>
          <w:sz w:val="24"/>
          <w:szCs w:val="24"/>
          <w:lang w:val="en-US"/>
        </w:rPr>
        <w:t>a.</w:t>
      </w:r>
      <w:r>
        <w:rPr>
          <w:rFonts w:ascii="Arial" w:hAnsi="Arial" w:cs="Arial"/>
          <w:bCs/>
          <w:iCs/>
          <w:sz w:val="24"/>
          <w:szCs w:val="24"/>
          <w:lang w:val="en-US"/>
        </w:rPr>
        <w:tab/>
        <w:t>Civil Public Enforcement</w:t>
      </w:r>
    </w:p>
    <w:p w14:paraId="0AACFCCD" w14:textId="314C6AC9" w:rsidR="00CB1544" w:rsidRDefault="00CB1544" w:rsidP="00CB1544">
      <w:pPr>
        <w:jc w:val="both"/>
        <w:rPr>
          <w:rFonts w:ascii="Arial" w:hAnsi="Arial" w:cs="Arial"/>
          <w:bCs/>
          <w:iCs/>
          <w:sz w:val="24"/>
          <w:szCs w:val="24"/>
          <w:lang w:val="en-US"/>
        </w:rPr>
      </w:pPr>
      <w:r>
        <w:rPr>
          <w:rFonts w:ascii="Arial" w:hAnsi="Arial" w:cs="Arial"/>
          <w:bCs/>
          <w:iCs/>
          <w:sz w:val="24"/>
          <w:szCs w:val="24"/>
          <w:lang w:val="en-US"/>
        </w:rPr>
        <w:t>The EU equivalent to Section 1 of the Sherman Act is Article 101</w:t>
      </w:r>
      <w:r w:rsidR="008B14D0">
        <w:rPr>
          <w:rFonts w:ascii="Arial" w:hAnsi="Arial" w:cs="Arial"/>
          <w:bCs/>
          <w:iCs/>
          <w:sz w:val="24"/>
          <w:szCs w:val="24"/>
          <w:lang w:val="en-US"/>
        </w:rPr>
        <w:t>(1)</w:t>
      </w:r>
      <w:r>
        <w:rPr>
          <w:rFonts w:ascii="Arial" w:hAnsi="Arial" w:cs="Arial"/>
          <w:bCs/>
          <w:iCs/>
          <w:sz w:val="24"/>
          <w:szCs w:val="24"/>
          <w:lang w:val="en-US"/>
        </w:rPr>
        <w:t xml:space="preserve"> TFEU. This holds that “</w:t>
      </w:r>
      <w:r w:rsidRPr="00CB1544">
        <w:rPr>
          <w:rFonts w:ascii="Arial" w:hAnsi="Arial" w:cs="Arial"/>
          <w:bCs/>
          <w:iCs/>
          <w:sz w:val="24"/>
          <w:szCs w:val="24"/>
          <w:lang w:val="en-US"/>
        </w:rPr>
        <w:t>The following shall be prohibited as incompatible with the internal market</w:t>
      </w:r>
      <w:r w:rsidR="008B14D0">
        <w:rPr>
          <w:rFonts w:ascii="Arial" w:hAnsi="Arial" w:cs="Arial"/>
          <w:bCs/>
          <w:iCs/>
          <w:sz w:val="24"/>
          <w:szCs w:val="24"/>
          <w:lang w:val="en-US"/>
        </w:rPr>
        <w:t>:</w:t>
      </w:r>
      <w:r w:rsidRPr="00CB1544">
        <w:rPr>
          <w:rFonts w:ascii="Arial" w:hAnsi="Arial" w:cs="Arial"/>
          <w:bCs/>
          <w:iCs/>
          <w:sz w:val="24"/>
          <w:szCs w:val="24"/>
          <w:lang w:val="en-US"/>
        </w:rPr>
        <w:t xml:space="preserve"> all agreements between undertakings, decisions by associations of undertakings and concerted practices which may affect trade between Member States and which have as their object or effect the prevention, restriction or distortion of competition within the internal market, and in particular those which:</w:t>
      </w:r>
      <w:r>
        <w:rPr>
          <w:rFonts w:ascii="Arial" w:hAnsi="Arial" w:cs="Arial"/>
          <w:bCs/>
          <w:iCs/>
          <w:sz w:val="24"/>
          <w:szCs w:val="24"/>
          <w:lang w:val="en-US"/>
        </w:rPr>
        <w:t xml:space="preserve"> </w:t>
      </w:r>
      <w:r w:rsidRPr="00CB1544">
        <w:rPr>
          <w:rFonts w:ascii="Arial" w:hAnsi="Arial" w:cs="Arial"/>
          <w:bCs/>
          <w:iCs/>
          <w:sz w:val="24"/>
          <w:szCs w:val="24"/>
          <w:lang w:val="en-US"/>
        </w:rPr>
        <w:t>(a) directly or indirectly fix purchase or selling prices or any other trading conditions</w:t>
      </w:r>
      <w:r>
        <w:rPr>
          <w:rFonts w:ascii="Arial" w:hAnsi="Arial" w:cs="Arial"/>
          <w:bCs/>
          <w:iCs/>
          <w:sz w:val="24"/>
          <w:szCs w:val="24"/>
          <w:lang w:val="en-US"/>
        </w:rPr>
        <w:t>…”</w:t>
      </w:r>
      <w:r w:rsidR="008B14D0">
        <w:rPr>
          <w:rFonts w:ascii="Arial" w:hAnsi="Arial" w:cs="Arial"/>
          <w:bCs/>
          <w:iCs/>
          <w:sz w:val="24"/>
          <w:szCs w:val="24"/>
          <w:lang w:val="en-US"/>
        </w:rPr>
        <w:t xml:space="preserve"> To establish infringement there are three elements: an agreement between undertakings, decisions by associations of undertakings</w:t>
      </w:r>
      <w:r w:rsidR="0010149A">
        <w:rPr>
          <w:rFonts w:ascii="Arial" w:hAnsi="Arial" w:cs="Arial"/>
          <w:bCs/>
          <w:iCs/>
          <w:sz w:val="24"/>
          <w:szCs w:val="24"/>
          <w:lang w:val="en-US"/>
        </w:rPr>
        <w:t xml:space="preserve"> or a concerted practice; the impact of which affects trade between Member States; and, has the object or effect to prevent, restrict or distort competition within the internal marke</w:t>
      </w:r>
      <w:r w:rsidR="0067115E">
        <w:rPr>
          <w:rFonts w:ascii="Arial" w:hAnsi="Arial" w:cs="Arial"/>
          <w:bCs/>
          <w:iCs/>
          <w:sz w:val="24"/>
          <w:szCs w:val="24"/>
          <w:lang w:val="en-US"/>
        </w:rPr>
        <w:t xml:space="preserve">t. The Directorate-General for </w:t>
      </w:r>
      <w:r w:rsidR="0010149A">
        <w:rPr>
          <w:rFonts w:ascii="Arial" w:hAnsi="Arial" w:cs="Arial"/>
          <w:bCs/>
          <w:iCs/>
          <w:sz w:val="24"/>
          <w:szCs w:val="24"/>
          <w:lang w:val="en-US"/>
        </w:rPr>
        <w:t xml:space="preserve">Competition of the European Commission is responsible for </w:t>
      </w:r>
      <w:r w:rsidR="00E8745B">
        <w:rPr>
          <w:rFonts w:ascii="Arial" w:hAnsi="Arial" w:cs="Arial"/>
          <w:bCs/>
          <w:iCs/>
          <w:sz w:val="24"/>
          <w:szCs w:val="24"/>
          <w:lang w:val="en-US"/>
        </w:rPr>
        <w:t>investigation and enforcement of the competition law provisions</w:t>
      </w:r>
      <w:r w:rsidR="00E8745B">
        <w:rPr>
          <w:rStyle w:val="FootnoteReference"/>
          <w:rFonts w:ascii="Arial" w:hAnsi="Arial" w:cs="Arial"/>
          <w:bCs/>
          <w:iCs/>
          <w:sz w:val="24"/>
          <w:szCs w:val="24"/>
          <w:lang w:val="en-US"/>
        </w:rPr>
        <w:footnoteReference w:id="27"/>
      </w:r>
      <w:r w:rsidR="00C02D78">
        <w:rPr>
          <w:rFonts w:ascii="Arial" w:hAnsi="Arial" w:cs="Arial"/>
          <w:bCs/>
          <w:iCs/>
          <w:sz w:val="24"/>
          <w:szCs w:val="24"/>
          <w:lang w:val="en-US"/>
        </w:rPr>
        <w:t>.</w:t>
      </w:r>
      <w:r w:rsidR="00AD5D62">
        <w:rPr>
          <w:rFonts w:ascii="Arial" w:hAnsi="Arial" w:cs="Arial"/>
          <w:bCs/>
          <w:iCs/>
          <w:sz w:val="24"/>
          <w:szCs w:val="24"/>
          <w:lang w:val="en-US"/>
        </w:rPr>
        <w:t xml:space="preserve"> Any agreements or decisions found to infringe Article 101(1) TFEU are automatically void</w:t>
      </w:r>
      <w:r w:rsidR="00AD5D62">
        <w:rPr>
          <w:rStyle w:val="FootnoteReference"/>
          <w:rFonts w:ascii="Arial" w:hAnsi="Arial" w:cs="Arial"/>
          <w:bCs/>
          <w:iCs/>
          <w:sz w:val="24"/>
          <w:szCs w:val="24"/>
          <w:lang w:val="en-US"/>
        </w:rPr>
        <w:footnoteReference w:id="28"/>
      </w:r>
      <w:r w:rsidR="00AD5D62">
        <w:rPr>
          <w:rFonts w:ascii="Arial" w:hAnsi="Arial" w:cs="Arial"/>
          <w:bCs/>
          <w:iCs/>
          <w:sz w:val="24"/>
          <w:szCs w:val="24"/>
          <w:lang w:val="en-US"/>
        </w:rPr>
        <w:t>.</w:t>
      </w:r>
    </w:p>
    <w:p w14:paraId="681C06C4" w14:textId="35990FA9" w:rsidR="00072404" w:rsidRDefault="00C02D78" w:rsidP="004029EF">
      <w:pPr>
        <w:jc w:val="both"/>
        <w:rPr>
          <w:rFonts w:ascii="Arial" w:hAnsi="Arial" w:cs="Arial"/>
          <w:bCs/>
          <w:iCs/>
          <w:sz w:val="24"/>
          <w:szCs w:val="24"/>
          <w:lang w:val="en-US"/>
        </w:rPr>
      </w:pPr>
      <w:r>
        <w:rPr>
          <w:rFonts w:ascii="Arial" w:hAnsi="Arial" w:cs="Arial"/>
          <w:bCs/>
          <w:iCs/>
          <w:sz w:val="24"/>
          <w:szCs w:val="24"/>
          <w:lang w:val="en-US"/>
        </w:rPr>
        <w:t>The first, and most important, element is the requirement for an agreement, a decision of an association of undertakings or a con</w:t>
      </w:r>
      <w:r w:rsidR="004E20F7">
        <w:rPr>
          <w:rFonts w:ascii="Arial" w:hAnsi="Arial" w:cs="Arial"/>
          <w:bCs/>
          <w:iCs/>
          <w:sz w:val="24"/>
          <w:szCs w:val="24"/>
          <w:lang w:val="en-US"/>
        </w:rPr>
        <w:t>certed practice. For an agreement</w:t>
      </w:r>
      <w:r w:rsidR="00575A9F">
        <w:rPr>
          <w:rFonts w:ascii="Arial" w:hAnsi="Arial" w:cs="Arial"/>
          <w:bCs/>
          <w:iCs/>
          <w:sz w:val="24"/>
          <w:szCs w:val="24"/>
          <w:lang w:val="en-US"/>
        </w:rPr>
        <w:t xml:space="preserve"> there must be “the existence of a concurrence of wills between at least two parties, the form in which it is manifested being unimportant so long as it constitutes the faithful expression of the parties’ intention”</w:t>
      </w:r>
      <w:r w:rsidR="00575A9F">
        <w:rPr>
          <w:rStyle w:val="FootnoteReference"/>
          <w:rFonts w:ascii="Arial" w:hAnsi="Arial" w:cs="Arial"/>
          <w:bCs/>
          <w:iCs/>
          <w:sz w:val="24"/>
          <w:szCs w:val="24"/>
          <w:lang w:val="en-US"/>
        </w:rPr>
        <w:footnoteReference w:id="29"/>
      </w:r>
      <w:r w:rsidR="00575A9F">
        <w:rPr>
          <w:rFonts w:ascii="Arial" w:hAnsi="Arial" w:cs="Arial"/>
          <w:bCs/>
          <w:iCs/>
          <w:sz w:val="24"/>
          <w:szCs w:val="24"/>
          <w:lang w:val="en-US"/>
        </w:rPr>
        <w:t>.</w:t>
      </w:r>
      <w:r w:rsidR="0043492E">
        <w:rPr>
          <w:rFonts w:ascii="Arial" w:hAnsi="Arial" w:cs="Arial"/>
          <w:bCs/>
          <w:iCs/>
          <w:sz w:val="24"/>
          <w:szCs w:val="24"/>
          <w:lang w:val="en-US"/>
        </w:rPr>
        <w:t xml:space="preserve"> </w:t>
      </w:r>
      <w:r w:rsidR="00E94DEB">
        <w:rPr>
          <w:rFonts w:ascii="Arial" w:hAnsi="Arial" w:cs="Arial"/>
          <w:bCs/>
          <w:iCs/>
          <w:sz w:val="24"/>
          <w:szCs w:val="24"/>
          <w:lang w:val="en-US"/>
        </w:rPr>
        <w:t>As with the situation in the USA, agreements can be either horizontal or vertical with the Court of Justice of the European Union (CJEU) holding that the standard of proof</w:t>
      </w:r>
      <w:r w:rsidR="00A61EF7">
        <w:rPr>
          <w:rFonts w:ascii="Arial" w:hAnsi="Arial" w:cs="Arial"/>
          <w:bCs/>
          <w:iCs/>
          <w:sz w:val="24"/>
          <w:szCs w:val="24"/>
          <w:lang w:val="en-US"/>
        </w:rPr>
        <w:t>, as set out</w:t>
      </w:r>
      <w:r w:rsidR="00E94DEB">
        <w:rPr>
          <w:rFonts w:ascii="Arial" w:hAnsi="Arial" w:cs="Arial"/>
          <w:bCs/>
          <w:iCs/>
          <w:sz w:val="24"/>
          <w:szCs w:val="24"/>
          <w:lang w:val="en-US"/>
        </w:rPr>
        <w:t xml:space="preserve"> </w:t>
      </w:r>
      <w:r w:rsidR="001D1457">
        <w:rPr>
          <w:rFonts w:ascii="Arial" w:hAnsi="Arial" w:cs="Arial"/>
          <w:bCs/>
          <w:iCs/>
          <w:sz w:val="24"/>
          <w:szCs w:val="24"/>
          <w:lang w:val="en-US"/>
        </w:rPr>
        <w:t>above</w:t>
      </w:r>
      <w:r w:rsidR="00A61EF7">
        <w:rPr>
          <w:rFonts w:ascii="Arial" w:hAnsi="Arial" w:cs="Arial"/>
          <w:bCs/>
          <w:iCs/>
          <w:sz w:val="24"/>
          <w:szCs w:val="24"/>
          <w:lang w:val="en-US"/>
        </w:rPr>
        <w:t>,</w:t>
      </w:r>
      <w:r w:rsidR="001D1457">
        <w:rPr>
          <w:rFonts w:ascii="Arial" w:hAnsi="Arial" w:cs="Arial"/>
          <w:bCs/>
          <w:iCs/>
          <w:sz w:val="24"/>
          <w:szCs w:val="24"/>
          <w:lang w:val="en-US"/>
        </w:rPr>
        <w:t xml:space="preserve"> is applicable to both</w:t>
      </w:r>
      <w:r w:rsidR="001D1457">
        <w:rPr>
          <w:rStyle w:val="FootnoteReference"/>
          <w:rFonts w:ascii="Arial" w:hAnsi="Arial" w:cs="Arial"/>
          <w:bCs/>
          <w:iCs/>
          <w:sz w:val="24"/>
          <w:szCs w:val="24"/>
          <w:lang w:val="en-US"/>
        </w:rPr>
        <w:footnoteReference w:id="30"/>
      </w:r>
      <w:r w:rsidR="00A61EF7">
        <w:rPr>
          <w:rFonts w:ascii="Arial" w:hAnsi="Arial" w:cs="Arial"/>
          <w:bCs/>
          <w:iCs/>
          <w:sz w:val="24"/>
          <w:szCs w:val="24"/>
          <w:lang w:val="en-US"/>
        </w:rPr>
        <w:t>. If a cartel is coordinated through decisions of a trade agreement then these can also come within the scope of Article 101(1) TFEU</w:t>
      </w:r>
      <w:r w:rsidR="00DD24A7">
        <w:rPr>
          <w:rFonts w:ascii="Arial" w:hAnsi="Arial" w:cs="Arial"/>
          <w:bCs/>
          <w:iCs/>
          <w:sz w:val="24"/>
          <w:szCs w:val="24"/>
          <w:lang w:val="en-US"/>
        </w:rPr>
        <w:t xml:space="preserve"> </w:t>
      </w:r>
      <w:r w:rsidR="00DD24A7" w:rsidRPr="00DD24A7">
        <w:rPr>
          <w:rFonts w:ascii="Arial" w:hAnsi="Arial" w:cs="Arial"/>
          <w:bCs/>
          <w:iCs/>
          <w:sz w:val="24"/>
          <w:szCs w:val="24"/>
          <w:lang w:val="en-US"/>
        </w:rPr>
        <w:t>in so far as their own</w:t>
      </w:r>
      <w:r w:rsidR="00DD24A7">
        <w:rPr>
          <w:rFonts w:ascii="Arial" w:hAnsi="Arial" w:cs="Arial"/>
          <w:bCs/>
          <w:iCs/>
          <w:sz w:val="24"/>
          <w:szCs w:val="24"/>
          <w:lang w:val="en-US"/>
        </w:rPr>
        <w:t xml:space="preserve"> </w:t>
      </w:r>
      <w:r w:rsidR="00DD24A7" w:rsidRPr="00DD24A7">
        <w:rPr>
          <w:rFonts w:ascii="Arial" w:hAnsi="Arial" w:cs="Arial"/>
          <w:bCs/>
          <w:iCs/>
          <w:sz w:val="24"/>
          <w:szCs w:val="24"/>
          <w:lang w:val="en-US"/>
        </w:rPr>
        <w:t>activities or those of the undertakings affiliated to them are calculated to</w:t>
      </w:r>
      <w:r w:rsidR="00DD24A7">
        <w:rPr>
          <w:rFonts w:ascii="Arial" w:hAnsi="Arial" w:cs="Arial"/>
          <w:bCs/>
          <w:iCs/>
          <w:sz w:val="24"/>
          <w:szCs w:val="24"/>
          <w:lang w:val="en-US"/>
        </w:rPr>
        <w:t xml:space="preserve"> </w:t>
      </w:r>
      <w:r w:rsidR="00DD24A7" w:rsidRPr="00DD24A7">
        <w:rPr>
          <w:rFonts w:ascii="Arial" w:hAnsi="Arial" w:cs="Arial"/>
          <w:bCs/>
          <w:iCs/>
          <w:sz w:val="24"/>
          <w:szCs w:val="24"/>
          <w:lang w:val="en-US"/>
        </w:rPr>
        <w:lastRenderedPageBreak/>
        <w:t xml:space="preserve">produce the results which </w:t>
      </w:r>
      <w:r w:rsidR="00DD24A7">
        <w:rPr>
          <w:rFonts w:ascii="Arial" w:hAnsi="Arial" w:cs="Arial"/>
          <w:bCs/>
          <w:iCs/>
          <w:sz w:val="24"/>
          <w:szCs w:val="24"/>
          <w:lang w:val="en-US"/>
        </w:rPr>
        <w:t>the association</w:t>
      </w:r>
      <w:r w:rsidR="00DD24A7" w:rsidRPr="00DD24A7">
        <w:rPr>
          <w:rFonts w:ascii="Arial" w:hAnsi="Arial" w:cs="Arial"/>
          <w:bCs/>
          <w:iCs/>
          <w:sz w:val="24"/>
          <w:szCs w:val="24"/>
          <w:lang w:val="en-US"/>
        </w:rPr>
        <w:t xml:space="preserve"> aims to suppress</w:t>
      </w:r>
      <w:r w:rsidR="00DD24A7">
        <w:rPr>
          <w:rStyle w:val="FootnoteReference"/>
          <w:rFonts w:ascii="Arial" w:hAnsi="Arial" w:cs="Arial"/>
          <w:bCs/>
          <w:iCs/>
          <w:sz w:val="24"/>
          <w:szCs w:val="24"/>
          <w:lang w:val="en-US"/>
        </w:rPr>
        <w:footnoteReference w:id="31"/>
      </w:r>
      <w:r w:rsidR="00DD24A7">
        <w:rPr>
          <w:rFonts w:ascii="Arial" w:hAnsi="Arial" w:cs="Arial"/>
          <w:bCs/>
          <w:iCs/>
          <w:sz w:val="24"/>
          <w:szCs w:val="24"/>
          <w:lang w:val="en-US"/>
        </w:rPr>
        <w:t xml:space="preserve">. The third situation that comes within the scope of Article 101(1) TFEU is that of concerted practices. </w:t>
      </w:r>
      <w:r w:rsidR="00EC3067">
        <w:rPr>
          <w:rFonts w:ascii="Arial" w:hAnsi="Arial" w:cs="Arial"/>
          <w:bCs/>
          <w:iCs/>
          <w:sz w:val="24"/>
          <w:szCs w:val="24"/>
          <w:lang w:val="en-US"/>
        </w:rPr>
        <w:t>The aim of the term “concerted practices” is to extend the prohibition of Article 101(1) TFEU to “</w:t>
      </w:r>
      <w:r w:rsidR="00EC3067" w:rsidRPr="00EC3067">
        <w:rPr>
          <w:rFonts w:ascii="Arial" w:hAnsi="Arial" w:cs="Arial"/>
          <w:bCs/>
          <w:iCs/>
          <w:sz w:val="24"/>
          <w:szCs w:val="24"/>
          <w:lang w:val="en-US"/>
        </w:rPr>
        <w:t>a form of</w:t>
      </w:r>
      <w:r w:rsidR="00EC3067">
        <w:rPr>
          <w:rFonts w:ascii="Arial" w:hAnsi="Arial" w:cs="Arial"/>
          <w:bCs/>
          <w:iCs/>
          <w:sz w:val="24"/>
          <w:szCs w:val="24"/>
          <w:lang w:val="en-US"/>
        </w:rPr>
        <w:t xml:space="preserve"> </w:t>
      </w:r>
      <w:r w:rsidR="00EC3067" w:rsidRPr="00EC3067">
        <w:rPr>
          <w:rFonts w:ascii="Arial" w:hAnsi="Arial" w:cs="Arial"/>
          <w:bCs/>
          <w:iCs/>
          <w:sz w:val="24"/>
          <w:szCs w:val="24"/>
          <w:lang w:val="en-US"/>
        </w:rPr>
        <w:t>coordination between undertakings which, withou</w:t>
      </w:r>
      <w:r w:rsidR="00EC3067">
        <w:rPr>
          <w:rFonts w:ascii="Arial" w:hAnsi="Arial" w:cs="Arial"/>
          <w:bCs/>
          <w:iCs/>
          <w:sz w:val="24"/>
          <w:szCs w:val="24"/>
          <w:lang w:val="en-US"/>
        </w:rPr>
        <w:t xml:space="preserve">t having reached the stage where </w:t>
      </w:r>
      <w:r w:rsidR="00EC3067" w:rsidRPr="00EC3067">
        <w:rPr>
          <w:rFonts w:ascii="Arial" w:hAnsi="Arial" w:cs="Arial"/>
          <w:bCs/>
          <w:iCs/>
          <w:sz w:val="24"/>
          <w:szCs w:val="24"/>
          <w:lang w:val="en-US"/>
        </w:rPr>
        <w:t>an agreement properly so-called has been concluded, knowingly substitutes</w:t>
      </w:r>
      <w:r w:rsidR="00EC3067">
        <w:rPr>
          <w:rFonts w:ascii="Arial" w:hAnsi="Arial" w:cs="Arial"/>
          <w:bCs/>
          <w:iCs/>
          <w:sz w:val="24"/>
          <w:szCs w:val="24"/>
          <w:lang w:val="en-US"/>
        </w:rPr>
        <w:t xml:space="preserve"> </w:t>
      </w:r>
      <w:r w:rsidR="00EC3067" w:rsidRPr="00EC3067">
        <w:rPr>
          <w:rFonts w:ascii="Arial" w:hAnsi="Arial" w:cs="Arial"/>
          <w:bCs/>
          <w:iCs/>
          <w:sz w:val="24"/>
          <w:szCs w:val="24"/>
          <w:lang w:val="en-US"/>
        </w:rPr>
        <w:t>practical cooperation between them for the risks of competition</w:t>
      </w:r>
      <w:r w:rsidR="00EC3067">
        <w:rPr>
          <w:rFonts w:ascii="Arial" w:hAnsi="Arial" w:cs="Arial"/>
          <w:bCs/>
          <w:iCs/>
          <w:sz w:val="24"/>
          <w:szCs w:val="24"/>
          <w:lang w:val="en-US"/>
        </w:rPr>
        <w:t>”</w:t>
      </w:r>
      <w:r w:rsidR="00EC3067">
        <w:rPr>
          <w:rStyle w:val="FootnoteReference"/>
          <w:rFonts w:ascii="Arial" w:hAnsi="Arial" w:cs="Arial"/>
          <w:bCs/>
          <w:iCs/>
          <w:sz w:val="24"/>
          <w:szCs w:val="24"/>
          <w:lang w:val="en-US"/>
        </w:rPr>
        <w:footnoteReference w:id="32"/>
      </w:r>
      <w:r w:rsidR="004029EF">
        <w:rPr>
          <w:rFonts w:ascii="Arial" w:hAnsi="Arial" w:cs="Arial"/>
          <w:bCs/>
          <w:iCs/>
          <w:sz w:val="24"/>
          <w:szCs w:val="24"/>
          <w:lang w:val="en-US"/>
        </w:rPr>
        <w:t>. The CJEU</w:t>
      </w:r>
      <w:r w:rsidR="00EC3067">
        <w:rPr>
          <w:rFonts w:ascii="Arial" w:hAnsi="Arial" w:cs="Arial"/>
          <w:bCs/>
          <w:iCs/>
          <w:sz w:val="24"/>
          <w:szCs w:val="24"/>
          <w:lang w:val="en-US"/>
        </w:rPr>
        <w:t xml:space="preserve"> further developed </w:t>
      </w:r>
      <w:r w:rsidR="004029EF">
        <w:rPr>
          <w:rFonts w:ascii="Arial" w:hAnsi="Arial" w:cs="Arial"/>
          <w:bCs/>
          <w:iCs/>
          <w:sz w:val="24"/>
          <w:szCs w:val="24"/>
          <w:lang w:val="en-US"/>
        </w:rPr>
        <w:t>this so that Article 101(1) TFEU strictly prohibits “</w:t>
      </w:r>
      <w:r w:rsidR="004029EF" w:rsidRPr="004029EF">
        <w:rPr>
          <w:rFonts w:ascii="Arial" w:hAnsi="Arial" w:cs="Arial"/>
          <w:bCs/>
          <w:iCs/>
          <w:sz w:val="24"/>
          <w:szCs w:val="24"/>
          <w:lang w:val="en-US"/>
        </w:rPr>
        <w:t>any direct or indirect contact between such operators, the</w:t>
      </w:r>
      <w:r w:rsidR="004029EF">
        <w:rPr>
          <w:rFonts w:ascii="Arial" w:hAnsi="Arial" w:cs="Arial"/>
          <w:bCs/>
          <w:iCs/>
          <w:sz w:val="24"/>
          <w:szCs w:val="24"/>
          <w:lang w:val="en-US"/>
        </w:rPr>
        <w:t xml:space="preserve"> </w:t>
      </w:r>
      <w:r w:rsidR="004029EF" w:rsidRPr="004029EF">
        <w:rPr>
          <w:rFonts w:ascii="Arial" w:hAnsi="Arial" w:cs="Arial"/>
          <w:bCs/>
          <w:iCs/>
          <w:sz w:val="24"/>
          <w:szCs w:val="24"/>
          <w:lang w:val="en-US"/>
        </w:rPr>
        <w:t>object or effect whereof is either to influence the conduct on the market of an</w:t>
      </w:r>
      <w:r w:rsidR="004029EF">
        <w:rPr>
          <w:rFonts w:ascii="Arial" w:hAnsi="Arial" w:cs="Arial"/>
          <w:bCs/>
          <w:iCs/>
          <w:sz w:val="24"/>
          <w:szCs w:val="24"/>
          <w:lang w:val="en-US"/>
        </w:rPr>
        <w:t xml:space="preserve"> </w:t>
      </w:r>
      <w:r w:rsidR="004029EF" w:rsidRPr="004029EF">
        <w:rPr>
          <w:rFonts w:ascii="Arial" w:hAnsi="Arial" w:cs="Arial"/>
          <w:bCs/>
          <w:iCs/>
          <w:sz w:val="24"/>
          <w:szCs w:val="24"/>
          <w:lang w:val="en-US"/>
        </w:rPr>
        <w:t>actual or potential competitor or to disclose to such a competitor the course</w:t>
      </w:r>
      <w:r w:rsidR="004029EF">
        <w:rPr>
          <w:rFonts w:ascii="Arial" w:hAnsi="Arial" w:cs="Arial"/>
          <w:bCs/>
          <w:iCs/>
          <w:sz w:val="24"/>
          <w:szCs w:val="24"/>
          <w:lang w:val="en-US"/>
        </w:rPr>
        <w:t xml:space="preserve"> </w:t>
      </w:r>
      <w:r w:rsidR="004029EF" w:rsidRPr="004029EF">
        <w:rPr>
          <w:rFonts w:ascii="Arial" w:hAnsi="Arial" w:cs="Arial"/>
          <w:bCs/>
          <w:iCs/>
          <w:sz w:val="24"/>
          <w:szCs w:val="24"/>
          <w:lang w:val="en-US"/>
        </w:rPr>
        <w:t>of conduct which they themselves have decided to adopt or contemplate</w:t>
      </w:r>
      <w:r w:rsidR="004029EF">
        <w:rPr>
          <w:rFonts w:ascii="Arial" w:hAnsi="Arial" w:cs="Arial"/>
          <w:bCs/>
          <w:iCs/>
          <w:sz w:val="24"/>
          <w:szCs w:val="24"/>
          <w:lang w:val="en-US"/>
        </w:rPr>
        <w:t xml:space="preserve"> </w:t>
      </w:r>
      <w:r w:rsidR="004029EF" w:rsidRPr="004029EF">
        <w:rPr>
          <w:rFonts w:ascii="Arial" w:hAnsi="Arial" w:cs="Arial"/>
          <w:bCs/>
          <w:iCs/>
          <w:sz w:val="24"/>
          <w:szCs w:val="24"/>
          <w:lang w:val="en-US"/>
        </w:rPr>
        <w:t>adopting on the market.</w:t>
      </w:r>
      <w:r w:rsidR="004029EF">
        <w:rPr>
          <w:rFonts w:ascii="Arial" w:hAnsi="Arial" w:cs="Arial"/>
          <w:bCs/>
          <w:iCs/>
          <w:sz w:val="24"/>
          <w:szCs w:val="24"/>
          <w:lang w:val="en-US"/>
        </w:rPr>
        <w:t>”</w:t>
      </w:r>
      <w:r w:rsidR="004029EF">
        <w:rPr>
          <w:rStyle w:val="FootnoteReference"/>
          <w:rFonts w:ascii="Arial" w:hAnsi="Arial" w:cs="Arial"/>
          <w:bCs/>
          <w:iCs/>
          <w:sz w:val="24"/>
          <w:szCs w:val="24"/>
          <w:lang w:val="en-US"/>
        </w:rPr>
        <w:footnoteReference w:id="33"/>
      </w:r>
    </w:p>
    <w:p w14:paraId="48A59FDB" w14:textId="7409939A" w:rsidR="004029EF" w:rsidRDefault="004029EF" w:rsidP="004029EF">
      <w:pPr>
        <w:jc w:val="both"/>
        <w:rPr>
          <w:rFonts w:ascii="Arial" w:hAnsi="Arial" w:cs="Arial"/>
          <w:bCs/>
          <w:iCs/>
          <w:sz w:val="24"/>
          <w:szCs w:val="24"/>
          <w:lang w:val="en-US"/>
        </w:rPr>
      </w:pPr>
      <w:r>
        <w:rPr>
          <w:rFonts w:ascii="Arial" w:hAnsi="Arial" w:cs="Arial"/>
          <w:bCs/>
          <w:iCs/>
          <w:sz w:val="24"/>
          <w:szCs w:val="24"/>
          <w:lang w:val="en-US"/>
        </w:rPr>
        <w:t>The second element requires inter-Member State trade, which defines “the boundary between the areas respectively covered by [EU] law and the law of the Member States”</w:t>
      </w:r>
      <w:r>
        <w:rPr>
          <w:rStyle w:val="FootnoteReference"/>
          <w:rFonts w:ascii="Arial" w:hAnsi="Arial" w:cs="Arial"/>
          <w:bCs/>
          <w:iCs/>
          <w:sz w:val="24"/>
          <w:szCs w:val="24"/>
          <w:lang w:val="en-US"/>
        </w:rPr>
        <w:footnoteReference w:id="34"/>
      </w:r>
      <w:r w:rsidR="00B43F2D">
        <w:rPr>
          <w:rFonts w:ascii="Arial" w:hAnsi="Arial" w:cs="Arial"/>
          <w:bCs/>
          <w:iCs/>
          <w:sz w:val="24"/>
          <w:szCs w:val="24"/>
          <w:lang w:val="en-US"/>
        </w:rPr>
        <w:t>.</w:t>
      </w:r>
      <w:r w:rsidR="00A56E23">
        <w:rPr>
          <w:rFonts w:ascii="Arial" w:hAnsi="Arial" w:cs="Arial"/>
          <w:bCs/>
          <w:iCs/>
          <w:sz w:val="24"/>
          <w:szCs w:val="24"/>
          <w:lang w:val="en-US"/>
        </w:rPr>
        <w:t xml:space="preserve"> With the introduction of Regulation 1/2003</w:t>
      </w:r>
      <w:r w:rsidR="00A56E23">
        <w:rPr>
          <w:rStyle w:val="FootnoteReference"/>
          <w:rFonts w:ascii="Arial" w:hAnsi="Arial" w:cs="Arial"/>
          <w:bCs/>
          <w:iCs/>
          <w:sz w:val="24"/>
          <w:szCs w:val="24"/>
          <w:lang w:val="en-US"/>
        </w:rPr>
        <w:footnoteReference w:id="35"/>
      </w:r>
      <w:r w:rsidR="00A56E23">
        <w:rPr>
          <w:rFonts w:ascii="Arial" w:hAnsi="Arial" w:cs="Arial"/>
          <w:bCs/>
          <w:iCs/>
          <w:sz w:val="24"/>
          <w:szCs w:val="24"/>
          <w:lang w:val="en-US"/>
        </w:rPr>
        <w:t>, the “</w:t>
      </w:r>
      <w:proofErr w:type="spellStart"/>
      <w:r w:rsidR="00A56E23">
        <w:rPr>
          <w:rFonts w:ascii="Arial" w:hAnsi="Arial" w:cs="Arial"/>
          <w:bCs/>
          <w:iCs/>
          <w:sz w:val="24"/>
          <w:szCs w:val="24"/>
          <w:lang w:val="en-US"/>
        </w:rPr>
        <w:t>Europeanisation</w:t>
      </w:r>
      <w:proofErr w:type="spellEnd"/>
      <w:r w:rsidR="00A56E23">
        <w:rPr>
          <w:rFonts w:ascii="Arial" w:hAnsi="Arial" w:cs="Arial"/>
          <w:bCs/>
          <w:iCs/>
          <w:sz w:val="24"/>
          <w:szCs w:val="24"/>
          <w:lang w:val="en-US"/>
        </w:rPr>
        <w:t>” of most Member States’ competition laws and the introduction of the European Competition Network</w:t>
      </w:r>
      <w:r w:rsidR="00A56E23">
        <w:rPr>
          <w:rStyle w:val="FootnoteReference"/>
          <w:rFonts w:ascii="Arial" w:hAnsi="Arial" w:cs="Arial"/>
          <w:bCs/>
          <w:iCs/>
          <w:sz w:val="24"/>
          <w:szCs w:val="24"/>
          <w:lang w:val="en-US"/>
        </w:rPr>
        <w:footnoteReference w:id="36"/>
      </w:r>
      <w:r w:rsidR="00A56E23">
        <w:rPr>
          <w:rFonts w:ascii="Arial" w:hAnsi="Arial" w:cs="Arial"/>
          <w:bCs/>
          <w:iCs/>
          <w:sz w:val="24"/>
          <w:szCs w:val="24"/>
          <w:lang w:val="en-US"/>
        </w:rPr>
        <w:t xml:space="preserve"> this delineation </w:t>
      </w:r>
      <w:proofErr w:type="gramStart"/>
      <w:r w:rsidR="00A56E23">
        <w:rPr>
          <w:rFonts w:ascii="Arial" w:hAnsi="Arial" w:cs="Arial"/>
          <w:bCs/>
          <w:iCs/>
          <w:sz w:val="24"/>
          <w:szCs w:val="24"/>
          <w:lang w:val="en-US"/>
        </w:rPr>
        <w:t>takes</w:t>
      </w:r>
      <w:proofErr w:type="gramEnd"/>
      <w:r w:rsidR="00A56E23">
        <w:rPr>
          <w:rFonts w:ascii="Arial" w:hAnsi="Arial" w:cs="Arial"/>
          <w:bCs/>
          <w:iCs/>
          <w:sz w:val="24"/>
          <w:szCs w:val="24"/>
          <w:lang w:val="en-US"/>
        </w:rPr>
        <w:t xml:space="preserve"> on greater importance </w:t>
      </w:r>
      <w:r w:rsidR="007515A6">
        <w:rPr>
          <w:rFonts w:ascii="Arial" w:hAnsi="Arial" w:cs="Arial"/>
          <w:bCs/>
          <w:iCs/>
          <w:sz w:val="24"/>
          <w:szCs w:val="24"/>
          <w:lang w:val="en-US"/>
        </w:rPr>
        <w:t xml:space="preserve">with </w:t>
      </w:r>
      <w:r w:rsidR="00A56E23">
        <w:rPr>
          <w:rFonts w:ascii="Arial" w:hAnsi="Arial" w:cs="Arial"/>
          <w:bCs/>
          <w:iCs/>
          <w:sz w:val="24"/>
          <w:szCs w:val="24"/>
          <w:lang w:val="en-US"/>
        </w:rPr>
        <w:t xml:space="preserve">the Commission </w:t>
      </w:r>
      <w:r w:rsidR="007515A6">
        <w:rPr>
          <w:rFonts w:ascii="Arial" w:hAnsi="Arial" w:cs="Arial"/>
          <w:bCs/>
          <w:iCs/>
          <w:sz w:val="24"/>
          <w:szCs w:val="24"/>
          <w:lang w:val="en-US"/>
        </w:rPr>
        <w:t>issuing</w:t>
      </w:r>
      <w:r w:rsidR="00A56E23">
        <w:rPr>
          <w:rFonts w:ascii="Arial" w:hAnsi="Arial" w:cs="Arial"/>
          <w:bCs/>
          <w:iCs/>
          <w:sz w:val="24"/>
          <w:szCs w:val="24"/>
          <w:lang w:val="en-US"/>
        </w:rPr>
        <w:t xml:space="preserve"> ‘Guidelines on inter-State trade’</w:t>
      </w:r>
      <w:r w:rsidR="00A56E23">
        <w:rPr>
          <w:rStyle w:val="FootnoteReference"/>
          <w:rFonts w:ascii="Arial" w:hAnsi="Arial" w:cs="Arial"/>
          <w:bCs/>
          <w:iCs/>
          <w:sz w:val="24"/>
          <w:szCs w:val="24"/>
          <w:lang w:val="en-US"/>
        </w:rPr>
        <w:footnoteReference w:id="37"/>
      </w:r>
      <w:r w:rsidR="00A56E23">
        <w:rPr>
          <w:rFonts w:ascii="Arial" w:hAnsi="Arial" w:cs="Arial"/>
          <w:bCs/>
          <w:iCs/>
          <w:sz w:val="24"/>
          <w:szCs w:val="24"/>
          <w:lang w:val="en-US"/>
        </w:rPr>
        <w:t>.</w:t>
      </w:r>
    </w:p>
    <w:p w14:paraId="109B5138" w14:textId="15CBED73" w:rsidR="00A56E23" w:rsidRDefault="00A56E23" w:rsidP="004029EF">
      <w:pPr>
        <w:jc w:val="both"/>
        <w:rPr>
          <w:rFonts w:ascii="Arial" w:hAnsi="Arial" w:cs="Arial"/>
          <w:bCs/>
          <w:iCs/>
          <w:sz w:val="24"/>
          <w:szCs w:val="24"/>
          <w:lang w:val="en-US"/>
        </w:rPr>
      </w:pPr>
      <w:r>
        <w:rPr>
          <w:rFonts w:ascii="Arial" w:hAnsi="Arial" w:cs="Arial"/>
          <w:bCs/>
          <w:iCs/>
          <w:sz w:val="24"/>
          <w:szCs w:val="24"/>
          <w:lang w:val="en-US"/>
        </w:rPr>
        <w:t xml:space="preserve">The third and final element requires there to be an object or effect of preventing, restricting or distorting competition. As the </w:t>
      </w:r>
      <w:r w:rsidR="007C17FF">
        <w:rPr>
          <w:rFonts w:ascii="Arial" w:hAnsi="Arial" w:cs="Arial"/>
          <w:bCs/>
          <w:iCs/>
          <w:sz w:val="24"/>
          <w:szCs w:val="24"/>
          <w:lang w:val="en-US"/>
        </w:rPr>
        <w:t>CJEU has made clear this is to be read disjunctively rather than conjunctively</w:t>
      </w:r>
      <w:r w:rsidR="007C17FF">
        <w:rPr>
          <w:rStyle w:val="FootnoteReference"/>
          <w:rFonts w:ascii="Arial" w:hAnsi="Arial" w:cs="Arial"/>
          <w:bCs/>
          <w:iCs/>
          <w:sz w:val="24"/>
          <w:szCs w:val="24"/>
          <w:lang w:val="en-US"/>
        </w:rPr>
        <w:footnoteReference w:id="38"/>
      </w:r>
      <w:r w:rsidR="007C17FF">
        <w:rPr>
          <w:rFonts w:ascii="Arial" w:hAnsi="Arial" w:cs="Arial"/>
          <w:bCs/>
          <w:iCs/>
          <w:sz w:val="24"/>
          <w:szCs w:val="24"/>
          <w:lang w:val="en-US"/>
        </w:rPr>
        <w:t xml:space="preserve">. </w:t>
      </w:r>
      <w:r w:rsidR="0091388B">
        <w:rPr>
          <w:rFonts w:ascii="Arial" w:hAnsi="Arial" w:cs="Arial"/>
          <w:bCs/>
          <w:iCs/>
          <w:sz w:val="24"/>
          <w:szCs w:val="24"/>
          <w:lang w:val="en-US"/>
        </w:rPr>
        <w:t xml:space="preserve">Article 101(1) TFEU provides a non-exhaustive list of examples of hard-core cartels, one of which is price-fixing. This effectively means that price fixing is a </w:t>
      </w:r>
      <w:r w:rsidR="0091388B">
        <w:rPr>
          <w:rFonts w:ascii="Arial" w:hAnsi="Arial" w:cs="Arial"/>
          <w:bCs/>
          <w:i/>
          <w:iCs/>
          <w:sz w:val="24"/>
          <w:szCs w:val="24"/>
          <w:lang w:val="en-US"/>
        </w:rPr>
        <w:t>per se</w:t>
      </w:r>
      <w:r w:rsidR="0091388B">
        <w:rPr>
          <w:rFonts w:ascii="Arial" w:hAnsi="Arial" w:cs="Arial"/>
          <w:bCs/>
          <w:iCs/>
          <w:sz w:val="24"/>
          <w:szCs w:val="24"/>
          <w:lang w:val="en-US"/>
        </w:rPr>
        <w:t xml:space="preserve"> violation and the Article 101(3) TFEU defence would not apply.</w:t>
      </w:r>
    </w:p>
    <w:p w14:paraId="4B6107CE" w14:textId="7FF48990" w:rsidR="0091388B" w:rsidRDefault="0091388B" w:rsidP="004029EF">
      <w:pPr>
        <w:jc w:val="both"/>
        <w:rPr>
          <w:rFonts w:ascii="Arial" w:hAnsi="Arial" w:cs="Arial"/>
          <w:bCs/>
          <w:iCs/>
          <w:sz w:val="24"/>
          <w:szCs w:val="24"/>
          <w:lang w:val="en-US"/>
        </w:rPr>
      </w:pPr>
      <w:r>
        <w:rPr>
          <w:rFonts w:ascii="Arial" w:hAnsi="Arial" w:cs="Arial"/>
          <w:bCs/>
          <w:iCs/>
          <w:sz w:val="24"/>
          <w:szCs w:val="24"/>
          <w:lang w:val="en-US"/>
        </w:rPr>
        <w:tab/>
      </w:r>
      <w:r>
        <w:rPr>
          <w:rFonts w:ascii="Arial" w:hAnsi="Arial" w:cs="Arial"/>
          <w:bCs/>
          <w:iCs/>
          <w:sz w:val="24"/>
          <w:szCs w:val="24"/>
          <w:lang w:val="en-US"/>
        </w:rPr>
        <w:tab/>
        <w:t>b.</w:t>
      </w:r>
      <w:r>
        <w:rPr>
          <w:rFonts w:ascii="Arial" w:hAnsi="Arial" w:cs="Arial"/>
          <w:bCs/>
          <w:iCs/>
          <w:sz w:val="24"/>
          <w:szCs w:val="24"/>
          <w:lang w:val="en-US"/>
        </w:rPr>
        <w:tab/>
        <w:t>Criminal Public Enforcement</w:t>
      </w:r>
    </w:p>
    <w:p w14:paraId="6475380F" w14:textId="5BA97AC8" w:rsidR="0091388B" w:rsidRDefault="0091388B" w:rsidP="004029EF">
      <w:pPr>
        <w:jc w:val="both"/>
        <w:rPr>
          <w:rFonts w:ascii="Arial" w:hAnsi="Arial" w:cs="Arial"/>
          <w:bCs/>
          <w:iCs/>
          <w:sz w:val="24"/>
          <w:szCs w:val="24"/>
          <w:lang w:val="en-US"/>
        </w:rPr>
      </w:pPr>
      <w:r>
        <w:rPr>
          <w:rFonts w:ascii="Arial" w:hAnsi="Arial" w:cs="Arial"/>
          <w:bCs/>
          <w:iCs/>
          <w:sz w:val="24"/>
          <w:szCs w:val="24"/>
          <w:lang w:val="en-US"/>
        </w:rPr>
        <w:t>Competences of the European Union are outlined in Title I, TFEU and do not include criminal enforcement of EU laws. Therefore the Commission has no powers to bring a criminal enforcement action against a cartel.</w:t>
      </w:r>
    </w:p>
    <w:p w14:paraId="4AD2CAEB" w14:textId="33A2458E" w:rsidR="0091388B" w:rsidRDefault="0091388B" w:rsidP="004029EF">
      <w:pPr>
        <w:jc w:val="both"/>
        <w:rPr>
          <w:rFonts w:ascii="Arial" w:hAnsi="Arial" w:cs="Arial"/>
          <w:bCs/>
          <w:iCs/>
          <w:sz w:val="24"/>
          <w:szCs w:val="24"/>
          <w:lang w:val="en-US"/>
        </w:rPr>
      </w:pPr>
      <w:r>
        <w:rPr>
          <w:rFonts w:ascii="Arial" w:hAnsi="Arial" w:cs="Arial"/>
          <w:bCs/>
          <w:iCs/>
          <w:sz w:val="24"/>
          <w:szCs w:val="24"/>
          <w:lang w:val="en-US"/>
        </w:rPr>
        <w:tab/>
      </w:r>
      <w:r>
        <w:rPr>
          <w:rFonts w:ascii="Arial" w:hAnsi="Arial" w:cs="Arial"/>
          <w:bCs/>
          <w:iCs/>
          <w:sz w:val="24"/>
          <w:szCs w:val="24"/>
          <w:lang w:val="en-US"/>
        </w:rPr>
        <w:tab/>
        <w:t>c.</w:t>
      </w:r>
      <w:r>
        <w:rPr>
          <w:rFonts w:ascii="Arial" w:hAnsi="Arial" w:cs="Arial"/>
          <w:bCs/>
          <w:iCs/>
          <w:sz w:val="24"/>
          <w:szCs w:val="24"/>
          <w:lang w:val="en-US"/>
        </w:rPr>
        <w:tab/>
        <w:t>Civil Private Enforcement</w:t>
      </w:r>
    </w:p>
    <w:p w14:paraId="13BF796F" w14:textId="2C706FB5" w:rsidR="0091388B" w:rsidRDefault="002B7EE0" w:rsidP="00443BEC">
      <w:pPr>
        <w:jc w:val="both"/>
        <w:rPr>
          <w:rFonts w:ascii="Arial" w:hAnsi="Arial" w:cs="Arial"/>
          <w:bCs/>
          <w:iCs/>
          <w:sz w:val="24"/>
          <w:szCs w:val="24"/>
          <w:lang w:val="en-US"/>
        </w:rPr>
      </w:pPr>
      <w:r>
        <w:rPr>
          <w:rFonts w:ascii="Arial" w:hAnsi="Arial" w:cs="Arial"/>
          <w:bCs/>
          <w:iCs/>
          <w:sz w:val="24"/>
          <w:szCs w:val="24"/>
          <w:lang w:val="en-US"/>
        </w:rPr>
        <w:t xml:space="preserve">As with criminal enforcement, once again there is no option for individuals to bring an action for damages in the CJEU or General Court (GC). However, the CJEU has given guidance over private actions in national courts for the enforcement of rights </w:t>
      </w:r>
      <w:r>
        <w:rPr>
          <w:rFonts w:ascii="Arial" w:hAnsi="Arial" w:cs="Arial"/>
          <w:bCs/>
          <w:iCs/>
          <w:sz w:val="24"/>
          <w:szCs w:val="24"/>
          <w:lang w:val="en-US"/>
        </w:rPr>
        <w:lastRenderedPageBreak/>
        <w:t xml:space="preserve">under </w:t>
      </w:r>
      <w:r w:rsidR="0024070F">
        <w:rPr>
          <w:rFonts w:ascii="Arial" w:hAnsi="Arial" w:cs="Arial"/>
          <w:bCs/>
          <w:iCs/>
          <w:sz w:val="24"/>
          <w:szCs w:val="24"/>
          <w:lang w:val="en-US"/>
        </w:rPr>
        <w:t>the competition laws</w:t>
      </w:r>
      <w:r>
        <w:rPr>
          <w:rFonts w:ascii="Arial" w:hAnsi="Arial" w:cs="Arial"/>
          <w:bCs/>
          <w:iCs/>
          <w:sz w:val="24"/>
          <w:szCs w:val="24"/>
          <w:lang w:val="en-US"/>
        </w:rPr>
        <w:t xml:space="preserve"> when the national courts are acting as European courts. </w:t>
      </w:r>
      <w:r w:rsidR="00BE1BF6">
        <w:rPr>
          <w:rFonts w:ascii="Arial" w:hAnsi="Arial" w:cs="Arial"/>
          <w:bCs/>
          <w:iCs/>
          <w:sz w:val="24"/>
          <w:szCs w:val="24"/>
          <w:lang w:val="en-US"/>
        </w:rPr>
        <w:t xml:space="preserve">Indeed as Articles 101 and 102 TFEU are directly applicable and thus produce direct effects, </w:t>
      </w:r>
      <w:r w:rsidR="00443BEC">
        <w:rPr>
          <w:rFonts w:ascii="Arial" w:hAnsi="Arial" w:cs="Arial"/>
          <w:bCs/>
          <w:iCs/>
          <w:sz w:val="24"/>
          <w:szCs w:val="24"/>
          <w:lang w:val="en-US"/>
        </w:rPr>
        <w:t xml:space="preserve">any </w:t>
      </w:r>
      <w:r w:rsidR="00BE1BF6">
        <w:rPr>
          <w:rFonts w:ascii="Arial" w:hAnsi="Arial" w:cs="Arial"/>
          <w:bCs/>
          <w:iCs/>
          <w:sz w:val="24"/>
          <w:szCs w:val="24"/>
          <w:lang w:val="en-US"/>
        </w:rPr>
        <w:t>ind</w:t>
      </w:r>
      <w:r w:rsidR="00443BEC">
        <w:rPr>
          <w:rFonts w:ascii="Arial" w:hAnsi="Arial" w:cs="Arial"/>
          <w:bCs/>
          <w:iCs/>
          <w:sz w:val="24"/>
          <w:szCs w:val="24"/>
          <w:lang w:val="en-US"/>
        </w:rPr>
        <w:t xml:space="preserve">ividual </w:t>
      </w:r>
      <w:r w:rsidR="007515A6">
        <w:rPr>
          <w:rFonts w:ascii="Arial" w:hAnsi="Arial" w:cs="Arial"/>
          <w:bCs/>
          <w:iCs/>
          <w:sz w:val="24"/>
          <w:szCs w:val="24"/>
          <w:lang w:val="en-US"/>
        </w:rPr>
        <w:t>can</w:t>
      </w:r>
      <w:r w:rsidR="00BE1BF6">
        <w:rPr>
          <w:rFonts w:ascii="Arial" w:hAnsi="Arial" w:cs="Arial"/>
          <w:bCs/>
          <w:iCs/>
          <w:sz w:val="24"/>
          <w:szCs w:val="24"/>
          <w:lang w:val="en-US"/>
        </w:rPr>
        <w:t xml:space="preserve"> bring an action in </w:t>
      </w:r>
      <w:r w:rsidR="00443BEC">
        <w:rPr>
          <w:rFonts w:ascii="Arial" w:hAnsi="Arial" w:cs="Arial"/>
          <w:bCs/>
          <w:iCs/>
          <w:sz w:val="24"/>
          <w:szCs w:val="24"/>
          <w:lang w:val="en-US"/>
        </w:rPr>
        <w:t>a</w:t>
      </w:r>
      <w:r w:rsidR="00BE1BF6">
        <w:rPr>
          <w:rFonts w:ascii="Arial" w:hAnsi="Arial" w:cs="Arial"/>
          <w:bCs/>
          <w:iCs/>
          <w:sz w:val="24"/>
          <w:szCs w:val="24"/>
          <w:lang w:val="en-US"/>
        </w:rPr>
        <w:t xml:space="preserve"> </w:t>
      </w:r>
      <w:r w:rsidR="00443BEC">
        <w:rPr>
          <w:rFonts w:ascii="Arial" w:hAnsi="Arial" w:cs="Arial"/>
          <w:bCs/>
          <w:iCs/>
          <w:sz w:val="24"/>
          <w:szCs w:val="24"/>
          <w:lang w:val="en-US"/>
        </w:rPr>
        <w:t>domestic court to enforce the</w:t>
      </w:r>
      <w:r w:rsidR="00BE1BF6">
        <w:rPr>
          <w:rFonts w:ascii="Arial" w:hAnsi="Arial" w:cs="Arial"/>
          <w:bCs/>
          <w:iCs/>
          <w:sz w:val="24"/>
          <w:szCs w:val="24"/>
          <w:lang w:val="en-US"/>
        </w:rPr>
        <w:t xml:space="preserve"> right to damages</w:t>
      </w:r>
      <w:r w:rsidR="00BE1BF6">
        <w:rPr>
          <w:rStyle w:val="FootnoteReference"/>
          <w:rFonts w:ascii="Arial" w:hAnsi="Arial" w:cs="Arial"/>
          <w:bCs/>
          <w:iCs/>
          <w:sz w:val="24"/>
          <w:szCs w:val="24"/>
          <w:lang w:val="en-US"/>
        </w:rPr>
        <w:footnoteReference w:id="39"/>
      </w:r>
      <w:r w:rsidR="00BE1BF6">
        <w:rPr>
          <w:rFonts w:ascii="Arial" w:hAnsi="Arial" w:cs="Arial"/>
          <w:bCs/>
          <w:iCs/>
          <w:sz w:val="24"/>
          <w:szCs w:val="24"/>
          <w:lang w:val="en-US"/>
        </w:rPr>
        <w:t xml:space="preserve">. In </w:t>
      </w:r>
      <w:proofErr w:type="spellStart"/>
      <w:r w:rsidR="00BE1BF6">
        <w:rPr>
          <w:rFonts w:ascii="Arial" w:hAnsi="Arial" w:cs="Arial"/>
          <w:bCs/>
          <w:i/>
          <w:iCs/>
          <w:sz w:val="24"/>
          <w:szCs w:val="24"/>
          <w:lang w:val="en-US"/>
        </w:rPr>
        <w:t>Manfredi</w:t>
      </w:r>
      <w:proofErr w:type="spellEnd"/>
      <w:r w:rsidR="00443BEC">
        <w:rPr>
          <w:rStyle w:val="FootnoteReference"/>
          <w:rFonts w:ascii="Arial" w:hAnsi="Arial" w:cs="Arial"/>
          <w:bCs/>
          <w:i/>
          <w:iCs/>
          <w:sz w:val="24"/>
          <w:szCs w:val="24"/>
          <w:lang w:val="en-US"/>
        </w:rPr>
        <w:footnoteReference w:id="40"/>
      </w:r>
      <w:r w:rsidR="00BE1BF6">
        <w:rPr>
          <w:rFonts w:ascii="Arial" w:hAnsi="Arial" w:cs="Arial"/>
          <w:bCs/>
          <w:iCs/>
          <w:sz w:val="24"/>
          <w:szCs w:val="24"/>
          <w:lang w:val="en-US"/>
        </w:rPr>
        <w:t xml:space="preserve"> the CJEU </w:t>
      </w:r>
      <w:r w:rsidR="00391D8B">
        <w:rPr>
          <w:rFonts w:ascii="Arial" w:hAnsi="Arial" w:cs="Arial"/>
          <w:bCs/>
          <w:iCs/>
          <w:sz w:val="24"/>
          <w:szCs w:val="24"/>
          <w:lang w:val="en-US"/>
        </w:rPr>
        <w:t>stated</w:t>
      </w:r>
      <w:r w:rsidR="00443BEC">
        <w:rPr>
          <w:rFonts w:ascii="Arial" w:hAnsi="Arial" w:cs="Arial"/>
          <w:bCs/>
          <w:iCs/>
          <w:sz w:val="24"/>
          <w:szCs w:val="24"/>
          <w:lang w:val="en-US"/>
        </w:rPr>
        <w:t xml:space="preserve"> that to ensure the total effectiveness of Article 101(1) TFEU “</w:t>
      </w:r>
      <w:r w:rsidR="00443BEC" w:rsidRPr="00443BEC">
        <w:rPr>
          <w:rFonts w:ascii="Arial" w:hAnsi="Arial" w:cs="Arial"/>
          <w:bCs/>
          <w:iCs/>
          <w:sz w:val="24"/>
          <w:szCs w:val="24"/>
          <w:lang w:val="en-US"/>
        </w:rPr>
        <w:t>any individual can claim compensation for the harm suffered where</w:t>
      </w:r>
      <w:r w:rsidR="00443BEC">
        <w:rPr>
          <w:rFonts w:ascii="Arial" w:hAnsi="Arial" w:cs="Arial"/>
          <w:bCs/>
          <w:iCs/>
          <w:sz w:val="24"/>
          <w:szCs w:val="24"/>
          <w:lang w:val="en-US"/>
        </w:rPr>
        <w:t xml:space="preserve"> </w:t>
      </w:r>
      <w:r w:rsidR="00443BEC" w:rsidRPr="00443BEC">
        <w:rPr>
          <w:rFonts w:ascii="Arial" w:hAnsi="Arial" w:cs="Arial"/>
          <w:bCs/>
          <w:iCs/>
          <w:sz w:val="24"/>
          <w:szCs w:val="24"/>
          <w:lang w:val="en-US"/>
        </w:rPr>
        <w:t>there is a causal relationship between that harm and an agreement or practice</w:t>
      </w:r>
      <w:r w:rsidR="00443BEC">
        <w:rPr>
          <w:rFonts w:ascii="Arial" w:hAnsi="Arial" w:cs="Arial"/>
          <w:bCs/>
          <w:iCs/>
          <w:sz w:val="24"/>
          <w:szCs w:val="24"/>
          <w:lang w:val="en-US"/>
        </w:rPr>
        <w:t xml:space="preserve"> </w:t>
      </w:r>
      <w:r w:rsidR="00443BEC" w:rsidRPr="00443BEC">
        <w:rPr>
          <w:rFonts w:ascii="Arial" w:hAnsi="Arial" w:cs="Arial"/>
          <w:bCs/>
          <w:iCs/>
          <w:sz w:val="24"/>
          <w:szCs w:val="24"/>
          <w:lang w:val="en-US"/>
        </w:rPr>
        <w:t>prohibited under Article</w:t>
      </w:r>
      <w:r w:rsidR="00443BEC">
        <w:rPr>
          <w:rFonts w:ascii="Arial" w:hAnsi="Arial" w:cs="Arial"/>
          <w:bCs/>
          <w:iCs/>
          <w:sz w:val="24"/>
          <w:szCs w:val="24"/>
          <w:lang w:val="en-US"/>
        </w:rPr>
        <w:t xml:space="preserve"> [101(1) TFEU]”</w:t>
      </w:r>
      <w:r w:rsidR="00443BEC">
        <w:rPr>
          <w:rStyle w:val="FootnoteReference"/>
          <w:rFonts w:ascii="Arial" w:hAnsi="Arial" w:cs="Arial"/>
          <w:bCs/>
          <w:iCs/>
          <w:sz w:val="24"/>
          <w:szCs w:val="24"/>
          <w:lang w:val="en-US"/>
        </w:rPr>
        <w:footnoteReference w:id="41"/>
      </w:r>
      <w:r w:rsidR="0018027B">
        <w:rPr>
          <w:rFonts w:ascii="Arial" w:hAnsi="Arial" w:cs="Arial"/>
          <w:bCs/>
          <w:iCs/>
          <w:sz w:val="24"/>
          <w:szCs w:val="24"/>
          <w:lang w:val="en-US"/>
        </w:rPr>
        <w:t>. The difficulty though is to determine whom to include as “any individual”. In the 2014 Damages Directive</w:t>
      </w:r>
      <w:r w:rsidR="00367DBB">
        <w:rPr>
          <w:rStyle w:val="FootnoteReference"/>
          <w:rFonts w:ascii="Arial" w:hAnsi="Arial" w:cs="Arial"/>
          <w:bCs/>
          <w:iCs/>
          <w:sz w:val="24"/>
          <w:szCs w:val="24"/>
          <w:lang w:val="en-US"/>
        </w:rPr>
        <w:footnoteReference w:id="42"/>
      </w:r>
      <w:r w:rsidR="0018027B">
        <w:rPr>
          <w:rFonts w:ascii="Arial" w:hAnsi="Arial" w:cs="Arial"/>
          <w:bCs/>
          <w:iCs/>
          <w:sz w:val="24"/>
          <w:szCs w:val="24"/>
          <w:lang w:val="en-US"/>
        </w:rPr>
        <w:t xml:space="preserve"> Article 3 requires Member States to ensure that “</w:t>
      </w:r>
      <w:r w:rsidR="0018027B" w:rsidRPr="0018027B">
        <w:rPr>
          <w:rFonts w:ascii="Arial" w:hAnsi="Arial" w:cs="Arial"/>
          <w:bCs/>
          <w:iCs/>
          <w:sz w:val="24"/>
          <w:szCs w:val="24"/>
          <w:lang w:val="en-US"/>
        </w:rPr>
        <w:t xml:space="preserve">any natural or legal person who has suffered harm caused by an infringement of competition law is able to claim and to obtain </w:t>
      </w:r>
      <w:r w:rsidR="0018027B">
        <w:rPr>
          <w:rFonts w:ascii="Arial" w:hAnsi="Arial" w:cs="Arial"/>
          <w:bCs/>
          <w:iCs/>
          <w:sz w:val="24"/>
          <w:szCs w:val="24"/>
          <w:lang w:val="en-US"/>
        </w:rPr>
        <w:t>full com</w:t>
      </w:r>
      <w:r w:rsidR="00367DBB">
        <w:rPr>
          <w:rFonts w:ascii="Arial" w:hAnsi="Arial" w:cs="Arial"/>
          <w:bCs/>
          <w:iCs/>
          <w:sz w:val="24"/>
          <w:szCs w:val="24"/>
          <w:lang w:val="en-US"/>
        </w:rPr>
        <w:t>pensation for that harm”. F</w:t>
      </w:r>
      <w:r w:rsidR="0018027B">
        <w:rPr>
          <w:rFonts w:ascii="Arial" w:hAnsi="Arial" w:cs="Arial"/>
          <w:bCs/>
          <w:iCs/>
          <w:sz w:val="24"/>
          <w:szCs w:val="24"/>
          <w:lang w:val="en-US"/>
        </w:rPr>
        <w:t>ull compensation must be available for direct and indirect purchasers from an infringer</w:t>
      </w:r>
      <w:r w:rsidR="00AD5D62">
        <w:rPr>
          <w:rStyle w:val="FootnoteReference"/>
          <w:rFonts w:ascii="Arial" w:hAnsi="Arial" w:cs="Arial"/>
          <w:bCs/>
          <w:iCs/>
          <w:sz w:val="24"/>
          <w:szCs w:val="24"/>
          <w:lang w:val="en-US"/>
        </w:rPr>
        <w:footnoteReference w:id="43"/>
      </w:r>
      <w:r w:rsidR="00391D8B">
        <w:rPr>
          <w:rFonts w:ascii="Arial" w:hAnsi="Arial" w:cs="Arial"/>
          <w:bCs/>
          <w:iCs/>
          <w:sz w:val="24"/>
          <w:szCs w:val="24"/>
          <w:lang w:val="en-US"/>
        </w:rPr>
        <w:t>, although the infringer may claim a partial defence of the passing on of over</w:t>
      </w:r>
      <w:r w:rsidR="00EC2370">
        <w:rPr>
          <w:rFonts w:ascii="Arial" w:hAnsi="Arial" w:cs="Arial"/>
          <w:bCs/>
          <w:iCs/>
          <w:sz w:val="24"/>
          <w:szCs w:val="24"/>
          <w:lang w:val="en-US"/>
        </w:rPr>
        <w:t>charge compensation</w:t>
      </w:r>
      <w:r w:rsidR="00367DBB">
        <w:rPr>
          <w:rStyle w:val="FootnoteReference"/>
          <w:rFonts w:ascii="Arial" w:hAnsi="Arial" w:cs="Arial"/>
          <w:bCs/>
          <w:iCs/>
          <w:sz w:val="24"/>
          <w:szCs w:val="24"/>
          <w:lang w:val="en-US"/>
        </w:rPr>
        <w:footnoteReference w:id="44"/>
      </w:r>
      <w:r w:rsidR="00EC2370">
        <w:rPr>
          <w:rFonts w:ascii="Arial" w:hAnsi="Arial" w:cs="Arial"/>
          <w:bCs/>
          <w:iCs/>
          <w:sz w:val="24"/>
          <w:szCs w:val="24"/>
          <w:lang w:val="en-US"/>
        </w:rPr>
        <w:t>. However, the injured party must still be fully compensated and so this</w:t>
      </w:r>
      <w:r w:rsidR="00367DBB">
        <w:rPr>
          <w:rFonts w:ascii="Arial" w:hAnsi="Arial" w:cs="Arial"/>
          <w:bCs/>
          <w:iCs/>
          <w:sz w:val="24"/>
          <w:szCs w:val="24"/>
          <w:lang w:val="en-US"/>
        </w:rPr>
        <w:t xml:space="preserve"> provision seeks to regulate compensation levels between multiple parties, with full compensation being equated with actual damage and devoid of augmentation by “</w:t>
      </w:r>
      <w:r w:rsidR="00367DBB" w:rsidRPr="00367DBB">
        <w:rPr>
          <w:rFonts w:ascii="Arial" w:hAnsi="Arial" w:cs="Arial"/>
          <w:bCs/>
          <w:iCs/>
          <w:sz w:val="24"/>
          <w:szCs w:val="24"/>
          <w:lang w:val="en-US"/>
        </w:rPr>
        <w:t>punitive, multiple or other types of damages</w:t>
      </w:r>
      <w:r w:rsidR="00367DBB">
        <w:rPr>
          <w:rFonts w:ascii="Arial" w:hAnsi="Arial" w:cs="Arial"/>
          <w:bCs/>
          <w:iCs/>
          <w:sz w:val="24"/>
          <w:szCs w:val="24"/>
          <w:lang w:val="en-US"/>
        </w:rPr>
        <w:t>”</w:t>
      </w:r>
      <w:r w:rsidR="00367DBB">
        <w:rPr>
          <w:rStyle w:val="FootnoteReference"/>
          <w:rFonts w:ascii="Arial" w:hAnsi="Arial" w:cs="Arial"/>
          <w:bCs/>
          <w:iCs/>
          <w:sz w:val="24"/>
          <w:szCs w:val="24"/>
          <w:lang w:val="en-US"/>
        </w:rPr>
        <w:footnoteReference w:id="45"/>
      </w:r>
      <w:r w:rsidR="00367DBB" w:rsidRPr="00367DBB">
        <w:rPr>
          <w:rFonts w:ascii="Arial" w:hAnsi="Arial" w:cs="Arial"/>
          <w:bCs/>
          <w:iCs/>
          <w:sz w:val="24"/>
          <w:szCs w:val="24"/>
          <w:lang w:val="en-US"/>
        </w:rPr>
        <w:t>.</w:t>
      </w:r>
    </w:p>
    <w:p w14:paraId="08FF4904" w14:textId="77777777" w:rsidR="00D87577" w:rsidRDefault="00D87577" w:rsidP="00443BEC">
      <w:pPr>
        <w:jc w:val="both"/>
        <w:rPr>
          <w:rFonts w:ascii="Arial" w:hAnsi="Arial" w:cs="Arial"/>
          <w:bCs/>
          <w:iCs/>
          <w:sz w:val="24"/>
          <w:szCs w:val="24"/>
          <w:lang w:val="en-US"/>
        </w:rPr>
      </w:pPr>
    </w:p>
    <w:p w14:paraId="1C10DD99" w14:textId="49CA49B7" w:rsidR="00D87577" w:rsidRPr="00D87577" w:rsidRDefault="00D87577" w:rsidP="00D87577">
      <w:pPr>
        <w:pStyle w:val="ListParagraph"/>
        <w:numPr>
          <w:ilvl w:val="0"/>
          <w:numId w:val="1"/>
        </w:numPr>
        <w:jc w:val="both"/>
        <w:rPr>
          <w:rFonts w:ascii="Arial" w:hAnsi="Arial" w:cs="Arial"/>
          <w:bCs/>
          <w:iCs/>
          <w:sz w:val="24"/>
          <w:szCs w:val="24"/>
          <w:lang w:val="en-US"/>
        </w:rPr>
      </w:pPr>
      <w:r w:rsidRPr="00D87577">
        <w:rPr>
          <w:rFonts w:ascii="Arial" w:hAnsi="Arial" w:cs="Arial"/>
          <w:bCs/>
          <w:iCs/>
          <w:sz w:val="24"/>
          <w:szCs w:val="24"/>
          <w:lang w:val="en-US"/>
        </w:rPr>
        <w:t>The UK</w:t>
      </w:r>
    </w:p>
    <w:p w14:paraId="4E11ECC1" w14:textId="440C2AB5" w:rsidR="00D87577" w:rsidRDefault="00D87577" w:rsidP="00D87577">
      <w:pPr>
        <w:ind w:left="720"/>
        <w:jc w:val="both"/>
        <w:rPr>
          <w:rFonts w:ascii="Arial" w:hAnsi="Arial" w:cs="Arial"/>
          <w:bCs/>
          <w:iCs/>
          <w:sz w:val="24"/>
          <w:szCs w:val="24"/>
          <w:lang w:val="en-US"/>
        </w:rPr>
      </w:pPr>
      <w:r>
        <w:rPr>
          <w:rFonts w:ascii="Arial" w:hAnsi="Arial" w:cs="Arial"/>
          <w:bCs/>
          <w:iCs/>
          <w:sz w:val="24"/>
          <w:szCs w:val="24"/>
          <w:lang w:val="en-US"/>
        </w:rPr>
        <w:t>a.</w:t>
      </w:r>
      <w:r>
        <w:rPr>
          <w:rFonts w:ascii="Arial" w:hAnsi="Arial" w:cs="Arial"/>
          <w:bCs/>
          <w:iCs/>
          <w:sz w:val="24"/>
          <w:szCs w:val="24"/>
          <w:lang w:val="en-US"/>
        </w:rPr>
        <w:tab/>
        <w:t>Civil Public Enforcement</w:t>
      </w:r>
    </w:p>
    <w:p w14:paraId="5C4E547D" w14:textId="707A452C" w:rsidR="00D87577" w:rsidRDefault="00D87577" w:rsidP="00D87577">
      <w:pPr>
        <w:jc w:val="both"/>
        <w:rPr>
          <w:rFonts w:ascii="Arial" w:hAnsi="Arial" w:cs="Arial"/>
          <w:bCs/>
          <w:iCs/>
          <w:sz w:val="24"/>
          <w:szCs w:val="24"/>
          <w:lang w:val="en-US"/>
        </w:rPr>
      </w:pPr>
      <w:r>
        <w:rPr>
          <w:rFonts w:ascii="Arial" w:hAnsi="Arial" w:cs="Arial"/>
          <w:bCs/>
          <w:iCs/>
          <w:sz w:val="24"/>
          <w:szCs w:val="24"/>
          <w:lang w:val="en-US"/>
        </w:rPr>
        <w:t>The central provisions of the UK’s Competition Act 1998 were designed to mirror two central competition laws of the EU, namely Article</w:t>
      </w:r>
      <w:r w:rsidR="007515A6">
        <w:rPr>
          <w:rFonts w:ascii="Arial" w:hAnsi="Arial" w:cs="Arial"/>
          <w:bCs/>
          <w:iCs/>
          <w:sz w:val="24"/>
          <w:szCs w:val="24"/>
          <w:lang w:val="en-US"/>
        </w:rPr>
        <w:t>s</w:t>
      </w:r>
      <w:r>
        <w:rPr>
          <w:rFonts w:ascii="Arial" w:hAnsi="Arial" w:cs="Arial"/>
          <w:bCs/>
          <w:iCs/>
          <w:sz w:val="24"/>
          <w:szCs w:val="24"/>
          <w:lang w:val="en-US"/>
        </w:rPr>
        <w:t xml:space="preserve"> 101 and 102 TFEU. As such the Chapter I prohibition</w:t>
      </w:r>
      <w:r>
        <w:rPr>
          <w:rStyle w:val="FootnoteReference"/>
          <w:rFonts w:ascii="Arial" w:hAnsi="Arial" w:cs="Arial"/>
          <w:bCs/>
          <w:iCs/>
          <w:sz w:val="24"/>
          <w:szCs w:val="24"/>
          <w:lang w:val="en-US"/>
        </w:rPr>
        <w:footnoteReference w:id="46"/>
      </w:r>
      <w:r>
        <w:rPr>
          <w:rFonts w:ascii="Arial" w:hAnsi="Arial" w:cs="Arial"/>
          <w:bCs/>
          <w:iCs/>
          <w:sz w:val="24"/>
          <w:szCs w:val="24"/>
          <w:lang w:val="en-US"/>
        </w:rPr>
        <w:t xml:space="preserve"> in section 2(1) matches the wording of Art 101(1) TFEU albeit applicable just to the UK with similar elements to those outlined above for Article 101(1) TFEU. At the time of the LIBOR scandal the UK’s national competition enforcement agency was the Office of Fair Trading (OFT), although this has now been replaced by the Competition and Markets Authority (CMA).</w:t>
      </w:r>
    </w:p>
    <w:p w14:paraId="62A03F7E" w14:textId="6BB333D7" w:rsidR="00D87577" w:rsidRDefault="00D87577" w:rsidP="00D87577">
      <w:pPr>
        <w:jc w:val="both"/>
        <w:rPr>
          <w:rFonts w:ascii="Arial" w:hAnsi="Arial" w:cs="Arial"/>
          <w:bCs/>
          <w:iCs/>
          <w:sz w:val="24"/>
          <w:szCs w:val="24"/>
          <w:lang w:val="en-US"/>
        </w:rPr>
      </w:pPr>
      <w:r>
        <w:rPr>
          <w:rFonts w:ascii="Arial" w:hAnsi="Arial" w:cs="Arial"/>
          <w:bCs/>
          <w:iCs/>
          <w:sz w:val="24"/>
          <w:szCs w:val="24"/>
          <w:lang w:val="en-US"/>
        </w:rPr>
        <w:tab/>
        <w:t>b.</w:t>
      </w:r>
      <w:r>
        <w:rPr>
          <w:rFonts w:ascii="Arial" w:hAnsi="Arial" w:cs="Arial"/>
          <w:bCs/>
          <w:iCs/>
          <w:sz w:val="24"/>
          <w:szCs w:val="24"/>
          <w:lang w:val="en-US"/>
        </w:rPr>
        <w:tab/>
        <w:t>Criminal Public Enforcement</w:t>
      </w:r>
    </w:p>
    <w:p w14:paraId="38B0A4E8" w14:textId="46BE3CAF" w:rsidR="00D87577" w:rsidRDefault="00D819FC" w:rsidP="00D87577">
      <w:pPr>
        <w:jc w:val="both"/>
        <w:rPr>
          <w:rFonts w:ascii="Arial" w:hAnsi="Arial" w:cs="Arial"/>
          <w:bCs/>
          <w:iCs/>
          <w:sz w:val="24"/>
          <w:szCs w:val="24"/>
          <w:lang w:val="en-US"/>
        </w:rPr>
      </w:pPr>
      <w:r>
        <w:rPr>
          <w:rFonts w:ascii="Arial" w:hAnsi="Arial" w:cs="Arial"/>
          <w:bCs/>
          <w:iCs/>
          <w:sz w:val="24"/>
          <w:szCs w:val="24"/>
          <w:lang w:val="en-US"/>
        </w:rPr>
        <w:lastRenderedPageBreak/>
        <w:t xml:space="preserve">In 2002, the </w:t>
      </w:r>
      <w:r w:rsidR="00851539">
        <w:rPr>
          <w:rFonts w:ascii="Arial" w:hAnsi="Arial" w:cs="Arial"/>
          <w:bCs/>
          <w:iCs/>
          <w:sz w:val="24"/>
          <w:szCs w:val="24"/>
          <w:lang w:val="en-US"/>
        </w:rPr>
        <w:t xml:space="preserve">UK </w:t>
      </w:r>
      <w:r>
        <w:rPr>
          <w:rFonts w:ascii="Arial" w:hAnsi="Arial" w:cs="Arial"/>
          <w:bCs/>
          <w:iCs/>
          <w:sz w:val="24"/>
          <w:szCs w:val="24"/>
          <w:lang w:val="en-US"/>
        </w:rPr>
        <w:t>introduced the Cartel Offence</w:t>
      </w:r>
      <w:r w:rsidR="0054023B">
        <w:rPr>
          <w:rStyle w:val="FootnoteReference"/>
          <w:rFonts w:ascii="Arial" w:hAnsi="Arial" w:cs="Arial"/>
          <w:bCs/>
          <w:iCs/>
          <w:sz w:val="24"/>
          <w:szCs w:val="24"/>
          <w:lang w:val="en-US"/>
        </w:rPr>
        <w:footnoteReference w:id="47"/>
      </w:r>
      <w:r>
        <w:rPr>
          <w:rFonts w:ascii="Arial" w:hAnsi="Arial" w:cs="Arial"/>
          <w:bCs/>
          <w:iCs/>
          <w:sz w:val="24"/>
          <w:szCs w:val="24"/>
          <w:lang w:val="en-US"/>
        </w:rPr>
        <w:t xml:space="preserve"> into criminal law</w:t>
      </w:r>
      <w:r w:rsidR="00851539">
        <w:rPr>
          <w:rFonts w:ascii="Arial" w:hAnsi="Arial" w:cs="Arial"/>
          <w:bCs/>
          <w:iCs/>
          <w:sz w:val="24"/>
          <w:szCs w:val="24"/>
          <w:lang w:val="en-US"/>
        </w:rPr>
        <w:t xml:space="preserve"> in section 188 of the Enterprise Act 2002</w:t>
      </w:r>
      <w:r w:rsidR="003A6B2B">
        <w:rPr>
          <w:rFonts w:ascii="Arial" w:hAnsi="Arial" w:cs="Arial"/>
          <w:bCs/>
          <w:iCs/>
          <w:sz w:val="24"/>
          <w:szCs w:val="24"/>
          <w:lang w:val="en-US"/>
        </w:rPr>
        <w:t>, with a maximum sentence of five years imprisonment on indictment</w:t>
      </w:r>
      <w:r w:rsidR="003A6B2B">
        <w:rPr>
          <w:rStyle w:val="FootnoteReference"/>
          <w:rFonts w:ascii="Arial" w:hAnsi="Arial" w:cs="Arial"/>
          <w:bCs/>
          <w:iCs/>
          <w:sz w:val="24"/>
          <w:szCs w:val="24"/>
          <w:lang w:val="en-US"/>
        </w:rPr>
        <w:footnoteReference w:id="48"/>
      </w:r>
      <w:r w:rsidR="003F72F3">
        <w:rPr>
          <w:rFonts w:ascii="Arial" w:hAnsi="Arial" w:cs="Arial"/>
          <w:bCs/>
          <w:iCs/>
          <w:sz w:val="24"/>
          <w:szCs w:val="24"/>
          <w:lang w:val="en-US"/>
        </w:rPr>
        <w:t xml:space="preserve">. </w:t>
      </w:r>
      <w:r w:rsidR="00747253">
        <w:rPr>
          <w:rFonts w:ascii="Arial" w:hAnsi="Arial" w:cs="Arial"/>
          <w:bCs/>
          <w:iCs/>
          <w:sz w:val="24"/>
          <w:szCs w:val="24"/>
          <w:lang w:val="en-US"/>
        </w:rPr>
        <w:t xml:space="preserve">For the Cartel Offence to be successful it must be proved that an individual </w:t>
      </w:r>
      <w:r w:rsidR="00751525">
        <w:rPr>
          <w:rFonts w:ascii="Arial" w:hAnsi="Arial" w:cs="Arial"/>
          <w:bCs/>
          <w:iCs/>
          <w:sz w:val="24"/>
          <w:szCs w:val="24"/>
          <w:lang w:val="en-US"/>
        </w:rPr>
        <w:t xml:space="preserve">dishonestly </w:t>
      </w:r>
      <w:r w:rsidR="00747253">
        <w:rPr>
          <w:rFonts w:ascii="Arial" w:hAnsi="Arial" w:cs="Arial"/>
          <w:bCs/>
          <w:iCs/>
          <w:sz w:val="24"/>
          <w:szCs w:val="24"/>
          <w:lang w:val="en-US"/>
        </w:rPr>
        <w:t>agreed</w:t>
      </w:r>
      <w:r w:rsidR="00741A6E">
        <w:rPr>
          <w:rFonts w:ascii="Arial" w:hAnsi="Arial" w:cs="Arial"/>
          <w:bCs/>
          <w:iCs/>
          <w:sz w:val="24"/>
          <w:szCs w:val="24"/>
          <w:lang w:val="en-US"/>
        </w:rPr>
        <w:t>, the agreement being necessarily reciprocal</w:t>
      </w:r>
      <w:r w:rsidR="00741A6E">
        <w:rPr>
          <w:rStyle w:val="FootnoteReference"/>
          <w:rFonts w:ascii="Arial" w:hAnsi="Arial" w:cs="Arial"/>
          <w:bCs/>
          <w:iCs/>
          <w:sz w:val="24"/>
          <w:szCs w:val="24"/>
          <w:lang w:val="en-US"/>
        </w:rPr>
        <w:footnoteReference w:id="49"/>
      </w:r>
      <w:r w:rsidR="00741A6E">
        <w:rPr>
          <w:rFonts w:ascii="Arial" w:hAnsi="Arial" w:cs="Arial"/>
          <w:bCs/>
          <w:iCs/>
          <w:sz w:val="24"/>
          <w:szCs w:val="24"/>
          <w:lang w:val="en-US"/>
        </w:rPr>
        <w:t>,</w:t>
      </w:r>
      <w:r w:rsidR="00747253">
        <w:rPr>
          <w:rFonts w:ascii="Arial" w:hAnsi="Arial" w:cs="Arial"/>
          <w:bCs/>
          <w:iCs/>
          <w:sz w:val="24"/>
          <w:szCs w:val="24"/>
          <w:lang w:val="en-US"/>
        </w:rPr>
        <w:t xml:space="preserve"> with one or more other persons that undertakings would engage in conduct as specified in the legislation</w:t>
      </w:r>
      <w:r w:rsidR="00747253">
        <w:rPr>
          <w:rStyle w:val="FootnoteReference"/>
          <w:rFonts w:ascii="Arial" w:hAnsi="Arial" w:cs="Arial"/>
          <w:bCs/>
          <w:iCs/>
          <w:sz w:val="24"/>
          <w:szCs w:val="24"/>
          <w:lang w:val="en-US"/>
        </w:rPr>
        <w:footnoteReference w:id="50"/>
      </w:r>
      <w:r w:rsidR="00747253">
        <w:rPr>
          <w:rFonts w:ascii="Arial" w:hAnsi="Arial" w:cs="Arial"/>
          <w:bCs/>
          <w:iCs/>
          <w:sz w:val="24"/>
          <w:szCs w:val="24"/>
          <w:lang w:val="en-US"/>
        </w:rPr>
        <w:t>. That conduct includes direct and indirect price-fixing</w:t>
      </w:r>
      <w:r w:rsidR="00747253">
        <w:rPr>
          <w:rStyle w:val="FootnoteReference"/>
          <w:rFonts w:ascii="Arial" w:hAnsi="Arial" w:cs="Arial"/>
          <w:bCs/>
          <w:iCs/>
          <w:sz w:val="24"/>
          <w:szCs w:val="24"/>
          <w:lang w:val="en-US"/>
        </w:rPr>
        <w:footnoteReference w:id="51"/>
      </w:r>
      <w:r w:rsidR="00741A6E">
        <w:rPr>
          <w:rFonts w:ascii="Arial" w:hAnsi="Arial" w:cs="Arial"/>
          <w:bCs/>
          <w:iCs/>
          <w:sz w:val="24"/>
          <w:szCs w:val="24"/>
          <w:lang w:val="en-US"/>
        </w:rPr>
        <w:t xml:space="preserve"> but only for horizontal agreements</w:t>
      </w:r>
      <w:r w:rsidR="00741A6E">
        <w:rPr>
          <w:rStyle w:val="FootnoteReference"/>
          <w:rFonts w:ascii="Arial" w:hAnsi="Arial" w:cs="Arial"/>
          <w:bCs/>
          <w:iCs/>
          <w:sz w:val="24"/>
          <w:szCs w:val="24"/>
          <w:lang w:val="en-US"/>
        </w:rPr>
        <w:footnoteReference w:id="52"/>
      </w:r>
      <w:r w:rsidR="004F76B0">
        <w:rPr>
          <w:rFonts w:ascii="Arial" w:hAnsi="Arial" w:cs="Arial"/>
          <w:bCs/>
          <w:iCs/>
          <w:sz w:val="24"/>
          <w:szCs w:val="24"/>
          <w:lang w:val="en-US"/>
        </w:rPr>
        <w:t>, with proceedings only able to be conducted by the Director of the Serious Fraud Office or the Office of Fair Trading</w:t>
      </w:r>
      <w:r w:rsidR="004F76B0">
        <w:rPr>
          <w:rStyle w:val="FootnoteReference"/>
          <w:rFonts w:ascii="Arial" w:hAnsi="Arial" w:cs="Arial"/>
          <w:bCs/>
          <w:iCs/>
          <w:sz w:val="24"/>
          <w:szCs w:val="24"/>
          <w:lang w:val="en-US"/>
        </w:rPr>
        <w:footnoteReference w:id="53"/>
      </w:r>
      <w:r w:rsidR="0054023B">
        <w:rPr>
          <w:rFonts w:ascii="Arial" w:hAnsi="Arial" w:cs="Arial"/>
          <w:bCs/>
          <w:iCs/>
          <w:sz w:val="24"/>
          <w:szCs w:val="24"/>
          <w:lang w:val="en-US"/>
        </w:rPr>
        <w:t>.</w:t>
      </w:r>
    </w:p>
    <w:p w14:paraId="6581A87F" w14:textId="695227DC" w:rsidR="004F76B0" w:rsidRDefault="004F76B0" w:rsidP="00D87577">
      <w:pPr>
        <w:jc w:val="both"/>
        <w:rPr>
          <w:rFonts w:ascii="Arial" w:hAnsi="Arial" w:cs="Arial"/>
          <w:bCs/>
          <w:iCs/>
          <w:sz w:val="24"/>
          <w:szCs w:val="24"/>
          <w:lang w:val="en-US"/>
        </w:rPr>
      </w:pPr>
      <w:r>
        <w:rPr>
          <w:rFonts w:ascii="Arial" w:hAnsi="Arial" w:cs="Arial"/>
          <w:bCs/>
          <w:iCs/>
          <w:sz w:val="24"/>
          <w:szCs w:val="24"/>
          <w:lang w:val="en-US"/>
        </w:rPr>
        <w:tab/>
        <w:t>c.</w:t>
      </w:r>
      <w:r>
        <w:rPr>
          <w:rFonts w:ascii="Arial" w:hAnsi="Arial" w:cs="Arial"/>
          <w:bCs/>
          <w:iCs/>
          <w:sz w:val="24"/>
          <w:szCs w:val="24"/>
          <w:lang w:val="en-US"/>
        </w:rPr>
        <w:tab/>
        <w:t>Civil Private Enforcement</w:t>
      </w:r>
    </w:p>
    <w:p w14:paraId="07094950" w14:textId="77777777" w:rsidR="00BE4700" w:rsidRDefault="008952CD" w:rsidP="00D87577">
      <w:pPr>
        <w:jc w:val="both"/>
        <w:rPr>
          <w:rFonts w:ascii="Arial" w:hAnsi="Arial" w:cs="Arial"/>
          <w:bCs/>
          <w:iCs/>
          <w:sz w:val="24"/>
          <w:szCs w:val="24"/>
          <w:lang w:val="en-US"/>
        </w:rPr>
      </w:pPr>
      <w:r>
        <w:rPr>
          <w:rFonts w:ascii="Arial" w:hAnsi="Arial" w:cs="Arial"/>
          <w:bCs/>
          <w:iCs/>
          <w:sz w:val="24"/>
          <w:szCs w:val="24"/>
          <w:lang w:val="en-US"/>
        </w:rPr>
        <w:t>The UK has been at the forefront of the drive in the EU to enable individuals to claim damages for harm caused by infringements of Articles 101 and 102 TFEU</w:t>
      </w:r>
      <w:r>
        <w:rPr>
          <w:rStyle w:val="FootnoteReference"/>
          <w:rFonts w:ascii="Arial" w:hAnsi="Arial" w:cs="Arial"/>
          <w:bCs/>
          <w:iCs/>
          <w:sz w:val="24"/>
          <w:szCs w:val="24"/>
          <w:lang w:val="en-US"/>
        </w:rPr>
        <w:footnoteReference w:id="54"/>
      </w:r>
      <w:r>
        <w:rPr>
          <w:rFonts w:ascii="Arial" w:hAnsi="Arial" w:cs="Arial"/>
          <w:bCs/>
          <w:iCs/>
          <w:sz w:val="24"/>
          <w:szCs w:val="24"/>
          <w:lang w:val="en-US"/>
        </w:rPr>
        <w:t xml:space="preserve">. Although the Competition Act 1998 does not specifically provide for a right to bring an action to claim damages under the Act, </w:t>
      </w:r>
      <w:r w:rsidR="00D868A9">
        <w:rPr>
          <w:rFonts w:ascii="Arial" w:hAnsi="Arial" w:cs="Arial"/>
          <w:bCs/>
          <w:iCs/>
          <w:sz w:val="24"/>
          <w:szCs w:val="24"/>
          <w:lang w:val="en-US"/>
        </w:rPr>
        <w:t>there is no doubt that damages are available</w:t>
      </w:r>
      <w:r w:rsidR="00D868A9">
        <w:rPr>
          <w:rStyle w:val="FootnoteReference"/>
          <w:rFonts w:ascii="Arial" w:hAnsi="Arial" w:cs="Arial"/>
          <w:bCs/>
          <w:iCs/>
          <w:sz w:val="24"/>
          <w:szCs w:val="24"/>
          <w:lang w:val="en-US"/>
        </w:rPr>
        <w:footnoteReference w:id="55"/>
      </w:r>
      <w:r w:rsidR="00D868A9">
        <w:rPr>
          <w:rFonts w:ascii="Arial" w:hAnsi="Arial" w:cs="Arial"/>
          <w:bCs/>
          <w:iCs/>
          <w:sz w:val="24"/>
          <w:szCs w:val="24"/>
          <w:lang w:val="en-US"/>
        </w:rPr>
        <w:t>. A claimant can either bring a direct standalone action in the High Court, without a previous anticompetitive finding by the Commission or OFT, or a follow-on action</w:t>
      </w:r>
      <w:r w:rsidR="00CF29B1">
        <w:rPr>
          <w:rFonts w:ascii="Arial" w:hAnsi="Arial" w:cs="Arial"/>
          <w:bCs/>
          <w:iCs/>
          <w:sz w:val="24"/>
          <w:szCs w:val="24"/>
          <w:lang w:val="en-US"/>
        </w:rPr>
        <w:t xml:space="preserve"> where there has already been a decision finding </w:t>
      </w:r>
      <w:r w:rsidR="00B86E3A">
        <w:rPr>
          <w:rFonts w:ascii="Arial" w:hAnsi="Arial" w:cs="Arial"/>
          <w:bCs/>
          <w:iCs/>
          <w:sz w:val="24"/>
          <w:szCs w:val="24"/>
          <w:lang w:val="en-US"/>
        </w:rPr>
        <w:t>competition infringement</w:t>
      </w:r>
      <w:r w:rsidR="00CF29B1">
        <w:rPr>
          <w:rFonts w:ascii="Arial" w:hAnsi="Arial" w:cs="Arial"/>
          <w:bCs/>
          <w:iCs/>
          <w:sz w:val="24"/>
          <w:szCs w:val="24"/>
          <w:lang w:val="en-US"/>
        </w:rPr>
        <w:t xml:space="preserve">. </w:t>
      </w:r>
    </w:p>
    <w:p w14:paraId="0FD020E1" w14:textId="118C638C" w:rsidR="004F76B0" w:rsidRDefault="00CF29B1" w:rsidP="00D87577">
      <w:pPr>
        <w:jc w:val="both"/>
        <w:rPr>
          <w:rFonts w:ascii="Arial" w:hAnsi="Arial" w:cs="Arial"/>
          <w:bCs/>
          <w:iCs/>
          <w:sz w:val="24"/>
          <w:szCs w:val="24"/>
          <w:lang w:val="en-US"/>
        </w:rPr>
      </w:pPr>
      <w:r>
        <w:rPr>
          <w:rFonts w:ascii="Arial" w:hAnsi="Arial" w:cs="Arial"/>
          <w:bCs/>
          <w:iCs/>
          <w:sz w:val="24"/>
          <w:szCs w:val="24"/>
          <w:lang w:val="en-US"/>
        </w:rPr>
        <w:t>For the former</w:t>
      </w:r>
      <w:r w:rsidR="00B86E3A">
        <w:rPr>
          <w:rFonts w:ascii="Arial" w:hAnsi="Arial" w:cs="Arial"/>
          <w:bCs/>
          <w:iCs/>
          <w:sz w:val="24"/>
          <w:szCs w:val="24"/>
          <w:lang w:val="en-US"/>
        </w:rPr>
        <w:t>,</w:t>
      </w:r>
      <w:r>
        <w:rPr>
          <w:rFonts w:ascii="Arial" w:hAnsi="Arial" w:cs="Arial"/>
          <w:bCs/>
          <w:iCs/>
          <w:sz w:val="24"/>
          <w:szCs w:val="24"/>
          <w:lang w:val="en-US"/>
        </w:rPr>
        <w:t xml:space="preserve"> the</w:t>
      </w:r>
      <w:r w:rsidR="00F94735">
        <w:rPr>
          <w:rFonts w:ascii="Arial" w:hAnsi="Arial" w:cs="Arial"/>
          <w:bCs/>
          <w:iCs/>
          <w:sz w:val="24"/>
          <w:szCs w:val="24"/>
          <w:lang w:val="en-US"/>
        </w:rPr>
        <w:t xml:space="preserve"> claimant would have to prove</w:t>
      </w:r>
      <w:r>
        <w:rPr>
          <w:rFonts w:ascii="Arial" w:hAnsi="Arial" w:cs="Arial"/>
          <w:bCs/>
          <w:iCs/>
          <w:sz w:val="24"/>
          <w:szCs w:val="24"/>
          <w:lang w:val="en-US"/>
        </w:rPr>
        <w:t xml:space="preserve"> anticompetitive infringement.</w:t>
      </w:r>
      <w:r w:rsidR="00B86E3A">
        <w:rPr>
          <w:rFonts w:ascii="Arial" w:hAnsi="Arial" w:cs="Arial"/>
          <w:bCs/>
          <w:iCs/>
          <w:sz w:val="24"/>
          <w:szCs w:val="24"/>
          <w:lang w:val="en-US"/>
        </w:rPr>
        <w:t xml:space="preserve"> </w:t>
      </w:r>
      <w:r w:rsidR="00EB1055">
        <w:rPr>
          <w:rFonts w:ascii="Arial" w:hAnsi="Arial" w:cs="Arial"/>
          <w:bCs/>
          <w:iCs/>
          <w:sz w:val="24"/>
          <w:szCs w:val="24"/>
          <w:lang w:val="en-US"/>
        </w:rPr>
        <w:t>As there is no specific measure enabling a private action, the cause of action must be founded in tort, be that breach of statutory duty</w:t>
      </w:r>
      <w:r w:rsidR="00EB1055">
        <w:rPr>
          <w:rStyle w:val="FootnoteReference"/>
          <w:rFonts w:ascii="Arial" w:hAnsi="Arial" w:cs="Arial"/>
          <w:bCs/>
          <w:iCs/>
          <w:sz w:val="24"/>
          <w:szCs w:val="24"/>
          <w:lang w:val="en-US"/>
        </w:rPr>
        <w:footnoteReference w:id="56"/>
      </w:r>
      <w:r w:rsidR="00EB1055">
        <w:rPr>
          <w:rFonts w:ascii="Arial" w:hAnsi="Arial" w:cs="Arial"/>
          <w:bCs/>
          <w:iCs/>
          <w:sz w:val="24"/>
          <w:szCs w:val="24"/>
          <w:lang w:val="en-US"/>
        </w:rPr>
        <w:t xml:space="preserve"> or conspiracy</w:t>
      </w:r>
      <w:r w:rsidR="00EB1055">
        <w:rPr>
          <w:rStyle w:val="FootnoteReference"/>
          <w:rFonts w:ascii="Arial" w:hAnsi="Arial" w:cs="Arial"/>
          <w:bCs/>
          <w:iCs/>
          <w:sz w:val="24"/>
          <w:szCs w:val="24"/>
          <w:lang w:val="en-US"/>
        </w:rPr>
        <w:footnoteReference w:id="57"/>
      </w:r>
      <w:r w:rsidR="00EB1055">
        <w:rPr>
          <w:rFonts w:ascii="Arial" w:hAnsi="Arial" w:cs="Arial"/>
          <w:bCs/>
          <w:iCs/>
          <w:sz w:val="24"/>
          <w:szCs w:val="24"/>
          <w:lang w:val="en-US"/>
        </w:rPr>
        <w:t xml:space="preserve">, and as such the rules of the specific tort must be followed. Unfortunately these tortious rules can be restrictive and, according to the CJEU in </w:t>
      </w:r>
      <w:r w:rsidR="00EB1055">
        <w:rPr>
          <w:rFonts w:ascii="Arial" w:hAnsi="Arial" w:cs="Arial"/>
          <w:bCs/>
          <w:i/>
          <w:iCs/>
          <w:sz w:val="24"/>
          <w:szCs w:val="24"/>
          <w:lang w:val="en-US"/>
        </w:rPr>
        <w:t xml:space="preserve">Courage v </w:t>
      </w:r>
      <w:proofErr w:type="spellStart"/>
      <w:r w:rsidR="00EB1055">
        <w:rPr>
          <w:rFonts w:ascii="Arial" w:hAnsi="Arial" w:cs="Arial"/>
          <w:bCs/>
          <w:i/>
          <w:iCs/>
          <w:sz w:val="24"/>
          <w:szCs w:val="24"/>
          <w:lang w:val="en-US"/>
        </w:rPr>
        <w:t>Crehan</w:t>
      </w:r>
      <w:proofErr w:type="spellEnd"/>
      <w:r w:rsidR="00EB1055">
        <w:rPr>
          <w:rStyle w:val="FootnoteReference"/>
          <w:rFonts w:ascii="Arial" w:hAnsi="Arial" w:cs="Arial"/>
          <w:bCs/>
          <w:i/>
          <w:iCs/>
          <w:sz w:val="24"/>
          <w:szCs w:val="24"/>
          <w:lang w:val="en-US"/>
        </w:rPr>
        <w:footnoteReference w:id="58"/>
      </w:r>
      <w:r w:rsidR="00EB1055">
        <w:rPr>
          <w:rFonts w:ascii="Arial" w:hAnsi="Arial" w:cs="Arial"/>
          <w:bCs/>
          <w:iCs/>
          <w:sz w:val="24"/>
          <w:szCs w:val="24"/>
          <w:lang w:val="en-US"/>
        </w:rPr>
        <w:t>, procedural rules of a domestic tortious action must not be employed to prohibit a party suffering damages to be able to recover.</w:t>
      </w:r>
      <w:r w:rsidR="0047063A">
        <w:rPr>
          <w:rFonts w:ascii="Arial" w:hAnsi="Arial" w:cs="Arial"/>
          <w:bCs/>
          <w:iCs/>
          <w:sz w:val="24"/>
          <w:szCs w:val="24"/>
          <w:lang w:val="en-US"/>
        </w:rPr>
        <w:t xml:space="preserve"> However, the right to damages is </w:t>
      </w:r>
      <w:r w:rsidR="00B912D5">
        <w:rPr>
          <w:rFonts w:ascii="Arial" w:hAnsi="Arial" w:cs="Arial"/>
          <w:bCs/>
          <w:iCs/>
          <w:sz w:val="24"/>
          <w:szCs w:val="24"/>
          <w:lang w:val="en-US"/>
        </w:rPr>
        <w:t>purely compensatory</w:t>
      </w:r>
      <w:r w:rsidR="0047063A">
        <w:rPr>
          <w:rFonts w:ascii="Arial" w:hAnsi="Arial" w:cs="Arial"/>
          <w:bCs/>
          <w:iCs/>
          <w:sz w:val="24"/>
          <w:szCs w:val="24"/>
          <w:lang w:val="en-US"/>
        </w:rPr>
        <w:t xml:space="preserve"> with no possibility of restitutionary damages being awarded</w:t>
      </w:r>
      <w:r w:rsidR="0047063A">
        <w:rPr>
          <w:rStyle w:val="FootnoteReference"/>
          <w:rFonts w:ascii="Arial" w:hAnsi="Arial" w:cs="Arial"/>
          <w:bCs/>
          <w:iCs/>
          <w:sz w:val="24"/>
          <w:szCs w:val="24"/>
          <w:lang w:val="en-US"/>
        </w:rPr>
        <w:footnoteReference w:id="59"/>
      </w:r>
      <w:r w:rsidR="00FC3E14">
        <w:rPr>
          <w:rFonts w:ascii="Arial" w:hAnsi="Arial" w:cs="Arial"/>
          <w:bCs/>
          <w:iCs/>
          <w:sz w:val="24"/>
          <w:szCs w:val="24"/>
          <w:lang w:val="en-US"/>
        </w:rPr>
        <w:t xml:space="preserve"> </w:t>
      </w:r>
      <w:r w:rsidR="0047063A">
        <w:rPr>
          <w:rFonts w:ascii="Arial" w:hAnsi="Arial" w:cs="Arial"/>
          <w:bCs/>
          <w:iCs/>
          <w:sz w:val="24"/>
          <w:szCs w:val="24"/>
          <w:lang w:val="en-US"/>
        </w:rPr>
        <w:t>where compensatory damages would be sufficient</w:t>
      </w:r>
      <w:r w:rsidR="0047063A">
        <w:rPr>
          <w:rStyle w:val="FootnoteReference"/>
          <w:rFonts w:ascii="Arial" w:hAnsi="Arial" w:cs="Arial"/>
          <w:bCs/>
          <w:iCs/>
          <w:sz w:val="24"/>
          <w:szCs w:val="24"/>
          <w:lang w:val="en-US"/>
        </w:rPr>
        <w:footnoteReference w:id="60"/>
      </w:r>
      <w:r w:rsidR="0047063A">
        <w:rPr>
          <w:rFonts w:ascii="Arial" w:hAnsi="Arial" w:cs="Arial"/>
          <w:bCs/>
          <w:iCs/>
          <w:sz w:val="24"/>
          <w:szCs w:val="24"/>
          <w:lang w:val="en-US"/>
        </w:rPr>
        <w:t>, thereby prohibiting the possibility of double or treble damages.</w:t>
      </w:r>
      <w:r w:rsidR="008D2AB9">
        <w:rPr>
          <w:rFonts w:ascii="Arial" w:hAnsi="Arial" w:cs="Arial"/>
          <w:bCs/>
          <w:iCs/>
          <w:sz w:val="24"/>
          <w:szCs w:val="24"/>
          <w:lang w:val="en-US"/>
        </w:rPr>
        <w:t xml:space="preserve"> Indeed as </w:t>
      </w:r>
      <w:proofErr w:type="spellStart"/>
      <w:r w:rsidR="008D2AB9">
        <w:rPr>
          <w:rFonts w:ascii="Arial" w:hAnsi="Arial" w:cs="Arial"/>
          <w:bCs/>
          <w:iCs/>
          <w:sz w:val="24"/>
          <w:szCs w:val="24"/>
          <w:lang w:val="en-US"/>
        </w:rPr>
        <w:t>Longmore</w:t>
      </w:r>
      <w:proofErr w:type="spellEnd"/>
      <w:r w:rsidR="008D2AB9">
        <w:rPr>
          <w:rFonts w:ascii="Arial" w:hAnsi="Arial" w:cs="Arial"/>
          <w:bCs/>
          <w:iCs/>
          <w:sz w:val="24"/>
          <w:szCs w:val="24"/>
          <w:lang w:val="en-US"/>
        </w:rPr>
        <w:t xml:space="preserve"> LJ notes restitutionary damages can be awarded </w:t>
      </w:r>
      <w:r w:rsidR="00615DCF">
        <w:rPr>
          <w:rFonts w:ascii="Arial" w:hAnsi="Arial" w:cs="Arial"/>
          <w:bCs/>
          <w:iCs/>
          <w:sz w:val="24"/>
          <w:szCs w:val="24"/>
          <w:lang w:val="en-US"/>
        </w:rPr>
        <w:t xml:space="preserve">outside of the regular categories </w:t>
      </w:r>
      <w:r w:rsidR="008D2AB9">
        <w:rPr>
          <w:rFonts w:ascii="Arial" w:hAnsi="Arial" w:cs="Arial"/>
          <w:bCs/>
          <w:iCs/>
          <w:sz w:val="24"/>
          <w:szCs w:val="24"/>
          <w:lang w:val="en-US"/>
        </w:rPr>
        <w:t>in exceptional cases</w:t>
      </w:r>
      <w:r w:rsidR="00615DCF">
        <w:rPr>
          <w:rFonts w:ascii="Arial" w:hAnsi="Arial" w:cs="Arial"/>
          <w:bCs/>
          <w:iCs/>
          <w:sz w:val="24"/>
          <w:szCs w:val="24"/>
          <w:lang w:val="en-US"/>
        </w:rPr>
        <w:t xml:space="preserve"> but cartels are not exceptional as it would be </w:t>
      </w:r>
      <w:r w:rsidR="00615DCF">
        <w:rPr>
          <w:rFonts w:ascii="Arial" w:hAnsi="Arial" w:cs="Arial"/>
          <w:bCs/>
          <w:iCs/>
          <w:sz w:val="24"/>
          <w:szCs w:val="24"/>
          <w:lang w:val="en-US"/>
        </w:rPr>
        <w:lastRenderedPageBreak/>
        <w:t>difficult to see how one cartel could be more exceptional than another</w:t>
      </w:r>
      <w:r w:rsidR="00615DCF">
        <w:rPr>
          <w:rStyle w:val="FootnoteReference"/>
          <w:rFonts w:ascii="Arial" w:hAnsi="Arial" w:cs="Arial"/>
          <w:bCs/>
          <w:iCs/>
          <w:sz w:val="24"/>
          <w:szCs w:val="24"/>
          <w:lang w:val="en-US"/>
        </w:rPr>
        <w:footnoteReference w:id="61"/>
      </w:r>
      <w:r w:rsidR="00615DCF">
        <w:rPr>
          <w:rFonts w:ascii="Arial" w:hAnsi="Arial" w:cs="Arial"/>
          <w:bCs/>
          <w:iCs/>
          <w:sz w:val="24"/>
          <w:szCs w:val="24"/>
          <w:lang w:val="en-US"/>
        </w:rPr>
        <w:t>.</w:t>
      </w:r>
      <w:r w:rsidR="00F94735">
        <w:rPr>
          <w:rFonts w:ascii="Arial" w:hAnsi="Arial" w:cs="Arial"/>
          <w:bCs/>
          <w:iCs/>
          <w:sz w:val="24"/>
          <w:szCs w:val="24"/>
          <w:lang w:val="en-US"/>
        </w:rPr>
        <w:t xml:space="preserve"> This does not mean that exemplary damages for </w:t>
      </w:r>
      <w:r w:rsidR="008F6B9B">
        <w:rPr>
          <w:rFonts w:ascii="Arial" w:hAnsi="Arial" w:cs="Arial"/>
          <w:bCs/>
          <w:iCs/>
          <w:sz w:val="24"/>
          <w:szCs w:val="24"/>
          <w:lang w:val="en-US"/>
        </w:rPr>
        <w:t>particularly serious anti-competitive behavio</w:t>
      </w:r>
      <w:r w:rsidR="00851F18">
        <w:rPr>
          <w:rFonts w:ascii="Arial" w:hAnsi="Arial" w:cs="Arial"/>
          <w:bCs/>
          <w:iCs/>
          <w:sz w:val="24"/>
          <w:szCs w:val="24"/>
          <w:lang w:val="en-US"/>
        </w:rPr>
        <w:t>u</w:t>
      </w:r>
      <w:r w:rsidR="008F6B9B">
        <w:rPr>
          <w:rFonts w:ascii="Arial" w:hAnsi="Arial" w:cs="Arial"/>
          <w:bCs/>
          <w:iCs/>
          <w:sz w:val="24"/>
          <w:szCs w:val="24"/>
          <w:lang w:val="en-US"/>
        </w:rPr>
        <w:t>r</w:t>
      </w:r>
      <w:r w:rsidR="007515A6">
        <w:rPr>
          <w:rFonts w:ascii="Arial" w:hAnsi="Arial" w:cs="Arial"/>
          <w:bCs/>
          <w:iCs/>
          <w:sz w:val="24"/>
          <w:szCs w:val="24"/>
          <w:lang w:val="en-US"/>
        </w:rPr>
        <w:t xml:space="preserve"> cannot be awarded</w:t>
      </w:r>
      <w:r w:rsidR="007515A6">
        <w:rPr>
          <w:rStyle w:val="FootnoteReference"/>
          <w:rFonts w:ascii="Arial" w:hAnsi="Arial" w:cs="Arial"/>
          <w:bCs/>
          <w:iCs/>
          <w:sz w:val="24"/>
          <w:szCs w:val="24"/>
          <w:lang w:val="en-US"/>
        </w:rPr>
        <w:footnoteReference w:id="62"/>
      </w:r>
      <w:r w:rsidR="008F6B9B">
        <w:rPr>
          <w:rFonts w:ascii="Arial" w:hAnsi="Arial" w:cs="Arial"/>
          <w:bCs/>
          <w:iCs/>
          <w:sz w:val="24"/>
          <w:szCs w:val="24"/>
          <w:lang w:val="en-US"/>
        </w:rPr>
        <w:t xml:space="preserve">, so long as </w:t>
      </w:r>
      <w:proofErr w:type="gramStart"/>
      <w:r w:rsidR="008F6B9B">
        <w:rPr>
          <w:rFonts w:ascii="Arial" w:hAnsi="Arial" w:cs="Arial"/>
          <w:bCs/>
          <w:iCs/>
          <w:sz w:val="24"/>
          <w:szCs w:val="24"/>
          <w:lang w:val="en-US"/>
        </w:rPr>
        <w:t>no penalty had already been ordered by a public competition authority</w:t>
      </w:r>
      <w:proofErr w:type="gramEnd"/>
      <w:r w:rsidR="008F6B9B">
        <w:rPr>
          <w:rStyle w:val="FootnoteReference"/>
          <w:rFonts w:ascii="Arial" w:hAnsi="Arial" w:cs="Arial"/>
          <w:bCs/>
          <w:iCs/>
          <w:sz w:val="24"/>
          <w:szCs w:val="24"/>
          <w:lang w:val="en-US"/>
        </w:rPr>
        <w:footnoteReference w:id="63"/>
      </w:r>
      <w:r w:rsidR="008F6B9B">
        <w:rPr>
          <w:rFonts w:ascii="Arial" w:hAnsi="Arial" w:cs="Arial"/>
          <w:bCs/>
          <w:iCs/>
          <w:sz w:val="24"/>
          <w:szCs w:val="24"/>
          <w:lang w:val="en-US"/>
        </w:rPr>
        <w:t>.</w:t>
      </w:r>
      <w:r w:rsidR="006520F3">
        <w:rPr>
          <w:rFonts w:ascii="Arial" w:hAnsi="Arial" w:cs="Arial"/>
          <w:bCs/>
          <w:iCs/>
          <w:sz w:val="24"/>
          <w:szCs w:val="24"/>
          <w:lang w:val="en-US"/>
        </w:rPr>
        <w:t xml:space="preserve"> These are in addition to compensatory damages and are only awarded if the original sum is not adequate to punish the defendant</w:t>
      </w:r>
      <w:r w:rsidR="006520F3">
        <w:rPr>
          <w:rStyle w:val="FootnoteReference"/>
          <w:rFonts w:ascii="Arial" w:hAnsi="Arial" w:cs="Arial"/>
          <w:bCs/>
          <w:iCs/>
          <w:sz w:val="24"/>
          <w:szCs w:val="24"/>
          <w:lang w:val="en-US"/>
        </w:rPr>
        <w:footnoteReference w:id="64"/>
      </w:r>
      <w:r w:rsidR="0053716F">
        <w:rPr>
          <w:rFonts w:ascii="Arial" w:hAnsi="Arial" w:cs="Arial"/>
          <w:bCs/>
          <w:iCs/>
          <w:sz w:val="24"/>
          <w:szCs w:val="24"/>
          <w:lang w:val="en-US"/>
        </w:rPr>
        <w:t>.</w:t>
      </w:r>
    </w:p>
    <w:p w14:paraId="2E17DB0C" w14:textId="51D3A629" w:rsidR="00851F18" w:rsidRDefault="00851F18" w:rsidP="00D87577">
      <w:pPr>
        <w:jc w:val="both"/>
        <w:rPr>
          <w:rFonts w:ascii="Arial" w:hAnsi="Arial" w:cs="Arial"/>
          <w:bCs/>
          <w:iCs/>
          <w:sz w:val="24"/>
          <w:szCs w:val="24"/>
          <w:lang w:val="en-US"/>
        </w:rPr>
      </w:pPr>
      <w:r>
        <w:rPr>
          <w:rFonts w:ascii="Arial" w:hAnsi="Arial" w:cs="Arial"/>
          <w:bCs/>
          <w:iCs/>
          <w:sz w:val="24"/>
          <w:szCs w:val="24"/>
          <w:lang w:val="en-US"/>
        </w:rPr>
        <w:t xml:space="preserve">Follow on actions are regulated by section 47A and 47B of the Competition Act 1998, with the procedural aspects of such regulation, at the time of the LIBOR scandal, set out in </w:t>
      </w:r>
      <w:r w:rsidR="00F472F2">
        <w:rPr>
          <w:rFonts w:ascii="Arial" w:hAnsi="Arial" w:cs="Arial"/>
          <w:bCs/>
          <w:iCs/>
          <w:sz w:val="24"/>
          <w:szCs w:val="24"/>
          <w:lang w:val="en-US"/>
        </w:rPr>
        <w:t xml:space="preserve">Part IV of the </w:t>
      </w:r>
      <w:r>
        <w:rPr>
          <w:rFonts w:ascii="Arial" w:hAnsi="Arial" w:cs="Arial"/>
          <w:bCs/>
          <w:iCs/>
          <w:sz w:val="24"/>
          <w:szCs w:val="24"/>
          <w:lang w:val="en-US"/>
        </w:rPr>
        <w:t>Competition Appeal Tribunal’s 2003 Rules</w:t>
      </w:r>
      <w:r w:rsidR="00EC4F03">
        <w:rPr>
          <w:rFonts w:ascii="Arial" w:hAnsi="Arial" w:cs="Arial"/>
          <w:bCs/>
          <w:iCs/>
          <w:sz w:val="24"/>
          <w:szCs w:val="24"/>
          <w:lang w:val="en-US"/>
        </w:rPr>
        <w:t xml:space="preserve"> (CAT Rules)</w:t>
      </w:r>
      <w:r w:rsidR="00F472F2">
        <w:rPr>
          <w:rStyle w:val="FootnoteReference"/>
          <w:rFonts w:ascii="Arial" w:hAnsi="Arial" w:cs="Arial"/>
          <w:bCs/>
          <w:iCs/>
          <w:sz w:val="24"/>
          <w:szCs w:val="24"/>
          <w:lang w:val="en-US"/>
        </w:rPr>
        <w:footnoteReference w:id="65"/>
      </w:r>
      <w:r>
        <w:rPr>
          <w:rFonts w:ascii="Arial" w:hAnsi="Arial" w:cs="Arial"/>
          <w:bCs/>
          <w:iCs/>
          <w:sz w:val="24"/>
          <w:szCs w:val="24"/>
          <w:lang w:val="en-US"/>
        </w:rPr>
        <w:t>.</w:t>
      </w:r>
      <w:r w:rsidR="00F472F2">
        <w:rPr>
          <w:rFonts w:ascii="Arial" w:hAnsi="Arial" w:cs="Arial"/>
          <w:bCs/>
          <w:iCs/>
          <w:sz w:val="24"/>
          <w:szCs w:val="24"/>
          <w:lang w:val="en-US"/>
        </w:rPr>
        <w:t xml:space="preserve"> </w:t>
      </w:r>
      <w:r w:rsidR="00EC4F03">
        <w:rPr>
          <w:rFonts w:ascii="Arial" w:hAnsi="Arial" w:cs="Arial"/>
          <w:bCs/>
          <w:iCs/>
          <w:sz w:val="24"/>
          <w:szCs w:val="24"/>
          <w:lang w:val="en-US"/>
        </w:rPr>
        <w:t>Follow on actions can be sta</w:t>
      </w:r>
      <w:r w:rsidR="007515A6">
        <w:rPr>
          <w:rFonts w:ascii="Arial" w:hAnsi="Arial" w:cs="Arial"/>
          <w:bCs/>
          <w:iCs/>
          <w:sz w:val="24"/>
          <w:szCs w:val="24"/>
          <w:lang w:val="en-US"/>
        </w:rPr>
        <w:t>r</w:t>
      </w:r>
      <w:r w:rsidR="00EC4F03">
        <w:rPr>
          <w:rFonts w:ascii="Arial" w:hAnsi="Arial" w:cs="Arial"/>
          <w:bCs/>
          <w:iCs/>
          <w:sz w:val="24"/>
          <w:szCs w:val="24"/>
          <w:lang w:val="en-US"/>
        </w:rPr>
        <w:t>ted in the CAT or High Court, with individual action covered by section 47A and collective actions through specified consumer bodies on behalf of consumers by section 47B.</w:t>
      </w:r>
    </w:p>
    <w:p w14:paraId="74A54999" w14:textId="77777777" w:rsidR="00BE4700" w:rsidRDefault="00BE4700" w:rsidP="00D87577">
      <w:pPr>
        <w:jc w:val="both"/>
        <w:rPr>
          <w:rFonts w:ascii="Arial" w:hAnsi="Arial" w:cs="Arial"/>
          <w:bCs/>
          <w:iCs/>
          <w:sz w:val="24"/>
          <w:szCs w:val="24"/>
          <w:lang w:val="en-US"/>
        </w:rPr>
      </w:pPr>
    </w:p>
    <w:p w14:paraId="040557AA" w14:textId="5C00C995" w:rsidR="00BE4700" w:rsidRDefault="00BE4700" w:rsidP="00D87577">
      <w:pPr>
        <w:jc w:val="both"/>
        <w:rPr>
          <w:rFonts w:ascii="Arial" w:hAnsi="Arial" w:cs="Arial"/>
          <w:bCs/>
          <w:iCs/>
          <w:sz w:val="24"/>
          <w:szCs w:val="24"/>
          <w:lang w:val="en-US"/>
        </w:rPr>
      </w:pPr>
      <w:r>
        <w:rPr>
          <w:rFonts w:ascii="Arial" w:hAnsi="Arial" w:cs="Arial"/>
          <w:bCs/>
          <w:iCs/>
          <w:sz w:val="24"/>
          <w:szCs w:val="24"/>
          <w:u w:val="single"/>
          <w:lang w:val="en-US"/>
        </w:rPr>
        <w:t>COMPETITION LAW ACTIONS</w:t>
      </w:r>
    </w:p>
    <w:p w14:paraId="25423525" w14:textId="77777777" w:rsidR="00BE4700" w:rsidRDefault="00BE4700" w:rsidP="00D87577">
      <w:pPr>
        <w:jc w:val="both"/>
        <w:rPr>
          <w:rFonts w:ascii="Arial" w:hAnsi="Arial" w:cs="Arial"/>
          <w:bCs/>
          <w:iCs/>
          <w:sz w:val="24"/>
          <w:szCs w:val="24"/>
          <w:lang w:val="en-US"/>
        </w:rPr>
      </w:pPr>
    </w:p>
    <w:p w14:paraId="1D72A34F" w14:textId="2EED1AB9" w:rsidR="00BE4700" w:rsidRDefault="00BE4700" w:rsidP="00BE4700">
      <w:pPr>
        <w:pStyle w:val="ListParagraph"/>
        <w:numPr>
          <w:ilvl w:val="0"/>
          <w:numId w:val="3"/>
        </w:numPr>
        <w:jc w:val="both"/>
        <w:rPr>
          <w:rFonts w:ascii="Arial" w:hAnsi="Arial" w:cs="Arial"/>
          <w:bCs/>
          <w:iCs/>
          <w:sz w:val="24"/>
          <w:szCs w:val="24"/>
          <w:lang w:val="en-US"/>
        </w:rPr>
      </w:pPr>
      <w:r w:rsidRPr="00BE4700">
        <w:rPr>
          <w:rFonts w:ascii="Arial" w:hAnsi="Arial" w:cs="Arial"/>
          <w:bCs/>
          <w:iCs/>
          <w:sz w:val="24"/>
          <w:szCs w:val="24"/>
          <w:lang w:val="en-US"/>
        </w:rPr>
        <w:t>The USA</w:t>
      </w:r>
    </w:p>
    <w:p w14:paraId="4CA01A15" w14:textId="22893353" w:rsidR="00BE4700" w:rsidRDefault="00BE4700" w:rsidP="00BE4700">
      <w:pPr>
        <w:pStyle w:val="ListParagraph"/>
        <w:numPr>
          <w:ilvl w:val="0"/>
          <w:numId w:val="4"/>
        </w:numPr>
        <w:jc w:val="both"/>
        <w:rPr>
          <w:rFonts w:ascii="Arial" w:hAnsi="Arial" w:cs="Arial"/>
          <w:bCs/>
          <w:iCs/>
          <w:sz w:val="24"/>
          <w:szCs w:val="24"/>
          <w:lang w:val="en-US"/>
        </w:rPr>
      </w:pPr>
      <w:r w:rsidRPr="00BE4700">
        <w:rPr>
          <w:rFonts w:ascii="Arial" w:hAnsi="Arial" w:cs="Arial"/>
          <w:bCs/>
          <w:iCs/>
          <w:sz w:val="24"/>
          <w:szCs w:val="24"/>
          <w:lang w:val="en-US"/>
        </w:rPr>
        <w:t>Civil Public Enforcement</w:t>
      </w:r>
    </w:p>
    <w:p w14:paraId="2552770A" w14:textId="53E0C5F7" w:rsidR="007A1A50" w:rsidRPr="007A1A50" w:rsidRDefault="007A1A50" w:rsidP="007A1A50">
      <w:pPr>
        <w:jc w:val="both"/>
        <w:rPr>
          <w:rFonts w:ascii="Arial" w:hAnsi="Arial" w:cs="Arial"/>
          <w:bCs/>
          <w:iCs/>
          <w:sz w:val="24"/>
          <w:szCs w:val="24"/>
          <w:lang w:val="en-US"/>
        </w:rPr>
      </w:pPr>
      <w:r>
        <w:rPr>
          <w:rFonts w:ascii="Arial" w:hAnsi="Arial" w:cs="Arial"/>
          <w:bCs/>
          <w:iCs/>
          <w:sz w:val="24"/>
          <w:szCs w:val="24"/>
          <w:lang w:val="en-US"/>
        </w:rPr>
        <w:t xml:space="preserve">The DoJ has focused on criminal public enforcement rather than civil public enforcement, especially over infringement of the Sherman Act. However, </w:t>
      </w:r>
      <w:r w:rsidR="00F737FB">
        <w:rPr>
          <w:rFonts w:ascii="Arial" w:hAnsi="Arial" w:cs="Arial"/>
          <w:bCs/>
          <w:iCs/>
          <w:sz w:val="24"/>
          <w:szCs w:val="24"/>
          <w:lang w:val="en-US"/>
        </w:rPr>
        <w:t>the Commodity Futures Trading Commission has fined six banks a total of $2605 million and two interdealer brokers a total of $66.2 million</w:t>
      </w:r>
      <w:r w:rsidR="00805E7E">
        <w:rPr>
          <w:rFonts w:ascii="Arial" w:hAnsi="Arial" w:cs="Arial"/>
          <w:bCs/>
          <w:iCs/>
          <w:sz w:val="24"/>
          <w:szCs w:val="24"/>
          <w:lang w:val="en-US"/>
        </w:rPr>
        <w:t xml:space="preserve"> for non-antitrust infringements of the Commodity Exchange Act 2006</w:t>
      </w:r>
      <w:r w:rsidR="00805E7E">
        <w:rPr>
          <w:rStyle w:val="FootnoteReference"/>
          <w:rFonts w:ascii="Arial" w:hAnsi="Arial" w:cs="Arial"/>
          <w:bCs/>
          <w:iCs/>
          <w:sz w:val="24"/>
          <w:szCs w:val="24"/>
          <w:lang w:val="en-US"/>
        </w:rPr>
        <w:footnoteReference w:id="66"/>
      </w:r>
      <w:r w:rsidR="00F737FB">
        <w:rPr>
          <w:rFonts w:ascii="Arial" w:hAnsi="Arial" w:cs="Arial"/>
          <w:bCs/>
          <w:iCs/>
          <w:sz w:val="24"/>
          <w:szCs w:val="24"/>
          <w:lang w:val="en-US"/>
        </w:rPr>
        <w:t xml:space="preserve"> </w:t>
      </w:r>
    </w:p>
    <w:p w14:paraId="713CC959" w14:textId="7D7319CA" w:rsidR="00E41CC3" w:rsidRPr="00E41CC3" w:rsidRDefault="00E41CC3" w:rsidP="00E41CC3">
      <w:pPr>
        <w:pStyle w:val="ListParagraph"/>
        <w:numPr>
          <w:ilvl w:val="0"/>
          <w:numId w:val="4"/>
        </w:numPr>
        <w:jc w:val="both"/>
        <w:rPr>
          <w:rFonts w:ascii="Arial" w:hAnsi="Arial" w:cs="Arial"/>
          <w:bCs/>
          <w:iCs/>
          <w:sz w:val="24"/>
          <w:szCs w:val="24"/>
        </w:rPr>
      </w:pPr>
      <w:r w:rsidRPr="00E41CC3">
        <w:rPr>
          <w:rFonts w:ascii="Arial" w:hAnsi="Arial" w:cs="Arial"/>
          <w:bCs/>
          <w:iCs/>
          <w:sz w:val="24"/>
          <w:szCs w:val="24"/>
        </w:rPr>
        <w:t>Criminal Public Enforcement</w:t>
      </w:r>
    </w:p>
    <w:p w14:paraId="4B0FD94C" w14:textId="731ECD54" w:rsidR="007A1A50" w:rsidRPr="007A1A50" w:rsidRDefault="007A1A50" w:rsidP="007A1A50">
      <w:pPr>
        <w:jc w:val="both"/>
        <w:rPr>
          <w:rFonts w:ascii="Arial" w:hAnsi="Arial" w:cs="Arial"/>
          <w:bCs/>
          <w:iCs/>
          <w:sz w:val="24"/>
          <w:szCs w:val="24"/>
        </w:rPr>
      </w:pPr>
      <w:r w:rsidRPr="007A1A50">
        <w:rPr>
          <w:rFonts w:ascii="Arial" w:hAnsi="Arial" w:cs="Arial"/>
          <w:bCs/>
          <w:iCs/>
          <w:sz w:val="24"/>
          <w:szCs w:val="24"/>
          <w:lang w:val="en-US"/>
        </w:rPr>
        <w:t xml:space="preserve">The DoJ has been proactive in enforcing section 1 of the Sherman Act against the banks involved in the LIBOR scandal with prosecutions of five banks. The DoJ accepted a guilty plea agreement for both Royal Bank of Scotland </w:t>
      </w:r>
      <w:proofErr w:type="spellStart"/>
      <w:r w:rsidRPr="007A1A50">
        <w:rPr>
          <w:rFonts w:ascii="Arial" w:hAnsi="Arial" w:cs="Arial"/>
          <w:bCs/>
          <w:iCs/>
          <w:sz w:val="24"/>
          <w:szCs w:val="24"/>
          <w:lang w:val="en-US"/>
        </w:rPr>
        <w:t>Plc</w:t>
      </w:r>
      <w:proofErr w:type="spellEnd"/>
      <w:r w:rsidRPr="007A1A50">
        <w:rPr>
          <w:rFonts w:ascii="Arial" w:hAnsi="Arial" w:cs="Arial"/>
          <w:bCs/>
          <w:iCs/>
          <w:sz w:val="24"/>
          <w:szCs w:val="24"/>
          <w:lang w:val="en-US"/>
        </w:rPr>
        <w:t xml:space="preserve"> (RBS) and Deutsche Bank AG for one count of wire fraud and one count of price fixing, which led to deferred prosecution agreements (DPAs) and fines totaling $150</w:t>
      </w:r>
      <w:r>
        <w:rPr>
          <w:rStyle w:val="FootnoteReference"/>
          <w:rFonts w:ascii="Arial" w:hAnsi="Arial" w:cs="Arial"/>
          <w:bCs/>
          <w:iCs/>
          <w:sz w:val="24"/>
          <w:szCs w:val="24"/>
          <w:lang w:val="en-US"/>
        </w:rPr>
        <w:footnoteReference w:id="67"/>
      </w:r>
      <w:r w:rsidRPr="007A1A50">
        <w:rPr>
          <w:rFonts w:ascii="Arial" w:hAnsi="Arial" w:cs="Arial"/>
          <w:bCs/>
          <w:iCs/>
          <w:sz w:val="24"/>
          <w:szCs w:val="24"/>
          <w:lang w:val="en-US"/>
        </w:rPr>
        <w:t xml:space="preserve"> and $775</w:t>
      </w:r>
      <w:r>
        <w:rPr>
          <w:rStyle w:val="FootnoteReference"/>
          <w:rFonts w:ascii="Arial" w:hAnsi="Arial" w:cs="Arial"/>
          <w:bCs/>
          <w:iCs/>
          <w:sz w:val="24"/>
          <w:szCs w:val="24"/>
          <w:lang w:val="en-US"/>
        </w:rPr>
        <w:footnoteReference w:id="68"/>
      </w:r>
      <w:r w:rsidRPr="007A1A50">
        <w:rPr>
          <w:rFonts w:ascii="Arial" w:hAnsi="Arial" w:cs="Arial"/>
          <w:bCs/>
          <w:iCs/>
          <w:sz w:val="24"/>
          <w:szCs w:val="24"/>
          <w:lang w:val="en-US"/>
        </w:rPr>
        <w:t xml:space="preserve"> </w:t>
      </w:r>
      <w:r w:rsidRPr="007A1A50">
        <w:rPr>
          <w:rFonts w:ascii="Arial" w:hAnsi="Arial" w:cs="Arial"/>
          <w:bCs/>
          <w:iCs/>
          <w:sz w:val="24"/>
          <w:szCs w:val="24"/>
          <w:lang w:val="en-US"/>
        </w:rPr>
        <w:lastRenderedPageBreak/>
        <w:t xml:space="preserve">million respectively. UBS, Barclays and </w:t>
      </w:r>
      <w:proofErr w:type="spellStart"/>
      <w:r w:rsidRPr="007A1A50">
        <w:rPr>
          <w:rFonts w:ascii="Arial" w:hAnsi="Arial" w:cs="Arial"/>
          <w:bCs/>
          <w:iCs/>
          <w:sz w:val="24"/>
          <w:szCs w:val="24"/>
          <w:lang w:val="en-US"/>
        </w:rPr>
        <w:t>Rabobank</w:t>
      </w:r>
      <w:proofErr w:type="spellEnd"/>
      <w:r w:rsidRPr="007A1A50">
        <w:rPr>
          <w:rFonts w:ascii="Arial" w:hAnsi="Arial" w:cs="Arial"/>
          <w:bCs/>
          <w:iCs/>
          <w:sz w:val="24"/>
          <w:szCs w:val="24"/>
          <w:lang w:val="en-US"/>
        </w:rPr>
        <w:t xml:space="preserve"> pleaded guilty to one charge of wire fraud and in their deferred prosecution agreements were fined $500</w:t>
      </w:r>
      <w:r>
        <w:rPr>
          <w:rStyle w:val="FootnoteReference"/>
          <w:rFonts w:ascii="Arial" w:hAnsi="Arial" w:cs="Arial"/>
          <w:bCs/>
          <w:iCs/>
          <w:sz w:val="24"/>
          <w:szCs w:val="24"/>
          <w:lang w:val="en-US"/>
        </w:rPr>
        <w:footnoteReference w:id="69"/>
      </w:r>
      <w:r w:rsidRPr="007A1A50">
        <w:rPr>
          <w:rFonts w:ascii="Arial" w:hAnsi="Arial" w:cs="Arial"/>
          <w:bCs/>
          <w:iCs/>
          <w:sz w:val="24"/>
          <w:szCs w:val="24"/>
          <w:lang w:val="en-US"/>
        </w:rPr>
        <w:t>, $160</w:t>
      </w:r>
      <w:r>
        <w:rPr>
          <w:rStyle w:val="FootnoteReference"/>
          <w:rFonts w:ascii="Arial" w:hAnsi="Arial" w:cs="Arial"/>
          <w:bCs/>
          <w:iCs/>
          <w:sz w:val="24"/>
          <w:szCs w:val="24"/>
          <w:lang w:val="en-US"/>
        </w:rPr>
        <w:footnoteReference w:id="70"/>
      </w:r>
      <w:r w:rsidRPr="007A1A50">
        <w:rPr>
          <w:rFonts w:ascii="Arial" w:hAnsi="Arial" w:cs="Arial"/>
          <w:bCs/>
          <w:iCs/>
          <w:sz w:val="24"/>
          <w:szCs w:val="24"/>
          <w:lang w:val="en-US"/>
        </w:rPr>
        <w:t xml:space="preserve"> and $325</w:t>
      </w:r>
      <w:r>
        <w:rPr>
          <w:rStyle w:val="FootnoteReference"/>
          <w:rFonts w:ascii="Arial" w:hAnsi="Arial" w:cs="Arial"/>
          <w:bCs/>
          <w:iCs/>
          <w:sz w:val="24"/>
          <w:szCs w:val="24"/>
          <w:lang w:val="en-US"/>
        </w:rPr>
        <w:footnoteReference w:id="71"/>
      </w:r>
      <w:r w:rsidRPr="007A1A50">
        <w:rPr>
          <w:rFonts w:ascii="Arial" w:hAnsi="Arial" w:cs="Arial"/>
          <w:bCs/>
          <w:iCs/>
          <w:sz w:val="24"/>
          <w:szCs w:val="24"/>
          <w:lang w:val="en-US"/>
        </w:rPr>
        <w:t xml:space="preserve"> million respectively. UBS were subsequently found to have violated the deferred prosecution agreement and were </w:t>
      </w:r>
      <w:proofErr w:type="gramStart"/>
      <w:r w:rsidRPr="007A1A50">
        <w:rPr>
          <w:rFonts w:ascii="Arial" w:hAnsi="Arial" w:cs="Arial"/>
          <w:bCs/>
          <w:iCs/>
          <w:sz w:val="24"/>
          <w:szCs w:val="24"/>
          <w:lang w:val="en-US"/>
        </w:rPr>
        <w:t>fined</w:t>
      </w:r>
      <w:proofErr w:type="gramEnd"/>
      <w:r w:rsidRPr="007A1A50">
        <w:rPr>
          <w:rFonts w:ascii="Arial" w:hAnsi="Arial" w:cs="Arial"/>
          <w:bCs/>
          <w:iCs/>
          <w:sz w:val="24"/>
          <w:szCs w:val="24"/>
          <w:lang w:val="en-US"/>
        </w:rPr>
        <w:t xml:space="preserve"> a further $203 million</w:t>
      </w:r>
      <w:r>
        <w:rPr>
          <w:rStyle w:val="FootnoteReference"/>
          <w:rFonts w:ascii="Arial" w:hAnsi="Arial" w:cs="Arial"/>
          <w:bCs/>
          <w:iCs/>
          <w:sz w:val="24"/>
          <w:szCs w:val="24"/>
          <w:lang w:val="en-US"/>
        </w:rPr>
        <w:footnoteReference w:id="72"/>
      </w:r>
      <w:r w:rsidRPr="007A1A50">
        <w:rPr>
          <w:rFonts w:ascii="Arial" w:hAnsi="Arial" w:cs="Arial"/>
          <w:bCs/>
          <w:iCs/>
          <w:sz w:val="24"/>
          <w:szCs w:val="24"/>
          <w:lang w:val="en-US"/>
        </w:rPr>
        <w:t xml:space="preserve">. </w:t>
      </w:r>
      <w:r w:rsidR="00805E7E">
        <w:rPr>
          <w:rFonts w:ascii="Arial" w:hAnsi="Arial" w:cs="Arial"/>
          <w:bCs/>
          <w:iCs/>
          <w:sz w:val="24"/>
          <w:szCs w:val="24"/>
          <w:lang w:val="en-US"/>
        </w:rPr>
        <w:t xml:space="preserve">The total fines against banks for LIBOR manipulation now amounts to $2113 million. </w:t>
      </w:r>
      <w:r w:rsidRPr="007A1A50">
        <w:rPr>
          <w:rFonts w:ascii="Arial" w:hAnsi="Arial" w:cs="Arial"/>
          <w:bCs/>
          <w:iCs/>
          <w:sz w:val="24"/>
          <w:szCs w:val="24"/>
          <w:lang w:val="en-US"/>
        </w:rPr>
        <w:t xml:space="preserve">Although the elements of the antitrust action were not tested in court, it can be inferred that there was an agreement between banks, their employees or traders operating under their instructions, operating as individual corporate entities on the international stage by price fixing, that antitrust practice being a </w:t>
      </w:r>
      <w:r w:rsidRPr="007A1A50">
        <w:rPr>
          <w:rFonts w:ascii="Arial" w:hAnsi="Arial" w:cs="Arial"/>
          <w:bCs/>
          <w:i/>
          <w:iCs/>
          <w:sz w:val="24"/>
          <w:szCs w:val="24"/>
        </w:rPr>
        <w:t>per se</w:t>
      </w:r>
      <w:r w:rsidRPr="007A1A50">
        <w:rPr>
          <w:rFonts w:ascii="Arial" w:hAnsi="Arial" w:cs="Arial"/>
          <w:bCs/>
          <w:iCs/>
          <w:sz w:val="24"/>
          <w:szCs w:val="24"/>
        </w:rPr>
        <w:t xml:space="preserve"> illegal restraint of trade. However, this only applied to RBS and Deutsche Bank.</w:t>
      </w:r>
    </w:p>
    <w:p w14:paraId="1DC56E14" w14:textId="01B867E2" w:rsidR="00E41CC3" w:rsidRDefault="00E41CC3" w:rsidP="00E41CC3">
      <w:pPr>
        <w:jc w:val="both"/>
        <w:rPr>
          <w:rFonts w:ascii="Arial" w:hAnsi="Arial" w:cs="Arial"/>
          <w:bCs/>
          <w:iCs/>
          <w:sz w:val="24"/>
          <w:szCs w:val="24"/>
          <w:lang w:val="en-US"/>
        </w:rPr>
      </w:pPr>
      <w:r>
        <w:rPr>
          <w:rFonts w:ascii="Arial" w:hAnsi="Arial" w:cs="Arial"/>
          <w:bCs/>
          <w:iCs/>
          <w:sz w:val="24"/>
          <w:szCs w:val="24"/>
          <w:lang w:val="en-US"/>
        </w:rPr>
        <w:t xml:space="preserve">The DoJ has </w:t>
      </w:r>
      <w:r w:rsidR="00805E7E">
        <w:rPr>
          <w:rFonts w:ascii="Arial" w:hAnsi="Arial" w:cs="Arial"/>
          <w:bCs/>
          <w:iCs/>
          <w:sz w:val="24"/>
          <w:szCs w:val="24"/>
          <w:lang w:val="en-US"/>
        </w:rPr>
        <w:t xml:space="preserve">also </w:t>
      </w:r>
      <w:r>
        <w:rPr>
          <w:rFonts w:ascii="Arial" w:hAnsi="Arial" w:cs="Arial"/>
          <w:bCs/>
          <w:iCs/>
          <w:sz w:val="24"/>
          <w:szCs w:val="24"/>
          <w:lang w:val="en-US"/>
        </w:rPr>
        <w:t xml:space="preserve">been proactive </w:t>
      </w:r>
      <w:r w:rsidR="00805E7E">
        <w:rPr>
          <w:rFonts w:ascii="Arial" w:hAnsi="Arial" w:cs="Arial"/>
          <w:bCs/>
          <w:iCs/>
          <w:sz w:val="24"/>
          <w:szCs w:val="24"/>
          <w:lang w:val="en-US"/>
        </w:rPr>
        <w:t xml:space="preserve">in </w:t>
      </w:r>
      <w:r>
        <w:rPr>
          <w:rFonts w:ascii="Arial" w:hAnsi="Arial" w:cs="Arial"/>
          <w:bCs/>
          <w:iCs/>
          <w:sz w:val="24"/>
          <w:szCs w:val="24"/>
          <w:lang w:val="en-US"/>
        </w:rPr>
        <w:t>bringing criminal proceedings against individual bank employees and traders</w:t>
      </w:r>
      <w:r w:rsidR="004E20B0">
        <w:rPr>
          <w:rFonts w:ascii="Arial" w:hAnsi="Arial" w:cs="Arial"/>
          <w:bCs/>
          <w:iCs/>
          <w:sz w:val="24"/>
          <w:szCs w:val="24"/>
          <w:lang w:val="en-US"/>
        </w:rPr>
        <w:t>, but these are for wire fraud rather than for price fixing</w:t>
      </w:r>
      <w:r>
        <w:rPr>
          <w:rFonts w:ascii="Arial" w:hAnsi="Arial" w:cs="Arial"/>
          <w:bCs/>
          <w:iCs/>
          <w:sz w:val="24"/>
          <w:szCs w:val="24"/>
          <w:lang w:val="en-US"/>
        </w:rPr>
        <w:t xml:space="preserve">. The first two </w:t>
      </w:r>
      <w:proofErr w:type="spellStart"/>
      <w:r>
        <w:rPr>
          <w:rFonts w:ascii="Arial" w:hAnsi="Arial" w:cs="Arial"/>
          <w:bCs/>
          <w:iCs/>
          <w:sz w:val="24"/>
          <w:szCs w:val="24"/>
          <w:lang w:val="en-US"/>
        </w:rPr>
        <w:t>Rabobank</w:t>
      </w:r>
      <w:proofErr w:type="spellEnd"/>
      <w:r>
        <w:rPr>
          <w:rFonts w:ascii="Arial" w:hAnsi="Arial" w:cs="Arial"/>
          <w:bCs/>
          <w:iCs/>
          <w:sz w:val="24"/>
          <w:szCs w:val="24"/>
          <w:lang w:val="en-US"/>
        </w:rPr>
        <w:t xml:space="preserve"> employees</w:t>
      </w:r>
      <w:r w:rsidR="00882B89">
        <w:rPr>
          <w:rFonts w:ascii="Arial" w:hAnsi="Arial" w:cs="Arial"/>
          <w:bCs/>
          <w:iCs/>
          <w:sz w:val="24"/>
          <w:szCs w:val="24"/>
          <w:lang w:val="en-US"/>
        </w:rPr>
        <w:t>, Anthony Allen</w:t>
      </w:r>
      <w:r w:rsidR="00882B89">
        <w:rPr>
          <w:rStyle w:val="FootnoteReference"/>
          <w:rFonts w:ascii="Arial" w:hAnsi="Arial" w:cs="Arial"/>
          <w:bCs/>
          <w:iCs/>
          <w:sz w:val="24"/>
          <w:szCs w:val="24"/>
          <w:lang w:val="en-US"/>
        </w:rPr>
        <w:footnoteReference w:id="73"/>
      </w:r>
      <w:r w:rsidR="00882B89">
        <w:rPr>
          <w:rFonts w:ascii="Arial" w:hAnsi="Arial" w:cs="Arial"/>
          <w:bCs/>
          <w:iCs/>
          <w:sz w:val="24"/>
          <w:szCs w:val="24"/>
          <w:lang w:val="en-US"/>
        </w:rPr>
        <w:t xml:space="preserve"> and Anthony Conti</w:t>
      </w:r>
      <w:r w:rsidR="00882B89">
        <w:rPr>
          <w:rStyle w:val="FootnoteReference"/>
          <w:rFonts w:ascii="Arial" w:hAnsi="Arial" w:cs="Arial"/>
          <w:bCs/>
          <w:iCs/>
          <w:sz w:val="24"/>
          <w:szCs w:val="24"/>
          <w:lang w:val="en-US"/>
        </w:rPr>
        <w:footnoteReference w:id="74"/>
      </w:r>
      <w:r w:rsidR="00882B89">
        <w:rPr>
          <w:rFonts w:ascii="Arial" w:hAnsi="Arial" w:cs="Arial"/>
          <w:bCs/>
          <w:iCs/>
          <w:sz w:val="24"/>
          <w:szCs w:val="24"/>
          <w:lang w:val="en-US"/>
        </w:rPr>
        <w:t>,</w:t>
      </w:r>
      <w:r>
        <w:rPr>
          <w:rFonts w:ascii="Arial" w:hAnsi="Arial" w:cs="Arial"/>
          <w:bCs/>
          <w:iCs/>
          <w:sz w:val="24"/>
          <w:szCs w:val="24"/>
          <w:lang w:val="en-US"/>
        </w:rPr>
        <w:t xml:space="preserve"> were </w:t>
      </w:r>
      <w:r w:rsidR="00F24C9E">
        <w:rPr>
          <w:rFonts w:ascii="Arial" w:hAnsi="Arial" w:cs="Arial"/>
          <w:bCs/>
          <w:iCs/>
          <w:sz w:val="24"/>
          <w:szCs w:val="24"/>
          <w:lang w:val="en-US"/>
        </w:rPr>
        <w:t>convicted on 5 November 2015 after a jury trial. After an unsuccessful appeal to the District Court on Fifth Amendment grounds</w:t>
      </w:r>
      <w:r w:rsidR="00F24C9E">
        <w:rPr>
          <w:rStyle w:val="FootnoteReference"/>
          <w:rFonts w:ascii="Arial" w:hAnsi="Arial" w:cs="Arial"/>
          <w:bCs/>
          <w:iCs/>
          <w:sz w:val="24"/>
          <w:szCs w:val="24"/>
          <w:lang w:val="en-US"/>
        </w:rPr>
        <w:footnoteReference w:id="75"/>
      </w:r>
      <w:r w:rsidR="00F24C9E">
        <w:rPr>
          <w:rFonts w:ascii="Arial" w:hAnsi="Arial" w:cs="Arial"/>
          <w:bCs/>
          <w:iCs/>
          <w:sz w:val="24"/>
          <w:szCs w:val="24"/>
          <w:lang w:val="en-US"/>
        </w:rPr>
        <w:t xml:space="preserve">, they were </w:t>
      </w:r>
      <w:r>
        <w:rPr>
          <w:rFonts w:ascii="Arial" w:hAnsi="Arial" w:cs="Arial"/>
          <w:bCs/>
          <w:iCs/>
          <w:sz w:val="24"/>
          <w:szCs w:val="24"/>
          <w:lang w:val="en-US"/>
        </w:rPr>
        <w:t xml:space="preserve">sentenced to </w:t>
      </w:r>
      <w:r w:rsidR="00882B89">
        <w:rPr>
          <w:rFonts w:ascii="Arial" w:hAnsi="Arial" w:cs="Arial"/>
          <w:bCs/>
          <w:iCs/>
          <w:sz w:val="24"/>
          <w:szCs w:val="24"/>
          <w:lang w:val="en-US"/>
        </w:rPr>
        <w:t xml:space="preserve">24 months and </w:t>
      </w:r>
      <w:r w:rsidR="00882B89">
        <w:rPr>
          <w:rFonts w:ascii="Arial" w:hAnsi="Arial" w:cs="Arial"/>
          <w:bCs/>
          <w:iCs/>
          <w:sz w:val="24"/>
          <w:szCs w:val="24"/>
          <w:lang w:val="en-US"/>
        </w:rPr>
        <w:lastRenderedPageBreak/>
        <w:t>12 months and a day of</w:t>
      </w:r>
      <w:r>
        <w:rPr>
          <w:rFonts w:ascii="Arial" w:hAnsi="Arial" w:cs="Arial"/>
          <w:bCs/>
          <w:iCs/>
          <w:sz w:val="24"/>
          <w:szCs w:val="24"/>
          <w:lang w:val="en-US"/>
        </w:rPr>
        <w:t xml:space="preserve"> imprisonment </w:t>
      </w:r>
      <w:r w:rsidR="00882B89">
        <w:rPr>
          <w:rFonts w:ascii="Arial" w:hAnsi="Arial" w:cs="Arial"/>
          <w:bCs/>
          <w:iCs/>
          <w:sz w:val="24"/>
          <w:szCs w:val="24"/>
          <w:lang w:val="en-US"/>
        </w:rPr>
        <w:t xml:space="preserve">respectively </w:t>
      </w:r>
      <w:r>
        <w:rPr>
          <w:rFonts w:ascii="Arial" w:hAnsi="Arial" w:cs="Arial"/>
          <w:bCs/>
          <w:iCs/>
          <w:sz w:val="24"/>
          <w:szCs w:val="24"/>
          <w:lang w:val="en-US"/>
        </w:rPr>
        <w:t xml:space="preserve">in </w:t>
      </w:r>
      <w:r w:rsidR="007000BF">
        <w:rPr>
          <w:rFonts w:ascii="Arial" w:hAnsi="Arial" w:cs="Arial"/>
          <w:bCs/>
          <w:iCs/>
          <w:sz w:val="24"/>
          <w:szCs w:val="24"/>
          <w:lang w:val="en-US"/>
        </w:rPr>
        <w:t>March 2016</w:t>
      </w:r>
      <w:r w:rsidR="00DB5209">
        <w:rPr>
          <w:rFonts w:ascii="Arial" w:hAnsi="Arial" w:cs="Arial"/>
          <w:bCs/>
          <w:iCs/>
          <w:sz w:val="24"/>
          <w:szCs w:val="24"/>
          <w:lang w:val="en-US"/>
        </w:rPr>
        <w:t>. T</w:t>
      </w:r>
      <w:r w:rsidR="00C203CF">
        <w:rPr>
          <w:rFonts w:ascii="Arial" w:hAnsi="Arial" w:cs="Arial"/>
          <w:bCs/>
          <w:iCs/>
          <w:sz w:val="24"/>
          <w:szCs w:val="24"/>
          <w:lang w:val="en-US"/>
        </w:rPr>
        <w:t xml:space="preserve">hey have both </w:t>
      </w:r>
      <w:r w:rsidR="005F63C6">
        <w:rPr>
          <w:rFonts w:ascii="Arial" w:hAnsi="Arial" w:cs="Arial"/>
          <w:bCs/>
          <w:iCs/>
          <w:sz w:val="24"/>
          <w:szCs w:val="24"/>
          <w:lang w:val="en-US"/>
        </w:rPr>
        <w:t>petitioned</w:t>
      </w:r>
      <w:r w:rsidR="00DB5209">
        <w:rPr>
          <w:rFonts w:ascii="Arial" w:hAnsi="Arial" w:cs="Arial"/>
          <w:bCs/>
          <w:iCs/>
          <w:sz w:val="24"/>
          <w:szCs w:val="24"/>
          <w:lang w:val="en-US"/>
        </w:rPr>
        <w:t xml:space="preserve"> </w:t>
      </w:r>
      <w:r w:rsidR="005F63C6">
        <w:rPr>
          <w:rFonts w:ascii="Arial" w:hAnsi="Arial" w:cs="Arial"/>
          <w:bCs/>
          <w:iCs/>
          <w:sz w:val="24"/>
          <w:szCs w:val="24"/>
          <w:lang w:val="en-US"/>
        </w:rPr>
        <w:t>the US Court of Appeals for the Second Circuit appealing both their conviction and sentence</w:t>
      </w:r>
      <w:r w:rsidR="007000BF">
        <w:rPr>
          <w:rFonts w:ascii="Arial" w:hAnsi="Arial" w:cs="Arial"/>
          <w:bCs/>
          <w:iCs/>
          <w:sz w:val="24"/>
          <w:szCs w:val="24"/>
          <w:lang w:val="en-US"/>
        </w:rPr>
        <w:t>. A further three</w:t>
      </w:r>
      <w:r w:rsidR="00882B89">
        <w:rPr>
          <w:rFonts w:ascii="Arial" w:hAnsi="Arial" w:cs="Arial"/>
          <w:bCs/>
          <w:iCs/>
          <w:sz w:val="24"/>
          <w:szCs w:val="24"/>
          <w:lang w:val="en-US"/>
        </w:rPr>
        <w:t xml:space="preserve"> defendants</w:t>
      </w:r>
      <w:r w:rsidR="007000BF">
        <w:rPr>
          <w:rFonts w:ascii="Arial" w:hAnsi="Arial" w:cs="Arial"/>
          <w:bCs/>
          <w:iCs/>
          <w:sz w:val="24"/>
          <w:szCs w:val="24"/>
          <w:lang w:val="en-US"/>
        </w:rPr>
        <w:t>, Paul Robson, Lee Stewart and</w:t>
      </w:r>
      <w:r w:rsidR="00882B89">
        <w:rPr>
          <w:rFonts w:ascii="Arial" w:hAnsi="Arial" w:cs="Arial"/>
          <w:bCs/>
          <w:iCs/>
          <w:sz w:val="24"/>
          <w:szCs w:val="24"/>
          <w:lang w:val="en-US"/>
        </w:rPr>
        <w:t xml:space="preserve"> </w:t>
      </w:r>
      <w:r w:rsidR="007000BF" w:rsidRPr="007000BF">
        <w:rPr>
          <w:rFonts w:ascii="Arial" w:hAnsi="Arial" w:cs="Arial"/>
          <w:bCs/>
          <w:iCs/>
          <w:sz w:val="24"/>
          <w:szCs w:val="24"/>
          <w:lang w:val="en-US"/>
        </w:rPr>
        <w:t xml:space="preserve">Takayuki </w:t>
      </w:r>
      <w:proofErr w:type="spellStart"/>
      <w:r w:rsidR="007000BF" w:rsidRPr="007000BF">
        <w:rPr>
          <w:rFonts w:ascii="Arial" w:hAnsi="Arial" w:cs="Arial"/>
          <w:bCs/>
          <w:iCs/>
          <w:sz w:val="24"/>
          <w:szCs w:val="24"/>
          <w:lang w:val="en-US"/>
        </w:rPr>
        <w:t>Yagami</w:t>
      </w:r>
      <w:proofErr w:type="spellEnd"/>
      <w:r w:rsidR="007000BF">
        <w:rPr>
          <w:rFonts w:ascii="Arial" w:hAnsi="Arial" w:cs="Arial"/>
          <w:bCs/>
          <w:iCs/>
          <w:sz w:val="24"/>
          <w:szCs w:val="24"/>
          <w:lang w:val="en-US"/>
        </w:rPr>
        <w:t xml:space="preserve">, </w:t>
      </w:r>
      <w:r w:rsidR="00882B89">
        <w:rPr>
          <w:rFonts w:ascii="Arial" w:hAnsi="Arial" w:cs="Arial"/>
          <w:bCs/>
          <w:iCs/>
          <w:sz w:val="24"/>
          <w:szCs w:val="24"/>
          <w:lang w:val="en-US"/>
        </w:rPr>
        <w:t>pleaded guilty</w:t>
      </w:r>
      <w:r w:rsidR="00C203CF">
        <w:rPr>
          <w:rFonts w:ascii="Arial" w:hAnsi="Arial" w:cs="Arial"/>
          <w:bCs/>
          <w:iCs/>
          <w:sz w:val="24"/>
          <w:szCs w:val="24"/>
          <w:lang w:val="en-US"/>
        </w:rPr>
        <w:t xml:space="preserve"> through a plea bargain arrang</w:t>
      </w:r>
      <w:r w:rsidR="00CD192B">
        <w:rPr>
          <w:rFonts w:ascii="Arial" w:hAnsi="Arial" w:cs="Arial"/>
          <w:bCs/>
          <w:iCs/>
          <w:sz w:val="24"/>
          <w:szCs w:val="24"/>
          <w:lang w:val="en-US"/>
        </w:rPr>
        <w:t>e</w:t>
      </w:r>
      <w:r w:rsidR="00C203CF">
        <w:rPr>
          <w:rFonts w:ascii="Arial" w:hAnsi="Arial" w:cs="Arial"/>
          <w:bCs/>
          <w:iCs/>
          <w:sz w:val="24"/>
          <w:szCs w:val="24"/>
          <w:lang w:val="en-US"/>
        </w:rPr>
        <w:t>ment</w:t>
      </w:r>
      <w:r w:rsidR="00882B89">
        <w:rPr>
          <w:rFonts w:ascii="Arial" w:hAnsi="Arial" w:cs="Arial"/>
          <w:bCs/>
          <w:iCs/>
          <w:sz w:val="24"/>
          <w:szCs w:val="24"/>
          <w:lang w:val="en-US"/>
        </w:rPr>
        <w:t xml:space="preserve"> and await sentencing in June</w:t>
      </w:r>
      <w:r>
        <w:rPr>
          <w:rFonts w:ascii="Arial" w:hAnsi="Arial" w:cs="Arial"/>
          <w:bCs/>
          <w:iCs/>
          <w:sz w:val="24"/>
          <w:szCs w:val="24"/>
          <w:lang w:val="en-US"/>
        </w:rPr>
        <w:t xml:space="preserve">, </w:t>
      </w:r>
      <w:r w:rsidR="00882B89">
        <w:rPr>
          <w:rFonts w:ascii="Arial" w:hAnsi="Arial" w:cs="Arial"/>
          <w:bCs/>
          <w:iCs/>
          <w:sz w:val="24"/>
          <w:szCs w:val="24"/>
          <w:lang w:val="en-US"/>
        </w:rPr>
        <w:t xml:space="preserve">whilst a further </w:t>
      </w:r>
      <w:r w:rsidR="007000BF">
        <w:rPr>
          <w:rFonts w:ascii="Arial" w:hAnsi="Arial" w:cs="Arial"/>
          <w:bCs/>
          <w:iCs/>
          <w:sz w:val="24"/>
          <w:szCs w:val="24"/>
          <w:lang w:val="en-US"/>
        </w:rPr>
        <w:t xml:space="preserve">two, </w:t>
      </w:r>
      <w:r w:rsidR="007000BF" w:rsidRPr="007000BF">
        <w:rPr>
          <w:rFonts w:ascii="Arial" w:hAnsi="Arial" w:cs="Arial"/>
          <w:bCs/>
          <w:iCs/>
          <w:sz w:val="24"/>
          <w:szCs w:val="24"/>
          <w:lang w:val="en-US"/>
        </w:rPr>
        <w:t xml:space="preserve">Tetsuya </w:t>
      </w:r>
      <w:proofErr w:type="spellStart"/>
      <w:r w:rsidR="007000BF" w:rsidRPr="007000BF">
        <w:rPr>
          <w:rFonts w:ascii="Arial" w:hAnsi="Arial" w:cs="Arial"/>
          <w:bCs/>
          <w:iCs/>
          <w:sz w:val="24"/>
          <w:szCs w:val="24"/>
          <w:lang w:val="en-US"/>
        </w:rPr>
        <w:t>Motomura</w:t>
      </w:r>
      <w:proofErr w:type="spellEnd"/>
      <w:r w:rsidR="007000BF">
        <w:rPr>
          <w:rFonts w:ascii="Arial" w:hAnsi="Arial" w:cs="Arial"/>
          <w:bCs/>
          <w:iCs/>
          <w:sz w:val="24"/>
          <w:szCs w:val="24"/>
          <w:lang w:val="en-US"/>
        </w:rPr>
        <w:t xml:space="preserve"> and Paul Thompson,</w:t>
      </w:r>
      <w:r w:rsidR="00882B89">
        <w:rPr>
          <w:rFonts w:ascii="Arial" w:hAnsi="Arial" w:cs="Arial"/>
          <w:bCs/>
          <w:iCs/>
          <w:sz w:val="24"/>
          <w:szCs w:val="24"/>
          <w:lang w:val="en-US"/>
        </w:rPr>
        <w:t xml:space="preserve"> await </w:t>
      </w:r>
      <w:r>
        <w:rPr>
          <w:rFonts w:ascii="Arial" w:hAnsi="Arial" w:cs="Arial"/>
          <w:bCs/>
          <w:iCs/>
          <w:sz w:val="24"/>
          <w:szCs w:val="24"/>
          <w:lang w:val="en-US"/>
        </w:rPr>
        <w:t>trial</w:t>
      </w:r>
      <w:r w:rsidR="005F63C6">
        <w:rPr>
          <w:rStyle w:val="FootnoteReference"/>
          <w:rFonts w:ascii="Arial" w:hAnsi="Arial" w:cs="Arial"/>
          <w:bCs/>
          <w:iCs/>
          <w:sz w:val="24"/>
          <w:szCs w:val="24"/>
          <w:lang w:val="en-US"/>
        </w:rPr>
        <w:footnoteReference w:id="76"/>
      </w:r>
      <w:r>
        <w:rPr>
          <w:rFonts w:ascii="Arial" w:hAnsi="Arial" w:cs="Arial"/>
          <w:bCs/>
          <w:iCs/>
          <w:sz w:val="24"/>
          <w:szCs w:val="24"/>
          <w:lang w:val="en-US"/>
        </w:rPr>
        <w:t>.</w:t>
      </w:r>
    </w:p>
    <w:p w14:paraId="0EACBC2A" w14:textId="7AA572B6" w:rsidR="00E41CC3" w:rsidRPr="00E41CC3" w:rsidRDefault="00E41CC3" w:rsidP="00E41CC3">
      <w:pPr>
        <w:pStyle w:val="ListParagraph"/>
        <w:numPr>
          <w:ilvl w:val="0"/>
          <w:numId w:val="4"/>
        </w:numPr>
        <w:jc w:val="both"/>
        <w:rPr>
          <w:rFonts w:ascii="Arial" w:hAnsi="Arial" w:cs="Arial"/>
          <w:bCs/>
          <w:iCs/>
          <w:sz w:val="24"/>
          <w:szCs w:val="24"/>
          <w:lang w:val="en-US"/>
        </w:rPr>
      </w:pPr>
      <w:r w:rsidRPr="00E41CC3">
        <w:rPr>
          <w:rFonts w:ascii="Arial" w:hAnsi="Arial" w:cs="Arial"/>
          <w:bCs/>
          <w:iCs/>
          <w:sz w:val="24"/>
          <w:szCs w:val="24"/>
          <w:lang w:val="en-US"/>
        </w:rPr>
        <w:t>Civil Private Enforcement</w:t>
      </w:r>
    </w:p>
    <w:p w14:paraId="2B287388" w14:textId="71607D08" w:rsidR="000770A7" w:rsidRDefault="00E41CC3" w:rsidP="00E41CC3">
      <w:pPr>
        <w:jc w:val="both"/>
        <w:rPr>
          <w:rFonts w:ascii="Arial" w:hAnsi="Arial" w:cs="Arial"/>
          <w:bCs/>
          <w:iCs/>
          <w:sz w:val="24"/>
          <w:szCs w:val="24"/>
          <w:lang w:val="en-US"/>
        </w:rPr>
      </w:pPr>
      <w:r>
        <w:rPr>
          <w:rFonts w:ascii="Arial" w:hAnsi="Arial" w:cs="Arial"/>
          <w:bCs/>
          <w:iCs/>
          <w:sz w:val="24"/>
          <w:szCs w:val="24"/>
          <w:lang w:val="en-US"/>
        </w:rPr>
        <w:t xml:space="preserve">Unsurprisingly customers of the banks involved </w:t>
      </w:r>
      <w:r w:rsidR="005F63C6">
        <w:rPr>
          <w:rFonts w:ascii="Arial" w:hAnsi="Arial" w:cs="Arial"/>
          <w:bCs/>
          <w:iCs/>
          <w:sz w:val="24"/>
          <w:szCs w:val="24"/>
          <w:lang w:val="en-US"/>
        </w:rPr>
        <w:t xml:space="preserve">in LIBOR manipulation </w:t>
      </w:r>
      <w:r w:rsidR="00DB1626">
        <w:rPr>
          <w:rFonts w:ascii="Arial" w:hAnsi="Arial" w:cs="Arial"/>
          <w:bCs/>
          <w:iCs/>
          <w:sz w:val="24"/>
          <w:szCs w:val="24"/>
          <w:lang w:val="en-US"/>
        </w:rPr>
        <w:t xml:space="preserve">and other parties suffering subsequent losses have </w:t>
      </w:r>
      <w:r>
        <w:rPr>
          <w:rFonts w:ascii="Arial" w:hAnsi="Arial" w:cs="Arial"/>
          <w:bCs/>
          <w:iCs/>
          <w:sz w:val="24"/>
          <w:szCs w:val="24"/>
          <w:lang w:val="en-US"/>
        </w:rPr>
        <w:t xml:space="preserve">commenced actions to claim damages for antitrust actions. </w:t>
      </w:r>
      <w:r w:rsidR="005F63C6">
        <w:rPr>
          <w:rFonts w:ascii="Arial" w:hAnsi="Arial" w:cs="Arial"/>
          <w:bCs/>
          <w:iCs/>
          <w:sz w:val="24"/>
          <w:szCs w:val="24"/>
          <w:lang w:val="en-US"/>
        </w:rPr>
        <w:t>The</w:t>
      </w:r>
      <w:r w:rsidR="00DB1626">
        <w:rPr>
          <w:rFonts w:ascii="Arial" w:hAnsi="Arial" w:cs="Arial"/>
          <w:bCs/>
          <w:iCs/>
          <w:sz w:val="24"/>
          <w:szCs w:val="24"/>
          <w:lang w:val="en-US"/>
        </w:rPr>
        <w:t>se</w:t>
      </w:r>
      <w:r w:rsidR="005F63C6">
        <w:rPr>
          <w:rFonts w:ascii="Arial" w:hAnsi="Arial" w:cs="Arial"/>
          <w:bCs/>
          <w:iCs/>
          <w:sz w:val="24"/>
          <w:szCs w:val="24"/>
          <w:lang w:val="en-US"/>
        </w:rPr>
        <w:t xml:space="preserve"> antitrust claims focused on losses through contract</w:t>
      </w:r>
      <w:r w:rsidR="00166376">
        <w:rPr>
          <w:rFonts w:ascii="Arial" w:hAnsi="Arial" w:cs="Arial"/>
          <w:bCs/>
          <w:iCs/>
          <w:sz w:val="24"/>
          <w:szCs w:val="24"/>
          <w:lang w:val="en-US"/>
        </w:rPr>
        <w:t>s</w:t>
      </w:r>
      <w:r w:rsidR="00C00AF6">
        <w:rPr>
          <w:rFonts w:ascii="Arial" w:hAnsi="Arial" w:cs="Arial"/>
          <w:bCs/>
          <w:iCs/>
          <w:sz w:val="24"/>
          <w:szCs w:val="24"/>
          <w:lang w:val="en-US"/>
        </w:rPr>
        <w:t xml:space="preserve"> for interest rate swaps that were tied to LIBOR</w:t>
      </w:r>
      <w:r w:rsidR="005F63C6">
        <w:rPr>
          <w:rFonts w:ascii="Arial" w:hAnsi="Arial" w:cs="Arial"/>
          <w:bCs/>
          <w:iCs/>
          <w:sz w:val="24"/>
          <w:szCs w:val="24"/>
          <w:lang w:val="en-US"/>
        </w:rPr>
        <w:t xml:space="preserve">, </w:t>
      </w:r>
      <w:r w:rsidR="00C00AF6">
        <w:rPr>
          <w:rFonts w:ascii="Arial" w:hAnsi="Arial" w:cs="Arial"/>
          <w:bCs/>
          <w:iCs/>
          <w:sz w:val="24"/>
          <w:szCs w:val="24"/>
          <w:lang w:val="en-US"/>
        </w:rPr>
        <w:t xml:space="preserve">debt securities that paid interest tied to LIBOR (mainly individual pension accounts), futures contracts where the </w:t>
      </w:r>
      <w:r w:rsidR="006272CD">
        <w:rPr>
          <w:rFonts w:ascii="Arial" w:hAnsi="Arial" w:cs="Arial"/>
          <w:bCs/>
          <w:iCs/>
          <w:sz w:val="24"/>
          <w:szCs w:val="24"/>
          <w:lang w:val="en-US"/>
        </w:rPr>
        <w:t>price paid at the settlement date</w:t>
      </w:r>
      <w:r w:rsidR="00C00AF6">
        <w:rPr>
          <w:rFonts w:ascii="Arial" w:hAnsi="Arial" w:cs="Arial"/>
          <w:bCs/>
          <w:iCs/>
          <w:sz w:val="24"/>
          <w:szCs w:val="24"/>
          <w:lang w:val="en-US"/>
        </w:rPr>
        <w:t xml:space="preserve"> </w:t>
      </w:r>
      <w:r w:rsidR="006272CD">
        <w:rPr>
          <w:rFonts w:ascii="Arial" w:hAnsi="Arial" w:cs="Arial"/>
          <w:bCs/>
          <w:iCs/>
          <w:sz w:val="24"/>
          <w:szCs w:val="24"/>
          <w:lang w:val="en-US"/>
        </w:rPr>
        <w:t xml:space="preserve">was again fixed to LIBOR, and individuals who </w:t>
      </w:r>
      <w:r w:rsidR="006272CD" w:rsidRPr="006272CD">
        <w:rPr>
          <w:rFonts w:ascii="Arial" w:hAnsi="Arial" w:cs="Arial"/>
          <w:bCs/>
          <w:iCs/>
          <w:sz w:val="24"/>
          <w:szCs w:val="24"/>
          <w:lang w:val="en-US"/>
        </w:rPr>
        <w:t>purchased or held LIBOR-based financial instruments</w:t>
      </w:r>
      <w:r w:rsidR="00166376">
        <w:rPr>
          <w:rFonts w:ascii="Arial" w:hAnsi="Arial" w:cs="Arial"/>
          <w:bCs/>
          <w:iCs/>
          <w:sz w:val="24"/>
          <w:szCs w:val="24"/>
          <w:lang w:val="en-US"/>
        </w:rPr>
        <w:t xml:space="preserve"> </w:t>
      </w:r>
      <w:r w:rsidR="006272CD">
        <w:rPr>
          <w:rFonts w:ascii="Arial" w:hAnsi="Arial" w:cs="Arial"/>
          <w:bCs/>
          <w:iCs/>
          <w:sz w:val="24"/>
          <w:szCs w:val="24"/>
          <w:lang w:val="en-US"/>
        </w:rPr>
        <w:t>(frequently</w:t>
      </w:r>
      <w:r w:rsidR="00166376">
        <w:rPr>
          <w:rFonts w:ascii="Arial" w:hAnsi="Arial" w:cs="Arial"/>
          <w:bCs/>
          <w:iCs/>
          <w:sz w:val="24"/>
          <w:szCs w:val="24"/>
          <w:lang w:val="en-US"/>
        </w:rPr>
        <w:t xml:space="preserve"> mortgage</w:t>
      </w:r>
      <w:r w:rsidR="006272CD">
        <w:rPr>
          <w:rFonts w:ascii="Arial" w:hAnsi="Arial" w:cs="Arial"/>
          <w:bCs/>
          <w:iCs/>
          <w:sz w:val="24"/>
          <w:szCs w:val="24"/>
          <w:lang w:val="en-US"/>
        </w:rPr>
        <w:t>s where</w:t>
      </w:r>
      <w:r w:rsidR="00166376">
        <w:rPr>
          <w:rFonts w:ascii="Arial" w:hAnsi="Arial" w:cs="Arial"/>
          <w:bCs/>
          <w:iCs/>
          <w:sz w:val="24"/>
          <w:szCs w:val="24"/>
          <w:lang w:val="en-US"/>
        </w:rPr>
        <w:t xml:space="preserve"> loan</w:t>
      </w:r>
      <w:r w:rsidR="006272CD">
        <w:rPr>
          <w:rFonts w:ascii="Arial" w:hAnsi="Arial" w:cs="Arial"/>
          <w:bCs/>
          <w:iCs/>
          <w:sz w:val="24"/>
          <w:szCs w:val="24"/>
          <w:lang w:val="en-US"/>
        </w:rPr>
        <w:t>s were overpaid)</w:t>
      </w:r>
      <w:r w:rsidR="00166376">
        <w:rPr>
          <w:rFonts w:ascii="Arial" w:hAnsi="Arial" w:cs="Arial"/>
          <w:bCs/>
          <w:iCs/>
          <w:sz w:val="24"/>
          <w:szCs w:val="24"/>
          <w:lang w:val="en-US"/>
        </w:rPr>
        <w:t xml:space="preserve">. </w:t>
      </w:r>
      <w:r w:rsidR="00D806E4">
        <w:rPr>
          <w:rFonts w:ascii="Arial" w:hAnsi="Arial" w:cs="Arial"/>
          <w:bCs/>
          <w:iCs/>
          <w:sz w:val="24"/>
          <w:szCs w:val="24"/>
          <w:lang w:val="en-US"/>
        </w:rPr>
        <w:t xml:space="preserve">The first </w:t>
      </w:r>
      <w:r w:rsidR="006272CD">
        <w:rPr>
          <w:rFonts w:ascii="Arial" w:hAnsi="Arial" w:cs="Arial"/>
          <w:bCs/>
          <w:iCs/>
          <w:sz w:val="24"/>
          <w:szCs w:val="24"/>
          <w:lang w:val="en-US"/>
        </w:rPr>
        <w:t xml:space="preserve">court </w:t>
      </w:r>
      <w:r w:rsidR="00D806E4">
        <w:rPr>
          <w:rFonts w:ascii="Arial" w:hAnsi="Arial" w:cs="Arial"/>
          <w:bCs/>
          <w:iCs/>
          <w:sz w:val="24"/>
          <w:szCs w:val="24"/>
          <w:lang w:val="en-US"/>
        </w:rPr>
        <w:t xml:space="preserve">case </w:t>
      </w:r>
      <w:r w:rsidR="0014052C">
        <w:rPr>
          <w:rFonts w:ascii="Arial" w:hAnsi="Arial" w:cs="Arial"/>
          <w:bCs/>
          <w:iCs/>
          <w:sz w:val="24"/>
          <w:szCs w:val="24"/>
          <w:lang w:val="en-US"/>
        </w:rPr>
        <w:t>came</w:t>
      </w:r>
      <w:r w:rsidR="006272CD">
        <w:rPr>
          <w:rFonts w:ascii="Arial" w:hAnsi="Arial" w:cs="Arial"/>
          <w:bCs/>
          <w:iCs/>
          <w:sz w:val="24"/>
          <w:szCs w:val="24"/>
          <w:lang w:val="en-US"/>
        </w:rPr>
        <w:t xml:space="preserve"> before the</w:t>
      </w:r>
      <w:r w:rsidR="00D806E4">
        <w:rPr>
          <w:rFonts w:ascii="Arial" w:hAnsi="Arial" w:cs="Arial"/>
          <w:bCs/>
          <w:iCs/>
          <w:sz w:val="24"/>
          <w:szCs w:val="24"/>
          <w:lang w:val="en-US"/>
        </w:rPr>
        <w:t xml:space="preserve"> Southern District of New York District Court in </w:t>
      </w:r>
      <w:r w:rsidR="007936A1">
        <w:rPr>
          <w:rFonts w:ascii="Arial" w:hAnsi="Arial" w:cs="Arial"/>
          <w:bCs/>
          <w:iCs/>
          <w:sz w:val="24"/>
          <w:szCs w:val="24"/>
          <w:lang w:val="en-US"/>
        </w:rPr>
        <w:t>2012</w:t>
      </w:r>
      <w:r w:rsidR="009B0973">
        <w:rPr>
          <w:rStyle w:val="FootnoteReference"/>
          <w:rFonts w:ascii="Arial" w:hAnsi="Arial" w:cs="Arial"/>
          <w:bCs/>
          <w:iCs/>
          <w:sz w:val="24"/>
          <w:szCs w:val="24"/>
          <w:lang w:val="en-US"/>
        </w:rPr>
        <w:footnoteReference w:id="77"/>
      </w:r>
      <w:r w:rsidR="00DB1626">
        <w:rPr>
          <w:rFonts w:ascii="Arial" w:hAnsi="Arial" w:cs="Arial"/>
          <w:bCs/>
          <w:iCs/>
          <w:sz w:val="24"/>
          <w:szCs w:val="24"/>
          <w:lang w:val="en-US"/>
        </w:rPr>
        <w:t xml:space="preserve"> but</w:t>
      </w:r>
      <w:r w:rsidR="00E50E04">
        <w:rPr>
          <w:rFonts w:ascii="Arial" w:hAnsi="Arial" w:cs="Arial"/>
          <w:bCs/>
          <w:iCs/>
          <w:sz w:val="24"/>
          <w:szCs w:val="24"/>
          <w:lang w:val="en-US"/>
        </w:rPr>
        <w:t xml:space="preserve"> Buchwald J did not allow the case to progress far. She first correctly identified the need for an antitrust injury for there to be antitrust standing</w:t>
      </w:r>
      <w:r w:rsidR="009B0973">
        <w:rPr>
          <w:rStyle w:val="FootnoteReference"/>
          <w:rFonts w:ascii="Arial" w:hAnsi="Arial" w:cs="Arial"/>
          <w:bCs/>
          <w:iCs/>
          <w:sz w:val="24"/>
          <w:szCs w:val="24"/>
          <w:lang w:val="en-US"/>
        </w:rPr>
        <w:footnoteReference w:id="78"/>
      </w:r>
      <w:r w:rsidR="00E50E04">
        <w:rPr>
          <w:rFonts w:ascii="Arial" w:hAnsi="Arial" w:cs="Arial"/>
          <w:bCs/>
          <w:iCs/>
          <w:sz w:val="24"/>
          <w:szCs w:val="24"/>
          <w:lang w:val="en-US"/>
        </w:rPr>
        <w:t xml:space="preserve">, but then found that a </w:t>
      </w:r>
      <w:r w:rsidR="00E50E04">
        <w:rPr>
          <w:rFonts w:ascii="Arial" w:hAnsi="Arial" w:cs="Arial"/>
          <w:bCs/>
          <w:i/>
          <w:iCs/>
          <w:sz w:val="24"/>
          <w:szCs w:val="24"/>
          <w:lang w:val="en-US"/>
        </w:rPr>
        <w:t>per se</w:t>
      </w:r>
      <w:r w:rsidR="00E50E04">
        <w:rPr>
          <w:rFonts w:ascii="Arial" w:hAnsi="Arial" w:cs="Arial"/>
          <w:bCs/>
          <w:iCs/>
          <w:sz w:val="24"/>
          <w:szCs w:val="24"/>
          <w:lang w:val="en-US"/>
        </w:rPr>
        <w:t xml:space="preserve"> violation of section 1 of the Sherman Act would not necessarily establish antitrust injury</w:t>
      </w:r>
      <w:r w:rsidR="009B0973">
        <w:rPr>
          <w:rStyle w:val="FootnoteReference"/>
          <w:rFonts w:ascii="Arial" w:hAnsi="Arial" w:cs="Arial"/>
          <w:bCs/>
          <w:iCs/>
          <w:sz w:val="24"/>
          <w:szCs w:val="24"/>
          <w:lang w:val="en-US"/>
        </w:rPr>
        <w:footnoteReference w:id="79"/>
      </w:r>
      <w:r w:rsidR="00E50E04">
        <w:rPr>
          <w:rFonts w:ascii="Arial" w:hAnsi="Arial" w:cs="Arial"/>
          <w:bCs/>
          <w:iCs/>
          <w:sz w:val="24"/>
          <w:szCs w:val="24"/>
          <w:lang w:val="en-US"/>
        </w:rPr>
        <w:t xml:space="preserve">. For that to happen, she claimed, there would need to be competition. </w:t>
      </w:r>
      <w:r w:rsidR="00C34FBD">
        <w:rPr>
          <w:rFonts w:ascii="Arial" w:hAnsi="Arial" w:cs="Arial"/>
          <w:bCs/>
          <w:iCs/>
          <w:sz w:val="24"/>
          <w:szCs w:val="24"/>
          <w:lang w:val="en-US"/>
        </w:rPr>
        <w:t>However, LIBOR itself was a benchmark standard, not intended to be competitive and not itself tradable</w:t>
      </w:r>
      <w:r w:rsidR="009B0973">
        <w:rPr>
          <w:rStyle w:val="FootnoteReference"/>
          <w:rFonts w:ascii="Arial" w:hAnsi="Arial" w:cs="Arial"/>
          <w:bCs/>
          <w:iCs/>
          <w:sz w:val="24"/>
          <w:szCs w:val="24"/>
          <w:lang w:val="en-US"/>
        </w:rPr>
        <w:footnoteReference w:id="80"/>
      </w:r>
      <w:r w:rsidR="00C34FBD">
        <w:rPr>
          <w:rFonts w:ascii="Arial" w:hAnsi="Arial" w:cs="Arial"/>
          <w:bCs/>
          <w:iCs/>
          <w:sz w:val="24"/>
          <w:szCs w:val="24"/>
          <w:lang w:val="en-US"/>
        </w:rPr>
        <w:t xml:space="preserve">. In effect this </w:t>
      </w:r>
      <w:r w:rsidR="009C0EE2">
        <w:rPr>
          <w:rFonts w:ascii="Arial" w:hAnsi="Arial" w:cs="Arial"/>
          <w:bCs/>
          <w:iCs/>
          <w:sz w:val="24"/>
          <w:szCs w:val="24"/>
          <w:lang w:val="en-US"/>
        </w:rPr>
        <w:t xml:space="preserve">narrowly </w:t>
      </w:r>
      <w:r w:rsidR="00C34FBD">
        <w:rPr>
          <w:rFonts w:ascii="Arial" w:hAnsi="Arial" w:cs="Arial"/>
          <w:bCs/>
          <w:iCs/>
          <w:sz w:val="24"/>
          <w:szCs w:val="24"/>
          <w:lang w:val="en-US"/>
        </w:rPr>
        <w:t xml:space="preserve">defined the market </w:t>
      </w:r>
      <w:r w:rsidR="009C0EE2">
        <w:rPr>
          <w:rFonts w:ascii="Arial" w:hAnsi="Arial" w:cs="Arial"/>
          <w:bCs/>
          <w:iCs/>
          <w:sz w:val="24"/>
          <w:szCs w:val="24"/>
          <w:lang w:val="en-US"/>
        </w:rPr>
        <w:t>w</w:t>
      </w:r>
      <w:r w:rsidR="00C83788">
        <w:rPr>
          <w:rFonts w:ascii="Arial" w:hAnsi="Arial" w:cs="Arial"/>
          <w:bCs/>
          <w:iCs/>
          <w:sz w:val="24"/>
          <w:szCs w:val="24"/>
          <w:lang w:val="en-US"/>
        </w:rPr>
        <w:t>here an antitrust injury needed</w:t>
      </w:r>
      <w:r w:rsidR="009C0EE2">
        <w:rPr>
          <w:rFonts w:ascii="Arial" w:hAnsi="Arial" w:cs="Arial"/>
          <w:bCs/>
          <w:iCs/>
          <w:sz w:val="24"/>
          <w:szCs w:val="24"/>
          <w:lang w:val="en-US"/>
        </w:rPr>
        <w:t xml:space="preserve"> to occur </w:t>
      </w:r>
      <w:r w:rsidR="00C34FBD">
        <w:rPr>
          <w:rFonts w:ascii="Arial" w:hAnsi="Arial" w:cs="Arial"/>
          <w:bCs/>
          <w:iCs/>
          <w:sz w:val="24"/>
          <w:szCs w:val="24"/>
          <w:lang w:val="en-US"/>
        </w:rPr>
        <w:t xml:space="preserve">as LIBOR </w:t>
      </w:r>
      <w:r w:rsidR="00C83788">
        <w:rPr>
          <w:rFonts w:ascii="Arial" w:hAnsi="Arial" w:cs="Arial"/>
          <w:bCs/>
          <w:iCs/>
          <w:sz w:val="24"/>
          <w:szCs w:val="24"/>
          <w:lang w:val="en-US"/>
        </w:rPr>
        <w:t xml:space="preserve">was, by its very definition, without a competitor. </w:t>
      </w:r>
    </w:p>
    <w:p w14:paraId="13BB4677" w14:textId="0952456B" w:rsidR="00E41CC3" w:rsidRDefault="00C83788" w:rsidP="00E41CC3">
      <w:pPr>
        <w:jc w:val="both"/>
        <w:rPr>
          <w:rFonts w:ascii="Arial" w:hAnsi="Arial" w:cs="Arial"/>
          <w:bCs/>
          <w:iCs/>
          <w:sz w:val="24"/>
          <w:szCs w:val="24"/>
          <w:lang w:val="en-US"/>
        </w:rPr>
      </w:pPr>
      <w:r>
        <w:rPr>
          <w:rFonts w:ascii="Arial" w:hAnsi="Arial" w:cs="Arial"/>
          <w:bCs/>
          <w:iCs/>
          <w:sz w:val="24"/>
          <w:szCs w:val="24"/>
          <w:lang w:val="en-US"/>
        </w:rPr>
        <w:t xml:space="preserve">Buchwald J went on </w:t>
      </w:r>
      <w:r w:rsidR="00B41233">
        <w:rPr>
          <w:rFonts w:ascii="Arial" w:hAnsi="Arial" w:cs="Arial"/>
          <w:bCs/>
          <w:iCs/>
          <w:sz w:val="24"/>
          <w:szCs w:val="24"/>
          <w:lang w:val="en-US"/>
        </w:rPr>
        <w:t xml:space="preserve">to </w:t>
      </w:r>
      <w:r w:rsidR="00F77BCC">
        <w:rPr>
          <w:rFonts w:ascii="Arial" w:hAnsi="Arial" w:cs="Arial"/>
          <w:bCs/>
          <w:iCs/>
          <w:sz w:val="24"/>
          <w:szCs w:val="24"/>
          <w:lang w:val="en-US"/>
        </w:rPr>
        <w:t>find that the claimants could have suffered harm under normal conditions of free competition</w:t>
      </w:r>
      <w:r w:rsidR="009B0973">
        <w:rPr>
          <w:rStyle w:val="FootnoteReference"/>
          <w:rFonts w:ascii="Arial" w:hAnsi="Arial" w:cs="Arial"/>
          <w:bCs/>
          <w:iCs/>
          <w:sz w:val="24"/>
          <w:szCs w:val="24"/>
          <w:lang w:val="en-US"/>
        </w:rPr>
        <w:footnoteReference w:id="81"/>
      </w:r>
      <w:r w:rsidR="00F77BCC">
        <w:rPr>
          <w:rFonts w:ascii="Arial" w:hAnsi="Arial" w:cs="Arial"/>
          <w:bCs/>
          <w:iCs/>
          <w:sz w:val="24"/>
          <w:szCs w:val="24"/>
          <w:lang w:val="en-US"/>
        </w:rPr>
        <w:t xml:space="preserve">. She </w:t>
      </w:r>
      <w:r w:rsidR="008745B7">
        <w:rPr>
          <w:rFonts w:ascii="Arial" w:hAnsi="Arial" w:cs="Arial"/>
          <w:bCs/>
          <w:iCs/>
          <w:sz w:val="24"/>
          <w:szCs w:val="24"/>
          <w:lang w:val="en-US"/>
        </w:rPr>
        <w:t>based</w:t>
      </w:r>
      <w:r w:rsidR="00F77BCC">
        <w:rPr>
          <w:rFonts w:ascii="Arial" w:hAnsi="Arial" w:cs="Arial"/>
          <w:bCs/>
          <w:iCs/>
          <w:sz w:val="24"/>
          <w:szCs w:val="24"/>
          <w:lang w:val="en-US"/>
        </w:rPr>
        <w:t xml:space="preserve"> this finding </w:t>
      </w:r>
      <w:r w:rsidR="008745B7">
        <w:rPr>
          <w:rFonts w:ascii="Arial" w:hAnsi="Arial" w:cs="Arial"/>
          <w:bCs/>
          <w:iCs/>
          <w:sz w:val="24"/>
          <w:szCs w:val="24"/>
          <w:lang w:val="en-US"/>
        </w:rPr>
        <w:t>on</w:t>
      </w:r>
      <w:r w:rsidR="00F77BCC">
        <w:rPr>
          <w:rFonts w:ascii="Arial" w:hAnsi="Arial" w:cs="Arial"/>
          <w:bCs/>
          <w:iCs/>
          <w:sz w:val="24"/>
          <w:szCs w:val="24"/>
          <w:lang w:val="en-US"/>
        </w:rPr>
        <w:t xml:space="preserve"> two judgments of the US Supreme Court. The first, </w:t>
      </w:r>
      <w:r w:rsidR="00F77BCC" w:rsidRPr="002474C1">
        <w:rPr>
          <w:rFonts w:ascii="Arial" w:hAnsi="Arial" w:cs="Arial"/>
          <w:bCs/>
          <w:i/>
          <w:iCs/>
          <w:sz w:val="24"/>
          <w:szCs w:val="24"/>
          <w:lang w:val="en-US"/>
        </w:rPr>
        <w:t xml:space="preserve">Brunswick Corp v Pueblo Bowl-O-Mat </w:t>
      </w:r>
      <w:proofErr w:type="spellStart"/>
      <w:r w:rsidR="00F77BCC" w:rsidRPr="002474C1">
        <w:rPr>
          <w:rFonts w:ascii="Arial" w:hAnsi="Arial" w:cs="Arial"/>
          <w:bCs/>
          <w:i/>
          <w:iCs/>
          <w:sz w:val="24"/>
          <w:szCs w:val="24"/>
          <w:lang w:val="en-US"/>
        </w:rPr>
        <w:t>Inc</w:t>
      </w:r>
      <w:proofErr w:type="spellEnd"/>
      <w:r w:rsidR="009B0973">
        <w:rPr>
          <w:rStyle w:val="FootnoteReference"/>
          <w:rFonts w:ascii="Arial" w:hAnsi="Arial" w:cs="Arial"/>
          <w:bCs/>
          <w:iCs/>
          <w:sz w:val="24"/>
          <w:szCs w:val="24"/>
          <w:lang w:val="en-US"/>
        </w:rPr>
        <w:footnoteReference w:id="82"/>
      </w:r>
      <w:r w:rsidR="00F77BCC">
        <w:rPr>
          <w:rFonts w:ascii="Arial" w:hAnsi="Arial" w:cs="Arial"/>
          <w:bCs/>
          <w:iCs/>
          <w:sz w:val="24"/>
          <w:szCs w:val="24"/>
          <w:lang w:val="en-US"/>
        </w:rPr>
        <w:t>, involved a bowling equipment company purchasing failing bowling centres, which rival centres claimed caused lo</w:t>
      </w:r>
      <w:r w:rsidR="000770A7">
        <w:rPr>
          <w:rFonts w:ascii="Arial" w:hAnsi="Arial" w:cs="Arial"/>
          <w:bCs/>
          <w:iCs/>
          <w:sz w:val="24"/>
          <w:szCs w:val="24"/>
          <w:lang w:val="en-US"/>
        </w:rPr>
        <w:t xml:space="preserve">sses through antitrust injury. </w:t>
      </w:r>
      <w:r w:rsidR="00171A02">
        <w:rPr>
          <w:rFonts w:ascii="Arial" w:hAnsi="Arial" w:cs="Arial"/>
          <w:bCs/>
          <w:iCs/>
          <w:sz w:val="24"/>
          <w:szCs w:val="24"/>
          <w:lang w:val="en-US"/>
        </w:rPr>
        <w:t xml:space="preserve">The Supreme Court held that even if rival bowling centres were injured by the </w:t>
      </w:r>
      <w:r w:rsidR="00152DB0">
        <w:rPr>
          <w:rFonts w:ascii="Arial" w:hAnsi="Arial" w:cs="Arial"/>
          <w:bCs/>
          <w:iCs/>
          <w:sz w:val="24"/>
          <w:szCs w:val="24"/>
          <w:lang w:val="en-US"/>
        </w:rPr>
        <w:t xml:space="preserve">continued operation of the failing centres after the takeover, that injury was not </w:t>
      </w:r>
      <w:r w:rsidR="00152DB0" w:rsidRPr="00152DB0">
        <w:rPr>
          <w:rFonts w:ascii="Arial" w:hAnsi="Arial" w:cs="Arial"/>
          <w:bCs/>
          <w:iCs/>
          <w:sz w:val="24"/>
          <w:szCs w:val="24"/>
          <w:lang w:val="en-US"/>
        </w:rPr>
        <w:t xml:space="preserve">by reason of anything forbidden </w:t>
      </w:r>
      <w:r w:rsidR="00152DB0" w:rsidRPr="00152DB0">
        <w:rPr>
          <w:rFonts w:ascii="Arial" w:hAnsi="Arial" w:cs="Arial"/>
          <w:bCs/>
          <w:iCs/>
          <w:sz w:val="24"/>
          <w:szCs w:val="24"/>
          <w:lang w:val="en-US"/>
        </w:rPr>
        <w:lastRenderedPageBreak/>
        <w:t>in the antitrust laws</w:t>
      </w:r>
      <w:r w:rsidR="00152DB0">
        <w:rPr>
          <w:rFonts w:ascii="Arial" w:hAnsi="Arial" w:cs="Arial"/>
          <w:bCs/>
          <w:iCs/>
          <w:sz w:val="24"/>
          <w:szCs w:val="24"/>
          <w:lang w:val="en-US"/>
        </w:rPr>
        <w:t xml:space="preserve">. </w:t>
      </w:r>
      <w:r w:rsidR="000770A7">
        <w:rPr>
          <w:rFonts w:ascii="Arial" w:hAnsi="Arial" w:cs="Arial"/>
          <w:bCs/>
          <w:iCs/>
          <w:sz w:val="24"/>
          <w:szCs w:val="24"/>
          <w:lang w:val="en-US"/>
        </w:rPr>
        <w:t>In t</w:t>
      </w:r>
      <w:r w:rsidR="00F77BCC">
        <w:rPr>
          <w:rFonts w:ascii="Arial" w:hAnsi="Arial" w:cs="Arial"/>
          <w:bCs/>
          <w:iCs/>
          <w:sz w:val="24"/>
          <w:szCs w:val="24"/>
          <w:lang w:val="en-US"/>
        </w:rPr>
        <w:t xml:space="preserve">he second, </w:t>
      </w:r>
      <w:r w:rsidR="000770A7" w:rsidRPr="002474C1">
        <w:rPr>
          <w:rFonts w:ascii="Arial" w:hAnsi="Arial" w:cs="Arial"/>
          <w:bCs/>
          <w:i/>
          <w:iCs/>
          <w:sz w:val="24"/>
          <w:szCs w:val="24"/>
          <w:lang w:val="en-US"/>
        </w:rPr>
        <w:t>ARCO</w:t>
      </w:r>
      <w:r w:rsidR="009B0973">
        <w:rPr>
          <w:rStyle w:val="FootnoteReference"/>
          <w:rFonts w:ascii="Arial" w:hAnsi="Arial" w:cs="Arial"/>
          <w:bCs/>
          <w:iCs/>
          <w:sz w:val="24"/>
          <w:szCs w:val="24"/>
          <w:lang w:val="en-US"/>
        </w:rPr>
        <w:footnoteReference w:id="83"/>
      </w:r>
      <w:r w:rsidR="000770A7">
        <w:rPr>
          <w:rFonts w:ascii="Arial" w:hAnsi="Arial" w:cs="Arial"/>
          <w:bCs/>
          <w:iCs/>
          <w:sz w:val="24"/>
          <w:szCs w:val="24"/>
          <w:lang w:val="en-US"/>
        </w:rPr>
        <w:t xml:space="preserve">, the defendant oil company supplied petrol to its own dealers and franchised dealers that operated under its name. It conspired with these dealers to implement a vertical price-fixing </w:t>
      </w:r>
      <w:proofErr w:type="gramStart"/>
      <w:r w:rsidR="000770A7">
        <w:rPr>
          <w:rFonts w:ascii="Arial" w:hAnsi="Arial" w:cs="Arial"/>
          <w:bCs/>
          <w:iCs/>
          <w:sz w:val="24"/>
          <w:szCs w:val="24"/>
          <w:lang w:val="en-US"/>
        </w:rPr>
        <w:t>scheme,</w:t>
      </w:r>
      <w:proofErr w:type="gramEnd"/>
      <w:r w:rsidR="000770A7">
        <w:rPr>
          <w:rFonts w:ascii="Arial" w:hAnsi="Arial" w:cs="Arial"/>
          <w:bCs/>
          <w:iCs/>
          <w:sz w:val="24"/>
          <w:szCs w:val="24"/>
          <w:lang w:val="en-US"/>
        </w:rPr>
        <w:t xml:space="preserve"> setting below-market prices and forcing many independent discount dealers out of business. </w:t>
      </w:r>
      <w:r w:rsidR="0051563D">
        <w:rPr>
          <w:rFonts w:ascii="Arial" w:hAnsi="Arial" w:cs="Arial"/>
          <w:bCs/>
          <w:iCs/>
          <w:sz w:val="24"/>
          <w:szCs w:val="24"/>
          <w:lang w:val="en-US"/>
        </w:rPr>
        <w:t xml:space="preserve">The Supreme Court found that cutting prices to above </w:t>
      </w:r>
      <w:r w:rsidR="00152DB0">
        <w:rPr>
          <w:rFonts w:ascii="Arial" w:hAnsi="Arial" w:cs="Arial"/>
          <w:bCs/>
          <w:iCs/>
          <w:sz w:val="24"/>
          <w:szCs w:val="24"/>
          <w:lang w:val="en-US"/>
        </w:rPr>
        <w:t>cost price</w:t>
      </w:r>
      <w:r w:rsidR="0051563D">
        <w:rPr>
          <w:rFonts w:ascii="Arial" w:hAnsi="Arial" w:cs="Arial"/>
          <w:bCs/>
          <w:iCs/>
          <w:sz w:val="24"/>
          <w:szCs w:val="24"/>
          <w:lang w:val="en-US"/>
        </w:rPr>
        <w:t xml:space="preserve"> would not involve anti-competitive activity but was in fact the very essence of competitive activity. Only by cutting prices below</w:t>
      </w:r>
      <w:r w:rsidR="00171A02">
        <w:rPr>
          <w:rFonts w:ascii="Arial" w:hAnsi="Arial" w:cs="Arial"/>
          <w:bCs/>
          <w:iCs/>
          <w:sz w:val="24"/>
          <w:szCs w:val="24"/>
          <w:lang w:val="en-US"/>
        </w:rPr>
        <w:t xml:space="preserve"> </w:t>
      </w:r>
      <w:r w:rsidR="00152DB0">
        <w:rPr>
          <w:rFonts w:ascii="Arial" w:hAnsi="Arial" w:cs="Arial"/>
          <w:bCs/>
          <w:iCs/>
          <w:sz w:val="24"/>
          <w:szCs w:val="24"/>
          <w:lang w:val="en-US"/>
        </w:rPr>
        <w:t>cost price</w:t>
      </w:r>
      <w:r w:rsidR="00171A02">
        <w:rPr>
          <w:rFonts w:ascii="Arial" w:hAnsi="Arial" w:cs="Arial"/>
          <w:bCs/>
          <w:iCs/>
          <w:sz w:val="24"/>
          <w:szCs w:val="24"/>
          <w:lang w:val="en-US"/>
        </w:rPr>
        <w:t xml:space="preserve"> and therefore engaging</w:t>
      </w:r>
      <w:r w:rsidR="00152DB0">
        <w:rPr>
          <w:rFonts w:ascii="Arial" w:hAnsi="Arial" w:cs="Arial"/>
          <w:bCs/>
          <w:iCs/>
          <w:sz w:val="24"/>
          <w:szCs w:val="24"/>
          <w:lang w:val="en-US"/>
        </w:rPr>
        <w:t xml:space="preserve"> in predatory pricing</w:t>
      </w:r>
      <w:r w:rsidR="0051563D">
        <w:rPr>
          <w:rFonts w:ascii="Arial" w:hAnsi="Arial" w:cs="Arial"/>
          <w:bCs/>
          <w:iCs/>
          <w:sz w:val="24"/>
          <w:szCs w:val="24"/>
          <w:lang w:val="en-US"/>
        </w:rPr>
        <w:t xml:space="preserve"> would there be a possibility of antitrust injury. </w:t>
      </w:r>
      <w:r w:rsidR="00152DB0">
        <w:rPr>
          <w:rFonts w:ascii="Arial" w:hAnsi="Arial" w:cs="Arial"/>
          <w:bCs/>
          <w:iCs/>
          <w:sz w:val="24"/>
          <w:szCs w:val="24"/>
          <w:lang w:val="en-US"/>
        </w:rPr>
        <w:t>These cases demonstrated that injury suffered under normal conditions of free competition was not antitrust injury</w:t>
      </w:r>
      <w:r w:rsidR="009B0973">
        <w:rPr>
          <w:rStyle w:val="FootnoteReference"/>
          <w:rFonts w:ascii="Arial" w:hAnsi="Arial" w:cs="Arial"/>
          <w:bCs/>
          <w:iCs/>
          <w:sz w:val="24"/>
          <w:szCs w:val="24"/>
          <w:lang w:val="en-US"/>
        </w:rPr>
        <w:footnoteReference w:id="84"/>
      </w:r>
      <w:r w:rsidR="00152DB0">
        <w:rPr>
          <w:rFonts w:ascii="Arial" w:hAnsi="Arial" w:cs="Arial"/>
          <w:bCs/>
          <w:iCs/>
          <w:sz w:val="24"/>
          <w:szCs w:val="24"/>
          <w:lang w:val="en-US"/>
        </w:rPr>
        <w:t>.</w:t>
      </w:r>
      <w:r w:rsidR="0051563D">
        <w:rPr>
          <w:rFonts w:ascii="Arial" w:hAnsi="Arial" w:cs="Arial"/>
          <w:bCs/>
          <w:iCs/>
          <w:sz w:val="24"/>
          <w:szCs w:val="24"/>
          <w:lang w:val="en-US"/>
        </w:rPr>
        <w:t xml:space="preserve"> </w:t>
      </w:r>
      <w:r w:rsidR="00152DB0">
        <w:rPr>
          <w:rFonts w:ascii="Arial" w:hAnsi="Arial" w:cs="Arial"/>
          <w:bCs/>
          <w:iCs/>
          <w:sz w:val="24"/>
          <w:szCs w:val="24"/>
          <w:lang w:val="en-US"/>
        </w:rPr>
        <w:t>In the LIBOR situa</w:t>
      </w:r>
      <w:r w:rsidR="00D978F1">
        <w:rPr>
          <w:rFonts w:ascii="Arial" w:hAnsi="Arial" w:cs="Arial"/>
          <w:bCs/>
          <w:iCs/>
          <w:sz w:val="24"/>
          <w:szCs w:val="24"/>
          <w:lang w:val="en-US"/>
        </w:rPr>
        <w:t>tion Buchwald J found the</w:t>
      </w:r>
      <w:r w:rsidR="00152DB0">
        <w:rPr>
          <w:rFonts w:ascii="Arial" w:hAnsi="Arial" w:cs="Arial"/>
          <w:bCs/>
          <w:iCs/>
          <w:sz w:val="24"/>
          <w:szCs w:val="24"/>
          <w:lang w:val="en-US"/>
        </w:rPr>
        <w:t xml:space="preserve"> harm could have occurred under normal conditions of free competition because banks acting independently could have rationally submitted manipulated LIBOR figures</w:t>
      </w:r>
      <w:r w:rsidR="00D978F1">
        <w:rPr>
          <w:rStyle w:val="FootnoteReference"/>
          <w:rFonts w:ascii="Arial" w:hAnsi="Arial" w:cs="Arial"/>
          <w:bCs/>
          <w:iCs/>
          <w:sz w:val="24"/>
          <w:szCs w:val="24"/>
          <w:lang w:val="en-US"/>
        </w:rPr>
        <w:footnoteReference w:id="85"/>
      </w:r>
      <w:r w:rsidR="00152DB0">
        <w:rPr>
          <w:rFonts w:ascii="Arial" w:hAnsi="Arial" w:cs="Arial"/>
          <w:bCs/>
          <w:iCs/>
          <w:sz w:val="24"/>
          <w:szCs w:val="24"/>
          <w:lang w:val="en-US"/>
        </w:rPr>
        <w:t>. The rationality of these submissions lay in the fact that the LIBOR submission-process was not competitive</w:t>
      </w:r>
      <w:r w:rsidR="00D978F1">
        <w:rPr>
          <w:rStyle w:val="FootnoteReference"/>
          <w:rFonts w:ascii="Arial" w:hAnsi="Arial" w:cs="Arial"/>
          <w:bCs/>
          <w:iCs/>
          <w:sz w:val="24"/>
          <w:szCs w:val="24"/>
          <w:lang w:val="en-US"/>
        </w:rPr>
        <w:footnoteReference w:id="86"/>
      </w:r>
      <w:r w:rsidR="00152DB0">
        <w:rPr>
          <w:rFonts w:ascii="Arial" w:hAnsi="Arial" w:cs="Arial"/>
          <w:bCs/>
          <w:iCs/>
          <w:sz w:val="24"/>
          <w:szCs w:val="24"/>
          <w:lang w:val="en-US"/>
        </w:rPr>
        <w:t>. Therefore collusion would not have allowed them to do anything that they could not have done already</w:t>
      </w:r>
      <w:r w:rsidR="00D978F1">
        <w:rPr>
          <w:rStyle w:val="FootnoteReference"/>
          <w:rFonts w:ascii="Arial" w:hAnsi="Arial" w:cs="Arial"/>
          <w:bCs/>
          <w:iCs/>
          <w:sz w:val="24"/>
          <w:szCs w:val="24"/>
          <w:lang w:val="en-US"/>
        </w:rPr>
        <w:footnoteReference w:id="87"/>
      </w:r>
      <w:r w:rsidR="00152DB0">
        <w:rPr>
          <w:rFonts w:ascii="Arial" w:hAnsi="Arial" w:cs="Arial"/>
          <w:bCs/>
          <w:iCs/>
          <w:sz w:val="24"/>
          <w:szCs w:val="24"/>
          <w:lang w:val="en-US"/>
        </w:rPr>
        <w:t>.</w:t>
      </w:r>
      <w:r w:rsidR="009B0973">
        <w:rPr>
          <w:rFonts w:ascii="Arial" w:hAnsi="Arial" w:cs="Arial"/>
          <w:bCs/>
          <w:iCs/>
          <w:sz w:val="24"/>
          <w:szCs w:val="24"/>
          <w:lang w:val="en-US"/>
        </w:rPr>
        <w:t xml:space="preserve"> Indeed Buchwald J found that in both Brunswick and ARCO</w:t>
      </w:r>
      <w:r w:rsidR="00152DB0">
        <w:rPr>
          <w:rFonts w:ascii="Arial" w:hAnsi="Arial" w:cs="Arial"/>
          <w:bCs/>
          <w:iCs/>
          <w:sz w:val="24"/>
          <w:szCs w:val="24"/>
          <w:lang w:val="en-US"/>
        </w:rPr>
        <w:t xml:space="preserve"> </w:t>
      </w:r>
      <w:r w:rsidR="009B0973">
        <w:rPr>
          <w:rFonts w:ascii="Arial" w:hAnsi="Arial" w:cs="Arial"/>
          <w:bCs/>
          <w:iCs/>
          <w:sz w:val="24"/>
          <w:szCs w:val="24"/>
          <w:lang w:val="en-US"/>
        </w:rPr>
        <w:t>there was more harm to competition than in the LIBOR situation</w:t>
      </w:r>
      <w:r w:rsidR="00D978F1">
        <w:rPr>
          <w:rStyle w:val="FootnoteReference"/>
          <w:rFonts w:ascii="Arial" w:hAnsi="Arial" w:cs="Arial"/>
          <w:bCs/>
          <w:iCs/>
          <w:sz w:val="24"/>
          <w:szCs w:val="24"/>
          <w:lang w:val="en-US"/>
        </w:rPr>
        <w:footnoteReference w:id="88"/>
      </w:r>
      <w:r w:rsidR="009B0973">
        <w:rPr>
          <w:rFonts w:ascii="Arial" w:hAnsi="Arial" w:cs="Arial"/>
          <w:bCs/>
          <w:iCs/>
          <w:sz w:val="24"/>
          <w:szCs w:val="24"/>
          <w:lang w:val="en-US"/>
        </w:rPr>
        <w:t>.</w:t>
      </w:r>
    </w:p>
    <w:p w14:paraId="3C0DBBC5" w14:textId="2B37847F" w:rsidR="002474C1" w:rsidRDefault="00B75F20" w:rsidP="00E41CC3">
      <w:pPr>
        <w:jc w:val="both"/>
        <w:rPr>
          <w:rFonts w:ascii="Arial" w:hAnsi="Arial" w:cs="Arial"/>
          <w:bCs/>
          <w:iCs/>
          <w:sz w:val="24"/>
          <w:szCs w:val="24"/>
          <w:lang w:val="en-US"/>
        </w:rPr>
      </w:pPr>
      <w:r>
        <w:rPr>
          <w:rFonts w:ascii="Arial" w:hAnsi="Arial" w:cs="Arial"/>
          <w:bCs/>
          <w:iCs/>
          <w:sz w:val="24"/>
          <w:szCs w:val="24"/>
          <w:lang w:val="en-US"/>
        </w:rPr>
        <w:t>This judgment came under sustained</w:t>
      </w:r>
      <w:r w:rsidR="000404BF">
        <w:rPr>
          <w:rFonts w:ascii="Arial" w:hAnsi="Arial" w:cs="Arial"/>
          <w:bCs/>
          <w:iCs/>
          <w:sz w:val="24"/>
          <w:szCs w:val="24"/>
          <w:lang w:val="en-US"/>
        </w:rPr>
        <w:t xml:space="preserve"> </w:t>
      </w:r>
      <w:r w:rsidR="002474C1">
        <w:rPr>
          <w:rFonts w:ascii="Arial" w:hAnsi="Arial" w:cs="Arial"/>
          <w:bCs/>
          <w:iCs/>
          <w:sz w:val="24"/>
          <w:szCs w:val="24"/>
          <w:lang w:val="en-US"/>
        </w:rPr>
        <w:t xml:space="preserve">criticism </w:t>
      </w:r>
      <w:r w:rsidR="000404BF">
        <w:rPr>
          <w:rFonts w:ascii="Arial" w:hAnsi="Arial" w:cs="Arial"/>
          <w:bCs/>
          <w:iCs/>
          <w:sz w:val="24"/>
          <w:szCs w:val="24"/>
          <w:lang w:val="en-US"/>
        </w:rPr>
        <w:t>from academic and judicial sources</w:t>
      </w:r>
      <w:r w:rsidR="002474C1">
        <w:rPr>
          <w:rFonts w:ascii="Arial" w:hAnsi="Arial" w:cs="Arial"/>
          <w:bCs/>
          <w:iCs/>
          <w:sz w:val="24"/>
          <w:szCs w:val="24"/>
          <w:lang w:val="en-US"/>
        </w:rPr>
        <w:t xml:space="preserve">. </w:t>
      </w:r>
      <w:r w:rsidR="0047530B">
        <w:rPr>
          <w:rFonts w:ascii="Arial" w:hAnsi="Arial" w:cs="Arial"/>
          <w:bCs/>
          <w:iCs/>
          <w:sz w:val="24"/>
          <w:szCs w:val="24"/>
          <w:lang w:val="en-US"/>
        </w:rPr>
        <w:t>Foster</w:t>
      </w:r>
      <w:r w:rsidR="0047530B">
        <w:rPr>
          <w:rStyle w:val="FootnoteReference"/>
          <w:rFonts w:ascii="Arial" w:hAnsi="Arial" w:cs="Arial"/>
          <w:bCs/>
          <w:iCs/>
          <w:sz w:val="24"/>
          <w:szCs w:val="24"/>
          <w:lang w:val="en-US"/>
        </w:rPr>
        <w:footnoteReference w:id="89"/>
      </w:r>
      <w:r w:rsidR="000404BF">
        <w:rPr>
          <w:rFonts w:ascii="Arial" w:hAnsi="Arial" w:cs="Arial"/>
          <w:bCs/>
          <w:iCs/>
          <w:sz w:val="24"/>
          <w:szCs w:val="24"/>
          <w:lang w:val="en-US"/>
        </w:rPr>
        <w:t xml:space="preserve"> identifies the root of the problem to </w:t>
      </w:r>
      <w:r w:rsidR="007D4BC6">
        <w:rPr>
          <w:rFonts w:ascii="Arial" w:hAnsi="Arial" w:cs="Arial"/>
          <w:bCs/>
          <w:iCs/>
          <w:sz w:val="24"/>
          <w:szCs w:val="24"/>
          <w:lang w:val="en-US"/>
        </w:rPr>
        <w:t xml:space="preserve">be </w:t>
      </w:r>
      <w:r w:rsidR="000404BF">
        <w:rPr>
          <w:rFonts w:ascii="Arial" w:hAnsi="Arial" w:cs="Arial"/>
          <w:bCs/>
          <w:iCs/>
          <w:sz w:val="24"/>
          <w:szCs w:val="24"/>
          <w:lang w:val="en-US"/>
        </w:rPr>
        <w:t>Buchwald J</w:t>
      </w:r>
      <w:r w:rsidR="00906F1C">
        <w:rPr>
          <w:rFonts w:ascii="Arial" w:hAnsi="Arial" w:cs="Arial"/>
          <w:bCs/>
          <w:iCs/>
          <w:sz w:val="24"/>
          <w:szCs w:val="24"/>
          <w:lang w:val="en-US"/>
        </w:rPr>
        <w:t>’s</w:t>
      </w:r>
      <w:r w:rsidR="000404BF">
        <w:rPr>
          <w:rFonts w:ascii="Arial" w:hAnsi="Arial" w:cs="Arial"/>
          <w:bCs/>
          <w:iCs/>
          <w:sz w:val="24"/>
          <w:szCs w:val="24"/>
          <w:lang w:val="en-US"/>
        </w:rPr>
        <w:t xml:space="preserve"> holding that manipulating LIBOR was not a competitive process, which is not a recognised </w:t>
      </w:r>
      <w:r w:rsidR="007D4BC6">
        <w:rPr>
          <w:rFonts w:ascii="Arial" w:hAnsi="Arial" w:cs="Arial"/>
          <w:bCs/>
          <w:iCs/>
          <w:sz w:val="24"/>
          <w:szCs w:val="24"/>
          <w:lang w:val="en-US"/>
        </w:rPr>
        <w:t xml:space="preserve">antitrust injury requirement. The authority used to support this finding, namely </w:t>
      </w:r>
      <w:r w:rsidR="007D4BC6">
        <w:rPr>
          <w:rFonts w:ascii="Arial" w:hAnsi="Arial" w:cs="Arial"/>
          <w:bCs/>
          <w:i/>
          <w:iCs/>
          <w:sz w:val="24"/>
          <w:szCs w:val="24"/>
          <w:lang w:val="en-US"/>
        </w:rPr>
        <w:t>Brunswick</w:t>
      </w:r>
      <w:r w:rsidR="007D4BC6">
        <w:rPr>
          <w:rFonts w:ascii="Arial" w:hAnsi="Arial" w:cs="Arial"/>
          <w:bCs/>
          <w:iCs/>
          <w:sz w:val="24"/>
          <w:szCs w:val="24"/>
          <w:lang w:val="en-US"/>
        </w:rPr>
        <w:t xml:space="preserve"> and </w:t>
      </w:r>
      <w:r w:rsidR="007D4BC6">
        <w:rPr>
          <w:rFonts w:ascii="Arial" w:hAnsi="Arial" w:cs="Arial"/>
          <w:bCs/>
          <w:i/>
          <w:iCs/>
          <w:sz w:val="24"/>
          <w:szCs w:val="24"/>
          <w:lang w:val="en-US"/>
        </w:rPr>
        <w:t>ARCO</w:t>
      </w:r>
      <w:r w:rsidR="007D4BC6">
        <w:rPr>
          <w:rFonts w:ascii="Arial" w:hAnsi="Arial" w:cs="Arial"/>
          <w:bCs/>
          <w:iCs/>
          <w:sz w:val="24"/>
          <w:szCs w:val="24"/>
          <w:lang w:val="en-US"/>
        </w:rPr>
        <w:t>, were not horizontal price-fixing cases, whereas the LIBOR manipulation situation was straight</w:t>
      </w:r>
      <w:r w:rsidR="009936C0">
        <w:rPr>
          <w:rFonts w:ascii="Arial" w:hAnsi="Arial" w:cs="Arial"/>
          <w:bCs/>
          <w:iCs/>
          <w:sz w:val="24"/>
          <w:szCs w:val="24"/>
          <w:lang w:val="en-US"/>
        </w:rPr>
        <w:t>forward horizontal price-fixing, with consumers rather than competitors suffering harm</w:t>
      </w:r>
      <w:r w:rsidR="00F01EE4">
        <w:rPr>
          <w:rStyle w:val="FootnoteReference"/>
          <w:rFonts w:ascii="Arial" w:hAnsi="Arial" w:cs="Arial"/>
          <w:bCs/>
          <w:iCs/>
          <w:sz w:val="24"/>
          <w:szCs w:val="24"/>
          <w:lang w:val="en-US"/>
        </w:rPr>
        <w:footnoteReference w:id="90"/>
      </w:r>
      <w:r w:rsidR="009936C0">
        <w:rPr>
          <w:rFonts w:ascii="Arial" w:hAnsi="Arial" w:cs="Arial"/>
          <w:bCs/>
          <w:iCs/>
          <w:sz w:val="24"/>
          <w:szCs w:val="24"/>
          <w:lang w:val="en-US"/>
        </w:rPr>
        <w:t xml:space="preserve">. Indeed </w:t>
      </w:r>
      <w:r w:rsidR="00F01EE4">
        <w:rPr>
          <w:rFonts w:ascii="Arial" w:hAnsi="Arial" w:cs="Arial"/>
          <w:bCs/>
          <w:iCs/>
          <w:sz w:val="24"/>
          <w:szCs w:val="24"/>
          <w:lang w:val="en-US"/>
        </w:rPr>
        <w:t>as Fost</w:t>
      </w:r>
      <w:r w:rsidR="00E16FE7">
        <w:rPr>
          <w:rFonts w:ascii="Arial" w:hAnsi="Arial" w:cs="Arial"/>
          <w:bCs/>
          <w:iCs/>
          <w:sz w:val="24"/>
          <w:szCs w:val="24"/>
          <w:lang w:val="en-US"/>
        </w:rPr>
        <w:t>er notes</w:t>
      </w:r>
      <w:r w:rsidR="00F01EE4">
        <w:rPr>
          <w:rStyle w:val="FootnoteReference"/>
          <w:rFonts w:ascii="Arial" w:hAnsi="Arial" w:cs="Arial"/>
          <w:bCs/>
          <w:iCs/>
          <w:sz w:val="24"/>
          <w:szCs w:val="24"/>
          <w:lang w:val="en-US"/>
        </w:rPr>
        <w:footnoteReference w:id="91"/>
      </w:r>
      <w:r w:rsidR="00E16FE7">
        <w:rPr>
          <w:rFonts w:ascii="Arial" w:hAnsi="Arial" w:cs="Arial"/>
          <w:bCs/>
          <w:iCs/>
          <w:sz w:val="24"/>
          <w:szCs w:val="24"/>
          <w:lang w:val="en-US"/>
        </w:rPr>
        <w:t xml:space="preserve"> the LIBOR scenario is analogous to </w:t>
      </w:r>
      <w:r w:rsidR="00906F1C">
        <w:rPr>
          <w:rFonts w:ascii="Arial" w:hAnsi="Arial" w:cs="Arial"/>
          <w:bCs/>
          <w:iCs/>
          <w:sz w:val="24"/>
          <w:szCs w:val="24"/>
          <w:lang w:val="en-US"/>
        </w:rPr>
        <w:t>a situation where competitors with significant market power</w:t>
      </w:r>
      <w:r w:rsidR="00E16FE7">
        <w:rPr>
          <w:rFonts w:ascii="Arial" w:hAnsi="Arial" w:cs="Arial"/>
          <w:bCs/>
          <w:iCs/>
          <w:sz w:val="24"/>
          <w:szCs w:val="24"/>
          <w:lang w:val="en-US"/>
        </w:rPr>
        <w:t xml:space="preserve"> </w:t>
      </w:r>
      <w:r w:rsidR="00906F1C">
        <w:rPr>
          <w:rFonts w:ascii="Arial" w:hAnsi="Arial" w:cs="Arial"/>
          <w:bCs/>
          <w:iCs/>
          <w:sz w:val="24"/>
          <w:szCs w:val="24"/>
          <w:lang w:val="en-US"/>
        </w:rPr>
        <w:t>set and manipulate unregulated industry standards. This results in harm to competition and harm to consumers, which establishes antitrust injury without any need to consider whether the benchmark setting constituted a competitive process.</w:t>
      </w:r>
    </w:p>
    <w:p w14:paraId="79DE75DD" w14:textId="67BFA8A3" w:rsidR="00F01EE4" w:rsidRPr="004D7217" w:rsidRDefault="00F01EE4" w:rsidP="002566ED">
      <w:pPr>
        <w:jc w:val="both"/>
        <w:rPr>
          <w:rFonts w:ascii="Arial" w:hAnsi="Arial" w:cs="Arial"/>
          <w:bCs/>
          <w:iCs/>
          <w:sz w:val="24"/>
          <w:szCs w:val="24"/>
          <w:lang w:val="en-US"/>
        </w:rPr>
      </w:pPr>
      <w:r>
        <w:rPr>
          <w:rFonts w:ascii="Arial" w:hAnsi="Arial" w:cs="Arial"/>
          <w:bCs/>
          <w:iCs/>
          <w:sz w:val="24"/>
          <w:szCs w:val="24"/>
          <w:lang w:val="en-US"/>
        </w:rPr>
        <w:t xml:space="preserve">In </w:t>
      </w:r>
      <w:r w:rsidR="00875D92">
        <w:rPr>
          <w:rFonts w:ascii="Arial" w:hAnsi="Arial" w:cs="Arial"/>
          <w:bCs/>
          <w:iCs/>
          <w:sz w:val="24"/>
          <w:szCs w:val="24"/>
          <w:lang w:val="en-US"/>
        </w:rPr>
        <w:t xml:space="preserve">the same District Court of the Southern District of New York, but with different judges, two cases have commented on </w:t>
      </w:r>
      <w:r w:rsidR="00875D92">
        <w:rPr>
          <w:rFonts w:ascii="Arial" w:hAnsi="Arial" w:cs="Arial"/>
          <w:bCs/>
          <w:i/>
          <w:iCs/>
          <w:sz w:val="24"/>
          <w:szCs w:val="24"/>
          <w:lang w:val="en-US"/>
        </w:rPr>
        <w:t>In r</w:t>
      </w:r>
      <w:r w:rsidR="00875D92" w:rsidRPr="00875D92">
        <w:rPr>
          <w:rFonts w:ascii="Arial" w:hAnsi="Arial" w:cs="Arial"/>
          <w:bCs/>
          <w:i/>
          <w:iCs/>
          <w:sz w:val="24"/>
          <w:szCs w:val="24"/>
          <w:lang w:val="en-US"/>
        </w:rPr>
        <w:t>e LIBOR</w:t>
      </w:r>
      <w:r w:rsidR="00875D92">
        <w:rPr>
          <w:rFonts w:ascii="Arial" w:hAnsi="Arial" w:cs="Arial"/>
          <w:bCs/>
          <w:iCs/>
          <w:sz w:val="24"/>
          <w:szCs w:val="24"/>
          <w:lang w:val="en-US"/>
        </w:rPr>
        <w:t xml:space="preserve">. </w:t>
      </w:r>
      <w:r w:rsidR="00A945F2">
        <w:rPr>
          <w:rFonts w:ascii="Arial" w:hAnsi="Arial" w:cs="Arial"/>
          <w:bCs/>
          <w:iCs/>
          <w:sz w:val="24"/>
          <w:szCs w:val="24"/>
          <w:lang w:val="en-US"/>
        </w:rPr>
        <w:t xml:space="preserve">In </w:t>
      </w:r>
      <w:r w:rsidR="00A945F2" w:rsidRPr="00875D92">
        <w:rPr>
          <w:rFonts w:ascii="Arial" w:hAnsi="Arial" w:cs="Arial"/>
          <w:bCs/>
          <w:i/>
          <w:iCs/>
          <w:sz w:val="24"/>
          <w:szCs w:val="24"/>
          <w:lang w:val="en-US"/>
        </w:rPr>
        <w:t>In re FX</w:t>
      </w:r>
      <w:r w:rsidR="00A945F2">
        <w:rPr>
          <w:rStyle w:val="FootnoteReference"/>
          <w:rFonts w:ascii="Arial" w:hAnsi="Arial" w:cs="Arial"/>
          <w:bCs/>
          <w:i/>
          <w:iCs/>
          <w:sz w:val="24"/>
          <w:szCs w:val="24"/>
          <w:lang w:val="en-US"/>
        </w:rPr>
        <w:footnoteReference w:id="92"/>
      </w:r>
      <w:r w:rsidR="00A945F2">
        <w:rPr>
          <w:rFonts w:ascii="Arial" w:hAnsi="Arial" w:cs="Arial"/>
          <w:bCs/>
          <w:iCs/>
          <w:sz w:val="24"/>
          <w:szCs w:val="24"/>
          <w:lang w:val="en-US"/>
        </w:rPr>
        <w:t xml:space="preserve"> a number of major banks had colluded to manipulate benchmark rates in the foreign exchange markets but this benchmark rate, distinguished from </w:t>
      </w:r>
      <w:r w:rsidR="00A945F2" w:rsidRPr="00A945F2">
        <w:rPr>
          <w:rFonts w:ascii="Arial" w:hAnsi="Arial" w:cs="Arial"/>
          <w:bCs/>
          <w:i/>
          <w:iCs/>
          <w:sz w:val="24"/>
          <w:szCs w:val="24"/>
          <w:lang w:val="en-US"/>
        </w:rPr>
        <w:t>In re LIBOR</w:t>
      </w:r>
      <w:r w:rsidR="00A945F2">
        <w:rPr>
          <w:rFonts w:ascii="Arial" w:hAnsi="Arial" w:cs="Arial"/>
          <w:bCs/>
          <w:iCs/>
          <w:sz w:val="24"/>
          <w:szCs w:val="24"/>
          <w:lang w:val="en-US"/>
        </w:rPr>
        <w:t xml:space="preserve">, was not a cooperative </w:t>
      </w:r>
      <w:r w:rsidR="00A945F2">
        <w:rPr>
          <w:rFonts w:ascii="Arial" w:hAnsi="Arial" w:cs="Arial"/>
          <w:bCs/>
          <w:iCs/>
          <w:sz w:val="24"/>
          <w:szCs w:val="24"/>
          <w:lang w:val="en-US"/>
        </w:rPr>
        <w:lastRenderedPageBreak/>
        <w:t>endeavour but set by transactions in the foreign exchange market</w:t>
      </w:r>
      <w:r w:rsidR="00A945F2">
        <w:rPr>
          <w:rStyle w:val="FootnoteReference"/>
          <w:rFonts w:ascii="Arial" w:hAnsi="Arial" w:cs="Arial"/>
          <w:bCs/>
          <w:iCs/>
          <w:sz w:val="24"/>
          <w:szCs w:val="24"/>
          <w:lang w:val="en-US"/>
        </w:rPr>
        <w:footnoteReference w:id="93"/>
      </w:r>
      <w:r w:rsidR="00A945F2">
        <w:rPr>
          <w:rFonts w:ascii="Arial" w:hAnsi="Arial" w:cs="Arial"/>
          <w:bCs/>
          <w:iCs/>
          <w:sz w:val="24"/>
          <w:szCs w:val="24"/>
          <w:lang w:val="en-US"/>
        </w:rPr>
        <w:t xml:space="preserve">. Schofield J in an </w:t>
      </w:r>
      <w:r w:rsidR="00A945F2">
        <w:rPr>
          <w:rFonts w:ascii="Arial" w:hAnsi="Arial" w:cs="Arial"/>
          <w:bCs/>
          <w:i/>
          <w:iCs/>
          <w:sz w:val="24"/>
          <w:szCs w:val="24"/>
          <w:lang w:val="en-US"/>
        </w:rPr>
        <w:t>obiter dictum</w:t>
      </w:r>
      <w:r w:rsidR="00A945F2">
        <w:rPr>
          <w:rFonts w:ascii="Arial" w:hAnsi="Arial" w:cs="Arial"/>
          <w:bCs/>
          <w:iCs/>
          <w:sz w:val="24"/>
          <w:szCs w:val="24"/>
          <w:lang w:val="en-US"/>
        </w:rPr>
        <w:t xml:space="preserve"> went out of her way to disagree with the findings of Buchwald J in </w:t>
      </w:r>
      <w:r w:rsidR="00A945F2" w:rsidRPr="00A945F2">
        <w:rPr>
          <w:rFonts w:ascii="Arial" w:hAnsi="Arial" w:cs="Arial"/>
          <w:bCs/>
          <w:i/>
          <w:iCs/>
          <w:sz w:val="24"/>
          <w:szCs w:val="24"/>
          <w:lang w:val="en-US"/>
        </w:rPr>
        <w:t>In re LIBOR</w:t>
      </w:r>
      <w:r w:rsidR="00A945F2">
        <w:rPr>
          <w:rFonts w:ascii="Arial" w:hAnsi="Arial" w:cs="Arial"/>
          <w:bCs/>
          <w:iCs/>
          <w:sz w:val="24"/>
          <w:szCs w:val="24"/>
          <w:lang w:val="en-US"/>
        </w:rPr>
        <w:t xml:space="preserve">, predominantly on the basis of the difficulties with </w:t>
      </w:r>
      <w:r w:rsidR="00A945F2" w:rsidRPr="00A945F2">
        <w:rPr>
          <w:rFonts w:ascii="Arial" w:hAnsi="Arial" w:cs="Arial"/>
          <w:bCs/>
          <w:i/>
          <w:iCs/>
          <w:sz w:val="24"/>
          <w:szCs w:val="24"/>
          <w:lang w:val="en-US"/>
        </w:rPr>
        <w:t>Brunswick</w:t>
      </w:r>
      <w:r w:rsidR="00A945F2">
        <w:rPr>
          <w:rFonts w:ascii="Arial" w:hAnsi="Arial" w:cs="Arial"/>
          <w:bCs/>
          <w:iCs/>
          <w:sz w:val="24"/>
          <w:szCs w:val="24"/>
          <w:lang w:val="en-US"/>
        </w:rPr>
        <w:t xml:space="preserve"> and </w:t>
      </w:r>
      <w:r w:rsidR="00A945F2" w:rsidRPr="00A945F2">
        <w:rPr>
          <w:rFonts w:ascii="Arial" w:hAnsi="Arial" w:cs="Arial"/>
          <w:bCs/>
          <w:i/>
          <w:iCs/>
          <w:sz w:val="24"/>
          <w:szCs w:val="24"/>
          <w:lang w:val="en-US"/>
        </w:rPr>
        <w:t>ARCO</w:t>
      </w:r>
      <w:r w:rsidR="00A945F2">
        <w:rPr>
          <w:rFonts w:ascii="Arial" w:hAnsi="Arial" w:cs="Arial"/>
          <w:bCs/>
          <w:iCs/>
          <w:sz w:val="24"/>
          <w:szCs w:val="24"/>
          <w:lang w:val="en-US"/>
        </w:rPr>
        <w:t xml:space="preserve"> described above</w:t>
      </w:r>
      <w:r w:rsidR="00A945F2">
        <w:rPr>
          <w:rStyle w:val="FootnoteReference"/>
          <w:rFonts w:ascii="Arial" w:hAnsi="Arial" w:cs="Arial"/>
          <w:bCs/>
          <w:iCs/>
          <w:sz w:val="24"/>
          <w:szCs w:val="24"/>
          <w:lang w:val="en-US"/>
        </w:rPr>
        <w:footnoteReference w:id="94"/>
      </w:r>
      <w:r w:rsidR="00A945F2">
        <w:rPr>
          <w:rFonts w:ascii="Arial" w:hAnsi="Arial" w:cs="Arial"/>
          <w:bCs/>
          <w:iCs/>
          <w:sz w:val="24"/>
          <w:szCs w:val="24"/>
          <w:lang w:val="en-US"/>
        </w:rPr>
        <w:t xml:space="preserve">. </w:t>
      </w:r>
      <w:r w:rsidR="002566ED">
        <w:rPr>
          <w:rFonts w:ascii="Arial" w:hAnsi="Arial" w:cs="Arial"/>
          <w:bCs/>
          <w:iCs/>
          <w:sz w:val="24"/>
          <w:szCs w:val="24"/>
          <w:lang w:val="en-US"/>
        </w:rPr>
        <w:t xml:space="preserve">In the more recent </w:t>
      </w:r>
      <w:r w:rsidR="002566ED">
        <w:rPr>
          <w:rFonts w:ascii="Arial" w:hAnsi="Arial" w:cs="Arial"/>
          <w:bCs/>
          <w:i/>
          <w:iCs/>
          <w:sz w:val="24"/>
          <w:szCs w:val="24"/>
          <w:lang w:val="en-US"/>
        </w:rPr>
        <w:t>Alaska Electrical Pension Fund, et al v Bank of America Corp., et al</w:t>
      </w:r>
      <w:r w:rsidR="002566ED">
        <w:rPr>
          <w:rStyle w:val="FootnoteReference"/>
          <w:rFonts w:ascii="Arial" w:hAnsi="Arial" w:cs="Arial"/>
          <w:bCs/>
          <w:i/>
          <w:iCs/>
          <w:sz w:val="24"/>
          <w:szCs w:val="24"/>
          <w:lang w:val="en-US"/>
        </w:rPr>
        <w:footnoteReference w:id="95"/>
      </w:r>
      <w:r w:rsidR="002566ED">
        <w:rPr>
          <w:rFonts w:ascii="Arial" w:hAnsi="Arial" w:cs="Arial"/>
          <w:bCs/>
          <w:iCs/>
          <w:sz w:val="24"/>
          <w:szCs w:val="24"/>
          <w:lang w:val="en-US"/>
        </w:rPr>
        <w:t xml:space="preserve"> the benchmark being manipulated was the US Dollar </w:t>
      </w:r>
      <w:proofErr w:type="spellStart"/>
      <w:r w:rsidR="002566ED">
        <w:rPr>
          <w:rFonts w:ascii="Arial" w:hAnsi="Arial" w:cs="Arial"/>
          <w:bCs/>
          <w:iCs/>
          <w:sz w:val="24"/>
          <w:szCs w:val="24"/>
          <w:lang w:val="en-US"/>
        </w:rPr>
        <w:t>ISDAfix</w:t>
      </w:r>
      <w:proofErr w:type="spellEnd"/>
      <w:r w:rsidR="002566ED">
        <w:rPr>
          <w:rFonts w:ascii="Arial" w:hAnsi="Arial" w:cs="Arial"/>
          <w:bCs/>
          <w:iCs/>
          <w:sz w:val="24"/>
          <w:szCs w:val="24"/>
          <w:lang w:val="en-US"/>
        </w:rPr>
        <w:t xml:space="preserve">, </w:t>
      </w:r>
      <w:r w:rsidR="002566ED" w:rsidRPr="002566ED">
        <w:rPr>
          <w:rFonts w:ascii="Arial" w:hAnsi="Arial" w:cs="Arial"/>
          <w:bCs/>
          <w:iCs/>
          <w:sz w:val="24"/>
          <w:szCs w:val="24"/>
          <w:lang w:val="en-US"/>
        </w:rPr>
        <w:t>a benchmark interest rate incorporated into a broad range of financial derivatives</w:t>
      </w:r>
      <w:r w:rsidR="002566ED">
        <w:rPr>
          <w:rFonts w:ascii="Arial" w:hAnsi="Arial" w:cs="Arial"/>
          <w:bCs/>
          <w:iCs/>
          <w:sz w:val="24"/>
          <w:szCs w:val="24"/>
          <w:lang w:val="en-US"/>
        </w:rPr>
        <w:t xml:space="preserve">. </w:t>
      </w:r>
      <w:r w:rsidR="004D7217">
        <w:rPr>
          <w:rFonts w:ascii="Arial" w:hAnsi="Arial" w:cs="Arial"/>
          <w:bCs/>
          <w:iCs/>
          <w:sz w:val="24"/>
          <w:szCs w:val="24"/>
          <w:lang w:val="en-US"/>
        </w:rPr>
        <w:t xml:space="preserve">Furman J declined to follow </w:t>
      </w:r>
      <w:r w:rsidR="004D7217">
        <w:rPr>
          <w:rFonts w:ascii="Arial" w:hAnsi="Arial" w:cs="Arial"/>
          <w:bCs/>
          <w:i/>
          <w:iCs/>
          <w:sz w:val="24"/>
          <w:szCs w:val="24"/>
          <w:lang w:val="en-US"/>
        </w:rPr>
        <w:t>In re LIBOR</w:t>
      </w:r>
      <w:r w:rsidR="004D7217">
        <w:rPr>
          <w:rFonts w:ascii="Arial" w:hAnsi="Arial" w:cs="Arial"/>
          <w:bCs/>
          <w:iCs/>
          <w:sz w:val="24"/>
          <w:szCs w:val="24"/>
          <w:lang w:val="en-US"/>
        </w:rPr>
        <w:t xml:space="preserve"> for two reasons</w:t>
      </w:r>
      <w:r w:rsidR="004A6A57">
        <w:rPr>
          <w:rStyle w:val="FootnoteReference"/>
          <w:rFonts w:ascii="Arial" w:hAnsi="Arial" w:cs="Arial"/>
          <w:bCs/>
          <w:iCs/>
          <w:sz w:val="24"/>
          <w:szCs w:val="24"/>
          <w:lang w:val="en-US"/>
        </w:rPr>
        <w:footnoteReference w:id="96"/>
      </w:r>
      <w:r w:rsidR="004D7217">
        <w:rPr>
          <w:rFonts w:ascii="Arial" w:hAnsi="Arial" w:cs="Arial"/>
          <w:bCs/>
          <w:iCs/>
          <w:sz w:val="24"/>
          <w:szCs w:val="24"/>
          <w:lang w:val="en-US"/>
        </w:rPr>
        <w:t>. The first was that although the two situations were similar,</w:t>
      </w:r>
      <w:r w:rsidR="004A6A57">
        <w:rPr>
          <w:rFonts w:ascii="Arial" w:hAnsi="Arial" w:cs="Arial"/>
          <w:bCs/>
          <w:iCs/>
          <w:sz w:val="24"/>
          <w:szCs w:val="24"/>
          <w:lang w:val="en-US"/>
        </w:rPr>
        <w:t xml:space="preserve"> in that the </w:t>
      </w:r>
      <w:proofErr w:type="spellStart"/>
      <w:r w:rsidR="004A6A57">
        <w:rPr>
          <w:rFonts w:ascii="Arial" w:hAnsi="Arial" w:cs="Arial"/>
          <w:bCs/>
          <w:iCs/>
          <w:sz w:val="24"/>
          <w:szCs w:val="24"/>
          <w:lang w:val="en-US"/>
        </w:rPr>
        <w:t>ISDAfix</w:t>
      </w:r>
      <w:proofErr w:type="spellEnd"/>
      <w:r w:rsidR="004A6A57">
        <w:rPr>
          <w:rFonts w:ascii="Arial" w:hAnsi="Arial" w:cs="Arial"/>
          <w:bCs/>
          <w:iCs/>
          <w:sz w:val="24"/>
          <w:szCs w:val="24"/>
          <w:lang w:val="en-US"/>
        </w:rPr>
        <w:t xml:space="preserve"> was formulated in a similar way to LIBOR,</w:t>
      </w:r>
      <w:r w:rsidR="004D7217">
        <w:rPr>
          <w:rFonts w:ascii="Arial" w:hAnsi="Arial" w:cs="Arial"/>
          <w:bCs/>
          <w:iCs/>
          <w:sz w:val="24"/>
          <w:szCs w:val="24"/>
          <w:lang w:val="en-US"/>
        </w:rPr>
        <w:t xml:space="preserve"> the traders in this case also conspired to move prices for swaps </w:t>
      </w:r>
      <w:r w:rsidR="004D7217" w:rsidRPr="004D7217">
        <w:rPr>
          <w:rFonts w:ascii="Arial" w:hAnsi="Arial" w:cs="Arial"/>
          <w:bCs/>
          <w:iCs/>
          <w:sz w:val="24"/>
          <w:szCs w:val="24"/>
          <w:lang w:val="en-US"/>
        </w:rPr>
        <w:t>in the inter-dealer market by acting as a trading bloc</w:t>
      </w:r>
      <w:r w:rsidR="004D7217">
        <w:rPr>
          <w:rFonts w:ascii="Arial" w:hAnsi="Arial" w:cs="Arial"/>
          <w:bCs/>
          <w:iCs/>
          <w:sz w:val="24"/>
          <w:szCs w:val="24"/>
          <w:lang w:val="en-US"/>
        </w:rPr>
        <w:t xml:space="preserve">, so distinguishing the cases. </w:t>
      </w:r>
      <w:r w:rsidR="004A6A57">
        <w:rPr>
          <w:rFonts w:ascii="Arial" w:hAnsi="Arial" w:cs="Arial"/>
          <w:bCs/>
          <w:iCs/>
          <w:sz w:val="24"/>
          <w:szCs w:val="24"/>
          <w:lang w:val="en-US"/>
        </w:rPr>
        <w:t>This was the very essence of anticompetitive behaviour that the antitrust laws were intended to prevent</w:t>
      </w:r>
      <w:r w:rsidR="004A6A57">
        <w:rPr>
          <w:rStyle w:val="FootnoteReference"/>
          <w:rFonts w:ascii="Arial" w:hAnsi="Arial" w:cs="Arial"/>
          <w:bCs/>
          <w:iCs/>
          <w:sz w:val="24"/>
          <w:szCs w:val="24"/>
          <w:lang w:val="en-US"/>
        </w:rPr>
        <w:footnoteReference w:id="97"/>
      </w:r>
      <w:r w:rsidR="004A6A57">
        <w:rPr>
          <w:rFonts w:ascii="Arial" w:hAnsi="Arial" w:cs="Arial"/>
          <w:bCs/>
          <w:iCs/>
          <w:sz w:val="24"/>
          <w:szCs w:val="24"/>
          <w:lang w:val="en-US"/>
        </w:rPr>
        <w:t xml:space="preserve">. </w:t>
      </w:r>
      <w:r w:rsidR="004D7217">
        <w:rPr>
          <w:rFonts w:ascii="Arial" w:hAnsi="Arial" w:cs="Arial"/>
          <w:bCs/>
          <w:iCs/>
          <w:sz w:val="24"/>
          <w:szCs w:val="24"/>
          <w:lang w:val="en-US"/>
        </w:rPr>
        <w:t xml:space="preserve">Second it was found that a lack of competitive process in a cooperative endeavour did not </w:t>
      </w:r>
      <w:r w:rsidR="004A6A57">
        <w:rPr>
          <w:rFonts w:ascii="Arial" w:hAnsi="Arial" w:cs="Arial"/>
          <w:bCs/>
          <w:iCs/>
          <w:sz w:val="24"/>
          <w:szCs w:val="24"/>
          <w:lang w:val="en-US"/>
        </w:rPr>
        <w:t xml:space="preserve">insulate otherwise competing entities </w:t>
      </w:r>
      <w:r w:rsidR="004A6A57" w:rsidRPr="004A6A57">
        <w:rPr>
          <w:rFonts w:ascii="Arial" w:hAnsi="Arial" w:cs="Arial"/>
          <w:bCs/>
          <w:iCs/>
          <w:sz w:val="24"/>
          <w:szCs w:val="24"/>
          <w:lang w:val="en-US"/>
        </w:rPr>
        <w:t>from antitrust liability to parties harmed by that manipulation.</w:t>
      </w:r>
      <w:r w:rsidR="004A6A57">
        <w:rPr>
          <w:rFonts w:ascii="Arial" w:hAnsi="Arial" w:cs="Arial"/>
          <w:bCs/>
          <w:iCs/>
          <w:sz w:val="24"/>
          <w:szCs w:val="24"/>
          <w:lang w:val="en-US"/>
        </w:rPr>
        <w:t xml:space="preserve"> Furman J gave four reasons for this. First the Supreme Court had long held that the machinery </w:t>
      </w:r>
      <w:r w:rsidR="004A6A57" w:rsidRPr="004A6A57">
        <w:rPr>
          <w:rFonts w:ascii="Arial" w:hAnsi="Arial" w:cs="Arial"/>
          <w:bCs/>
          <w:iCs/>
          <w:sz w:val="24"/>
          <w:szCs w:val="24"/>
          <w:lang w:val="en-US"/>
        </w:rPr>
        <w:t>employed by a combination for price-fixing is immaterial</w:t>
      </w:r>
      <w:r w:rsidR="004A6A57">
        <w:rPr>
          <w:rFonts w:ascii="Arial" w:hAnsi="Arial" w:cs="Arial"/>
          <w:bCs/>
          <w:iCs/>
          <w:sz w:val="24"/>
          <w:szCs w:val="24"/>
          <w:lang w:val="en-US"/>
        </w:rPr>
        <w:t xml:space="preserve"> to the antitrust laws.</w:t>
      </w:r>
      <w:r w:rsidR="00BE2D79">
        <w:rPr>
          <w:rFonts w:ascii="Arial" w:hAnsi="Arial" w:cs="Arial"/>
          <w:bCs/>
          <w:iCs/>
          <w:sz w:val="24"/>
          <w:szCs w:val="24"/>
          <w:lang w:val="en-US"/>
        </w:rPr>
        <w:t xml:space="preserve"> Competing entities acting together as part of a cooperative endeavour meant that there should be greater scrutiny not less, and was definitely not a basis for absolute immunity from antitrust liability</w:t>
      </w:r>
      <w:r w:rsidR="009D6B8E">
        <w:rPr>
          <w:rStyle w:val="FootnoteReference"/>
          <w:rFonts w:ascii="Arial" w:hAnsi="Arial" w:cs="Arial"/>
          <w:bCs/>
          <w:iCs/>
          <w:sz w:val="24"/>
          <w:szCs w:val="24"/>
          <w:lang w:val="en-US"/>
        </w:rPr>
        <w:footnoteReference w:id="98"/>
      </w:r>
      <w:r w:rsidR="00BE2D79">
        <w:rPr>
          <w:rFonts w:ascii="Arial" w:hAnsi="Arial" w:cs="Arial"/>
          <w:bCs/>
          <w:iCs/>
          <w:sz w:val="24"/>
          <w:szCs w:val="24"/>
          <w:lang w:val="en-US"/>
        </w:rPr>
        <w:t>. Second the gravity and level of harm alleged was on the basis of a horizontal price-fixing conspiracy, the quintessential antitrust injury</w:t>
      </w:r>
      <w:r w:rsidR="009D6B8E">
        <w:rPr>
          <w:rStyle w:val="FootnoteReference"/>
          <w:rFonts w:ascii="Arial" w:hAnsi="Arial" w:cs="Arial"/>
          <w:bCs/>
          <w:iCs/>
          <w:sz w:val="24"/>
          <w:szCs w:val="24"/>
          <w:lang w:val="en-US"/>
        </w:rPr>
        <w:footnoteReference w:id="99"/>
      </w:r>
      <w:r w:rsidR="00BE2D79">
        <w:rPr>
          <w:rFonts w:ascii="Arial" w:hAnsi="Arial" w:cs="Arial"/>
          <w:bCs/>
          <w:iCs/>
          <w:sz w:val="24"/>
          <w:szCs w:val="24"/>
          <w:lang w:val="en-US"/>
        </w:rPr>
        <w:t xml:space="preserve">. Third courts had long held that collusion in the setting of a benchmark rate </w:t>
      </w:r>
      <w:r w:rsidR="00BE2D79" w:rsidRPr="00BE2D79">
        <w:rPr>
          <w:rFonts w:ascii="Arial" w:hAnsi="Arial" w:cs="Arial"/>
          <w:bCs/>
          <w:iCs/>
          <w:sz w:val="24"/>
          <w:szCs w:val="24"/>
          <w:lang w:val="en-US"/>
        </w:rPr>
        <w:t>(or i</w:t>
      </w:r>
      <w:r w:rsidR="00BE2D79">
        <w:rPr>
          <w:rFonts w:ascii="Arial" w:hAnsi="Arial" w:cs="Arial"/>
          <w:bCs/>
          <w:iCs/>
          <w:sz w:val="24"/>
          <w:szCs w:val="24"/>
          <w:lang w:val="en-US"/>
        </w:rPr>
        <w:t>ts functional equivalent) that wa</w:t>
      </w:r>
      <w:r w:rsidR="00BE2D79" w:rsidRPr="00BE2D79">
        <w:rPr>
          <w:rFonts w:ascii="Arial" w:hAnsi="Arial" w:cs="Arial"/>
          <w:bCs/>
          <w:iCs/>
          <w:sz w:val="24"/>
          <w:szCs w:val="24"/>
          <w:lang w:val="en-US"/>
        </w:rPr>
        <w:t>s then used</w:t>
      </w:r>
      <w:r w:rsidR="00BE2D79">
        <w:rPr>
          <w:rFonts w:ascii="Arial" w:hAnsi="Arial" w:cs="Arial"/>
          <w:bCs/>
          <w:iCs/>
          <w:sz w:val="24"/>
          <w:szCs w:val="24"/>
          <w:lang w:val="en-US"/>
        </w:rPr>
        <w:t xml:space="preserve"> as a component of </w:t>
      </w:r>
      <w:proofErr w:type="gramStart"/>
      <w:r w:rsidR="00BE2D79">
        <w:rPr>
          <w:rFonts w:ascii="Arial" w:hAnsi="Arial" w:cs="Arial"/>
          <w:bCs/>
          <w:iCs/>
          <w:sz w:val="24"/>
          <w:szCs w:val="24"/>
          <w:lang w:val="en-US"/>
        </w:rPr>
        <w:t>price,</w:t>
      </w:r>
      <w:proofErr w:type="gramEnd"/>
      <w:r w:rsidR="00BE2D79">
        <w:rPr>
          <w:rFonts w:ascii="Arial" w:hAnsi="Arial" w:cs="Arial"/>
          <w:bCs/>
          <w:iCs/>
          <w:sz w:val="24"/>
          <w:szCs w:val="24"/>
          <w:lang w:val="en-US"/>
        </w:rPr>
        <w:t xml:space="preserve"> resulted</w:t>
      </w:r>
      <w:r w:rsidR="00BE2D79" w:rsidRPr="00BE2D79">
        <w:rPr>
          <w:rFonts w:ascii="Arial" w:hAnsi="Arial" w:cs="Arial"/>
          <w:bCs/>
          <w:iCs/>
          <w:sz w:val="24"/>
          <w:szCs w:val="24"/>
          <w:lang w:val="en-US"/>
        </w:rPr>
        <w:t xml:space="preserve"> in antitrust injury</w:t>
      </w:r>
      <w:r w:rsidR="009D6B8E">
        <w:rPr>
          <w:rStyle w:val="FootnoteReference"/>
          <w:rFonts w:ascii="Arial" w:hAnsi="Arial" w:cs="Arial"/>
          <w:bCs/>
          <w:iCs/>
          <w:sz w:val="24"/>
          <w:szCs w:val="24"/>
          <w:lang w:val="en-US"/>
        </w:rPr>
        <w:footnoteReference w:id="100"/>
      </w:r>
      <w:r w:rsidR="00BE2D79" w:rsidRPr="00BE2D79">
        <w:rPr>
          <w:rFonts w:ascii="Arial" w:hAnsi="Arial" w:cs="Arial"/>
          <w:bCs/>
          <w:iCs/>
          <w:sz w:val="24"/>
          <w:szCs w:val="24"/>
          <w:lang w:val="en-US"/>
        </w:rPr>
        <w:t>.</w:t>
      </w:r>
      <w:r w:rsidR="00BE2D79">
        <w:rPr>
          <w:rFonts w:ascii="Arial" w:hAnsi="Arial" w:cs="Arial"/>
          <w:bCs/>
          <w:iCs/>
          <w:sz w:val="24"/>
          <w:szCs w:val="24"/>
          <w:lang w:val="en-US"/>
        </w:rPr>
        <w:t xml:space="preserve"> Finally, most antitrust collusions involved misrepresentations or deliberate falsehoods and it wou</w:t>
      </w:r>
      <w:r w:rsidR="009D6B8E">
        <w:rPr>
          <w:rFonts w:ascii="Arial" w:hAnsi="Arial" w:cs="Arial"/>
          <w:bCs/>
          <w:iCs/>
          <w:sz w:val="24"/>
          <w:szCs w:val="24"/>
          <w:lang w:val="en-US"/>
        </w:rPr>
        <w:t>ld be perverse to grant such parties immunity from liability merely on the basis of taking steps to conceal such activity, as well as engaging in it</w:t>
      </w:r>
      <w:r w:rsidR="009D6B8E">
        <w:rPr>
          <w:rStyle w:val="FootnoteReference"/>
          <w:rFonts w:ascii="Arial" w:hAnsi="Arial" w:cs="Arial"/>
          <w:bCs/>
          <w:iCs/>
          <w:sz w:val="24"/>
          <w:szCs w:val="24"/>
          <w:lang w:val="en-US"/>
        </w:rPr>
        <w:footnoteReference w:id="101"/>
      </w:r>
      <w:r w:rsidR="009D6B8E">
        <w:rPr>
          <w:rFonts w:ascii="Arial" w:hAnsi="Arial" w:cs="Arial"/>
          <w:bCs/>
          <w:iCs/>
          <w:sz w:val="24"/>
          <w:szCs w:val="24"/>
          <w:lang w:val="en-US"/>
        </w:rPr>
        <w:t>.</w:t>
      </w:r>
    </w:p>
    <w:p w14:paraId="3F1721B6" w14:textId="33D3274C" w:rsidR="00E41CC3" w:rsidRDefault="001D27C4" w:rsidP="00E41CC3">
      <w:pPr>
        <w:jc w:val="both"/>
        <w:rPr>
          <w:rFonts w:ascii="Arial" w:hAnsi="Arial" w:cs="Arial"/>
          <w:bCs/>
          <w:iCs/>
          <w:sz w:val="24"/>
          <w:szCs w:val="24"/>
          <w:lang w:val="en-US"/>
        </w:rPr>
      </w:pPr>
      <w:r>
        <w:rPr>
          <w:rFonts w:ascii="Arial" w:hAnsi="Arial" w:cs="Arial"/>
          <w:bCs/>
          <w:iCs/>
          <w:sz w:val="24"/>
          <w:szCs w:val="24"/>
          <w:lang w:val="en-US"/>
        </w:rPr>
        <w:t xml:space="preserve">The rejection of the antitrust claims was appealed to the Second Circuit of the Federal Courts of Appeal but was </w:t>
      </w:r>
      <w:proofErr w:type="gramStart"/>
      <w:r>
        <w:rPr>
          <w:rFonts w:ascii="Arial" w:hAnsi="Arial" w:cs="Arial"/>
          <w:bCs/>
          <w:iCs/>
          <w:sz w:val="24"/>
          <w:szCs w:val="24"/>
          <w:lang w:val="en-US"/>
        </w:rPr>
        <w:t>i</w:t>
      </w:r>
      <w:r w:rsidR="00DB1E97">
        <w:rPr>
          <w:rFonts w:ascii="Arial" w:hAnsi="Arial" w:cs="Arial"/>
          <w:bCs/>
          <w:iCs/>
          <w:sz w:val="24"/>
          <w:szCs w:val="24"/>
          <w:lang w:val="en-US"/>
        </w:rPr>
        <w:t>tself</w:t>
      </w:r>
      <w:proofErr w:type="gramEnd"/>
      <w:r w:rsidR="00DB1E97">
        <w:rPr>
          <w:rFonts w:ascii="Arial" w:hAnsi="Arial" w:cs="Arial"/>
          <w:bCs/>
          <w:iCs/>
          <w:sz w:val="24"/>
          <w:szCs w:val="24"/>
          <w:lang w:val="en-US"/>
        </w:rPr>
        <w:t xml:space="preserve"> rejected before arguments were heard</w:t>
      </w:r>
      <w:r>
        <w:rPr>
          <w:rFonts w:ascii="Arial" w:hAnsi="Arial" w:cs="Arial"/>
          <w:bCs/>
          <w:iCs/>
          <w:sz w:val="24"/>
          <w:szCs w:val="24"/>
          <w:lang w:val="en-US"/>
        </w:rPr>
        <w:t xml:space="preserve"> on the grounds that the case was ongoing and a final order had not yet been made</w:t>
      </w:r>
      <w:r>
        <w:rPr>
          <w:rStyle w:val="FootnoteReference"/>
          <w:rFonts w:ascii="Arial" w:hAnsi="Arial" w:cs="Arial"/>
          <w:bCs/>
          <w:iCs/>
          <w:sz w:val="24"/>
          <w:szCs w:val="24"/>
          <w:lang w:val="en-US"/>
        </w:rPr>
        <w:footnoteReference w:id="102"/>
      </w:r>
      <w:r>
        <w:rPr>
          <w:rFonts w:ascii="Arial" w:hAnsi="Arial" w:cs="Arial"/>
          <w:bCs/>
          <w:iCs/>
          <w:sz w:val="24"/>
          <w:szCs w:val="24"/>
          <w:lang w:val="en-US"/>
        </w:rPr>
        <w:t xml:space="preserve">. The Supreme Court ordered the Second Circuit to hear the cases as the rejection of the </w:t>
      </w:r>
      <w:r>
        <w:rPr>
          <w:rFonts w:ascii="Arial" w:hAnsi="Arial" w:cs="Arial"/>
          <w:bCs/>
          <w:iCs/>
          <w:sz w:val="24"/>
          <w:szCs w:val="24"/>
          <w:lang w:val="en-US"/>
        </w:rPr>
        <w:lastRenderedPageBreak/>
        <w:t xml:space="preserve">claims </w:t>
      </w:r>
      <w:r w:rsidR="00DB1E97">
        <w:rPr>
          <w:rFonts w:ascii="Arial" w:hAnsi="Arial" w:cs="Arial"/>
          <w:bCs/>
          <w:iCs/>
          <w:sz w:val="24"/>
          <w:szCs w:val="24"/>
          <w:lang w:val="en-US"/>
        </w:rPr>
        <w:t xml:space="preserve">in their entirety </w:t>
      </w:r>
      <w:r>
        <w:rPr>
          <w:rFonts w:ascii="Arial" w:hAnsi="Arial" w:cs="Arial"/>
          <w:bCs/>
          <w:iCs/>
          <w:sz w:val="24"/>
          <w:szCs w:val="24"/>
          <w:lang w:val="en-US"/>
        </w:rPr>
        <w:t>left the claimants with no recourse of action</w:t>
      </w:r>
      <w:r>
        <w:rPr>
          <w:rStyle w:val="FootnoteReference"/>
          <w:rFonts w:ascii="Arial" w:hAnsi="Arial" w:cs="Arial"/>
          <w:bCs/>
          <w:iCs/>
          <w:sz w:val="24"/>
          <w:szCs w:val="24"/>
          <w:lang w:val="en-US"/>
        </w:rPr>
        <w:footnoteReference w:id="103"/>
      </w:r>
      <w:r>
        <w:rPr>
          <w:rFonts w:ascii="Arial" w:hAnsi="Arial" w:cs="Arial"/>
          <w:bCs/>
          <w:iCs/>
          <w:sz w:val="24"/>
          <w:szCs w:val="24"/>
          <w:lang w:val="en-US"/>
        </w:rPr>
        <w:t xml:space="preserve">. </w:t>
      </w:r>
      <w:r w:rsidR="00E2176E">
        <w:rPr>
          <w:rFonts w:ascii="Arial" w:hAnsi="Arial" w:cs="Arial"/>
          <w:bCs/>
          <w:iCs/>
          <w:sz w:val="24"/>
          <w:szCs w:val="24"/>
          <w:lang w:val="en-US"/>
        </w:rPr>
        <w:t>In May 2016 the Second Circuit overturned Buchwald J’s judgment</w:t>
      </w:r>
      <w:r w:rsidR="00554475">
        <w:rPr>
          <w:rStyle w:val="FootnoteReference"/>
          <w:rFonts w:ascii="Arial" w:hAnsi="Arial" w:cs="Arial"/>
          <w:bCs/>
          <w:iCs/>
          <w:sz w:val="24"/>
          <w:szCs w:val="24"/>
          <w:lang w:val="en-US"/>
        </w:rPr>
        <w:footnoteReference w:id="104"/>
      </w:r>
      <w:r w:rsidR="00E2176E">
        <w:rPr>
          <w:rFonts w:ascii="Arial" w:hAnsi="Arial" w:cs="Arial"/>
          <w:bCs/>
          <w:iCs/>
          <w:sz w:val="24"/>
          <w:szCs w:val="24"/>
          <w:lang w:val="en-US"/>
        </w:rPr>
        <w:t xml:space="preserve">. </w:t>
      </w:r>
      <w:r w:rsidR="0083729F">
        <w:rPr>
          <w:rFonts w:ascii="Arial" w:hAnsi="Arial" w:cs="Arial"/>
          <w:bCs/>
          <w:iCs/>
          <w:sz w:val="24"/>
          <w:szCs w:val="24"/>
          <w:lang w:val="en-US"/>
        </w:rPr>
        <w:t xml:space="preserve">They were critical of her approach, finding that she had blurred the necessary procedural distinction of first determining antitrust violation, before then considering antitrust </w:t>
      </w:r>
      <w:r w:rsidR="00255199">
        <w:rPr>
          <w:rFonts w:ascii="Arial" w:hAnsi="Arial" w:cs="Arial"/>
          <w:bCs/>
          <w:iCs/>
          <w:sz w:val="24"/>
          <w:szCs w:val="24"/>
          <w:lang w:val="en-US"/>
        </w:rPr>
        <w:t>standing, which requires consideration of antitrust injury and an efficient enforcer inquiry</w:t>
      </w:r>
      <w:r w:rsidR="00554475">
        <w:rPr>
          <w:rStyle w:val="FootnoteReference"/>
          <w:rFonts w:ascii="Arial" w:hAnsi="Arial" w:cs="Arial"/>
          <w:bCs/>
          <w:iCs/>
          <w:sz w:val="24"/>
          <w:szCs w:val="24"/>
          <w:lang w:val="en-US"/>
        </w:rPr>
        <w:footnoteReference w:id="105"/>
      </w:r>
      <w:r w:rsidR="0083729F">
        <w:rPr>
          <w:rFonts w:ascii="Arial" w:hAnsi="Arial" w:cs="Arial"/>
          <w:bCs/>
          <w:iCs/>
          <w:sz w:val="24"/>
          <w:szCs w:val="24"/>
          <w:lang w:val="en-US"/>
        </w:rPr>
        <w:t xml:space="preserve">. </w:t>
      </w:r>
      <w:r w:rsidR="00E2176E">
        <w:rPr>
          <w:rFonts w:ascii="Arial" w:hAnsi="Arial" w:cs="Arial"/>
          <w:bCs/>
          <w:iCs/>
          <w:sz w:val="24"/>
          <w:szCs w:val="24"/>
          <w:lang w:val="en-US"/>
        </w:rPr>
        <w:t xml:space="preserve">The court found that horizontal price-fixing constituted a </w:t>
      </w:r>
      <w:r w:rsidR="00E2176E">
        <w:rPr>
          <w:rFonts w:ascii="Arial" w:hAnsi="Arial" w:cs="Arial"/>
          <w:bCs/>
          <w:i/>
          <w:iCs/>
          <w:sz w:val="24"/>
          <w:szCs w:val="24"/>
          <w:lang w:val="en-US"/>
        </w:rPr>
        <w:t>per se</w:t>
      </w:r>
      <w:r w:rsidR="00E2176E">
        <w:rPr>
          <w:rFonts w:ascii="Arial" w:hAnsi="Arial" w:cs="Arial"/>
          <w:bCs/>
          <w:iCs/>
          <w:sz w:val="24"/>
          <w:szCs w:val="24"/>
          <w:lang w:val="en-US"/>
        </w:rPr>
        <w:t xml:space="preserve"> antitrust violation </w:t>
      </w:r>
      <w:r w:rsidR="00255199">
        <w:rPr>
          <w:rFonts w:ascii="Arial" w:hAnsi="Arial" w:cs="Arial"/>
          <w:bCs/>
          <w:iCs/>
          <w:sz w:val="24"/>
          <w:szCs w:val="24"/>
          <w:lang w:val="en-US"/>
        </w:rPr>
        <w:t>with the claimants alleging that LIBOR was an inseparable part of the price, and the fixing of a component of price violated the antitrust laws</w:t>
      </w:r>
      <w:r w:rsidR="00255199">
        <w:rPr>
          <w:rStyle w:val="FootnoteReference"/>
          <w:rFonts w:ascii="Arial" w:hAnsi="Arial" w:cs="Arial"/>
          <w:bCs/>
          <w:iCs/>
          <w:sz w:val="24"/>
          <w:szCs w:val="24"/>
          <w:lang w:val="en-US"/>
        </w:rPr>
        <w:footnoteReference w:id="106"/>
      </w:r>
      <w:r w:rsidR="00255199">
        <w:rPr>
          <w:rFonts w:ascii="Arial" w:hAnsi="Arial" w:cs="Arial"/>
          <w:bCs/>
          <w:iCs/>
          <w:sz w:val="24"/>
          <w:szCs w:val="24"/>
          <w:lang w:val="en-US"/>
        </w:rPr>
        <w:t xml:space="preserve">. </w:t>
      </w:r>
      <w:r w:rsidR="001561DB">
        <w:rPr>
          <w:rFonts w:ascii="Arial" w:hAnsi="Arial" w:cs="Arial"/>
          <w:bCs/>
          <w:iCs/>
          <w:sz w:val="24"/>
          <w:szCs w:val="24"/>
          <w:lang w:val="en-US"/>
        </w:rPr>
        <w:t>Examining</w:t>
      </w:r>
      <w:r w:rsidR="00255199">
        <w:rPr>
          <w:rFonts w:ascii="Arial" w:hAnsi="Arial" w:cs="Arial"/>
          <w:bCs/>
          <w:iCs/>
          <w:sz w:val="24"/>
          <w:szCs w:val="24"/>
          <w:lang w:val="en-US"/>
        </w:rPr>
        <w:t xml:space="preserve"> antitrust injury</w:t>
      </w:r>
      <w:r w:rsidR="00C954C7">
        <w:rPr>
          <w:rFonts w:ascii="Arial" w:hAnsi="Arial" w:cs="Arial"/>
          <w:bCs/>
          <w:iCs/>
          <w:sz w:val="24"/>
          <w:szCs w:val="24"/>
          <w:lang w:val="en-US"/>
        </w:rPr>
        <w:t xml:space="preserve"> </w:t>
      </w:r>
      <w:r w:rsidR="001561DB">
        <w:rPr>
          <w:rFonts w:ascii="Arial" w:hAnsi="Arial" w:cs="Arial"/>
          <w:bCs/>
          <w:iCs/>
          <w:sz w:val="24"/>
          <w:szCs w:val="24"/>
          <w:lang w:val="en-US"/>
        </w:rPr>
        <w:t>the court held that</w:t>
      </w:r>
      <w:r w:rsidR="00E2176E">
        <w:rPr>
          <w:rFonts w:ascii="Arial" w:hAnsi="Arial" w:cs="Arial"/>
          <w:bCs/>
          <w:iCs/>
          <w:sz w:val="24"/>
          <w:szCs w:val="24"/>
          <w:lang w:val="en-US"/>
        </w:rPr>
        <w:t xml:space="preserve"> a claimant </w:t>
      </w:r>
      <w:r w:rsidR="001561DB">
        <w:rPr>
          <w:rFonts w:ascii="Arial" w:hAnsi="Arial" w:cs="Arial"/>
          <w:bCs/>
          <w:iCs/>
          <w:sz w:val="24"/>
          <w:szCs w:val="24"/>
          <w:lang w:val="en-US"/>
        </w:rPr>
        <w:t>did</w:t>
      </w:r>
      <w:r w:rsidR="00E2176E">
        <w:rPr>
          <w:rFonts w:ascii="Arial" w:hAnsi="Arial" w:cs="Arial"/>
          <w:bCs/>
          <w:iCs/>
          <w:sz w:val="24"/>
          <w:szCs w:val="24"/>
          <w:lang w:val="en-US"/>
        </w:rPr>
        <w:t xml:space="preserve"> not </w:t>
      </w:r>
      <w:r w:rsidR="001561DB">
        <w:rPr>
          <w:rFonts w:ascii="Arial" w:hAnsi="Arial" w:cs="Arial"/>
          <w:bCs/>
          <w:iCs/>
          <w:sz w:val="24"/>
          <w:szCs w:val="24"/>
          <w:lang w:val="en-US"/>
        </w:rPr>
        <w:t xml:space="preserve">need to </w:t>
      </w:r>
      <w:r w:rsidR="00E2176E">
        <w:rPr>
          <w:rFonts w:ascii="Arial" w:hAnsi="Arial" w:cs="Arial"/>
          <w:bCs/>
          <w:iCs/>
          <w:sz w:val="24"/>
          <w:szCs w:val="24"/>
          <w:lang w:val="en-US"/>
        </w:rPr>
        <w:t>plead harm to competition</w:t>
      </w:r>
      <w:r w:rsidR="00C954C7">
        <w:rPr>
          <w:rFonts w:ascii="Arial" w:hAnsi="Arial" w:cs="Arial"/>
          <w:bCs/>
          <w:iCs/>
          <w:sz w:val="24"/>
          <w:szCs w:val="24"/>
          <w:lang w:val="en-US"/>
        </w:rPr>
        <w:t xml:space="preserve">, or any further inquiry </w:t>
      </w:r>
      <w:r w:rsidR="001561DB">
        <w:rPr>
          <w:rFonts w:ascii="Arial" w:hAnsi="Arial" w:cs="Arial"/>
          <w:bCs/>
          <w:iCs/>
          <w:sz w:val="24"/>
          <w:szCs w:val="24"/>
          <w:lang w:val="en-US"/>
        </w:rPr>
        <w:t>made</w:t>
      </w:r>
      <w:r w:rsidR="00C954C7">
        <w:rPr>
          <w:rFonts w:ascii="Arial" w:hAnsi="Arial" w:cs="Arial"/>
          <w:bCs/>
          <w:iCs/>
          <w:sz w:val="24"/>
          <w:szCs w:val="24"/>
          <w:lang w:val="en-US"/>
        </w:rPr>
        <w:t xml:space="preserve">, as horizontal price fixing was </w:t>
      </w:r>
      <w:r w:rsidR="00C954C7">
        <w:rPr>
          <w:rFonts w:ascii="Arial" w:hAnsi="Arial" w:cs="Arial"/>
          <w:bCs/>
          <w:i/>
          <w:iCs/>
          <w:sz w:val="24"/>
          <w:szCs w:val="24"/>
          <w:lang w:val="en-US"/>
        </w:rPr>
        <w:t>per se</w:t>
      </w:r>
      <w:r w:rsidR="00C954C7">
        <w:rPr>
          <w:rFonts w:ascii="Arial" w:hAnsi="Arial" w:cs="Arial"/>
          <w:bCs/>
          <w:iCs/>
          <w:sz w:val="24"/>
          <w:szCs w:val="24"/>
          <w:lang w:val="en-US"/>
        </w:rPr>
        <w:t xml:space="preserve"> unlawful</w:t>
      </w:r>
      <w:r w:rsidR="00C954C7">
        <w:rPr>
          <w:rStyle w:val="FootnoteReference"/>
          <w:rFonts w:ascii="Arial" w:hAnsi="Arial" w:cs="Arial"/>
          <w:bCs/>
          <w:iCs/>
          <w:sz w:val="24"/>
          <w:szCs w:val="24"/>
          <w:lang w:val="en-US"/>
        </w:rPr>
        <w:footnoteReference w:id="107"/>
      </w:r>
      <w:r w:rsidR="00C954C7">
        <w:rPr>
          <w:rFonts w:ascii="Arial" w:hAnsi="Arial" w:cs="Arial"/>
          <w:bCs/>
          <w:iCs/>
          <w:sz w:val="24"/>
          <w:szCs w:val="24"/>
          <w:lang w:val="en-US"/>
        </w:rPr>
        <w:t>. This was</w:t>
      </w:r>
      <w:r w:rsidR="00E2176E">
        <w:rPr>
          <w:rFonts w:ascii="Arial" w:hAnsi="Arial" w:cs="Arial"/>
          <w:bCs/>
          <w:iCs/>
          <w:sz w:val="24"/>
          <w:szCs w:val="24"/>
          <w:lang w:val="en-US"/>
        </w:rPr>
        <w:t xml:space="preserve"> </w:t>
      </w:r>
      <w:r w:rsidR="00C954C7">
        <w:rPr>
          <w:rFonts w:ascii="Arial" w:hAnsi="Arial" w:cs="Arial"/>
          <w:bCs/>
          <w:iCs/>
          <w:sz w:val="24"/>
          <w:szCs w:val="24"/>
          <w:lang w:val="en-US"/>
        </w:rPr>
        <w:t>because</w:t>
      </w:r>
      <w:r w:rsidR="001561DB">
        <w:rPr>
          <w:rFonts w:ascii="Arial" w:hAnsi="Arial" w:cs="Arial"/>
          <w:bCs/>
          <w:iCs/>
          <w:sz w:val="24"/>
          <w:szCs w:val="24"/>
          <w:lang w:val="en-US"/>
        </w:rPr>
        <w:t xml:space="preserve"> of</w:t>
      </w:r>
      <w:r w:rsidR="00C954C7">
        <w:rPr>
          <w:rFonts w:ascii="Arial" w:hAnsi="Arial" w:cs="Arial"/>
          <w:bCs/>
          <w:iCs/>
          <w:sz w:val="24"/>
          <w:szCs w:val="24"/>
          <w:lang w:val="en-US"/>
        </w:rPr>
        <w:t xml:space="preserve">, as the Supreme Court emphasised in </w:t>
      </w:r>
      <w:proofErr w:type="spellStart"/>
      <w:r w:rsidR="00C954C7">
        <w:rPr>
          <w:rFonts w:ascii="Arial" w:hAnsi="Arial" w:cs="Arial"/>
          <w:bCs/>
          <w:iCs/>
          <w:sz w:val="24"/>
          <w:szCs w:val="24"/>
          <w:lang w:val="en-US"/>
        </w:rPr>
        <w:t>Socony</w:t>
      </w:r>
      <w:proofErr w:type="spellEnd"/>
      <w:r w:rsidR="00C954C7">
        <w:rPr>
          <w:rFonts w:ascii="Arial" w:hAnsi="Arial" w:cs="Arial"/>
          <w:bCs/>
          <w:iCs/>
          <w:sz w:val="24"/>
          <w:szCs w:val="24"/>
          <w:lang w:val="en-US"/>
        </w:rPr>
        <w:t xml:space="preserve">-Vacuum, </w:t>
      </w:r>
      <w:r w:rsidR="001561DB">
        <w:rPr>
          <w:rFonts w:ascii="Arial" w:hAnsi="Arial" w:cs="Arial"/>
          <w:bCs/>
          <w:iCs/>
          <w:sz w:val="24"/>
          <w:szCs w:val="24"/>
          <w:lang w:val="en-US"/>
        </w:rPr>
        <w:t>horizontal price fixing’s actual or potential threat to the economy</w:t>
      </w:r>
      <w:r w:rsidR="001561DB">
        <w:rPr>
          <w:rStyle w:val="FootnoteReference"/>
          <w:rFonts w:ascii="Arial" w:hAnsi="Arial" w:cs="Arial"/>
          <w:bCs/>
          <w:iCs/>
          <w:sz w:val="24"/>
          <w:szCs w:val="24"/>
          <w:lang w:val="en-US"/>
        </w:rPr>
        <w:footnoteReference w:id="108"/>
      </w:r>
      <w:r w:rsidR="001561DB">
        <w:rPr>
          <w:rFonts w:ascii="Arial" w:hAnsi="Arial" w:cs="Arial"/>
          <w:bCs/>
          <w:iCs/>
          <w:sz w:val="24"/>
          <w:szCs w:val="24"/>
          <w:lang w:val="en-US"/>
        </w:rPr>
        <w:t>, particularly one based on the free market’s interaction between supply and demand</w:t>
      </w:r>
      <w:r w:rsidR="001561DB">
        <w:rPr>
          <w:rStyle w:val="FootnoteReference"/>
          <w:rFonts w:ascii="Arial" w:hAnsi="Arial" w:cs="Arial"/>
          <w:bCs/>
          <w:iCs/>
          <w:sz w:val="24"/>
          <w:szCs w:val="24"/>
          <w:lang w:val="en-US"/>
        </w:rPr>
        <w:footnoteReference w:id="109"/>
      </w:r>
      <w:r w:rsidR="001561DB">
        <w:rPr>
          <w:rFonts w:ascii="Arial" w:hAnsi="Arial" w:cs="Arial"/>
          <w:bCs/>
          <w:iCs/>
          <w:sz w:val="24"/>
          <w:szCs w:val="24"/>
          <w:lang w:val="en-US"/>
        </w:rPr>
        <w:t>. Thus</w:t>
      </w:r>
      <w:r w:rsidR="00E2176E">
        <w:rPr>
          <w:rFonts w:ascii="Arial" w:hAnsi="Arial" w:cs="Arial"/>
          <w:bCs/>
          <w:iCs/>
          <w:sz w:val="24"/>
          <w:szCs w:val="24"/>
          <w:lang w:val="en-US"/>
        </w:rPr>
        <w:t xml:space="preserve"> a consumer who paid a higher price on account of that horizontal price-fixing suffered antitrust injury</w:t>
      </w:r>
      <w:r>
        <w:rPr>
          <w:rFonts w:ascii="Arial" w:hAnsi="Arial" w:cs="Arial"/>
          <w:bCs/>
          <w:iCs/>
          <w:sz w:val="24"/>
          <w:szCs w:val="24"/>
          <w:lang w:val="en-US"/>
        </w:rPr>
        <w:t>.</w:t>
      </w:r>
      <w:r w:rsidR="00E2176E">
        <w:rPr>
          <w:rFonts w:ascii="Arial" w:hAnsi="Arial" w:cs="Arial"/>
          <w:bCs/>
          <w:iCs/>
          <w:sz w:val="24"/>
          <w:szCs w:val="24"/>
          <w:lang w:val="en-US"/>
        </w:rPr>
        <w:t xml:space="preserve"> The case was remanded to the District Court to determine the efficient enforcer element of antitrust standing, w</w:t>
      </w:r>
      <w:r w:rsidR="001561DB">
        <w:rPr>
          <w:rFonts w:ascii="Arial" w:hAnsi="Arial" w:cs="Arial"/>
          <w:bCs/>
          <w:iCs/>
          <w:sz w:val="24"/>
          <w:szCs w:val="24"/>
          <w:lang w:val="en-US"/>
        </w:rPr>
        <w:t>hich had not been considered by Buchwald J at first instance, with considerable guidance provided</w:t>
      </w:r>
      <w:r w:rsidR="00120F1D">
        <w:rPr>
          <w:rStyle w:val="FootnoteReference"/>
          <w:rFonts w:ascii="Arial" w:hAnsi="Arial" w:cs="Arial"/>
          <w:bCs/>
          <w:iCs/>
          <w:sz w:val="24"/>
          <w:szCs w:val="24"/>
          <w:lang w:val="en-US"/>
        </w:rPr>
        <w:footnoteReference w:id="110"/>
      </w:r>
      <w:r w:rsidR="001561DB">
        <w:rPr>
          <w:rFonts w:ascii="Arial" w:hAnsi="Arial" w:cs="Arial"/>
          <w:bCs/>
          <w:iCs/>
          <w:sz w:val="24"/>
          <w:szCs w:val="24"/>
          <w:lang w:val="en-US"/>
        </w:rPr>
        <w:t>.</w:t>
      </w:r>
    </w:p>
    <w:p w14:paraId="75751F0D" w14:textId="5663B9CE" w:rsidR="00E41CC3" w:rsidRPr="00E41CC3" w:rsidRDefault="00E41CC3" w:rsidP="00E41CC3">
      <w:pPr>
        <w:pStyle w:val="ListParagraph"/>
        <w:numPr>
          <w:ilvl w:val="0"/>
          <w:numId w:val="3"/>
        </w:numPr>
        <w:jc w:val="both"/>
        <w:rPr>
          <w:rFonts w:ascii="Arial" w:hAnsi="Arial" w:cs="Arial"/>
          <w:bCs/>
          <w:iCs/>
          <w:sz w:val="24"/>
          <w:szCs w:val="24"/>
          <w:lang w:val="en-US"/>
        </w:rPr>
      </w:pPr>
      <w:r w:rsidRPr="00E41CC3">
        <w:rPr>
          <w:rFonts w:ascii="Arial" w:hAnsi="Arial" w:cs="Arial"/>
          <w:bCs/>
          <w:iCs/>
          <w:sz w:val="24"/>
          <w:szCs w:val="24"/>
          <w:lang w:val="en-US"/>
        </w:rPr>
        <w:t>The EU</w:t>
      </w:r>
    </w:p>
    <w:p w14:paraId="2935310E" w14:textId="6192CE77" w:rsidR="00E41CC3" w:rsidRPr="00E41CC3" w:rsidRDefault="00E41CC3" w:rsidP="00E41CC3">
      <w:pPr>
        <w:pStyle w:val="ListParagraph"/>
        <w:numPr>
          <w:ilvl w:val="0"/>
          <w:numId w:val="5"/>
        </w:numPr>
        <w:jc w:val="both"/>
        <w:rPr>
          <w:rFonts w:ascii="Arial" w:hAnsi="Arial" w:cs="Arial"/>
          <w:bCs/>
          <w:iCs/>
          <w:sz w:val="24"/>
          <w:szCs w:val="24"/>
          <w:lang w:val="en-US"/>
        </w:rPr>
      </w:pPr>
      <w:r w:rsidRPr="00E41CC3">
        <w:rPr>
          <w:rFonts w:ascii="Arial" w:hAnsi="Arial" w:cs="Arial"/>
          <w:bCs/>
          <w:iCs/>
          <w:sz w:val="24"/>
          <w:szCs w:val="24"/>
          <w:lang w:val="en-US"/>
        </w:rPr>
        <w:t>Civil Public Enforcement</w:t>
      </w:r>
    </w:p>
    <w:p w14:paraId="6146EAFE" w14:textId="2F2DB669" w:rsidR="00E41CC3" w:rsidRDefault="00E41CC3" w:rsidP="00E41CC3">
      <w:pPr>
        <w:jc w:val="both"/>
        <w:rPr>
          <w:rFonts w:ascii="Arial" w:hAnsi="Arial" w:cs="Arial"/>
          <w:bCs/>
          <w:iCs/>
          <w:sz w:val="24"/>
          <w:szCs w:val="24"/>
          <w:lang w:val="en-US"/>
        </w:rPr>
      </w:pPr>
      <w:r>
        <w:rPr>
          <w:rFonts w:ascii="Arial" w:hAnsi="Arial" w:cs="Arial"/>
          <w:bCs/>
          <w:iCs/>
          <w:sz w:val="24"/>
          <w:szCs w:val="24"/>
          <w:lang w:val="en-US"/>
        </w:rPr>
        <w:t xml:space="preserve">The Commission </w:t>
      </w:r>
      <w:r w:rsidR="007919CA">
        <w:rPr>
          <w:rFonts w:ascii="Arial" w:hAnsi="Arial" w:cs="Arial"/>
          <w:bCs/>
          <w:iCs/>
          <w:sz w:val="24"/>
          <w:szCs w:val="24"/>
          <w:lang w:val="en-US"/>
        </w:rPr>
        <w:t>conducted</w:t>
      </w:r>
      <w:r>
        <w:rPr>
          <w:rFonts w:ascii="Arial" w:hAnsi="Arial" w:cs="Arial"/>
          <w:bCs/>
          <w:iCs/>
          <w:sz w:val="24"/>
          <w:szCs w:val="24"/>
          <w:lang w:val="en-US"/>
        </w:rPr>
        <w:t xml:space="preserve"> surprise investigations of banks </w:t>
      </w:r>
      <w:r w:rsidR="007919CA">
        <w:rPr>
          <w:rFonts w:ascii="Arial" w:hAnsi="Arial" w:cs="Arial"/>
          <w:bCs/>
          <w:iCs/>
          <w:sz w:val="24"/>
          <w:szCs w:val="24"/>
          <w:lang w:val="en-US"/>
        </w:rPr>
        <w:t>to commence the investigation into manipulation of the European equivalent to</w:t>
      </w:r>
      <w:r>
        <w:rPr>
          <w:rFonts w:ascii="Arial" w:hAnsi="Arial" w:cs="Arial"/>
          <w:bCs/>
          <w:iCs/>
          <w:sz w:val="24"/>
          <w:szCs w:val="24"/>
          <w:lang w:val="en-US"/>
        </w:rPr>
        <w:t xml:space="preserve"> LIBOR</w:t>
      </w:r>
      <w:r w:rsidR="007919CA">
        <w:rPr>
          <w:rFonts w:ascii="Arial" w:hAnsi="Arial" w:cs="Arial"/>
          <w:bCs/>
          <w:iCs/>
          <w:sz w:val="24"/>
          <w:szCs w:val="24"/>
          <w:lang w:val="en-US"/>
        </w:rPr>
        <w:t>, the EURIBOR</w:t>
      </w:r>
      <w:r>
        <w:rPr>
          <w:rFonts w:ascii="Arial" w:hAnsi="Arial" w:cs="Arial"/>
          <w:bCs/>
          <w:iCs/>
          <w:sz w:val="24"/>
          <w:szCs w:val="24"/>
          <w:lang w:val="en-US"/>
        </w:rPr>
        <w:t xml:space="preserve"> </w:t>
      </w:r>
      <w:r w:rsidR="007919CA">
        <w:rPr>
          <w:rFonts w:ascii="Arial" w:hAnsi="Arial" w:cs="Arial"/>
          <w:bCs/>
          <w:iCs/>
          <w:sz w:val="24"/>
          <w:szCs w:val="24"/>
          <w:lang w:val="en-US"/>
        </w:rPr>
        <w:t xml:space="preserve">(the Euro Interbank Offered Rate) </w:t>
      </w:r>
      <w:r w:rsidR="003E1948">
        <w:rPr>
          <w:rFonts w:ascii="Arial" w:hAnsi="Arial" w:cs="Arial"/>
          <w:bCs/>
          <w:iCs/>
          <w:sz w:val="24"/>
          <w:szCs w:val="24"/>
          <w:lang w:val="en-US"/>
        </w:rPr>
        <w:t xml:space="preserve">beginning </w:t>
      </w:r>
      <w:r w:rsidR="007919CA">
        <w:rPr>
          <w:rFonts w:ascii="Arial" w:hAnsi="Arial" w:cs="Arial"/>
          <w:bCs/>
          <w:iCs/>
          <w:sz w:val="24"/>
          <w:szCs w:val="24"/>
          <w:lang w:val="en-US"/>
        </w:rPr>
        <w:t>on 18 October 2011</w:t>
      </w:r>
      <w:r w:rsidR="007919CA">
        <w:rPr>
          <w:rStyle w:val="FootnoteReference"/>
          <w:rFonts w:ascii="Arial" w:hAnsi="Arial" w:cs="Arial"/>
          <w:bCs/>
          <w:iCs/>
          <w:sz w:val="24"/>
          <w:szCs w:val="24"/>
          <w:lang w:val="en-US"/>
        </w:rPr>
        <w:footnoteReference w:id="111"/>
      </w:r>
      <w:r w:rsidR="005348B8">
        <w:rPr>
          <w:rFonts w:ascii="Arial" w:hAnsi="Arial" w:cs="Arial"/>
          <w:bCs/>
          <w:iCs/>
          <w:sz w:val="24"/>
          <w:szCs w:val="24"/>
          <w:lang w:val="en-US"/>
        </w:rPr>
        <w:t>. This resulted in full investigations by the Commission into the manipulation of Swiss Franc LIBOR (and the market for Swiss Franc interest rate derivatives (C</w:t>
      </w:r>
      <w:r w:rsidR="00C47449">
        <w:rPr>
          <w:rFonts w:ascii="Arial" w:hAnsi="Arial" w:cs="Arial"/>
          <w:bCs/>
          <w:iCs/>
          <w:sz w:val="24"/>
          <w:szCs w:val="24"/>
          <w:lang w:val="en-US"/>
        </w:rPr>
        <w:t>H</w:t>
      </w:r>
      <w:r w:rsidR="005348B8">
        <w:rPr>
          <w:rFonts w:ascii="Arial" w:hAnsi="Arial" w:cs="Arial"/>
          <w:bCs/>
          <w:iCs/>
          <w:sz w:val="24"/>
          <w:szCs w:val="24"/>
          <w:lang w:val="en-US"/>
        </w:rPr>
        <w:t>IRD</w:t>
      </w:r>
      <w:r w:rsidR="005B0A4C">
        <w:rPr>
          <w:rFonts w:ascii="Arial" w:hAnsi="Arial" w:cs="Arial"/>
          <w:bCs/>
          <w:iCs/>
          <w:sz w:val="24"/>
          <w:szCs w:val="24"/>
          <w:lang w:val="en-US"/>
        </w:rPr>
        <w:t>s</w:t>
      </w:r>
      <w:r w:rsidR="005348B8">
        <w:rPr>
          <w:rFonts w:ascii="Arial" w:hAnsi="Arial" w:cs="Arial"/>
          <w:bCs/>
          <w:iCs/>
          <w:sz w:val="24"/>
          <w:szCs w:val="24"/>
          <w:lang w:val="en-US"/>
        </w:rPr>
        <w:t>)) and of Yen LIBOR (and the market for Yen interest rate derivatives (YIRD</w:t>
      </w:r>
      <w:r w:rsidR="005B0A4C">
        <w:rPr>
          <w:rFonts w:ascii="Arial" w:hAnsi="Arial" w:cs="Arial"/>
          <w:bCs/>
          <w:iCs/>
          <w:sz w:val="24"/>
          <w:szCs w:val="24"/>
          <w:lang w:val="en-US"/>
        </w:rPr>
        <w:t>s</w:t>
      </w:r>
      <w:r w:rsidR="005348B8">
        <w:rPr>
          <w:rFonts w:ascii="Arial" w:hAnsi="Arial" w:cs="Arial"/>
          <w:bCs/>
          <w:iCs/>
          <w:sz w:val="24"/>
          <w:szCs w:val="24"/>
          <w:lang w:val="en-US"/>
        </w:rPr>
        <w:t>)), along with the market for European interest rate derivatives (EIRD</w:t>
      </w:r>
      <w:r w:rsidR="005B0A4C">
        <w:rPr>
          <w:rFonts w:ascii="Arial" w:hAnsi="Arial" w:cs="Arial"/>
          <w:bCs/>
          <w:iCs/>
          <w:sz w:val="24"/>
          <w:szCs w:val="24"/>
          <w:lang w:val="en-US"/>
        </w:rPr>
        <w:t>s</w:t>
      </w:r>
      <w:r w:rsidR="005348B8">
        <w:rPr>
          <w:rFonts w:ascii="Arial" w:hAnsi="Arial" w:cs="Arial"/>
          <w:bCs/>
          <w:iCs/>
          <w:sz w:val="24"/>
          <w:szCs w:val="24"/>
          <w:lang w:val="en-US"/>
        </w:rPr>
        <w:t>).</w:t>
      </w:r>
      <w:r w:rsidR="007648D1">
        <w:rPr>
          <w:rFonts w:ascii="Arial" w:hAnsi="Arial" w:cs="Arial"/>
          <w:bCs/>
          <w:iCs/>
          <w:sz w:val="24"/>
          <w:szCs w:val="24"/>
          <w:lang w:val="en-US"/>
        </w:rPr>
        <w:t xml:space="preserve"> </w:t>
      </w:r>
      <w:r w:rsidR="00C47449">
        <w:rPr>
          <w:rFonts w:ascii="Arial" w:hAnsi="Arial" w:cs="Arial"/>
          <w:bCs/>
          <w:iCs/>
          <w:sz w:val="24"/>
          <w:szCs w:val="24"/>
          <w:lang w:val="en-US"/>
        </w:rPr>
        <w:t xml:space="preserve">Currently only </w:t>
      </w:r>
      <w:r w:rsidR="003E1948">
        <w:rPr>
          <w:rFonts w:ascii="Arial" w:hAnsi="Arial" w:cs="Arial"/>
          <w:bCs/>
          <w:iCs/>
          <w:sz w:val="24"/>
          <w:szCs w:val="24"/>
          <w:lang w:val="en-US"/>
        </w:rPr>
        <w:t>three</w:t>
      </w:r>
      <w:r w:rsidR="00C47449">
        <w:rPr>
          <w:rFonts w:ascii="Arial" w:hAnsi="Arial" w:cs="Arial"/>
          <w:bCs/>
          <w:iCs/>
          <w:sz w:val="24"/>
          <w:szCs w:val="24"/>
          <w:lang w:val="en-US"/>
        </w:rPr>
        <w:t xml:space="preserve"> Decision</w:t>
      </w:r>
      <w:r w:rsidR="003E1948">
        <w:rPr>
          <w:rFonts w:ascii="Arial" w:hAnsi="Arial" w:cs="Arial"/>
          <w:bCs/>
          <w:iCs/>
          <w:sz w:val="24"/>
          <w:szCs w:val="24"/>
          <w:lang w:val="en-US"/>
        </w:rPr>
        <w:t>s have</w:t>
      </w:r>
      <w:r w:rsidR="00C47449">
        <w:rPr>
          <w:rFonts w:ascii="Arial" w:hAnsi="Arial" w:cs="Arial"/>
          <w:bCs/>
          <w:iCs/>
          <w:sz w:val="24"/>
          <w:szCs w:val="24"/>
          <w:lang w:val="en-US"/>
        </w:rPr>
        <w:t xml:space="preserve"> been published</w:t>
      </w:r>
      <w:r w:rsidR="00C47449">
        <w:rPr>
          <w:rStyle w:val="FootnoteReference"/>
          <w:rFonts w:ascii="Arial" w:hAnsi="Arial" w:cs="Arial"/>
          <w:bCs/>
          <w:iCs/>
          <w:sz w:val="24"/>
          <w:szCs w:val="24"/>
          <w:lang w:val="en-US"/>
        </w:rPr>
        <w:footnoteReference w:id="112"/>
      </w:r>
      <w:r w:rsidR="000A3657">
        <w:rPr>
          <w:rFonts w:ascii="Arial" w:hAnsi="Arial" w:cs="Arial"/>
          <w:bCs/>
          <w:iCs/>
          <w:sz w:val="24"/>
          <w:szCs w:val="24"/>
          <w:lang w:val="en-US"/>
        </w:rPr>
        <w:t>. The first</w:t>
      </w:r>
      <w:r w:rsidR="00C47449">
        <w:rPr>
          <w:rFonts w:ascii="Arial" w:hAnsi="Arial" w:cs="Arial"/>
          <w:bCs/>
          <w:iCs/>
          <w:sz w:val="24"/>
          <w:szCs w:val="24"/>
          <w:lang w:val="en-US"/>
        </w:rPr>
        <w:t xml:space="preserve"> </w:t>
      </w:r>
      <w:r w:rsidR="000A3657">
        <w:rPr>
          <w:rFonts w:ascii="Arial" w:hAnsi="Arial" w:cs="Arial"/>
          <w:bCs/>
          <w:iCs/>
          <w:sz w:val="24"/>
          <w:szCs w:val="24"/>
          <w:lang w:val="en-US"/>
        </w:rPr>
        <w:t>involved anti-competitive activity on</w:t>
      </w:r>
      <w:r w:rsidR="00C47449">
        <w:rPr>
          <w:rFonts w:ascii="Arial" w:hAnsi="Arial" w:cs="Arial"/>
          <w:bCs/>
          <w:iCs/>
          <w:sz w:val="24"/>
          <w:szCs w:val="24"/>
          <w:lang w:val="en-US"/>
        </w:rPr>
        <w:t xml:space="preserve"> Swiss Franc LIBOR</w:t>
      </w:r>
      <w:r w:rsidR="000A3657">
        <w:rPr>
          <w:rFonts w:ascii="Arial" w:hAnsi="Arial" w:cs="Arial"/>
          <w:bCs/>
          <w:iCs/>
          <w:sz w:val="24"/>
          <w:szCs w:val="24"/>
          <w:lang w:val="en-US"/>
        </w:rPr>
        <w:t xml:space="preserve"> (CHF LIBOR)</w:t>
      </w:r>
      <w:r w:rsidR="00C47449">
        <w:rPr>
          <w:rFonts w:ascii="Arial" w:hAnsi="Arial" w:cs="Arial"/>
          <w:bCs/>
          <w:iCs/>
          <w:sz w:val="24"/>
          <w:szCs w:val="24"/>
          <w:lang w:val="en-US"/>
        </w:rPr>
        <w:t xml:space="preserve"> which then impacted on the CHIRD market, addressed to RBS and JPMorgan with the latter being fined €61.676 million and RBS granted leniency immunity under the Leniency Notice</w:t>
      </w:r>
      <w:r w:rsidR="00C47449">
        <w:rPr>
          <w:rStyle w:val="FootnoteReference"/>
          <w:rFonts w:ascii="Arial" w:hAnsi="Arial" w:cs="Arial"/>
          <w:bCs/>
          <w:iCs/>
          <w:sz w:val="24"/>
          <w:szCs w:val="24"/>
          <w:lang w:val="en-US"/>
        </w:rPr>
        <w:footnoteReference w:id="113"/>
      </w:r>
      <w:r w:rsidR="00C47449">
        <w:rPr>
          <w:rFonts w:ascii="Arial" w:hAnsi="Arial" w:cs="Arial"/>
          <w:bCs/>
          <w:iCs/>
          <w:sz w:val="24"/>
          <w:szCs w:val="24"/>
          <w:lang w:val="en-US"/>
        </w:rPr>
        <w:t xml:space="preserve"> for total cooperation with the Commission’s investigation.</w:t>
      </w:r>
      <w:r w:rsidR="00AF3890">
        <w:rPr>
          <w:rFonts w:ascii="Arial" w:hAnsi="Arial" w:cs="Arial"/>
          <w:bCs/>
          <w:iCs/>
          <w:sz w:val="24"/>
          <w:szCs w:val="24"/>
          <w:lang w:val="en-US"/>
        </w:rPr>
        <w:t xml:space="preserve"> </w:t>
      </w:r>
      <w:r w:rsidR="008C306B">
        <w:rPr>
          <w:rFonts w:ascii="Arial" w:hAnsi="Arial" w:cs="Arial"/>
          <w:bCs/>
          <w:iCs/>
          <w:sz w:val="24"/>
          <w:szCs w:val="24"/>
          <w:lang w:val="en-US"/>
        </w:rPr>
        <w:t>In the second</w:t>
      </w:r>
      <w:r w:rsidR="000A3657">
        <w:rPr>
          <w:rFonts w:ascii="Arial" w:hAnsi="Arial" w:cs="Arial"/>
          <w:bCs/>
          <w:iCs/>
          <w:sz w:val="24"/>
          <w:szCs w:val="24"/>
          <w:lang w:val="en-US"/>
        </w:rPr>
        <w:t xml:space="preserve"> </w:t>
      </w:r>
      <w:r w:rsidR="008C306B">
        <w:rPr>
          <w:rFonts w:ascii="Arial" w:hAnsi="Arial" w:cs="Arial"/>
          <w:bCs/>
          <w:iCs/>
          <w:sz w:val="24"/>
          <w:szCs w:val="24"/>
          <w:lang w:val="en-US"/>
        </w:rPr>
        <w:t xml:space="preserve">and third Decisions, </w:t>
      </w:r>
      <w:r w:rsidR="000A3657" w:rsidRPr="009E0B37">
        <w:rPr>
          <w:rFonts w:ascii="Arial" w:hAnsi="Arial" w:cs="Arial"/>
          <w:bCs/>
          <w:iCs/>
          <w:sz w:val="24"/>
          <w:szCs w:val="24"/>
          <w:lang w:val="en-US"/>
        </w:rPr>
        <w:t xml:space="preserve">Barclays, Deutsche Bank, RBS and </w:t>
      </w:r>
      <w:proofErr w:type="spellStart"/>
      <w:r w:rsidR="000A3657" w:rsidRPr="009E0B37">
        <w:rPr>
          <w:rFonts w:ascii="Arial" w:hAnsi="Arial" w:cs="Arial"/>
          <w:bCs/>
          <w:iCs/>
          <w:sz w:val="24"/>
          <w:szCs w:val="24"/>
          <w:lang w:val="en-US"/>
        </w:rPr>
        <w:t>Société</w:t>
      </w:r>
      <w:proofErr w:type="spellEnd"/>
      <w:r w:rsidR="000A3657" w:rsidRPr="009E0B37">
        <w:rPr>
          <w:rFonts w:ascii="Arial" w:hAnsi="Arial" w:cs="Arial"/>
          <w:bCs/>
          <w:iCs/>
          <w:sz w:val="24"/>
          <w:szCs w:val="24"/>
          <w:lang w:val="en-US"/>
        </w:rPr>
        <w:t xml:space="preserve"> </w:t>
      </w:r>
      <w:proofErr w:type="spellStart"/>
      <w:r w:rsidR="000A3657" w:rsidRPr="009E0B37">
        <w:rPr>
          <w:rFonts w:ascii="Arial" w:hAnsi="Arial" w:cs="Arial"/>
          <w:bCs/>
          <w:iCs/>
          <w:sz w:val="24"/>
          <w:szCs w:val="24"/>
          <w:lang w:val="en-US"/>
        </w:rPr>
        <w:t>Générale</w:t>
      </w:r>
      <w:proofErr w:type="spellEnd"/>
      <w:r w:rsidR="008C306B">
        <w:rPr>
          <w:rFonts w:ascii="Arial" w:hAnsi="Arial" w:cs="Arial"/>
          <w:bCs/>
          <w:iCs/>
          <w:sz w:val="24"/>
          <w:szCs w:val="24"/>
          <w:lang w:val="en-US"/>
        </w:rPr>
        <w:t xml:space="preserve"> (EIRD cartel) and </w:t>
      </w:r>
      <w:r w:rsidR="000A3657" w:rsidRPr="00442585">
        <w:rPr>
          <w:rFonts w:ascii="Arial" w:hAnsi="Arial" w:cs="Arial"/>
          <w:bCs/>
          <w:iCs/>
          <w:sz w:val="24"/>
          <w:szCs w:val="24"/>
          <w:lang w:val="en-US"/>
        </w:rPr>
        <w:t>UBS, RBS, Deutsche Bank, Citi</w:t>
      </w:r>
      <w:r w:rsidR="000A3657">
        <w:rPr>
          <w:rFonts w:ascii="Arial" w:hAnsi="Arial" w:cs="Arial"/>
          <w:bCs/>
          <w:iCs/>
          <w:sz w:val="24"/>
          <w:szCs w:val="24"/>
          <w:lang w:val="en-US"/>
        </w:rPr>
        <w:t xml:space="preserve">group, </w:t>
      </w:r>
      <w:r w:rsidR="000A3657">
        <w:rPr>
          <w:rFonts w:ascii="Arial" w:hAnsi="Arial" w:cs="Arial"/>
          <w:bCs/>
          <w:iCs/>
          <w:sz w:val="24"/>
          <w:szCs w:val="24"/>
          <w:lang w:val="en-US"/>
        </w:rPr>
        <w:lastRenderedPageBreak/>
        <w:t>JPMorgan and the broker RP Martin (YIRD cartel) were fined a</w:t>
      </w:r>
      <w:r w:rsidR="008C306B">
        <w:rPr>
          <w:rFonts w:ascii="Arial" w:hAnsi="Arial" w:cs="Arial"/>
          <w:bCs/>
          <w:iCs/>
          <w:sz w:val="24"/>
          <w:szCs w:val="24"/>
          <w:lang w:val="en-US"/>
        </w:rPr>
        <w:t xml:space="preserve"> combined</w:t>
      </w:r>
      <w:r w:rsidR="000A3657">
        <w:rPr>
          <w:rFonts w:ascii="Arial" w:hAnsi="Arial" w:cs="Arial"/>
          <w:bCs/>
          <w:iCs/>
          <w:sz w:val="24"/>
          <w:szCs w:val="24"/>
          <w:lang w:val="en-US"/>
        </w:rPr>
        <w:t xml:space="preserve"> total of €1.494 billion after agreeing a se</w:t>
      </w:r>
      <w:r w:rsidR="008C306B">
        <w:rPr>
          <w:rFonts w:ascii="Arial" w:hAnsi="Arial" w:cs="Arial"/>
          <w:bCs/>
          <w:iCs/>
          <w:sz w:val="24"/>
          <w:szCs w:val="24"/>
          <w:lang w:val="en-US"/>
        </w:rPr>
        <w:t>ttlement over the operation of two</w:t>
      </w:r>
      <w:r w:rsidR="000A3657">
        <w:rPr>
          <w:rFonts w:ascii="Arial" w:hAnsi="Arial" w:cs="Arial"/>
          <w:bCs/>
          <w:iCs/>
          <w:sz w:val="24"/>
          <w:szCs w:val="24"/>
          <w:lang w:val="en-US"/>
        </w:rPr>
        <w:t xml:space="preserve"> cartel</w:t>
      </w:r>
      <w:r w:rsidR="008C306B">
        <w:rPr>
          <w:rFonts w:ascii="Arial" w:hAnsi="Arial" w:cs="Arial"/>
          <w:bCs/>
          <w:iCs/>
          <w:sz w:val="24"/>
          <w:szCs w:val="24"/>
          <w:lang w:val="en-US"/>
        </w:rPr>
        <w:t>s</w:t>
      </w:r>
      <w:r w:rsidR="000A3657">
        <w:rPr>
          <w:rFonts w:ascii="Arial" w:hAnsi="Arial" w:cs="Arial"/>
          <w:bCs/>
          <w:iCs/>
          <w:sz w:val="24"/>
          <w:szCs w:val="24"/>
          <w:lang w:val="en-US"/>
        </w:rPr>
        <w:t xml:space="preserve"> to fix the EURIBOR, Yen LIBOR and </w:t>
      </w:r>
      <w:proofErr w:type="spellStart"/>
      <w:r w:rsidR="000A3657">
        <w:rPr>
          <w:rFonts w:ascii="Arial" w:hAnsi="Arial" w:cs="Arial"/>
          <w:bCs/>
          <w:iCs/>
          <w:sz w:val="24"/>
          <w:szCs w:val="24"/>
          <w:lang w:val="en-US"/>
        </w:rPr>
        <w:t>Euroyen</w:t>
      </w:r>
      <w:proofErr w:type="spellEnd"/>
      <w:r w:rsidR="000A3657">
        <w:rPr>
          <w:rFonts w:ascii="Arial" w:hAnsi="Arial" w:cs="Arial"/>
          <w:bCs/>
          <w:iCs/>
          <w:sz w:val="24"/>
          <w:szCs w:val="24"/>
          <w:lang w:val="en-US"/>
        </w:rPr>
        <w:t xml:space="preserve"> TIBOR (</w:t>
      </w:r>
      <w:r w:rsidR="000A3657" w:rsidRPr="009E0B37">
        <w:rPr>
          <w:rFonts w:ascii="Arial" w:hAnsi="Arial" w:cs="Arial"/>
          <w:bCs/>
          <w:iCs/>
          <w:sz w:val="24"/>
          <w:szCs w:val="24"/>
          <w:lang w:val="en-US"/>
        </w:rPr>
        <w:t>Tokyo interbank offered rate</w:t>
      </w:r>
      <w:r w:rsidR="000A3657">
        <w:rPr>
          <w:rFonts w:ascii="Arial" w:hAnsi="Arial" w:cs="Arial"/>
          <w:bCs/>
          <w:iCs/>
          <w:sz w:val="24"/>
          <w:szCs w:val="24"/>
          <w:lang w:val="en-US"/>
        </w:rPr>
        <w:t xml:space="preserve">) which then impacted on the market for interest rate derivatives where prices were also fixed. The Commission continued proceedings against </w:t>
      </w:r>
      <w:proofErr w:type="spellStart"/>
      <w:r w:rsidR="000A3657" w:rsidRPr="00442585">
        <w:rPr>
          <w:rFonts w:ascii="Arial" w:hAnsi="Arial" w:cs="Arial"/>
          <w:bCs/>
          <w:iCs/>
          <w:sz w:val="24"/>
          <w:szCs w:val="24"/>
          <w:lang w:val="en-US"/>
        </w:rPr>
        <w:t>Crédit</w:t>
      </w:r>
      <w:proofErr w:type="spellEnd"/>
      <w:r w:rsidR="000A3657" w:rsidRPr="00442585">
        <w:rPr>
          <w:rFonts w:ascii="Arial" w:hAnsi="Arial" w:cs="Arial"/>
          <w:bCs/>
          <w:iCs/>
          <w:sz w:val="24"/>
          <w:szCs w:val="24"/>
          <w:lang w:val="en-US"/>
        </w:rPr>
        <w:t xml:space="preserve"> </w:t>
      </w:r>
      <w:proofErr w:type="spellStart"/>
      <w:r w:rsidR="000A3657" w:rsidRPr="00442585">
        <w:rPr>
          <w:rFonts w:ascii="Arial" w:hAnsi="Arial" w:cs="Arial"/>
          <w:bCs/>
          <w:iCs/>
          <w:sz w:val="24"/>
          <w:szCs w:val="24"/>
          <w:lang w:val="en-US"/>
        </w:rPr>
        <w:t>Agricole</w:t>
      </w:r>
      <w:proofErr w:type="spellEnd"/>
      <w:r w:rsidR="000A3657" w:rsidRPr="00442585">
        <w:rPr>
          <w:rFonts w:ascii="Arial" w:hAnsi="Arial" w:cs="Arial"/>
          <w:bCs/>
          <w:iCs/>
          <w:sz w:val="24"/>
          <w:szCs w:val="24"/>
          <w:lang w:val="en-US"/>
        </w:rPr>
        <w:t>, HSBC and JPMorgan</w:t>
      </w:r>
      <w:r w:rsidR="000A3657">
        <w:rPr>
          <w:rFonts w:ascii="Arial" w:hAnsi="Arial" w:cs="Arial"/>
          <w:bCs/>
          <w:iCs/>
          <w:sz w:val="24"/>
          <w:szCs w:val="24"/>
          <w:lang w:val="en-US"/>
        </w:rPr>
        <w:t xml:space="preserve"> under the standard, non-settlement, cartel procedure</w:t>
      </w:r>
      <w:r w:rsidR="000A3657">
        <w:rPr>
          <w:rStyle w:val="FootnoteReference"/>
          <w:rFonts w:ascii="Arial" w:hAnsi="Arial" w:cs="Arial"/>
          <w:bCs/>
          <w:iCs/>
          <w:sz w:val="24"/>
          <w:szCs w:val="24"/>
          <w:lang w:val="en-US"/>
        </w:rPr>
        <w:footnoteReference w:id="114"/>
      </w:r>
      <w:r w:rsidR="008C306B">
        <w:rPr>
          <w:rFonts w:ascii="Arial" w:hAnsi="Arial" w:cs="Arial"/>
          <w:bCs/>
          <w:iCs/>
          <w:sz w:val="24"/>
          <w:szCs w:val="24"/>
          <w:lang w:val="en-US"/>
        </w:rPr>
        <w:t>, which is ongoing</w:t>
      </w:r>
      <w:r w:rsidR="000A3657">
        <w:rPr>
          <w:rFonts w:ascii="Arial" w:hAnsi="Arial" w:cs="Arial"/>
          <w:bCs/>
          <w:iCs/>
          <w:sz w:val="24"/>
          <w:szCs w:val="24"/>
          <w:lang w:val="en-US"/>
        </w:rPr>
        <w:t xml:space="preserve">. Third </w:t>
      </w:r>
      <w:r w:rsidR="00AF3890" w:rsidRPr="00AF3890">
        <w:rPr>
          <w:rFonts w:ascii="Arial" w:hAnsi="Arial" w:cs="Arial"/>
          <w:bCs/>
          <w:iCs/>
          <w:sz w:val="24"/>
          <w:szCs w:val="24"/>
          <w:lang w:val="en-US"/>
        </w:rPr>
        <w:t xml:space="preserve">RBS, UBS, JP Morgan and </w:t>
      </w:r>
      <w:proofErr w:type="spellStart"/>
      <w:r w:rsidR="00AF3890" w:rsidRPr="00AF3890">
        <w:rPr>
          <w:rFonts w:ascii="Arial" w:hAnsi="Arial" w:cs="Arial"/>
          <w:bCs/>
          <w:iCs/>
          <w:sz w:val="24"/>
          <w:szCs w:val="24"/>
          <w:lang w:val="en-US"/>
        </w:rPr>
        <w:t>Crédit</w:t>
      </w:r>
      <w:proofErr w:type="spellEnd"/>
      <w:r w:rsidR="00AF3890" w:rsidRPr="00AF3890">
        <w:rPr>
          <w:rFonts w:ascii="Arial" w:hAnsi="Arial" w:cs="Arial"/>
          <w:bCs/>
          <w:iCs/>
          <w:sz w:val="24"/>
          <w:szCs w:val="24"/>
          <w:lang w:val="en-US"/>
        </w:rPr>
        <w:t xml:space="preserve"> Suisse</w:t>
      </w:r>
      <w:r w:rsidR="00AF3890">
        <w:rPr>
          <w:rFonts w:ascii="Arial" w:hAnsi="Arial" w:cs="Arial"/>
          <w:bCs/>
          <w:iCs/>
          <w:sz w:val="24"/>
          <w:szCs w:val="24"/>
          <w:lang w:val="en-US"/>
        </w:rPr>
        <w:t xml:space="preserve"> were fined €32.3</w:t>
      </w:r>
      <w:r w:rsidR="005B0A4C">
        <w:rPr>
          <w:rFonts w:ascii="Arial" w:hAnsi="Arial" w:cs="Arial"/>
          <w:bCs/>
          <w:iCs/>
          <w:sz w:val="24"/>
          <w:szCs w:val="24"/>
          <w:lang w:val="en-US"/>
        </w:rPr>
        <w:t>55</w:t>
      </w:r>
      <w:r w:rsidR="00AF3890">
        <w:rPr>
          <w:rFonts w:ascii="Arial" w:hAnsi="Arial" w:cs="Arial"/>
          <w:bCs/>
          <w:iCs/>
          <w:sz w:val="24"/>
          <w:szCs w:val="24"/>
          <w:lang w:val="en-US"/>
        </w:rPr>
        <w:t xml:space="preserve"> million </w:t>
      </w:r>
      <w:r w:rsidR="005B0A4C">
        <w:rPr>
          <w:rFonts w:ascii="Arial" w:hAnsi="Arial" w:cs="Arial"/>
          <w:bCs/>
          <w:iCs/>
          <w:sz w:val="24"/>
          <w:szCs w:val="24"/>
          <w:lang w:val="en-US"/>
        </w:rPr>
        <w:t>for operating a cartel on bid-ask spreads of CHIRDs</w:t>
      </w:r>
      <w:r w:rsidR="005B0A4C">
        <w:rPr>
          <w:rStyle w:val="FootnoteReference"/>
          <w:rFonts w:ascii="Arial" w:hAnsi="Arial" w:cs="Arial"/>
          <w:bCs/>
          <w:iCs/>
          <w:sz w:val="24"/>
          <w:szCs w:val="24"/>
          <w:lang w:val="en-US"/>
        </w:rPr>
        <w:footnoteReference w:id="115"/>
      </w:r>
      <w:r w:rsidR="008C306B">
        <w:rPr>
          <w:rFonts w:ascii="Arial" w:hAnsi="Arial" w:cs="Arial"/>
          <w:bCs/>
          <w:iCs/>
          <w:sz w:val="24"/>
          <w:szCs w:val="24"/>
          <w:lang w:val="en-US"/>
        </w:rPr>
        <w:t xml:space="preserve"> but this di</w:t>
      </w:r>
      <w:r w:rsidR="000A3657">
        <w:rPr>
          <w:rFonts w:ascii="Arial" w:hAnsi="Arial" w:cs="Arial"/>
          <w:bCs/>
          <w:iCs/>
          <w:sz w:val="24"/>
          <w:szCs w:val="24"/>
          <w:lang w:val="en-US"/>
        </w:rPr>
        <w:t>d not involve any benchmark interest rate manipulation.</w:t>
      </w:r>
      <w:r w:rsidR="005B0A4C">
        <w:rPr>
          <w:rFonts w:ascii="Arial" w:hAnsi="Arial" w:cs="Arial"/>
          <w:bCs/>
          <w:iCs/>
          <w:sz w:val="24"/>
          <w:szCs w:val="24"/>
          <w:lang w:val="en-US"/>
        </w:rPr>
        <w:t xml:space="preserve"> </w:t>
      </w:r>
      <w:r w:rsidR="00442585">
        <w:rPr>
          <w:rFonts w:ascii="Arial" w:hAnsi="Arial" w:cs="Arial"/>
          <w:bCs/>
          <w:iCs/>
          <w:sz w:val="24"/>
          <w:szCs w:val="24"/>
          <w:lang w:val="en-US"/>
        </w:rPr>
        <w:t xml:space="preserve">Finally in connection with </w:t>
      </w:r>
      <w:r w:rsidR="008C306B">
        <w:rPr>
          <w:rFonts w:ascii="Arial" w:hAnsi="Arial" w:cs="Arial"/>
          <w:bCs/>
          <w:iCs/>
          <w:sz w:val="24"/>
          <w:szCs w:val="24"/>
          <w:lang w:val="en-US"/>
        </w:rPr>
        <w:t>the YIRD cartel, the broker Icap</w:t>
      </w:r>
      <w:r w:rsidR="00442585">
        <w:rPr>
          <w:rFonts w:ascii="Arial" w:hAnsi="Arial" w:cs="Arial"/>
          <w:bCs/>
          <w:iCs/>
          <w:sz w:val="24"/>
          <w:szCs w:val="24"/>
          <w:lang w:val="en-US"/>
        </w:rPr>
        <w:t xml:space="preserve"> was fined €14.9 million</w:t>
      </w:r>
      <w:r w:rsidR="00442585">
        <w:rPr>
          <w:rStyle w:val="FootnoteReference"/>
          <w:rFonts w:ascii="Arial" w:hAnsi="Arial" w:cs="Arial"/>
          <w:bCs/>
          <w:iCs/>
          <w:sz w:val="24"/>
          <w:szCs w:val="24"/>
          <w:lang w:val="en-US"/>
        </w:rPr>
        <w:footnoteReference w:id="116"/>
      </w:r>
      <w:r w:rsidR="000A3657">
        <w:rPr>
          <w:rFonts w:ascii="Arial" w:hAnsi="Arial" w:cs="Arial"/>
          <w:bCs/>
          <w:iCs/>
          <w:sz w:val="24"/>
          <w:szCs w:val="24"/>
          <w:lang w:val="en-US"/>
        </w:rPr>
        <w:t xml:space="preserve"> but a Decision has yet </w:t>
      </w:r>
      <w:r w:rsidR="008C306B">
        <w:rPr>
          <w:rFonts w:ascii="Arial" w:hAnsi="Arial" w:cs="Arial"/>
          <w:bCs/>
          <w:iCs/>
          <w:sz w:val="24"/>
          <w:szCs w:val="24"/>
          <w:lang w:val="en-US"/>
        </w:rPr>
        <w:t>to be published and Icap</w:t>
      </w:r>
      <w:r w:rsidR="000A3657">
        <w:rPr>
          <w:rFonts w:ascii="Arial" w:hAnsi="Arial" w:cs="Arial"/>
          <w:bCs/>
          <w:iCs/>
          <w:sz w:val="24"/>
          <w:szCs w:val="24"/>
          <w:lang w:val="en-US"/>
        </w:rPr>
        <w:t xml:space="preserve"> has </w:t>
      </w:r>
      <w:r w:rsidR="008C306B">
        <w:rPr>
          <w:rFonts w:ascii="Arial" w:hAnsi="Arial" w:cs="Arial"/>
          <w:bCs/>
          <w:iCs/>
          <w:sz w:val="24"/>
          <w:szCs w:val="24"/>
          <w:lang w:val="en-US"/>
        </w:rPr>
        <w:t>appealed</w:t>
      </w:r>
      <w:r w:rsidR="008C306B">
        <w:rPr>
          <w:rStyle w:val="FootnoteReference"/>
          <w:rFonts w:ascii="Arial" w:hAnsi="Arial" w:cs="Arial"/>
          <w:bCs/>
          <w:iCs/>
          <w:sz w:val="24"/>
          <w:szCs w:val="24"/>
          <w:lang w:val="en-US"/>
        </w:rPr>
        <w:footnoteReference w:id="117"/>
      </w:r>
      <w:r w:rsidR="008C306B">
        <w:rPr>
          <w:rFonts w:ascii="Arial" w:hAnsi="Arial" w:cs="Arial"/>
          <w:bCs/>
          <w:iCs/>
          <w:sz w:val="24"/>
          <w:szCs w:val="24"/>
          <w:lang w:val="en-US"/>
        </w:rPr>
        <w:t>.</w:t>
      </w:r>
    </w:p>
    <w:p w14:paraId="07BBA2AE" w14:textId="2DBE84E7" w:rsidR="008C306B" w:rsidRPr="003E2BC9" w:rsidRDefault="008C306B" w:rsidP="00BB45BB">
      <w:pPr>
        <w:jc w:val="both"/>
        <w:rPr>
          <w:rFonts w:ascii="Arial" w:hAnsi="Arial" w:cs="Arial"/>
          <w:bCs/>
          <w:iCs/>
          <w:sz w:val="24"/>
          <w:szCs w:val="24"/>
          <w:lang w:val="en-US"/>
        </w:rPr>
      </w:pPr>
      <w:r>
        <w:rPr>
          <w:rFonts w:ascii="Arial" w:hAnsi="Arial" w:cs="Arial"/>
          <w:bCs/>
          <w:iCs/>
          <w:sz w:val="24"/>
          <w:szCs w:val="24"/>
          <w:lang w:val="en-US"/>
        </w:rPr>
        <w:t>In the benchmark cartels, the Commission</w:t>
      </w:r>
      <w:r w:rsidR="004F4543">
        <w:rPr>
          <w:rFonts w:ascii="Arial" w:hAnsi="Arial" w:cs="Arial"/>
          <w:bCs/>
          <w:iCs/>
          <w:sz w:val="24"/>
          <w:szCs w:val="24"/>
          <w:lang w:val="en-US"/>
        </w:rPr>
        <w:t xml:space="preserve"> established that there were</w:t>
      </w:r>
      <w:r w:rsidR="00BB45BB">
        <w:rPr>
          <w:rFonts w:ascii="Arial" w:hAnsi="Arial" w:cs="Arial"/>
          <w:bCs/>
          <w:iCs/>
          <w:sz w:val="24"/>
          <w:szCs w:val="24"/>
          <w:lang w:val="en-US"/>
        </w:rPr>
        <w:t xml:space="preserve"> agreements or concerted practices between the parties from direct evidence, notably through online chat </w:t>
      </w:r>
      <w:proofErr w:type="gramStart"/>
      <w:r w:rsidR="00BB45BB">
        <w:rPr>
          <w:rFonts w:ascii="Arial" w:hAnsi="Arial" w:cs="Arial"/>
          <w:bCs/>
          <w:iCs/>
          <w:sz w:val="24"/>
          <w:szCs w:val="24"/>
          <w:lang w:val="en-US"/>
        </w:rPr>
        <w:t>rooms</w:t>
      </w:r>
      <w:proofErr w:type="gramEnd"/>
      <w:r w:rsidR="00BB45BB">
        <w:rPr>
          <w:rFonts w:ascii="Arial" w:hAnsi="Arial" w:cs="Arial"/>
          <w:bCs/>
          <w:iCs/>
          <w:sz w:val="24"/>
          <w:szCs w:val="24"/>
          <w:lang w:val="en-US"/>
        </w:rPr>
        <w:t xml:space="preserve"> messages, emails and phone contacts. The collusive arrangements </w:t>
      </w:r>
      <w:r w:rsidR="00BB45BB" w:rsidRPr="00BB45BB">
        <w:rPr>
          <w:rFonts w:ascii="Arial" w:hAnsi="Arial" w:cs="Arial"/>
          <w:bCs/>
          <w:iCs/>
          <w:sz w:val="24"/>
          <w:szCs w:val="24"/>
          <w:lang w:val="en-US"/>
        </w:rPr>
        <w:t>constituted an interrelated string of occurrences united by the common</w:t>
      </w:r>
      <w:r w:rsidR="00BB45BB">
        <w:rPr>
          <w:rFonts w:ascii="Arial" w:hAnsi="Arial" w:cs="Arial"/>
          <w:bCs/>
          <w:iCs/>
          <w:sz w:val="24"/>
          <w:szCs w:val="24"/>
          <w:lang w:val="en-US"/>
        </w:rPr>
        <w:t xml:space="preserve"> </w:t>
      </w:r>
      <w:r w:rsidR="00BB45BB" w:rsidRPr="00BB45BB">
        <w:rPr>
          <w:rFonts w:ascii="Arial" w:hAnsi="Arial" w:cs="Arial"/>
          <w:bCs/>
          <w:iCs/>
          <w:sz w:val="24"/>
          <w:szCs w:val="24"/>
          <w:lang w:val="en-US"/>
        </w:rPr>
        <w:t>objective of the restriction and/or distortion of competition</w:t>
      </w:r>
      <w:r w:rsidR="00BB45BB">
        <w:rPr>
          <w:rFonts w:ascii="Arial" w:hAnsi="Arial" w:cs="Arial"/>
          <w:bCs/>
          <w:iCs/>
          <w:sz w:val="24"/>
          <w:szCs w:val="24"/>
          <w:lang w:val="en-US"/>
        </w:rPr>
        <w:t xml:space="preserve"> that constituted a single and continuous infringement of Article 101 TFEU. That common objective meant that there was no need to demonstrate the anti</w:t>
      </w:r>
      <w:r w:rsidR="00BF221E">
        <w:rPr>
          <w:rFonts w:ascii="Arial" w:hAnsi="Arial" w:cs="Arial"/>
          <w:bCs/>
          <w:iCs/>
          <w:sz w:val="24"/>
          <w:szCs w:val="24"/>
          <w:lang w:val="en-US"/>
        </w:rPr>
        <w:t>competitive effect of the agreements</w:t>
      </w:r>
      <w:r w:rsidR="00BB45BB">
        <w:rPr>
          <w:rFonts w:ascii="Arial" w:hAnsi="Arial" w:cs="Arial"/>
          <w:bCs/>
          <w:iCs/>
          <w:sz w:val="24"/>
          <w:szCs w:val="24"/>
          <w:lang w:val="en-US"/>
        </w:rPr>
        <w:t>.</w:t>
      </w:r>
      <w:r w:rsidR="00BF221E">
        <w:rPr>
          <w:rFonts w:ascii="Arial" w:hAnsi="Arial" w:cs="Arial"/>
          <w:bCs/>
          <w:iCs/>
          <w:sz w:val="24"/>
          <w:szCs w:val="24"/>
          <w:lang w:val="en-US"/>
        </w:rPr>
        <w:t xml:space="preserve"> As the benchmark interest rates were utilised extensively on the international money markets by international banks, brokers and traders then the anticompetitive practices were capable of appreciably affecting trade between Member States.</w:t>
      </w:r>
    </w:p>
    <w:p w14:paraId="4034581F" w14:textId="7A105B28" w:rsidR="00E41CC3" w:rsidRPr="00BF221E" w:rsidRDefault="00BF221E" w:rsidP="00BF221E">
      <w:pPr>
        <w:pStyle w:val="ListParagraph"/>
        <w:numPr>
          <w:ilvl w:val="0"/>
          <w:numId w:val="5"/>
        </w:numPr>
        <w:jc w:val="both"/>
        <w:rPr>
          <w:rFonts w:ascii="Arial" w:hAnsi="Arial" w:cs="Arial"/>
          <w:bCs/>
          <w:iCs/>
          <w:sz w:val="24"/>
          <w:szCs w:val="24"/>
          <w:lang w:val="en-US"/>
        </w:rPr>
      </w:pPr>
      <w:r w:rsidRPr="00BF221E">
        <w:rPr>
          <w:rFonts w:ascii="Arial" w:hAnsi="Arial" w:cs="Arial"/>
          <w:bCs/>
          <w:iCs/>
          <w:sz w:val="24"/>
          <w:szCs w:val="24"/>
          <w:lang w:val="en-US"/>
        </w:rPr>
        <w:t>Criminal Public and Civil Private Enforcement</w:t>
      </w:r>
    </w:p>
    <w:p w14:paraId="63AEB6A0" w14:textId="62340C36" w:rsidR="00BF221E" w:rsidRPr="00BF221E" w:rsidRDefault="00BF221E" w:rsidP="00BF221E">
      <w:pPr>
        <w:jc w:val="both"/>
        <w:rPr>
          <w:rFonts w:ascii="Arial" w:hAnsi="Arial" w:cs="Arial"/>
          <w:bCs/>
          <w:iCs/>
          <w:sz w:val="24"/>
          <w:szCs w:val="24"/>
          <w:lang w:val="en-US"/>
        </w:rPr>
      </w:pPr>
      <w:r>
        <w:rPr>
          <w:rFonts w:ascii="Arial" w:hAnsi="Arial" w:cs="Arial"/>
          <w:bCs/>
          <w:iCs/>
          <w:sz w:val="24"/>
          <w:szCs w:val="24"/>
          <w:lang w:val="en-US"/>
        </w:rPr>
        <w:t xml:space="preserve">Neither of these two options </w:t>
      </w:r>
      <w:proofErr w:type="gramStart"/>
      <w:r>
        <w:rPr>
          <w:rFonts w:ascii="Arial" w:hAnsi="Arial" w:cs="Arial"/>
          <w:bCs/>
          <w:iCs/>
          <w:sz w:val="24"/>
          <w:szCs w:val="24"/>
          <w:lang w:val="en-US"/>
        </w:rPr>
        <w:t>were</w:t>
      </w:r>
      <w:proofErr w:type="gramEnd"/>
      <w:r>
        <w:rPr>
          <w:rFonts w:ascii="Arial" w:hAnsi="Arial" w:cs="Arial"/>
          <w:bCs/>
          <w:iCs/>
          <w:sz w:val="24"/>
          <w:szCs w:val="24"/>
          <w:lang w:val="en-US"/>
        </w:rPr>
        <w:t xml:space="preserve"> open to either the Commission or private parties at the EU level. It should be noted however that the Commission’s press releases invited and encouraged private parties to bring actions for private redress in their domestic civil courts.</w:t>
      </w:r>
    </w:p>
    <w:p w14:paraId="402308EF" w14:textId="2BB1BC20" w:rsidR="00E41CC3" w:rsidRPr="00E41CC3" w:rsidRDefault="00E41CC3" w:rsidP="00E41CC3">
      <w:pPr>
        <w:pStyle w:val="ListParagraph"/>
        <w:numPr>
          <w:ilvl w:val="0"/>
          <w:numId w:val="3"/>
        </w:numPr>
        <w:jc w:val="both"/>
        <w:rPr>
          <w:rFonts w:ascii="Arial" w:hAnsi="Arial" w:cs="Arial"/>
          <w:bCs/>
          <w:iCs/>
          <w:sz w:val="24"/>
          <w:szCs w:val="24"/>
          <w:lang w:val="en-US"/>
        </w:rPr>
      </w:pPr>
      <w:r w:rsidRPr="00E41CC3">
        <w:rPr>
          <w:rFonts w:ascii="Arial" w:hAnsi="Arial" w:cs="Arial"/>
          <w:bCs/>
          <w:iCs/>
          <w:sz w:val="24"/>
          <w:szCs w:val="24"/>
          <w:lang w:val="en-US"/>
        </w:rPr>
        <w:t>The UK</w:t>
      </w:r>
    </w:p>
    <w:p w14:paraId="1B1AA087" w14:textId="1B41A5A2" w:rsidR="00E41CC3" w:rsidRDefault="00E41CC3" w:rsidP="00E41CC3">
      <w:pPr>
        <w:pStyle w:val="ListParagraph"/>
        <w:numPr>
          <w:ilvl w:val="0"/>
          <w:numId w:val="6"/>
        </w:numPr>
        <w:jc w:val="both"/>
        <w:rPr>
          <w:rFonts w:ascii="Arial" w:hAnsi="Arial" w:cs="Arial"/>
          <w:bCs/>
          <w:iCs/>
          <w:sz w:val="24"/>
          <w:szCs w:val="24"/>
          <w:lang w:val="en-US"/>
        </w:rPr>
      </w:pPr>
      <w:r>
        <w:rPr>
          <w:rFonts w:ascii="Arial" w:hAnsi="Arial" w:cs="Arial"/>
          <w:bCs/>
          <w:iCs/>
          <w:sz w:val="24"/>
          <w:szCs w:val="24"/>
          <w:lang w:val="en-US"/>
        </w:rPr>
        <w:t>Civil Public Enforcement</w:t>
      </w:r>
    </w:p>
    <w:p w14:paraId="3F89FA16" w14:textId="5756953E" w:rsidR="00E41CC3" w:rsidRDefault="00E41CC3" w:rsidP="00E41CC3">
      <w:pPr>
        <w:jc w:val="both"/>
        <w:rPr>
          <w:rFonts w:ascii="Arial" w:hAnsi="Arial" w:cs="Arial"/>
          <w:bCs/>
          <w:iCs/>
          <w:sz w:val="24"/>
          <w:szCs w:val="24"/>
          <w:lang w:val="en-US"/>
        </w:rPr>
      </w:pPr>
      <w:r>
        <w:rPr>
          <w:rFonts w:ascii="Arial" w:hAnsi="Arial" w:cs="Arial"/>
          <w:bCs/>
          <w:iCs/>
          <w:sz w:val="24"/>
          <w:szCs w:val="24"/>
          <w:lang w:val="en-US"/>
        </w:rPr>
        <w:lastRenderedPageBreak/>
        <w:t xml:space="preserve">The Office of Fair Trading </w:t>
      </w:r>
      <w:r w:rsidR="0041666D">
        <w:rPr>
          <w:rFonts w:ascii="Arial" w:hAnsi="Arial" w:cs="Arial"/>
          <w:bCs/>
          <w:iCs/>
          <w:sz w:val="24"/>
          <w:szCs w:val="24"/>
          <w:lang w:val="en-US"/>
        </w:rPr>
        <w:t xml:space="preserve">(OFT) </w:t>
      </w:r>
      <w:r>
        <w:rPr>
          <w:rFonts w:ascii="Arial" w:hAnsi="Arial" w:cs="Arial"/>
          <w:bCs/>
          <w:iCs/>
          <w:sz w:val="24"/>
          <w:szCs w:val="24"/>
          <w:lang w:val="en-US"/>
        </w:rPr>
        <w:t>first became aware of concerns over LIBOR rigging and ant</w:t>
      </w:r>
      <w:r w:rsidR="0041666D">
        <w:rPr>
          <w:rFonts w:ascii="Arial" w:hAnsi="Arial" w:cs="Arial"/>
          <w:bCs/>
          <w:iCs/>
          <w:sz w:val="24"/>
          <w:szCs w:val="24"/>
          <w:lang w:val="en-US"/>
        </w:rPr>
        <w:t>i-competitive practices in November 2008</w:t>
      </w:r>
      <w:r w:rsidR="0041666D">
        <w:rPr>
          <w:rStyle w:val="FootnoteReference"/>
          <w:rFonts w:ascii="Arial" w:hAnsi="Arial" w:cs="Arial"/>
          <w:bCs/>
          <w:iCs/>
          <w:sz w:val="24"/>
          <w:szCs w:val="24"/>
          <w:lang w:val="en-US"/>
        </w:rPr>
        <w:footnoteReference w:id="118"/>
      </w:r>
      <w:r w:rsidR="0041666D">
        <w:rPr>
          <w:rFonts w:ascii="Arial" w:hAnsi="Arial" w:cs="Arial"/>
          <w:bCs/>
          <w:iCs/>
          <w:sz w:val="24"/>
          <w:szCs w:val="24"/>
          <w:lang w:val="en-US"/>
        </w:rPr>
        <w:t>. Indeed both the OFT and the Competition Commission expressed their opinion to the FSA of possible collusive activity by submitting banks that could be harmful to consumers and other banks</w:t>
      </w:r>
      <w:r w:rsidR="0041666D">
        <w:rPr>
          <w:rStyle w:val="FootnoteReference"/>
          <w:rFonts w:ascii="Arial" w:hAnsi="Arial" w:cs="Arial"/>
          <w:bCs/>
          <w:iCs/>
          <w:sz w:val="24"/>
          <w:szCs w:val="24"/>
          <w:lang w:val="en-US"/>
        </w:rPr>
        <w:footnoteReference w:id="119"/>
      </w:r>
      <w:r w:rsidR="0041666D">
        <w:rPr>
          <w:rFonts w:ascii="Arial" w:hAnsi="Arial" w:cs="Arial"/>
          <w:bCs/>
          <w:iCs/>
          <w:sz w:val="24"/>
          <w:szCs w:val="24"/>
          <w:lang w:val="en-US"/>
        </w:rPr>
        <w:t>. The OFT was urged not to launch an investigation into LIBOR manipulation by the head of the FSA as it was felt that the BBA was already improving the process of LIBOR setting and an investigation could pose potential risks to the stability of the financial markets</w:t>
      </w:r>
      <w:r w:rsidR="0041666D">
        <w:rPr>
          <w:rStyle w:val="FootnoteReference"/>
          <w:rFonts w:ascii="Arial" w:hAnsi="Arial" w:cs="Arial"/>
          <w:bCs/>
          <w:iCs/>
          <w:sz w:val="24"/>
          <w:szCs w:val="24"/>
          <w:lang w:val="en-US"/>
        </w:rPr>
        <w:footnoteReference w:id="120"/>
      </w:r>
      <w:r w:rsidR="0041666D">
        <w:rPr>
          <w:rFonts w:ascii="Arial" w:hAnsi="Arial" w:cs="Arial"/>
          <w:bCs/>
          <w:iCs/>
          <w:sz w:val="24"/>
          <w:szCs w:val="24"/>
          <w:lang w:val="en-US"/>
        </w:rPr>
        <w:t>.</w:t>
      </w:r>
      <w:r w:rsidR="00977E56">
        <w:rPr>
          <w:rFonts w:ascii="Arial" w:hAnsi="Arial" w:cs="Arial"/>
          <w:bCs/>
          <w:iCs/>
          <w:sz w:val="24"/>
          <w:szCs w:val="24"/>
          <w:lang w:val="en-US"/>
        </w:rPr>
        <w:t xml:space="preserve"> The result of this is that no UK public authorities investigated any manipulation of LIBO</w:t>
      </w:r>
      <w:r w:rsidR="00C40940">
        <w:rPr>
          <w:rFonts w:ascii="Arial" w:hAnsi="Arial" w:cs="Arial"/>
          <w:bCs/>
          <w:iCs/>
          <w:sz w:val="24"/>
          <w:szCs w:val="24"/>
          <w:lang w:val="en-US"/>
        </w:rPr>
        <w:t>R for anticompetitive practices and even though the FSA and it’s successor, the Financial Conduct Authority (FCA), have penalized banks, traders and brokers with significant financial penalties, none of these were found in competition law.</w:t>
      </w:r>
    </w:p>
    <w:p w14:paraId="48575782" w14:textId="71E15A1B" w:rsidR="00E41CC3" w:rsidRPr="00E41CC3" w:rsidRDefault="00E41CC3" w:rsidP="00E41CC3">
      <w:pPr>
        <w:pStyle w:val="ListParagraph"/>
        <w:numPr>
          <w:ilvl w:val="0"/>
          <w:numId w:val="6"/>
        </w:numPr>
        <w:jc w:val="both"/>
        <w:rPr>
          <w:rFonts w:ascii="Arial" w:hAnsi="Arial" w:cs="Arial"/>
          <w:bCs/>
          <w:iCs/>
          <w:sz w:val="24"/>
          <w:szCs w:val="24"/>
          <w:lang w:val="en-US"/>
        </w:rPr>
      </w:pPr>
      <w:r w:rsidRPr="00E41CC3">
        <w:rPr>
          <w:rFonts w:ascii="Arial" w:hAnsi="Arial" w:cs="Arial"/>
          <w:bCs/>
          <w:iCs/>
          <w:sz w:val="24"/>
          <w:szCs w:val="24"/>
          <w:lang w:val="en-US"/>
        </w:rPr>
        <w:t>Criminal Public Enforcement</w:t>
      </w:r>
    </w:p>
    <w:p w14:paraId="70E7889E" w14:textId="106BEBB0" w:rsidR="00E41CC3" w:rsidRDefault="00A225FB" w:rsidP="00E41CC3">
      <w:pPr>
        <w:jc w:val="both"/>
        <w:rPr>
          <w:rFonts w:ascii="Arial" w:hAnsi="Arial" w:cs="Arial"/>
          <w:bCs/>
          <w:iCs/>
          <w:sz w:val="24"/>
          <w:szCs w:val="24"/>
          <w:lang w:val="en-US"/>
        </w:rPr>
      </w:pPr>
      <w:r>
        <w:rPr>
          <w:rFonts w:ascii="Arial" w:hAnsi="Arial" w:cs="Arial"/>
          <w:bCs/>
          <w:iCs/>
          <w:sz w:val="24"/>
          <w:szCs w:val="24"/>
          <w:lang w:val="en-US"/>
        </w:rPr>
        <w:t>T</w:t>
      </w:r>
      <w:r w:rsidR="00E41CC3">
        <w:rPr>
          <w:rFonts w:ascii="Arial" w:hAnsi="Arial" w:cs="Arial"/>
          <w:bCs/>
          <w:iCs/>
          <w:sz w:val="24"/>
          <w:szCs w:val="24"/>
          <w:lang w:val="en-US"/>
        </w:rPr>
        <w:t xml:space="preserve">here have been </w:t>
      </w:r>
      <w:r w:rsidR="005132A4">
        <w:rPr>
          <w:rFonts w:ascii="Arial" w:hAnsi="Arial" w:cs="Arial"/>
          <w:bCs/>
          <w:iCs/>
          <w:sz w:val="24"/>
          <w:szCs w:val="24"/>
          <w:lang w:val="en-US"/>
        </w:rPr>
        <w:t xml:space="preserve">three </w:t>
      </w:r>
      <w:r w:rsidR="00E41CC3">
        <w:rPr>
          <w:rFonts w:ascii="Arial" w:hAnsi="Arial" w:cs="Arial"/>
          <w:bCs/>
          <w:iCs/>
          <w:sz w:val="24"/>
          <w:szCs w:val="24"/>
          <w:lang w:val="en-US"/>
        </w:rPr>
        <w:t>prosecutions of trader</w:t>
      </w:r>
      <w:r>
        <w:rPr>
          <w:rFonts w:ascii="Arial" w:hAnsi="Arial" w:cs="Arial"/>
          <w:bCs/>
          <w:iCs/>
          <w:sz w:val="24"/>
          <w:szCs w:val="24"/>
          <w:lang w:val="en-US"/>
        </w:rPr>
        <w:t>s involved in the LIBOR scandal. The first</w:t>
      </w:r>
      <w:r w:rsidR="00E41CC3">
        <w:rPr>
          <w:rFonts w:ascii="Arial" w:hAnsi="Arial" w:cs="Arial"/>
          <w:bCs/>
          <w:iCs/>
          <w:sz w:val="24"/>
          <w:szCs w:val="24"/>
          <w:lang w:val="en-US"/>
        </w:rPr>
        <w:t xml:space="preserve"> </w:t>
      </w:r>
      <w:r>
        <w:rPr>
          <w:rFonts w:ascii="Arial" w:hAnsi="Arial" w:cs="Arial"/>
          <w:bCs/>
          <w:iCs/>
          <w:sz w:val="24"/>
          <w:szCs w:val="24"/>
          <w:lang w:val="en-US"/>
        </w:rPr>
        <w:t xml:space="preserve">was </w:t>
      </w:r>
      <w:r w:rsidR="00E41CC3">
        <w:rPr>
          <w:rFonts w:ascii="Arial" w:hAnsi="Arial" w:cs="Arial"/>
          <w:bCs/>
          <w:iCs/>
          <w:sz w:val="24"/>
          <w:szCs w:val="24"/>
          <w:lang w:val="en-US"/>
        </w:rPr>
        <w:t xml:space="preserve">successful with the </w:t>
      </w:r>
      <w:r>
        <w:rPr>
          <w:rFonts w:ascii="Arial" w:hAnsi="Arial" w:cs="Arial"/>
          <w:bCs/>
          <w:iCs/>
          <w:sz w:val="24"/>
          <w:szCs w:val="24"/>
          <w:lang w:val="en-US"/>
        </w:rPr>
        <w:t xml:space="preserve">UBS and Citibank </w:t>
      </w:r>
      <w:r w:rsidR="00E41CC3">
        <w:rPr>
          <w:rFonts w:ascii="Arial" w:hAnsi="Arial" w:cs="Arial"/>
          <w:bCs/>
          <w:iCs/>
          <w:sz w:val="24"/>
          <w:szCs w:val="24"/>
          <w:lang w:val="en-US"/>
        </w:rPr>
        <w:t>trader sentenced to 14 years</w:t>
      </w:r>
      <w:r w:rsidR="00C40940">
        <w:rPr>
          <w:rFonts w:ascii="Arial" w:hAnsi="Arial" w:cs="Arial"/>
          <w:bCs/>
          <w:iCs/>
          <w:sz w:val="24"/>
          <w:szCs w:val="24"/>
          <w:lang w:val="en-US"/>
        </w:rPr>
        <w:t xml:space="preserve"> for fraud</w:t>
      </w:r>
      <w:r w:rsidR="0083759F">
        <w:rPr>
          <w:rStyle w:val="FootnoteReference"/>
          <w:rFonts w:ascii="Arial" w:hAnsi="Arial" w:cs="Arial"/>
          <w:bCs/>
          <w:iCs/>
          <w:sz w:val="24"/>
          <w:szCs w:val="24"/>
          <w:lang w:val="en-US"/>
        </w:rPr>
        <w:footnoteReference w:id="121"/>
      </w:r>
      <w:r w:rsidR="00E41CC3">
        <w:rPr>
          <w:rFonts w:ascii="Arial" w:hAnsi="Arial" w:cs="Arial"/>
          <w:bCs/>
          <w:iCs/>
          <w:sz w:val="24"/>
          <w:szCs w:val="24"/>
          <w:lang w:val="en-US"/>
        </w:rPr>
        <w:t>, reduce</w:t>
      </w:r>
      <w:r>
        <w:rPr>
          <w:rFonts w:ascii="Arial" w:hAnsi="Arial" w:cs="Arial"/>
          <w:bCs/>
          <w:iCs/>
          <w:sz w:val="24"/>
          <w:szCs w:val="24"/>
          <w:lang w:val="en-US"/>
        </w:rPr>
        <w:t>d to 11 o</w:t>
      </w:r>
      <w:r w:rsidR="00E41CC3">
        <w:rPr>
          <w:rFonts w:ascii="Arial" w:hAnsi="Arial" w:cs="Arial"/>
          <w:bCs/>
          <w:iCs/>
          <w:sz w:val="24"/>
          <w:szCs w:val="24"/>
          <w:lang w:val="en-US"/>
        </w:rPr>
        <w:t>n appeal</w:t>
      </w:r>
      <w:r w:rsidR="0083759F">
        <w:rPr>
          <w:rStyle w:val="FootnoteReference"/>
          <w:rFonts w:ascii="Arial" w:hAnsi="Arial" w:cs="Arial"/>
          <w:bCs/>
          <w:iCs/>
          <w:sz w:val="24"/>
          <w:szCs w:val="24"/>
          <w:lang w:val="en-US"/>
        </w:rPr>
        <w:footnoteReference w:id="122"/>
      </w:r>
      <w:r>
        <w:rPr>
          <w:rFonts w:ascii="Arial" w:hAnsi="Arial" w:cs="Arial"/>
          <w:bCs/>
          <w:iCs/>
          <w:sz w:val="24"/>
          <w:szCs w:val="24"/>
          <w:lang w:val="en-US"/>
        </w:rPr>
        <w:t>.</w:t>
      </w:r>
      <w:r w:rsidR="00E41CC3">
        <w:rPr>
          <w:rFonts w:ascii="Arial" w:hAnsi="Arial" w:cs="Arial"/>
          <w:bCs/>
          <w:iCs/>
          <w:sz w:val="24"/>
          <w:szCs w:val="24"/>
          <w:lang w:val="en-US"/>
        </w:rPr>
        <w:t xml:space="preserve"> </w:t>
      </w:r>
      <w:r>
        <w:rPr>
          <w:rFonts w:ascii="Arial" w:hAnsi="Arial" w:cs="Arial"/>
          <w:bCs/>
          <w:iCs/>
          <w:sz w:val="24"/>
          <w:szCs w:val="24"/>
          <w:lang w:val="en-US"/>
        </w:rPr>
        <w:t>In the second</w:t>
      </w:r>
      <w:r w:rsidR="00C40940">
        <w:rPr>
          <w:rFonts w:ascii="Arial" w:hAnsi="Arial" w:cs="Arial"/>
          <w:bCs/>
          <w:iCs/>
          <w:sz w:val="24"/>
          <w:szCs w:val="24"/>
          <w:lang w:val="en-US"/>
        </w:rPr>
        <w:t xml:space="preserve"> six traders </w:t>
      </w:r>
      <w:r>
        <w:rPr>
          <w:rFonts w:ascii="Arial" w:hAnsi="Arial" w:cs="Arial"/>
          <w:bCs/>
          <w:iCs/>
          <w:sz w:val="24"/>
          <w:szCs w:val="24"/>
          <w:lang w:val="en-US"/>
        </w:rPr>
        <w:t>were</w:t>
      </w:r>
      <w:r w:rsidR="00C40940">
        <w:rPr>
          <w:rFonts w:ascii="Arial" w:hAnsi="Arial" w:cs="Arial"/>
          <w:bCs/>
          <w:iCs/>
          <w:sz w:val="24"/>
          <w:szCs w:val="24"/>
          <w:lang w:val="en-US"/>
        </w:rPr>
        <w:t xml:space="preserve"> found not guilty of fraud</w:t>
      </w:r>
      <w:r>
        <w:rPr>
          <w:rFonts w:ascii="Arial" w:hAnsi="Arial" w:cs="Arial"/>
          <w:bCs/>
          <w:iCs/>
          <w:sz w:val="24"/>
          <w:szCs w:val="24"/>
          <w:lang w:val="en-US"/>
        </w:rPr>
        <w:t>.</w:t>
      </w:r>
      <w:r w:rsidR="00C40940">
        <w:rPr>
          <w:rFonts w:ascii="Arial" w:hAnsi="Arial" w:cs="Arial"/>
          <w:bCs/>
          <w:iCs/>
          <w:sz w:val="24"/>
          <w:szCs w:val="24"/>
          <w:lang w:val="en-US"/>
        </w:rPr>
        <w:t xml:space="preserve"> </w:t>
      </w:r>
      <w:r>
        <w:rPr>
          <w:rFonts w:ascii="Arial" w:hAnsi="Arial" w:cs="Arial"/>
          <w:bCs/>
          <w:iCs/>
          <w:sz w:val="24"/>
          <w:szCs w:val="24"/>
          <w:lang w:val="en-US"/>
        </w:rPr>
        <w:t xml:space="preserve">In the latest case four Barclays traders were given sentences </w:t>
      </w:r>
      <w:r w:rsidR="005132A4">
        <w:rPr>
          <w:rFonts w:ascii="Arial" w:hAnsi="Arial" w:cs="Arial"/>
          <w:bCs/>
          <w:iCs/>
          <w:sz w:val="24"/>
          <w:szCs w:val="24"/>
          <w:lang w:val="en-US"/>
        </w:rPr>
        <w:t>ranging from 2 years and nine months to 6 ½ years</w:t>
      </w:r>
      <w:r w:rsidR="000E1CDA">
        <w:rPr>
          <w:rFonts w:ascii="Arial" w:hAnsi="Arial" w:cs="Arial"/>
          <w:bCs/>
          <w:iCs/>
          <w:sz w:val="24"/>
          <w:szCs w:val="24"/>
          <w:lang w:val="en-US"/>
        </w:rPr>
        <w:t xml:space="preserve"> for</w:t>
      </w:r>
      <w:r>
        <w:rPr>
          <w:rFonts w:ascii="Arial" w:hAnsi="Arial" w:cs="Arial"/>
          <w:bCs/>
          <w:iCs/>
          <w:sz w:val="24"/>
          <w:szCs w:val="24"/>
          <w:lang w:val="en-US"/>
        </w:rPr>
        <w:t xml:space="preserve"> fraud</w:t>
      </w:r>
      <w:r>
        <w:rPr>
          <w:rStyle w:val="FootnoteReference"/>
          <w:rFonts w:ascii="Arial" w:hAnsi="Arial" w:cs="Arial"/>
          <w:bCs/>
          <w:iCs/>
          <w:sz w:val="24"/>
          <w:szCs w:val="24"/>
          <w:lang w:val="en-US"/>
        </w:rPr>
        <w:footnoteReference w:id="123"/>
      </w:r>
      <w:r w:rsidR="00674CEA">
        <w:rPr>
          <w:rFonts w:ascii="Arial" w:hAnsi="Arial" w:cs="Arial"/>
          <w:bCs/>
          <w:iCs/>
          <w:sz w:val="24"/>
          <w:szCs w:val="24"/>
          <w:lang w:val="en-US"/>
        </w:rPr>
        <w:t>, with a further two traders facing retrial</w:t>
      </w:r>
      <w:r>
        <w:rPr>
          <w:rFonts w:ascii="Arial" w:hAnsi="Arial" w:cs="Arial"/>
          <w:bCs/>
          <w:iCs/>
          <w:sz w:val="24"/>
          <w:szCs w:val="24"/>
          <w:lang w:val="en-US"/>
        </w:rPr>
        <w:t xml:space="preserve">. It should be noted that </w:t>
      </w:r>
      <w:r w:rsidR="00E41CC3">
        <w:rPr>
          <w:rFonts w:ascii="Arial" w:hAnsi="Arial" w:cs="Arial"/>
          <w:bCs/>
          <w:iCs/>
          <w:sz w:val="24"/>
          <w:szCs w:val="24"/>
          <w:lang w:val="en-US"/>
        </w:rPr>
        <w:t xml:space="preserve">no action </w:t>
      </w:r>
      <w:r>
        <w:rPr>
          <w:rFonts w:ascii="Arial" w:hAnsi="Arial" w:cs="Arial"/>
          <w:bCs/>
          <w:iCs/>
          <w:sz w:val="24"/>
          <w:szCs w:val="24"/>
          <w:lang w:val="en-US"/>
        </w:rPr>
        <w:t xml:space="preserve">was </w:t>
      </w:r>
      <w:r w:rsidR="00E41CC3">
        <w:rPr>
          <w:rFonts w:ascii="Arial" w:hAnsi="Arial" w:cs="Arial"/>
          <w:bCs/>
          <w:iCs/>
          <w:sz w:val="24"/>
          <w:szCs w:val="24"/>
          <w:lang w:val="en-US"/>
        </w:rPr>
        <w:t>brought under the Cartel Offence.</w:t>
      </w:r>
    </w:p>
    <w:p w14:paraId="20F95B40" w14:textId="2D44FC7B" w:rsidR="00E41CC3" w:rsidRPr="00E41CC3" w:rsidRDefault="00E41CC3" w:rsidP="00E41CC3">
      <w:pPr>
        <w:pStyle w:val="ListParagraph"/>
        <w:numPr>
          <w:ilvl w:val="0"/>
          <w:numId w:val="6"/>
        </w:numPr>
        <w:jc w:val="both"/>
        <w:rPr>
          <w:rFonts w:ascii="Arial" w:hAnsi="Arial" w:cs="Arial"/>
          <w:bCs/>
          <w:iCs/>
          <w:sz w:val="24"/>
          <w:szCs w:val="24"/>
          <w:lang w:val="en-US"/>
        </w:rPr>
      </w:pPr>
      <w:r w:rsidRPr="00E41CC3">
        <w:rPr>
          <w:rFonts w:ascii="Arial" w:hAnsi="Arial" w:cs="Arial"/>
          <w:bCs/>
          <w:iCs/>
          <w:sz w:val="24"/>
          <w:szCs w:val="24"/>
          <w:lang w:val="en-US"/>
        </w:rPr>
        <w:t>Civil Private Enforcement</w:t>
      </w:r>
    </w:p>
    <w:p w14:paraId="47E20245" w14:textId="751DB862" w:rsidR="00E41CC3" w:rsidRDefault="00E41CC3" w:rsidP="00E41CC3">
      <w:pPr>
        <w:jc w:val="both"/>
        <w:rPr>
          <w:rFonts w:ascii="Arial" w:hAnsi="Arial" w:cs="Arial"/>
          <w:bCs/>
          <w:iCs/>
          <w:sz w:val="24"/>
          <w:szCs w:val="24"/>
          <w:lang w:val="en-US"/>
        </w:rPr>
      </w:pPr>
      <w:r>
        <w:rPr>
          <w:rFonts w:ascii="Arial" w:hAnsi="Arial" w:cs="Arial"/>
          <w:bCs/>
          <w:iCs/>
          <w:sz w:val="24"/>
          <w:szCs w:val="24"/>
          <w:lang w:val="en-US"/>
        </w:rPr>
        <w:t>Just as in the USA, clients and customers of the banks involved, and third</w:t>
      </w:r>
      <w:r w:rsidR="008730DE">
        <w:rPr>
          <w:rFonts w:ascii="Arial" w:hAnsi="Arial" w:cs="Arial"/>
          <w:bCs/>
          <w:iCs/>
          <w:sz w:val="24"/>
          <w:szCs w:val="24"/>
          <w:lang w:val="en-US"/>
        </w:rPr>
        <w:t xml:space="preserve"> parties economically a</w:t>
      </w:r>
      <w:r>
        <w:rPr>
          <w:rFonts w:ascii="Arial" w:hAnsi="Arial" w:cs="Arial"/>
          <w:bCs/>
          <w:iCs/>
          <w:sz w:val="24"/>
          <w:szCs w:val="24"/>
          <w:lang w:val="en-US"/>
        </w:rPr>
        <w:t xml:space="preserve">ffected by the LIBOR manipulation, sought to recover damages in the </w:t>
      </w:r>
      <w:r w:rsidR="008730DE">
        <w:rPr>
          <w:rFonts w:ascii="Arial" w:hAnsi="Arial" w:cs="Arial"/>
          <w:bCs/>
          <w:iCs/>
          <w:sz w:val="24"/>
          <w:szCs w:val="24"/>
          <w:lang w:val="en-US"/>
        </w:rPr>
        <w:t xml:space="preserve">UK courts. </w:t>
      </w:r>
      <w:r w:rsidR="0083759F">
        <w:rPr>
          <w:rFonts w:ascii="Arial" w:hAnsi="Arial" w:cs="Arial"/>
          <w:bCs/>
          <w:iCs/>
          <w:sz w:val="24"/>
          <w:szCs w:val="24"/>
          <w:lang w:val="en-US"/>
        </w:rPr>
        <w:t xml:space="preserve">Before the cases began the claimants were already facing some difficulty as </w:t>
      </w:r>
      <w:r w:rsidR="00240D29">
        <w:rPr>
          <w:rFonts w:ascii="Arial" w:hAnsi="Arial" w:cs="Arial"/>
          <w:bCs/>
          <w:iCs/>
          <w:sz w:val="24"/>
          <w:szCs w:val="24"/>
          <w:lang w:val="en-US"/>
        </w:rPr>
        <w:t>any</w:t>
      </w:r>
      <w:r w:rsidR="0083759F">
        <w:rPr>
          <w:rFonts w:ascii="Arial" w:hAnsi="Arial" w:cs="Arial"/>
          <w:bCs/>
          <w:iCs/>
          <w:sz w:val="24"/>
          <w:szCs w:val="24"/>
          <w:lang w:val="en-US"/>
        </w:rPr>
        <w:t xml:space="preserve"> action</w:t>
      </w:r>
      <w:r w:rsidR="00240D29">
        <w:rPr>
          <w:rFonts w:ascii="Arial" w:hAnsi="Arial" w:cs="Arial"/>
          <w:bCs/>
          <w:iCs/>
          <w:sz w:val="24"/>
          <w:szCs w:val="24"/>
          <w:lang w:val="en-US"/>
        </w:rPr>
        <w:t>, unless based upon the Commission’s Decisions examined previously,</w:t>
      </w:r>
      <w:r w:rsidR="0083759F">
        <w:rPr>
          <w:rFonts w:ascii="Arial" w:hAnsi="Arial" w:cs="Arial"/>
          <w:bCs/>
          <w:iCs/>
          <w:sz w:val="24"/>
          <w:szCs w:val="24"/>
          <w:lang w:val="en-US"/>
        </w:rPr>
        <w:t xml:space="preserve"> would have to be standalone </w:t>
      </w:r>
      <w:r w:rsidR="00240D29">
        <w:rPr>
          <w:rFonts w:ascii="Arial" w:hAnsi="Arial" w:cs="Arial"/>
          <w:bCs/>
          <w:iCs/>
          <w:sz w:val="24"/>
          <w:szCs w:val="24"/>
          <w:lang w:val="en-US"/>
        </w:rPr>
        <w:t xml:space="preserve">as the OFT had not conducted a cartel investigation </w:t>
      </w:r>
      <w:r w:rsidR="0083759F">
        <w:rPr>
          <w:rFonts w:ascii="Arial" w:hAnsi="Arial" w:cs="Arial"/>
          <w:bCs/>
          <w:iCs/>
          <w:sz w:val="24"/>
          <w:szCs w:val="24"/>
          <w:lang w:val="en-US"/>
        </w:rPr>
        <w:t xml:space="preserve">and so they would need to prove all the elements </w:t>
      </w:r>
      <w:r w:rsidR="00240D29">
        <w:rPr>
          <w:rFonts w:ascii="Arial" w:hAnsi="Arial" w:cs="Arial"/>
          <w:bCs/>
          <w:iCs/>
          <w:sz w:val="24"/>
          <w:szCs w:val="24"/>
          <w:lang w:val="en-US"/>
        </w:rPr>
        <w:t>of Article 101 TFEU or a Chapter 1 Prohibition of the Competition Act 1998.</w:t>
      </w:r>
    </w:p>
    <w:p w14:paraId="10377A3F" w14:textId="409109E5" w:rsidR="00240D29" w:rsidRPr="006F201C" w:rsidRDefault="00240D29" w:rsidP="00E41CC3">
      <w:pPr>
        <w:jc w:val="both"/>
        <w:rPr>
          <w:rFonts w:ascii="Arial" w:hAnsi="Arial" w:cs="Arial"/>
          <w:bCs/>
          <w:iCs/>
          <w:sz w:val="24"/>
          <w:szCs w:val="24"/>
          <w:lang w:val="en-US"/>
        </w:rPr>
      </w:pPr>
      <w:r>
        <w:rPr>
          <w:rFonts w:ascii="Arial" w:hAnsi="Arial" w:cs="Arial"/>
          <w:bCs/>
          <w:iCs/>
          <w:sz w:val="24"/>
          <w:szCs w:val="24"/>
          <w:lang w:val="en-US"/>
        </w:rPr>
        <w:t xml:space="preserve">The only case so far to come before the courts is </w:t>
      </w:r>
      <w:r>
        <w:rPr>
          <w:rFonts w:ascii="Arial" w:hAnsi="Arial" w:cs="Arial"/>
          <w:bCs/>
          <w:i/>
          <w:iCs/>
          <w:sz w:val="24"/>
          <w:szCs w:val="24"/>
          <w:lang w:val="en-US"/>
        </w:rPr>
        <w:t xml:space="preserve">Deutsche Bank v </w:t>
      </w:r>
      <w:proofErr w:type="spellStart"/>
      <w:r>
        <w:rPr>
          <w:rFonts w:ascii="Arial" w:hAnsi="Arial" w:cs="Arial"/>
          <w:bCs/>
          <w:i/>
          <w:iCs/>
          <w:sz w:val="24"/>
          <w:szCs w:val="24"/>
          <w:lang w:val="en-US"/>
        </w:rPr>
        <w:t>Unitech</w:t>
      </w:r>
      <w:proofErr w:type="spellEnd"/>
      <w:r>
        <w:rPr>
          <w:rStyle w:val="FootnoteReference"/>
          <w:rFonts w:ascii="Arial" w:hAnsi="Arial" w:cs="Arial"/>
          <w:bCs/>
          <w:i/>
          <w:iCs/>
          <w:sz w:val="24"/>
          <w:szCs w:val="24"/>
          <w:lang w:val="en-US"/>
        </w:rPr>
        <w:footnoteReference w:id="124"/>
      </w:r>
      <w:r>
        <w:rPr>
          <w:rFonts w:ascii="Arial" w:hAnsi="Arial" w:cs="Arial"/>
          <w:bCs/>
          <w:iCs/>
          <w:sz w:val="24"/>
          <w:szCs w:val="24"/>
          <w:lang w:val="en-US"/>
        </w:rPr>
        <w:t xml:space="preserve">. Here </w:t>
      </w:r>
      <w:proofErr w:type="spellStart"/>
      <w:r>
        <w:rPr>
          <w:rFonts w:ascii="Arial" w:hAnsi="Arial" w:cs="Arial"/>
          <w:bCs/>
          <w:iCs/>
          <w:sz w:val="24"/>
          <w:szCs w:val="24"/>
          <w:lang w:val="en-US"/>
        </w:rPr>
        <w:t>Unitech</w:t>
      </w:r>
      <w:proofErr w:type="spellEnd"/>
      <w:r>
        <w:rPr>
          <w:rFonts w:ascii="Arial" w:hAnsi="Arial" w:cs="Arial"/>
          <w:bCs/>
          <w:iCs/>
          <w:sz w:val="24"/>
          <w:szCs w:val="24"/>
          <w:lang w:val="en-US"/>
        </w:rPr>
        <w:t xml:space="preserve"> argued that the anticompetitive manipulation of LIBOR meant that the </w:t>
      </w:r>
      <w:r w:rsidR="006F201C">
        <w:rPr>
          <w:rFonts w:ascii="Arial" w:hAnsi="Arial" w:cs="Arial"/>
          <w:bCs/>
          <w:iCs/>
          <w:sz w:val="24"/>
          <w:szCs w:val="24"/>
          <w:lang w:val="en-US"/>
        </w:rPr>
        <w:lastRenderedPageBreak/>
        <w:t>contracts for the bank loan of $150 million and interest rate</w:t>
      </w:r>
      <w:r>
        <w:rPr>
          <w:rFonts w:ascii="Arial" w:hAnsi="Arial" w:cs="Arial"/>
          <w:bCs/>
          <w:iCs/>
          <w:sz w:val="24"/>
          <w:szCs w:val="24"/>
          <w:lang w:val="en-US"/>
        </w:rPr>
        <w:t xml:space="preserve"> swap </w:t>
      </w:r>
      <w:r w:rsidR="006F201C">
        <w:rPr>
          <w:rFonts w:ascii="Arial" w:hAnsi="Arial" w:cs="Arial"/>
          <w:bCs/>
          <w:iCs/>
          <w:sz w:val="24"/>
          <w:szCs w:val="24"/>
          <w:lang w:val="en-US"/>
        </w:rPr>
        <w:t>of $11 million should be void</w:t>
      </w:r>
      <w:r w:rsidR="00C80F86">
        <w:rPr>
          <w:rFonts w:ascii="Arial" w:hAnsi="Arial" w:cs="Arial"/>
          <w:bCs/>
          <w:iCs/>
          <w:sz w:val="24"/>
          <w:szCs w:val="24"/>
          <w:lang w:val="en-US"/>
        </w:rPr>
        <w:t xml:space="preserve"> as they were calculated on the basis of LIBOR</w:t>
      </w:r>
      <w:r w:rsidR="006F201C">
        <w:rPr>
          <w:rFonts w:ascii="Arial" w:hAnsi="Arial" w:cs="Arial"/>
          <w:bCs/>
          <w:iCs/>
          <w:sz w:val="24"/>
          <w:szCs w:val="24"/>
          <w:lang w:val="en-US"/>
        </w:rPr>
        <w:t xml:space="preserve">. Before </w:t>
      </w:r>
      <w:proofErr w:type="spellStart"/>
      <w:r w:rsidR="006F201C">
        <w:rPr>
          <w:rFonts w:ascii="Arial" w:hAnsi="Arial" w:cs="Arial"/>
          <w:bCs/>
          <w:iCs/>
          <w:sz w:val="24"/>
          <w:szCs w:val="24"/>
          <w:lang w:val="en-US"/>
        </w:rPr>
        <w:t>Teare</w:t>
      </w:r>
      <w:proofErr w:type="spellEnd"/>
      <w:r w:rsidR="006F201C">
        <w:rPr>
          <w:rFonts w:ascii="Arial" w:hAnsi="Arial" w:cs="Arial"/>
          <w:bCs/>
          <w:iCs/>
          <w:sz w:val="24"/>
          <w:szCs w:val="24"/>
          <w:lang w:val="en-US"/>
        </w:rPr>
        <w:t xml:space="preserve"> J at first instance and in the Court of Appeal</w:t>
      </w:r>
      <w:r w:rsidR="00C80F86">
        <w:rPr>
          <w:rFonts w:ascii="Arial" w:hAnsi="Arial" w:cs="Arial"/>
          <w:bCs/>
          <w:iCs/>
          <w:sz w:val="24"/>
          <w:szCs w:val="24"/>
          <w:lang w:val="en-US"/>
        </w:rPr>
        <w:t>,</w:t>
      </w:r>
      <w:r w:rsidR="006F201C">
        <w:rPr>
          <w:rFonts w:ascii="Arial" w:hAnsi="Arial" w:cs="Arial"/>
          <w:bCs/>
          <w:iCs/>
          <w:sz w:val="24"/>
          <w:szCs w:val="24"/>
          <w:lang w:val="en-US"/>
        </w:rPr>
        <w:t xml:space="preserve"> </w:t>
      </w:r>
      <w:r w:rsidR="00C80F86">
        <w:rPr>
          <w:rFonts w:ascii="Arial" w:hAnsi="Arial" w:cs="Arial"/>
          <w:bCs/>
          <w:iCs/>
          <w:sz w:val="24"/>
          <w:szCs w:val="24"/>
          <w:lang w:val="en-US"/>
        </w:rPr>
        <w:t xml:space="preserve">with </w:t>
      </w:r>
      <w:proofErr w:type="spellStart"/>
      <w:r w:rsidR="00C80F86">
        <w:rPr>
          <w:rFonts w:ascii="Arial" w:hAnsi="Arial" w:cs="Arial"/>
          <w:bCs/>
          <w:iCs/>
          <w:sz w:val="24"/>
          <w:szCs w:val="24"/>
          <w:lang w:val="en-US"/>
        </w:rPr>
        <w:t>Longmore</w:t>
      </w:r>
      <w:proofErr w:type="spellEnd"/>
      <w:r w:rsidR="00C80F86">
        <w:rPr>
          <w:rFonts w:ascii="Arial" w:hAnsi="Arial" w:cs="Arial"/>
          <w:bCs/>
          <w:iCs/>
          <w:sz w:val="24"/>
          <w:szCs w:val="24"/>
          <w:lang w:val="en-US"/>
        </w:rPr>
        <w:t xml:space="preserve"> LJ </w:t>
      </w:r>
      <w:r w:rsidR="006F201C">
        <w:rPr>
          <w:rFonts w:ascii="Arial" w:hAnsi="Arial" w:cs="Arial"/>
          <w:bCs/>
          <w:iCs/>
          <w:sz w:val="24"/>
          <w:szCs w:val="24"/>
          <w:lang w:val="en-US"/>
        </w:rPr>
        <w:t>delivering the judgment of the court</w:t>
      </w:r>
      <w:r w:rsidR="00C80F86">
        <w:rPr>
          <w:rFonts w:ascii="Arial" w:hAnsi="Arial" w:cs="Arial"/>
          <w:bCs/>
          <w:iCs/>
          <w:sz w:val="24"/>
          <w:szCs w:val="24"/>
          <w:lang w:val="en-US"/>
        </w:rPr>
        <w:t>,</w:t>
      </w:r>
      <w:r w:rsidR="006F201C">
        <w:rPr>
          <w:rFonts w:ascii="Arial" w:hAnsi="Arial" w:cs="Arial"/>
          <w:bCs/>
          <w:iCs/>
          <w:sz w:val="24"/>
          <w:szCs w:val="24"/>
          <w:lang w:val="en-US"/>
        </w:rPr>
        <w:t xml:space="preserve"> it was held that the agreement was vertical between bank and customer. As such although the customer could obtain damages for anticompetitive infringement, following </w:t>
      </w:r>
      <w:r w:rsidR="006F201C">
        <w:rPr>
          <w:rFonts w:ascii="Arial" w:hAnsi="Arial" w:cs="Arial"/>
          <w:bCs/>
          <w:i/>
          <w:iCs/>
          <w:sz w:val="24"/>
          <w:szCs w:val="24"/>
          <w:lang w:val="en-US"/>
        </w:rPr>
        <w:t xml:space="preserve">Courage v </w:t>
      </w:r>
      <w:proofErr w:type="spellStart"/>
      <w:r w:rsidR="006F201C">
        <w:rPr>
          <w:rFonts w:ascii="Arial" w:hAnsi="Arial" w:cs="Arial"/>
          <w:bCs/>
          <w:i/>
          <w:iCs/>
          <w:sz w:val="24"/>
          <w:szCs w:val="24"/>
          <w:lang w:val="en-US"/>
        </w:rPr>
        <w:t>Crehan</w:t>
      </w:r>
      <w:proofErr w:type="spellEnd"/>
      <w:r w:rsidR="006F201C">
        <w:rPr>
          <w:rStyle w:val="FootnoteReference"/>
          <w:rFonts w:ascii="Arial" w:hAnsi="Arial" w:cs="Arial"/>
          <w:bCs/>
          <w:i/>
          <w:iCs/>
          <w:sz w:val="24"/>
          <w:szCs w:val="24"/>
          <w:lang w:val="en-US"/>
        </w:rPr>
        <w:footnoteReference w:id="125"/>
      </w:r>
      <w:r w:rsidR="006F201C">
        <w:rPr>
          <w:rFonts w:ascii="Arial" w:hAnsi="Arial" w:cs="Arial"/>
          <w:bCs/>
          <w:iCs/>
          <w:sz w:val="24"/>
          <w:szCs w:val="24"/>
          <w:lang w:val="en-US"/>
        </w:rPr>
        <w:t xml:space="preserve">, the contracts could </w:t>
      </w:r>
      <w:r w:rsidR="00C80F86">
        <w:rPr>
          <w:rFonts w:ascii="Arial" w:hAnsi="Arial" w:cs="Arial"/>
          <w:bCs/>
          <w:iCs/>
          <w:sz w:val="24"/>
          <w:szCs w:val="24"/>
          <w:lang w:val="en-US"/>
        </w:rPr>
        <w:t xml:space="preserve">not </w:t>
      </w:r>
      <w:r w:rsidR="006F201C">
        <w:rPr>
          <w:rFonts w:ascii="Arial" w:hAnsi="Arial" w:cs="Arial"/>
          <w:bCs/>
          <w:iCs/>
          <w:sz w:val="24"/>
          <w:szCs w:val="24"/>
          <w:lang w:val="en-US"/>
        </w:rPr>
        <w:t xml:space="preserve">be held void. Indeed misrepresentations as to Deutsche Bank’s submissions to LIBOR could not lead to an implied term </w:t>
      </w:r>
      <w:r w:rsidR="00C80F86">
        <w:rPr>
          <w:rFonts w:ascii="Arial" w:hAnsi="Arial" w:cs="Arial"/>
          <w:bCs/>
          <w:iCs/>
          <w:sz w:val="24"/>
          <w:szCs w:val="24"/>
          <w:lang w:val="en-US"/>
        </w:rPr>
        <w:t xml:space="preserve">excluding such LIBOR manipulation </w:t>
      </w:r>
      <w:r w:rsidR="006F201C">
        <w:rPr>
          <w:rFonts w:ascii="Arial" w:hAnsi="Arial" w:cs="Arial"/>
          <w:bCs/>
          <w:iCs/>
          <w:sz w:val="24"/>
          <w:szCs w:val="24"/>
          <w:lang w:val="en-US"/>
        </w:rPr>
        <w:t xml:space="preserve">being read into the contracts, although </w:t>
      </w:r>
      <w:proofErr w:type="spellStart"/>
      <w:r w:rsidR="006F201C">
        <w:rPr>
          <w:rFonts w:ascii="Arial" w:hAnsi="Arial" w:cs="Arial"/>
          <w:bCs/>
          <w:iCs/>
          <w:sz w:val="24"/>
          <w:szCs w:val="24"/>
          <w:lang w:val="en-US"/>
        </w:rPr>
        <w:t>Teare</w:t>
      </w:r>
      <w:proofErr w:type="spellEnd"/>
      <w:r w:rsidR="006F201C">
        <w:rPr>
          <w:rFonts w:ascii="Arial" w:hAnsi="Arial" w:cs="Arial"/>
          <w:bCs/>
          <w:iCs/>
          <w:sz w:val="24"/>
          <w:szCs w:val="24"/>
          <w:lang w:val="en-US"/>
        </w:rPr>
        <w:t xml:space="preserve"> J appeared to be sympathetic to this if dishonesty could be proved.</w:t>
      </w:r>
      <w:r w:rsidR="00B57854">
        <w:rPr>
          <w:rFonts w:ascii="Arial" w:hAnsi="Arial" w:cs="Arial"/>
          <w:bCs/>
          <w:iCs/>
          <w:sz w:val="24"/>
          <w:szCs w:val="24"/>
          <w:lang w:val="en-US"/>
        </w:rPr>
        <w:t xml:space="preserve"> If the contracts had been between banks then these would have been horizontal agreements and thus capable of being declared void.</w:t>
      </w:r>
    </w:p>
    <w:p w14:paraId="5926EF77" w14:textId="77777777" w:rsidR="00BE4700" w:rsidRDefault="00BE4700" w:rsidP="00C55C83">
      <w:pPr>
        <w:jc w:val="both"/>
        <w:rPr>
          <w:rFonts w:ascii="Arial" w:hAnsi="Arial" w:cs="Arial"/>
          <w:bCs/>
          <w:iCs/>
          <w:sz w:val="24"/>
          <w:szCs w:val="24"/>
          <w:lang w:val="en-US"/>
        </w:rPr>
      </w:pPr>
    </w:p>
    <w:p w14:paraId="539E8427" w14:textId="6810B14D" w:rsidR="00C55C83" w:rsidRDefault="003577DA" w:rsidP="00C55C83">
      <w:pPr>
        <w:jc w:val="both"/>
        <w:rPr>
          <w:rFonts w:ascii="Arial" w:hAnsi="Arial" w:cs="Arial"/>
          <w:bCs/>
          <w:iCs/>
          <w:sz w:val="24"/>
          <w:szCs w:val="24"/>
          <w:u w:val="single"/>
          <w:lang w:val="en-US"/>
        </w:rPr>
      </w:pPr>
      <w:r>
        <w:rPr>
          <w:rFonts w:ascii="Arial" w:hAnsi="Arial" w:cs="Arial"/>
          <w:bCs/>
          <w:iCs/>
          <w:sz w:val="24"/>
          <w:szCs w:val="24"/>
          <w:u w:val="single"/>
          <w:lang w:val="en-US"/>
        </w:rPr>
        <w:t>COMPETITION L</w:t>
      </w:r>
      <w:r w:rsidR="00270EEE">
        <w:rPr>
          <w:rFonts w:ascii="Arial" w:hAnsi="Arial" w:cs="Arial"/>
          <w:bCs/>
          <w:iCs/>
          <w:sz w:val="24"/>
          <w:szCs w:val="24"/>
          <w:u w:val="single"/>
          <w:lang w:val="en-US"/>
        </w:rPr>
        <w:t>AW’S IMPACT ON LIBOR AND POST-LIBOR</w:t>
      </w:r>
    </w:p>
    <w:p w14:paraId="1F1EA317" w14:textId="77777777" w:rsidR="00C55C83" w:rsidRDefault="00C55C83" w:rsidP="00C55C83">
      <w:pPr>
        <w:jc w:val="both"/>
        <w:rPr>
          <w:rFonts w:ascii="Arial" w:hAnsi="Arial" w:cs="Arial"/>
          <w:bCs/>
          <w:iCs/>
          <w:sz w:val="24"/>
          <w:szCs w:val="24"/>
          <w:lang w:val="en-US"/>
        </w:rPr>
      </w:pPr>
    </w:p>
    <w:p w14:paraId="636EC737" w14:textId="16B1E3D8" w:rsidR="00270EEE" w:rsidRPr="00270EEE" w:rsidRDefault="00270EEE" w:rsidP="00270EEE">
      <w:pPr>
        <w:pStyle w:val="ListParagraph"/>
        <w:numPr>
          <w:ilvl w:val="0"/>
          <w:numId w:val="7"/>
        </w:numPr>
        <w:jc w:val="both"/>
        <w:rPr>
          <w:rFonts w:ascii="Arial" w:hAnsi="Arial" w:cs="Arial"/>
          <w:bCs/>
          <w:iCs/>
          <w:sz w:val="24"/>
          <w:szCs w:val="24"/>
          <w:u w:val="single"/>
          <w:lang w:val="en-US"/>
        </w:rPr>
      </w:pPr>
      <w:r w:rsidRPr="00270EEE">
        <w:rPr>
          <w:rFonts w:ascii="Arial" w:hAnsi="Arial" w:cs="Arial"/>
          <w:bCs/>
          <w:iCs/>
          <w:sz w:val="24"/>
          <w:szCs w:val="24"/>
          <w:u w:val="single"/>
          <w:lang w:val="en-US"/>
        </w:rPr>
        <w:t>How Effective Was Antitrust Regulation of Banking Activity?</w:t>
      </w:r>
    </w:p>
    <w:p w14:paraId="170ADC4B" w14:textId="37F2C1C3" w:rsidR="00270EEE" w:rsidRPr="00846BCC" w:rsidRDefault="00EA67A1" w:rsidP="00E2535A">
      <w:pPr>
        <w:jc w:val="both"/>
        <w:rPr>
          <w:rFonts w:ascii="Arial" w:hAnsi="Arial" w:cs="Arial"/>
          <w:bCs/>
          <w:iCs/>
        </w:rPr>
      </w:pPr>
      <w:r>
        <w:rPr>
          <w:rFonts w:ascii="Arial" w:hAnsi="Arial" w:cs="Arial"/>
          <w:bCs/>
          <w:iCs/>
          <w:sz w:val="24"/>
          <w:szCs w:val="24"/>
          <w:lang w:val="en-US"/>
        </w:rPr>
        <w:t xml:space="preserve">In the aftermath of the LIBOR scandal, it was claimed that competition law could </w:t>
      </w:r>
      <w:r w:rsidR="003D33C1">
        <w:rPr>
          <w:rFonts w:ascii="Arial" w:hAnsi="Arial" w:cs="Arial"/>
          <w:bCs/>
          <w:iCs/>
          <w:sz w:val="24"/>
          <w:szCs w:val="24"/>
          <w:lang w:val="en-US"/>
        </w:rPr>
        <w:t>undergo regulatory scope creep and surpass specific financial sector regulation</w:t>
      </w:r>
      <w:r w:rsidR="003D33C1">
        <w:rPr>
          <w:rStyle w:val="FootnoteReference"/>
          <w:rFonts w:ascii="Arial" w:hAnsi="Arial" w:cs="Arial"/>
          <w:bCs/>
          <w:iCs/>
          <w:sz w:val="24"/>
          <w:szCs w:val="24"/>
          <w:lang w:val="en-US"/>
        </w:rPr>
        <w:footnoteReference w:id="126"/>
      </w:r>
      <w:r w:rsidR="003D33C1">
        <w:rPr>
          <w:rFonts w:ascii="Arial" w:hAnsi="Arial" w:cs="Arial"/>
          <w:bCs/>
          <w:iCs/>
          <w:sz w:val="24"/>
          <w:szCs w:val="24"/>
          <w:lang w:val="en-US"/>
        </w:rPr>
        <w:t xml:space="preserve">. However, it must be questioned how effective competition law has actually been in regards to the LIBOR </w:t>
      </w:r>
      <w:r w:rsidR="008274E9">
        <w:rPr>
          <w:rFonts w:ascii="Arial" w:hAnsi="Arial" w:cs="Arial"/>
          <w:bCs/>
          <w:iCs/>
          <w:sz w:val="24"/>
          <w:szCs w:val="24"/>
          <w:lang w:val="en-US"/>
        </w:rPr>
        <w:t xml:space="preserve">price-fixing collusion. </w:t>
      </w:r>
      <w:r w:rsidR="009F79C4">
        <w:rPr>
          <w:rFonts w:ascii="Arial" w:hAnsi="Arial" w:cs="Arial"/>
          <w:bCs/>
          <w:iCs/>
          <w:sz w:val="24"/>
          <w:szCs w:val="24"/>
          <w:lang w:val="en-US"/>
        </w:rPr>
        <w:t>The UK’s Independent Commission on Banking, established to provide recommendations for banking regulation after the 2008 global financial crisis, contained a significant section on competition law</w:t>
      </w:r>
      <w:r w:rsidR="00DE6746">
        <w:rPr>
          <w:rStyle w:val="FootnoteReference"/>
          <w:rFonts w:ascii="Arial" w:hAnsi="Arial" w:cs="Arial"/>
          <w:bCs/>
          <w:iCs/>
          <w:sz w:val="24"/>
          <w:szCs w:val="24"/>
          <w:lang w:val="en-US"/>
        </w:rPr>
        <w:footnoteReference w:id="127"/>
      </w:r>
      <w:r w:rsidR="009F79C4">
        <w:rPr>
          <w:rFonts w:ascii="Arial" w:hAnsi="Arial" w:cs="Arial"/>
          <w:bCs/>
          <w:iCs/>
          <w:sz w:val="24"/>
          <w:szCs w:val="24"/>
          <w:lang w:val="en-US"/>
        </w:rPr>
        <w:t xml:space="preserve">. However, although recommendations were made to improve supply and demand side competitiveness in the sector, and to </w:t>
      </w:r>
      <w:r w:rsidR="00DE6746">
        <w:rPr>
          <w:rFonts w:ascii="Arial" w:hAnsi="Arial" w:cs="Arial"/>
          <w:bCs/>
          <w:iCs/>
          <w:sz w:val="24"/>
          <w:szCs w:val="24"/>
          <w:lang w:val="en-US"/>
        </w:rPr>
        <w:t>create a primary duty of the new Financial Conduct Authority to promote effective competition, no mention was made of the LIBOR scandal.</w:t>
      </w:r>
      <w:r w:rsidR="00E2535A">
        <w:rPr>
          <w:rFonts w:ascii="Arial" w:hAnsi="Arial" w:cs="Arial"/>
          <w:bCs/>
          <w:iCs/>
          <w:sz w:val="24"/>
          <w:szCs w:val="24"/>
          <w:lang w:val="en-US"/>
        </w:rPr>
        <w:t xml:space="preserve"> There is now a</w:t>
      </w:r>
      <w:r w:rsidR="00FE22E1">
        <w:rPr>
          <w:rFonts w:ascii="Arial" w:hAnsi="Arial" w:cs="Arial"/>
          <w:bCs/>
          <w:iCs/>
          <w:sz w:val="24"/>
          <w:szCs w:val="24"/>
          <w:lang w:val="en-US"/>
        </w:rPr>
        <w:t xml:space="preserve"> primary </w:t>
      </w:r>
      <w:r w:rsidR="00E2535A">
        <w:rPr>
          <w:rFonts w:ascii="Arial" w:hAnsi="Arial" w:cs="Arial"/>
          <w:bCs/>
          <w:iCs/>
          <w:sz w:val="24"/>
          <w:szCs w:val="24"/>
          <w:lang w:val="en-US"/>
        </w:rPr>
        <w:t xml:space="preserve">mandate </w:t>
      </w:r>
      <w:r w:rsidR="00846BCC">
        <w:rPr>
          <w:rFonts w:ascii="Arial" w:hAnsi="Arial" w:cs="Arial"/>
          <w:bCs/>
          <w:iCs/>
          <w:sz w:val="24"/>
          <w:szCs w:val="24"/>
          <w:lang w:val="en-US"/>
        </w:rPr>
        <w:t>in the Financial Services and Markets Act 2000 (FSMA2000)</w:t>
      </w:r>
      <w:r w:rsidR="00846BCC">
        <w:rPr>
          <w:rStyle w:val="FootnoteReference"/>
          <w:rFonts w:ascii="Arial" w:hAnsi="Arial" w:cs="Arial"/>
          <w:bCs/>
          <w:iCs/>
          <w:sz w:val="24"/>
          <w:szCs w:val="24"/>
          <w:lang w:val="en-US"/>
        </w:rPr>
        <w:footnoteReference w:id="128"/>
      </w:r>
      <w:r w:rsidR="00846BCC">
        <w:rPr>
          <w:rFonts w:ascii="Arial" w:hAnsi="Arial" w:cs="Arial"/>
          <w:bCs/>
          <w:iCs/>
          <w:sz w:val="24"/>
          <w:szCs w:val="24"/>
          <w:lang w:val="en-US"/>
        </w:rPr>
        <w:t xml:space="preserve"> </w:t>
      </w:r>
      <w:r w:rsidR="00E2535A">
        <w:rPr>
          <w:rFonts w:ascii="Arial" w:hAnsi="Arial" w:cs="Arial"/>
          <w:bCs/>
          <w:iCs/>
          <w:sz w:val="24"/>
          <w:szCs w:val="24"/>
          <w:lang w:val="en-US"/>
        </w:rPr>
        <w:t xml:space="preserve">to promote competition, such that </w:t>
      </w:r>
      <w:r w:rsidR="00846BCC">
        <w:rPr>
          <w:rFonts w:ascii="Arial" w:hAnsi="Arial" w:cs="Arial"/>
          <w:bCs/>
          <w:iCs/>
          <w:sz w:val="24"/>
          <w:szCs w:val="24"/>
          <w:lang w:val="en-US"/>
        </w:rPr>
        <w:t xml:space="preserve">the </w:t>
      </w:r>
      <w:r w:rsidR="00E2535A" w:rsidRPr="00E2535A">
        <w:rPr>
          <w:rFonts w:ascii="Arial" w:hAnsi="Arial" w:cs="Arial"/>
          <w:bCs/>
          <w:iCs/>
        </w:rPr>
        <w:t xml:space="preserve">FCA </w:t>
      </w:r>
      <w:r w:rsidR="00E2535A" w:rsidRPr="00E2535A">
        <w:rPr>
          <w:rFonts w:ascii="Arial" w:hAnsi="Arial" w:cs="Arial"/>
          <w:bCs/>
          <w:iCs/>
          <w:sz w:val="24"/>
          <w:szCs w:val="24"/>
        </w:rPr>
        <w:t xml:space="preserve">must act in a way </w:t>
      </w:r>
      <w:r w:rsidR="00E2535A">
        <w:rPr>
          <w:rFonts w:ascii="Arial" w:hAnsi="Arial" w:cs="Arial"/>
          <w:bCs/>
          <w:iCs/>
          <w:sz w:val="24"/>
          <w:szCs w:val="24"/>
        </w:rPr>
        <w:t>that</w:t>
      </w:r>
      <w:r w:rsidR="00E2535A" w:rsidRPr="00E2535A">
        <w:rPr>
          <w:rFonts w:ascii="Arial" w:hAnsi="Arial" w:cs="Arial"/>
          <w:bCs/>
          <w:iCs/>
          <w:sz w:val="24"/>
          <w:szCs w:val="24"/>
        </w:rPr>
        <w:t xml:space="preserve"> is compatible with its strategic objective and advances one or more of its three operational objectives</w:t>
      </w:r>
      <w:r w:rsidR="00846BCC">
        <w:rPr>
          <w:rFonts w:ascii="Arial" w:hAnsi="Arial" w:cs="Arial"/>
          <w:bCs/>
          <w:iCs/>
          <w:sz w:val="24"/>
          <w:szCs w:val="24"/>
        </w:rPr>
        <w:t>.</w:t>
      </w:r>
      <w:r w:rsidR="00E2535A" w:rsidRPr="00E2535A">
        <w:rPr>
          <w:rFonts w:ascii="Arial" w:hAnsi="Arial" w:cs="Arial"/>
          <w:bCs/>
          <w:iCs/>
          <w:sz w:val="24"/>
          <w:szCs w:val="24"/>
        </w:rPr>
        <w:t xml:space="preserve"> </w:t>
      </w:r>
      <w:r w:rsidR="00846BCC">
        <w:rPr>
          <w:rFonts w:ascii="Arial" w:hAnsi="Arial" w:cs="Arial"/>
          <w:bCs/>
          <w:iCs/>
          <w:sz w:val="24"/>
          <w:szCs w:val="24"/>
        </w:rPr>
        <w:t>The strategic objective is to ensure that the relevant markets operate well</w:t>
      </w:r>
      <w:r w:rsidR="00846BCC">
        <w:rPr>
          <w:rStyle w:val="FootnoteReference"/>
          <w:rFonts w:ascii="Arial" w:hAnsi="Arial" w:cs="Arial"/>
          <w:bCs/>
          <w:iCs/>
          <w:sz w:val="24"/>
          <w:szCs w:val="24"/>
        </w:rPr>
        <w:footnoteReference w:id="129"/>
      </w:r>
      <w:r w:rsidR="00846BCC">
        <w:rPr>
          <w:rFonts w:ascii="Arial" w:hAnsi="Arial" w:cs="Arial"/>
          <w:bCs/>
          <w:iCs/>
          <w:sz w:val="24"/>
          <w:szCs w:val="24"/>
        </w:rPr>
        <w:t>, and the operational objectives are consumer protection, integrity and competition</w:t>
      </w:r>
      <w:r w:rsidR="00846BCC">
        <w:rPr>
          <w:rStyle w:val="FootnoteReference"/>
          <w:rFonts w:ascii="Arial" w:hAnsi="Arial" w:cs="Arial"/>
          <w:bCs/>
          <w:iCs/>
          <w:sz w:val="24"/>
          <w:szCs w:val="24"/>
        </w:rPr>
        <w:footnoteReference w:id="130"/>
      </w:r>
      <w:r w:rsidR="00846BCC">
        <w:rPr>
          <w:rFonts w:ascii="Arial" w:hAnsi="Arial" w:cs="Arial"/>
          <w:bCs/>
          <w:iCs/>
          <w:sz w:val="24"/>
          <w:szCs w:val="24"/>
        </w:rPr>
        <w:t xml:space="preserve">. The FCA now has a competition </w:t>
      </w:r>
      <w:r w:rsidR="00FE22E1">
        <w:rPr>
          <w:rFonts w:ascii="Arial" w:hAnsi="Arial" w:cs="Arial"/>
          <w:bCs/>
          <w:iCs/>
          <w:sz w:val="24"/>
          <w:szCs w:val="24"/>
          <w:lang w:val="en-US"/>
        </w:rPr>
        <w:t xml:space="preserve">duty </w:t>
      </w:r>
      <w:r w:rsidR="00846BCC">
        <w:rPr>
          <w:rFonts w:ascii="Arial" w:hAnsi="Arial" w:cs="Arial"/>
          <w:bCs/>
          <w:iCs/>
          <w:sz w:val="24"/>
          <w:szCs w:val="24"/>
          <w:lang w:val="en-US"/>
        </w:rPr>
        <w:t xml:space="preserve">to </w:t>
      </w:r>
      <w:r w:rsidR="00846BCC" w:rsidRPr="00846BCC">
        <w:rPr>
          <w:rFonts w:ascii="Arial" w:hAnsi="Arial" w:cs="Arial"/>
          <w:bCs/>
          <w:iCs/>
          <w:sz w:val="24"/>
          <w:szCs w:val="24"/>
        </w:rPr>
        <w:t>discharge its general functions in a way</w:t>
      </w:r>
      <w:r w:rsidR="00846BCC">
        <w:rPr>
          <w:rFonts w:ascii="Arial" w:hAnsi="Arial" w:cs="Arial"/>
          <w:bCs/>
          <w:iCs/>
          <w:sz w:val="24"/>
          <w:szCs w:val="24"/>
        </w:rPr>
        <w:t>,</w:t>
      </w:r>
      <w:r w:rsidR="00846BCC" w:rsidRPr="00846BCC">
        <w:rPr>
          <w:rFonts w:ascii="Arial" w:hAnsi="Arial" w:cs="Arial"/>
          <w:bCs/>
          <w:iCs/>
          <w:sz w:val="24"/>
          <w:szCs w:val="24"/>
        </w:rPr>
        <w:t xml:space="preserve"> which promotes effective competition in the </w:t>
      </w:r>
      <w:r w:rsidR="00846BCC" w:rsidRPr="00846BCC">
        <w:rPr>
          <w:rFonts w:ascii="Arial" w:hAnsi="Arial" w:cs="Arial"/>
          <w:bCs/>
          <w:iCs/>
          <w:sz w:val="24"/>
          <w:szCs w:val="24"/>
        </w:rPr>
        <w:lastRenderedPageBreak/>
        <w:t>interests of consumers</w:t>
      </w:r>
      <w:r w:rsidR="00846BCC">
        <w:rPr>
          <w:rStyle w:val="FootnoteReference"/>
          <w:rFonts w:ascii="Arial" w:hAnsi="Arial" w:cs="Arial"/>
          <w:bCs/>
          <w:iCs/>
          <w:sz w:val="24"/>
          <w:szCs w:val="24"/>
        </w:rPr>
        <w:footnoteReference w:id="131"/>
      </w:r>
      <w:r w:rsidR="00846BCC">
        <w:rPr>
          <w:rFonts w:ascii="Arial" w:hAnsi="Arial" w:cs="Arial"/>
          <w:bCs/>
          <w:iCs/>
          <w:sz w:val="24"/>
          <w:szCs w:val="24"/>
        </w:rPr>
        <w:t>.</w:t>
      </w:r>
      <w:r w:rsidR="00846BCC" w:rsidRPr="00846BCC">
        <w:rPr>
          <w:rFonts w:ascii="Arial" w:hAnsi="Arial" w:cs="Arial"/>
          <w:bCs/>
          <w:iCs/>
        </w:rPr>
        <w:t xml:space="preserve"> </w:t>
      </w:r>
      <w:r w:rsidR="00846BCC">
        <w:rPr>
          <w:rFonts w:ascii="Arial" w:hAnsi="Arial" w:cs="Arial"/>
          <w:bCs/>
          <w:iCs/>
          <w:sz w:val="24"/>
          <w:szCs w:val="24"/>
          <w:lang w:val="en-US"/>
        </w:rPr>
        <w:t>The FCA’s competition duty is empowered</w:t>
      </w:r>
      <w:r w:rsidR="00FE22E1">
        <w:rPr>
          <w:rFonts w:ascii="Arial" w:hAnsi="Arial" w:cs="Arial"/>
          <w:bCs/>
          <w:iCs/>
          <w:sz w:val="24"/>
          <w:szCs w:val="24"/>
          <w:lang w:val="en-US"/>
        </w:rPr>
        <w:t xml:space="preserve"> </w:t>
      </w:r>
      <w:r w:rsidR="00846BCC">
        <w:rPr>
          <w:rFonts w:ascii="Arial" w:hAnsi="Arial" w:cs="Arial"/>
          <w:bCs/>
          <w:iCs/>
          <w:sz w:val="24"/>
          <w:szCs w:val="24"/>
          <w:lang w:val="en-US"/>
        </w:rPr>
        <w:t>through the provisions in the FSMA s234I-O</w:t>
      </w:r>
      <w:r w:rsidR="00FE22E1">
        <w:rPr>
          <w:rStyle w:val="FootnoteReference"/>
          <w:rFonts w:ascii="Arial" w:hAnsi="Arial" w:cs="Arial"/>
          <w:bCs/>
          <w:iCs/>
          <w:sz w:val="24"/>
          <w:szCs w:val="24"/>
          <w:lang w:val="en-US"/>
        </w:rPr>
        <w:footnoteReference w:id="132"/>
      </w:r>
      <w:r w:rsidR="00FE22E1">
        <w:rPr>
          <w:rFonts w:ascii="Arial" w:hAnsi="Arial" w:cs="Arial"/>
          <w:bCs/>
          <w:iCs/>
          <w:sz w:val="24"/>
          <w:szCs w:val="24"/>
          <w:lang w:val="en-US"/>
        </w:rPr>
        <w:t xml:space="preserve">, though </w:t>
      </w:r>
      <w:r w:rsidR="00846BCC">
        <w:rPr>
          <w:rFonts w:ascii="Arial" w:hAnsi="Arial" w:cs="Arial"/>
          <w:bCs/>
          <w:iCs/>
          <w:sz w:val="24"/>
          <w:szCs w:val="24"/>
          <w:lang w:val="en-US"/>
        </w:rPr>
        <w:t>it is notable that</w:t>
      </w:r>
      <w:r w:rsidR="00FE22E1">
        <w:rPr>
          <w:rFonts w:ascii="Arial" w:hAnsi="Arial" w:cs="Arial"/>
          <w:bCs/>
          <w:iCs/>
          <w:sz w:val="24"/>
          <w:szCs w:val="24"/>
          <w:lang w:val="en-US"/>
        </w:rPr>
        <w:t xml:space="preserve"> the cartel offence</w:t>
      </w:r>
      <w:r w:rsidR="00846BCC">
        <w:rPr>
          <w:rFonts w:ascii="Arial" w:hAnsi="Arial" w:cs="Arial"/>
          <w:bCs/>
          <w:iCs/>
          <w:sz w:val="24"/>
          <w:szCs w:val="24"/>
          <w:lang w:val="en-US"/>
        </w:rPr>
        <w:t xml:space="preserve"> is not part of its remit</w:t>
      </w:r>
      <w:r w:rsidR="00FE22E1">
        <w:rPr>
          <w:rFonts w:ascii="Arial" w:hAnsi="Arial" w:cs="Arial"/>
          <w:bCs/>
          <w:iCs/>
          <w:sz w:val="24"/>
          <w:szCs w:val="24"/>
          <w:lang w:val="en-US"/>
        </w:rPr>
        <w:t>.</w:t>
      </w:r>
    </w:p>
    <w:p w14:paraId="2A8C641A" w14:textId="43A9E09D" w:rsidR="00A2018D" w:rsidRDefault="00A2018D" w:rsidP="00270EEE">
      <w:pPr>
        <w:jc w:val="both"/>
        <w:rPr>
          <w:rFonts w:ascii="Arial" w:hAnsi="Arial" w:cs="Arial"/>
          <w:bCs/>
          <w:iCs/>
          <w:sz w:val="24"/>
          <w:szCs w:val="24"/>
          <w:lang w:val="en-US"/>
        </w:rPr>
      </w:pPr>
      <w:r>
        <w:rPr>
          <w:rFonts w:ascii="Arial" w:hAnsi="Arial" w:cs="Arial"/>
          <w:bCs/>
          <w:iCs/>
          <w:sz w:val="24"/>
          <w:szCs w:val="24"/>
          <w:lang w:val="en-US"/>
        </w:rPr>
        <w:t xml:space="preserve">The result of this in the UK </w:t>
      </w:r>
      <w:r w:rsidR="00846BCC">
        <w:rPr>
          <w:rFonts w:ascii="Arial" w:hAnsi="Arial" w:cs="Arial"/>
          <w:bCs/>
          <w:iCs/>
          <w:sz w:val="24"/>
          <w:szCs w:val="24"/>
          <w:lang w:val="en-US"/>
        </w:rPr>
        <w:t xml:space="preserve">so far </w:t>
      </w:r>
      <w:r>
        <w:rPr>
          <w:rFonts w:ascii="Arial" w:hAnsi="Arial" w:cs="Arial"/>
          <w:bCs/>
          <w:iCs/>
          <w:sz w:val="24"/>
          <w:szCs w:val="24"/>
          <w:lang w:val="en-US"/>
        </w:rPr>
        <w:t>has been minimal use of competition law against the banks. Despite numerous investigations</w:t>
      </w:r>
      <w:r w:rsidR="004D3532">
        <w:rPr>
          <w:rFonts w:ascii="Arial" w:hAnsi="Arial" w:cs="Arial"/>
          <w:bCs/>
          <w:iCs/>
          <w:sz w:val="24"/>
          <w:szCs w:val="24"/>
          <w:lang w:val="en-US"/>
        </w:rPr>
        <w:t>,</w:t>
      </w:r>
      <w:r>
        <w:rPr>
          <w:rFonts w:ascii="Arial" w:hAnsi="Arial" w:cs="Arial"/>
          <w:bCs/>
          <w:iCs/>
          <w:sz w:val="24"/>
          <w:szCs w:val="24"/>
          <w:lang w:val="en-US"/>
        </w:rPr>
        <w:t xml:space="preserve"> </w:t>
      </w:r>
      <w:r w:rsidR="00F85D6A">
        <w:rPr>
          <w:rFonts w:ascii="Arial" w:hAnsi="Arial" w:cs="Arial"/>
          <w:bCs/>
          <w:iCs/>
          <w:sz w:val="24"/>
          <w:szCs w:val="24"/>
          <w:lang w:val="en-US"/>
        </w:rPr>
        <w:t xml:space="preserve">identifying dishonest behaviour by </w:t>
      </w:r>
      <w:r w:rsidR="0078366D">
        <w:rPr>
          <w:rFonts w:ascii="Arial" w:hAnsi="Arial" w:cs="Arial"/>
          <w:bCs/>
          <w:iCs/>
          <w:sz w:val="24"/>
          <w:szCs w:val="24"/>
          <w:lang w:val="en-US"/>
        </w:rPr>
        <w:t>banks</w:t>
      </w:r>
      <w:r w:rsidR="00FE22E1">
        <w:rPr>
          <w:rStyle w:val="FootnoteReference"/>
          <w:rFonts w:ascii="Arial" w:hAnsi="Arial" w:cs="Arial"/>
          <w:bCs/>
          <w:iCs/>
          <w:sz w:val="24"/>
          <w:szCs w:val="24"/>
          <w:lang w:val="en-US"/>
        </w:rPr>
        <w:footnoteReference w:id="133"/>
      </w:r>
      <w:proofErr w:type="gramStart"/>
      <w:r w:rsidR="0078366D">
        <w:rPr>
          <w:rFonts w:ascii="Arial" w:hAnsi="Arial" w:cs="Arial"/>
          <w:bCs/>
          <w:iCs/>
          <w:sz w:val="24"/>
          <w:szCs w:val="24"/>
          <w:lang w:val="en-US"/>
        </w:rPr>
        <w:t xml:space="preserve">, </w:t>
      </w:r>
      <w:r w:rsidR="004D3532">
        <w:rPr>
          <w:rFonts w:ascii="Arial" w:hAnsi="Arial" w:cs="Arial"/>
          <w:bCs/>
          <w:iCs/>
          <w:sz w:val="24"/>
          <w:szCs w:val="24"/>
          <w:lang w:val="en-US"/>
        </w:rPr>
        <w:t xml:space="preserve">bank </w:t>
      </w:r>
      <w:r w:rsidR="0002445A">
        <w:rPr>
          <w:rFonts w:ascii="Arial" w:hAnsi="Arial" w:cs="Arial"/>
          <w:bCs/>
          <w:iCs/>
          <w:sz w:val="24"/>
          <w:szCs w:val="24"/>
          <w:lang w:val="en-US"/>
        </w:rPr>
        <w:t>traders</w:t>
      </w:r>
      <w:r w:rsidR="00FE22E1">
        <w:rPr>
          <w:rStyle w:val="FootnoteReference"/>
          <w:rFonts w:ascii="Arial" w:hAnsi="Arial" w:cs="Arial"/>
          <w:bCs/>
          <w:iCs/>
          <w:sz w:val="24"/>
          <w:szCs w:val="24"/>
          <w:lang w:val="en-US"/>
        </w:rPr>
        <w:footnoteReference w:id="134"/>
      </w:r>
      <w:r w:rsidR="00F85D6A">
        <w:rPr>
          <w:rFonts w:ascii="Arial" w:hAnsi="Arial" w:cs="Arial"/>
          <w:bCs/>
          <w:iCs/>
          <w:sz w:val="24"/>
          <w:szCs w:val="24"/>
          <w:lang w:val="en-US"/>
        </w:rPr>
        <w:t xml:space="preserve"> and </w:t>
      </w:r>
      <w:r w:rsidR="0002445A">
        <w:rPr>
          <w:rFonts w:ascii="Arial" w:hAnsi="Arial" w:cs="Arial"/>
          <w:bCs/>
          <w:iCs/>
          <w:sz w:val="24"/>
          <w:szCs w:val="24"/>
          <w:lang w:val="en-US"/>
        </w:rPr>
        <w:t>brokers</w:t>
      </w:r>
      <w:r w:rsidR="00FE22E1">
        <w:rPr>
          <w:rStyle w:val="FootnoteReference"/>
          <w:rFonts w:ascii="Arial" w:hAnsi="Arial" w:cs="Arial"/>
          <w:bCs/>
          <w:iCs/>
          <w:sz w:val="24"/>
          <w:szCs w:val="24"/>
          <w:lang w:val="en-US"/>
        </w:rPr>
        <w:footnoteReference w:id="135"/>
      </w:r>
      <w:r w:rsidR="004D3532">
        <w:rPr>
          <w:rFonts w:ascii="Arial" w:hAnsi="Arial" w:cs="Arial"/>
          <w:bCs/>
          <w:iCs/>
          <w:sz w:val="24"/>
          <w:szCs w:val="24"/>
          <w:lang w:val="en-US"/>
        </w:rPr>
        <w:t>,</w:t>
      </w:r>
      <w:r w:rsidR="0078366D">
        <w:rPr>
          <w:rFonts w:ascii="Arial" w:hAnsi="Arial" w:cs="Arial"/>
          <w:bCs/>
          <w:iCs/>
          <w:sz w:val="24"/>
          <w:szCs w:val="24"/>
          <w:lang w:val="en-US"/>
        </w:rPr>
        <w:t xml:space="preserve"> no competition law </w:t>
      </w:r>
      <w:r w:rsidR="00FE22E1">
        <w:rPr>
          <w:rFonts w:ascii="Arial" w:hAnsi="Arial" w:cs="Arial"/>
          <w:bCs/>
          <w:iCs/>
          <w:sz w:val="24"/>
          <w:szCs w:val="24"/>
          <w:lang w:val="en-US"/>
        </w:rPr>
        <w:t xml:space="preserve">enforcement </w:t>
      </w:r>
      <w:r w:rsidR="0078366D">
        <w:rPr>
          <w:rFonts w:ascii="Arial" w:hAnsi="Arial" w:cs="Arial"/>
          <w:bCs/>
          <w:iCs/>
          <w:sz w:val="24"/>
          <w:szCs w:val="24"/>
          <w:lang w:val="en-US"/>
        </w:rPr>
        <w:t>action has been instigated by the</w:t>
      </w:r>
      <w:r w:rsidR="004D3532">
        <w:rPr>
          <w:rFonts w:ascii="Arial" w:hAnsi="Arial" w:cs="Arial"/>
          <w:bCs/>
          <w:iCs/>
          <w:sz w:val="24"/>
          <w:szCs w:val="24"/>
          <w:lang w:val="en-US"/>
        </w:rPr>
        <w:t xml:space="preserve"> FC</w:t>
      </w:r>
      <w:r w:rsidR="0078366D">
        <w:rPr>
          <w:rFonts w:ascii="Arial" w:hAnsi="Arial" w:cs="Arial"/>
          <w:bCs/>
          <w:iCs/>
          <w:sz w:val="24"/>
          <w:szCs w:val="24"/>
          <w:lang w:val="en-US"/>
        </w:rPr>
        <w:t>A or the CMA</w:t>
      </w:r>
      <w:proofErr w:type="gramEnd"/>
      <w:r w:rsidR="0078366D">
        <w:rPr>
          <w:rFonts w:ascii="Arial" w:hAnsi="Arial" w:cs="Arial"/>
          <w:bCs/>
          <w:iCs/>
          <w:sz w:val="24"/>
          <w:szCs w:val="24"/>
          <w:lang w:val="en-US"/>
        </w:rPr>
        <w:t>.</w:t>
      </w:r>
      <w:r w:rsidR="00FE22E1">
        <w:rPr>
          <w:rFonts w:ascii="Arial" w:hAnsi="Arial" w:cs="Arial"/>
          <w:bCs/>
          <w:iCs/>
          <w:sz w:val="24"/>
          <w:szCs w:val="24"/>
          <w:lang w:val="en-US"/>
        </w:rPr>
        <w:t xml:space="preserve"> </w:t>
      </w:r>
      <w:r w:rsidR="004D3532">
        <w:rPr>
          <w:rFonts w:ascii="Arial" w:hAnsi="Arial" w:cs="Arial"/>
          <w:bCs/>
          <w:iCs/>
          <w:sz w:val="24"/>
          <w:szCs w:val="24"/>
          <w:lang w:val="en-US"/>
        </w:rPr>
        <w:t>This can also be seen on the criminal side, with no prosecution of any banks or brokers, and no use of the cartel offence against individuals involved in LIBOR manipulation.</w:t>
      </w:r>
      <w:r w:rsidR="004F4543">
        <w:rPr>
          <w:rFonts w:ascii="Arial" w:hAnsi="Arial" w:cs="Arial"/>
          <w:bCs/>
          <w:iCs/>
          <w:sz w:val="24"/>
          <w:szCs w:val="24"/>
          <w:lang w:val="en-US"/>
        </w:rPr>
        <w:t xml:space="preserve"> Furthermore, after the</w:t>
      </w:r>
      <w:r w:rsidR="007F07A0">
        <w:rPr>
          <w:rFonts w:ascii="Arial" w:hAnsi="Arial" w:cs="Arial"/>
          <w:bCs/>
          <w:iCs/>
          <w:sz w:val="24"/>
          <w:szCs w:val="24"/>
          <w:lang w:val="en-US"/>
        </w:rPr>
        <w:t xml:space="preserve"> clear and precise decision</w:t>
      </w:r>
      <w:r w:rsidR="004F4543">
        <w:rPr>
          <w:rFonts w:ascii="Arial" w:hAnsi="Arial" w:cs="Arial"/>
          <w:bCs/>
          <w:iCs/>
          <w:sz w:val="24"/>
          <w:szCs w:val="24"/>
          <w:lang w:val="en-US"/>
        </w:rPr>
        <w:t>s</w:t>
      </w:r>
      <w:r w:rsidR="007F07A0">
        <w:rPr>
          <w:rFonts w:ascii="Arial" w:hAnsi="Arial" w:cs="Arial"/>
          <w:bCs/>
          <w:iCs/>
          <w:sz w:val="24"/>
          <w:szCs w:val="24"/>
          <w:lang w:val="en-US"/>
        </w:rPr>
        <w:t xml:space="preserve"> of the European Commission finding horizontal price-fixing</w:t>
      </w:r>
      <w:r w:rsidR="004F4543">
        <w:rPr>
          <w:rFonts w:ascii="Arial" w:hAnsi="Arial" w:cs="Arial"/>
          <w:bCs/>
          <w:iCs/>
          <w:sz w:val="24"/>
          <w:szCs w:val="24"/>
          <w:lang w:val="en-US"/>
        </w:rPr>
        <w:t xml:space="preserve"> in the benchmark cartels, UK courts have been reluctant to allow private parties to advance their cases.</w:t>
      </w:r>
    </w:p>
    <w:p w14:paraId="023EF0D6" w14:textId="1D652475" w:rsidR="004F4543" w:rsidRDefault="004F4543" w:rsidP="00270EEE">
      <w:pPr>
        <w:jc w:val="both"/>
        <w:rPr>
          <w:rFonts w:ascii="Arial" w:hAnsi="Arial" w:cs="Arial"/>
          <w:bCs/>
          <w:iCs/>
          <w:sz w:val="24"/>
          <w:szCs w:val="24"/>
          <w:lang w:val="en-US"/>
        </w:rPr>
      </w:pPr>
      <w:r>
        <w:rPr>
          <w:rFonts w:ascii="Arial" w:hAnsi="Arial" w:cs="Arial"/>
          <w:bCs/>
          <w:iCs/>
          <w:sz w:val="24"/>
          <w:szCs w:val="24"/>
          <w:lang w:val="en-US"/>
        </w:rPr>
        <w:t>There are some parallels with the situation in the US. Although</w:t>
      </w:r>
      <w:r w:rsidR="007425B2">
        <w:rPr>
          <w:rFonts w:ascii="Arial" w:hAnsi="Arial" w:cs="Arial"/>
          <w:bCs/>
          <w:iCs/>
          <w:sz w:val="24"/>
          <w:szCs w:val="24"/>
          <w:lang w:val="en-US"/>
        </w:rPr>
        <w:t xml:space="preserve"> individuals have been found criminally</w:t>
      </w:r>
      <w:r w:rsidR="006D1C3B">
        <w:rPr>
          <w:rFonts w:ascii="Arial" w:hAnsi="Arial" w:cs="Arial"/>
          <w:bCs/>
          <w:iCs/>
          <w:sz w:val="24"/>
          <w:szCs w:val="24"/>
          <w:lang w:val="en-US"/>
        </w:rPr>
        <w:t xml:space="preserve"> liable for LIBOR manipulation</w:t>
      </w:r>
      <w:r w:rsidR="00533B3E">
        <w:rPr>
          <w:rFonts w:ascii="Arial" w:hAnsi="Arial" w:cs="Arial"/>
          <w:bCs/>
          <w:iCs/>
          <w:sz w:val="24"/>
          <w:szCs w:val="24"/>
          <w:lang w:val="en-US"/>
        </w:rPr>
        <w:t xml:space="preserve">, the prosecutions have been for wire </w:t>
      </w:r>
      <w:r w:rsidR="00533B3E">
        <w:rPr>
          <w:rFonts w:ascii="Arial" w:hAnsi="Arial" w:cs="Arial"/>
          <w:bCs/>
          <w:iCs/>
          <w:sz w:val="24"/>
          <w:szCs w:val="24"/>
          <w:lang w:val="en-US"/>
        </w:rPr>
        <w:lastRenderedPageBreak/>
        <w:t>fraud and not antitrust violations. This is mirrored in the criminal actions brought against financial institutions, with only RBS and Deutsche Bank pleading guilty to a charge of price fixing. For private antitrust actions, there are considerable hurdles yet to overcome before any actions</w:t>
      </w:r>
      <w:r w:rsidR="0093142B">
        <w:rPr>
          <w:rFonts w:ascii="Arial" w:hAnsi="Arial" w:cs="Arial"/>
          <w:bCs/>
          <w:iCs/>
          <w:sz w:val="24"/>
          <w:szCs w:val="24"/>
          <w:lang w:val="en-US"/>
        </w:rPr>
        <w:t xml:space="preserve"> can claim success</w:t>
      </w:r>
      <w:r w:rsidR="00533B3E">
        <w:rPr>
          <w:rFonts w:ascii="Arial" w:hAnsi="Arial" w:cs="Arial"/>
          <w:bCs/>
          <w:iCs/>
          <w:sz w:val="24"/>
          <w:szCs w:val="24"/>
          <w:lang w:val="en-US"/>
        </w:rPr>
        <w:t>.</w:t>
      </w:r>
    </w:p>
    <w:p w14:paraId="0FC57802" w14:textId="4C346183" w:rsidR="006C50E4" w:rsidRDefault="006C50E4" w:rsidP="00270EEE">
      <w:pPr>
        <w:jc w:val="both"/>
        <w:rPr>
          <w:rFonts w:ascii="Arial" w:hAnsi="Arial" w:cs="Arial"/>
          <w:bCs/>
          <w:iCs/>
          <w:sz w:val="24"/>
          <w:szCs w:val="24"/>
          <w:lang w:val="en-US"/>
        </w:rPr>
      </w:pPr>
      <w:r>
        <w:rPr>
          <w:rFonts w:ascii="Arial" w:hAnsi="Arial" w:cs="Arial"/>
          <w:bCs/>
          <w:iCs/>
          <w:sz w:val="24"/>
          <w:szCs w:val="24"/>
          <w:lang w:val="en-US"/>
        </w:rPr>
        <w:t xml:space="preserve">It may have been that enforcement agencies were communicating effectively with one another to ensure that over enforcement was avoided, be that within a single, overarching or global jurisdiction as suggested by </w:t>
      </w:r>
      <w:proofErr w:type="spellStart"/>
      <w:r>
        <w:rPr>
          <w:rFonts w:ascii="Arial" w:hAnsi="Arial" w:cs="Arial"/>
          <w:bCs/>
          <w:iCs/>
          <w:sz w:val="24"/>
          <w:szCs w:val="24"/>
          <w:lang w:val="en-US"/>
        </w:rPr>
        <w:t>Huizing</w:t>
      </w:r>
      <w:proofErr w:type="spellEnd"/>
      <w:r>
        <w:rPr>
          <w:rStyle w:val="FootnoteReference"/>
          <w:rFonts w:ascii="Arial" w:hAnsi="Arial" w:cs="Arial"/>
          <w:bCs/>
          <w:iCs/>
          <w:sz w:val="24"/>
          <w:szCs w:val="24"/>
          <w:lang w:val="en-US"/>
        </w:rPr>
        <w:footnoteReference w:id="136"/>
      </w:r>
      <w:r>
        <w:rPr>
          <w:rFonts w:ascii="Arial" w:hAnsi="Arial" w:cs="Arial"/>
          <w:bCs/>
          <w:iCs/>
          <w:sz w:val="24"/>
          <w:szCs w:val="24"/>
          <w:lang w:val="en-US"/>
        </w:rPr>
        <w:t>. However, the wholly ineffectual enforcement of competition law provisions to police the blatant horizontal price fixing of the LIBOR benchmark by financial institutions and their employees cannot be explained by this fear of over protection.</w:t>
      </w:r>
      <w:r w:rsidR="00106E83">
        <w:rPr>
          <w:rFonts w:ascii="Arial" w:hAnsi="Arial" w:cs="Arial"/>
          <w:bCs/>
          <w:iCs/>
          <w:sz w:val="24"/>
          <w:szCs w:val="24"/>
          <w:lang w:val="en-US"/>
        </w:rPr>
        <w:t xml:space="preserve"> There must therefore be policy reasons for a lack of antitrust action by the competition authorities, with the notable exception of the European Commission, and </w:t>
      </w:r>
      <w:proofErr w:type="gramStart"/>
      <w:r w:rsidR="00106E83">
        <w:rPr>
          <w:rFonts w:ascii="Arial" w:hAnsi="Arial" w:cs="Arial"/>
          <w:bCs/>
          <w:iCs/>
          <w:sz w:val="24"/>
          <w:szCs w:val="24"/>
          <w:lang w:val="en-US"/>
        </w:rPr>
        <w:t>a reluctance</w:t>
      </w:r>
      <w:proofErr w:type="gramEnd"/>
      <w:r w:rsidR="00106E83">
        <w:rPr>
          <w:rFonts w:ascii="Arial" w:hAnsi="Arial" w:cs="Arial"/>
          <w:bCs/>
          <w:iCs/>
          <w:sz w:val="24"/>
          <w:szCs w:val="24"/>
          <w:lang w:val="en-US"/>
        </w:rPr>
        <w:t xml:space="preserve"> to allow private antitrust enforcement.</w:t>
      </w:r>
    </w:p>
    <w:p w14:paraId="170144E7" w14:textId="6AAF152D" w:rsidR="00106E83" w:rsidRPr="00106E83" w:rsidRDefault="00106E83" w:rsidP="00106E83">
      <w:pPr>
        <w:pStyle w:val="ListParagraph"/>
        <w:numPr>
          <w:ilvl w:val="0"/>
          <w:numId w:val="7"/>
        </w:numPr>
        <w:jc w:val="both"/>
        <w:rPr>
          <w:rFonts w:ascii="Arial" w:hAnsi="Arial" w:cs="Arial"/>
          <w:bCs/>
          <w:iCs/>
          <w:sz w:val="24"/>
          <w:szCs w:val="24"/>
          <w:u w:val="single"/>
          <w:lang w:val="en-US"/>
        </w:rPr>
      </w:pPr>
      <w:r w:rsidRPr="00106E83">
        <w:rPr>
          <w:rFonts w:ascii="Arial" w:hAnsi="Arial" w:cs="Arial"/>
          <w:bCs/>
          <w:iCs/>
          <w:sz w:val="24"/>
          <w:szCs w:val="24"/>
          <w:u w:val="single"/>
          <w:lang w:val="en-US"/>
        </w:rPr>
        <w:t>Why was the Cartel Offence Not Used in the UK?</w:t>
      </w:r>
    </w:p>
    <w:p w14:paraId="046255B6" w14:textId="19997C7C" w:rsidR="00C55C83" w:rsidRDefault="00F26F18" w:rsidP="00DC0623">
      <w:pPr>
        <w:jc w:val="both"/>
        <w:rPr>
          <w:rFonts w:ascii="Arial" w:hAnsi="Arial" w:cs="Arial"/>
          <w:bCs/>
          <w:iCs/>
          <w:sz w:val="24"/>
          <w:szCs w:val="24"/>
          <w:lang w:val="en-US"/>
        </w:rPr>
      </w:pPr>
      <w:r>
        <w:rPr>
          <w:rFonts w:ascii="Arial" w:hAnsi="Arial" w:cs="Arial"/>
          <w:bCs/>
          <w:iCs/>
          <w:sz w:val="24"/>
          <w:szCs w:val="24"/>
          <w:lang w:val="en-US"/>
        </w:rPr>
        <w:t>It is clear fro</w:t>
      </w:r>
      <w:r w:rsidR="00C55C83">
        <w:rPr>
          <w:rFonts w:ascii="Arial" w:hAnsi="Arial" w:cs="Arial"/>
          <w:bCs/>
          <w:iCs/>
          <w:sz w:val="24"/>
          <w:szCs w:val="24"/>
          <w:lang w:val="en-US"/>
        </w:rPr>
        <w:t xml:space="preserve">m the actions of the public regulatory authorities that the US criminal enforcement of antitrust is stronger than that in the UK, with the EU having no competence in this area. There are a number of reasons for this. The first is that section 1 of the Sherman Act is centred </w:t>
      </w:r>
      <w:r>
        <w:rPr>
          <w:rFonts w:ascii="Arial" w:hAnsi="Arial" w:cs="Arial"/>
          <w:bCs/>
          <w:iCs/>
          <w:sz w:val="24"/>
          <w:szCs w:val="24"/>
          <w:lang w:val="en-US"/>
        </w:rPr>
        <w:t>on</w:t>
      </w:r>
      <w:r w:rsidR="00C55C83">
        <w:rPr>
          <w:rFonts w:ascii="Arial" w:hAnsi="Arial" w:cs="Arial"/>
          <w:bCs/>
          <w:iCs/>
          <w:sz w:val="24"/>
          <w:szCs w:val="24"/>
          <w:lang w:val="en-US"/>
        </w:rPr>
        <w:t xml:space="preserve"> the crime of cartel activity</w:t>
      </w:r>
      <w:r w:rsidR="00912168">
        <w:rPr>
          <w:rFonts w:ascii="Arial" w:hAnsi="Arial" w:cs="Arial"/>
          <w:bCs/>
          <w:iCs/>
          <w:sz w:val="24"/>
          <w:szCs w:val="24"/>
          <w:lang w:val="en-US"/>
        </w:rPr>
        <w:t>, and prosecution is reinforced in such instruments as the Yates Memo</w:t>
      </w:r>
      <w:r w:rsidR="00C55C83">
        <w:rPr>
          <w:rFonts w:ascii="Arial" w:hAnsi="Arial" w:cs="Arial"/>
          <w:bCs/>
          <w:iCs/>
          <w:sz w:val="24"/>
          <w:szCs w:val="24"/>
          <w:lang w:val="en-US"/>
        </w:rPr>
        <w:t xml:space="preserve">. This can be compared to the Cartel Offence in the UK that was an ‘add on’ to the main competition provisions in the Enterprise Act 2002. The second is the length of time of the existence of the two criminal competition regimes. The UK’s regime is considerably younger than that in the USA and therefore the culture of antitrust criminalisation </w:t>
      </w:r>
      <w:r w:rsidR="00440B5D">
        <w:rPr>
          <w:rFonts w:ascii="Arial" w:hAnsi="Arial" w:cs="Arial"/>
          <w:bCs/>
          <w:iCs/>
          <w:sz w:val="24"/>
          <w:szCs w:val="24"/>
          <w:lang w:val="en-US"/>
        </w:rPr>
        <w:t xml:space="preserve">will need time to take hold. Indeed competition culture is </w:t>
      </w:r>
      <w:r w:rsidR="0093142B">
        <w:rPr>
          <w:rFonts w:ascii="Arial" w:hAnsi="Arial" w:cs="Arial"/>
          <w:bCs/>
          <w:iCs/>
          <w:sz w:val="24"/>
          <w:szCs w:val="24"/>
          <w:lang w:val="en-US"/>
        </w:rPr>
        <w:t>a relatively</w:t>
      </w:r>
      <w:r w:rsidR="00440B5D">
        <w:rPr>
          <w:rFonts w:ascii="Arial" w:hAnsi="Arial" w:cs="Arial"/>
          <w:bCs/>
          <w:iCs/>
          <w:sz w:val="24"/>
          <w:szCs w:val="24"/>
          <w:lang w:val="en-US"/>
        </w:rPr>
        <w:t xml:space="preserve"> new </w:t>
      </w:r>
      <w:r>
        <w:rPr>
          <w:rFonts w:ascii="Arial" w:hAnsi="Arial" w:cs="Arial"/>
          <w:bCs/>
          <w:iCs/>
          <w:sz w:val="24"/>
          <w:szCs w:val="24"/>
          <w:lang w:val="en-US"/>
        </w:rPr>
        <w:t>aspect to</w:t>
      </w:r>
      <w:r w:rsidR="00440B5D">
        <w:rPr>
          <w:rFonts w:ascii="Arial" w:hAnsi="Arial" w:cs="Arial"/>
          <w:bCs/>
          <w:iCs/>
          <w:sz w:val="24"/>
          <w:szCs w:val="24"/>
          <w:lang w:val="en-US"/>
        </w:rPr>
        <w:t xml:space="preserve"> enterprise in the UK, </w:t>
      </w:r>
      <w:r>
        <w:rPr>
          <w:rFonts w:ascii="Arial" w:hAnsi="Arial" w:cs="Arial"/>
          <w:bCs/>
          <w:iCs/>
          <w:sz w:val="24"/>
          <w:szCs w:val="24"/>
          <w:lang w:val="en-US"/>
        </w:rPr>
        <w:t>beginning with a highly politically controlled regime in the 1950s and only developing into a modern and effective system from the start of the twenty-first century</w:t>
      </w:r>
      <w:r w:rsidR="006C42BD">
        <w:rPr>
          <w:rStyle w:val="FootnoteReference"/>
          <w:rFonts w:ascii="Arial" w:hAnsi="Arial" w:cs="Arial"/>
          <w:bCs/>
          <w:iCs/>
          <w:sz w:val="24"/>
          <w:szCs w:val="24"/>
          <w:lang w:val="en-US"/>
        </w:rPr>
        <w:footnoteReference w:id="137"/>
      </w:r>
      <w:r w:rsidR="00440B5D">
        <w:rPr>
          <w:rFonts w:ascii="Arial" w:hAnsi="Arial" w:cs="Arial"/>
          <w:bCs/>
          <w:iCs/>
          <w:sz w:val="24"/>
          <w:szCs w:val="24"/>
          <w:lang w:val="en-US"/>
        </w:rPr>
        <w:t>. The third is the perceived weakness of the UK’s Cartel Offence. When it was introduced it was necessary to prove that an individual had acted with dishonesty, which commentators considered to have introduced a moral element into competition law</w:t>
      </w:r>
      <w:r w:rsidR="004A7CE6">
        <w:rPr>
          <w:rStyle w:val="FootnoteReference"/>
          <w:rFonts w:ascii="Arial" w:hAnsi="Arial" w:cs="Arial"/>
          <w:bCs/>
          <w:iCs/>
          <w:sz w:val="24"/>
          <w:szCs w:val="24"/>
          <w:lang w:val="en-US"/>
        </w:rPr>
        <w:footnoteReference w:id="138"/>
      </w:r>
      <w:r w:rsidR="00440B5D">
        <w:rPr>
          <w:rFonts w:ascii="Arial" w:hAnsi="Arial" w:cs="Arial"/>
          <w:bCs/>
          <w:iCs/>
          <w:sz w:val="24"/>
          <w:szCs w:val="24"/>
          <w:lang w:val="en-US"/>
        </w:rPr>
        <w:t xml:space="preserve">. The test for dishonesty was the normal criminal </w:t>
      </w:r>
      <w:r w:rsidR="004A7CE6">
        <w:rPr>
          <w:rFonts w:ascii="Arial" w:hAnsi="Arial" w:cs="Arial"/>
          <w:bCs/>
          <w:iCs/>
          <w:sz w:val="24"/>
          <w:szCs w:val="24"/>
          <w:lang w:val="en-US"/>
        </w:rPr>
        <w:t>two-stage</w:t>
      </w:r>
      <w:r w:rsidR="00440B5D">
        <w:rPr>
          <w:rFonts w:ascii="Arial" w:hAnsi="Arial" w:cs="Arial"/>
          <w:bCs/>
          <w:iCs/>
          <w:sz w:val="24"/>
          <w:szCs w:val="24"/>
          <w:lang w:val="en-US"/>
        </w:rPr>
        <w:t xml:space="preserve"> test set out in </w:t>
      </w:r>
      <w:proofErr w:type="spellStart"/>
      <w:r w:rsidR="00440B5D">
        <w:rPr>
          <w:rFonts w:ascii="Arial" w:hAnsi="Arial" w:cs="Arial"/>
          <w:bCs/>
          <w:i/>
          <w:iCs/>
          <w:sz w:val="24"/>
          <w:szCs w:val="24"/>
          <w:lang w:val="en-US"/>
        </w:rPr>
        <w:t>Ghosh</w:t>
      </w:r>
      <w:proofErr w:type="spellEnd"/>
      <w:r w:rsidR="00440B5D">
        <w:rPr>
          <w:rStyle w:val="FootnoteReference"/>
          <w:rFonts w:ascii="Arial" w:hAnsi="Arial" w:cs="Arial"/>
          <w:bCs/>
          <w:i/>
          <w:iCs/>
          <w:sz w:val="24"/>
          <w:szCs w:val="24"/>
          <w:lang w:val="en-US"/>
        </w:rPr>
        <w:footnoteReference w:id="139"/>
      </w:r>
      <w:r w:rsidR="005D6DCA">
        <w:rPr>
          <w:rFonts w:ascii="Arial" w:hAnsi="Arial" w:cs="Arial"/>
          <w:bCs/>
          <w:iCs/>
          <w:sz w:val="24"/>
          <w:szCs w:val="24"/>
          <w:lang w:val="en-US"/>
        </w:rPr>
        <w:t>, consisting of both an objective and subjective standard, both of which were jury questions.</w:t>
      </w:r>
      <w:r w:rsidR="00440B5D">
        <w:rPr>
          <w:rFonts w:ascii="Arial" w:hAnsi="Arial" w:cs="Arial"/>
          <w:bCs/>
          <w:iCs/>
          <w:sz w:val="24"/>
          <w:szCs w:val="24"/>
          <w:lang w:val="en-US"/>
        </w:rPr>
        <w:t xml:space="preserve"> First </w:t>
      </w:r>
      <w:r w:rsidR="00DC0623" w:rsidRPr="00DC0623">
        <w:rPr>
          <w:rFonts w:ascii="Arial" w:hAnsi="Arial" w:cs="Arial"/>
          <w:bCs/>
          <w:iCs/>
          <w:sz w:val="24"/>
          <w:szCs w:val="24"/>
          <w:lang w:val="en-US"/>
        </w:rPr>
        <w:t xml:space="preserve">was </w:t>
      </w:r>
      <w:r w:rsidR="00DC0623">
        <w:rPr>
          <w:rFonts w:ascii="Arial" w:hAnsi="Arial" w:cs="Arial"/>
          <w:bCs/>
          <w:iCs/>
          <w:sz w:val="24"/>
          <w:szCs w:val="24"/>
          <w:lang w:val="en-US"/>
        </w:rPr>
        <w:t xml:space="preserve">the defendant </w:t>
      </w:r>
      <w:r w:rsidR="00DC0623" w:rsidRPr="00DC0623">
        <w:rPr>
          <w:rFonts w:ascii="Arial" w:hAnsi="Arial" w:cs="Arial"/>
          <w:bCs/>
          <w:iCs/>
          <w:sz w:val="24"/>
          <w:szCs w:val="24"/>
          <w:lang w:val="en-US"/>
        </w:rPr>
        <w:t>acting dishonestly according to the standard of reasonable and</w:t>
      </w:r>
      <w:r w:rsidR="00DC0623">
        <w:rPr>
          <w:rFonts w:ascii="Arial" w:hAnsi="Arial" w:cs="Arial"/>
          <w:bCs/>
          <w:iCs/>
          <w:sz w:val="24"/>
          <w:szCs w:val="24"/>
          <w:lang w:val="en-US"/>
        </w:rPr>
        <w:t xml:space="preserve"> honest people and then, if th</w:t>
      </w:r>
      <w:r w:rsidR="0093142B">
        <w:rPr>
          <w:rFonts w:ascii="Arial" w:hAnsi="Arial" w:cs="Arial"/>
          <w:bCs/>
          <w:iCs/>
          <w:sz w:val="24"/>
          <w:szCs w:val="24"/>
          <w:lang w:val="en-US"/>
        </w:rPr>
        <w:t>e answer to the first question wa</w:t>
      </w:r>
      <w:r w:rsidR="00DC0623">
        <w:rPr>
          <w:rFonts w:ascii="Arial" w:hAnsi="Arial" w:cs="Arial"/>
          <w:bCs/>
          <w:iCs/>
          <w:sz w:val="24"/>
          <w:szCs w:val="24"/>
          <w:lang w:val="en-US"/>
        </w:rPr>
        <w:t>s in the affirmative, did the defendant realise that what she or he was doing was dishonest according to those standards.</w:t>
      </w:r>
      <w:r w:rsidR="00B94AD3">
        <w:rPr>
          <w:rFonts w:ascii="Arial" w:hAnsi="Arial" w:cs="Arial"/>
          <w:bCs/>
          <w:iCs/>
          <w:sz w:val="24"/>
          <w:szCs w:val="24"/>
          <w:lang w:val="en-US"/>
        </w:rPr>
        <w:t xml:space="preserve"> </w:t>
      </w:r>
      <w:r w:rsidR="006C42BD">
        <w:rPr>
          <w:rFonts w:ascii="Arial" w:hAnsi="Arial" w:cs="Arial"/>
          <w:bCs/>
          <w:iCs/>
          <w:sz w:val="24"/>
          <w:szCs w:val="24"/>
          <w:lang w:val="en-US"/>
        </w:rPr>
        <w:t xml:space="preserve">Unfortunately since the introduction of the Cartel Offence there has only been one </w:t>
      </w:r>
      <w:r w:rsidR="006C42BD">
        <w:rPr>
          <w:rFonts w:ascii="Arial" w:hAnsi="Arial" w:cs="Arial"/>
          <w:bCs/>
          <w:iCs/>
          <w:sz w:val="24"/>
          <w:szCs w:val="24"/>
          <w:lang w:val="en-US"/>
        </w:rPr>
        <w:lastRenderedPageBreak/>
        <w:t>successful prosecution</w:t>
      </w:r>
      <w:r w:rsidR="00827C93">
        <w:rPr>
          <w:rStyle w:val="FootnoteReference"/>
          <w:rFonts w:ascii="Arial" w:hAnsi="Arial" w:cs="Arial"/>
          <w:bCs/>
          <w:iCs/>
          <w:sz w:val="24"/>
          <w:szCs w:val="24"/>
          <w:lang w:val="en-US"/>
        </w:rPr>
        <w:footnoteReference w:id="140"/>
      </w:r>
      <w:r w:rsidR="006C42BD">
        <w:rPr>
          <w:rFonts w:ascii="Arial" w:hAnsi="Arial" w:cs="Arial"/>
          <w:bCs/>
          <w:iCs/>
          <w:sz w:val="24"/>
          <w:szCs w:val="24"/>
          <w:lang w:val="en-US"/>
        </w:rPr>
        <w:t>, and one failed</w:t>
      </w:r>
      <w:r w:rsidR="00827C93">
        <w:rPr>
          <w:rFonts w:ascii="Arial" w:hAnsi="Arial" w:cs="Arial"/>
          <w:bCs/>
          <w:iCs/>
          <w:sz w:val="24"/>
          <w:szCs w:val="24"/>
          <w:lang w:val="en-US"/>
        </w:rPr>
        <w:t xml:space="preserve"> prosecution</w:t>
      </w:r>
      <w:r w:rsidR="00827C93">
        <w:rPr>
          <w:rStyle w:val="FootnoteReference"/>
          <w:rFonts w:ascii="Arial" w:hAnsi="Arial" w:cs="Arial"/>
          <w:bCs/>
          <w:iCs/>
          <w:sz w:val="24"/>
          <w:szCs w:val="24"/>
          <w:lang w:val="en-US"/>
        </w:rPr>
        <w:footnoteReference w:id="141"/>
      </w:r>
      <w:r w:rsidR="00827C93">
        <w:rPr>
          <w:rFonts w:ascii="Arial" w:hAnsi="Arial" w:cs="Arial"/>
          <w:bCs/>
          <w:iCs/>
          <w:sz w:val="24"/>
          <w:szCs w:val="24"/>
          <w:lang w:val="en-US"/>
        </w:rPr>
        <w:t>, where the prosecution offered no evidence</w:t>
      </w:r>
      <w:r w:rsidR="00604C8C">
        <w:rPr>
          <w:rFonts w:ascii="Arial" w:hAnsi="Arial" w:cs="Arial"/>
          <w:bCs/>
          <w:iCs/>
          <w:sz w:val="24"/>
          <w:szCs w:val="24"/>
          <w:lang w:val="en-US"/>
        </w:rPr>
        <w:t xml:space="preserve"> due to issues concerning disclosure of evidence. As a result the Cartel Offence was amended</w:t>
      </w:r>
      <w:r w:rsidR="00050461">
        <w:rPr>
          <w:rFonts w:ascii="Arial" w:hAnsi="Arial" w:cs="Arial"/>
          <w:bCs/>
          <w:iCs/>
          <w:sz w:val="24"/>
          <w:szCs w:val="24"/>
          <w:lang w:val="en-US"/>
        </w:rPr>
        <w:t>,</w:t>
      </w:r>
      <w:r w:rsidR="00604C8C">
        <w:rPr>
          <w:rFonts w:ascii="Arial" w:hAnsi="Arial" w:cs="Arial"/>
          <w:bCs/>
          <w:iCs/>
          <w:sz w:val="24"/>
          <w:szCs w:val="24"/>
          <w:lang w:val="en-US"/>
        </w:rPr>
        <w:t xml:space="preserve"> </w:t>
      </w:r>
      <w:r w:rsidR="00050461">
        <w:rPr>
          <w:rFonts w:ascii="Arial" w:hAnsi="Arial" w:cs="Arial"/>
          <w:bCs/>
          <w:iCs/>
          <w:sz w:val="24"/>
          <w:szCs w:val="24"/>
          <w:lang w:val="en-US"/>
        </w:rPr>
        <w:t>through</w:t>
      </w:r>
      <w:r w:rsidR="00604C8C">
        <w:rPr>
          <w:rFonts w:ascii="Arial" w:hAnsi="Arial" w:cs="Arial"/>
          <w:bCs/>
          <w:iCs/>
          <w:sz w:val="24"/>
          <w:szCs w:val="24"/>
          <w:lang w:val="en-US"/>
        </w:rPr>
        <w:t xml:space="preserve"> the Enterprise </w:t>
      </w:r>
      <w:r w:rsidR="00050461">
        <w:rPr>
          <w:rFonts w:ascii="Arial" w:hAnsi="Arial" w:cs="Arial"/>
          <w:bCs/>
          <w:iCs/>
          <w:sz w:val="24"/>
          <w:szCs w:val="24"/>
          <w:lang w:val="en-US"/>
        </w:rPr>
        <w:t>and Regulatory Reform Act 2013, by removing the dishonesty requirement</w:t>
      </w:r>
      <w:r w:rsidR="00050461">
        <w:rPr>
          <w:rStyle w:val="FootnoteReference"/>
          <w:rFonts w:ascii="Arial" w:hAnsi="Arial" w:cs="Arial"/>
          <w:bCs/>
          <w:iCs/>
          <w:sz w:val="24"/>
          <w:szCs w:val="24"/>
          <w:lang w:val="en-US"/>
        </w:rPr>
        <w:footnoteReference w:id="142"/>
      </w:r>
      <w:r w:rsidR="00050461">
        <w:rPr>
          <w:rFonts w:ascii="Arial" w:hAnsi="Arial" w:cs="Arial"/>
          <w:bCs/>
          <w:iCs/>
          <w:sz w:val="24"/>
          <w:szCs w:val="24"/>
          <w:lang w:val="en-US"/>
        </w:rPr>
        <w:t xml:space="preserve">, reducing the scope of the Cartel Offence by outlining </w:t>
      </w:r>
      <w:r w:rsidR="00015B37">
        <w:rPr>
          <w:rFonts w:ascii="Arial" w:hAnsi="Arial" w:cs="Arial"/>
          <w:bCs/>
          <w:iCs/>
          <w:sz w:val="24"/>
          <w:szCs w:val="24"/>
          <w:lang w:val="en-US"/>
        </w:rPr>
        <w:t>circumstances when the Cartel Offence would not be applicable</w:t>
      </w:r>
      <w:r w:rsidR="00015B37">
        <w:rPr>
          <w:rStyle w:val="FootnoteReference"/>
          <w:rFonts w:ascii="Arial" w:hAnsi="Arial" w:cs="Arial"/>
          <w:bCs/>
          <w:iCs/>
          <w:sz w:val="24"/>
          <w:szCs w:val="24"/>
          <w:lang w:val="en-US"/>
        </w:rPr>
        <w:footnoteReference w:id="143"/>
      </w:r>
      <w:r w:rsidR="00015B37">
        <w:rPr>
          <w:rFonts w:ascii="Arial" w:hAnsi="Arial" w:cs="Arial"/>
          <w:bCs/>
          <w:iCs/>
          <w:sz w:val="24"/>
          <w:szCs w:val="24"/>
          <w:lang w:val="en-US"/>
        </w:rPr>
        <w:t>, and by introducing three specific defences</w:t>
      </w:r>
      <w:r w:rsidR="00015B37">
        <w:rPr>
          <w:rStyle w:val="FootnoteReference"/>
          <w:rFonts w:ascii="Arial" w:hAnsi="Arial" w:cs="Arial"/>
          <w:bCs/>
          <w:iCs/>
          <w:sz w:val="24"/>
          <w:szCs w:val="24"/>
          <w:lang w:val="en-US"/>
        </w:rPr>
        <w:footnoteReference w:id="144"/>
      </w:r>
      <w:r w:rsidR="00015B37">
        <w:rPr>
          <w:rFonts w:ascii="Arial" w:hAnsi="Arial" w:cs="Arial"/>
          <w:bCs/>
          <w:iCs/>
          <w:sz w:val="24"/>
          <w:szCs w:val="24"/>
          <w:lang w:val="en-US"/>
        </w:rPr>
        <w:t xml:space="preserve">. The result is </w:t>
      </w:r>
      <w:r w:rsidR="00037EDE">
        <w:rPr>
          <w:rFonts w:ascii="Arial" w:hAnsi="Arial" w:cs="Arial"/>
          <w:bCs/>
          <w:iCs/>
          <w:sz w:val="24"/>
          <w:szCs w:val="24"/>
          <w:lang w:val="en-US"/>
        </w:rPr>
        <w:t xml:space="preserve">a </w:t>
      </w:r>
      <w:r w:rsidR="00015B37">
        <w:rPr>
          <w:rFonts w:ascii="Arial" w:hAnsi="Arial" w:cs="Arial"/>
          <w:bCs/>
          <w:iCs/>
          <w:sz w:val="24"/>
          <w:szCs w:val="24"/>
          <w:lang w:val="en-US"/>
        </w:rPr>
        <w:t>seriously diluted action, which has yet to be tested before the courts</w:t>
      </w:r>
      <w:r w:rsidR="00037EDE">
        <w:rPr>
          <w:rFonts w:ascii="Arial" w:hAnsi="Arial" w:cs="Arial"/>
          <w:bCs/>
          <w:iCs/>
          <w:sz w:val="24"/>
          <w:szCs w:val="24"/>
          <w:lang w:val="en-US"/>
        </w:rPr>
        <w:t>, but with defences so easily satisfied that liability should be easily avoided</w:t>
      </w:r>
      <w:r w:rsidR="00037EDE">
        <w:rPr>
          <w:rStyle w:val="FootnoteReference"/>
          <w:rFonts w:ascii="Arial" w:hAnsi="Arial" w:cs="Arial"/>
          <w:bCs/>
          <w:iCs/>
          <w:sz w:val="24"/>
          <w:szCs w:val="24"/>
          <w:lang w:val="en-US"/>
        </w:rPr>
        <w:footnoteReference w:id="145"/>
      </w:r>
      <w:r w:rsidR="00015B37">
        <w:rPr>
          <w:rFonts w:ascii="Arial" w:hAnsi="Arial" w:cs="Arial"/>
          <w:bCs/>
          <w:iCs/>
          <w:sz w:val="24"/>
          <w:szCs w:val="24"/>
          <w:lang w:val="en-US"/>
        </w:rPr>
        <w:t xml:space="preserve">. Indeed in the case of the LIBOR manipulation offences, </w:t>
      </w:r>
      <w:r w:rsidR="00037EDE">
        <w:rPr>
          <w:rFonts w:ascii="Arial" w:hAnsi="Arial" w:cs="Arial"/>
          <w:bCs/>
          <w:iCs/>
          <w:sz w:val="24"/>
          <w:szCs w:val="24"/>
          <w:lang w:val="en-US"/>
        </w:rPr>
        <w:t xml:space="preserve">prosecution under </w:t>
      </w:r>
      <w:r w:rsidR="00015B37">
        <w:rPr>
          <w:rFonts w:ascii="Arial" w:hAnsi="Arial" w:cs="Arial"/>
          <w:bCs/>
          <w:iCs/>
          <w:sz w:val="24"/>
          <w:szCs w:val="24"/>
          <w:lang w:val="en-US"/>
        </w:rPr>
        <w:t xml:space="preserve">the Cartel Offence was not </w:t>
      </w:r>
      <w:r w:rsidR="00037EDE">
        <w:rPr>
          <w:rFonts w:ascii="Arial" w:hAnsi="Arial" w:cs="Arial"/>
          <w:bCs/>
          <w:iCs/>
          <w:sz w:val="24"/>
          <w:szCs w:val="24"/>
          <w:lang w:val="en-US"/>
        </w:rPr>
        <w:t xml:space="preserve">even </w:t>
      </w:r>
      <w:r w:rsidR="00015B37">
        <w:rPr>
          <w:rFonts w:ascii="Arial" w:hAnsi="Arial" w:cs="Arial"/>
          <w:bCs/>
          <w:iCs/>
          <w:sz w:val="24"/>
          <w:szCs w:val="24"/>
          <w:lang w:val="en-US"/>
        </w:rPr>
        <w:t>considered.</w:t>
      </w:r>
      <w:r w:rsidR="00037EDE">
        <w:rPr>
          <w:rFonts w:ascii="Arial" w:hAnsi="Arial" w:cs="Arial"/>
          <w:bCs/>
          <w:iCs/>
          <w:sz w:val="24"/>
          <w:szCs w:val="24"/>
          <w:lang w:val="en-US"/>
        </w:rPr>
        <w:t xml:space="preserve"> As Michels points out, this is almost certainly the result of a lack of both public support, particularly over the moral wrongdoing of cartel formation, and political support</w:t>
      </w:r>
      <w:r w:rsidR="00037EDE">
        <w:rPr>
          <w:rStyle w:val="FootnoteReference"/>
          <w:rFonts w:ascii="Arial" w:hAnsi="Arial" w:cs="Arial"/>
          <w:bCs/>
          <w:iCs/>
          <w:sz w:val="24"/>
          <w:szCs w:val="24"/>
          <w:lang w:val="en-US"/>
        </w:rPr>
        <w:footnoteReference w:id="146"/>
      </w:r>
      <w:r w:rsidR="00037EDE">
        <w:rPr>
          <w:rFonts w:ascii="Arial" w:hAnsi="Arial" w:cs="Arial"/>
          <w:bCs/>
          <w:iCs/>
          <w:sz w:val="24"/>
          <w:szCs w:val="24"/>
          <w:lang w:val="en-US"/>
        </w:rPr>
        <w:t>.</w:t>
      </w:r>
      <w:r w:rsidR="00F37892">
        <w:rPr>
          <w:rFonts w:ascii="Arial" w:hAnsi="Arial" w:cs="Arial"/>
          <w:bCs/>
          <w:iCs/>
          <w:sz w:val="24"/>
          <w:szCs w:val="24"/>
          <w:lang w:val="en-US"/>
        </w:rPr>
        <w:t xml:space="preserve"> </w:t>
      </w:r>
    </w:p>
    <w:p w14:paraId="6881DDE5" w14:textId="30496BE7" w:rsidR="00F37892" w:rsidRDefault="00B64B49" w:rsidP="00DC0623">
      <w:pPr>
        <w:jc w:val="both"/>
        <w:rPr>
          <w:rFonts w:ascii="Arial" w:hAnsi="Arial" w:cs="Arial"/>
          <w:bCs/>
          <w:iCs/>
          <w:sz w:val="24"/>
          <w:szCs w:val="24"/>
          <w:lang w:val="en-US"/>
        </w:rPr>
      </w:pPr>
      <w:r>
        <w:rPr>
          <w:rFonts w:ascii="Arial" w:hAnsi="Arial" w:cs="Arial"/>
          <w:bCs/>
          <w:iCs/>
          <w:sz w:val="24"/>
          <w:szCs w:val="24"/>
          <w:lang w:val="en-US"/>
        </w:rPr>
        <w:t>The</w:t>
      </w:r>
      <w:r w:rsidR="00F37892">
        <w:rPr>
          <w:rFonts w:ascii="Arial" w:hAnsi="Arial" w:cs="Arial"/>
          <w:bCs/>
          <w:iCs/>
          <w:sz w:val="24"/>
          <w:szCs w:val="24"/>
          <w:lang w:val="en-US"/>
        </w:rPr>
        <w:t xml:space="preserve"> </w:t>
      </w:r>
      <w:r>
        <w:rPr>
          <w:rFonts w:ascii="Arial" w:hAnsi="Arial" w:cs="Arial"/>
          <w:bCs/>
          <w:iCs/>
          <w:sz w:val="24"/>
          <w:szCs w:val="24"/>
          <w:lang w:val="en-US"/>
        </w:rPr>
        <w:t>difficulties with the UK’s Cartel Offence mean</w:t>
      </w:r>
      <w:r w:rsidR="00F37892">
        <w:rPr>
          <w:rFonts w:ascii="Arial" w:hAnsi="Arial" w:cs="Arial"/>
          <w:bCs/>
          <w:iCs/>
          <w:sz w:val="24"/>
          <w:szCs w:val="24"/>
          <w:lang w:val="en-US"/>
        </w:rPr>
        <w:t xml:space="preserve"> </w:t>
      </w:r>
      <w:r>
        <w:rPr>
          <w:rFonts w:ascii="Arial" w:hAnsi="Arial" w:cs="Arial"/>
          <w:bCs/>
          <w:iCs/>
          <w:sz w:val="24"/>
          <w:szCs w:val="24"/>
          <w:lang w:val="en-US"/>
        </w:rPr>
        <w:t>that</w:t>
      </w:r>
      <w:r w:rsidR="00F37892">
        <w:rPr>
          <w:rFonts w:ascii="Arial" w:hAnsi="Arial" w:cs="Arial"/>
          <w:bCs/>
          <w:iCs/>
          <w:sz w:val="24"/>
          <w:szCs w:val="24"/>
          <w:lang w:val="en-US"/>
        </w:rPr>
        <w:t xml:space="preserve"> </w:t>
      </w:r>
      <w:r w:rsidR="008D43F7">
        <w:rPr>
          <w:rFonts w:ascii="Arial" w:hAnsi="Arial" w:cs="Arial"/>
          <w:bCs/>
          <w:iCs/>
          <w:sz w:val="24"/>
          <w:szCs w:val="24"/>
          <w:lang w:val="en-US"/>
        </w:rPr>
        <w:t xml:space="preserve">we must question </w:t>
      </w:r>
      <w:r w:rsidR="00F37892">
        <w:rPr>
          <w:rFonts w:ascii="Arial" w:hAnsi="Arial" w:cs="Arial"/>
          <w:bCs/>
          <w:iCs/>
          <w:sz w:val="24"/>
          <w:szCs w:val="24"/>
          <w:lang w:val="en-US"/>
        </w:rPr>
        <w:t>the policy considerations behind</w:t>
      </w:r>
      <w:r w:rsidR="0093142B">
        <w:rPr>
          <w:rFonts w:ascii="Arial" w:hAnsi="Arial" w:cs="Arial"/>
          <w:bCs/>
          <w:iCs/>
          <w:sz w:val="24"/>
          <w:szCs w:val="24"/>
          <w:lang w:val="en-US"/>
        </w:rPr>
        <w:t xml:space="preserve"> it</w:t>
      </w:r>
      <w:r w:rsidR="00F37892">
        <w:rPr>
          <w:rFonts w:ascii="Arial" w:hAnsi="Arial" w:cs="Arial"/>
          <w:bCs/>
          <w:iCs/>
          <w:sz w:val="24"/>
          <w:szCs w:val="24"/>
          <w:lang w:val="en-US"/>
        </w:rPr>
        <w:t>.</w:t>
      </w:r>
      <w:r w:rsidR="00F26F18">
        <w:rPr>
          <w:rFonts w:ascii="Arial" w:hAnsi="Arial" w:cs="Arial"/>
          <w:bCs/>
          <w:iCs/>
          <w:sz w:val="24"/>
          <w:szCs w:val="24"/>
          <w:lang w:val="en-US"/>
        </w:rPr>
        <w:t xml:space="preserve"> However, this should not just be reserved to the UK, as there appears to have also been significant reluctance in the US to utilise criminal law to </w:t>
      </w:r>
      <w:r w:rsidR="006B10B1">
        <w:rPr>
          <w:rFonts w:ascii="Arial" w:hAnsi="Arial" w:cs="Arial"/>
          <w:bCs/>
          <w:iCs/>
          <w:sz w:val="24"/>
          <w:szCs w:val="24"/>
          <w:lang w:val="en-US"/>
        </w:rPr>
        <w:t>bring the white-collar crime of the financial institutions and their employees to account.</w:t>
      </w:r>
      <w:r>
        <w:rPr>
          <w:rFonts w:ascii="Arial" w:hAnsi="Arial" w:cs="Arial"/>
          <w:bCs/>
          <w:iCs/>
          <w:sz w:val="24"/>
          <w:szCs w:val="24"/>
          <w:lang w:val="en-US"/>
        </w:rPr>
        <w:t xml:space="preserve"> Indeed the question of policy goes further, questioning why the financial institutions were not investigated for competition law v</w:t>
      </w:r>
      <w:r w:rsidR="00351BB0">
        <w:rPr>
          <w:rFonts w:ascii="Arial" w:hAnsi="Arial" w:cs="Arial"/>
          <w:bCs/>
          <w:iCs/>
          <w:sz w:val="24"/>
          <w:szCs w:val="24"/>
          <w:lang w:val="en-US"/>
        </w:rPr>
        <w:t xml:space="preserve">iolations </w:t>
      </w:r>
      <w:r w:rsidR="004C19C4">
        <w:rPr>
          <w:rFonts w:ascii="Arial" w:hAnsi="Arial" w:cs="Arial"/>
          <w:bCs/>
          <w:iCs/>
          <w:sz w:val="24"/>
          <w:szCs w:val="24"/>
          <w:lang w:val="en-US"/>
        </w:rPr>
        <w:t xml:space="preserve">swiftly and with zeal. It is further suggested that </w:t>
      </w:r>
      <w:r w:rsidR="00351BB0">
        <w:rPr>
          <w:rFonts w:ascii="Arial" w:hAnsi="Arial" w:cs="Arial"/>
          <w:bCs/>
          <w:iCs/>
          <w:sz w:val="24"/>
          <w:szCs w:val="24"/>
          <w:lang w:val="en-US"/>
        </w:rPr>
        <w:t>th</w:t>
      </w:r>
      <w:r>
        <w:rPr>
          <w:rFonts w:ascii="Arial" w:hAnsi="Arial" w:cs="Arial"/>
          <w:bCs/>
          <w:iCs/>
          <w:sz w:val="24"/>
          <w:szCs w:val="24"/>
          <w:lang w:val="en-US"/>
        </w:rPr>
        <w:t>e</w:t>
      </w:r>
      <w:r w:rsidR="00351BB0">
        <w:rPr>
          <w:rFonts w:ascii="Arial" w:hAnsi="Arial" w:cs="Arial"/>
          <w:bCs/>
          <w:iCs/>
          <w:sz w:val="24"/>
          <w:szCs w:val="24"/>
          <w:lang w:val="en-US"/>
        </w:rPr>
        <w:t xml:space="preserve"> </w:t>
      </w:r>
      <w:r>
        <w:rPr>
          <w:rFonts w:ascii="Arial" w:hAnsi="Arial" w:cs="Arial"/>
          <w:bCs/>
          <w:iCs/>
          <w:sz w:val="24"/>
          <w:szCs w:val="24"/>
          <w:lang w:val="en-US"/>
        </w:rPr>
        <w:t>very basis for competition law itself</w:t>
      </w:r>
      <w:r w:rsidR="004C19C4">
        <w:rPr>
          <w:rFonts w:ascii="Arial" w:hAnsi="Arial" w:cs="Arial"/>
          <w:bCs/>
          <w:iCs/>
          <w:sz w:val="24"/>
          <w:szCs w:val="24"/>
          <w:lang w:val="en-US"/>
        </w:rPr>
        <w:t xml:space="preserve"> needs investigating, with an attempt to establish the philosophical underpinning of the concept</w:t>
      </w:r>
      <w:r>
        <w:rPr>
          <w:rFonts w:ascii="Arial" w:hAnsi="Arial" w:cs="Arial"/>
          <w:bCs/>
          <w:iCs/>
          <w:sz w:val="24"/>
          <w:szCs w:val="24"/>
          <w:lang w:val="en-US"/>
        </w:rPr>
        <w:t>.</w:t>
      </w:r>
    </w:p>
    <w:p w14:paraId="52130AA1" w14:textId="42D76FC1" w:rsidR="00F37892" w:rsidRPr="006B10B1" w:rsidRDefault="000F3255" w:rsidP="00F37892">
      <w:pPr>
        <w:pStyle w:val="ListParagraph"/>
        <w:numPr>
          <w:ilvl w:val="0"/>
          <w:numId w:val="7"/>
        </w:numPr>
        <w:jc w:val="both"/>
        <w:rPr>
          <w:rFonts w:ascii="Arial" w:hAnsi="Arial" w:cs="Arial"/>
          <w:bCs/>
          <w:iCs/>
          <w:sz w:val="24"/>
          <w:szCs w:val="24"/>
          <w:u w:val="single"/>
          <w:lang w:val="en-US"/>
        </w:rPr>
      </w:pPr>
      <w:r>
        <w:rPr>
          <w:rFonts w:ascii="Arial" w:hAnsi="Arial" w:cs="Arial"/>
          <w:bCs/>
          <w:iCs/>
          <w:sz w:val="24"/>
          <w:szCs w:val="24"/>
          <w:u w:val="single"/>
          <w:lang w:val="en-US"/>
        </w:rPr>
        <w:t>What</w:t>
      </w:r>
      <w:r w:rsidR="006B10B1">
        <w:rPr>
          <w:rFonts w:ascii="Arial" w:hAnsi="Arial" w:cs="Arial"/>
          <w:bCs/>
          <w:iCs/>
          <w:sz w:val="24"/>
          <w:szCs w:val="24"/>
          <w:u w:val="single"/>
          <w:lang w:val="en-US"/>
        </w:rPr>
        <w:t xml:space="preserve"> Policy </w:t>
      </w:r>
      <w:r w:rsidR="00CF272B">
        <w:rPr>
          <w:rFonts w:ascii="Arial" w:hAnsi="Arial" w:cs="Arial"/>
          <w:bCs/>
          <w:iCs/>
          <w:sz w:val="24"/>
          <w:szCs w:val="24"/>
          <w:u w:val="single"/>
          <w:lang w:val="en-US"/>
        </w:rPr>
        <w:t xml:space="preserve">Considerations </w:t>
      </w:r>
      <w:r>
        <w:rPr>
          <w:rFonts w:ascii="Arial" w:hAnsi="Arial" w:cs="Arial"/>
          <w:bCs/>
          <w:iCs/>
          <w:sz w:val="24"/>
          <w:szCs w:val="24"/>
          <w:u w:val="single"/>
          <w:lang w:val="en-US"/>
        </w:rPr>
        <w:t>Led to Limited</w:t>
      </w:r>
      <w:r w:rsidR="00CF272B">
        <w:rPr>
          <w:rFonts w:ascii="Arial" w:hAnsi="Arial" w:cs="Arial"/>
          <w:bCs/>
          <w:iCs/>
          <w:sz w:val="24"/>
          <w:szCs w:val="24"/>
          <w:u w:val="single"/>
          <w:lang w:val="en-US"/>
        </w:rPr>
        <w:t xml:space="preserve"> Antitrust LIBOR Regulation</w:t>
      </w:r>
      <w:r w:rsidR="006B10B1">
        <w:rPr>
          <w:rFonts w:ascii="Arial" w:hAnsi="Arial" w:cs="Arial"/>
          <w:bCs/>
          <w:iCs/>
          <w:sz w:val="24"/>
          <w:szCs w:val="24"/>
          <w:u w:val="single"/>
          <w:lang w:val="en-US"/>
        </w:rPr>
        <w:t>?</w:t>
      </w:r>
    </w:p>
    <w:p w14:paraId="3F8BB0C8" w14:textId="7699E5F8" w:rsidR="00F37892" w:rsidRDefault="00F37892" w:rsidP="00F37892">
      <w:pPr>
        <w:jc w:val="both"/>
        <w:rPr>
          <w:rFonts w:ascii="Arial" w:hAnsi="Arial" w:cs="Arial"/>
          <w:bCs/>
          <w:iCs/>
          <w:sz w:val="24"/>
          <w:szCs w:val="24"/>
          <w:lang w:val="en-US"/>
        </w:rPr>
      </w:pPr>
      <w:r>
        <w:rPr>
          <w:rFonts w:ascii="Arial" w:hAnsi="Arial" w:cs="Arial"/>
          <w:bCs/>
          <w:iCs/>
          <w:sz w:val="24"/>
          <w:szCs w:val="24"/>
          <w:lang w:val="en-US"/>
        </w:rPr>
        <w:t xml:space="preserve">The policy considerations behind antitrust or competition legislation </w:t>
      </w:r>
      <w:r w:rsidR="003C7065">
        <w:rPr>
          <w:rFonts w:ascii="Arial" w:hAnsi="Arial" w:cs="Arial"/>
          <w:bCs/>
          <w:iCs/>
          <w:sz w:val="24"/>
          <w:szCs w:val="24"/>
          <w:lang w:val="en-US"/>
        </w:rPr>
        <w:t xml:space="preserve">as set out earlier </w:t>
      </w:r>
      <w:r>
        <w:rPr>
          <w:rFonts w:ascii="Arial" w:hAnsi="Arial" w:cs="Arial"/>
          <w:bCs/>
          <w:iCs/>
          <w:sz w:val="24"/>
          <w:szCs w:val="24"/>
          <w:lang w:val="en-US"/>
        </w:rPr>
        <w:t>are relatively straightforward</w:t>
      </w:r>
      <w:r>
        <w:rPr>
          <w:rStyle w:val="FootnoteReference"/>
          <w:rFonts w:ascii="Arial" w:hAnsi="Arial" w:cs="Arial"/>
          <w:bCs/>
          <w:iCs/>
          <w:sz w:val="24"/>
          <w:szCs w:val="24"/>
          <w:lang w:val="en-US"/>
        </w:rPr>
        <w:footnoteReference w:id="147"/>
      </w:r>
      <w:r>
        <w:rPr>
          <w:rFonts w:ascii="Arial" w:hAnsi="Arial" w:cs="Arial"/>
          <w:bCs/>
          <w:iCs/>
          <w:sz w:val="24"/>
          <w:szCs w:val="24"/>
          <w:lang w:val="en-US"/>
        </w:rPr>
        <w:t xml:space="preserve"> and indeed </w:t>
      </w:r>
      <w:proofErr w:type="spellStart"/>
      <w:r>
        <w:rPr>
          <w:rFonts w:ascii="Arial" w:hAnsi="Arial" w:cs="Arial"/>
          <w:bCs/>
          <w:iCs/>
          <w:sz w:val="24"/>
          <w:szCs w:val="24"/>
          <w:lang w:val="en-US"/>
        </w:rPr>
        <w:t>Steuer</w:t>
      </w:r>
      <w:proofErr w:type="spellEnd"/>
      <w:r>
        <w:rPr>
          <w:rFonts w:ascii="Arial" w:hAnsi="Arial" w:cs="Arial"/>
          <w:bCs/>
          <w:iCs/>
          <w:sz w:val="24"/>
          <w:szCs w:val="24"/>
          <w:lang w:val="en-US"/>
        </w:rPr>
        <w:t xml:space="preserve"> spells them out as </w:t>
      </w:r>
      <w:r w:rsidR="006303D3">
        <w:rPr>
          <w:rFonts w:ascii="Arial" w:hAnsi="Arial" w:cs="Arial"/>
          <w:bCs/>
          <w:iCs/>
          <w:sz w:val="24"/>
          <w:szCs w:val="24"/>
          <w:lang w:val="en-US"/>
        </w:rPr>
        <w:t>combatting bullying and ganging up. Underneath that tho</w:t>
      </w:r>
      <w:r w:rsidR="00DD52A0">
        <w:rPr>
          <w:rFonts w:ascii="Arial" w:hAnsi="Arial" w:cs="Arial"/>
          <w:bCs/>
          <w:iCs/>
          <w:sz w:val="24"/>
          <w:szCs w:val="24"/>
          <w:lang w:val="en-US"/>
        </w:rPr>
        <w:t>ugh there are, as set out in this</w:t>
      </w:r>
      <w:r w:rsidR="006303D3">
        <w:rPr>
          <w:rFonts w:ascii="Arial" w:hAnsi="Arial" w:cs="Arial"/>
          <w:bCs/>
          <w:iCs/>
          <w:sz w:val="24"/>
          <w:szCs w:val="24"/>
          <w:lang w:val="en-US"/>
        </w:rPr>
        <w:t xml:space="preserve"> chapter, three specific enforcement regimes to ensure compliance – civil public, criminal public and civil private.</w:t>
      </w:r>
      <w:r w:rsidR="00954A02">
        <w:rPr>
          <w:rFonts w:ascii="Arial" w:hAnsi="Arial" w:cs="Arial"/>
          <w:bCs/>
          <w:iCs/>
          <w:sz w:val="24"/>
          <w:szCs w:val="24"/>
          <w:lang w:val="en-US"/>
        </w:rPr>
        <w:t xml:space="preserve"> It could be argued that each of these enforcement regimes has its own set of policy considerations but this ignores the fact that all three are directed at serving the public interest</w:t>
      </w:r>
      <w:r w:rsidR="00CF272B">
        <w:rPr>
          <w:rFonts w:ascii="Arial" w:hAnsi="Arial" w:cs="Arial"/>
          <w:bCs/>
          <w:iCs/>
          <w:sz w:val="24"/>
          <w:szCs w:val="24"/>
          <w:lang w:val="en-US"/>
        </w:rPr>
        <w:t xml:space="preserve">, and as </w:t>
      </w:r>
      <w:proofErr w:type="spellStart"/>
      <w:r w:rsidR="00CF272B">
        <w:rPr>
          <w:rFonts w:ascii="Arial" w:hAnsi="Arial" w:cs="Arial"/>
          <w:bCs/>
          <w:iCs/>
          <w:sz w:val="24"/>
          <w:szCs w:val="24"/>
          <w:lang w:val="en-US"/>
        </w:rPr>
        <w:t>Yeong</w:t>
      </w:r>
      <w:proofErr w:type="spellEnd"/>
      <w:r w:rsidR="00CF272B">
        <w:rPr>
          <w:rFonts w:ascii="Arial" w:hAnsi="Arial" w:cs="Arial"/>
          <w:bCs/>
          <w:iCs/>
          <w:sz w:val="24"/>
          <w:szCs w:val="24"/>
          <w:lang w:val="en-US"/>
        </w:rPr>
        <w:t xml:space="preserve"> points out</w:t>
      </w:r>
      <w:r w:rsidR="00CF272B">
        <w:rPr>
          <w:rStyle w:val="FootnoteReference"/>
          <w:rFonts w:ascii="Arial" w:hAnsi="Arial" w:cs="Arial"/>
          <w:bCs/>
          <w:iCs/>
          <w:sz w:val="24"/>
          <w:szCs w:val="24"/>
          <w:lang w:val="en-US"/>
        </w:rPr>
        <w:footnoteReference w:id="148"/>
      </w:r>
      <w:r w:rsidR="00CF272B">
        <w:rPr>
          <w:rFonts w:ascii="Arial" w:hAnsi="Arial" w:cs="Arial"/>
          <w:bCs/>
          <w:iCs/>
          <w:sz w:val="24"/>
          <w:szCs w:val="24"/>
          <w:lang w:val="en-US"/>
        </w:rPr>
        <w:t>, competition law is a form of public law that aims to protect that public interest</w:t>
      </w:r>
      <w:r w:rsidR="00954A02">
        <w:rPr>
          <w:rFonts w:ascii="Arial" w:hAnsi="Arial" w:cs="Arial"/>
          <w:bCs/>
          <w:iCs/>
          <w:sz w:val="24"/>
          <w:szCs w:val="24"/>
          <w:lang w:val="en-US"/>
        </w:rPr>
        <w:t>. It is how that public interest is defined that determines the policy considerations. S</w:t>
      </w:r>
      <w:r w:rsidR="0092792B">
        <w:rPr>
          <w:rFonts w:ascii="Arial" w:hAnsi="Arial" w:cs="Arial"/>
          <w:bCs/>
          <w:iCs/>
          <w:sz w:val="24"/>
          <w:szCs w:val="24"/>
          <w:lang w:val="en-US"/>
        </w:rPr>
        <w:t xml:space="preserve">ince the late 1970s the Chicago School of Economics has come to dominate the </w:t>
      </w:r>
      <w:r w:rsidR="0065532C">
        <w:rPr>
          <w:rFonts w:ascii="Arial" w:hAnsi="Arial" w:cs="Arial"/>
          <w:bCs/>
          <w:iCs/>
          <w:sz w:val="24"/>
          <w:szCs w:val="24"/>
          <w:lang w:val="en-US"/>
        </w:rPr>
        <w:t xml:space="preserve">debate over competition </w:t>
      </w:r>
      <w:r w:rsidR="0065532C">
        <w:rPr>
          <w:rFonts w:ascii="Arial" w:hAnsi="Arial" w:cs="Arial"/>
          <w:bCs/>
          <w:iCs/>
          <w:sz w:val="24"/>
          <w:szCs w:val="24"/>
          <w:lang w:val="en-US"/>
        </w:rPr>
        <w:lastRenderedPageBreak/>
        <w:t>law’s public interest, with the sole aim being the protection of consumer welfare as determined through a mathematical analysis of the economic data</w:t>
      </w:r>
      <w:r w:rsidR="003D2543">
        <w:rPr>
          <w:rFonts w:ascii="Arial" w:hAnsi="Arial" w:cs="Arial"/>
          <w:bCs/>
          <w:iCs/>
          <w:sz w:val="24"/>
          <w:szCs w:val="24"/>
          <w:lang w:val="en-US"/>
        </w:rPr>
        <w:t xml:space="preserve">, </w:t>
      </w:r>
      <w:r w:rsidR="0093142B">
        <w:rPr>
          <w:rFonts w:ascii="Arial" w:hAnsi="Arial" w:cs="Arial"/>
          <w:bCs/>
          <w:iCs/>
          <w:sz w:val="24"/>
          <w:szCs w:val="24"/>
          <w:lang w:val="en-US"/>
        </w:rPr>
        <w:t>and</w:t>
      </w:r>
      <w:r w:rsidR="003D2543">
        <w:rPr>
          <w:rFonts w:ascii="Arial" w:hAnsi="Arial" w:cs="Arial"/>
          <w:bCs/>
          <w:iCs/>
          <w:sz w:val="24"/>
          <w:szCs w:val="24"/>
          <w:lang w:val="en-US"/>
        </w:rPr>
        <w:t xml:space="preserve"> the justification for consumer welfare being economic efficiency</w:t>
      </w:r>
      <w:r w:rsidR="003D2543">
        <w:rPr>
          <w:rStyle w:val="FootnoteReference"/>
          <w:rFonts w:ascii="Arial" w:hAnsi="Arial" w:cs="Arial"/>
          <w:bCs/>
          <w:iCs/>
          <w:sz w:val="24"/>
          <w:szCs w:val="24"/>
          <w:lang w:val="en-US"/>
        </w:rPr>
        <w:footnoteReference w:id="149"/>
      </w:r>
      <w:r w:rsidR="0065532C">
        <w:rPr>
          <w:rFonts w:ascii="Arial" w:hAnsi="Arial" w:cs="Arial"/>
          <w:bCs/>
          <w:iCs/>
          <w:sz w:val="24"/>
          <w:szCs w:val="24"/>
          <w:lang w:val="en-US"/>
        </w:rPr>
        <w:t>. This has resulted in a narrow and very strict containment of antitrust</w:t>
      </w:r>
      <w:r w:rsidR="00CD0B26">
        <w:rPr>
          <w:rFonts w:ascii="Arial" w:hAnsi="Arial" w:cs="Arial"/>
          <w:bCs/>
          <w:iCs/>
          <w:sz w:val="24"/>
          <w:szCs w:val="24"/>
          <w:lang w:val="en-US"/>
        </w:rPr>
        <w:t xml:space="preserve"> focused almost entirely on markets and consumers operating in those markets, to the </w:t>
      </w:r>
      <w:r w:rsidR="001B393A">
        <w:rPr>
          <w:rFonts w:ascii="Arial" w:hAnsi="Arial" w:cs="Arial"/>
          <w:bCs/>
          <w:iCs/>
          <w:sz w:val="24"/>
          <w:szCs w:val="24"/>
          <w:lang w:val="en-US"/>
        </w:rPr>
        <w:t>exclusion</w:t>
      </w:r>
      <w:r w:rsidR="00CD0B26">
        <w:rPr>
          <w:rFonts w:ascii="Arial" w:hAnsi="Arial" w:cs="Arial"/>
          <w:bCs/>
          <w:iCs/>
          <w:sz w:val="24"/>
          <w:szCs w:val="24"/>
          <w:lang w:val="en-US"/>
        </w:rPr>
        <w:t xml:space="preserve"> of the wider society. </w:t>
      </w:r>
      <w:r w:rsidR="00B66F4B">
        <w:rPr>
          <w:rFonts w:ascii="Arial" w:hAnsi="Arial" w:cs="Arial"/>
          <w:bCs/>
          <w:iCs/>
          <w:sz w:val="24"/>
          <w:szCs w:val="24"/>
          <w:lang w:val="en-US"/>
        </w:rPr>
        <w:t xml:space="preserve">This is most clearly stated by </w:t>
      </w:r>
      <w:proofErr w:type="spellStart"/>
      <w:r w:rsidR="00B66F4B">
        <w:rPr>
          <w:rFonts w:ascii="Arial" w:hAnsi="Arial" w:cs="Arial"/>
          <w:bCs/>
          <w:iCs/>
          <w:sz w:val="24"/>
          <w:szCs w:val="24"/>
          <w:lang w:val="en-US"/>
        </w:rPr>
        <w:t>Hovenkamp</w:t>
      </w:r>
      <w:proofErr w:type="spellEnd"/>
      <w:r w:rsidR="00B66F4B">
        <w:rPr>
          <w:rFonts w:ascii="Arial" w:hAnsi="Arial" w:cs="Arial"/>
          <w:bCs/>
          <w:iCs/>
          <w:sz w:val="24"/>
          <w:szCs w:val="24"/>
          <w:lang w:val="en-US"/>
        </w:rPr>
        <w:t xml:space="preserve"> that ‘antitrust is an economic, not a moral, enterprise’</w:t>
      </w:r>
      <w:r w:rsidR="00B66F4B">
        <w:rPr>
          <w:rStyle w:val="FootnoteReference"/>
          <w:rFonts w:ascii="Arial" w:hAnsi="Arial" w:cs="Arial"/>
          <w:bCs/>
          <w:iCs/>
          <w:sz w:val="24"/>
          <w:szCs w:val="24"/>
          <w:lang w:val="en-US"/>
        </w:rPr>
        <w:footnoteReference w:id="150"/>
      </w:r>
      <w:r w:rsidR="001B393A">
        <w:rPr>
          <w:rFonts w:ascii="Arial" w:hAnsi="Arial" w:cs="Arial"/>
          <w:bCs/>
          <w:iCs/>
          <w:sz w:val="24"/>
          <w:szCs w:val="24"/>
          <w:lang w:val="en-US"/>
        </w:rPr>
        <w:t>.</w:t>
      </w:r>
      <w:r w:rsidR="00B66F4B">
        <w:rPr>
          <w:rFonts w:ascii="Arial" w:hAnsi="Arial" w:cs="Arial"/>
          <w:bCs/>
          <w:iCs/>
          <w:sz w:val="24"/>
          <w:szCs w:val="24"/>
          <w:lang w:val="en-US"/>
        </w:rPr>
        <w:t xml:space="preserve"> </w:t>
      </w:r>
      <w:r w:rsidR="00CD0B26">
        <w:rPr>
          <w:rFonts w:ascii="Arial" w:hAnsi="Arial" w:cs="Arial"/>
          <w:bCs/>
          <w:iCs/>
          <w:sz w:val="24"/>
          <w:szCs w:val="24"/>
          <w:lang w:val="en-US"/>
        </w:rPr>
        <w:t>That wider society is also affected by antitrust activity, as clearly demonstrated in the LIBOR manipulation scenario, but the neoliberal Chicago School account does not take this into consideration when investigating anti-competitive activity.</w:t>
      </w:r>
      <w:r w:rsidR="001B393A">
        <w:rPr>
          <w:rFonts w:ascii="Arial" w:hAnsi="Arial" w:cs="Arial"/>
          <w:bCs/>
          <w:iCs/>
          <w:sz w:val="24"/>
          <w:szCs w:val="24"/>
          <w:lang w:val="en-US"/>
        </w:rPr>
        <w:t xml:space="preserve"> From this perspective</w:t>
      </w:r>
      <w:r w:rsidR="00A5640B">
        <w:rPr>
          <w:rFonts w:ascii="Arial" w:hAnsi="Arial" w:cs="Arial"/>
          <w:bCs/>
          <w:iCs/>
          <w:sz w:val="24"/>
          <w:szCs w:val="24"/>
          <w:lang w:val="en-US"/>
        </w:rPr>
        <w:t xml:space="preserve"> the market is mainly self-righting and as such the State should intervene only on specific and rare </w:t>
      </w:r>
      <w:r w:rsidR="00FA1C0E">
        <w:rPr>
          <w:rFonts w:ascii="Arial" w:hAnsi="Arial" w:cs="Arial"/>
          <w:bCs/>
          <w:iCs/>
          <w:sz w:val="24"/>
          <w:szCs w:val="24"/>
          <w:lang w:val="en-US"/>
        </w:rPr>
        <w:t>occasions.</w:t>
      </w:r>
    </w:p>
    <w:p w14:paraId="4078B7FF" w14:textId="0918517C" w:rsidR="00CF272B" w:rsidRDefault="00CF272B" w:rsidP="00F37892">
      <w:pPr>
        <w:jc w:val="both"/>
        <w:rPr>
          <w:rFonts w:ascii="Arial" w:hAnsi="Arial" w:cs="Arial"/>
          <w:bCs/>
          <w:iCs/>
          <w:sz w:val="24"/>
          <w:szCs w:val="24"/>
          <w:lang w:val="en-US"/>
        </w:rPr>
      </w:pPr>
      <w:r>
        <w:rPr>
          <w:rFonts w:ascii="Arial" w:hAnsi="Arial" w:cs="Arial"/>
          <w:bCs/>
          <w:iCs/>
          <w:sz w:val="24"/>
          <w:szCs w:val="24"/>
          <w:lang w:val="en-US"/>
        </w:rPr>
        <w:t>If consumer welfare was the sole aim of competition law then the competition authorities and financial regulators totally abrogated their responsibilities over the LIBOR scandal as consumers were undoubtedly damaged by financial institutions</w:t>
      </w:r>
      <w:r w:rsidR="00BE573C">
        <w:rPr>
          <w:rFonts w:ascii="Arial" w:hAnsi="Arial" w:cs="Arial"/>
          <w:bCs/>
          <w:iCs/>
          <w:sz w:val="24"/>
          <w:szCs w:val="24"/>
          <w:lang w:val="en-US"/>
        </w:rPr>
        <w:t>’</w:t>
      </w:r>
      <w:r>
        <w:rPr>
          <w:rFonts w:ascii="Arial" w:hAnsi="Arial" w:cs="Arial"/>
          <w:bCs/>
          <w:iCs/>
          <w:sz w:val="24"/>
          <w:szCs w:val="24"/>
          <w:lang w:val="en-US"/>
        </w:rPr>
        <w:t xml:space="preserve"> </w:t>
      </w:r>
      <w:r w:rsidR="003D2543">
        <w:rPr>
          <w:rFonts w:ascii="Arial" w:hAnsi="Arial" w:cs="Arial"/>
          <w:bCs/>
          <w:iCs/>
          <w:sz w:val="24"/>
          <w:szCs w:val="24"/>
          <w:lang w:val="en-US"/>
        </w:rPr>
        <w:t xml:space="preserve">horizontal price fixing. </w:t>
      </w:r>
      <w:r w:rsidR="00B561A2">
        <w:rPr>
          <w:rFonts w:ascii="Arial" w:hAnsi="Arial" w:cs="Arial"/>
          <w:bCs/>
          <w:iCs/>
          <w:sz w:val="24"/>
          <w:szCs w:val="24"/>
          <w:lang w:val="en-US"/>
        </w:rPr>
        <w:t>What interests then overrule</w:t>
      </w:r>
      <w:r w:rsidR="00F01D9D">
        <w:rPr>
          <w:rFonts w:ascii="Arial" w:hAnsi="Arial" w:cs="Arial"/>
          <w:bCs/>
          <w:iCs/>
          <w:sz w:val="24"/>
          <w:szCs w:val="24"/>
          <w:lang w:val="en-US"/>
        </w:rPr>
        <w:t>d</w:t>
      </w:r>
      <w:r w:rsidR="00B561A2">
        <w:rPr>
          <w:rFonts w:ascii="Arial" w:hAnsi="Arial" w:cs="Arial"/>
          <w:bCs/>
          <w:iCs/>
          <w:sz w:val="24"/>
          <w:szCs w:val="24"/>
          <w:lang w:val="en-US"/>
        </w:rPr>
        <w:t xml:space="preserve"> those of consumer welfare? Two can be identified. The first was the interests of the banks as drivers of national economies. </w:t>
      </w:r>
      <w:r w:rsidR="00F01D9D">
        <w:rPr>
          <w:rFonts w:ascii="Arial" w:hAnsi="Arial" w:cs="Arial"/>
          <w:bCs/>
          <w:iCs/>
          <w:sz w:val="24"/>
          <w:szCs w:val="24"/>
          <w:lang w:val="en-US"/>
        </w:rPr>
        <w:t>Following the financial and economic crisis of 2008, it was undoubtedly in the banks and bankers’ interests to avoid a deep antitrust inquiry and subsequent criminal convicti</w:t>
      </w:r>
      <w:r w:rsidR="003C7065">
        <w:rPr>
          <w:rFonts w:ascii="Arial" w:hAnsi="Arial" w:cs="Arial"/>
          <w:bCs/>
          <w:iCs/>
          <w:sz w:val="24"/>
          <w:szCs w:val="24"/>
          <w:lang w:val="en-US"/>
        </w:rPr>
        <w:t>ons. The lowballing behaviour of the banks was certainly influenced by the financial crisis, though the true motivation may have been personal profit rather then the larger picture of safeguarding a bank’s existence.</w:t>
      </w:r>
      <w:r w:rsidR="00BE573C">
        <w:rPr>
          <w:rFonts w:ascii="Arial" w:hAnsi="Arial" w:cs="Arial"/>
          <w:bCs/>
          <w:iCs/>
          <w:sz w:val="24"/>
          <w:szCs w:val="24"/>
          <w:lang w:val="en-US"/>
        </w:rPr>
        <w:t xml:space="preserve"> This interest then, although possibly wider than consumer welfare as a public interest, appears weak and undermined by the financial institutions’ self interests and trader manipulation. The second was the national interest </w:t>
      </w:r>
      <w:r w:rsidR="0093142B">
        <w:rPr>
          <w:rFonts w:ascii="Arial" w:hAnsi="Arial" w:cs="Arial"/>
          <w:bCs/>
          <w:iCs/>
          <w:sz w:val="24"/>
          <w:szCs w:val="24"/>
          <w:lang w:val="en-US"/>
        </w:rPr>
        <w:t xml:space="preserve">that </w:t>
      </w:r>
      <w:r w:rsidR="00BE573C">
        <w:rPr>
          <w:rFonts w:ascii="Arial" w:hAnsi="Arial" w:cs="Arial"/>
          <w:bCs/>
          <w:iCs/>
          <w:sz w:val="24"/>
          <w:szCs w:val="24"/>
          <w:lang w:val="en-US"/>
        </w:rPr>
        <w:t xml:space="preserve">meant that full prosecution of competition law violations could have significantly impacted on the banks ability to survive and strive competently in the global market following the financial crisis. If this full antitrust prosecution had resulted in the collapse of a bank then this could have had significant national and global </w:t>
      </w:r>
      <w:r w:rsidR="00285820">
        <w:rPr>
          <w:rFonts w:ascii="Arial" w:hAnsi="Arial" w:cs="Arial"/>
          <w:bCs/>
          <w:iCs/>
          <w:sz w:val="24"/>
          <w:szCs w:val="24"/>
          <w:lang w:val="en-US"/>
        </w:rPr>
        <w:t>consequences. This appears at first blush to be a valid interest but on closer inspection is shallow and lacks justification. The US Second Circuit</w:t>
      </w:r>
      <w:r w:rsidR="00BE573C">
        <w:rPr>
          <w:rFonts w:ascii="Arial" w:hAnsi="Arial" w:cs="Arial"/>
          <w:bCs/>
          <w:iCs/>
          <w:sz w:val="24"/>
          <w:szCs w:val="24"/>
          <w:lang w:val="en-US"/>
        </w:rPr>
        <w:t xml:space="preserve"> </w:t>
      </w:r>
      <w:r w:rsidR="00285820">
        <w:rPr>
          <w:rFonts w:ascii="Arial" w:hAnsi="Arial" w:cs="Arial"/>
          <w:bCs/>
          <w:iCs/>
          <w:sz w:val="24"/>
          <w:szCs w:val="24"/>
          <w:lang w:val="en-US"/>
        </w:rPr>
        <w:t>has raised the possibility of triple damages creating such a problem for the banks</w:t>
      </w:r>
      <w:r w:rsidR="002C7C37">
        <w:rPr>
          <w:rStyle w:val="FootnoteReference"/>
          <w:rFonts w:ascii="Arial" w:hAnsi="Arial" w:cs="Arial"/>
          <w:bCs/>
          <w:iCs/>
          <w:sz w:val="24"/>
          <w:szCs w:val="24"/>
          <w:lang w:val="en-US"/>
        </w:rPr>
        <w:footnoteReference w:id="151"/>
      </w:r>
      <w:r w:rsidR="00285820">
        <w:rPr>
          <w:rFonts w:ascii="Arial" w:hAnsi="Arial" w:cs="Arial"/>
          <w:bCs/>
          <w:iCs/>
          <w:sz w:val="24"/>
          <w:szCs w:val="24"/>
          <w:lang w:val="en-US"/>
        </w:rPr>
        <w:t xml:space="preserve"> but the evidence would suggest that it is rare for triple damages to apply</w:t>
      </w:r>
      <w:r w:rsidR="002C7C37">
        <w:rPr>
          <w:rStyle w:val="FootnoteReference"/>
          <w:rFonts w:ascii="Arial" w:hAnsi="Arial" w:cs="Arial"/>
          <w:bCs/>
          <w:iCs/>
          <w:sz w:val="24"/>
          <w:szCs w:val="24"/>
          <w:lang w:val="en-US"/>
        </w:rPr>
        <w:footnoteReference w:id="152"/>
      </w:r>
      <w:r w:rsidR="00285820">
        <w:rPr>
          <w:rFonts w:ascii="Arial" w:hAnsi="Arial" w:cs="Arial"/>
          <w:bCs/>
          <w:iCs/>
          <w:sz w:val="24"/>
          <w:szCs w:val="24"/>
          <w:lang w:val="en-US"/>
        </w:rPr>
        <w:t xml:space="preserve"> and</w:t>
      </w:r>
      <w:r w:rsidR="002C7C37">
        <w:rPr>
          <w:rFonts w:ascii="Arial" w:hAnsi="Arial" w:cs="Arial"/>
          <w:bCs/>
          <w:iCs/>
          <w:sz w:val="24"/>
          <w:szCs w:val="24"/>
          <w:lang w:val="en-US"/>
        </w:rPr>
        <w:t xml:space="preserve"> that the banks are likely to settle civil private actions</w:t>
      </w:r>
      <w:r w:rsidR="002C7C37">
        <w:rPr>
          <w:rStyle w:val="FootnoteReference"/>
          <w:rFonts w:ascii="Arial" w:hAnsi="Arial" w:cs="Arial"/>
          <w:bCs/>
          <w:iCs/>
          <w:sz w:val="24"/>
          <w:szCs w:val="24"/>
          <w:lang w:val="en-US"/>
        </w:rPr>
        <w:footnoteReference w:id="153"/>
      </w:r>
      <w:r w:rsidR="009C5BD0">
        <w:rPr>
          <w:rFonts w:ascii="Arial" w:hAnsi="Arial" w:cs="Arial"/>
          <w:bCs/>
          <w:iCs/>
          <w:sz w:val="24"/>
          <w:szCs w:val="24"/>
          <w:lang w:val="en-US"/>
        </w:rPr>
        <w:t>. This then undermines the national interest argument.</w:t>
      </w:r>
    </w:p>
    <w:p w14:paraId="15F1DF4B" w14:textId="04FAB53A" w:rsidR="009C5BD0" w:rsidRDefault="000F3255" w:rsidP="00F37892">
      <w:pPr>
        <w:jc w:val="both"/>
        <w:rPr>
          <w:rFonts w:ascii="Arial" w:hAnsi="Arial" w:cs="Arial"/>
          <w:bCs/>
          <w:iCs/>
          <w:sz w:val="24"/>
          <w:szCs w:val="24"/>
          <w:lang w:val="en-US"/>
        </w:rPr>
      </w:pPr>
      <w:r>
        <w:rPr>
          <w:rFonts w:ascii="Arial" w:hAnsi="Arial" w:cs="Arial"/>
          <w:bCs/>
          <w:iCs/>
          <w:sz w:val="24"/>
          <w:szCs w:val="24"/>
          <w:lang w:val="en-US"/>
        </w:rPr>
        <w:t>So the limited competition law investigation remains unjustified, particularly for the UK. In the EU</w:t>
      </w:r>
      <w:r w:rsidR="00F96810">
        <w:rPr>
          <w:rFonts w:ascii="Arial" w:hAnsi="Arial" w:cs="Arial"/>
          <w:bCs/>
          <w:iCs/>
          <w:sz w:val="24"/>
          <w:szCs w:val="24"/>
          <w:lang w:val="en-US"/>
        </w:rPr>
        <w:t>,</w:t>
      </w:r>
      <w:r>
        <w:rPr>
          <w:rFonts w:ascii="Arial" w:hAnsi="Arial" w:cs="Arial"/>
          <w:bCs/>
          <w:iCs/>
          <w:sz w:val="24"/>
          <w:szCs w:val="24"/>
          <w:lang w:val="en-US"/>
        </w:rPr>
        <w:t xml:space="preserve"> </w:t>
      </w:r>
      <w:proofErr w:type="gramStart"/>
      <w:r>
        <w:rPr>
          <w:rFonts w:ascii="Arial" w:hAnsi="Arial" w:cs="Arial"/>
          <w:bCs/>
          <w:iCs/>
          <w:sz w:val="24"/>
          <w:szCs w:val="24"/>
          <w:lang w:val="en-US"/>
        </w:rPr>
        <w:t xml:space="preserve">benchmark manipulation was prosecuted to the maximum effect </w:t>
      </w:r>
      <w:r w:rsidR="001D0170">
        <w:rPr>
          <w:rFonts w:ascii="Arial" w:hAnsi="Arial" w:cs="Arial"/>
          <w:bCs/>
          <w:iCs/>
          <w:sz w:val="24"/>
          <w:szCs w:val="24"/>
          <w:lang w:val="en-US"/>
        </w:rPr>
        <w:t xml:space="preserve">by </w:t>
      </w:r>
      <w:r w:rsidR="001D0170">
        <w:rPr>
          <w:rFonts w:ascii="Arial" w:hAnsi="Arial" w:cs="Arial"/>
          <w:bCs/>
          <w:iCs/>
          <w:sz w:val="24"/>
          <w:szCs w:val="24"/>
          <w:lang w:val="en-US"/>
        </w:rPr>
        <w:lastRenderedPageBreak/>
        <w:t>the Commission</w:t>
      </w:r>
      <w:proofErr w:type="gramEnd"/>
      <w:r w:rsidR="001D0170">
        <w:rPr>
          <w:rFonts w:ascii="Arial" w:hAnsi="Arial" w:cs="Arial"/>
          <w:bCs/>
          <w:iCs/>
          <w:sz w:val="24"/>
          <w:szCs w:val="24"/>
          <w:lang w:val="en-US"/>
        </w:rPr>
        <w:t>, but in the US, and even more in the UK, there has been very limited action. It could possibly be explained by an over-complicated and over-crowded regulatory environment where the competition law violations took place within multiple jurisdictions. As such</w:t>
      </w:r>
      <w:r w:rsidR="0093142B">
        <w:rPr>
          <w:rFonts w:ascii="Arial" w:hAnsi="Arial" w:cs="Arial"/>
          <w:bCs/>
          <w:iCs/>
          <w:sz w:val="24"/>
          <w:szCs w:val="24"/>
          <w:lang w:val="en-US"/>
        </w:rPr>
        <w:t>,</w:t>
      </w:r>
      <w:r w:rsidR="001D0170">
        <w:rPr>
          <w:rFonts w:ascii="Arial" w:hAnsi="Arial" w:cs="Arial"/>
          <w:bCs/>
          <w:iCs/>
          <w:sz w:val="24"/>
          <w:szCs w:val="24"/>
          <w:lang w:val="en-US"/>
        </w:rPr>
        <w:t xml:space="preserve"> liaison between different agencies and across borders meant that competition matters slipped between the investigatory cracks. This would appear to be supported by the lack of LIBOR commentary in the UK Independent Commission on Banking’s Report, and the lack of competition law commentary in the Wheatley Report on LIBOR</w:t>
      </w:r>
      <w:r w:rsidR="001D0170">
        <w:rPr>
          <w:rStyle w:val="FootnoteReference"/>
          <w:rFonts w:ascii="Arial" w:hAnsi="Arial" w:cs="Arial"/>
          <w:bCs/>
          <w:iCs/>
          <w:sz w:val="24"/>
          <w:szCs w:val="24"/>
          <w:lang w:val="en-US"/>
        </w:rPr>
        <w:footnoteReference w:id="154"/>
      </w:r>
      <w:r w:rsidR="00F96810">
        <w:rPr>
          <w:rFonts w:ascii="Arial" w:hAnsi="Arial" w:cs="Arial"/>
          <w:bCs/>
          <w:iCs/>
          <w:sz w:val="24"/>
          <w:szCs w:val="24"/>
          <w:lang w:val="en-US"/>
        </w:rPr>
        <w:t xml:space="preserve">. However, the use of DPAs and limited antitrust criminal charges in the US, coupled with no horizontal price fixing investigation or Cartel Offence charges in the UK, suggest that the financial service industries </w:t>
      </w:r>
      <w:r w:rsidR="00C16344">
        <w:rPr>
          <w:rFonts w:ascii="Arial" w:hAnsi="Arial" w:cs="Arial"/>
          <w:bCs/>
          <w:iCs/>
          <w:sz w:val="24"/>
          <w:szCs w:val="24"/>
          <w:lang w:val="en-US"/>
        </w:rPr>
        <w:t>were regarded as being too delicate for further competition law scrutiny.</w:t>
      </w:r>
    </w:p>
    <w:p w14:paraId="1D1919E5" w14:textId="575665C2" w:rsidR="00C16344" w:rsidRPr="00C16344" w:rsidRDefault="00C16344" w:rsidP="00F37892">
      <w:pPr>
        <w:jc w:val="both"/>
        <w:rPr>
          <w:rFonts w:ascii="Arial" w:hAnsi="Arial" w:cs="Arial"/>
          <w:bCs/>
          <w:iCs/>
          <w:sz w:val="24"/>
          <w:szCs w:val="24"/>
          <w:u w:val="single"/>
          <w:lang w:val="en-US"/>
        </w:rPr>
      </w:pPr>
      <w:r>
        <w:rPr>
          <w:rFonts w:ascii="Arial" w:hAnsi="Arial" w:cs="Arial"/>
          <w:bCs/>
          <w:iCs/>
          <w:sz w:val="24"/>
          <w:szCs w:val="24"/>
          <w:lang w:val="en-US"/>
        </w:rPr>
        <w:tab/>
        <w:t>4.</w:t>
      </w:r>
      <w:r>
        <w:rPr>
          <w:rFonts w:ascii="Arial" w:hAnsi="Arial" w:cs="Arial"/>
          <w:bCs/>
          <w:iCs/>
          <w:sz w:val="24"/>
          <w:szCs w:val="24"/>
          <w:lang w:val="en-US"/>
        </w:rPr>
        <w:tab/>
      </w:r>
      <w:r>
        <w:rPr>
          <w:rFonts w:ascii="Arial" w:hAnsi="Arial" w:cs="Arial"/>
          <w:bCs/>
          <w:iCs/>
          <w:sz w:val="24"/>
          <w:szCs w:val="24"/>
          <w:u w:val="single"/>
          <w:lang w:val="en-US"/>
        </w:rPr>
        <w:t>Justifications for Competition Law</w:t>
      </w:r>
    </w:p>
    <w:p w14:paraId="650581C5" w14:textId="3D4A9A18" w:rsidR="003172F7" w:rsidRDefault="00C16344" w:rsidP="00F37892">
      <w:pPr>
        <w:jc w:val="both"/>
        <w:rPr>
          <w:rFonts w:ascii="Arial" w:hAnsi="Arial" w:cs="Arial"/>
          <w:bCs/>
          <w:iCs/>
          <w:sz w:val="24"/>
          <w:szCs w:val="24"/>
          <w:lang w:val="en-US"/>
        </w:rPr>
      </w:pPr>
      <w:r>
        <w:rPr>
          <w:rFonts w:ascii="Arial" w:hAnsi="Arial" w:cs="Arial"/>
          <w:bCs/>
          <w:iCs/>
          <w:sz w:val="24"/>
          <w:szCs w:val="24"/>
          <w:lang w:val="en-US"/>
        </w:rPr>
        <w:t xml:space="preserve">The final part of this chapter is to consider </w:t>
      </w:r>
      <w:r w:rsidR="00DF0B15">
        <w:rPr>
          <w:rFonts w:ascii="Arial" w:hAnsi="Arial" w:cs="Arial"/>
          <w:bCs/>
          <w:iCs/>
          <w:sz w:val="24"/>
          <w:szCs w:val="24"/>
          <w:lang w:val="en-US"/>
        </w:rPr>
        <w:t>briefly</w:t>
      </w:r>
      <w:r w:rsidR="008100E0">
        <w:rPr>
          <w:rStyle w:val="FootnoteReference"/>
          <w:rFonts w:ascii="Arial" w:hAnsi="Arial" w:cs="Arial"/>
          <w:bCs/>
          <w:iCs/>
          <w:sz w:val="24"/>
          <w:szCs w:val="24"/>
          <w:lang w:val="en-US"/>
        </w:rPr>
        <w:footnoteReference w:id="155"/>
      </w:r>
      <w:r w:rsidR="00DF0B15">
        <w:rPr>
          <w:rFonts w:ascii="Arial" w:hAnsi="Arial" w:cs="Arial"/>
          <w:bCs/>
          <w:iCs/>
          <w:sz w:val="24"/>
          <w:szCs w:val="24"/>
          <w:lang w:val="en-US"/>
        </w:rPr>
        <w:t xml:space="preserve"> </w:t>
      </w:r>
      <w:r w:rsidR="000567D0">
        <w:rPr>
          <w:rFonts w:ascii="Arial" w:hAnsi="Arial" w:cs="Arial"/>
          <w:bCs/>
          <w:iCs/>
          <w:sz w:val="24"/>
          <w:szCs w:val="24"/>
          <w:lang w:val="en-US"/>
        </w:rPr>
        <w:t>the philosophical</w:t>
      </w:r>
      <w:r>
        <w:rPr>
          <w:rFonts w:ascii="Arial" w:hAnsi="Arial" w:cs="Arial"/>
          <w:bCs/>
          <w:iCs/>
          <w:sz w:val="24"/>
          <w:szCs w:val="24"/>
          <w:lang w:val="en-US"/>
        </w:rPr>
        <w:t xml:space="preserve"> underpinning </w:t>
      </w:r>
      <w:r w:rsidR="00DF0B15">
        <w:rPr>
          <w:rFonts w:ascii="Arial" w:hAnsi="Arial" w:cs="Arial"/>
          <w:bCs/>
          <w:iCs/>
          <w:sz w:val="24"/>
          <w:szCs w:val="24"/>
          <w:lang w:val="en-US"/>
        </w:rPr>
        <w:t xml:space="preserve">of </w:t>
      </w:r>
      <w:r>
        <w:rPr>
          <w:rFonts w:ascii="Arial" w:hAnsi="Arial" w:cs="Arial"/>
          <w:bCs/>
          <w:iCs/>
          <w:sz w:val="24"/>
          <w:szCs w:val="24"/>
          <w:lang w:val="en-US"/>
        </w:rPr>
        <w:t>antitrust on a broader spectrum. It is clear from the discussion above that the weak competition regulatory response to LIBOR manipulation did not protect consumer welfare. If consumer welfare was not protected then it must be questioned if it can satisfactorily underpin an antitrust regime</w:t>
      </w:r>
      <w:r w:rsidR="005A7C7B">
        <w:rPr>
          <w:rStyle w:val="FootnoteReference"/>
          <w:rFonts w:ascii="Arial" w:hAnsi="Arial" w:cs="Arial"/>
          <w:bCs/>
          <w:iCs/>
          <w:sz w:val="24"/>
          <w:szCs w:val="24"/>
          <w:lang w:val="en-US"/>
        </w:rPr>
        <w:footnoteReference w:id="156"/>
      </w:r>
      <w:r>
        <w:rPr>
          <w:rFonts w:ascii="Arial" w:hAnsi="Arial" w:cs="Arial"/>
          <w:bCs/>
          <w:iCs/>
          <w:sz w:val="24"/>
          <w:szCs w:val="24"/>
          <w:lang w:val="en-US"/>
        </w:rPr>
        <w:t xml:space="preserve">. </w:t>
      </w:r>
      <w:r w:rsidR="002236DA">
        <w:rPr>
          <w:rFonts w:ascii="Arial" w:hAnsi="Arial" w:cs="Arial"/>
          <w:bCs/>
          <w:iCs/>
          <w:sz w:val="24"/>
          <w:szCs w:val="24"/>
          <w:lang w:val="en-US"/>
        </w:rPr>
        <w:t xml:space="preserve">A number of commentators have started to question this </w:t>
      </w:r>
      <w:r>
        <w:rPr>
          <w:rFonts w:ascii="Arial" w:hAnsi="Arial" w:cs="Arial"/>
          <w:bCs/>
          <w:iCs/>
          <w:sz w:val="24"/>
          <w:szCs w:val="24"/>
          <w:lang w:val="en-US"/>
        </w:rPr>
        <w:t xml:space="preserve">consumer </w:t>
      </w:r>
      <w:proofErr w:type="spellStart"/>
      <w:r>
        <w:rPr>
          <w:rFonts w:ascii="Arial" w:hAnsi="Arial" w:cs="Arial"/>
          <w:bCs/>
          <w:iCs/>
          <w:sz w:val="24"/>
          <w:szCs w:val="24"/>
          <w:lang w:val="en-US"/>
        </w:rPr>
        <w:t>welfarist</w:t>
      </w:r>
      <w:proofErr w:type="spellEnd"/>
      <w:r w:rsidR="00DF0B15">
        <w:rPr>
          <w:rFonts w:ascii="Arial" w:hAnsi="Arial" w:cs="Arial"/>
          <w:bCs/>
          <w:iCs/>
          <w:sz w:val="24"/>
          <w:szCs w:val="24"/>
          <w:lang w:val="en-US"/>
        </w:rPr>
        <w:t>,</w:t>
      </w:r>
      <w:r>
        <w:rPr>
          <w:rFonts w:ascii="Arial" w:hAnsi="Arial" w:cs="Arial"/>
          <w:bCs/>
          <w:iCs/>
          <w:sz w:val="24"/>
          <w:szCs w:val="24"/>
          <w:lang w:val="en-US"/>
        </w:rPr>
        <w:t xml:space="preserve"> </w:t>
      </w:r>
      <w:r w:rsidR="002236DA">
        <w:rPr>
          <w:rFonts w:ascii="Arial" w:hAnsi="Arial" w:cs="Arial"/>
          <w:bCs/>
          <w:iCs/>
          <w:sz w:val="24"/>
          <w:szCs w:val="24"/>
          <w:lang w:val="en-US"/>
        </w:rPr>
        <w:t xml:space="preserve">constricted approach with the quite significant emasculation of competition law as a tool of public policy. </w:t>
      </w:r>
      <w:r w:rsidR="005A7C7B">
        <w:rPr>
          <w:rFonts w:ascii="Arial" w:hAnsi="Arial" w:cs="Arial"/>
          <w:bCs/>
          <w:iCs/>
          <w:sz w:val="24"/>
          <w:szCs w:val="24"/>
          <w:lang w:val="en-US"/>
        </w:rPr>
        <w:t>Black</w:t>
      </w:r>
      <w:r w:rsidR="005A7C7B">
        <w:rPr>
          <w:rStyle w:val="FootnoteReference"/>
          <w:rFonts w:ascii="Arial" w:hAnsi="Arial" w:cs="Arial"/>
          <w:bCs/>
          <w:iCs/>
          <w:sz w:val="24"/>
          <w:szCs w:val="24"/>
          <w:lang w:val="en-US"/>
        </w:rPr>
        <w:footnoteReference w:id="157"/>
      </w:r>
      <w:r w:rsidR="005A7C7B">
        <w:rPr>
          <w:rFonts w:ascii="Arial" w:hAnsi="Arial" w:cs="Arial"/>
          <w:bCs/>
          <w:iCs/>
          <w:sz w:val="24"/>
          <w:szCs w:val="24"/>
          <w:lang w:val="en-US"/>
        </w:rPr>
        <w:t xml:space="preserve"> </w:t>
      </w:r>
      <w:r w:rsidR="005A7C7B">
        <w:rPr>
          <w:rFonts w:ascii="Arial" w:hAnsi="Arial" w:cs="Arial"/>
          <w:sz w:val="24"/>
          <w:szCs w:val="24"/>
        </w:rPr>
        <w:t>suggested in 2005 that he would analyse competition law through a philosophical approach, but on closer inspection this was merely based on economics and not philosophy.</w:t>
      </w:r>
      <w:r w:rsidR="005A7C7B">
        <w:rPr>
          <w:rFonts w:ascii="Arial" w:hAnsi="Arial" w:cs="Arial"/>
          <w:bCs/>
          <w:iCs/>
          <w:sz w:val="24"/>
          <w:szCs w:val="24"/>
          <w:lang w:val="en-US"/>
        </w:rPr>
        <w:t xml:space="preserve"> </w:t>
      </w:r>
      <w:r w:rsidR="002701AD">
        <w:rPr>
          <w:rFonts w:ascii="Arial" w:hAnsi="Arial" w:cs="Arial"/>
          <w:bCs/>
          <w:iCs/>
          <w:sz w:val="24"/>
          <w:szCs w:val="24"/>
          <w:lang w:val="en-US"/>
        </w:rPr>
        <w:t>Atkinson</w:t>
      </w:r>
      <w:r w:rsidR="00007896">
        <w:rPr>
          <w:rStyle w:val="FootnoteReference"/>
          <w:rFonts w:ascii="Arial" w:hAnsi="Arial" w:cs="Arial"/>
          <w:bCs/>
          <w:iCs/>
          <w:sz w:val="24"/>
          <w:szCs w:val="24"/>
          <w:lang w:val="en-US"/>
        </w:rPr>
        <w:footnoteReference w:id="158"/>
      </w:r>
      <w:r w:rsidR="002701AD">
        <w:rPr>
          <w:rFonts w:ascii="Arial" w:hAnsi="Arial" w:cs="Arial"/>
          <w:bCs/>
          <w:iCs/>
          <w:sz w:val="24"/>
          <w:szCs w:val="24"/>
          <w:lang w:val="en-US"/>
        </w:rPr>
        <w:t xml:space="preserve"> has suggested that antitrust policy should be </w:t>
      </w:r>
      <w:r w:rsidR="00007896">
        <w:rPr>
          <w:rFonts w:ascii="Arial" w:hAnsi="Arial" w:cs="Arial"/>
          <w:bCs/>
          <w:iCs/>
          <w:sz w:val="24"/>
          <w:szCs w:val="24"/>
          <w:lang w:val="en-US"/>
        </w:rPr>
        <w:t>adjusted to include objective</w:t>
      </w:r>
      <w:r w:rsidR="00BC35D7">
        <w:rPr>
          <w:rFonts w:ascii="Arial" w:hAnsi="Arial" w:cs="Arial"/>
          <w:bCs/>
          <w:iCs/>
          <w:sz w:val="24"/>
          <w:szCs w:val="24"/>
          <w:lang w:val="en-US"/>
        </w:rPr>
        <w:t>s based on distributive justic</w:t>
      </w:r>
      <w:r w:rsidR="00DF0B15">
        <w:rPr>
          <w:rFonts w:ascii="Arial" w:hAnsi="Arial" w:cs="Arial"/>
          <w:bCs/>
          <w:iCs/>
          <w:sz w:val="24"/>
          <w:szCs w:val="24"/>
          <w:lang w:val="en-US"/>
        </w:rPr>
        <w:t>e</w:t>
      </w:r>
      <w:r>
        <w:rPr>
          <w:rFonts w:ascii="Arial" w:hAnsi="Arial" w:cs="Arial"/>
          <w:bCs/>
          <w:iCs/>
          <w:sz w:val="24"/>
          <w:szCs w:val="24"/>
          <w:lang w:val="en-US"/>
        </w:rPr>
        <w:t>.</w:t>
      </w:r>
      <w:r w:rsidR="00DF0B15">
        <w:rPr>
          <w:rFonts w:ascii="Arial" w:hAnsi="Arial" w:cs="Arial"/>
          <w:bCs/>
          <w:iCs/>
          <w:sz w:val="24"/>
          <w:szCs w:val="24"/>
          <w:lang w:val="en-US"/>
        </w:rPr>
        <w:t xml:space="preserve"> This is an interesting approach but has yet to be further developed. Whelan</w:t>
      </w:r>
      <w:r w:rsidR="00DF0B15">
        <w:rPr>
          <w:rStyle w:val="FootnoteReference"/>
          <w:rFonts w:ascii="Arial" w:hAnsi="Arial" w:cs="Arial"/>
          <w:bCs/>
          <w:iCs/>
          <w:sz w:val="24"/>
          <w:szCs w:val="24"/>
          <w:lang w:val="en-US"/>
        </w:rPr>
        <w:footnoteReference w:id="159"/>
      </w:r>
      <w:r w:rsidR="000567D0">
        <w:rPr>
          <w:rFonts w:ascii="Arial" w:hAnsi="Arial" w:cs="Arial"/>
          <w:bCs/>
          <w:iCs/>
          <w:sz w:val="24"/>
          <w:szCs w:val="24"/>
          <w:lang w:val="en-US"/>
        </w:rPr>
        <w:t xml:space="preserve"> </w:t>
      </w:r>
      <w:r w:rsidR="00DF0B15">
        <w:rPr>
          <w:rFonts w:ascii="Arial" w:hAnsi="Arial" w:cs="Arial"/>
          <w:bCs/>
          <w:iCs/>
          <w:sz w:val="24"/>
          <w:szCs w:val="24"/>
          <w:lang w:val="en-US"/>
        </w:rPr>
        <w:t xml:space="preserve">investigates the justificatory theory of the Cartel Offence, but this </w:t>
      </w:r>
      <w:r w:rsidR="000567D0">
        <w:rPr>
          <w:rFonts w:ascii="Arial" w:hAnsi="Arial" w:cs="Arial"/>
          <w:bCs/>
          <w:iCs/>
          <w:sz w:val="24"/>
          <w:szCs w:val="24"/>
          <w:lang w:val="en-US"/>
        </w:rPr>
        <w:t xml:space="preserve">is </w:t>
      </w:r>
      <w:r w:rsidR="00DF0B15">
        <w:rPr>
          <w:rFonts w:ascii="Arial" w:hAnsi="Arial" w:cs="Arial"/>
          <w:bCs/>
          <w:iCs/>
          <w:sz w:val="24"/>
          <w:szCs w:val="24"/>
          <w:lang w:val="en-US"/>
        </w:rPr>
        <w:t xml:space="preserve">more directed towards the philosophy underpinning criminal punishment rather than competition law </w:t>
      </w:r>
      <w:r w:rsidR="00DF0B15">
        <w:rPr>
          <w:rFonts w:ascii="Arial" w:hAnsi="Arial" w:cs="Arial"/>
          <w:bCs/>
          <w:i/>
          <w:iCs/>
          <w:sz w:val="24"/>
          <w:szCs w:val="24"/>
          <w:lang w:val="en-US"/>
        </w:rPr>
        <w:t>per se</w:t>
      </w:r>
      <w:r w:rsidR="00DF0B15">
        <w:rPr>
          <w:rFonts w:ascii="Arial" w:hAnsi="Arial" w:cs="Arial"/>
          <w:bCs/>
          <w:iCs/>
          <w:sz w:val="24"/>
          <w:szCs w:val="24"/>
          <w:lang w:val="en-US"/>
        </w:rPr>
        <w:t>.</w:t>
      </w:r>
      <w:r>
        <w:rPr>
          <w:rFonts w:ascii="Arial" w:hAnsi="Arial" w:cs="Arial"/>
          <w:bCs/>
          <w:iCs/>
          <w:sz w:val="24"/>
          <w:szCs w:val="24"/>
          <w:lang w:val="en-US"/>
        </w:rPr>
        <w:t xml:space="preserve"> </w:t>
      </w:r>
      <w:r w:rsidR="000567D0">
        <w:rPr>
          <w:rFonts w:ascii="Arial" w:hAnsi="Arial" w:cs="Arial"/>
          <w:bCs/>
          <w:iCs/>
          <w:sz w:val="24"/>
          <w:szCs w:val="24"/>
          <w:lang w:val="en-US"/>
        </w:rPr>
        <w:t xml:space="preserve">Similarly </w:t>
      </w:r>
      <w:proofErr w:type="spellStart"/>
      <w:r w:rsidR="000567D0">
        <w:rPr>
          <w:rFonts w:ascii="Arial" w:hAnsi="Arial" w:cs="Arial"/>
          <w:bCs/>
          <w:iCs/>
          <w:sz w:val="24"/>
          <w:szCs w:val="24"/>
          <w:lang w:val="en-US"/>
        </w:rPr>
        <w:t>Wardhaugh</w:t>
      </w:r>
      <w:proofErr w:type="spellEnd"/>
      <w:r w:rsidR="000567D0">
        <w:rPr>
          <w:rStyle w:val="FootnoteReference"/>
          <w:rFonts w:ascii="Arial" w:hAnsi="Arial" w:cs="Arial"/>
          <w:bCs/>
          <w:iCs/>
          <w:sz w:val="24"/>
          <w:szCs w:val="24"/>
          <w:lang w:val="en-US"/>
        </w:rPr>
        <w:footnoteReference w:id="160"/>
      </w:r>
      <w:r w:rsidR="000567D0">
        <w:rPr>
          <w:rFonts w:ascii="Arial" w:hAnsi="Arial" w:cs="Arial"/>
          <w:bCs/>
          <w:iCs/>
          <w:sz w:val="24"/>
          <w:szCs w:val="24"/>
          <w:lang w:val="en-US"/>
        </w:rPr>
        <w:t xml:space="preserve"> </w:t>
      </w:r>
      <w:r w:rsidR="000567D0" w:rsidRPr="000567D0">
        <w:rPr>
          <w:rFonts w:ascii="Arial" w:hAnsi="Arial" w:cs="Arial"/>
          <w:bCs/>
          <w:iCs/>
          <w:sz w:val="24"/>
          <w:szCs w:val="24"/>
        </w:rPr>
        <w:t>uses the philosophy of JS Mill and John Rawls to establish a normative liberal justification for criminal law as it applies to antitrust, rather than as a justification for competition law</w:t>
      </w:r>
      <w:r w:rsidR="000567D0">
        <w:rPr>
          <w:rFonts w:ascii="Arial" w:hAnsi="Arial" w:cs="Arial"/>
          <w:bCs/>
          <w:iCs/>
          <w:sz w:val="24"/>
          <w:szCs w:val="24"/>
        </w:rPr>
        <w:t>.</w:t>
      </w:r>
      <w:r w:rsidR="000567D0" w:rsidRPr="000567D0">
        <w:rPr>
          <w:rFonts w:ascii="Arial" w:hAnsi="Arial" w:cs="Arial"/>
          <w:bCs/>
          <w:iCs/>
          <w:sz w:val="24"/>
          <w:szCs w:val="24"/>
          <w:lang w:val="en-US"/>
        </w:rPr>
        <w:t xml:space="preserve"> </w:t>
      </w:r>
      <w:r w:rsidR="005A7C7B">
        <w:rPr>
          <w:rFonts w:ascii="Arial" w:hAnsi="Arial" w:cs="Arial"/>
          <w:bCs/>
          <w:iCs/>
          <w:sz w:val="24"/>
          <w:szCs w:val="24"/>
          <w:lang w:val="en-US"/>
        </w:rPr>
        <w:t>This demonstrates much of the literatu</w:t>
      </w:r>
      <w:r w:rsidR="003172F7">
        <w:rPr>
          <w:rFonts w:ascii="Arial" w:hAnsi="Arial" w:cs="Arial"/>
          <w:bCs/>
          <w:iCs/>
          <w:sz w:val="24"/>
          <w:szCs w:val="24"/>
          <w:lang w:val="en-US"/>
        </w:rPr>
        <w:t xml:space="preserve">re where philosophy is used to justify part of the enforcement mechanism of competition law, descends into an alternative disciplinary justification of antitrust, or makes a suggestion for change without any justificatory argument. </w:t>
      </w:r>
    </w:p>
    <w:p w14:paraId="16245A1A" w14:textId="25243669" w:rsidR="002236DA" w:rsidRDefault="003172F7" w:rsidP="00F37892">
      <w:pPr>
        <w:jc w:val="both"/>
        <w:rPr>
          <w:rFonts w:ascii="Arial" w:hAnsi="Arial" w:cs="Arial"/>
          <w:bCs/>
          <w:iCs/>
          <w:sz w:val="24"/>
          <w:szCs w:val="24"/>
          <w:lang w:val="en-US"/>
        </w:rPr>
      </w:pPr>
      <w:r>
        <w:rPr>
          <w:rFonts w:ascii="Arial" w:hAnsi="Arial" w:cs="Arial"/>
          <w:bCs/>
          <w:iCs/>
          <w:sz w:val="24"/>
          <w:szCs w:val="24"/>
          <w:lang w:val="en-US"/>
        </w:rPr>
        <w:lastRenderedPageBreak/>
        <w:t xml:space="preserve">One of the more interesting attempts to fashion a new theory of antitrust justification is that of </w:t>
      </w:r>
      <w:r w:rsidR="00BC35D7">
        <w:rPr>
          <w:rFonts w:ascii="Arial" w:hAnsi="Arial" w:cs="Arial"/>
          <w:bCs/>
          <w:iCs/>
          <w:sz w:val="24"/>
          <w:szCs w:val="24"/>
          <w:lang w:val="en-US"/>
        </w:rPr>
        <w:t>Ayal</w:t>
      </w:r>
      <w:r w:rsidR="002C5FCC">
        <w:rPr>
          <w:rStyle w:val="FootnoteReference"/>
          <w:rFonts w:ascii="Arial" w:hAnsi="Arial" w:cs="Arial"/>
          <w:bCs/>
          <w:iCs/>
          <w:sz w:val="24"/>
          <w:szCs w:val="24"/>
          <w:lang w:val="en-US"/>
        </w:rPr>
        <w:footnoteReference w:id="161"/>
      </w:r>
      <w:r>
        <w:rPr>
          <w:rFonts w:ascii="Arial" w:hAnsi="Arial" w:cs="Arial"/>
          <w:bCs/>
          <w:iCs/>
          <w:sz w:val="24"/>
          <w:szCs w:val="24"/>
          <w:lang w:val="en-US"/>
        </w:rPr>
        <w:t xml:space="preserve"> in which he</w:t>
      </w:r>
      <w:r w:rsidR="00287699">
        <w:rPr>
          <w:rFonts w:ascii="Arial" w:hAnsi="Arial" w:cs="Arial"/>
          <w:bCs/>
          <w:iCs/>
          <w:sz w:val="24"/>
          <w:szCs w:val="24"/>
          <w:lang w:val="en-US"/>
        </w:rPr>
        <w:t xml:space="preserve"> identifies societal goals</w:t>
      </w:r>
      <w:r w:rsidR="002C5FCC">
        <w:rPr>
          <w:rStyle w:val="FootnoteReference"/>
          <w:rFonts w:ascii="Arial" w:hAnsi="Arial" w:cs="Arial"/>
          <w:bCs/>
          <w:iCs/>
          <w:sz w:val="24"/>
          <w:szCs w:val="24"/>
          <w:lang w:val="en-US"/>
        </w:rPr>
        <w:footnoteReference w:id="162"/>
      </w:r>
      <w:r w:rsidR="00287699">
        <w:rPr>
          <w:rFonts w:ascii="Arial" w:hAnsi="Arial" w:cs="Arial"/>
          <w:bCs/>
          <w:iCs/>
          <w:sz w:val="24"/>
          <w:szCs w:val="24"/>
          <w:lang w:val="en-US"/>
        </w:rPr>
        <w:t>, economic efficiency predominantly, and individual goals, based on fairness</w:t>
      </w:r>
      <w:r w:rsidR="002C5FCC">
        <w:rPr>
          <w:rStyle w:val="FootnoteReference"/>
          <w:rFonts w:ascii="Arial" w:hAnsi="Arial" w:cs="Arial"/>
          <w:bCs/>
          <w:iCs/>
          <w:sz w:val="24"/>
          <w:szCs w:val="24"/>
          <w:lang w:val="en-US"/>
        </w:rPr>
        <w:footnoteReference w:id="163"/>
      </w:r>
      <w:r>
        <w:rPr>
          <w:rFonts w:ascii="Arial" w:hAnsi="Arial" w:cs="Arial"/>
          <w:bCs/>
          <w:iCs/>
          <w:sz w:val="24"/>
          <w:szCs w:val="24"/>
          <w:lang w:val="en-US"/>
        </w:rPr>
        <w:t>.</w:t>
      </w:r>
      <w:r w:rsidR="00287699">
        <w:rPr>
          <w:rFonts w:ascii="Arial" w:hAnsi="Arial" w:cs="Arial"/>
          <w:bCs/>
          <w:iCs/>
          <w:sz w:val="24"/>
          <w:szCs w:val="24"/>
          <w:lang w:val="en-US"/>
        </w:rPr>
        <w:t xml:space="preserve"> Fairness comes into play, as there has to be a balancing exercise</w:t>
      </w:r>
      <w:r w:rsidR="002C5FCC">
        <w:rPr>
          <w:rStyle w:val="FootnoteReference"/>
          <w:rFonts w:ascii="Arial" w:hAnsi="Arial" w:cs="Arial"/>
          <w:bCs/>
          <w:iCs/>
          <w:sz w:val="24"/>
          <w:szCs w:val="24"/>
          <w:lang w:val="en-US"/>
        </w:rPr>
        <w:footnoteReference w:id="164"/>
      </w:r>
      <w:r w:rsidR="00287699">
        <w:rPr>
          <w:rFonts w:ascii="Arial" w:hAnsi="Arial" w:cs="Arial"/>
          <w:bCs/>
          <w:iCs/>
          <w:sz w:val="24"/>
          <w:szCs w:val="24"/>
          <w:lang w:val="en-US"/>
        </w:rPr>
        <w:t xml:space="preserve"> conducted between the rights of victims of monopolists, predominantly consumers</w:t>
      </w:r>
      <w:r w:rsidR="002C5FCC">
        <w:rPr>
          <w:rStyle w:val="FootnoteReference"/>
          <w:rFonts w:ascii="Arial" w:hAnsi="Arial" w:cs="Arial"/>
          <w:bCs/>
          <w:iCs/>
          <w:sz w:val="24"/>
          <w:szCs w:val="24"/>
          <w:lang w:val="en-US"/>
        </w:rPr>
        <w:footnoteReference w:id="165"/>
      </w:r>
      <w:r w:rsidR="00287699">
        <w:rPr>
          <w:rFonts w:ascii="Arial" w:hAnsi="Arial" w:cs="Arial"/>
          <w:bCs/>
          <w:iCs/>
          <w:sz w:val="24"/>
          <w:szCs w:val="24"/>
          <w:lang w:val="en-US"/>
        </w:rPr>
        <w:t>, and the rights of monopolists</w:t>
      </w:r>
      <w:r w:rsidR="002C5FCC">
        <w:rPr>
          <w:rStyle w:val="FootnoteReference"/>
          <w:rFonts w:ascii="Arial" w:hAnsi="Arial" w:cs="Arial"/>
          <w:bCs/>
          <w:iCs/>
          <w:sz w:val="24"/>
          <w:szCs w:val="24"/>
          <w:lang w:val="en-US"/>
        </w:rPr>
        <w:footnoteReference w:id="166"/>
      </w:r>
      <w:r w:rsidR="00287699">
        <w:rPr>
          <w:rFonts w:ascii="Arial" w:hAnsi="Arial" w:cs="Arial"/>
          <w:bCs/>
          <w:iCs/>
          <w:sz w:val="24"/>
          <w:szCs w:val="24"/>
          <w:lang w:val="en-US"/>
        </w:rPr>
        <w:t>.</w:t>
      </w:r>
      <w:r w:rsidR="002C5FCC">
        <w:rPr>
          <w:rFonts w:ascii="Arial" w:hAnsi="Arial" w:cs="Arial"/>
          <w:bCs/>
          <w:iCs/>
          <w:sz w:val="24"/>
          <w:szCs w:val="24"/>
          <w:lang w:val="en-US"/>
        </w:rPr>
        <w:t xml:space="preserve"> Consumer welfare therefore is an element of the balancing exercise and not the justification for competition law.</w:t>
      </w:r>
      <w:r w:rsidR="00287699">
        <w:rPr>
          <w:rFonts w:ascii="Arial" w:hAnsi="Arial" w:cs="Arial"/>
          <w:bCs/>
          <w:iCs/>
          <w:sz w:val="24"/>
          <w:szCs w:val="24"/>
          <w:lang w:val="en-US"/>
        </w:rPr>
        <w:t xml:space="preserve"> </w:t>
      </w:r>
      <w:r w:rsidR="002C5FCC">
        <w:rPr>
          <w:rFonts w:ascii="Arial" w:hAnsi="Arial" w:cs="Arial"/>
          <w:bCs/>
          <w:iCs/>
          <w:sz w:val="24"/>
          <w:szCs w:val="24"/>
          <w:lang w:val="en-US"/>
        </w:rPr>
        <w:t>That is the idea of fairness, built on the notion of distributive justice and considered</w:t>
      </w:r>
      <w:r w:rsidR="00287699">
        <w:rPr>
          <w:rFonts w:ascii="Arial" w:hAnsi="Arial" w:cs="Arial"/>
          <w:bCs/>
          <w:iCs/>
          <w:sz w:val="24"/>
          <w:szCs w:val="24"/>
          <w:lang w:val="en-US"/>
        </w:rPr>
        <w:t xml:space="preserve"> through the lens of Rawls</w:t>
      </w:r>
      <w:r w:rsidR="0093142B">
        <w:rPr>
          <w:rFonts w:ascii="Arial" w:hAnsi="Arial" w:cs="Arial"/>
          <w:bCs/>
          <w:iCs/>
          <w:sz w:val="24"/>
          <w:szCs w:val="24"/>
          <w:lang w:val="en-US"/>
        </w:rPr>
        <w:t>’</w:t>
      </w:r>
      <w:r w:rsidR="00287699">
        <w:rPr>
          <w:rFonts w:ascii="Arial" w:hAnsi="Arial" w:cs="Arial"/>
          <w:bCs/>
          <w:iCs/>
          <w:sz w:val="24"/>
          <w:szCs w:val="24"/>
          <w:lang w:val="en-US"/>
        </w:rPr>
        <w:t xml:space="preserve"> Theory of Justice</w:t>
      </w:r>
      <w:r w:rsidR="00EF20FE">
        <w:rPr>
          <w:rStyle w:val="FootnoteReference"/>
          <w:rFonts w:ascii="Arial" w:hAnsi="Arial" w:cs="Arial"/>
          <w:bCs/>
          <w:iCs/>
          <w:sz w:val="24"/>
          <w:szCs w:val="24"/>
          <w:lang w:val="en-US"/>
        </w:rPr>
        <w:footnoteReference w:id="167"/>
      </w:r>
      <w:r w:rsidR="00EF20FE">
        <w:rPr>
          <w:rFonts w:ascii="Arial" w:hAnsi="Arial" w:cs="Arial"/>
          <w:bCs/>
          <w:iCs/>
          <w:sz w:val="24"/>
          <w:szCs w:val="24"/>
          <w:lang w:val="en-US"/>
        </w:rPr>
        <w:t>, which is probably the</w:t>
      </w:r>
      <w:r w:rsidR="002C5FCC">
        <w:rPr>
          <w:rFonts w:ascii="Arial" w:hAnsi="Arial" w:cs="Arial"/>
          <w:bCs/>
          <w:iCs/>
          <w:sz w:val="24"/>
          <w:szCs w:val="24"/>
          <w:lang w:val="en-US"/>
        </w:rPr>
        <w:t xml:space="preserve"> </w:t>
      </w:r>
      <w:r w:rsidR="00EF20FE">
        <w:rPr>
          <w:rFonts w:ascii="Arial" w:hAnsi="Arial" w:cs="Arial"/>
          <w:bCs/>
          <w:iCs/>
          <w:sz w:val="24"/>
          <w:szCs w:val="24"/>
          <w:lang w:val="en-US"/>
        </w:rPr>
        <w:t>moral underpinning of antitrust, though this is never fully spelt out.</w:t>
      </w:r>
      <w:r w:rsidR="003F4ACD">
        <w:rPr>
          <w:rFonts w:ascii="Arial" w:hAnsi="Arial" w:cs="Arial"/>
          <w:bCs/>
          <w:iCs/>
          <w:sz w:val="24"/>
          <w:szCs w:val="24"/>
          <w:lang w:val="en-US"/>
        </w:rPr>
        <w:t xml:space="preserve"> This is a credible attempt at an alternative approach to that of consumer welfare but it is submitted it only goes partially to the heart of the question, with only a </w:t>
      </w:r>
      <w:proofErr w:type="spellStart"/>
      <w:r w:rsidR="003F4ACD">
        <w:rPr>
          <w:rFonts w:ascii="Arial" w:hAnsi="Arial" w:cs="Arial"/>
          <w:bCs/>
          <w:iCs/>
          <w:sz w:val="24"/>
          <w:szCs w:val="24"/>
          <w:lang w:val="en-US"/>
        </w:rPr>
        <w:t>spartan</w:t>
      </w:r>
      <w:proofErr w:type="spellEnd"/>
      <w:r w:rsidR="003F4ACD">
        <w:rPr>
          <w:rFonts w:ascii="Arial" w:hAnsi="Arial" w:cs="Arial"/>
          <w:bCs/>
          <w:iCs/>
          <w:sz w:val="24"/>
          <w:szCs w:val="24"/>
          <w:lang w:val="en-US"/>
        </w:rPr>
        <w:t xml:space="preserve"> consideration of the tools of legal philosophy to justify a legal discipline.</w:t>
      </w:r>
    </w:p>
    <w:p w14:paraId="0B1EFBD1" w14:textId="698F3A49" w:rsidR="003F4ACD" w:rsidRDefault="003F4ACD" w:rsidP="00F37892">
      <w:pPr>
        <w:jc w:val="both"/>
        <w:rPr>
          <w:rFonts w:ascii="Arial" w:hAnsi="Arial" w:cs="Arial"/>
          <w:bCs/>
          <w:iCs/>
          <w:sz w:val="24"/>
          <w:szCs w:val="24"/>
          <w:lang w:val="en-US"/>
        </w:rPr>
      </w:pPr>
      <w:r>
        <w:rPr>
          <w:rFonts w:ascii="Arial" w:hAnsi="Arial" w:cs="Arial"/>
          <w:bCs/>
          <w:iCs/>
          <w:sz w:val="24"/>
          <w:szCs w:val="24"/>
          <w:lang w:val="en-US"/>
        </w:rPr>
        <w:t>How then may a rational justification for antitrust be established, that cuts across jurisdictions and gets beyond the shallow skirmishes relating to the purpose of competition law, to provide a deeper and defensible anchoring of competition law?</w:t>
      </w:r>
      <w:r w:rsidR="00273FC4">
        <w:rPr>
          <w:rFonts w:ascii="Arial" w:hAnsi="Arial" w:cs="Arial"/>
          <w:bCs/>
          <w:iCs/>
          <w:sz w:val="24"/>
          <w:szCs w:val="24"/>
          <w:lang w:val="en-US"/>
        </w:rPr>
        <w:t xml:space="preserve"> The s</w:t>
      </w:r>
      <w:r w:rsidR="00411CD1">
        <w:rPr>
          <w:rFonts w:ascii="Arial" w:hAnsi="Arial" w:cs="Arial"/>
          <w:bCs/>
          <w:iCs/>
          <w:sz w:val="24"/>
          <w:szCs w:val="24"/>
          <w:lang w:val="en-US"/>
        </w:rPr>
        <w:t>t</w:t>
      </w:r>
      <w:r w:rsidR="00273FC4">
        <w:rPr>
          <w:rFonts w:ascii="Arial" w:hAnsi="Arial" w:cs="Arial"/>
          <w:bCs/>
          <w:iCs/>
          <w:sz w:val="24"/>
          <w:szCs w:val="24"/>
          <w:lang w:val="en-US"/>
        </w:rPr>
        <w:t xml:space="preserve">arting point must be </w:t>
      </w:r>
      <w:r w:rsidR="00D61689">
        <w:rPr>
          <w:rFonts w:ascii="Arial" w:hAnsi="Arial" w:cs="Arial"/>
          <w:bCs/>
          <w:iCs/>
          <w:sz w:val="24"/>
          <w:szCs w:val="24"/>
          <w:lang w:val="en-US"/>
        </w:rPr>
        <w:t xml:space="preserve">that the law only steps in when conditions of perfect competition fail and the impact of that failure </w:t>
      </w:r>
      <w:r w:rsidR="00865379">
        <w:rPr>
          <w:rFonts w:ascii="Arial" w:hAnsi="Arial" w:cs="Arial"/>
          <w:bCs/>
          <w:iCs/>
          <w:sz w:val="24"/>
          <w:szCs w:val="24"/>
          <w:lang w:val="en-US"/>
        </w:rPr>
        <w:t>falls on society and natural or legal persons in that society</w:t>
      </w:r>
      <w:r w:rsidR="005567E2">
        <w:rPr>
          <w:rStyle w:val="FootnoteReference"/>
          <w:rFonts w:ascii="Arial" w:hAnsi="Arial" w:cs="Arial"/>
          <w:bCs/>
          <w:iCs/>
          <w:sz w:val="24"/>
          <w:szCs w:val="24"/>
          <w:lang w:val="en-US"/>
        </w:rPr>
        <w:footnoteReference w:id="168"/>
      </w:r>
      <w:r w:rsidR="00865379">
        <w:rPr>
          <w:rFonts w:ascii="Arial" w:hAnsi="Arial" w:cs="Arial"/>
          <w:bCs/>
          <w:iCs/>
          <w:sz w:val="24"/>
          <w:szCs w:val="24"/>
          <w:lang w:val="en-US"/>
        </w:rPr>
        <w:t xml:space="preserve">. </w:t>
      </w:r>
      <w:r w:rsidR="005567E2">
        <w:rPr>
          <w:rFonts w:ascii="Arial" w:hAnsi="Arial" w:cs="Arial"/>
          <w:bCs/>
          <w:iCs/>
          <w:sz w:val="24"/>
          <w:szCs w:val="24"/>
          <w:lang w:val="en-US"/>
        </w:rPr>
        <w:t>Legal enforcement then is a public interest as it ensures the protection of societal interests, where those interests also reflect relationships between individuals. Those societal interests could be limited to economic efficiency and fairness, as suggested by Ayal, but it is submitted the public interest must extend further than this as competition</w:t>
      </w:r>
      <w:r w:rsidR="00303FE3">
        <w:rPr>
          <w:rFonts w:ascii="Arial" w:hAnsi="Arial" w:cs="Arial"/>
          <w:bCs/>
          <w:iCs/>
          <w:sz w:val="24"/>
          <w:szCs w:val="24"/>
          <w:lang w:val="en-US"/>
        </w:rPr>
        <w:t xml:space="preserve"> law impacts other interests,</w:t>
      </w:r>
      <w:r w:rsidR="005567E2">
        <w:rPr>
          <w:rFonts w:ascii="Arial" w:hAnsi="Arial" w:cs="Arial"/>
          <w:bCs/>
          <w:iCs/>
          <w:sz w:val="24"/>
          <w:szCs w:val="24"/>
          <w:lang w:val="en-US"/>
        </w:rPr>
        <w:t xml:space="preserve"> rights</w:t>
      </w:r>
      <w:r w:rsidR="00303FE3">
        <w:rPr>
          <w:rFonts w:ascii="Arial" w:hAnsi="Arial" w:cs="Arial"/>
          <w:bCs/>
          <w:iCs/>
          <w:sz w:val="24"/>
          <w:szCs w:val="24"/>
          <w:lang w:val="en-US"/>
        </w:rPr>
        <w:t xml:space="preserve"> and public policies</w:t>
      </w:r>
      <w:r w:rsidR="00303FE3">
        <w:rPr>
          <w:rStyle w:val="FootnoteReference"/>
          <w:rFonts w:ascii="Arial" w:hAnsi="Arial" w:cs="Arial"/>
          <w:bCs/>
          <w:iCs/>
          <w:sz w:val="24"/>
          <w:szCs w:val="24"/>
          <w:lang w:val="en-US"/>
        </w:rPr>
        <w:footnoteReference w:id="169"/>
      </w:r>
      <w:r w:rsidR="005567E2">
        <w:rPr>
          <w:rFonts w:ascii="Arial" w:hAnsi="Arial" w:cs="Arial"/>
          <w:bCs/>
          <w:iCs/>
          <w:sz w:val="24"/>
          <w:szCs w:val="24"/>
          <w:lang w:val="en-US"/>
        </w:rPr>
        <w:t>. These areas include</w:t>
      </w:r>
      <w:r w:rsidR="00303FE3">
        <w:rPr>
          <w:rFonts w:ascii="Arial" w:hAnsi="Arial" w:cs="Arial"/>
          <w:bCs/>
          <w:iCs/>
          <w:sz w:val="24"/>
          <w:szCs w:val="24"/>
          <w:lang w:val="en-US"/>
        </w:rPr>
        <w:t xml:space="preserve"> the environment, intellectual property, consumer protection, employment, industrial policy, non-discrimination and human rights.</w:t>
      </w:r>
      <w:r w:rsidR="005567E2">
        <w:rPr>
          <w:rFonts w:ascii="Arial" w:hAnsi="Arial" w:cs="Arial"/>
          <w:bCs/>
          <w:iCs/>
          <w:sz w:val="24"/>
          <w:szCs w:val="24"/>
          <w:lang w:val="en-US"/>
        </w:rPr>
        <w:t xml:space="preserve"> </w:t>
      </w:r>
      <w:r w:rsidR="0075666B">
        <w:rPr>
          <w:rFonts w:ascii="Arial" w:hAnsi="Arial" w:cs="Arial"/>
          <w:bCs/>
          <w:iCs/>
          <w:sz w:val="24"/>
          <w:szCs w:val="24"/>
          <w:lang w:val="en-US"/>
        </w:rPr>
        <w:t xml:space="preserve">With such impact on different public interests, and the interaction of antitrust law on relationships between natural and legal persons, then the value-laden nature of the law means that any justification needs to go further than </w:t>
      </w:r>
      <w:r w:rsidR="00D948AF">
        <w:rPr>
          <w:rFonts w:ascii="Arial" w:hAnsi="Arial" w:cs="Arial"/>
          <w:bCs/>
          <w:iCs/>
          <w:sz w:val="24"/>
          <w:szCs w:val="24"/>
          <w:lang w:val="en-US"/>
        </w:rPr>
        <w:t>just consumer welfare. It is here that we h</w:t>
      </w:r>
      <w:r w:rsidR="00A84DE8">
        <w:rPr>
          <w:rFonts w:ascii="Arial" w:hAnsi="Arial" w:cs="Arial"/>
          <w:bCs/>
          <w:iCs/>
          <w:sz w:val="24"/>
          <w:szCs w:val="24"/>
          <w:lang w:val="en-US"/>
        </w:rPr>
        <w:t xml:space="preserve">ave to turn to legal philosophy but this </w:t>
      </w:r>
      <w:r w:rsidR="0093142B">
        <w:rPr>
          <w:rFonts w:ascii="Arial" w:hAnsi="Arial" w:cs="Arial"/>
          <w:bCs/>
          <w:iCs/>
          <w:sz w:val="24"/>
          <w:szCs w:val="24"/>
          <w:lang w:val="en-US"/>
        </w:rPr>
        <w:t xml:space="preserve">is outside the constraints of a book chapter and </w:t>
      </w:r>
      <w:r w:rsidR="00A84DE8">
        <w:rPr>
          <w:rFonts w:ascii="Arial" w:hAnsi="Arial" w:cs="Arial"/>
          <w:bCs/>
          <w:iCs/>
          <w:sz w:val="24"/>
          <w:szCs w:val="24"/>
          <w:lang w:val="en-US"/>
        </w:rPr>
        <w:t>will be a matter for future research.</w:t>
      </w:r>
    </w:p>
    <w:p w14:paraId="1427D63E" w14:textId="77777777" w:rsidR="00D948AF" w:rsidRDefault="00D948AF" w:rsidP="00F37892">
      <w:pPr>
        <w:jc w:val="both"/>
        <w:rPr>
          <w:rFonts w:ascii="Arial" w:hAnsi="Arial" w:cs="Arial"/>
          <w:bCs/>
          <w:iCs/>
          <w:sz w:val="24"/>
          <w:szCs w:val="24"/>
          <w:lang w:val="en-US"/>
        </w:rPr>
      </w:pPr>
    </w:p>
    <w:p w14:paraId="40076CE6" w14:textId="77E97E1B" w:rsidR="00D948AF" w:rsidRDefault="00D948AF" w:rsidP="00F37892">
      <w:pPr>
        <w:jc w:val="both"/>
        <w:rPr>
          <w:rFonts w:ascii="Arial" w:hAnsi="Arial" w:cs="Arial"/>
          <w:bCs/>
          <w:iCs/>
          <w:sz w:val="24"/>
          <w:szCs w:val="24"/>
          <w:lang w:val="en-US"/>
        </w:rPr>
      </w:pPr>
      <w:r>
        <w:rPr>
          <w:rFonts w:ascii="Arial" w:hAnsi="Arial" w:cs="Arial"/>
          <w:bCs/>
          <w:iCs/>
          <w:sz w:val="24"/>
          <w:szCs w:val="24"/>
          <w:u w:val="single"/>
          <w:lang w:val="en-US"/>
        </w:rPr>
        <w:t>CONCLUSION</w:t>
      </w:r>
    </w:p>
    <w:p w14:paraId="5397C7BF" w14:textId="389ECDD5" w:rsidR="00D948AF" w:rsidRPr="00D948AF" w:rsidRDefault="0093142B" w:rsidP="00F37892">
      <w:pPr>
        <w:jc w:val="both"/>
        <w:rPr>
          <w:rFonts w:ascii="Arial" w:hAnsi="Arial" w:cs="Arial"/>
          <w:bCs/>
          <w:iCs/>
          <w:sz w:val="24"/>
          <w:szCs w:val="24"/>
          <w:lang w:val="en-US"/>
        </w:rPr>
      </w:pPr>
      <w:r>
        <w:rPr>
          <w:rFonts w:ascii="Arial" w:hAnsi="Arial" w:cs="Arial"/>
          <w:bCs/>
          <w:iCs/>
          <w:sz w:val="24"/>
          <w:szCs w:val="24"/>
          <w:lang w:val="en-US"/>
        </w:rPr>
        <w:lastRenderedPageBreak/>
        <w:t>The LIBOR manipulation scandal was a deeply shocking event, in which market-players manipulated the self-regulated market, and where outside regulation, particularly over competition law concerns</w:t>
      </w:r>
      <w:r w:rsidR="00D948AF">
        <w:rPr>
          <w:rFonts w:ascii="Arial" w:hAnsi="Arial" w:cs="Arial"/>
          <w:bCs/>
          <w:iCs/>
          <w:sz w:val="24"/>
          <w:szCs w:val="24"/>
          <w:lang w:val="en-US"/>
        </w:rPr>
        <w:t xml:space="preserve">, failed to </w:t>
      </w:r>
      <w:r w:rsidR="00A71F9A">
        <w:rPr>
          <w:rFonts w:ascii="Arial" w:hAnsi="Arial" w:cs="Arial"/>
          <w:bCs/>
          <w:iCs/>
          <w:sz w:val="24"/>
          <w:szCs w:val="24"/>
          <w:lang w:val="en-US"/>
        </w:rPr>
        <w:t xml:space="preserve">adequately investigate and prosecute the blatantly infringing banks and traders. </w:t>
      </w:r>
      <w:r w:rsidR="00913437">
        <w:rPr>
          <w:rFonts w:ascii="Arial" w:hAnsi="Arial" w:cs="Arial"/>
          <w:bCs/>
          <w:iCs/>
          <w:sz w:val="24"/>
          <w:szCs w:val="24"/>
          <w:lang w:val="en-US"/>
        </w:rPr>
        <w:t>This serious white-</w:t>
      </w:r>
      <w:r>
        <w:rPr>
          <w:rFonts w:ascii="Arial" w:hAnsi="Arial" w:cs="Arial"/>
          <w:bCs/>
          <w:iCs/>
          <w:sz w:val="24"/>
          <w:szCs w:val="24"/>
          <w:lang w:val="en-US"/>
        </w:rPr>
        <w:t xml:space="preserve">collar crime undoubtedly has significant implications for financial institutions, their regulation and competition law in general, some of which have been </w:t>
      </w:r>
      <w:r w:rsidR="00913437">
        <w:rPr>
          <w:rFonts w:ascii="Arial" w:hAnsi="Arial" w:cs="Arial"/>
          <w:bCs/>
          <w:iCs/>
          <w:sz w:val="24"/>
          <w:szCs w:val="24"/>
          <w:lang w:val="en-US"/>
        </w:rPr>
        <w:t xml:space="preserve">examined </w:t>
      </w:r>
      <w:r w:rsidR="00050628">
        <w:rPr>
          <w:rFonts w:ascii="Arial" w:hAnsi="Arial" w:cs="Arial"/>
          <w:bCs/>
          <w:iCs/>
          <w:sz w:val="24"/>
          <w:szCs w:val="24"/>
          <w:lang w:val="en-US"/>
        </w:rPr>
        <w:t xml:space="preserve">by the authorities </w:t>
      </w:r>
      <w:r w:rsidR="00913437">
        <w:rPr>
          <w:rFonts w:ascii="Arial" w:hAnsi="Arial" w:cs="Arial"/>
          <w:bCs/>
          <w:iCs/>
          <w:sz w:val="24"/>
          <w:szCs w:val="24"/>
          <w:lang w:val="en-US"/>
        </w:rPr>
        <w:t xml:space="preserve">and changes implemented. </w:t>
      </w:r>
      <w:r w:rsidR="00050628">
        <w:rPr>
          <w:rFonts w:ascii="Arial" w:hAnsi="Arial" w:cs="Arial"/>
          <w:bCs/>
          <w:iCs/>
          <w:sz w:val="24"/>
          <w:szCs w:val="24"/>
          <w:lang w:val="en-US"/>
        </w:rPr>
        <w:t xml:space="preserve">It is clear, as the Bank of England’s Governor, Mark </w:t>
      </w:r>
      <w:proofErr w:type="gramStart"/>
      <w:r w:rsidR="00050628">
        <w:rPr>
          <w:rFonts w:ascii="Arial" w:hAnsi="Arial" w:cs="Arial"/>
          <w:bCs/>
          <w:iCs/>
          <w:sz w:val="24"/>
          <w:szCs w:val="24"/>
          <w:lang w:val="en-US"/>
        </w:rPr>
        <w:t>Carney,</w:t>
      </w:r>
      <w:proofErr w:type="gramEnd"/>
      <w:r w:rsidR="00050628">
        <w:rPr>
          <w:rFonts w:ascii="Arial" w:hAnsi="Arial" w:cs="Arial"/>
          <w:bCs/>
          <w:iCs/>
          <w:sz w:val="24"/>
          <w:szCs w:val="24"/>
          <w:lang w:val="en-US"/>
        </w:rPr>
        <w:t xml:space="preserve"> has recently stated in a letter to the G20 Meeting in Hangzhou</w:t>
      </w:r>
      <w:r w:rsidR="00050628">
        <w:rPr>
          <w:rStyle w:val="FootnoteReference"/>
          <w:rFonts w:ascii="Arial" w:hAnsi="Arial" w:cs="Arial"/>
          <w:bCs/>
          <w:iCs/>
          <w:sz w:val="24"/>
          <w:szCs w:val="24"/>
          <w:lang w:val="en-US"/>
        </w:rPr>
        <w:footnoteReference w:id="170"/>
      </w:r>
      <w:r w:rsidR="00050628">
        <w:rPr>
          <w:rFonts w:ascii="Arial" w:hAnsi="Arial" w:cs="Arial"/>
          <w:bCs/>
          <w:iCs/>
          <w:sz w:val="24"/>
          <w:szCs w:val="24"/>
          <w:lang w:val="en-US"/>
        </w:rPr>
        <w:t xml:space="preserve">, “financial sector misconduct has risen to a level that has the potential to create systemic risks by undermining trust in both financial institutions and markets”. </w:t>
      </w:r>
      <w:r w:rsidR="00437A75">
        <w:rPr>
          <w:rFonts w:ascii="Arial" w:hAnsi="Arial" w:cs="Arial"/>
          <w:bCs/>
          <w:iCs/>
          <w:sz w:val="24"/>
          <w:szCs w:val="24"/>
          <w:lang w:val="en-US"/>
        </w:rPr>
        <w:t xml:space="preserve">The </w:t>
      </w:r>
      <w:r w:rsidR="00A71F9A">
        <w:rPr>
          <w:rFonts w:ascii="Arial" w:hAnsi="Arial" w:cs="Arial"/>
          <w:bCs/>
          <w:iCs/>
          <w:sz w:val="24"/>
          <w:szCs w:val="24"/>
          <w:lang w:val="en-US"/>
        </w:rPr>
        <w:t>institutional, systemic, procedural and jurisdictional failings</w:t>
      </w:r>
      <w:r w:rsidR="00437A75">
        <w:rPr>
          <w:rFonts w:ascii="Arial" w:hAnsi="Arial" w:cs="Arial"/>
          <w:bCs/>
          <w:iCs/>
          <w:sz w:val="24"/>
          <w:szCs w:val="24"/>
          <w:lang w:val="en-US"/>
        </w:rPr>
        <w:t xml:space="preserve"> by US and UK national competition authorities to investigate financial institutions’ antitrust violations undoubtedly had a negative </w:t>
      </w:r>
      <w:r w:rsidR="00A71F9A">
        <w:rPr>
          <w:rFonts w:ascii="Arial" w:hAnsi="Arial" w:cs="Arial"/>
          <w:bCs/>
          <w:iCs/>
          <w:sz w:val="24"/>
          <w:szCs w:val="24"/>
          <w:lang w:val="en-US"/>
        </w:rPr>
        <w:t xml:space="preserve">impact on the welfare of consumers, and thus calls consumer welfare into question as the basis for competition law. </w:t>
      </w:r>
      <w:r w:rsidR="00437A75">
        <w:rPr>
          <w:rFonts w:ascii="Arial" w:hAnsi="Arial" w:cs="Arial"/>
          <w:bCs/>
          <w:iCs/>
          <w:sz w:val="24"/>
          <w:szCs w:val="24"/>
          <w:lang w:val="en-US"/>
        </w:rPr>
        <w:t xml:space="preserve">It is hoped that in the UK especially, where competition law violations were not investigated by any regulatory authority, the new competition law duties and powers for the FCA will see a </w:t>
      </w:r>
      <w:r w:rsidR="004F547B">
        <w:rPr>
          <w:rFonts w:ascii="Arial" w:hAnsi="Arial" w:cs="Arial"/>
          <w:bCs/>
          <w:iCs/>
          <w:sz w:val="24"/>
          <w:szCs w:val="24"/>
          <w:lang w:val="en-US"/>
        </w:rPr>
        <w:t xml:space="preserve">significantly more </w:t>
      </w:r>
      <w:r w:rsidR="00437A75">
        <w:rPr>
          <w:rFonts w:ascii="Arial" w:hAnsi="Arial" w:cs="Arial"/>
          <w:bCs/>
          <w:iCs/>
          <w:sz w:val="24"/>
          <w:szCs w:val="24"/>
          <w:lang w:val="en-US"/>
        </w:rPr>
        <w:t xml:space="preserve">robust approach by FCA investigators in any future </w:t>
      </w:r>
      <w:r w:rsidR="004F547B">
        <w:rPr>
          <w:rFonts w:ascii="Arial" w:hAnsi="Arial" w:cs="Arial"/>
          <w:bCs/>
          <w:iCs/>
          <w:sz w:val="24"/>
          <w:szCs w:val="24"/>
          <w:lang w:val="en-US"/>
        </w:rPr>
        <w:t xml:space="preserve">similar </w:t>
      </w:r>
      <w:bookmarkStart w:id="0" w:name="_GoBack"/>
      <w:bookmarkEnd w:id="0"/>
      <w:r w:rsidR="00437A75">
        <w:rPr>
          <w:rFonts w:ascii="Arial" w:hAnsi="Arial" w:cs="Arial"/>
          <w:bCs/>
          <w:iCs/>
          <w:sz w:val="24"/>
          <w:szCs w:val="24"/>
          <w:lang w:val="en-US"/>
        </w:rPr>
        <w:t>scenario</w:t>
      </w:r>
      <w:r w:rsidR="004F547B">
        <w:rPr>
          <w:rStyle w:val="FootnoteReference"/>
          <w:rFonts w:ascii="Arial" w:hAnsi="Arial" w:cs="Arial"/>
          <w:bCs/>
          <w:iCs/>
          <w:sz w:val="24"/>
          <w:szCs w:val="24"/>
          <w:lang w:val="en-US"/>
        </w:rPr>
        <w:footnoteReference w:id="171"/>
      </w:r>
      <w:r w:rsidR="00A84DE8">
        <w:rPr>
          <w:rFonts w:ascii="Arial" w:hAnsi="Arial" w:cs="Arial"/>
          <w:bCs/>
          <w:iCs/>
          <w:sz w:val="24"/>
          <w:szCs w:val="24"/>
          <w:lang w:val="en-US"/>
        </w:rPr>
        <w:t>.</w:t>
      </w:r>
    </w:p>
    <w:p w14:paraId="5371A86C" w14:textId="77777777" w:rsidR="00BE4700" w:rsidRPr="00BE4700" w:rsidRDefault="00BE4700" w:rsidP="00BE4700">
      <w:pPr>
        <w:jc w:val="both"/>
        <w:rPr>
          <w:rFonts w:ascii="Arial" w:hAnsi="Arial" w:cs="Arial"/>
          <w:bCs/>
          <w:iCs/>
          <w:sz w:val="24"/>
          <w:szCs w:val="24"/>
          <w:lang w:val="en-US"/>
        </w:rPr>
      </w:pPr>
    </w:p>
    <w:p w14:paraId="4929C0C2" w14:textId="34C3C033" w:rsidR="00FC5E0C" w:rsidRPr="00A226F8" w:rsidRDefault="00FC5E0C" w:rsidP="00303971">
      <w:pPr>
        <w:jc w:val="both"/>
        <w:rPr>
          <w:rFonts w:ascii="Arial" w:hAnsi="Arial" w:cs="Arial"/>
          <w:bCs/>
          <w:iCs/>
          <w:sz w:val="24"/>
          <w:szCs w:val="24"/>
        </w:rPr>
      </w:pPr>
    </w:p>
    <w:sectPr w:rsidR="00FC5E0C" w:rsidRPr="00A226F8" w:rsidSect="00AE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025C7" w14:textId="77777777" w:rsidR="00437A75" w:rsidRDefault="00437A75" w:rsidP="00A44E16">
      <w:pPr>
        <w:spacing w:after="0" w:line="240" w:lineRule="auto"/>
      </w:pPr>
      <w:r>
        <w:separator/>
      </w:r>
    </w:p>
  </w:endnote>
  <w:endnote w:type="continuationSeparator" w:id="0">
    <w:p w14:paraId="11D9466D" w14:textId="77777777" w:rsidR="00437A75" w:rsidRDefault="00437A75" w:rsidP="00A4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F38E0" w14:textId="77777777" w:rsidR="00437A75" w:rsidRDefault="00437A75" w:rsidP="00A44E16">
      <w:pPr>
        <w:spacing w:after="0" w:line="240" w:lineRule="auto"/>
      </w:pPr>
      <w:r>
        <w:separator/>
      </w:r>
    </w:p>
  </w:footnote>
  <w:footnote w:type="continuationSeparator" w:id="0">
    <w:p w14:paraId="5FF7FC7E" w14:textId="77777777" w:rsidR="00437A75" w:rsidRDefault="00437A75" w:rsidP="00A44E16">
      <w:pPr>
        <w:spacing w:after="0" w:line="240" w:lineRule="auto"/>
      </w:pPr>
      <w:r>
        <w:continuationSeparator/>
      </w:r>
    </w:p>
  </w:footnote>
  <w:footnote w:id="1">
    <w:p w14:paraId="04098062" w14:textId="031ABFEB" w:rsidR="00437A75" w:rsidRPr="00E52444" w:rsidRDefault="00437A75">
      <w:pPr>
        <w:pStyle w:val="FootnoteText"/>
        <w:rPr>
          <w:lang w:val="en-US"/>
        </w:rPr>
      </w:pPr>
      <w:r>
        <w:rPr>
          <w:rStyle w:val="FootnoteReference"/>
        </w:rPr>
        <w:footnoteRef/>
      </w:r>
      <w:r>
        <w:t xml:space="preserve"> </w:t>
      </w:r>
      <w:r>
        <w:rPr>
          <w:lang w:val="en-US"/>
        </w:rPr>
        <w:t xml:space="preserve">J </w:t>
      </w:r>
      <w:proofErr w:type="spellStart"/>
      <w:r>
        <w:rPr>
          <w:lang w:val="en-US"/>
        </w:rPr>
        <w:t>Macey</w:t>
      </w:r>
      <w:proofErr w:type="spellEnd"/>
      <w:r>
        <w:rPr>
          <w:lang w:val="en-US"/>
        </w:rPr>
        <w:t xml:space="preserve">, ‘LIBOR: Three Scandals in One’ </w:t>
      </w:r>
      <w:hyperlink r:id="rId1" w:history="1">
        <w:r w:rsidRPr="00F023FD">
          <w:rPr>
            <w:rStyle w:val="Hyperlink"/>
            <w:rFonts w:ascii="Times New Roman" w:hAnsi="Times New Roman"/>
            <w:sz w:val="21"/>
            <w:szCs w:val="21"/>
            <w:lang w:val="en-US" w:eastAsia="en-GB"/>
          </w:rPr>
          <w:t>https://www.foreignaffairs.com/articles/2012-07-20/libor-three-scandals-one</w:t>
        </w:r>
      </w:hyperlink>
      <w:r>
        <w:rPr>
          <w:rFonts w:ascii="Times New Roman" w:hAnsi="Times New Roman"/>
          <w:sz w:val="21"/>
          <w:szCs w:val="21"/>
          <w:lang w:val="en-US" w:eastAsia="en-GB"/>
        </w:rPr>
        <w:t>, last accessed 1 April 2016</w:t>
      </w:r>
    </w:p>
  </w:footnote>
  <w:footnote w:id="2">
    <w:p w14:paraId="50E32052" w14:textId="6425F51C" w:rsidR="00437A75" w:rsidRPr="00DB4C6D" w:rsidRDefault="00437A75">
      <w:pPr>
        <w:pStyle w:val="FootnoteText"/>
        <w:rPr>
          <w:lang w:val="en-US"/>
        </w:rPr>
      </w:pPr>
      <w:r>
        <w:rPr>
          <w:rStyle w:val="FootnoteReference"/>
        </w:rPr>
        <w:footnoteRef/>
      </w:r>
      <w:r>
        <w:t xml:space="preserve"> D </w:t>
      </w:r>
      <w:proofErr w:type="spellStart"/>
      <w:r>
        <w:t>MacKenzie</w:t>
      </w:r>
      <w:proofErr w:type="spellEnd"/>
      <w:r>
        <w:t>, ‘What’s in a Number?’ (2008) 30 LRB 11, “</w:t>
      </w:r>
      <w:r w:rsidRPr="00DB4C6D">
        <w:rPr>
          <w:lang w:val="en-US"/>
        </w:rPr>
        <w:t>The British Bankers Association’s London Interbank Offered Rate matters more than any other set of numbers in the world</w:t>
      </w:r>
      <w:r>
        <w:rPr>
          <w:lang w:val="en-US"/>
        </w:rPr>
        <w:t>.”</w:t>
      </w:r>
    </w:p>
  </w:footnote>
  <w:footnote w:id="3">
    <w:p w14:paraId="3C413048" w14:textId="77777777" w:rsidR="00437A75" w:rsidRPr="004F6A9E" w:rsidRDefault="00437A75" w:rsidP="00193FBF">
      <w:pPr>
        <w:pStyle w:val="FootnoteText"/>
        <w:rPr>
          <w:lang w:val="en-US"/>
        </w:rPr>
      </w:pPr>
      <w:r>
        <w:rPr>
          <w:rStyle w:val="FootnoteReference"/>
        </w:rPr>
        <w:footnoteRef/>
      </w:r>
      <w:r>
        <w:t xml:space="preserve"> </w:t>
      </w:r>
      <w:r>
        <w:rPr>
          <w:lang w:val="en-US"/>
        </w:rPr>
        <w:t xml:space="preserve">At the time these were published on the website </w:t>
      </w:r>
      <w:hyperlink r:id="rId2" w:history="1">
        <w:r w:rsidRPr="0005090A">
          <w:rPr>
            <w:rStyle w:val="Hyperlink"/>
            <w:lang w:val="en-US"/>
          </w:rPr>
          <w:t>http://www.bbalibor.com/explained/the-basics</w:t>
        </w:r>
      </w:hyperlink>
      <w:r>
        <w:rPr>
          <w:lang w:val="en-US"/>
        </w:rPr>
        <w:t xml:space="preserve">, not now available. They can still be accessed at </w:t>
      </w:r>
      <w:hyperlink r:id="rId3" w:history="1">
        <w:r w:rsidRPr="0005090A">
          <w:rPr>
            <w:rStyle w:val="Hyperlink"/>
            <w:lang w:val="en-US"/>
          </w:rPr>
          <w:t>http://www.bbatrent.com/explained/the-basics</w:t>
        </w:r>
      </w:hyperlink>
      <w:r>
        <w:rPr>
          <w:lang w:val="en-US"/>
        </w:rPr>
        <w:t>, last accessed 1 April 2016</w:t>
      </w:r>
    </w:p>
  </w:footnote>
  <w:footnote w:id="4">
    <w:p w14:paraId="2DE476F7" w14:textId="77777777" w:rsidR="00437A75" w:rsidRPr="000D36A9" w:rsidRDefault="00437A75" w:rsidP="00F223F9">
      <w:pPr>
        <w:pStyle w:val="FootnoteText"/>
        <w:rPr>
          <w:lang w:val="en-US"/>
        </w:rPr>
      </w:pPr>
      <w:r>
        <w:rPr>
          <w:rStyle w:val="FootnoteReference"/>
        </w:rPr>
        <w:footnoteRef/>
      </w:r>
      <w:r>
        <w:t xml:space="preserve"> At the time these were published on the website </w:t>
      </w:r>
      <w:hyperlink r:id="rId4" w:history="1">
        <w:r w:rsidRPr="0005090A">
          <w:rPr>
            <w:rStyle w:val="Hyperlink"/>
            <w:lang w:val="en-US"/>
          </w:rPr>
          <w:t>http://www.bbalibor.com/technicalaspects/setting-bbalibor</w:t>
        </w:r>
      </w:hyperlink>
      <w:r>
        <w:rPr>
          <w:lang w:val="en-US"/>
        </w:rPr>
        <w:t xml:space="preserve">, not now available. They are set out in the US Department of Justice’s Letter, Reference USB AG, </w:t>
      </w:r>
      <w:hyperlink r:id="rId5" w:history="1">
        <w:r w:rsidRPr="0005090A">
          <w:rPr>
            <w:rStyle w:val="Hyperlink"/>
            <w:lang w:val="en-US"/>
          </w:rPr>
          <w:t>http://www.sec.gov/Archives/edgar/data/1114446/000119312513106100/d497201dex43.htm</w:t>
        </w:r>
      </w:hyperlink>
      <w:r>
        <w:rPr>
          <w:lang w:val="en-US"/>
        </w:rPr>
        <w:t>, dated 18 December 2012 Appendix A, paragraph 7, last accessed 1 April 2016</w:t>
      </w:r>
    </w:p>
  </w:footnote>
  <w:footnote w:id="5">
    <w:p w14:paraId="02B5772F" w14:textId="263A05FE" w:rsidR="00437A75" w:rsidRPr="004E20F7" w:rsidRDefault="00437A75">
      <w:pPr>
        <w:pStyle w:val="FootnoteText"/>
        <w:rPr>
          <w:lang w:val="en-US"/>
        </w:rPr>
      </w:pPr>
      <w:r>
        <w:rPr>
          <w:rStyle w:val="FootnoteReference"/>
        </w:rPr>
        <w:footnoteRef/>
      </w:r>
      <w:r>
        <w:t xml:space="preserve"> </w:t>
      </w:r>
      <w:r>
        <w:rPr>
          <w:lang w:val="en-US"/>
        </w:rPr>
        <w:t xml:space="preserve">Financial Service Authority, Internal Audit Report: </w:t>
      </w:r>
      <w:r w:rsidRPr="004E20F7">
        <w:t>A review of the extent of awareness within the FSA of inappropriat</w:t>
      </w:r>
      <w:r>
        <w:t xml:space="preserve">e LIBOR submissions’ March 2013, </w:t>
      </w:r>
      <w:hyperlink r:id="rId6" w:history="1">
        <w:r w:rsidRPr="002B3AF5">
          <w:rPr>
            <w:rStyle w:val="Hyperlink"/>
          </w:rPr>
          <w:t>http://www.fsa.gov.uk/static/pubs/other/ia-libor.pdf</w:t>
        </w:r>
      </w:hyperlink>
      <w:r>
        <w:t>, last accessed 5 April 2013, 3</w:t>
      </w:r>
    </w:p>
  </w:footnote>
  <w:footnote w:id="6">
    <w:p w14:paraId="1EF69002" w14:textId="1B04A430" w:rsidR="00437A75" w:rsidRPr="004E20F7" w:rsidRDefault="00437A75">
      <w:pPr>
        <w:pStyle w:val="FootnoteText"/>
      </w:pPr>
      <w:r>
        <w:rPr>
          <w:rStyle w:val="FootnoteReference"/>
        </w:rPr>
        <w:footnoteRef/>
      </w:r>
      <w:r>
        <w:t xml:space="preserve"> Ibid.</w:t>
      </w:r>
    </w:p>
  </w:footnote>
  <w:footnote w:id="7">
    <w:p w14:paraId="139AF3AD" w14:textId="5C1AE7CE" w:rsidR="00437A75" w:rsidRPr="009C2FFE" w:rsidRDefault="00437A75" w:rsidP="003A6C7B">
      <w:pPr>
        <w:pStyle w:val="FootnoteText"/>
      </w:pPr>
      <w:r>
        <w:rPr>
          <w:rStyle w:val="FootnoteReference"/>
        </w:rPr>
        <w:footnoteRef/>
      </w:r>
      <w:r>
        <w:t xml:space="preserve"> R Whish, D Bailey, </w:t>
      </w:r>
      <w:r>
        <w:rPr>
          <w:i/>
        </w:rPr>
        <w:t>Competition Law</w:t>
      </w:r>
      <w:r>
        <w:t xml:space="preserve"> (8</w:t>
      </w:r>
      <w:r w:rsidRPr="009C2FFE">
        <w:rPr>
          <w:vertAlign w:val="superscript"/>
        </w:rPr>
        <w:t>th</w:t>
      </w:r>
      <w:r>
        <w:t xml:space="preserve"> edn OUP, Oxford 2015) 4. See also RM </w:t>
      </w:r>
      <w:proofErr w:type="spellStart"/>
      <w:r>
        <w:t>Steuer</w:t>
      </w:r>
      <w:proofErr w:type="spellEnd"/>
      <w:r>
        <w:t>, ‘The Simplicity of Antitrust Law’ (2012) 14 University of Pennsylvania Journal of Business Law 543 where antitrust law is summarised as combating bullying and ganging up</w:t>
      </w:r>
    </w:p>
  </w:footnote>
  <w:footnote w:id="8">
    <w:p w14:paraId="3A82FBEE" w14:textId="6A2577C7" w:rsidR="00437A75" w:rsidRPr="00E46CF0" w:rsidRDefault="00437A75" w:rsidP="003A6C7B">
      <w:pPr>
        <w:pStyle w:val="FootnoteText"/>
      </w:pPr>
      <w:r>
        <w:rPr>
          <w:rStyle w:val="FootnoteReference"/>
        </w:rPr>
        <w:footnoteRef/>
      </w:r>
      <w:r>
        <w:t xml:space="preserve"> Whish, </w:t>
      </w:r>
      <w:r>
        <w:rPr>
          <w:i/>
        </w:rPr>
        <w:t>Competition Law</w:t>
      </w:r>
      <w:r>
        <w:t xml:space="preserve"> (n 7) 4</w:t>
      </w:r>
    </w:p>
  </w:footnote>
  <w:footnote w:id="9">
    <w:p w14:paraId="4E07A942" w14:textId="77777777" w:rsidR="00437A75" w:rsidRDefault="00437A75" w:rsidP="003A6C7B">
      <w:pPr>
        <w:pStyle w:val="FootnoteText"/>
      </w:pPr>
      <w:r>
        <w:rPr>
          <w:rStyle w:val="FootnoteReference"/>
        </w:rPr>
        <w:footnoteRef/>
      </w:r>
      <w:r>
        <w:t xml:space="preserve"> Ibid 5</w:t>
      </w:r>
    </w:p>
  </w:footnote>
  <w:footnote w:id="10">
    <w:p w14:paraId="0C9C9CCA" w14:textId="6194FD9B" w:rsidR="00437A75" w:rsidRPr="00305780" w:rsidRDefault="00437A75">
      <w:pPr>
        <w:pStyle w:val="FootnoteText"/>
        <w:rPr>
          <w:lang w:val="en-US"/>
        </w:rPr>
      </w:pPr>
      <w:r>
        <w:rPr>
          <w:rStyle w:val="FootnoteReference"/>
        </w:rPr>
        <w:footnoteRef/>
      </w:r>
      <w:r>
        <w:t xml:space="preserve"> </w:t>
      </w:r>
      <w:r w:rsidRPr="00305780">
        <w:t>Indeed as Whish points out</w:t>
      </w:r>
      <w:r>
        <w:t xml:space="preserve"> (ibid 8)</w:t>
      </w:r>
      <w:r w:rsidRPr="00305780">
        <w:t>, perfect competition will lie at one end of a scale with monopoly at the other</w:t>
      </w:r>
    </w:p>
  </w:footnote>
  <w:footnote w:id="11">
    <w:p w14:paraId="3B2E728A" w14:textId="77777777" w:rsidR="00437A75" w:rsidRPr="00964D1D" w:rsidRDefault="00437A75" w:rsidP="00305780">
      <w:pPr>
        <w:pStyle w:val="FootnoteText"/>
      </w:pPr>
      <w:r>
        <w:rPr>
          <w:rStyle w:val="FootnoteReference"/>
        </w:rPr>
        <w:footnoteRef/>
      </w:r>
      <w:r>
        <w:t xml:space="preserve"> For a layman’s account see T </w:t>
      </w:r>
      <w:proofErr w:type="spellStart"/>
      <w:r>
        <w:t>McNeese</w:t>
      </w:r>
      <w:proofErr w:type="spellEnd"/>
      <w:r>
        <w:t xml:space="preserve">, </w:t>
      </w:r>
      <w:r>
        <w:rPr>
          <w:i/>
        </w:rPr>
        <w:t>The Robber Barons and the Sherman Antitrust Act</w:t>
      </w:r>
      <w:r>
        <w:t xml:space="preserve"> (Chelsea House Publishers 2009). For a more robust legal account see WD Collins, ‘Trusts and the Origin of Antitrust Legislation’ (2013) 81 Fordham Law Review 2279</w:t>
      </w:r>
    </w:p>
  </w:footnote>
  <w:footnote w:id="12">
    <w:p w14:paraId="76342B08" w14:textId="52226CE0" w:rsidR="00437A75" w:rsidRPr="00743CDD" w:rsidRDefault="00437A75">
      <w:pPr>
        <w:pStyle w:val="FootnoteText"/>
      </w:pPr>
      <w:r>
        <w:rPr>
          <w:rStyle w:val="FootnoteReference"/>
        </w:rPr>
        <w:footnoteRef/>
      </w:r>
      <w:r>
        <w:t xml:space="preserve"> Section 5(a)(2) empowers the FTC to enforce the prohibition of unlawful “</w:t>
      </w:r>
      <w:r w:rsidRPr="00743CDD">
        <w:t>Unfair methods of competition in or affecting commerce, and unfair or deceptive acts or practices in or affecting</w:t>
      </w:r>
      <w:r>
        <w:t xml:space="preserve"> commerce” set out in Section 5(a)(1). See FTC </w:t>
      </w:r>
      <w:r w:rsidRPr="00A51F73">
        <w:rPr>
          <w:bCs/>
        </w:rPr>
        <w:t>Statement of Enforcement Principles Regarding</w:t>
      </w:r>
      <w:r>
        <w:rPr>
          <w:bCs/>
        </w:rPr>
        <w:t xml:space="preserve"> </w:t>
      </w:r>
      <w:r w:rsidRPr="00A51F73">
        <w:rPr>
          <w:bCs/>
        </w:rPr>
        <w:t>“Unfair Methods of Competition” Under Section 5 of the FTC Act</w:t>
      </w:r>
      <w:r>
        <w:rPr>
          <w:bCs/>
        </w:rPr>
        <w:t xml:space="preserve">, dated 13 August 2015 </w:t>
      </w:r>
      <w:hyperlink r:id="rId7" w:history="1">
        <w:r w:rsidRPr="0005090A">
          <w:rPr>
            <w:rStyle w:val="Hyperlink"/>
            <w:bCs/>
          </w:rPr>
          <w:t>https://www.ftc.gov/system/files/documents/public_statements/735201/150813section5enforcement.pdf</w:t>
        </w:r>
      </w:hyperlink>
      <w:r>
        <w:rPr>
          <w:bCs/>
        </w:rPr>
        <w:t>, last accessed 1 April 2016</w:t>
      </w:r>
    </w:p>
  </w:footnote>
  <w:footnote w:id="13">
    <w:p w14:paraId="1DB18746" w14:textId="4D95116F" w:rsidR="00437A75" w:rsidRPr="00606FA1" w:rsidRDefault="00437A75">
      <w:pPr>
        <w:pStyle w:val="FootnoteText"/>
        <w:rPr>
          <w:lang w:val="en-US"/>
        </w:rPr>
      </w:pPr>
      <w:r>
        <w:rPr>
          <w:rStyle w:val="FootnoteReference"/>
        </w:rPr>
        <w:footnoteRef/>
      </w:r>
      <w:r>
        <w:t xml:space="preserve"> </w:t>
      </w:r>
      <w:r>
        <w:rPr>
          <w:lang w:val="en-US"/>
        </w:rPr>
        <w:t xml:space="preserve">D </w:t>
      </w:r>
      <w:proofErr w:type="spellStart"/>
      <w:r>
        <w:rPr>
          <w:lang w:val="en-US"/>
        </w:rPr>
        <w:t>Broder</w:t>
      </w:r>
      <w:proofErr w:type="spellEnd"/>
      <w:r>
        <w:rPr>
          <w:lang w:val="en-US"/>
        </w:rPr>
        <w:t xml:space="preserve">, </w:t>
      </w:r>
      <w:r>
        <w:rPr>
          <w:i/>
          <w:lang w:val="en-US"/>
        </w:rPr>
        <w:t>U.S. Antitrust Law and Enforcement</w:t>
      </w:r>
      <w:r>
        <w:rPr>
          <w:lang w:val="en-US"/>
        </w:rPr>
        <w:t xml:space="preserve"> (2010 OUP, Oxford) 37</w:t>
      </w:r>
    </w:p>
  </w:footnote>
  <w:footnote w:id="14">
    <w:p w14:paraId="25A35F53" w14:textId="5940AA69" w:rsidR="00437A75" w:rsidRPr="00700579" w:rsidRDefault="00437A75">
      <w:pPr>
        <w:pStyle w:val="FootnoteText"/>
        <w:rPr>
          <w:lang w:val="en-US"/>
        </w:rPr>
      </w:pPr>
      <w:r>
        <w:rPr>
          <w:rStyle w:val="FootnoteReference"/>
        </w:rPr>
        <w:footnoteRef/>
      </w:r>
      <w:r>
        <w:t xml:space="preserve"> </w:t>
      </w:r>
      <w:proofErr w:type="spellStart"/>
      <w:r>
        <w:rPr>
          <w:i/>
          <w:lang w:val="en-US"/>
        </w:rPr>
        <w:t>Copperweld</w:t>
      </w:r>
      <w:proofErr w:type="spellEnd"/>
      <w:r>
        <w:rPr>
          <w:i/>
          <w:lang w:val="en-US"/>
        </w:rPr>
        <w:t xml:space="preserve"> Corp v Independence Tube Corp.</w:t>
      </w:r>
      <w:r>
        <w:rPr>
          <w:lang w:val="en-US"/>
        </w:rPr>
        <w:t xml:space="preserve"> 467 US 752, 771 (1984)</w:t>
      </w:r>
    </w:p>
  </w:footnote>
  <w:footnote w:id="15">
    <w:p w14:paraId="12FDA4C2" w14:textId="1B57DACB" w:rsidR="00437A75" w:rsidRPr="00D2485A" w:rsidRDefault="00437A75">
      <w:pPr>
        <w:pStyle w:val="FootnoteText"/>
        <w:rPr>
          <w:lang w:val="en-US"/>
        </w:rPr>
      </w:pPr>
      <w:r>
        <w:rPr>
          <w:rStyle w:val="FootnoteReference"/>
        </w:rPr>
        <w:footnoteRef/>
      </w:r>
      <w:r>
        <w:t xml:space="preserve"> </w:t>
      </w:r>
      <w:r>
        <w:rPr>
          <w:lang w:val="en-US"/>
        </w:rPr>
        <w:t>Ibid 771-777</w:t>
      </w:r>
    </w:p>
  </w:footnote>
  <w:footnote w:id="16">
    <w:p w14:paraId="3E105048" w14:textId="73A78486" w:rsidR="00437A75" w:rsidRPr="001C7BC1" w:rsidRDefault="00437A75">
      <w:pPr>
        <w:pStyle w:val="FootnoteText"/>
        <w:rPr>
          <w:bCs/>
          <w:iCs/>
        </w:rPr>
      </w:pPr>
      <w:r>
        <w:rPr>
          <w:rStyle w:val="FootnoteReference"/>
        </w:rPr>
        <w:footnoteRef/>
      </w:r>
      <w:r>
        <w:t xml:space="preserve"> </w:t>
      </w:r>
      <w:r>
        <w:rPr>
          <w:lang w:val="en-US"/>
        </w:rPr>
        <w:t xml:space="preserve">E.g. </w:t>
      </w:r>
      <w:r w:rsidRPr="000838DF">
        <w:rPr>
          <w:i/>
          <w:iCs/>
        </w:rPr>
        <w:t>American Needle, I</w:t>
      </w:r>
      <w:r>
        <w:rPr>
          <w:i/>
          <w:iCs/>
        </w:rPr>
        <w:t>nc. v. National Football League</w:t>
      </w:r>
      <w:r>
        <w:rPr>
          <w:iCs/>
        </w:rPr>
        <w:t xml:space="preserve"> </w:t>
      </w:r>
      <w:r>
        <w:rPr>
          <w:iCs/>
          <w:lang w:val="en-US"/>
        </w:rPr>
        <w:t>560 US</w:t>
      </w:r>
      <w:r w:rsidRPr="001C7BC1">
        <w:rPr>
          <w:iCs/>
          <w:lang w:val="en-US"/>
        </w:rPr>
        <w:t xml:space="preserve"> 183 (2010)</w:t>
      </w:r>
      <w:r>
        <w:rPr>
          <w:iCs/>
          <w:lang w:val="en-US"/>
        </w:rPr>
        <w:t xml:space="preserve"> – see JM </w:t>
      </w:r>
      <w:proofErr w:type="spellStart"/>
      <w:r>
        <w:rPr>
          <w:iCs/>
          <w:lang w:val="en-US"/>
        </w:rPr>
        <w:t>Schmitten</w:t>
      </w:r>
      <w:proofErr w:type="spellEnd"/>
      <w:r>
        <w:rPr>
          <w:iCs/>
          <w:lang w:val="en-US"/>
        </w:rPr>
        <w:t xml:space="preserve"> ‘</w:t>
      </w:r>
      <w:proofErr w:type="spellStart"/>
      <w:r w:rsidRPr="001C7BC1">
        <w:rPr>
          <w:bCs/>
          <w:iCs/>
        </w:rPr>
        <w:t>Antitrust’s</w:t>
      </w:r>
      <w:proofErr w:type="spellEnd"/>
      <w:r w:rsidRPr="001C7BC1">
        <w:rPr>
          <w:bCs/>
          <w:iCs/>
        </w:rPr>
        <w:t xml:space="preserve"> Single-Entity Doctrine: A Formalistic Approach for a Formalistic Rule</w:t>
      </w:r>
      <w:r>
        <w:rPr>
          <w:bCs/>
          <w:iCs/>
        </w:rPr>
        <w:t xml:space="preserve">’ (2012) 46 </w:t>
      </w:r>
      <w:r w:rsidRPr="001C7BC1">
        <w:rPr>
          <w:bCs/>
          <w:iCs/>
        </w:rPr>
        <w:t>Columbia Journal of Law and Social Problems</w:t>
      </w:r>
      <w:r>
        <w:rPr>
          <w:bCs/>
          <w:iCs/>
        </w:rPr>
        <w:t xml:space="preserve"> 93 for a highly critical analysis</w:t>
      </w:r>
    </w:p>
  </w:footnote>
  <w:footnote w:id="17">
    <w:p w14:paraId="1AB9FB28" w14:textId="3F2E8A19" w:rsidR="00437A75" w:rsidRPr="001C7BC1" w:rsidRDefault="00437A75">
      <w:pPr>
        <w:pStyle w:val="FootnoteText"/>
        <w:rPr>
          <w:lang w:val="en-US"/>
        </w:rPr>
      </w:pPr>
      <w:r>
        <w:rPr>
          <w:rStyle w:val="FootnoteReference"/>
        </w:rPr>
        <w:footnoteRef/>
      </w:r>
      <w:r>
        <w:t xml:space="preserve"> </w:t>
      </w:r>
      <w:r>
        <w:rPr>
          <w:lang w:val="en-US"/>
        </w:rPr>
        <w:t>(</w:t>
      </w:r>
      <w:proofErr w:type="gramStart"/>
      <w:r>
        <w:rPr>
          <w:lang w:val="en-US"/>
        </w:rPr>
        <w:t>n</w:t>
      </w:r>
      <w:proofErr w:type="gramEnd"/>
      <w:r>
        <w:rPr>
          <w:lang w:val="en-US"/>
        </w:rPr>
        <w:t xml:space="preserve"> 13) 46</w:t>
      </w:r>
    </w:p>
  </w:footnote>
  <w:footnote w:id="18">
    <w:p w14:paraId="21DA0485" w14:textId="1BB82563" w:rsidR="00437A75" w:rsidRPr="00AD61EC" w:rsidRDefault="00437A75">
      <w:pPr>
        <w:pStyle w:val="FootnoteText"/>
        <w:rPr>
          <w:lang w:val="en-US"/>
        </w:rPr>
      </w:pPr>
      <w:r>
        <w:rPr>
          <w:rStyle w:val="FootnoteReference"/>
        </w:rPr>
        <w:footnoteRef/>
      </w:r>
      <w:r>
        <w:t xml:space="preserve"> </w:t>
      </w:r>
      <w:r>
        <w:rPr>
          <w:lang w:val="en-US"/>
        </w:rPr>
        <w:t>Article 1, Section 8, Clause 3 of the US Constitution</w:t>
      </w:r>
    </w:p>
  </w:footnote>
  <w:footnote w:id="19">
    <w:p w14:paraId="2FC58D13" w14:textId="07E08FEF" w:rsidR="00437A75" w:rsidRPr="00C52448" w:rsidRDefault="00437A75">
      <w:pPr>
        <w:pStyle w:val="FootnoteText"/>
        <w:rPr>
          <w:lang w:val="en-US"/>
        </w:rPr>
      </w:pPr>
      <w:r>
        <w:rPr>
          <w:rStyle w:val="FootnoteReference"/>
        </w:rPr>
        <w:footnoteRef/>
      </w:r>
      <w:r>
        <w:t xml:space="preserve"> US </w:t>
      </w:r>
      <w:r>
        <w:rPr>
          <w:lang w:val="en-US"/>
        </w:rPr>
        <w:t>Department of Justice, “Antitrust Division Manual” (5</w:t>
      </w:r>
      <w:r w:rsidRPr="006E1897">
        <w:rPr>
          <w:vertAlign w:val="superscript"/>
          <w:lang w:val="en-US"/>
        </w:rPr>
        <w:t>th</w:t>
      </w:r>
      <w:r>
        <w:rPr>
          <w:lang w:val="en-US"/>
        </w:rPr>
        <w:t xml:space="preserve"> edn Department of Justice, Washington 2015) III-12</w:t>
      </w:r>
    </w:p>
  </w:footnote>
  <w:footnote w:id="20">
    <w:p w14:paraId="3F2FB19A" w14:textId="61642085" w:rsidR="00437A75" w:rsidRPr="00B071B5" w:rsidRDefault="00437A75">
      <w:pPr>
        <w:pStyle w:val="FootnoteText"/>
        <w:rPr>
          <w:lang w:val="en-US"/>
        </w:rPr>
      </w:pPr>
      <w:r>
        <w:rPr>
          <w:rStyle w:val="FootnoteReference"/>
        </w:rPr>
        <w:footnoteRef/>
      </w:r>
      <w:r>
        <w:t xml:space="preserve"> </w:t>
      </w:r>
      <w:r w:rsidRPr="00B071B5">
        <w:rPr>
          <w:bCs/>
          <w:iCs/>
          <w:lang w:val="en-US"/>
        </w:rPr>
        <w:t xml:space="preserve">Deputy Attorney General Sally </w:t>
      </w:r>
      <w:proofErr w:type="spellStart"/>
      <w:r w:rsidRPr="00B071B5">
        <w:rPr>
          <w:bCs/>
          <w:iCs/>
          <w:lang w:val="en-US"/>
        </w:rPr>
        <w:t>Quillian</w:t>
      </w:r>
      <w:proofErr w:type="spellEnd"/>
      <w:r w:rsidRPr="00B071B5">
        <w:rPr>
          <w:bCs/>
          <w:iCs/>
          <w:lang w:val="en-US"/>
        </w:rPr>
        <w:t xml:space="preserve"> Yates</w:t>
      </w:r>
      <w:r>
        <w:rPr>
          <w:bCs/>
          <w:iCs/>
          <w:lang w:val="en-US"/>
        </w:rPr>
        <w:t>’ Memorandum ‘Individual Accountability for Corporate Wrongdoing’ dated 9 September 2015</w:t>
      </w:r>
      <w:r>
        <w:t xml:space="preserve"> </w:t>
      </w:r>
      <w:hyperlink r:id="rId8" w:history="1">
        <w:r w:rsidRPr="00237E05">
          <w:rPr>
            <w:rStyle w:val="Hyperlink"/>
          </w:rPr>
          <w:t>https://www.justice.gov/dag/file/769036/download</w:t>
        </w:r>
      </w:hyperlink>
      <w:r>
        <w:t xml:space="preserve"> </w:t>
      </w:r>
      <w:r>
        <w:rPr>
          <w:lang w:val="en-US"/>
        </w:rPr>
        <w:t>last accessed 12 August 2016</w:t>
      </w:r>
    </w:p>
  </w:footnote>
  <w:footnote w:id="21">
    <w:p w14:paraId="0E3A9C8E" w14:textId="4DB9699A" w:rsidR="00437A75" w:rsidRPr="00CF3C48" w:rsidRDefault="00437A75">
      <w:pPr>
        <w:pStyle w:val="FootnoteText"/>
        <w:rPr>
          <w:lang w:val="en-US"/>
        </w:rPr>
      </w:pPr>
      <w:r>
        <w:rPr>
          <w:rStyle w:val="FootnoteReference"/>
        </w:rPr>
        <w:footnoteRef/>
      </w:r>
      <w:r>
        <w:t xml:space="preserve"> </w:t>
      </w:r>
      <w:r>
        <w:rPr>
          <w:lang w:val="en-US"/>
        </w:rPr>
        <w:t xml:space="preserve">Deputy Attorney General Bent Snyder ‘Individual Accountability for Antitrust Crimes’ dated 19 February 2016 </w:t>
      </w:r>
      <w:hyperlink r:id="rId9" w:history="1">
        <w:r w:rsidRPr="00237E05">
          <w:rPr>
            <w:rStyle w:val="Hyperlink"/>
            <w:lang w:val="en-US"/>
          </w:rPr>
          <w:t>https://www.justice.gov/opa/file/826721/download</w:t>
        </w:r>
      </w:hyperlink>
      <w:r>
        <w:rPr>
          <w:lang w:val="en-US"/>
        </w:rPr>
        <w:t xml:space="preserve"> last accessed 12 August 2016</w:t>
      </w:r>
    </w:p>
  </w:footnote>
  <w:footnote w:id="22">
    <w:p w14:paraId="597A33A4" w14:textId="1568168C" w:rsidR="00437A75" w:rsidRPr="00FA44F0" w:rsidRDefault="00437A75">
      <w:pPr>
        <w:pStyle w:val="FootnoteText"/>
        <w:rPr>
          <w:lang w:val="en-US"/>
        </w:rPr>
      </w:pPr>
      <w:r>
        <w:rPr>
          <w:rStyle w:val="FootnoteReference"/>
        </w:rPr>
        <w:footnoteRef/>
      </w:r>
      <w:r>
        <w:t xml:space="preserve"> </w:t>
      </w:r>
      <w:proofErr w:type="spellStart"/>
      <w:r w:rsidRPr="00FA44F0">
        <w:rPr>
          <w:i/>
          <w:iCs/>
          <w:lang w:val="en-US"/>
        </w:rPr>
        <w:t>Gatt</w:t>
      </w:r>
      <w:proofErr w:type="spellEnd"/>
      <w:r w:rsidRPr="00FA44F0">
        <w:rPr>
          <w:i/>
          <w:iCs/>
          <w:lang w:val="en-US"/>
        </w:rPr>
        <w:t xml:space="preserve"> Comm., Inc. v. PMC Assocs</w:t>
      </w:r>
      <w:proofErr w:type="gramStart"/>
      <w:r w:rsidRPr="00FA44F0">
        <w:rPr>
          <w:i/>
          <w:iCs/>
          <w:lang w:val="en-US"/>
        </w:rPr>
        <w:t>.,</w:t>
      </w:r>
      <w:proofErr w:type="gramEnd"/>
      <w:r w:rsidRPr="00FA44F0">
        <w:rPr>
          <w:i/>
          <w:iCs/>
          <w:lang w:val="en-US"/>
        </w:rPr>
        <w:t xml:space="preserve"> LLC</w:t>
      </w:r>
      <w:r w:rsidRPr="00FA44F0">
        <w:rPr>
          <w:lang w:val="en-US"/>
        </w:rPr>
        <w:t>,</w:t>
      </w:r>
      <w:r>
        <w:rPr>
          <w:lang w:val="en-US"/>
        </w:rPr>
        <w:t xml:space="preserve"> 711 F.3d 68, 75 (2d Cir. 2013)</w:t>
      </w:r>
    </w:p>
  </w:footnote>
  <w:footnote w:id="23">
    <w:p w14:paraId="31E2B6FC" w14:textId="1E6B70ED" w:rsidR="00437A75" w:rsidRPr="009C4EB6" w:rsidRDefault="00437A75">
      <w:pPr>
        <w:pStyle w:val="FootnoteText"/>
        <w:rPr>
          <w:lang w:val="en-US"/>
        </w:rPr>
      </w:pPr>
      <w:r>
        <w:rPr>
          <w:rStyle w:val="FootnoteReference"/>
        </w:rPr>
        <w:footnoteRef/>
      </w:r>
      <w:r>
        <w:t xml:space="preserve"> </w:t>
      </w:r>
      <w:r>
        <w:rPr>
          <w:lang w:val="en-US"/>
        </w:rPr>
        <w:t>429 US 477, 489 (1977)</w:t>
      </w:r>
    </w:p>
  </w:footnote>
  <w:footnote w:id="24">
    <w:p w14:paraId="560E1034" w14:textId="4382D09D" w:rsidR="00437A75" w:rsidRPr="007751FD" w:rsidRDefault="00437A75">
      <w:pPr>
        <w:pStyle w:val="FootnoteText"/>
        <w:rPr>
          <w:lang w:val="en-US"/>
        </w:rPr>
      </w:pPr>
      <w:r>
        <w:rPr>
          <w:rStyle w:val="FootnoteReference"/>
        </w:rPr>
        <w:footnoteRef/>
      </w:r>
      <w:r>
        <w:t xml:space="preserve"> </w:t>
      </w:r>
      <w:r>
        <w:rPr>
          <w:lang w:val="en-US"/>
        </w:rPr>
        <w:t>Ibid.</w:t>
      </w:r>
    </w:p>
  </w:footnote>
  <w:footnote w:id="25">
    <w:p w14:paraId="0F26A505" w14:textId="139F34E0" w:rsidR="00437A75" w:rsidRPr="007D13DA" w:rsidRDefault="00437A75">
      <w:pPr>
        <w:pStyle w:val="FootnoteText"/>
        <w:rPr>
          <w:lang w:val="en-US"/>
        </w:rPr>
      </w:pPr>
      <w:r>
        <w:rPr>
          <w:rStyle w:val="FootnoteReference"/>
        </w:rPr>
        <w:footnoteRef/>
      </w:r>
      <w:r>
        <w:t xml:space="preserve"> </w:t>
      </w:r>
      <w:r>
        <w:rPr>
          <w:lang w:val="en-US"/>
        </w:rPr>
        <w:t>431 US</w:t>
      </w:r>
      <w:r w:rsidRPr="009F2F60">
        <w:rPr>
          <w:lang w:val="en-US"/>
        </w:rPr>
        <w:t xml:space="preserve"> 720 (1977)</w:t>
      </w:r>
    </w:p>
  </w:footnote>
  <w:footnote w:id="26">
    <w:p w14:paraId="2E90EC99" w14:textId="5DBC2541" w:rsidR="00437A75" w:rsidRPr="009F2F60" w:rsidRDefault="00437A75">
      <w:pPr>
        <w:pStyle w:val="FootnoteText"/>
        <w:rPr>
          <w:lang w:val="en-US"/>
        </w:rPr>
      </w:pPr>
      <w:r>
        <w:rPr>
          <w:rStyle w:val="FootnoteReference"/>
        </w:rPr>
        <w:footnoteRef/>
      </w:r>
      <w:r>
        <w:t xml:space="preserve"> Ibid. 536-545</w:t>
      </w:r>
    </w:p>
  </w:footnote>
  <w:footnote w:id="27">
    <w:p w14:paraId="6AE2F380" w14:textId="6EC14B27" w:rsidR="00437A75" w:rsidRPr="00C02D78" w:rsidRDefault="00437A75">
      <w:pPr>
        <w:pStyle w:val="FootnoteText"/>
      </w:pPr>
      <w:r>
        <w:rPr>
          <w:rStyle w:val="FootnoteReference"/>
        </w:rPr>
        <w:footnoteRef/>
      </w:r>
      <w:r>
        <w:t xml:space="preserve"> </w:t>
      </w:r>
      <w:r>
        <w:rPr>
          <w:lang w:val="en-US"/>
        </w:rPr>
        <w:t xml:space="preserve">First granted powers under Regulation 17/62 the </w:t>
      </w:r>
      <w:r w:rsidRPr="00C02D78">
        <w:t xml:space="preserve">First Regulation implementing Articles 85 arid 86 of the Treaty </w:t>
      </w:r>
      <w:r>
        <w:t xml:space="preserve">[1962] OJ 204/62, now updated by Council Regulation (EC) 1/2003 </w:t>
      </w:r>
      <w:r w:rsidRPr="00C02D78">
        <w:rPr>
          <w:bCs/>
        </w:rPr>
        <w:t>on the implementation of the rules on competition laid down in Articles 81 and 82 of the Treaty</w:t>
      </w:r>
      <w:r>
        <w:rPr>
          <w:bCs/>
        </w:rPr>
        <w:t xml:space="preserve"> [2003] OJ L1/1</w:t>
      </w:r>
    </w:p>
  </w:footnote>
  <w:footnote w:id="28">
    <w:p w14:paraId="26FF8764" w14:textId="5B5A466B" w:rsidR="00437A75" w:rsidRPr="00AD5D62" w:rsidRDefault="00437A75">
      <w:pPr>
        <w:pStyle w:val="FootnoteText"/>
        <w:rPr>
          <w:lang w:val="en-US"/>
        </w:rPr>
      </w:pPr>
      <w:r>
        <w:rPr>
          <w:rStyle w:val="FootnoteReference"/>
        </w:rPr>
        <w:footnoteRef/>
      </w:r>
      <w:r>
        <w:t xml:space="preserve"> </w:t>
      </w:r>
      <w:r>
        <w:rPr>
          <w:lang w:val="en-US"/>
        </w:rPr>
        <w:t>Article 101(2) TFEU</w:t>
      </w:r>
    </w:p>
  </w:footnote>
  <w:footnote w:id="29">
    <w:p w14:paraId="30DC3CB7" w14:textId="62A909C7" w:rsidR="00437A75" w:rsidRPr="00575A9F" w:rsidRDefault="00437A75" w:rsidP="00A72936">
      <w:pPr>
        <w:pStyle w:val="FootnoteText"/>
        <w:rPr>
          <w:lang w:val="en-US"/>
        </w:rPr>
      </w:pPr>
      <w:r>
        <w:rPr>
          <w:rStyle w:val="FootnoteReference"/>
        </w:rPr>
        <w:footnoteRef/>
      </w:r>
      <w:r>
        <w:t xml:space="preserve"> </w:t>
      </w:r>
      <w:r>
        <w:rPr>
          <w:lang w:val="en-US"/>
        </w:rPr>
        <w:t xml:space="preserve">Case T-41/96 </w:t>
      </w:r>
      <w:r>
        <w:rPr>
          <w:i/>
          <w:lang w:val="en-US"/>
        </w:rPr>
        <w:t>Bayer v Commission</w:t>
      </w:r>
      <w:r>
        <w:rPr>
          <w:lang w:val="en-US"/>
        </w:rPr>
        <w:t xml:space="preserve"> [2000] ECR II-3383 para 69 – see O Black, ‘Agreement: Concurrence of </w:t>
      </w:r>
      <w:r w:rsidRPr="00A72936">
        <w:rPr>
          <w:lang w:val="en-US"/>
        </w:rPr>
        <w:t>Wills, or Offer and</w:t>
      </w:r>
      <w:r>
        <w:rPr>
          <w:lang w:val="en-US"/>
        </w:rPr>
        <w:t xml:space="preserve"> </w:t>
      </w:r>
      <w:r w:rsidRPr="00A72936">
        <w:rPr>
          <w:lang w:val="en-US"/>
        </w:rPr>
        <w:t>Acceptance?</w:t>
      </w:r>
      <w:r>
        <w:rPr>
          <w:lang w:val="en-US"/>
        </w:rPr>
        <w:t>’ (2008) 4 European Competition Journal 103</w:t>
      </w:r>
    </w:p>
  </w:footnote>
  <w:footnote w:id="30">
    <w:p w14:paraId="4C49448C" w14:textId="286D46A2" w:rsidR="00437A75" w:rsidRPr="001D1457" w:rsidRDefault="00437A75">
      <w:pPr>
        <w:pStyle w:val="FootnoteText"/>
        <w:rPr>
          <w:lang w:val="en-US"/>
        </w:rPr>
      </w:pPr>
      <w:r>
        <w:rPr>
          <w:rStyle w:val="FootnoteReference"/>
        </w:rPr>
        <w:footnoteRef/>
      </w:r>
      <w:r>
        <w:t xml:space="preserve"> </w:t>
      </w:r>
      <w:r>
        <w:rPr>
          <w:lang w:val="en-US"/>
        </w:rPr>
        <w:t xml:space="preserve">Case C-260/09 P </w:t>
      </w:r>
      <w:r>
        <w:rPr>
          <w:i/>
          <w:lang w:val="en-US"/>
        </w:rPr>
        <w:t>Activision Blizzard German GmbH v Commission</w:t>
      </w:r>
      <w:r>
        <w:rPr>
          <w:lang w:val="en-US"/>
        </w:rPr>
        <w:t xml:space="preserve"> [2009] ECR I-419</w:t>
      </w:r>
    </w:p>
  </w:footnote>
  <w:footnote w:id="31">
    <w:p w14:paraId="52DFE305" w14:textId="4E2DE310" w:rsidR="00437A75" w:rsidRPr="00A61EF7" w:rsidRDefault="00437A75" w:rsidP="00DD24A7">
      <w:pPr>
        <w:pStyle w:val="FootnoteText"/>
        <w:rPr>
          <w:lang w:val="en-US"/>
        </w:rPr>
      </w:pPr>
      <w:r>
        <w:rPr>
          <w:rStyle w:val="FootnoteReference"/>
        </w:rPr>
        <w:footnoteRef/>
      </w:r>
      <w:r>
        <w:t xml:space="preserve"> </w:t>
      </w:r>
      <w:r>
        <w:rPr>
          <w:lang w:val="en-US"/>
        </w:rPr>
        <w:t xml:space="preserve">See Joined Cases 96-102, 104, 105, 108 &amp; 110/82 </w:t>
      </w:r>
      <w:r>
        <w:rPr>
          <w:i/>
          <w:lang w:val="en-US"/>
        </w:rPr>
        <w:t>IAZ International Belgium NV v Commission</w:t>
      </w:r>
      <w:r>
        <w:rPr>
          <w:lang w:val="en-US"/>
        </w:rPr>
        <w:t xml:space="preserve"> [1983] ECR 3369 para 20</w:t>
      </w:r>
    </w:p>
  </w:footnote>
  <w:footnote w:id="32">
    <w:p w14:paraId="33BEF80B" w14:textId="0655440B" w:rsidR="00437A75" w:rsidRPr="00EC3067" w:rsidRDefault="00437A75">
      <w:pPr>
        <w:pStyle w:val="FootnoteText"/>
        <w:rPr>
          <w:lang w:val="en-US"/>
        </w:rPr>
      </w:pPr>
      <w:r>
        <w:rPr>
          <w:rStyle w:val="FootnoteReference"/>
        </w:rPr>
        <w:footnoteRef/>
      </w:r>
      <w:r>
        <w:t xml:space="preserve"> </w:t>
      </w:r>
      <w:r>
        <w:rPr>
          <w:lang w:val="en-US"/>
        </w:rPr>
        <w:t xml:space="preserve">Case 48/69 </w:t>
      </w:r>
      <w:r>
        <w:rPr>
          <w:i/>
          <w:lang w:val="en-US"/>
        </w:rPr>
        <w:t>ICI v Commission</w:t>
      </w:r>
      <w:r>
        <w:rPr>
          <w:lang w:val="en-US"/>
        </w:rPr>
        <w:t xml:space="preserve"> [1972] ECR 619 para 64</w:t>
      </w:r>
    </w:p>
  </w:footnote>
  <w:footnote w:id="33">
    <w:p w14:paraId="4BFA8C9A" w14:textId="7A667BBB" w:rsidR="00437A75" w:rsidRPr="004029EF" w:rsidRDefault="00437A75">
      <w:pPr>
        <w:pStyle w:val="FootnoteText"/>
        <w:rPr>
          <w:lang w:val="en-US"/>
        </w:rPr>
      </w:pPr>
      <w:r>
        <w:rPr>
          <w:rStyle w:val="FootnoteReference"/>
        </w:rPr>
        <w:footnoteRef/>
      </w:r>
      <w:r>
        <w:t xml:space="preserve"> </w:t>
      </w:r>
      <w:r>
        <w:rPr>
          <w:lang w:val="en-US"/>
        </w:rPr>
        <w:t xml:space="preserve">Joined Cases 40-48, 50, 54-56, 111 &amp; 113-114/73 </w:t>
      </w:r>
      <w:proofErr w:type="spellStart"/>
      <w:r w:rsidRPr="004029EF">
        <w:rPr>
          <w:bCs/>
          <w:i/>
          <w:lang w:val="en-US"/>
        </w:rPr>
        <w:t>Suiker</w:t>
      </w:r>
      <w:proofErr w:type="spellEnd"/>
      <w:r w:rsidRPr="004029EF">
        <w:rPr>
          <w:bCs/>
          <w:i/>
          <w:lang w:val="en-US"/>
        </w:rPr>
        <w:t xml:space="preserve"> </w:t>
      </w:r>
      <w:proofErr w:type="spellStart"/>
      <w:r w:rsidRPr="004029EF">
        <w:rPr>
          <w:bCs/>
          <w:i/>
          <w:lang w:val="en-US"/>
        </w:rPr>
        <w:t>Unie</w:t>
      </w:r>
      <w:proofErr w:type="spellEnd"/>
      <w:r w:rsidRPr="004029EF">
        <w:rPr>
          <w:bCs/>
          <w:i/>
          <w:lang w:val="en-US"/>
        </w:rPr>
        <w:t xml:space="preserve"> v Commission</w:t>
      </w:r>
      <w:r>
        <w:rPr>
          <w:bCs/>
          <w:lang w:val="en-US"/>
        </w:rPr>
        <w:t xml:space="preserve"> [1975] ECR 1663 para 174</w:t>
      </w:r>
    </w:p>
  </w:footnote>
  <w:footnote w:id="34">
    <w:p w14:paraId="17F84099" w14:textId="190D3543" w:rsidR="00437A75" w:rsidRPr="00B43F2D" w:rsidRDefault="00437A75">
      <w:pPr>
        <w:pStyle w:val="FootnoteText"/>
        <w:rPr>
          <w:lang w:val="en-US"/>
        </w:rPr>
      </w:pPr>
      <w:r>
        <w:rPr>
          <w:rStyle w:val="FootnoteReference"/>
        </w:rPr>
        <w:footnoteRef/>
      </w:r>
      <w:r>
        <w:t xml:space="preserve"> </w:t>
      </w:r>
      <w:r>
        <w:rPr>
          <w:lang w:val="en-US"/>
        </w:rPr>
        <w:t xml:space="preserve">Case 22/78 </w:t>
      </w:r>
      <w:proofErr w:type="spellStart"/>
      <w:r w:rsidRPr="00B43F2D">
        <w:rPr>
          <w:bCs/>
          <w:i/>
          <w:lang w:val="en-US"/>
        </w:rPr>
        <w:t>Hugin</w:t>
      </w:r>
      <w:proofErr w:type="spellEnd"/>
      <w:r w:rsidRPr="00B43F2D">
        <w:rPr>
          <w:bCs/>
          <w:i/>
          <w:lang w:val="en-US"/>
        </w:rPr>
        <w:t xml:space="preserve"> </w:t>
      </w:r>
      <w:proofErr w:type="spellStart"/>
      <w:r w:rsidRPr="00B43F2D">
        <w:rPr>
          <w:bCs/>
          <w:i/>
          <w:lang w:val="en-US"/>
        </w:rPr>
        <w:t>Kassaregister</w:t>
      </w:r>
      <w:proofErr w:type="spellEnd"/>
      <w:r w:rsidRPr="00B43F2D">
        <w:rPr>
          <w:bCs/>
          <w:i/>
          <w:lang w:val="en-US"/>
        </w:rPr>
        <w:t xml:space="preserve"> AB and </w:t>
      </w:r>
      <w:proofErr w:type="spellStart"/>
      <w:r w:rsidRPr="00B43F2D">
        <w:rPr>
          <w:bCs/>
          <w:i/>
          <w:lang w:val="en-US"/>
        </w:rPr>
        <w:t>Hugin</w:t>
      </w:r>
      <w:proofErr w:type="spellEnd"/>
      <w:r w:rsidRPr="00B43F2D">
        <w:rPr>
          <w:bCs/>
          <w:i/>
          <w:lang w:val="en-US"/>
        </w:rPr>
        <w:t xml:space="preserve"> Cash Registers Ltd v Commission</w:t>
      </w:r>
      <w:r>
        <w:rPr>
          <w:bCs/>
          <w:lang w:val="en-US"/>
        </w:rPr>
        <w:t xml:space="preserve"> [1979] ECR 1869 para 17</w:t>
      </w:r>
    </w:p>
  </w:footnote>
  <w:footnote w:id="35">
    <w:p w14:paraId="567427D6" w14:textId="539B6842" w:rsidR="00437A75" w:rsidRPr="00A56E23" w:rsidRDefault="00437A75">
      <w:pPr>
        <w:pStyle w:val="FootnoteText"/>
        <w:rPr>
          <w:lang w:val="en-US"/>
        </w:rPr>
      </w:pPr>
      <w:r>
        <w:rPr>
          <w:rStyle w:val="FootnoteReference"/>
        </w:rPr>
        <w:footnoteRef/>
      </w:r>
      <w:r>
        <w:t xml:space="preserve"> </w:t>
      </w:r>
      <w:r>
        <w:rPr>
          <w:lang w:val="en-US"/>
        </w:rPr>
        <w:t>(</w:t>
      </w:r>
      <w:proofErr w:type="gramStart"/>
      <w:r>
        <w:rPr>
          <w:lang w:val="en-US"/>
        </w:rPr>
        <w:t>n</w:t>
      </w:r>
      <w:proofErr w:type="gramEnd"/>
      <w:r>
        <w:rPr>
          <w:lang w:val="en-US"/>
        </w:rPr>
        <w:t xml:space="preserve"> 27)</w:t>
      </w:r>
    </w:p>
  </w:footnote>
  <w:footnote w:id="36">
    <w:p w14:paraId="1922A5A2" w14:textId="1C8D574B" w:rsidR="00437A75" w:rsidRPr="00A56E23" w:rsidRDefault="00437A75">
      <w:pPr>
        <w:pStyle w:val="FootnoteText"/>
      </w:pPr>
      <w:r>
        <w:rPr>
          <w:rStyle w:val="FootnoteReference"/>
        </w:rPr>
        <w:footnoteRef/>
      </w:r>
      <w:r>
        <w:t xml:space="preserve"> </w:t>
      </w:r>
      <w:r>
        <w:rPr>
          <w:lang w:val="en-US"/>
        </w:rPr>
        <w:t xml:space="preserve">See the </w:t>
      </w:r>
      <w:r w:rsidRPr="00A56E23">
        <w:rPr>
          <w:bCs/>
        </w:rPr>
        <w:t>Commission Notice on cooperation within the Network of Competition Authorities</w:t>
      </w:r>
      <w:r>
        <w:rPr>
          <w:bCs/>
        </w:rPr>
        <w:t xml:space="preserve"> [2004] OJ C101/43</w:t>
      </w:r>
    </w:p>
  </w:footnote>
  <w:footnote w:id="37">
    <w:p w14:paraId="3F6312B0" w14:textId="22CF9532" w:rsidR="00437A75" w:rsidRPr="00A56E23" w:rsidRDefault="00437A75">
      <w:pPr>
        <w:pStyle w:val="FootnoteText"/>
      </w:pPr>
      <w:r>
        <w:rPr>
          <w:rStyle w:val="FootnoteReference"/>
        </w:rPr>
        <w:footnoteRef/>
      </w:r>
      <w:r>
        <w:t xml:space="preserve"> Commission </w:t>
      </w:r>
      <w:r w:rsidRPr="00A56E23">
        <w:rPr>
          <w:bCs/>
        </w:rPr>
        <w:t>Guidelines on the effect on trade concept contained in Articles 81 and 82 of the Treaty</w:t>
      </w:r>
      <w:r>
        <w:rPr>
          <w:bCs/>
        </w:rPr>
        <w:t xml:space="preserve"> [2004] OJ C101/81</w:t>
      </w:r>
    </w:p>
  </w:footnote>
  <w:footnote w:id="38">
    <w:p w14:paraId="0F9BAD91" w14:textId="445E15ED" w:rsidR="00437A75" w:rsidRPr="007C17FF" w:rsidRDefault="00437A75">
      <w:pPr>
        <w:pStyle w:val="FootnoteText"/>
        <w:rPr>
          <w:lang w:val="en-US"/>
        </w:rPr>
      </w:pPr>
      <w:r>
        <w:rPr>
          <w:rStyle w:val="FootnoteReference"/>
        </w:rPr>
        <w:footnoteRef/>
      </w:r>
      <w:r>
        <w:t xml:space="preserve"> Case 56/65 </w:t>
      </w:r>
      <w:proofErr w:type="spellStart"/>
      <w:r w:rsidRPr="007C17FF">
        <w:rPr>
          <w:bCs/>
          <w:i/>
          <w:lang w:val="en-US"/>
        </w:rPr>
        <w:t>Société</w:t>
      </w:r>
      <w:proofErr w:type="spellEnd"/>
      <w:r w:rsidRPr="007C17FF">
        <w:rPr>
          <w:bCs/>
          <w:i/>
          <w:lang w:val="en-US"/>
        </w:rPr>
        <w:t xml:space="preserve"> Technique </w:t>
      </w:r>
      <w:proofErr w:type="spellStart"/>
      <w:r w:rsidRPr="007C17FF">
        <w:rPr>
          <w:bCs/>
          <w:i/>
          <w:lang w:val="en-US"/>
        </w:rPr>
        <w:t>Minière</w:t>
      </w:r>
      <w:proofErr w:type="spellEnd"/>
      <w:r w:rsidRPr="007C17FF">
        <w:rPr>
          <w:bCs/>
          <w:i/>
          <w:lang w:val="en-US"/>
        </w:rPr>
        <w:t xml:space="preserve"> v </w:t>
      </w:r>
      <w:proofErr w:type="spellStart"/>
      <w:r w:rsidRPr="007C17FF">
        <w:rPr>
          <w:bCs/>
          <w:i/>
          <w:lang w:val="en-US"/>
        </w:rPr>
        <w:t>Maschinenbau</w:t>
      </w:r>
      <w:proofErr w:type="spellEnd"/>
      <w:r w:rsidRPr="007C17FF">
        <w:rPr>
          <w:bCs/>
          <w:i/>
          <w:lang w:val="en-US"/>
        </w:rPr>
        <w:t xml:space="preserve"> Ulm</w:t>
      </w:r>
      <w:r>
        <w:rPr>
          <w:bCs/>
          <w:lang w:val="en-US"/>
        </w:rPr>
        <w:t xml:space="preserve"> [1966] ECR 235, 249</w:t>
      </w:r>
    </w:p>
  </w:footnote>
  <w:footnote w:id="39">
    <w:p w14:paraId="538C2E5A" w14:textId="1705BD98" w:rsidR="00437A75" w:rsidRPr="00BE1BF6" w:rsidRDefault="00437A75">
      <w:pPr>
        <w:pStyle w:val="FootnoteText"/>
        <w:rPr>
          <w:lang w:val="en-US"/>
        </w:rPr>
      </w:pPr>
      <w:r>
        <w:rPr>
          <w:rStyle w:val="FootnoteReference"/>
        </w:rPr>
        <w:footnoteRef/>
      </w:r>
      <w:r>
        <w:t xml:space="preserve"> </w:t>
      </w:r>
      <w:r>
        <w:rPr>
          <w:lang w:val="en-US"/>
        </w:rPr>
        <w:t xml:space="preserve">Case C-453/99 </w:t>
      </w:r>
      <w:r>
        <w:rPr>
          <w:i/>
          <w:lang w:val="en-US"/>
        </w:rPr>
        <w:t xml:space="preserve">Courage Ltd v </w:t>
      </w:r>
      <w:proofErr w:type="spellStart"/>
      <w:r>
        <w:rPr>
          <w:i/>
          <w:lang w:val="en-US"/>
        </w:rPr>
        <w:t>Crehan</w:t>
      </w:r>
      <w:proofErr w:type="spellEnd"/>
      <w:r>
        <w:rPr>
          <w:lang w:val="en-US"/>
        </w:rPr>
        <w:t xml:space="preserve"> [2001] ECR I-6297 para 26</w:t>
      </w:r>
    </w:p>
  </w:footnote>
  <w:footnote w:id="40">
    <w:p w14:paraId="550DCA55" w14:textId="1F024E57" w:rsidR="00437A75" w:rsidRPr="00443BEC" w:rsidRDefault="00437A75">
      <w:pPr>
        <w:pStyle w:val="FootnoteText"/>
        <w:rPr>
          <w:lang w:val="en-US"/>
        </w:rPr>
      </w:pPr>
      <w:r>
        <w:rPr>
          <w:rStyle w:val="FootnoteReference"/>
        </w:rPr>
        <w:footnoteRef/>
      </w:r>
      <w:r>
        <w:t xml:space="preserve"> Joined </w:t>
      </w:r>
      <w:r>
        <w:rPr>
          <w:lang w:val="en-US"/>
        </w:rPr>
        <w:t xml:space="preserve">Cases C-295-298/04 </w:t>
      </w:r>
      <w:r w:rsidRPr="00443BEC">
        <w:rPr>
          <w:i/>
          <w:lang w:val="en-US"/>
        </w:rPr>
        <w:t xml:space="preserve">Vincenzo </w:t>
      </w:r>
      <w:proofErr w:type="spellStart"/>
      <w:r w:rsidRPr="00443BEC">
        <w:rPr>
          <w:i/>
          <w:lang w:val="en-US"/>
        </w:rPr>
        <w:t>Manfredi</w:t>
      </w:r>
      <w:proofErr w:type="spellEnd"/>
      <w:r w:rsidRPr="00443BEC">
        <w:rPr>
          <w:i/>
          <w:lang w:val="en-US"/>
        </w:rPr>
        <w:t xml:space="preserve"> and Others v Lloyd </w:t>
      </w:r>
      <w:proofErr w:type="spellStart"/>
      <w:r w:rsidRPr="00443BEC">
        <w:rPr>
          <w:i/>
          <w:lang w:val="en-US"/>
        </w:rPr>
        <w:t>Adriatico</w:t>
      </w:r>
      <w:proofErr w:type="spellEnd"/>
      <w:r w:rsidRPr="00443BEC">
        <w:rPr>
          <w:i/>
          <w:lang w:val="en-US"/>
        </w:rPr>
        <w:t xml:space="preserve"> </w:t>
      </w:r>
      <w:proofErr w:type="spellStart"/>
      <w:r w:rsidRPr="00443BEC">
        <w:rPr>
          <w:i/>
          <w:lang w:val="en-US"/>
        </w:rPr>
        <w:t>Assicurazioni</w:t>
      </w:r>
      <w:proofErr w:type="spellEnd"/>
      <w:r w:rsidRPr="00443BEC">
        <w:rPr>
          <w:i/>
          <w:lang w:val="en-US"/>
        </w:rPr>
        <w:t xml:space="preserve"> </w:t>
      </w:r>
      <w:proofErr w:type="spellStart"/>
      <w:r w:rsidRPr="00443BEC">
        <w:rPr>
          <w:i/>
          <w:lang w:val="en-US"/>
        </w:rPr>
        <w:t>SpA</w:t>
      </w:r>
      <w:proofErr w:type="spellEnd"/>
      <w:r w:rsidRPr="00443BEC">
        <w:rPr>
          <w:i/>
          <w:lang w:val="en-US"/>
        </w:rPr>
        <w:t xml:space="preserve"> and Others</w:t>
      </w:r>
      <w:r>
        <w:rPr>
          <w:lang w:val="en-US"/>
        </w:rPr>
        <w:t xml:space="preserve"> [2006] ECR I-6619</w:t>
      </w:r>
    </w:p>
  </w:footnote>
  <w:footnote w:id="41">
    <w:p w14:paraId="4956631E" w14:textId="368422D1" w:rsidR="00437A75" w:rsidRPr="00443BEC" w:rsidRDefault="00437A75">
      <w:pPr>
        <w:pStyle w:val="FootnoteText"/>
        <w:rPr>
          <w:i/>
          <w:lang w:val="en-US"/>
        </w:rPr>
      </w:pPr>
      <w:r>
        <w:rPr>
          <w:rStyle w:val="FootnoteReference"/>
        </w:rPr>
        <w:footnoteRef/>
      </w:r>
      <w:r>
        <w:t xml:space="preserve"> Ibid. </w:t>
      </w:r>
      <w:proofErr w:type="gramStart"/>
      <w:r>
        <w:rPr>
          <w:lang w:val="en-US"/>
        </w:rPr>
        <w:t>para</w:t>
      </w:r>
      <w:proofErr w:type="gramEnd"/>
      <w:r>
        <w:rPr>
          <w:lang w:val="en-US"/>
        </w:rPr>
        <w:t xml:space="preserve"> 61</w:t>
      </w:r>
    </w:p>
  </w:footnote>
  <w:footnote w:id="42">
    <w:p w14:paraId="3F99ADAD" w14:textId="0172B03D" w:rsidR="00437A75" w:rsidRPr="00AD5D62" w:rsidRDefault="00437A75" w:rsidP="00AD5D62">
      <w:pPr>
        <w:pStyle w:val="FootnoteText"/>
        <w:rPr>
          <w:lang w:val="en-US"/>
        </w:rPr>
      </w:pPr>
      <w:r>
        <w:rPr>
          <w:rStyle w:val="FootnoteReference"/>
        </w:rPr>
        <w:footnoteRef/>
      </w:r>
      <w:r>
        <w:t xml:space="preserve"> Directive 2014/14/EU of the European Parliament and Council </w:t>
      </w:r>
      <w:r w:rsidRPr="00AD5D62">
        <w:rPr>
          <w:bCs/>
          <w:lang w:val="en-US"/>
        </w:rPr>
        <w:t>on certain rules governing actions for damages under national law for infringements of the competition law provisions of the Member States and of the European Union</w:t>
      </w:r>
      <w:r>
        <w:rPr>
          <w:bCs/>
          <w:lang w:val="en-US"/>
        </w:rPr>
        <w:t xml:space="preserve"> [2014] OJ L349/1</w:t>
      </w:r>
    </w:p>
  </w:footnote>
  <w:footnote w:id="43">
    <w:p w14:paraId="17EEAD2E" w14:textId="3C61B525" w:rsidR="00437A75" w:rsidRPr="00AD5D62" w:rsidRDefault="00437A75">
      <w:pPr>
        <w:pStyle w:val="FootnoteText"/>
        <w:rPr>
          <w:lang w:val="en-US"/>
        </w:rPr>
      </w:pPr>
      <w:r>
        <w:rPr>
          <w:rStyle w:val="FootnoteReference"/>
        </w:rPr>
        <w:footnoteRef/>
      </w:r>
      <w:r>
        <w:t xml:space="preserve"> </w:t>
      </w:r>
      <w:r>
        <w:rPr>
          <w:lang w:val="en-US"/>
        </w:rPr>
        <w:t>Ibid. Article 12(1)</w:t>
      </w:r>
    </w:p>
  </w:footnote>
  <w:footnote w:id="44">
    <w:p w14:paraId="56486116" w14:textId="0B6F114E" w:rsidR="00437A75" w:rsidRPr="00367DBB" w:rsidRDefault="00437A75">
      <w:pPr>
        <w:pStyle w:val="FootnoteText"/>
        <w:rPr>
          <w:lang w:val="en-US"/>
        </w:rPr>
      </w:pPr>
      <w:r>
        <w:rPr>
          <w:rStyle w:val="FootnoteReference"/>
        </w:rPr>
        <w:footnoteRef/>
      </w:r>
      <w:r>
        <w:t xml:space="preserve"> Ibid. Article 12(3)</w:t>
      </w:r>
    </w:p>
  </w:footnote>
  <w:footnote w:id="45">
    <w:p w14:paraId="3AC41112" w14:textId="0C2AA2A3" w:rsidR="00437A75" w:rsidRPr="00367DBB" w:rsidRDefault="00437A75">
      <w:pPr>
        <w:pStyle w:val="FootnoteText"/>
        <w:rPr>
          <w:lang w:val="en-US"/>
        </w:rPr>
      </w:pPr>
      <w:r>
        <w:rPr>
          <w:rStyle w:val="FootnoteReference"/>
        </w:rPr>
        <w:footnoteRef/>
      </w:r>
      <w:r>
        <w:t xml:space="preserve"> Ibid. Article 3(3)</w:t>
      </w:r>
    </w:p>
  </w:footnote>
  <w:footnote w:id="46">
    <w:p w14:paraId="03A6DC83" w14:textId="0A0A2603" w:rsidR="00437A75" w:rsidRPr="00D87577" w:rsidRDefault="00437A75">
      <w:pPr>
        <w:pStyle w:val="FootnoteText"/>
        <w:rPr>
          <w:lang w:val="en-US"/>
        </w:rPr>
      </w:pPr>
      <w:r>
        <w:rPr>
          <w:rStyle w:val="FootnoteReference"/>
        </w:rPr>
        <w:footnoteRef/>
      </w:r>
      <w:r>
        <w:t xml:space="preserve"> </w:t>
      </w:r>
      <w:r>
        <w:rPr>
          <w:lang w:val="en-US"/>
        </w:rPr>
        <w:t>As labeled in section 2(8)</w:t>
      </w:r>
    </w:p>
  </w:footnote>
  <w:footnote w:id="47">
    <w:p w14:paraId="70651D15" w14:textId="35B89648" w:rsidR="00437A75" w:rsidRPr="0054023B" w:rsidRDefault="00437A75">
      <w:pPr>
        <w:pStyle w:val="FootnoteText"/>
        <w:rPr>
          <w:lang w:val="en-US"/>
        </w:rPr>
      </w:pPr>
      <w:r>
        <w:rPr>
          <w:rStyle w:val="FootnoteReference"/>
        </w:rPr>
        <w:footnoteRef/>
      </w:r>
      <w:r>
        <w:t xml:space="preserve"> </w:t>
      </w:r>
      <w:r>
        <w:rPr>
          <w:lang w:val="en-US"/>
        </w:rPr>
        <w:t xml:space="preserve">For comprehensive analysis of the Cartel Offence see M </w:t>
      </w:r>
      <w:proofErr w:type="spellStart"/>
      <w:r>
        <w:rPr>
          <w:lang w:val="en-US"/>
        </w:rPr>
        <w:t>Furse</w:t>
      </w:r>
      <w:proofErr w:type="spellEnd"/>
      <w:r>
        <w:rPr>
          <w:lang w:val="en-US"/>
        </w:rPr>
        <w:t xml:space="preserve">, S Nash, </w:t>
      </w:r>
      <w:r>
        <w:rPr>
          <w:i/>
          <w:lang w:val="en-US"/>
        </w:rPr>
        <w:t>The Cartel Offence</w:t>
      </w:r>
      <w:r>
        <w:rPr>
          <w:lang w:val="en-US"/>
        </w:rPr>
        <w:t xml:space="preserve"> (Hart Publishing, Oxford 2004) and for a more theoretical examination see P Whelan, </w:t>
      </w:r>
      <w:r>
        <w:rPr>
          <w:i/>
          <w:lang w:val="en-US"/>
        </w:rPr>
        <w:t>The Criminalization of European Cartel Enforcement: Theoretical, Legal, and Practical Challenges</w:t>
      </w:r>
      <w:r>
        <w:rPr>
          <w:lang w:val="en-US"/>
        </w:rPr>
        <w:t xml:space="preserve"> (OUP, Oxford 2014)</w:t>
      </w:r>
    </w:p>
  </w:footnote>
  <w:footnote w:id="48">
    <w:p w14:paraId="73C05144" w14:textId="49875E7D" w:rsidR="00437A75" w:rsidRPr="003A6B2B" w:rsidRDefault="00437A75">
      <w:pPr>
        <w:pStyle w:val="FootnoteText"/>
        <w:rPr>
          <w:lang w:val="en-US"/>
        </w:rPr>
      </w:pPr>
      <w:r>
        <w:rPr>
          <w:rStyle w:val="FootnoteReference"/>
        </w:rPr>
        <w:footnoteRef/>
      </w:r>
      <w:r>
        <w:t xml:space="preserve"> </w:t>
      </w:r>
      <w:r>
        <w:rPr>
          <w:lang w:val="en-US"/>
        </w:rPr>
        <w:t>Enterprise Act 2002 section 190(1)</w:t>
      </w:r>
    </w:p>
  </w:footnote>
  <w:footnote w:id="49">
    <w:p w14:paraId="7FD5C586" w14:textId="48D59440" w:rsidR="00437A75" w:rsidRPr="00741A6E" w:rsidRDefault="00437A75">
      <w:pPr>
        <w:pStyle w:val="FootnoteText"/>
        <w:rPr>
          <w:lang w:val="en-US"/>
        </w:rPr>
      </w:pPr>
      <w:r>
        <w:rPr>
          <w:rStyle w:val="FootnoteReference"/>
        </w:rPr>
        <w:footnoteRef/>
      </w:r>
      <w:r>
        <w:t xml:space="preserve"> </w:t>
      </w:r>
      <w:r>
        <w:rPr>
          <w:lang w:val="en-US"/>
        </w:rPr>
        <w:t>Enterprise Act 2002 section 188(3)(a)</w:t>
      </w:r>
    </w:p>
  </w:footnote>
  <w:footnote w:id="50">
    <w:p w14:paraId="0ABD6488" w14:textId="0CBC4F72" w:rsidR="00437A75" w:rsidRPr="00747253" w:rsidRDefault="00437A75">
      <w:pPr>
        <w:pStyle w:val="FootnoteText"/>
        <w:rPr>
          <w:lang w:val="en-US"/>
        </w:rPr>
      </w:pPr>
      <w:r>
        <w:rPr>
          <w:rStyle w:val="FootnoteReference"/>
        </w:rPr>
        <w:footnoteRef/>
      </w:r>
      <w:r>
        <w:t xml:space="preserve"> </w:t>
      </w:r>
      <w:r>
        <w:rPr>
          <w:lang w:val="en-US"/>
        </w:rPr>
        <w:t>Enterprise Act 2002 section 188(1)</w:t>
      </w:r>
    </w:p>
  </w:footnote>
  <w:footnote w:id="51">
    <w:p w14:paraId="7B2C8E35" w14:textId="2F409285" w:rsidR="00437A75" w:rsidRPr="00747253" w:rsidRDefault="00437A75">
      <w:pPr>
        <w:pStyle w:val="FootnoteText"/>
        <w:rPr>
          <w:lang w:val="en-US"/>
        </w:rPr>
      </w:pPr>
      <w:r>
        <w:rPr>
          <w:rStyle w:val="FootnoteReference"/>
        </w:rPr>
        <w:footnoteRef/>
      </w:r>
      <w:r>
        <w:t xml:space="preserve"> </w:t>
      </w:r>
      <w:r>
        <w:rPr>
          <w:lang w:val="en-US"/>
        </w:rPr>
        <w:t>Enterprise Act 2002 section 188(2)(a)</w:t>
      </w:r>
    </w:p>
  </w:footnote>
  <w:footnote w:id="52">
    <w:p w14:paraId="378A946A" w14:textId="43A2D6DA" w:rsidR="00437A75" w:rsidRPr="00741A6E" w:rsidRDefault="00437A75">
      <w:pPr>
        <w:pStyle w:val="FootnoteText"/>
        <w:rPr>
          <w:lang w:val="en-US"/>
        </w:rPr>
      </w:pPr>
      <w:r>
        <w:rPr>
          <w:rStyle w:val="FootnoteReference"/>
        </w:rPr>
        <w:footnoteRef/>
      </w:r>
      <w:r>
        <w:t xml:space="preserve"> </w:t>
      </w:r>
      <w:r>
        <w:rPr>
          <w:lang w:val="en-US"/>
        </w:rPr>
        <w:t>Enterprise Act 2002 section 189(1)</w:t>
      </w:r>
    </w:p>
  </w:footnote>
  <w:footnote w:id="53">
    <w:p w14:paraId="4019297B" w14:textId="249D9B50" w:rsidR="00437A75" w:rsidRPr="004F76B0" w:rsidRDefault="00437A75">
      <w:pPr>
        <w:pStyle w:val="FootnoteText"/>
        <w:rPr>
          <w:lang w:val="en-US"/>
        </w:rPr>
      </w:pPr>
      <w:r>
        <w:rPr>
          <w:rStyle w:val="FootnoteReference"/>
        </w:rPr>
        <w:footnoteRef/>
      </w:r>
      <w:r>
        <w:t xml:space="preserve"> </w:t>
      </w:r>
      <w:r>
        <w:rPr>
          <w:lang w:val="en-US"/>
        </w:rPr>
        <w:t>Enterprise Act 2002 section 190(2)</w:t>
      </w:r>
    </w:p>
  </w:footnote>
  <w:footnote w:id="54">
    <w:p w14:paraId="1F894B31" w14:textId="74C4AE92" w:rsidR="00437A75" w:rsidRPr="008952CD" w:rsidRDefault="00437A75">
      <w:pPr>
        <w:pStyle w:val="FootnoteText"/>
        <w:rPr>
          <w:lang w:val="en-US"/>
        </w:rPr>
      </w:pPr>
      <w:r>
        <w:rPr>
          <w:rStyle w:val="FootnoteReference"/>
        </w:rPr>
        <w:footnoteRef/>
      </w:r>
      <w:r>
        <w:t xml:space="preserve"> </w:t>
      </w:r>
      <w:r>
        <w:rPr>
          <w:i/>
          <w:lang w:val="en-US"/>
        </w:rPr>
        <w:t>Garden Cottage Foods v Milk Marketing Board</w:t>
      </w:r>
      <w:r>
        <w:rPr>
          <w:lang w:val="en-US"/>
        </w:rPr>
        <w:t xml:space="preserve"> [1984] AC 130 (HL)</w:t>
      </w:r>
    </w:p>
  </w:footnote>
  <w:footnote w:id="55">
    <w:p w14:paraId="38488556" w14:textId="3A70FFC9" w:rsidR="00437A75" w:rsidRPr="00D868A9" w:rsidRDefault="00437A75">
      <w:pPr>
        <w:pStyle w:val="FootnoteText"/>
        <w:rPr>
          <w:lang w:val="en-US"/>
        </w:rPr>
      </w:pPr>
      <w:r>
        <w:rPr>
          <w:rStyle w:val="FootnoteReference"/>
        </w:rPr>
        <w:footnoteRef/>
      </w:r>
      <w:r>
        <w:t xml:space="preserve"> Whish and Bailey (n 7) 328</w:t>
      </w:r>
    </w:p>
  </w:footnote>
  <w:footnote w:id="56">
    <w:p w14:paraId="53A1F44D" w14:textId="2C3AC7A7" w:rsidR="00437A75" w:rsidRPr="005275BF" w:rsidRDefault="00437A75">
      <w:pPr>
        <w:pStyle w:val="FootnoteText"/>
        <w:rPr>
          <w:lang w:val="en-US"/>
        </w:rPr>
      </w:pPr>
      <w:r>
        <w:rPr>
          <w:rStyle w:val="FootnoteReference"/>
        </w:rPr>
        <w:footnoteRef/>
      </w:r>
      <w:r>
        <w:t xml:space="preserve"> </w:t>
      </w:r>
      <w:r>
        <w:rPr>
          <w:i/>
          <w:lang w:val="en-US"/>
        </w:rPr>
        <w:t>Garden Cottage Foods</w:t>
      </w:r>
      <w:r>
        <w:rPr>
          <w:lang w:val="en-US"/>
        </w:rPr>
        <w:t xml:space="preserve"> (n 54)</w:t>
      </w:r>
    </w:p>
  </w:footnote>
  <w:footnote w:id="57">
    <w:p w14:paraId="2026675C" w14:textId="1EDBD94A" w:rsidR="00437A75" w:rsidRPr="005275BF" w:rsidRDefault="00437A75">
      <w:pPr>
        <w:pStyle w:val="FootnoteText"/>
        <w:rPr>
          <w:lang w:val="en-US"/>
        </w:rPr>
      </w:pPr>
      <w:r>
        <w:rPr>
          <w:rStyle w:val="FootnoteReference"/>
        </w:rPr>
        <w:footnoteRef/>
      </w:r>
      <w:r>
        <w:t xml:space="preserve"> </w:t>
      </w:r>
      <w:r>
        <w:rPr>
          <w:i/>
        </w:rPr>
        <w:t xml:space="preserve">WH </w:t>
      </w:r>
      <w:proofErr w:type="spellStart"/>
      <w:r>
        <w:rPr>
          <w:i/>
        </w:rPr>
        <w:t>Newson</w:t>
      </w:r>
      <w:proofErr w:type="spellEnd"/>
      <w:r>
        <w:rPr>
          <w:i/>
        </w:rPr>
        <w:t xml:space="preserve"> Ltd and Others v IMI </w:t>
      </w:r>
      <w:proofErr w:type="spellStart"/>
      <w:r>
        <w:rPr>
          <w:i/>
        </w:rPr>
        <w:t>plc</w:t>
      </w:r>
      <w:proofErr w:type="spellEnd"/>
      <w:r>
        <w:rPr>
          <w:i/>
        </w:rPr>
        <w:t xml:space="preserve"> and Others</w:t>
      </w:r>
      <w:r>
        <w:t xml:space="preserve"> [2014] Bus LR 156 (CA)</w:t>
      </w:r>
    </w:p>
  </w:footnote>
  <w:footnote w:id="58">
    <w:p w14:paraId="7501DFC0" w14:textId="4F378755" w:rsidR="00437A75" w:rsidRPr="00CD7B40" w:rsidRDefault="00437A75">
      <w:pPr>
        <w:pStyle w:val="FootnoteText"/>
        <w:rPr>
          <w:lang w:val="en-US"/>
        </w:rPr>
      </w:pPr>
      <w:r>
        <w:rPr>
          <w:rStyle w:val="FootnoteReference"/>
        </w:rPr>
        <w:footnoteRef/>
      </w:r>
      <w:r>
        <w:t xml:space="preserve"> (</w:t>
      </w:r>
      <w:proofErr w:type="gramStart"/>
      <w:r>
        <w:t>n</w:t>
      </w:r>
      <w:proofErr w:type="gramEnd"/>
      <w:r>
        <w:t xml:space="preserve"> 39), and recognised by the Court of Appeal in the same case, </w:t>
      </w:r>
      <w:proofErr w:type="spellStart"/>
      <w:r>
        <w:rPr>
          <w:i/>
        </w:rPr>
        <w:t>Crehan</w:t>
      </w:r>
      <w:proofErr w:type="spellEnd"/>
      <w:r>
        <w:rPr>
          <w:i/>
        </w:rPr>
        <w:t xml:space="preserve"> v </w:t>
      </w:r>
      <w:proofErr w:type="spellStart"/>
      <w:r>
        <w:rPr>
          <w:i/>
        </w:rPr>
        <w:t>Inntrepreneur</w:t>
      </w:r>
      <w:proofErr w:type="spellEnd"/>
      <w:r>
        <w:rPr>
          <w:i/>
        </w:rPr>
        <w:t xml:space="preserve"> Pub Company CPC</w:t>
      </w:r>
      <w:r>
        <w:t xml:space="preserve"> [2004] </w:t>
      </w:r>
      <w:proofErr w:type="spellStart"/>
      <w:r>
        <w:t>EuLR</w:t>
      </w:r>
      <w:proofErr w:type="spellEnd"/>
      <w:r>
        <w:t xml:space="preserve"> 693</w:t>
      </w:r>
    </w:p>
  </w:footnote>
  <w:footnote w:id="59">
    <w:p w14:paraId="7F917EDC" w14:textId="5B989578" w:rsidR="00437A75" w:rsidRPr="0047063A" w:rsidRDefault="00437A75">
      <w:pPr>
        <w:pStyle w:val="FootnoteText"/>
        <w:rPr>
          <w:lang w:val="en-US"/>
        </w:rPr>
      </w:pPr>
      <w:r>
        <w:rPr>
          <w:rStyle w:val="FootnoteReference"/>
        </w:rPr>
        <w:footnoteRef/>
      </w:r>
      <w:r>
        <w:t xml:space="preserve"> </w:t>
      </w:r>
      <w:r>
        <w:rPr>
          <w:i/>
        </w:rPr>
        <w:t>Devenish Nutrition Ltd v Sanofi-Aventis SA (France)</w:t>
      </w:r>
      <w:r>
        <w:t xml:space="preserve"> [2009] Ch 390 (CA) para 109</w:t>
      </w:r>
    </w:p>
  </w:footnote>
  <w:footnote w:id="60">
    <w:p w14:paraId="656E9F2C" w14:textId="452DB8D0" w:rsidR="00437A75" w:rsidRPr="0047063A" w:rsidRDefault="00437A75">
      <w:pPr>
        <w:pStyle w:val="FootnoteText"/>
        <w:rPr>
          <w:lang w:val="en-US"/>
        </w:rPr>
      </w:pPr>
      <w:r>
        <w:rPr>
          <w:rStyle w:val="FootnoteReference"/>
        </w:rPr>
        <w:footnoteRef/>
      </w:r>
      <w:r>
        <w:t xml:space="preserve"> Ibid. </w:t>
      </w:r>
      <w:proofErr w:type="gramStart"/>
      <w:r>
        <w:t>para</w:t>
      </w:r>
      <w:proofErr w:type="gramEnd"/>
      <w:r>
        <w:t xml:space="preserve"> 104</w:t>
      </w:r>
    </w:p>
  </w:footnote>
  <w:footnote w:id="61">
    <w:p w14:paraId="5D21E8DF" w14:textId="79049F44" w:rsidR="00437A75" w:rsidRPr="00615DCF" w:rsidRDefault="00437A75">
      <w:pPr>
        <w:pStyle w:val="FootnoteText"/>
        <w:rPr>
          <w:lang w:val="en-US"/>
        </w:rPr>
      </w:pPr>
      <w:r>
        <w:rPr>
          <w:rStyle w:val="FootnoteReference"/>
        </w:rPr>
        <w:footnoteRef/>
      </w:r>
      <w:r>
        <w:t xml:space="preserve"> </w:t>
      </w:r>
      <w:r>
        <w:rPr>
          <w:lang w:val="en-US"/>
        </w:rPr>
        <w:t>Ibid. para 148</w:t>
      </w:r>
    </w:p>
  </w:footnote>
  <w:footnote w:id="62">
    <w:p w14:paraId="0E835A1E" w14:textId="77777777" w:rsidR="00437A75" w:rsidRPr="008F6B9B" w:rsidRDefault="00437A75" w:rsidP="007515A6">
      <w:pPr>
        <w:pStyle w:val="FootnoteText"/>
        <w:rPr>
          <w:lang w:val="en-US"/>
        </w:rPr>
      </w:pPr>
      <w:r>
        <w:rPr>
          <w:rStyle w:val="FootnoteReference"/>
        </w:rPr>
        <w:footnoteRef/>
      </w:r>
      <w:r>
        <w:t xml:space="preserve"> </w:t>
      </w:r>
      <w:r>
        <w:rPr>
          <w:i/>
        </w:rPr>
        <w:t xml:space="preserve">2 Travel Group </w:t>
      </w:r>
      <w:proofErr w:type="spellStart"/>
      <w:r>
        <w:rPr>
          <w:i/>
        </w:rPr>
        <w:t>Plc</w:t>
      </w:r>
      <w:proofErr w:type="spellEnd"/>
      <w:r>
        <w:rPr>
          <w:i/>
        </w:rPr>
        <w:t xml:space="preserve"> v Cardiff City Transport Services Ltd</w:t>
      </w:r>
      <w:r>
        <w:t xml:space="preserve"> [2012] CAT 19</w:t>
      </w:r>
    </w:p>
  </w:footnote>
  <w:footnote w:id="63">
    <w:p w14:paraId="761F134F" w14:textId="1C7039CD" w:rsidR="00437A75" w:rsidRPr="008F6B9B" w:rsidRDefault="00437A75">
      <w:pPr>
        <w:pStyle w:val="FootnoteText"/>
        <w:rPr>
          <w:lang w:val="en-US"/>
        </w:rPr>
      </w:pPr>
      <w:r>
        <w:rPr>
          <w:rStyle w:val="FootnoteReference"/>
        </w:rPr>
        <w:footnoteRef/>
      </w:r>
      <w:r>
        <w:t xml:space="preserve"> </w:t>
      </w:r>
      <w:r>
        <w:rPr>
          <w:i/>
        </w:rPr>
        <w:t>Devenish Nutrition Ltd v Sanofi-Aventis SA (France)</w:t>
      </w:r>
      <w:r>
        <w:t xml:space="preserve"> [2008] 2 WLR 637 (Ch) para 52</w:t>
      </w:r>
    </w:p>
  </w:footnote>
  <w:footnote w:id="64">
    <w:p w14:paraId="6A7E76F4" w14:textId="6DC24EBE" w:rsidR="00437A75" w:rsidRPr="006520F3" w:rsidRDefault="00437A75">
      <w:pPr>
        <w:pStyle w:val="FootnoteText"/>
        <w:rPr>
          <w:lang w:val="en-US"/>
        </w:rPr>
      </w:pPr>
      <w:r>
        <w:rPr>
          <w:rStyle w:val="FootnoteReference"/>
        </w:rPr>
        <w:footnoteRef/>
      </w:r>
      <w:r>
        <w:t xml:space="preserve"> </w:t>
      </w:r>
      <w:proofErr w:type="spellStart"/>
      <w:r>
        <w:rPr>
          <w:i/>
          <w:lang w:val="en-US"/>
        </w:rPr>
        <w:t>Rookes</w:t>
      </w:r>
      <w:proofErr w:type="spellEnd"/>
      <w:r>
        <w:rPr>
          <w:i/>
          <w:lang w:val="en-US"/>
        </w:rPr>
        <w:t xml:space="preserve"> v Barnard</w:t>
      </w:r>
      <w:r>
        <w:rPr>
          <w:lang w:val="en-US"/>
        </w:rPr>
        <w:t xml:space="preserve"> [1964] 1 AC 1129, 1228 (HL)</w:t>
      </w:r>
    </w:p>
  </w:footnote>
  <w:footnote w:id="65">
    <w:p w14:paraId="70CB287D" w14:textId="3442B2A1" w:rsidR="00437A75" w:rsidRPr="00F472F2" w:rsidRDefault="00437A75">
      <w:pPr>
        <w:pStyle w:val="FootnoteText"/>
        <w:rPr>
          <w:lang w:val="en-US"/>
        </w:rPr>
      </w:pPr>
      <w:r>
        <w:rPr>
          <w:rStyle w:val="FootnoteReference"/>
        </w:rPr>
        <w:footnoteRef/>
      </w:r>
      <w:r>
        <w:t xml:space="preserve"> </w:t>
      </w:r>
      <w:r>
        <w:rPr>
          <w:lang w:val="en-US"/>
        </w:rPr>
        <w:t>SI 2003/</w:t>
      </w:r>
      <w:proofErr w:type="gramStart"/>
      <w:r>
        <w:rPr>
          <w:lang w:val="en-US"/>
        </w:rPr>
        <w:t>1372,</w:t>
      </w:r>
      <w:proofErr w:type="gramEnd"/>
      <w:r>
        <w:rPr>
          <w:lang w:val="en-US"/>
        </w:rPr>
        <w:t xml:space="preserve"> now replaced by the 2015 Rules, SI 2015/1648 Part IV for section 47A and Part V for section 47B. The CAT has also provided a more comprehensive Guide to Proceedings with, rather confusingly, Section 5 dealing with Part IV of the CAT Rules and section 47A, and Section 6 dealing with Part V and section 47B</w:t>
      </w:r>
    </w:p>
  </w:footnote>
  <w:footnote w:id="66">
    <w:p w14:paraId="71176AF8" w14:textId="0E8EB5C0" w:rsidR="00437A75" w:rsidRPr="00805E7E" w:rsidRDefault="00437A75">
      <w:pPr>
        <w:pStyle w:val="FootnoteText"/>
        <w:rPr>
          <w:lang w:val="en-US"/>
        </w:rPr>
      </w:pPr>
      <w:r>
        <w:rPr>
          <w:rStyle w:val="FootnoteReference"/>
        </w:rPr>
        <w:footnoteRef/>
      </w:r>
      <w:r>
        <w:t xml:space="preserve"> </w:t>
      </w:r>
      <w:r>
        <w:rPr>
          <w:lang w:val="en-US"/>
        </w:rPr>
        <w:t xml:space="preserve">See </w:t>
      </w:r>
      <w:hyperlink r:id="rId10" w:history="1">
        <w:r w:rsidRPr="00A96062">
          <w:rPr>
            <w:rStyle w:val="Hyperlink"/>
            <w:lang w:val="en-US"/>
          </w:rPr>
          <w:t>http://www.cftc.gov/PressRoom/PressReleases/pr7159-15</w:t>
        </w:r>
      </w:hyperlink>
      <w:r>
        <w:rPr>
          <w:lang w:val="en-US"/>
        </w:rPr>
        <w:t xml:space="preserve"> last accessed 25 April 2016. The banks were Deutsche Bank, UBS, </w:t>
      </w:r>
      <w:proofErr w:type="spellStart"/>
      <w:r>
        <w:rPr>
          <w:lang w:val="en-US"/>
        </w:rPr>
        <w:t>Rabobank</w:t>
      </w:r>
      <w:proofErr w:type="spellEnd"/>
      <w:r>
        <w:rPr>
          <w:lang w:val="en-US"/>
        </w:rPr>
        <w:t xml:space="preserve">, RBS, Barclays and Lloyds, and the traders Icap Europe Ltd and </w:t>
      </w:r>
      <w:r>
        <w:rPr>
          <w:iCs/>
          <w:lang w:val="en-US"/>
        </w:rPr>
        <w:t>RP Martin Holdings Lt</w:t>
      </w:r>
      <w:r w:rsidRPr="00805E7E">
        <w:rPr>
          <w:iCs/>
          <w:lang w:val="en-US"/>
        </w:rPr>
        <w:t xml:space="preserve">d </w:t>
      </w:r>
      <w:r>
        <w:rPr>
          <w:iCs/>
          <w:lang w:val="en-US"/>
        </w:rPr>
        <w:t>&amp;</w:t>
      </w:r>
      <w:r w:rsidRPr="00805E7E">
        <w:rPr>
          <w:iCs/>
          <w:lang w:val="en-US"/>
        </w:rPr>
        <w:t xml:space="preserve"> Martin Brokers (UK) Ltd</w:t>
      </w:r>
    </w:p>
  </w:footnote>
  <w:footnote w:id="67">
    <w:p w14:paraId="3A100410" w14:textId="74CC11A2" w:rsidR="00437A75" w:rsidRPr="000D0F56" w:rsidRDefault="00437A75" w:rsidP="007A1A50">
      <w:pPr>
        <w:pStyle w:val="FootnoteText"/>
        <w:rPr>
          <w:lang w:val="en-US"/>
        </w:rPr>
      </w:pPr>
      <w:r>
        <w:rPr>
          <w:rStyle w:val="FootnoteReference"/>
        </w:rPr>
        <w:footnoteRef/>
      </w:r>
      <w:r>
        <w:t xml:space="preserve"> </w:t>
      </w:r>
      <w:r>
        <w:rPr>
          <w:lang w:val="en-US"/>
        </w:rPr>
        <w:t xml:space="preserve">There were two actions, one brought against the parent company (RBS AG) and one against the subsidiary (RBS Securities Japan). The former received a fine of $150 million for wire fraud and price fixing (see </w:t>
      </w:r>
      <w:r w:rsidRPr="00875D92">
        <w:rPr>
          <w:i/>
          <w:lang w:val="en-US"/>
        </w:rPr>
        <w:t>USA v RBS</w:t>
      </w:r>
      <w:r>
        <w:rPr>
          <w:lang w:val="en-US"/>
        </w:rPr>
        <w:t xml:space="preserve"> dated 5 February 2013 </w:t>
      </w:r>
      <w:hyperlink r:id="rId11" w:history="1">
        <w:r w:rsidRPr="00A96062">
          <w:rPr>
            <w:rStyle w:val="Hyperlink"/>
            <w:lang w:val="en-US"/>
          </w:rPr>
          <w:t>https://www.justice.gov/sites/default/files/criminal-fraud/legacy/2015/05/22/04-12-13the-royal-bank-of-scotland-dpa.pdf</w:t>
        </w:r>
      </w:hyperlink>
      <w:r>
        <w:rPr>
          <w:lang w:val="en-US"/>
        </w:rPr>
        <w:t xml:space="preserve"> last accessed 25 April 2016) whilst the latter in a Connecticut District Court judgment received a fine of $50 million for wire fraud that was incorporated in the total $150 million fine of the parent company (see </w:t>
      </w:r>
      <w:r w:rsidRPr="00875D92">
        <w:rPr>
          <w:i/>
          <w:lang w:val="en-US"/>
        </w:rPr>
        <w:t>USA v RBS Securities Japan</w:t>
      </w:r>
      <w:r>
        <w:rPr>
          <w:lang w:val="en-US"/>
        </w:rPr>
        <w:t xml:space="preserve"> dated 6 January 2014 </w:t>
      </w:r>
      <w:hyperlink r:id="rId12" w:history="1">
        <w:r w:rsidRPr="00A96062">
          <w:rPr>
            <w:rStyle w:val="Hyperlink"/>
            <w:lang w:val="en-US"/>
          </w:rPr>
          <w:t>https://www.justice.gov/sites/default/files/criminal-fraud/legacy/2015/05/22/01-13-14the-royal-bank-of-scotland-securities-japan-limited-judgment.pdf</w:t>
        </w:r>
      </w:hyperlink>
      <w:r>
        <w:rPr>
          <w:lang w:val="en-US"/>
        </w:rPr>
        <w:t xml:space="preserve"> last accessed 25 April 2016)</w:t>
      </w:r>
    </w:p>
  </w:footnote>
  <w:footnote w:id="68">
    <w:p w14:paraId="1378B048" w14:textId="63EBB47E" w:rsidR="00437A75" w:rsidRPr="00B46AE5" w:rsidRDefault="00437A75" w:rsidP="007A1A50">
      <w:pPr>
        <w:pStyle w:val="FootnoteText"/>
        <w:rPr>
          <w:lang w:val="en-US"/>
        </w:rPr>
      </w:pPr>
      <w:r>
        <w:rPr>
          <w:rStyle w:val="FootnoteReference"/>
        </w:rPr>
        <w:footnoteRef/>
      </w:r>
      <w:r>
        <w:t xml:space="preserve"> </w:t>
      </w:r>
      <w:r>
        <w:rPr>
          <w:lang w:val="en-US"/>
        </w:rPr>
        <w:t xml:space="preserve">Like RBS there were two actions, one brought against the parent company (Deutsche Bank AG) and one against the subsidiary (Deutsche Bank Group Services UK Ltd). The former received a fine of $625 million for wire fraud and price fixing (see </w:t>
      </w:r>
      <w:r w:rsidRPr="00875D92">
        <w:rPr>
          <w:i/>
          <w:lang w:val="en-US"/>
        </w:rPr>
        <w:t>USA v Deutsche Bank AG</w:t>
      </w:r>
      <w:r>
        <w:rPr>
          <w:lang w:val="en-US"/>
        </w:rPr>
        <w:t xml:space="preserve"> DPA dated 23 April 2015 </w:t>
      </w:r>
      <w:hyperlink r:id="rId13" w:history="1">
        <w:r w:rsidRPr="00A96062">
          <w:rPr>
            <w:rStyle w:val="Hyperlink"/>
            <w:lang w:val="en-US"/>
          </w:rPr>
          <w:t>https://www.justice.gov/sites/default/files/opa/press-releases/attachments/2015/04/23/db_dpa.pdf</w:t>
        </w:r>
      </w:hyperlink>
      <w:r>
        <w:rPr>
          <w:lang w:val="en-US"/>
        </w:rPr>
        <w:t xml:space="preserve"> last accessed 25 April 2016) whilst the latter received a fine of $150 million for wire fraud (see </w:t>
      </w:r>
      <w:r w:rsidRPr="00875D92">
        <w:rPr>
          <w:i/>
          <w:lang w:val="en-US"/>
        </w:rPr>
        <w:t>USA v Deutsche Bank Group Services UK Ltd</w:t>
      </w:r>
      <w:r>
        <w:rPr>
          <w:lang w:val="en-US"/>
        </w:rPr>
        <w:t xml:space="preserve"> Plea Agreement dated 23 April 2015 </w:t>
      </w:r>
      <w:hyperlink r:id="rId14" w:history="1">
        <w:r w:rsidRPr="00A96062">
          <w:rPr>
            <w:rStyle w:val="Hyperlink"/>
            <w:lang w:val="en-US"/>
          </w:rPr>
          <w:t>https://www.justice.gov/sites/default/files/opa/press-releases/attachments/2015/04/23/dbgs_plea_agreement.pdf</w:t>
        </w:r>
      </w:hyperlink>
      <w:r>
        <w:rPr>
          <w:lang w:val="en-US"/>
        </w:rPr>
        <w:t xml:space="preserve"> last accessed 25 April 2016)</w:t>
      </w:r>
    </w:p>
  </w:footnote>
  <w:footnote w:id="69">
    <w:p w14:paraId="180F852A" w14:textId="1741C702" w:rsidR="00437A75" w:rsidRPr="00915CA1" w:rsidRDefault="00437A75" w:rsidP="007A1A50">
      <w:pPr>
        <w:pStyle w:val="FootnoteText"/>
        <w:rPr>
          <w:lang w:val="en-US"/>
        </w:rPr>
      </w:pPr>
      <w:r>
        <w:rPr>
          <w:rStyle w:val="FootnoteReference"/>
        </w:rPr>
        <w:footnoteRef/>
      </w:r>
      <w:r>
        <w:t xml:space="preserve"> Like RBS there were two actions, </w:t>
      </w:r>
      <w:r>
        <w:rPr>
          <w:lang w:val="en-US"/>
        </w:rPr>
        <w:t xml:space="preserve">one brought against the parent company (UBS AG) and one against the subsidiary (UBS Securities Japan Co., Ltd). The former received a fine of $500 million for wire fraud (see </w:t>
      </w:r>
      <w:r w:rsidRPr="00875D92">
        <w:rPr>
          <w:i/>
        </w:rPr>
        <w:t>USA v UBS AG</w:t>
      </w:r>
      <w:r>
        <w:t xml:space="preserve"> DPA dated 18 December 2012 </w:t>
      </w:r>
      <w:hyperlink r:id="rId15" w:history="1">
        <w:r w:rsidRPr="00A96062">
          <w:rPr>
            <w:rStyle w:val="Hyperlink"/>
          </w:rPr>
          <w:t>https://www.justice.gov/criminal-fraud/file/836466/download</w:t>
        </w:r>
      </w:hyperlink>
      <w:r>
        <w:t xml:space="preserve"> last accessed 25 April 2016)</w:t>
      </w:r>
      <w:r w:rsidRPr="00193775">
        <w:rPr>
          <w:lang w:val="en-US"/>
        </w:rPr>
        <w:t xml:space="preserve"> </w:t>
      </w:r>
      <w:r>
        <w:rPr>
          <w:lang w:val="en-US"/>
        </w:rPr>
        <w:t xml:space="preserve">whilst the latter in a Connecticut District Court judgment received a fine of $100 million for wire fraud that was incorporated in the total $500 million fine of the parent company (see </w:t>
      </w:r>
      <w:r w:rsidRPr="00875D92">
        <w:rPr>
          <w:i/>
          <w:lang w:val="en-US"/>
        </w:rPr>
        <w:t>USA v</w:t>
      </w:r>
      <w:r w:rsidRPr="00875D92">
        <w:rPr>
          <w:i/>
        </w:rPr>
        <w:t xml:space="preserve"> UBS Securities Japan Co</w:t>
      </w:r>
      <w:r>
        <w:rPr>
          <w:i/>
        </w:rPr>
        <w:t>. Ltd</w:t>
      </w:r>
      <w:r>
        <w:t xml:space="preserve"> dated 18 September 2013 </w:t>
      </w:r>
      <w:hyperlink r:id="rId16" w:history="1">
        <w:r w:rsidRPr="00A96062">
          <w:rPr>
            <w:rStyle w:val="Hyperlink"/>
          </w:rPr>
          <w:t>https://www.justice.gov/sites/default/files/criminal-fraud/legacy/2015/05/22/09-18-13ubs-securities-japan-co-ltd-judgment.pdf</w:t>
        </w:r>
      </w:hyperlink>
      <w:r>
        <w:t xml:space="preserve"> last accessed 25 April 2016)</w:t>
      </w:r>
    </w:p>
  </w:footnote>
  <w:footnote w:id="70">
    <w:p w14:paraId="267448EB" w14:textId="27A5E3D7" w:rsidR="00437A75" w:rsidRPr="00915CA1" w:rsidRDefault="00437A75" w:rsidP="007A1A50">
      <w:pPr>
        <w:pStyle w:val="FootnoteText"/>
        <w:rPr>
          <w:lang w:val="en-US"/>
        </w:rPr>
      </w:pPr>
      <w:r>
        <w:rPr>
          <w:rStyle w:val="FootnoteReference"/>
        </w:rPr>
        <w:footnoteRef/>
      </w:r>
      <w:r>
        <w:t xml:space="preserve"> </w:t>
      </w:r>
      <w:r w:rsidRPr="00875D92">
        <w:rPr>
          <w:i/>
        </w:rPr>
        <w:t xml:space="preserve">USA v Barclays Bank </w:t>
      </w:r>
      <w:proofErr w:type="spellStart"/>
      <w:r w:rsidRPr="00875D92">
        <w:rPr>
          <w:i/>
        </w:rPr>
        <w:t>Plc</w:t>
      </w:r>
      <w:proofErr w:type="spellEnd"/>
      <w:r>
        <w:t xml:space="preserve"> DPA dated 26 June 2012 </w:t>
      </w:r>
      <w:hyperlink r:id="rId17" w:history="1">
        <w:r w:rsidRPr="00A96062">
          <w:rPr>
            <w:rStyle w:val="Hyperlink"/>
          </w:rPr>
          <w:t>https://www.justice.gov/iso/opa/resources/337201271017335469822.pdf</w:t>
        </w:r>
      </w:hyperlink>
      <w:r>
        <w:t xml:space="preserve"> last accessed 25 April 2016 </w:t>
      </w:r>
    </w:p>
  </w:footnote>
  <w:footnote w:id="71">
    <w:p w14:paraId="561E1CBD" w14:textId="212346A4" w:rsidR="00437A75" w:rsidRPr="00D40478" w:rsidRDefault="00437A75" w:rsidP="007A1A50">
      <w:pPr>
        <w:pStyle w:val="FootnoteText"/>
      </w:pPr>
      <w:r>
        <w:rPr>
          <w:rStyle w:val="FootnoteReference"/>
        </w:rPr>
        <w:footnoteRef/>
      </w:r>
      <w:r>
        <w:t xml:space="preserve"> </w:t>
      </w:r>
      <w:r w:rsidRPr="00875D92">
        <w:rPr>
          <w:i/>
        </w:rPr>
        <w:t xml:space="preserve">USA v </w:t>
      </w:r>
      <w:proofErr w:type="spellStart"/>
      <w:r w:rsidRPr="00875D92">
        <w:rPr>
          <w:i/>
        </w:rPr>
        <w:t>Co</w:t>
      </w:r>
      <w:r w:rsidRPr="00875D92">
        <w:rPr>
          <w:rFonts w:asciiTheme="minorHAnsi" w:hAnsiTheme="minorHAnsi" w:cs="Lucida Grande"/>
          <w:i/>
          <w:color w:val="000000"/>
        </w:rPr>
        <w:t>ö</w:t>
      </w:r>
      <w:r w:rsidRPr="00875D92">
        <w:rPr>
          <w:i/>
        </w:rPr>
        <w:t>peratieve</w:t>
      </w:r>
      <w:proofErr w:type="spellEnd"/>
      <w:r w:rsidRPr="00875D92">
        <w:rPr>
          <w:i/>
        </w:rPr>
        <w:t xml:space="preserve"> </w:t>
      </w:r>
      <w:proofErr w:type="spellStart"/>
      <w:r w:rsidRPr="00875D92">
        <w:rPr>
          <w:i/>
        </w:rPr>
        <w:t>Centrale</w:t>
      </w:r>
      <w:proofErr w:type="spellEnd"/>
      <w:r w:rsidRPr="00875D92">
        <w:rPr>
          <w:i/>
        </w:rPr>
        <w:t xml:space="preserve"> </w:t>
      </w:r>
      <w:proofErr w:type="spellStart"/>
      <w:r w:rsidRPr="00875D92">
        <w:rPr>
          <w:i/>
        </w:rPr>
        <w:t>Raiffeisen-Boerenleenbank</w:t>
      </w:r>
      <w:proofErr w:type="spellEnd"/>
      <w:r w:rsidRPr="00875D92">
        <w:rPr>
          <w:i/>
        </w:rPr>
        <w:t xml:space="preserve"> BA</w:t>
      </w:r>
      <w:r>
        <w:t xml:space="preserve"> (</w:t>
      </w:r>
      <w:proofErr w:type="spellStart"/>
      <w:r>
        <w:t>Rabobank</w:t>
      </w:r>
      <w:proofErr w:type="spellEnd"/>
      <w:r>
        <w:t>) DPA dated 29 October 2013</w:t>
      </w:r>
    </w:p>
    <w:p w14:paraId="5C414F6E" w14:textId="77777777" w:rsidR="00437A75" w:rsidRPr="00915CA1" w:rsidRDefault="00437A75" w:rsidP="007A1A50">
      <w:pPr>
        <w:pStyle w:val="FootnoteText"/>
        <w:rPr>
          <w:lang w:val="en-US"/>
        </w:rPr>
      </w:pPr>
      <w:r>
        <w:t xml:space="preserve"> </w:t>
      </w:r>
      <w:hyperlink r:id="rId18" w:history="1">
        <w:r w:rsidRPr="00A96062">
          <w:rPr>
            <w:rStyle w:val="Hyperlink"/>
          </w:rPr>
          <w:t>https://www.justice.gov/sites/default/files/criminal-fraud/legacy/2015/05/22/10-29-13rabobank-deferred-prosecution-agreement.pdf</w:t>
        </w:r>
      </w:hyperlink>
      <w:r>
        <w:t xml:space="preserve"> last accessed 25 April 2016</w:t>
      </w:r>
    </w:p>
  </w:footnote>
  <w:footnote w:id="72">
    <w:p w14:paraId="509127D2" w14:textId="4C6F0A22" w:rsidR="00437A75" w:rsidRPr="00915CA1" w:rsidRDefault="00437A75" w:rsidP="007A1A50">
      <w:pPr>
        <w:pStyle w:val="FootnoteText"/>
        <w:rPr>
          <w:lang w:val="en-US"/>
        </w:rPr>
      </w:pPr>
      <w:r>
        <w:rPr>
          <w:rStyle w:val="FootnoteReference"/>
        </w:rPr>
        <w:footnoteRef/>
      </w:r>
      <w:r>
        <w:t xml:space="preserve"> </w:t>
      </w:r>
      <w:r w:rsidRPr="00875D92">
        <w:rPr>
          <w:i/>
        </w:rPr>
        <w:t>USA v UBS AG</w:t>
      </w:r>
      <w:r>
        <w:t xml:space="preserve"> Plea Agreement dated 20 May 2015</w:t>
      </w:r>
      <w:r w:rsidRPr="007972FB">
        <w:t xml:space="preserve"> </w:t>
      </w:r>
      <w:hyperlink r:id="rId19" w:history="1">
        <w:r w:rsidRPr="00A96062">
          <w:rPr>
            <w:rStyle w:val="Hyperlink"/>
          </w:rPr>
          <w:t>https://www.justice.gov/sites/default/files/criminal-fraud/legacy/2015/05/22/ubs-plea-agreement.pdf</w:t>
        </w:r>
      </w:hyperlink>
      <w:r>
        <w:t xml:space="preserve"> last accessed 25 April 2016</w:t>
      </w:r>
    </w:p>
  </w:footnote>
  <w:footnote w:id="73">
    <w:p w14:paraId="5B57F93A" w14:textId="0E6C2999" w:rsidR="00437A75" w:rsidRPr="00882B89" w:rsidRDefault="00437A75">
      <w:pPr>
        <w:pStyle w:val="FootnoteText"/>
        <w:rPr>
          <w:lang w:val="en-US"/>
        </w:rPr>
      </w:pPr>
      <w:r>
        <w:rPr>
          <w:rStyle w:val="FootnoteReference"/>
        </w:rPr>
        <w:footnoteRef/>
      </w:r>
      <w:r>
        <w:t xml:space="preserve"> </w:t>
      </w:r>
      <w:r w:rsidRPr="00875D92">
        <w:rPr>
          <w:i/>
        </w:rPr>
        <w:t>USA v Anthony Allen</w:t>
      </w:r>
      <w:r>
        <w:t xml:space="preserve"> dated 10 March 2016 </w:t>
      </w:r>
      <w:hyperlink r:id="rId20" w:history="1">
        <w:r w:rsidRPr="006550F8">
          <w:rPr>
            <w:rStyle w:val="Hyperlink"/>
          </w:rPr>
          <w:t>https://www.justice.gov/criminal-fraud/file/839511/download</w:t>
        </w:r>
      </w:hyperlink>
      <w:r>
        <w:t xml:space="preserve"> last accessed 25 April 2016</w:t>
      </w:r>
    </w:p>
  </w:footnote>
  <w:footnote w:id="74">
    <w:p w14:paraId="4ACF2F36" w14:textId="03BECEA5" w:rsidR="00437A75" w:rsidRPr="00882B89" w:rsidRDefault="00437A75">
      <w:pPr>
        <w:pStyle w:val="FootnoteText"/>
        <w:rPr>
          <w:lang w:val="en-US"/>
        </w:rPr>
      </w:pPr>
      <w:r>
        <w:rPr>
          <w:rStyle w:val="FootnoteReference"/>
        </w:rPr>
        <w:footnoteRef/>
      </w:r>
      <w:r>
        <w:t xml:space="preserve"> </w:t>
      </w:r>
      <w:r w:rsidRPr="00875D92">
        <w:rPr>
          <w:i/>
        </w:rPr>
        <w:t>USA v Anthony Conti</w:t>
      </w:r>
      <w:r>
        <w:t xml:space="preserve"> dated 10 March 2016 </w:t>
      </w:r>
      <w:hyperlink r:id="rId21" w:history="1">
        <w:r w:rsidRPr="006550F8">
          <w:rPr>
            <w:rStyle w:val="Hyperlink"/>
          </w:rPr>
          <w:t>https://www.justice.gov/criminal-fraud/file/839516/download</w:t>
        </w:r>
      </w:hyperlink>
      <w:r>
        <w:t xml:space="preserve"> last accessed 25 April 2016</w:t>
      </w:r>
    </w:p>
  </w:footnote>
  <w:footnote w:id="75">
    <w:p w14:paraId="7DCA6180" w14:textId="0616F991" w:rsidR="00437A75" w:rsidRPr="00F24C9E" w:rsidRDefault="00437A75" w:rsidP="00DB5209">
      <w:pPr>
        <w:pStyle w:val="FootnoteText"/>
        <w:rPr>
          <w:lang w:val="en-US"/>
        </w:rPr>
      </w:pPr>
      <w:r>
        <w:rPr>
          <w:rStyle w:val="FootnoteReference"/>
        </w:rPr>
        <w:footnoteRef/>
      </w:r>
      <w:r>
        <w:t xml:space="preserve"> </w:t>
      </w:r>
      <w:r w:rsidRPr="00875D92">
        <w:rPr>
          <w:i/>
        </w:rPr>
        <w:t>USA v Allen, Conti et al</w:t>
      </w:r>
      <w:r>
        <w:t xml:space="preserve"> dated 11 February 2016 </w:t>
      </w:r>
      <w:hyperlink r:id="rId22" w:history="1">
        <w:r w:rsidRPr="006550F8">
          <w:rPr>
            <w:rStyle w:val="Hyperlink"/>
          </w:rPr>
          <w:t>http://www.leagle.com/decision/In%20FDCO%2020160216727/U.S.%20v.%20Allen</w:t>
        </w:r>
      </w:hyperlink>
      <w:r>
        <w:t xml:space="preserve"> last accessed 25 April 2016. The defendants that involuntary compelled evidence to the UK’s Financial Conduct Authority could not be used in trial. Judge </w:t>
      </w:r>
      <w:proofErr w:type="spellStart"/>
      <w:r>
        <w:t>Rakoff</w:t>
      </w:r>
      <w:proofErr w:type="spellEnd"/>
      <w:r>
        <w:t xml:space="preserve"> held that the government had proved </w:t>
      </w:r>
      <w:r w:rsidRPr="00DB5209">
        <w:rPr>
          <w:lang w:val="en-US"/>
        </w:rPr>
        <w:t>that its evidence derived from legitimate sources wholly independent of the compelled testimony</w:t>
      </w:r>
    </w:p>
  </w:footnote>
  <w:footnote w:id="76">
    <w:p w14:paraId="1A75F6CF" w14:textId="15C1B81F" w:rsidR="00437A75" w:rsidRPr="005F63C6" w:rsidRDefault="00437A75">
      <w:pPr>
        <w:pStyle w:val="FootnoteText"/>
        <w:rPr>
          <w:lang w:val="en-US"/>
        </w:rPr>
      </w:pPr>
      <w:r>
        <w:rPr>
          <w:rStyle w:val="FootnoteReference"/>
        </w:rPr>
        <w:footnoteRef/>
      </w:r>
      <w:r>
        <w:t xml:space="preserve"> </w:t>
      </w:r>
      <w:r>
        <w:rPr>
          <w:lang w:val="en-US"/>
        </w:rPr>
        <w:t xml:space="preserve">See DoJ Press Release dated 10 March 2016 </w:t>
      </w:r>
      <w:hyperlink r:id="rId23" w:history="1">
        <w:r w:rsidRPr="006550F8">
          <w:rPr>
            <w:rStyle w:val="Hyperlink"/>
            <w:lang w:val="en-US"/>
          </w:rPr>
          <w:t>https://www.justice.gov/opa/pr/two-former-rabobank-traders-sentenced-prison-manipulating-us-dollar-and-japanese-yen-libor</w:t>
        </w:r>
      </w:hyperlink>
      <w:r>
        <w:rPr>
          <w:lang w:val="en-US"/>
        </w:rPr>
        <w:t xml:space="preserve"> last accessed 25 April 2016</w:t>
      </w:r>
    </w:p>
  </w:footnote>
  <w:footnote w:id="77">
    <w:p w14:paraId="1F3B6384" w14:textId="2614CB41" w:rsidR="00437A75" w:rsidRPr="008E16EC" w:rsidRDefault="00437A75">
      <w:pPr>
        <w:pStyle w:val="FootnoteText"/>
        <w:rPr>
          <w:lang w:val="en-US"/>
        </w:rPr>
      </w:pPr>
      <w:r>
        <w:rPr>
          <w:rStyle w:val="FootnoteReference"/>
        </w:rPr>
        <w:footnoteRef/>
      </w:r>
      <w:r>
        <w:t xml:space="preserve"> </w:t>
      </w:r>
      <w:proofErr w:type="gramStart"/>
      <w:r w:rsidRPr="00875D92">
        <w:rPr>
          <w:i/>
          <w:lang w:val="en-US"/>
        </w:rPr>
        <w:t>In re LIBOR-Based Financial Instruments Antitrust Litigation</w:t>
      </w:r>
      <w:r w:rsidRPr="009B0973">
        <w:rPr>
          <w:lang w:val="en-US"/>
        </w:rPr>
        <w:t xml:space="preserve"> 935 F.Supp.2d 666 (2013)</w:t>
      </w:r>
      <w:r>
        <w:rPr>
          <w:lang w:val="en-US"/>
        </w:rPr>
        <w:t>.</w:t>
      </w:r>
      <w:proofErr w:type="gramEnd"/>
      <w:r>
        <w:rPr>
          <w:lang w:val="en-US"/>
        </w:rPr>
        <w:t xml:space="preserve"> It should be noted that Buchwald J’s judgment has been confirmed and followed in two further LIBOR cases, namely </w:t>
      </w:r>
      <w:proofErr w:type="spellStart"/>
      <w:r w:rsidRPr="002F54F9">
        <w:rPr>
          <w:i/>
          <w:iCs/>
          <w:lang w:val="en-US"/>
        </w:rPr>
        <w:t>Laydon</w:t>
      </w:r>
      <w:proofErr w:type="spellEnd"/>
      <w:r w:rsidRPr="002F54F9">
        <w:rPr>
          <w:i/>
          <w:iCs/>
          <w:lang w:val="en-US"/>
        </w:rPr>
        <w:t xml:space="preserve"> v. Mizuho Bank, Ltd</w:t>
      </w:r>
      <w:r>
        <w:rPr>
          <w:i/>
          <w:iCs/>
          <w:lang w:val="en-US"/>
        </w:rPr>
        <w:t>.</w:t>
      </w:r>
      <w:r>
        <w:rPr>
          <w:iCs/>
          <w:lang w:val="en-US"/>
        </w:rPr>
        <w:t xml:space="preserve"> dated 28 March 2014 </w:t>
      </w:r>
      <w:hyperlink r:id="rId24" w:history="1">
        <w:r w:rsidRPr="00F66F5C">
          <w:rPr>
            <w:rStyle w:val="Hyperlink"/>
            <w:iCs/>
            <w:lang w:val="en-US"/>
          </w:rPr>
          <w:t>http://www.plainsite.org/dockets/mxv0451w/new-york-southern-district-court/laydon-v-mizuho-bank-ltd-et-al/</w:t>
        </w:r>
      </w:hyperlink>
      <w:r>
        <w:rPr>
          <w:iCs/>
          <w:lang w:val="en-US"/>
        </w:rPr>
        <w:t xml:space="preserve"> last accessed 4 May 2016 and </w:t>
      </w:r>
      <w:r w:rsidRPr="008E16EC">
        <w:rPr>
          <w:i/>
          <w:iCs/>
          <w:lang w:val="en-US"/>
        </w:rPr>
        <w:t>7 West 57th Street Realty Co. v. Citigroup, Inc.</w:t>
      </w:r>
      <w:r>
        <w:rPr>
          <w:iCs/>
          <w:lang w:val="en-US"/>
        </w:rPr>
        <w:t xml:space="preserve"> dated 31 March 2015 </w:t>
      </w:r>
      <w:hyperlink r:id="rId25" w:history="1">
        <w:r w:rsidRPr="00F66F5C">
          <w:rPr>
            <w:rStyle w:val="Hyperlink"/>
            <w:iCs/>
            <w:lang w:val="en-US"/>
          </w:rPr>
          <w:t>http://cases.justia.com/federal/district-courts/new-york/nysdce/1:2013cv00981/407735/172/0.pdf?ts=1427977380</w:t>
        </w:r>
      </w:hyperlink>
      <w:r>
        <w:rPr>
          <w:iCs/>
          <w:lang w:val="en-US"/>
        </w:rPr>
        <w:t xml:space="preserve"> last accessed 4 May 2016</w:t>
      </w:r>
    </w:p>
  </w:footnote>
  <w:footnote w:id="78">
    <w:p w14:paraId="0709256E" w14:textId="0D2AA201" w:rsidR="00437A75" w:rsidRPr="009B0973" w:rsidRDefault="00437A75">
      <w:pPr>
        <w:pStyle w:val="FootnoteText"/>
        <w:rPr>
          <w:lang w:val="en-US"/>
        </w:rPr>
      </w:pPr>
      <w:r>
        <w:rPr>
          <w:rStyle w:val="FootnoteReference"/>
        </w:rPr>
        <w:footnoteRef/>
      </w:r>
      <w:r>
        <w:t xml:space="preserve"> Ibid. 686</w:t>
      </w:r>
    </w:p>
  </w:footnote>
  <w:footnote w:id="79">
    <w:p w14:paraId="44D4B5D5" w14:textId="088DD4D7" w:rsidR="00437A75" w:rsidRPr="009B0973" w:rsidRDefault="00437A75">
      <w:pPr>
        <w:pStyle w:val="FootnoteText"/>
        <w:rPr>
          <w:lang w:val="en-US"/>
        </w:rPr>
      </w:pPr>
      <w:r>
        <w:rPr>
          <w:rStyle w:val="FootnoteReference"/>
        </w:rPr>
        <w:footnoteRef/>
      </w:r>
      <w:r>
        <w:t xml:space="preserve"> Ibid. 687</w:t>
      </w:r>
    </w:p>
  </w:footnote>
  <w:footnote w:id="80">
    <w:p w14:paraId="500E1A56" w14:textId="3BF432CC" w:rsidR="00437A75" w:rsidRPr="009B0973" w:rsidRDefault="00437A75">
      <w:pPr>
        <w:pStyle w:val="FootnoteText"/>
        <w:rPr>
          <w:lang w:val="en-US"/>
        </w:rPr>
      </w:pPr>
      <w:r>
        <w:rPr>
          <w:rStyle w:val="FootnoteReference"/>
        </w:rPr>
        <w:footnoteRef/>
      </w:r>
      <w:r>
        <w:t xml:space="preserve"> Ibid. 688-689</w:t>
      </w:r>
    </w:p>
  </w:footnote>
  <w:footnote w:id="81">
    <w:p w14:paraId="791590F6" w14:textId="131458C2" w:rsidR="00437A75" w:rsidRPr="009B0973" w:rsidRDefault="00437A75">
      <w:pPr>
        <w:pStyle w:val="FootnoteText"/>
        <w:rPr>
          <w:lang w:val="en-US"/>
        </w:rPr>
      </w:pPr>
      <w:r>
        <w:rPr>
          <w:rStyle w:val="FootnoteReference"/>
        </w:rPr>
        <w:footnoteRef/>
      </w:r>
      <w:r>
        <w:t xml:space="preserve"> Ibid. 689</w:t>
      </w:r>
    </w:p>
  </w:footnote>
  <w:footnote w:id="82">
    <w:p w14:paraId="51F23AE4" w14:textId="6DB73BB6" w:rsidR="00437A75" w:rsidRPr="009B0973" w:rsidRDefault="00437A75">
      <w:pPr>
        <w:pStyle w:val="FootnoteText"/>
        <w:rPr>
          <w:lang w:val="en-US"/>
        </w:rPr>
      </w:pPr>
      <w:r>
        <w:rPr>
          <w:rStyle w:val="FootnoteReference"/>
        </w:rPr>
        <w:footnoteRef/>
      </w:r>
      <w:r>
        <w:t xml:space="preserve"> </w:t>
      </w:r>
      <w:r>
        <w:rPr>
          <w:bCs/>
          <w:lang w:val="en-US"/>
        </w:rPr>
        <w:t>429 US</w:t>
      </w:r>
      <w:r w:rsidRPr="002474C1">
        <w:rPr>
          <w:bCs/>
          <w:lang w:val="en-US"/>
        </w:rPr>
        <w:t xml:space="preserve"> 477 (1977)</w:t>
      </w:r>
    </w:p>
  </w:footnote>
  <w:footnote w:id="83">
    <w:p w14:paraId="251AE265" w14:textId="06C64273" w:rsidR="00437A75" w:rsidRPr="009B0973" w:rsidRDefault="00437A75">
      <w:pPr>
        <w:pStyle w:val="FootnoteText"/>
        <w:rPr>
          <w:lang w:val="en-US"/>
        </w:rPr>
      </w:pPr>
      <w:r>
        <w:rPr>
          <w:rStyle w:val="FootnoteReference"/>
        </w:rPr>
        <w:footnoteRef/>
      </w:r>
      <w:r>
        <w:t xml:space="preserve"> </w:t>
      </w:r>
      <w:r w:rsidRPr="002474C1">
        <w:rPr>
          <w:bCs/>
          <w:i/>
          <w:lang w:val="en-US"/>
        </w:rPr>
        <w:t>Atlantic Richfield (ARCO) v USA Petroleum</w:t>
      </w:r>
      <w:r>
        <w:rPr>
          <w:bCs/>
          <w:lang w:val="en-US"/>
        </w:rPr>
        <w:t xml:space="preserve"> 495 US</w:t>
      </w:r>
      <w:r w:rsidRPr="002474C1">
        <w:rPr>
          <w:bCs/>
          <w:lang w:val="en-US"/>
        </w:rPr>
        <w:t xml:space="preserve"> 328 (1990)</w:t>
      </w:r>
    </w:p>
  </w:footnote>
  <w:footnote w:id="84">
    <w:p w14:paraId="1AA10560" w14:textId="567DA125" w:rsidR="00437A75" w:rsidRPr="009B0973" w:rsidRDefault="00437A75">
      <w:pPr>
        <w:pStyle w:val="FootnoteText"/>
        <w:rPr>
          <w:lang w:val="en-US"/>
        </w:rPr>
      </w:pPr>
      <w:r>
        <w:rPr>
          <w:rStyle w:val="FootnoteReference"/>
        </w:rPr>
        <w:footnoteRef/>
      </w:r>
      <w:r>
        <w:t xml:space="preserve"> (</w:t>
      </w:r>
      <w:proofErr w:type="gramStart"/>
      <w:r>
        <w:t>n</w:t>
      </w:r>
      <w:proofErr w:type="gramEnd"/>
      <w:r>
        <w:t xml:space="preserve"> 77) 690</w:t>
      </w:r>
    </w:p>
  </w:footnote>
  <w:footnote w:id="85">
    <w:p w14:paraId="0726967D" w14:textId="0E9DC12D" w:rsidR="00437A75" w:rsidRPr="00D978F1" w:rsidRDefault="00437A75">
      <w:pPr>
        <w:pStyle w:val="FootnoteText"/>
        <w:rPr>
          <w:lang w:val="en-US"/>
        </w:rPr>
      </w:pPr>
      <w:r>
        <w:rPr>
          <w:rStyle w:val="FootnoteReference"/>
        </w:rPr>
        <w:footnoteRef/>
      </w:r>
      <w:r>
        <w:t xml:space="preserve"> Ibid. 691</w:t>
      </w:r>
    </w:p>
  </w:footnote>
  <w:footnote w:id="86">
    <w:p w14:paraId="1A27B7E0" w14:textId="5508A5C0" w:rsidR="00437A75" w:rsidRPr="00D978F1" w:rsidRDefault="00437A75">
      <w:pPr>
        <w:pStyle w:val="FootnoteText"/>
        <w:rPr>
          <w:lang w:val="en-US"/>
        </w:rPr>
      </w:pPr>
      <w:r>
        <w:rPr>
          <w:rStyle w:val="FootnoteReference"/>
        </w:rPr>
        <w:footnoteRef/>
      </w:r>
      <w:r>
        <w:t xml:space="preserve"> Ibid.</w:t>
      </w:r>
    </w:p>
  </w:footnote>
  <w:footnote w:id="87">
    <w:p w14:paraId="6DD363CE" w14:textId="47CB9EC0" w:rsidR="00437A75" w:rsidRPr="00D978F1" w:rsidRDefault="00437A75">
      <w:pPr>
        <w:pStyle w:val="FootnoteText"/>
        <w:rPr>
          <w:lang w:val="en-US"/>
        </w:rPr>
      </w:pPr>
      <w:r>
        <w:rPr>
          <w:rStyle w:val="FootnoteReference"/>
        </w:rPr>
        <w:footnoteRef/>
      </w:r>
      <w:r>
        <w:t xml:space="preserve"> Ibid.</w:t>
      </w:r>
    </w:p>
  </w:footnote>
  <w:footnote w:id="88">
    <w:p w14:paraId="343DCC73" w14:textId="69960A15" w:rsidR="00437A75" w:rsidRPr="00D978F1" w:rsidRDefault="00437A75">
      <w:pPr>
        <w:pStyle w:val="FootnoteText"/>
        <w:rPr>
          <w:lang w:val="en-US"/>
        </w:rPr>
      </w:pPr>
      <w:r>
        <w:rPr>
          <w:rStyle w:val="FootnoteReference"/>
        </w:rPr>
        <w:footnoteRef/>
      </w:r>
      <w:r>
        <w:t xml:space="preserve"> Ibid. 692</w:t>
      </w:r>
    </w:p>
  </w:footnote>
  <w:footnote w:id="89">
    <w:p w14:paraId="7B6EBE1F" w14:textId="2C9BE5E1" w:rsidR="00437A75" w:rsidRPr="0047530B" w:rsidRDefault="00437A75">
      <w:pPr>
        <w:pStyle w:val="FootnoteText"/>
        <w:rPr>
          <w:lang w:val="en-US"/>
        </w:rPr>
      </w:pPr>
      <w:r>
        <w:rPr>
          <w:rStyle w:val="FootnoteReference"/>
        </w:rPr>
        <w:footnoteRef/>
      </w:r>
      <w:r>
        <w:t xml:space="preserve"> SE Foster, ‘Harm to Competition and the Competitive Process: A Circular Charade in the LIBOR Antitrust Litigation’ (2014) 10 International Law &amp; Management Review 91, 95 and </w:t>
      </w:r>
      <w:r>
        <w:rPr>
          <w:lang w:val="en-US"/>
        </w:rPr>
        <w:t>SE Foster, ‘LIBOR Manipulation and Antitrust Allegations’ (2013) 11 De Paul Business &amp; Commercial Law Journal 291</w:t>
      </w:r>
    </w:p>
  </w:footnote>
  <w:footnote w:id="90">
    <w:p w14:paraId="456772ED" w14:textId="4EB110CD" w:rsidR="00437A75" w:rsidRPr="00F01EE4" w:rsidRDefault="00437A75">
      <w:pPr>
        <w:pStyle w:val="FootnoteText"/>
        <w:rPr>
          <w:lang w:val="en-US"/>
        </w:rPr>
      </w:pPr>
      <w:r>
        <w:rPr>
          <w:rStyle w:val="FootnoteReference"/>
        </w:rPr>
        <w:footnoteRef/>
      </w:r>
      <w:r>
        <w:t xml:space="preserve"> </w:t>
      </w:r>
      <w:r>
        <w:rPr>
          <w:lang w:val="en-US"/>
        </w:rPr>
        <w:t>Ibid. 104</w:t>
      </w:r>
    </w:p>
  </w:footnote>
  <w:footnote w:id="91">
    <w:p w14:paraId="295EEDF3" w14:textId="44E67CE6" w:rsidR="00437A75" w:rsidRPr="00F01EE4" w:rsidRDefault="00437A75">
      <w:pPr>
        <w:pStyle w:val="FootnoteText"/>
        <w:rPr>
          <w:lang w:val="en-US"/>
        </w:rPr>
      </w:pPr>
      <w:r>
        <w:rPr>
          <w:rStyle w:val="FootnoteReference"/>
        </w:rPr>
        <w:footnoteRef/>
      </w:r>
      <w:r>
        <w:t xml:space="preserve"> </w:t>
      </w:r>
      <w:r>
        <w:rPr>
          <w:lang w:val="en-US"/>
        </w:rPr>
        <w:t>Ibid. 106</w:t>
      </w:r>
    </w:p>
  </w:footnote>
  <w:footnote w:id="92">
    <w:p w14:paraId="6E076C6F" w14:textId="73CEAF9E" w:rsidR="00437A75" w:rsidRPr="00875D92" w:rsidRDefault="00437A75" w:rsidP="00A945F2">
      <w:pPr>
        <w:pStyle w:val="FootnoteText"/>
        <w:rPr>
          <w:lang w:val="en-US"/>
        </w:rPr>
      </w:pPr>
      <w:r>
        <w:rPr>
          <w:rStyle w:val="FootnoteReference"/>
        </w:rPr>
        <w:footnoteRef/>
      </w:r>
      <w:r>
        <w:t xml:space="preserve"> </w:t>
      </w:r>
      <w:r w:rsidRPr="003E2BC9">
        <w:rPr>
          <w:i/>
          <w:lang w:val="en-US"/>
        </w:rPr>
        <w:t>In re Foreign Exchange Benchmark Rates Antitrust Litigation</w:t>
      </w:r>
      <w:r>
        <w:rPr>
          <w:lang w:val="en-US"/>
        </w:rPr>
        <w:t xml:space="preserve"> </w:t>
      </w:r>
      <w:r>
        <w:t>74 F.Supp.3d 581 (2015)</w:t>
      </w:r>
    </w:p>
  </w:footnote>
  <w:footnote w:id="93">
    <w:p w14:paraId="2DD7C341" w14:textId="71D6CC9C" w:rsidR="00437A75" w:rsidRPr="00A945F2" w:rsidRDefault="00437A75" w:rsidP="00A945F2">
      <w:pPr>
        <w:pStyle w:val="FootnoteText"/>
        <w:rPr>
          <w:lang w:val="en-US"/>
        </w:rPr>
      </w:pPr>
      <w:r>
        <w:rPr>
          <w:rStyle w:val="FootnoteReference"/>
        </w:rPr>
        <w:footnoteRef/>
      </w:r>
      <w:r>
        <w:t xml:space="preserve"> </w:t>
      </w:r>
      <w:r>
        <w:rPr>
          <w:lang w:val="en-US"/>
        </w:rPr>
        <w:t>Ibid. 596</w:t>
      </w:r>
    </w:p>
  </w:footnote>
  <w:footnote w:id="94">
    <w:p w14:paraId="652C1618" w14:textId="072CAE89" w:rsidR="00437A75" w:rsidRPr="00A945F2" w:rsidRDefault="00437A75">
      <w:pPr>
        <w:pStyle w:val="FootnoteText"/>
        <w:rPr>
          <w:lang w:val="en-US"/>
        </w:rPr>
      </w:pPr>
      <w:r>
        <w:rPr>
          <w:rStyle w:val="FootnoteReference"/>
        </w:rPr>
        <w:footnoteRef/>
      </w:r>
      <w:r>
        <w:t xml:space="preserve"> </w:t>
      </w:r>
      <w:r>
        <w:rPr>
          <w:lang w:val="en-US"/>
        </w:rPr>
        <w:t>Ibid. 597-598</w:t>
      </w:r>
    </w:p>
  </w:footnote>
  <w:footnote w:id="95">
    <w:p w14:paraId="549D86C5" w14:textId="7DA7F0D0" w:rsidR="00437A75" w:rsidRPr="002566ED" w:rsidRDefault="00437A75">
      <w:pPr>
        <w:pStyle w:val="FootnoteText"/>
        <w:rPr>
          <w:lang w:val="en-US"/>
        </w:rPr>
      </w:pPr>
      <w:r>
        <w:rPr>
          <w:rStyle w:val="FootnoteReference"/>
        </w:rPr>
        <w:footnoteRef/>
      </w:r>
      <w:r>
        <w:t xml:space="preserve"> </w:t>
      </w:r>
      <w:r w:rsidRPr="002566ED">
        <w:rPr>
          <w:bCs/>
          <w:i/>
          <w:iCs/>
          <w:lang w:val="en-US"/>
        </w:rPr>
        <w:t>Alaska Electrical Pension Fund, et al v Bank of America Corp., et al</w:t>
      </w:r>
      <w:r>
        <w:rPr>
          <w:bCs/>
          <w:iCs/>
          <w:lang w:val="en-US"/>
        </w:rPr>
        <w:t xml:space="preserve"> dated 28 March 2016 </w:t>
      </w:r>
      <w:hyperlink r:id="rId26" w:history="1">
        <w:r w:rsidRPr="00F66F5C">
          <w:rPr>
            <w:rStyle w:val="Hyperlink"/>
            <w:bCs/>
            <w:iCs/>
            <w:lang w:val="en-US"/>
          </w:rPr>
          <w:t>https://cases.justia.com/federal/district-courts/new-york/nysdce/1:2014cv07126/432152/209/0.pdf?ts=1459258628</w:t>
        </w:r>
      </w:hyperlink>
      <w:r>
        <w:rPr>
          <w:bCs/>
          <w:iCs/>
          <w:lang w:val="en-US"/>
        </w:rPr>
        <w:t xml:space="preserve"> last accessed 25 April 2016</w:t>
      </w:r>
    </w:p>
  </w:footnote>
  <w:footnote w:id="96">
    <w:p w14:paraId="6F5A49D8" w14:textId="78365C8C" w:rsidR="00437A75" w:rsidRPr="004A6A57" w:rsidRDefault="00437A75">
      <w:pPr>
        <w:pStyle w:val="FootnoteText"/>
        <w:rPr>
          <w:lang w:val="en-US"/>
        </w:rPr>
      </w:pPr>
      <w:r>
        <w:rPr>
          <w:rStyle w:val="FootnoteReference"/>
        </w:rPr>
        <w:footnoteRef/>
      </w:r>
      <w:r>
        <w:t xml:space="preserve"> </w:t>
      </w:r>
      <w:r>
        <w:rPr>
          <w:lang w:val="en-US"/>
        </w:rPr>
        <w:t>Ibid. 15</w:t>
      </w:r>
    </w:p>
  </w:footnote>
  <w:footnote w:id="97">
    <w:p w14:paraId="24B4DA6B" w14:textId="588960C4" w:rsidR="00437A75" w:rsidRPr="004A6A57" w:rsidRDefault="00437A75">
      <w:pPr>
        <w:pStyle w:val="FootnoteText"/>
        <w:rPr>
          <w:lang w:val="en-US"/>
        </w:rPr>
      </w:pPr>
      <w:r>
        <w:rPr>
          <w:rStyle w:val="FootnoteReference"/>
        </w:rPr>
        <w:footnoteRef/>
      </w:r>
      <w:r>
        <w:t xml:space="preserve"> Ibid. 15-16</w:t>
      </w:r>
    </w:p>
  </w:footnote>
  <w:footnote w:id="98">
    <w:p w14:paraId="3D8A780E" w14:textId="38C22918" w:rsidR="00437A75" w:rsidRPr="009D6B8E" w:rsidRDefault="00437A75">
      <w:pPr>
        <w:pStyle w:val="FootnoteText"/>
        <w:rPr>
          <w:lang w:val="en-US"/>
        </w:rPr>
      </w:pPr>
      <w:r>
        <w:rPr>
          <w:rStyle w:val="FootnoteReference"/>
        </w:rPr>
        <w:footnoteRef/>
      </w:r>
      <w:r>
        <w:t xml:space="preserve"> Ibid. 16-17</w:t>
      </w:r>
    </w:p>
  </w:footnote>
  <w:footnote w:id="99">
    <w:p w14:paraId="637346DF" w14:textId="0BAF5C82" w:rsidR="00437A75" w:rsidRPr="009D6B8E" w:rsidRDefault="00437A75">
      <w:pPr>
        <w:pStyle w:val="FootnoteText"/>
        <w:rPr>
          <w:lang w:val="en-US"/>
        </w:rPr>
      </w:pPr>
      <w:r>
        <w:rPr>
          <w:rStyle w:val="FootnoteReference"/>
        </w:rPr>
        <w:footnoteRef/>
      </w:r>
      <w:r>
        <w:t xml:space="preserve"> Ibid. 17-18</w:t>
      </w:r>
    </w:p>
  </w:footnote>
  <w:footnote w:id="100">
    <w:p w14:paraId="269D94F8" w14:textId="7E594687" w:rsidR="00437A75" w:rsidRPr="009D6B8E" w:rsidRDefault="00437A75">
      <w:pPr>
        <w:pStyle w:val="FootnoteText"/>
        <w:rPr>
          <w:lang w:val="en-US"/>
        </w:rPr>
      </w:pPr>
      <w:r>
        <w:rPr>
          <w:rStyle w:val="FootnoteReference"/>
        </w:rPr>
        <w:footnoteRef/>
      </w:r>
      <w:r>
        <w:t xml:space="preserve"> Ibid. 18-19</w:t>
      </w:r>
    </w:p>
  </w:footnote>
  <w:footnote w:id="101">
    <w:p w14:paraId="3EB55366" w14:textId="454EE2A2" w:rsidR="00437A75" w:rsidRPr="009D6B8E" w:rsidRDefault="00437A75">
      <w:pPr>
        <w:pStyle w:val="FootnoteText"/>
        <w:rPr>
          <w:lang w:val="en-US"/>
        </w:rPr>
      </w:pPr>
      <w:r>
        <w:rPr>
          <w:rStyle w:val="FootnoteReference"/>
        </w:rPr>
        <w:footnoteRef/>
      </w:r>
      <w:r>
        <w:t xml:space="preserve"> </w:t>
      </w:r>
      <w:r>
        <w:rPr>
          <w:lang w:val="en-US"/>
        </w:rPr>
        <w:t>Ibid. 19-20</w:t>
      </w:r>
    </w:p>
  </w:footnote>
  <w:footnote w:id="102">
    <w:p w14:paraId="686BE627" w14:textId="3A3C4710" w:rsidR="00437A75" w:rsidRPr="001D27C4" w:rsidRDefault="00437A75">
      <w:pPr>
        <w:pStyle w:val="FootnoteText"/>
        <w:rPr>
          <w:lang w:val="en-US"/>
        </w:rPr>
      </w:pPr>
      <w:r>
        <w:rPr>
          <w:rStyle w:val="FootnoteReference"/>
        </w:rPr>
        <w:footnoteRef/>
      </w:r>
      <w:r>
        <w:t xml:space="preserve"> </w:t>
      </w:r>
      <w:r w:rsidRPr="001D27C4">
        <w:rPr>
          <w:i/>
          <w:lang w:val="en-US"/>
        </w:rPr>
        <w:t>In re LIBOR-Based Financial Instruments Antitrust Litigation</w:t>
      </w:r>
      <w:r>
        <w:rPr>
          <w:lang w:val="en-US"/>
        </w:rPr>
        <w:t xml:space="preserve"> dated 30 October 2013 </w:t>
      </w:r>
      <w:hyperlink r:id="rId27" w:history="1">
        <w:r w:rsidRPr="00F66F5C">
          <w:rPr>
            <w:rStyle w:val="Hyperlink"/>
            <w:lang w:val="en-US"/>
          </w:rPr>
          <w:t>http://sblog.s3.amazonaws.com/wp-content/uploads/2014/04/Gelboim-2dCirorder.pdf</w:t>
        </w:r>
      </w:hyperlink>
      <w:r>
        <w:rPr>
          <w:lang w:val="en-US"/>
        </w:rPr>
        <w:t xml:space="preserve"> last accessed 4 May 2016</w:t>
      </w:r>
    </w:p>
  </w:footnote>
  <w:footnote w:id="103">
    <w:p w14:paraId="3A970E03" w14:textId="19E6B766" w:rsidR="00437A75" w:rsidRPr="00DB1E97" w:rsidRDefault="00437A75">
      <w:pPr>
        <w:pStyle w:val="FootnoteText"/>
        <w:rPr>
          <w:lang w:val="en-US"/>
        </w:rPr>
      </w:pPr>
      <w:r>
        <w:rPr>
          <w:rStyle w:val="FootnoteReference"/>
        </w:rPr>
        <w:footnoteRef/>
      </w:r>
      <w:r>
        <w:t xml:space="preserve"> </w:t>
      </w:r>
      <w:proofErr w:type="spellStart"/>
      <w:r>
        <w:rPr>
          <w:i/>
        </w:rPr>
        <w:t>Gelboim</w:t>
      </w:r>
      <w:proofErr w:type="spellEnd"/>
      <w:r>
        <w:rPr>
          <w:i/>
        </w:rPr>
        <w:t>, et al v Bank of America Corp., et al</w:t>
      </w:r>
      <w:r>
        <w:t xml:space="preserve"> </w:t>
      </w:r>
      <w:r w:rsidRPr="00DB1E97">
        <w:rPr>
          <w:lang w:val="en-US"/>
        </w:rPr>
        <w:t xml:space="preserve">135 </w:t>
      </w:r>
      <w:proofErr w:type="spellStart"/>
      <w:r w:rsidRPr="00DB1E97">
        <w:rPr>
          <w:lang w:val="en-US"/>
        </w:rPr>
        <w:t>S.Ct</w:t>
      </w:r>
      <w:proofErr w:type="spellEnd"/>
      <w:r w:rsidRPr="00DB1E97">
        <w:rPr>
          <w:lang w:val="en-US"/>
        </w:rPr>
        <w:t>. 897</w:t>
      </w:r>
    </w:p>
  </w:footnote>
  <w:footnote w:id="104">
    <w:p w14:paraId="0108E2CB" w14:textId="55504616" w:rsidR="00437A75" w:rsidRPr="00554475" w:rsidRDefault="00437A75">
      <w:pPr>
        <w:pStyle w:val="FootnoteText"/>
        <w:rPr>
          <w:lang w:val="en-US"/>
        </w:rPr>
      </w:pPr>
      <w:r>
        <w:rPr>
          <w:rStyle w:val="FootnoteReference"/>
        </w:rPr>
        <w:footnoteRef/>
      </w:r>
      <w:r>
        <w:t xml:space="preserve"> </w:t>
      </w:r>
      <w:proofErr w:type="spellStart"/>
      <w:r>
        <w:rPr>
          <w:i/>
        </w:rPr>
        <w:t>Gelboim</w:t>
      </w:r>
      <w:proofErr w:type="spellEnd"/>
      <w:r>
        <w:rPr>
          <w:i/>
        </w:rPr>
        <w:t>, et al v Bank of America Corp., et al</w:t>
      </w:r>
      <w:r>
        <w:t xml:space="preserve"> 823 F.3d 759 (2</w:t>
      </w:r>
      <w:r w:rsidRPr="00554475">
        <w:rPr>
          <w:vertAlign w:val="superscript"/>
        </w:rPr>
        <w:t>nd</w:t>
      </w:r>
      <w:r>
        <w:t xml:space="preserve"> Cir.2016)</w:t>
      </w:r>
    </w:p>
  </w:footnote>
  <w:footnote w:id="105">
    <w:p w14:paraId="3893D48D" w14:textId="497F928D" w:rsidR="00437A75" w:rsidRPr="00554475" w:rsidRDefault="00437A75">
      <w:pPr>
        <w:pStyle w:val="FootnoteText"/>
        <w:rPr>
          <w:lang w:val="en-US"/>
        </w:rPr>
      </w:pPr>
      <w:r>
        <w:rPr>
          <w:rStyle w:val="FootnoteReference"/>
        </w:rPr>
        <w:footnoteRef/>
      </w:r>
      <w:r>
        <w:t xml:space="preserve"> </w:t>
      </w:r>
      <w:r>
        <w:rPr>
          <w:lang w:val="en-US"/>
        </w:rPr>
        <w:t>Ibid. 770</w:t>
      </w:r>
    </w:p>
  </w:footnote>
  <w:footnote w:id="106">
    <w:p w14:paraId="5A886B97" w14:textId="7E87BF30" w:rsidR="00437A75" w:rsidRPr="00255199" w:rsidRDefault="00437A75">
      <w:pPr>
        <w:pStyle w:val="FootnoteText"/>
        <w:rPr>
          <w:lang w:val="en-US"/>
        </w:rPr>
      </w:pPr>
      <w:r>
        <w:rPr>
          <w:rStyle w:val="FootnoteReference"/>
        </w:rPr>
        <w:footnoteRef/>
      </w:r>
      <w:r>
        <w:t xml:space="preserve"> </w:t>
      </w:r>
      <w:r>
        <w:rPr>
          <w:lang w:val="en-US"/>
        </w:rPr>
        <w:t>Ibid. 771</w:t>
      </w:r>
    </w:p>
  </w:footnote>
  <w:footnote w:id="107">
    <w:p w14:paraId="44CE3B70" w14:textId="76A22398" w:rsidR="00437A75" w:rsidRPr="00C954C7" w:rsidRDefault="00437A75">
      <w:pPr>
        <w:pStyle w:val="FootnoteText"/>
        <w:rPr>
          <w:lang w:val="en-US"/>
        </w:rPr>
      </w:pPr>
      <w:r>
        <w:rPr>
          <w:rStyle w:val="FootnoteReference"/>
        </w:rPr>
        <w:footnoteRef/>
      </w:r>
      <w:r>
        <w:t xml:space="preserve"> Ibid. 773</w:t>
      </w:r>
    </w:p>
  </w:footnote>
  <w:footnote w:id="108">
    <w:p w14:paraId="567D4AB6" w14:textId="357EF8E5" w:rsidR="00437A75" w:rsidRPr="00120F1D" w:rsidRDefault="00437A75">
      <w:pPr>
        <w:pStyle w:val="FootnoteText"/>
        <w:rPr>
          <w:lang w:val="en-US"/>
        </w:rPr>
      </w:pPr>
      <w:r>
        <w:rPr>
          <w:rStyle w:val="FootnoteReference"/>
        </w:rPr>
        <w:footnoteRef/>
      </w:r>
      <w:r>
        <w:t xml:space="preserve"> </w:t>
      </w:r>
      <w:r>
        <w:rPr>
          <w:i/>
        </w:rPr>
        <w:t xml:space="preserve">United States v </w:t>
      </w:r>
      <w:proofErr w:type="spellStart"/>
      <w:r>
        <w:rPr>
          <w:i/>
        </w:rPr>
        <w:t>Socony</w:t>
      </w:r>
      <w:proofErr w:type="spellEnd"/>
      <w:r>
        <w:rPr>
          <w:i/>
        </w:rPr>
        <w:t>-Vacuum Oil Co.</w:t>
      </w:r>
      <w:r>
        <w:t xml:space="preserve"> 310 US 150, 224</w:t>
      </w:r>
    </w:p>
  </w:footnote>
  <w:footnote w:id="109">
    <w:p w14:paraId="1D3FDF54" w14:textId="5895E4A7" w:rsidR="00437A75" w:rsidRPr="001561DB" w:rsidRDefault="00437A75">
      <w:pPr>
        <w:pStyle w:val="FootnoteText"/>
        <w:rPr>
          <w:lang w:val="en-US"/>
        </w:rPr>
      </w:pPr>
      <w:r>
        <w:rPr>
          <w:rStyle w:val="FootnoteReference"/>
        </w:rPr>
        <w:footnoteRef/>
      </w:r>
      <w:r>
        <w:t xml:space="preserve"> Ibid. 221</w:t>
      </w:r>
    </w:p>
  </w:footnote>
  <w:footnote w:id="110">
    <w:p w14:paraId="46975A5D" w14:textId="2FF9A8CF" w:rsidR="00437A75" w:rsidRPr="00120F1D" w:rsidRDefault="00437A75">
      <w:pPr>
        <w:pStyle w:val="FootnoteText"/>
        <w:rPr>
          <w:lang w:val="en-US"/>
        </w:rPr>
      </w:pPr>
      <w:r>
        <w:rPr>
          <w:rStyle w:val="FootnoteReference"/>
        </w:rPr>
        <w:footnoteRef/>
      </w:r>
      <w:r>
        <w:t xml:space="preserve"> </w:t>
      </w:r>
      <w:r>
        <w:rPr>
          <w:lang w:val="en-US"/>
        </w:rPr>
        <w:t>(</w:t>
      </w:r>
      <w:proofErr w:type="gramStart"/>
      <w:r>
        <w:rPr>
          <w:lang w:val="en-US"/>
        </w:rPr>
        <w:t>n</w:t>
      </w:r>
      <w:proofErr w:type="gramEnd"/>
      <w:r>
        <w:rPr>
          <w:lang w:val="en-US"/>
        </w:rPr>
        <w:t xml:space="preserve"> 104) 777-780</w:t>
      </w:r>
    </w:p>
  </w:footnote>
  <w:footnote w:id="111">
    <w:p w14:paraId="793BBB84" w14:textId="5D26F540" w:rsidR="00437A75" w:rsidRPr="007919CA" w:rsidRDefault="00437A75">
      <w:pPr>
        <w:pStyle w:val="FootnoteText"/>
        <w:rPr>
          <w:lang w:val="en-US"/>
        </w:rPr>
      </w:pPr>
      <w:r>
        <w:rPr>
          <w:rStyle w:val="FootnoteReference"/>
        </w:rPr>
        <w:footnoteRef/>
      </w:r>
      <w:r>
        <w:t xml:space="preserve"> Commission Memo/11/711 dated 19 October 2011, </w:t>
      </w:r>
      <w:hyperlink r:id="rId28" w:history="1">
        <w:r w:rsidRPr="00F66F5C">
          <w:rPr>
            <w:rStyle w:val="Hyperlink"/>
          </w:rPr>
          <w:t>http://europa.eu/rapid/press-release_MEMO-11-711_en.htm</w:t>
        </w:r>
      </w:hyperlink>
      <w:r>
        <w:t xml:space="preserve"> last accessed 4 May 2016</w:t>
      </w:r>
    </w:p>
  </w:footnote>
  <w:footnote w:id="112">
    <w:p w14:paraId="08746C6C" w14:textId="6DCA3556" w:rsidR="00437A75" w:rsidRPr="00C47449" w:rsidRDefault="00437A75">
      <w:pPr>
        <w:pStyle w:val="FootnoteText"/>
        <w:rPr>
          <w:lang w:val="en-US"/>
        </w:rPr>
      </w:pPr>
      <w:r>
        <w:rPr>
          <w:rStyle w:val="FootnoteReference"/>
        </w:rPr>
        <w:footnoteRef/>
      </w:r>
      <w:r>
        <w:t xml:space="preserve"> </w:t>
      </w:r>
      <w:r w:rsidRPr="00C47449">
        <w:rPr>
          <w:lang w:val="en-US"/>
        </w:rPr>
        <w:t xml:space="preserve">Case AT.39924 </w:t>
      </w:r>
      <w:r w:rsidRPr="00C47449">
        <w:rPr>
          <w:i/>
          <w:lang w:val="en-US"/>
        </w:rPr>
        <w:t>Swiss Franc Interest Rate Derivatives Cartel</w:t>
      </w:r>
      <w:r w:rsidRPr="00C47449">
        <w:rPr>
          <w:lang w:val="en-US"/>
        </w:rPr>
        <w:t xml:space="preserve"> (</w:t>
      </w:r>
      <w:r>
        <w:rPr>
          <w:i/>
          <w:lang w:val="en-US"/>
        </w:rPr>
        <w:t>CHF LIBOR</w:t>
      </w:r>
      <w:r w:rsidRPr="00C47449">
        <w:rPr>
          <w:lang w:val="en-US"/>
        </w:rPr>
        <w:t>)</w:t>
      </w:r>
      <w:r>
        <w:rPr>
          <w:lang w:val="en-US"/>
        </w:rPr>
        <w:t xml:space="preserve"> [2015] 4 CMLR</w:t>
      </w:r>
      <w:r w:rsidRPr="00C47449">
        <w:rPr>
          <w:lang w:val="en-US"/>
        </w:rPr>
        <w:t xml:space="preserve"> 19</w:t>
      </w:r>
    </w:p>
  </w:footnote>
  <w:footnote w:id="113">
    <w:p w14:paraId="0E60DB97" w14:textId="4DA184C8" w:rsidR="00437A75" w:rsidRPr="00C47449" w:rsidRDefault="00437A75">
      <w:pPr>
        <w:pStyle w:val="FootnoteText"/>
        <w:rPr>
          <w:lang w:val="en-US"/>
        </w:rPr>
      </w:pPr>
      <w:r>
        <w:rPr>
          <w:rStyle w:val="FootnoteReference"/>
        </w:rPr>
        <w:footnoteRef/>
      </w:r>
      <w:r>
        <w:t xml:space="preserve"> </w:t>
      </w:r>
      <w:r w:rsidRPr="00AF3890">
        <w:rPr>
          <w:lang w:val="en-US"/>
        </w:rPr>
        <w:t>Commission Notice on Immunity from fines and reduction of fines in cartel cases</w:t>
      </w:r>
      <w:r>
        <w:rPr>
          <w:lang w:val="en-US"/>
        </w:rPr>
        <w:t xml:space="preserve"> [2006] OJ C296/17 as amended by Commission Communication [2015] OJ C256/1</w:t>
      </w:r>
    </w:p>
  </w:footnote>
  <w:footnote w:id="114">
    <w:p w14:paraId="50A6B1A7" w14:textId="30F5CA4C" w:rsidR="00437A75" w:rsidRPr="00AE7BDD" w:rsidRDefault="00437A75" w:rsidP="000A3657">
      <w:pPr>
        <w:pStyle w:val="FootnoteText"/>
      </w:pPr>
      <w:r>
        <w:rPr>
          <w:rStyle w:val="FootnoteReference"/>
        </w:rPr>
        <w:footnoteRef/>
      </w:r>
      <w:r>
        <w:t xml:space="preserve"> </w:t>
      </w:r>
      <w:r>
        <w:rPr>
          <w:lang w:val="en-US"/>
        </w:rPr>
        <w:t xml:space="preserve">Commission Press Release IP/13/1208 dated 4 December 2013 </w:t>
      </w:r>
      <w:hyperlink r:id="rId29" w:history="1">
        <w:r w:rsidRPr="00F66F5C">
          <w:rPr>
            <w:rStyle w:val="Hyperlink"/>
            <w:lang w:val="en-US"/>
          </w:rPr>
          <w:t>http://europa.eu/rapid/press-release_IP-13-1208_en.htm</w:t>
        </w:r>
      </w:hyperlink>
      <w:r>
        <w:rPr>
          <w:lang w:val="en-US"/>
        </w:rPr>
        <w:t xml:space="preserve"> last accessed 6 May 2016. See Commission Decisions in Case AT.39924 </w:t>
      </w:r>
      <w:r w:rsidRPr="00AE7BDD">
        <w:rPr>
          <w:i/>
          <w:lang w:val="en-US"/>
        </w:rPr>
        <w:t>Swiss Franc Interest Rate Derivatives</w:t>
      </w:r>
      <w:r>
        <w:rPr>
          <w:lang w:val="en-US"/>
        </w:rPr>
        <w:t xml:space="preserve"> dated 21 October 2014 </w:t>
      </w:r>
      <w:hyperlink r:id="rId30" w:history="1">
        <w:r w:rsidRPr="00F66F5C">
          <w:rPr>
            <w:rStyle w:val="Hyperlink"/>
            <w:lang w:val="en-US"/>
          </w:rPr>
          <w:t>http://ec.europa.eu/competition/antitrust/cases/dec_docs/39924/39924_1156_3.pdf</w:t>
        </w:r>
      </w:hyperlink>
      <w:r>
        <w:rPr>
          <w:lang w:val="en-US"/>
        </w:rPr>
        <w:t xml:space="preserve"> last accessed 6 May 2016 and Case AT.39861 </w:t>
      </w:r>
      <w:r w:rsidRPr="00AE7BDD">
        <w:rPr>
          <w:i/>
        </w:rPr>
        <w:t>Yen Interest Rate Derivatives</w:t>
      </w:r>
      <w:r>
        <w:t xml:space="preserve"> dated 4 December 2013 </w:t>
      </w:r>
      <w:hyperlink r:id="rId31" w:history="1">
        <w:r w:rsidRPr="00F66F5C">
          <w:rPr>
            <w:rStyle w:val="Hyperlink"/>
          </w:rPr>
          <w:t>http://ec.europa.eu/competition/antitrust/cases/dec_docs/39861/39861_4152_13.pdf</w:t>
        </w:r>
      </w:hyperlink>
      <w:r>
        <w:t xml:space="preserve"> last accessed 6 May 2016</w:t>
      </w:r>
    </w:p>
  </w:footnote>
  <w:footnote w:id="115">
    <w:p w14:paraId="217D30E5" w14:textId="260713C2" w:rsidR="00437A75" w:rsidRPr="005B0A4C" w:rsidRDefault="00437A75">
      <w:pPr>
        <w:pStyle w:val="FootnoteText"/>
        <w:rPr>
          <w:lang w:val="en-US"/>
        </w:rPr>
      </w:pPr>
      <w:r>
        <w:rPr>
          <w:rStyle w:val="FootnoteReference"/>
        </w:rPr>
        <w:footnoteRef/>
      </w:r>
      <w:r>
        <w:t xml:space="preserve"> Commission Press Release IP/14/1190 dated 21 October 2014 </w:t>
      </w:r>
      <w:hyperlink r:id="rId32" w:history="1">
        <w:r w:rsidRPr="00F66F5C">
          <w:rPr>
            <w:rStyle w:val="Hyperlink"/>
          </w:rPr>
          <w:t>http://europa.eu/rapid/press-release_IP-14-1190_en.htm</w:t>
        </w:r>
      </w:hyperlink>
      <w:r>
        <w:t xml:space="preserve"> last accessed 6 May 2016</w:t>
      </w:r>
    </w:p>
  </w:footnote>
  <w:footnote w:id="116">
    <w:p w14:paraId="0305CB0B" w14:textId="702D8CF4" w:rsidR="00437A75" w:rsidRPr="00442585" w:rsidRDefault="00437A75">
      <w:pPr>
        <w:pStyle w:val="FootnoteText"/>
        <w:rPr>
          <w:lang w:val="en-US"/>
        </w:rPr>
      </w:pPr>
      <w:r>
        <w:rPr>
          <w:rStyle w:val="FootnoteReference"/>
        </w:rPr>
        <w:footnoteRef/>
      </w:r>
      <w:r>
        <w:t xml:space="preserve"> </w:t>
      </w:r>
      <w:r>
        <w:rPr>
          <w:lang w:val="en-US"/>
        </w:rPr>
        <w:t xml:space="preserve">Commission Press Release IP/15/4104 dated 4 February 2015 </w:t>
      </w:r>
      <w:hyperlink r:id="rId33" w:history="1">
        <w:r w:rsidRPr="00F66F5C">
          <w:rPr>
            <w:rStyle w:val="Hyperlink"/>
            <w:lang w:val="en-US"/>
          </w:rPr>
          <w:t>http://europa.eu/rapid/press-release_IP-15-4104_en.htm</w:t>
        </w:r>
      </w:hyperlink>
      <w:r>
        <w:rPr>
          <w:lang w:val="en-US"/>
        </w:rPr>
        <w:t xml:space="preserve"> last accessed 6 May 2016</w:t>
      </w:r>
    </w:p>
  </w:footnote>
  <w:footnote w:id="117">
    <w:p w14:paraId="33B2F60F" w14:textId="68E1F545" w:rsidR="00437A75" w:rsidRPr="008C306B" w:rsidRDefault="00437A75">
      <w:pPr>
        <w:pStyle w:val="FootnoteText"/>
      </w:pPr>
      <w:r>
        <w:rPr>
          <w:rStyle w:val="FootnoteReference"/>
        </w:rPr>
        <w:footnoteRef/>
      </w:r>
      <w:r>
        <w:t xml:space="preserve"> </w:t>
      </w:r>
      <w:r>
        <w:rPr>
          <w:lang w:val="en-US"/>
        </w:rPr>
        <w:t xml:space="preserve">Case T-180/15 </w:t>
      </w:r>
      <w:r w:rsidRPr="008C306B">
        <w:rPr>
          <w:i/>
        </w:rPr>
        <w:t xml:space="preserve">Icap </w:t>
      </w:r>
      <w:proofErr w:type="spellStart"/>
      <w:r w:rsidRPr="008C306B">
        <w:rPr>
          <w:i/>
        </w:rPr>
        <w:t>a.o.</w:t>
      </w:r>
      <w:proofErr w:type="spellEnd"/>
      <w:r w:rsidRPr="008C306B">
        <w:rPr>
          <w:i/>
        </w:rPr>
        <w:t xml:space="preserve"> </w:t>
      </w:r>
      <w:proofErr w:type="gramStart"/>
      <w:r w:rsidRPr="008C306B">
        <w:rPr>
          <w:i/>
        </w:rPr>
        <w:t>v</w:t>
      </w:r>
      <w:proofErr w:type="gramEnd"/>
      <w:r w:rsidRPr="008C306B">
        <w:rPr>
          <w:i/>
        </w:rPr>
        <w:t xml:space="preserve"> Commission</w:t>
      </w:r>
      <w:r>
        <w:t xml:space="preserve"> [2015] OJ C-245/30</w:t>
      </w:r>
    </w:p>
  </w:footnote>
  <w:footnote w:id="118">
    <w:p w14:paraId="601DE73B" w14:textId="6343C83E" w:rsidR="00437A75" w:rsidRPr="0041666D" w:rsidRDefault="00437A75">
      <w:pPr>
        <w:pStyle w:val="FootnoteText"/>
        <w:rPr>
          <w:lang w:val="en-US"/>
        </w:rPr>
      </w:pPr>
      <w:r>
        <w:rPr>
          <w:rStyle w:val="FootnoteReference"/>
        </w:rPr>
        <w:footnoteRef/>
      </w:r>
      <w:r>
        <w:t xml:space="preserve"> </w:t>
      </w:r>
      <w:r>
        <w:rPr>
          <w:lang w:val="en-US"/>
        </w:rPr>
        <w:t xml:space="preserve">FSA, </w:t>
      </w:r>
      <w:r>
        <w:rPr>
          <w:i/>
          <w:lang w:val="en-US"/>
        </w:rPr>
        <w:t>Internal Audit Report: A Review of the Extent of Awareness Within the FSA of Inappropriate LIBOR Submissions</w:t>
      </w:r>
      <w:r>
        <w:rPr>
          <w:lang w:val="en-US"/>
        </w:rPr>
        <w:t xml:space="preserve"> dated 2013, last accessed 5 May 2016, 80</w:t>
      </w:r>
    </w:p>
  </w:footnote>
  <w:footnote w:id="119">
    <w:p w14:paraId="2B641D6F" w14:textId="56C9BD78" w:rsidR="00437A75" w:rsidRPr="0041666D" w:rsidRDefault="00437A75">
      <w:pPr>
        <w:pStyle w:val="FootnoteText"/>
        <w:rPr>
          <w:lang w:val="en-US"/>
        </w:rPr>
      </w:pPr>
      <w:r>
        <w:rPr>
          <w:rStyle w:val="FootnoteReference"/>
        </w:rPr>
        <w:footnoteRef/>
      </w:r>
      <w:r>
        <w:t xml:space="preserve"> </w:t>
      </w:r>
      <w:r>
        <w:rPr>
          <w:lang w:val="en-US"/>
        </w:rPr>
        <w:t>Ibid. 80-81</w:t>
      </w:r>
    </w:p>
  </w:footnote>
  <w:footnote w:id="120">
    <w:p w14:paraId="54DBB7D9" w14:textId="1A529438" w:rsidR="00437A75" w:rsidRPr="0041666D" w:rsidRDefault="00437A75">
      <w:pPr>
        <w:pStyle w:val="FootnoteText"/>
        <w:rPr>
          <w:i/>
          <w:lang w:val="en-US"/>
        </w:rPr>
      </w:pPr>
      <w:r>
        <w:rPr>
          <w:rStyle w:val="FootnoteReference"/>
        </w:rPr>
        <w:footnoteRef/>
      </w:r>
      <w:r>
        <w:t xml:space="preserve"> </w:t>
      </w:r>
      <w:r>
        <w:rPr>
          <w:lang w:val="en-US"/>
        </w:rPr>
        <w:t xml:space="preserve">PJF </w:t>
      </w:r>
      <w:proofErr w:type="spellStart"/>
      <w:r>
        <w:rPr>
          <w:lang w:val="en-US"/>
        </w:rPr>
        <w:t>Huizing</w:t>
      </w:r>
      <w:proofErr w:type="spellEnd"/>
      <w:r>
        <w:rPr>
          <w:lang w:val="en-US"/>
        </w:rPr>
        <w:t xml:space="preserve">, </w:t>
      </w:r>
      <w:r>
        <w:rPr>
          <w:i/>
          <w:lang w:val="en-US"/>
        </w:rPr>
        <w:t>Parallel Enforcement of Rate Rigging: Lessons to be Learned from LIBOR</w:t>
      </w:r>
      <w:r>
        <w:rPr>
          <w:lang w:val="en-US"/>
        </w:rPr>
        <w:t xml:space="preserve"> (2015) 3 Journal of Antitrust Enforcement 173, 178</w:t>
      </w:r>
    </w:p>
  </w:footnote>
  <w:footnote w:id="121">
    <w:p w14:paraId="497CCA10" w14:textId="7F431112" w:rsidR="00437A75" w:rsidRPr="003154BA" w:rsidRDefault="00437A75">
      <w:pPr>
        <w:pStyle w:val="FootnoteText"/>
        <w:rPr>
          <w:lang w:val="en-US"/>
        </w:rPr>
      </w:pPr>
      <w:r>
        <w:rPr>
          <w:rStyle w:val="FootnoteReference"/>
        </w:rPr>
        <w:footnoteRef/>
      </w:r>
      <w:r>
        <w:t xml:space="preserve"> </w:t>
      </w:r>
      <w:r>
        <w:rPr>
          <w:i/>
        </w:rPr>
        <w:t>R v Tom Hayes</w:t>
      </w:r>
      <w:r>
        <w:t xml:space="preserve"> sentencing remarks of Mr Justice Cooke dated 3 August 2015 </w:t>
      </w:r>
      <w:hyperlink r:id="rId34" w:history="1">
        <w:r w:rsidRPr="00285598">
          <w:rPr>
            <w:rStyle w:val="Hyperlink"/>
          </w:rPr>
          <w:t>https://www.judiciary.gov.uk/wp-content/uploads/2015/08/r-v-tom-hayes-sentencing1.pdf</w:t>
        </w:r>
      </w:hyperlink>
      <w:r>
        <w:t xml:space="preserve"> last accessed 5 May 2016 paras 1 and 17</w:t>
      </w:r>
    </w:p>
  </w:footnote>
  <w:footnote w:id="122">
    <w:p w14:paraId="3FB9A8C7" w14:textId="110A1E08" w:rsidR="00437A75" w:rsidRPr="003154BA" w:rsidRDefault="00437A75">
      <w:pPr>
        <w:pStyle w:val="FootnoteText"/>
        <w:rPr>
          <w:lang w:val="en-US"/>
        </w:rPr>
      </w:pPr>
      <w:r>
        <w:rPr>
          <w:rStyle w:val="FootnoteReference"/>
        </w:rPr>
        <w:footnoteRef/>
      </w:r>
      <w:r>
        <w:t xml:space="preserve"> </w:t>
      </w:r>
      <w:r>
        <w:rPr>
          <w:i/>
        </w:rPr>
        <w:t>R v Tom Hayes</w:t>
      </w:r>
      <w:r>
        <w:t xml:space="preserve"> [2015] EWCA </w:t>
      </w:r>
      <w:proofErr w:type="spellStart"/>
      <w:r>
        <w:t>Crim</w:t>
      </w:r>
      <w:proofErr w:type="spellEnd"/>
      <w:r>
        <w:t xml:space="preserve"> 1944 paras 101-108</w:t>
      </w:r>
    </w:p>
  </w:footnote>
  <w:footnote w:id="123">
    <w:p w14:paraId="5C63E613" w14:textId="645E583F" w:rsidR="00437A75" w:rsidRPr="00A225FB" w:rsidRDefault="00437A75">
      <w:pPr>
        <w:pStyle w:val="FootnoteText"/>
        <w:rPr>
          <w:lang w:val="en-US"/>
        </w:rPr>
      </w:pPr>
      <w:r>
        <w:rPr>
          <w:rStyle w:val="FootnoteReference"/>
        </w:rPr>
        <w:footnoteRef/>
      </w:r>
      <w:r>
        <w:t xml:space="preserve"> </w:t>
      </w:r>
      <w:r>
        <w:rPr>
          <w:i/>
          <w:lang w:val="en-US"/>
        </w:rPr>
        <w:t>R v Peter Johnson and Others</w:t>
      </w:r>
      <w:r>
        <w:rPr>
          <w:lang w:val="en-US"/>
        </w:rPr>
        <w:t xml:space="preserve"> sentencing remarks of </w:t>
      </w:r>
      <w:proofErr w:type="spellStart"/>
      <w:r>
        <w:rPr>
          <w:lang w:val="en-US"/>
        </w:rPr>
        <w:t>Mr</w:t>
      </w:r>
      <w:proofErr w:type="spellEnd"/>
      <w:r>
        <w:rPr>
          <w:lang w:val="en-US"/>
        </w:rPr>
        <w:t xml:space="preserve"> Justice Leonard dated July 2016 </w:t>
      </w:r>
      <w:hyperlink r:id="rId35" w:history="1">
        <w:r w:rsidRPr="00285598">
          <w:rPr>
            <w:rStyle w:val="Hyperlink"/>
            <w:lang w:val="en-US"/>
          </w:rPr>
          <w:t>https://www.judiciary.gov.uk/wp-content/uploads/2016/07/r-v-johnson-and-others-sentencing.pdf</w:t>
        </w:r>
      </w:hyperlink>
      <w:r>
        <w:rPr>
          <w:lang w:val="en-US"/>
        </w:rPr>
        <w:t xml:space="preserve"> last accessed 24 August 2016</w:t>
      </w:r>
    </w:p>
  </w:footnote>
  <w:footnote w:id="124">
    <w:p w14:paraId="0F03BF1D" w14:textId="50D7864E" w:rsidR="00437A75" w:rsidRPr="00240D29" w:rsidRDefault="00437A75">
      <w:pPr>
        <w:pStyle w:val="FootnoteText"/>
        <w:rPr>
          <w:lang w:val="en-US"/>
        </w:rPr>
      </w:pPr>
      <w:r>
        <w:rPr>
          <w:rStyle w:val="FootnoteReference"/>
        </w:rPr>
        <w:footnoteRef/>
      </w:r>
      <w:r>
        <w:t xml:space="preserve"> </w:t>
      </w:r>
      <w:r>
        <w:rPr>
          <w:i/>
          <w:lang w:val="en-US"/>
        </w:rPr>
        <w:t xml:space="preserve">Deutsche Bank AG and others v </w:t>
      </w:r>
      <w:proofErr w:type="spellStart"/>
      <w:r>
        <w:rPr>
          <w:i/>
          <w:lang w:val="en-US"/>
        </w:rPr>
        <w:t>Unitech</w:t>
      </w:r>
      <w:proofErr w:type="spellEnd"/>
      <w:r>
        <w:rPr>
          <w:i/>
          <w:lang w:val="en-US"/>
        </w:rPr>
        <w:t xml:space="preserve"> Global Ltd. and another</w:t>
      </w:r>
      <w:r>
        <w:rPr>
          <w:lang w:val="en-US"/>
        </w:rPr>
        <w:t xml:space="preserve"> [2014] 2 All ER (</w:t>
      </w:r>
      <w:proofErr w:type="spellStart"/>
      <w:r>
        <w:rPr>
          <w:lang w:val="en-US"/>
        </w:rPr>
        <w:t>Comm</w:t>
      </w:r>
      <w:proofErr w:type="spellEnd"/>
      <w:r>
        <w:rPr>
          <w:lang w:val="en-US"/>
        </w:rPr>
        <w:t xml:space="preserve">) 268 (QB) and [2016] EWCA </w:t>
      </w:r>
      <w:proofErr w:type="spellStart"/>
      <w:r>
        <w:rPr>
          <w:lang w:val="en-US"/>
        </w:rPr>
        <w:t>Civ</w:t>
      </w:r>
      <w:proofErr w:type="spellEnd"/>
      <w:r>
        <w:rPr>
          <w:lang w:val="en-US"/>
        </w:rPr>
        <w:t xml:space="preserve"> 119 (CA)</w:t>
      </w:r>
    </w:p>
  </w:footnote>
  <w:footnote w:id="125">
    <w:p w14:paraId="7995E379" w14:textId="21B1574D" w:rsidR="00437A75" w:rsidRPr="00B57854" w:rsidRDefault="00437A75">
      <w:pPr>
        <w:pStyle w:val="FootnoteText"/>
        <w:rPr>
          <w:lang w:val="en-US"/>
        </w:rPr>
      </w:pPr>
      <w:r>
        <w:rPr>
          <w:rStyle w:val="FootnoteReference"/>
        </w:rPr>
        <w:footnoteRef/>
      </w:r>
      <w:r>
        <w:t xml:space="preserve"> </w:t>
      </w:r>
      <w:r>
        <w:rPr>
          <w:i/>
        </w:rPr>
        <w:t xml:space="preserve">Courage v </w:t>
      </w:r>
      <w:proofErr w:type="spellStart"/>
      <w:r>
        <w:rPr>
          <w:i/>
        </w:rPr>
        <w:t>Crehan</w:t>
      </w:r>
      <w:proofErr w:type="spellEnd"/>
      <w:r>
        <w:t xml:space="preserve"> [1999] ECC 455 (CA)</w:t>
      </w:r>
    </w:p>
  </w:footnote>
  <w:footnote w:id="126">
    <w:p w14:paraId="41B5D275" w14:textId="4EA82E6D" w:rsidR="00437A75" w:rsidRPr="003D33C1" w:rsidRDefault="00437A75" w:rsidP="003D33C1">
      <w:pPr>
        <w:pStyle w:val="FootnoteText"/>
        <w:rPr>
          <w:lang w:val="en-US"/>
        </w:rPr>
      </w:pPr>
      <w:r>
        <w:rPr>
          <w:rStyle w:val="FootnoteReference"/>
        </w:rPr>
        <w:footnoteRef/>
      </w:r>
      <w:r>
        <w:t xml:space="preserve"> </w:t>
      </w:r>
      <w:r>
        <w:rPr>
          <w:lang w:val="en-US"/>
        </w:rPr>
        <w:t>R Nicholls, J O’Brien, ‘Hanging Together or Hanging Separately: Is C</w:t>
      </w:r>
      <w:r w:rsidRPr="003D33C1">
        <w:rPr>
          <w:lang w:val="en-US"/>
        </w:rPr>
        <w:t>ompetition</w:t>
      </w:r>
      <w:r>
        <w:rPr>
          <w:lang w:val="en-US"/>
        </w:rPr>
        <w:t xml:space="preserve"> L</w:t>
      </w:r>
      <w:r w:rsidRPr="003D33C1">
        <w:rPr>
          <w:lang w:val="en-US"/>
        </w:rPr>
        <w:t>aw</w:t>
      </w:r>
      <w:r>
        <w:rPr>
          <w:lang w:val="en-US"/>
        </w:rPr>
        <w:t xml:space="preserve"> in the Process of Eclipsing Financial R</w:t>
      </w:r>
      <w:r w:rsidRPr="003D33C1">
        <w:rPr>
          <w:lang w:val="en-US"/>
        </w:rPr>
        <w:t>egulation?</w:t>
      </w:r>
      <w:r>
        <w:rPr>
          <w:lang w:val="en-US"/>
        </w:rPr>
        <w:t xml:space="preserve">’ (2014) 8 </w:t>
      </w:r>
      <w:r w:rsidRPr="003D33C1">
        <w:rPr>
          <w:lang w:val="en-US"/>
        </w:rPr>
        <w:t>Law and</w:t>
      </w:r>
      <w:r>
        <w:rPr>
          <w:lang w:val="en-US"/>
        </w:rPr>
        <w:t xml:space="preserve"> </w:t>
      </w:r>
      <w:r w:rsidRPr="003D33C1">
        <w:rPr>
          <w:lang w:val="en-US"/>
        </w:rPr>
        <w:t>Financial Markets Review</w:t>
      </w:r>
      <w:r>
        <w:rPr>
          <w:lang w:val="en-US"/>
        </w:rPr>
        <w:t xml:space="preserve"> 178</w:t>
      </w:r>
    </w:p>
  </w:footnote>
  <w:footnote w:id="127">
    <w:p w14:paraId="47B3B6E5" w14:textId="60A72FF4" w:rsidR="00437A75" w:rsidRPr="00DE6746" w:rsidRDefault="00437A75">
      <w:pPr>
        <w:pStyle w:val="FootnoteText"/>
        <w:rPr>
          <w:lang w:val="en-US"/>
        </w:rPr>
      </w:pPr>
      <w:r>
        <w:rPr>
          <w:rStyle w:val="FootnoteReference"/>
        </w:rPr>
        <w:footnoteRef/>
      </w:r>
      <w:r>
        <w:t xml:space="preserve"> </w:t>
      </w:r>
      <w:r>
        <w:rPr>
          <w:lang w:val="en-US"/>
        </w:rPr>
        <w:t xml:space="preserve">Independent Commission on Banking, </w:t>
      </w:r>
      <w:r>
        <w:rPr>
          <w:i/>
          <w:lang w:val="en-US"/>
        </w:rPr>
        <w:t>Final Report: Recommendations</w:t>
      </w:r>
      <w:r>
        <w:rPr>
          <w:lang w:val="en-US"/>
        </w:rPr>
        <w:t xml:space="preserve"> dated September 2011 </w:t>
      </w:r>
      <w:hyperlink r:id="rId36" w:history="1">
        <w:r w:rsidRPr="00285598">
          <w:rPr>
            <w:rStyle w:val="Hyperlink"/>
            <w:lang w:val="en-US"/>
          </w:rPr>
          <w:t>http://webarchive.nationalarchives.gov.uk/20131003105424/https:/hmt-sanctions.s3.amazonaws.com/ICB%20final%20report/ICB%2520Final%2520Report[1].pdf</w:t>
        </w:r>
      </w:hyperlink>
      <w:r>
        <w:rPr>
          <w:lang w:val="en-US"/>
        </w:rPr>
        <w:t xml:space="preserve"> last accessed 24 August 2016</w:t>
      </w:r>
    </w:p>
  </w:footnote>
  <w:footnote w:id="128">
    <w:p w14:paraId="6DD70810" w14:textId="43D5A8C5" w:rsidR="00437A75" w:rsidRPr="00FE22E1" w:rsidRDefault="00437A75" w:rsidP="00846BCC">
      <w:pPr>
        <w:pStyle w:val="FootnoteText"/>
        <w:rPr>
          <w:lang w:val="en-US"/>
        </w:rPr>
      </w:pPr>
      <w:r>
        <w:rPr>
          <w:rStyle w:val="FootnoteReference"/>
        </w:rPr>
        <w:footnoteRef/>
      </w:r>
      <w:r>
        <w:t xml:space="preserve"> FSMA2000 s 1B(1)</w:t>
      </w:r>
    </w:p>
  </w:footnote>
  <w:footnote w:id="129">
    <w:p w14:paraId="1D71AC9B" w14:textId="2B1F6D65" w:rsidR="00437A75" w:rsidRPr="00846BCC" w:rsidRDefault="00437A75">
      <w:pPr>
        <w:pStyle w:val="FootnoteText"/>
        <w:rPr>
          <w:lang w:val="en-US"/>
        </w:rPr>
      </w:pPr>
      <w:r>
        <w:rPr>
          <w:rStyle w:val="FootnoteReference"/>
        </w:rPr>
        <w:footnoteRef/>
      </w:r>
      <w:r>
        <w:t xml:space="preserve"> FSMA2000 s 1B(2)</w:t>
      </w:r>
    </w:p>
  </w:footnote>
  <w:footnote w:id="130">
    <w:p w14:paraId="4A5B823C" w14:textId="09F2E73E" w:rsidR="00437A75" w:rsidRPr="00846BCC" w:rsidRDefault="00437A75">
      <w:pPr>
        <w:pStyle w:val="FootnoteText"/>
        <w:rPr>
          <w:lang w:val="en-US"/>
        </w:rPr>
      </w:pPr>
      <w:r>
        <w:rPr>
          <w:rStyle w:val="FootnoteReference"/>
        </w:rPr>
        <w:footnoteRef/>
      </w:r>
      <w:r>
        <w:t xml:space="preserve"> FSMA2000 s 1B(3)</w:t>
      </w:r>
    </w:p>
  </w:footnote>
  <w:footnote w:id="131">
    <w:p w14:paraId="2C7D4530" w14:textId="4D0B8722" w:rsidR="00437A75" w:rsidRPr="00846BCC" w:rsidRDefault="00437A75">
      <w:pPr>
        <w:pStyle w:val="FootnoteText"/>
        <w:rPr>
          <w:lang w:val="en-US"/>
        </w:rPr>
      </w:pPr>
      <w:r>
        <w:rPr>
          <w:rStyle w:val="FootnoteReference"/>
        </w:rPr>
        <w:footnoteRef/>
      </w:r>
      <w:r>
        <w:t xml:space="preserve"> FSMA2000 s 1B(4)</w:t>
      </w:r>
    </w:p>
  </w:footnote>
  <w:footnote w:id="132">
    <w:p w14:paraId="6D10A90B" w14:textId="6E95FC2E" w:rsidR="00437A75" w:rsidRPr="00464592" w:rsidRDefault="00437A75" w:rsidP="00FE22E1">
      <w:pPr>
        <w:pStyle w:val="FootnoteText"/>
      </w:pPr>
      <w:r>
        <w:rPr>
          <w:rStyle w:val="FootnoteReference"/>
        </w:rPr>
        <w:footnoteRef/>
      </w:r>
      <w:r>
        <w:t xml:space="preserve"> For analysis see </w:t>
      </w:r>
      <w:r w:rsidRPr="00464592">
        <w:rPr>
          <w:bCs/>
        </w:rPr>
        <w:t xml:space="preserve">D Jones, M </w:t>
      </w:r>
      <w:proofErr w:type="spellStart"/>
      <w:r w:rsidRPr="00464592">
        <w:rPr>
          <w:bCs/>
        </w:rPr>
        <w:t>Bethell</w:t>
      </w:r>
      <w:proofErr w:type="spellEnd"/>
      <w:r>
        <w:rPr>
          <w:bCs/>
        </w:rPr>
        <w:t>,</w:t>
      </w:r>
      <w:r w:rsidRPr="00464592">
        <w:rPr>
          <w:bCs/>
        </w:rPr>
        <w:t xml:space="preserve"> I Cameron</w:t>
      </w:r>
      <w:r>
        <w:rPr>
          <w:bCs/>
        </w:rPr>
        <w:t>,</w:t>
      </w:r>
      <w:r w:rsidRPr="00464592">
        <w:rPr>
          <w:b/>
          <w:bCs/>
        </w:rPr>
        <w:t xml:space="preserve"> </w:t>
      </w:r>
      <w:r>
        <w:rPr>
          <w:b/>
          <w:bCs/>
        </w:rPr>
        <w:t>‘</w:t>
      </w:r>
      <w:r w:rsidRPr="00464592">
        <w:rPr>
          <w:bCs/>
        </w:rPr>
        <w:t>Competition at the Financial Conduct Authority</w:t>
      </w:r>
      <w:r>
        <w:rPr>
          <w:bCs/>
        </w:rPr>
        <w:t>’ [2015] Comp Law 179</w:t>
      </w:r>
    </w:p>
  </w:footnote>
  <w:footnote w:id="133">
    <w:p w14:paraId="7F80F855" w14:textId="4B866102" w:rsidR="00437A75" w:rsidRPr="00BD1F9A" w:rsidRDefault="00437A75" w:rsidP="00BD1F9A">
      <w:pPr>
        <w:pStyle w:val="FootnoteText"/>
        <w:rPr>
          <w:lang w:val="en-US"/>
        </w:rPr>
      </w:pPr>
      <w:r>
        <w:rPr>
          <w:rStyle w:val="FootnoteReference"/>
        </w:rPr>
        <w:footnoteRef/>
      </w:r>
      <w:r>
        <w:t xml:space="preserve"> FSA Final Notice to Barclays Bank Plc. Reference Number 122702 dated 27 June 2012 </w:t>
      </w:r>
      <w:hyperlink r:id="rId37" w:history="1">
        <w:r w:rsidRPr="00285598">
          <w:rPr>
            <w:rStyle w:val="Hyperlink"/>
          </w:rPr>
          <w:t>http://www.fsa.gov.uk/static/pubs/final/barclays-jun12.pdf</w:t>
        </w:r>
      </w:hyperlink>
      <w:r>
        <w:t xml:space="preserve"> last accessed FSA Final Notice to UBS AG Reference Number 186958 dated 19 December 2012 </w:t>
      </w:r>
      <w:hyperlink r:id="rId38" w:history="1">
        <w:r w:rsidRPr="00285598">
          <w:rPr>
            <w:rStyle w:val="Hyperlink"/>
          </w:rPr>
          <w:t>http://www.fca.org.uk/static/documents/final-notices/ubs.pdf</w:t>
        </w:r>
      </w:hyperlink>
      <w:r>
        <w:t xml:space="preserve"> last accessed 26 August 2016; FSA Final Notice to The Royal Bank of Scotland Plc. Reference Number 121882 dated 6 February 2013 </w:t>
      </w:r>
      <w:hyperlink r:id="rId39" w:history="1">
        <w:r w:rsidRPr="00285598">
          <w:rPr>
            <w:rStyle w:val="Hyperlink"/>
          </w:rPr>
          <w:t>https://www.fca.org.uk/static/fca/documents/final-notices/rbs.pdf</w:t>
        </w:r>
      </w:hyperlink>
      <w:r>
        <w:t xml:space="preserve"> last accessed 26 August 2016; FCA Final Notice to</w:t>
      </w:r>
      <w:r>
        <w:rPr>
          <w:lang w:val="en-US"/>
        </w:rPr>
        <w:t xml:space="preserve"> </w:t>
      </w:r>
      <w:proofErr w:type="spellStart"/>
      <w:r>
        <w:rPr>
          <w:bCs/>
          <w:lang w:val="en-US"/>
        </w:rPr>
        <w:t>Coöperatieve</w:t>
      </w:r>
      <w:proofErr w:type="spellEnd"/>
      <w:r>
        <w:rPr>
          <w:bCs/>
          <w:lang w:val="en-US"/>
        </w:rPr>
        <w:t xml:space="preserve"> </w:t>
      </w:r>
      <w:proofErr w:type="spellStart"/>
      <w:r>
        <w:rPr>
          <w:bCs/>
          <w:lang w:val="en-US"/>
        </w:rPr>
        <w:t>Centrale</w:t>
      </w:r>
      <w:proofErr w:type="spellEnd"/>
      <w:r>
        <w:rPr>
          <w:bCs/>
          <w:lang w:val="en-US"/>
        </w:rPr>
        <w:t xml:space="preserve"> </w:t>
      </w:r>
      <w:proofErr w:type="spellStart"/>
      <w:r>
        <w:rPr>
          <w:bCs/>
          <w:lang w:val="en-US"/>
        </w:rPr>
        <w:t>Raiffeisen-Boerenleenbank</w:t>
      </w:r>
      <w:proofErr w:type="spellEnd"/>
      <w:r>
        <w:rPr>
          <w:bCs/>
          <w:lang w:val="en-US"/>
        </w:rPr>
        <w:t xml:space="preserve"> B.A. (</w:t>
      </w:r>
      <w:proofErr w:type="spellStart"/>
      <w:r>
        <w:rPr>
          <w:bCs/>
          <w:lang w:val="en-US"/>
        </w:rPr>
        <w:t>Rabobank</w:t>
      </w:r>
      <w:proofErr w:type="spellEnd"/>
      <w:r>
        <w:rPr>
          <w:bCs/>
          <w:lang w:val="en-US"/>
        </w:rPr>
        <w:t xml:space="preserve">) Reference Number 171596 dated 29 October 2013 </w:t>
      </w:r>
      <w:hyperlink r:id="rId40" w:history="1">
        <w:r w:rsidRPr="00285598">
          <w:rPr>
            <w:rStyle w:val="Hyperlink"/>
            <w:bCs/>
            <w:lang w:val="en-US"/>
          </w:rPr>
          <w:t>https://www.fca.org.uk/static/documents/final-notices/rabobank.pdf</w:t>
        </w:r>
      </w:hyperlink>
      <w:r>
        <w:rPr>
          <w:bCs/>
          <w:lang w:val="en-US"/>
        </w:rPr>
        <w:t xml:space="preserve"> last accessed 26 August 2016;</w:t>
      </w:r>
      <w:r w:rsidRPr="00BD1F9A">
        <w:t xml:space="preserve"> </w:t>
      </w:r>
      <w:r>
        <w:t xml:space="preserve">FCA Final Notice to Lloyds Bank Plc. and Royal Bank of Scotland Plc. Reference Numbers </w:t>
      </w:r>
      <w:r w:rsidRPr="00464592">
        <w:rPr>
          <w:lang w:val="en-US"/>
        </w:rPr>
        <w:t>119278 and 169628</w:t>
      </w:r>
      <w:r>
        <w:rPr>
          <w:lang w:val="en-US"/>
        </w:rPr>
        <w:t xml:space="preserve"> dated 28 July 2014 </w:t>
      </w:r>
      <w:hyperlink r:id="rId41" w:history="1">
        <w:r w:rsidRPr="00285598">
          <w:rPr>
            <w:rStyle w:val="Hyperlink"/>
            <w:lang w:val="en-US"/>
          </w:rPr>
          <w:t>https://www.fca.org.uk/static/documents/final-notices/lloyds-bank-of-scotland.pdf</w:t>
        </w:r>
      </w:hyperlink>
      <w:r>
        <w:rPr>
          <w:lang w:val="en-US"/>
        </w:rPr>
        <w:t xml:space="preserve"> last accessed 26 August 2016; FCA Final Notice to Deutsche Bank AG Reference Number 150018 dated 23 April 2015 </w:t>
      </w:r>
      <w:hyperlink r:id="rId42" w:history="1">
        <w:r w:rsidRPr="00285598">
          <w:rPr>
            <w:rStyle w:val="Hyperlink"/>
            <w:lang w:val="en-US"/>
          </w:rPr>
          <w:t>https://www.fca.org.uk/static/documents/final-notices/deutsche-bank-ag-2015.pdf</w:t>
        </w:r>
      </w:hyperlink>
      <w:r>
        <w:rPr>
          <w:lang w:val="en-US"/>
        </w:rPr>
        <w:t xml:space="preserve"> last accessed 26 August 2016</w:t>
      </w:r>
    </w:p>
  </w:footnote>
  <w:footnote w:id="134">
    <w:p w14:paraId="53266519" w14:textId="35CFC8C6" w:rsidR="00437A75" w:rsidRPr="00FE22E1" w:rsidRDefault="00437A75" w:rsidP="00BD1F9A">
      <w:pPr>
        <w:pStyle w:val="FootnoteText"/>
        <w:rPr>
          <w:lang w:val="en-US"/>
        </w:rPr>
      </w:pPr>
      <w:r>
        <w:rPr>
          <w:rStyle w:val="FootnoteReference"/>
        </w:rPr>
        <w:footnoteRef/>
      </w:r>
      <w:r>
        <w:t xml:space="preserve"> FCA Final Notice to Paul Robson, Reference Number PXR01202 dated 27 February 2015 </w:t>
      </w:r>
      <w:hyperlink r:id="rId43" w:history="1">
        <w:r w:rsidRPr="00285598">
          <w:rPr>
            <w:rStyle w:val="Hyperlink"/>
          </w:rPr>
          <w:t>http://www.fca.org.uk/static/documents/final-notices/paul-robson.pdf</w:t>
        </w:r>
      </w:hyperlink>
      <w:r>
        <w:t xml:space="preserve"> last accessed 26 August 2016; FCA Final Notice to Lee Bruce Stewart Reference Number LBS01002 dated 21 July 2015 </w:t>
      </w:r>
      <w:hyperlink r:id="rId44" w:history="1">
        <w:r w:rsidRPr="00285598">
          <w:rPr>
            <w:rStyle w:val="Hyperlink"/>
          </w:rPr>
          <w:t>http://www.fca.org.uk/static/documents/final-notices/lee-bruce-stewart.pdf</w:t>
        </w:r>
      </w:hyperlink>
      <w:r>
        <w:t xml:space="preserve"> last accessed 26 August 2016; FCA Final Notice to </w:t>
      </w:r>
      <w:proofErr w:type="spellStart"/>
      <w:r>
        <w:t>Arif</w:t>
      </w:r>
      <w:proofErr w:type="spellEnd"/>
      <w:r>
        <w:t xml:space="preserve"> Hussein Reference Number AXH01348</w:t>
      </w:r>
      <w:r>
        <w:rPr>
          <w:lang w:val="en-US"/>
        </w:rPr>
        <w:t xml:space="preserve"> dated 22 January 2016 </w:t>
      </w:r>
      <w:hyperlink r:id="rId45" w:history="1">
        <w:r w:rsidRPr="00285598">
          <w:rPr>
            <w:rStyle w:val="Hyperlink"/>
            <w:lang w:val="en-US"/>
          </w:rPr>
          <w:t>https://www.fca.org.uk/static/documents/decision-notices/arif-hussein.pdf</w:t>
        </w:r>
      </w:hyperlink>
      <w:r>
        <w:rPr>
          <w:lang w:val="en-US"/>
        </w:rPr>
        <w:t xml:space="preserve"> last accessed 26 August 2016; FCA Final Notice to Michael Ross </w:t>
      </w:r>
      <w:proofErr w:type="spellStart"/>
      <w:r>
        <w:rPr>
          <w:lang w:val="en-US"/>
        </w:rPr>
        <w:t>Curtler</w:t>
      </w:r>
      <w:proofErr w:type="spellEnd"/>
      <w:r>
        <w:rPr>
          <w:lang w:val="en-US"/>
        </w:rPr>
        <w:t xml:space="preserve"> Reference Number MRC01098 dated 29 February 2016 </w:t>
      </w:r>
      <w:hyperlink r:id="rId46" w:history="1">
        <w:r w:rsidRPr="00285598">
          <w:rPr>
            <w:rStyle w:val="Hyperlink"/>
            <w:lang w:val="en-US"/>
          </w:rPr>
          <w:t>http://www.fca.org.uk/static/documents/final-notices/michael-ross-curtler.pdf</w:t>
        </w:r>
      </w:hyperlink>
      <w:r>
        <w:rPr>
          <w:lang w:val="en-US"/>
        </w:rPr>
        <w:t xml:space="preserve"> last accessed 26 August 2016; </w:t>
      </w:r>
      <w:r>
        <w:t xml:space="preserve">FCA Final Notice to Paul White, Reference Number </w:t>
      </w:r>
      <w:r w:rsidRPr="00BD1F9A">
        <w:rPr>
          <w:lang w:val="en-US"/>
        </w:rPr>
        <w:t xml:space="preserve">PMW01135 </w:t>
      </w:r>
      <w:r>
        <w:rPr>
          <w:lang w:val="en-US"/>
        </w:rPr>
        <w:t xml:space="preserve">dated 8 April 2016, </w:t>
      </w:r>
      <w:hyperlink r:id="rId47" w:history="1">
        <w:r w:rsidRPr="00285598">
          <w:rPr>
            <w:rStyle w:val="Hyperlink"/>
            <w:lang w:val="en-US"/>
          </w:rPr>
          <w:t>https://www.fca.org.uk/static/documents/final-notices/paul-white.pdf</w:t>
        </w:r>
      </w:hyperlink>
      <w:r>
        <w:rPr>
          <w:lang w:val="en-US"/>
        </w:rPr>
        <w:t xml:space="preserve"> last accessed 26 August 2016; </w:t>
      </w:r>
      <w:r>
        <w:t xml:space="preserve">FCA Final Notice to Peter Charles Johnson Reference Number </w:t>
      </w:r>
      <w:r w:rsidRPr="00516C97">
        <w:rPr>
          <w:lang w:val="en-US"/>
        </w:rPr>
        <w:t>PCJ01019</w:t>
      </w:r>
      <w:r>
        <w:rPr>
          <w:lang w:val="en-US"/>
        </w:rPr>
        <w:t xml:space="preserve"> dated 26 August 2016 </w:t>
      </w:r>
      <w:hyperlink r:id="rId48" w:history="1">
        <w:r w:rsidRPr="00285598">
          <w:rPr>
            <w:rStyle w:val="Hyperlink"/>
            <w:lang w:val="en-US"/>
          </w:rPr>
          <w:t>http://www.fca.org.uk/static/documents/final-notices/peter-johnson.pdf</w:t>
        </w:r>
      </w:hyperlink>
      <w:r>
        <w:rPr>
          <w:lang w:val="en-US"/>
        </w:rPr>
        <w:t xml:space="preserve"> last accessed 28 August 2016</w:t>
      </w:r>
    </w:p>
  </w:footnote>
  <w:footnote w:id="135">
    <w:p w14:paraId="16EB771D" w14:textId="71C0AE7B" w:rsidR="00437A75" w:rsidRPr="00FE22E1" w:rsidRDefault="00437A75">
      <w:pPr>
        <w:pStyle w:val="FootnoteText"/>
        <w:rPr>
          <w:lang w:val="en-US"/>
        </w:rPr>
      </w:pPr>
      <w:r>
        <w:rPr>
          <w:rStyle w:val="FootnoteReference"/>
        </w:rPr>
        <w:footnoteRef/>
      </w:r>
      <w:r>
        <w:t xml:space="preserve"> FCA Final Notice to</w:t>
      </w:r>
      <w:r>
        <w:rPr>
          <w:lang w:val="en-US"/>
        </w:rPr>
        <w:t xml:space="preserve"> </w:t>
      </w:r>
      <w:r>
        <w:rPr>
          <w:bCs/>
          <w:lang w:val="en-US"/>
        </w:rPr>
        <w:t xml:space="preserve">ICAP Europe Ltd. Reference Number 188984 dated 25 September 2013 </w:t>
      </w:r>
      <w:hyperlink r:id="rId49" w:history="1">
        <w:r w:rsidRPr="00285598">
          <w:rPr>
            <w:rStyle w:val="Hyperlink"/>
            <w:bCs/>
            <w:lang w:val="en-US"/>
          </w:rPr>
          <w:t>http://www.fca.org.uk/static/documents/final-notices/icap-europe-limited.pdf</w:t>
        </w:r>
      </w:hyperlink>
      <w:r>
        <w:rPr>
          <w:bCs/>
          <w:lang w:val="en-US"/>
        </w:rPr>
        <w:t xml:space="preserve"> last accessed 26 August 2016; </w:t>
      </w:r>
      <w:r>
        <w:t>FCA Final Notice to</w:t>
      </w:r>
      <w:r>
        <w:rPr>
          <w:lang w:val="en-US"/>
        </w:rPr>
        <w:t xml:space="preserve"> </w:t>
      </w:r>
      <w:r>
        <w:rPr>
          <w:bCs/>
          <w:lang w:val="en-US"/>
        </w:rPr>
        <w:t xml:space="preserve">Martins Brokers (UK) Ltd. Reference Number 187916 dated 15 May 2014 </w:t>
      </w:r>
      <w:hyperlink r:id="rId50" w:history="1">
        <w:r w:rsidRPr="00285598">
          <w:rPr>
            <w:rStyle w:val="Hyperlink"/>
            <w:bCs/>
            <w:lang w:val="en-US"/>
          </w:rPr>
          <w:t>http://www.fca.org.uk/static/documents/final-notices/martin-brokers-uk-ltd.pdf</w:t>
        </w:r>
      </w:hyperlink>
      <w:r>
        <w:rPr>
          <w:bCs/>
          <w:lang w:val="en-US"/>
        </w:rPr>
        <w:t xml:space="preserve"> last accessed 26 August 2016; FCA Final Notice to David </w:t>
      </w:r>
      <w:proofErr w:type="spellStart"/>
      <w:r>
        <w:rPr>
          <w:bCs/>
          <w:lang w:val="en-US"/>
        </w:rPr>
        <w:t>Caplin</w:t>
      </w:r>
      <w:proofErr w:type="spellEnd"/>
      <w:r>
        <w:rPr>
          <w:bCs/>
          <w:lang w:val="en-US"/>
        </w:rPr>
        <w:t xml:space="preserve"> Reference Number DSC01046 dated 22 January 2015 </w:t>
      </w:r>
      <w:hyperlink r:id="rId51" w:history="1">
        <w:r w:rsidRPr="00285598">
          <w:rPr>
            <w:rStyle w:val="Hyperlink"/>
            <w:bCs/>
            <w:lang w:val="en-US"/>
          </w:rPr>
          <w:t>http://www.fca.org.uk/static/documents/final-notices/david-caplin.pdf</w:t>
        </w:r>
      </w:hyperlink>
      <w:r>
        <w:rPr>
          <w:bCs/>
          <w:lang w:val="en-US"/>
        </w:rPr>
        <w:t xml:space="preserve"> last accessed 26 August 2016; FCA Final Notice to Jeremy Kraft Reference Number JDK01054 dated 22 January 2015 </w:t>
      </w:r>
      <w:hyperlink r:id="rId52" w:history="1">
        <w:r w:rsidRPr="00285598">
          <w:rPr>
            <w:rStyle w:val="Hyperlink"/>
            <w:bCs/>
            <w:lang w:val="en-US"/>
          </w:rPr>
          <w:t>http://www.fca.org.uk/static/documents/final-notices/jeremy-kraft.pdf</w:t>
        </w:r>
      </w:hyperlink>
      <w:r>
        <w:rPr>
          <w:bCs/>
          <w:lang w:val="en-US"/>
        </w:rPr>
        <w:t xml:space="preserve"> last accessed 26 August 2016</w:t>
      </w:r>
    </w:p>
  </w:footnote>
  <w:footnote w:id="136">
    <w:p w14:paraId="54BCB9A1" w14:textId="48D10A2B" w:rsidR="00437A75" w:rsidRPr="006C50E4" w:rsidRDefault="00437A75">
      <w:pPr>
        <w:pStyle w:val="FootnoteText"/>
        <w:rPr>
          <w:lang w:val="en-US"/>
        </w:rPr>
      </w:pPr>
      <w:r>
        <w:rPr>
          <w:rStyle w:val="FootnoteReference"/>
        </w:rPr>
        <w:footnoteRef/>
      </w:r>
      <w:r>
        <w:t xml:space="preserve"> </w:t>
      </w:r>
      <w:proofErr w:type="spellStart"/>
      <w:r>
        <w:t>Huizing</w:t>
      </w:r>
      <w:proofErr w:type="spellEnd"/>
      <w:r>
        <w:t xml:space="preserve"> (n 120) 191-200</w:t>
      </w:r>
    </w:p>
  </w:footnote>
  <w:footnote w:id="137">
    <w:p w14:paraId="4BB16F39" w14:textId="0C242680" w:rsidR="00437A75" w:rsidRPr="006C42BD" w:rsidRDefault="00437A75">
      <w:pPr>
        <w:pStyle w:val="FootnoteText"/>
        <w:rPr>
          <w:lang w:val="en-US"/>
        </w:rPr>
      </w:pPr>
      <w:r>
        <w:rPr>
          <w:rStyle w:val="FootnoteReference"/>
        </w:rPr>
        <w:footnoteRef/>
      </w:r>
      <w:r>
        <w:t xml:space="preserve"> </w:t>
      </w:r>
      <w:r>
        <w:rPr>
          <w:lang w:val="en-US"/>
        </w:rPr>
        <w:t>N Green, A Robertson (</w:t>
      </w:r>
      <w:proofErr w:type="spellStart"/>
      <w:r>
        <w:rPr>
          <w:lang w:val="en-US"/>
        </w:rPr>
        <w:t>Eds</w:t>
      </w:r>
      <w:proofErr w:type="spellEnd"/>
      <w:r>
        <w:rPr>
          <w:lang w:val="en-US"/>
        </w:rPr>
        <w:t xml:space="preserve">), </w:t>
      </w:r>
      <w:r>
        <w:rPr>
          <w:i/>
          <w:lang w:val="en-US"/>
        </w:rPr>
        <w:t xml:space="preserve">The </w:t>
      </w:r>
      <w:proofErr w:type="spellStart"/>
      <w:r>
        <w:rPr>
          <w:i/>
          <w:lang w:val="en-US"/>
        </w:rPr>
        <w:t>Europeanisation</w:t>
      </w:r>
      <w:proofErr w:type="spellEnd"/>
      <w:r>
        <w:rPr>
          <w:i/>
          <w:lang w:val="en-US"/>
        </w:rPr>
        <w:t xml:space="preserve"> of UK Competition Law</w:t>
      </w:r>
      <w:r>
        <w:rPr>
          <w:lang w:val="en-US"/>
        </w:rPr>
        <w:t xml:space="preserve"> (Hart Publishing, Oxford 1999) 1</w:t>
      </w:r>
    </w:p>
  </w:footnote>
  <w:footnote w:id="138">
    <w:p w14:paraId="2580A110" w14:textId="403CEF80" w:rsidR="00437A75" w:rsidRPr="004A7CE6" w:rsidRDefault="00437A75" w:rsidP="004A7CE6">
      <w:pPr>
        <w:pStyle w:val="FootnoteText"/>
        <w:rPr>
          <w:lang w:val="en-US"/>
        </w:rPr>
      </w:pPr>
      <w:r>
        <w:rPr>
          <w:rStyle w:val="FootnoteReference"/>
        </w:rPr>
        <w:footnoteRef/>
      </w:r>
      <w:r>
        <w:t xml:space="preserve"> </w:t>
      </w:r>
      <w:r>
        <w:rPr>
          <w:lang w:val="en-US"/>
        </w:rPr>
        <w:t xml:space="preserve">A </w:t>
      </w:r>
      <w:proofErr w:type="spellStart"/>
      <w:r>
        <w:rPr>
          <w:lang w:val="en-US"/>
        </w:rPr>
        <w:t>MacCullough</w:t>
      </w:r>
      <w:proofErr w:type="spellEnd"/>
      <w:r>
        <w:rPr>
          <w:lang w:val="en-US"/>
        </w:rPr>
        <w:t>, ‘</w:t>
      </w:r>
      <w:r w:rsidRPr="004A7CE6">
        <w:rPr>
          <w:lang w:val="en-US"/>
        </w:rPr>
        <w:t>The Cartel Offence: Defining an Appropriate</w:t>
      </w:r>
      <w:r>
        <w:rPr>
          <w:lang w:val="en-US"/>
        </w:rPr>
        <w:t xml:space="preserve"> </w:t>
      </w:r>
      <w:r w:rsidRPr="004A7CE6">
        <w:rPr>
          <w:lang w:val="en-US"/>
        </w:rPr>
        <w:t>“Moral Space”</w:t>
      </w:r>
      <w:r>
        <w:rPr>
          <w:lang w:val="en-US"/>
        </w:rPr>
        <w:t>’ (2012) 8 European Competition Journal 73</w:t>
      </w:r>
    </w:p>
  </w:footnote>
  <w:footnote w:id="139">
    <w:p w14:paraId="366592B1" w14:textId="75DDF743" w:rsidR="00437A75" w:rsidRPr="00440B5D" w:rsidRDefault="00437A75">
      <w:pPr>
        <w:pStyle w:val="FootnoteText"/>
        <w:rPr>
          <w:lang w:val="en-US"/>
        </w:rPr>
      </w:pPr>
      <w:r>
        <w:rPr>
          <w:rStyle w:val="FootnoteReference"/>
        </w:rPr>
        <w:footnoteRef/>
      </w:r>
      <w:r>
        <w:t xml:space="preserve"> </w:t>
      </w:r>
      <w:r>
        <w:rPr>
          <w:i/>
          <w:lang w:val="en-US"/>
        </w:rPr>
        <w:t xml:space="preserve">R v </w:t>
      </w:r>
      <w:proofErr w:type="spellStart"/>
      <w:r>
        <w:rPr>
          <w:i/>
          <w:lang w:val="en-US"/>
        </w:rPr>
        <w:t>Ghosh</w:t>
      </w:r>
      <w:proofErr w:type="spellEnd"/>
      <w:r>
        <w:rPr>
          <w:lang w:val="en-US"/>
        </w:rPr>
        <w:t xml:space="preserve"> [1982] QB 1053</w:t>
      </w:r>
    </w:p>
  </w:footnote>
  <w:footnote w:id="140">
    <w:p w14:paraId="3C4559B4" w14:textId="29739BAC" w:rsidR="00437A75" w:rsidRPr="00827C93" w:rsidRDefault="00437A75">
      <w:pPr>
        <w:pStyle w:val="FootnoteText"/>
        <w:rPr>
          <w:lang w:val="en-US"/>
        </w:rPr>
      </w:pPr>
      <w:r>
        <w:rPr>
          <w:rStyle w:val="FootnoteReference"/>
        </w:rPr>
        <w:footnoteRef/>
      </w:r>
      <w:r>
        <w:t xml:space="preserve"> </w:t>
      </w:r>
      <w:r>
        <w:rPr>
          <w:i/>
        </w:rPr>
        <w:t>R v Whittle and others</w:t>
      </w:r>
      <w:r>
        <w:t xml:space="preserve"> [2008] EWCA </w:t>
      </w:r>
      <w:proofErr w:type="spellStart"/>
      <w:r>
        <w:t>Crim</w:t>
      </w:r>
      <w:proofErr w:type="spellEnd"/>
      <w:r>
        <w:t xml:space="preserve"> 2560</w:t>
      </w:r>
    </w:p>
  </w:footnote>
  <w:footnote w:id="141">
    <w:p w14:paraId="73EAF041" w14:textId="42477640" w:rsidR="00437A75" w:rsidRPr="00604C8C" w:rsidRDefault="00437A75">
      <w:pPr>
        <w:pStyle w:val="FootnoteText"/>
        <w:rPr>
          <w:lang w:val="en-US"/>
        </w:rPr>
      </w:pPr>
      <w:r>
        <w:rPr>
          <w:rStyle w:val="FootnoteReference"/>
        </w:rPr>
        <w:footnoteRef/>
      </w:r>
      <w:r>
        <w:t xml:space="preserve"> </w:t>
      </w:r>
      <w:r>
        <w:rPr>
          <w:i/>
        </w:rPr>
        <w:t>R v Burns and others</w:t>
      </w:r>
      <w:r>
        <w:t>, Unreported Judgment, Southwark Crown Court dated 10 May 2010</w:t>
      </w:r>
    </w:p>
  </w:footnote>
  <w:footnote w:id="142">
    <w:p w14:paraId="039920EB" w14:textId="7EC88D9B" w:rsidR="00437A75" w:rsidRPr="00015B37" w:rsidRDefault="00437A75">
      <w:pPr>
        <w:pStyle w:val="FootnoteText"/>
        <w:rPr>
          <w:lang w:val="en-US"/>
        </w:rPr>
      </w:pPr>
      <w:r>
        <w:rPr>
          <w:rStyle w:val="FootnoteReference"/>
        </w:rPr>
        <w:footnoteRef/>
      </w:r>
      <w:r>
        <w:t xml:space="preserve"> See CMA9, </w:t>
      </w:r>
      <w:r>
        <w:rPr>
          <w:i/>
        </w:rPr>
        <w:t>Cartel Offence Prosecution Guidance</w:t>
      </w:r>
      <w:r>
        <w:t xml:space="preserve"> (CMA, London 2014) on the CMA’s advice over prosecution of the amended Cartel Offence</w:t>
      </w:r>
    </w:p>
  </w:footnote>
  <w:footnote w:id="143">
    <w:p w14:paraId="2AB18C4F" w14:textId="26A579E1" w:rsidR="00437A75" w:rsidRPr="00015B37" w:rsidRDefault="00437A75">
      <w:pPr>
        <w:pStyle w:val="FootnoteText"/>
        <w:rPr>
          <w:lang w:val="en-US"/>
        </w:rPr>
      </w:pPr>
      <w:r>
        <w:rPr>
          <w:rStyle w:val="FootnoteReference"/>
        </w:rPr>
        <w:footnoteRef/>
      </w:r>
      <w:r>
        <w:t xml:space="preserve"> Enterprise Act 2002 s188A</w:t>
      </w:r>
    </w:p>
  </w:footnote>
  <w:footnote w:id="144">
    <w:p w14:paraId="06917A65" w14:textId="25D72160" w:rsidR="00437A75" w:rsidRPr="00015B37" w:rsidRDefault="00437A75">
      <w:pPr>
        <w:pStyle w:val="FootnoteText"/>
        <w:rPr>
          <w:lang w:val="en-US"/>
        </w:rPr>
      </w:pPr>
      <w:r>
        <w:rPr>
          <w:rStyle w:val="FootnoteReference"/>
        </w:rPr>
        <w:footnoteRef/>
      </w:r>
      <w:r>
        <w:t xml:space="preserve"> Enterprise Act 2002 s188B</w:t>
      </w:r>
    </w:p>
  </w:footnote>
  <w:footnote w:id="145">
    <w:p w14:paraId="651960D0" w14:textId="3C5164AB" w:rsidR="00437A75" w:rsidRPr="00037EDE" w:rsidRDefault="00437A75">
      <w:pPr>
        <w:pStyle w:val="FootnoteText"/>
        <w:rPr>
          <w:lang w:val="en-US"/>
        </w:rPr>
      </w:pPr>
      <w:r>
        <w:rPr>
          <w:rStyle w:val="FootnoteReference"/>
        </w:rPr>
        <w:footnoteRef/>
      </w:r>
      <w:r>
        <w:t xml:space="preserve"> EM </w:t>
      </w:r>
      <w:r>
        <w:rPr>
          <w:lang w:val="en-US"/>
        </w:rPr>
        <w:t>Michels, ‘The Real Shortcoming of the UK Cartel Offence: A Lack of Public and Political Support’ [2014] Global Antitrust Review 53</w:t>
      </w:r>
    </w:p>
  </w:footnote>
  <w:footnote w:id="146">
    <w:p w14:paraId="3D1AAA07" w14:textId="46E94472" w:rsidR="00437A75" w:rsidRPr="00037EDE" w:rsidRDefault="00437A75">
      <w:pPr>
        <w:pStyle w:val="FootnoteText"/>
        <w:rPr>
          <w:lang w:val="en-US"/>
        </w:rPr>
      </w:pPr>
      <w:r>
        <w:rPr>
          <w:rStyle w:val="FootnoteReference"/>
        </w:rPr>
        <w:footnoteRef/>
      </w:r>
      <w:r>
        <w:t xml:space="preserve"> Ibid. 71</w:t>
      </w:r>
    </w:p>
  </w:footnote>
  <w:footnote w:id="147">
    <w:p w14:paraId="0D3FA8D5" w14:textId="4A9048CB" w:rsidR="00437A75" w:rsidRPr="00F37892" w:rsidRDefault="00437A75">
      <w:pPr>
        <w:pStyle w:val="FootnoteText"/>
        <w:rPr>
          <w:lang w:val="en-US"/>
        </w:rPr>
      </w:pPr>
      <w:r>
        <w:rPr>
          <w:rStyle w:val="FootnoteReference"/>
        </w:rPr>
        <w:footnoteRef/>
      </w:r>
      <w:r>
        <w:t xml:space="preserve"> </w:t>
      </w:r>
      <w:r>
        <w:rPr>
          <w:lang w:val="en-US"/>
        </w:rPr>
        <w:t xml:space="preserve">See </w:t>
      </w:r>
      <w:proofErr w:type="spellStart"/>
      <w:r>
        <w:rPr>
          <w:lang w:val="en-US"/>
        </w:rPr>
        <w:t>Steur</w:t>
      </w:r>
      <w:proofErr w:type="spellEnd"/>
      <w:r>
        <w:rPr>
          <w:lang w:val="en-US"/>
        </w:rPr>
        <w:t xml:space="preserve"> (n 7)</w:t>
      </w:r>
    </w:p>
  </w:footnote>
  <w:footnote w:id="148">
    <w:p w14:paraId="0AA0E49C" w14:textId="37B36E05" w:rsidR="00437A75" w:rsidRPr="00CF272B" w:rsidRDefault="00437A75">
      <w:pPr>
        <w:pStyle w:val="FootnoteText"/>
        <w:rPr>
          <w:lang w:val="en-US"/>
        </w:rPr>
      </w:pPr>
      <w:r>
        <w:rPr>
          <w:rStyle w:val="FootnoteReference"/>
        </w:rPr>
        <w:footnoteRef/>
      </w:r>
      <w:r>
        <w:t xml:space="preserve"> K </w:t>
      </w:r>
      <w:proofErr w:type="spellStart"/>
      <w:r>
        <w:t>Yeung</w:t>
      </w:r>
      <w:proofErr w:type="spellEnd"/>
      <w:r>
        <w:t>, ‘</w:t>
      </w:r>
      <w:r w:rsidRPr="00CF272B">
        <w:t>Privatizing Competition Regulation</w:t>
      </w:r>
      <w:r>
        <w:t>’ (1998) 18 OJLS 581, 594</w:t>
      </w:r>
    </w:p>
  </w:footnote>
  <w:footnote w:id="149">
    <w:p w14:paraId="126C796C" w14:textId="67A1907F" w:rsidR="00437A75" w:rsidRPr="003D2543" w:rsidRDefault="00437A75">
      <w:pPr>
        <w:pStyle w:val="FootnoteText"/>
        <w:rPr>
          <w:lang w:val="en-US"/>
        </w:rPr>
      </w:pPr>
      <w:r>
        <w:rPr>
          <w:rStyle w:val="FootnoteReference"/>
        </w:rPr>
        <w:footnoteRef/>
      </w:r>
      <w:r>
        <w:t xml:space="preserve"> </w:t>
      </w:r>
      <w:r>
        <w:rPr>
          <w:lang w:val="en-US"/>
        </w:rPr>
        <w:t xml:space="preserve">For a thorough review of the efficiency model of competition law see A Ayal, </w:t>
      </w:r>
      <w:r>
        <w:rPr>
          <w:i/>
          <w:lang w:val="en-US"/>
        </w:rPr>
        <w:t>Fairness in Antitrust: Protecting the Strong from the Weak</w:t>
      </w:r>
      <w:r>
        <w:rPr>
          <w:lang w:val="en-US"/>
        </w:rPr>
        <w:t xml:space="preserve"> (Hart Publishing, Oxford 2015) 38-64</w:t>
      </w:r>
    </w:p>
  </w:footnote>
  <w:footnote w:id="150">
    <w:p w14:paraId="63CABADC" w14:textId="3FD41DFE" w:rsidR="00437A75" w:rsidRPr="00B66F4B" w:rsidRDefault="00437A75">
      <w:pPr>
        <w:pStyle w:val="FootnoteText"/>
        <w:rPr>
          <w:lang w:val="en-US"/>
        </w:rPr>
      </w:pPr>
      <w:r>
        <w:rPr>
          <w:rStyle w:val="FootnoteReference"/>
        </w:rPr>
        <w:footnoteRef/>
      </w:r>
      <w:r>
        <w:t xml:space="preserve"> H </w:t>
      </w:r>
      <w:proofErr w:type="spellStart"/>
      <w:r>
        <w:rPr>
          <w:lang w:val="en-US"/>
        </w:rPr>
        <w:t>Hovenkamp</w:t>
      </w:r>
      <w:proofErr w:type="spellEnd"/>
      <w:r>
        <w:rPr>
          <w:lang w:val="en-US"/>
        </w:rPr>
        <w:t xml:space="preserve">, </w:t>
      </w:r>
      <w:r>
        <w:rPr>
          <w:i/>
          <w:lang w:val="en-US"/>
        </w:rPr>
        <w:t>The Antitrust Enterprise: Principle and Execution</w:t>
      </w:r>
      <w:r>
        <w:rPr>
          <w:lang w:val="en-US"/>
        </w:rPr>
        <w:t xml:space="preserve"> (Harvard University Press, London 2005) 10</w:t>
      </w:r>
    </w:p>
  </w:footnote>
  <w:footnote w:id="151">
    <w:p w14:paraId="2DAE3668" w14:textId="36DB33D1" w:rsidR="00437A75" w:rsidRPr="002C7C37" w:rsidRDefault="00437A75">
      <w:pPr>
        <w:pStyle w:val="FootnoteText"/>
        <w:rPr>
          <w:lang w:val="en-US"/>
        </w:rPr>
      </w:pPr>
      <w:r>
        <w:rPr>
          <w:rStyle w:val="FootnoteReference"/>
        </w:rPr>
        <w:footnoteRef/>
      </w:r>
      <w:r>
        <w:t xml:space="preserve"> </w:t>
      </w:r>
      <w:proofErr w:type="spellStart"/>
      <w:r w:rsidRPr="008C6FFE">
        <w:rPr>
          <w:i/>
        </w:rPr>
        <w:t>Gelboim</w:t>
      </w:r>
      <w:proofErr w:type="spellEnd"/>
      <w:r>
        <w:t xml:space="preserve"> (n 104)</w:t>
      </w:r>
    </w:p>
  </w:footnote>
  <w:footnote w:id="152">
    <w:p w14:paraId="2D60C45E" w14:textId="28586162" w:rsidR="00437A75" w:rsidRPr="002C7C37" w:rsidRDefault="00437A75" w:rsidP="002C7C37">
      <w:pPr>
        <w:pStyle w:val="FootnoteText"/>
        <w:rPr>
          <w:lang w:val="en-US"/>
        </w:rPr>
      </w:pPr>
      <w:r>
        <w:rPr>
          <w:rStyle w:val="FootnoteReference"/>
        </w:rPr>
        <w:footnoteRef/>
      </w:r>
      <w:r>
        <w:t xml:space="preserve"> </w:t>
      </w:r>
      <w:r>
        <w:rPr>
          <w:lang w:val="en-US"/>
        </w:rPr>
        <w:t>JM Connor, ‘</w:t>
      </w:r>
      <w:r w:rsidRPr="002C7C37">
        <w:rPr>
          <w:lang w:val="en-US"/>
        </w:rPr>
        <w:t>Effectiveness of Antitrust Sanctions</w:t>
      </w:r>
      <w:r>
        <w:rPr>
          <w:lang w:val="en-US"/>
        </w:rPr>
        <w:t xml:space="preserve"> </w:t>
      </w:r>
      <w:r w:rsidRPr="002C7C37">
        <w:rPr>
          <w:lang w:val="en-US"/>
        </w:rPr>
        <w:t>on Modern International Cartels</w:t>
      </w:r>
      <w:r>
        <w:rPr>
          <w:lang w:val="en-US"/>
        </w:rPr>
        <w:t xml:space="preserve">’ (2006) 6 </w:t>
      </w:r>
      <w:r w:rsidRPr="002C7C37">
        <w:rPr>
          <w:lang w:val="en-US"/>
        </w:rPr>
        <w:t>Journal of Industry Competition and Trade</w:t>
      </w:r>
      <w:r>
        <w:rPr>
          <w:lang w:val="en-US"/>
        </w:rPr>
        <w:t xml:space="preserve"> 195</w:t>
      </w:r>
    </w:p>
  </w:footnote>
  <w:footnote w:id="153">
    <w:p w14:paraId="19326894" w14:textId="7AC76CFA" w:rsidR="00437A75" w:rsidRPr="002C7C37" w:rsidRDefault="00437A75">
      <w:pPr>
        <w:pStyle w:val="FootnoteText"/>
        <w:rPr>
          <w:lang w:val="en-US"/>
        </w:rPr>
      </w:pPr>
      <w:r>
        <w:rPr>
          <w:rStyle w:val="FootnoteReference"/>
        </w:rPr>
        <w:footnoteRef/>
      </w:r>
      <w:r>
        <w:t xml:space="preserve"> See Barclays’ $100bn settlement with 44 US States dated 8 August 2016 </w:t>
      </w:r>
      <w:hyperlink r:id="rId53" w:history="1">
        <w:r w:rsidRPr="00B5049D">
          <w:rPr>
            <w:rStyle w:val="Hyperlink"/>
          </w:rPr>
          <w:t>https://ag.ny.gov/sites/default/files/ag_barclays_settlement_agreement_signed_execution_copy_8_8_16.pdf</w:t>
        </w:r>
      </w:hyperlink>
      <w:r>
        <w:t xml:space="preserve"> last accessed 26 August 2016</w:t>
      </w:r>
    </w:p>
  </w:footnote>
  <w:footnote w:id="154">
    <w:p w14:paraId="486BD220" w14:textId="2F84FD1E" w:rsidR="00437A75" w:rsidRPr="00F96810" w:rsidRDefault="00437A75">
      <w:pPr>
        <w:pStyle w:val="FootnoteText"/>
        <w:rPr>
          <w:lang w:val="en-US"/>
        </w:rPr>
      </w:pPr>
      <w:r>
        <w:rPr>
          <w:rStyle w:val="FootnoteReference"/>
        </w:rPr>
        <w:footnoteRef/>
      </w:r>
      <w:r>
        <w:t xml:space="preserve"> </w:t>
      </w:r>
      <w:r>
        <w:rPr>
          <w:lang w:val="en-US"/>
        </w:rPr>
        <w:t xml:space="preserve">M Wheatley, </w:t>
      </w:r>
      <w:r>
        <w:rPr>
          <w:i/>
          <w:lang w:val="en-US"/>
        </w:rPr>
        <w:t>The Wheatley Review of LIBOR: The Final Report</w:t>
      </w:r>
      <w:r>
        <w:rPr>
          <w:lang w:val="en-US"/>
        </w:rPr>
        <w:t xml:space="preserve"> dated September 2012 </w:t>
      </w:r>
      <w:hyperlink r:id="rId54" w:history="1">
        <w:r w:rsidRPr="00B5049D">
          <w:rPr>
            <w:rStyle w:val="Hyperlink"/>
            <w:lang w:val="en-US"/>
          </w:rPr>
          <w:t>https://www.gov.uk/government/uploads/system/uploads/attachment_data/file/191762/wheatley_review_libor_finalreport_280912.pdf</w:t>
        </w:r>
      </w:hyperlink>
      <w:r>
        <w:rPr>
          <w:lang w:val="en-US"/>
        </w:rPr>
        <w:t xml:space="preserve"> last accessed 31 August 2016</w:t>
      </w:r>
    </w:p>
  </w:footnote>
  <w:footnote w:id="155">
    <w:p w14:paraId="72065169" w14:textId="394E1C9F" w:rsidR="00437A75" w:rsidRPr="008100E0" w:rsidRDefault="00437A75">
      <w:pPr>
        <w:pStyle w:val="FootnoteText"/>
        <w:rPr>
          <w:lang w:val="en-US"/>
        </w:rPr>
      </w:pPr>
      <w:r>
        <w:rPr>
          <w:rStyle w:val="FootnoteReference"/>
        </w:rPr>
        <w:footnoteRef/>
      </w:r>
      <w:r>
        <w:t xml:space="preserve"> </w:t>
      </w:r>
      <w:r>
        <w:rPr>
          <w:lang w:val="en-US"/>
        </w:rPr>
        <w:t>Anything deeper is outside the scope of this chapter and is a matter for further research</w:t>
      </w:r>
    </w:p>
  </w:footnote>
  <w:footnote w:id="156">
    <w:p w14:paraId="027F11BA" w14:textId="6E94ABC0" w:rsidR="00437A75" w:rsidRPr="005A7C7B" w:rsidRDefault="00437A75">
      <w:pPr>
        <w:pStyle w:val="FootnoteText"/>
        <w:rPr>
          <w:lang w:val="en-US"/>
        </w:rPr>
      </w:pPr>
      <w:r>
        <w:rPr>
          <w:rStyle w:val="FootnoteReference"/>
        </w:rPr>
        <w:footnoteRef/>
      </w:r>
      <w:r>
        <w:t xml:space="preserve"> </w:t>
      </w:r>
      <w:r>
        <w:rPr>
          <w:lang w:val="en-US"/>
        </w:rPr>
        <w:t xml:space="preserve">For a well-reasoned and persuasive argument for consumer welfare see L </w:t>
      </w:r>
      <w:proofErr w:type="spellStart"/>
      <w:r>
        <w:rPr>
          <w:lang w:val="en-US"/>
        </w:rPr>
        <w:t>Kaplow</w:t>
      </w:r>
      <w:proofErr w:type="spellEnd"/>
      <w:r>
        <w:rPr>
          <w:lang w:val="en-US"/>
        </w:rPr>
        <w:t xml:space="preserve">, S </w:t>
      </w:r>
      <w:proofErr w:type="spellStart"/>
      <w:r>
        <w:rPr>
          <w:lang w:val="en-US"/>
        </w:rPr>
        <w:t>Shavell</w:t>
      </w:r>
      <w:proofErr w:type="spellEnd"/>
      <w:r>
        <w:rPr>
          <w:lang w:val="en-US"/>
        </w:rPr>
        <w:t xml:space="preserve">, </w:t>
      </w:r>
      <w:r>
        <w:rPr>
          <w:i/>
          <w:lang w:val="en-US"/>
        </w:rPr>
        <w:t>Fairness Versus Welfare</w:t>
      </w:r>
      <w:r>
        <w:rPr>
          <w:lang w:val="en-US"/>
        </w:rPr>
        <w:t xml:space="preserve"> (Harvard University Press, London 2006)</w:t>
      </w:r>
    </w:p>
  </w:footnote>
  <w:footnote w:id="157">
    <w:p w14:paraId="6F462281" w14:textId="629D6517" w:rsidR="00437A75" w:rsidRPr="005A7C7B" w:rsidRDefault="00437A75">
      <w:pPr>
        <w:pStyle w:val="FootnoteText"/>
        <w:rPr>
          <w:lang w:val="en-US"/>
        </w:rPr>
      </w:pPr>
      <w:r>
        <w:rPr>
          <w:rStyle w:val="FootnoteReference"/>
        </w:rPr>
        <w:footnoteRef/>
      </w:r>
      <w:r>
        <w:t xml:space="preserve"> </w:t>
      </w:r>
      <w:r w:rsidRPr="005A7C7B">
        <w:rPr>
          <w:lang w:val="en-US"/>
        </w:rPr>
        <w:t xml:space="preserve">O Black, </w:t>
      </w:r>
      <w:r w:rsidRPr="005A7C7B">
        <w:rPr>
          <w:i/>
          <w:lang w:val="en-US"/>
        </w:rPr>
        <w:t>Conceptual Foundations of Antitrust</w:t>
      </w:r>
      <w:r w:rsidRPr="005A7C7B">
        <w:rPr>
          <w:lang w:val="en-US"/>
        </w:rPr>
        <w:t xml:space="preserve"> (CUP, Cambridge 2005) 40</w:t>
      </w:r>
    </w:p>
  </w:footnote>
  <w:footnote w:id="158">
    <w:p w14:paraId="7F231D09" w14:textId="28CFE8E8" w:rsidR="00437A75" w:rsidRPr="00007896" w:rsidRDefault="00437A75">
      <w:pPr>
        <w:pStyle w:val="FootnoteText"/>
        <w:rPr>
          <w:lang w:val="en-US"/>
        </w:rPr>
      </w:pPr>
      <w:r>
        <w:rPr>
          <w:rStyle w:val="FootnoteReference"/>
        </w:rPr>
        <w:footnoteRef/>
      </w:r>
      <w:r>
        <w:t xml:space="preserve"> AB </w:t>
      </w:r>
      <w:r>
        <w:rPr>
          <w:lang w:val="en-US"/>
        </w:rPr>
        <w:t xml:space="preserve">Atkinson, </w:t>
      </w:r>
      <w:r>
        <w:rPr>
          <w:i/>
          <w:lang w:val="en-US"/>
        </w:rPr>
        <w:t>Inequality: What Can Be Done?</w:t>
      </w:r>
      <w:r>
        <w:rPr>
          <w:lang w:val="en-US"/>
        </w:rPr>
        <w:t xml:space="preserve"> (Harvard University Press, London 2015) 126</w:t>
      </w:r>
    </w:p>
  </w:footnote>
  <w:footnote w:id="159">
    <w:p w14:paraId="0D2819CF" w14:textId="4635132E" w:rsidR="00437A75" w:rsidRPr="00DF0B15" w:rsidRDefault="00437A75">
      <w:pPr>
        <w:pStyle w:val="FootnoteText"/>
        <w:rPr>
          <w:lang w:val="en-US"/>
        </w:rPr>
      </w:pPr>
      <w:r>
        <w:rPr>
          <w:rStyle w:val="FootnoteReference"/>
        </w:rPr>
        <w:footnoteRef/>
      </w:r>
      <w:r>
        <w:t xml:space="preserve"> </w:t>
      </w:r>
      <w:r>
        <w:rPr>
          <w:lang w:val="en-US"/>
        </w:rPr>
        <w:t>Whelan (n 47)</w:t>
      </w:r>
    </w:p>
  </w:footnote>
  <w:footnote w:id="160">
    <w:p w14:paraId="5B53C627" w14:textId="408A93DB" w:rsidR="00437A75" w:rsidRPr="000567D0" w:rsidRDefault="00437A75">
      <w:pPr>
        <w:pStyle w:val="FootnoteText"/>
        <w:rPr>
          <w:lang w:val="en-US"/>
        </w:rPr>
      </w:pPr>
      <w:r>
        <w:rPr>
          <w:rStyle w:val="FootnoteReference"/>
        </w:rPr>
        <w:footnoteRef/>
      </w:r>
      <w:r>
        <w:t xml:space="preserve"> </w:t>
      </w:r>
      <w:r w:rsidRPr="000567D0">
        <w:t xml:space="preserve">B </w:t>
      </w:r>
      <w:proofErr w:type="spellStart"/>
      <w:r w:rsidRPr="000567D0">
        <w:t>Wardhaugh</w:t>
      </w:r>
      <w:proofErr w:type="spellEnd"/>
      <w:r w:rsidRPr="000567D0">
        <w:t>, ‘A Normative Approach to the Criminalisation of Cartel Activity’ (2012) 32 LS 369</w:t>
      </w:r>
    </w:p>
  </w:footnote>
  <w:footnote w:id="161">
    <w:p w14:paraId="4677C6A1" w14:textId="5D6DE89F" w:rsidR="00437A75" w:rsidRPr="002C5FCC" w:rsidRDefault="00437A75">
      <w:pPr>
        <w:pStyle w:val="FootnoteText"/>
        <w:rPr>
          <w:lang w:val="en-US"/>
        </w:rPr>
      </w:pPr>
      <w:r>
        <w:rPr>
          <w:rStyle w:val="FootnoteReference"/>
        </w:rPr>
        <w:footnoteRef/>
      </w:r>
      <w:r>
        <w:t xml:space="preserve"> </w:t>
      </w:r>
      <w:r>
        <w:rPr>
          <w:lang w:val="en-US"/>
        </w:rPr>
        <w:t xml:space="preserve">Ayal </w:t>
      </w:r>
      <w:r>
        <w:t>(n 149)</w:t>
      </w:r>
    </w:p>
  </w:footnote>
  <w:footnote w:id="162">
    <w:p w14:paraId="008CD3EE" w14:textId="4D2731F6" w:rsidR="00437A75" w:rsidRPr="002C5FCC" w:rsidRDefault="00437A75">
      <w:pPr>
        <w:pStyle w:val="FootnoteText"/>
        <w:rPr>
          <w:lang w:val="en-US"/>
        </w:rPr>
      </w:pPr>
      <w:r>
        <w:rPr>
          <w:rStyle w:val="FootnoteReference"/>
        </w:rPr>
        <w:footnoteRef/>
      </w:r>
      <w:r>
        <w:t xml:space="preserve"> Ibid. ch 2</w:t>
      </w:r>
    </w:p>
  </w:footnote>
  <w:footnote w:id="163">
    <w:p w14:paraId="0ED41DBA" w14:textId="727F718C" w:rsidR="00437A75" w:rsidRPr="002C5FCC" w:rsidRDefault="00437A75">
      <w:pPr>
        <w:pStyle w:val="FootnoteText"/>
        <w:rPr>
          <w:lang w:val="en-US"/>
        </w:rPr>
      </w:pPr>
      <w:r>
        <w:rPr>
          <w:rStyle w:val="FootnoteReference"/>
        </w:rPr>
        <w:footnoteRef/>
      </w:r>
      <w:r>
        <w:t xml:space="preserve"> Ibid. </w:t>
      </w:r>
      <w:proofErr w:type="spellStart"/>
      <w:proofErr w:type="gramStart"/>
      <w:r>
        <w:t>chs</w:t>
      </w:r>
      <w:proofErr w:type="spellEnd"/>
      <w:proofErr w:type="gramEnd"/>
      <w:r>
        <w:t xml:space="preserve"> 3 and 4</w:t>
      </w:r>
    </w:p>
  </w:footnote>
  <w:footnote w:id="164">
    <w:p w14:paraId="2AEBCEA4" w14:textId="1E3405F7" w:rsidR="00437A75" w:rsidRPr="002C5FCC" w:rsidRDefault="00437A75">
      <w:pPr>
        <w:pStyle w:val="FootnoteText"/>
        <w:rPr>
          <w:lang w:val="en-US"/>
        </w:rPr>
      </w:pPr>
      <w:r>
        <w:rPr>
          <w:rStyle w:val="FootnoteReference"/>
        </w:rPr>
        <w:footnoteRef/>
      </w:r>
      <w:r>
        <w:t xml:space="preserve"> Ibid. ch 5</w:t>
      </w:r>
    </w:p>
  </w:footnote>
  <w:footnote w:id="165">
    <w:p w14:paraId="5D3F69D2" w14:textId="4CD5A32E" w:rsidR="00437A75" w:rsidRPr="002C5FCC" w:rsidRDefault="00437A75">
      <w:pPr>
        <w:pStyle w:val="FootnoteText"/>
        <w:rPr>
          <w:lang w:val="en-US"/>
        </w:rPr>
      </w:pPr>
      <w:r>
        <w:rPr>
          <w:rStyle w:val="FootnoteReference"/>
        </w:rPr>
        <w:footnoteRef/>
      </w:r>
      <w:r>
        <w:t xml:space="preserve"> Ibid. ch 3</w:t>
      </w:r>
    </w:p>
  </w:footnote>
  <w:footnote w:id="166">
    <w:p w14:paraId="680F8243" w14:textId="3AE1FC5E" w:rsidR="00437A75" w:rsidRPr="002C5FCC" w:rsidRDefault="00437A75">
      <w:pPr>
        <w:pStyle w:val="FootnoteText"/>
        <w:rPr>
          <w:lang w:val="en-US"/>
        </w:rPr>
      </w:pPr>
      <w:r>
        <w:rPr>
          <w:rStyle w:val="FootnoteReference"/>
        </w:rPr>
        <w:footnoteRef/>
      </w:r>
      <w:r>
        <w:t xml:space="preserve"> Ibid. ch 4</w:t>
      </w:r>
    </w:p>
  </w:footnote>
  <w:footnote w:id="167">
    <w:p w14:paraId="27E61064" w14:textId="715D7388" w:rsidR="00437A75" w:rsidRPr="00EF20FE" w:rsidRDefault="00437A75">
      <w:pPr>
        <w:pStyle w:val="FootnoteText"/>
        <w:rPr>
          <w:lang w:val="en-US"/>
        </w:rPr>
      </w:pPr>
      <w:r>
        <w:rPr>
          <w:rStyle w:val="FootnoteReference"/>
        </w:rPr>
        <w:footnoteRef/>
      </w:r>
      <w:r>
        <w:t xml:space="preserve"> J Rawls, </w:t>
      </w:r>
      <w:r>
        <w:rPr>
          <w:i/>
        </w:rPr>
        <w:t>A Theory of Justice</w:t>
      </w:r>
      <w:r>
        <w:t xml:space="preserve"> (2</w:t>
      </w:r>
      <w:r w:rsidRPr="00404356">
        <w:rPr>
          <w:vertAlign w:val="superscript"/>
        </w:rPr>
        <w:t>nd</w:t>
      </w:r>
      <w:r>
        <w:t xml:space="preserve"> edn OUP, Oxford 1999)</w:t>
      </w:r>
    </w:p>
  </w:footnote>
  <w:footnote w:id="168">
    <w:p w14:paraId="21215396" w14:textId="051F12FB" w:rsidR="00437A75" w:rsidRPr="005567E2" w:rsidRDefault="00437A75">
      <w:pPr>
        <w:pStyle w:val="FootnoteText"/>
        <w:rPr>
          <w:lang w:val="en-US"/>
        </w:rPr>
      </w:pPr>
      <w:r>
        <w:rPr>
          <w:rStyle w:val="FootnoteReference"/>
        </w:rPr>
        <w:footnoteRef/>
      </w:r>
      <w:r>
        <w:t xml:space="preserve"> Where the law is defined as </w:t>
      </w:r>
      <w:r w:rsidRPr="00D948AF">
        <w:t>‘the human attempt to establish social order as a way of regulating and managing human conflict’</w:t>
      </w:r>
      <w:r>
        <w:t xml:space="preserve"> in </w:t>
      </w:r>
      <w:r w:rsidRPr="00D948AF">
        <w:rPr>
          <w:lang w:val="en-US"/>
        </w:rPr>
        <w:t xml:space="preserve">D </w:t>
      </w:r>
      <w:proofErr w:type="spellStart"/>
      <w:r w:rsidRPr="00D948AF">
        <w:rPr>
          <w:lang w:val="en-US"/>
        </w:rPr>
        <w:t>Beyleveld</w:t>
      </w:r>
      <w:proofErr w:type="spellEnd"/>
      <w:r w:rsidRPr="00D948AF">
        <w:rPr>
          <w:lang w:val="en-US"/>
        </w:rPr>
        <w:t xml:space="preserve">, R </w:t>
      </w:r>
      <w:proofErr w:type="spellStart"/>
      <w:r w:rsidRPr="00D948AF">
        <w:rPr>
          <w:lang w:val="en-US"/>
        </w:rPr>
        <w:t>Brownsword</w:t>
      </w:r>
      <w:proofErr w:type="spellEnd"/>
      <w:r w:rsidRPr="00D948AF">
        <w:rPr>
          <w:lang w:val="en-US"/>
        </w:rPr>
        <w:t xml:space="preserve">, </w:t>
      </w:r>
      <w:r w:rsidRPr="00D948AF">
        <w:rPr>
          <w:i/>
          <w:lang w:val="en-US"/>
        </w:rPr>
        <w:t>Law as a Moral Judgment</w:t>
      </w:r>
      <w:r w:rsidRPr="00D948AF">
        <w:rPr>
          <w:lang w:val="en-US"/>
        </w:rPr>
        <w:t xml:space="preserve"> (Sweet &amp; Maxwell, London 1986) 2</w:t>
      </w:r>
    </w:p>
  </w:footnote>
  <w:footnote w:id="169">
    <w:p w14:paraId="5202F571" w14:textId="53B3809C" w:rsidR="00437A75" w:rsidRPr="00303FE3" w:rsidRDefault="00437A75">
      <w:pPr>
        <w:pStyle w:val="FootnoteText"/>
        <w:rPr>
          <w:lang w:val="en-US"/>
        </w:rPr>
      </w:pPr>
      <w:r>
        <w:rPr>
          <w:rStyle w:val="FootnoteReference"/>
        </w:rPr>
        <w:footnoteRef/>
      </w:r>
      <w:r>
        <w:t xml:space="preserve"> </w:t>
      </w:r>
      <w:r>
        <w:rPr>
          <w:lang w:val="en-US"/>
        </w:rPr>
        <w:t xml:space="preserve">See G </w:t>
      </w:r>
      <w:proofErr w:type="spellStart"/>
      <w:r>
        <w:rPr>
          <w:lang w:val="en-US"/>
        </w:rPr>
        <w:t>Monti</w:t>
      </w:r>
      <w:proofErr w:type="spellEnd"/>
      <w:r>
        <w:rPr>
          <w:lang w:val="en-US"/>
        </w:rPr>
        <w:t xml:space="preserve">, </w:t>
      </w:r>
      <w:r>
        <w:rPr>
          <w:i/>
          <w:lang w:val="en-US"/>
        </w:rPr>
        <w:t>EC Competition Law</w:t>
      </w:r>
      <w:r>
        <w:rPr>
          <w:lang w:val="en-US"/>
        </w:rPr>
        <w:t xml:space="preserve"> (CUP, Cambridge 2007) ch 4</w:t>
      </w:r>
    </w:p>
  </w:footnote>
  <w:footnote w:id="170">
    <w:p w14:paraId="02B0F6DC" w14:textId="7173B99C" w:rsidR="00437A75" w:rsidRPr="00050628" w:rsidRDefault="00437A75">
      <w:pPr>
        <w:pStyle w:val="FootnoteText"/>
        <w:rPr>
          <w:lang w:val="en-US"/>
        </w:rPr>
      </w:pPr>
      <w:r>
        <w:rPr>
          <w:rStyle w:val="FootnoteReference"/>
        </w:rPr>
        <w:footnoteRef/>
      </w:r>
      <w:r>
        <w:t xml:space="preserve"> M Carney, ‘Building a Resilient and Open Global </w:t>
      </w:r>
      <w:proofErr w:type="spellStart"/>
      <w:r>
        <w:t>Fianancial</w:t>
      </w:r>
      <w:proofErr w:type="spellEnd"/>
      <w:r>
        <w:t xml:space="preserve"> to Support Sustainable Cross-Border Investment’ dated 30 August 2016 </w:t>
      </w:r>
      <w:hyperlink r:id="rId55" w:history="1">
        <w:r w:rsidRPr="00435B59">
          <w:rPr>
            <w:rStyle w:val="Hyperlink"/>
          </w:rPr>
          <w:t>http://www.fsb.org/wp-content/uploads/FSB-Chair’s-letter-to-G20-Leaders-in-advance-of-their-meeting-in-Hangzhou-on-4-5-September..pdf</w:t>
        </w:r>
      </w:hyperlink>
      <w:r>
        <w:t xml:space="preserve"> point 5 last accessed 13 September 2016</w:t>
      </w:r>
    </w:p>
  </w:footnote>
  <w:footnote w:id="171">
    <w:p w14:paraId="641112FA" w14:textId="0DDC2928" w:rsidR="004F547B" w:rsidRPr="004F547B" w:rsidRDefault="004F547B" w:rsidP="004F547B">
      <w:pPr>
        <w:pStyle w:val="FootnoteText"/>
      </w:pPr>
      <w:r>
        <w:rPr>
          <w:rStyle w:val="FootnoteReference"/>
        </w:rPr>
        <w:footnoteRef/>
      </w:r>
      <w:r>
        <w:t xml:space="preserve"> </w:t>
      </w:r>
      <w:r>
        <w:rPr>
          <w:lang w:val="en-US"/>
        </w:rPr>
        <w:t>See FCA, ‘</w:t>
      </w:r>
      <w:r>
        <w:t>FG15/8: The FCA’s Concurrent C</w:t>
      </w:r>
      <w:r w:rsidRPr="004F547B">
        <w:t xml:space="preserve">ompetition </w:t>
      </w:r>
      <w:r>
        <w:t>Enforcement Powers for the P</w:t>
      </w:r>
      <w:r w:rsidRPr="004F547B">
        <w:t xml:space="preserve">rovision of </w:t>
      </w:r>
      <w:r>
        <w:t>Financial S</w:t>
      </w:r>
      <w:r w:rsidRPr="004F547B">
        <w:t xml:space="preserve">ervices </w:t>
      </w:r>
      <w:r>
        <w:t>– A G</w:t>
      </w:r>
      <w:r w:rsidRPr="004F547B">
        <w:t>uide to the FC</w:t>
      </w:r>
      <w:r>
        <w:t>A’s Powers and P</w:t>
      </w:r>
      <w:r w:rsidRPr="004F547B">
        <w:t>rocedures</w:t>
      </w:r>
      <w:r>
        <w:t xml:space="preserve"> under the Competition Act 1998’ dated July 2015 </w:t>
      </w:r>
      <w:hyperlink r:id="rId56" w:history="1">
        <w:r w:rsidRPr="00435B59">
          <w:rPr>
            <w:rStyle w:val="Hyperlink"/>
          </w:rPr>
          <w:t>https://www.fca.org.uk/publication/finalised-guidance/fg15-08.pdf</w:t>
        </w:r>
      </w:hyperlink>
      <w:r>
        <w:t xml:space="preserve"> last accessed 2 September 2016</w:t>
      </w:r>
    </w:p>
    <w:p w14:paraId="6E55D0E2" w14:textId="1D461976" w:rsidR="004F547B" w:rsidRPr="004F547B" w:rsidRDefault="004F547B">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3DE"/>
    <w:multiLevelType w:val="hybridMultilevel"/>
    <w:tmpl w:val="5E0C75DC"/>
    <w:lvl w:ilvl="0" w:tplc="5712D5B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3A07A2C"/>
    <w:multiLevelType w:val="hybridMultilevel"/>
    <w:tmpl w:val="36887242"/>
    <w:lvl w:ilvl="0" w:tplc="D820B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52B7D"/>
    <w:multiLevelType w:val="hybridMultilevel"/>
    <w:tmpl w:val="3DD0A5EC"/>
    <w:lvl w:ilvl="0" w:tplc="ACD61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7B6E88"/>
    <w:multiLevelType w:val="hybridMultilevel"/>
    <w:tmpl w:val="7CF070BC"/>
    <w:lvl w:ilvl="0" w:tplc="438CE68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733540"/>
    <w:multiLevelType w:val="multilevel"/>
    <w:tmpl w:val="2D14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063781"/>
    <w:multiLevelType w:val="hybridMultilevel"/>
    <w:tmpl w:val="1B723696"/>
    <w:lvl w:ilvl="0" w:tplc="1556075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9D68A9"/>
    <w:multiLevelType w:val="hybridMultilevel"/>
    <w:tmpl w:val="749AC0CC"/>
    <w:lvl w:ilvl="0" w:tplc="6138F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AC"/>
    <w:rsid w:val="00007896"/>
    <w:rsid w:val="00015B37"/>
    <w:rsid w:val="0002445A"/>
    <w:rsid w:val="00037EDE"/>
    <w:rsid w:val="000404BF"/>
    <w:rsid w:val="00050461"/>
    <w:rsid w:val="00050628"/>
    <w:rsid w:val="00054463"/>
    <w:rsid w:val="000567D0"/>
    <w:rsid w:val="00072404"/>
    <w:rsid w:val="000770A7"/>
    <w:rsid w:val="000838DF"/>
    <w:rsid w:val="00086155"/>
    <w:rsid w:val="000A3657"/>
    <w:rsid w:val="000B4995"/>
    <w:rsid w:val="000D0F56"/>
    <w:rsid w:val="000D36A9"/>
    <w:rsid w:val="000D3761"/>
    <w:rsid w:val="000D40C1"/>
    <w:rsid w:val="000E1CDA"/>
    <w:rsid w:val="000F3255"/>
    <w:rsid w:val="0010149A"/>
    <w:rsid w:val="00106E83"/>
    <w:rsid w:val="001159EE"/>
    <w:rsid w:val="0012013F"/>
    <w:rsid w:val="00120F1D"/>
    <w:rsid w:val="0014052C"/>
    <w:rsid w:val="00152DB0"/>
    <w:rsid w:val="001561DB"/>
    <w:rsid w:val="00166376"/>
    <w:rsid w:val="00171A02"/>
    <w:rsid w:val="00173435"/>
    <w:rsid w:val="0018027B"/>
    <w:rsid w:val="00182692"/>
    <w:rsid w:val="00193775"/>
    <w:rsid w:val="00193FBF"/>
    <w:rsid w:val="001A4FEB"/>
    <w:rsid w:val="001B393A"/>
    <w:rsid w:val="001C18F7"/>
    <w:rsid w:val="001C7BC1"/>
    <w:rsid w:val="001D0170"/>
    <w:rsid w:val="001D1457"/>
    <w:rsid w:val="001D27C4"/>
    <w:rsid w:val="002236DA"/>
    <w:rsid w:val="0024070F"/>
    <w:rsid w:val="002407B6"/>
    <w:rsid w:val="00240D29"/>
    <w:rsid w:val="002474C1"/>
    <w:rsid w:val="00255199"/>
    <w:rsid w:val="002566ED"/>
    <w:rsid w:val="002701AD"/>
    <w:rsid w:val="00270EEE"/>
    <w:rsid w:val="00273FC4"/>
    <w:rsid w:val="002742A5"/>
    <w:rsid w:val="00285820"/>
    <w:rsid w:val="00287699"/>
    <w:rsid w:val="00292C9A"/>
    <w:rsid w:val="00292CED"/>
    <w:rsid w:val="002A17F3"/>
    <w:rsid w:val="002B7EE0"/>
    <w:rsid w:val="002C5FCC"/>
    <w:rsid w:val="002C7C37"/>
    <w:rsid w:val="002E0C1B"/>
    <w:rsid w:val="002F54F9"/>
    <w:rsid w:val="00303971"/>
    <w:rsid w:val="00303FE3"/>
    <w:rsid w:val="00305780"/>
    <w:rsid w:val="0030693A"/>
    <w:rsid w:val="003154BA"/>
    <w:rsid w:val="003172F7"/>
    <w:rsid w:val="00351BB0"/>
    <w:rsid w:val="003577DA"/>
    <w:rsid w:val="003627DF"/>
    <w:rsid w:val="00367DBB"/>
    <w:rsid w:val="00375B8F"/>
    <w:rsid w:val="00391D8B"/>
    <w:rsid w:val="003A4138"/>
    <w:rsid w:val="003A6B2B"/>
    <w:rsid w:val="003A6C7B"/>
    <w:rsid w:val="003B1D68"/>
    <w:rsid w:val="003B270A"/>
    <w:rsid w:val="003C7065"/>
    <w:rsid w:val="003C7F7E"/>
    <w:rsid w:val="003D2543"/>
    <w:rsid w:val="003D2AC2"/>
    <w:rsid w:val="003D33C1"/>
    <w:rsid w:val="003E1948"/>
    <w:rsid w:val="003E2BC9"/>
    <w:rsid w:val="003F09B4"/>
    <w:rsid w:val="003F1AB6"/>
    <w:rsid w:val="003F35C7"/>
    <w:rsid w:val="003F3C71"/>
    <w:rsid w:val="003F4ACD"/>
    <w:rsid w:val="003F72F3"/>
    <w:rsid w:val="004029EF"/>
    <w:rsid w:val="00411CD1"/>
    <w:rsid w:val="004123FD"/>
    <w:rsid w:val="004126DD"/>
    <w:rsid w:val="00412EDB"/>
    <w:rsid w:val="0041666D"/>
    <w:rsid w:val="0043492E"/>
    <w:rsid w:val="004379FD"/>
    <w:rsid w:val="00437A75"/>
    <w:rsid w:val="00440B5D"/>
    <w:rsid w:val="00442585"/>
    <w:rsid w:val="00443BEC"/>
    <w:rsid w:val="00450E3F"/>
    <w:rsid w:val="00464592"/>
    <w:rsid w:val="00466E29"/>
    <w:rsid w:val="0047063A"/>
    <w:rsid w:val="0047530B"/>
    <w:rsid w:val="00496EA3"/>
    <w:rsid w:val="004A2D7F"/>
    <w:rsid w:val="004A6A57"/>
    <w:rsid w:val="004A7CE6"/>
    <w:rsid w:val="004C19C4"/>
    <w:rsid w:val="004C19FB"/>
    <w:rsid w:val="004D3532"/>
    <w:rsid w:val="004D7217"/>
    <w:rsid w:val="004E0A46"/>
    <w:rsid w:val="004E20B0"/>
    <w:rsid w:val="004E20F7"/>
    <w:rsid w:val="004F0714"/>
    <w:rsid w:val="004F4543"/>
    <w:rsid w:val="004F547B"/>
    <w:rsid w:val="004F6A9E"/>
    <w:rsid w:val="004F76B0"/>
    <w:rsid w:val="005132A4"/>
    <w:rsid w:val="0051563D"/>
    <w:rsid w:val="00516C97"/>
    <w:rsid w:val="00516F19"/>
    <w:rsid w:val="00525572"/>
    <w:rsid w:val="005275BF"/>
    <w:rsid w:val="00533B3E"/>
    <w:rsid w:val="005348B8"/>
    <w:rsid w:val="0053716F"/>
    <w:rsid w:val="0054023B"/>
    <w:rsid w:val="00554475"/>
    <w:rsid w:val="005567E2"/>
    <w:rsid w:val="00561F90"/>
    <w:rsid w:val="005704EE"/>
    <w:rsid w:val="00575A9F"/>
    <w:rsid w:val="005A7C7B"/>
    <w:rsid w:val="005B0A4C"/>
    <w:rsid w:val="005B49A7"/>
    <w:rsid w:val="005D6039"/>
    <w:rsid w:val="005D6DCA"/>
    <w:rsid w:val="005F1249"/>
    <w:rsid w:val="005F3067"/>
    <w:rsid w:val="005F63C6"/>
    <w:rsid w:val="00604C8C"/>
    <w:rsid w:val="00605623"/>
    <w:rsid w:val="00606FA1"/>
    <w:rsid w:val="00615DCF"/>
    <w:rsid w:val="00624A0B"/>
    <w:rsid w:val="006272CD"/>
    <w:rsid w:val="006303D3"/>
    <w:rsid w:val="00646469"/>
    <w:rsid w:val="00647FCE"/>
    <w:rsid w:val="006520F3"/>
    <w:rsid w:val="0065532C"/>
    <w:rsid w:val="00665E90"/>
    <w:rsid w:val="0067115E"/>
    <w:rsid w:val="00674CEA"/>
    <w:rsid w:val="0069359E"/>
    <w:rsid w:val="006A56B2"/>
    <w:rsid w:val="006B10B1"/>
    <w:rsid w:val="006C42BD"/>
    <w:rsid w:val="006C50E4"/>
    <w:rsid w:val="006D1C3B"/>
    <w:rsid w:val="006D7D05"/>
    <w:rsid w:val="006E1897"/>
    <w:rsid w:val="006E2A06"/>
    <w:rsid w:val="006E544E"/>
    <w:rsid w:val="006F201C"/>
    <w:rsid w:val="007000BF"/>
    <w:rsid w:val="00700579"/>
    <w:rsid w:val="007100DB"/>
    <w:rsid w:val="00741A6E"/>
    <w:rsid w:val="007425B2"/>
    <w:rsid w:val="00743CDD"/>
    <w:rsid w:val="00747253"/>
    <w:rsid w:val="00751525"/>
    <w:rsid w:val="007515A6"/>
    <w:rsid w:val="0075666B"/>
    <w:rsid w:val="007648D1"/>
    <w:rsid w:val="007751FD"/>
    <w:rsid w:val="0078366D"/>
    <w:rsid w:val="00790E3C"/>
    <w:rsid w:val="007919CA"/>
    <w:rsid w:val="007936A1"/>
    <w:rsid w:val="007972FB"/>
    <w:rsid w:val="007A1A50"/>
    <w:rsid w:val="007B02FD"/>
    <w:rsid w:val="007C17FF"/>
    <w:rsid w:val="007D13DA"/>
    <w:rsid w:val="007D4BC6"/>
    <w:rsid w:val="007F07A0"/>
    <w:rsid w:val="007F5F03"/>
    <w:rsid w:val="00805E7E"/>
    <w:rsid w:val="008100E0"/>
    <w:rsid w:val="00810463"/>
    <w:rsid w:val="00816819"/>
    <w:rsid w:val="00823257"/>
    <w:rsid w:val="008274E9"/>
    <w:rsid w:val="00827C93"/>
    <w:rsid w:val="0083729F"/>
    <w:rsid w:val="0083759F"/>
    <w:rsid w:val="00846BCC"/>
    <w:rsid w:val="00851539"/>
    <w:rsid w:val="00851F18"/>
    <w:rsid w:val="00865379"/>
    <w:rsid w:val="008730DE"/>
    <w:rsid w:val="008745B7"/>
    <w:rsid w:val="008748AC"/>
    <w:rsid w:val="00875D92"/>
    <w:rsid w:val="00882B89"/>
    <w:rsid w:val="008952CD"/>
    <w:rsid w:val="008A22C0"/>
    <w:rsid w:val="008B14D0"/>
    <w:rsid w:val="008C2BF0"/>
    <w:rsid w:val="008C306B"/>
    <w:rsid w:val="008C638E"/>
    <w:rsid w:val="008C6FFE"/>
    <w:rsid w:val="008D2AB9"/>
    <w:rsid w:val="008D43F7"/>
    <w:rsid w:val="008D4994"/>
    <w:rsid w:val="008E0C72"/>
    <w:rsid w:val="008E16EC"/>
    <w:rsid w:val="008F31E6"/>
    <w:rsid w:val="008F6B9B"/>
    <w:rsid w:val="00906F1C"/>
    <w:rsid w:val="00912168"/>
    <w:rsid w:val="00913283"/>
    <w:rsid w:val="00913437"/>
    <w:rsid w:val="0091388B"/>
    <w:rsid w:val="00915CA1"/>
    <w:rsid w:val="009255C0"/>
    <w:rsid w:val="0092792B"/>
    <w:rsid w:val="0093142B"/>
    <w:rsid w:val="009356DA"/>
    <w:rsid w:val="00947773"/>
    <w:rsid w:val="00954A02"/>
    <w:rsid w:val="0095618C"/>
    <w:rsid w:val="009636A5"/>
    <w:rsid w:val="00977E56"/>
    <w:rsid w:val="009936C0"/>
    <w:rsid w:val="009A4761"/>
    <w:rsid w:val="009B0973"/>
    <w:rsid w:val="009C0EE2"/>
    <w:rsid w:val="009C2E81"/>
    <w:rsid w:val="009C4EB6"/>
    <w:rsid w:val="009C5BD0"/>
    <w:rsid w:val="009C65D7"/>
    <w:rsid w:val="009D6B8E"/>
    <w:rsid w:val="009E0B37"/>
    <w:rsid w:val="009E4AE8"/>
    <w:rsid w:val="009F2F60"/>
    <w:rsid w:val="009F4EC6"/>
    <w:rsid w:val="009F79C4"/>
    <w:rsid w:val="00A00284"/>
    <w:rsid w:val="00A06BE1"/>
    <w:rsid w:val="00A073C7"/>
    <w:rsid w:val="00A2018D"/>
    <w:rsid w:val="00A225FB"/>
    <w:rsid w:val="00A226F8"/>
    <w:rsid w:val="00A44E16"/>
    <w:rsid w:val="00A45B89"/>
    <w:rsid w:val="00A51F73"/>
    <w:rsid w:val="00A52D78"/>
    <w:rsid w:val="00A5640B"/>
    <w:rsid w:val="00A56E23"/>
    <w:rsid w:val="00A61EF7"/>
    <w:rsid w:val="00A65D5D"/>
    <w:rsid w:val="00A71F9A"/>
    <w:rsid w:val="00A72936"/>
    <w:rsid w:val="00A777AF"/>
    <w:rsid w:val="00A84DE8"/>
    <w:rsid w:val="00A945F2"/>
    <w:rsid w:val="00A976E6"/>
    <w:rsid w:val="00A97DF3"/>
    <w:rsid w:val="00AD2DEF"/>
    <w:rsid w:val="00AD5D62"/>
    <w:rsid w:val="00AD6091"/>
    <w:rsid w:val="00AD61EC"/>
    <w:rsid w:val="00AE0800"/>
    <w:rsid w:val="00AE7BDD"/>
    <w:rsid w:val="00AF3890"/>
    <w:rsid w:val="00AF555C"/>
    <w:rsid w:val="00AF7CE3"/>
    <w:rsid w:val="00B02FF3"/>
    <w:rsid w:val="00B071B5"/>
    <w:rsid w:val="00B3421E"/>
    <w:rsid w:val="00B41233"/>
    <w:rsid w:val="00B43F2D"/>
    <w:rsid w:val="00B46AE5"/>
    <w:rsid w:val="00B561A2"/>
    <w:rsid w:val="00B57854"/>
    <w:rsid w:val="00B63C6B"/>
    <w:rsid w:val="00B64B49"/>
    <w:rsid w:val="00B66F4B"/>
    <w:rsid w:val="00B75F20"/>
    <w:rsid w:val="00B86E3A"/>
    <w:rsid w:val="00B912D5"/>
    <w:rsid w:val="00B94AD3"/>
    <w:rsid w:val="00BB45BB"/>
    <w:rsid w:val="00BB540C"/>
    <w:rsid w:val="00BB63F0"/>
    <w:rsid w:val="00BC35D7"/>
    <w:rsid w:val="00BD1F9A"/>
    <w:rsid w:val="00BE1BF6"/>
    <w:rsid w:val="00BE2D79"/>
    <w:rsid w:val="00BE4700"/>
    <w:rsid w:val="00BE573C"/>
    <w:rsid w:val="00BF221E"/>
    <w:rsid w:val="00BF3D06"/>
    <w:rsid w:val="00C00AF6"/>
    <w:rsid w:val="00C02D78"/>
    <w:rsid w:val="00C16344"/>
    <w:rsid w:val="00C203CF"/>
    <w:rsid w:val="00C33D1A"/>
    <w:rsid w:val="00C34FBD"/>
    <w:rsid w:val="00C40940"/>
    <w:rsid w:val="00C47449"/>
    <w:rsid w:val="00C52448"/>
    <w:rsid w:val="00C55C83"/>
    <w:rsid w:val="00C77127"/>
    <w:rsid w:val="00C80F86"/>
    <w:rsid w:val="00C83788"/>
    <w:rsid w:val="00C91949"/>
    <w:rsid w:val="00C954C7"/>
    <w:rsid w:val="00C955B7"/>
    <w:rsid w:val="00CB1544"/>
    <w:rsid w:val="00CD0B26"/>
    <w:rsid w:val="00CD192B"/>
    <w:rsid w:val="00CD7B40"/>
    <w:rsid w:val="00CF272B"/>
    <w:rsid w:val="00CF29B1"/>
    <w:rsid w:val="00CF3C48"/>
    <w:rsid w:val="00D1425E"/>
    <w:rsid w:val="00D238D7"/>
    <w:rsid w:val="00D2485A"/>
    <w:rsid w:val="00D40478"/>
    <w:rsid w:val="00D61689"/>
    <w:rsid w:val="00D806E4"/>
    <w:rsid w:val="00D819FC"/>
    <w:rsid w:val="00D868A9"/>
    <w:rsid w:val="00D87577"/>
    <w:rsid w:val="00D948AF"/>
    <w:rsid w:val="00D978F1"/>
    <w:rsid w:val="00DA62EB"/>
    <w:rsid w:val="00DA6DCC"/>
    <w:rsid w:val="00DB1626"/>
    <w:rsid w:val="00DB1E97"/>
    <w:rsid w:val="00DB395E"/>
    <w:rsid w:val="00DB4C6D"/>
    <w:rsid w:val="00DB5209"/>
    <w:rsid w:val="00DC0623"/>
    <w:rsid w:val="00DD24A7"/>
    <w:rsid w:val="00DD52A0"/>
    <w:rsid w:val="00DE6746"/>
    <w:rsid w:val="00DE7D50"/>
    <w:rsid w:val="00DF0B15"/>
    <w:rsid w:val="00E060CE"/>
    <w:rsid w:val="00E16FE7"/>
    <w:rsid w:val="00E2176E"/>
    <w:rsid w:val="00E2535A"/>
    <w:rsid w:val="00E31F9E"/>
    <w:rsid w:val="00E3775D"/>
    <w:rsid w:val="00E41CC3"/>
    <w:rsid w:val="00E50E04"/>
    <w:rsid w:val="00E52444"/>
    <w:rsid w:val="00E6443E"/>
    <w:rsid w:val="00E8085A"/>
    <w:rsid w:val="00E81D31"/>
    <w:rsid w:val="00E8745B"/>
    <w:rsid w:val="00E94DEB"/>
    <w:rsid w:val="00EA67A1"/>
    <w:rsid w:val="00EB1055"/>
    <w:rsid w:val="00EC1877"/>
    <w:rsid w:val="00EC2370"/>
    <w:rsid w:val="00EC3067"/>
    <w:rsid w:val="00EC4F03"/>
    <w:rsid w:val="00EE0D02"/>
    <w:rsid w:val="00EF20FE"/>
    <w:rsid w:val="00F01D9D"/>
    <w:rsid w:val="00F01EE4"/>
    <w:rsid w:val="00F17EA8"/>
    <w:rsid w:val="00F223F9"/>
    <w:rsid w:val="00F24C9E"/>
    <w:rsid w:val="00F26F18"/>
    <w:rsid w:val="00F37892"/>
    <w:rsid w:val="00F472F2"/>
    <w:rsid w:val="00F6374C"/>
    <w:rsid w:val="00F64554"/>
    <w:rsid w:val="00F73759"/>
    <w:rsid w:val="00F737FB"/>
    <w:rsid w:val="00F77BCC"/>
    <w:rsid w:val="00F848D8"/>
    <w:rsid w:val="00F85D6A"/>
    <w:rsid w:val="00F94735"/>
    <w:rsid w:val="00F96810"/>
    <w:rsid w:val="00FA1C0E"/>
    <w:rsid w:val="00FA44F0"/>
    <w:rsid w:val="00FB4703"/>
    <w:rsid w:val="00FC3E14"/>
    <w:rsid w:val="00FC5E0C"/>
    <w:rsid w:val="00FD5BFE"/>
    <w:rsid w:val="00FE22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A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4E16"/>
    <w:pPr>
      <w:spacing w:after="0" w:line="240" w:lineRule="auto"/>
    </w:pPr>
    <w:rPr>
      <w:sz w:val="20"/>
      <w:szCs w:val="20"/>
    </w:rPr>
  </w:style>
  <w:style w:type="character" w:customStyle="1" w:styleId="FootnoteTextChar">
    <w:name w:val="Footnote Text Char"/>
    <w:basedOn w:val="DefaultParagraphFont"/>
    <w:link w:val="FootnoteText"/>
    <w:uiPriority w:val="99"/>
    <w:rsid w:val="00A44E16"/>
    <w:rPr>
      <w:lang w:eastAsia="en-US"/>
    </w:rPr>
  </w:style>
  <w:style w:type="character" w:styleId="FootnoteReference">
    <w:name w:val="footnote reference"/>
    <w:basedOn w:val="DefaultParagraphFont"/>
    <w:uiPriority w:val="99"/>
    <w:unhideWhenUsed/>
    <w:rsid w:val="00A44E16"/>
    <w:rPr>
      <w:vertAlign w:val="superscript"/>
    </w:rPr>
  </w:style>
  <w:style w:type="character" w:styleId="Hyperlink">
    <w:name w:val="Hyperlink"/>
    <w:basedOn w:val="DefaultParagraphFont"/>
    <w:uiPriority w:val="99"/>
    <w:unhideWhenUsed/>
    <w:rsid w:val="00E52444"/>
    <w:rPr>
      <w:color w:val="0000FF" w:themeColor="hyperlink"/>
      <w:u w:val="single"/>
    </w:rPr>
  </w:style>
  <w:style w:type="paragraph" w:styleId="ListParagraph">
    <w:name w:val="List Paragraph"/>
    <w:basedOn w:val="Normal"/>
    <w:uiPriority w:val="34"/>
    <w:qFormat/>
    <w:rsid w:val="00303971"/>
    <w:pPr>
      <w:ind w:left="720"/>
      <w:contextualSpacing/>
    </w:pPr>
  </w:style>
  <w:style w:type="paragraph" w:styleId="NormalWeb">
    <w:name w:val="Normal (Web)"/>
    <w:basedOn w:val="Normal"/>
    <w:uiPriority w:val="99"/>
    <w:semiHidden/>
    <w:unhideWhenUsed/>
    <w:rsid w:val="00303971"/>
    <w:rPr>
      <w:rFonts w:ascii="Times New Roman" w:hAnsi="Times New Roman"/>
      <w:sz w:val="24"/>
      <w:szCs w:val="24"/>
    </w:rPr>
  </w:style>
  <w:style w:type="character" w:styleId="FollowedHyperlink">
    <w:name w:val="FollowedHyperlink"/>
    <w:basedOn w:val="DefaultParagraphFont"/>
    <w:uiPriority w:val="99"/>
    <w:semiHidden/>
    <w:unhideWhenUsed/>
    <w:rsid w:val="00C7712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4E16"/>
    <w:pPr>
      <w:spacing w:after="0" w:line="240" w:lineRule="auto"/>
    </w:pPr>
    <w:rPr>
      <w:sz w:val="20"/>
      <w:szCs w:val="20"/>
    </w:rPr>
  </w:style>
  <w:style w:type="character" w:customStyle="1" w:styleId="FootnoteTextChar">
    <w:name w:val="Footnote Text Char"/>
    <w:basedOn w:val="DefaultParagraphFont"/>
    <w:link w:val="FootnoteText"/>
    <w:uiPriority w:val="99"/>
    <w:rsid w:val="00A44E16"/>
    <w:rPr>
      <w:lang w:eastAsia="en-US"/>
    </w:rPr>
  </w:style>
  <w:style w:type="character" w:styleId="FootnoteReference">
    <w:name w:val="footnote reference"/>
    <w:basedOn w:val="DefaultParagraphFont"/>
    <w:uiPriority w:val="99"/>
    <w:unhideWhenUsed/>
    <w:rsid w:val="00A44E16"/>
    <w:rPr>
      <w:vertAlign w:val="superscript"/>
    </w:rPr>
  </w:style>
  <w:style w:type="character" w:styleId="Hyperlink">
    <w:name w:val="Hyperlink"/>
    <w:basedOn w:val="DefaultParagraphFont"/>
    <w:uiPriority w:val="99"/>
    <w:unhideWhenUsed/>
    <w:rsid w:val="00E52444"/>
    <w:rPr>
      <w:color w:val="0000FF" w:themeColor="hyperlink"/>
      <w:u w:val="single"/>
    </w:rPr>
  </w:style>
  <w:style w:type="paragraph" w:styleId="ListParagraph">
    <w:name w:val="List Paragraph"/>
    <w:basedOn w:val="Normal"/>
    <w:uiPriority w:val="34"/>
    <w:qFormat/>
    <w:rsid w:val="00303971"/>
    <w:pPr>
      <w:ind w:left="720"/>
      <w:contextualSpacing/>
    </w:pPr>
  </w:style>
  <w:style w:type="paragraph" w:styleId="NormalWeb">
    <w:name w:val="Normal (Web)"/>
    <w:basedOn w:val="Normal"/>
    <w:uiPriority w:val="99"/>
    <w:semiHidden/>
    <w:unhideWhenUsed/>
    <w:rsid w:val="00303971"/>
    <w:rPr>
      <w:rFonts w:ascii="Times New Roman" w:hAnsi="Times New Roman"/>
      <w:sz w:val="24"/>
      <w:szCs w:val="24"/>
    </w:rPr>
  </w:style>
  <w:style w:type="character" w:styleId="FollowedHyperlink">
    <w:name w:val="FollowedHyperlink"/>
    <w:basedOn w:val="DefaultParagraphFont"/>
    <w:uiPriority w:val="99"/>
    <w:semiHidden/>
    <w:unhideWhenUsed/>
    <w:rsid w:val="00C77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0641">
      <w:bodyDiv w:val="1"/>
      <w:marLeft w:val="0"/>
      <w:marRight w:val="0"/>
      <w:marTop w:val="0"/>
      <w:marBottom w:val="0"/>
      <w:divBdr>
        <w:top w:val="none" w:sz="0" w:space="0" w:color="auto"/>
        <w:left w:val="none" w:sz="0" w:space="0" w:color="auto"/>
        <w:bottom w:val="none" w:sz="0" w:space="0" w:color="auto"/>
        <w:right w:val="none" w:sz="0" w:space="0" w:color="auto"/>
      </w:divBdr>
      <w:divsChild>
        <w:div w:id="2028289805">
          <w:marLeft w:val="0"/>
          <w:marRight w:val="0"/>
          <w:marTop w:val="0"/>
          <w:marBottom w:val="0"/>
          <w:divBdr>
            <w:top w:val="none" w:sz="0" w:space="0" w:color="auto"/>
            <w:left w:val="none" w:sz="0" w:space="0" w:color="auto"/>
            <w:bottom w:val="none" w:sz="0" w:space="0" w:color="auto"/>
            <w:right w:val="none" w:sz="0" w:space="0" w:color="auto"/>
          </w:divBdr>
          <w:divsChild>
            <w:div w:id="207180642">
              <w:marLeft w:val="0"/>
              <w:marRight w:val="0"/>
              <w:marTop w:val="0"/>
              <w:marBottom w:val="0"/>
              <w:divBdr>
                <w:top w:val="none" w:sz="0" w:space="0" w:color="auto"/>
                <w:left w:val="none" w:sz="0" w:space="0" w:color="auto"/>
                <w:bottom w:val="none" w:sz="0" w:space="0" w:color="auto"/>
                <w:right w:val="none" w:sz="0" w:space="0" w:color="auto"/>
              </w:divBdr>
              <w:divsChild>
                <w:div w:id="1450323388">
                  <w:marLeft w:val="0"/>
                  <w:marRight w:val="0"/>
                  <w:marTop w:val="0"/>
                  <w:marBottom w:val="0"/>
                  <w:divBdr>
                    <w:top w:val="none" w:sz="0" w:space="0" w:color="auto"/>
                    <w:left w:val="none" w:sz="0" w:space="0" w:color="auto"/>
                    <w:bottom w:val="none" w:sz="0" w:space="0" w:color="auto"/>
                    <w:right w:val="none" w:sz="0" w:space="0" w:color="auto"/>
                  </w:divBdr>
                  <w:divsChild>
                    <w:div w:id="15296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4078">
      <w:bodyDiv w:val="1"/>
      <w:marLeft w:val="0"/>
      <w:marRight w:val="0"/>
      <w:marTop w:val="0"/>
      <w:marBottom w:val="0"/>
      <w:divBdr>
        <w:top w:val="none" w:sz="0" w:space="0" w:color="auto"/>
        <w:left w:val="none" w:sz="0" w:space="0" w:color="auto"/>
        <w:bottom w:val="none" w:sz="0" w:space="0" w:color="auto"/>
        <w:right w:val="none" w:sz="0" w:space="0" w:color="auto"/>
      </w:divBdr>
      <w:divsChild>
        <w:div w:id="675961532">
          <w:marLeft w:val="0"/>
          <w:marRight w:val="0"/>
          <w:marTop w:val="0"/>
          <w:marBottom w:val="0"/>
          <w:divBdr>
            <w:top w:val="none" w:sz="0" w:space="0" w:color="auto"/>
            <w:left w:val="none" w:sz="0" w:space="0" w:color="auto"/>
            <w:bottom w:val="none" w:sz="0" w:space="0" w:color="auto"/>
            <w:right w:val="none" w:sz="0" w:space="0" w:color="auto"/>
          </w:divBdr>
          <w:divsChild>
            <w:div w:id="875432892">
              <w:marLeft w:val="0"/>
              <w:marRight w:val="0"/>
              <w:marTop w:val="0"/>
              <w:marBottom w:val="0"/>
              <w:divBdr>
                <w:top w:val="none" w:sz="0" w:space="0" w:color="auto"/>
                <w:left w:val="none" w:sz="0" w:space="0" w:color="auto"/>
                <w:bottom w:val="none" w:sz="0" w:space="0" w:color="auto"/>
                <w:right w:val="none" w:sz="0" w:space="0" w:color="auto"/>
              </w:divBdr>
              <w:divsChild>
                <w:div w:id="12841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440">
      <w:bodyDiv w:val="1"/>
      <w:marLeft w:val="0"/>
      <w:marRight w:val="0"/>
      <w:marTop w:val="0"/>
      <w:marBottom w:val="0"/>
      <w:divBdr>
        <w:top w:val="none" w:sz="0" w:space="0" w:color="auto"/>
        <w:left w:val="none" w:sz="0" w:space="0" w:color="auto"/>
        <w:bottom w:val="none" w:sz="0" w:space="0" w:color="auto"/>
        <w:right w:val="none" w:sz="0" w:space="0" w:color="auto"/>
      </w:divBdr>
      <w:divsChild>
        <w:div w:id="414859028">
          <w:marLeft w:val="0"/>
          <w:marRight w:val="0"/>
          <w:marTop w:val="0"/>
          <w:marBottom w:val="0"/>
          <w:divBdr>
            <w:top w:val="none" w:sz="0" w:space="0" w:color="auto"/>
            <w:left w:val="none" w:sz="0" w:space="0" w:color="auto"/>
            <w:bottom w:val="none" w:sz="0" w:space="0" w:color="auto"/>
            <w:right w:val="none" w:sz="0" w:space="0" w:color="auto"/>
          </w:divBdr>
          <w:divsChild>
            <w:div w:id="1413165574">
              <w:marLeft w:val="0"/>
              <w:marRight w:val="0"/>
              <w:marTop w:val="0"/>
              <w:marBottom w:val="0"/>
              <w:divBdr>
                <w:top w:val="none" w:sz="0" w:space="0" w:color="auto"/>
                <w:left w:val="none" w:sz="0" w:space="0" w:color="auto"/>
                <w:bottom w:val="none" w:sz="0" w:space="0" w:color="auto"/>
                <w:right w:val="none" w:sz="0" w:space="0" w:color="auto"/>
              </w:divBdr>
              <w:divsChild>
                <w:div w:id="12733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485">
      <w:bodyDiv w:val="1"/>
      <w:marLeft w:val="0"/>
      <w:marRight w:val="0"/>
      <w:marTop w:val="0"/>
      <w:marBottom w:val="0"/>
      <w:divBdr>
        <w:top w:val="none" w:sz="0" w:space="0" w:color="auto"/>
        <w:left w:val="none" w:sz="0" w:space="0" w:color="auto"/>
        <w:bottom w:val="none" w:sz="0" w:space="0" w:color="auto"/>
        <w:right w:val="none" w:sz="0" w:space="0" w:color="auto"/>
      </w:divBdr>
      <w:divsChild>
        <w:div w:id="760299988">
          <w:marLeft w:val="0"/>
          <w:marRight w:val="0"/>
          <w:marTop w:val="0"/>
          <w:marBottom w:val="0"/>
          <w:divBdr>
            <w:top w:val="none" w:sz="0" w:space="0" w:color="auto"/>
            <w:left w:val="none" w:sz="0" w:space="0" w:color="auto"/>
            <w:bottom w:val="none" w:sz="0" w:space="0" w:color="auto"/>
            <w:right w:val="none" w:sz="0" w:space="0" w:color="auto"/>
          </w:divBdr>
          <w:divsChild>
            <w:div w:id="646978346">
              <w:marLeft w:val="0"/>
              <w:marRight w:val="0"/>
              <w:marTop w:val="0"/>
              <w:marBottom w:val="0"/>
              <w:divBdr>
                <w:top w:val="none" w:sz="0" w:space="0" w:color="auto"/>
                <w:left w:val="none" w:sz="0" w:space="0" w:color="auto"/>
                <w:bottom w:val="none" w:sz="0" w:space="0" w:color="auto"/>
                <w:right w:val="none" w:sz="0" w:space="0" w:color="auto"/>
              </w:divBdr>
              <w:divsChild>
                <w:div w:id="5882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98630">
      <w:bodyDiv w:val="1"/>
      <w:marLeft w:val="0"/>
      <w:marRight w:val="0"/>
      <w:marTop w:val="0"/>
      <w:marBottom w:val="0"/>
      <w:divBdr>
        <w:top w:val="none" w:sz="0" w:space="0" w:color="auto"/>
        <w:left w:val="none" w:sz="0" w:space="0" w:color="auto"/>
        <w:bottom w:val="none" w:sz="0" w:space="0" w:color="auto"/>
        <w:right w:val="none" w:sz="0" w:space="0" w:color="auto"/>
      </w:divBdr>
      <w:divsChild>
        <w:div w:id="256713617">
          <w:marLeft w:val="0"/>
          <w:marRight w:val="0"/>
          <w:marTop w:val="0"/>
          <w:marBottom w:val="0"/>
          <w:divBdr>
            <w:top w:val="none" w:sz="0" w:space="0" w:color="auto"/>
            <w:left w:val="none" w:sz="0" w:space="0" w:color="auto"/>
            <w:bottom w:val="none" w:sz="0" w:space="0" w:color="auto"/>
            <w:right w:val="none" w:sz="0" w:space="0" w:color="auto"/>
          </w:divBdr>
          <w:divsChild>
            <w:div w:id="2066293626">
              <w:marLeft w:val="0"/>
              <w:marRight w:val="0"/>
              <w:marTop w:val="0"/>
              <w:marBottom w:val="0"/>
              <w:divBdr>
                <w:top w:val="none" w:sz="0" w:space="0" w:color="auto"/>
                <w:left w:val="none" w:sz="0" w:space="0" w:color="auto"/>
                <w:bottom w:val="none" w:sz="0" w:space="0" w:color="auto"/>
                <w:right w:val="none" w:sz="0" w:space="0" w:color="auto"/>
              </w:divBdr>
              <w:divsChild>
                <w:div w:id="15228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5927">
      <w:bodyDiv w:val="1"/>
      <w:marLeft w:val="0"/>
      <w:marRight w:val="0"/>
      <w:marTop w:val="0"/>
      <w:marBottom w:val="0"/>
      <w:divBdr>
        <w:top w:val="none" w:sz="0" w:space="0" w:color="auto"/>
        <w:left w:val="none" w:sz="0" w:space="0" w:color="auto"/>
        <w:bottom w:val="none" w:sz="0" w:space="0" w:color="auto"/>
        <w:right w:val="none" w:sz="0" w:space="0" w:color="auto"/>
      </w:divBdr>
      <w:divsChild>
        <w:div w:id="1773822710">
          <w:marLeft w:val="0"/>
          <w:marRight w:val="0"/>
          <w:marTop w:val="0"/>
          <w:marBottom w:val="0"/>
          <w:divBdr>
            <w:top w:val="none" w:sz="0" w:space="0" w:color="auto"/>
            <w:left w:val="none" w:sz="0" w:space="0" w:color="auto"/>
            <w:bottom w:val="none" w:sz="0" w:space="0" w:color="auto"/>
            <w:right w:val="none" w:sz="0" w:space="0" w:color="auto"/>
          </w:divBdr>
          <w:divsChild>
            <w:div w:id="1376923784">
              <w:marLeft w:val="0"/>
              <w:marRight w:val="0"/>
              <w:marTop w:val="0"/>
              <w:marBottom w:val="0"/>
              <w:divBdr>
                <w:top w:val="none" w:sz="0" w:space="0" w:color="auto"/>
                <w:left w:val="none" w:sz="0" w:space="0" w:color="auto"/>
                <w:bottom w:val="none" w:sz="0" w:space="0" w:color="auto"/>
                <w:right w:val="none" w:sz="0" w:space="0" w:color="auto"/>
              </w:divBdr>
              <w:divsChild>
                <w:div w:id="2031713137">
                  <w:marLeft w:val="0"/>
                  <w:marRight w:val="0"/>
                  <w:marTop w:val="0"/>
                  <w:marBottom w:val="0"/>
                  <w:divBdr>
                    <w:top w:val="none" w:sz="0" w:space="0" w:color="auto"/>
                    <w:left w:val="none" w:sz="0" w:space="0" w:color="auto"/>
                    <w:bottom w:val="none" w:sz="0" w:space="0" w:color="auto"/>
                    <w:right w:val="none" w:sz="0" w:space="0" w:color="auto"/>
                  </w:divBdr>
                  <w:divsChild>
                    <w:div w:id="411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1716">
      <w:bodyDiv w:val="1"/>
      <w:marLeft w:val="0"/>
      <w:marRight w:val="0"/>
      <w:marTop w:val="0"/>
      <w:marBottom w:val="0"/>
      <w:divBdr>
        <w:top w:val="none" w:sz="0" w:space="0" w:color="auto"/>
        <w:left w:val="none" w:sz="0" w:space="0" w:color="auto"/>
        <w:bottom w:val="none" w:sz="0" w:space="0" w:color="auto"/>
        <w:right w:val="none" w:sz="0" w:space="0" w:color="auto"/>
      </w:divBdr>
      <w:divsChild>
        <w:div w:id="1749762076">
          <w:marLeft w:val="0"/>
          <w:marRight w:val="0"/>
          <w:marTop w:val="0"/>
          <w:marBottom w:val="0"/>
          <w:divBdr>
            <w:top w:val="none" w:sz="0" w:space="0" w:color="auto"/>
            <w:left w:val="none" w:sz="0" w:space="0" w:color="auto"/>
            <w:bottom w:val="none" w:sz="0" w:space="0" w:color="auto"/>
            <w:right w:val="none" w:sz="0" w:space="0" w:color="auto"/>
          </w:divBdr>
          <w:divsChild>
            <w:div w:id="1454247663">
              <w:marLeft w:val="0"/>
              <w:marRight w:val="0"/>
              <w:marTop w:val="0"/>
              <w:marBottom w:val="0"/>
              <w:divBdr>
                <w:top w:val="none" w:sz="0" w:space="0" w:color="auto"/>
                <w:left w:val="none" w:sz="0" w:space="0" w:color="auto"/>
                <w:bottom w:val="none" w:sz="0" w:space="0" w:color="auto"/>
                <w:right w:val="none" w:sz="0" w:space="0" w:color="auto"/>
              </w:divBdr>
              <w:divsChild>
                <w:div w:id="6030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56649">
      <w:bodyDiv w:val="1"/>
      <w:marLeft w:val="0"/>
      <w:marRight w:val="0"/>
      <w:marTop w:val="0"/>
      <w:marBottom w:val="0"/>
      <w:divBdr>
        <w:top w:val="none" w:sz="0" w:space="0" w:color="auto"/>
        <w:left w:val="none" w:sz="0" w:space="0" w:color="auto"/>
        <w:bottom w:val="none" w:sz="0" w:space="0" w:color="auto"/>
        <w:right w:val="none" w:sz="0" w:space="0" w:color="auto"/>
      </w:divBdr>
      <w:divsChild>
        <w:div w:id="57166243">
          <w:marLeft w:val="0"/>
          <w:marRight w:val="0"/>
          <w:marTop w:val="0"/>
          <w:marBottom w:val="0"/>
          <w:divBdr>
            <w:top w:val="none" w:sz="0" w:space="0" w:color="auto"/>
            <w:left w:val="none" w:sz="0" w:space="0" w:color="auto"/>
            <w:bottom w:val="none" w:sz="0" w:space="0" w:color="auto"/>
            <w:right w:val="none" w:sz="0" w:space="0" w:color="auto"/>
          </w:divBdr>
          <w:divsChild>
            <w:div w:id="967736202">
              <w:marLeft w:val="0"/>
              <w:marRight w:val="0"/>
              <w:marTop w:val="0"/>
              <w:marBottom w:val="0"/>
              <w:divBdr>
                <w:top w:val="none" w:sz="0" w:space="0" w:color="auto"/>
                <w:left w:val="none" w:sz="0" w:space="0" w:color="auto"/>
                <w:bottom w:val="none" w:sz="0" w:space="0" w:color="auto"/>
                <w:right w:val="none" w:sz="0" w:space="0" w:color="auto"/>
              </w:divBdr>
              <w:divsChild>
                <w:div w:id="3867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562">
      <w:bodyDiv w:val="1"/>
      <w:marLeft w:val="0"/>
      <w:marRight w:val="0"/>
      <w:marTop w:val="0"/>
      <w:marBottom w:val="0"/>
      <w:divBdr>
        <w:top w:val="none" w:sz="0" w:space="0" w:color="auto"/>
        <w:left w:val="none" w:sz="0" w:space="0" w:color="auto"/>
        <w:bottom w:val="none" w:sz="0" w:space="0" w:color="auto"/>
        <w:right w:val="none" w:sz="0" w:space="0" w:color="auto"/>
      </w:divBdr>
      <w:divsChild>
        <w:div w:id="496071202">
          <w:marLeft w:val="0"/>
          <w:marRight w:val="0"/>
          <w:marTop w:val="0"/>
          <w:marBottom w:val="0"/>
          <w:divBdr>
            <w:top w:val="none" w:sz="0" w:space="0" w:color="auto"/>
            <w:left w:val="none" w:sz="0" w:space="0" w:color="auto"/>
            <w:bottom w:val="none" w:sz="0" w:space="0" w:color="auto"/>
            <w:right w:val="none" w:sz="0" w:space="0" w:color="auto"/>
          </w:divBdr>
          <w:divsChild>
            <w:div w:id="837189278">
              <w:marLeft w:val="0"/>
              <w:marRight w:val="0"/>
              <w:marTop w:val="0"/>
              <w:marBottom w:val="0"/>
              <w:divBdr>
                <w:top w:val="none" w:sz="0" w:space="0" w:color="auto"/>
                <w:left w:val="none" w:sz="0" w:space="0" w:color="auto"/>
                <w:bottom w:val="none" w:sz="0" w:space="0" w:color="auto"/>
                <w:right w:val="none" w:sz="0" w:space="0" w:color="auto"/>
              </w:divBdr>
              <w:divsChild>
                <w:div w:id="160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5025">
      <w:bodyDiv w:val="1"/>
      <w:marLeft w:val="0"/>
      <w:marRight w:val="0"/>
      <w:marTop w:val="0"/>
      <w:marBottom w:val="0"/>
      <w:divBdr>
        <w:top w:val="none" w:sz="0" w:space="0" w:color="auto"/>
        <w:left w:val="none" w:sz="0" w:space="0" w:color="auto"/>
        <w:bottom w:val="none" w:sz="0" w:space="0" w:color="auto"/>
        <w:right w:val="none" w:sz="0" w:space="0" w:color="auto"/>
      </w:divBdr>
      <w:divsChild>
        <w:div w:id="1450777096">
          <w:marLeft w:val="0"/>
          <w:marRight w:val="0"/>
          <w:marTop w:val="0"/>
          <w:marBottom w:val="0"/>
          <w:divBdr>
            <w:top w:val="none" w:sz="0" w:space="0" w:color="auto"/>
            <w:left w:val="none" w:sz="0" w:space="0" w:color="auto"/>
            <w:bottom w:val="none" w:sz="0" w:space="0" w:color="auto"/>
            <w:right w:val="none" w:sz="0" w:space="0" w:color="auto"/>
          </w:divBdr>
          <w:divsChild>
            <w:div w:id="1943877171">
              <w:marLeft w:val="0"/>
              <w:marRight w:val="0"/>
              <w:marTop w:val="0"/>
              <w:marBottom w:val="0"/>
              <w:divBdr>
                <w:top w:val="none" w:sz="0" w:space="0" w:color="auto"/>
                <w:left w:val="none" w:sz="0" w:space="0" w:color="auto"/>
                <w:bottom w:val="none" w:sz="0" w:space="0" w:color="auto"/>
                <w:right w:val="none" w:sz="0" w:space="0" w:color="auto"/>
              </w:divBdr>
              <w:divsChild>
                <w:div w:id="9879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42230">
      <w:bodyDiv w:val="1"/>
      <w:marLeft w:val="0"/>
      <w:marRight w:val="0"/>
      <w:marTop w:val="0"/>
      <w:marBottom w:val="0"/>
      <w:divBdr>
        <w:top w:val="none" w:sz="0" w:space="0" w:color="auto"/>
        <w:left w:val="none" w:sz="0" w:space="0" w:color="auto"/>
        <w:bottom w:val="none" w:sz="0" w:space="0" w:color="auto"/>
        <w:right w:val="none" w:sz="0" w:space="0" w:color="auto"/>
      </w:divBdr>
      <w:divsChild>
        <w:div w:id="1510289576">
          <w:marLeft w:val="0"/>
          <w:marRight w:val="0"/>
          <w:marTop w:val="0"/>
          <w:marBottom w:val="0"/>
          <w:divBdr>
            <w:top w:val="none" w:sz="0" w:space="0" w:color="auto"/>
            <w:left w:val="none" w:sz="0" w:space="0" w:color="auto"/>
            <w:bottom w:val="none" w:sz="0" w:space="0" w:color="auto"/>
            <w:right w:val="none" w:sz="0" w:space="0" w:color="auto"/>
          </w:divBdr>
          <w:divsChild>
            <w:div w:id="1812750241">
              <w:marLeft w:val="0"/>
              <w:marRight w:val="0"/>
              <w:marTop w:val="0"/>
              <w:marBottom w:val="0"/>
              <w:divBdr>
                <w:top w:val="none" w:sz="0" w:space="0" w:color="auto"/>
                <w:left w:val="none" w:sz="0" w:space="0" w:color="auto"/>
                <w:bottom w:val="none" w:sz="0" w:space="0" w:color="auto"/>
                <w:right w:val="none" w:sz="0" w:space="0" w:color="auto"/>
              </w:divBdr>
              <w:divsChild>
                <w:div w:id="10972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8656">
      <w:bodyDiv w:val="1"/>
      <w:marLeft w:val="0"/>
      <w:marRight w:val="0"/>
      <w:marTop w:val="0"/>
      <w:marBottom w:val="0"/>
      <w:divBdr>
        <w:top w:val="none" w:sz="0" w:space="0" w:color="auto"/>
        <w:left w:val="none" w:sz="0" w:space="0" w:color="auto"/>
        <w:bottom w:val="none" w:sz="0" w:space="0" w:color="auto"/>
        <w:right w:val="none" w:sz="0" w:space="0" w:color="auto"/>
      </w:divBdr>
      <w:divsChild>
        <w:div w:id="282081068">
          <w:marLeft w:val="0"/>
          <w:marRight w:val="0"/>
          <w:marTop w:val="0"/>
          <w:marBottom w:val="0"/>
          <w:divBdr>
            <w:top w:val="none" w:sz="0" w:space="0" w:color="auto"/>
            <w:left w:val="none" w:sz="0" w:space="0" w:color="auto"/>
            <w:bottom w:val="none" w:sz="0" w:space="0" w:color="auto"/>
            <w:right w:val="none" w:sz="0" w:space="0" w:color="auto"/>
          </w:divBdr>
          <w:divsChild>
            <w:div w:id="327900570">
              <w:marLeft w:val="0"/>
              <w:marRight w:val="0"/>
              <w:marTop w:val="0"/>
              <w:marBottom w:val="0"/>
              <w:divBdr>
                <w:top w:val="none" w:sz="0" w:space="0" w:color="auto"/>
                <w:left w:val="none" w:sz="0" w:space="0" w:color="auto"/>
                <w:bottom w:val="none" w:sz="0" w:space="0" w:color="auto"/>
                <w:right w:val="none" w:sz="0" w:space="0" w:color="auto"/>
              </w:divBdr>
              <w:divsChild>
                <w:div w:id="3568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6030">
      <w:bodyDiv w:val="1"/>
      <w:marLeft w:val="0"/>
      <w:marRight w:val="0"/>
      <w:marTop w:val="0"/>
      <w:marBottom w:val="0"/>
      <w:divBdr>
        <w:top w:val="none" w:sz="0" w:space="0" w:color="auto"/>
        <w:left w:val="none" w:sz="0" w:space="0" w:color="auto"/>
        <w:bottom w:val="none" w:sz="0" w:space="0" w:color="auto"/>
        <w:right w:val="none" w:sz="0" w:space="0" w:color="auto"/>
      </w:divBdr>
      <w:divsChild>
        <w:div w:id="285046407">
          <w:marLeft w:val="0"/>
          <w:marRight w:val="0"/>
          <w:marTop w:val="0"/>
          <w:marBottom w:val="0"/>
          <w:divBdr>
            <w:top w:val="none" w:sz="0" w:space="0" w:color="auto"/>
            <w:left w:val="none" w:sz="0" w:space="0" w:color="auto"/>
            <w:bottom w:val="none" w:sz="0" w:space="0" w:color="auto"/>
            <w:right w:val="none" w:sz="0" w:space="0" w:color="auto"/>
          </w:divBdr>
          <w:divsChild>
            <w:div w:id="1409771664">
              <w:marLeft w:val="0"/>
              <w:marRight w:val="0"/>
              <w:marTop w:val="0"/>
              <w:marBottom w:val="0"/>
              <w:divBdr>
                <w:top w:val="none" w:sz="0" w:space="0" w:color="auto"/>
                <w:left w:val="none" w:sz="0" w:space="0" w:color="auto"/>
                <w:bottom w:val="none" w:sz="0" w:space="0" w:color="auto"/>
                <w:right w:val="none" w:sz="0" w:space="0" w:color="auto"/>
              </w:divBdr>
              <w:divsChild>
                <w:div w:id="1431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2957">
      <w:bodyDiv w:val="1"/>
      <w:marLeft w:val="0"/>
      <w:marRight w:val="0"/>
      <w:marTop w:val="0"/>
      <w:marBottom w:val="0"/>
      <w:divBdr>
        <w:top w:val="none" w:sz="0" w:space="0" w:color="auto"/>
        <w:left w:val="none" w:sz="0" w:space="0" w:color="auto"/>
        <w:bottom w:val="none" w:sz="0" w:space="0" w:color="auto"/>
        <w:right w:val="none" w:sz="0" w:space="0" w:color="auto"/>
      </w:divBdr>
      <w:divsChild>
        <w:div w:id="1591888876">
          <w:marLeft w:val="0"/>
          <w:marRight w:val="0"/>
          <w:marTop w:val="0"/>
          <w:marBottom w:val="0"/>
          <w:divBdr>
            <w:top w:val="none" w:sz="0" w:space="0" w:color="auto"/>
            <w:left w:val="none" w:sz="0" w:space="0" w:color="auto"/>
            <w:bottom w:val="none" w:sz="0" w:space="0" w:color="auto"/>
            <w:right w:val="none" w:sz="0" w:space="0" w:color="auto"/>
          </w:divBdr>
          <w:divsChild>
            <w:div w:id="291254471">
              <w:marLeft w:val="0"/>
              <w:marRight w:val="0"/>
              <w:marTop w:val="0"/>
              <w:marBottom w:val="0"/>
              <w:divBdr>
                <w:top w:val="none" w:sz="0" w:space="0" w:color="auto"/>
                <w:left w:val="none" w:sz="0" w:space="0" w:color="auto"/>
                <w:bottom w:val="none" w:sz="0" w:space="0" w:color="auto"/>
                <w:right w:val="none" w:sz="0" w:space="0" w:color="auto"/>
              </w:divBdr>
              <w:divsChild>
                <w:div w:id="4919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2701">
      <w:bodyDiv w:val="1"/>
      <w:marLeft w:val="0"/>
      <w:marRight w:val="0"/>
      <w:marTop w:val="0"/>
      <w:marBottom w:val="0"/>
      <w:divBdr>
        <w:top w:val="none" w:sz="0" w:space="0" w:color="auto"/>
        <w:left w:val="none" w:sz="0" w:space="0" w:color="auto"/>
        <w:bottom w:val="none" w:sz="0" w:space="0" w:color="auto"/>
        <w:right w:val="none" w:sz="0" w:space="0" w:color="auto"/>
      </w:divBdr>
      <w:divsChild>
        <w:div w:id="1509977094">
          <w:marLeft w:val="0"/>
          <w:marRight w:val="0"/>
          <w:marTop w:val="0"/>
          <w:marBottom w:val="0"/>
          <w:divBdr>
            <w:top w:val="none" w:sz="0" w:space="0" w:color="auto"/>
            <w:left w:val="none" w:sz="0" w:space="0" w:color="auto"/>
            <w:bottom w:val="none" w:sz="0" w:space="0" w:color="auto"/>
            <w:right w:val="none" w:sz="0" w:space="0" w:color="auto"/>
          </w:divBdr>
          <w:divsChild>
            <w:div w:id="1798834299">
              <w:marLeft w:val="0"/>
              <w:marRight w:val="0"/>
              <w:marTop w:val="0"/>
              <w:marBottom w:val="0"/>
              <w:divBdr>
                <w:top w:val="none" w:sz="0" w:space="0" w:color="auto"/>
                <w:left w:val="none" w:sz="0" w:space="0" w:color="auto"/>
                <w:bottom w:val="none" w:sz="0" w:space="0" w:color="auto"/>
                <w:right w:val="none" w:sz="0" w:space="0" w:color="auto"/>
              </w:divBdr>
              <w:divsChild>
                <w:div w:id="7481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4170">
      <w:bodyDiv w:val="1"/>
      <w:marLeft w:val="0"/>
      <w:marRight w:val="0"/>
      <w:marTop w:val="0"/>
      <w:marBottom w:val="0"/>
      <w:divBdr>
        <w:top w:val="none" w:sz="0" w:space="0" w:color="auto"/>
        <w:left w:val="none" w:sz="0" w:space="0" w:color="auto"/>
        <w:bottom w:val="none" w:sz="0" w:space="0" w:color="auto"/>
        <w:right w:val="none" w:sz="0" w:space="0" w:color="auto"/>
      </w:divBdr>
      <w:divsChild>
        <w:div w:id="1911425213">
          <w:marLeft w:val="0"/>
          <w:marRight w:val="0"/>
          <w:marTop w:val="0"/>
          <w:marBottom w:val="0"/>
          <w:divBdr>
            <w:top w:val="none" w:sz="0" w:space="0" w:color="auto"/>
            <w:left w:val="none" w:sz="0" w:space="0" w:color="auto"/>
            <w:bottom w:val="none" w:sz="0" w:space="0" w:color="auto"/>
            <w:right w:val="none" w:sz="0" w:space="0" w:color="auto"/>
          </w:divBdr>
          <w:divsChild>
            <w:div w:id="1110517339">
              <w:marLeft w:val="0"/>
              <w:marRight w:val="0"/>
              <w:marTop w:val="0"/>
              <w:marBottom w:val="0"/>
              <w:divBdr>
                <w:top w:val="none" w:sz="0" w:space="0" w:color="auto"/>
                <w:left w:val="none" w:sz="0" w:space="0" w:color="auto"/>
                <w:bottom w:val="none" w:sz="0" w:space="0" w:color="auto"/>
                <w:right w:val="none" w:sz="0" w:space="0" w:color="auto"/>
              </w:divBdr>
              <w:divsChild>
                <w:div w:id="1727096200">
                  <w:marLeft w:val="0"/>
                  <w:marRight w:val="0"/>
                  <w:marTop w:val="0"/>
                  <w:marBottom w:val="0"/>
                  <w:divBdr>
                    <w:top w:val="none" w:sz="0" w:space="0" w:color="auto"/>
                    <w:left w:val="none" w:sz="0" w:space="0" w:color="auto"/>
                    <w:bottom w:val="none" w:sz="0" w:space="0" w:color="auto"/>
                    <w:right w:val="none" w:sz="0" w:space="0" w:color="auto"/>
                  </w:divBdr>
                  <w:divsChild>
                    <w:div w:id="12223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9424">
      <w:bodyDiv w:val="1"/>
      <w:marLeft w:val="0"/>
      <w:marRight w:val="0"/>
      <w:marTop w:val="0"/>
      <w:marBottom w:val="0"/>
      <w:divBdr>
        <w:top w:val="none" w:sz="0" w:space="0" w:color="auto"/>
        <w:left w:val="none" w:sz="0" w:space="0" w:color="auto"/>
        <w:bottom w:val="none" w:sz="0" w:space="0" w:color="auto"/>
        <w:right w:val="none" w:sz="0" w:space="0" w:color="auto"/>
      </w:divBdr>
      <w:divsChild>
        <w:div w:id="1400324312">
          <w:marLeft w:val="0"/>
          <w:marRight w:val="0"/>
          <w:marTop w:val="0"/>
          <w:marBottom w:val="0"/>
          <w:divBdr>
            <w:top w:val="none" w:sz="0" w:space="0" w:color="auto"/>
            <w:left w:val="none" w:sz="0" w:space="0" w:color="auto"/>
            <w:bottom w:val="none" w:sz="0" w:space="0" w:color="auto"/>
            <w:right w:val="none" w:sz="0" w:space="0" w:color="auto"/>
          </w:divBdr>
          <w:divsChild>
            <w:div w:id="371687028">
              <w:marLeft w:val="0"/>
              <w:marRight w:val="0"/>
              <w:marTop w:val="0"/>
              <w:marBottom w:val="0"/>
              <w:divBdr>
                <w:top w:val="none" w:sz="0" w:space="0" w:color="auto"/>
                <w:left w:val="none" w:sz="0" w:space="0" w:color="auto"/>
                <w:bottom w:val="none" w:sz="0" w:space="0" w:color="auto"/>
                <w:right w:val="none" w:sz="0" w:space="0" w:color="auto"/>
              </w:divBdr>
              <w:divsChild>
                <w:div w:id="11225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34641">
      <w:bodyDiv w:val="1"/>
      <w:marLeft w:val="0"/>
      <w:marRight w:val="0"/>
      <w:marTop w:val="0"/>
      <w:marBottom w:val="0"/>
      <w:divBdr>
        <w:top w:val="none" w:sz="0" w:space="0" w:color="auto"/>
        <w:left w:val="none" w:sz="0" w:space="0" w:color="auto"/>
        <w:bottom w:val="none" w:sz="0" w:space="0" w:color="auto"/>
        <w:right w:val="none" w:sz="0" w:space="0" w:color="auto"/>
      </w:divBdr>
      <w:divsChild>
        <w:div w:id="1478574093">
          <w:marLeft w:val="0"/>
          <w:marRight w:val="0"/>
          <w:marTop w:val="0"/>
          <w:marBottom w:val="0"/>
          <w:divBdr>
            <w:top w:val="none" w:sz="0" w:space="0" w:color="auto"/>
            <w:left w:val="none" w:sz="0" w:space="0" w:color="auto"/>
            <w:bottom w:val="none" w:sz="0" w:space="0" w:color="auto"/>
            <w:right w:val="none" w:sz="0" w:space="0" w:color="auto"/>
          </w:divBdr>
          <w:divsChild>
            <w:div w:id="1935161177">
              <w:marLeft w:val="0"/>
              <w:marRight w:val="0"/>
              <w:marTop w:val="0"/>
              <w:marBottom w:val="0"/>
              <w:divBdr>
                <w:top w:val="none" w:sz="0" w:space="0" w:color="auto"/>
                <w:left w:val="none" w:sz="0" w:space="0" w:color="auto"/>
                <w:bottom w:val="none" w:sz="0" w:space="0" w:color="auto"/>
                <w:right w:val="none" w:sz="0" w:space="0" w:color="auto"/>
              </w:divBdr>
              <w:divsChild>
                <w:div w:id="2009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683">
      <w:bodyDiv w:val="1"/>
      <w:marLeft w:val="0"/>
      <w:marRight w:val="0"/>
      <w:marTop w:val="0"/>
      <w:marBottom w:val="0"/>
      <w:divBdr>
        <w:top w:val="none" w:sz="0" w:space="0" w:color="auto"/>
        <w:left w:val="none" w:sz="0" w:space="0" w:color="auto"/>
        <w:bottom w:val="none" w:sz="0" w:space="0" w:color="auto"/>
        <w:right w:val="none" w:sz="0" w:space="0" w:color="auto"/>
      </w:divBdr>
      <w:divsChild>
        <w:div w:id="389891976">
          <w:marLeft w:val="0"/>
          <w:marRight w:val="0"/>
          <w:marTop w:val="0"/>
          <w:marBottom w:val="0"/>
          <w:divBdr>
            <w:top w:val="none" w:sz="0" w:space="0" w:color="auto"/>
            <w:left w:val="none" w:sz="0" w:space="0" w:color="auto"/>
            <w:bottom w:val="none" w:sz="0" w:space="0" w:color="auto"/>
            <w:right w:val="none" w:sz="0" w:space="0" w:color="auto"/>
          </w:divBdr>
          <w:divsChild>
            <w:div w:id="969433676">
              <w:marLeft w:val="0"/>
              <w:marRight w:val="0"/>
              <w:marTop w:val="0"/>
              <w:marBottom w:val="0"/>
              <w:divBdr>
                <w:top w:val="none" w:sz="0" w:space="0" w:color="auto"/>
                <w:left w:val="none" w:sz="0" w:space="0" w:color="auto"/>
                <w:bottom w:val="none" w:sz="0" w:space="0" w:color="auto"/>
                <w:right w:val="none" w:sz="0" w:space="0" w:color="auto"/>
              </w:divBdr>
              <w:divsChild>
                <w:div w:id="4703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0774">
      <w:bodyDiv w:val="1"/>
      <w:marLeft w:val="0"/>
      <w:marRight w:val="0"/>
      <w:marTop w:val="0"/>
      <w:marBottom w:val="0"/>
      <w:divBdr>
        <w:top w:val="none" w:sz="0" w:space="0" w:color="auto"/>
        <w:left w:val="none" w:sz="0" w:space="0" w:color="auto"/>
        <w:bottom w:val="none" w:sz="0" w:space="0" w:color="auto"/>
        <w:right w:val="none" w:sz="0" w:space="0" w:color="auto"/>
      </w:divBdr>
      <w:divsChild>
        <w:div w:id="1013264970">
          <w:marLeft w:val="0"/>
          <w:marRight w:val="0"/>
          <w:marTop w:val="0"/>
          <w:marBottom w:val="0"/>
          <w:divBdr>
            <w:top w:val="none" w:sz="0" w:space="0" w:color="auto"/>
            <w:left w:val="none" w:sz="0" w:space="0" w:color="auto"/>
            <w:bottom w:val="none" w:sz="0" w:space="0" w:color="auto"/>
            <w:right w:val="none" w:sz="0" w:space="0" w:color="auto"/>
          </w:divBdr>
          <w:divsChild>
            <w:div w:id="1238368818">
              <w:marLeft w:val="0"/>
              <w:marRight w:val="0"/>
              <w:marTop w:val="0"/>
              <w:marBottom w:val="0"/>
              <w:divBdr>
                <w:top w:val="none" w:sz="0" w:space="0" w:color="auto"/>
                <w:left w:val="none" w:sz="0" w:space="0" w:color="auto"/>
                <w:bottom w:val="none" w:sz="0" w:space="0" w:color="auto"/>
                <w:right w:val="none" w:sz="0" w:space="0" w:color="auto"/>
              </w:divBdr>
              <w:divsChild>
                <w:div w:id="15428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0167">
      <w:bodyDiv w:val="1"/>
      <w:marLeft w:val="0"/>
      <w:marRight w:val="0"/>
      <w:marTop w:val="0"/>
      <w:marBottom w:val="0"/>
      <w:divBdr>
        <w:top w:val="none" w:sz="0" w:space="0" w:color="auto"/>
        <w:left w:val="none" w:sz="0" w:space="0" w:color="auto"/>
        <w:bottom w:val="none" w:sz="0" w:space="0" w:color="auto"/>
        <w:right w:val="none" w:sz="0" w:space="0" w:color="auto"/>
      </w:divBdr>
      <w:divsChild>
        <w:div w:id="924531488">
          <w:marLeft w:val="0"/>
          <w:marRight w:val="0"/>
          <w:marTop w:val="0"/>
          <w:marBottom w:val="0"/>
          <w:divBdr>
            <w:top w:val="none" w:sz="0" w:space="0" w:color="auto"/>
            <w:left w:val="none" w:sz="0" w:space="0" w:color="auto"/>
            <w:bottom w:val="none" w:sz="0" w:space="0" w:color="auto"/>
            <w:right w:val="none" w:sz="0" w:space="0" w:color="auto"/>
          </w:divBdr>
          <w:divsChild>
            <w:div w:id="713239696">
              <w:marLeft w:val="0"/>
              <w:marRight w:val="0"/>
              <w:marTop w:val="0"/>
              <w:marBottom w:val="0"/>
              <w:divBdr>
                <w:top w:val="none" w:sz="0" w:space="0" w:color="auto"/>
                <w:left w:val="none" w:sz="0" w:space="0" w:color="auto"/>
                <w:bottom w:val="none" w:sz="0" w:space="0" w:color="auto"/>
                <w:right w:val="none" w:sz="0" w:space="0" w:color="auto"/>
              </w:divBdr>
              <w:divsChild>
                <w:div w:id="3099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1745">
      <w:bodyDiv w:val="1"/>
      <w:marLeft w:val="0"/>
      <w:marRight w:val="0"/>
      <w:marTop w:val="0"/>
      <w:marBottom w:val="0"/>
      <w:divBdr>
        <w:top w:val="none" w:sz="0" w:space="0" w:color="auto"/>
        <w:left w:val="none" w:sz="0" w:space="0" w:color="auto"/>
        <w:bottom w:val="none" w:sz="0" w:space="0" w:color="auto"/>
        <w:right w:val="none" w:sz="0" w:space="0" w:color="auto"/>
      </w:divBdr>
      <w:divsChild>
        <w:div w:id="2022583084">
          <w:marLeft w:val="0"/>
          <w:marRight w:val="0"/>
          <w:marTop w:val="0"/>
          <w:marBottom w:val="0"/>
          <w:divBdr>
            <w:top w:val="none" w:sz="0" w:space="0" w:color="auto"/>
            <w:left w:val="none" w:sz="0" w:space="0" w:color="auto"/>
            <w:bottom w:val="none" w:sz="0" w:space="0" w:color="auto"/>
            <w:right w:val="none" w:sz="0" w:space="0" w:color="auto"/>
          </w:divBdr>
          <w:divsChild>
            <w:div w:id="358049198">
              <w:marLeft w:val="0"/>
              <w:marRight w:val="0"/>
              <w:marTop w:val="0"/>
              <w:marBottom w:val="0"/>
              <w:divBdr>
                <w:top w:val="none" w:sz="0" w:space="0" w:color="auto"/>
                <w:left w:val="none" w:sz="0" w:space="0" w:color="auto"/>
                <w:bottom w:val="none" w:sz="0" w:space="0" w:color="auto"/>
                <w:right w:val="none" w:sz="0" w:space="0" w:color="auto"/>
              </w:divBdr>
              <w:divsChild>
                <w:div w:id="1058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8351">
      <w:bodyDiv w:val="1"/>
      <w:marLeft w:val="0"/>
      <w:marRight w:val="0"/>
      <w:marTop w:val="0"/>
      <w:marBottom w:val="0"/>
      <w:divBdr>
        <w:top w:val="none" w:sz="0" w:space="0" w:color="auto"/>
        <w:left w:val="none" w:sz="0" w:space="0" w:color="auto"/>
        <w:bottom w:val="none" w:sz="0" w:space="0" w:color="auto"/>
        <w:right w:val="none" w:sz="0" w:space="0" w:color="auto"/>
      </w:divBdr>
      <w:divsChild>
        <w:div w:id="1693334751">
          <w:marLeft w:val="0"/>
          <w:marRight w:val="0"/>
          <w:marTop w:val="0"/>
          <w:marBottom w:val="0"/>
          <w:divBdr>
            <w:top w:val="none" w:sz="0" w:space="0" w:color="auto"/>
            <w:left w:val="none" w:sz="0" w:space="0" w:color="auto"/>
            <w:bottom w:val="none" w:sz="0" w:space="0" w:color="auto"/>
            <w:right w:val="none" w:sz="0" w:space="0" w:color="auto"/>
          </w:divBdr>
          <w:divsChild>
            <w:div w:id="464734552">
              <w:marLeft w:val="0"/>
              <w:marRight w:val="0"/>
              <w:marTop w:val="0"/>
              <w:marBottom w:val="0"/>
              <w:divBdr>
                <w:top w:val="none" w:sz="0" w:space="0" w:color="auto"/>
                <w:left w:val="none" w:sz="0" w:space="0" w:color="auto"/>
                <w:bottom w:val="none" w:sz="0" w:space="0" w:color="auto"/>
                <w:right w:val="none" w:sz="0" w:space="0" w:color="auto"/>
              </w:divBdr>
              <w:divsChild>
                <w:div w:id="878392348">
                  <w:marLeft w:val="0"/>
                  <w:marRight w:val="0"/>
                  <w:marTop w:val="0"/>
                  <w:marBottom w:val="0"/>
                  <w:divBdr>
                    <w:top w:val="none" w:sz="0" w:space="0" w:color="auto"/>
                    <w:left w:val="none" w:sz="0" w:space="0" w:color="auto"/>
                    <w:bottom w:val="none" w:sz="0" w:space="0" w:color="auto"/>
                    <w:right w:val="none" w:sz="0" w:space="0" w:color="auto"/>
                  </w:divBdr>
                  <w:divsChild>
                    <w:div w:id="18912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1067">
      <w:bodyDiv w:val="1"/>
      <w:marLeft w:val="0"/>
      <w:marRight w:val="0"/>
      <w:marTop w:val="0"/>
      <w:marBottom w:val="0"/>
      <w:divBdr>
        <w:top w:val="none" w:sz="0" w:space="0" w:color="auto"/>
        <w:left w:val="none" w:sz="0" w:space="0" w:color="auto"/>
        <w:bottom w:val="none" w:sz="0" w:space="0" w:color="auto"/>
        <w:right w:val="none" w:sz="0" w:space="0" w:color="auto"/>
      </w:divBdr>
      <w:divsChild>
        <w:div w:id="1792164160">
          <w:marLeft w:val="0"/>
          <w:marRight w:val="0"/>
          <w:marTop w:val="0"/>
          <w:marBottom w:val="0"/>
          <w:divBdr>
            <w:top w:val="none" w:sz="0" w:space="0" w:color="auto"/>
            <w:left w:val="none" w:sz="0" w:space="0" w:color="auto"/>
            <w:bottom w:val="none" w:sz="0" w:space="0" w:color="auto"/>
            <w:right w:val="none" w:sz="0" w:space="0" w:color="auto"/>
          </w:divBdr>
          <w:divsChild>
            <w:div w:id="1110398745">
              <w:marLeft w:val="0"/>
              <w:marRight w:val="0"/>
              <w:marTop w:val="0"/>
              <w:marBottom w:val="0"/>
              <w:divBdr>
                <w:top w:val="none" w:sz="0" w:space="0" w:color="auto"/>
                <w:left w:val="none" w:sz="0" w:space="0" w:color="auto"/>
                <w:bottom w:val="none" w:sz="0" w:space="0" w:color="auto"/>
                <w:right w:val="none" w:sz="0" w:space="0" w:color="auto"/>
              </w:divBdr>
              <w:divsChild>
                <w:div w:id="3672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0422">
      <w:bodyDiv w:val="1"/>
      <w:marLeft w:val="0"/>
      <w:marRight w:val="0"/>
      <w:marTop w:val="0"/>
      <w:marBottom w:val="0"/>
      <w:divBdr>
        <w:top w:val="none" w:sz="0" w:space="0" w:color="auto"/>
        <w:left w:val="none" w:sz="0" w:space="0" w:color="auto"/>
        <w:bottom w:val="none" w:sz="0" w:space="0" w:color="auto"/>
        <w:right w:val="none" w:sz="0" w:space="0" w:color="auto"/>
      </w:divBdr>
      <w:divsChild>
        <w:div w:id="815495148">
          <w:marLeft w:val="0"/>
          <w:marRight w:val="0"/>
          <w:marTop w:val="0"/>
          <w:marBottom w:val="0"/>
          <w:divBdr>
            <w:top w:val="none" w:sz="0" w:space="0" w:color="auto"/>
            <w:left w:val="none" w:sz="0" w:space="0" w:color="auto"/>
            <w:bottom w:val="none" w:sz="0" w:space="0" w:color="auto"/>
            <w:right w:val="none" w:sz="0" w:space="0" w:color="auto"/>
          </w:divBdr>
          <w:divsChild>
            <w:div w:id="1587029279">
              <w:marLeft w:val="0"/>
              <w:marRight w:val="0"/>
              <w:marTop w:val="0"/>
              <w:marBottom w:val="0"/>
              <w:divBdr>
                <w:top w:val="none" w:sz="0" w:space="0" w:color="auto"/>
                <w:left w:val="none" w:sz="0" w:space="0" w:color="auto"/>
                <w:bottom w:val="none" w:sz="0" w:space="0" w:color="auto"/>
                <w:right w:val="none" w:sz="0" w:space="0" w:color="auto"/>
              </w:divBdr>
              <w:divsChild>
                <w:div w:id="9409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5569">
      <w:bodyDiv w:val="1"/>
      <w:marLeft w:val="0"/>
      <w:marRight w:val="0"/>
      <w:marTop w:val="0"/>
      <w:marBottom w:val="0"/>
      <w:divBdr>
        <w:top w:val="none" w:sz="0" w:space="0" w:color="auto"/>
        <w:left w:val="none" w:sz="0" w:space="0" w:color="auto"/>
        <w:bottom w:val="none" w:sz="0" w:space="0" w:color="auto"/>
        <w:right w:val="none" w:sz="0" w:space="0" w:color="auto"/>
      </w:divBdr>
      <w:divsChild>
        <w:div w:id="1669207560">
          <w:marLeft w:val="0"/>
          <w:marRight w:val="0"/>
          <w:marTop w:val="0"/>
          <w:marBottom w:val="0"/>
          <w:divBdr>
            <w:top w:val="none" w:sz="0" w:space="0" w:color="auto"/>
            <w:left w:val="none" w:sz="0" w:space="0" w:color="auto"/>
            <w:bottom w:val="none" w:sz="0" w:space="0" w:color="auto"/>
            <w:right w:val="none" w:sz="0" w:space="0" w:color="auto"/>
          </w:divBdr>
          <w:divsChild>
            <w:div w:id="1304776422">
              <w:marLeft w:val="0"/>
              <w:marRight w:val="0"/>
              <w:marTop w:val="0"/>
              <w:marBottom w:val="0"/>
              <w:divBdr>
                <w:top w:val="none" w:sz="0" w:space="0" w:color="auto"/>
                <w:left w:val="none" w:sz="0" w:space="0" w:color="auto"/>
                <w:bottom w:val="none" w:sz="0" w:space="0" w:color="auto"/>
                <w:right w:val="none" w:sz="0" w:space="0" w:color="auto"/>
              </w:divBdr>
              <w:divsChild>
                <w:div w:id="2591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9001">
      <w:bodyDiv w:val="1"/>
      <w:marLeft w:val="0"/>
      <w:marRight w:val="0"/>
      <w:marTop w:val="0"/>
      <w:marBottom w:val="0"/>
      <w:divBdr>
        <w:top w:val="none" w:sz="0" w:space="0" w:color="auto"/>
        <w:left w:val="none" w:sz="0" w:space="0" w:color="auto"/>
        <w:bottom w:val="none" w:sz="0" w:space="0" w:color="auto"/>
        <w:right w:val="none" w:sz="0" w:space="0" w:color="auto"/>
      </w:divBdr>
      <w:divsChild>
        <w:div w:id="1495608916">
          <w:marLeft w:val="0"/>
          <w:marRight w:val="0"/>
          <w:marTop w:val="0"/>
          <w:marBottom w:val="0"/>
          <w:divBdr>
            <w:top w:val="none" w:sz="0" w:space="0" w:color="auto"/>
            <w:left w:val="none" w:sz="0" w:space="0" w:color="auto"/>
            <w:bottom w:val="none" w:sz="0" w:space="0" w:color="auto"/>
            <w:right w:val="none" w:sz="0" w:space="0" w:color="auto"/>
          </w:divBdr>
          <w:divsChild>
            <w:div w:id="1835026476">
              <w:marLeft w:val="0"/>
              <w:marRight w:val="0"/>
              <w:marTop w:val="0"/>
              <w:marBottom w:val="0"/>
              <w:divBdr>
                <w:top w:val="none" w:sz="0" w:space="0" w:color="auto"/>
                <w:left w:val="none" w:sz="0" w:space="0" w:color="auto"/>
                <w:bottom w:val="none" w:sz="0" w:space="0" w:color="auto"/>
                <w:right w:val="none" w:sz="0" w:space="0" w:color="auto"/>
              </w:divBdr>
              <w:divsChild>
                <w:div w:id="403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99816">
      <w:bodyDiv w:val="1"/>
      <w:marLeft w:val="0"/>
      <w:marRight w:val="0"/>
      <w:marTop w:val="0"/>
      <w:marBottom w:val="0"/>
      <w:divBdr>
        <w:top w:val="none" w:sz="0" w:space="0" w:color="auto"/>
        <w:left w:val="none" w:sz="0" w:space="0" w:color="auto"/>
        <w:bottom w:val="none" w:sz="0" w:space="0" w:color="auto"/>
        <w:right w:val="none" w:sz="0" w:space="0" w:color="auto"/>
      </w:divBdr>
      <w:divsChild>
        <w:div w:id="1765999071">
          <w:marLeft w:val="0"/>
          <w:marRight w:val="0"/>
          <w:marTop w:val="0"/>
          <w:marBottom w:val="0"/>
          <w:divBdr>
            <w:top w:val="none" w:sz="0" w:space="0" w:color="auto"/>
            <w:left w:val="none" w:sz="0" w:space="0" w:color="auto"/>
            <w:bottom w:val="none" w:sz="0" w:space="0" w:color="auto"/>
            <w:right w:val="none" w:sz="0" w:space="0" w:color="auto"/>
          </w:divBdr>
          <w:divsChild>
            <w:div w:id="696731652">
              <w:marLeft w:val="0"/>
              <w:marRight w:val="0"/>
              <w:marTop w:val="0"/>
              <w:marBottom w:val="0"/>
              <w:divBdr>
                <w:top w:val="none" w:sz="0" w:space="0" w:color="auto"/>
                <w:left w:val="none" w:sz="0" w:space="0" w:color="auto"/>
                <w:bottom w:val="none" w:sz="0" w:space="0" w:color="auto"/>
                <w:right w:val="none" w:sz="0" w:space="0" w:color="auto"/>
              </w:divBdr>
              <w:divsChild>
                <w:div w:id="578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8459">
      <w:bodyDiv w:val="1"/>
      <w:marLeft w:val="0"/>
      <w:marRight w:val="0"/>
      <w:marTop w:val="0"/>
      <w:marBottom w:val="0"/>
      <w:divBdr>
        <w:top w:val="none" w:sz="0" w:space="0" w:color="auto"/>
        <w:left w:val="none" w:sz="0" w:space="0" w:color="auto"/>
        <w:bottom w:val="none" w:sz="0" w:space="0" w:color="auto"/>
        <w:right w:val="none" w:sz="0" w:space="0" w:color="auto"/>
      </w:divBdr>
      <w:divsChild>
        <w:div w:id="117726483">
          <w:marLeft w:val="0"/>
          <w:marRight w:val="0"/>
          <w:marTop w:val="0"/>
          <w:marBottom w:val="0"/>
          <w:divBdr>
            <w:top w:val="none" w:sz="0" w:space="0" w:color="auto"/>
            <w:left w:val="none" w:sz="0" w:space="0" w:color="auto"/>
            <w:bottom w:val="none" w:sz="0" w:space="0" w:color="auto"/>
            <w:right w:val="none" w:sz="0" w:space="0" w:color="auto"/>
          </w:divBdr>
          <w:divsChild>
            <w:div w:id="1938252610">
              <w:marLeft w:val="0"/>
              <w:marRight w:val="0"/>
              <w:marTop w:val="0"/>
              <w:marBottom w:val="0"/>
              <w:divBdr>
                <w:top w:val="none" w:sz="0" w:space="0" w:color="auto"/>
                <w:left w:val="none" w:sz="0" w:space="0" w:color="auto"/>
                <w:bottom w:val="none" w:sz="0" w:space="0" w:color="auto"/>
                <w:right w:val="none" w:sz="0" w:space="0" w:color="auto"/>
              </w:divBdr>
              <w:divsChild>
                <w:div w:id="7412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2958">
      <w:bodyDiv w:val="1"/>
      <w:marLeft w:val="0"/>
      <w:marRight w:val="0"/>
      <w:marTop w:val="0"/>
      <w:marBottom w:val="0"/>
      <w:divBdr>
        <w:top w:val="none" w:sz="0" w:space="0" w:color="auto"/>
        <w:left w:val="none" w:sz="0" w:space="0" w:color="auto"/>
        <w:bottom w:val="none" w:sz="0" w:space="0" w:color="auto"/>
        <w:right w:val="none" w:sz="0" w:space="0" w:color="auto"/>
      </w:divBdr>
      <w:divsChild>
        <w:div w:id="1768649094">
          <w:marLeft w:val="0"/>
          <w:marRight w:val="0"/>
          <w:marTop w:val="0"/>
          <w:marBottom w:val="0"/>
          <w:divBdr>
            <w:top w:val="none" w:sz="0" w:space="0" w:color="auto"/>
            <w:left w:val="none" w:sz="0" w:space="0" w:color="auto"/>
            <w:bottom w:val="none" w:sz="0" w:space="0" w:color="auto"/>
            <w:right w:val="none" w:sz="0" w:space="0" w:color="auto"/>
          </w:divBdr>
          <w:divsChild>
            <w:div w:id="1741831021">
              <w:marLeft w:val="0"/>
              <w:marRight w:val="0"/>
              <w:marTop w:val="0"/>
              <w:marBottom w:val="0"/>
              <w:divBdr>
                <w:top w:val="none" w:sz="0" w:space="0" w:color="auto"/>
                <w:left w:val="none" w:sz="0" w:space="0" w:color="auto"/>
                <w:bottom w:val="none" w:sz="0" w:space="0" w:color="auto"/>
                <w:right w:val="none" w:sz="0" w:space="0" w:color="auto"/>
              </w:divBdr>
              <w:divsChild>
                <w:div w:id="4350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68034">
      <w:bodyDiv w:val="1"/>
      <w:marLeft w:val="0"/>
      <w:marRight w:val="0"/>
      <w:marTop w:val="0"/>
      <w:marBottom w:val="0"/>
      <w:divBdr>
        <w:top w:val="none" w:sz="0" w:space="0" w:color="auto"/>
        <w:left w:val="none" w:sz="0" w:space="0" w:color="auto"/>
        <w:bottom w:val="none" w:sz="0" w:space="0" w:color="auto"/>
        <w:right w:val="none" w:sz="0" w:space="0" w:color="auto"/>
      </w:divBdr>
      <w:divsChild>
        <w:div w:id="519928162">
          <w:marLeft w:val="0"/>
          <w:marRight w:val="0"/>
          <w:marTop w:val="0"/>
          <w:marBottom w:val="0"/>
          <w:divBdr>
            <w:top w:val="none" w:sz="0" w:space="0" w:color="auto"/>
            <w:left w:val="none" w:sz="0" w:space="0" w:color="auto"/>
            <w:bottom w:val="none" w:sz="0" w:space="0" w:color="auto"/>
            <w:right w:val="none" w:sz="0" w:space="0" w:color="auto"/>
          </w:divBdr>
          <w:divsChild>
            <w:div w:id="261032825">
              <w:marLeft w:val="0"/>
              <w:marRight w:val="0"/>
              <w:marTop w:val="0"/>
              <w:marBottom w:val="0"/>
              <w:divBdr>
                <w:top w:val="none" w:sz="0" w:space="0" w:color="auto"/>
                <w:left w:val="none" w:sz="0" w:space="0" w:color="auto"/>
                <w:bottom w:val="none" w:sz="0" w:space="0" w:color="auto"/>
                <w:right w:val="none" w:sz="0" w:space="0" w:color="auto"/>
              </w:divBdr>
              <w:divsChild>
                <w:div w:id="18606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328">
      <w:bodyDiv w:val="1"/>
      <w:marLeft w:val="0"/>
      <w:marRight w:val="0"/>
      <w:marTop w:val="0"/>
      <w:marBottom w:val="0"/>
      <w:divBdr>
        <w:top w:val="none" w:sz="0" w:space="0" w:color="auto"/>
        <w:left w:val="none" w:sz="0" w:space="0" w:color="auto"/>
        <w:bottom w:val="none" w:sz="0" w:space="0" w:color="auto"/>
        <w:right w:val="none" w:sz="0" w:space="0" w:color="auto"/>
      </w:divBdr>
      <w:divsChild>
        <w:div w:id="1650749910">
          <w:marLeft w:val="0"/>
          <w:marRight w:val="0"/>
          <w:marTop w:val="0"/>
          <w:marBottom w:val="0"/>
          <w:divBdr>
            <w:top w:val="none" w:sz="0" w:space="0" w:color="auto"/>
            <w:left w:val="none" w:sz="0" w:space="0" w:color="auto"/>
            <w:bottom w:val="none" w:sz="0" w:space="0" w:color="auto"/>
            <w:right w:val="none" w:sz="0" w:space="0" w:color="auto"/>
          </w:divBdr>
          <w:divsChild>
            <w:div w:id="61291730">
              <w:marLeft w:val="0"/>
              <w:marRight w:val="0"/>
              <w:marTop w:val="0"/>
              <w:marBottom w:val="0"/>
              <w:divBdr>
                <w:top w:val="none" w:sz="0" w:space="0" w:color="auto"/>
                <w:left w:val="none" w:sz="0" w:space="0" w:color="auto"/>
                <w:bottom w:val="none" w:sz="0" w:space="0" w:color="auto"/>
                <w:right w:val="none" w:sz="0" w:space="0" w:color="auto"/>
              </w:divBdr>
              <w:divsChild>
                <w:div w:id="2394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4540">
      <w:bodyDiv w:val="1"/>
      <w:marLeft w:val="0"/>
      <w:marRight w:val="0"/>
      <w:marTop w:val="0"/>
      <w:marBottom w:val="0"/>
      <w:divBdr>
        <w:top w:val="none" w:sz="0" w:space="0" w:color="auto"/>
        <w:left w:val="none" w:sz="0" w:space="0" w:color="auto"/>
        <w:bottom w:val="none" w:sz="0" w:space="0" w:color="auto"/>
        <w:right w:val="none" w:sz="0" w:space="0" w:color="auto"/>
      </w:divBdr>
      <w:divsChild>
        <w:div w:id="28922605">
          <w:marLeft w:val="0"/>
          <w:marRight w:val="0"/>
          <w:marTop w:val="0"/>
          <w:marBottom w:val="0"/>
          <w:divBdr>
            <w:top w:val="none" w:sz="0" w:space="0" w:color="auto"/>
            <w:left w:val="none" w:sz="0" w:space="0" w:color="auto"/>
            <w:bottom w:val="none" w:sz="0" w:space="0" w:color="auto"/>
            <w:right w:val="none" w:sz="0" w:space="0" w:color="auto"/>
          </w:divBdr>
          <w:divsChild>
            <w:div w:id="1549686493">
              <w:marLeft w:val="0"/>
              <w:marRight w:val="0"/>
              <w:marTop w:val="0"/>
              <w:marBottom w:val="0"/>
              <w:divBdr>
                <w:top w:val="none" w:sz="0" w:space="0" w:color="auto"/>
                <w:left w:val="none" w:sz="0" w:space="0" w:color="auto"/>
                <w:bottom w:val="none" w:sz="0" w:space="0" w:color="auto"/>
                <w:right w:val="none" w:sz="0" w:space="0" w:color="auto"/>
              </w:divBdr>
              <w:divsChild>
                <w:div w:id="14548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397">
      <w:bodyDiv w:val="1"/>
      <w:marLeft w:val="0"/>
      <w:marRight w:val="0"/>
      <w:marTop w:val="0"/>
      <w:marBottom w:val="0"/>
      <w:divBdr>
        <w:top w:val="none" w:sz="0" w:space="0" w:color="auto"/>
        <w:left w:val="none" w:sz="0" w:space="0" w:color="auto"/>
        <w:bottom w:val="none" w:sz="0" w:space="0" w:color="auto"/>
        <w:right w:val="none" w:sz="0" w:space="0" w:color="auto"/>
      </w:divBdr>
      <w:divsChild>
        <w:div w:id="1736928129">
          <w:marLeft w:val="0"/>
          <w:marRight w:val="0"/>
          <w:marTop w:val="0"/>
          <w:marBottom w:val="0"/>
          <w:divBdr>
            <w:top w:val="none" w:sz="0" w:space="0" w:color="auto"/>
            <w:left w:val="none" w:sz="0" w:space="0" w:color="auto"/>
            <w:bottom w:val="none" w:sz="0" w:space="0" w:color="auto"/>
            <w:right w:val="none" w:sz="0" w:space="0" w:color="auto"/>
          </w:divBdr>
          <w:divsChild>
            <w:div w:id="1471557678">
              <w:marLeft w:val="0"/>
              <w:marRight w:val="0"/>
              <w:marTop w:val="0"/>
              <w:marBottom w:val="0"/>
              <w:divBdr>
                <w:top w:val="none" w:sz="0" w:space="0" w:color="auto"/>
                <w:left w:val="none" w:sz="0" w:space="0" w:color="auto"/>
                <w:bottom w:val="none" w:sz="0" w:space="0" w:color="auto"/>
                <w:right w:val="none" w:sz="0" w:space="0" w:color="auto"/>
              </w:divBdr>
              <w:divsChild>
                <w:div w:id="7189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842">
      <w:bodyDiv w:val="1"/>
      <w:marLeft w:val="0"/>
      <w:marRight w:val="0"/>
      <w:marTop w:val="0"/>
      <w:marBottom w:val="0"/>
      <w:divBdr>
        <w:top w:val="none" w:sz="0" w:space="0" w:color="auto"/>
        <w:left w:val="none" w:sz="0" w:space="0" w:color="auto"/>
        <w:bottom w:val="none" w:sz="0" w:space="0" w:color="auto"/>
        <w:right w:val="none" w:sz="0" w:space="0" w:color="auto"/>
      </w:divBdr>
      <w:divsChild>
        <w:div w:id="1204445590">
          <w:marLeft w:val="0"/>
          <w:marRight w:val="0"/>
          <w:marTop w:val="0"/>
          <w:marBottom w:val="0"/>
          <w:divBdr>
            <w:top w:val="none" w:sz="0" w:space="0" w:color="auto"/>
            <w:left w:val="none" w:sz="0" w:space="0" w:color="auto"/>
            <w:bottom w:val="none" w:sz="0" w:space="0" w:color="auto"/>
            <w:right w:val="none" w:sz="0" w:space="0" w:color="auto"/>
          </w:divBdr>
          <w:divsChild>
            <w:div w:id="2123181408">
              <w:marLeft w:val="0"/>
              <w:marRight w:val="0"/>
              <w:marTop w:val="0"/>
              <w:marBottom w:val="0"/>
              <w:divBdr>
                <w:top w:val="none" w:sz="0" w:space="0" w:color="auto"/>
                <w:left w:val="none" w:sz="0" w:space="0" w:color="auto"/>
                <w:bottom w:val="none" w:sz="0" w:space="0" w:color="auto"/>
                <w:right w:val="none" w:sz="0" w:space="0" w:color="auto"/>
              </w:divBdr>
              <w:divsChild>
                <w:div w:id="7309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2220">
      <w:bodyDiv w:val="1"/>
      <w:marLeft w:val="0"/>
      <w:marRight w:val="0"/>
      <w:marTop w:val="0"/>
      <w:marBottom w:val="0"/>
      <w:divBdr>
        <w:top w:val="none" w:sz="0" w:space="0" w:color="auto"/>
        <w:left w:val="none" w:sz="0" w:space="0" w:color="auto"/>
        <w:bottom w:val="none" w:sz="0" w:space="0" w:color="auto"/>
        <w:right w:val="none" w:sz="0" w:space="0" w:color="auto"/>
      </w:divBdr>
      <w:divsChild>
        <w:div w:id="886454255">
          <w:marLeft w:val="0"/>
          <w:marRight w:val="0"/>
          <w:marTop w:val="0"/>
          <w:marBottom w:val="0"/>
          <w:divBdr>
            <w:top w:val="none" w:sz="0" w:space="0" w:color="auto"/>
            <w:left w:val="none" w:sz="0" w:space="0" w:color="auto"/>
            <w:bottom w:val="none" w:sz="0" w:space="0" w:color="auto"/>
            <w:right w:val="none" w:sz="0" w:space="0" w:color="auto"/>
          </w:divBdr>
          <w:divsChild>
            <w:div w:id="971592464">
              <w:marLeft w:val="0"/>
              <w:marRight w:val="0"/>
              <w:marTop w:val="0"/>
              <w:marBottom w:val="0"/>
              <w:divBdr>
                <w:top w:val="none" w:sz="0" w:space="0" w:color="auto"/>
                <w:left w:val="none" w:sz="0" w:space="0" w:color="auto"/>
                <w:bottom w:val="none" w:sz="0" w:space="0" w:color="auto"/>
                <w:right w:val="none" w:sz="0" w:space="0" w:color="auto"/>
              </w:divBdr>
              <w:divsChild>
                <w:div w:id="1650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4011">
      <w:bodyDiv w:val="1"/>
      <w:marLeft w:val="0"/>
      <w:marRight w:val="0"/>
      <w:marTop w:val="0"/>
      <w:marBottom w:val="0"/>
      <w:divBdr>
        <w:top w:val="none" w:sz="0" w:space="0" w:color="auto"/>
        <w:left w:val="none" w:sz="0" w:space="0" w:color="auto"/>
        <w:bottom w:val="none" w:sz="0" w:space="0" w:color="auto"/>
        <w:right w:val="none" w:sz="0" w:space="0" w:color="auto"/>
      </w:divBdr>
      <w:divsChild>
        <w:div w:id="1928078525">
          <w:marLeft w:val="0"/>
          <w:marRight w:val="0"/>
          <w:marTop w:val="0"/>
          <w:marBottom w:val="0"/>
          <w:divBdr>
            <w:top w:val="none" w:sz="0" w:space="0" w:color="auto"/>
            <w:left w:val="none" w:sz="0" w:space="0" w:color="auto"/>
            <w:bottom w:val="none" w:sz="0" w:space="0" w:color="auto"/>
            <w:right w:val="none" w:sz="0" w:space="0" w:color="auto"/>
          </w:divBdr>
          <w:divsChild>
            <w:div w:id="716272874">
              <w:marLeft w:val="0"/>
              <w:marRight w:val="0"/>
              <w:marTop w:val="0"/>
              <w:marBottom w:val="0"/>
              <w:divBdr>
                <w:top w:val="none" w:sz="0" w:space="0" w:color="auto"/>
                <w:left w:val="none" w:sz="0" w:space="0" w:color="auto"/>
                <w:bottom w:val="none" w:sz="0" w:space="0" w:color="auto"/>
                <w:right w:val="none" w:sz="0" w:space="0" w:color="auto"/>
              </w:divBdr>
              <w:divsChild>
                <w:div w:id="1329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990">
      <w:bodyDiv w:val="1"/>
      <w:marLeft w:val="0"/>
      <w:marRight w:val="0"/>
      <w:marTop w:val="0"/>
      <w:marBottom w:val="0"/>
      <w:divBdr>
        <w:top w:val="none" w:sz="0" w:space="0" w:color="auto"/>
        <w:left w:val="none" w:sz="0" w:space="0" w:color="auto"/>
        <w:bottom w:val="none" w:sz="0" w:space="0" w:color="auto"/>
        <w:right w:val="none" w:sz="0" w:space="0" w:color="auto"/>
      </w:divBdr>
      <w:divsChild>
        <w:div w:id="295724372">
          <w:marLeft w:val="0"/>
          <w:marRight w:val="0"/>
          <w:marTop w:val="0"/>
          <w:marBottom w:val="0"/>
          <w:divBdr>
            <w:top w:val="none" w:sz="0" w:space="0" w:color="auto"/>
            <w:left w:val="none" w:sz="0" w:space="0" w:color="auto"/>
            <w:bottom w:val="none" w:sz="0" w:space="0" w:color="auto"/>
            <w:right w:val="none" w:sz="0" w:space="0" w:color="auto"/>
          </w:divBdr>
          <w:divsChild>
            <w:div w:id="1375039036">
              <w:marLeft w:val="0"/>
              <w:marRight w:val="0"/>
              <w:marTop w:val="0"/>
              <w:marBottom w:val="0"/>
              <w:divBdr>
                <w:top w:val="none" w:sz="0" w:space="0" w:color="auto"/>
                <w:left w:val="none" w:sz="0" w:space="0" w:color="auto"/>
                <w:bottom w:val="none" w:sz="0" w:space="0" w:color="auto"/>
                <w:right w:val="none" w:sz="0" w:space="0" w:color="auto"/>
              </w:divBdr>
              <w:divsChild>
                <w:div w:id="2421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7105">
      <w:bodyDiv w:val="1"/>
      <w:marLeft w:val="0"/>
      <w:marRight w:val="0"/>
      <w:marTop w:val="0"/>
      <w:marBottom w:val="0"/>
      <w:divBdr>
        <w:top w:val="none" w:sz="0" w:space="0" w:color="auto"/>
        <w:left w:val="none" w:sz="0" w:space="0" w:color="auto"/>
        <w:bottom w:val="none" w:sz="0" w:space="0" w:color="auto"/>
        <w:right w:val="none" w:sz="0" w:space="0" w:color="auto"/>
      </w:divBdr>
      <w:divsChild>
        <w:div w:id="2081516404">
          <w:marLeft w:val="0"/>
          <w:marRight w:val="0"/>
          <w:marTop w:val="0"/>
          <w:marBottom w:val="0"/>
          <w:divBdr>
            <w:top w:val="none" w:sz="0" w:space="0" w:color="auto"/>
            <w:left w:val="none" w:sz="0" w:space="0" w:color="auto"/>
            <w:bottom w:val="none" w:sz="0" w:space="0" w:color="auto"/>
            <w:right w:val="none" w:sz="0" w:space="0" w:color="auto"/>
          </w:divBdr>
          <w:divsChild>
            <w:div w:id="224344511">
              <w:marLeft w:val="0"/>
              <w:marRight w:val="0"/>
              <w:marTop w:val="0"/>
              <w:marBottom w:val="0"/>
              <w:divBdr>
                <w:top w:val="none" w:sz="0" w:space="0" w:color="auto"/>
                <w:left w:val="none" w:sz="0" w:space="0" w:color="auto"/>
                <w:bottom w:val="none" w:sz="0" w:space="0" w:color="auto"/>
                <w:right w:val="none" w:sz="0" w:space="0" w:color="auto"/>
              </w:divBdr>
              <w:divsChild>
                <w:div w:id="7556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6997">
      <w:bodyDiv w:val="1"/>
      <w:marLeft w:val="0"/>
      <w:marRight w:val="0"/>
      <w:marTop w:val="0"/>
      <w:marBottom w:val="0"/>
      <w:divBdr>
        <w:top w:val="none" w:sz="0" w:space="0" w:color="auto"/>
        <w:left w:val="none" w:sz="0" w:space="0" w:color="auto"/>
        <w:bottom w:val="none" w:sz="0" w:space="0" w:color="auto"/>
        <w:right w:val="none" w:sz="0" w:space="0" w:color="auto"/>
      </w:divBdr>
      <w:divsChild>
        <w:div w:id="466244550">
          <w:marLeft w:val="0"/>
          <w:marRight w:val="0"/>
          <w:marTop w:val="0"/>
          <w:marBottom w:val="0"/>
          <w:divBdr>
            <w:top w:val="none" w:sz="0" w:space="0" w:color="auto"/>
            <w:left w:val="none" w:sz="0" w:space="0" w:color="auto"/>
            <w:bottom w:val="none" w:sz="0" w:space="0" w:color="auto"/>
            <w:right w:val="none" w:sz="0" w:space="0" w:color="auto"/>
          </w:divBdr>
          <w:divsChild>
            <w:div w:id="87504206">
              <w:marLeft w:val="0"/>
              <w:marRight w:val="0"/>
              <w:marTop w:val="0"/>
              <w:marBottom w:val="0"/>
              <w:divBdr>
                <w:top w:val="none" w:sz="0" w:space="0" w:color="auto"/>
                <w:left w:val="none" w:sz="0" w:space="0" w:color="auto"/>
                <w:bottom w:val="none" w:sz="0" w:space="0" w:color="auto"/>
                <w:right w:val="none" w:sz="0" w:space="0" w:color="auto"/>
              </w:divBdr>
              <w:divsChild>
                <w:div w:id="16523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s://www.justice.gov/sites/default/files/opa/press-releases/attachments/2015/04/23/db_dpa.pdf" TargetMode="External"/><Relationship Id="rId14" Type="http://schemas.openxmlformats.org/officeDocument/2006/relationships/hyperlink" Target="https://www.justice.gov/sites/default/files/opa/press-releases/attachments/2015/04/23/dbgs_plea_agreement.pdf" TargetMode="External"/><Relationship Id="rId15" Type="http://schemas.openxmlformats.org/officeDocument/2006/relationships/hyperlink" Target="https://www.justice.gov/criminal-fraud/file/836466/download" TargetMode="External"/><Relationship Id="rId16" Type="http://schemas.openxmlformats.org/officeDocument/2006/relationships/hyperlink" Target="https://www.justice.gov/sites/default/files/criminal-fraud/legacy/2015/05/22/09-18-13ubs-securities-japan-co-ltd-judgment.pdf" TargetMode="External"/><Relationship Id="rId17" Type="http://schemas.openxmlformats.org/officeDocument/2006/relationships/hyperlink" Target="https://www.justice.gov/iso/opa/resources/337201271017335469822.pdf" TargetMode="External"/><Relationship Id="rId18" Type="http://schemas.openxmlformats.org/officeDocument/2006/relationships/hyperlink" Target="https://www.justice.gov/sites/default/files/criminal-fraud/legacy/2015/05/22/10-29-13rabobank-deferred-prosecution-agreement.pdf" TargetMode="External"/><Relationship Id="rId19" Type="http://schemas.openxmlformats.org/officeDocument/2006/relationships/hyperlink" Target="https://www.justice.gov/sites/default/files/criminal-fraud/legacy/2015/05/22/ubs-plea-agreement.pdf" TargetMode="External"/><Relationship Id="rId50" Type="http://schemas.openxmlformats.org/officeDocument/2006/relationships/hyperlink" Target="http://www.fca.org.uk/static/documents/final-notices/martin-brokers-uk-ltd.pdf" TargetMode="External"/><Relationship Id="rId51" Type="http://schemas.openxmlformats.org/officeDocument/2006/relationships/hyperlink" Target="http://www.fca.org.uk/static/documents/final-notices/david-caplin.pdf" TargetMode="External"/><Relationship Id="rId52" Type="http://schemas.openxmlformats.org/officeDocument/2006/relationships/hyperlink" Target="http://www.fca.org.uk/static/documents/final-notices/jeremy-kraft.pdf" TargetMode="External"/><Relationship Id="rId53" Type="http://schemas.openxmlformats.org/officeDocument/2006/relationships/hyperlink" Target="https://ag.ny.gov/sites/default/files/ag_barclays_settlement_agreement_signed_execution_copy_8_8_16.pdf" TargetMode="External"/><Relationship Id="rId54" Type="http://schemas.openxmlformats.org/officeDocument/2006/relationships/hyperlink" Target="https://www.gov.uk/government/uploads/system/uploads/attachment_data/file/191762/wheatley_review_libor_finalreport_280912.pdf" TargetMode="External"/><Relationship Id="rId55" Type="http://schemas.openxmlformats.org/officeDocument/2006/relationships/hyperlink" Target="http://www.fsb.org/wp-content/uploads/FSB-Chair's-letter-to-G20-Leaders-in-advance-of-their-meeting-in-Hangzhou-on-4-5-September..pdf" TargetMode="External"/><Relationship Id="rId56" Type="http://schemas.openxmlformats.org/officeDocument/2006/relationships/hyperlink" Target="https://www.fca.org.uk/publication/finalised-guidance/fg15-08.pdf" TargetMode="External"/><Relationship Id="rId40" Type="http://schemas.openxmlformats.org/officeDocument/2006/relationships/hyperlink" Target="https://www.fca.org.uk/static/documents/final-notices/rabobank.pdf" TargetMode="External"/><Relationship Id="rId41" Type="http://schemas.openxmlformats.org/officeDocument/2006/relationships/hyperlink" Target="https://www.fca.org.uk/static/documents/final-notices/lloyds-bank-of-scotland.pdf" TargetMode="External"/><Relationship Id="rId42" Type="http://schemas.openxmlformats.org/officeDocument/2006/relationships/hyperlink" Target="https://www.fca.org.uk/static/documents/final-notices/deutsche-bank-ag-2015.pdf" TargetMode="External"/><Relationship Id="rId43" Type="http://schemas.openxmlformats.org/officeDocument/2006/relationships/hyperlink" Target="http://www.fca.org.uk/static/documents/final-notices/paul-robson.pdf" TargetMode="External"/><Relationship Id="rId44" Type="http://schemas.openxmlformats.org/officeDocument/2006/relationships/hyperlink" Target="http://www.fca.org.uk/static/documents/final-notices/lee-bruce-stewart.pdf" TargetMode="External"/><Relationship Id="rId45" Type="http://schemas.openxmlformats.org/officeDocument/2006/relationships/hyperlink" Target="https://www.fca.org.uk/static/documents/decision-notices/arif-hussein.pdf" TargetMode="External"/><Relationship Id="rId46" Type="http://schemas.openxmlformats.org/officeDocument/2006/relationships/hyperlink" Target="http://www.fca.org.uk/static/documents/final-notices/michael-ross-curtler.pdf" TargetMode="External"/><Relationship Id="rId47" Type="http://schemas.openxmlformats.org/officeDocument/2006/relationships/hyperlink" Target="https://www.fca.org.uk/static/documents/final-notices/paul-white.pdf" TargetMode="External"/><Relationship Id="rId48" Type="http://schemas.openxmlformats.org/officeDocument/2006/relationships/hyperlink" Target="http://www.fca.org.uk/static/documents/final-notices/peter-johnson.pdf" TargetMode="External"/><Relationship Id="rId49" Type="http://schemas.openxmlformats.org/officeDocument/2006/relationships/hyperlink" Target="http://www.fca.org.uk/static/documents/final-notices/icap-europe-limited.pdf" TargetMode="External"/><Relationship Id="rId1" Type="http://schemas.openxmlformats.org/officeDocument/2006/relationships/hyperlink" Target="https://www.foreignaffairs.com/articles/2012-07-20/libor-three-scandals-one" TargetMode="External"/><Relationship Id="rId2" Type="http://schemas.openxmlformats.org/officeDocument/2006/relationships/hyperlink" Target="http://www.bbalibor.com/explained/the-basics" TargetMode="External"/><Relationship Id="rId3" Type="http://schemas.openxmlformats.org/officeDocument/2006/relationships/hyperlink" Target="http://www.bbatrent.com/explained/the-basics" TargetMode="External"/><Relationship Id="rId4" Type="http://schemas.openxmlformats.org/officeDocument/2006/relationships/hyperlink" Target="http://www.bbalibor.com/technicalaspects/setting-bbalibor" TargetMode="External"/><Relationship Id="rId5" Type="http://schemas.openxmlformats.org/officeDocument/2006/relationships/hyperlink" Target="http://www.sec.gov/Archives/edgar/data/1114446/000119312513106100/d497201dex43.htm" TargetMode="External"/><Relationship Id="rId6" Type="http://schemas.openxmlformats.org/officeDocument/2006/relationships/hyperlink" Target="http://www.fsa.gov.uk/static/pubs/other/ia-libor.pdf" TargetMode="External"/><Relationship Id="rId7" Type="http://schemas.openxmlformats.org/officeDocument/2006/relationships/hyperlink" Target="https://www.ftc.gov/system/files/documents/public_statements/735201/150813section5enforcement.pdf" TargetMode="External"/><Relationship Id="rId8" Type="http://schemas.openxmlformats.org/officeDocument/2006/relationships/hyperlink" Target="https://www.justice.gov/dag/file/769036/download" TargetMode="External"/><Relationship Id="rId9" Type="http://schemas.openxmlformats.org/officeDocument/2006/relationships/hyperlink" Target="https://www.justice.gov/opa/file/826721/download" TargetMode="External"/><Relationship Id="rId30" Type="http://schemas.openxmlformats.org/officeDocument/2006/relationships/hyperlink" Target="http://ec.europa.eu/competition/antitrust/cases/dec_docs/39924/39924_1156_3.pdf" TargetMode="External"/><Relationship Id="rId31" Type="http://schemas.openxmlformats.org/officeDocument/2006/relationships/hyperlink" Target="http://ec.europa.eu/competition/antitrust/cases/dec_docs/39861/39861_4152_13.pdf" TargetMode="External"/><Relationship Id="rId32" Type="http://schemas.openxmlformats.org/officeDocument/2006/relationships/hyperlink" Target="http://europa.eu/rapid/press-release_IP-14-1190_en.htm" TargetMode="External"/><Relationship Id="rId33" Type="http://schemas.openxmlformats.org/officeDocument/2006/relationships/hyperlink" Target="http://europa.eu/rapid/press-release_IP-15-4104_en.htm" TargetMode="External"/><Relationship Id="rId34" Type="http://schemas.openxmlformats.org/officeDocument/2006/relationships/hyperlink" Target="https://www.judiciary.gov.uk/wp-content/uploads/2015/08/r-v-tom-hayes-sentencing1.pdf" TargetMode="External"/><Relationship Id="rId35" Type="http://schemas.openxmlformats.org/officeDocument/2006/relationships/hyperlink" Target="https://www.judiciary.gov.uk/wp-content/uploads/2016/07/r-v-johnson-and-others-sentencing.pdf" TargetMode="External"/><Relationship Id="rId36" Type="http://schemas.openxmlformats.org/officeDocument/2006/relationships/hyperlink" Target="http://webarchive.nationalarchives.gov.uk/20131003105424/https:/hmt-sanctions.s3.amazonaws.com/ICB%20final%20report/ICB%2520Final%2520Report%5b1%5d.pdf" TargetMode="External"/><Relationship Id="rId37" Type="http://schemas.openxmlformats.org/officeDocument/2006/relationships/hyperlink" Target="http://www.fsa.gov.uk/static/pubs/final/barclays-jun12.pdf" TargetMode="External"/><Relationship Id="rId38" Type="http://schemas.openxmlformats.org/officeDocument/2006/relationships/hyperlink" Target="http://www.fca.org.uk/static/documents/final-notices/ubs.pdf" TargetMode="External"/><Relationship Id="rId39" Type="http://schemas.openxmlformats.org/officeDocument/2006/relationships/hyperlink" Target="https://www.fca.org.uk/static/fca/documents/final-notices/rbs.pdf" TargetMode="External"/><Relationship Id="rId20" Type="http://schemas.openxmlformats.org/officeDocument/2006/relationships/hyperlink" Target="https://www.justice.gov/criminal-fraud/file/839511/download" TargetMode="External"/><Relationship Id="rId21" Type="http://schemas.openxmlformats.org/officeDocument/2006/relationships/hyperlink" Target="https://www.justice.gov/criminal-fraud/file/839516/download" TargetMode="External"/><Relationship Id="rId22" Type="http://schemas.openxmlformats.org/officeDocument/2006/relationships/hyperlink" Target="http://www.leagle.com/decision/In%20FDCO%2020160216727/U.S.%20v.%20Allen" TargetMode="External"/><Relationship Id="rId23" Type="http://schemas.openxmlformats.org/officeDocument/2006/relationships/hyperlink" Target="https://www.justice.gov/opa/pr/two-former-rabobank-traders-sentenced-prison-manipulating-us-dollar-and-japanese-yen-libor" TargetMode="External"/><Relationship Id="rId24" Type="http://schemas.openxmlformats.org/officeDocument/2006/relationships/hyperlink" Target="http://www.plainsite.org/dockets/mxv0451w/new-york-southern-district-court/laydon-v-mizuho-bank-ltd-et-al/" TargetMode="External"/><Relationship Id="rId25" Type="http://schemas.openxmlformats.org/officeDocument/2006/relationships/hyperlink" Target="http://cases.justia.com/federal/district-courts/new-york/nysdce/1:2013cv00981/407735/172/0.pdf?ts=1427977380" TargetMode="External"/><Relationship Id="rId26" Type="http://schemas.openxmlformats.org/officeDocument/2006/relationships/hyperlink" Target="https://cases.justia.com/federal/district-courts/new-york/nysdce/1:2014cv07126/432152/209/0.pdf?ts=1459258628" TargetMode="External"/><Relationship Id="rId27" Type="http://schemas.openxmlformats.org/officeDocument/2006/relationships/hyperlink" Target="http://sblog.s3.amazonaws.com/wp-content/uploads/2014/04/Gelboim-2dCirorder.pdf" TargetMode="External"/><Relationship Id="rId28" Type="http://schemas.openxmlformats.org/officeDocument/2006/relationships/hyperlink" Target="http://europa.eu/rapid/press-release_MEMO-11-711_en.htm" TargetMode="External"/><Relationship Id="rId29" Type="http://schemas.openxmlformats.org/officeDocument/2006/relationships/hyperlink" Target="http://europa.eu/rapid/press-release_IP-13-1208_en.htm" TargetMode="External"/><Relationship Id="rId10" Type="http://schemas.openxmlformats.org/officeDocument/2006/relationships/hyperlink" Target="http://www.cftc.gov/PressRoom/PressReleases/pr7159-15" TargetMode="External"/><Relationship Id="rId11" Type="http://schemas.openxmlformats.org/officeDocument/2006/relationships/hyperlink" Target="https://www.justice.gov/sites/default/files/criminal-fraud/legacy/2015/05/22/04-12-13the-royal-bank-of-scotland-dpa.pdf" TargetMode="External"/><Relationship Id="rId12" Type="http://schemas.openxmlformats.org/officeDocument/2006/relationships/hyperlink" Target="https://www.justice.gov/sites/default/files/criminal-fraud/legacy/2015/05/22/01-13-14the-royal-bank-of-scotland-securities-japan-limited-ju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6CC4-B6D1-FE4E-B281-0EC2EA6F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26</Pages>
  <Words>8627</Words>
  <Characters>49176</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 Ball</cp:lastModifiedBy>
  <cp:revision>8</cp:revision>
  <cp:lastPrinted>2016-09-20T13:20:00Z</cp:lastPrinted>
  <dcterms:created xsi:type="dcterms:W3CDTF">2015-11-15T08:42:00Z</dcterms:created>
  <dcterms:modified xsi:type="dcterms:W3CDTF">2016-09-20T16:22:00Z</dcterms:modified>
</cp:coreProperties>
</file>