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BC" w:rsidRPr="00D1718F" w:rsidRDefault="004C3BC5" w:rsidP="009A3228">
      <w:pPr>
        <w:spacing w:after="120"/>
        <w:ind w:right="-188"/>
        <w:rPr>
          <w:b/>
          <w:sz w:val="28"/>
          <w:szCs w:val="28"/>
        </w:rPr>
      </w:pPr>
      <w:r>
        <w:rPr>
          <w:b/>
          <w:sz w:val="28"/>
          <w:szCs w:val="28"/>
        </w:rPr>
        <w:t xml:space="preserve">Enhancing </w:t>
      </w:r>
      <w:r w:rsidR="00F661BC" w:rsidRPr="00D1718F">
        <w:rPr>
          <w:b/>
          <w:i/>
          <w:sz w:val="28"/>
          <w:szCs w:val="28"/>
        </w:rPr>
        <w:t>Local Air Quality Management</w:t>
      </w:r>
      <w:r w:rsidR="00F661BC">
        <w:rPr>
          <w:b/>
          <w:sz w:val="28"/>
          <w:szCs w:val="28"/>
        </w:rPr>
        <w:t xml:space="preserve"> to maximise public health integration, collaboration and impact</w:t>
      </w:r>
      <w:r w:rsidR="00AC3F7F">
        <w:rPr>
          <w:b/>
          <w:sz w:val="28"/>
          <w:szCs w:val="28"/>
        </w:rPr>
        <w:t xml:space="preserve"> in Wales, UK</w:t>
      </w:r>
      <w:r w:rsidR="00324156">
        <w:rPr>
          <w:b/>
          <w:sz w:val="28"/>
          <w:szCs w:val="28"/>
        </w:rPr>
        <w:t xml:space="preserve">: </w:t>
      </w:r>
      <w:r w:rsidR="00AC59B6">
        <w:rPr>
          <w:b/>
          <w:sz w:val="28"/>
          <w:szCs w:val="28"/>
        </w:rPr>
        <w:t xml:space="preserve">a </w:t>
      </w:r>
      <w:r w:rsidR="00324156">
        <w:rPr>
          <w:b/>
          <w:sz w:val="28"/>
          <w:szCs w:val="28"/>
        </w:rPr>
        <w:t xml:space="preserve">Delphi </w:t>
      </w:r>
      <w:r w:rsidR="00564BE3">
        <w:rPr>
          <w:b/>
          <w:sz w:val="28"/>
          <w:szCs w:val="28"/>
        </w:rPr>
        <w:t>study</w:t>
      </w:r>
    </w:p>
    <w:p w:rsidR="00F661BC" w:rsidRPr="00377404" w:rsidRDefault="00F661BC" w:rsidP="009A3228">
      <w:pPr>
        <w:spacing w:after="120"/>
        <w:rPr>
          <w:b/>
          <w:sz w:val="6"/>
          <w:szCs w:val="6"/>
        </w:rPr>
      </w:pPr>
    </w:p>
    <w:p w:rsidR="00F661BC" w:rsidRPr="00D1718F" w:rsidRDefault="00F661BC" w:rsidP="009A3228">
      <w:pPr>
        <w:spacing w:after="120"/>
        <w:rPr>
          <w:i/>
          <w:vertAlign w:val="superscript"/>
        </w:rPr>
      </w:pPr>
      <w:r w:rsidRPr="00D1718F">
        <w:rPr>
          <w:i/>
        </w:rPr>
        <w:t>Brunt H</w:t>
      </w:r>
      <w:r>
        <w:rPr>
          <w:i/>
        </w:rPr>
        <w:t xml:space="preserve"> </w:t>
      </w:r>
      <w:proofErr w:type="spellStart"/>
      <w:r w:rsidRPr="00D1718F">
        <w:rPr>
          <w:i/>
          <w:vertAlign w:val="superscript"/>
        </w:rPr>
        <w:t>a</w:t>
      </w:r>
      <w:proofErr w:type="gramStart"/>
      <w:r w:rsidRPr="00D1718F">
        <w:rPr>
          <w:i/>
          <w:vertAlign w:val="superscript"/>
        </w:rPr>
        <w:t>,b</w:t>
      </w:r>
      <w:proofErr w:type="spellEnd"/>
      <w:proofErr w:type="gramEnd"/>
      <w:r w:rsidRPr="00D1718F">
        <w:rPr>
          <w:i/>
        </w:rPr>
        <w:t xml:space="preserve">, Barnes </w:t>
      </w:r>
      <w:r>
        <w:rPr>
          <w:i/>
        </w:rPr>
        <w:t xml:space="preserve">J </w:t>
      </w:r>
      <w:r w:rsidRPr="00D1718F">
        <w:rPr>
          <w:i/>
          <w:vertAlign w:val="superscript"/>
        </w:rPr>
        <w:t>a</w:t>
      </w:r>
      <w:r w:rsidRPr="00D1718F">
        <w:rPr>
          <w:i/>
        </w:rPr>
        <w:t>, Longhurst JW</w:t>
      </w:r>
      <w:r>
        <w:rPr>
          <w:i/>
        </w:rPr>
        <w:t xml:space="preserve">S </w:t>
      </w:r>
      <w:r>
        <w:rPr>
          <w:i/>
          <w:vertAlign w:val="superscript"/>
        </w:rPr>
        <w:t xml:space="preserve"> </w:t>
      </w:r>
      <w:r w:rsidRPr="00D1718F">
        <w:rPr>
          <w:i/>
          <w:vertAlign w:val="superscript"/>
        </w:rPr>
        <w:t>a</w:t>
      </w:r>
      <w:r w:rsidRPr="00D1718F">
        <w:rPr>
          <w:i/>
        </w:rPr>
        <w:t xml:space="preserve">, </w:t>
      </w:r>
      <w:proofErr w:type="spellStart"/>
      <w:r w:rsidRPr="00D1718F">
        <w:rPr>
          <w:i/>
        </w:rPr>
        <w:t>Scally</w:t>
      </w:r>
      <w:proofErr w:type="spellEnd"/>
      <w:r w:rsidRPr="00D1718F">
        <w:rPr>
          <w:i/>
        </w:rPr>
        <w:t xml:space="preserve"> G</w:t>
      </w:r>
      <w:r>
        <w:rPr>
          <w:i/>
        </w:rPr>
        <w:t xml:space="preserve"> </w:t>
      </w:r>
      <w:r w:rsidRPr="00CC6327">
        <w:rPr>
          <w:i/>
          <w:vertAlign w:val="superscript"/>
        </w:rPr>
        <w:t>c</w:t>
      </w:r>
      <w:r w:rsidRPr="00D1718F">
        <w:rPr>
          <w:i/>
        </w:rPr>
        <w:t xml:space="preserve">, Hayes </w:t>
      </w:r>
      <w:r>
        <w:rPr>
          <w:i/>
        </w:rPr>
        <w:t xml:space="preserve">E </w:t>
      </w:r>
      <w:r w:rsidRPr="00D1718F">
        <w:rPr>
          <w:i/>
          <w:vertAlign w:val="superscript"/>
        </w:rPr>
        <w:t xml:space="preserve"> a</w:t>
      </w:r>
    </w:p>
    <w:p w:rsidR="00F661BC" w:rsidRPr="00F15916" w:rsidRDefault="00F661BC" w:rsidP="00B02FBA">
      <w:pPr>
        <w:spacing w:after="0" w:line="240" w:lineRule="auto"/>
        <w:rPr>
          <w:i/>
          <w:sz w:val="18"/>
          <w:szCs w:val="18"/>
        </w:rPr>
      </w:pPr>
      <w:proofErr w:type="gramStart"/>
      <w:r w:rsidRPr="00F15916">
        <w:rPr>
          <w:i/>
          <w:sz w:val="18"/>
          <w:szCs w:val="18"/>
          <w:vertAlign w:val="superscript"/>
        </w:rPr>
        <w:t>a</w:t>
      </w:r>
      <w:proofErr w:type="gramEnd"/>
      <w:r w:rsidRPr="00F15916">
        <w:rPr>
          <w:i/>
          <w:sz w:val="18"/>
          <w:szCs w:val="18"/>
          <w:vertAlign w:val="superscript"/>
        </w:rPr>
        <w:t xml:space="preserve"> </w:t>
      </w:r>
      <w:r w:rsidRPr="00F15916">
        <w:rPr>
          <w:i/>
          <w:sz w:val="18"/>
          <w:szCs w:val="18"/>
        </w:rPr>
        <w:t>Air Quality Management Resource Centre, University of the West of England, Bristol, UK</w:t>
      </w:r>
    </w:p>
    <w:p w:rsidR="00F661BC" w:rsidRDefault="00F661BC" w:rsidP="00B02FBA">
      <w:pPr>
        <w:spacing w:after="0" w:line="240" w:lineRule="auto"/>
        <w:rPr>
          <w:i/>
          <w:sz w:val="18"/>
          <w:szCs w:val="18"/>
        </w:rPr>
      </w:pPr>
      <w:proofErr w:type="gramStart"/>
      <w:r w:rsidRPr="00F15916">
        <w:rPr>
          <w:i/>
          <w:sz w:val="18"/>
          <w:szCs w:val="18"/>
          <w:vertAlign w:val="superscript"/>
        </w:rPr>
        <w:t>b</w:t>
      </w:r>
      <w:proofErr w:type="gramEnd"/>
      <w:r w:rsidRPr="00F15916">
        <w:rPr>
          <w:i/>
          <w:sz w:val="18"/>
          <w:szCs w:val="18"/>
          <w:vertAlign w:val="superscript"/>
        </w:rPr>
        <w:t xml:space="preserve"> </w:t>
      </w:r>
      <w:r w:rsidRPr="00F15916">
        <w:rPr>
          <w:i/>
          <w:sz w:val="18"/>
          <w:szCs w:val="18"/>
        </w:rPr>
        <w:t xml:space="preserve">Environmental </w:t>
      </w:r>
      <w:r w:rsidR="00962261">
        <w:rPr>
          <w:i/>
          <w:sz w:val="18"/>
          <w:szCs w:val="18"/>
        </w:rPr>
        <w:t xml:space="preserve">Public </w:t>
      </w:r>
      <w:r w:rsidRPr="00F15916">
        <w:rPr>
          <w:i/>
          <w:sz w:val="18"/>
          <w:szCs w:val="18"/>
        </w:rPr>
        <w:t>Health</w:t>
      </w:r>
      <w:r w:rsidR="00207306">
        <w:rPr>
          <w:i/>
          <w:sz w:val="18"/>
          <w:szCs w:val="18"/>
        </w:rPr>
        <w:t xml:space="preserve"> Team</w:t>
      </w:r>
      <w:r w:rsidRPr="00F15916">
        <w:rPr>
          <w:i/>
          <w:sz w:val="18"/>
          <w:szCs w:val="18"/>
        </w:rPr>
        <w:t>, Public Health Wales, Cardiff, UK</w:t>
      </w:r>
    </w:p>
    <w:p w:rsidR="00F661BC" w:rsidRPr="00CC6327" w:rsidRDefault="00F661BC" w:rsidP="00B02FBA">
      <w:pPr>
        <w:spacing w:after="0" w:line="240" w:lineRule="auto"/>
        <w:rPr>
          <w:i/>
          <w:sz w:val="18"/>
          <w:szCs w:val="18"/>
        </w:rPr>
      </w:pPr>
      <w:proofErr w:type="gramStart"/>
      <w:r w:rsidRPr="00CC6327">
        <w:rPr>
          <w:i/>
          <w:sz w:val="18"/>
          <w:szCs w:val="18"/>
          <w:vertAlign w:val="superscript"/>
        </w:rPr>
        <w:t>c</w:t>
      </w:r>
      <w:proofErr w:type="gramEnd"/>
      <w:r w:rsidRPr="00CC6327">
        <w:rPr>
          <w:i/>
          <w:sz w:val="18"/>
          <w:szCs w:val="18"/>
        </w:rPr>
        <w:t xml:space="preserve"> WHO Collaborating Centre for Healthy Urban Environments, University of the West of England, Bristol, UK</w:t>
      </w:r>
    </w:p>
    <w:p w:rsidR="00F661BC" w:rsidRPr="0030180E" w:rsidRDefault="00F661BC" w:rsidP="009A3228">
      <w:pPr>
        <w:spacing w:after="120"/>
        <w:rPr>
          <w:sz w:val="6"/>
          <w:szCs w:val="6"/>
        </w:rPr>
      </w:pPr>
    </w:p>
    <w:p w:rsidR="00F661BC" w:rsidRPr="00D223F1" w:rsidRDefault="00D223F1" w:rsidP="009A3228">
      <w:pPr>
        <w:spacing w:after="120"/>
        <w:rPr>
          <w:b/>
        </w:rPr>
      </w:pPr>
      <w:r>
        <w:rPr>
          <w:b/>
        </w:rPr>
        <w:t>Abstract</w:t>
      </w:r>
    </w:p>
    <w:p w:rsidR="00EF4572" w:rsidRPr="00CA5166" w:rsidRDefault="00EF4572" w:rsidP="00045D9B">
      <w:pPr>
        <w:spacing w:after="120"/>
        <w:contextualSpacing/>
        <w:rPr>
          <w:i/>
        </w:rPr>
      </w:pPr>
      <w:r w:rsidRPr="00CA5166">
        <w:rPr>
          <w:i/>
        </w:rPr>
        <w:t>Background</w:t>
      </w:r>
    </w:p>
    <w:p w:rsidR="00016A3A" w:rsidRDefault="00F85756" w:rsidP="00BC2684">
      <w:pPr>
        <w:spacing w:after="120"/>
      </w:pPr>
      <w:r>
        <w:t>Outdoor a</w:t>
      </w:r>
      <w:r w:rsidR="00CA5166" w:rsidRPr="00853C5A">
        <w:t>ir pollution</w:t>
      </w:r>
      <w:r w:rsidR="00CA5166">
        <w:t xml:space="preserve"> is a </w:t>
      </w:r>
      <w:r w:rsidR="00CA5166" w:rsidRPr="00853C5A">
        <w:t>significant public health</w:t>
      </w:r>
      <w:r w:rsidR="00CA5166">
        <w:t xml:space="preserve"> </w:t>
      </w:r>
      <w:r>
        <w:t>problem</w:t>
      </w:r>
      <w:r w:rsidR="00CA5166">
        <w:t xml:space="preserve">. </w:t>
      </w:r>
      <w:r w:rsidR="00B44372">
        <w:t xml:space="preserve">The UK Local Air Quality Management </w:t>
      </w:r>
      <w:r w:rsidR="001B307D">
        <w:t xml:space="preserve">(LAQM) </w:t>
      </w:r>
      <w:r w:rsidR="00B44372">
        <w:t xml:space="preserve">regime is intended to protect public health through a prescribed process of assessment and collaborative action. </w:t>
      </w:r>
      <w:r w:rsidR="001B307D">
        <w:t>Despite its intention</w:t>
      </w:r>
      <w:r w:rsidR="00CA5166" w:rsidRPr="00853C5A">
        <w:t xml:space="preserve"> and underpinning principles, </w:t>
      </w:r>
      <w:r w:rsidR="00F91947">
        <w:t>p</w:t>
      </w:r>
      <w:r w:rsidR="00CA5166">
        <w:t xml:space="preserve">ublic </w:t>
      </w:r>
      <w:r w:rsidR="00F91947">
        <w:t>h</w:t>
      </w:r>
      <w:r w:rsidR="00CA5166">
        <w:t xml:space="preserve">ealth bodies and specialists do not interact with or support </w:t>
      </w:r>
      <w:r w:rsidR="00B44372">
        <w:t>LAQM</w:t>
      </w:r>
      <w:r w:rsidR="00CA5166">
        <w:t xml:space="preserve"> as much as they could or should. This study aimed to explore and </w:t>
      </w:r>
      <w:r w:rsidR="00CA5166">
        <w:rPr>
          <w:rFonts w:cs="Times New Roman"/>
        </w:rPr>
        <w:t>understand</w:t>
      </w:r>
      <w:r w:rsidR="001B307D">
        <w:rPr>
          <w:rFonts w:cs="Times New Roman"/>
        </w:rPr>
        <w:t xml:space="preserve"> this disconnect</w:t>
      </w:r>
      <w:r>
        <w:rPr>
          <w:rFonts w:cs="Times New Roman"/>
        </w:rPr>
        <w:t>,</w:t>
      </w:r>
      <w:r w:rsidR="0031154B">
        <w:rPr>
          <w:rFonts w:cs="Times New Roman"/>
        </w:rPr>
        <w:t xml:space="preserve"> </w:t>
      </w:r>
      <w:r w:rsidR="00CA5166">
        <w:rPr>
          <w:rFonts w:cs="Times New Roman"/>
        </w:rPr>
        <w:t>to inform action</w:t>
      </w:r>
      <w:r w:rsidR="00E244EF">
        <w:rPr>
          <w:rFonts w:cs="Times New Roman"/>
        </w:rPr>
        <w:t xml:space="preserve"> that can </w:t>
      </w:r>
      <w:r w:rsidR="001B307D">
        <w:rPr>
          <w:rFonts w:cs="Times New Roman"/>
        </w:rPr>
        <w:t>resolve problems</w:t>
      </w:r>
      <w:r w:rsidR="00CA5166">
        <w:rPr>
          <w:rFonts w:cs="Times New Roman"/>
        </w:rPr>
        <w:t xml:space="preserve"> and maximise public health integration, collaboration and impact in this important public health work.</w:t>
      </w:r>
    </w:p>
    <w:p w:rsidR="00EF4572" w:rsidRPr="00CA5166" w:rsidRDefault="00EF4572" w:rsidP="00045D9B">
      <w:pPr>
        <w:spacing w:after="120"/>
        <w:contextualSpacing/>
        <w:rPr>
          <w:i/>
        </w:rPr>
      </w:pPr>
      <w:r w:rsidRPr="00CA5166">
        <w:rPr>
          <w:i/>
        </w:rPr>
        <w:t>Methods</w:t>
      </w:r>
    </w:p>
    <w:p w:rsidR="00161487" w:rsidRDefault="00161487" w:rsidP="00BC2684">
      <w:pPr>
        <w:spacing w:after="120"/>
        <w:rPr>
          <w:rFonts w:cs="Times New Roman"/>
        </w:rPr>
      </w:pPr>
      <w:r>
        <w:rPr>
          <w:rFonts w:cs="Times New Roman"/>
        </w:rPr>
        <w:t>The Delphi technique was used to elicit multiple viewpoints from a range of experts on this complex problem</w:t>
      </w:r>
      <w:r w:rsidR="00546D3D">
        <w:rPr>
          <w:rFonts w:cs="Times New Roman"/>
        </w:rPr>
        <w:t xml:space="preserve"> in Wales, UK</w:t>
      </w:r>
      <w:r>
        <w:rPr>
          <w:rFonts w:cs="Times New Roman"/>
        </w:rPr>
        <w:t>. Over three iterative</w:t>
      </w:r>
      <w:r w:rsidR="00546D3D">
        <w:rPr>
          <w:rFonts w:cs="Times New Roman"/>
        </w:rPr>
        <w:t xml:space="preserve"> feedback-interspersed</w:t>
      </w:r>
      <w:r>
        <w:rPr>
          <w:rFonts w:cs="Times New Roman"/>
        </w:rPr>
        <w:t xml:space="preserve"> survey rounds, 86 </w:t>
      </w:r>
      <w:r w:rsidR="00FF5798">
        <w:rPr>
          <w:rFonts w:cs="Times New Roman"/>
        </w:rPr>
        <w:t xml:space="preserve">expert </w:t>
      </w:r>
      <w:r>
        <w:rPr>
          <w:rFonts w:cs="Times New Roman"/>
        </w:rPr>
        <w:t xml:space="preserve">panellists generated opinions and formed consensus on the role of </w:t>
      </w:r>
      <w:r w:rsidR="00F91947">
        <w:rPr>
          <w:rFonts w:cs="Times New Roman"/>
        </w:rPr>
        <w:t>p</w:t>
      </w:r>
      <w:r>
        <w:rPr>
          <w:rFonts w:cs="Times New Roman"/>
        </w:rPr>
        <w:t xml:space="preserve">ublic </w:t>
      </w:r>
      <w:r w:rsidR="00F91947">
        <w:rPr>
          <w:rFonts w:cs="Times New Roman"/>
        </w:rPr>
        <w:t>h</w:t>
      </w:r>
      <w:r>
        <w:rPr>
          <w:rFonts w:cs="Times New Roman"/>
        </w:rPr>
        <w:t xml:space="preserve">ealth bodies and specialists in LAQM and </w:t>
      </w:r>
      <w:r w:rsidR="00546D3D">
        <w:rPr>
          <w:rFonts w:cs="Times New Roman"/>
        </w:rPr>
        <w:t xml:space="preserve">the </w:t>
      </w:r>
      <w:r>
        <w:rPr>
          <w:rFonts w:cs="Times New Roman"/>
        </w:rPr>
        <w:t xml:space="preserve">added value that might </w:t>
      </w:r>
      <w:r w:rsidR="0031154B">
        <w:rPr>
          <w:rFonts w:cs="Times New Roman"/>
        </w:rPr>
        <w:t xml:space="preserve">be achieved as a </w:t>
      </w:r>
      <w:r>
        <w:rPr>
          <w:rFonts w:cs="Times New Roman"/>
        </w:rPr>
        <w:t xml:space="preserve">result </w:t>
      </w:r>
      <w:r w:rsidR="0031154B">
        <w:rPr>
          <w:rFonts w:cs="Times New Roman"/>
        </w:rPr>
        <w:t>of</w:t>
      </w:r>
      <w:r>
        <w:rPr>
          <w:rFonts w:cs="Times New Roman"/>
        </w:rPr>
        <w:t xml:space="preserve"> increased integration and collaboration. Linked opportunities, barriers and solutions were also described. Qualitative data wer</w:t>
      </w:r>
      <w:r w:rsidR="00546D3D">
        <w:rPr>
          <w:rFonts w:cs="Times New Roman"/>
        </w:rPr>
        <w:t xml:space="preserve">e subject to thematic analysis; </w:t>
      </w:r>
      <w:r>
        <w:rPr>
          <w:rFonts w:cs="Times New Roman"/>
        </w:rPr>
        <w:t xml:space="preserve">quantitative data were analysed using descriptive statistics </w:t>
      </w:r>
      <w:r w:rsidR="00045D9B">
        <w:rPr>
          <w:rFonts w:cs="Times New Roman"/>
        </w:rPr>
        <w:t>to assess consensus</w:t>
      </w:r>
      <w:r w:rsidR="00546D3D">
        <w:rPr>
          <w:rFonts w:cs="Times New Roman"/>
        </w:rPr>
        <w:t>,</w:t>
      </w:r>
      <w:r w:rsidR="00045D9B">
        <w:rPr>
          <w:rFonts w:cs="Times New Roman"/>
        </w:rPr>
        <w:t xml:space="preserve"> and </w:t>
      </w:r>
      <w:r w:rsidR="00546D3D">
        <w:rPr>
          <w:rFonts w:cs="Times New Roman"/>
        </w:rPr>
        <w:t xml:space="preserve">the </w:t>
      </w:r>
      <w:proofErr w:type="spellStart"/>
      <w:r w:rsidR="00B02FBA">
        <w:rPr>
          <w:rFonts w:cs="Times New Roman"/>
        </w:rPr>
        <w:t>Wi</w:t>
      </w:r>
      <w:r w:rsidR="00045D9B">
        <w:rPr>
          <w:rFonts w:cs="Times New Roman"/>
        </w:rPr>
        <w:t>lcoxon</w:t>
      </w:r>
      <w:proofErr w:type="spellEnd"/>
      <w:r w:rsidR="00045D9B">
        <w:rPr>
          <w:rFonts w:cs="Times New Roman"/>
        </w:rPr>
        <w:t xml:space="preserve"> matched-pairs</w:t>
      </w:r>
      <w:r w:rsidR="00546D3D">
        <w:rPr>
          <w:rFonts w:cs="Times New Roman"/>
        </w:rPr>
        <w:t xml:space="preserve"> signed-ranks test</w:t>
      </w:r>
      <w:r w:rsidR="00045D9B">
        <w:rPr>
          <w:rFonts w:cs="Times New Roman"/>
        </w:rPr>
        <w:t xml:space="preserve"> to assess</w:t>
      </w:r>
      <w:r w:rsidR="00FF5798">
        <w:rPr>
          <w:rFonts w:cs="Times New Roman"/>
        </w:rPr>
        <w:t xml:space="preserve"> </w:t>
      </w:r>
      <w:r w:rsidR="00045D9B">
        <w:rPr>
          <w:rFonts w:cs="Times New Roman"/>
        </w:rPr>
        <w:t>response stability.</w:t>
      </w:r>
    </w:p>
    <w:p w:rsidR="00EF4572" w:rsidRPr="00CA5166" w:rsidRDefault="00EF4572" w:rsidP="00045D9B">
      <w:pPr>
        <w:spacing w:after="120"/>
        <w:contextualSpacing/>
        <w:rPr>
          <w:i/>
        </w:rPr>
      </w:pPr>
      <w:r w:rsidRPr="00CA5166">
        <w:rPr>
          <w:i/>
        </w:rPr>
        <w:t xml:space="preserve">Results </w:t>
      </w:r>
    </w:p>
    <w:p w:rsidR="00230917" w:rsidRPr="00D46E8D" w:rsidRDefault="00BC2684" w:rsidP="00BC2684">
      <w:pPr>
        <w:spacing w:after="120"/>
      </w:pPr>
      <w:r>
        <w:rPr>
          <w:rFonts w:ascii="Calibri" w:hAnsi="Calibri"/>
        </w:rPr>
        <w:t xml:space="preserve">Consensus opinion </w:t>
      </w:r>
      <w:r w:rsidR="00FF5798">
        <w:rPr>
          <w:rFonts w:ascii="Calibri" w:hAnsi="Calibri"/>
        </w:rPr>
        <w:t xml:space="preserve">confirmed </w:t>
      </w:r>
      <w:r>
        <w:rPr>
          <w:rFonts w:ascii="Calibri" w:hAnsi="Calibri"/>
        </w:rPr>
        <w:t xml:space="preserve">the </w:t>
      </w:r>
      <w:r w:rsidR="00F91947">
        <w:rPr>
          <w:rFonts w:ascii="Calibri" w:hAnsi="Calibri"/>
        </w:rPr>
        <w:t>p</w:t>
      </w:r>
      <w:r>
        <w:rPr>
          <w:rFonts w:ascii="Calibri" w:hAnsi="Calibri"/>
        </w:rPr>
        <w:t xml:space="preserve">ublic </w:t>
      </w:r>
      <w:r w:rsidR="00F91947">
        <w:rPr>
          <w:rFonts w:ascii="Calibri" w:hAnsi="Calibri"/>
        </w:rPr>
        <w:t>h</w:t>
      </w:r>
      <w:r>
        <w:rPr>
          <w:rFonts w:ascii="Calibri" w:hAnsi="Calibri"/>
        </w:rPr>
        <w:t>ealth role in LAQM should</w:t>
      </w:r>
      <w:r w:rsidR="00230917">
        <w:rPr>
          <w:rFonts w:cs="Arial"/>
        </w:rPr>
        <w:t xml:space="preserve"> support </w:t>
      </w:r>
      <w:r w:rsidR="0031154B">
        <w:rPr>
          <w:rFonts w:cs="Arial"/>
        </w:rPr>
        <w:t xml:space="preserve">both </w:t>
      </w:r>
      <w:r w:rsidR="00230917">
        <w:rPr>
          <w:rFonts w:cs="Arial"/>
        </w:rPr>
        <w:t xml:space="preserve">broader mainstream </w:t>
      </w:r>
      <w:r w:rsidR="00230917" w:rsidRPr="00E73D6F">
        <w:rPr>
          <w:rFonts w:cs="Arial"/>
        </w:rPr>
        <w:t>risk assessment and management</w:t>
      </w:r>
      <w:r w:rsidR="00230917">
        <w:rPr>
          <w:rFonts w:cs="Arial"/>
        </w:rPr>
        <w:t xml:space="preserve">, </w:t>
      </w:r>
      <w:r w:rsidR="0031154B">
        <w:rPr>
          <w:rFonts w:cs="Arial"/>
        </w:rPr>
        <w:t xml:space="preserve">and also </w:t>
      </w:r>
      <w:r w:rsidR="00230917">
        <w:rPr>
          <w:rFonts w:cs="Arial"/>
        </w:rPr>
        <w:t xml:space="preserve">enabling functions such as communications, </w:t>
      </w:r>
      <w:r w:rsidR="00230917" w:rsidRPr="00E73D6F">
        <w:rPr>
          <w:rFonts w:cs="Arial"/>
        </w:rPr>
        <w:t xml:space="preserve">research </w:t>
      </w:r>
      <w:r w:rsidR="00230917">
        <w:rPr>
          <w:rFonts w:cs="Arial"/>
        </w:rPr>
        <w:t xml:space="preserve">and </w:t>
      </w:r>
      <w:r w:rsidR="00230917" w:rsidRPr="00D46E8D">
        <w:rPr>
          <w:rFonts w:cs="Arial"/>
        </w:rPr>
        <w:t xml:space="preserve">evidence appraisal, advocacy and leadership. </w:t>
      </w:r>
      <w:r w:rsidR="008E2E7F">
        <w:rPr>
          <w:rFonts w:cs="Arial"/>
        </w:rPr>
        <w:t>L</w:t>
      </w:r>
      <w:r w:rsidR="00230917" w:rsidRPr="00D46E8D">
        <w:rPr>
          <w:rFonts w:cs="Arial"/>
        </w:rPr>
        <w:t>inked o</w:t>
      </w:r>
      <w:r w:rsidR="00230917" w:rsidRPr="00D46E8D">
        <w:t xml:space="preserve">pportunities, barriers and solutions </w:t>
      </w:r>
      <w:r>
        <w:t>were</w:t>
      </w:r>
      <w:r w:rsidR="00230917" w:rsidRPr="00D46E8D">
        <w:t xml:space="preserve"> </w:t>
      </w:r>
      <w:r>
        <w:t>described</w:t>
      </w:r>
      <w:r w:rsidR="008E2E7F">
        <w:t xml:space="preserve"> </w:t>
      </w:r>
      <w:r w:rsidR="0031154B">
        <w:t xml:space="preserve">so as to </w:t>
      </w:r>
      <w:r w:rsidR="008E2E7F">
        <w:t>facilitate change</w:t>
      </w:r>
      <w:r w:rsidR="00230917" w:rsidRPr="00D46E8D">
        <w:t xml:space="preserve">. </w:t>
      </w:r>
      <w:r>
        <w:t xml:space="preserve">Panellists suggested </w:t>
      </w:r>
      <w:r w:rsidR="00FF5798">
        <w:t xml:space="preserve">that </w:t>
      </w:r>
      <w:r>
        <w:t xml:space="preserve">the added value of </w:t>
      </w:r>
      <w:r w:rsidR="0031154B">
        <w:t xml:space="preserve">increasing integration and collaboration </w:t>
      </w:r>
      <w:r>
        <w:t xml:space="preserve">would be </w:t>
      </w:r>
      <w:r w:rsidRPr="005318E1">
        <w:t>more efficient, creative and product</w:t>
      </w:r>
      <w:r w:rsidR="008E2E7F">
        <w:t xml:space="preserve">ive collaboration, </w:t>
      </w:r>
      <w:r w:rsidRPr="005318E1">
        <w:t>meaningful risk assessment</w:t>
      </w:r>
      <w:r w:rsidR="00FF5798">
        <w:t>s</w:t>
      </w:r>
      <w:r w:rsidRPr="005318E1">
        <w:t xml:space="preserve"> </w:t>
      </w:r>
      <w:r>
        <w:t>and</w:t>
      </w:r>
      <w:r w:rsidRPr="005318E1">
        <w:t xml:space="preserve"> effective action</w:t>
      </w:r>
      <w:r>
        <w:t>.</w:t>
      </w:r>
    </w:p>
    <w:p w:rsidR="00EF4572" w:rsidRPr="00045D9B" w:rsidRDefault="00EF4572" w:rsidP="00045D9B">
      <w:pPr>
        <w:spacing w:after="120"/>
        <w:contextualSpacing/>
        <w:rPr>
          <w:i/>
        </w:rPr>
      </w:pPr>
      <w:r w:rsidRPr="00045D9B">
        <w:rPr>
          <w:i/>
        </w:rPr>
        <w:t>Conclusions</w:t>
      </w:r>
    </w:p>
    <w:p w:rsidR="00BC2684" w:rsidRPr="006D65C6" w:rsidRDefault="00BC2684" w:rsidP="00BC2684">
      <w:pPr>
        <w:spacing w:after="120"/>
        <w:rPr>
          <w:rFonts w:ascii="Calibri" w:hAnsi="Calibri"/>
        </w:rPr>
      </w:pPr>
      <w:r>
        <w:t xml:space="preserve">The significant role of </w:t>
      </w:r>
      <w:r w:rsidR="00F91947">
        <w:t>p</w:t>
      </w:r>
      <w:r w:rsidR="00230917">
        <w:t xml:space="preserve">ublic </w:t>
      </w:r>
      <w:r w:rsidR="00F91947">
        <w:t>h</w:t>
      </w:r>
      <w:r w:rsidR="00230917">
        <w:t xml:space="preserve">ealth in LAQM is rarely recognised or realised. </w:t>
      </w:r>
      <w:r>
        <w:rPr>
          <w:rFonts w:eastAsia="Times New Roman" w:cs="Times New Roman"/>
          <w:lang w:eastAsia="en-GB"/>
        </w:rPr>
        <w:t xml:space="preserve">The findings of this study </w:t>
      </w:r>
      <w:r w:rsidRPr="006D65C6">
        <w:rPr>
          <w:rFonts w:ascii="Calibri" w:hAnsi="Calibri"/>
        </w:rPr>
        <w:t>present a convincing</w:t>
      </w:r>
      <w:r>
        <w:rPr>
          <w:rFonts w:ascii="Calibri" w:hAnsi="Calibri"/>
        </w:rPr>
        <w:t xml:space="preserve"> evidence-based case </w:t>
      </w:r>
      <w:r w:rsidR="0031154B">
        <w:rPr>
          <w:rFonts w:ascii="Calibri" w:hAnsi="Calibri"/>
        </w:rPr>
        <w:t xml:space="preserve">for </w:t>
      </w:r>
      <w:r>
        <w:rPr>
          <w:rFonts w:ascii="Calibri" w:hAnsi="Calibri"/>
        </w:rPr>
        <w:t>direct</w:t>
      </w:r>
      <w:r w:rsidR="0031154B">
        <w:rPr>
          <w:rFonts w:ascii="Calibri" w:hAnsi="Calibri"/>
        </w:rPr>
        <w:t>ing</w:t>
      </w:r>
      <w:r>
        <w:rPr>
          <w:rFonts w:ascii="Calibri" w:hAnsi="Calibri"/>
        </w:rPr>
        <w:t xml:space="preserve"> and </w:t>
      </w:r>
      <w:r w:rsidR="0031154B">
        <w:rPr>
          <w:rFonts w:ascii="Calibri" w:hAnsi="Calibri"/>
        </w:rPr>
        <w:t xml:space="preserve">supporting </w:t>
      </w:r>
      <w:r>
        <w:rPr>
          <w:rFonts w:ascii="Calibri" w:hAnsi="Calibri"/>
        </w:rPr>
        <w:t xml:space="preserve">much-needed change to LAQM </w:t>
      </w:r>
      <w:r w:rsidR="0030180E">
        <w:rPr>
          <w:rFonts w:ascii="Calibri" w:hAnsi="Calibri"/>
        </w:rPr>
        <w:t xml:space="preserve">so as </w:t>
      </w:r>
      <w:r>
        <w:rPr>
          <w:rFonts w:ascii="Calibri" w:hAnsi="Calibri"/>
        </w:rPr>
        <w:t>to increase public health integration, collaboration and impact</w:t>
      </w:r>
      <w:r w:rsidRPr="006D65C6">
        <w:rPr>
          <w:rFonts w:eastAsia="Times New Roman" w:cs="Times New Roman"/>
          <w:lang w:eastAsia="en-GB"/>
        </w:rPr>
        <w:t xml:space="preserve">. </w:t>
      </w:r>
    </w:p>
    <w:p w:rsidR="00BC2684" w:rsidRPr="00D46E8D" w:rsidRDefault="00BC2684" w:rsidP="00BC2684">
      <w:pPr>
        <w:spacing w:after="120"/>
      </w:pPr>
      <w:r>
        <w:rPr>
          <w:rFonts w:ascii="Calibri" w:hAnsi="Calibri"/>
        </w:rPr>
        <w:t xml:space="preserve">Not only has this study generated </w:t>
      </w:r>
      <w:r w:rsidRPr="003F5297">
        <w:rPr>
          <w:rFonts w:ascii="Calibri" w:hAnsi="Calibri"/>
        </w:rPr>
        <w:t xml:space="preserve">new evidence to </w:t>
      </w:r>
      <w:r>
        <w:rPr>
          <w:rFonts w:ascii="Calibri" w:hAnsi="Calibri"/>
        </w:rPr>
        <w:t xml:space="preserve">enhance </w:t>
      </w:r>
      <w:r w:rsidRPr="003F5297">
        <w:rPr>
          <w:rFonts w:ascii="Calibri" w:hAnsi="Calibri"/>
        </w:rPr>
        <w:t>LAQM</w:t>
      </w:r>
      <w:r w:rsidR="00C42B18">
        <w:rPr>
          <w:rFonts w:ascii="Calibri" w:hAnsi="Calibri"/>
        </w:rPr>
        <w:t xml:space="preserve"> policy and practice</w:t>
      </w:r>
      <w:r w:rsidRPr="003F5297">
        <w:rPr>
          <w:rFonts w:ascii="Calibri" w:hAnsi="Calibri"/>
        </w:rPr>
        <w:t xml:space="preserve">, </w:t>
      </w:r>
      <w:r>
        <w:rPr>
          <w:rFonts w:ascii="Calibri" w:hAnsi="Calibri"/>
        </w:rPr>
        <w:t>it</w:t>
      </w:r>
      <w:r w:rsidRPr="003F5297">
        <w:rPr>
          <w:rFonts w:ascii="Calibri" w:hAnsi="Calibri"/>
        </w:rPr>
        <w:t xml:space="preserve"> </w:t>
      </w:r>
      <w:r w:rsidR="00C42B18">
        <w:rPr>
          <w:rFonts w:ascii="Calibri" w:hAnsi="Calibri"/>
        </w:rPr>
        <w:t xml:space="preserve">has </w:t>
      </w:r>
      <w:r w:rsidR="0030180E">
        <w:rPr>
          <w:rFonts w:ascii="Calibri" w:hAnsi="Calibri"/>
        </w:rPr>
        <w:t>also confirmed</w:t>
      </w:r>
      <w:r>
        <w:rPr>
          <w:rFonts w:ascii="Calibri" w:hAnsi="Calibri"/>
        </w:rPr>
        <w:t xml:space="preserve"> </w:t>
      </w:r>
      <w:r w:rsidRPr="003F5297">
        <w:rPr>
          <w:rFonts w:ascii="Calibri" w:hAnsi="Calibri"/>
        </w:rPr>
        <w:t xml:space="preserve">the applicability </w:t>
      </w:r>
      <w:r w:rsidRPr="008607A0">
        <w:rPr>
          <w:rFonts w:ascii="Calibri" w:hAnsi="Calibri"/>
        </w:rPr>
        <w:t xml:space="preserve">of the Delphi </w:t>
      </w:r>
      <w:r>
        <w:rPr>
          <w:rFonts w:ascii="Calibri" w:hAnsi="Calibri"/>
        </w:rPr>
        <w:t xml:space="preserve">method </w:t>
      </w:r>
      <w:r w:rsidRPr="008607A0">
        <w:rPr>
          <w:rFonts w:ascii="Calibri" w:hAnsi="Calibri"/>
        </w:rPr>
        <w:t>in investigating complex environmental public health problems.</w:t>
      </w:r>
      <w:r w:rsidRPr="00BC2684">
        <w:t xml:space="preserve"> </w:t>
      </w:r>
      <w:r w:rsidRPr="00D46E8D">
        <w:t xml:space="preserve">While some opinions </w:t>
      </w:r>
      <w:r w:rsidR="00C42B18">
        <w:t xml:space="preserve">generated </w:t>
      </w:r>
      <w:r w:rsidRPr="00D46E8D">
        <w:t>relate</w:t>
      </w:r>
      <w:r>
        <w:t>d</w:t>
      </w:r>
      <w:r w:rsidRPr="00D46E8D">
        <w:t xml:space="preserve"> to Wales’ unique circumstances, most </w:t>
      </w:r>
      <w:r>
        <w:t>were</w:t>
      </w:r>
      <w:r w:rsidRPr="00D46E8D">
        <w:t xml:space="preserve"> general in context and </w:t>
      </w:r>
      <w:r w:rsidR="00C42B18">
        <w:t xml:space="preserve">will have relevance and importance across </w:t>
      </w:r>
      <w:r w:rsidRPr="00D46E8D">
        <w:t>the UK and in countries beyond where air quality management and public health policy and practice</w:t>
      </w:r>
      <w:r w:rsidR="00C42B18">
        <w:t xml:space="preserve"> are disconnected</w:t>
      </w:r>
      <w:r w:rsidRPr="00D46E8D">
        <w:t>.</w:t>
      </w:r>
    </w:p>
    <w:p w:rsidR="00C42B18" w:rsidRPr="00C42B18" w:rsidRDefault="00C42B18" w:rsidP="009A3228">
      <w:pPr>
        <w:spacing w:after="120"/>
        <w:rPr>
          <w:sz w:val="6"/>
          <w:szCs w:val="6"/>
        </w:rPr>
      </w:pPr>
    </w:p>
    <w:p w:rsidR="00F661BC" w:rsidRDefault="00C42B18" w:rsidP="009A3228">
      <w:pPr>
        <w:spacing w:after="120"/>
      </w:pPr>
      <w:r>
        <w:t>K</w:t>
      </w:r>
      <w:r w:rsidR="00EF4572">
        <w:t xml:space="preserve">ey words: </w:t>
      </w:r>
    </w:p>
    <w:p w:rsidR="00FA76E3" w:rsidRDefault="002336EB" w:rsidP="00EC206A">
      <w:pPr>
        <w:spacing w:after="120"/>
      </w:pPr>
      <w:r>
        <w:rPr>
          <w:i/>
        </w:rPr>
        <w:t xml:space="preserve">Local Air Quality Management; </w:t>
      </w:r>
      <w:r w:rsidR="00FA76E3" w:rsidRPr="00FA76E3">
        <w:rPr>
          <w:i/>
        </w:rPr>
        <w:t>Air pollution</w:t>
      </w:r>
      <w:r>
        <w:rPr>
          <w:i/>
        </w:rPr>
        <w:t xml:space="preserve">; </w:t>
      </w:r>
      <w:r w:rsidR="00FA76E3" w:rsidRPr="00FA76E3">
        <w:rPr>
          <w:i/>
        </w:rPr>
        <w:t>Public health</w:t>
      </w:r>
      <w:r>
        <w:rPr>
          <w:i/>
        </w:rPr>
        <w:t xml:space="preserve">; </w:t>
      </w:r>
      <w:r w:rsidR="00FA76E3" w:rsidRPr="00FA76E3">
        <w:rPr>
          <w:i/>
        </w:rPr>
        <w:t>Integration</w:t>
      </w:r>
      <w:r>
        <w:rPr>
          <w:i/>
        </w:rPr>
        <w:t xml:space="preserve">; </w:t>
      </w:r>
      <w:r w:rsidR="00FA76E3" w:rsidRPr="00FA76E3">
        <w:rPr>
          <w:i/>
        </w:rPr>
        <w:t>Collaboration</w:t>
      </w:r>
      <w:r>
        <w:rPr>
          <w:i/>
        </w:rPr>
        <w:t xml:space="preserve">; </w:t>
      </w:r>
      <w:r w:rsidR="00FA76E3" w:rsidRPr="00FA76E3">
        <w:rPr>
          <w:i/>
        </w:rPr>
        <w:t>Delphi</w:t>
      </w:r>
    </w:p>
    <w:p w:rsidR="00FA76E3" w:rsidRPr="00853C5A" w:rsidRDefault="00EF4572" w:rsidP="00853C5A">
      <w:pPr>
        <w:outlineLvl w:val="1"/>
        <w:rPr>
          <w:rFonts w:eastAsia="Times New Roman" w:cs="Times New Roman"/>
          <w:b/>
          <w:bCs/>
          <w:lang w:eastAsia="en-GB"/>
        </w:rPr>
      </w:pPr>
      <w:r w:rsidRPr="00853C5A">
        <w:rPr>
          <w:rFonts w:eastAsia="Times New Roman" w:cs="Times New Roman"/>
          <w:b/>
          <w:bCs/>
          <w:lang w:eastAsia="en-GB"/>
        </w:rPr>
        <w:lastRenderedPageBreak/>
        <w:t>Background</w:t>
      </w:r>
    </w:p>
    <w:p w:rsidR="00226295" w:rsidRDefault="00E56B67" w:rsidP="00853C5A">
      <w:pPr>
        <w:outlineLvl w:val="1"/>
      </w:pPr>
      <w:r>
        <w:t>Outdoor a</w:t>
      </w:r>
      <w:r w:rsidR="004520D2" w:rsidRPr="00853C5A">
        <w:t>ir pollution</w:t>
      </w:r>
      <w:r w:rsidR="00F43F67">
        <w:t xml:space="preserve"> </w:t>
      </w:r>
      <w:r>
        <w:t xml:space="preserve">poses </w:t>
      </w:r>
      <w:r w:rsidR="000E4FC9" w:rsidRPr="00853C5A">
        <w:t xml:space="preserve">significant </w:t>
      </w:r>
      <w:r w:rsidR="00063418" w:rsidRPr="00853C5A">
        <w:t>public health</w:t>
      </w:r>
      <w:r w:rsidR="009A551C">
        <w:t xml:space="preserve"> </w:t>
      </w:r>
      <w:r>
        <w:t>risks</w:t>
      </w:r>
      <w:r w:rsidR="009A551C">
        <w:t xml:space="preserve">. </w:t>
      </w:r>
      <w:r>
        <w:t xml:space="preserve">Exposure to pollutants such as </w:t>
      </w:r>
      <w:r w:rsidR="009A551C">
        <w:t xml:space="preserve">particulate matter and nitrogen dioxide </w:t>
      </w:r>
      <w:r w:rsidR="00063418" w:rsidRPr="00853C5A">
        <w:t xml:space="preserve">increases </w:t>
      </w:r>
      <w:r w:rsidR="004520D2" w:rsidRPr="00853C5A">
        <w:t xml:space="preserve">mortality and morbidity </w:t>
      </w:r>
      <w:r w:rsidR="0080041C" w:rsidRPr="00853C5A">
        <w:t xml:space="preserve">from </w:t>
      </w:r>
      <w:r w:rsidR="004520D2" w:rsidRPr="00853C5A">
        <w:t xml:space="preserve">heart disease and strokes, respiratory diseases, lung cancer and other effects </w:t>
      </w:r>
      <w:r w:rsidR="004520D2" w:rsidRPr="00853C5A">
        <w:rPr>
          <w:rFonts w:cs="PalatinoLinotype-Roman"/>
        </w:rPr>
        <w:t>(</w:t>
      </w:r>
      <w:r w:rsidR="004520D2" w:rsidRPr="00853C5A">
        <w:rPr>
          <w:rFonts w:cs="PalatinoLinotype-Roman"/>
          <w:color w:val="00B050"/>
        </w:rPr>
        <w:t>World Health Organization, 2013</w:t>
      </w:r>
      <w:r w:rsidR="004520D2" w:rsidRPr="00853C5A">
        <w:rPr>
          <w:rFonts w:cs="PalatinoLinotype-Roman"/>
        </w:rPr>
        <w:t>)</w:t>
      </w:r>
      <w:r w:rsidR="004A56C1">
        <w:rPr>
          <w:rFonts w:cs="PalatinoLinotype-Roman"/>
        </w:rPr>
        <w:t xml:space="preserve">. </w:t>
      </w:r>
      <w:r w:rsidR="009A551C">
        <w:rPr>
          <w:rFonts w:cs="PalatinoLinotype-Roman"/>
        </w:rPr>
        <w:t>The associated h</w:t>
      </w:r>
      <w:r w:rsidR="00063418" w:rsidRPr="00853C5A">
        <w:rPr>
          <w:rFonts w:cs="PalatinoLinotype-Roman"/>
        </w:rPr>
        <w:t>ealth and financial burdens are substantial</w:t>
      </w:r>
      <w:r w:rsidR="009A551C">
        <w:rPr>
          <w:rFonts w:cs="PalatinoLinotype-Roman"/>
        </w:rPr>
        <w:t>; i</w:t>
      </w:r>
      <w:r w:rsidR="00226295">
        <w:rPr>
          <w:rFonts w:cs="PalatinoLinotype-Roman"/>
        </w:rPr>
        <w:t>n the UK</w:t>
      </w:r>
      <w:r w:rsidR="00F43F67">
        <w:rPr>
          <w:rFonts w:cs="PalatinoLinotype-Roman"/>
        </w:rPr>
        <w:t>,</w:t>
      </w:r>
      <w:r w:rsidR="00226295">
        <w:rPr>
          <w:rFonts w:cs="PalatinoLinotype-Roman"/>
        </w:rPr>
        <w:t xml:space="preserve"> </w:t>
      </w:r>
      <w:r w:rsidR="009A551C">
        <w:rPr>
          <w:rFonts w:cs="PalatinoLinotype-Roman"/>
        </w:rPr>
        <w:t xml:space="preserve">the </w:t>
      </w:r>
      <w:r w:rsidR="00F43F67">
        <w:rPr>
          <w:rFonts w:cs="PalatinoLinotype-Roman"/>
        </w:rPr>
        <w:t xml:space="preserve">equivalent of </w:t>
      </w:r>
      <w:r w:rsidR="009A551C">
        <w:rPr>
          <w:rFonts w:cs="PalatinoLinotype-Roman"/>
        </w:rPr>
        <w:t xml:space="preserve">around </w:t>
      </w:r>
      <w:r w:rsidR="00F43F67">
        <w:t xml:space="preserve">40,000 </w:t>
      </w:r>
      <w:r>
        <w:t xml:space="preserve">annual </w:t>
      </w:r>
      <w:r w:rsidR="00226295">
        <w:t xml:space="preserve">deaths </w:t>
      </w:r>
      <w:r w:rsidR="00207306">
        <w:t xml:space="preserve">are </w:t>
      </w:r>
      <w:r w:rsidR="00226295">
        <w:t xml:space="preserve">attributed </w:t>
      </w:r>
      <w:r>
        <w:t xml:space="preserve">to exposure to these pollutants </w:t>
      </w:r>
      <w:r w:rsidR="00226295">
        <w:t>(</w:t>
      </w:r>
      <w:r w:rsidR="00F43F67" w:rsidRPr="00226295">
        <w:rPr>
          <w:color w:val="00B050"/>
        </w:rPr>
        <w:t>Royal College</w:t>
      </w:r>
      <w:r w:rsidR="00F43F67">
        <w:rPr>
          <w:color w:val="00B050"/>
        </w:rPr>
        <w:t xml:space="preserve">s of Physicians and </w:t>
      </w:r>
      <w:r w:rsidR="00F43F67" w:rsidRPr="00226295">
        <w:rPr>
          <w:color w:val="00B050"/>
        </w:rPr>
        <w:t>Paediatrics and Child Health, 2016</w:t>
      </w:r>
      <w:r w:rsidR="00226295">
        <w:t>) and</w:t>
      </w:r>
      <w:r w:rsidR="00126B74" w:rsidRPr="00853C5A">
        <w:t xml:space="preserve"> </w:t>
      </w:r>
      <w:r w:rsidR="004520D2" w:rsidRPr="00853C5A">
        <w:t xml:space="preserve">life expectancy </w:t>
      </w:r>
      <w:r w:rsidR="00226295">
        <w:t xml:space="preserve">is reduced by </w:t>
      </w:r>
      <w:r w:rsidR="004520D2" w:rsidRPr="00853C5A">
        <w:t xml:space="preserve">7-8 months </w:t>
      </w:r>
      <w:r w:rsidR="00F43F67">
        <w:t xml:space="preserve">on average </w:t>
      </w:r>
      <w:r w:rsidR="00226295">
        <w:t xml:space="preserve">for everyone </w:t>
      </w:r>
      <w:r w:rsidR="004520D2" w:rsidRPr="00853C5A">
        <w:t>(</w:t>
      </w:r>
      <w:r w:rsidR="004520D2" w:rsidRPr="00853C5A">
        <w:rPr>
          <w:color w:val="00B050"/>
        </w:rPr>
        <w:t>Department for Environment, Food and Rural Affairs, 2007</w:t>
      </w:r>
      <w:r w:rsidR="004520D2" w:rsidRPr="00853C5A">
        <w:t>).</w:t>
      </w:r>
      <w:r w:rsidR="004520D2" w:rsidRPr="00853C5A">
        <w:rPr>
          <w:rFonts w:cs="Arial"/>
        </w:rPr>
        <w:t xml:space="preserve"> </w:t>
      </w:r>
      <w:r w:rsidR="00F43F67">
        <w:rPr>
          <w:rFonts w:cs="Arial"/>
        </w:rPr>
        <w:t>T</w:t>
      </w:r>
      <w:r w:rsidR="000E4FC9" w:rsidRPr="00853C5A">
        <w:rPr>
          <w:rFonts w:cs="Arial"/>
        </w:rPr>
        <w:t xml:space="preserve">hrough health service costs and reduced productivity from lost work-days, </w:t>
      </w:r>
      <w:r w:rsidR="00126B74" w:rsidRPr="00853C5A">
        <w:rPr>
          <w:rFonts w:cs="Arial"/>
        </w:rPr>
        <w:t>air pollution cost</w:t>
      </w:r>
      <w:r w:rsidR="00226295">
        <w:rPr>
          <w:rFonts w:cs="Arial"/>
        </w:rPr>
        <w:t>s</w:t>
      </w:r>
      <w:r w:rsidR="00126B74" w:rsidRPr="00853C5A">
        <w:rPr>
          <w:rFonts w:cs="Arial"/>
        </w:rPr>
        <w:t xml:space="preserve"> </w:t>
      </w:r>
      <w:r w:rsidR="000E4FC9" w:rsidRPr="00853C5A">
        <w:rPr>
          <w:rFonts w:cs="Arial"/>
        </w:rPr>
        <w:t>the UK</w:t>
      </w:r>
      <w:r w:rsidR="00126B74" w:rsidRPr="00853C5A">
        <w:rPr>
          <w:rFonts w:cs="Arial"/>
        </w:rPr>
        <w:t xml:space="preserve"> about </w:t>
      </w:r>
      <w:r w:rsidR="004520D2" w:rsidRPr="00853C5A">
        <w:rPr>
          <w:rFonts w:cs="Arial"/>
        </w:rPr>
        <w:t xml:space="preserve">£20 billion </w:t>
      </w:r>
      <w:r w:rsidR="00126B74" w:rsidRPr="00853C5A">
        <w:rPr>
          <w:rFonts w:cs="Arial"/>
        </w:rPr>
        <w:t>per year</w:t>
      </w:r>
      <w:r w:rsidR="004520D2" w:rsidRPr="00853C5A">
        <w:rPr>
          <w:rFonts w:cs="Arial"/>
        </w:rPr>
        <w:t xml:space="preserve"> </w:t>
      </w:r>
      <w:r w:rsidR="00131EC5" w:rsidRPr="00853C5A">
        <w:rPr>
          <w:rFonts w:cs="Arial"/>
        </w:rPr>
        <w:t>(</w:t>
      </w:r>
      <w:r w:rsidR="00131EC5" w:rsidRPr="00226295">
        <w:rPr>
          <w:color w:val="00B050"/>
        </w:rPr>
        <w:t>Royal College</w:t>
      </w:r>
      <w:r w:rsidR="00226295">
        <w:rPr>
          <w:color w:val="00B050"/>
        </w:rPr>
        <w:t xml:space="preserve">s of Physicians and </w:t>
      </w:r>
      <w:r w:rsidR="00131EC5" w:rsidRPr="00226295">
        <w:rPr>
          <w:color w:val="00B050"/>
        </w:rPr>
        <w:t>Paediatrics and Child Health, 2016</w:t>
      </w:r>
      <w:r w:rsidR="00131EC5" w:rsidRPr="00853C5A">
        <w:t xml:space="preserve">). </w:t>
      </w:r>
    </w:p>
    <w:p w:rsidR="0002588C" w:rsidRPr="000E78F1" w:rsidRDefault="00226295" w:rsidP="00853C5A">
      <w:pPr>
        <w:outlineLvl w:val="1"/>
      </w:pPr>
      <w:r>
        <w:t xml:space="preserve">With air pollution </w:t>
      </w:r>
      <w:r w:rsidR="00E56B67">
        <w:t xml:space="preserve">regarded as </w:t>
      </w:r>
      <w:r>
        <w:t>the most significant environmental determinant of health (</w:t>
      </w:r>
      <w:r w:rsidR="006D3B80">
        <w:rPr>
          <w:color w:val="00B050"/>
        </w:rPr>
        <w:t>Lim</w:t>
      </w:r>
      <w:r w:rsidR="00F43F67">
        <w:rPr>
          <w:color w:val="00B050"/>
        </w:rPr>
        <w:t xml:space="preserve"> </w:t>
      </w:r>
      <w:r w:rsidR="00F43F67">
        <w:rPr>
          <w:i/>
          <w:color w:val="00B050"/>
        </w:rPr>
        <w:t>et al</w:t>
      </w:r>
      <w:r w:rsidR="00F43F67">
        <w:rPr>
          <w:color w:val="00B050"/>
        </w:rPr>
        <w:t>., 2012</w:t>
      </w:r>
      <w:r>
        <w:t xml:space="preserve">), </w:t>
      </w:r>
      <w:r w:rsidR="0080041C" w:rsidRPr="00853C5A">
        <w:rPr>
          <w:rFonts w:cs="Arial"/>
        </w:rPr>
        <w:t xml:space="preserve">having </w:t>
      </w:r>
      <w:r>
        <w:rPr>
          <w:rFonts w:cs="Arial"/>
        </w:rPr>
        <w:t xml:space="preserve">in place </w:t>
      </w:r>
      <w:r w:rsidR="00207306">
        <w:rPr>
          <w:rFonts w:cs="Arial"/>
        </w:rPr>
        <w:t xml:space="preserve">an </w:t>
      </w:r>
      <w:r w:rsidR="003A777E" w:rsidRPr="00853C5A">
        <w:rPr>
          <w:rFonts w:cs="Arial"/>
        </w:rPr>
        <w:t xml:space="preserve">effective air quality management </w:t>
      </w:r>
      <w:r w:rsidR="00207306">
        <w:rPr>
          <w:rFonts w:cs="Arial"/>
        </w:rPr>
        <w:t>framework</w:t>
      </w:r>
      <w:r w:rsidR="00207306" w:rsidRPr="00853C5A">
        <w:rPr>
          <w:rFonts w:cs="Arial"/>
        </w:rPr>
        <w:t xml:space="preserve"> </w:t>
      </w:r>
      <w:r w:rsidR="00016A3C">
        <w:rPr>
          <w:rFonts w:cs="Arial"/>
        </w:rPr>
        <w:t>–</w:t>
      </w:r>
      <w:r>
        <w:rPr>
          <w:rFonts w:cs="Arial"/>
        </w:rPr>
        <w:t xml:space="preserve"> </w:t>
      </w:r>
      <w:r w:rsidR="0080041C" w:rsidRPr="00853C5A">
        <w:rPr>
          <w:rFonts w:cs="Arial"/>
        </w:rPr>
        <w:t>to</w:t>
      </w:r>
      <w:r w:rsidR="00016A3C">
        <w:rPr>
          <w:rFonts w:cs="Arial"/>
        </w:rPr>
        <w:t xml:space="preserve"> </w:t>
      </w:r>
      <w:r w:rsidR="0080041C" w:rsidRPr="00853C5A">
        <w:rPr>
          <w:rFonts w:cs="Arial"/>
        </w:rPr>
        <w:t xml:space="preserve">assess and reduce air </w:t>
      </w:r>
      <w:r w:rsidR="00A94E82" w:rsidRPr="00853C5A">
        <w:rPr>
          <w:rFonts w:cs="Arial"/>
        </w:rPr>
        <w:t>pollution</w:t>
      </w:r>
      <w:r>
        <w:rPr>
          <w:rFonts w:cs="Arial"/>
        </w:rPr>
        <w:t xml:space="preserve">, </w:t>
      </w:r>
      <w:r w:rsidR="00E56B67">
        <w:rPr>
          <w:rFonts w:cs="Arial"/>
        </w:rPr>
        <w:t xml:space="preserve">health </w:t>
      </w:r>
      <w:r>
        <w:rPr>
          <w:rFonts w:cs="Arial"/>
        </w:rPr>
        <w:t xml:space="preserve">risks and inequalities </w:t>
      </w:r>
      <w:r w:rsidR="00EA2D28">
        <w:rPr>
          <w:rFonts w:cs="Arial"/>
        </w:rPr>
        <w:t>–</w:t>
      </w:r>
      <w:r>
        <w:rPr>
          <w:rFonts w:cs="Arial"/>
        </w:rPr>
        <w:t xml:space="preserve"> </w:t>
      </w:r>
      <w:r w:rsidR="00EA2D28">
        <w:rPr>
          <w:rFonts w:cs="Arial"/>
        </w:rPr>
        <w:t>must be</w:t>
      </w:r>
      <w:r w:rsidR="00063418" w:rsidRPr="00853C5A">
        <w:rPr>
          <w:rFonts w:cs="Arial"/>
        </w:rPr>
        <w:t xml:space="preserve"> </w:t>
      </w:r>
      <w:r w:rsidR="00A94E82" w:rsidRPr="00853C5A">
        <w:rPr>
          <w:rFonts w:cs="Arial"/>
        </w:rPr>
        <w:t>a priority.</w:t>
      </w:r>
      <w:r>
        <w:rPr>
          <w:rFonts w:cs="Arial"/>
        </w:rPr>
        <w:t xml:space="preserve"> </w:t>
      </w:r>
      <w:r w:rsidR="00EA2D28">
        <w:rPr>
          <w:rFonts w:cs="Arial"/>
        </w:rPr>
        <w:t>In the UK, t</w:t>
      </w:r>
      <w:r w:rsidR="00123B35" w:rsidRPr="00853C5A">
        <w:t xml:space="preserve">he </w:t>
      </w:r>
      <w:r w:rsidR="00E56B67">
        <w:t xml:space="preserve">approach to </w:t>
      </w:r>
      <w:r w:rsidR="00977A8C" w:rsidRPr="00853C5A">
        <w:t xml:space="preserve">air quality management </w:t>
      </w:r>
      <w:r w:rsidR="00EA2D28">
        <w:t>is</w:t>
      </w:r>
      <w:r w:rsidR="00E56B67">
        <w:t xml:space="preserve"> set out in the </w:t>
      </w:r>
      <w:r w:rsidR="009C5AA4" w:rsidRPr="00853C5A">
        <w:t>Air Quality Strategy for England, Scotland, Wales and Northern Ireland</w:t>
      </w:r>
      <w:r w:rsidR="0053040C" w:rsidRPr="00853C5A">
        <w:t xml:space="preserve"> </w:t>
      </w:r>
      <w:r>
        <w:t>(</w:t>
      </w:r>
      <w:r w:rsidRPr="00226295">
        <w:rPr>
          <w:color w:val="00B050"/>
        </w:rPr>
        <w:t>Department for Environment, Food and Rural Affairs, 2007</w:t>
      </w:r>
      <w:r>
        <w:t xml:space="preserve">). </w:t>
      </w:r>
      <w:r w:rsidR="0061250B">
        <w:t>This</w:t>
      </w:r>
      <w:r w:rsidR="00E56B67">
        <w:t xml:space="preserve"> </w:t>
      </w:r>
      <w:r w:rsidR="00A72754" w:rsidRPr="00853C5A">
        <w:t xml:space="preserve">commits to ensure access </w:t>
      </w:r>
      <w:r w:rsidR="003A4A67">
        <w:t xml:space="preserve">to good quality outdoor air </w:t>
      </w:r>
      <w:r w:rsidR="00A72754" w:rsidRPr="00853C5A">
        <w:t xml:space="preserve">for all </w:t>
      </w:r>
      <w:r w:rsidR="00E56B67">
        <w:t xml:space="preserve">UK </w:t>
      </w:r>
      <w:r w:rsidR="00A72754" w:rsidRPr="00853C5A">
        <w:t xml:space="preserve">citizens </w:t>
      </w:r>
      <w:r w:rsidR="00EB2193">
        <w:t xml:space="preserve">through </w:t>
      </w:r>
      <w:r w:rsidR="00EA2D28">
        <w:t xml:space="preserve">the implementation of </w:t>
      </w:r>
      <w:r w:rsidR="00197531" w:rsidRPr="00853C5A">
        <w:t xml:space="preserve">two complementary </w:t>
      </w:r>
      <w:r w:rsidR="00F43F67">
        <w:t>approaches</w:t>
      </w:r>
      <w:r w:rsidR="00197531" w:rsidRPr="00853C5A">
        <w:t>:</w:t>
      </w:r>
      <w:r w:rsidR="005303EF" w:rsidRPr="00853C5A">
        <w:t xml:space="preserve"> </w:t>
      </w:r>
      <w:proofErr w:type="spellStart"/>
      <w:r>
        <w:t>i</w:t>
      </w:r>
      <w:proofErr w:type="spellEnd"/>
      <w:r>
        <w:t xml:space="preserve">) </w:t>
      </w:r>
      <w:r w:rsidR="005303EF" w:rsidRPr="00853C5A">
        <w:t>n</w:t>
      </w:r>
      <w:r w:rsidR="00A72754" w:rsidRPr="00853C5A">
        <w:t>ational</w:t>
      </w:r>
      <w:r w:rsidR="003C0A4B" w:rsidRPr="00853C5A">
        <w:t xml:space="preserve"> </w:t>
      </w:r>
      <w:r w:rsidR="009C5AA4" w:rsidRPr="00853C5A">
        <w:t>policy</w:t>
      </w:r>
      <w:r w:rsidR="00EB0F1D">
        <w:t xml:space="preserve"> </w:t>
      </w:r>
      <w:r w:rsidR="0061250B">
        <w:t xml:space="preserve">measures </w:t>
      </w:r>
      <w:r w:rsidR="008F6130">
        <w:t xml:space="preserve">that </w:t>
      </w:r>
      <w:r w:rsidR="00EB0F1D">
        <w:t>drive tighter standards, technology advances and cleaner transport and industry</w:t>
      </w:r>
      <w:r>
        <w:t>,</w:t>
      </w:r>
      <w:r w:rsidR="009145F0" w:rsidRPr="00853C5A">
        <w:t xml:space="preserve"> </w:t>
      </w:r>
      <w:r w:rsidR="00197531" w:rsidRPr="00853C5A">
        <w:t xml:space="preserve">and </w:t>
      </w:r>
      <w:r>
        <w:t xml:space="preserve">ii) </w:t>
      </w:r>
      <w:r w:rsidR="00197531" w:rsidRPr="00853C5A">
        <w:t xml:space="preserve">a </w:t>
      </w:r>
      <w:r w:rsidR="00D20844">
        <w:t xml:space="preserve">statutory effects-based </w:t>
      </w:r>
      <w:r w:rsidR="00EA2D28">
        <w:t xml:space="preserve">Local Air Quality Management </w:t>
      </w:r>
      <w:r w:rsidR="00AE5F83">
        <w:t xml:space="preserve">process </w:t>
      </w:r>
      <w:r w:rsidR="00CF6B0A">
        <w:t>[</w:t>
      </w:r>
      <w:r w:rsidR="00EA2D28">
        <w:t xml:space="preserve">as </w:t>
      </w:r>
      <w:r w:rsidR="009D5E70">
        <w:t xml:space="preserve">required by </w:t>
      </w:r>
      <w:r w:rsidR="005621C0">
        <w:t xml:space="preserve">Part IV of </w:t>
      </w:r>
      <w:r w:rsidR="009D5E70">
        <w:t>the Environment Act 1995 (</w:t>
      </w:r>
      <w:r w:rsidR="0042085B" w:rsidRPr="0042085B">
        <w:rPr>
          <w:color w:val="00B050"/>
        </w:rPr>
        <w:t>HM Government, 1995</w:t>
      </w:r>
      <w:r w:rsidR="009D5E70">
        <w:t>)</w:t>
      </w:r>
      <w:r w:rsidR="00CF6B0A">
        <w:t>]</w:t>
      </w:r>
      <w:r w:rsidR="005621C0">
        <w:t xml:space="preserve"> </w:t>
      </w:r>
      <w:r w:rsidR="00EA2D28">
        <w:t xml:space="preserve">to </w:t>
      </w:r>
      <w:r w:rsidR="00016A3C">
        <w:t>support</w:t>
      </w:r>
      <w:r w:rsidR="00EB0F1D">
        <w:t xml:space="preserve"> </w:t>
      </w:r>
      <w:r w:rsidR="00F962EC">
        <w:t xml:space="preserve">local-level </w:t>
      </w:r>
      <w:r w:rsidR="00EA2D28">
        <w:t xml:space="preserve">collaborative </w:t>
      </w:r>
      <w:r w:rsidR="00DC2519" w:rsidRPr="00853C5A">
        <w:t xml:space="preserve">action to assess and reduce air pollution to protect </w:t>
      </w:r>
      <w:r w:rsidR="00F962EC" w:rsidRPr="000E78F1">
        <w:t xml:space="preserve">population </w:t>
      </w:r>
      <w:r w:rsidR="00DC2519" w:rsidRPr="000E78F1">
        <w:t>health.</w:t>
      </w:r>
      <w:r w:rsidR="007B30DD" w:rsidRPr="000E78F1">
        <w:t xml:space="preserve"> </w:t>
      </w:r>
    </w:p>
    <w:p w:rsidR="000E78F1" w:rsidRPr="000E78F1" w:rsidRDefault="0002588C" w:rsidP="00B170F0">
      <w:pPr>
        <w:pStyle w:val="NoSpacing"/>
        <w:spacing w:after="120"/>
        <w:rPr>
          <w:rFonts w:asciiTheme="minorHAnsi" w:hAnsiTheme="minorHAnsi"/>
          <w:color w:val="FF0000"/>
          <w:sz w:val="22"/>
          <w:szCs w:val="22"/>
        </w:rPr>
      </w:pPr>
      <w:r w:rsidRPr="000E78F1">
        <w:rPr>
          <w:rFonts w:asciiTheme="minorHAnsi" w:hAnsiTheme="minorHAnsi"/>
          <w:sz w:val="22"/>
          <w:szCs w:val="22"/>
        </w:rPr>
        <w:t>This paper focuses</w:t>
      </w:r>
      <w:r w:rsidR="00E46BAE" w:rsidRPr="000E78F1">
        <w:rPr>
          <w:rFonts w:asciiTheme="minorHAnsi" w:hAnsiTheme="minorHAnsi"/>
          <w:sz w:val="22"/>
          <w:szCs w:val="22"/>
        </w:rPr>
        <w:t xml:space="preserve"> on </w:t>
      </w:r>
      <w:r w:rsidR="009D5E70" w:rsidRPr="000E78F1">
        <w:rPr>
          <w:rFonts w:asciiTheme="minorHAnsi" w:hAnsiTheme="minorHAnsi"/>
          <w:sz w:val="22"/>
          <w:szCs w:val="22"/>
        </w:rPr>
        <w:t>th</w:t>
      </w:r>
      <w:r w:rsidR="007B2BE7" w:rsidRPr="000E78F1">
        <w:rPr>
          <w:rFonts w:asciiTheme="minorHAnsi" w:hAnsiTheme="minorHAnsi"/>
          <w:sz w:val="22"/>
          <w:szCs w:val="22"/>
        </w:rPr>
        <w:t>e</w:t>
      </w:r>
      <w:r w:rsidR="009D5E70" w:rsidRPr="000E78F1">
        <w:rPr>
          <w:rFonts w:asciiTheme="minorHAnsi" w:hAnsiTheme="minorHAnsi"/>
          <w:sz w:val="22"/>
          <w:szCs w:val="22"/>
        </w:rPr>
        <w:t xml:space="preserve"> </w:t>
      </w:r>
      <w:r w:rsidR="00CF6B0A" w:rsidRPr="000E78F1">
        <w:rPr>
          <w:rFonts w:asciiTheme="minorHAnsi" w:hAnsiTheme="minorHAnsi"/>
          <w:sz w:val="22"/>
          <w:szCs w:val="22"/>
        </w:rPr>
        <w:t xml:space="preserve">second </w:t>
      </w:r>
      <w:r w:rsidR="003C4A4E" w:rsidRPr="000E78F1">
        <w:rPr>
          <w:rFonts w:asciiTheme="minorHAnsi" w:hAnsiTheme="minorHAnsi"/>
          <w:sz w:val="22"/>
          <w:szCs w:val="22"/>
        </w:rPr>
        <w:t xml:space="preserve">of these – the </w:t>
      </w:r>
      <w:r w:rsidR="00DC2208" w:rsidRPr="000E78F1">
        <w:rPr>
          <w:rFonts w:asciiTheme="minorHAnsi" w:hAnsiTheme="minorHAnsi"/>
          <w:sz w:val="22"/>
          <w:szCs w:val="22"/>
        </w:rPr>
        <w:t xml:space="preserve">Local Air Quality Management (LAQM) </w:t>
      </w:r>
      <w:r w:rsidR="00207306">
        <w:rPr>
          <w:rFonts w:asciiTheme="minorHAnsi" w:hAnsiTheme="minorHAnsi"/>
          <w:sz w:val="22"/>
          <w:szCs w:val="22"/>
        </w:rPr>
        <w:t>regime</w:t>
      </w:r>
      <w:r w:rsidR="00207306" w:rsidRPr="000E78F1">
        <w:rPr>
          <w:rFonts w:asciiTheme="minorHAnsi" w:hAnsiTheme="minorHAnsi"/>
          <w:sz w:val="22"/>
          <w:szCs w:val="22"/>
        </w:rPr>
        <w:t xml:space="preserve"> </w:t>
      </w:r>
      <w:r w:rsidR="00016A3C">
        <w:rPr>
          <w:rFonts w:asciiTheme="minorHAnsi" w:hAnsiTheme="minorHAnsi"/>
          <w:sz w:val="22"/>
          <w:szCs w:val="22"/>
        </w:rPr>
        <w:t>–</w:t>
      </w:r>
      <w:r w:rsidR="003C4A4E" w:rsidRPr="000E78F1">
        <w:rPr>
          <w:rFonts w:asciiTheme="minorHAnsi" w:hAnsiTheme="minorHAnsi"/>
          <w:sz w:val="22"/>
          <w:szCs w:val="22"/>
        </w:rPr>
        <w:t xml:space="preserve"> </w:t>
      </w:r>
      <w:r w:rsidR="009D5E70" w:rsidRPr="000E78F1">
        <w:rPr>
          <w:rFonts w:asciiTheme="minorHAnsi" w:hAnsiTheme="minorHAnsi"/>
          <w:sz w:val="22"/>
          <w:szCs w:val="22"/>
        </w:rPr>
        <w:t>which</w:t>
      </w:r>
      <w:r w:rsidR="00016A3C">
        <w:rPr>
          <w:rFonts w:asciiTheme="minorHAnsi" w:hAnsiTheme="minorHAnsi"/>
          <w:sz w:val="22"/>
          <w:szCs w:val="22"/>
        </w:rPr>
        <w:t xml:space="preserve"> </w:t>
      </w:r>
      <w:r w:rsidR="0061250B" w:rsidRPr="000E78F1">
        <w:rPr>
          <w:rFonts w:asciiTheme="minorHAnsi" w:hAnsiTheme="minorHAnsi"/>
          <w:sz w:val="22"/>
          <w:szCs w:val="22"/>
        </w:rPr>
        <w:t xml:space="preserve">recognises that pollution sources are best managed at the lowest administrative level through proportionate, </w:t>
      </w:r>
      <w:r w:rsidR="00016A3C">
        <w:rPr>
          <w:rFonts w:asciiTheme="minorHAnsi" w:hAnsiTheme="minorHAnsi"/>
          <w:sz w:val="22"/>
          <w:szCs w:val="22"/>
        </w:rPr>
        <w:t>joined-up</w:t>
      </w:r>
      <w:r w:rsidR="00016A3C" w:rsidRPr="000E78F1">
        <w:rPr>
          <w:rFonts w:asciiTheme="minorHAnsi" w:hAnsiTheme="minorHAnsi"/>
          <w:sz w:val="22"/>
          <w:szCs w:val="22"/>
        </w:rPr>
        <w:t xml:space="preserve"> </w:t>
      </w:r>
      <w:r w:rsidR="0061250B" w:rsidRPr="000E78F1">
        <w:rPr>
          <w:rFonts w:asciiTheme="minorHAnsi" w:hAnsiTheme="minorHAnsi"/>
          <w:sz w:val="22"/>
          <w:szCs w:val="22"/>
        </w:rPr>
        <w:t>action that takes account of the local context</w:t>
      </w:r>
      <w:r w:rsidR="009D5E70" w:rsidRPr="000E78F1">
        <w:rPr>
          <w:rFonts w:asciiTheme="minorHAnsi" w:hAnsiTheme="minorHAnsi"/>
          <w:sz w:val="22"/>
          <w:szCs w:val="22"/>
        </w:rPr>
        <w:t xml:space="preserve"> (</w:t>
      </w:r>
      <w:r w:rsidR="0095321E" w:rsidRPr="000E78F1">
        <w:rPr>
          <w:rFonts w:asciiTheme="minorHAnsi" w:hAnsiTheme="minorHAnsi"/>
          <w:color w:val="00B050"/>
          <w:sz w:val="22"/>
          <w:szCs w:val="22"/>
        </w:rPr>
        <w:t>Department for Environment, Food and Rural Affairs, 2007</w:t>
      </w:r>
      <w:r w:rsidR="009D5E70" w:rsidRPr="000E78F1">
        <w:rPr>
          <w:rFonts w:asciiTheme="minorHAnsi" w:hAnsiTheme="minorHAnsi"/>
          <w:sz w:val="22"/>
          <w:szCs w:val="22"/>
        </w:rPr>
        <w:t>)</w:t>
      </w:r>
      <w:r w:rsidR="0061250B" w:rsidRPr="000E78F1">
        <w:rPr>
          <w:rFonts w:asciiTheme="minorHAnsi" w:hAnsiTheme="minorHAnsi"/>
          <w:sz w:val="22"/>
          <w:szCs w:val="22"/>
        </w:rPr>
        <w:t>.</w:t>
      </w:r>
      <w:r w:rsidR="00AE5F83" w:rsidRPr="000E78F1">
        <w:rPr>
          <w:rFonts w:asciiTheme="minorHAnsi" w:hAnsiTheme="minorHAnsi"/>
          <w:sz w:val="22"/>
          <w:szCs w:val="22"/>
        </w:rPr>
        <w:t xml:space="preserve"> </w:t>
      </w:r>
      <w:r w:rsidR="003C4A4E" w:rsidRPr="000E78F1">
        <w:rPr>
          <w:rFonts w:asciiTheme="minorHAnsi" w:hAnsiTheme="minorHAnsi"/>
          <w:sz w:val="22"/>
          <w:szCs w:val="22"/>
        </w:rPr>
        <w:t xml:space="preserve">To tackle multi-faceted air pollution problems, </w:t>
      </w:r>
      <w:r w:rsidR="000640FE" w:rsidRPr="000E78F1">
        <w:rPr>
          <w:rFonts w:asciiTheme="minorHAnsi" w:hAnsiTheme="minorHAnsi"/>
          <w:sz w:val="22"/>
          <w:szCs w:val="22"/>
        </w:rPr>
        <w:t xml:space="preserve">LAQM </w:t>
      </w:r>
      <w:r w:rsidR="003C4A4E" w:rsidRPr="000E78F1">
        <w:rPr>
          <w:rFonts w:asciiTheme="minorHAnsi" w:hAnsiTheme="minorHAnsi"/>
          <w:sz w:val="22"/>
          <w:szCs w:val="22"/>
        </w:rPr>
        <w:t xml:space="preserve">relies on </w:t>
      </w:r>
      <w:r w:rsidR="000231DB" w:rsidRPr="000E78F1">
        <w:rPr>
          <w:rFonts w:asciiTheme="minorHAnsi" w:hAnsiTheme="minorHAnsi"/>
          <w:sz w:val="22"/>
          <w:szCs w:val="22"/>
        </w:rPr>
        <w:t xml:space="preserve">multi-discipline commitment and </w:t>
      </w:r>
      <w:r w:rsidR="000231DB" w:rsidRPr="00743B65">
        <w:rPr>
          <w:rFonts w:asciiTheme="minorHAnsi" w:hAnsiTheme="minorHAnsi"/>
          <w:sz w:val="22"/>
          <w:szCs w:val="22"/>
        </w:rPr>
        <w:t xml:space="preserve">action </w:t>
      </w:r>
      <w:r w:rsidR="003C4A4E" w:rsidRPr="00743B65">
        <w:rPr>
          <w:rFonts w:asciiTheme="minorHAnsi" w:hAnsiTheme="minorHAnsi"/>
          <w:sz w:val="22"/>
          <w:szCs w:val="22"/>
        </w:rPr>
        <w:t>from</w:t>
      </w:r>
      <w:r w:rsidR="000231DB" w:rsidRPr="00743B65">
        <w:rPr>
          <w:rFonts w:asciiTheme="minorHAnsi" w:hAnsiTheme="minorHAnsi"/>
          <w:sz w:val="22"/>
          <w:szCs w:val="22"/>
        </w:rPr>
        <w:t xml:space="preserve"> all relevant sectors, including transport, planning, regulation and health. </w:t>
      </w:r>
      <w:r w:rsidR="000E78F1" w:rsidRPr="00743B65">
        <w:rPr>
          <w:rFonts w:asciiTheme="minorHAnsi" w:hAnsiTheme="minorHAnsi"/>
          <w:sz w:val="22"/>
          <w:szCs w:val="22"/>
        </w:rPr>
        <w:t xml:space="preserve">Despite its public health intentions and underpinning principles, </w:t>
      </w:r>
      <w:r w:rsidR="008E7CF3" w:rsidRPr="00743B65">
        <w:rPr>
          <w:rFonts w:asciiTheme="minorHAnsi" w:hAnsiTheme="minorHAnsi"/>
          <w:sz w:val="22"/>
          <w:szCs w:val="22"/>
        </w:rPr>
        <w:t>previous</w:t>
      </w:r>
      <w:r w:rsidR="00016A3C" w:rsidRPr="00743B65">
        <w:rPr>
          <w:rFonts w:asciiTheme="minorHAnsi" w:hAnsiTheme="minorHAnsi"/>
          <w:sz w:val="22"/>
          <w:szCs w:val="22"/>
        </w:rPr>
        <w:t xml:space="preserve"> research has highlighted that p</w:t>
      </w:r>
      <w:r w:rsidR="008E7CF3" w:rsidRPr="00743B65">
        <w:rPr>
          <w:rFonts w:asciiTheme="minorHAnsi" w:hAnsiTheme="minorHAnsi"/>
          <w:sz w:val="22"/>
          <w:szCs w:val="22"/>
        </w:rPr>
        <w:t xml:space="preserve">ublic </w:t>
      </w:r>
      <w:r w:rsidR="00016A3C" w:rsidRPr="00743B65">
        <w:rPr>
          <w:rFonts w:asciiTheme="minorHAnsi" w:hAnsiTheme="minorHAnsi"/>
          <w:sz w:val="22"/>
          <w:szCs w:val="22"/>
        </w:rPr>
        <w:t>h</w:t>
      </w:r>
      <w:r w:rsidR="008E7CF3" w:rsidRPr="00743B65">
        <w:rPr>
          <w:rFonts w:asciiTheme="minorHAnsi" w:hAnsiTheme="minorHAnsi"/>
          <w:sz w:val="22"/>
          <w:szCs w:val="22"/>
        </w:rPr>
        <w:t xml:space="preserve">ealth bodies and specialists do not interact with or support LAQM as much as they could </w:t>
      </w:r>
      <w:r w:rsidR="00016A3C" w:rsidRPr="00743B65">
        <w:rPr>
          <w:rFonts w:asciiTheme="minorHAnsi" w:hAnsiTheme="minorHAnsi"/>
          <w:sz w:val="22"/>
          <w:szCs w:val="22"/>
        </w:rPr>
        <w:t xml:space="preserve">or </w:t>
      </w:r>
      <w:r w:rsidR="008E7CF3" w:rsidRPr="00743B65">
        <w:rPr>
          <w:rFonts w:asciiTheme="minorHAnsi" w:hAnsiTheme="minorHAnsi"/>
          <w:sz w:val="22"/>
          <w:szCs w:val="22"/>
        </w:rPr>
        <w:t>should (</w:t>
      </w:r>
      <w:r w:rsidR="008E7CF3" w:rsidRPr="00743B65">
        <w:rPr>
          <w:rFonts w:asciiTheme="minorHAnsi" w:hAnsiTheme="minorHAnsi"/>
          <w:color w:val="00B050"/>
          <w:sz w:val="22"/>
          <w:szCs w:val="22"/>
        </w:rPr>
        <w:t xml:space="preserve">Brunt </w:t>
      </w:r>
      <w:r w:rsidR="008E7CF3" w:rsidRPr="00743B65">
        <w:rPr>
          <w:rFonts w:asciiTheme="minorHAnsi" w:hAnsiTheme="minorHAnsi"/>
          <w:i/>
          <w:color w:val="00B050"/>
          <w:sz w:val="22"/>
          <w:szCs w:val="22"/>
        </w:rPr>
        <w:t>et al</w:t>
      </w:r>
      <w:r w:rsidR="008E7CF3" w:rsidRPr="00743B65">
        <w:rPr>
          <w:rFonts w:asciiTheme="minorHAnsi" w:hAnsiTheme="minorHAnsi"/>
          <w:color w:val="00B050"/>
          <w:sz w:val="22"/>
          <w:szCs w:val="22"/>
        </w:rPr>
        <w:t>., 2016a</w:t>
      </w:r>
      <w:r w:rsidR="008E7CF3" w:rsidRPr="00743B65">
        <w:rPr>
          <w:rFonts w:asciiTheme="minorHAnsi" w:hAnsiTheme="minorHAnsi"/>
          <w:sz w:val="22"/>
          <w:szCs w:val="22"/>
        </w:rPr>
        <w:t xml:space="preserve">). </w:t>
      </w:r>
      <w:r w:rsidR="00016A3C" w:rsidRPr="00743B65">
        <w:rPr>
          <w:rFonts w:asciiTheme="minorHAnsi" w:hAnsiTheme="minorHAnsi"/>
          <w:sz w:val="22"/>
          <w:szCs w:val="22"/>
        </w:rPr>
        <w:t xml:space="preserve">Identified </w:t>
      </w:r>
      <w:r w:rsidR="008E7CF3" w:rsidRPr="00743B65">
        <w:rPr>
          <w:rFonts w:asciiTheme="minorHAnsi" w:hAnsiTheme="minorHAnsi"/>
          <w:sz w:val="22"/>
          <w:szCs w:val="22"/>
        </w:rPr>
        <w:t xml:space="preserve">LAQM ‘structure’ and ‘process’ weaknesses may help explain why this is so. For example, because the public health role in LAQM has been poorly defined, </w:t>
      </w:r>
      <w:r w:rsidR="00016A3C" w:rsidRPr="00743B65">
        <w:rPr>
          <w:rFonts w:asciiTheme="minorHAnsi" w:hAnsiTheme="minorHAnsi"/>
          <w:sz w:val="22"/>
          <w:szCs w:val="22"/>
        </w:rPr>
        <w:t>public health engagement i</w:t>
      </w:r>
      <w:r w:rsidR="00207306" w:rsidRPr="00743B65">
        <w:rPr>
          <w:rFonts w:asciiTheme="minorHAnsi" w:hAnsiTheme="minorHAnsi"/>
          <w:sz w:val="22"/>
          <w:szCs w:val="22"/>
        </w:rPr>
        <w:t>n and commitment to LAQM are limited</w:t>
      </w:r>
      <w:r w:rsidR="00016A3C" w:rsidRPr="00743B65">
        <w:rPr>
          <w:rFonts w:asciiTheme="minorHAnsi" w:hAnsiTheme="minorHAnsi"/>
          <w:sz w:val="22"/>
          <w:szCs w:val="22"/>
        </w:rPr>
        <w:t>.</w:t>
      </w:r>
      <w:r w:rsidR="00EB29CD" w:rsidRPr="00743B65">
        <w:rPr>
          <w:rFonts w:asciiTheme="minorHAnsi" w:hAnsiTheme="minorHAnsi"/>
          <w:sz w:val="22"/>
          <w:szCs w:val="22"/>
        </w:rPr>
        <w:t xml:space="preserve"> This has led to a </w:t>
      </w:r>
      <w:r w:rsidR="008E7CF3" w:rsidRPr="00743B65">
        <w:rPr>
          <w:rFonts w:asciiTheme="minorHAnsi" w:hAnsiTheme="minorHAnsi"/>
          <w:sz w:val="22"/>
          <w:szCs w:val="22"/>
        </w:rPr>
        <w:t>growing disconnect between air quality management and wider public health policy and practice</w:t>
      </w:r>
      <w:r w:rsidR="00EB29CD" w:rsidRPr="00743B65">
        <w:rPr>
          <w:rFonts w:asciiTheme="minorHAnsi" w:hAnsiTheme="minorHAnsi"/>
          <w:sz w:val="22"/>
          <w:szCs w:val="22"/>
        </w:rPr>
        <w:t xml:space="preserve"> which is doing little to tackle </w:t>
      </w:r>
      <w:r w:rsidR="008E7CF3" w:rsidRPr="00743B65">
        <w:rPr>
          <w:rFonts w:asciiTheme="minorHAnsi" w:hAnsiTheme="minorHAnsi"/>
          <w:sz w:val="22"/>
          <w:szCs w:val="22"/>
        </w:rPr>
        <w:t xml:space="preserve">known </w:t>
      </w:r>
      <w:r w:rsidR="00016A3C" w:rsidRPr="00743B65">
        <w:rPr>
          <w:rFonts w:asciiTheme="minorHAnsi" w:hAnsiTheme="minorHAnsi"/>
          <w:sz w:val="22"/>
          <w:szCs w:val="22"/>
        </w:rPr>
        <w:t xml:space="preserve">interactions </w:t>
      </w:r>
      <w:r w:rsidR="008E7CF3" w:rsidRPr="00743B65">
        <w:rPr>
          <w:rFonts w:asciiTheme="minorHAnsi" w:hAnsiTheme="minorHAnsi"/>
          <w:sz w:val="22"/>
          <w:szCs w:val="22"/>
        </w:rPr>
        <w:t xml:space="preserve">across </w:t>
      </w:r>
      <w:r w:rsidR="00016A3C" w:rsidRPr="00743B65">
        <w:rPr>
          <w:rFonts w:asciiTheme="minorHAnsi" w:hAnsiTheme="minorHAnsi"/>
          <w:sz w:val="22"/>
          <w:szCs w:val="22"/>
        </w:rPr>
        <w:t xml:space="preserve">public health </w:t>
      </w:r>
      <w:r w:rsidR="008E7CF3" w:rsidRPr="00743B65">
        <w:rPr>
          <w:rFonts w:asciiTheme="minorHAnsi" w:hAnsiTheme="minorHAnsi"/>
          <w:sz w:val="22"/>
          <w:szCs w:val="22"/>
        </w:rPr>
        <w:t>problems and solutions</w:t>
      </w:r>
      <w:r w:rsidR="00EB29CD" w:rsidRPr="00743B65">
        <w:rPr>
          <w:rFonts w:asciiTheme="minorHAnsi" w:hAnsiTheme="minorHAnsi"/>
          <w:sz w:val="22"/>
          <w:szCs w:val="22"/>
        </w:rPr>
        <w:t xml:space="preserve"> e.g.</w:t>
      </w:r>
      <w:r w:rsidR="008E7CF3" w:rsidRPr="00743B65">
        <w:rPr>
          <w:rFonts w:asciiTheme="minorHAnsi" w:hAnsiTheme="minorHAnsi"/>
          <w:sz w:val="22"/>
          <w:szCs w:val="22"/>
        </w:rPr>
        <w:t xml:space="preserve"> promoting and facilitating active travel in a population to reduce physical inactivity </w:t>
      </w:r>
      <w:r w:rsidR="00016A3C" w:rsidRPr="00743B65">
        <w:rPr>
          <w:rFonts w:asciiTheme="minorHAnsi" w:hAnsiTheme="minorHAnsi"/>
          <w:sz w:val="22"/>
          <w:szCs w:val="22"/>
        </w:rPr>
        <w:t xml:space="preserve">and </w:t>
      </w:r>
      <w:r w:rsidR="008E7CF3" w:rsidRPr="00743B65">
        <w:rPr>
          <w:rFonts w:asciiTheme="minorHAnsi" w:hAnsiTheme="minorHAnsi"/>
          <w:sz w:val="22"/>
          <w:szCs w:val="22"/>
        </w:rPr>
        <w:t xml:space="preserve">achieving co-benefits of reducing vehicle use and cutting transport-related air pollution emissions. </w:t>
      </w:r>
      <w:r w:rsidR="00EB29CD" w:rsidRPr="00743B65">
        <w:rPr>
          <w:rFonts w:asciiTheme="minorHAnsi" w:hAnsiTheme="minorHAnsi"/>
          <w:sz w:val="22"/>
          <w:szCs w:val="22"/>
        </w:rPr>
        <w:t>P</w:t>
      </w:r>
      <w:r w:rsidR="00016A3C" w:rsidRPr="00743B65">
        <w:rPr>
          <w:rFonts w:asciiTheme="minorHAnsi" w:hAnsiTheme="minorHAnsi"/>
          <w:sz w:val="22"/>
          <w:szCs w:val="22"/>
        </w:rPr>
        <w:t>roblems are</w:t>
      </w:r>
      <w:r w:rsidR="008E7CF3" w:rsidRPr="00743B65">
        <w:rPr>
          <w:rFonts w:asciiTheme="minorHAnsi" w:hAnsiTheme="minorHAnsi"/>
          <w:sz w:val="22"/>
          <w:szCs w:val="22"/>
        </w:rPr>
        <w:t xml:space="preserve"> compounded by the prescribed LAQM risk assessment and action planning processes being narrow in scope</w:t>
      </w:r>
      <w:r w:rsidR="00EB29CD" w:rsidRPr="00743B65">
        <w:rPr>
          <w:rFonts w:asciiTheme="minorHAnsi" w:hAnsiTheme="minorHAnsi"/>
          <w:sz w:val="22"/>
          <w:szCs w:val="22"/>
        </w:rPr>
        <w:t>;</w:t>
      </w:r>
      <w:r w:rsidR="008E7CF3" w:rsidRPr="00743B65">
        <w:rPr>
          <w:rFonts w:asciiTheme="minorHAnsi" w:hAnsiTheme="minorHAnsi"/>
          <w:sz w:val="22"/>
          <w:szCs w:val="22"/>
        </w:rPr>
        <w:t xml:space="preserve"> they fail to encourage the consideration of air pollution problems and solutions in a broad public health context (aligned with tackling linked wider determinants of health). Addressing these shortfalls such that LAQM becomes more public health driven and supported could, in turn, increase its effectiveness, reach and impact (</w:t>
      </w:r>
      <w:r w:rsidR="008E7CF3" w:rsidRPr="00743B65">
        <w:rPr>
          <w:rFonts w:asciiTheme="minorHAnsi" w:hAnsiTheme="minorHAnsi"/>
          <w:color w:val="00B050"/>
          <w:sz w:val="22"/>
          <w:szCs w:val="22"/>
        </w:rPr>
        <w:t xml:space="preserve">Brunt </w:t>
      </w:r>
      <w:r w:rsidR="008E7CF3" w:rsidRPr="00743B65">
        <w:rPr>
          <w:rFonts w:asciiTheme="minorHAnsi" w:hAnsiTheme="minorHAnsi"/>
          <w:i/>
          <w:color w:val="00B050"/>
          <w:sz w:val="22"/>
          <w:szCs w:val="22"/>
        </w:rPr>
        <w:t>et al.</w:t>
      </w:r>
      <w:r w:rsidR="008E7CF3" w:rsidRPr="00743B65">
        <w:rPr>
          <w:rFonts w:asciiTheme="minorHAnsi" w:hAnsiTheme="minorHAnsi"/>
          <w:color w:val="00B050"/>
          <w:sz w:val="22"/>
          <w:szCs w:val="22"/>
        </w:rPr>
        <w:t>, 2016a</w:t>
      </w:r>
      <w:r w:rsidR="008E7CF3" w:rsidRPr="00743B65">
        <w:rPr>
          <w:rFonts w:asciiTheme="minorHAnsi" w:hAnsiTheme="minorHAnsi"/>
          <w:sz w:val="22"/>
          <w:szCs w:val="22"/>
        </w:rPr>
        <w:t>).</w:t>
      </w:r>
    </w:p>
    <w:p w:rsidR="00E90F14" w:rsidRPr="008E2E7F" w:rsidRDefault="00FB6514" w:rsidP="00853C5A">
      <w:r>
        <w:t xml:space="preserve">This paper presents </w:t>
      </w:r>
      <w:r w:rsidR="00F43F67">
        <w:t>a</w:t>
      </w:r>
      <w:r w:rsidR="00BC438C">
        <w:rPr>
          <w:rFonts w:cs="Times New Roman"/>
        </w:rPr>
        <w:t xml:space="preserve"> </w:t>
      </w:r>
      <w:r w:rsidR="003A4A67">
        <w:rPr>
          <w:rFonts w:cs="Times New Roman"/>
        </w:rPr>
        <w:t xml:space="preserve">Delphi </w:t>
      </w:r>
      <w:r w:rsidR="004F4CE2">
        <w:rPr>
          <w:rFonts w:cs="Times New Roman"/>
        </w:rPr>
        <w:t xml:space="preserve">study to </w:t>
      </w:r>
      <w:r>
        <w:rPr>
          <w:rFonts w:cs="Times New Roman"/>
        </w:rPr>
        <w:t xml:space="preserve">explore, understand and </w:t>
      </w:r>
      <w:r w:rsidR="004F4CE2">
        <w:rPr>
          <w:rFonts w:cs="Times New Roman"/>
        </w:rPr>
        <w:t xml:space="preserve">generate new evidence to </w:t>
      </w:r>
      <w:r w:rsidR="00BE2CEB">
        <w:rPr>
          <w:rFonts w:cs="Times New Roman"/>
        </w:rPr>
        <w:t xml:space="preserve">help </w:t>
      </w:r>
      <w:r>
        <w:rPr>
          <w:rFonts w:cs="Times New Roman"/>
        </w:rPr>
        <w:t>resolve these problems</w:t>
      </w:r>
      <w:r w:rsidR="00EC467D">
        <w:rPr>
          <w:rFonts w:cs="Times New Roman"/>
        </w:rPr>
        <w:t>.</w:t>
      </w:r>
      <w:r w:rsidR="003A4A67">
        <w:rPr>
          <w:rFonts w:cs="Times New Roman"/>
        </w:rPr>
        <w:t xml:space="preserve"> Its objectives were to form expert consensus to</w:t>
      </w:r>
      <w:r w:rsidR="007801D5" w:rsidRPr="00853C5A">
        <w:t xml:space="preserve">: clarify the </w:t>
      </w:r>
      <w:r w:rsidR="001D55F2" w:rsidRPr="00853C5A">
        <w:t xml:space="preserve">role of </w:t>
      </w:r>
      <w:r w:rsidR="008E0EAE">
        <w:t>p</w:t>
      </w:r>
      <w:r w:rsidR="00BC438C">
        <w:t xml:space="preserve">ublic </w:t>
      </w:r>
      <w:r w:rsidR="008E0EAE">
        <w:t>h</w:t>
      </w:r>
      <w:r w:rsidR="00BC438C">
        <w:t xml:space="preserve">ealth bodies and specialists </w:t>
      </w:r>
      <w:r w:rsidR="00543EEB" w:rsidRPr="00853C5A">
        <w:t>in LAQM</w:t>
      </w:r>
      <w:r w:rsidR="007801D5" w:rsidRPr="00853C5A">
        <w:t xml:space="preserve">, </w:t>
      </w:r>
      <w:r w:rsidR="00BB2CA1">
        <w:t xml:space="preserve">describe </w:t>
      </w:r>
      <w:r w:rsidR="00543EEB" w:rsidRPr="00853C5A">
        <w:t>opportunities</w:t>
      </w:r>
      <w:r w:rsidR="00BB2CA1">
        <w:t xml:space="preserve"> for</w:t>
      </w:r>
      <w:r w:rsidR="00BE2CEB">
        <w:t>,</w:t>
      </w:r>
      <w:r w:rsidR="00BB2CA1">
        <w:t xml:space="preserve"> and added value resulting from</w:t>
      </w:r>
      <w:r w:rsidR="00BE2CEB">
        <w:t>,</w:t>
      </w:r>
      <w:r w:rsidR="00BB2CA1">
        <w:t xml:space="preserve"> improved </w:t>
      </w:r>
      <w:r w:rsidR="007801D5" w:rsidRPr="00853C5A">
        <w:t xml:space="preserve">integration and collaboration, and </w:t>
      </w:r>
      <w:r w:rsidR="00BE2CEB">
        <w:t xml:space="preserve">highlight linked </w:t>
      </w:r>
      <w:r w:rsidR="00BB2CA1">
        <w:t>barriers and solutions</w:t>
      </w:r>
      <w:r w:rsidR="007801D5" w:rsidRPr="00853C5A">
        <w:t xml:space="preserve">. The </w:t>
      </w:r>
      <w:r w:rsidR="002B2E8D">
        <w:t xml:space="preserve">study </w:t>
      </w:r>
      <w:r w:rsidR="007801D5" w:rsidRPr="00853C5A">
        <w:t>setting was Wales</w:t>
      </w:r>
      <w:r w:rsidR="003B7C7F">
        <w:t xml:space="preserve"> - </w:t>
      </w:r>
      <w:r w:rsidR="00EA735D" w:rsidRPr="00853C5A">
        <w:t xml:space="preserve">a UK </w:t>
      </w:r>
      <w:r w:rsidR="002B2E8D">
        <w:t xml:space="preserve">country </w:t>
      </w:r>
      <w:r w:rsidR="00EA735D" w:rsidRPr="00853C5A">
        <w:t xml:space="preserve">with a population of </w:t>
      </w:r>
      <w:r w:rsidR="00BB2CA1">
        <w:t xml:space="preserve">approximately </w:t>
      </w:r>
      <w:r w:rsidR="00BE2CEB">
        <w:t>3.1 million</w:t>
      </w:r>
      <w:r w:rsidR="00EA735D" w:rsidRPr="00853C5A">
        <w:t xml:space="preserve"> people</w:t>
      </w:r>
      <w:r w:rsidR="00C04606">
        <w:t xml:space="preserve">. Wales was selected </w:t>
      </w:r>
      <w:r w:rsidR="00C04606">
        <w:lastRenderedPageBreak/>
        <w:t>because</w:t>
      </w:r>
      <w:r w:rsidR="00CF6B0A">
        <w:t>:</w:t>
      </w:r>
      <w:r w:rsidR="003B7C7F">
        <w:t xml:space="preserve"> </w:t>
      </w:r>
      <w:r w:rsidR="00BE2CEB">
        <w:t xml:space="preserve">LAQM and </w:t>
      </w:r>
      <w:r w:rsidR="00C04606">
        <w:t>‘</w:t>
      </w:r>
      <w:r w:rsidR="00BE2CEB">
        <w:t>health</w:t>
      </w:r>
      <w:r w:rsidR="00C04606">
        <w:t xml:space="preserve">’ </w:t>
      </w:r>
      <w:r w:rsidR="00BE2CEB">
        <w:t>responsibilities</w:t>
      </w:r>
      <w:r w:rsidR="00C04606">
        <w:t xml:space="preserve"> are devolved from UK Government and so there is autonomy and opportunity to bring about change tailored to the country’s needs; the primary </w:t>
      </w:r>
      <w:r w:rsidR="008E0EAE">
        <w:t>p</w:t>
      </w:r>
      <w:r w:rsidR="00C04606">
        <w:t xml:space="preserve">ublic </w:t>
      </w:r>
      <w:r w:rsidR="008E0EAE">
        <w:t>h</w:t>
      </w:r>
      <w:r w:rsidR="00C04606">
        <w:t>ealth body and its specialists form part of the National Health Service (</w:t>
      </w:r>
      <w:r w:rsidR="00C21028">
        <w:t>NHS)</w:t>
      </w:r>
      <w:r w:rsidR="00C04606">
        <w:t>; and</w:t>
      </w:r>
      <w:r w:rsidR="00CF6B0A">
        <w:t xml:space="preserve"> </w:t>
      </w:r>
      <w:r w:rsidR="009D4F79">
        <w:t>l</w:t>
      </w:r>
      <w:r w:rsidR="00C04606">
        <w:t xml:space="preserve">ocal </w:t>
      </w:r>
      <w:r w:rsidR="009D4F79">
        <w:t>g</w:t>
      </w:r>
      <w:r w:rsidR="00CF6B0A">
        <w:t>overnment bodies</w:t>
      </w:r>
      <w:r w:rsidR="00C33E66">
        <w:t xml:space="preserve"> </w:t>
      </w:r>
      <w:r w:rsidR="00185998">
        <w:t>–</w:t>
      </w:r>
      <w:r w:rsidR="00C33E66">
        <w:t xml:space="preserve"> </w:t>
      </w:r>
      <w:r w:rsidR="00C04606">
        <w:t>which</w:t>
      </w:r>
      <w:r w:rsidR="00185998">
        <w:t xml:space="preserve"> </w:t>
      </w:r>
      <w:r w:rsidR="00C33E66">
        <w:t>co-ordinate LAQM implementation</w:t>
      </w:r>
      <w:r w:rsidR="00CF6B0A">
        <w:t xml:space="preserve"> on behalf of stakeholders</w:t>
      </w:r>
      <w:r w:rsidR="00C33E66">
        <w:t xml:space="preserve"> </w:t>
      </w:r>
      <w:r w:rsidR="00185998">
        <w:t>–</w:t>
      </w:r>
      <w:r w:rsidR="00C04606">
        <w:t xml:space="preserve"> all</w:t>
      </w:r>
      <w:r w:rsidR="00185998">
        <w:t xml:space="preserve"> </w:t>
      </w:r>
      <w:r w:rsidR="00C04606">
        <w:t xml:space="preserve">hold </w:t>
      </w:r>
      <w:r w:rsidR="00CF6B0A">
        <w:t xml:space="preserve">equal </w:t>
      </w:r>
      <w:r w:rsidR="00C04606">
        <w:t xml:space="preserve">status. </w:t>
      </w:r>
      <w:r w:rsidR="00D50654">
        <w:t>Finally, and p</w:t>
      </w:r>
      <w:r w:rsidR="00C04606">
        <w:t xml:space="preserve">erhaps most importantly, </w:t>
      </w:r>
      <w:r w:rsidR="00D50654">
        <w:t xml:space="preserve">the Welsh Government has recently passed </w:t>
      </w:r>
      <w:r w:rsidR="00CB72CE">
        <w:t xml:space="preserve">in Wales </w:t>
      </w:r>
      <w:r w:rsidR="00D50654">
        <w:t>the</w:t>
      </w:r>
      <w:r w:rsidR="000A7161" w:rsidRPr="00853C5A">
        <w:t xml:space="preserve"> </w:t>
      </w:r>
      <w:r w:rsidR="004C0239">
        <w:t xml:space="preserve">pioneering </w:t>
      </w:r>
      <w:r w:rsidR="00EA735D" w:rsidRPr="00853C5A">
        <w:t>Wellbeing of Fut</w:t>
      </w:r>
      <w:r w:rsidR="00BE2CEB">
        <w:t xml:space="preserve">ure </w:t>
      </w:r>
      <w:r w:rsidR="00BE2CEB" w:rsidRPr="008E2E7F">
        <w:t>Generations (Wales) Act 2015</w:t>
      </w:r>
      <w:r w:rsidR="00EA735D" w:rsidRPr="008E2E7F">
        <w:t xml:space="preserve"> </w:t>
      </w:r>
      <w:r w:rsidR="00E35697" w:rsidRPr="008E2E7F">
        <w:t>(</w:t>
      </w:r>
      <w:r w:rsidR="004C0239" w:rsidRPr="008E2E7F">
        <w:t>“</w:t>
      </w:r>
      <w:r w:rsidR="00E35697" w:rsidRPr="008E2E7F">
        <w:t>WFG</w:t>
      </w:r>
      <w:r w:rsidR="004C0239" w:rsidRPr="008E2E7F">
        <w:t xml:space="preserve"> </w:t>
      </w:r>
      <w:r w:rsidR="00E35697" w:rsidRPr="008E2E7F">
        <w:t>A</w:t>
      </w:r>
      <w:r w:rsidR="004C0239" w:rsidRPr="008E2E7F">
        <w:t>ct”</w:t>
      </w:r>
      <w:r w:rsidR="00E35697" w:rsidRPr="008E2E7F">
        <w:t xml:space="preserve">) </w:t>
      </w:r>
      <w:r w:rsidR="00D50654" w:rsidRPr="008E2E7F">
        <w:t>which calls for sustainable action</w:t>
      </w:r>
      <w:r w:rsidR="00185998">
        <w:t>,</w:t>
      </w:r>
      <w:r w:rsidR="00D50654" w:rsidRPr="008E2E7F">
        <w:t xml:space="preserve"> based on principles of collaboration, integration, involvement, long-term and prevention</w:t>
      </w:r>
      <w:r w:rsidR="00185998">
        <w:t xml:space="preserve">, </w:t>
      </w:r>
      <w:r w:rsidR="00D50654" w:rsidRPr="008E2E7F">
        <w:t xml:space="preserve"> to </w:t>
      </w:r>
      <w:r w:rsidR="00145A4F" w:rsidRPr="008E2E7F">
        <w:rPr>
          <w:rFonts w:cs="Arial"/>
        </w:rPr>
        <w:t>improve the economic, social, environmental and cultural well-being of Wales</w:t>
      </w:r>
      <w:r w:rsidR="00145A4F" w:rsidRPr="008E2E7F">
        <w:t xml:space="preserve"> through achieving</w:t>
      </w:r>
      <w:r w:rsidR="00D50654" w:rsidRPr="008E2E7F">
        <w:t xml:space="preserve"> seven </w:t>
      </w:r>
      <w:r w:rsidR="00185998">
        <w:t>w</w:t>
      </w:r>
      <w:r w:rsidR="00D50654" w:rsidRPr="008E2E7F">
        <w:t xml:space="preserve">ell-being </w:t>
      </w:r>
      <w:r w:rsidR="00185998">
        <w:t>g</w:t>
      </w:r>
      <w:r w:rsidR="00D50654" w:rsidRPr="008E2E7F">
        <w:t xml:space="preserve">oals </w:t>
      </w:r>
      <w:r w:rsidR="00D50654" w:rsidRPr="0006475B">
        <w:t>(Fig.</w:t>
      </w:r>
      <w:r w:rsidR="00807752" w:rsidRPr="0006475B">
        <w:t>1</w:t>
      </w:r>
      <w:r w:rsidR="00D50654" w:rsidRPr="0006475B">
        <w:t>)</w:t>
      </w:r>
      <w:r w:rsidR="0006475B">
        <w:t xml:space="preserve"> (</w:t>
      </w:r>
      <w:r w:rsidR="0006475B" w:rsidRPr="0006475B">
        <w:rPr>
          <w:color w:val="00B050"/>
        </w:rPr>
        <w:t>Welsh Government, 2015</w:t>
      </w:r>
      <w:r w:rsidR="0006475B">
        <w:t>)</w:t>
      </w:r>
      <w:r w:rsidR="00CB72CE" w:rsidRPr="0006475B">
        <w:t>.</w:t>
      </w:r>
      <w:r w:rsidR="00CB72CE" w:rsidRPr="008E2E7F">
        <w:t xml:space="preserve"> </w:t>
      </w:r>
      <w:r w:rsidR="00E90F14" w:rsidRPr="008E2E7F">
        <w:t xml:space="preserve"> The WFG Act places responsibilities on all public bodies in Wales to work in these new ways </w:t>
      </w:r>
      <w:r w:rsidR="008E2E7F" w:rsidRPr="008E2E7F">
        <w:t xml:space="preserve">through multi-agency </w:t>
      </w:r>
      <w:r w:rsidR="00185998">
        <w:t xml:space="preserve">local </w:t>
      </w:r>
      <w:r w:rsidR="008E2E7F" w:rsidRPr="008E2E7F">
        <w:t xml:space="preserve">Public Services Boards </w:t>
      </w:r>
      <w:r w:rsidR="00E90F14" w:rsidRPr="008E2E7F">
        <w:t xml:space="preserve">to </w:t>
      </w:r>
      <w:r w:rsidR="008E2E7F" w:rsidRPr="008E2E7F">
        <w:t xml:space="preserve">act to </w:t>
      </w:r>
      <w:r w:rsidR="008E2E7F" w:rsidRPr="008E2E7F">
        <w:rPr>
          <w:rFonts w:cs="Arial"/>
        </w:rPr>
        <w:t>ensure the needs of the present are met without compromising the ability of future generations to meet their own needs.</w:t>
      </w:r>
    </w:p>
    <w:p w:rsidR="0017337F" w:rsidRDefault="00375E50" w:rsidP="00853C5A">
      <w:pPr>
        <w:rPr>
          <w:rFonts w:cs="Times New Roman"/>
        </w:rPr>
      </w:pPr>
      <w:r w:rsidRPr="008E2E7F">
        <w:t>Given that reducing air</w:t>
      </w:r>
      <w:r>
        <w:t xml:space="preserve"> pollution, health risks and inequalities </w:t>
      </w:r>
      <w:r w:rsidR="00C1544D">
        <w:t>can help make a contribution</w:t>
      </w:r>
      <w:r>
        <w:t xml:space="preserve"> to most if not all</w:t>
      </w:r>
      <w:r w:rsidR="00CA05A1">
        <w:t xml:space="preserve"> w</w:t>
      </w:r>
      <w:r w:rsidR="00185998">
        <w:t>ell-being goals</w:t>
      </w:r>
      <w:r>
        <w:t>, the WFG</w:t>
      </w:r>
      <w:r w:rsidR="004C0239">
        <w:t xml:space="preserve"> </w:t>
      </w:r>
      <w:r>
        <w:t>A</w:t>
      </w:r>
      <w:r w:rsidR="004C0239">
        <w:t>ct</w:t>
      </w:r>
      <w:r>
        <w:t xml:space="preserve"> </w:t>
      </w:r>
      <w:r w:rsidR="00EA735D" w:rsidRPr="00853C5A">
        <w:t xml:space="preserve">presents unique </w:t>
      </w:r>
      <w:r w:rsidR="00185998">
        <w:t xml:space="preserve">and significant </w:t>
      </w:r>
      <w:r w:rsidR="00EA735D" w:rsidRPr="00853C5A">
        <w:t xml:space="preserve">opportunities to </w:t>
      </w:r>
      <w:r>
        <w:t xml:space="preserve">support LAQM </w:t>
      </w:r>
      <w:r w:rsidR="00C1544D">
        <w:t>enhancement and bring about</w:t>
      </w:r>
      <w:r w:rsidR="00BE2CEB">
        <w:t xml:space="preserve"> </w:t>
      </w:r>
      <w:r w:rsidR="00C1544D">
        <w:t xml:space="preserve">necessary </w:t>
      </w:r>
      <w:r w:rsidR="00FF7B82">
        <w:t>policy and practice change</w:t>
      </w:r>
      <w:r w:rsidR="00EA735D" w:rsidRPr="00853C5A">
        <w:t>.</w:t>
      </w:r>
      <w:r w:rsidR="007801D5" w:rsidRPr="00853C5A">
        <w:rPr>
          <w:rFonts w:cs="Times New Roman"/>
        </w:rPr>
        <w:t xml:space="preserve"> </w:t>
      </w:r>
    </w:p>
    <w:p w:rsidR="00A402E6" w:rsidRDefault="00901F95" w:rsidP="00E71D28">
      <w:pPr>
        <w:jc w:val="center"/>
        <w:rPr>
          <w:rFonts w:cs="Times New Roman"/>
        </w:rPr>
      </w:pPr>
      <w:r>
        <w:rPr>
          <w:rFonts w:ascii="Arial" w:hAnsi="Arial" w:cs="Arial"/>
          <w:noProof/>
          <w:lang w:eastAsia="en-GB"/>
        </w:rPr>
        <w:drawing>
          <wp:inline distT="0" distB="0" distL="0" distR="0">
            <wp:extent cx="3044784" cy="3507571"/>
            <wp:effectExtent l="19050" t="0" r="3216" b="0"/>
            <wp:docPr id="1" name="Picture 1" descr="Image result for wellbeing goal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llbeing goals wales"/>
                    <pic:cNvPicPr>
                      <a:picLocks noChangeAspect="1" noChangeArrowheads="1"/>
                    </pic:cNvPicPr>
                  </pic:nvPicPr>
                  <pic:blipFill>
                    <a:blip r:embed="rId7" cstate="print"/>
                    <a:srcRect/>
                    <a:stretch>
                      <a:fillRect/>
                    </a:stretch>
                  </pic:blipFill>
                  <pic:spPr bwMode="auto">
                    <a:xfrm>
                      <a:off x="0" y="0"/>
                      <a:ext cx="3050724" cy="3514413"/>
                    </a:xfrm>
                    <a:prstGeom prst="rect">
                      <a:avLst/>
                    </a:prstGeom>
                    <a:noFill/>
                    <a:ln w="9525">
                      <a:noFill/>
                      <a:miter lim="800000"/>
                      <a:headEnd/>
                      <a:tailEnd/>
                    </a:ln>
                  </pic:spPr>
                </pic:pic>
              </a:graphicData>
            </a:graphic>
          </wp:inline>
        </w:drawing>
      </w:r>
    </w:p>
    <w:p w:rsidR="00A402E6" w:rsidRPr="00807752" w:rsidRDefault="00807752" w:rsidP="00E71D28">
      <w:pPr>
        <w:jc w:val="center"/>
        <w:rPr>
          <w:rFonts w:eastAsia="Times New Roman" w:cs="Times New Roman"/>
          <w:sz w:val="18"/>
          <w:szCs w:val="18"/>
          <w:lang w:eastAsia="en-GB"/>
        </w:rPr>
      </w:pPr>
      <w:r w:rsidRPr="00807752">
        <w:rPr>
          <w:rFonts w:eastAsia="Times New Roman" w:cs="Times New Roman"/>
          <w:sz w:val="18"/>
          <w:szCs w:val="18"/>
          <w:lang w:eastAsia="en-GB"/>
        </w:rPr>
        <w:t xml:space="preserve">Fig.1. Wellbeing of Future Generations (Wales) Act 2015 – </w:t>
      </w:r>
      <w:r w:rsidR="00EC028C">
        <w:rPr>
          <w:rFonts w:eastAsia="Times New Roman" w:cs="Times New Roman"/>
          <w:sz w:val="18"/>
          <w:szCs w:val="18"/>
          <w:lang w:eastAsia="en-GB"/>
        </w:rPr>
        <w:t>w</w:t>
      </w:r>
      <w:r w:rsidRPr="00807752">
        <w:rPr>
          <w:rFonts w:eastAsia="Times New Roman" w:cs="Times New Roman"/>
          <w:sz w:val="18"/>
          <w:szCs w:val="18"/>
          <w:lang w:eastAsia="en-GB"/>
        </w:rPr>
        <w:t>ell</w:t>
      </w:r>
      <w:r w:rsidR="00EC028C">
        <w:rPr>
          <w:rFonts w:eastAsia="Times New Roman" w:cs="Times New Roman"/>
          <w:sz w:val="18"/>
          <w:szCs w:val="18"/>
          <w:lang w:eastAsia="en-GB"/>
        </w:rPr>
        <w:t>-</w:t>
      </w:r>
      <w:r w:rsidRPr="00807752">
        <w:rPr>
          <w:rFonts w:eastAsia="Times New Roman" w:cs="Times New Roman"/>
          <w:sz w:val="18"/>
          <w:szCs w:val="18"/>
          <w:lang w:eastAsia="en-GB"/>
        </w:rPr>
        <w:t xml:space="preserve">being </w:t>
      </w:r>
      <w:r w:rsidR="00EC028C">
        <w:rPr>
          <w:rFonts w:eastAsia="Times New Roman" w:cs="Times New Roman"/>
          <w:sz w:val="18"/>
          <w:szCs w:val="18"/>
          <w:lang w:eastAsia="en-GB"/>
        </w:rPr>
        <w:t>g</w:t>
      </w:r>
      <w:r w:rsidRPr="00807752">
        <w:rPr>
          <w:rFonts w:eastAsia="Times New Roman" w:cs="Times New Roman"/>
          <w:sz w:val="18"/>
          <w:szCs w:val="18"/>
          <w:lang w:eastAsia="en-GB"/>
        </w:rPr>
        <w:t>oals</w:t>
      </w:r>
    </w:p>
    <w:p w:rsidR="00E71D28" w:rsidRDefault="00E71D28" w:rsidP="00853C5A">
      <w:pPr>
        <w:rPr>
          <w:rFonts w:cs="Times New Roman"/>
        </w:rPr>
      </w:pPr>
    </w:p>
    <w:p w:rsidR="007801D5" w:rsidRPr="00853C5A" w:rsidRDefault="00EC467D" w:rsidP="00853C5A">
      <w:r>
        <w:rPr>
          <w:rFonts w:cs="Times New Roman"/>
        </w:rPr>
        <w:t xml:space="preserve">While this study </w:t>
      </w:r>
      <w:r w:rsidR="00C1544D">
        <w:rPr>
          <w:rFonts w:cs="Times New Roman"/>
        </w:rPr>
        <w:t>considered</w:t>
      </w:r>
      <w:r>
        <w:rPr>
          <w:rFonts w:cs="Times New Roman"/>
        </w:rPr>
        <w:t xml:space="preserve"> </w:t>
      </w:r>
      <w:r w:rsidR="0017337F" w:rsidRPr="00853C5A">
        <w:rPr>
          <w:rFonts w:cs="Times New Roman"/>
        </w:rPr>
        <w:t>the</w:t>
      </w:r>
      <w:r w:rsidR="0017337F" w:rsidRPr="00853C5A">
        <w:t xml:space="preserve"> </w:t>
      </w:r>
      <w:r w:rsidR="007458BD">
        <w:t xml:space="preserve">LAQM and </w:t>
      </w:r>
      <w:r w:rsidR="0017337F" w:rsidRPr="00853C5A">
        <w:t>public health context</w:t>
      </w:r>
      <w:r w:rsidR="00E04B8F" w:rsidRPr="00E04B8F">
        <w:t xml:space="preserve"> </w:t>
      </w:r>
      <w:r w:rsidR="00E04B8F">
        <w:t>in Wales</w:t>
      </w:r>
      <w:r w:rsidR="0017337F" w:rsidRPr="00853C5A">
        <w:t xml:space="preserve">, </w:t>
      </w:r>
      <w:r w:rsidR="00BE2CEB">
        <w:t xml:space="preserve">the </w:t>
      </w:r>
      <w:r w:rsidR="002B2E8D">
        <w:t>methods and</w:t>
      </w:r>
      <w:r w:rsidR="00E04B8F">
        <w:t xml:space="preserve"> findings presented </w:t>
      </w:r>
      <w:r w:rsidR="00860D7E">
        <w:t xml:space="preserve">will </w:t>
      </w:r>
      <w:r w:rsidR="00C1544D">
        <w:t xml:space="preserve">likely </w:t>
      </w:r>
      <w:r w:rsidR="00411EF0">
        <w:t xml:space="preserve">have relevance and importance </w:t>
      </w:r>
      <w:r w:rsidR="00E04B8F">
        <w:t>to other parts of the UK</w:t>
      </w:r>
      <w:r w:rsidR="00BE2CEB">
        <w:t xml:space="preserve"> and in countries beyond.</w:t>
      </w:r>
      <w:r w:rsidR="00FF7B82">
        <w:t xml:space="preserve"> </w:t>
      </w:r>
    </w:p>
    <w:p w:rsidR="00A402E6" w:rsidRDefault="00A402E6" w:rsidP="00853C5A">
      <w:pPr>
        <w:outlineLvl w:val="1"/>
        <w:rPr>
          <w:rFonts w:eastAsia="Times New Roman" w:cs="Times New Roman"/>
          <w:b/>
          <w:bCs/>
          <w:lang w:eastAsia="en-GB"/>
        </w:rPr>
      </w:pPr>
    </w:p>
    <w:p w:rsidR="0006475B" w:rsidRDefault="0006475B" w:rsidP="00853C5A">
      <w:pPr>
        <w:outlineLvl w:val="1"/>
        <w:rPr>
          <w:rFonts w:eastAsia="Times New Roman" w:cs="Times New Roman"/>
          <w:b/>
          <w:bCs/>
          <w:lang w:eastAsia="en-GB"/>
        </w:rPr>
      </w:pPr>
    </w:p>
    <w:p w:rsidR="00EF4572" w:rsidRPr="00853C5A" w:rsidRDefault="008E2E7F" w:rsidP="00853C5A">
      <w:pPr>
        <w:outlineLvl w:val="1"/>
        <w:rPr>
          <w:rFonts w:eastAsia="Times New Roman" w:cs="Times New Roman"/>
          <w:b/>
          <w:bCs/>
          <w:lang w:eastAsia="en-GB"/>
        </w:rPr>
      </w:pPr>
      <w:r>
        <w:rPr>
          <w:rFonts w:eastAsia="Times New Roman" w:cs="Times New Roman"/>
          <w:b/>
          <w:bCs/>
          <w:lang w:eastAsia="en-GB"/>
        </w:rPr>
        <w:lastRenderedPageBreak/>
        <w:t>M</w:t>
      </w:r>
      <w:r w:rsidR="00EF4572" w:rsidRPr="00853C5A">
        <w:rPr>
          <w:rFonts w:eastAsia="Times New Roman" w:cs="Times New Roman"/>
          <w:b/>
          <w:bCs/>
          <w:lang w:eastAsia="en-GB"/>
        </w:rPr>
        <w:t>ethods</w:t>
      </w:r>
    </w:p>
    <w:p w:rsidR="008F6A99" w:rsidRDefault="00797DF8" w:rsidP="00853C5A">
      <w:pPr>
        <w:rPr>
          <w:rFonts w:eastAsia="Times New Roman" w:cs="Times New Roman"/>
          <w:lang w:eastAsia="en-GB"/>
        </w:rPr>
      </w:pPr>
      <w:r>
        <w:t xml:space="preserve">This </w:t>
      </w:r>
      <w:r w:rsidR="00C91EE6">
        <w:t xml:space="preserve">study used the Delphi technique because, </w:t>
      </w:r>
      <w:r>
        <w:t>o</w:t>
      </w:r>
      <w:r w:rsidRPr="001E20A3">
        <w:rPr>
          <w:rFonts w:eastAsia="Times New Roman" w:cs="Times New Roman"/>
          <w:lang w:eastAsia="en-GB"/>
        </w:rPr>
        <w:t xml:space="preserve">f all methods to generate, develop consensus of, and understand group opinion, </w:t>
      </w:r>
      <w:r>
        <w:rPr>
          <w:rFonts w:eastAsia="Times New Roman" w:cs="Times New Roman"/>
          <w:lang w:eastAsia="en-GB"/>
        </w:rPr>
        <w:t>it</w:t>
      </w:r>
      <w:r w:rsidRPr="001E20A3">
        <w:rPr>
          <w:rFonts w:eastAsia="Times New Roman" w:cs="Times New Roman"/>
          <w:lang w:eastAsia="en-GB"/>
        </w:rPr>
        <w:t xml:space="preserve"> is asserted to be the most reliable (</w:t>
      </w:r>
      <w:r w:rsidR="0006475B" w:rsidRPr="001E20A3">
        <w:rPr>
          <w:rFonts w:ascii="Calibri" w:hAnsi="Calibri"/>
          <w:color w:val="00B050"/>
        </w:rPr>
        <w:t xml:space="preserve">Moynihan </w:t>
      </w:r>
      <w:r w:rsidR="0006475B" w:rsidRPr="001E20A3">
        <w:rPr>
          <w:rFonts w:ascii="Calibri" w:hAnsi="Calibri"/>
          <w:i/>
          <w:color w:val="00B050"/>
        </w:rPr>
        <w:t>et al</w:t>
      </w:r>
      <w:r w:rsidR="0006475B" w:rsidRPr="001E20A3">
        <w:rPr>
          <w:rFonts w:ascii="Calibri" w:hAnsi="Calibri"/>
          <w:color w:val="00B050"/>
        </w:rPr>
        <w:t>., 2015</w:t>
      </w:r>
      <w:r w:rsidR="0006475B">
        <w:rPr>
          <w:rFonts w:ascii="Calibri" w:hAnsi="Calibri"/>
          <w:color w:val="00B050"/>
        </w:rPr>
        <w:t xml:space="preserve">; </w:t>
      </w:r>
      <w:r w:rsidRPr="001E20A3">
        <w:rPr>
          <w:rFonts w:eastAsia="Times New Roman" w:cs="Times New Roman"/>
          <w:color w:val="00B050"/>
          <w:lang w:eastAsia="en-GB"/>
        </w:rPr>
        <w:t xml:space="preserve">Keeney </w:t>
      </w:r>
      <w:r w:rsidRPr="001E20A3">
        <w:rPr>
          <w:rFonts w:eastAsia="Times New Roman" w:cs="Times New Roman"/>
          <w:i/>
          <w:color w:val="00B050"/>
          <w:lang w:eastAsia="en-GB"/>
        </w:rPr>
        <w:t>et al</w:t>
      </w:r>
      <w:r>
        <w:rPr>
          <w:rFonts w:eastAsia="Times New Roman" w:cs="Times New Roman"/>
          <w:color w:val="00B050"/>
          <w:lang w:eastAsia="en-GB"/>
        </w:rPr>
        <w:t>.</w:t>
      </w:r>
      <w:r w:rsidRPr="001E20A3">
        <w:rPr>
          <w:rFonts w:eastAsia="Times New Roman" w:cs="Times New Roman"/>
          <w:color w:val="00B050"/>
          <w:lang w:eastAsia="en-GB"/>
        </w:rPr>
        <w:t>, 2011</w:t>
      </w:r>
      <w:r w:rsidRPr="001E20A3">
        <w:rPr>
          <w:rFonts w:eastAsia="Times New Roman" w:cs="Times New Roman"/>
          <w:lang w:eastAsia="en-GB"/>
        </w:rPr>
        <w:t>).</w:t>
      </w:r>
      <w:r>
        <w:rPr>
          <w:rFonts w:eastAsia="Times New Roman" w:cs="Times New Roman"/>
          <w:lang w:eastAsia="en-GB"/>
        </w:rPr>
        <w:t xml:space="preserve"> Delphi is</w:t>
      </w:r>
      <w:r w:rsidR="004B0D52">
        <w:rPr>
          <w:rFonts w:eastAsia="Times New Roman" w:cs="Times New Roman"/>
          <w:lang w:eastAsia="en-GB"/>
        </w:rPr>
        <w:t xml:space="preserve"> a mixed-methods</w:t>
      </w:r>
      <w:r w:rsidR="00EF1F85" w:rsidRPr="00853C5A">
        <w:rPr>
          <w:rFonts w:eastAsia="Times New Roman" w:cs="Times New Roman"/>
          <w:lang w:eastAsia="en-GB"/>
        </w:rPr>
        <w:t xml:space="preserve"> multi-stage </w:t>
      </w:r>
      <w:r w:rsidR="00CA7C4D" w:rsidRPr="00853C5A">
        <w:rPr>
          <w:rFonts w:eastAsia="Times New Roman" w:cs="Times New Roman"/>
          <w:lang w:eastAsia="en-GB"/>
        </w:rPr>
        <w:t xml:space="preserve">systematic </w:t>
      </w:r>
      <w:r w:rsidR="00AE2ADD" w:rsidRPr="00853C5A">
        <w:rPr>
          <w:rFonts w:eastAsia="Times New Roman" w:cs="Times New Roman"/>
          <w:lang w:eastAsia="en-GB"/>
        </w:rPr>
        <w:t>research method</w:t>
      </w:r>
      <w:r w:rsidR="004B0D52">
        <w:rPr>
          <w:rFonts w:eastAsia="Times New Roman" w:cs="Times New Roman"/>
          <w:lang w:eastAsia="en-GB"/>
        </w:rPr>
        <w:t xml:space="preserve"> </w:t>
      </w:r>
      <w:r w:rsidR="0006151A">
        <w:rPr>
          <w:rFonts w:eastAsia="Times New Roman" w:cs="Times New Roman"/>
          <w:lang w:eastAsia="en-GB"/>
        </w:rPr>
        <w:t xml:space="preserve">that </w:t>
      </w:r>
      <w:r w:rsidR="00EF1F85" w:rsidRPr="00853C5A">
        <w:rPr>
          <w:rFonts w:eastAsia="Times New Roman" w:cs="Times New Roman"/>
          <w:lang w:eastAsia="en-GB"/>
        </w:rPr>
        <w:t>solicit</w:t>
      </w:r>
      <w:r w:rsidR="0006151A">
        <w:rPr>
          <w:rFonts w:eastAsia="Times New Roman" w:cs="Times New Roman"/>
          <w:lang w:eastAsia="en-GB"/>
        </w:rPr>
        <w:t>s</w:t>
      </w:r>
      <w:r w:rsidR="00EF1F85" w:rsidRPr="00853C5A">
        <w:rPr>
          <w:rFonts w:eastAsia="Times New Roman" w:cs="Times New Roman"/>
          <w:lang w:eastAsia="en-GB"/>
        </w:rPr>
        <w:t xml:space="preserve"> </w:t>
      </w:r>
      <w:r w:rsidR="00CA7C4D" w:rsidRPr="00853C5A">
        <w:rPr>
          <w:rFonts w:eastAsia="Times New Roman" w:cs="Times New Roman"/>
          <w:lang w:eastAsia="en-GB"/>
        </w:rPr>
        <w:t xml:space="preserve">real-world </w:t>
      </w:r>
      <w:r w:rsidR="00EF1F85" w:rsidRPr="00853C5A">
        <w:rPr>
          <w:rFonts w:eastAsia="Times New Roman" w:cs="Times New Roman"/>
          <w:lang w:eastAsia="en-GB"/>
        </w:rPr>
        <w:t xml:space="preserve">opinions from </w:t>
      </w:r>
      <w:r w:rsidR="008D3EC8">
        <w:rPr>
          <w:rFonts w:eastAsia="Times New Roman" w:cs="Times New Roman"/>
          <w:lang w:eastAsia="en-GB"/>
        </w:rPr>
        <w:t xml:space="preserve">a panel of </w:t>
      </w:r>
      <w:r w:rsidR="00EF1F85" w:rsidRPr="00853C5A">
        <w:rPr>
          <w:rFonts w:eastAsia="Times New Roman" w:cs="Times New Roman"/>
          <w:lang w:eastAsia="en-GB"/>
        </w:rPr>
        <w:t>experts t</w:t>
      </w:r>
      <w:r w:rsidR="004B0D52">
        <w:rPr>
          <w:rFonts w:eastAsia="Times New Roman" w:cs="Times New Roman"/>
          <w:lang w:eastAsia="en-GB"/>
        </w:rPr>
        <w:t>o generate, understand and form consensus on group opinion around</w:t>
      </w:r>
      <w:r w:rsidR="00EF1F85" w:rsidRPr="00853C5A">
        <w:rPr>
          <w:rFonts w:eastAsia="Times New Roman" w:cs="Times New Roman"/>
          <w:lang w:eastAsia="en-GB"/>
        </w:rPr>
        <w:t xml:space="preserve"> a complex issue</w:t>
      </w:r>
      <w:r w:rsidR="00CA7C4D" w:rsidRPr="00853C5A">
        <w:rPr>
          <w:rFonts w:eastAsia="Times New Roman" w:cs="Times New Roman"/>
          <w:lang w:eastAsia="en-GB"/>
        </w:rPr>
        <w:t xml:space="preserve"> </w:t>
      </w:r>
      <w:r w:rsidR="00EF1F85" w:rsidRPr="00853C5A">
        <w:rPr>
          <w:rFonts w:eastAsia="Times New Roman" w:cs="Times New Roman"/>
          <w:lang w:eastAsia="en-GB"/>
        </w:rPr>
        <w:t>(</w:t>
      </w:r>
      <w:proofErr w:type="spellStart"/>
      <w:r w:rsidR="00EF1F85" w:rsidRPr="0034371A">
        <w:rPr>
          <w:rFonts w:eastAsia="Times New Roman" w:cs="Times New Roman"/>
          <w:color w:val="00B050"/>
          <w:lang w:eastAsia="en-GB"/>
        </w:rPr>
        <w:t>Dalkey</w:t>
      </w:r>
      <w:proofErr w:type="spellEnd"/>
      <w:r w:rsidR="00EF1F85" w:rsidRPr="0034371A">
        <w:rPr>
          <w:rFonts w:eastAsia="Times New Roman" w:cs="Times New Roman"/>
          <w:color w:val="00B050"/>
          <w:lang w:eastAsia="en-GB"/>
        </w:rPr>
        <w:t xml:space="preserve"> and </w:t>
      </w:r>
      <w:proofErr w:type="spellStart"/>
      <w:r w:rsidR="00EF1F85" w:rsidRPr="0034371A">
        <w:rPr>
          <w:rFonts w:eastAsia="Times New Roman" w:cs="Times New Roman"/>
          <w:color w:val="00B050"/>
          <w:lang w:eastAsia="en-GB"/>
        </w:rPr>
        <w:t>Helmer</w:t>
      </w:r>
      <w:proofErr w:type="spellEnd"/>
      <w:r w:rsidR="00EF1F85" w:rsidRPr="0034371A">
        <w:rPr>
          <w:rFonts w:eastAsia="Times New Roman" w:cs="Times New Roman"/>
          <w:color w:val="00B050"/>
          <w:lang w:eastAsia="en-GB"/>
        </w:rPr>
        <w:t>, 1963</w:t>
      </w:r>
      <w:r w:rsidR="00EF1F85" w:rsidRPr="00853C5A">
        <w:rPr>
          <w:rFonts w:eastAsia="Times New Roman" w:cs="Times New Roman"/>
          <w:lang w:eastAsia="en-GB"/>
        </w:rPr>
        <w:t xml:space="preserve">). </w:t>
      </w:r>
      <w:r w:rsidR="006C7221" w:rsidRPr="00853C5A">
        <w:rPr>
          <w:rFonts w:eastAsia="Times New Roman" w:cs="Times New Roman"/>
          <w:lang w:eastAsia="en-GB"/>
        </w:rPr>
        <w:t>It is multi</w:t>
      </w:r>
      <w:r w:rsidR="00E24B15" w:rsidRPr="00853C5A">
        <w:rPr>
          <w:rFonts w:eastAsia="Times New Roman" w:cs="Times New Roman"/>
          <w:lang w:eastAsia="en-GB"/>
        </w:rPr>
        <w:t>-</w:t>
      </w:r>
      <w:r w:rsidR="00F14429" w:rsidRPr="00853C5A">
        <w:rPr>
          <w:rFonts w:eastAsia="Times New Roman" w:cs="Times New Roman"/>
          <w:lang w:eastAsia="en-GB"/>
        </w:rPr>
        <w:t xml:space="preserve">stage insofar </w:t>
      </w:r>
      <w:r w:rsidR="006C7221" w:rsidRPr="00853C5A">
        <w:rPr>
          <w:rFonts w:eastAsia="Times New Roman" w:cs="Times New Roman"/>
          <w:lang w:eastAsia="en-GB"/>
        </w:rPr>
        <w:t xml:space="preserve">as it </w:t>
      </w:r>
      <w:r w:rsidR="00B0306D" w:rsidRPr="00853C5A">
        <w:rPr>
          <w:rFonts w:eastAsia="Times New Roman" w:cs="Times New Roman"/>
          <w:lang w:eastAsia="en-GB"/>
        </w:rPr>
        <w:t>involves iterative survey rounds interspersed with controlled feedback</w:t>
      </w:r>
      <w:r w:rsidR="004B0D52">
        <w:rPr>
          <w:rFonts w:eastAsia="Times New Roman" w:cs="Times New Roman"/>
          <w:lang w:eastAsia="en-GB"/>
        </w:rPr>
        <w:t>; each</w:t>
      </w:r>
      <w:r w:rsidR="00B0306D" w:rsidRPr="00853C5A">
        <w:rPr>
          <w:rFonts w:eastAsia="Times New Roman" w:cs="Times New Roman"/>
          <w:lang w:eastAsia="en-GB"/>
        </w:rPr>
        <w:t xml:space="preserve"> stage builds on the preceding one</w:t>
      </w:r>
      <w:r w:rsidR="004B0D52">
        <w:rPr>
          <w:rFonts w:eastAsia="Times New Roman" w:cs="Times New Roman"/>
          <w:lang w:eastAsia="en-GB"/>
        </w:rPr>
        <w:t xml:space="preserve"> and the whole process</w:t>
      </w:r>
      <w:r w:rsidR="00F14429" w:rsidRPr="00853C5A">
        <w:rPr>
          <w:rFonts w:eastAsia="Times New Roman" w:cs="Times New Roman"/>
          <w:lang w:eastAsia="en-GB"/>
        </w:rPr>
        <w:t xml:space="preserve"> is </w:t>
      </w:r>
      <w:r w:rsidR="006C7221" w:rsidRPr="00853C5A">
        <w:rPr>
          <w:rFonts w:eastAsia="Times New Roman" w:cs="Times New Roman"/>
          <w:lang w:eastAsia="en-GB"/>
        </w:rPr>
        <w:t>guided by principles of democratic participation</w:t>
      </w:r>
      <w:r w:rsidR="0084157C" w:rsidRPr="00853C5A">
        <w:rPr>
          <w:rFonts w:eastAsia="Times New Roman" w:cs="Times New Roman"/>
          <w:lang w:eastAsia="en-GB"/>
        </w:rPr>
        <w:t xml:space="preserve"> and </w:t>
      </w:r>
      <w:r w:rsidR="0084157C" w:rsidRPr="00853C5A">
        <w:t>anonymity</w:t>
      </w:r>
      <w:r w:rsidR="006C7221" w:rsidRPr="00853C5A">
        <w:rPr>
          <w:rFonts w:eastAsia="Times New Roman" w:cs="Times New Roman"/>
          <w:lang w:eastAsia="en-GB"/>
        </w:rPr>
        <w:t xml:space="preserve"> (</w:t>
      </w:r>
      <w:r w:rsidR="006C7221" w:rsidRPr="004B0D52">
        <w:rPr>
          <w:rFonts w:eastAsia="Times New Roman" w:cs="Times New Roman"/>
          <w:color w:val="00B050"/>
          <w:lang w:eastAsia="en-GB"/>
        </w:rPr>
        <w:t xml:space="preserve">Day and </w:t>
      </w:r>
      <w:proofErr w:type="spellStart"/>
      <w:r w:rsidR="006C7221" w:rsidRPr="004B0D52">
        <w:rPr>
          <w:rFonts w:eastAsia="Times New Roman" w:cs="Times New Roman"/>
          <w:color w:val="00B050"/>
          <w:lang w:eastAsia="en-GB"/>
        </w:rPr>
        <w:t>Bobeva</w:t>
      </w:r>
      <w:proofErr w:type="spellEnd"/>
      <w:r w:rsidR="006C7221" w:rsidRPr="004B0D52">
        <w:rPr>
          <w:rFonts w:eastAsia="Times New Roman" w:cs="Times New Roman"/>
          <w:color w:val="00B050"/>
          <w:lang w:eastAsia="en-GB"/>
        </w:rPr>
        <w:t>, 2005</w:t>
      </w:r>
      <w:r w:rsidR="006C7221" w:rsidRPr="00853C5A">
        <w:rPr>
          <w:rFonts w:eastAsia="Times New Roman" w:cs="Times New Roman"/>
          <w:lang w:eastAsia="en-GB"/>
        </w:rPr>
        <w:t xml:space="preserve">). </w:t>
      </w:r>
      <w:r w:rsidR="0084157C" w:rsidRPr="00853C5A">
        <w:rPr>
          <w:rFonts w:eastAsia="Times New Roman" w:cs="Times New Roman"/>
          <w:lang w:eastAsia="en-GB"/>
        </w:rPr>
        <w:t>It assumes that</w:t>
      </w:r>
      <w:r w:rsidR="00773071" w:rsidRPr="00853C5A">
        <w:rPr>
          <w:rFonts w:eastAsia="Times New Roman" w:cs="Times New Roman"/>
          <w:lang w:eastAsia="en-GB"/>
        </w:rPr>
        <w:t xml:space="preserve"> group opinion - especially </w:t>
      </w:r>
      <w:r w:rsidR="0075735D" w:rsidRPr="00853C5A">
        <w:rPr>
          <w:rFonts w:eastAsia="Times New Roman" w:cs="Times New Roman"/>
          <w:lang w:eastAsia="en-GB"/>
        </w:rPr>
        <w:t xml:space="preserve">of </w:t>
      </w:r>
      <w:r w:rsidR="00773071" w:rsidRPr="00853C5A">
        <w:rPr>
          <w:rFonts w:eastAsia="Times New Roman" w:cs="Times New Roman"/>
          <w:lang w:eastAsia="en-GB"/>
        </w:rPr>
        <w:t xml:space="preserve">experts - is more valid and reliable </w:t>
      </w:r>
      <w:r w:rsidR="00722BA6">
        <w:rPr>
          <w:rFonts w:eastAsia="Times New Roman" w:cs="Times New Roman"/>
          <w:lang w:eastAsia="en-GB"/>
        </w:rPr>
        <w:t xml:space="preserve">than </w:t>
      </w:r>
      <w:r w:rsidR="002B585F">
        <w:rPr>
          <w:rFonts w:eastAsia="Times New Roman" w:cs="Times New Roman"/>
          <w:lang w:eastAsia="en-GB"/>
        </w:rPr>
        <w:t xml:space="preserve">individual </w:t>
      </w:r>
      <w:r w:rsidR="00773071" w:rsidRPr="00853C5A">
        <w:rPr>
          <w:rFonts w:eastAsia="Times New Roman" w:cs="Times New Roman"/>
          <w:lang w:eastAsia="en-GB"/>
        </w:rPr>
        <w:t>opinion</w:t>
      </w:r>
      <w:r w:rsidR="002B585F">
        <w:rPr>
          <w:rFonts w:eastAsia="Times New Roman" w:cs="Times New Roman"/>
          <w:lang w:eastAsia="en-GB"/>
        </w:rPr>
        <w:t>(</w:t>
      </w:r>
      <w:r w:rsidR="00773071" w:rsidRPr="00853C5A">
        <w:rPr>
          <w:rFonts w:eastAsia="Times New Roman" w:cs="Times New Roman"/>
          <w:lang w:eastAsia="en-GB"/>
        </w:rPr>
        <w:t>s</w:t>
      </w:r>
      <w:r w:rsidR="002B585F">
        <w:rPr>
          <w:rFonts w:eastAsia="Times New Roman" w:cs="Times New Roman"/>
          <w:lang w:eastAsia="en-GB"/>
        </w:rPr>
        <w:t>)</w:t>
      </w:r>
      <w:r w:rsidR="00773071" w:rsidRPr="00853C5A">
        <w:rPr>
          <w:rFonts w:eastAsia="Times New Roman" w:cs="Times New Roman"/>
          <w:lang w:eastAsia="en-GB"/>
        </w:rPr>
        <w:t xml:space="preserve"> (</w:t>
      </w:r>
      <w:r w:rsidR="00773071" w:rsidRPr="004B0D52">
        <w:rPr>
          <w:rFonts w:eastAsia="Times New Roman" w:cs="Times New Roman"/>
          <w:color w:val="00B050"/>
          <w:lang w:eastAsia="en-GB"/>
        </w:rPr>
        <w:t xml:space="preserve">Keeney </w:t>
      </w:r>
      <w:r w:rsidR="00773071" w:rsidRPr="004B0D52">
        <w:rPr>
          <w:rFonts w:eastAsia="Times New Roman" w:cs="Times New Roman"/>
          <w:i/>
          <w:color w:val="00B050"/>
          <w:lang w:eastAsia="en-GB"/>
        </w:rPr>
        <w:t>et al</w:t>
      </w:r>
      <w:r w:rsidR="00773071" w:rsidRPr="004B0D52">
        <w:rPr>
          <w:rFonts w:eastAsia="Times New Roman" w:cs="Times New Roman"/>
          <w:color w:val="00B050"/>
          <w:lang w:eastAsia="en-GB"/>
        </w:rPr>
        <w:t>., 2011</w:t>
      </w:r>
      <w:r w:rsidR="00773071" w:rsidRPr="00853C5A">
        <w:rPr>
          <w:rFonts w:eastAsia="Times New Roman" w:cs="Times New Roman"/>
          <w:lang w:eastAsia="en-GB"/>
        </w:rPr>
        <w:t xml:space="preserve">). </w:t>
      </w:r>
      <w:r w:rsidR="0006151A">
        <w:rPr>
          <w:rFonts w:eastAsia="Times New Roman" w:cs="Times New Roman"/>
          <w:lang w:eastAsia="en-GB"/>
        </w:rPr>
        <w:t>In this study, t</w:t>
      </w:r>
      <w:r w:rsidR="00722BA6">
        <w:rPr>
          <w:rFonts w:eastAsia="Times New Roman" w:cs="Times New Roman"/>
          <w:lang w:eastAsia="en-GB"/>
        </w:rPr>
        <w:t xml:space="preserve">o strike an appropriate </w:t>
      </w:r>
      <w:r w:rsidR="008F6A99" w:rsidRPr="00853C5A">
        <w:rPr>
          <w:rFonts w:eastAsia="Times New Roman" w:cs="Times New Roman"/>
          <w:lang w:eastAsia="en-GB"/>
        </w:rPr>
        <w:t xml:space="preserve">balance between </w:t>
      </w:r>
      <w:r w:rsidR="00B37A61">
        <w:rPr>
          <w:rFonts w:eastAsia="Times New Roman" w:cs="Times New Roman"/>
          <w:lang w:eastAsia="en-GB"/>
        </w:rPr>
        <w:t>forming</w:t>
      </w:r>
      <w:r w:rsidR="008F6A99" w:rsidRPr="00853C5A">
        <w:rPr>
          <w:rFonts w:eastAsia="Times New Roman" w:cs="Times New Roman"/>
          <w:lang w:eastAsia="en-GB"/>
        </w:rPr>
        <w:t xml:space="preserve"> consensus and risking </w:t>
      </w:r>
      <w:r w:rsidR="00B37A61">
        <w:rPr>
          <w:rFonts w:eastAsia="Times New Roman" w:cs="Times New Roman"/>
          <w:lang w:eastAsia="en-GB"/>
        </w:rPr>
        <w:t>expert attrition</w:t>
      </w:r>
      <w:r w:rsidR="00BD3EAC">
        <w:rPr>
          <w:rFonts w:eastAsia="Times New Roman" w:cs="Times New Roman"/>
          <w:lang w:eastAsia="en-GB"/>
        </w:rPr>
        <w:t>,</w:t>
      </w:r>
      <w:r w:rsidR="008F6A99" w:rsidRPr="00853C5A">
        <w:rPr>
          <w:rFonts w:eastAsia="Times New Roman" w:cs="Times New Roman"/>
          <w:lang w:eastAsia="en-GB"/>
        </w:rPr>
        <w:t xml:space="preserve"> </w:t>
      </w:r>
      <w:r w:rsidR="0006151A">
        <w:rPr>
          <w:rFonts w:eastAsia="Times New Roman" w:cs="Times New Roman"/>
          <w:lang w:eastAsia="en-GB"/>
        </w:rPr>
        <w:t xml:space="preserve">the number of survey rounds </w:t>
      </w:r>
      <w:r>
        <w:rPr>
          <w:rFonts w:eastAsia="Times New Roman" w:cs="Times New Roman"/>
          <w:lang w:eastAsia="en-GB"/>
        </w:rPr>
        <w:t xml:space="preserve">was restricted </w:t>
      </w:r>
      <w:r w:rsidRPr="00853C5A">
        <w:rPr>
          <w:rFonts w:eastAsia="Times New Roman" w:cs="Times New Roman"/>
          <w:lang w:eastAsia="en-GB"/>
        </w:rPr>
        <w:t>to</w:t>
      </w:r>
      <w:r>
        <w:rPr>
          <w:rFonts w:eastAsia="Times New Roman" w:cs="Times New Roman"/>
          <w:lang w:eastAsia="en-GB"/>
        </w:rPr>
        <w:t xml:space="preserve"> </w:t>
      </w:r>
      <w:r w:rsidRPr="00853C5A">
        <w:rPr>
          <w:rFonts w:eastAsia="Times New Roman" w:cs="Times New Roman"/>
          <w:lang w:eastAsia="en-GB"/>
        </w:rPr>
        <w:t>three (</w:t>
      </w:r>
      <w:r w:rsidRPr="00743B65">
        <w:rPr>
          <w:rFonts w:eastAsia="Times New Roman" w:cs="Times New Roman"/>
          <w:lang w:eastAsia="en-GB"/>
        </w:rPr>
        <w:t>Fig.</w:t>
      </w:r>
      <w:r w:rsidR="00E71D28" w:rsidRPr="00743B65">
        <w:rPr>
          <w:rFonts w:eastAsia="Times New Roman" w:cs="Times New Roman"/>
          <w:lang w:eastAsia="en-GB"/>
        </w:rPr>
        <w:t>2</w:t>
      </w:r>
      <w:r w:rsidRPr="00743B65">
        <w:rPr>
          <w:rFonts w:eastAsia="Times New Roman" w:cs="Times New Roman"/>
          <w:lang w:eastAsia="en-GB"/>
        </w:rPr>
        <w:t>)</w:t>
      </w:r>
      <w:r w:rsidRPr="00853C5A">
        <w:rPr>
          <w:rFonts w:eastAsia="Times New Roman" w:cs="Times New Roman"/>
          <w:lang w:eastAsia="en-GB"/>
        </w:rPr>
        <w:t xml:space="preserve"> </w:t>
      </w:r>
      <w:r w:rsidR="008F6A99" w:rsidRPr="00853C5A">
        <w:rPr>
          <w:rFonts w:eastAsia="Times New Roman" w:cs="Times New Roman"/>
          <w:lang w:eastAsia="en-GB"/>
        </w:rPr>
        <w:t>(</w:t>
      </w:r>
      <w:r w:rsidR="008F6A99" w:rsidRPr="00B37A61">
        <w:rPr>
          <w:rFonts w:eastAsia="Times New Roman" w:cs="Times New Roman"/>
          <w:color w:val="00B050"/>
          <w:lang w:eastAsia="en-GB"/>
        </w:rPr>
        <w:t xml:space="preserve">Bloor </w:t>
      </w:r>
      <w:r w:rsidR="008F6A99" w:rsidRPr="00B37A61">
        <w:rPr>
          <w:rFonts w:eastAsia="Times New Roman" w:cs="Times New Roman"/>
          <w:i/>
          <w:color w:val="00B050"/>
          <w:lang w:eastAsia="en-GB"/>
        </w:rPr>
        <w:t>et al.</w:t>
      </w:r>
      <w:r w:rsidR="008F6A99" w:rsidRPr="00B37A61">
        <w:rPr>
          <w:rFonts w:eastAsia="Times New Roman" w:cs="Times New Roman"/>
          <w:color w:val="00B050"/>
          <w:lang w:eastAsia="en-GB"/>
        </w:rPr>
        <w:t xml:space="preserve">, </w:t>
      </w:r>
      <w:r w:rsidR="008F6A99" w:rsidRPr="0006475B">
        <w:rPr>
          <w:rFonts w:eastAsia="Times New Roman" w:cs="Times New Roman"/>
          <w:color w:val="00B050"/>
          <w:lang w:eastAsia="en-GB"/>
        </w:rPr>
        <w:t xml:space="preserve">2015; </w:t>
      </w:r>
      <w:proofErr w:type="spellStart"/>
      <w:r w:rsidR="0006475B" w:rsidRPr="0006475B">
        <w:rPr>
          <w:rFonts w:eastAsia="Times New Roman" w:cs="Times New Roman"/>
          <w:color w:val="00B050"/>
          <w:lang w:eastAsia="en-GB"/>
        </w:rPr>
        <w:t>Radestad</w:t>
      </w:r>
      <w:proofErr w:type="spellEnd"/>
      <w:r w:rsidR="0006475B" w:rsidRPr="0006475B">
        <w:rPr>
          <w:rFonts w:eastAsia="Times New Roman" w:cs="Times New Roman"/>
          <w:color w:val="00B050"/>
          <w:lang w:eastAsia="en-GB"/>
        </w:rPr>
        <w:t xml:space="preserve"> </w:t>
      </w:r>
      <w:r w:rsidR="0006475B" w:rsidRPr="0006475B">
        <w:rPr>
          <w:rFonts w:eastAsia="Times New Roman" w:cs="Times New Roman"/>
          <w:i/>
          <w:color w:val="00B050"/>
          <w:lang w:eastAsia="en-GB"/>
        </w:rPr>
        <w:t>et al</w:t>
      </w:r>
      <w:r w:rsidR="0006475B" w:rsidRPr="0006475B">
        <w:rPr>
          <w:rFonts w:eastAsia="Times New Roman" w:cs="Times New Roman"/>
          <w:color w:val="00B050"/>
          <w:lang w:eastAsia="en-GB"/>
        </w:rPr>
        <w:t xml:space="preserve">., 2013; </w:t>
      </w:r>
      <w:proofErr w:type="spellStart"/>
      <w:r w:rsidR="008F6A99" w:rsidRPr="0006475B">
        <w:rPr>
          <w:rFonts w:eastAsia="Times New Roman" w:cs="Times New Roman"/>
          <w:color w:val="00B050"/>
          <w:lang w:eastAsia="en-GB"/>
        </w:rPr>
        <w:t>Boulkedid</w:t>
      </w:r>
      <w:proofErr w:type="spellEnd"/>
      <w:r w:rsidR="008F6A99" w:rsidRPr="0006475B">
        <w:rPr>
          <w:rFonts w:eastAsia="Times New Roman" w:cs="Times New Roman"/>
          <w:color w:val="00B050"/>
          <w:lang w:eastAsia="en-GB"/>
        </w:rPr>
        <w:t xml:space="preserve"> </w:t>
      </w:r>
      <w:r w:rsidR="008F6A99" w:rsidRPr="0006475B">
        <w:rPr>
          <w:rFonts w:eastAsia="Times New Roman" w:cs="Times New Roman"/>
          <w:i/>
          <w:color w:val="00B050"/>
          <w:lang w:eastAsia="en-GB"/>
        </w:rPr>
        <w:t>et al.</w:t>
      </w:r>
      <w:r w:rsidR="008F6A99" w:rsidRPr="0006475B">
        <w:rPr>
          <w:rFonts w:eastAsia="Times New Roman" w:cs="Times New Roman"/>
          <w:color w:val="00B050"/>
          <w:lang w:eastAsia="en-GB"/>
        </w:rPr>
        <w:t>, 2011</w:t>
      </w:r>
      <w:r>
        <w:rPr>
          <w:rFonts w:eastAsia="Times New Roman" w:cs="Times New Roman"/>
          <w:lang w:eastAsia="en-GB"/>
        </w:rPr>
        <w:t>).</w:t>
      </w:r>
    </w:p>
    <w:p w:rsidR="00411EF0" w:rsidRPr="000009E2" w:rsidRDefault="00411EF0" w:rsidP="00853C5A">
      <w:pPr>
        <w:rPr>
          <w:rFonts w:eastAsia="Times New Roman" w:cs="Times New Roman"/>
          <w:sz w:val="6"/>
          <w:szCs w:val="6"/>
          <w:lang w:eastAsia="en-GB"/>
        </w:rPr>
      </w:pPr>
    </w:p>
    <w:p w:rsidR="007A5C94" w:rsidRDefault="0098591F" w:rsidP="00E71D28">
      <w:pPr>
        <w:ind w:hanging="142"/>
        <w:jc w:val="center"/>
        <w:rPr>
          <w:rFonts w:eastAsia="Times New Roman" w:cs="Times New Roman"/>
          <w:lang w:eastAsia="en-GB"/>
        </w:rPr>
      </w:pPr>
      <w:r w:rsidRPr="0098591F">
        <w:rPr>
          <w:rFonts w:eastAsia="Times New Roman" w:cs="Times New Roman"/>
          <w:noProof/>
          <w:lang w:eastAsia="en-GB"/>
        </w:rPr>
        <w:drawing>
          <wp:inline distT="0" distB="0" distL="0" distR="0">
            <wp:extent cx="6295522" cy="4171950"/>
            <wp:effectExtent l="19050" t="0" r="0" b="0"/>
            <wp:docPr id="816" name="Picture 816" descr="C:\Users\Olivia\Desktop\Olivia's work\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ivia\Desktop\Olivia's work\Picture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5784" cy="4185377"/>
                    </a:xfrm>
                    <a:prstGeom prst="rect">
                      <a:avLst/>
                    </a:prstGeom>
                    <a:noFill/>
                    <a:ln>
                      <a:noFill/>
                    </a:ln>
                  </pic:spPr>
                </pic:pic>
              </a:graphicData>
            </a:graphic>
          </wp:inline>
        </w:drawing>
      </w:r>
    </w:p>
    <w:p w:rsidR="00B37A61" w:rsidRPr="00807752" w:rsidRDefault="00E71D28" w:rsidP="00E71D28">
      <w:pPr>
        <w:ind w:hanging="142"/>
        <w:jc w:val="center"/>
        <w:rPr>
          <w:rFonts w:eastAsia="Times New Roman" w:cs="Times New Roman"/>
          <w:sz w:val="18"/>
          <w:szCs w:val="18"/>
          <w:lang w:eastAsia="en-GB"/>
        </w:rPr>
      </w:pPr>
      <w:proofErr w:type="gramStart"/>
      <w:r>
        <w:rPr>
          <w:rFonts w:eastAsia="Times New Roman" w:cs="Times New Roman"/>
          <w:sz w:val="18"/>
          <w:szCs w:val="18"/>
          <w:lang w:eastAsia="en-GB"/>
        </w:rPr>
        <w:t>Fig. 2</w:t>
      </w:r>
      <w:r w:rsidR="00B37A61" w:rsidRPr="00807752">
        <w:rPr>
          <w:rFonts w:eastAsia="Times New Roman" w:cs="Times New Roman"/>
          <w:sz w:val="18"/>
          <w:szCs w:val="18"/>
          <w:lang w:eastAsia="en-GB"/>
        </w:rPr>
        <w:t>.</w:t>
      </w:r>
      <w:proofErr w:type="gramEnd"/>
      <w:r w:rsidR="00A36CF4" w:rsidRPr="00807752">
        <w:rPr>
          <w:rFonts w:eastAsia="Times New Roman" w:cs="Times New Roman"/>
          <w:sz w:val="18"/>
          <w:szCs w:val="18"/>
          <w:lang w:eastAsia="en-GB"/>
        </w:rPr>
        <w:t xml:space="preserve"> </w:t>
      </w:r>
      <w:r w:rsidR="00315158" w:rsidRPr="00807752">
        <w:rPr>
          <w:rFonts w:eastAsia="Times New Roman" w:cs="Times New Roman"/>
          <w:sz w:val="18"/>
          <w:szCs w:val="18"/>
          <w:lang w:eastAsia="en-GB"/>
        </w:rPr>
        <w:t xml:space="preserve">Three-round </w:t>
      </w:r>
      <w:r w:rsidR="00A36CF4" w:rsidRPr="00807752">
        <w:rPr>
          <w:rFonts w:eastAsia="Times New Roman" w:cs="Times New Roman"/>
          <w:sz w:val="18"/>
          <w:szCs w:val="18"/>
          <w:lang w:eastAsia="en-GB"/>
        </w:rPr>
        <w:t xml:space="preserve">Delphi </w:t>
      </w:r>
      <w:r w:rsidR="00315158" w:rsidRPr="00807752">
        <w:rPr>
          <w:rFonts w:eastAsia="Times New Roman" w:cs="Times New Roman"/>
          <w:sz w:val="18"/>
          <w:szCs w:val="18"/>
          <w:lang w:eastAsia="en-GB"/>
        </w:rPr>
        <w:t>method overview</w:t>
      </w:r>
    </w:p>
    <w:p w:rsidR="00807752" w:rsidRPr="005740D5" w:rsidRDefault="00807752" w:rsidP="00853C5A">
      <w:pPr>
        <w:rPr>
          <w:rFonts w:eastAsia="Times New Roman" w:cs="Times New Roman"/>
          <w:sz w:val="6"/>
          <w:szCs w:val="6"/>
          <w:lang w:eastAsia="en-GB"/>
        </w:rPr>
      </w:pPr>
    </w:p>
    <w:p w:rsidR="00A36187" w:rsidRPr="00853C5A" w:rsidRDefault="003C67A0" w:rsidP="00C05C40">
      <w:pPr>
        <w:spacing w:after="120"/>
      </w:pPr>
      <w:r>
        <w:rPr>
          <w:rFonts w:eastAsia="Times New Roman" w:cs="Times New Roman"/>
          <w:lang w:eastAsia="en-GB"/>
        </w:rPr>
        <w:t xml:space="preserve">It is accepted that </w:t>
      </w:r>
      <w:r w:rsidR="00722BA6">
        <w:rPr>
          <w:rFonts w:eastAsia="Times New Roman" w:cs="Times New Roman"/>
          <w:lang w:eastAsia="en-GB"/>
        </w:rPr>
        <w:t>t</w:t>
      </w:r>
      <w:r w:rsidR="00722BA6" w:rsidRPr="00853C5A">
        <w:rPr>
          <w:rFonts w:eastAsia="Times New Roman" w:cs="Times New Roman"/>
          <w:lang w:eastAsia="en-GB"/>
        </w:rPr>
        <w:t>here rarely exists just one definable community as a source of expertise, knowledge and opinion for complex problems</w:t>
      </w:r>
      <w:r w:rsidR="00722BA6">
        <w:rPr>
          <w:rFonts w:eastAsia="Times New Roman" w:cs="Times New Roman"/>
          <w:lang w:eastAsia="en-GB"/>
        </w:rPr>
        <w:t xml:space="preserve">, </w:t>
      </w:r>
      <w:r>
        <w:rPr>
          <w:rFonts w:eastAsia="Times New Roman" w:cs="Times New Roman"/>
          <w:lang w:eastAsia="en-GB"/>
        </w:rPr>
        <w:t>and that</w:t>
      </w:r>
      <w:r w:rsidR="00722BA6" w:rsidRPr="00853C5A">
        <w:rPr>
          <w:rFonts w:eastAsia="Times New Roman" w:cs="Times New Roman"/>
          <w:lang w:eastAsia="en-GB"/>
        </w:rPr>
        <w:t xml:space="preserve"> Delphi </w:t>
      </w:r>
      <w:r w:rsidR="00722BA6">
        <w:rPr>
          <w:rFonts w:eastAsia="Times New Roman" w:cs="Times New Roman"/>
          <w:lang w:eastAsia="en-GB"/>
        </w:rPr>
        <w:t xml:space="preserve">participants </w:t>
      </w:r>
      <w:r w:rsidR="00722BA6" w:rsidRPr="00853C5A">
        <w:rPr>
          <w:rFonts w:eastAsia="Times New Roman" w:cs="Times New Roman"/>
          <w:lang w:eastAsia="en-GB"/>
        </w:rPr>
        <w:t xml:space="preserve">need not </w:t>
      </w:r>
      <w:r w:rsidR="00722BA6" w:rsidRPr="00853C5A">
        <w:t xml:space="preserve">be representative of the target population nor have </w:t>
      </w:r>
      <w:r w:rsidR="00722BA6" w:rsidRPr="00853C5A">
        <w:rPr>
          <w:rFonts w:eastAsia="Times New Roman" w:cs="Times New Roman"/>
          <w:lang w:eastAsia="en-GB"/>
        </w:rPr>
        <w:t>specialist knowledge of the entire issue under review</w:t>
      </w:r>
      <w:r w:rsidR="00722BA6">
        <w:rPr>
          <w:rFonts w:eastAsia="Times New Roman" w:cs="Times New Roman"/>
          <w:lang w:eastAsia="en-GB"/>
        </w:rPr>
        <w:t xml:space="preserve"> </w:t>
      </w:r>
      <w:r w:rsidR="00722BA6" w:rsidRPr="00853C5A">
        <w:rPr>
          <w:rFonts w:eastAsia="Times New Roman" w:cs="Times New Roman"/>
          <w:lang w:eastAsia="en-GB"/>
        </w:rPr>
        <w:t>(</w:t>
      </w:r>
      <w:r w:rsidR="0006475B" w:rsidRPr="008D3EC8">
        <w:rPr>
          <w:rFonts w:eastAsia="Times New Roman" w:cs="Times New Roman"/>
          <w:color w:val="00B050"/>
          <w:lang w:eastAsia="en-GB"/>
        </w:rPr>
        <w:t xml:space="preserve">Devenish </w:t>
      </w:r>
      <w:r w:rsidR="0006475B" w:rsidRPr="008D3EC8">
        <w:rPr>
          <w:rFonts w:eastAsia="Times New Roman" w:cs="Times New Roman"/>
          <w:i/>
          <w:color w:val="00B050"/>
          <w:lang w:eastAsia="en-GB"/>
        </w:rPr>
        <w:t>et al</w:t>
      </w:r>
      <w:r w:rsidR="0006475B" w:rsidRPr="008D3EC8">
        <w:rPr>
          <w:rFonts w:eastAsia="Times New Roman" w:cs="Times New Roman"/>
          <w:color w:val="00B050"/>
          <w:lang w:eastAsia="en-GB"/>
        </w:rPr>
        <w:t>., 2012</w:t>
      </w:r>
      <w:r w:rsidR="0006475B">
        <w:rPr>
          <w:rFonts w:eastAsia="Times New Roman" w:cs="Times New Roman"/>
          <w:color w:val="00B050"/>
          <w:lang w:eastAsia="en-GB"/>
        </w:rPr>
        <w:t xml:space="preserve">; </w:t>
      </w:r>
      <w:r w:rsidR="00722BA6" w:rsidRPr="008D3EC8">
        <w:rPr>
          <w:rFonts w:eastAsia="Times New Roman" w:cs="Times New Roman"/>
          <w:color w:val="00B050"/>
          <w:lang w:eastAsia="en-GB"/>
        </w:rPr>
        <w:t>De</w:t>
      </w:r>
      <w:r w:rsidR="00AB37A9">
        <w:rPr>
          <w:rFonts w:eastAsia="Times New Roman" w:cs="Times New Roman"/>
          <w:color w:val="00B050"/>
          <w:lang w:eastAsia="en-GB"/>
        </w:rPr>
        <w:t xml:space="preserve"> </w:t>
      </w:r>
      <w:proofErr w:type="spellStart"/>
      <w:r w:rsidR="00722BA6" w:rsidRPr="008D3EC8">
        <w:rPr>
          <w:rFonts w:eastAsia="Times New Roman" w:cs="Times New Roman"/>
          <w:color w:val="00B050"/>
          <w:lang w:eastAsia="en-GB"/>
        </w:rPr>
        <w:t>Meyrick</w:t>
      </w:r>
      <w:proofErr w:type="spellEnd"/>
      <w:r w:rsidR="00722BA6" w:rsidRPr="008D3EC8">
        <w:rPr>
          <w:rFonts w:eastAsia="Times New Roman" w:cs="Times New Roman"/>
          <w:color w:val="00B050"/>
          <w:lang w:eastAsia="en-GB"/>
        </w:rPr>
        <w:t>, 2003</w:t>
      </w:r>
      <w:r w:rsidR="00722BA6" w:rsidRPr="00853C5A">
        <w:rPr>
          <w:rFonts w:eastAsia="Times New Roman" w:cs="Times New Roman"/>
          <w:lang w:eastAsia="en-GB"/>
        </w:rPr>
        <w:t>)</w:t>
      </w:r>
      <w:r w:rsidR="00722BA6">
        <w:rPr>
          <w:rFonts w:eastAsia="Times New Roman" w:cs="Times New Roman"/>
          <w:lang w:eastAsia="en-GB"/>
        </w:rPr>
        <w:t xml:space="preserve">. </w:t>
      </w:r>
      <w:r>
        <w:rPr>
          <w:rFonts w:eastAsia="Times New Roman" w:cs="Times New Roman"/>
          <w:lang w:eastAsia="en-GB"/>
        </w:rPr>
        <w:t>As such, in this study,</w:t>
      </w:r>
      <w:r w:rsidR="00E24EB2" w:rsidRPr="00853C5A">
        <w:rPr>
          <w:rFonts w:eastAsia="Times New Roman" w:cs="Times New Roman"/>
          <w:lang w:eastAsia="en-GB"/>
        </w:rPr>
        <w:t xml:space="preserve"> </w:t>
      </w:r>
      <w:r w:rsidR="007F75FD" w:rsidRPr="00853C5A">
        <w:t xml:space="preserve">‘information-rich’ </w:t>
      </w:r>
      <w:r w:rsidR="008D3EC8">
        <w:t xml:space="preserve">participants </w:t>
      </w:r>
      <w:r w:rsidR="007E4596" w:rsidRPr="00853C5A">
        <w:t xml:space="preserve">were </w:t>
      </w:r>
      <w:r w:rsidR="00E24EB2" w:rsidRPr="00853C5A">
        <w:rPr>
          <w:rFonts w:eastAsia="Times New Roman" w:cs="Times New Roman"/>
          <w:lang w:eastAsia="en-GB"/>
        </w:rPr>
        <w:t xml:space="preserve">purposefully </w:t>
      </w:r>
      <w:r w:rsidR="00E402D4">
        <w:rPr>
          <w:rFonts w:eastAsia="Times New Roman" w:cs="Times New Roman"/>
          <w:lang w:eastAsia="en-GB"/>
        </w:rPr>
        <w:t xml:space="preserve">selected </w:t>
      </w:r>
      <w:r>
        <w:rPr>
          <w:rFonts w:eastAsia="Times New Roman" w:cs="Times New Roman"/>
          <w:lang w:eastAsia="en-GB"/>
        </w:rPr>
        <w:t xml:space="preserve">using </w:t>
      </w:r>
      <w:r w:rsidR="00722BA6">
        <w:rPr>
          <w:rFonts w:eastAsia="Times New Roman" w:cs="Times New Roman"/>
          <w:lang w:eastAsia="en-GB"/>
        </w:rPr>
        <w:t xml:space="preserve">a </w:t>
      </w:r>
      <w:r w:rsidR="008238F3" w:rsidRPr="00722BA6">
        <w:rPr>
          <w:i/>
          <w:lang w:eastAsia="en-GB"/>
        </w:rPr>
        <w:t>knowledge resource nomination</w:t>
      </w:r>
      <w:r w:rsidR="008238F3" w:rsidRPr="00600652">
        <w:rPr>
          <w:lang w:eastAsia="en-GB"/>
        </w:rPr>
        <w:t xml:space="preserve"> proces</w:t>
      </w:r>
      <w:r w:rsidR="00C17D3F">
        <w:rPr>
          <w:lang w:eastAsia="en-GB"/>
        </w:rPr>
        <w:t>s</w:t>
      </w:r>
      <w:r w:rsidR="008238F3" w:rsidRPr="00853C5A">
        <w:rPr>
          <w:lang w:eastAsia="en-GB"/>
        </w:rPr>
        <w:t xml:space="preserve"> </w:t>
      </w:r>
      <w:r w:rsidR="00722BA6">
        <w:rPr>
          <w:lang w:eastAsia="en-GB"/>
        </w:rPr>
        <w:t xml:space="preserve">which </w:t>
      </w:r>
      <w:r w:rsidR="008238F3" w:rsidRPr="00853C5A">
        <w:rPr>
          <w:lang w:eastAsia="en-GB"/>
        </w:rPr>
        <w:t>help</w:t>
      </w:r>
      <w:r w:rsidR="002F2094" w:rsidRPr="00853C5A">
        <w:rPr>
          <w:lang w:eastAsia="en-GB"/>
        </w:rPr>
        <w:t>ed</w:t>
      </w:r>
      <w:r w:rsidR="008238F3" w:rsidRPr="00853C5A">
        <w:rPr>
          <w:lang w:eastAsia="en-GB"/>
        </w:rPr>
        <w:t xml:space="preserve"> identify and </w:t>
      </w:r>
      <w:r w:rsidR="00C17D3F">
        <w:t xml:space="preserve">categorise </w:t>
      </w:r>
      <w:r w:rsidR="00246B11" w:rsidRPr="00853C5A">
        <w:t xml:space="preserve">possible </w:t>
      </w:r>
      <w:r w:rsidR="008238F3" w:rsidRPr="00853C5A">
        <w:t>participants and ensure</w:t>
      </w:r>
      <w:r w:rsidR="002F2094" w:rsidRPr="00853C5A">
        <w:t>d</w:t>
      </w:r>
      <w:r w:rsidR="008238F3" w:rsidRPr="00853C5A">
        <w:t xml:space="preserve"> no source of expertise was </w:t>
      </w:r>
      <w:r w:rsidR="008238F3" w:rsidRPr="00853C5A">
        <w:lastRenderedPageBreak/>
        <w:t>overlooked</w:t>
      </w:r>
      <w:r w:rsidR="00722BA6">
        <w:t xml:space="preserve"> (</w:t>
      </w:r>
      <w:r w:rsidR="004106B0">
        <w:t xml:space="preserve">see </w:t>
      </w:r>
      <w:proofErr w:type="spellStart"/>
      <w:r w:rsidR="00E519A1" w:rsidRPr="00C17D3F">
        <w:rPr>
          <w:color w:val="00B050"/>
          <w:lang w:eastAsia="en-GB"/>
        </w:rPr>
        <w:t>Okali</w:t>
      </w:r>
      <w:proofErr w:type="spellEnd"/>
      <w:r w:rsidR="00E519A1" w:rsidRPr="00C17D3F">
        <w:rPr>
          <w:color w:val="00B050"/>
          <w:lang w:eastAsia="en-GB"/>
        </w:rPr>
        <w:t xml:space="preserve"> and </w:t>
      </w:r>
      <w:proofErr w:type="spellStart"/>
      <w:r w:rsidR="00E519A1" w:rsidRPr="00C17D3F">
        <w:rPr>
          <w:color w:val="00B050"/>
          <w:lang w:eastAsia="en-GB"/>
        </w:rPr>
        <w:t>Pawlowski</w:t>
      </w:r>
      <w:proofErr w:type="spellEnd"/>
      <w:r w:rsidR="00E519A1" w:rsidRPr="00C17D3F">
        <w:rPr>
          <w:color w:val="00B050"/>
          <w:lang w:eastAsia="en-GB"/>
        </w:rPr>
        <w:t>, 2004</w:t>
      </w:r>
      <w:r w:rsidR="00E519A1" w:rsidRPr="00853C5A">
        <w:rPr>
          <w:lang w:eastAsia="en-GB"/>
        </w:rPr>
        <w:t>).</w:t>
      </w:r>
      <w:r>
        <w:rPr>
          <w:lang w:eastAsia="en-GB"/>
        </w:rPr>
        <w:t xml:space="preserve"> This identified a</w:t>
      </w:r>
      <w:r w:rsidR="008238F3" w:rsidRPr="00853C5A">
        <w:rPr>
          <w:lang w:eastAsia="en-GB"/>
        </w:rPr>
        <w:t xml:space="preserve"> </w:t>
      </w:r>
      <w:r>
        <w:rPr>
          <w:lang w:eastAsia="en-GB"/>
        </w:rPr>
        <w:t xml:space="preserve">heterogeneous and geographically dispersed </w:t>
      </w:r>
      <w:r w:rsidR="0004264A" w:rsidRPr="00853C5A">
        <w:rPr>
          <w:lang w:eastAsia="en-GB"/>
        </w:rPr>
        <w:t xml:space="preserve">group of </w:t>
      </w:r>
      <w:r w:rsidR="00C00122">
        <w:rPr>
          <w:lang w:eastAsia="en-GB"/>
        </w:rPr>
        <w:t xml:space="preserve">167 </w:t>
      </w:r>
      <w:r w:rsidR="001736F1">
        <w:rPr>
          <w:lang w:eastAsia="en-GB"/>
        </w:rPr>
        <w:t>possible</w:t>
      </w:r>
      <w:r>
        <w:rPr>
          <w:lang w:eastAsia="en-GB"/>
        </w:rPr>
        <w:t xml:space="preserve"> participants </w:t>
      </w:r>
      <w:r w:rsidR="008238F3" w:rsidRPr="00853C5A">
        <w:rPr>
          <w:lang w:eastAsia="en-GB"/>
        </w:rPr>
        <w:t xml:space="preserve">from different </w:t>
      </w:r>
      <w:r w:rsidR="0004264A" w:rsidRPr="00853C5A">
        <w:rPr>
          <w:lang w:eastAsia="en-GB"/>
        </w:rPr>
        <w:t>disciplines</w:t>
      </w:r>
      <w:r>
        <w:rPr>
          <w:lang w:eastAsia="en-GB"/>
        </w:rPr>
        <w:t>, in an attempt to</w:t>
      </w:r>
      <w:r w:rsidR="00E402D4">
        <w:t xml:space="preserve"> achieve</w:t>
      </w:r>
      <w:r w:rsidR="009408F8" w:rsidRPr="00853C5A">
        <w:t xml:space="preserve"> a broad spectrum of opinion</w:t>
      </w:r>
      <w:r w:rsidR="00B171C3">
        <w:t xml:space="preserve"> on</w:t>
      </w:r>
      <w:r>
        <w:t xml:space="preserve"> the subject </w:t>
      </w:r>
      <w:r w:rsidR="000C2FEF">
        <w:t>under investigation</w:t>
      </w:r>
      <w:r w:rsidR="00E402D4">
        <w:rPr>
          <w:lang w:eastAsia="en-GB"/>
        </w:rPr>
        <w:t xml:space="preserve"> </w:t>
      </w:r>
      <w:r w:rsidR="008238F3" w:rsidRPr="00853C5A">
        <w:rPr>
          <w:lang w:eastAsia="en-GB"/>
        </w:rPr>
        <w:t>(</w:t>
      </w:r>
      <w:r w:rsidR="00860D7E">
        <w:rPr>
          <w:color w:val="00B050"/>
          <w:lang w:eastAsia="en-GB"/>
        </w:rPr>
        <w:t>Kee</w:t>
      </w:r>
      <w:r w:rsidR="008238F3" w:rsidRPr="00E402D4">
        <w:rPr>
          <w:color w:val="00B050"/>
          <w:lang w:eastAsia="en-GB"/>
        </w:rPr>
        <w:t>ney</w:t>
      </w:r>
      <w:r w:rsidR="00860D7E">
        <w:rPr>
          <w:color w:val="00B050"/>
          <w:lang w:eastAsia="en-GB"/>
        </w:rPr>
        <w:t xml:space="preserve"> </w:t>
      </w:r>
      <w:r w:rsidR="00860D7E">
        <w:rPr>
          <w:i/>
          <w:color w:val="00B050"/>
          <w:lang w:eastAsia="en-GB"/>
        </w:rPr>
        <w:t>et al.</w:t>
      </w:r>
      <w:r w:rsidR="008238F3" w:rsidRPr="00E402D4">
        <w:rPr>
          <w:color w:val="00B050"/>
          <w:lang w:eastAsia="en-GB"/>
        </w:rPr>
        <w:t>, 2011</w:t>
      </w:r>
      <w:r w:rsidR="008238F3" w:rsidRPr="00853C5A">
        <w:rPr>
          <w:lang w:eastAsia="en-GB"/>
        </w:rPr>
        <w:t>)</w:t>
      </w:r>
      <w:r w:rsidR="00246B11" w:rsidRPr="00853C5A">
        <w:rPr>
          <w:lang w:eastAsia="en-GB"/>
        </w:rPr>
        <w:t>.</w:t>
      </w:r>
      <w:r>
        <w:rPr>
          <w:lang w:eastAsia="en-GB"/>
        </w:rPr>
        <w:t xml:space="preserve"> </w:t>
      </w:r>
      <w:r w:rsidR="000C2FEF">
        <w:rPr>
          <w:lang w:eastAsia="en-GB"/>
        </w:rPr>
        <w:t>E</w:t>
      </w:r>
      <w:r w:rsidR="008238F3" w:rsidRPr="00853C5A">
        <w:rPr>
          <w:lang w:eastAsia="en-GB"/>
        </w:rPr>
        <w:t>ach</w:t>
      </w:r>
      <w:r w:rsidR="000C2FEF">
        <w:rPr>
          <w:lang w:eastAsia="en-GB"/>
        </w:rPr>
        <w:t xml:space="preserve"> potential</w:t>
      </w:r>
      <w:r w:rsidR="008238F3" w:rsidRPr="00853C5A">
        <w:rPr>
          <w:lang w:eastAsia="en-GB"/>
        </w:rPr>
        <w:t xml:space="preserve"> </w:t>
      </w:r>
      <w:r w:rsidR="00E519A1" w:rsidRPr="00853C5A">
        <w:rPr>
          <w:lang w:eastAsia="en-GB"/>
        </w:rPr>
        <w:t xml:space="preserve">participant </w:t>
      </w:r>
      <w:r w:rsidR="008238F3" w:rsidRPr="00853C5A">
        <w:rPr>
          <w:lang w:eastAsia="en-GB"/>
        </w:rPr>
        <w:t xml:space="preserve">was </w:t>
      </w:r>
      <w:r w:rsidR="00EC624B" w:rsidRPr="00853C5A">
        <w:rPr>
          <w:lang w:eastAsia="en-GB"/>
        </w:rPr>
        <w:t>e-mail</w:t>
      </w:r>
      <w:r w:rsidR="003014BC">
        <w:rPr>
          <w:lang w:eastAsia="en-GB"/>
        </w:rPr>
        <w:t>ed an invitation,</w:t>
      </w:r>
      <w:r w:rsidR="008238F3" w:rsidRPr="00853C5A">
        <w:rPr>
          <w:lang w:eastAsia="en-GB"/>
        </w:rPr>
        <w:t xml:space="preserve"> information pack and consent form</w:t>
      </w:r>
      <w:r w:rsidR="008C2311">
        <w:rPr>
          <w:lang w:eastAsia="en-GB"/>
        </w:rPr>
        <w:t xml:space="preserve">, </w:t>
      </w:r>
      <w:r w:rsidR="00997DC6">
        <w:rPr>
          <w:lang w:eastAsia="en-GB"/>
        </w:rPr>
        <w:t>in line with recommended best practice</w:t>
      </w:r>
      <w:r w:rsidR="00EC624B" w:rsidRPr="00853C5A">
        <w:rPr>
          <w:lang w:eastAsia="en-GB"/>
        </w:rPr>
        <w:t xml:space="preserve"> </w:t>
      </w:r>
      <w:r w:rsidR="00304CD8" w:rsidRPr="00853C5A">
        <w:rPr>
          <w:rFonts w:eastAsia="Times New Roman" w:cs="Times New Roman"/>
          <w:lang w:eastAsia="en-GB"/>
        </w:rPr>
        <w:t>(</w:t>
      </w:r>
      <w:r w:rsidR="00304CD8" w:rsidRPr="003014BC">
        <w:rPr>
          <w:rFonts w:eastAsia="Times New Roman" w:cs="Times New Roman"/>
          <w:color w:val="00B050"/>
          <w:lang w:eastAsia="en-GB"/>
        </w:rPr>
        <w:t>McKenna, 1994</w:t>
      </w:r>
      <w:r w:rsidR="00EC624B" w:rsidRPr="00853C5A">
        <w:rPr>
          <w:rFonts w:eastAsia="Times New Roman" w:cs="Times New Roman"/>
          <w:lang w:eastAsia="en-GB"/>
        </w:rPr>
        <w:t xml:space="preserve">). </w:t>
      </w:r>
      <w:r w:rsidR="00BF41C3">
        <w:rPr>
          <w:rFonts w:eastAsia="Times New Roman" w:cs="Times New Roman"/>
          <w:lang w:eastAsia="en-GB"/>
        </w:rPr>
        <w:t xml:space="preserve">The information pack provided </w:t>
      </w:r>
      <w:r w:rsidR="008C2311">
        <w:rPr>
          <w:rFonts w:eastAsia="Times New Roman" w:cs="Times New Roman"/>
          <w:lang w:eastAsia="en-GB"/>
        </w:rPr>
        <w:t xml:space="preserve">important </w:t>
      </w:r>
      <w:r w:rsidR="00BF41C3">
        <w:rPr>
          <w:rFonts w:eastAsia="Times New Roman" w:cs="Times New Roman"/>
          <w:lang w:eastAsia="en-GB"/>
        </w:rPr>
        <w:t xml:space="preserve">background information and context </w:t>
      </w:r>
      <w:r w:rsidR="008C2311">
        <w:rPr>
          <w:rFonts w:eastAsia="Times New Roman" w:cs="Times New Roman"/>
          <w:lang w:eastAsia="en-GB"/>
        </w:rPr>
        <w:t>relating to</w:t>
      </w:r>
      <w:r w:rsidR="00BF41C3">
        <w:rPr>
          <w:rFonts w:eastAsia="Times New Roman" w:cs="Times New Roman"/>
          <w:lang w:eastAsia="en-GB"/>
        </w:rPr>
        <w:t xml:space="preserve">: air pollution epidemiology, air quality management </w:t>
      </w:r>
      <w:r w:rsidR="008C2311">
        <w:rPr>
          <w:rFonts w:eastAsia="Times New Roman" w:cs="Times New Roman"/>
          <w:lang w:eastAsia="en-GB"/>
        </w:rPr>
        <w:t>(</w:t>
      </w:r>
      <w:r w:rsidR="00BF41C3">
        <w:rPr>
          <w:rFonts w:eastAsia="Times New Roman" w:cs="Times New Roman"/>
          <w:lang w:eastAsia="en-GB"/>
        </w:rPr>
        <w:t>with a specific emphasis on the role of LAQM</w:t>
      </w:r>
      <w:r w:rsidR="008C2311">
        <w:rPr>
          <w:rFonts w:eastAsia="Times New Roman" w:cs="Times New Roman"/>
          <w:lang w:eastAsia="en-GB"/>
        </w:rPr>
        <w:t>)</w:t>
      </w:r>
      <w:r w:rsidR="00BF41C3">
        <w:rPr>
          <w:rFonts w:eastAsia="Times New Roman" w:cs="Times New Roman"/>
          <w:lang w:eastAsia="en-GB"/>
        </w:rPr>
        <w:t xml:space="preserve">, and </w:t>
      </w:r>
      <w:r w:rsidR="00997DC6">
        <w:rPr>
          <w:rFonts w:eastAsia="Times New Roman" w:cs="Times New Roman"/>
          <w:lang w:eastAsia="en-GB"/>
        </w:rPr>
        <w:t xml:space="preserve">a summary of the </w:t>
      </w:r>
      <w:r w:rsidR="008C2311" w:rsidRPr="0006475B">
        <w:rPr>
          <w:rFonts w:eastAsia="Times New Roman" w:cs="Times New Roman"/>
          <w:lang w:eastAsia="en-GB"/>
        </w:rPr>
        <w:t xml:space="preserve">evidence that </w:t>
      </w:r>
      <w:r w:rsidR="00BF41C3" w:rsidRPr="0006475B">
        <w:t xml:space="preserve">informed the </w:t>
      </w:r>
      <w:r w:rsidR="008C2311" w:rsidRPr="0006475B">
        <w:t>research problem under investigation here (</w:t>
      </w:r>
      <w:r w:rsidR="008C2311">
        <w:rPr>
          <w:color w:val="00B050"/>
        </w:rPr>
        <w:t xml:space="preserve">Brunt </w:t>
      </w:r>
      <w:r w:rsidR="008C2311">
        <w:rPr>
          <w:i/>
          <w:color w:val="00B050"/>
        </w:rPr>
        <w:t>et al</w:t>
      </w:r>
      <w:r w:rsidR="008C2311" w:rsidRPr="008C2311">
        <w:rPr>
          <w:color w:val="00B050"/>
        </w:rPr>
        <w:t>.,</w:t>
      </w:r>
      <w:r w:rsidR="008C2311">
        <w:rPr>
          <w:color w:val="00B050"/>
        </w:rPr>
        <w:t xml:space="preserve"> </w:t>
      </w:r>
      <w:r w:rsidR="008C2311" w:rsidRPr="008C2311">
        <w:rPr>
          <w:color w:val="00B050"/>
        </w:rPr>
        <w:t>2016a</w:t>
      </w:r>
      <w:r w:rsidR="008C2311" w:rsidRPr="0006475B">
        <w:t>)</w:t>
      </w:r>
      <w:r w:rsidR="008C2311" w:rsidRPr="0006475B">
        <w:rPr>
          <w:i/>
        </w:rPr>
        <w:t xml:space="preserve">. </w:t>
      </w:r>
      <w:r w:rsidR="008C2311" w:rsidRPr="0006475B">
        <w:t>Other s</w:t>
      </w:r>
      <w:r w:rsidR="00E519A1" w:rsidRPr="0006475B">
        <w:rPr>
          <w:lang w:eastAsia="en-GB"/>
        </w:rPr>
        <w:t>upporting</w:t>
      </w:r>
      <w:r w:rsidR="00E519A1" w:rsidRPr="00853C5A">
        <w:rPr>
          <w:lang w:eastAsia="en-GB"/>
        </w:rPr>
        <w:t xml:space="preserve"> information</w:t>
      </w:r>
      <w:r w:rsidR="00AC73B6" w:rsidRPr="00853C5A">
        <w:rPr>
          <w:lang w:eastAsia="en-GB"/>
        </w:rPr>
        <w:t xml:space="preserve"> described </w:t>
      </w:r>
      <w:r w:rsidR="00B171C3">
        <w:rPr>
          <w:lang w:eastAsia="en-GB"/>
        </w:rPr>
        <w:t xml:space="preserve">the </w:t>
      </w:r>
      <w:r w:rsidR="00AC73B6" w:rsidRPr="00853C5A">
        <w:t>study</w:t>
      </w:r>
      <w:r w:rsidR="000C2FEF">
        <w:t xml:space="preserve"> aim</w:t>
      </w:r>
      <w:r w:rsidR="00A36187">
        <w:t>, objectives and the</w:t>
      </w:r>
      <w:r w:rsidR="000E17F7" w:rsidRPr="00853C5A">
        <w:t xml:space="preserve"> </w:t>
      </w:r>
      <w:r w:rsidR="00AC73B6" w:rsidRPr="00853C5A">
        <w:t>Delphi process</w:t>
      </w:r>
      <w:r w:rsidR="00A36187">
        <w:t>, and specified participant</w:t>
      </w:r>
      <w:r w:rsidR="003014BC">
        <w:t xml:space="preserve"> </w:t>
      </w:r>
      <w:r w:rsidR="00AC73B6" w:rsidRPr="00853C5A">
        <w:t>requirements</w:t>
      </w:r>
      <w:r w:rsidR="00A36187">
        <w:t xml:space="preserve"> and the </w:t>
      </w:r>
      <w:r w:rsidR="00A36187">
        <w:rPr>
          <w:lang w:eastAsia="en-GB"/>
        </w:rPr>
        <w:t>following eligibility criteria:</w:t>
      </w:r>
      <w:r w:rsidR="00A36187" w:rsidRPr="00853C5A">
        <w:t xml:space="preserve"> </w:t>
      </w:r>
    </w:p>
    <w:p w:rsidR="00A36187" w:rsidRPr="00853C5A" w:rsidRDefault="00A36187" w:rsidP="005740D5">
      <w:pPr>
        <w:pStyle w:val="ListParagraph"/>
        <w:numPr>
          <w:ilvl w:val="0"/>
          <w:numId w:val="3"/>
        </w:numPr>
        <w:spacing w:before="0" w:after="120" w:line="276" w:lineRule="auto"/>
        <w:ind w:left="568" w:hanging="284"/>
        <w:rPr>
          <w:rFonts w:asciiTheme="minorHAnsi" w:hAnsiTheme="minorHAnsi"/>
          <w:sz w:val="22"/>
          <w:szCs w:val="22"/>
        </w:rPr>
      </w:pPr>
      <w:r w:rsidRPr="00853C5A">
        <w:rPr>
          <w:rFonts w:asciiTheme="minorHAnsi" w:hAnsiTheme="minorHAnsi"/>
          <w:sz w:val="22"/>
          <w:szCs w:val="22"/>
        </w:rPr>
        <w:t>Specialist air quality management, environmental health and/or public health qualification;</w:t>
      </w:r>
    </w:p>
    <w:p w:rsidR="00A36187" w:rsidRPr="00743B65" w:rsidRDefault="00A36187" w:rsidP="005740D5">
      <w:pPr>
        <w:pStyle w:val="ListParagraph"/>
        <w:numPr>
          <w:ilvl w:val="0"/>
          <w:numId w:val="3"/>
        </w:numPr>
        <w:spacing w:before="0" w:after="120" w:line="276" w:lineRule="auto"/>
        <w:ind w:left="568" w:hanging="284"/>
        <w:rPr>
          <w:rFonts w:asciiTheme="minorHAnsi" w:hAnsiTheme="minorHAnsi"/>
          <w:sz w:val="22"/>
          <w:szCs w:val="22"/>
        </w:rPr>
      </w:pPr>
      <w:r w:rsidRPr="00A30E3C">
        <w:rPr>
          <w:rFonts w:asciiTheme="minorHAnsi" w:hAnsiTheme="minorHAnsi"/>
          <w:sz w:val="22"/>
          <w:szCs w:val="22"/>
        </w:rPr>
        <w:t xml:space="preserve">Minimum </w:t>
      </w:r>
      <w:r w:rsidRPr="00743B65">
        <w:rPr>
          <w:rFonts w:asciiTheme="minorHAnsi" w:hAnsiTheme="minorHAnsi"/>
          <w:sz w:val="22"/>
          <w:szCs w:val="22"/>
        </w:rPr>
        <w:t>five years post-qualification work experience;</w:t>
      </w:r>
    </w:p>
    <w:p w:rsidR="00743B65" w:rsidRPr="00743B65" w:rsidRDefault="0036723C" w:rsidP="005740D5">
      <w:pPr>
        <w:pStyle w:val="ListParagraph"/>
        <w:numPr>
          <w:ilvl w:val="0"/>
          <w:numId w:val="3"/>
        </w:numPr>
        <w:spacing w:before="0" w:after="120" w:line="276" w:lineRule="auto"/>
        <w:ind w:left="568" w:hanging="284"/>
        <w:rPr>
          <w:rFonts w:asciiTheme="minorHAnsi" w:hAnsiTheme="minorHAnsi"/>
          <w:sz w:val="22"/>
          <w:szCs w:val="22"/>
        </w:rPr>
      </w:pPr>
      <w:r w:rsidRPr="00743B65">
        <w:rPr>
          <w:rFonts w:asciiTheme="minorHAnsi" w:hAnsiTheme="minorHAnsi"/>
          <w:sz w:val="22"/>
          <w:szCs w:val="22"/>
        </w:rPr>
        <w:t xml:space="preserve">Have experience of undertaking public health and/or air quality management work in Wales </w:t>
      </w:r>
      <w:r w:rsidR="00853563" w:rsidRPr="00743B65">
        <w:rPr>
          <w:rFonts w:asciiTheme="minorHAnsi" w:hAnsiTheme="minorHAnsi"/>
          <w:sz w:val="22"/>
          <w:szCs w:val="22"/>
        </w:rPr>
        <w:t>at any point in the last five years;</w:t>
      </w:r>
    </w:p>
    <w:p w:rsidR="00A36187" w:rsidRPr="00853C5A" w:rsidRDefault="0036723C" w:rsidP="005740D5">
      <w:pPr>
        <w:pStyle w:val="ListParagraph"/>
        <w:numPr>
          <w:ilvl w:val="0"/>
          <w:numId w:val="3"/>
        </w:numPr>
        <w:spacing w:before="0" w:after="120" w:line="276" w:lineRule="auto"/>
        <w:ind w:left="568" w:hanging="284"/>
        <w:rPr>
          <w:rFonts w:asciiTheme="minorHAnsi" w:hAnsiTheme="minorHAnsi"/>
          <w:sz w:val="22"/>
          <w:szCs w:val="22"/>
        </w:rPr>
      </w:pPr>
      <w:r w:rsidRPr="00D329AA">
        <w:rPr>
          <w:rFonts w:asciiTheme="minorHAnsi" w:hAnsiTheme="minorHAnsi"/>
          <w:sz w:val="22"/>
          <w:szCs w:val="22"/>
        </w:rPr>
        <w:t>Motivated to address the</w:t>
      </w:r>
      <w:r w:rsidR="0006504C">
        <w:rPr>
          <w:rFonts w:asciiTheme="minorHAnsi" w:hAnsiTheme="minorHAnsi"/>
          <w:sz w:val="22"/>
          <w:szCs w:val="22"/>
        </w:rPr>
        <w:t xml:space="preserve"> problem under investigation</w:t>
      </w:r>
      <w:r w:rsidR="00A36187" w:rsidRPr="00853C5A">
        <w:rPr>
          <w:rFonts w:asciiTheme="minorHAnsi" w:hAnsiTheme="minorHAnsi"/>
          <w:sz w:val="22"/>
          <w:szCs w:val="22"/>
        </w:rPr>
        <w:t>;</w:t>
      </w:r>
    </w:p>
    <w:p w:rsidR="00A36187" w:rsidRPr="00853C5A" w:rsidRDefault="00A36187" w:rsidP="00C05C40">
      <w:pPr>
        <w:pStyle w:val="ListParagraph"/>
        <w:numPr>
          <w:ilvl w:val="0"/>
          <w:numId w:val="3"/>
        </w:numPr>
        <w:spacing w:before="0" w:after="120" w:line="276" w:lineRule="auto"/>
        <w:ind w:left="567" w:hanging="283"/>
        <w:rPr>
          <w:rFonts w:asciiTheme="minorHAnsi" w:hAnsiTheme="minorHAnsi"/>
          <w:sz w:val="22"/>
          <w:szCs w:val="22"/>
        </w:rPr>
      </w:pPr>
      <w:r w:rsidRPr="00853C5A">
        <w:rPr>
          <w:rFonts w:asciiTheme="minorHAnsi" w:hAnsiTheme="minorHAnsi"/>
          <w:sz w:val="22"/>
          <w:szCs w:val="22"/>
        </w:rPr>
        <w:t>Interest, capacity and willingness to participate.</w:t>
      </w:r>
    </w:p>
    <w:p w:rsidR="00AC73B6" w:rsidRPr="00A2083A" w:rsidRDefault="00E519A1" w:rsidP="00C05C40">
      <w:pPr>
        <w:spacing w:after="120"/>
        <w:rPr>
          <w:rFonts w:eastAsia="Times New Roman" w:cs="Times New Roman"/>
          <w:lang w:eastAsia="en-GB"/>
        </w:rPr>
      </w:pPr>
      <w:r w:rsidRPr="00853C5A">
        <w:t>A</w:t>
      </w:r>
      <w:r w:rsidR="00EC624B" w:rsidRPr="00853C5A">
        <w:t xml:space="preserve">ssurances around data collection, security and governance, and anonymity were </w:t>
      </w:r>
      <w:r w:rsidR="00A36187">
        <w:t xml:space="preserve">also </w:t>
      </w:r>
      <w:r w:rsidRPr="00853C5A">
        <w:t>given</w:t>
      </w:r>
      <w:r w:rsidR="00EC624B" w:rsidRPr="00853C5A">
        <w:t>.</w:t>
      </w:r>
      <w:r w:rsidR="00AC73B6" w:rsidRPr="00853C5A">
        <w:t xml:space="preserve"> </w:t>
      </w:r>
      <w:r w:rsidR="00304CD8" w:rsidRPr="00853C5A">
        <w:t>Emphasis was placed on there being</w:t>
      </w:r>
      <w:r w:rsidR="005E4E2F" w:rsidRPr="00853C5A">
        <w:t xml:space="preserve"> </w:t>
      </w:r>
      <w:r w:rsidR="00EC624B" w:rsidRPr="00853C5A">
        <w:t>no obligation to take part</w:t>
      </w:r>
      <w:r w:rsidR="00304CD8" w:rsidRPr="00853C5A">
        <w:t xml:space="preserve">; </w:t>
      </w:r>
      <w:r w:rsidR="003014BC">
        <w:t>participants</w:t>
      </w:r>
      <w:r w:rsidR="00B30BCB" w:rsidRPr="00853C5A">
        <w:t xml:space="preserve"> </w:t>
      </w:r>
      <w:r w:rsidR="00304CD8" w:rsidRPr="00853C5A">
        <w:t>could decline/</w:t>
      </w:r>
      <w:r w:rsidR="00AC73B6" w:rsidRPr="00853C5A">
        <w:t xml:space="preserve">withdraw at any time (with no penalty) </w:t>
      </w:r>
      <w:r w:rsidR="00AC73B6" w:rsidRPr="00A2083A">
        <w:t>even</w:t>
      </w:r>
      <w:r w:rsidR="00B659AF" w:rsidRPr="00A2083A">
        <w:t xml:space="preserve"> after</w:t>
      </w:r>
      <w:r w:rsidR="00AC73B6" w:rsidRPr="00A2083A">
        <w:t xml:space="preserve"> consent</w:t>
      </w:r>
      <w:r w:rsidR="00B659AF" w:rsidRPr="00A2083A">
        <w:t>ing</w:t>
      </w:r>
      <w:r w:rsidR="003014BC" w:rsidRPr="00A2083A">
        <w:t xml:space="preserve"> (Fig.</w:t>
      </w:r>
      <w:r w:rsidR="00E71D28" w:rsidRPr="00A2083A">
        <w:t>2</w:t>
      </w:r>
      <w:r w:rsidR="007A5C94" w:rsidRPr="00A2083A">
        <w:t>)</w:t>
      </w:r>
      <w:r w:rsidR="00AC73B6" w:rsidRPr="00A2083A">
        <w:t xml:space="preserve">. </w:t>
      </w:r>
    </w:p>
    <w:p w:rsidR="00C82EE0" w:rsidRPr="00A2083A" w:rsidRDefault="00A36187" w:rsidP="00C82EE0">
      <w:pPr>
        <w:pStyle w:val="NoSpacing"/>
        <w:spacing w:before="0" w:beforeAutospacing="0" w:after="200" w:afterAutospacing="0" w:line="276" w:lineRule="auto"/>
        <w:rPr>
          <w:rFonts w:asciiTheme="minorHAnsi" w:eastAsia="Times New Roman" w:hAnsiTheme="minorHAnsi"/>
          <w:sz w:val="22"/>
          <w:szCs w:val="22"/>
        </w:rPr>
      </w:pPr>
      <w:r w:rsidRPr="00A2083A">
        <w:rPr>
          <w:rFonts w:asciiTheme="minorHAnsi" w:hAnsiTheme="minorHAnsi"/>
          <w:sz w:val="22"/>
          <w:szCs w:val="22"/>
        </w:rPr>
        <w:t xml:space="preserve">Through the </w:t>
      </w:r>
      <w:r w:rsidR="00C00122" w:rsidRPr="00A2083A">
        <w:rPr>
          <w:rFonts w:asciiTheme="minorHAnsi" w:hAnsiTheme="minorHAnsi"/>
          <w:sz w:val="22"/>
          <w:szCs w:val="22"/>
        </w:rPr>
        <w:t>invitation process, nine</w:t>
      </w:r>
      <w:r w:rsidR="0020748A" w:rsidRPr="00A2083A">
        <w:rPr>
          <w:rFonts w:asciiTheme="minorHAnsi" w:hAnsiTheme="minorHAnsi"/>
          <w:sz w:val="22"/>
          <w:szCs w:val="22"/>
        </w:rPr>
        <w:t xml:space="preserve"> additional</w:t>
      </w:r>
      <w:r w:rsidRPr="00A2083A">
        <w:rPr>
          <w:rFonts w:asciiTheme="minorHAnsi" w:hAnsiTheme="minorHAnsi"/>
          <w:sz w:val="22"/>
          <w:szCs w:val="22"/>
        </w:rPr>
        <w:t xml:space="preserve"> </w:t>
      </w:r>
      <w:r w:rsidR="00C00122" w:rsidRPr="00A2083A">
        <w:rPr>
          <w:rFonts w:asciiTheme="minorHAnsi" w:hAnsiTheme="minorHAnsi"/>
          <w:sz w:val="22"/>
          <w:szCs w:val="22"/>
        </w:rPr>
        <w:t>possible participants were peer-nominated and contacted. Of 176 possible participants, 87 returned consent forms and met eligibility criteria</w:t>
      </w:r>
      <w:r w:rsidRPr="00A2083A">
        <w:rPr>
          <w:rFonts w:asciiTheme="minorHAnsi" w:hAnsiTheme="minorHAnsi"/>
          <w:sz w:val="22"/>
          <w:szCs w:val="22"/>
        </w:rPr>
        <w:t xml:space="preserve"> but one immediately withdrew</w:t>
      </w:r>
      <w:r w:rsidR="00C00122" w:rsidRPr="00A2083A">
        <w:rPr>
          <w:rFonts w:asciiTheme="minorHAnsi" w:hAnsiTheme="minorHAnsi"/>
          <w:sz w:val="22"/>
          <w:szCs w:val="22"/>
        </w:rPr>
        <w:t xml:space="preserve"> </w:t>
      </w:r>
      <w:r w:rsidR="00C27983" w:rsidRPr="00A2083A">
        <w:rPr>
          <w:rFonts w:asciiTheme="minorHAnsi" w:hAnsiTheme="minorHAnsi"/>
          <w:sz w:val="22"/>
          <w:szCs w:val="22"/>
        </w:rPr>
        <w:t>(Fig.</w:t>
      </w:r>
      <w:r w:rsidR="00464D42" w:rsidRPr="00A2083A">
        <w:rPr>
          <w:rFonts w:asciiTheme="minorHAnsi" w:hAnsiTheme="minorHAnsi"/>
          <w:sz w:val="22"/>
          <w:szCs w:val="22"/>
        </w:rPr>
        <w:t>2</w:t>
      </w:r>
      <w:r w:rsidR="00C27983" w:rsidRPr="00A2083A">
        <w:rPr>
          <w:rFonts w:asciiTheme="minorHAnsi" w:hAnsiTheme="minorHAnsi"/>
          <w:sz w:val="22"/>
          <w:szCs w:val="22"/>
        </w:rPr>
        <w:t>).</w:t>
      </w:r>
      <w:r w:rsidR="00C00122" w:rsidRPr="00A2083A">
        <w:rPr>
          <w:rFonts w:asciiTheme="minorHAnsi" w:hAnsiTheme="minorHAnsi"/>
          <w:sz w:val="22"/>
          <w:szCs w:val="22"/>
        </w:rPr>
        <w:t xml:space="preserve"> </w:t>
      </w:r>
      <w:r w:rsidR="00D329AA" w:rsidRPr="00A2083A">
        <w:rPr>
          <w:rFonts w:asciiTheme="minorHAnsi" w:hAnsiTheme="minorHAnsi"/>
          <w:sz w:val="22"/>
          <w:szCs w:val="22"/>
        </w:rPr>
        <w:t xml:space="preserve"> </w:t>
      </w:r>
      <w:r w:rsidR="00A2083A" w:rsidRPr="00A2083A">
        <w:rPr>
          <w:rFonts w:asciiTheme="minorHAnsi" w:hAnsiTheme="minorHAnsi"/>
          <w:sz w:val="22"/>
          <w:szCs w:val="22"/>
        </w:rPr>
        <w:t xml:space="preserve">Ultimately, 86 experts were recruited to the Delphi panel and assigned by the research team to one of three sub-panels in order to facilitate comparison of different groups’ perspectives. The sub-panels </w:t>
      </w:r>
      <w:r w:rsidR="00A2083A" w:rsidRPr="00A2083A">
        <w:rPr>
          <w:rFonts w:asciiTheme="minorHAnsi" w:eastAsia="Times New Roman" w:hAnsiTheme="minorHAnsi"/>
          <w:sz w:val="22"/>
          <w:szCs w:val="22"/>
        </w:rPr>
        <w:t>– ‘public health’, ‘air quality management’ and ‘other’ – mirrored the expertise categories used in the knowledge resource nomination exercise. Briefly, the ‘public health’ sub-panel comprised health service-employed public health practitioners, the ‘air quality management’ sub-panel comprised local authority-employed air quality management and environmental health professionals (who have statutory responsibility for LAQM co-ordination and implementation in Wales), and the ‘other’ sub-panel comprised all other experts employed by organisations with a vested interest in public health and/or air quality e.g. policy makers, academics, regulators. More information on sub-panel composition is presented in the Results section.</w:t>
      </w:r>
    </w:p>
    <w:p w:rsidR="00E5039E" w:rsidRPr="00A2083A" w:rsidRDefault="00E5039E" w:rsidP="00C82EE0">
      <w:pPr>
        <w:rPr>
          <w:rFonts w:eastAsia="Times New Roman" w:cs="Times New Roman"/>
          <w:i/>
          <w:lang w:eastAsia="en-GB"/>
        </w:rPr>
      </w:pPr>
      <w:r w:rsidRPr="00A2083A">
        <w:rPr>
          <w:rFonts w:eastAsia="Times New Roman" w:cs="Times New Roman"/>
          <w:i/>
          <w:lang w:eastAsia="en-GB"/>
        </w:rPr>
        <w:t xml:space="preserve">Delphi </w:t>
      </w:r>
      <w:r w:rsidR="001C71C1" w:rsidRPr="00A2083A">
        <w:rPr>
          <w:rFonts w:eastAsia="Times New Roman" w:cs="Times New Roman"/>
          <w:i/>
          <w:lang w:eastAsia="en-GB"/>
        </w:rPr>
        <w:t xml:space="preserve">survey </w:t>
      </w:r>
      <w:r w:rsidRPr="00A2083A">
        <w:rPr>
          <w:rFonts w:eastAsia="Times New Roman" w:cs="Times New Roman"/>
          <w:i/>
          <w:lang w:eastAsia="en-GB"/>
        </w:rPr>
        <w:t>pilot</w:t>
      </w:r>
    </w:p>
    <w:p w:rsidR="00933D11" w:rsidRPr="00125EFD" w:rsidRDefault="00015078" w:rsidP="00C82EE0">
      <w:pPr>
        <w:spacing w:after="120"/>
        <w:rPr>
          <w:rFonts w:ascii="Calibri" w:hAnsi="Calibri"/>
        </w:rPr>
      </w:pPr>
      <w:r>
        <w:t xml:space="preserve">Prior to </w:t>
      </w:r>
      <w:r w:rsidR="002123D5">
        <w:t xml:space="preserve">being </w:t>
      </w:r>
      <w:r w:rsidRPr="00125EFD">
        <w:t>issue</w:t>
      </w:r>
      <w:r w:rsidR="002123D5" w:rsidRPr="00125EFD">
        <w:t>d,</w:t>
      </w:r>
      <w:r w:rsidRPr="00125EFD">
        <w:t xml:space="preserve"> </w:t>
      </w:r>
      <w:r w:rsidR="002123D5" w:rsidRPr="00125EFD">
        <w:t xml:space="preserve">Delphi </w:t>
      </w:r>
      <w:r w:rsidRPr="00125EFD">
        <w:t>s</w:t>
      </w:r>
      <w:r w:rsidR="001C71C1" w:rsidRPr="00125EFD">
        <w:t xml:space="preserve">urveys were piloted </w:t>
      </w:r>
      <w:r w:rsidR="00DE5865" w:rsidRPr="00125EFD">
        <w:rPr>
          <w:rFonts w:ascii="Calibri" w:hAnsi="Calibri"/>
        </w:rPr>
        <w:t xml:space="preserve">amongst a </w:t>
      </w:r>
      <w:r w:rsidR="002123D5" w:rsidRPr="00125EFD">
        <w:rPr>
          <w:rFonts w:ascii="Calibri" w:hAnsi="Calibri"/>
        </w:rPr>
        <w:t xml:space="preserve">small </w:t>
      </w:r>
      <w:r w:rsidR="00DE5865" w:rsidRPr="00125EFD">
        <w:rPr>
          <w:rFonts w:ascii="Calibri" w:hAnsi="Calibri"/>
        </w:rPr>
        <w:t xml:space="preserve">group of known </w:t>
      </w:r>
      <w:r w:rsidRPr="00125EFD">
        <w:rPr>
          <w:rFonts w:ascii="Calibri" w:hAnsi="Calibri"/>
        </w:rPr>
        <w:t xml:space="preserve">air quality management and </w:t>
      </w:r>
      <w:r w:rsidR="008E0EAE">
        <w:rPr>
          <w:rFonts w:ascii="Calibri" w:hAnsi="Calibri"/>
        </w:rPr>
        <w:t>p</w:t>
      </w:r>
      <w:r w:rsidRPr="00125EFD">
        <w:rPr>
          <w:rFonts w:ascii="Calibri" w:hAnsi="Calibri"/>
        </w:rPr>
        <w:t xml:space="preserve">ublic </w:t>
      </w:r>
      <w:r w:rsidR="008E0EAE">
        <w:rPr>
          <w:rFonts w:ascii="Calibri" w:hAnsi="Calibri"/>
        </w:rPr>
        <w:t>h</w:t>
      </w:r>
      <w:r w:rsidRPr="00125EFD">
        <w:rPr>
          <w:rFonts w:ascii="Calibri" w:hAnsi="Calibri"/>
        </w:rPr>
        <w:t xml:space="preserve">ealth </w:t>
      </w:r>
      <w:r w:rsidR="00DE5865" w:rsidRPr="00125EFD">
        <w:rPr>
          <w:rFonts w:ascii="Calibri" w:hAnsi="Calibri"/>
        </w:rPr>
        <w:t>experts from the University of West of England, Bristol City Council and South Gloucestershire Council</w:t>
      </w:r>
      <w:r w:rsidRPr="00125EFD">
        <w:rPr>
          <w:rFonts w:ascii="Calibri" w:hAnsi="Calibri"/>
        </w:rPr>
        <w:t>.</w:t>
      </w:r>
      <w:r w:rsidR="001C71C1" w:rsidRPr="00125EFD">
        <w:t xml:space="preserve"> </w:t>
      </w:r>
      <w:r w:rsidRPr="00125EFD">
        <w:t>T</w:t>
      </w:r>
      <w:r w:rsidR="002123D5" w:rsidRPr="00125EFD">
        <w:t>hese exercises helped</w:t>
      </w:r>
      <w:r w:rsidR="00125EFD" w:rsidRPr="00125EFD">
        <w:t xml:space="preserve"> </w:t>
      </w:r>
      <w:r w:rsidRPr="00125EFD">
        <w:t xml:space="preserve">assess the extent to which survey </w:t>
      </w:r>
      <w:r w:rsidR="0020748A" w:rsidRPr="00125EFD">
        <w:t xml:space="preserve">questions </w:t>
      </w:r>
      <w:r w:rsidR="001C71C1" w:rsidRPr="00125EFD">
        <w:t xml:space="preserve">were appropriate, concise and clear, and </w:t>
      </w:r>
      <w:r w:rsidR="00DE5865" w:rsidRPr="00125EFD">
        <w:t xml:space="preserve">any </w:t>
      </w:r>
      <w:r w:rsidR="001C71C1" w:rsidRPr="00125EFD">
        <w:t xml:space="preserve">supporting </w:t>
      </w:r>
      <w:r w:rsidR="00DE5865" w:rsidRPr="00125EFD">
        <w:t xml:space="preserve">information and </w:t>
      </w:r>
      <w:r w:rsidR="001C71C1" w:rsidRPr="00125EFD">
        <w:t xml:space="preserve">instructions were </w:t>
      </w:r>
      <w:r w:rsidR="00DE5865" w:rsidRPr="00125EFD">
        <w:t>meaningful and helpful</w:t>
      </w:r>
      <w:r w:rsidR="00125EFD" w:rsidRPr="00125EFD">
        <w:t xml:space="preserve">. For each survey, </w:t>
      </w:r>
      <w:r w:rsidRPr="00125EFD">
        <w:t xml:space="preserve">pilot group </w:t>
      </w:r>
      <w:r w:rsidR="00125EFD">
        <w:t xml:space="preserve">members </w:t>
      </w:r>
      <w:r w:rsidRPr="00125EFD">
        <w:t>were asked</w:t>
      </w:r>
      <w:r w:rsidR="00125EFD">
        <w:t xml:space="preserve"> </w:t>
      </w:r>
      <w:r w:rsidR="00933D11">
        <w:t>to provide feedback on</w:t>
      </w:r>
      <w:r w:rsidR="00125EFD">
        <w:t xml:space="preserve"> the helpfulness of</w:t>
      </w:r>
      <w:r w:rsidR="0020748A" w:rsidRPr="00125EFD">
        <w:rPr>
          <w:rFonts w:ascii="Calibri" w:hAnsi="Calibri"/>
        </w:rPr>
        <w:t xml:space="preserve"> survey completion instructions</w:t>
      </w:r>
      <w:r w:rsidR="00125EFD">
        <w:rPr>
          <w:rFonts w:ascii="Calibri" w:hAnsi="Calibri"/>
        </w:rPr>
        <w:t xml:space="preserve">, </w:t>
      </w:r>
      <w:r w:rsidR="00933D11">
        <w:rPr>
          <w:rFonts w:ascii="Calibri" w:hAnsi="Calibri"/>
        </w:rPr>
        <w:t xml:space="preserve">aspects of the survey that were liked and/or </w:t>
      </w:r>
      <w:r w:rsidR="00A370D8">
        <w:rPr>
          <w:rFonts w:ascii="Calibri" w:hAnsi="Calibri"/>
        </w:rPr>
        <w:t>dis</w:t>
      </w:r>
      <w:r w:rsidR="00125EFD">
        <w:rPr>
          <w:rFonts w:ascii="Calibri" w:hAnsi="Calibri"/>
        </w:rPr>
        <w:t>liked</w:t>
      </w:r>
      <w:r w:rsidR="00933D11">
        <w:rPr>
          <w:rFonts w:ascii="Calibri" w:hAnsi="Calibri"/>
        </w:rPr>
        <w:t>, question clarity, and survey</w:t>
      </w:r>
      <w:r w:rsidR="0020748A" w:rsidRPr="00125EFD">
        <w:rPr>
          <w:rFonts w:ascii="Calibri" w:hAnsi="Calibri"/>
        </w:rPr>
        <w:t xml:space="preserve"> </w:t>
      </w:r>
      <w:r w:rsidR="00933D11">
        <w:rPr>
          <w:rFonts w:ascii="Calibri" w:hAnsi="Calibri"/>
        </w:rPr>
        <w:t>completion time</w:t>
      </w:r>
      <w:r w:rsidR="00A370D8">
        <w:rPr>
          <w:rFonts w:ascii="Calibri" w:hAnsi="Calibri"/>
        </w:rPr>
        <w:t>. Surveys were refined to take account of the feedback received.</w:t>
      </w:r>
    </w:p>
    <w:p w:rsidR="005A25C5" w:rsidRPr="00125EFD" w:rsidRDefault="00743B65" w:rsidP="00125EFD">
      <w:pPr>
        <w:spacing w:after="120"/>
        <w:rPr>
          <w:rFonts w:eastAsia="Times New Roman" w:cs="Times New Roman"/>
          <w:i/>
          <w:lang w:eastAsia="en-GB"/>
        </w:rPr>
      </w:pPr>
      <w:r>
        <w:rPr>
          <w:rFonts w:eastAsia="Times New Roman" w:cs="Times New Roman"/>
          <w:i/>
          <w:lang w:eastAsia="en-GB"/>
        </w:rPr>
        <w:lastRenderedPageBreak/>
        <w:t>Delphi R</w:t>
      </w:r>
      <w:r w:rsidR="00F73800" w:rsidRPr="00125EFD">
        <w:rPr>
          <w:rFonts w:eastAsia="Times New Roman" w:cs="Times New Roman"/>
          <w:i/>
          <w:lang w:eastAsia="en-GB"/>
        </w:rPr>
        <w:t xml:space="preserve">ound 1 </w:t>
      </w:r>
    </w:p>
    <w:p w:rsidR="00375A49" w:rsidRPr="00853C5A" w:rsidRDefault="00781C56" w:rsidP="00125EFD">
      <w:pPr>
        <w:spacing w:after="120"/>
        <w:rPr>
          <w:color w:val="000000"/>
        </w:rPr>
      </w:pPr>
      <w:r w:rsidRPr="00125EFD">
        <w:rPr>
          <w:rFonts w:eastAsia="Times New Roman" w:cs="Times New Roman"/>
          <w:lang w:eastAsia="en-GB"/>
        </w:rPr>
        <w:t>Data</w:t>
      </w:r>
      <w:r w:rsidR="00B86DAA" w:rsidRPr="00125EFD">
        <w:rPr>
          <w:rFonts w:eastAsia="Times New Roman" w:cs="Times New Roman"/>
          <w:lang w:eastAsia="en-GB"/>
        </w:rPr>
        <w:t xml:space="preserve"> were collected through</w:t>
      </w:r>
      <w:r w:rsidR="00A20743" w:rsidRPr="00125EFD">
        <w:rPr>
          <w:rFonts w:eastAsia="Times New Roman" w:cs="Times New Roman"/>
          <w:lang w:eastAsia="en-GB"/>
        </w:rPr>
        <w:t xml:space="preserve"> </w:t>
      </w:r>
      <w:proofErr w:type="gramStart"/>
      <w:r w:rsidR="00A20743" w:rsidRPr="00125EFD">
        <w:rPr>
          <w:rFonts w:eastAsia="Times New Roman" w:cs="Times New Roman"/>
          <w:lang w:eastAsia="en-GB"/>
        </w:rPr>
        <w:t>a</w:t>
      </w:r>
      <w:r w:rsidR="00805A16">
        <w:rPr>
          <w:rFonts w:eastAsia="Times New Roman" w:cs="Times New Roman"/>
          <w:lang w:eastAsia="en-GB"/>
        </w:rPr>
        <w:t xml:space="preserve">n </w:t>
      </w:r>
      <w:r w:rsidR="003172A6" w:rsidRPr="00853C5A">
        <w:rPr>
          <w:rFonts w:eastAsia="Times New Roman" w:cs="Times New Roman"/>
          <w:lang w:eastAsia="en-GB"/>
        </w:rPr>
        <w:t>English</w:t>
      </w:r>
      <w:proofErr w:type="gramEnd"/>
      <w:r w:rsidR="003172A6" w:rsidRPr="00853C5A">
        <w:rPr>
          <w:rFonts w:eastAsia="Times New Roman" w:cs="Times New Roman"/>
          <w:lang w:eastAsia="en-GB"/>
        </w:rPr>
        <w:t xml:space="preserve">-language </w:t>
      </w:r>
      <w:r w:rsidR="00A35D3B" w:rsidRPr="00853C5A">
        <w:rPr>
          <w:rFonts w:eastAsia="Times New Roman" w:cs="Times New Roman"/>
          <w:lang w:eastAsia="en-GB"/>
        </w:rPr>
        <w:t xml:space="preserve">online survey </w:t>
      </w:r>
      <w:r w:rsidR="00B86DAA" w:rsidRPr="00853C5A">
        <w:rPr>
          <w:rFonts w:eastAsia="Times New Roman" w:cs="Times New Roman"/>
          <w:lang w:eastAsia="en-GB"/>
        </w:rPr>
        <w:t>designed using Bristol Online Survey software</w:t>
      </w:r>
      <w:r w:rsidR="00C81367">
        <w:rPr>
          <w:rFonts w:eastAsia="Times New Roman" w:cs="Times New Roman"/>
          <w:lang w:eastAsia="en-GB"/>
        </w:rPr>
        <w:t xml:space="preserve"> (</w:t>
      </w:r>
      <w:hyperlink r:id="rId9" w:history="1">
        <w:r w:rsidR="007F74FC" w:rsidRPr="00754C02">
          <w:rPr>
            <w:rStyle w:val="Hyperlink"/>
            <w:rFonts w:eastAsia="Times New Roman" w:cs="Times New Roman"/>
            <w:lang w:eastAsia="en-GB"/>
          </w:rPr>
          <w:t>www.onlinesurveys.ac.uk</w:t>
        </w:r>
      </w:hyperlink>
      <w:r w:rsidR="007F74FC" w:rsidRPr="007F74FC">
        <w:rPr>
          <w:rFonts w:eastAsia="Times New Roman" w:cs="Times New Roman"/>
          <w:lang w:eastAsia="en-GB"/>
        </w:rPr>
        <w:t>)</w:t>
      </w:r>
      <w:r w:rsidR="00FC1497">
        <w:rPr>
          <w:rFonts w:eastAsia="Times New Roman" w:cs="Times New Roman"/>
          <w:lang w:eastAsia="en-GB"/>
        </w:rPr>
        <w:t xml:space="preserve"> </w:t>
      </w:r>
      <w:r w:rsidR="00C81367">
        <w:rPr>
          <w:rFonts w:eastAsia="Times New Roman" w:cs="Times New Roman"/>
          <w:lang w:eastAsia="en-GB"/>
        </w:rPr>
        <w:t xml:space="preserve">and </w:t>
      </w:r>
      <w:r w:rsidR="00A63EBA">
        <w:rPr>
          <w:rFonts w:eastAsia="Times New Roman" w:cs="Times New Roman"/>
          <w:lang w:eastAsia="en-GB"/>
        </w:rPr>
        <w:t xml:space="preserve">distributed </w:t>
      </w:r>
      <w:r w:rsidR="00C81367">
        <w:rPr>
          <w:rFonts w:eastAsia="Times New Roman" w:cs="Times New Roman"/>
          <w:lang w:eastAsia="en-GB"/>
        </w:rPr>
        <w:t>via personalised e-mail</w:t>
      </w:r>
      <w:r w:rsidR="00A20743" w:rsidRPr="00853C5A">
        <w:rPr>
          <w:rFonts w:eastAsia="Times New Roman" w:cs="Times New Roman"/>
          <w:lang w:eastAsia="en-GB"/>
        </w:rPr>
        <w:t>.</w:t>
      </w:r>
      <w:r w:rsidR="00375A49" w:rsidRPr="00853C5A">
        <w:rPr>
          <w:rFonts w:eastAsia="Times New Roman" w:cs="Times New Roman"/>
          <w:lang w:eastAsia="en-GB"/>
        </w:rPr>
        <w:t xml:space="preserve"> </w:t>
      </w:r>
      <w:r w:rsidR="00FE7A46" w:rsidRPr="00853C5A">
        <w:t xml:space="preserve">Panellists </w:t>
      </w:r>
      <w:r w:rsidR="00FE7A46">
        <w:t xml:space="preserve">were given </w:t>
      </w:r>
      <w:r w:rsidR="00FE7A46" w:rsidRPr="00853C5A">
        <w:t>three weeks to complete</w:t>
      </w:r>
      <w:r w:rsidR="00FE7A46">
        <w:t xml:space="preserve"> it</w:t>
      </w:r>
      <w:r w:rsidR="00FE7A46" w:rsidRPr="00853C5A">
        <w:t>.</w:t>
      </w:r>
      <w:r w:rsidR="00FE7A46">
        <w:t xml:space="preserve"> </w:t>
      </w:r>
      <w:r w:rsidR="005A024D">
        <w:rPr>
          <w:rFonts w:eastAsia="Times New Roman" w:cs="Times New Roman"/>
          <w:lang w:eastAsia="en-GB"/>
        </w:rPr>
        <w:t xml:space="preserve">As recommended by </w:t>
      </w:r>
      <w:r w:rsidR="005A024D" w:rsidRPr="00E40621">
        <w:rPr>
          <w:rFonts w:eastAsia="Times New Roman" w:cs="Times New Roman"/>
          <w:color w:val="00B050"/>
          <w:lang w:eastAsia="en-GB"/>
        </w:rPr>
        <w:t xml:space="preserve">Schmidt </w:t>
      </w:r>
      <w:r w:rsidR="005A024D">
        <w:rPr>
          <w:rFonts w:eastAsia="Times New Roman" w:cs="Times New Roman"/>
          <w:lang w:eastAsia="en-GB"/>
        </w:rPr>
        <w:t>(</w:t>
      </w:r>
      <w:r w:rsidR="005A024D" w:rsidRPr="005A024D">
        <w:rPr>
          <w:rFonts w:eastAsia="Times New Roman" w:cs="Times New Roman"/>
          <w:color w:val="00B050"/>
          <w:lang w:eastAsia="en-GB"/>
        </w:rPr>
        <w:t>1997</w:t>
      </w:r>
      <w:r w:rsidR="005A024D">
        <w:rPr>
          <w:rFonts w:eastAsia="Times New Roman" w:cs="Times New Roman"/>
          <w:lang w:eastAsia="en-GB"/>
        </w:rPr>
        <w:t>), t</w:t>
      </w:r>
      <w:r w:rsidR="00071875" w:rsidRPr="00853C5A">
        <w:rPr>
          <w:rFonts w:eastAsia="Times New Roman" w:cs="Times New Roman"/>
          <w:lang w:eastAsia="en-GB"/>
        </w:rPr>
        <w:t>o maximise chance</w:t>
      </w:r>
      <w:r w:rsidR="00CD64B0" w:rsidRPr="00853C5A">
        <w:rPr>
          <w:rFonts w:eastAsia="Times New Roman" w:cs="Times New Roman"/>
          <w:lang w:eastAsia="en-GB"/>
        </w:rPr>
        <w:t>s</w:t>
      </w:r>
      <w:r w:rsidR="00071875" w:rsidRPr="00853C5A">
        <w:rPr>
          <w:rFonts w:eastAsia="Times New Roman" w:cs="Times New Roman"/>
          <w:lang w:eastAsia="en-GB"/>
        </w:rPr>
        <w:t xml:space="preserve"> of unearthing important and contextualised issues not captured in </w:t>
      </w:r>
      <w:r w:rsidR="00CD64B0" w:rsidRPr="00853C5A">
        <w:rPr>
          <w:rFonts w:eastAsia="Times New Roman" w:cs="Times New Roman"/>
          <w:lang w:eastAsia="en-GB"/>
        </w:rPr>
        <w:t xml:space="preserve">the </w:t>
      </w:r>
      <w:r w:rsidR="00071875" w:rsidRPr="00853C5A">
        <w:rPr>
          <w:rFonts w:eastAsia="Times New Roman" w:cs="Times New Roman"/>
          <w:lang w:eastAsia="en-GB"/>
        </w:rPr>
        <w:t>literature</w:t>
      </w:r>
      <w:r w:rsidR="00375A49" w:rsidRPr="00853C5A">
        <w:rPr>
          <w:rFonts w:eastAsia="Times New Roman" w:cs="Times New Roman"/>
          <w:lang w:eastAsia="en-GB"/>
        </w:rPr>
        <w:t>, open-ended</w:t>
      </w:r>
      <w:r w:rsidR="00A20743" w:rsidRPr="00853C5A">
        <w:rPr>
          <w:rFonts w:eastAsia="Times New Roman" w:cs="Times New Roman"/>
          <w:lang w:eastAsia="en-GB"/>
        </w:rPr>
        <w:t xml:space="preserve"> questions were asked: 1)</w:t>
      </w:r>
      <w:r w:rsidR="00A20743" w:rsidRPr="00853C5A">
        <w:rPr>
          <w:rFonts w:cs="Arial"/>
          <w:color w:val="000000"/>
        </w:rPr>
        <w:t xml:space="preserve"> </w:t>
      </w:r>
      <w:proofErr w:type="gramStart"/>
      <w:r w:rsidR="00A20743" w:rsidRPr="00853C5A">
        <w:rPr>
          <w:rFonts w:cs="Arial"/>
          <w:i/>
          <w:color w:val="000000"/>
        </w:rPr>
        <w:t>What</w:t>
      </w:r>
      <w:proofErr w:type="gramEnd"/>
      <w:r w:rsidR="00A20743" w:rsidRPr="00853C5A">
        <w:rPr>
          <w:rFonts w:cs="Arial"/>
          <w:i/>
          <w:color w:val="000000"/>
        </w:rPr>
        <w:t xml:space="preserve"> is the role of </w:t>
      </w:r>
      <w:r w:rsidR="008E0EAE">
        <w:rPr>
          <w:rFonts w:cs="Arial"/>
          <w:i/>
          <w:color w:val="000000"/>
        </w:rPr>
        <w:t>p</w:t>
      </w:r>
      <w:r w:rsidR="00A20743" w:rsidRPr="00853C5A">
        <w:rPr>
          <w:rFonts w:cs="Arial"/>
          <w:i/>
          <w:color w:val="000000"/>
        </w:rPr>
        <w:t xml:space="preserve">ublic </w:t>
      </w:r>
      <w:r w:rsidR="008E0EAE">
        <w:rPr>
          <w:rFonts w:cs="Arial"/>
          <w:i/>
          <w:color w:val="000000"/>
        </w:rPr>
        <w:t>h</w:t>
      </w:r>
      <w:r w:rsidR="00A20743" w:rsidRPr="00853C5A">
        <w:rPr>
          <w:rFonts w:cs="Arial"/>
          <w:i/>
          <w:color w:val="000000"/>
        </w:rPr>
        <w:t xml:space="preserve">ealth </w:t>
      </w:r>
      <w:r w:rsidR="005A024D">
        <w:rPr>
          <w:rFonts w:cs="Arial"/>
          <w:i/>
          <w:color w:val="000000"/>
        </w:rPr>
        <w:t xml:space="preserve">bodies and specialists </w:t>
      </w:r>
      <w:r w:rsidR="00A20743" w:rsidRPr="00853C5A">
        <w:rPr>
          <w:rFonts w:cs="Arial"/>
          <w:i/>
          <w:color w:val="000000"/>
        </w:rPr>
        <w:t>in LAQM in Wales?</w:t>
      </w:r>
      <w:r w:rsidR="00A20743" w:rsidRPr="00853C5A">
        <w:rPr>
          <w:rFonts w:eastAsia="Times New Roman" w:cs="Times New Roman"/>
          <w:i/>
          <w:lang w:eastAsia="en-GB"/>
        </w:rPr>
        <w:t xml:space="preserve"> </w:t>
      </w:r>
      <w:r w:rsidR="00A20743" w:rsidRPr="00853C5A">
        <w:rPr>
          <w:rFonts w:eastAsia="Times New Roman" w:cs="Times New Roman"/>
          <w:lang w:eastAsia="en-GB"/>
        </w:rPr>
        <w:t>2)</w:t>
      </w:r>
      <w:r w:rsidR="00A20743" w:rsidRPr="00853C5A">
        <w:rPr>
          <w:color w:val="000000"/>
        </w:rPr>
        <w:t xml:space="preserve"> </w:t>
      </w:r>
      <w:r w:rsidR="00A20743" w:rsidRPr="00853C5A">
        <w:rPr>
          <w:i/>
          <w:color w:val="000000"/>
        </w:rPr>
        <w:t xml:space="preserve">What opportunities are there to improve </w:t>
      </w:r>
      <w:r w:rsidR="009B7C43">
        <w:rPr>
          <w:i/>
          <w:color w:val="000000"/>
        </w:rPr>
        <w:t>p</w:t>
      </w:r>
      <w:r w:rsidR="00A20743" w:rsidRPr="00853C5A">
        <w:rPr>
          <w:i/>
          <w:color w:val="000000"/>
        </w:rPr>
        <w:t xml:space="preserve">ublic </w:t>
      </w:r>
      <w:r w:rsidR="009B7C43">
        <w:rPr>
          <w:i/>
          <w:color w:val="000000"/>
        </w:rPr>
        <w:t>h</w:t>
      </w:r>
      <w:r w:rsidR="00A20743" w:rsidRPr="00853C5A">
        <w:rPr>
          <w:i/>
          <w:color w:val="000000"/>
        </w:rPr>
        <w:t>ealth integration and collaboration?</w:t>
      </w:r>
      <w:r w:rsidR="00A20743" w:rsidRPr="00853C5A">
        <w:rPr>
          <w:rFonts w:eastAsia="Times New Roman" w:cs="Times New Roman"/>
          <w:i/>
          <w:lang w:eastAsia="en-GB"/>
        </w:rPr>
        <w:t xml:space="preserve"> </w:t>
      </w:r>
      <w:r w:rsidR="00A20743" w:rsidRPr="00853C5A">
        <w:rPr>
          <w:rFonts w:eastAsia="Times New Roman" w:cs="Times New Roman"/>
          <w:lang w:eastAsia="en-GB"/>
        </w:rPr>
        <w:t xml:space="preserve">3) </w:t>
      </w:r>
      <w:r w:rsidR="00A20743" w:rsidRPr="00853C5A">
        <w:rPr>
          <w:rFonts w:eastAsia="Times New Roman" w:cs="Times New Roman"/>
          <w:i/>
          <w:lang w:eastAsia="en-GB"/>
        </w:rPr>
        <w:t xml:space="preserve">What </w:t>
      </w:r>
      <w:r w:rsidR="00A20743" w:rsidRPr="00853C5A">
        <w:rPr>
          <w:i/>
          <w:color w:val="000000"/>
        </w:rPr>
        <w:t>barriers stand in the way?</w:t>
      </w:r>
      <w:r w:rsidR="00A20743" w:rsidRPr="00853C5A">
        <w:rPr>
          <w:rFonts w:eastAsia="Times New Roman" w:cs="Times New Roman"/>
          <w:lang w:eastAsia="en-GB"/>
        </w:rPr>
        <w:t xml:space="preserve"> 4) </w:t>
      </w:r>
      <w:r w:rsidR="00A20743" w:rsidRPr="00853C5A">
        <w:rPr>
          <w:rFonts w:eastAsia="Times New Roman" w:cs="Times New Roman"/>
          <w:i/>
          <w:lang w:eastAsia="en-GB"/>
        </w:rPr>
        <w:t>W</w:t>
      </w:r>
      <w:r w:rsidR="00A20743" w:rsidRPr="00853C5A">
        <w:rPr>
          <w:i/>
          <w:color w:val="000000"/>
        </w:rPr>
        <w:t>hat added value could result</w:t>
      </w:r>
      <w:r w:rsidR="005A024D">
        <w:rPr>
          <w:i/>
          <w:color w:val="000000"/>
        </w:rPr>
        <w:t xml:space="preserve">? </w:t>
      </w:r>
      <w:r w:rsidR="00B86DAA" w:rsidRPr="00853C5A">
        <w:rPr>
          <w:color w:val="000000"/>
        </w:rPr>
        <w:t>P</w:t>
      </w:r>
      <w:r w:rsidR="00A20743" w:rsidRPr="00853C5A">
        <w:rPr>
          <w:color w:val="000000"/>
        </w:rPr>
        <w:t xml:space="preserve">anellists </w:t>
      </w:r>
      <w:r w:rsidR="00B86DAA" w:rsidRPr="00853C5A">
        <w:rPr>
          <w:color w:val="000000"/>
        </w:rPr>
        <w:t xml:space="preserve">were asked to </w:t>
      </w:r>
      <w:r w:rsidR="00A20743" w:rsidRPr="00853C5A">
        <w:rPr>
          <w:color w:val="000000"/>
        </w:rPr>
        <w:t>provide</w:t>
      </w:r>
      <w:r w:rsidR="00B22E00" w:rsidRPr="00853C5A">
        <w:rPr>
          <w:rFonts w:eastAsia="Times New Roman" w:cs="Times New Roman"/>
          <w:lang w:eastAsia="en-GB"/>
        </w:rPr>
        <w:t xml:space="preserve"> at least three</w:t>
      </w:r>
      <w:r w:rsidR="00FE7A46">
        <w:rPr>
          <w:rFonts w:eastAsia="Times New Roman" w:cs="Times New Roman"/>
          <w:lang w:eastAsia="en-GB"/>
        </w:rPr>
        <w:t xml:space="preserve"> ideas/</w:t>
      </w:r>
      <w:r w:rsidR="00B22E00" w:rsidRPr="00853C5A">
        <w:rPr>
          <w:rFonts w:eastAsia="Times New Roman" w:cs="Times New Roman"/>
          <w:lang w:eastAsia="en-GB"/>
        </w:rPr>
        <w:t>opinions</w:t>
      </w:r>
      <w:r w:rsidR="00375A49" w:rsidRPr="00853C5A">
        <w:rPr>
          <w:rFonts w:eastAsia="Times New Roman" w:cs="Times New Roman"/>
          <w:lang w:eastAsia="en-GB"/>
        </w:rPr>
        <w:t xml:space="preserve"> </w:t>
      </w:r>
      <w:r w:rsidR="00B86DAA" w:rsidRPr="00853C5A">
        <w:rPr>
          <w:rFonts w:eastAsia="Times New Roman" w:cs="Times New Roman"/>
          <w:lang w:eastAsia="en-GB"/>
        </w:rPr>
        <w:t xml:space="preserve">in response to each question </w:t>
      </w:r>
      <w:r w:rsidR="00375A49" w:rsidRPr="00853C5A">
        <w:rPr>
          <w:rFonts w:eastAsia="Times New Roman" w:cs="Times New Roman"/>
          <w:lang w:eastAsia="en-GB"/>
        </w:rPr>
        <w:t xml:space="preserve">along with a </w:t>
      </w:r>
      <w:r w:rsidR="006277FB" w:rsidRPr="00853C5A">
        <w:rPr>
          <w:rFonts w:eastAsia="Times New Roman" w:cs="Times New Roman"/>
          <w:lang w:eastAsia="en-GB"/>
        </w:rPr>
        <w:t xml:space="preserve">one-sentence </w:t>
      </w:r>
      <w:r w:rsidR="00AC3F7F" w:rsidRPr="00853C5A">
        <w:rPr>
          <w:color w:val="000000"/>
        </w:rPr>
        <w:t>explanation.</w:t>
      </w:r>
      <w:r w:rsidR="00B86DAA" w:rsidRPr="00853C5A">
        <w:rPr>
          <w:color w:val="000000"/>
        </w:rPr>
        <w:t xml:space="preserve"> </w:t>
      </w:r>
      <w:r w:rsidR="007F74FC">
        <w:rPr>
          <w:color w:val="000000"/>
        </w:rPr>
        <w:t>C</w:t>
      </w:r>
      <w:r w:rsidR="00375A49" w:rsidRPr="00853C5A">
        <w:rPr>
          <w:color w:val="000000"/>
        </w:rPr>
        <w:t xml:space="preserve">losed questions </w:t>
      </w:r>
      <w:r w:rsidR="007F74FC">
        <w:rPr>
          <w:color w:val="000000"/>
        </w:rPr>
        <w:t xml:space="preserve">were asked </w:t>
      </w:r>
      <w:r w:rsidR="00B86DAA" w:rsidRPr="00853C5A">
        <w:rPr>
          <w:color w:val="000000"/>
        </w:rPr>
        <w:t>about</w:t>
      </w:r>
      <w:r w:rsidR="00375A49" w:rsidRPr="00853C5A">
        <w:rPr>
          <w:color w:val="000000"/>
        </w:rPr>
        <w:t xml:space="preserve"> demographics, employment, expertise and experience</w:t>
      </w:r>
      <w:r w:rsidR="00375A49" w:rsidRPr="00853C5A">
        <w:t xml:space="preserve"> (</w:t>
      </w:r>
      <w:r w:rsidR="00375A49" w:rsidRPr="00FE7A46">
        <w:rPr>
          <w:rFonts w:eastAsia="Times New Roman" w:cs="Times New Roman"/>
          <w:color w:val="00B050"/>
          <w:lang w:eastAsia="en-GB"/>
        </w:rPr>
        <w:t xml:space="preserve">Day and </w:t>
      </w:r>
      <w:proofErr w:type="spellStart"/>
      <w:r w:rsidR="00375A49" w:rsidRPr="00FE7A46">
        <w:rPr>
          <w:rFonts w:eastAsia="Times New Roman" w:cs="Times New Roman"/>
          <w:color w:val="00B050"/>
          <w:lang w:eastAsia="en-GB"/>
        </w:rPr>
        <w:t>Bobeva</w:t>
      </w:r>
      <w:proofErr w:type="spellEnd"/>
      <w:r w:rsidR="00375A49" w:rsidRPr="00FE7A46">
        <w:rPr>
          <w:rFonts w:eastAsia="Times New Roman" w:cs="Times New Roman"/>
          <w:color w:val="00B050"/>
          <w:lang w:eastAsia="en-GB"/>
        </w:rPr>
        <w:t>, 2005</w:t>
      </w:r>
      <w:r w:rsidR="00375A49" w:rsidRPr="00853C5A">
        <w:t xml:space="preserve">). </w:t>
      </w:r>
    </w:p>
    <w:p w:rsidR="00F41631" w:rsidRPr="00853C5A" w:rsidRDefault="007F74FC" w:rsidP="00853C5A">
      <w:pPr>
        <w:rPr>
          <w:rFonts w:eastAsia="Times New Roman" w:cs="Times New Roman"/>
          <w:lang w:eastAsia="en-GB"/>
        </w:rPr>
      </w:pPr>
      <w:r>
        <w:rPr>
          <w:color w:val="000000"/>
        </w:rPr>
        <w:t>I</w:t>
      </w:r>
      <w:r w:rsidR="006A1243" w:rsidRPr="00853C5A">
        <w:rPr>
          <w:color w:val="000000"/>
        </w:rPr>
        <w:t xml:space="preserve">ndividual-level qualitative data </w:t>
      </w:r>
      <w:r w:rsidR="00602321" w:rsidRPr="00853C5A">
        <w:rPr>
          <w:color w:val="000000"/>
        </w:rPr>
        <w:t xml:space="preserve">were </w:t>
      </w:r>
      <w:r w:rsidR="006A1243" w:rsidRPr="00853C5A">
        <w:rPr>
          <w:color w:val="000000"/>
        </w:rPr>
        <w:t>subject to</w:t>
      </w:r>
      <w:r w:rsidR="00476EB6" w:rsidRPr="00853C5A">
        <w:rPr>
          <w:rFonts w:eastAsia="Times New Roman" w:cs="Times New Roman"/>
          <w:lang w:eastAsia="en-GB"/>
        </w:rPr>
        <w:t xml:space="preserve"> </w:t>
      </w:r>
      <w:r w:rsidR="006A1243" w:rsidRPr="00853C5A">
        <w:rPr>
          <w:rFonts w:eastAsia="Times New Roman" w:cs="Times New Roman"/>
          <w:lang w:eastAsia="en-GB"/>
        </w:rPr>
        <w:t xml:space="preserve">thematic </w:t>
      </w:r>
      <w:r w:rsidR="00726FEB" w:rsidRPr="00853C5A">
        <w:rPr>
          <w:rFonts w:eastAsia="Times New Roman" w:cs="Times New Roman"/>
          <w:lang w:eastAsia="en-GB"/>
        </w:rPr>
        <w:t>analysis (</w:t>
      </w:r>
      <w:r w:rsidR="002001C1" w:rsidRPr="007A4598">
        <w:rPr>
          <w:rFonts w:eastAsia="Times New Roman" w:cs="Times New Roman"/>
          <w:color w:val="00B050"/>
          <w:lang w:eastAsia="en-GB"/>
        </w:rPr>
        <w:t xml:space="preserve">Keeney </w:t>
      </w:r>
      <w:r w:rsidR="002001C1" w:rsidRPr="007A4598">
        <w:rPr>
          <w:rFonts w:eastAsia="Times New Roman" w:cs="Times New Roman"/>
          <w:i/>
          <w:color w:val="00B050"/>
          <w:lang w:eastAsia="en-GB"/>
        </w:rPr>
        <w:t>et al</w:t>
      </w:r>
      <w:r w:rsidR="002001C1" w:rsidRPr="007A4598">
        <w:rPr>
          <w:rFonts w:eastAsia="Times New Roman" w:cs="Times New Roman"/>
          <w:color w:val="00B050"/>
          <w:lang w:eastAsia="en-GB"/>
        </w:rPr>
        <w:t>., 2011</w:t>
      </w:r>
      <w:r w:rsidR="002001C1">
        <w:rPr>
          <w:rFonts w:eastAsia="Times New Roman" w:cs="Times New Roman"/>
          <w:color w:val="00B050"/>
          <w:lang w:eastAsia="en-GB"/>
        </w:rPr>
        <w:t xml:space="preserve">; </w:t>
      </w:r>
      <w:r w:rsidR="00E40621" w:rsidRPr="007A4598">
        <w:rPr>
          <w:color w:val="00B050"/>
        </w:rPr>
        <w:t>Braun and Clarke, 2006</w:t>
      </w:r>
      <w:r w:rsidR="00726FEB" w:rsidRPr="00853C5A">
        <w:rPr>
          <w:rFonts w:eastAsia="Times New Roman" w:cs="Times New Roman"/>
          <w:lang w:eastAsia="en-GB"/>
        </w:rPr>
        <w:t xml:space="preserve">). </w:t>
      </w:r>
      <w:r w:rsidR="00602321" w:rsidRPr="00853C5A">
        <w:rPr>
          <w:rFonts w:eastAsia="Times New Roman" w:cs="Times New Roman"/>
          <w:lang w:eastAsia="en-GB"/>
        </w:rPr>
        <w:t>T</w:t>
      </w:r>
      <w:r>
        <w:rPr>
          <w:rFonts w:eastAsia="Times New Roman" w:cs="Times New Roman"/>
          <w:lang w:eastAsia="en-GB"/>
        </w:rPr>
        <w:t>his</w:t>
      </w:r>
      <w:r w:rsidR="00C05F84" w:rsidRPr="00853C5A">
        <w:rPr>
          <w:rFonts w:eastAsia="Times New Roman" w:cs="Times New Roman"/>
          <w:lang w:eastAsia="en-GB"/>
        </w:rPr>
        <w:t xml:space="preserve"> recursive staged </w:t>
      </w:r>
      <w:r w:rsidR="00C05F84" w:rsidRPr="00853C5A">
        <w:rPr>
          <w:bCs/>
        </w:rPr>
        <w:t>approach</w:t>
      </w:r>
      <w:r w:rsidR="00602321" w:rsidRPr="00853C5A">
        <w:rPr>
          <w:bCs/>
        </w:rPr>
        <w:t xml:space="preserve"> made it</w:t>
      </w:r>
      <w:r w:rsidR="00C05F84" w:rsidRPr="00853C5A">
        <w:rPr>
          <w:bCs/>
        </w:rPr>
        <w:t xml:space="preserve"> possible to </w:t>
      </w:r>
      <w:r>
        <w:rPr>
          <w:bCs/>
        </w:rPr>
        <w:t>group and theme</w:t>
      </w:r>
      <w:r w:rsidR="00B340D9" w:rsidRPr="00853C5A">
        <w:rPr>
          <w:bCs/>
        </w:rPr>
        <w:t xml:space="preserve"> </w:t>
      </w:r>
      <w:r w:rsidR="00AD34BA" w:rsidRPr="00853C5A">
        <w:rPr>
          <w:bCs/>
        </w:rPr>
        <w:t>data</w:t>
      </w:r>
      <w:r w:rsidR="00602321" w:rsidRPr="00853C5A">
        <w:rPr>
          <w:rFonts w:eastAsia="Times New Roman" w:cs="Times New Roman"/>
          <w:lang w:eastAsia="en-GB"/>
        </w:rPr>
        <w:t xml:space="preserve">, </w:t>
      </w:r>
      <w:r w:rsidR="00B42F4E">
        <w:rPr>
          <w:rFonts w:eastAsia="Times New Roman" w:cs="Times New Roman"/>
          <w:lang w:eastAsia="en-GB"/>
        </w:rPr>
        <w:t xml:space="preserve">combining </w:t>
      </w:r>
      <w:r w:rsidR="00602321" w:rsidRPr="00853C5A">
        <w:rPr>
          <w:rFonts w:eastAsia="Times New Roman" w:cs="Times New Roman"/>
          <w:lang w:eastAsia="en-GB"/>
        </w:rPr>
        <w:t xml:space="preserve">sufficiently similar </w:t>
      </w:r>
      <w:r w:rsidR="007A4598">
        <w:rPr>
          <w:rFonts w:eastAsia="Times New Roman" w:cs="Times New Roman"/>
          <w:lang w:eastAsia="en-GB"/>
        </w:rPr>
        <w:t>ideas</w:t>
      </w:r>
      <w:r>
        <w:rPr>
          <w:rFonts w:eastAsia="Times New Roman" w:cs="Times New Roman"/>
          <w:lang w:eastAsia="en-GB"/>
        </w:rPr>
        <w:t>/opinions</w:t>
      </w:r>
      <w:r w:rsidR="007A4598">
        <w:rPr>
          <w:rFonts w:eastAsia="Times New Roman" w:cs="Times New Roman"/>
          <w:lang w:eastAsia="en-GB"/>
        </w:rPr>
        <w:t xml:space="preserve"> (referred to </w:t>
      </w:r>
      <w:r w:rsidR="00A36187">
        <w:rPr>
          <w:rFonts w:eastAsia="Times New Roman" w:cs="Times New Roman"/>
          <w:lang w:eastAsia="en-GB"/>
        </w:rPr>
        <w:t xml:space="preserve">from here on </w:t>
      </w:r>
      <w:r w:rsidR="007A4598">
        <w:rPr>
          <w:rFonts w:eastAsia="Times New Roman" w:cs="Times New Roman"/>
          <w:lang w:eastAsia="en-GB"/>
        </w:rPr>
        <w:t xml:space="preserve">as </w:t>
      </w:r>
      <w:r w:rsidR="00A36187">
        <w:rPr>
          <w:rFonts w:eastAsia="Times New Roman" w:cs="Times New Roman"/>
          <w:lang w:eastAsia="en-GB"/>
        </w:rPr>
        <w:t>‘</w:t>
      </w:r>
      <w:r w:rsidR="00602321" w:rsidRPr="00853C5A">
        <w:rPr>
          <w:rFonts w:eastAsia="Times New Roman" w:cs="Times New Roman"/>
          <w:lang w:eastAsia="en-GB"/>
        </w:rPr>
        <w:t>items</w:t>
      </w:r>
      <w:r w:rsidR="00A36187">
        <w:rPr>
          <w:rFonts w:eastAsia="Times New Roman" w:cs="Times New Roman"/>
          <w:lang w:eastAsia="en-GB"/>
        </w:rPr>
        <w:t>’</w:t>
      </w:r>
      <w:r w:rsidR="007A4598">
        <w:rPr>
          <w:rFonts w:eastAsia="Times New Roman" w:cs="Times New Roman"/>
          <w:lang w:eastAsia="en-GB"/>
        </w:rPr>
        <w:t>)</w:t>
      </w:r>
      <w:r w:rsidR="00C05F84" w:rsidRPr="00853C5A">
        <w:rPr>
          <w:rFonts w:eastAsia="Times New Roman" w:cs="Times New Roman"/>
          <w:lang w:eastAsia="en-GB"/>
        </w:rPr>
        <w:t xml:space="preserve"> into as </w:t>
      </w:r>
      <w:r w:rsidR="00CD64B0" w:rsidRPr="00853C5A">
        <w:rPr>
          <w:rFonts w:eastAsia="Times New Roman" w:cs="Times New Roman"/>
          <w:lang w:eastAsia="en-GB"/>
        </w:rPr>
        <w:t>few</w:t>
      </w:r>
      <w:r w:rsidR="00C05F84" w:rsidRPr="00853C5A">
        <w:rPr>
          <w:rFonts w:eastAsia="Times New Roman" w:cs="Times New Roman"/>
          <w:lang w:eastAsia="en-GB"/>
        </w:rPr>
        <w:t xml:space="preserve"> as possibl</w:t>
      </w:r>
      <w:r w:rsidR="00602321" w:rsidRPr="00853C5A">
        <w:rPr>
          <w:rFonts w:eastAsia="Times New Roman" w:cs="Times New Roman"/>
          <w:lang w:eastAsia="en-GB"/>
        </w:rPr>
        <w:t xml:space="preserve">e without changing meanings </w:t>
      </w:r>
      <w:r w:rsidR="00C05F84" w:rsidRPr="00853C5A">
        <w:rPr>
          <w:rFonts w:eastAsia="Times New Roman" w:cs="Times New Roman"/>
          <w:lang w:eastAsia="en-GB"/>
        </w:rPr>
        <w:t>or losing information (</w:t>
      </w:r>
      <w:r w:rsidR="00E40621">
        <w:rPr>
          <w:bCs/>
          <w:color w:val="00B050"/>
        </w:rPr>
        <w:t xml:space="preserve">Braun and Clarke, </w:t>
      </w:r>
      <w:r w:rsidR="00E40621" w:rsidRPr="00853C5A">
        <w:rPr>
          <w:bCs/>
          <w:color w:val="00B050"/>
        </w:rPr>
        <w:t>2006</w:t>
      </w:r>
      <w:r w:rsidR="00E40621">
        <w:rPr>
          <w:bCs/>
          <w:color w:val="00B050"/>
        </w:rPr>
        <w:t xml:space="preserve">; </w:t>
      </w:r>
      <w:proofErr w:type="spellStart"/>
      <w:r w:rsidR="007A4598" w:rsidRPr="007A4598">
        <w:rPr>
          <w:bCs/>
          <w:color w:val="00B050"/>
        </w:rPr>
        <w:t>Denscombe</w:t>
      </w:r>
      <w:proofErr w:type="spellEnd"/>
      <w:r w:rsidR="007A4598" w:rsidRPr="007A4598">
        <w:rPr>
          <w:bCs/>
          <w:color w:val="00B050"/>
        </w:rPr>
        <w:t xml:space="preserve">, </w:t>
      </w:r>
      <w:r w:rsidR="00E40621">
        <w:rPr>
          <w:bCs/>
          <w:color w:val="00B050"/>
        </w:rPr>
        <w:t>2003</w:t>
      </w:r>
      <w:r w:rsidR="00C05F84" w:rsidRPr="00853C5A">
        <w:rPr>
          <w:bCs/>
        </w:rPr>
        <w:t xml:space="preserve">). </w:t>
      </w:r>
      <w:r w:rsidR="00632825">
        <w:rPr>
          <w:bCs/>
        </w:rPr>
        <w:t>Doing this</w:t>
      </w:r>
      <w:r w:rsidR="00B340D9" w:rsidRPr="00853C5A">
        <w:rPr>
          <w:bCs/>
        </w:rPr>
        <w:t xml:space="preserve"> </w:t>
      </w:r>
      <w:r w:rsidR="00C05F84" w:rsidRPr="00853C5A">
        <w:rPr>
          <w:rFonts w:eastAsia="Times New Roman" w:cs="Times New Roman"/>
          <w:lang w:eastAsia="en-GB"/>
        </w:rPr>
        <w:t>offered</w:t>
      </w:r>
      <w:r w:rsidR="00726FEB" w:rsidRPr="00853C5A">
        <w:rPr>
          <w:rFonts w:eastAsia="Times New Roman" w:cs="Times New Roman"/>
          <w:lang w:eastAsia="en-GB"/>
        </w:rPr>
        <w:t xml:space="preserve"> an insight into the broad areas of </w:t>
      </w:r>
      <w:r w:rsidR="00632825">
        <w:rPr>
          <w:rFonts w:eastAsia="Times New Roman" w:cs="Times New Roman"/>
          <w:lang w:eastAsia="en-GB"/>
        </w:rPr>
        <w:t xml:space="preserve">panel </w:t>
      </w:r>
      <w:r w:rsidR="00726FEB" w:rsidRPr="00853C5A">
        <w:rPr>
          <w:rFonts w:eastAsia="Times New Roman" w:cs="Times New Roman"/>
          <w:lang w:eastAsia="en-GB"/>
        </w:rPr>
        <w:t xml:space="preserve">opinion </w:t>
      </w:r>
      <w:r w:rsidR="005D634D" w:rsidRPr="00853C5A">
        <w:rPr>
          <w:rFonts w:eastAsia="Times New Roman" w:cs="Times New Roman"/>
          <w:lang w:eastAsia="en-GB"/>
        </w:rPr>
        <w:t>which</w:t>
      </w:r>
      <w:r w:rsidR="008C2311">
        <w:rPr>
          <w:bCs/>
        </w:rPr>
        <w:t xml:space="preserve"> </w:t>
      </w:r>
      <w:r w:rsidR="007A4598" w:rsidRPr="00853C5A">
        <w:rPr>
          <w:bCs/>
        </w:rPr>
        <w:t>meant that outcomes could legitimately inform subsequent survey design</w:t>
      </w:r>
      <w:r w:rsidR="007A4598" w:rsidRPr="00853C5A">
        <w:rPr>
          <w:rFonts w:eastAsia="Times New Roman" w:cs="Times New Roman"/>
          <w:lang w:eastAsia="en-GB"/>
        </w:rPr>
        <w:t xml:space="preserve"> </w:t>
      </w:r>
      <w:r w:rsidR="00B340D9" w:rsidRPr="00853C5A">
        <w:rPr>
          <w:bCs/>
        </w:rPr>
        <w:t>(</w:t>
      </w:r>
      <w:proofErr w:type="spellStart"/>
      <w:r w:rsidR="002001C1" w:rsidRPr="007A4598">
        <w:rPr>
          <w:bCs/>
          <w:color w:val="00B050"/>
        </w:rPr>
        <w:t>Nadin</w:t>
      </w:r>
      <w:proofErr w:type="spellEnd"/>
      <w:r w:rsidR="002001C1" w:rsidRPr="007A4598">
        <w:rPr>
          <w:bCs/>
          <w:color w:val="00B050"/>
        </w:rPr>
        <w:t xml:space="preserve"> and </w:t>
      </w:r>
      <w:proofErr w:type="spellStart"/>
      <w:r w:rsidR="002001C1" w:rsidRPr="007A4598">
        <w:rPr>
          <w:bCs/>
          <w:color w:val="00B050"/>
        </w:rPr>
        <w:t>Cassell</w:t>
      </w:r>
      <w:proofErr w:type="spellEnd"/>
      <w:r w:rsidR="002001C1" w:rsidRPr="007A4598">
        <w:rPr>
          <w:bCs/>
          <w:color w:val="00B050"/>
        </w:rPr>
        <w:t xml:space="preserve">, 2007; </w:t>
      </w:r>
      <w:r w:rsidR="002001C1" w:rsidRPr="007A4598">
        <w:rPr>
          <w:color w:val="00B050"/>
        </w:rPr>
        <w:t>Schmidt, 1997</w:t>
      </w:r>
      <w:r w:rsidR="002001C1">
        <w:rPr>
          <w:color w:val="00B050"/>
        </w:rPr>
        <w:t xml:space="preserve">; </w:t>
      </w:r>
      <w:r w:rsidR="00E40621" w:rsidRPr="007A4598">
        <w:rPr>
          <w:bCs/>
          <w:color w:val="00B050"/>
        </w:rPr>
        <w:t>Glaser and Strauss, 1967</w:t>
      </w:r>
      <w:r w:rsidR="00B340D9" w:rsidRPr="00853C5A">
        <w:rPr>
          <w:rFonts w:eastAsia="Times New Roman" w:cs="Times New Roman"/>
          <w:lang w:eastAsia="en-GB"/>
        </w:rPr>
        <w:t xml:space="preserve">). </w:t>
      </w:r>
      <w:r w:rsidR="00632825">
        <w:rPr>
          <w:rFonts w:eastAsia="Times New Roman" w:cs="Times New Roman"/>
          <w:lang w:eastAsia="en-GB"/>
        </w:rPr>
        <w:t>Ultimately, f</w:t>
      </w:r>
      <w:r w:rsidR="00602321" w:rsidRPr="00853C5A">
        <w:rPr>
          <w:bCs/>
        </w:rPr>
        <w:t xml:space="preserve">our </w:t>
      </w:r>
      <w:r w:rsidR="00602321" w:rsidRPr="00853C5A">
        <w:rPr>
          <w:rFonts w:eastAsia="Times New Roman" w:cs="Times New Roman"/>
          <w:lang w:eastAsia="en-GB"/>
        </w:rPr>
        <w:t>themed lists of 20 items</w:t>
      </w:r>
      <w:r w:rsidR="00CD64B0" w:rsidRPr="00853C5A">
        <w:rPr>
          <w:rFonts w:eastAsia="Times New Roman" w:cs="Times New Roman"/>
          <w:lang w:eastAsia="en-GB"/>
        </w:rPr>
        <w:t xml:space="preserve"> each</w:t>
      </w:r>
      <w:r w:rsidR="007A4598">
        <w:rPr>
          <w:rFonts w:eastAsia="Times New Roman" w:cs="Times New Roman"/>
          <w:lang w:eastAsia="en-GB"/>
        </w:rPr>
        <w:t xml:space="preserve"> </w:t>
      </w:r>
      <w:r w:rsidR="005D634D" w:rsidRPr="00853C5A">
        <w:rPr>
          <w:rFonts w:eastAsia="Times New Roman" w:cs="Times New Roman"/>
          <w:lang w:eastAsia="en-GB"/>
        </w:rPr>
        <w:t xml:space="preserve">were </w:t>
      </w:r>
      <w:r w:rsidR="00632825">
        <w:rPr>
          <w:rFonts w:eastAsia="Times New Roman" w:cs="Times New Roman"/>
          <w:lang w:eastAsia="en-GB"/>
        </w:rPr>
        <w:t xml:space="preserve">produced and </w:t>
      </w:r>
      <w:r w:rsidR="0073184C" w:rsidRPr="00853C5A">
        <w:rPr>
          <w:rFonts w:eastAsia="Times New Roman" w:cs="Times New Roman"/>
          <w:lang w:eastAsia="en-GB"/>
        </w:rPr>
        <w:t xml:space="preserve">validated </w:t>
      </w:r>
      <w:r w:rsidR="00632825">
        <w:rPr>
          <w:rFonts w:eastAsia="Times New Roman" w:cs="Times New Roman"/>
          <w:lang w:eastAsia="en-GB"/>
        </w:rPr>
        <w:t>with</w:t>
      </w:r>
      <w:r w:rsidR="0073184C" w:rsidRPr="00853C5A">
        <w:rPr>
          <w:rFonts w:eastAsia="Times New Roman" w:cs="Times New Roman"/>
          <w:lang w:eastAsia="en-GB"/>
        </w:rPr>
        <w:t xml:space="preserve"> panellists to ensure </w:t>
      </w:r>
      <w:r w:rsidR="005D634D" w:rsidRPr="00853C5A">
        <w:rPr>
          <w:rFonts w:eastAsia="Times New Roman" w:cs="Times New Roman"/>
          <w:lang w:eastAsia="en-GB"/>
        </w:rPr>
        <w:t>contributions were accurate</w:t>
      </w:r>
      <w:r w:rsidR="007A4598">
        <w:rPr>
          <w:rFonts w:eastAsia="Times New Roman" w:cs="Times New Roman"/>
          <w:lang w:eastAsia="en-GB"/>
        </w:rPr>
        <w:t xml:space="preserve"> and fairly represented</w:t>
      </w:r>
      <w:r w:rsidR="003D092A" w:rsidRPr="00853C5A">
        <w:rPr>
          <w:rFonts w:eastAsia="Times New Roman" w:cs="Times New Roman"/>
          <w:lang w:eastAsia="en-GB"/>
        </w:rPr>
        <w:t>.</w:t>
      </w:r>
    </w:p>
    <w:p w:rsidR="00F73800" w:rsidRPr="00853C5A" w:rsidRDefault="00743B65" w:rsidP="00853C5A">
      <w:pPr>
        <w:rPr>
          <w:rFonts w:eastAsia="Times New Roman" w:cs="Times New Roman"/>
          <w:i/>
          <w:lang w:eastAsia="en-GB"/>
        </w:rPr>
      </w:pPr>
      <w:r>
        <w:rPr>
          <w:rFonts w:eastAsia="Times New Roman" w:cs="Times New Roman"/>
          <w:i/>
          <w:lang w:eastAsia="en-GB"/>
        </w:rPr>
        <w:t>Delphi R</w:t>
      </w:r>
      <w:r w:rsidR="00F73800" w:rsidRPr="00853C5A">
        <w:rPr>
          <w:rFonts w:eastAsia="Times New Roman" w:cs="Times New Roman"/>
          <w:i/>
          <w:lang w:eastAsia="en-GB"/>
        </w:rPr>
        <w:t xml:space="preserve">ound 2 </w:t>
      </w:r>
    </w:p>
    <w:p w:rsidR="00F41631" w:rsidRPr="00853C5A" w:rsidRDefault="00805A16" w:rsidP="00853C5A">
      <w:pPr>
        <w:rPr>
          <w:rFonts w:eastAsia="Times New Roman" w:cs="Times New Roman"/>
          <w:lang w:eastAsia="en-GB"/>
        </w:rPr>
      </w:pPr>
      <w:r>
        <w:rPr>
          <w:rFonts w:eastAsia="Times New Roman" w:cs="Times New Roman"/>
          <w:lang w:eastAsia="en-GB"/>
        </w:rPr>
        <w:t>The r</w:t>
      </w:r>
      <w:r w:rsidR="00C76897">
        <w:rPr>
          <w:rFonts w:eastAsia="Times New Roman" w:cs="Times New Roman"/>
          <w:lang w:eastAsia="en-GB"/>
        </w:rPr>
        <w:t>ound 2</w:t>
      </w:r>
      <w:r w:rsidR="00F41631" w:rsidRPr="00853C5A">
        <w:rPr>
          <w:rFonts w:eastAsia="Times New Roman" w:cs="Times New Roman"/>
          <w:lang w:eastAsia="en-GB"/>
        </w:rPr>
        <w:t xml:space="preserve"> </w:t>
      </w:r>
      <w:r>
        <w:rPr>
          <w:rFonts w:eastAsia="Times New Roman" w:cs="Times New Roman"/>
          <w:lang w:eastAsia="en-GB"/>
        </w:rPr>
        <w:t xml:space="preserve">survey </w:t>
      </w:r>
      <w:r w:rsidR="00F41631" w:rsidRPr="00853C5A">
        <w:rPr>
          <w:rFonts w:eastAsia="Times New Roman" w:cs="Times New Roman"/>
          <w:lang w:eastAsia="en-GB"/>
        </w:rPr>
        <w:t xml:space="preserve">was </w:t>
      </w:r>
      <w:r w:rsidR="00A63EBA">
        <w:rPr>
          <w:rFonts w:eastAsia="Times New Roman" w:cs="Times New Roman"/>
          <w:lang w:eastAsia="en-GB"/>
        </w:rPr>
        <w:t xml:space="preserve">distributed </w:t>
      </w:r>
      <w:r w:rsidR="00C76897">
        <w:rPr>
          <w:rFonts w:eastAsia="Times New Roman" w:cs="Times New Roman"/>
          <w:lang w:eastAsia="en-GB"/>
        </w:rPr>
        <w:t>as before</w:t>
      </w:r>
      <w:r w:rsidR="00F41631" w:rsidRPr="00853C5A">
        <w:rPr>
          <w:rFonts w:eastAsia="Times New Roman" w:cs="Times New Roman"/>
          <w:lang w:eastAsia="en-GB"/>
        </w:rPr>
        <w:t>.</w:t>
      </w:r>
      <w:r w:rsidR="00B864DA" w:rsidRPr="00853C5A">
        <w:rPr>
          <w:rFonts w:eastAsia="Times New Roman" w:cs="Times New Roman"/>
          <w:lang w:eastAsia="en-GB"/>
        </w:rPr>
        <w:t xml:space="preserve"> </w:t>
      </w:r>
      <w:r w:rsidR="00BD6047">
        <w:rPr>
          <w:rFonts w:eastAsia="Times New Roman" w:cs="Times New Roman"/>
          <w:lang w:eastAsia="en-GB"/>
        </w:rPr>
        <w:t>P</w:t>
      </w:r>
      <w:r w:rsidR="00172131" w:rsidRPr="00853C5A">
        <w:rPr>
          <w:rFonts w:eastAsia="Times New Roman" w:cs="Times New Roman"/>
          <w:lang w:eastAsia="en-GB"/>
        </w:rPr>
        <w:t xml:space="preserve">anellists </w:t>
      </w:r>
      <w:r w:rsidR="00B864DA" w:rsidRPr="00853C5A">
        <w:rPr>
          <w:rFonts w:eastAsia="Times New Roman" w:cs="Times New Roman"/>
          <w:lang w:eastAsia="en-GB"/>
        </w:rPr>
        <w:t xml:space="preserve">were asked to indicate their </w:t>
      </w:r>
      <w:r w:rsidR="00BD6047">
        <w:rPr>
          <w:rFonts w:eastAsia="Times New Roman" w:cs="Times New Roman"/>
          <w:lang w:eastAsia="en-GB"/>
        </w:rPr>
        <w:t xml:space="preserve">level </w:t>
      </w:r>
      <w:r w:rsidR="00B864DA" w:rsidRPr="00853C5A">
        <w:rPr>
          <w:rFonts w:eastAsia="Times New Roman" w:cs="Times New Roman"/>
          <w:lang w:eastAsia="en-GB"/>
        </w:rPr>
        <w:t xml:space="preserve">of agreement with each </w:t>
      </w:r>
      <w:r w:rsidR="00661240" w:rsidRPr="00853C5A">
        <w:rPr>
          <w:rFonts w:eastAsia="Times New Roman" w:cs="Times New Roman"/>
          <w:lang w:eastAsia="en-GB"/>
        </w:rPr>
        <w:t xml:space="preserve">listed </w:t>
      </w:r>
      <w:r w:rsidR="00B864DA" w:rsidRPr="00853C5A">
        <w:rPr>
          <w:rFonts w:eastAsia="Times New Roman" w:cs="Times New Roman"/>
          <w:lang w:eastAsia="en-GB"/>
        </w:rPr>
        <w:t>item</w:t>
      </w:r>
      <w:r w:rsidR="00335B17" w:rsidRPr="00853C5A">
        <w:rPr>
          <w:rFonts w:eastAsia="Times New Roman" w:cs="Times New Roman"/>
          <w:lang w:eastAsia="en-GB"/>
        </w:rPr>
        <w:t xml:space="preserve"> </w:t>
      </w:r>
      <w:r w:rsidR="00BD6047">
        <w:rPr>
          <w:rFonts w:eastAsia="Times New Roman" w:cs="Times New Roman"/>
          <w:lang w:eastAsia="en-GB"/>
        </w:rPr>
        <w:t>using</w:t>
      </w:r>
      <w:r w:rsidR="006F43CB">
        <w:rPr>
          <w:rFonts w:eastAsia="Times New Roman" w:cs="Times New Roman"/>
          <w:lang w:eastAsia="en-GB"/>
        </w:rPr>
        <w:t xml:space="preserve"> a</w:t>
      </w:r>
      <w:r w:rsidR="00BD6047">
        <w:rPr>
          <w:rFonts w:eastAsia="Times New Roman" w:cs="Times New Roman"/>
          <w:lang w:eastAsia="en-GB"/>
        </w:rPr>
        <w:t xml:space="preserve"> </w:t>
      </w:r>
      <w:r w:rsidR="006F43CB">
        <w:rPr>
          <w:rFonts w:eastAsia="Times New Roman" w:cs="Times New Roman"/>
          <w:lang w:eastAsia="en-GB"/>
        </w:rPr>
        <w:t>five</w:t>
      </w:r>
      <w:r w:rsidR="003B59C3" w:rsidRPr="00853C5A">
        <w:rPr>
          <w:rFonts w:eastAsia="Times New Roman" w:cs="Times New Roman"/>
          <w:lang w:eastAsia="en-GB"/>
        </w:rPr>
        <w:t xml:space="preserve">-point </w:t>
      </w:r>
      <w:proofErr w:type="spellStart"/>
      <w:r w:rsidR="003B59C3" w:rsidRPr="00853C5A">
        <w:rPr>
          <w:rFonts w:eastAsia="Times New Roman" w:cs="Times New Roman"/>
          <w:lang w:eastAsia="en-GB"/>
        </w:rPr>
        <w:t>Likert</w:t>
      </w:r>
      <w:proofErr w:type="spellEnd"/>
      <w:r w:rsidR="003B59C3" w:rsidRPr="00853C5A">
        <w:rPr>
          <w:rFonts w:eastAsia="Times New Roman" w:cs="Times New Roman"/>
          <w:lang w:eastAsia="en-GB"/>
        </w:rPr>
        <w:t xml:space="preserve"> scale</w:t>
      </w:r>
      <w:r w:rsidR="00B864DA" w:rsidRPr="00853C5A">
        <w:rPr>
          <w:rFonts w:eastAsia="Times New Roman" w:cs="Times New Roman"/>
          <w:lang w:eastAsia="en-GB"/>
        </w:rPr>
        <w:t xml:space="preserve">. </w:t>
      </w:r>
      <w:r w:rsidR="00222AEF" w:rsidRPr="00853C5A">
        <w:rPr>
          <w:rFonts w:eastAsia="Times New Roman" w:cs="Times New Roman"/>
          <w:lang w:eastAsia="en-GB"/>
        </w:rPr>
        <w:t>While seven- (</w:t>
      </w:r>
      <w:r w:rsidR="00222AEF" w:rsidRPr="00BD6047">
        <w:rPr>
          <w:rFonts w:eastAsia="Times New Roman" w:cs="Times New Roman"/>
          <w:color w:val="00B050"/>
          <w:lang w:eastAsia="en-GB"/>
        </w:rPr>
        <w:t xml:space="preserve">De Vet </w:t>
      </w:r>
      <w:r w:rsidR="00222AEF" w:rsidRPr="00BD6047">
        <w:rPr>
          <w:rFonts w:eastAsia="Times New Roman" w:cs="Times New Roman"/>
          <w:i/>
          <w:color w:val="00B050"/>
          <w:lang w:eastAsia="en-GB"/>
        </w:rPr>
        <w:t>et al</w:t>
      </w:r>
      <w:r w:rsidR="00BD6047" w:rsidRPr="00BD6047">
        <w:rPr>
          <w:rFonts w:eastAsia="Times New Roman" w:cs="Times New Roman"/>
          <w:color w:val="00B050"/>
          <w:lang w:eastAsia="en-GB"/>
        </w:rPr>
        <w:t>.</w:t>
      </w:r>
      <w:r w:rsidR="00222AEF" w:rsidRPr="00BD6047">
        <w:rPr>
          <w:rFonts w:eastAsia="Times New Roman" w:cs="Times New Roman"/>
          <w:color w:val="00B050"/>
          <w:lang w:eastAsia="en-GB"/>
        </w:rPr>
        <w:t>, 2005</w:t>
      </w:r>
      <w:r w:rsidR="00222AEF" w:rsidRPr="00853C5A">
        <w:rPr>
          <w:rFonts w:eastAsia="Times New Roman" w:cs="Times New Roman"/>
          <w:lang w:eastAsia="en-GB"/>
        </w:rPr>
        <w:t>), nine-(</w:t>
      </w:r>
      <w:proofErr w:type="spellStart"/>
      <w:r w:rsidR="00953944" w:rsidRPr="00953944">
        <w:rPr>
          <w:rFonts w:eastAsia="Times New Roman" w:cs="Arial"/>
          <w:color w:val="00B050"/>
        </w:rPr>
        <w:t>Gijsbers</w:t>
      </w:r>
      <w:proofErr w:type="spellEnd"/>
      <w:r w:rsidR="00953944" w:rsidRPr="00953944">
        <w:rPr>
          <w:rFonts w:eastAsia="Times New Roman" w:cs="Arial"/>
          <w:color w:val="00B050"/>
        </w:rPr>
        <w:t>, 2016</w:t>
      </w:r>
      <w:r w:rsidR="00953944">
        <w:rPr>
          <w:rFonts w:eastAsia="Times New Roman" w:cs="Arial"/>
        </w:rPr>
        <w:t>)</w:t>
      </w:r>
      <w:r w:rsidR="00222AEF" w:rsidRPr="00853C5A">
        <w:rPr>
          <w:rFonts w:eastAsia="Times New Roman" w:cs="Times New Roman"/>
          <w:lang w:eastAsia="en-GB"/>
        </w:rPr>
        <w:t xml:space="preserve"> and eleven-point (</w:t>
      </w:r>
      <w:r w:rsidR="002001C1" w:rsidRPr="00BD6047">
        <w:rPr>
          <w:rFonts w:eastAsia="Times New Roman" w:cs="Times New Roman"/>
          <w:color w:val="00B050"/>
          <w:lang w:eastAsia="en-GB"/>
        </w:rPr>
        <w:t xml:space="preserve">Phillips </w:t>
      </w:r>
      <w:r w:rsidR="002001C1" w:rsidRPr="00BD6047">
        <w:rPr>
          <w:rFonts w:eastAsia="Times New Roman" w:cs="Times New Roman"/>
          <w:i/>
          <w:color w:val="00B050"/>
          <w:lang w:eastAsia="en-GB"/>
        </w:rPr>
        <w:t>et al</w:t>
      </w:r>
      <w:r w:rsidR="002001C1" w:rsidRPr="00BD6047">
        <w:rPr>
          <w:rFonts w:eastAsia="Times New Roman" w:cs="Times New Roman"/>
          <w:color w:val="00B050"/>
          <w:lang w:eastAsia="en-GB"/>
        </w:rPr>
        <w:t>., 2014</w:t>
      </w:r>
      <w:r w:rsidR="002001C1">
        <w:rPr>
          <w:rFonts w:eastAsia="Times New Roman" w:cs="Times New Roman"/>
          <w:color w:val="00B050"/>
          <w:lang w:eastAsia="en-GB"/>
        </w:rPr>
        <w:t xml:space="preserve">; </w:t>
      </w:r>
      <w:r w:rsidR="00222AEF" w:rsidRPr="00BD6047">
        <w:rPr>
          <w:rFonts w:eastAsia="Times New Roman" w:cs="Times New Roman"/>
          <w:color w:val="00B050"/>
          <w:lang w:eastAsia="en-GB"/>
        </w:rPr>
        <w:t xml:space="preserve">Banks </w:t>
      </w:r>
      <w:r w:rsidR="00222AEF" w:rsidRPr="00BD6047">
        <w:rPr>
          <w:rFonts w:eastAsia="Times New Roman" w:cs="Times New Roman"/>
          <w:i/>
          <w:color w:val="00B050"/>
          <w:lang w:eastAsia="en-GB"/>
        </w:rPr>
        <w:t>et al</w:t>
      </w:r>
      <w:r w:rsidR="00BD6047" w:rsidRPr="00BD6047">
        <w:rPr>
          <w:rFonts w:eastAsia="Times New Roman" w:cs="Times New Roman"/>
          <w:i/>
          <w:color w:val="00B050"/>
          <w:lang w:eastAsia="en-GB"/>
        </w:rPr>
        <w:t>.</w:t>
      </w:r>
      <w:r w:rsidR="00BD6047">
        <w:rPr>
          <w:rFonts w:eastAsia="Times New Roman" w:cs="Times New Roman"/>
          <w:color w:val="00B050"/>
          <w:lang w:eastAsia="en-GB"/>
        </w:rPr>
        <w:t>,</w:t>
      </w:r>
      <w:r w:rsidR="00222AEF" w:rsidRPr="00BD6047">
        <w:rPr>
          <w:rFonts w:eastAsia="Times New Roman" w:cs="Times New Roman"/>
          <w:color w:val="00B050"/>
          <w:lang w:eastAsia="en-GB"/>
        </w:rPr>
        <w:t xml:space="preserve"> 2009</w:t>
      </w:r>
      <w:r w:rsidR="00222AEF" w:rsidRPr="00853C5A">
        <w:rPr>
          <w:rFonts w:eastAsia="Times New Roman" w:cs="Times New Roman"/>
          <w:lang w:eastAsia="en-GB"/>
        </w:rPr>
        <w:t>) scales</w:t>
      </w:r>
      <w:r w:rsidR="00BD6047">
        <w:rPr>
          <w:rFonts w:eastAsia="Times New Roman" w:cs="Times New Roman"/>
          <w:lang w:eastAsia="en-GB"/>
        </w:rPr>
        <w:t xml:space="preserve"> </w:t>
      </w:r>
      <w:r w:rsidR="008D6114">
        <w:rPr>
          <w:rFonts w:eastAsia="Times New Roman" w:cs="Times New Roman"/>
          <w:lang w:eastAsia="en-GB"/>
        </w:rPr>
        <w:t xml:space="preserve">may have been selected, </w:t>
      </w:r>
      <w:r w:rsidR="009B7C43">
        <w:rPr>
          <w:rFonts w:eastAsia="Times New Roman" w:cs="Times New Roman"/>
          <w:lang w:eastAsia="en-GB"/>
        </w:rPr>
        <w:t xml:space="preserve">the </w:t>
      </w:r>
      <w:r w:rsidR="003B59C3" w:rsidRPr="00853C5A">
        <w:rPr>
          <w:rFonts w:eastAsia="Times New Roman" w:cs="Times New Roman"/>
          <w:lang w:eastAsia="en-GB"/>
        </w:rPr>
        <w:t>five-</w:t>
      </w:r>
      <w:r w:rsidR="00222AEF" w:rsidRPr="00853C5A">
        <w:rPr>
          <w:rFonts w:eastAsia="Times New Roman" w:cs="Times New Roman"/>
          <w:lang w:eastAsia="en-GB"/>
        </w:rPr>
        <w:t xml:space="preserve">point </w:t>
      </w:r>
      <w:r w:rsidR="00172131" w:rsidRPr="00853C5A">
        <w:rPr>
          <w:rFonts w:eastAsia="Times New Roman" w:cs="Times New Roman"/>
          <w:lang w:eastAsia="en-GB"/>
        </w:rPr>
        <w:t xml:space="preserve">agree-disagree </w:t>
      </w:r>
      <w:r w:rsidR="00222AEF" w:rsidRPr="00853C5A">
        <w:rPr>
          <w:rFonts w:eastAsia="Times New Roman" w:cs="Times New Roman"/>
          <w:lang w:eastAsia="en-GB"/>
        </w:rPr>
        <w:t xml:space="preserve">scale </w:t>
      </w:r>
      <w:r w:rsidR="00463618">
        <w:rPr>
          <w:rFonts w:eastAsia="Times New Roman" w:cs="Times New Roman"/>
          <w:lang w:eastAsia="en-GB"/>
        </w:rPr>
        <w:t xml:space="preserve">used in this study </w:t>
      </w:r>
      <w:r w:rsidR="006F43CB">
        <w:rPr>
          <w:rFonts w:eastAsia="Times New Roman" w:cs="Times New Roman"/>
          <w:lang w:eastAsia="en-GB"/>
        </w:rPr>
        <w:t xml:space="preserve">is believed </w:t>
      </w:r>
      <w:r w:rsidR="006F43CB" w:rsidRPr="00853C5A">
        <w:rPr>
          <w:rFonts w:eastAsia="Times New Roman" w:cs="Times New Roman"/>
          <w:lang w:eastAsia="en-GB"/>
        </w:rPr>
        <w:t xml:space="preserve">to yield </w:t>
      </w:r>
      <w:r w:rsidR="00AF7C94">
        <w:rPr>
          <w:rFonts w:eastAsia="Times New Roman" w:cs="Times New Roman"/>
          <w:lang w:eastAsia="en-GB"/>
        </w:rPr>
        <w:t xml:space="preserve">the highest quality </w:t>
      </w:r>
      <w:r w:rsidR="006F43CB" w:rsidRPr="00853C5A">
        <w:rPr>
          <w:rFonts w:eastAsia="Times New Roman" w:cs="Times New Roman"/>
          <w:lang w:eastAsia="en-GB"/>
        </w:rPr>
        <w:t>data (</w:t>
      </w:r>
      <w:r w:rsidR="002001C1" w:rsidRPr="00BD6047">
        <w:rPr>
          <w:rFonts w:eastAsia="Times New Roman" w:cs="Times New Roman"/>
          <w:color w:val="00B050"/>
          <w:lang w:eastAsia="en-GB"/>
        </w:rPr>
        <w:t xml:space="preserve">Revilla </w:t>
      </w:r>
      <w:r w:rsidR="002001C1" w:rsidRPr="00BD6047">
        <w:rPr>
          <w:rFonts w:eastAsia="Times New Roman" w:cs="Times New Roman"/>
          <w:i/>
          <w:color w:val="00B050"/>
          <w:lang w:eastAsia="en-GB"/>
        </w:rPr>
        <w:t>et al</w:t>
      </w:r>
      <w:r w:rsidR="002001C1" w:rsidRPr="00BD6047">
        <w:rPr>
          <w:rFonts w:eastAsia="Times New Roman" w:cs="Times New Roman"/>
          <w:color w:val="00B050"/>
          <w:lang w:eastAsia="en-GB"/>
        </w:rPr>
        <w:t>., 2014</w:t>
      </w:r>
      <w:r w:rsidR="002001C1">
        <w:rPr>
          <w:rFonts w:eastAsia="Times New Roman" w:cs="Times New Roman"/>
          <w:color w:val="00B050"/>
          <w:lang w:eastAsia="en-GB"/>
        </w:rPr>
        <w:t xml:space="preserve">; </w:t>
      </w:r>
      <w:r w:rsidR="006F43CB" w:rsidRPr="00BD6047">
        <w:rPr>
          <w:rFonts w:eastAsia="Times New Roman" w:cs="Times New Roman"/>
          <w:color w:val="00B050"/>
          <w:lang w:eastAsia="en-GB"/>
        </w:rPr>
        <w:t xml:space="preserve">Becker </w:t>
      </w:r>
      <w:r w:rsidR="006F43CB" w:rsidRPr="00BD6047">
        <w:rPr>
          <w:rFonts w:eastAsia="Times New Roman" w:cs="Times New Roman"/>
          <w:i/>
          <w:color w:val="00B050"/>
          <w:lang w:eastAsia="en-GB"/>
        </w:rPr>
        <w:t>et al</w:t>
      </w:r>
      <w:r w:rsidR="006F43CB" w:rsidRPr="00BD6047">
        <w:rPr>
          <w:rFonts w:eastAsia="Times New Roman" w:cs="Times New Roman"/>
          <w:color w:val="00B050"/>
          <w:lang w:eastAsia="en-GB"/>
        </w:rPr>
        <w:t>., 2009</w:t>
      </w:r>
      <w:r w:rsidR="006F43CB" w:rsidRPr="00853C5A">
        <w:rPr>
          <w:rFonts w:eastAsia="Times New Roman" w:cs="Times New Roman"/>
          <w:lang w:eastAsia="en-GB"/>
        </w:rPr>
        <w:t>)</w:t>
      </w:r>
      <w:r w:rsidR="006F43CB">
        <w:rPr>
          <w:rFonts w:eastAsia="Times New Roman" w:cs="Times New Roman"/>
          <w:lang w:eastAsia="en-GB"/>
        </w:rPr>
        <w:t xml:space="preserve"> and </w:t>
      </w:r>
      <w:r w:rsidR="009B7C43">
        <w:rPr>
          <w:rFonts w:eastAsia="Times New Roman" w:cs="Times New Roman"/>
          <w:lang w:eastAsia="en-GB"/>
        </w:rPr>
        <w:t xml:space="preserve">was the </w:t>
      </w:r>
      <w:r w:rsidR="00BD6047" w:rsidRPr="00853C5A">
        <w:rPr>
          <w:rFonts w:eastAsia="Times New Roman" w:cs="Times New Roman"/>
          <w:lang w:eastAsia="en-GB"/>
        </w:rPr>
        <w:t xml:space="preserve">preferred choice of those </w:t>
      </w:r>
      <w:r w:rsidR="009B7C43">
        <w:rPr>
          <w:rFonts w:eastAsia="Times New Roman" w:cs="Times New Roman"/>
          <w:lang w:eastAsia="en-GB"/>
        </w:rPr>
        <w:t>who piloted</w:t>
      </w:r>
      <w:r w:rsidR="00BD6047" w:rsidRPr="00853C5A">
        <w:rPr>
          <w:rFonts w:eastAsia="Times New Roman" w:cs="Times New Roman"/>
          <w:lang w:eastAsia="en-GB"/>
        </w:rPr>
        <w:t xml:space="preserve"> the survey</w:t>
      </w:r>
      <w:r w:rsidR="006F43CB">
        <w:rPr>
          <w:rFonts w:eastAsia="Times New Roman" w:cs="Times New Roman"/>
          <w:lang w:eastAsia="en-GB"/>
        </w:rPr>
        <w:t xml:space="preserve">. </w:t>
      </w:r>
      <w:r w:rsidR="009B7C43">
        <w:rPr>
          <w:rFonts w:eastAsia="Times New Roman" w:cs="Times New Roman"/>
          <w:lang w:eastAsia="en-GB"/>
        </w:rPr>
        <w:t>F</w:t>
      </w:r>
      <w:r w:rsidR="00222AEF" w:rsidRPr="00853C5A">
        <w:rPr>
          <w:rFonts w:eastAsia="Times New Roman" w:cs="Times New Roman"/>
          <w:lang w:eastAsia="en-GB"/>
        </w:rPr>
        <w:t>ive</w:t>
      </w:r>
      <w:r w:rsidR="00661240" w:rsidRPr="00853C5A">
        <w:rPr>
          <w:rFonts w:eastAsia="Times New Roman" w:cs="Times New Roman"/>
          <w:lang w:eastAsia="en-GB"/>
        </w:rPr>
        <w:t xml:space="preserve"> </w:t>
      </w:r>
      <w:r w:rsidR="00BD6047">
        <w:rPr>
          <w:rFonts w:eastAsia="Times New Roman" w:cs="Times New Roman"/>
          <w:lang w:eastAsia="en-GB"/>
        </w:rPr>
        <w:t xml:space="preserve">fully-labelled </w:t>
      </w:r>
      <w:r w:rsidR="00172131" w:rsidRPr="00853C5A">
        <w:rPr>
          <w:rFonts w:eastAsia="Times New Roman" w:cs="Times New Roman"/>
          <w:lang w:eastAsia="en-GB"/>
        </w:rPr>
        <w:t xml:space="preserve">response </w:t>
      </w:r>
      <w:r w:rsidR="00BD6047">
        <w:rPr>
          <w:rFonts w:eastAsia="Times New Roman" w:cs="Times New Roman"/>
          <w:lang w:eastAsia="en-GB"/>
        </w:rPr>
        <w:t xml:space="preserve">options </w:t>
      </w:r>
      <w:r w:rsidR="00A36187">
        <w:rPr>
          <w:rFonts w:eastAsia="Times New Roman" w:cs="Times New Roman"/>
          <w:lang w:eastAsia="en-GB"/>
        </w:rPr>
        <w:t xml:space="preserve">were </w:t>
      </w:r>
      <w:r w:rsidR="00BD6047">
        <w:rPr>
          <w:rFonts w:eastAsia="Times New Roman" w:cs="Times New Roman"/>
          <w:lang w:eastAsia="en-GB"/>
        </w:rPr>
        <w:t>offered</w:t>
      </w:r>
      <w:r w:rsidR="006F43CB">
        <w:rPr>
          <w:rFonts w:eastAsia="Times New Roman" w:cs="Times New Roman"/>
          <w:lang w:eastAsia="en-GB"/>
        </w:rPr>
        <w:t xml:space="preserve"> to participants</w:t>
      </w:r>
      <w:r w:rsidR="00E52350">
        <w:rPr>
          <w:rFonts w:eastAsia="Times New Roman" w:cs="Times New Roman"/>
          <w:lang w:eastAsia="en-GB"/>
        </w:rPr>
        <w:t xml:space="preserve"> </w:t>
      </w:r>
      <w:r w:rsidR="000C5ADE">
        <w:rPr>
          <w:rFonts w:eastAsia="Times New Roman" w:cs="Times New Roman"/>
          <w:lang w:eastAsia="en-GB"/>
        </w:rPr>
        <w:t xml:space="preserve">– 1 </w:t>
      </w:r>
      <w:r w:rsidR="005D686B" w:rsidRPr="00853C5A">
        <w:rPr>
          <w:rFonts w:eastAsia="Times New Roman" w:cs="Times New Roman"/>
          <w:lang w:eastAsia="en-GB"/>
        </w:rPr>
        <w:t>(</w:t>
      </w:r>
      <w:r w:rsidR="009B7C43">
        <w:rPr>
          <w:rFonts w:eastAsia="Times New Roman" w:cs="Times New Roman"/>
          <w:lang w:eastAsia="en-GB"/>
        </w:rPr>
        <w:t>‘</w:t>
      </w:r>
      <w:r w:rsidR="005D686B" w:rsidRPr="00853C5A">
        <w:rPr>
          <w:rFonts w:eastAsia="Times New Roman" w:cs="Times New Roman"/>
          <w:lang w:eastAsia="en-GB"/>
        </w:rPr>
        <w:t>strongly disagree</w:t>
      </w:r>
      <w:r w:rsidR="009B7C43">
        <w:rPr>
          <w:rFonts w:eastAsia="Times New Roman" w:cs="Times New Roman"/>
          <w:lang w:eastAsia="en-GB"/>
        </w:rPr>
        <w:t>’</w:t>
      </w:r>
      <w:r w:rsidR="005D686B" w:rsidRPr="00853C5A">
        <w:rPr>
          <w:rFonts w:eastAsia="Times New Roman" w:cs="Times New Roman"/>
          <w:lang w:eastAsia="en-GB"/>
        </w:rPr>
        <w:t>)</w:t>
      </w:r>
      <w:r w:rsidR="00FB7706">
        <w:rPr>
          <w:rFonts w:eastAsia="Times New Roman" w:cs="Times New Roman"/>
          <w:lang w:eastAsia="en-GB"/>
        </w:rPr>
        <w:t>, 2 (</w:t>
      </w:r>
      <w:r w:rsidR="009B7C43">
        <w:rPr>
          <w:rFonts w:eastAsia="Times New Roman" w:cs="Times New Roman"/>
          <w:lang w:eastAsia="en-GB"/>
        </w:rPr>
        <w:t>‘</w:t>
      </w:r>
      <w:r w:rsidR="00FB7706">
        <w:rPr>
          <w:rFonts w:eastAsia="Times New Roman" w:cs="Times New Roman"/>
          <w:lang w:eastAsia="en-GB"/>
        </w:rPr>
        <w:t>disagree</w:t>
      </w:r>
      <w:r w:rsidR="009B7C43">
        <w:rPr>
          <w:rFonts w:eastAsia="Times New Roman" w:cs="Times New Roman"/>
          <w:lang w:eastAsia="en-GB"/>
        </w:rPr>
        <w:t>’</w:t>
      </w:r>
      <w:r w:rsidR="00FB7706">
        <w:rPr>
          <w:rFonts w:eastAsia="Times New Roman" w:cs="Times New Roman"/>
          <w:lang w:eastAsia="en-GB"/>
        </w:rPr>
        <w:t>), 3</w:t>
      </w:r>
      <w:r w:rsidR="000B0335" w:rsidRPr="00853C5A">
        <w:rPr>
          <w:rFonts w:eastAsia="Times New Roman" w:cs="Times New Roman"/>
          <w:lang w:eastAsia="en-GB"/>
        </w:rPr>
        <w:t xml:space="preserve"> (</w:t>
      </w:r>
      <w:r w:rsidR="009B7C43">
        <w:rPr>
          <w:rFonts w:eastAsia="Times New Roman" w:cs="Times New Roman"/>
          <w:lang w:eastAsia="en-GB"/>
        </w:rPr>
        <w:t>‘</w:t>
      </w:r>
      <w:r w:rsidR="000B0335" w:rsidRPr="00853C5A">
        <w:rPr>
          <w:rFonts w:eastAsia="Times New Roman" w:cs="Times New Roman"/>
          <w:lang w:eastAsia="en-GB"/>
        </w:rPr>
        <w:t>indifferent</w:t>
      </w:r>
      <w:r w:rsidR="009B7C43">
        <w:rPr>
          <w:rFonts w:eastAsia="Times New Roman" w:cs="Times New Roman"/>
          <w:lang w:eastAsia="en-GB"/>
        </w:rPr>
        <w:t>’</w:t>
      </w:r>
      <w:r w:rsidR="00FB7706">
        <w:rPr>
          <w:rFonts w:eastAsia="Times New Roman" w:cs="Times New Roman"/>
          <w:lang w:eastAsia="en-GB"/>
        </w:rPr>
        <w:t>), 4 (</w:t>
      </w:r>
      <w:r w:rsidR="009B7C43">
        <w:rPr>
          <w:rFonts w:eastAsia="Times New Roman" w:cs="Times New Roman"/>
          <w:lang w:eastAsia="en-GB"/>
        </w:rPr>
        <w:t>‘</w:t>
      </w:r>
      <w:r w:rsidR="00FB7706">
        <w:rPr>
          <w:rFonts w:eastAsia="Times New Roman" w:cs="Times New Roman"/>
          <w:lang w:eastAsia="en-GB"/>
        </w:rPr>
        <w:t>agree</w:t>
      </w:r>
      <w:r w:rsidR="009B7C43">
        <w:rPr>
          <w:rFonts w:eastAsia="Times New Roman" w:cs="Times New Roman"/>
          <w:lang w:eastAsia="en-GB"/>
        </w:rPr>
        <w:t>’</w:t>
      </w:r>
      <w:r w:rsidR="00FB7706">
        <w:rPr>
          <w:rFonts w:eastAsia="Times New Roman" w:cs="Times New Roman"/>
          <w:lang w:eastAsia="en-GB"/>
        </w:rPr>
        <w:t>), 5</w:t>
      </w:r>
      <w:r w:rsidR="000B0335" w:rsidRPr="00853C5A">
        <w:rPr>
          <w:rFonts w:eastAsia="Times New Roman" w:cs="Times New Roman"/>
          <w:lang w:eastAsia="en-GB"/>
        </w:rPr>
        <w:t xml:space="preserve"> (</w:t>
      </w:r>
      <w:r w:rsidR="009B7C43">
        <w:rPr>
          <w:rFonts w:eastAsia="Times New Roman" w:cs="Times New Roman"/>
          <w:lang w:eastAsia="en-GB"/>
        </w:rPr>
        <w:t>‘</w:t>
      </w:r>
      <w:r w:rsidR="000B0335" w:rsidRPr="00853C5A">
        <w:rPr>
          <w:rFonts w:eastAsia="Times New Roman" w:cs="Times New Roman"/>
          <w:lang w:eastAsia="en-GB"/>
        </w:rPr>
        <w:t>strongly agree</w:t>
      </w:r>
      <w:r w:rsidR="009B7C43">
        <w:rPr>
          <w:rFonts w:eastAsia="Times New Roman" w:cs="Times New Roman"/>
          <w:lang w:eastAsia="en-GB"/>
        </w:rPr>
        <w:t>’</w:t>
      </w:r>
      <w:r w:rsidR="005D686B" w:rsidRPr="00853C5A">
        <w:rPr>
          <w:rFonts w:eastAsia="Times New Roman" w:cs="Times New Roman"/>
          <w:lang w:eastAsia="en-GB"/>
        </w:rPr>
        <w:t>)</w:t>
      </w:r>
      <w:r w:rsidR="00E52350">
        <w:rPr>
          <w:rFonts w:eastAsia="Times New Roman" w:cs="Times New Roman"/>
          <w:lang w:eastAsia="en-GB"/>
        </w:rPr>
        <w:t xml:space="preserve"> – and, to minimise any potential confusion, </w:t>
      </w:r>
      <w:r w:rsidR="00463618">
        <w:rPr>
          <w:rFonts w:eastAsia="Times New Roman" w:cs="Times New Roman"/>
          <w:lang w:eastAsia="en-GB"/>
        </w:rPr>
        <w:t>brief descriptions of response options were</w:t>
      </w:r>
      <w:r w:rsidR="00E52350">
        <w:rPr>
          <w:rFonts w:eastAsia="Times New Roman" w:cs="Times New Roman"/>
          <w:lang w:eastAsia="en-GB"/>
        </w:rPr>
        <w:t xml:space="preserve"> </w:t>
      </w:r>
      <w:r w:rsidR="00463618">
        <w:rPr>
          <w:rFonts w:eastAsia="Times New Roman" w:cs="Times New Roman"/>
          <w:lang w:eastAsia="en-GB"/>
        </w:rPr>
        <w:t>provided in the</w:t>
      </w:r>
      <w:r w:rsidR="00E52350">
        <w:rPr>
          <w:rFonts w:eastAsia="Times New Roman" w:cs="Times New Roman"/>
          <w:lang w:eastAsia="en-GB"/>
        </w:rPr>
        <w:t xml:space="preserve"> survey completion instructions. Further, o</w:t>
      </w:r>
      <w:r w:rsidR="00BD6047">
        <w:rPr>
          <w:rFonts w:eastAsia="Times New Roman" w:cs="Times New Roman"/>
          <w:lang w:eastAsia="en-GB"/>
        </w:rPr>
        <w:t xml:space="preserve">ne </w:t>
      </w:r>
      <w:r w:rsidR="009B7C43">
        <w:rPr>
          <w:rFonts w:eastAsia="Times New Roman" w:cs="Times New Roman"/>
          <w:lang w:eastAsia="en-GB"/>
        </w:rPr>
        <w:t xml:space="preserve">more </w:t>
      </w:r>
      <w:r w:rsidR="00335B17" w:rsidRPr="00853C5A">
        <w:rPr>
          <w:rFonts w:eastAsia="Times New Roman" w:cs="Times New Roman"/>
          <w:lang w:eastAsia="en-GB"/>
        </w:rPr>
        <w:t xml:space="preserve">open-ended question </w:t>
      </w:r>
      <w:r w:rsidR="00661240" w:rsidRPr="00853C5A">
        <w:rPr>
          <w:rFonts w:eastAsia="Times New Roman" w:cs="Times New Roman"/>
          <w:lang w:eastAsia="en-GB"/>
        </w:rPr>
        <w:t xml:space="preserve">was </w:t>
      </w:r>
      <w:r w:rsidR="00335B17" w:rsidRPr="00853C5A">
        <w:rPr>
          <w:rFonts w:eastAsia="Times New Roman" w:cs="Times New Roman"/>
          <w:lang w:eastAsia="en-GB"/>
        </w:rPr>
        <w:t xml:space="preserve">asked: </w:t>
      </w:r>
      <w:r w:rsidR="00F07949" w:rsidRPr="00853C5A">
        <w:rPr>
          <w:rFonts w:eastAsia="Times New Roman" w:cs="Times New Roman"/>
          <w:i/>
          <w:lang w:eastAsia="en-GB"/>
        </w:rPr>
        <w:t>Having seen the group opinion around</w:t>
      </w:r>
      <w:r w:rsidR="009A3228" w:rsidRPr="00853C5A">
        <w:rPr>
          <w:rFonts w:eastAsia="Times New Roman" w:cs="Times New Roman"/>
          <w:i/>
          <w:lang w:eastAsia="en-GB"/>
        </w:rPr>
        <w:t xml:space="preserve"> barriers</w:t>
      </w:r>
      <w:r w:rsidR="00945826" w:rsidRPr="00853C5A">
        <w:rPr>
          <w:rFonts w:eastAsia="Times New Roman" w:cs="Times New Roman"/>
          <w:i/>
          <w:lang w:eastAsia="en-GB"/>
        </w:rPr>
        <w:t xml:space="preserve"> to </w:t>
      </w:r>
      <w:r w:rsidR="00BD6047">
        <w:rPr>
          <w:rFonts w:eastAsia="Times New Roman" w:cs="Times New Roman"/>
          <w:i/>
          <w:lang w:eastAsia="en-GB"/>
        </w:rPr>
        <w:t>increasing</w:t>
      </w:r>
      <w:r w:rsidR="00945826" w:rsidRPr="00853C5A">
        <w:rPr>
          <w:rFonts w:eastAsia="Times New Roman" w:cs="Times New Roman"/>
          <w:i/>
          <w:lang w:eastAsia="en-GB"/>
        </w:rPr>
        <w:t xml:space="preserve"> </w:t>
      </w:r>
      <w:r w:rsidR="009B7C43">
        <w:rPr>
          <w:rFonts w:eastAsia="Times New Roman" w:cs="Times New Roman"/>
          <w:i/>
          <w:lang w:eastAsia="en-GB"/>
        </w:rPr>
        <w:t>p</w:t>
      </w:r>
      <w:r w:rsidR="00945826" w:rsidRPr="00853C5A">
        <w:rPr>
          <w:rFonts w:eastAsia="Times New Roman" w:cs="Times New Roman"/>
          <w:i/>
          <w:lang w:eastAsia="en-GB"/>
        </w:rPr>
        <w:t xml:space="preserve">ublic </w:t>
      </w:r>
      <w:r w:rsidR="009B7C43">
        <w:rPr>
          <w:rFonts w:eastAsia="Times New Roman" w:cs="Times New Roman"/>
          <w:i/>
          <w:lang w:eastAsia="en-GB"/>
        </w:rPr>
        <w:t>h</w:t>
      </w:r>
      <w:r w:rsidR="00BD6047">
        <w:rPr>
          <w:rFonts w:eastAsia="Times New Roman" w:cs="Times New Roman"/>
          <w:i/>
          <w:lang w:eastAsia="en-GB"/>
        </w:rPr>
        <w:t xml:space="preserve">ealth integration and </w:t>
      </w:r>
      <w:r w:rsidR="00945826" w:rsidRPr="00853C5A">
        <w:rPr>
          <w:rFonts w:eastAsia="Times New Roman" w:cs="Times New Roman"/>
          <w:i/>
          <w:lang w:eastAsia="en-GB"/>
        </w:rPr>
        <w:t xml:space="preserve">collaboration </w:t>
      </w:r>
      <w:r w:rsidR="00BD6047">
        <w:rPr>
          <w:rFonts w:eastAsia="Times New Roman" w:cs="Times New Roman"/>
          <w:i/>
          <w:lang w:eastAsia="en-GB"/>
        </w:rPr>
        <w:t>in LAQM</w:t>
      </w:r>
      <w:r w:rsidR="00945826" w:rsidRPr="00853C5A">
        <w:rPr>
          <w:rFonts w:eastAsia="Times New Roman" w:cs="Times New Roman"/>
          <w:i/>
          <w:lang w:eastAsia="en-GB"/>
        </w:rPr>
        <w:t>, what do you think the solutions are?</w:t>
      </w:r>
      <w:r w:rsidR="00945826" w:rsidRPr="00853C5A">
        <w:rPr>
          <w:rFonts w:eastAsia="Times New Roman" w:cs="Times New Roman"/>
          <w:lang w:eastAsia="en-GB"/>
        </w:rPr>
        <w:t xml:space="preserve"> This </w:t>
      </w:r>
      <w:r w:rsidR="00F724AA" w:rsidRPr="00853C5A">
        <w:rPr>
          <w:rFonts w:eastAsia="Times New Roman" w:cs="Times New Roman"/>
          <w:lang w:eastAsia="en-GB"/>
        </w:rPr>
        <w:t xml:space="preserve">question </w:t>
      </w:r>
      <w:r w:rsidR="00945826" w:rsidRPr="00853C5A">
        <w:rPr>
          <w:rFonts w:eastAsia="Times New Roman" w:cs="Times New Roman"/>
          <w:lang w:eastAsia="en-GB"/>
        </w:rPr>
        <w:t xml:space="preserve">was </w:t>
      </w:r>
      <w:r w:rsidR="009B7C43">
        <w:rPr>
          <w:rFonts w:eastAsia="Times New Roman" w:cs="Times New Roman"/>
          <w:lang w:eastAsia="en-GB"/>
        </w:rPr>
        <w:t xml:space="preserve">asked </w:t>
      </w:r>
      <w:r w:rsidR="00BD6047">
        <w:rPr>
          <w:rFonts w:eastAsia="Times New Roman" w:cs="Times New Roman"/>
          <w:lang w:eastAsia="en-GB"/>
        </w:rPr>
        <w:t>in</w:t>
      </w:r>
      <w:r w:rsidR="00945826" w:rsidRPr="00853C5A">
        <w:rPr>
          <w:rFonts w:eastAsia="Times New Roman" w:cs="Times New Roman"/>
          <w:lang w:eastAsia="en-GB"/>
        </w:rPr>
        <w:t xml:space="preserve"> the second round</w:t>
      </w:r>
      <w:r w:rsidR="00661240" w:rsidRPr="00853C5A">
        <w:rPr>
          <w:rFonts w:eastAsia="Times New Roman" w:cs="Times New Roman"/>
          <w:lang w:eastAsia="en-GB"/>
        </w:rPr>
        <w:t xml:space="preserve"> </w:t>
      </w:r>
      <w:r w:rsidR="00BD6047">
        <w:rPr>
          <w:rFonts w:eastAsia="Times New Roman" w:cs="Times New Roman"/>
          <w:lang w:eastAsia="en-GB"/>
        </w:rPr>
        <w:t xml:space="preserve">because </w:t>
      </w:r>
      <w:r w:rsidR="00F724AA" w:rsidRPr="00853C5A">
        <w:rPr>
          <w:rFonts w:eastAsia="Times New Roman" w:cs="Times New Roman"/>
          <w:lang w:eastAsia="en-GB"/>
        </w:rPr>
        <w:t xml:space="preserve">panellists </w:t>
      </w:r>
      <w:r w:rsidR="009B7C43">
        <w:rPr>
          <w:rFonts w:eastAsia="Times New Roman" w:cs="Times New Roman"/>
          <w:lang w:eastAsia="en-GB"/>
        </w:rPr>
        <w:t xml:space="preserve">needed </w:t>
      </w:r>
      <w:r w:rsidR="00F724AA" w:rsidRPr="00853C5A">
        <w:rPr>
          <w:rFonts w:eastAsia="Times New Roman" w:cs="Times New Roman"/>
          <w:lang w:eastAsia="en-GB"/>
        </w:rPr>
        <w:t xml:space="preserve">to </w:t>
      </w:r>
      <w:r w:rsidR="00BD6047">
        <w:rPr>
          <w:rFonts w:eastAsia="Times New Roman" w:cs="Times New Roman"/>
          <w:lang w:eastAsia="en-GB"/>
        </w:rPr>
        <w:t>be aware of</w:t>
      </w:r>
      <w:r w:rsidR="00945826" w:rsidRPr="00853C5A">
        <w:rPr>
          <w:rFonts w:eastAsia="Times New Roman" w:cs="Times New Roman"/>
          <w:lang w:eastAsia="en-GB"/>
        </w:rPr>
        <w:t xml:space="preserve"> </w:t>
      </w:r>
      <w:r w:rsidR="004C5C76">
        <w:rPr>
          <w:rFonts w:eastAsia="Times New Roman" w:cs="Times New Roman"/>
          <w:lang w:eastAsia="en-GB"/>
        </w:rPr>
        <w:t xml:space="preserve">suggested </w:t>
      </w:r>
      <w:r w:rsidR="00945826" w:rsidRPr="009B7C43">
        <w:rPr>
          <w:rFonts w:eastAsia="Times New Roman" w:cs="Times New Roman"/>
          <w:i/>
          <w:lang w:eastAsia="en-GB"/>
        </w:rPr>
        <w:t xml:space="preserve">barriers </w:t>
      </w:r>
      <w:r w:rsidR="00BD6047">
        <w:rPr>
          <w:rFonts w:eastAsia="Times New Roman" w:cs="Times New Roman"/>
          <w:lang w:eastAsia="en-GB"/>
        </w:rPr>
        <w:t xml:space="preserve">before </w:t>
      </w:r>
      <w:r w:rsidR="004C5C76">
        <w:rPr>
          <w:rFonts w:eastAsia="Times New Roman" w:cs="Times New Roman"/>
          <w:lang w:eastAsia="en-GB"/>
        </w:rPr>
        <w:t xml:space="preserve">proposing </w:t>
      </w:r>
      <w:r w:rsidR="00945826" w:rsidRPr="009B7C43">
        <w:rPr>
          <w:rFonts w:eastAsia="Times New Roman" w:cs="Times New Roman"/>
          <w:i/>
          <w:lang w:eastAsia="en-GB"/>
        </w:rPr>
        <w:t>solutions</w:t>
      </w:r>
      <w:r w:rsidR="00945826" w:rsidRPr="00853C5A">
        <w:rPr>
          <w:rFonts w:eastAsia="Times New Roman" w:cs="Times New Roman"/>
          <w:lang w:eastAsia="en-GB"/>
        </w:rPr>
        <w:t>.</w:t>
      </w:r>
    </w:p>
    <w:p w:rsidR="00F41631" w:rsidRPr="00853C5A" w:rsidRDefault="009B7C43" w:rsidP="00853C5A">
      <w:pPr>
        <w:rPr>
          <w:rFonts w:eastAsia="Times New Roman" w:cs="Times New Roman"/>
          <w:lang w:eastAsia="en-GB"/>
        </w:rPr>
      </w:pPr>
      <w:r>
        <w:rPr>
          <w:rFonts w:eastAsia="Times New Roman" w:cs="Times New Roman"/>
          <w:lang w:eastAsia="en-GB"/>
        </w:rPr>
        <w:t>I</w:t>
      </w:r>
      <w:r w:rsidR="00945826" w:rsidRPr="00853C5A">
        <w:rPr>
          <w:rFonts w:eastAsia="Times New Roman" w:cs="Times New Roman"/>
          <w:lang w:eastAsia="en-GB"/>
        </w:rPr>
        <w:t>ndividual-level qu</w:t>
      </w:r>
      <w:r w:rsidR="006F43CB">
        <w:rPr>
          <w:rFonts w:eastAsia="Times New Roman" w:cs="Times New Roman"/>
          <w:lang w:eastAsia="en-GB"/>
        </w:rPr>
        <w:t xml:space="preserve">alitative data obtained from the </w:t>
      </w:r>
      <w:r w:rsidR="00945826" w:rsidRPr="00853C5A">
        <w:rPr>
          <w:rFonts w:eastAsia="Times New Roman" w:cs="Times New Roman"/>
          <w:lang w:eastAsia="en-GB"/>
        </w:rPr>
        <w:t xml:space="preserve">open-ended question were </w:t>
      </w:r>
      <w:r w:rsidR="00BF57E9">
        <w:rPr>
          <w:rFonts w:eastAsia="Times New Roman" w:cs="Times New Roman"/>
          <w:lang w:eastAsia="en-GB"/>
        </w:rPr>
        <w:t>subject to thematic analysis</w:t>
      </w:r>
      <w:r w:rsidR="006F43CB">
        <w:rPr>
          <w:rFonts w:eastAsia="Times New Roman" w:cs="Times New Roman"/>
          <w:lang w:eastAsia="en-GB"/>
        </w:rPr>
        <w:t xml:space="preserve"> as in the first round</w:t>
      </w:r>
      <w:r w:rsidR="00945826" w:rsidRPr="00853C5A">
        <w:rPr>
          <w:rFonts w:eastAsia="Times New Roman" w:cs="Times New Roman"/>
          <w:lang w:eastAsia="en-GB"/>
        </w:rPr>
        <w:t>.</w:t>
      </w:r>
      <w:r w:rsidR="00F41631" w:rsidRPr="00853C5A">
        <w:rPr>
          <w:rFonts w:eastAsia="Times New Roman" w:cs="Times New Roman"/>
          <w:lang w:eastAsia="en-GB"/>
        </w:rPr>
        <w:t xml:space="preserve"> </w:t>
      </w:r>
      <w:r w:rsidR="006F43CB">
        <w:rPr>
          <w:rFonts w:eastAsia="Times New Roman" w:cs="Times New Roman"/>
          <w:lang w:eastAsia="en-GB"/>
        </w:rPr>
        <w:t>Q</w:t>
      </w:r>
      <w:r w:rsidR="00945826" w:rsidRPr="00853C5A">
        <w:rPr>
          <w:rFonts w:eastAsia="Times New Roman" w:cs="Times New Roman"/>
          <w:lang w:eastAsia="en-GB"/>
        </w:rPr>
        <w:t>uantitative</w:t>
      </w:r>
      <w:r w:rsidR="009C5D92" w:rsidRPr="00853C5A">
        <w:rPr>
          <w:rFonts w:eastAsia="Times New Roman" w:cs="Times New Roman"/>
          <w:lang w:eastAsia="en-GB"/>
        </w:rPr>
        <w:t xml:space="preserve"> </w:t>
      </w:r>
      <w:r w:rsidR="00945826" w:rsidRPr="00853C5A">
        <w:rPr>
          <w:rFonts w:eastAsia="Times New Roman" w:cs="Times New Roman"/>
          <w:lang w:eastAsia="en-GB"/>
        </w:rPr>
        <w:t xml:space="preserve">data generated </w:t>
      </w:r>
      <w:r w:rsidR="006F43CB">
        <w:rPr>
          <w:rFonts w:eastAsia="Times New Roman" w:cs="Times New Roman"/>
          <w:lang w:eastAsia="en-GB"/>
        </w:rPr>
        <w:t xml:space="preserve"> </w:t>
      </w:r>
      <w:r w:rsidR="007E38A5">
        <w:rPr>
          <w:rFonts w:eastAsia="Times New Roman" w:cs="Times New Roman"/>
          <w:lang w:eastAsia="en-GB"/>
        </w:rPr>
        <w:t xml:space="preserve">for </w:t>
      </w:r>
      <w:r>
        <w:rPr>
          <w:rFonts w:eastAsia="Times New Roman" w:cs="Times New Roman"/>
          <w:lang w:eastAsia="en-GB"/>
        </w:rPr>
        <w:t>each item</w:t>
      </w:r>
      <w:r w:rsidRPr="00853C5A">
        <w:rPr>
          <w:rFonts w:eastAsia="Times New Roman" w:cs="Times New Roman"/>
          <w:lang w:eastAsia="en-GB"/>
        </w:rPr>
        <w:t xml:space="preserve"> </w:t>
      </w:r>
      <w:r w:rsidR="006F43CB">
        <w:rPr>
          <w:rFonts w:eastAsia="Times New Roman" w:cs="Times New Roman"/>
          <w:lang w:eastAsia="en-GB"/>
        </w:rPr>
        <w:t xml:space="preserve">listed </w:t>
      </w:r>
      <w:r w:rsidR="00BF57E9">
        <w:rPr>
          <w:rFonts w:eastAsia="Times New Roman" w:cs="Times New Roman"/>
          <w:lang w:eastAsia="en-GB"/>
        </w:rPr>
        <w:t xml:space="preserve">(i.e. </w:t>
      </w:r>
      <w:proofErr w:type="spellStart"/>
      <w:r w:rsidR="00BF57E9">
        <w:rPr>
          <w:rFonts w:eastAsia="Times New Roman" w:cs="Times New Roman"/>
          <w:lang w:eastAsia="en-GB"/>
        </w:rPr>
        <w:t>Likert</w:t>
      </w:r>
      <w:proofErr w:type="spellEnd"/>
      <w:r w:rsidR="00BF57E9">
        <w:rPr>
          <w:rFonts w:eastAsia="Times New Roman" w:cs="Times New Roman"/>
          <w:lang w:eastAsia="en-GB"/>
        </w:rPr>
        <w:t xml:space="preserve"> scale responses) </w:t>
      </w:r>
      <w:r w:rsidR="00945826" w:rsidRPr="00853C5A">
        <w:rPr>
          <w:rFonts w:eastAsia="Times New Roman" w:cs="Times New Roman"/>
          <w:lang w:eastAsia="en-GB"/>
        </w:rPr>
        <w:t>were</w:t>
      </w:r>
      <w:r w:rsidR="00BF57E9">
        <w:rPr>
          <w:rFonts w:eastAsia="Times New Roman" w:cs="Times New Roman"/>
          <w:lang w:eastAsia="en-GB"/>
        </w:rPr>
        <w:t xml:space="preserve"> </w:t>
      </w:r>
      <w:r w:rsidR="00945826" w:rsidRPr="00853C5A">
        <w:rPr>
          <w:rFonts w:eastAsia="Times New Roman" w:cs="Times New Roman"/>
          <w:lang w:eastAsia="en-GB"/>
        </w:rPr>
        <w:t xml:space="preserve">analysed at </w:t>
      </w:r>
      <w:r w:rsidR="00BA578A" w:rsidRPr="00853C5A">
        <w:rPr>
          <w:rFonts w:eastAsia="Times New Roman" w:cs="Times New Roman"/>
          <w:lang w:eastAsia="en-GB"/>
        </w:rPr>
        <w:t xml:space="preserve">the </w:t>
      </w:r>
      <w:r w:rsidR="00945826" w:rsidRPr="00853C5A">
        <w:rPr>
          <w:rFonts w:eastAsia="Times New Roman" w:cs="Times New Roman"/>
          <w:lang w:eastAsia="en-GB"/>
        </w:rPr>
        <w:t>sub-panel</w:t>
      </w:r>
      <w:r w:rsidR="007E38A5">
        <w:rPr>
          <w:rFonts w:eastAsia="Times New Roman" w:cs="Times New Roman"/>
          <w:lang w:eastAsia="en-GB"/>
        </w:rPr>
        <w:t xml:space="preserve"> level; this approach prevented </w:t>
      </w:r>
      <w:r w:rsidR="005828B9">
        <w:rPr>
          <w:rFonts w:eastAsia="Times New Roman" w:cs="Times New Roman"/>
          <w:lang w:eastAsia="en-GB"/>
        </w:rPr>
        <w:t xml:space="preserve">one group’s opinions </w:t>
      </w:r>
      <w:r w:rsidR="00C779B8">
        <w:rPr>
          <w:rFonts w:eastAsia="Times New Roman" w:cs="Times New Roman"/>
          <w:lang w:eastAsia="en-GB"/>
        </w:rPr>
        <w:t xml:space="preserve">influencing </w:t>
      </w:r>
      <w:r w:rsidR="007E38A5">
        <w:rPr>
          <w:rFonts w:eastAsia="Times New Roman" w:cs="Times New Roman"/>
          <w:lang w:eastAsia="en-GB"/>
        </w:rPr>
        <w:t xml:space="preserve">other’s (and consequently biasing outcomes), </w:t>
      </w:r>
      <w:r w:rsidR="00945826" w:rsidRPr="00853C5A">
        <w:rPr>
          <w:rFonts w:eastAsia="Times New Roman" w:cs="Times New Roman"/>
          <w:lang w:eastAsia="en-GB"/>
        </w:rPr>
        <w:t>facilitate</w:t>
      </w:r>
      <w:r w:rsidR="007E38A5">
        <w:rPr>
          <w:rFonts w:eastAsia="Times New Roman" w:cs="Times New Roman"/>
          <w:lang w:eastAsia="en-GB"/>
        </w:rPr>
        <w:t>d</w:t>
      </w:r>
      <w:r w:rsidR="00945826" w:rsidRPr="00853C5A">
        <w:rPr>
          <w:rFonts w:eastAsia="Times New Roman" w:cs="Times New Roman"/>
          <w:lang w:eastAsia="en-GB"/>
        </w:rPr>
        <w:t xml:space="preserve"> </w:t>
      </w:r>
      <w:r w:rsidR="007E38A5">
        <w:rPr>
          <w:rFonts w:eastAsia="Times New Roman" w:cs="Times New Roman"/>
          <w:lang w:eastAsia="en-GB"/>
        </w:rPr>
        <w:t>ultimate sub-panel</w:t>
      </w:r>
      <w:r w:rsidR="00945826" w:rsidRPr="00853C5A">
        <w:rPr>
          <w:rFonts w:eastAsia="Times New Roman" w:cs="Times New Roman"/>
          <w:lang w:eastAsia="en-GB"/>
        </w:rPr>
        <w:t xml:space="preserve"> c</w:t>
      </w:r>
      <w:r w:rsidR="00F41631" w:rsidRPr="00853C5A">
        <w:rPr>
          <w:rFonts w:eastAsia="Times New Roman" w:cs="Times New Roman"/>
          <w:lang w:eastAsia="en-GB"/>
        </w:rPr>
        <w:t>omparison</w:t>
      </w:r>
      <w:r w:rsidR="00BF57E9">
        <w:rPr>
          <w:rFonts w:eastAsia="Times New Roman" w:cs="Times New Roman"/>
          <w:lang w:eastAsia="en-GB"/>
        </w:rPr>
        <w:t xml:space="preserve"> and capture</w:t>
      </w:r>
      <w:r w:rsidR="007E38A5">
        <w:rPr>
          <w:rFonts w:eastAsia="Times New Roman" w:cs="Times New Roman"/>
          <w:lang w:eastAsia="en-GB"/>
        </w:rPr>
        <w:t>d</w:t>
      </w:r>
      <w:r w:rsidR="009C5D92" w:rsidRPr="00853C5A">
        <w:rPr>
          <w:rFonts w:eastAsia="Times New Roman" w:cs="Times New Roman"/>
          <w:lang w:eastAsia="en-GB"/>
        </w:rPr>
        <w:t xml:space="preserve"> differences in </w:t>
      </w:r>
      <w:r w:rsidR="00BF57E9">
        <w:rPr>
          <w:rFonts w:eastAsia="Times New Roman" w:cs="Times New Roman"/>
          <w:lang w:eastAsia="en-GB"/>
        </w:rPr>
        <w:t xml:space="preserve">group </w:t>
      </w:r>
      <w:r w:rsidR="009C5D92" w:rsidRPr="00853C5A">
        <w:rPr>
          <w:rFonts w:eastAsia="Times New Roman" w:cs="Times New Roman"/>
          <w:lang w:eastAsia="en-GB"/>
        </w:rPr>
        <w:t xml:space="preserve">perspectives </w:t>
      </w:r>
      <w:r w:rsidR="00BF57E9">
        <w:rPr>
          <w:rFonts w:eastAsia="Times New Roman" w:cs="Times New Roman"/>
          <w:lang w:eastAsia="en-GB"/>
        </w:rPr>
        <w:t xml:space="preserve">that </w:t>
      </w:r>
      <w:r w:rsidR="00F41631" w:rsidRPr="00853C5A">
        <w:rPr>
          <w:rFonts w:eastAsia="Times New Roman" w:cs="Times New Roman"/>
          <w:lang w:eastAsia="en-GB"/>
        </w:rPr>
        <w:t>may have important implications for policy and practice</w:t>
      </w:r>
      <w:r w:rsidR="009C5D92" w:rsidRPr="00853C5A">
        <w:rPr>
          <w:rFonts w:eastAsia="Times New Roman" w:cs="Times New Roman"/>
          <w:lang w:eastAsia="en-GB"/>
        </w:rPr>
        <w:t xml:space="preserve"> </w:t>
      </w:r>
      <w:r w:rsidR="007E38A5">
        <w:rPr>
          <w:rFonts w:eastAsia="Times New Roman" w:cs="Times New Roman"/>
          <w:lang w:eastAsia="en-GB"/>
        </w:rPr>
        <w:t xml:space="preserve">in different disciplines </w:t>
      </w:r>
      <w:r w:rsidR="009C5D92" w:rsidRPr="00853C5A">
        <w:rPr>
          <w:rFonts w:eastAsia="Times New Roman" w:cs="Times New Roman"/>
          <w:lang w:eastAsia="en-GB"/>
        </w:rPr>
        <w:t>(</w:t>
      </w:r>
      <w:r>
        <w:rPr>
          <w:rFonts w:eastAsia="Times New Roman" w:cs="Times New Roman"/>
          <w:color w:val="00B050"/>
          <w:lang w:eastAsia="en-GB"/>
        </w:rPr>
        <w:t xml:space="preserve">Keeney </w:t>
      </w:r>
      <w:r>
        <w:rPr>
          <w:rFonts w:eastAsia="Times New Roman" w:cs="Times New Roman"/>
          <w:i/>
          <w:color w:val="00B050"/>
          <w:lang w:eastAsia="en-GB"/>
        </w:rPr>
        <w:t>et al</w:t>
      </w:r>
      <w:r>
        <w:rPr>
          <w:rFonts w:eastAsia="Times New Roman" w:cs="Times New Roman"/>
          <w:color w:val="00B050"/>
          <w:lang w:eastAsia="en-GB"/>
        </w:rPr>
        <w:t>., 2011</w:t>
      </w:r>
      <w:r w:rsidR="009C5D92" w:rsidRPr="00853C5A">
        <w:rPr>
          <w:rFonts w:eastAsia="Times New Roman" w:cs="Times New Roman"/>
          <w:lang w:eastAsia="en-GB"/>
        </w:rPr>
        <w:t>)</w:t>
      </w:r>
      <w:r w:rsidR="00F41631" w:rsidRPr="00853C5A">
        <w:rPr>
          <w:rFonts w:eastAsia="Times New Roman" w:cs="Times New Roman"/>
          <w:lang w:eastAsia="en-GB"/>
        </w:rPr>
        <w:t>.</w:t>
      </w:r>
    </w:p>
    <w:p w:rsidR="000F3C33" w:rsidRPr="00853C5A" w:rsidRDefault="00BF57E9" w:rsidP="00D35199">
      <w:pPr>
        <w:rPr>
          <w:rFonts w:cs="AdvP641C"/>
        </w:rPr>
      </w:pPr>
      <w:r>
        <w:rPr>
          <w:bCs/>
        </w:rPr>
        <w:t>C</w:t>
      </w:r>
      <w:r w:rsidR="007374B5" w:rsidRPr="00853C5A">
        <w:rPr>
          <w:bCs/>
        </w:rPr>
        <w:t>onsensus</w:t>
      </w:r>
      <w:r>
        <w:rPr>
          <w:bCs/>
        </w:rPr>
        <w:t xml:space="preserve"> was measured </w:t>
      </w:r>
      <w:r w:rsidR="009B7C43">
        <w:rPr>
          <w:bCs/>
        </w:rPr>
        <w:t>using</w:t>
      </w:r>
      <w:r>
        <w:rPr>
          <w:bCs/>
        </w:rPr>
        <w:t xml:space="preserve"> </w:t>
      </w:r>
      <w:r w:rsidR="00090529" w:rsidRPr="00853C5A">
        <w:rPr>
          <w:bCs/>
        </w:rPr>
        <w:t>descriptive statistics</w:t>
      </w:r>
      <w:r w:rsidR="009B7C43">
        <w:rPr>
          <w:bCs/>
        </w:rPr>
        <w:t xml:space="preserve"> rather than</w:t>
      </w:r>
      <w:r w:rsidR="00090529" w:rsidRPr="00853C5A">
        <w:rPr>
          <w:bCs/>
        </w:rPr>
        <w:t xml:space="preserve"> pre-agreed </w:t>
      </w:r>
      <w:r w:rsidR="00160F94">
        <w:rPr>
          <w:bCs/>
        </w:rPr>
        <w:t xml:space="preserve">agreement </w:t>
      </w:r>
      <w:r w:rsidR="00AB3537">
        <w:rPr>
          <w:bCs/>
        </w:rPr>
        <w:t xml:space="preserve">levels </w:t>
      </w:r>
      <w:r w:rsidR="00160F94">
        <w:rPr>
          <w:bCs/>
        </w:rPr>
        <w:t>(or majority rule)</w:t>
      </w:r>
      <w:r w:rsidR="009B7C43">
        <w:rPr>
          <w:bCs/>
        </w:rPr>
        <w:t>; the latter</w:t>
      </w:r>
      <w:r w:rsidR="00507162">
        <w:rPr>
          <w:bCs/>
        </w:rPr>
        <w:t xml:space="preserve"> </w:t>
      </w:r>
      <w:r w:rsidR="00D35199">
        <w:rPr>
          <w:bCs/>
        </w:rPr>
        <w:t xml:space="preserve">are </w:t>
      </w:r>
      <w:r w:rsidR="00507162">
        <w:rPr>
          <w:bCs/>
        </w:rPr>
        <w:t>often</w:t>
      </w:r>
      <w:r w:rsidR="00090529" w:rsidRPr="00853C5A">
        <w:rPr>
          <w:bCs/>
        </w:rPr>
        <w:t xml:space="preserve"> arbitrary</w:t>
      </w:r>
      <w:r w:rsidR="00507162">
        <w:rPr>
          <w:bCs/>
        </w:rPr>
        <w:t xml:space="preserve"> and considered subjective</w:t>
      </w:r>
      <w:r w:rsidR="00090529" w:rsidRPr="00853C5A">
        <w:rPr>
          <w:bCs/>
        </w:rPr>
        <w:t xml:space="preserve"> and scientifically questionable </w:t>
      </w:r>
      <w:r w:rsidR="00DD1C78" w:rsidRPr="00853C5A">
        <w:rPr>
          <w:bCs/>
        </w:rPr>
        <w:t>(</w:t>
      </w:r>
      <w:r w:rsidR="00DD1C78" w:rsidRPr="00507162">
        <w:rPr>
          <w:bCs/>
          <w:color w:val="00B050"/>
        </w:rPr>
        <w:t xml:space="preserve">Von </w:t>
      </w:r>
      <w:proofErr w:type="spellStart"/>
      <w:r w:rsidR="00DD1C78" w:rsidRPr="00507162">
        <w:rPr>
          <w:bCs/>
          <w:color w:val="00B050"/>
        </w:rPr>
        <w:t>der</w:t>
      </w:r>
      <w:proofErr w:type="spellEnd"/>
      <w:r w:rsidR="00DD1C78" w:rsidRPr="00507162">
        <w:rPr>
          <w:bCs/>
          <w:color w:val="00B050"/>
        </w:rPr>
        <w:t xml:space="preserve"> </w:t>
      </w:r>
      <w:proofErr w:type="spellStart"/>
      <w:r w:rsidR="00DD1C78" w:rsidRPr="00507162">
        <w:rPr>
          <w:bCs/>
          <w:color w:val="00B050"/>
        </w:rPr>
        <w:t>Gracht</w:t>
      </w:r>
      <w:proofErr w:type="spellEnd"/>
      <w:r w:rsidR="00DD1C78" w:rsidRPr="00507162">
        <w:rPr>
          <w:bCs/>
          <w:color w:val="00B050"/>
        </w:rPr>
        <w:t>, 2012</w:t>
      </w:r>
      <w:r w:rsidR="00DD1C78" w:rsidRPr="00853C5A">
        <w:rPr>
          <w:bCs/>
        </w:rPr>
        <w:t xml:space="preserve">). </w:t>
      </w:r>
      <w:r w:rsidR="009B7C43">
        <w:rPr>
          <w:bCs/>
        </w:rPr>
        <w:t>T</w:t>
      </w:r>
      <w:r w:rsidR="00507162">
        <w:rPr>
          <w:bCs/>
        </w:rPr>
        <w:t xml:space="preserve">he </w:t>
      </w:r>
      <w:r w:rsidR="000C58F2" w:rsidRPr="00853C5A">
        <w:rPr>
          <w:bCs/>
          <w:i/>
        </w:rPr>
        <w:t>median</w:t>
      </w:r>
      <w:r w:rsidR="0062754B" w:rsidRPr="00853C5A">
        <w:rPr>
          <w:bCs/>
        </w:rPr>
        <w:t xml:space="preserve"> (the </w:t>
      </w:r>
      <w:r w:rsidR="00C216DE" w:rsidRPr="00853C5A">
        <w:rPr>
          <w:bCs/>
        </w:rPr>
        <w:t>50</w:t>
      </w:r>
      <w:r w:rsidR="00C216DE" w:rsidRPr="00853C5A">
        <w:rPr>
          <w:bCs/>
          <w:vertAlign w:val="superscript"/>
        </w:rPr>
        <w:t>th</w:t>
      </w:r>
      <w:r w:rsidR="00C216DE" w:rsidRPr="00853C5A">
        <w:rPr>
          <w:bCs/>
        </w:rPr>
        <w:t xml:space="preserve"> percentile</w:t>
      </w:r>
      <w:r w:rsidR="0062754B" w:rsidRPr="00853C5A">
        <w:rPr>
          <w:bCs/>
        </w:rPr>
        <w:t>)</w:t>
      </w:r>
      <w:r w:rsidR="00DD1C78" w:rsidRPr="00853C5A">
        <w:rPr>
          <w:bCs/>
        </w:rPr>
        <w:t xml:space="preserve"> was </w:t>
      </w:r>
      <w:r w:rsidR="00104275">
        <w:rPr>
          <w:bCs/>
        </w:rPr>
        <w:t xml:space="preserve">selected as the measure of central </w:t>
      </w:r>
      <w:r w:rsidR="00104275">
        <w:rPr>
          <w:bCs/>
        </w:rPr>
        <w:lastRenderedPageBreak/>
        <w:t>tendency</w:t>
      </w:r>
      <w:r w:rsidR="009B7C43">
        <w:rPr>
          <w:bCs/>
        </w:rPr>
        <w:t xml:space="preserve"> since it is the</w:t>
      </w:r>
      <w:r w:rsidR="00104275">
        <w:rPr>
          <w:bCs/>
        </w:rPr>
        <w:t xml:space="preserve"> </w:t>
      </w:r>
      <w:r w:rsidR="00104275" w:rsidRPr="00853C5A">
        <w:rPr>
          <w:bCs/>
        </w:rPr>
        <w:t xml:space="preserve">appropriate </w:t>
      </w:r>
      <w:r w:rsidR="00104275">
        <w:rPr>
          <w:bCs/>
        </w:rPr>
        <w:t xml:space="preserve">measure </w:t>
      </w:r>
      <w:r w:rsidR="009B7C43">
        <w:rPr>
          <w:bCs/>
        </w:rPr>
        <w:t xml:space="preserve">to use </w:t>
      </w:r>
      <w:r w:rsidR="00104275" w:rsidRPr="00853C5A">
        <w:rPr>
          <w:bCs/>
        </w:rPr>
        <w:t xml:space="preserve">for </w:t>
      </w:r>
      <w:r w:rsidR="00104275">
        <w:rPr>
          <w:bCs/>
        </w:rPr>
        <w:t>ordinal data</w:t>
      </w:r>
      <w:r w:rsidR="00104275" w:rsidRPr="00853C5A">
        <w:rPr>
          <w:bCs/>
        </w:rPr>
        <w:t xml:space="preserve"> from scales with </w:t>
      </w:r>
      <w:r w:rsidR="00104275">
        <w:rPr>
          <w:bCs/>
        </w:rPr>
        <w:t>more than a few</w:t>
      </w:r>
      <w:r w:rsidR="00104275" w:rsidRPr="00853C5A">
        <w:rPr>
          <w:bCs/>
        </w:rPr>
        <w:t xml:space="preserve"> values</w:t>
      </w:r>
      <w:r w:rsidR="00104275">
        <w:rPr>
          <w:bCs/>
        </w:rPr>
        <w:t xml:space="preserve"> and </w:t>
      </w:r>
      <w:r w:rsidR="00890581">
        <w:rPr>
          <w:bCs/>
        </w:rPr>
        <w:t>avoids</w:t>
      </w:r>
      <w:r w:rsidR="00104275">
        <w:rPr>
          <w:bCs/>
        </w:rPr>
        <w:t xml:space="preserve"> </w:t>
      </w:r>
      <w:r w:rsidR="00104275" w:rsidRPr="00853C5A">
        <w:rPr>
          <w:bCs/>
        </w:rPr>
        <w:t xml:space="preserve">problems </w:t>
      </w:r>
      <w:r w:rsidR="00890581">
        <w:rPr>
          <w:bCs/>
        </w:rPr>
        <w:t>associated with</w:t>
      </w:r>
      <w:r w:rsidR="00104275" w:rsidRPr="00853C5A">
        <w:rPr>
          <w:bCs/>
        </w:rPr>
        <w:t xml:space="preserve"> data outliers (</w:t>
      </w:r>
      <w:proofErr w:type="spellStart"/>
      <w:r w:rsidR="008B70F0" w:rsidRPr="00104275">
        <w:rPr>
          <w:bCs/>
          <w:color w:val="00B050"/>
        </w:rPr>
        <w:t>Argyrous</w:t>
      </w:r>
      <w:proofErr w:type="spellEnd"/>
      <w:r w:rsidR="008B70F0" w:rsidRPr="00104275">
        <w:rPr>
          <w:bCs/>
          <w:color w:val="00B050"/>
        </w:rPr>
        <w:t>, 2005</w:t>
      </w:r>
      <w:r w:rsidR="008B70F0">
        <w:rPr>
          <w:bCs/>
          <w:color w:val="00B050"/>
        </w:rPr>
        <w:t xml:space="preserve">; </w:t>
      </w:r>
      <w:r w:rsidR="008B70F0" w:rsidRPr="00104275">
        <w:rPr>
          <w:bCs/>
          <w:color w:val="00B050"/>
        </w:rPr>
        <w:t>Gordon, 2003</w:t>
      </w:r>
      <w:r w:rsidR="008B70F0" w:rsidRPr="00853C5A">
        <w:rPr>
          <w:bCs/>
        </w:rPr>
        <w:t>;</w:t>
      </w:r>
      <w:r w:rsidR="008B70F0">
        <w:rPr>
          <w:bCs/>
        </w:rPr>
        <w:t xml:space="preserve"> </w:t>
      </w:r>
      <w:r w:rsidR="00104275" w:rsidRPr="00104275">
        <w:rPr>
          <w:bCs/>
          <w:color w:val="00B050"/>
        </w:rPr>
        <w:t>Jacobs, 1996</w:t>
      </w:r>
      <w:r w:rsidR="00104275" w:rsidRPr="00853C5A">
        <w:rPr>
          <w:bCs/>
        </w:rPr>
        <w:t>).</w:t>
      </w:r>
      <w:r w:rsidR="00104275">
        <w:rPr>
          <w:bCs/>
        </w:rPr>
        <w:t xml:space="preserve"> </w:t>
      </w:r>
      <w:r w:rsidR="00F353C0" w:rsidRPr="00853C5A">
        <w:rPr>
          <w:bCs/>
        </w:rPr>
        <w:t xml:space="preserve">The </w:t>
      </w:r>
      <w:r w:rsidR="00EC78AF">
        <w:rPr>
          <w:bCs/>
          <w:i/>
        </w:rPr>
        <w:t>inter-quartile range</w:t>
      </w:r>
      <w:r w:rsidR="00EC78AF">
        <w:rPr>
          <w:bCs/>
        </w:rPr>
        <w:t xml:space="preserve"> (IQR) </w:t>
      </w:r>
      <w:r w:rsidR="00890581">
        <w:rPr>
          <w:bCs/>
        </w:rPr>
        <w:t xml:space="preserve">- considered the </w:t>
      </w:r>
      <w:r w:rsidR="00890581" w:rsidRPr="00853C5A">
        <w:rPr>
          <w:rFonts w:cs="TimesNewRomanPSMT"/>
        </w:rPr>
        <w:t xml:space="preserve">most objective and rigorous </w:t>
      </w:r>
      <w:r w:rsidR="00890581">
        <w:rPr>
          <w:rFonts w:cs="TimesNewRomanPSMT"/>
        </w:rPr>
        <w:t>method</w:t>
      </w:r>
      <w:r w:rsidR="00890581" w:rsidRPr="00853C5A">
        <w:rPr>
          <w:rFonts w:cs="TimesNewRomanPSMT"/>
        </w:rPr>
        <w:t xml:space="preserve"> of determining consensus (</w:t>
      </w:r>
      <w:r w:rsidR="00890581" w:rsidRPr="00287224">
        <w:rPr>
          <w:rFonts w:cs="TimesNewRomanPSMT"/>
          <w:color w:val="00B050"/>
        </w:rPr>
        <w:t xml:space="preserve">von </w:t>
      </w:r>
      <w:proofErr w:type="spellStart"/>
      <w:r w:rsidR="00890581" w:rsidRPr="00287224">
        <w:rPr>
          <w:rFonts w:cs="TimesNewRomanPSMT"/>
          <w:color w:val="00B050"/>
        </w:rPr>
        <w:t>der</w:t>
      </w:r>
      <w:proofErr w:type="spellEnd"/>
      <w:r w:rsidR="00890581" w:rsidRPr="00287224">
        <w:rPr>
          <w:rFonts w:cs="TimesNewRomanPSMT"/>
          <w:color w:val="00B050"/>
        </w:rPr>
        <w:t xml:space="preserve"> </w:t>
      </w:r>
      <w:proofErr w:type="spellStart"/>
      <w:r w:rsidR="00890581" w:rsidRPr="00287224">
        <w:rPr>
          <w:rFonts w:cs="TimesNewRomanPSMT"/>
          <w:color w:val="00B050"/>
        </w:rPr>
        <w:t>Gracht</w:t>
      </w:r>
      <w:proofErr w:type="spellEnd"/>
      <w:r w:rsidR="00890581" w:rsidRPr="00287224">
        <w:rPr>
          <w:rFonts w:cs="TimesNewRomanPSMT"/>
          <w:color w:val="00B050"/>
        </w:rPr>
        <w:t>, 2012</w:t>
      </w:r>
      <w:r w:rsidR="00890581" w:rsidRPr="00853C5A">
        <w:rPr>
          <w:rFonts w:cs="TimesNewRomanPSMT"/>
        </w:rPr>
        <w:t>)</w:t>
      </w:r>
      <w:r w:rsidR="00890581">
        <w:rPr>
          <w:bCs/>
        </w:rPr>
        <w:t xml:space="preserve"> -</w:t>
      </w:r>
      <w:r w:rsidR="00890581" w:rsidRPr="00853C5A">
        <w:rPr>
          <w:bCs/>
        </w:rPr>
        <w:t xml:space="preserve"> </w:t>
      </w:r>
      <w:r w:rsidR="00890581">
        <w:rPr>
          <w:bCs/>
        </w:rPr>
        <w:t xml:space="preserve"> was used to measure</w:t>
      </w:r>
      <w:r w:rsidR="00287224">
        <w:rPr>
          <w:bCs/>
        </w:rPr>
        <w:t xml:space="preserve"> </w:t>
      </w:r>
      <w:r w:rsidR="00890581">
        <w:rPr>
          <w:bCs/>
        </w:rPr>
        <w:t xml:space="preserve">data </w:t>
      </w:r>
      <w:r w:rsidR="00287224" w:rsidRPr="00853C5A">
        <w:rPr>
          <w:bCs/>
        </w:rPr>
        <w:t xml:space="preserve">dispersion </w:t>
      </w:r>
      <w:r w:rsidR="00890581">
        <w:rPr>
          <w:bCs/>
        </w:rPr>
        <w:t xml:space="preserve">around the </w:t>
      </w:r>
      <w:r w:rsidR="00890581">
        <w:rPr>
          <w:bCs/>
          <w:i/>
        </w:rPr>
        <w:t xml:space="preserve">median </w:t>
      </w:r>
      <w:r w:rsidR="00890581">
        <w:rPr>
          <w:bCs/>
        </w:rPr>
        <w:t>and</w:t>
      </w:r>
      <w:r w:rsidR="00287224">
        <w:rPr>
          <w:bCs/>
        </w:rPr>
        <w:t xml:space="preserve"> represented</w:t>
      </w:r>
      <w:r w:rsidR="00287224" w:rsidRPr="00853C5A">
        <w:rPr>
          <w:rFonts w:cs="AdvP641C"/>
        </w:rPr>
        <w:t xml:space="preserve"> </w:t>
      </w:r>
      <w:r w:rsidR="00287224" w:rsidRPr="00853C5A">
        <w:rPr>
          <w:bCs/>
        </w:rPr>
        <w:t xml:space="preserve">the extent to which </w:t>
      </w:r>
      <w:r w:rsidR="00287224">
        <w:rPr>
          <w:bCs/>
        </w:rPr>
        <w:t xml:space="preserve">the </w:t>
      </w:r>
      <w:r w:rsidR="00287224" w:rsidRPr="00853C5A">
        <w:rPr>
          <w:bCs/>
        </w:rPr>
        <w:t>middle 5</w:t>
      </w:r>
      <w:r w:rsidR="00287224">
        <w:rPr>
          <w:bCs/>
        </w:rPr>
        <w:t>0% of all panellists agreed</w:t>
      </w:r>
      <w:r w:rsidR="00287224" w:rsidRPr="00853C5A">
        <w:rPr>
          <w:bCs/>
        </w:rPr>
        <w:t xml:space="preserve"> with one another</w:t>
      </w:r>
      <w:r w:rsidR="0081513A" w:rsidRPr="00853C5A">
        <w:rPr>
          <w:bCs/>
        </w:rPr>
        <w:t xml:space="preserve">. </w:t>
      </w:r>
      <w:r w:rsidR="00890581">
        <w:rPr>
          <w:bCs/>
        </w:rPr>
        <w:t xml:space="preserve">An </w:t>
      </w:r>
      <w:r w:rsidR="00287224">
        <w:rPr>
          <w:bCs/>
        </w:rPr>
        <w:t xml:space="preserve">IQR of 1.0 was interpreted as </w:t>
      </w:r>
      <w:r w:rsidR="0035278A">
        <w:rPr>
          <w:rFonts w:cs="TimesNewRomanPSMT"/>
        </w:rPr>
        <w:t>‘</w:t>
      </w:r>
      <w:r w:rsidR="00BC5299" w:rsidRPr="00853C5A">
        <w:rPr>
          <w:rFonts w:cs="TimesNewRomanPSMT"/>
        </w:rPr>
        <w:t>good</w:t>
      </w:r>
      <w:r w:rsidR="0035278A">
        <w:rPr>
          <w:rFonts w:cs="TimesNewRomanPSMT"/>
        </w:rPr>
        <w:t>’</w:t>
      </w:r>
      <w:r w:rsidR="00BC5299" w:rsidRPr="00853C5A">
        <w:rPr>
          <w:rFonts w:cs="TimesNewRomanPSMT"/>
        </w:rPr>
        <w:t xml:space="preserve"> </w:t>
      </w:r>
      <w:r w:rsidR="00C216DE" w:rsidRPr="00853C5A">
        <w:rPr>
          <w:rFonts w:cs="TimesNewRomanPSMT"/>
        </w:rPr>
        <w:t xml:space="preserve">consensus </w:t>
      </w:r>
      <w:r w:rsidR="00BC5299" w:rsidRPr="00853C5A">
        <w:rPr>
          <w:rFonts w:cs="TimesNewRomanPSMT"/>
        </w:rPr>
        <w:t xml:space="preserve">having been </w:t>
      </w:r>
      <w:r w:rsidR="00C216DE" w:rsidRPr="00853C5A">
        <w:rPr>
          <w:rFonts w:cs="TimesNewRomanPSMT"/>
        </w:rPr>
        <w:t xml:space="preserve">achieved </w:t>
      </w:r>
      <w:r w:rsidR="00BC5299" w:rsidRPr="00853C5A">
        <w:rPr>
          <w:rFonts w:cs="TimesNewRomanPSMT"/>
        </w:rPr>
        <w:t xml:space="preserve">on a five-point </w:t>
      </w:r>
      <w:proofErr w:type="spellStart"/>
      <w:r w:rsidR="00BC5299" w:rsidRPr="00853C5A">
        <w:rPr>
          <w:rFonts w:cs="TimesNewRomanPSMT"/>
        </w:rPr>
        <w:t>Likert</w:t>
      </w:r>
      <w:proofErr w:type="spellEnd"/>
      <w:r w:rsidR="00BC5299" w:rsidRPr="00853C5A">
        <w:rPr>
          <w:rFonts w:cs="TimesNewRomanPSMT"/>
        </w:rPr>
        <w:t xml:space="preserve"> scale</w:t>
      </w:r>
      <w:r w:rsidR="00C7105D">
        <w:rPr>
          <w:rFonts w:cs="TimesNewRomanPSMT"/>
        </w:rPr>
        <w:t xml:space="preserve"> </w:t>
      </w:r>
      <w:r w:rsidR="00C7105D" w:rsidRPr="00853C5A">
        <w:rPr>
          <w:rFonts w:cs="TimesNewRomanPSMT"/>
        </w:rPr>
        <w:t>(</w:t>
      </w:r>
      <w:r w:rsidR="00C7105D" w:rsidRPr="00287224">
        <w:rPr>
          <w:rFonts w:cs="TimesNewRomanPSMT"/>
          <w:color w:val="00B050"/>
        </w:rPr>
        <w:t>De Vet, 2005</w:t>
      </w:r>
      <w:r w:rsidR="00C7105D" w:rsidRPr="00853C5A">
        <w:rPr>
          <w:rFonts w:cs="TimesNewRomanPSMT"/>
        </w:rPr>
        <w:t xml:space="preserve">; </w:t>
      </w:r>
      <w:proofErr w:type="spellStart"/>
      <w:r w:rsidR="00C7105D" w:rsidRPr="00287224">
        <w:rPr>
          <w:rFonts w:cs="AdvP641C"/>
          <w:color w:val="00B050"/>
        </w:rPr>
        <w:t>Linstone</w:t>
      </w:r>
      <w:proofErr w:type="spellEnd"/>
      <w:r w:rsidR="00C7105D" w:rsidRPr="00287224">
        <w:rPr>
          <w:rFonts w:cs="AdvP641C"/>
          <w:color w:val="00B050"/>
        </w:rPr>
        <w:t xml:space="preserve"> and </w:t>
      </w:r>
      <w:proofErr w:type="spellStart"/>
      <w:r w:rsidR="00C7105D" w:rsidRPr="00287224">
        <w:rPr>
          <w:rFonts w:cs="AdvP641C"/>
          <w:color w:val="00B050"/>
        </w:rPr>
        <w:t>Turoff</w:t>
      </w:r>
      <w:proofErr w:type="spellEnd"/>
      <w:r w:rsidR="00C7105D" w:rsidRPr="00287224">
        <w:rPr>
          <w:rFonts w:cs="AdvP641C"/>
          <w:color w:val="00B050"/>
        </w:rPr>
        <w:t xml:space="preserve">, </w:t>
      </w:r>
      <w:r w:rsidR="008B70F0">
        <w:rPr>
          <w:rFonts w:cs="AdvP641C"/>
          <w:color w:val="00B050"/>
        </w:rPr>
        <w:t>2002</w:t>
      </w:r>
      <w:r w:rsidR="00C7105D" w:rsidRPr="00853C5A">
        <w:rPr>
          <w:rFonts w:cs="AdvP641C"/>
        </w:rPr>
        <w:t xml:space="preserve">; </w:t>
      </w:r>
      <w:proofErr w:type="spellStart"/>
      <w:r w:rsidR="00743B65" w:rsidRPr="00287224">
        <w:rPr>
          <w:rFonts w:cs="AdvP641C"/>
          <w:color w:val="00B050"/>
        </w:rPr>
        <w:t>Rayens</w:t>
      </w:r>
      <w:proofErr w:type="spellEnd"/>
      <w:r w:rsidR="00743B65" w:rsidRPr="00287224">
        <w:rPr>
          <w:rFonts w:cs="AdvP641C"/>
          <w:color w:val="00B050"/>
        </w:rPr>
        <w:t xml:space="preserve"> and Hahn, 2000</w:t>
      </w:r>
      <w:r w:rsidR="00743B65">
        <w:rPr>
          <w:rFonts w:cs="AdvP641C"/>
          <w:color w:val="00B050"/>
        </w:rPr>
        <w:t xml:space="preserve">; </w:t>
      </w:r>
      <w:proofErr w:type="spellStart"/>
      <w:r w:rsidR="00A16532" w:rsidRPr="00287224">
        <w:rPr>
          <w:rFonts w:cs="AdvP641C"/>
          <w:color w:val="00B050"/>
        </w:rPr>
        <w:t>Raskin</w:t>
      </w:r>
      <w:proofErr w:type="spellEnd"/>
      <w:r w:rsidR="00A16532" w:rsidRPr="00287224">
        <w:rPr>
          <w:rFonts w:cs="AdvP641C"/>
          <w:color w:val="00B050"/>
        </w:rPr>
        <w:t>, 1994</w:t>
      </w:r>
      <w:r w:rsidR="00C7105D" w:rsidRPr="00853C5A">
        <w:rPr>
          <w:rFonts w:cs="AdvP641C"/>
        </w:rPr>
        <w:t>)</w:t>
      </w:r>
      <w:r w:rsidR="00287224">
        <w:rPr>
          <w:rFonts w:cs="AdvP641C"/>
        </w:rPr>
        <w:t>; in other words,</w:t>
      </w:r>
      <w:r w:rsidR="00287224" w:rsidRPr="00853C5A">
        <w:rPr>
          <w:rFonts w:cs="TimesNewRomanPSMT"/>
        </w:rPr>
        <w:t xml:space="preserve"> more than 50% of all opinions fall within one point on the scale</w:t>
      </w:r>
      <w:r w:rsidR="00287224">
        <w:rPr>
          <w:rFonts w:cs="TimesNewRomanPSMT"/>
        </w:rPr>
        <w:t>. A</w:t>
      </w:r>
      <w:r w:rsidR="00890581">
        <w:rPr>
          <w:rFonts w:cs="TimesNewRomanPSMT"/>
        </w:rPr>
        <w:t>n IQR</w:t>
      </w:r>
      <w:r w:rsidR="00287224">
        <w:rPr>
          <w:rFonts w:cs="TimesNewRomanPSMT"/>
        </w:rPr>
        <w:t xml:space="preserve"> </w:t>
      </w:r>
      <w:r w:rsidR="00287224">
        <w:rPr>
          <w:rFonts w:cs="AdvP641C"/>
        </w:rPr>
        <w:t xml:space="preserve">value &lt;1.0 </w:t>
      </w:r>
      <w:r w:rsidR="00890581">
        <w:rPr>
          <w:rFonts w:cs="AdvP641C"/>
        </w:rPr>
        <w:t xml:space="preserve">indicated </w:t>
      </w:r>
      <w:r w:rsidR="00287224">
        <w:rPr>
          <w:rFonts w:cs="AdvP641C"/>
        </w:rPr>
        <w:t>‘very good’ consensus</w:t>
      </w:r>
      <w:r w:rsidR="003439DB">
        <w:rPr>
          <w:rFonts w:cs="AdvP641C"/>
        </w:rPr>
        <w:t>,</w:t>
      </w:r>
      <w:r w:rsidR="00287224">
        <w:rPr>
          <w:rFonts w:cs="AdvP641C"/>
        </w:rPr>
        <w:t xml:space="preserve"> whereas </w:t>
      </w:r>
      <w:r w:rsidR="00890581">
        <w:rPr>
          <w:rFonts w:cs="AdvP641C"/>
        </w:rPr>
        <w:t xml:space="preserve">an IQR value </w:t>
      </w:r>
      <w:r w:rsidR="00287224">
        <w:rPr>
          <w:rFonts w:cs="AdvP641C"/>
        </w:rPr>
        <w:t xml:space="preserve">&gt;1.0 </w:t>
      </w:r>
      <w:r w:rsidR="00890581">
        <w:rPr>
          <w:rFonts w:cs="AdvP641C"/>
        </w:rPr>
        <w:t xml:space="preserve">indicated no </w:t>
      </w:r>
      <w:r w:rsidR="00287224">
        <w:rPr>
          <w:rFonts w:cs="AdvP641C"/>
        </w:rPr>
        <w:t>consensus</w:t>
      </w:r>
      <w:r w:rsidR="00890581">
        <w:rPr>
          <w:rFonts w:cs="AdvP641C"/>
        </w:rPr>
        <w:t xml:space="preserve"> achieved</w:t>
      </w:r>
      <w:r w:rsidR="003439DB">
        <w:rPr>
          <w:rFonts w:cs="AdvP641C"/>
        </w:rPr>
        <w:t>.</w:t>
      </w:r>
      <w:r w:rsidR="00D35199">
        <w:rPr>
          <w:rFonts w:cs="AdvP641C"/>
        </w:rPr>
        <w:t xml:space="preserve"> In summary then, consensus was assessed for each item at the sub-panel level using a combination of </w:t>
      </w:r>
      <w:r w:rsidR="00D35199">
        <w:rPr>
          <w:rFonts w:cs="AdvP641C"/>
          <w:i/>
        </w:rPr>
        <w:t xml:space="preserve">median </w:t>
      </w:r>
      <w:r w:rsidR="00D35199">
        <w:rPr>
          <w:rFonts w:cs="AdvP641C"/>
        </w:rPr>
        <w:t>and IQR descriptive statistics. Any items</w:t>
      </w:r>
      <w:r w:rsidR="00D35199">
        <w:rPr>
          <w:bCs/>
        </w:rPr>
        <w:t xml:space="preserve"> failing to achieve consensus</w:t>
      </w:r>
      <w:r w:rsidR="00C7105D">
        <w:rPr>
          <w:rFonts w:cs="AdvP641C"/>
        </w:rPr>
        <w:t xml:space="preserve">, or achieving </w:t>
      </w:r>
      <w:r w:rsidR="00722308">
        <w:rPr>
          <w:rFonts w:cs="AdvP641C"/>
        </w:rPr>
        <w:t>it</w:t>
      </w:r>
      <w:r w:rsidR="00D35199">
        <w:rPr>
          <w:rFonts w:cs="AdvP641C"/>
        </w:rPr>
        <w:t xml:space="preserve"> with</w:t>
      </w:r>
      <w:r w:rsidR="003A46E0">
        <w:rPr>
          <w:rFonts w:cs="AdvP641C"/>
        </w:rPr>
        <w:t xml:space="preserve"> a response of 3 (‘indifferent’)</w:t>
      </w:r>
      <w:r w:rsidR="00C7105D">
        <w:rPr>
          <w:rFonts w:cs="AdvP641C"/>
        </w:rPr>
        <w:t xml:space="preserve">, </w:t>
      </w:r>
      <w:r w:rsidR="00E960EA" w:rsidRPr="00853C5A">
        <w:rPr>
          <w:rFonts w:cs="AdvP641C"/>
        </w:rPr>
        <w:t>were carried forward</w:t>
      </w:r>
      <w:r w:rsidR="003A46E0">
        <w:rPr>
          <w:rFonts w:cs="AdvP641C"/>
        </w:rPr>
        <w:t xml:space="preserve"> to the next round to be reconsidered by panellists</w:t>
      </w:r>
      <w:r w:rsidR="000F3C33" w:rsidRPr="00853C5A">
        <w:rPr>
          <w:rFonts w:cs="AdvP641C"/>
        </w:rPr>
        <w:t>.</w:t>
      </w:r>
    </w:p>
    <w:p w:rsidR="00F73800" w:rsidRPr="00853C5A" w:rsidRDefault="00E5039E" w:rsidP="00853C5A">
      <w:pPr>
        <w:rPr>
          <w:rFonts w:eastAsia="Times New Roman" w:cs="Times New Roman"/>
          <w:i/>
          <w:lang w:eastAsia="en-GB"/>
        </w:rPr>
      </w:pPr>
      <w:r>
        <w:rPr>
          <w:rFonts w:eastAsia="Times New Roman" w:cs="Times New Roman"/>
          <w:i/>
          <w:lang w:eastAsia="en-GB"/>
        </w:rPr>
        <w:t>Delphi r</w:t>
      </w:r>
      <w:r w:rsidR="00F73800" w:rsidRPr="00853C5A">
        <w:rPr>
          <w:rFonts w:eastAsia="Times New Roman" w:cs="Times New Roman"/>
          <w:i/>
          <w:lang w:eastAsia="en-GB"/>
        </w:rPr>
        <w:t xml:space="preserve">ound 3 </w:t>
      </w:r>
    </w:p>
    <w:p w:rsidR="00B11732" w:rsidRDefault="0049607E" w:rsidP="00853C5A">
      <w:pPr>
        <w:rPr>
          <w:rFonts w:eastAsia="Times New Roman" w:cs="Times New Roman"/>
          <w:lang w:eastAsia="en-GB"/>
        </w:rPr>
      </w:pPr>
      <w:r>
        <w:rPr>
          <w:rFonts w:eastAsia="Times New Roman" w:cs="Times New Roman"/>
          <w:lang w:eastAsia="en-GB"/>
        </w:rPr>
        <w:t>In t</w:t>
      </w:r>
      <w:r w:rsidR="00805A16">
        <w:rPr>
          <w:rFonts w:eastAsia="Times New Roman" w:cs="Times New Roman"/>
          <w:lang w:eastAsia="en-GB"/>
        </w:rPr>
        <w:t xml:space="preserve">he </w:t>
      </w:r>
      <w:r w:rsidR="00E960EA" w:rsidRPr="00853C5A">
        <w:rPr>
          <w:rFonts w:eastAsia="Times New Roman" w:cs="Times New Roman"/>
          <w:lang w:eastAsia="en-GB"/>
        </w:rPr>
        <w:t>round</w:t>
      </w:r>
      <w:r w:rsidR="00686DAD">
        <w:rPr>
          <w:rFonts w:eastAsia="Times New Roman" w:cs="Times New Roman"/>
          <w:lang w:eastAsia="en-GB"/>
        </w:rPr>
        <w:t xml:space="preserve"> </w:t>
      </w:r>
      <w:r w:rsidR="00C76897">
        <w:rPr>
          <w:rFonts w:eastAsia="Times New Roman" w:cs="Times New Roman"/>
          <w:lang w:eastAsia="en-GB"/>
        </w:rPr>
        <w:t xml:space="preserve">3 </w:t>
      </w:r>
      <w:r w:rsidR="00805A16">
        <w:rPr>
          <w:rFonts w:eastAsia="Times New Roman" w:cs="Times New Roman"/>
          <w:lang w:eastAsia="en-GB"/>
        </w:rPr>
        <w:t>survey</w:t>
      </w:r>
      <w:r>
        <w:rPr>
          <w:rFonts w:eastAsia="Times New Roman" w:cs="Times New Roman"/>
          <w:lang w:eastAsia="en-GB"/>
        </w:rPr>
        <w:t>,</w:t>
      </w:r>
      <w:r w:rsidR="00D62BC7">
        <w:rPr>
          <w:rFonts w:eastAsia="Times New Roman" w:cs="Times New Roman"/>
          <w:lang w:eastAsia="en-GB"/>
        </w:rPr>
        <w:t xml:space="preserve"> </w:t>
      </w:r>
      <w:r w:rsidR="00A63EBA">
        <w:rPr>
          <w:rFonts w:eastAsia="Times New Roman" w:cs="Times New Roman"/>
          <w:lang w:eastAsia="en-GB"/>
        </w:rPr>
        <w:t xml:space="preserve">distributed </w:t>
      </w:r>
      <w:r w:rsidR="00686DAD">
        <w:rPr>
          <w:rFonts w:eastAsia="Times New Roman" w:cs="Times New Roman"/>
          <w:lang w:eastAsia="en-GB"/>
        </w:rPr>
        <w:t>as before</w:t>
      </w:r>
      <w:r>
        <w:rPr>
          <w:rFonts w:eastAsia="Times New Roman" w:cs="Times New Roman"/>
          <w:lang w:eastAsia="en-GB"/>
        </w:rPr>
        <w:t>,</w:t>
      </w:r>
      <w:r w:rsidR="00D62BC7">
        <w:rPr>
          <w:rFonts w:eastAsia="Times New Roman" w:cs="Times New Roman"/>
          <w:lang w:eastAsia="en-GB"/>
        </w:rPr>
        <w:t xml:space="preserve"> panellists were asked to rate their agreement with</w:t>
      </w:r>
      <w:r w:rsidR="00E960EA" w:rsidRPr="00853C5A">
        <w:rPr>
          <w:rFonts w:eastAsia="Times New Roman" w:cs="Times New Roman"/>
          <w:lang w:eastAsia="en-GB"/>
        </w:rPr>
        <w:t xml:space="preserve"> listed items</w:t>
      </w:r>
      <w:r w:rsidR="0075175C">
        <w:rPr>
          <w:rFonts w:eastAsia="Times New Roman" w:cs="Times New Roman"/>
          <w:lang w:eastAsia="en-GB"/>
        </w:rPr>
        <w:t xml:space="preserve">; these </w:t>
      </w:r>
      <w:r w:rsidR="00D62BC7">
        <w:rPr>
          <w:rFonts w:eastAsia="Times New Roman" w:cs="Times New Roman"/>
          <w:lang w:eastAsia="en-GB"/>
        </w:rPr>
        <w:t xml:space="preserve">comprised </w:t>
      </w:r>
      <w:r w:rsidR="00686DAD">
        <w:rPr>
          <w:rFonts w:eastAsia="Times New Roman" w:cs="Times New Roman"/>
          <w:lang w:eastAsia="en-GB"/>
        </w:rPr>
        <w:t xml:space="preserve">those </w:t>
      </w:r>
      <w:r w:rsidR="00D62BC7">
        <w:rPr>
          <w:rFonts w:eastAsia="Times New Roman" w:cs="Times New Roman"/>
          <w:lang w:eastAsia="en-GB"/>
        </w:rPr>
        <w:t xml:space="preserve">carried over from the previous round </w:t>
      </w:r>
      <w:r w:rsidR="0075175C">
        <w:rPr>
          <w:rFonts w:eastAsia="Times New Roman" w:cs="Times New Roman"/>
          <w:lang w:eastAsia="en-GB"/>
        </w:rPr>
        <w:t xml:space="preserve">as well as new suggested </w:t>
      </w:r>
      <w:r w:rsidR="0075175C" w:rsidRPr="00686DAD">
        <w:rPr>
          <w:rFonts w:eastAsia="Times New Roman" w:cs="Times New Roman"/>
          <w:i/>
          <w:lang w:eastAsia="en-GB"/>
        </w:rPr>
        <w:t>solutions</w:t>
      </w:r>
      <w:r w:rsidR="000F3C33" w:rsidRPr="00853C5A">
        <w:rPr>
          <w:rFonts w:eastAsia="Times New Roman" w:cs="Times New Roman"/>
          <w:lang w:eastAsia="en-GB"/>
        </w:rPr>
        <w:t xml:space="preserve">. </w:t>
      </w:r>
      <w:r w:rsidR="00E03DEB">
        <w:rPr>
          <w:rFonts w:eastAsia="Times New Roman" w:cs="Times New Roman"/>
          <w:lang w:eastAsia="en-GB"/>
        </w:rPr>
        <w:t xml:space="preserve">For new items, consensus </w:t>
      </w:r>
      <w:r w:rsidR="00B11732">
        <w:rPr>
          <w:rFonts w:eastAsia="Times New Roman" w:cs="Times New Roman"/>
          <w:lang w:eastAsia="en-GB"/>
        </w:rPr>
        <w:t>was measured as</w:t>
      </w:r>
      <w:r w:rsidR="00B11F52">
        <w:rPr>
          <w:rFonts w:eastAsia="Times New Roman" w:cs="Times New Roman"/>
          <w:lang w:eastAsia="en-GB"/>
        </w:rPr>
        <w:t xml:space="preserve"> in round two.</w:t>
      </w:r>
      <w:r w:rsidR="00E03DEB">
        <w:rPr>
          <w:rFonts w:eastAsia="Times New Roman" w:cs="Times New Roman"/>
          <w:lang w:eastAsia="en-GB"/>
        </w:rPr>
        <w:t xml:space="preserve"> </w:t>
      </w:r>
      <w:r w:rsidR="00C7105D">
        <w:rPr>
          <w:rFonts w:eastAsia="Times New Roman" w:cs="Times New Roman"/>
          <w:lang w:eastAsia="en-GB"/>
        </w:rPr>
        <w:t xml:space="preserve">For </w:t>
      </w:r>
      <w:r w:rsidR="00D62BC7">
        <w:rPr>
          <w:rFonts w:eastAsia="Times New Roman" w:cs="Times New Roman"/>
          <w:lang w:eastAsia="en-GB"/>
        </w:rPr>
        <w:t xml:space="preserve">carried-over items, </w:t>
      </w:r>
      <w:r w:rsidR="0032549A">
        <w:rPr>
          <w:rFonts w:eastAsia="Times New Roman" w:cs="Times New Roman"/>
          <w:lang w:eastAsia="en-GB"/>
        </w:rPr>
        <w:t>panellist</w:t>
      </w:r>
      <w:r w:rsidR="00B11732">
        <w:rPr>
          <w:rFonts w:eastAsia="Times New Roman" w:cs="Times New Roman"/>
          <w:lang w:eastAsia="en-GB"/>
        </w:rPr>
        <w:t>s</w:t>
      </w:r>
      <w:r w:rsidR="0032549A">
        <w:rPr>
          <w:rFonts w:eastAsia="Times New Roman" w:cs="Times New Roman"/>
          <w:lang w:eastAsia="en-GB"/>
        </w:rPr>
        <w:t xml:space="preserve"> </w:t>
      </w:r>
      <w:r w:rsidR="00B11732">
        <w:rPr>
          <w:rFonts w:eastAsia="Times New Roman" w:cs="Times New Roman"/>
          <w:lang w:eastAsia="en-GB"/>
        </w:rPr>
        <w:t xml:space="preserve">were </w:t>
      </w:r>
      <w:r w:rsidR="00B11732" w:rsidRPr="00853C5A">
        <w:rPr>
          <w:rFonts w:eastAsia="Times New Roman" w:cs="Times New Roman"/>
          <w:lang w:eastAsia="en-GB"/>
        </w:rPr>
        <w:t>asked to re-evaluate</w:t>
      </w:r>
      <w:r w:rsidR="00B11732">
        <w:rPr>
          <w:rFonts w:eastAsia="Times New Roman" w:cs="Times New Roman"/>
          <w:lang w:eastAsia="en-GB"/>
        </w:rPr>
        <w:t>,</w:t>
      </w:r>
      <w:r w:rsidR="00B11732" w:rsidRPr="00853C5A">
        <w:rPr>
          <w:rFonts w:eastAsia="Times New Roman" w:cs="Times New Roman"/>
          <w:lang w:eastAsia="en-GB"/>
        </w:rPr>
        <w:t xml:space="preserve"> </w:t>
      </w:r>
      <w:r w:rsidR="00B11732">
        <w:rPr>
          <w:rFonts w:eastAsia="Times New Roman" w:cs="Times New Roman"/>
          <w:lang w:eastAsia="en-GB"/>
        </w:rPr>
        <w:t>and</w:t>
      </w:r>
      <w:r w:rsidR="00B11732" w:rsidRPr="00853C5A">
        <w:rPr>
          <w:rFonts w:eastAsia="Times New Roman" w:cs="Times New Roman"/>
          <w:lang w:eastAsia="en-GB"/>
        </w:rPr>
        <w:t xml:space="preserve"> if they wished, revise their</w:t>
      </w:r>
      <w:r w:rsidR="00B11732">
        <w:rPr>
          <w:rFonts w:eastAsia="Times New Roman" w:cs="Times New Roman"/>
          <w:lang w:eastAsia="en-GB"/>
        </w:rPr>
        <w:t xml:space="preserve"> rating response</w:t>
      </w:r>
      <w:r w:rsidR="00B11732" w:rsidRPr="00853C5A">
        <w:rPr>
          <w:rFonts w:eastAsia="Times New Roman" w:cs="Times New Roman"/>
          <w:lang w:eastAsia="en-GB"/>
        </w:rPr>
        <w:t>.</w:t>
      </w:r>
      <w:r w:rsidR="00B11732">
        <w:rPr>
          <w:rFonts w:eastAsia="Times New Roman" w:cs="Times New Roman"/>
          <w:lang w:eastAsia="en-GB"/>
        </w:rPr>
        <w:t xml:space="preserve"> To</w:t>
      </w:r>
      <w:r w:rsidR="00686DAD">
        <w:rPr>
          <w:rFonts w:eastAsia="Times New Roman" w:cs="Times New Roman"/>
          <w:lang w:eastAsia="en-GB"/>
        </w:rPr>
        <w:t xml:space="preserve"> help</w:t>
      </w:r>
      <w:r w:rsidR="00B11732">
        <w:rPr>
          <w:rFonts w:eastAsia="Times New Roman" w:cs="Times New Roman"/>
          <w:lang w:eastAsia="en-GB"/>
        </w:rPr>
        <w:t xml:space="preserve">, </w:t>
      </w:r>
      <w:r w:rsidR="00686DAD">
        <w:rPr>
          <w:rFonts w:eastAsia="Times New Roman" w:cs="Times New Roman"/>
          <w:lang w:eastAsia="en-GB"/>
        </w:rPr>
        <w:t>participants were given</w:t>
      </w:r>
      <w:r w:rsidR="00B11732">
        <w:rPr>
          <w:rFonts w:eastAsia="Times New Roman" w:cs="Times New Roman"/>
          <w:lang w:eastAsia="en-GB"/>
        </w:rPr>
        <w:t xml:space="preserve"> </w:t>
      </w:r>
      <w:r w:rsidR="00485A2C">
        <w:rPr>
          <w:rFonts w:eastAsia="Times New Roman" w:cs="Times New Roman"/>
          <w:lang w:eastAsia="en-GB"/>
        </w:rPr>
        <w:t xml:space="preserve">statistical </w:t>
      </w:r>
      <w:r w:rsidR="008910AF" w:rsidRPr="00853C5A">
        <w:rPr>
          <w:rFonts w:eastAsia="Times New Roman" w:cs="Times New Roman"/>
          <w:lang w:eastAsia="en-GB"/>
        </w:rPr>
        <w:t>f</w:t>
      </w:r>
      <w:r w:rsidR="005717A7" w:rsidRPr="00853C5A">
        <w:rPr>
          <w:rFonts w:eastAsia="Times New Roman" w:cs="Times New Roman"/>
          <w:lang w:eastAsia="en-GB"/>
        </w:rPr>
        <w:t>eedback</w:t>
      </w:r>
      <w:r w:rsidR="00B11732" w:rsidRPr="00743B65">
        <w:rPr>
          <w:rFonts w:eastAsia="Times New Roman" w:cs="Times New Roman"/>
          <w:lang w:eastAsia="en-GB"/>
        </w:rPr>
        <w:t xml:space="preserve"> </w:t>
      </w:r>
      <w:r w:rsidR="0092653B" w:rsidRPr="00743B65">
        <w:rPr>
          <w:rFonts w:eastAsia="Times New Roman" w:cs="Times New Roman"/>
          <w:lang w:eastAsia="en-GB"/>
        </w:rPr>
        <w:t>(which comprised</w:t>
      </w:r>
      <w:r w:rsidR="0092653B" w:rsidRPr="00743B65">
        <w:t xml:space="preserve"> sub-panel-level median score and inter-quartile range for each listed item)</w:t>
      </w:r>
      <w:r w:rsidR="0092653B" w:rsidRPr="00743B65">
        <w:rPr>
          <w:rFonts w:eastAsia="Times New Roman" w:cs="Times New Roman"/>
          <w:lang w:eastAsia="en-GB"/>
        </w:rPr>
        <w:t xml:space="preserve"> </w:t>
      </w:r>
      <w:r w:rsidR="00686DAD" w:rsidRPr="00743B65">
        <w:rPr>
          <w:rFonts w:eastAsia="Times New Roman" w:cs="Times New Roman"/>
          <w:lang w:eastAsia="en-GB"/>
        </w:rPr>
        <w:t>and</w:t>
      </w:r>
      <w:r w:rsidR="00686DAD">
        <w:rPr>
          <w:rFonts w:eastAsia="Times New Roman" w:cs="Times New Roman"/>
          <w:lang w:eastAsia="en-GB"/>
        </w:rPr>
        <w:t xml:space="preserve"> reminded of</w:t>
      </w:r>
      <w:r w:rsidR="00485A2C">
        <w:rPr>
          <w:rFonts w:eastAsia="Times New Roman" w:cs="Times New Roman"/>
          <w:lang w:eastAsia="en-GB"/>
        </w:rPr>
        <w:t xml:space="preserve"> their </w:t>
      </w:r>
      <w:r w:rsidR="005717A7" w:rsidRPr="00853C5A">
        <w:rPr>
          <w:rFonts w:eastAsia="Times New Roman" w:cs="Times New Roman"/>
          <w:lang w:eastAsia="en-GB"/>
        </w:rPr>
        <w:t>response</w:t>
      </w:r>
      <w:r w:rsidR="008910AF" w:rsidRPr="00853C5A">
        <w:rPr>
          <w:rFonts w:eastAsia="Times New Roman" w:cs="Times New Roman"/>
          <w:lang w:eastAsia="en-GB"/>
        </w:rPr>
        <w:t>s</w:t>
      </w:r>
      <w:r w:rsidR="00485A2C">
        <w:rPr>
          <w:rFonts w:eastAsia="Times New Roman" w:cs="Times New Roman"/>
          <w:lang w:eastAsia="en-GB"/>
        </w:rPr>
        <w:t xml:space="preserve"> </w:t>
      </w:r>
      <w:r w:rsidR="00B11732">
        <w:rPr>
          <w:rFonts w:eastAsia="Times New Roman" w:cs="Times New Roman"/>
          <w:lang w:eastAsia="en-GB"/>
        </w:rPr>
        <w:t>to the previous round.</w:t>
      </w:r>
      <w:r w:rsidR="00485A2C">
        <w:rPr>
          <w:rFonts w:eastAsia="Times New Roman" w:cs="Times New Roman"/>
          <w:lang w:eastAsia="en-GB"/>
        </w:rPr>
        <w:t xml:space="preserve"> </w:t>
      </w:r>
    </w:p>
    <w:p w:rsidR="00124491" w:rsidRDefault="00686DAD" w:rsidP="00853C5A">
      <w:pPr>
        <w:rPr>
          <w:rFonts w:cs="TimesNewRomanPSMT"/>
        </w:rPr>
      </w:pPr>
      <w:r>
        <w:rPr>
          <w:rFonts w:eastAsia="Times New Roman" w:cs="Times New Roman"/>
          <w:lang w:eastAsia="en-GB"/>
        </w:rPr>
        <w:t>Panellists’ response stability for</w:t>
      </w:r>
      <w:r w:rsidR="00B11732">
        <w:rPr>
          <w:rFonts w:eastAsia="Times New Roman" w:cs="Times New Roman"/>
          <w:lang w:eastAsia="en-GB"/>
        </w:rPr>
        <w:t xml:space="preserve"> each carried-over item </w:t>
      </w:r>
      <w:r w:rsidR="00E03DEB" w:rsidRPr="00E03DEB">
        <w:rPr>
          <w:rFonts w:eastAsia="Times New Roman" w:cs="Times New Roman"/>
          <w:lang w:eastAsia="en-GB"/>
        </w:rPr>
        <w:t xml:space="preserve">was assessed </w:t>
      </w:r>
      <w:r w:rsidR="00B11732">
        <w:rPr>
          <w:rFonts w:eastAsia="Times New Roman" w:cs="Times New Roman"/>
          <w:lang w:eastAsia="en-GB"/>
        </w:rPr>
        <w:t xml:space="preserve">(at sub-panel level) </w:t>
      </w:r>
      <w:r w:rsidR="00E03DEB" w:rsidRPr="00E03DEB">
        <w:rPr>
          <w:rFonts w:eastAsia="Times New Roman" w:cs="Times New Roman"/>
          <w:lang w:eastAsia="en-GB"/>
        </w:rPr>
        <w:t>using the</w:t>
      </w:r>
      <w:r w:rsidR="00B60D03" w:rsidRPr="00E03DEB">
        <w:rPr>
          <w:rFonts w:eastAsia="Times New Roman" w:cs="Times New Roman"/>
          <w:lang w:eastAsia="en-GB"/>
        </w:rPr>
        <w:t xml:space="preserve"> </w:t>
      </w:r>
      <w:r>
        <w:rPr>
          <w:rFonts w:eastAsia="Times New Roman" w:cs="Times New Roman"/>
          <w:lang w:eastAsia="en-GB"/>
        </w:rPr>
        <w:t xml:space="preserve">non-parametric </w:t>
      </w:r>
      <w:proofErr w:type="spellStart"/>
      <w:r w:rsidR="00B60D03" w:rsidRPr="008D42B9">
        <w:rPr>
          <w:rFonts w:cs="TimesNewRomanPSMT"/>
        </w:rPr>
        <w:t>Wilcoxon</w:t>
      </w:r>
      <w:proofErr w:type="spellEnd"/>
      <w:r w:rsidR="00B60D03" w:rsidRPr="008D42B9">
        <w:rPr>
          <w:rFonts w:cs="TimesNewRomanPSMT"/>
        </w:rPr>
        <w:t xml:space="preserve"> matched-pairs signed-ranks </w:t>
      </w:r>
      <w:r w:rsidR="00E03DEB" w:rsidRPr="008D42B9">
        <w:rPr>
          <w:rFonts w:cs="TimesNewRomanPSMT"/>
        </w:rPr>
        <w:t>test</w:t>
      </w:r>
      <w:r w:rsidR="00C3605C">
        <w:rPr>
          <w:rFonts w:cs="TimesNewRomanPSMT"/>
        </w:rPr>
        <w:t>. This approach</w:t>
      </w:r>
      <w:r w:rsidR="0083009C">
        <w:rPr>
          <w:rFonts w:cs="TimesNewRomanPSMT"/>
        </w:rPr>
        <w:t xml:space="preserve"> </w:t>
      </w:r>
      <w:r w:rsidR="00C3605C">
        <w:rPr>
          <w:rFonts w:cs="TimesNewRomanPSMT"/>
        </w:rPr>
        <w:t xml:space="preserve">has been </w:t>
      </w:r>
      <w:r w:rsidR="001D736B">
        <w:rPr>
          <w:rFonts w:cs="TimesNewRomanPSMT"/>
        </w:rPr>
        <w:t xml:space="preserve">used </w:t>
      </w:r>
      <w:r w:rsidR="00EE4BE4">
        <w:rPr>
          <w:rFonts w:cs="TimesNewRomanPSMT"/>
        </w:rPr>
        <w:t xml:space="preserve">in </w:t>
      </w:r>
      <w:r w:rsidR="001D736B">
        <w:rPr>
          <w:rFonts w:cs="TimesNewRomanPSMT"/>
        </w:rPr>
        <w:t xml:space="preserve">other Delphi studies </w:t>
      </w:r>
      <w:r w:rsidR="001D736B" w:rsidRPr="00E03DEB">
        <w:rPr>
          <w:rFonts w:cs="TimesNewRomanPSMT"/>
        </w:rPr>
        <w:t xml:space="preserve">(e.g. </w:t>
      </w:r>
      <w:proofErr w:type="spellStart"/>
      <w:r w:rsidR="0083009C" w:rsidRPr="00E03DEB">
        <w:rPr>
          <w:rFonts w:cs="TimesNewRomanPSMT"/>
          <w:color w:val="00B050"/>
        </w:rPr>
        <w:t>Kalaian</w:t>
      </w:r>
      <w:proofErr w:type="spellEnd"/>
      <w:r w:rsidR="0083009C" w:rsidRPr="00E03DEB">
        <w:rPr>
          <w:rFonts w:cs="TimesNewRomanPSMT"/>
          <w:color w:val="00B050"/>
        </w:rPr>
        <w:t xml:space="preserve"> and </w:t>
      </w:r>
      <w:proofErr w:type="spellStart"/>
      <w:r w:rsidR="0083009C" w:rsidRPr="00E03DEB">
        <w:rPr>
          <w:rFonts w:cs="TimesNewRomanPSMT"/>
          <w:color w:val="00B050"/>
        </w:rPr>
        <w:t>Kasim</w:t>
      </w:r>
      <w:proofErr w:type="spellEnd"/>
      <w:r w:rsidR="0083009C" w:rsidRPr="00E03DEB">
        <w:rPr>
          <w:rFonts w:cs="TimesNewRomanPSMT"/>
          <w:color w:val="00B050"/>
        </w:rPr>
        <w:t>, 2012</w:t>
      </w:r>
      <w:r w:rsidR="0083009C">
        <w:rPr>
          <w:rFonts w:cs="TimesNewRomanPSMT"/>
          <w:color w:val="00B050"/>
        </w:rPr>
        <w:t xml:space="preserve">; </w:t>
      </w:r>
      <w:r w:rsidR="001D736B" w:rsidRPr="00E03DEB">
        <w:rPr>
          <w:rFonts w:cs="TimesNewRomanPSMT"/>
          <w:color w:val="00B050"/>
        </w:rPr>
        <w:t xml:space="preserve">Banks </w:t>
      </w:r>
      <w:r w:rsidR="001D736B" w:rsidRPr="00E03DEB">
        <w:rPr>
          <w:rFonts w:cs="TimesNewRomanPSMT"/>
          <w:i/>
          <w:color w:val="00B050"/>
        </w:rPr>
        <w:t>et al</w:t>
      </w:r>
      <w:r w:rsidR="001D736B" w:rsidRPr="00E03DEB">
        <w:rPr>
          <w:rFonts w:cs="TimesNewRomanPSMT"/>
          <w:color w:val="00B050"/>
        </w:rPr>
        <w:t>., 2009</w:t>
      </w:r>
      <w:r w:rsidR="001D736B" w:rsidRPr="00E03DEB">
        <w:rPr>
          <w:rFonts w:cs="TimesNewRomanPSMT"/>
        </w:rPr>
        <w:t xml:space="preserve">; </w:t>
      </w:r>
      <w:r w:rsidR="001D736B" w:rsidRPr="00E03DEB">
        <w:rPr>
          <w:rFonts w:cs="TimesNewRomanPSMT"/>
          <w:color w:val="00B050"/>
        </w:rPr>
        <w:t xml:space="preserve">De Vet </w:t>
      </w:r>
      <w:r w:rsidR="001D736B" w:rsidRPr="00E03DEB">
        <w:rPr>
          <w:rFonts w:cs="TimesNewRomanPSMT"/>
          <w:i/>
          <w:color w:val="00B050"/>
        </w:rPr>
        <w:t>et al</w:t>
      </w:r>
      <w:r w:rsidR="001D736B" w:rsidRPr="00E03DEB">
        <w:rPr>
          <w:rFonts w:cs="TimesNewRomanPSMT"/>
          <w:color w:val="00B050"/>
        </w:rPr>
        <w:t>., 2005</w:t>
      </w:r>
      <w:r w:rsidR="0083009C">
        <w:rPr>
          <w:rFonts w:cs="TimesNewRomanPSMT"/>
          <w:color w:val="00B050"/>
        </w:rPr>
        <w:t>)</w:t>
      </w:r>
      <w:r w:rsidR="0083009C">
        <w:rPr>
          <w:rFonts w:cs="TimesNewRomanPSMT"/>
        </w:rPr>
        <w:t xml:space="preserve"> </w:t>
      </w:r>
      <w:r w:rsidR="00B60D03" w:rsidRPr="008D42B9">
        <w:rPr>
          <w:rFonts w:cs="TimesNewRomanPSMT"/>
        </w:rPr>
        <w:t>Th</w:t>
      </w:r>
      <w:r w:rsidR="001D736B">
        <w:rPr>
          <w:rFonts w:cs="TimesNewRomanPSMT"/>
        </w:rPr>
        <w:t>e</w:t>
      </w:r>
      <w:r w:rsidR="00B60D03" w:rsidRPr="008D42B9">
        <w:rPr>
          <w:rFonts w:cs="TimesNewRomanPSMT"/>
        </w:rPr>
        <w:t xml:space="preserve"> </w:t>
      </w:r>
      <w:r>
        <w:rPr>
          <w:rFonts w:cs="TimesNewRomanPSMT"/>
        </w:rPr>
        <w:t>test</w:t>
      </w:r>
      <w:r w:rsidR="00124491" w:rsidRPr="008D42B9">
        <w:rPr>
          <w:rFonts w:cs="TimesNewRomanPSMT"/>
        </w:rPr>
        <w:t xml:space="preserve"> </w:t>
      </w:r>
      <w:r w:rsidR="00EA57EA">
        <w:rPr>
          <w:rFonts w:cs="TimesNewRomanPSMT"/>
        </w:rPr>
        <w:t>uses</w:t>
      </w:r>
      <w:r w:rsidR="008D42B9" w:rsidRPr="008D42B9">
        <w:rPr>
          <w:rFonts w:cs="TimesNewRomanPSMT"/>
        </w:rPr>
        <w:t xml:space="preserve"> paired data from the same group of individuals to </w:t>
      </w:r>
      <w:r w:rsidR="006C3290">
        <w:rPr>
          <w:rFonts w:cs="TimesNewRomanPSMT"/>
        </w:rPr>
        <w:t>derive</w:t>
      </w:r>
      <w:r w:rsidR="008D42B9" w:rsidRPr="008D42B9">
        <w:rPr>
          <w:rFonts w:cs="TimesNewRomanPSMT"/>
        </w:rPr>
        <w:t xml:space="preserve"> a ‘before </w:t>
      </w:r>
      <w:r w:rsidR="008D42B9" w:rsidRPr="00F16198">
        <w:rPr>
          <w:rFonts w:cs="TimesNewRomanPSMT"/>
        </w:rPr>
        <w:t xml:space="preserve">and after’ comparison </w:t>
      </w:r>
      <w:r w:rsidR="00F16198" w:rsidRPr="00F16198">
        <w:rPr>
          <w:rFonts w:cs="TimesNewRomanPSMT"/>
        </w:rPr>
        <w:t xml:space="preserve">that quantifies whether any difference in group opinion between survey rounds is </w:t>
      </w:r>
      <w:r w:rsidR="006C3290">
        <w:rPr>
          <w:rFonts w:cs="TimesNewRomanPSMT"/>
        </w:rPr>
        <w:t>statistical</w:t>
      </w:r>
      <w:r>
        <w:rPr>
          <w:rFonts w:cs="TimesNewRomanPSMT"/>
        </w:rPr>
        <w:t>ly</w:t>
      </w:r>
      <w:r w:rsidR="006C3290">
        <w:rPr>
          <w:rFonts w:cs="TimesNewRomanPSMT"/>
        </w:rPr>
        <w:t xml:space="preserve"> </w:t>
      </w:r>
      <w:r>
        <w:rPr>
          <w:rFonts w:cs="TimesNewRomanPSMT"/>
        </w:rPr>
        <w:t>significant</w:t>
      </w:r>
      <w:r w:rsidR="001D736B">
        <w:rPr>
          <w:rFonts w:cs="TimesNewRomanPSMT"/>
        </w:rPr>
        <w:t>. W</w:t>
      </w:r>
      <w:r w:rsidR="006C3290">
        <w:rPr>
          <w:rFonts w:cs="TimesNewRomanPSMT"/>
        </w:rPr>
        <w:t xml:space="preserve">here the </w:t>
      </w:r>
      <w:r w:rsidR="001F0090">
        <w:rPr>
          <w:rFonts w:cs="TimesNewRomanPSMT"/>
        </w:rPr>
        <w:t>test</w:t>
      </w:r>
      <w:r w:rsidR="00EA57EA">
        <w:rPr>
          <w:rFonts w:cs="TimesNewRomanPSMT"/>
        </w:rPr>
        <w:t xml:space="preserve"> </w:t>
      </w:r>
      <w:r w:rsidR="006C3290" w:rsidRPr="00EA57EA">
        <w:rPr>
          <w:rFonts w:cs="TimesNewRomanPSMT"/>
          <w:i/>
        </w:rPr>
        <w:t>z</w:t>
      </w:r>
      <w:r w:rsidR="00EA57EA">
        <w:rPr>
          <w:rFonts w:cs="TimesNewRomanPSMT"/>
        </w:rPr>
        <w:t>-</w:t>
      </w:r>
      <w:r w:rsidR="001F0090">
        <w:rPr>
          <w:rFonts w:cs="TimesNewRomanPSMT"/>
        </w:rPr>
        <w:t xml:space="preserve">statistic </w:t>
      </w:r>
      <w:r w:rsidR="006C3290">
        <w:rPr>
          <w:rFonts w:cs="TimesNewRomanPSMT"/>
        </w:rPr>
        <w:t xml:space="preserve">asymptotic </w:t>
      </w:r>
      <w:r w:rsidR="006C3290">
        <w:rPr>
          <w:rFonts w:cs="TimesNewRomanPSMT"/>
          <w:i/>
        </w:rPr>
        <w:t>p</w:t>
      </w:r>
      <w:r w:rsidR="006C3290">
        <w:rPr>
          <w:rFonts w:cs="TimesNewRomanPSMT"/>
        </w:rPr>
        <w:t xml:space="preserve">-value </w:t>
      </w:r>
      <w:r w:rsidR="00FB0C89">
        <w:rPr>
          <w:rFonts w:cs="TimesNewRomanPSMT"/>
        </w:rPr>
        <w:t xml:space="preserve">is </w:t>
      </w:r>
      <w:r w:rsidR="006C3290">
        <w:rPr>
          <w:rFonts w:cs="TimesNewRomanPSMT"/>
        </w:rPr>
        <w:t>&lt;0.05</w:t>
      </w:r>
      <w:r w:rsidR="001D736B">
        <w:rPr>
          <w:rFonts w:cs="TimesNewRomanPSMT"/>
        </w:rPr>
        <w:t>,</w:t>
      </w:r>
      <w:r w:rsidR="00EA57EA">
        <w:rPr>
          <w:rFonts w:cs="TimesNewRomanPSMT"/>
        </w:rPr>
        <w:t xml:space="preserve"> responses are </w:t>
      </w:r>
      <w:r>
        <w:rPr>
          <w:rFonts w:cs="TimesNewRomanPSMT"/>
        </w:rPr>
        <w:t>considered</w:t>
      </w:r>
      <w:r w:rsidR="00EA57EA">
        <w:rPr>
          <w:rFonts w:cs="TimesNewRomanPSMT"/>
        </w:rPr>
        <w:t xml:space="preserve"> unstable</w:t>
      </w:r>
      <w:r w:rsidR="006C3290">
        <w:rPr>
          <w:rFonts w:cs="TimesNewRomanPSMT"/>
        </w:rPr>
        <w:t xml:space="preserve"> </w:t>
      </w:r>
      <w:r w:rsidR="008D42B9" w:rsidRPr="00E03DEB">
        <w:rPr>
          <w:rFonts w:cs="TimesNewRomanPSMT"/>
        </w:rPr>
        <w:t>(</w:t>
      </w:r>
      <w:proofErr w:type="spellStart"/>
      <w:r w:rsidR="00743B65" w:rsidRPr="006C3290">
        <w:rPr>
          <w:rFonts w:cs="AdvP641C"/>
          <w:color w:val="00B050"/>
        </w:rPr>
        <w:t>Privitera</w:t>
      </w:r>
      <w:proofErr w:type="spellEnd"/>
      <w:r w:rsidR="00743B65" w:rsidRPr="006C3290">
        <w:rPr>
          <w:rFonts w:cs="AdvP641C"/>
          <w:color w:val="00B050"/>
        </w:rPr>
        <w:t>, 2012</w:t>
      </w:r>
      <w:r w:rsidR="00743B65">
        <w:rPr>
          <w:rFonts w:cs="AdvP641C"/>
          <w:color w:val="00B050"/>
        </w:rPr>
        <w:t xml:space="preserve">; </w:t>
      </w:r>
      <w:proofErr w:type="spellStart"/>
      <w:r w:rsidR="008D42B9" w:rsidRPr="00E03DEB">
        <w:rPr>
          <w:rFonts w:cs="TimesNewRomanPSMT"/>
          <w:color w:val="00B050"/>
        </w:rPr>
        <w:t>Argyrous</w:t>
      </w:r>
      <w:proofErr w:type="spellEnd"/>
      <w:r w:rsidR="008D42B9">
        <w:rPr>
          <w:rFonts w:cs="TimesNewRomanPSMT"/>
          <w:color w:val="00B050"/>
        </w:rPr>
        <w:t xml:space="preserve">, </w:t>
      </w:r>
      <w:r w:rsidR="00A16532" w:rsidRPr="00743B65">
        <w:rPr>
          <w:rFonts w:cs="TimesNewRomanPSMT"/>
          <w:color w:val="00B050"/>
        </w:rPr>
        <w:t>2005</w:t>
      </w:r>
      <w:r w:rsidR="008D42B9" w:rsidRPr="00743B65">
        <w:rPr>
          <w:rFonts w:cs="TimesNewRomanPSMT"/>
          <w:color w:val="00B050"/>
        </w:rPr>
        <w:t>; Riley</w:t>
      </w:r>
      <w:r w:rsidR="008D42B9" w:rsidRPr="008D42B9">
        <w:rPr>
          <w:rFonts w:cs="TimesNewRomanPSMT"/>
          <w:color w:val="00B050"/>
        </w:rPr>
        <w:t xml:space="preserve"> </w:t>
      </w:r>
      <w:r w:rsidR="008D42B9" w:rsidRPr="008D42B9">
        <w:rPr>
          <w:rFonts w:cs="TimesNewRomanPSMT"/>
          <w:i/>
          <w:color w:val="00B050"/>
        </w:rPr>
        <w:t>et al</w:t>
      </w:r>
      <w:r w:rsidR="008D42B9">
        <w:rPr>
          <w:rFonts w:cs="TimesNewRomanPSMT"/>
          <w:color w:val="00B050"/>
        </w:rPr>
        <w:t>.</w:t>
      </w:r>
      <w:r w:rsidR="008D42B9" w:rsidRPr="008D42B9">
        <w:rPr>
          <w:rFonts w:cs="TimesNewRomanPSMT"/>
          <w:color w:val="00B050"/>
        </w:rPr>
        <w:t>, 2000</w:t>
      </w:r>
      <w:r w:rsidR="008D42B9">
        <w:rPr>
          <w:rFonts w:cs="TimesNewRomanPSMT"/>
        </w:rPr>
        <w:t>)</w:t>
      </w:r>
      <w:r w:rsidR="00F16198">
        <w:rPr>
          <w:rFonts w:cs="TimesNewRomanPSMT"/>
        </w:rPr>
        <w:t>. I</w:t>
      </w:r>
      <w:r w:rsidR="008D42B9">
        <w:rPr>
          <w:rFonts w:cs="TimesNewRomanPSMT"/>
        </w:rPr>
        <w:t xml:space="preserve">n </w:t>
      </w:r>
      <w:r w:rsidR="00F16198">
        <w:rPr>
          <w:rFonts w:cs="TimesNewRomanPSMT"/>
        </w:rPr>
        <w:t xml:space="preserve">this study, </w:t>
      </w:r>
      <w:r w:rsidR="008D42B9">
        <w:rPr>
          <w:rFonts w:cs="TimesNewRomanPSMT"/>
        </w:rPr>
        <w:t xml:space="preserve">paired data were </w:t>
      </w:r>
      <w:r w:rsidR="008D42B9" w:rsidRPr="008D42B9">
        <w:rPr>
          <w:rFonts w:cs="TimesNewRomanPSMT"/>
        </w:rPr>
        <w:t xml:space="preserve">a panellist’s responses to the same </w:t>
      </w:r>
      <w:r w:rsidR="008D42B9">
        <w:rPr>
          <w:rFonts w:cs="TimesNewRomanPSMT"/>
        </w:rPr>
        <w:t>item in rounds</w:t>
      </w:r>
      <w:r w:rsidR="00C76897">
        <w:rPr>
          <w:rFonts w:cs="TimesNewRomanPSMT"/>
        </w:rPr>
        <w:t xml:space="preserve"> 2</w:t>
      </w:r>
      <w:r w:rsidR="008D42B9">
        <w:rPr>
          <w:rFonts w:cs="TimesNewRomanPSMT"/>
        </w:rPr>
        <w:t xml:space="preserve"> and </w:t>
      </w:r>
      <w:r w:rsidR="00C76897">
        <w:rPr>
          <w:rFonts w:cs="TimesNewRomanPSMT"/>
        </w:rPr>
        <w:t>3</w:t>
      </w:r>
      <w:r w:rsidR="00E75E8D">
        <w:rPr>
          <w:rFonts w:cs="TimesNewRomanPSMT"/>
        </w:rPr>
        <w:t xml:space="preserve">; it should be noted that 58 (67%) Delphi participants responded </w:t>
      </w:r>
      <w:r w:rsidR="00C3605C">
        <w:rPr>
          <w:rFonts w:cs="TimesNewRomanPSMT"/>
        </w:rPr>
        <w:t xml:space="preserve">to both </w:t>
      </w:r>
      <w:r w:rsidR="00E75E8D">
        <w:rPr>
          <w:rFonts w:cs="TimesNewRomanPSMT"/>
        </w:rPr>
        <w:t>survey rounds 2 and 3</w:t>
      </w:r>
      <w:r w:rsidR="00C3605C">
        <w:rPr>
          <w:rFonts w:cs="TimesNewRomanPSMT"/>
        </w:rPr>
        <w:t xml:space="preserve">. </w:t>
      </w:r>
      <w:r>
        <w:rPr>
          <w:rFonts w:cs="TimesNewRomanPSMT"/>
        </w:rPr>
        <w:t xml:space="preserve">The </w:t>
      </w:r>
      <w:r w:rsidR="00C3605C">
        <w:rPr>
          <w:rFonts w:cs="TimesNewRomanPSMT"/>
        </w:rPr>
        <w:t xml:space="preserve">use of the </w:t>
      </w:r>
      <w:proofErr w:type="spellStart"/>
      <w:r>
        <w:rPr>
          <w:rFonts w:cs="TimesNewRomanPSMT"/>
        </w:rPr>
        <w:t>Wilcoxon</w:t>
      </w:r>
      <w:proofErr w:type="spellEnd"/>
      <w:r>
        <w:rPr>
          <w:rFonts w:cs="TimesNewRomanPSMT"/>
        </w:rPr>
        <w:t xml:space="preserve"> test was </w:t>
      </w:r>
      <w:r w:rsidR="00C3605C">
        <w:rPr>
          <w:rFonts w:cs="TimesNewRomanPSMT"/>
        </w:rPr>
        <w:t>appropriate</w:t>
      </w:r>
      <w:r>
        <w:rPr>
          <w:rFonts w:cs="TimesNewRomanPSMT"/>
        </w:rPr>
        <w:t xml:space="preserve"> because the number</w:t>
      </w:r>
      <w:r w:rsidRPr="00E03DEB">
        <w:rPr>
          <w:rFonts w:cs="TimesNewRomanPSMT"/>
        </w:rPr>
        <w:t xml:space="preserve"> of </w:t>
      </w:r>
      <w:r>
        <w:rPr>
          <w:rFonts w:cs="TimesNewRomanPSMT"/>
        </w:rPr>
        <w:t xml:space="preserve">responding </w:t>
      </w:r>
      <w:r w:rsidRPr="00E03DEB">
        <w:rPr>
          <w:rFonts w:cs="TimesNewRomanPSMT"/>
        </w:rPr>
        <w:t xml:space="preserve">sub-panel </w:t>
      </w:r>
      <w:r>
        <w:rPr>
          <w:rFonts w:cs="TimesNewRomanPSMT"/>
        </w:rPr>
        <w:t>experts was below 30</w:t>
      </w:r>
      <w:r w:rsidRPr="00E03DEB">
        <w:rPr>
          <w:rFonts w:cs="TimesNewRomanPSMT"/>
        </w:rPr>
        <w:t xml:space="preserve"> and </w:t>
      </w:r>
      <w:r>
        <w:rPr>
          <w:rFonts w:cs="TimesNewRomanPSMT"/>
        </w:rPr>
        <w:t>data</w:t>
      </w:r>
      <w:r w:rsidRPr="00E03DEB">
        <w:rPr>
          <w:rFonts w:cs="TimesNewRomanPSMT"/>
        </w:rPr>
        <w:t xml:space="preserve"> were not normally distributed (</w:t>
      </w:r>
      <w:proofErr w:type="spellStart"/>
      <w:r w:rsidRPr="00E03DEB">
        <w:rPr>
          <w:rFonts w:cs="TimesNewRomanPSMT"/>
          <w:color w:val="00B050"/>
        </w:rPr>
        <w:t>Kalaian</w:t>
      </w:r>
      <w:proofErr w:type="spellEnd"/>
      <w:r w:rsidRPr="00E03DEB">
        <w:rPr>
          <w:rFonts w:cs="TimesNewRomanPSMT"/>
          <w:color w:val="00B050"/>
        </w:rPr>
        <w:t xml:space="preserve"> and </w:t>
      </w:r>
      <w:proofErr w:type="spellStart"/>
      <w:r w:rsidRPr="00E03DEB">
        <w:rPr>
          <w:rFonts w:cs="TimesNewRomanPSMT"/>
          <w:color w:val="00B050"/>
        </w:rPr>
        <w:t>Kasim</w:t>
      </w:r>
      <w:proofErr w:type="spellEnd"/>
      <w:r w:rsidRPr="00E03DEB">
        <w:rPr>
          <w:rFonts w:cs="TimesNewRomanPSMT"/>
          <w:color w:val="00B050"/>
        </w:rPr>
        <w:t>, 2012</w:t>
      </w:r>
      <w:r w:rsidRPr="00E03DEB">
        <w:rPr>
          <w:rFonts w:cs="TimesNewRomanPSMT"/>
        </w:rPr>
        <w:t xml:space="preserve">). </w:t>
      </w:r>
    </w:p>
    <w:p w:rsidR="00933D11" w:rsidRDefault="00933D11" w:rsidP="00505EF2">
      <w:pPr>
        <w:spacing w:after="120"/>
        <w:rPr>
          <w:rFonts w:cs="AdvP641C"/>
          <w:b/>
        </w:rPr>
      </w:pPr>
    </w:p>
    <w:p w:rsidR="00933D11" w:rsidRDefault="00933D11" w:rsidP="00505EF2">
      <w:pPr>
        <w:spacing w:after="120"/>
        <w:rPr>
          <w:rFonts w:cs="AdvP641C"/>
          <w:b/>
        </w:rPr>
      </w:pPr>
    </w:p>
    <w:p w:rsidR="00933D11" w:rsidRDefault="00933D11" w:rsidP="00505EF2">
      <w:pPr>
        <w:spacing w:after="120"/>
        <w:rPr>
          <w:rFonts w:cs="AdvP641C"/>
          <w:b/>
        </w:rPr>
      </w:pPr>
    </w:p>
    <w:p w:rsidR="00933D11" w:rsidRDefault="00933D11" w:rsidP="00505EF2">
      <w:pPr>
        <w:spacing w:after="120"/>
        <w:rPr>
          <w:rFonts w:cs="AdvP641C"/>
          <w:b/>
        </w:rPr>
      </w:pPr>
    </w:p>
    <w:p w:rsidR="00933D11" w:rsidRDefault="00933D11" w:rsidP="00505EF2">
      <w:pPr>
        <w:spacing w:after="120"/>
        <w:rPr>
          <w:rFonts w:cs="AdvP641C"/>
          <w:b/>
        </w:rPr>
      </w:pPr>
    </w:p>
    <w:p w:rsidR="00933D11" w:rsidRDefault="00933D11" w:rsidP="00505EF2">
      <w:pPr>
        <w:spacing w:after="120"/>
        <w:rPr>
          <w:rFonts w:cs="AdvP641C"/>
          <w:b/>
        </w:rPr>
      </w:pPr>
    </w:p>
    <w:p w:rsidR="00933D11" w:rsidRDefault="00933D11" w:rsidP="00505EF2">
      <w:pPr>
        <w:spacing w:after="120"/>
        <w:rPr>
          <w:rFonts w:cs="AdvP641C"/>
          <w:b/>
        </w:rPr>
      </w:pPr>
    </w:p>
    <w:p w:rsidR="00933D11" w:rsidRDefault="00933D11" w:rsidP="00505EF2">
      <w:pPr>
        <w:spacing w:after="120"/>
        <w:rPr>
          <w:rFonts w:cs="AdvP641C"/>
          <w:b/>
        </w:rPr>
      </w:pPr>
    </w:p>
    <w:p w:rsidR="00743B65" w:rsidRDefault="00743B65" w:rsidP="00505EF2">
      <w:pPr>
        <w:spacing w:after="120"/>
        <w:rPr>
          <w:rFonts w:cs="AdvP641C"/>
          <w:b/>
        </w:rPr>
      </w:pPr>
    </w:p>
    <w:p w:rsidR="00543EEB" w:rsidRPr="00853C5A" w:rsidRDefault="00543EEB" w:rsidP="00505EF2">
      <w:pPr>
        <w:spacing w:after="120"/>
        <w:rPr>
          <w:rFonts w:cs="AdvP641C"/>
          <w:b/>
        </w:rPr>
      </w:pPr>
      <w:r w:rsidRPr="00853C5A">
        <w:rPr>
          <w:rFonts w:cs="AdvP641C"/>
          <w:b/>
        </w:rPr>
        <w:lastRenderedPageBreak/>
        <w:t>Results</w:t>
      </w:r>
    </w:p>
    <w:p w:rsidR="00731B20" w:rsidRPr="00731B20" w:rsidRDefault="00731B20" w:rsidP="00505EF2">
      <w:pPr>
        <w:spacing w:after="120"/>
        <w:rPr>
          <w:rFonts w:cs="AdvP641C"/>
          <w:i/>
          <w:sz w:val="8"/>
          <w:szCs w:val="8"/>
        </w:rPr>
      </w:pPr>
    </w:p>
    <w:p w:rsidR="00DB1A5F" w:rsidRPr="001C074B" w:rsidRDefault="00C007A5" w:rsidP="00505EF2">
      <w:pPr>
        <w:spacing w:after="120"/>
        <w:rPr>
          <w:rFonts w:cs="AdvP641C"/>
          <w:i/>
        </w:rPr>
      </w:pPr>
      <w:r>
        <w:rPr>
          <w:rFonts w:cs="AdvP641C"/>
          <w:i/>
        </w:rPr>
        <w:t>Panel</w:t>
      </w:r>
      <w:r w:rsidR="005F4AA1">
        <w:rPr>
          <w:rFonts w:cs="AdvP641C"/>
          <w:i/>
        </w:rPr>
        <w:t xml:space="preserve"> characteristics and response rates</w:t>
      </w:r>
    </w:p>
    <w:p w:rsidR="001736F1" w:rsidRDefault="00505EF2" w:rsidP="00505EF2">
      <w:pPr>
        <w:spacing w:after="120"/>
        <w:rPr>
          <w:rFonts w:cs="AdvP641C"/>
        </w:rPr>
      </w:pPr>
      <w:r>
        <w:rPr>
          <w:rFonts w:cs="AdvP641C"/>
        </w:rPr>
        <w:t xml:space="preserve">Round 1 </w:t>
      </w:r>
      <w:r w:rsidR="004A3BF2">
        <w:rPr>
          <w:rFonts w:cs="AdvP641C"/>
        </w:rPr>
        <w:t>feedback</w:t>
      </w:r>
      <w:r>
        <w:rPr>
          <w:rFonts w:cs="AdvP641C"/>
        </w:rPr>
        <w:t xml:space="preserve"> </w:t>
      </w:r>
      <w:r w:rsidR="002047F4">
        <w:rPr>
          <w:rFonts w:cs="AdvP641C"/>
        </w:rPr>
        <w:t xml:space="preserve">revealed that </w:t>
      </w:r>
      <w:r w:rsidR="00C35AB6">
        <w:rPr>
          <w:rFonts w:cs="AdvP641C"/>
        </w:rPr>
        <w:t>most</w:t>
      </w:r>
      <w:r w:rsidR="00C007A5">
        <w:rPr>
          <w:rFonts w:cs="AdvP641C"/>
        </w:rPr>
        <w:t xml:space="preserve"> </w:t>
      </w:r>
      <w:r w:rsidR="00FB0C89">
        <w:rPr>
          <w:rFonts w:cs="AdvP641C"/>
        </w:rPr>
        <w:t xml:space="preserve">(75%) </w:t>
      </w:r>
      <w:r w:rsidR="00C007A5">
        <w:rPr>
          <w:rFonts w:cs="AdvP641C"/>
        </w:rPr>
        <w:t>panellists worked in Wales permanently</w:t>
      </w:r>
      <w:r w:rsidR="00FB0C89">
        <w:rPr>
          <w:rFonts w:cs="AdvP641C"/>
        </w:rPr>
        <w:t xml:space="preserve">, </w:t>
      </w:r>
      <w:r w:rsidR="00C35AB6" w:rsidRPr="00853C5A">
        <w:rPr>
          <w:rFonts w:cs="AdvP641C"/>
        </w:rPr>
        <w:t>at practitioner level (41%)</w:t>
      </w:r>
      <w:r w:rsidR="00C35AB6">
        <w:rPr>
          <w:rFonts w:cs="AdvP641C"/>
        </w:rPr>
        <w:t xml:space="preserve"> and</w:t>
      </w:r>
      <w:r w:rsidR="00C35AB6" w:rsidRPr="00853C5A">
        <w:rPr>
          <w:rFonts w:cs="AdvP641C"/>
        </w:rPr>
        <w:t xml:space="preserve"> </w:t>
      </w:r>
      <w:r w:rsidR="00C007A5" w:rsidRPr="00853C5A">
        <w:rPr>
          <w:rFonts w:cs="AdvP641C"/>
        </w:rPr>
        <w:t>were employed by th</w:t>
      </w:r>
      <w:r w:rsidR="00C35AB6">
        <w:rPr>
          <w:rFonts w:cs="AdvP641C"/>
        </w:rPr>
        <w:t xml:space="preserve">e </w:t>
      </w:r>
      <w:r w:rsidR="00C21028">
        <w:rPr>
          <w:rFonts w:cs="AdvP641C"/>
        </w:rPr>
        <w:t>NHS</w:t>
      </w:r>
      <w:r w:rsidR="00C35AB6">
        <w:rPr>
          <w:rFonts w:cs="AdvP641C"/>
        </w:rPr>
        <w:t xml:space="preserve"> (48%)</w:t>
      </w:r>
      <w:r w:rsidR="00464D42">
        <w:rPr>
          <w:rFonts w:cs="AdvP641C"/>
        </w:rPr>
        <w:t xml:space="preserve"> (</w:t>
      </w:r>
      <w:r w:rsidR="00464D42" w:rsidRPr="00743B65">
        <w:rPr>
          <w:rFonts w:cs="AdvP641C"/>
        </w:rPr>
        <w:t>Fig.3)</w:t>
      </w:r>
      <w:r w:rsidR="00C35AB6" w:rsidRPr="00743B65">
        <w:rPr>
          <w:rFonts w:cs="AdvP641C"/>
        </w:rPr>
        <w:t>.</w:t>
      </w:r>
      <w:r w:rsidR="00C35AB6">
        <w:rPr>
          <w:rFonts w:cs="AdvP641C"/>
        </w:rPr>
        <w:t xml:space="preserve"> While 77% of </w:t>
      </w:r>
      <w:r w:rsidR="00FB0C89">
        <w:rPr>
          <w:rFonts w:cs="AdvP641C"/>
        </w:rPr>
        <w:t>panellists reported</w:t>
      </w:r>
      <w:r w:rsidR="00C21028">
        <w:rPr>
          <w:rFonts w:cs="AdvP641C"/>
        </w:rPr>
        <w:t xml:space="preserve"> undertaking </w:t>
      </w:r>
      <w:r w:rsidR="00C007A5" w:rsidRPr="00853C5A">
        <w:rPr>
          <w:rFonts w:cs="AdvP641C"/>
        </w:rPr>
        <w:t xml:space="preserve">public health-related work daily, </w:t>
      </w:r>
      <w:r w:rsidR="00C76897">
        <w:rPr>
          <w:rFonts w:cs="AdvP641C"/>
        </w:rPr>
        <w:t xml:space="preserve">just </w:t>
      </w:r>
      <w:r w:rsidR="00C007A5" w:rsidRPr="00853C5A">
        <w:rPr>
          <w:rFonts w:cs="AdvP641C"/>
        </w:rPr>
        <w:t xml:space="preserve">23% </w:t>
      </w:r>
      <w:r w:rsidR="00FB0C89">
        <w:rPr>
          <w:rFonts w:cs="AdvP641C"/>
        </w:rPr>
        <w:t xml:space="preserve">said they </w:t>
      </w:r>
      <w:r w:rsidR="00C35AB6">
        <w:rPr>
          <w:rFonts w:cs="AdvP641C"/>
        </w:rPr>
        <w:t xml:space="preserve">did </w:t>
      </w:r>
      <w:r w:rsidR="00C76897">
        <w:rPr>
          <w:rFonts w:cs="AdvP641C"/>
        </w:rPr>
        <w:t xml:space="preserve">air </w:t>
      </w:r>
      <w:r w:rsidR="00C007A5" w:rsidRPr="00853C5A">
        <w:rPr>
          <w:rFonts w:cs="AdvP641C"/>
        </w:rPr>
        <w:t>quality management work</w:t>
      </w:r>
      <w:r w:rsidR="00C007A5">
        <w:rPr>
          <w:rFonts w:cs="AdvP641C"/>
        </w:rPr>
        <w:t xml:space="preserve"> at the same frequency</w:t>
      </w:r>
      <w:r w:rsidR="00C007A5" w:rsidRPr="00853C5A">
        <w:rPr>
          <w:rFonts w:cs="AdvP641C"/>
        </w:rPr>
        <w:t xml:space="preserve">. </w:t>
      </w:r>
      <w:r w:rsidR="00C007A5">
        <w:rPr>
          <w:rFonts w:cs="AdvP641C"/>
        </w:rPr>
        <w:t xml:space="preserve">The </w:t>
      </w:r>
      <w:r w:rsidR="00C007A5" w:rsidRPr="00853C5A">
        <w:rPr>
          <w:rFonts w:cs="AdvP641C"/>
        </w:rPr>
        <w:t xml:space="preserve">Delphi </w:t>
      </w:r>
      <w:r w:rsidR="00C76897">
        <w:rPr>
          <w:rFonts w:cs="AdvP641C"/>
        </w:rPr>
        <w:t>p</w:t>
      </w:r>
      <w:r w:rsidR="00C007A5" w:rsidRPr="00853C5A">
        <w:rPr>
          <w:rFonts w:cs="AdvP641C"/>
        </w:rPr>
        <w:t>anel</w:t>
      </w:r>
      <w:r w:rsidR="00C21028">
        <w:rPr>
          <w:rFonts w:cs="AdvP641C"/>
        </w:rPr>
        <w:t xml:space="preserve"> comprised </w:t>
      </w:r>
      <w:r w:rsidR="00C35AB6">
        <w:rPr>
          <w:rFonts w:cs="AdvP641C"/>
        </w:rPr>
        <w:t xml:space="preserve">an experienced group of experts; </w:t>
      </w:r>
      <w:r w:rsidR="00C007A5" w:rsidRPr="00853C5A">
        <w:rPr>
          <w:rFonts w:cs="AdvP641C"/>
        </w:rPr>
        <w:t xml:space="preserve">70% </w:t>
      </w:r>
      <w:r w:rsidR="00C35AB6">
        <w:rPr>
          <w:rFonts w:cs="AdvP641C"/>
        </w:rPr>
        <w:t>had &gt;</w:t>
      </w:r>
      <w:r w:rsidR="00C007A5" w:rsidRPr="00853C5A">
        <w:rPr>
          <w:rFonts w:cs="AdvP641C"/>
        </w:rPr>
        <w:t xml:space="preserve">10 years </w:t>
      </w:r>
      <w:r w:rsidR="00C007A5">
        <w:rPr>
          <w:rFonts w:cs="AdvP641C"/>
        </w:rPr>
        <w:t xml:space="preserve">relevant </w:t>
      </w:r>
      <w:r w:rsidR="00C007A5" w:rsidRPr="00853C5A">
        <w:rPr>
          <w:rFonts w:cs="AdvP641C"/>
        </w:rPr>
        <w:t>work experience</w:t>
      </w:r>
      <w:r w:rsidR="00C76897">
        <w:rPr>
          <w:rFonts w:cs="AdvP641C"/>
        </w:rPr>
        <w:t>,</w:t>
      </w:r>
      <w:r w:rsidR="00FB0C89">
        <w:rPr>
          <w:rFonts w:cs="AdvP641C"/>
        </w:rPr>
        <w:t xml:space="preserve"> and</w:t>
      </w:r>
      <w:r w:rsidR="00C007A5" w:rsidRPr="00853C5A">
        <w:rPr>
          <w:rFonts w:cs="AdvP641C"/>
        </w:rPr>
        <w:t xml:space="preserve"> 77% </w:t>
      </w:r>
      <w:r w:rsidR="00C35AB6">
        <w:rPr>
          <w:rFonts w:cs="AdvP641C"/>
        </w:rPr>
        <w:t>held masters</w:t>
      </w:r>
      <w:r w:rsidR="00FB0C89">
        <w:rPr>
          <w:rFonts w:cs="AdvP641C"/>
        </w:rPr>
        <w:t>-level</w:t>
      </w:r>
      <w:r w:rsidR="00C35AB6">
        <w:rPr>
          <w:rFonts w:cs="AdvP641C"/>
        </w:rPr>
        <w:t xml:space="preserve"> or higher</w:t>
      </w:r>
      <w:r w:rsidR="00FB0C89">
        <w:rPr>
          <w:rFonts w:cs="AdvP641C"/>
        </w:rPr>
        <w:t xml:space="preserve"> </w:t>
      </w:r>
      <w:r w:rsidR="00C35AB6">
        <w:rPr>
          <w:rFonts w:cs="AdvP641C"/>
        </w:rPr>
        <w:t>qualifications</w:t>
      </w:r>
      <w:r w:rsidR="00C007A5" w:rsidRPr="00853C5A">
        <w:rPr>
          <w:rFonts w:cs="AdvP641C"/>
        </w:rPr>
        <w:t>.</w:t>
      </w:r>
      <w:r w:rsidR="00DB1A5F" w:rsidRPr="00853C5A">
        <w:rPr>
          <w:rFonts w:cs="AdvP641C"/>
        </w:rPr>
        <w:t xml:space="preserve"> </w:t>
      </w:r>
    </w:p>
    <w:p w:rsidR="00743B65" w:rsidRDefault="00743B65" w:rsidP="00505EF2">
      <w:pPr>
        <w:spacing w:after="120"/>
        <w:rPr>
          <w:rFonts w:cs="AdvP641C"/>
        </w:rPr>
      </w:pPr>
    </w:p>
    <w:p w:rsidR="00C912E6" w:rsidRDefault="00C912E6" w:rsidP="00505EF2">
      <w:pPr>
        <w:spacing w:after="120"/>
        <w:rPr>
          <w:rFonts w:cs="AdvP641C"/>
        </w:rPr>
      </w:pPr>
      <w:r>
        <w:rPr>
          <w:rFonts w:cs="AdvP641C"/>
          <w:noProof/>
          <w:lang w:eastAsia="en-GB"/>
        </w:rPr>
        <w:drawing>
          <wp:inline distT="0" distB="0" distL="0" distR="0">
            <wp:extent cx="5844802" cy="4512623"/>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853530" cy="4519361"/>
                    </a:xfrm>
                    <a:prstGeom prst="rect">
                      <a:avLst/>
                    </a:prstGeom>
                    <a:noFill/>
                  </pic:spPr>
                </pic:pic>
              </a:graphicData>
            </a:graphic>
          </wp:inline>
        </w:drawing>
      </w:r>
    </w:p>
    <w:p w:rsidR="00C912E6" w:rsidRPr="00B608F5" w:rsidRDefault="00C912E6" w:rsidP="00DB1A5F">
      <w:pPr>
        <w:spacing w:after="120"/>
        <w:jc w:val="center"/>
        <w:rPr>
          <w:color w:val="FF0000"/>
          <w:sz w:val="4"/>
          <w:szCs w:val="4"/>
        </w:rPr>
      </w:pPr>
    </w:p>
    <w:p w:rsidR="00DB1A5F" w:rsidRDefault="00464D42" w:rsidP="00DB1A5F">
      <w:pPr>
        <w:spacing w:after="120"/>
        <w:jc w:val="center"/>
        <w:rPr>
          <w:sz w:val="18"/>
          <w:szCs w:val="18"/>
        </w:rPr>
      </w:pPr>
      <w:proofErr w:type="gramStart"/>
      <w:r w:rsidRPr="00D42A43">
        <w:rPr>
          <w:sz w:val="18"/>
          <w:szCs w:val="18"/>
        </w:rPr>
        <w:t>Fig 3</w:t>
      </w:r>
      <w:r w:rsidR="00DB1A5F" w:rsidRPr="00D42A43">
        <w:rPr>
          <w:sz w:val="18"/>
          <w:szCs w:val="18"/>
        </w:rPr>
        <w:t>.</w:t>
      </w:r>
      <w:proofErr w:type="gramEnd"/>
      <w:r w:rsidR="00DB1A5F" w:rsidRPr="00D42A43">
        <w:rPr>
          <w:sz w:val="18"/>
          <w:szCs w:val="18"/>
        </w:rPr>
        <w:t xml:space="preserve"> Delphi Panel composition and extent of participation by survey round</w:t>
      </w:r>
    </w:p>
    <w:p w:rsidR="00C21028" w:rsidRPr="00D95D95" w:rsidRDefault="00C21028" w:rsidP="000D68EF">
      <w:pPr>
        <w:spacing w:after="120"/>
        <w:rPr>
          <w:rFonts w:cs="AdvP641C"/>
          <w:i/>
          <w:sz w:val="6"/>
          <w:szCs w:val="6"/>
        </w:rPr>
      </w:pPr>
    </w:p>
    <w:p w:rsidR="00036E83" w:rsidRDefault="00C76897" w:rsidP="000D68EF">
      <w:pPr>
        <w:spacing w:after="120"/>
        <w:rPr>
          <w:rFonts w:cs="AdvP641C"/>
        </w:rPr>
      </w:pPr>
      <w:r>
        <w:rPr>
          <w:rFonts w:cs="AdvP641C"/>
        </w:rPr>
        <w:t>Panel r</w:t>
      </w:r>
      <w:r w:rsidR="00C007A5">
        <w:rPr>
          <w:rFonts w:cs="AdvP641C"/>
        </w:rPr>
        <w:t xml:space="preserve">esponse rates </w:t>
      </w:r>
      <w:r w:rsidR="00505EF2">
        <w:rPr>
          <w:rFonts w:cs="AdvP641C"/>
        </w:rPr>
        <w:t>were</w:t>
      </w:r>
      <w:r w:rsidR="00C007A5">
        <w:rPr>
          <w:rFonts w:cs="AdvP641C"/>
        </w:rPr>
        <w:t xml:space="preserve"> </w:t>
      </w:r>
      <w:r w:rsidR="00C007A5" w:rsidRPr="00853C5A">
        <w:rPr>
          <w:rFonts w:cs="AdvP641C"/>
        </w:rPr>
        <w:t>78%</w:t>
      </w:r>
      <w:r w:rsidR="002B698F">
        <w:rPr>
          <w:rFonts w:cs="AdvP641C"/>
        </w:rPr>
        <w:t>, 80% and 76% in</w:t>
      </w:r>
      <w:r w:rsidR="00505EF2">
        <w:rPr>
          <w:rFonts w:cs="AdvP641C"/>
        </w:rPr>
        <w:t xml:space="preserve"> rounds 1, 2 and 3, </w:t>
      </w:r>
      <w:r w:rsidR="00C007A5">
        <w:rPr>
          <w:rFonts w:cs="AdvP641C"/>
        </w:rPr>
        <w:t>respectively.</w:t>
      </w:r>
      <w:r w:rsidR="002B698F">
        <w:rPr>
          <w:rFonts w:cs="AdvP641C"/>
        </w:rPr>
        <w:t xml:space="preserve"> Sub-panel</w:t>
      </w:r>
      <w:r>
        <w:rPr>
          <w:rFonts w:cs="AdvP641C"/>
        </w:rPr>
        <w:t xml:space="preserve"> response rates</w:t>
      </w:r>
      <w:r w:rsidR="002A0BB1">
        <w:rPr>
          <w:rFonts w:cs="AdvP641C"/>
        </w:rPr>
        <w:t xml:space="preserve"> </w:t>
      </w:r>
      <w:r w:rsidR="00505EF2">
        <w:rPr>
          <w:rFonts w:cs="AdvP641C"/>
        </w:rPr>
        <w:t xml:space="preserve">across </w:t>
      </w:r>
      <w:r>
        <w:rPr>
          <w:rFonts w:cs="AdvP641C"/>
        </w:rPr>
        <w:t xml:space="preserve">survey rounds </w:t>
      </w:r>
      <w:r w:rsidR="00505EF2">
        <w:rPr>
          <w:rFonts w:cs="AdvP641C"/>
        </w:rPr>
        <w:t xml:space="preserve">ranged </w:t>
      </w:r>
      <w:r>
        <w:rPr>
          <w:rFonts w:cs="AdvP641C"/>
        </w:rPr>
        <w:t xml:space="preserve">from </w:t>
      </w:r>
      <w:r w:rsidR="00505EF2">
        <w:rPr>
          <w:rFonts w:cs="AdvP641C"/>
        </w:rPr>
        <w:t xml:space="preserve">83% </w:t>
      </w:r>
      <w:r>
        <w:rPr>
          <w:rFonts w:cs="AdvP641C"/>
        </w:rPr>
        <w:t xml:space="preserve">to </w:t>
      </w:r>
      <w:r w:rsidR="002A0BB1">
        <w:rPr>
          <w:rFonts w:cs="AdvP641C"/>
        </w:rPr>
        <w:t xml:space="preserve">91% </w:t>
      </w:r>
      <w:r w:rsidR="00505EF2">
        <w:rPr>
          <w:rFonts w:cs="AdvP641C"/>
        </w:rPr>
        <w:t>in ‘</w:t>
      </w:r>
      <w:r w:rsidR="008E0EAE">
        <w:rPr>
          <w:rFonts w:cs="AdvP641C"/>
        </w:rPr>
        <w:t>p</w:t>
      </w:r>
      <w:r w:rsidR="00505EF2">
        <w:rPr>
          <w:rFonts w:cs="AdvP641C"/>
        </w:rPr>
        <w:t xml:space="preserve">ublic </w:t>
      </w:r>
      <w:r w:rsidR="008E0EAE">
        <w:rPr>
          <w:rFonts w:cs="AdvP641C"/>
        </w:rPr>
        <w:t>h</w:t>
      </w:r>
      <w:r w:rsidR="00505EF2">
        <w:rPr>
          <w:rFonts w:cs="AdvP641C"/>
        </w:rPr>
        <w:t xml:space="preserve">ealth’, 66% </w:t>
      </w:r>
      <w:r>
        <w:rPr>
          <w:rFonts w:cs="AdvP641C"/>
        </w:rPr>
        <w:t xml:space="preserve">to </w:t>
      </w:r>
      <w:r w:rsidR="002A0BB1">
        <w:rPr>
          <w:rFonts w:cs="AdvP641C"/>
        </w:rPr>
        <w:t xml:space="preserve">72% </w:t>
      </w:r>
      <w:r w:rsidR="00505EF2">
        <w:rPr>
          <w:rFonts w:cs="AdvP641C"/>
        </w:rPr>
        <w:t xml:space="preserve">in </w:t>
      </w:r>
      <w:r w:rsidR="002A0BB1">
        <w:rPr>
          <w:rFonts w:cs="AdvP641C"/>
        </w:rPr>
        <w:t>‘</w:t>
      </w:r>
      <w:r w:rsidR="008E0EAE">
        <w:rPr>
          <w:rFonts w:cs="AdvP641C"/>
        </w:rPr>
        <w:t>a</w:t>
      </w:r>
      <w:r w:rsidR="002047F4">
        <w:rPr>
          <w:rFonts w:cs="AdvP641C"/>
        </w:rPr>
        <w:t xml:space="preserve">ir </w:t>
      </w:r>
      <w:r w:rsidR="008E0EAE">
        <w:rPr>
          <w:rFonts w:cs="AdvP641C"/>
        </w:rPr>
        <w:t>q</w:t>
      </w:r>
      <w:r w:rsidR="002047F4">
        <w:rPr>
          <w:rFonts w:cs="AdvP641C"/>
        </w:rPr>
        <w:t xml:space="preserve">uality </w:t>
      </w:r>
      <w:r w:rsidR="008E0EAE">
        <w:rPr>
          <w:rFonts w:cs="AdvP641C"/>
        </w:rPr>
        <w:t>m</w:t>
      </w:r>
      <w:r w:rsidR="002047F4">
        <w:rPr>
          <w:rFonts w:cs="AdvP641C"/>
        </w:rPr>
        <w:t xml:space="preserve">anagement’, </w:t>
      </w:r>
      <w:r w:rsidR="00505EF2">
        <w:rPr>
          <w:rFonts w:cs="AdvP641C"/>
        </w:rPr>
        <w:t xml:space="preserve">and 68% </w:t>
      </w:r>
      <w:r>
        <w:rPr>
          <w:rFonts w:cs="AdvP641C"/>
        </w:rPr>
        <w:t xml:space="preserve">to </w:t>
      </w:r>
      <w:r w:rsidR="002A0BB1">
        <w:rPr>
          <w:rFonts w:cs="AdvP641C"/>
        </w:rPr>
        <w:t xml:space="preserve">77% </w:t>
      </w:r>
      <w:r w:rsidR="00505EF2">
        <w:rPr>
          <w:rFonts w:cs="AdvP641C"/>
        </w:rPr>
        <w:t xml:space="preserve">in </w:t>
      </w:r>
      <w:r w:rsidR="002A0BB1">
        <w:rPr>
          <w:rFonts w:cs="AdvP641C"/>
        </w:rPr>
        <w:t>‘</w:t>
      </w:r>
      <w:r w:rsidR="008E0EAE">
        <w:rPr>
          <w:rFonts w:cs="AdvP641C"/>
        </w:rPr>
        <w:t>o</w:t>
      </w:r>
      <w:r w:rsidR="002A0BB1">
        <w:rPr>
          <w:rFonts w:cs="AdvP641C"/>
        </w:rPr>
        <w:t>ther’</w:t>
      </w:r>
      <w:r w:rsidR="00505EF2">
        <w:rPr>
          <w:rFonts w:cs="AdvP641C"/>
        </w:rPr>
        <w:t>.</w:t>
      </w:r>
      <w:r w:rsidR="002A0BB1">
        <w:rPr>
          <w:rFonts w:cs="AdvP641C"/>
        </w:rPr>
        <w:t xml:space="preserve"> </w:t>
      </w:r>
      <w:r w:rsidR="00D10AFA">
        <w:rPr>
          <w:rFonts w:cs="AdvP641C"/>
        </w:rPr>
        <w:t xml:space="preserve">Despite </w:t>
      </w:r>
      <w:r w:rsidR="002B698F">
        <w:rPr>
          <w:rFonts w:cs="AdvP641C"/>
        </w:rPr>
        <w:t xml:space="preserve">decreasing </w:t>
      </w:r>
      <w:r w:rsidR="00D10AFA">
        <w:rPr>
          <w:rFonts w:cs="AdvP641C"/>
        </w:rPr>
        <w:t xml:space="preserve">over </w:t>
      </w:r>
      <w:r w:rsidR="002B698F">
        <w:rPr>
          <w:rFonts w:cs="AdvP641C"/>
        </w:rPr>
        <w:t xml:space="preserve">consecutive survey </w:t>
      </w:r>
      <w:r w:rsidR="00D10AFA">
        <w:rPr>
          <w:rFonts w:cs="AdvP641C"/>
        </w:rPr>
        <w:t>rounds, u</w:t>
      </w:r>
      <w:r w:rsidR="002A0BB1">
        <w:rPr>
          <w:rFonts w:cs="AdvP641C"/>
        </w:rPr>
        <w:t xml:space="preserve">ptake was </w:t>
      </w:r>
      <w:r w:rsidR="00A33872">
        <w:rPr>
          <w:rFonts w:cs="AdvP641C"/>
        </w:rPr>
        <w:t xml:space="preserve">consistently </w:t>
      </w:r>
      <w:r w:rsidR="006846DE">
        <w:rPr>
          <w:rFonts w:cs="AdvP641C"/>
        </w:rPr>
        <w:t xml:space="preserve">highest </w:t>
      </w:r>
      <w:r w:rsidR="00A33872">
        <w:rPr>
          <w:rFonts w:cs="AdvP641C"/>
        </w:rPr>
        <w:t>in the ‘</w:t>
      </w:r>
      <w:r w:rsidR="008E0EAE">
        <w:rPr>
          <w:rFonts w:cs="AdvP641C"/>
        </w:rPr>
        <w:t>p</w:t>
      </w:r>
      <w:r w:rsidR="00A33872">
        <w:rPr>
          <w:rFonts w:cs="AdvP641C"/>
        </w:rPr>
        <w:t xml:space="preserve">ublic </w:t>
      </w:r>
      <w:r w:rsidR="008E0EAE">
        <w:rPr>
          <w:rFonts w:cs="AdvP641C"/>
        </w:rPr>
        <w:t>h</w:t>
      </w:r>
      <w:r w:rsidR="00A33872">
        <w:rPr>
          <w:rFonts w:cs="AdvP641C"/>
        </w:rPr>
        <w:t>ealth’ sub-panel</w:t>
      </w:r>
      <w:r w:rsidR="00D10AFA">
        <w:rPr>
          <w:rFonts w:cs="AdvP641C"/>
        </w:rPr>
        <w:t>.</w:t>
      </w:r>
    </w:p>
    <w:p w:rsidR="001771F5" w:rsidRDefault="005F4AA1" w:rsidP="000D68EF">
      <w:pPr>
        <w:spacing w:after="120"/>
        <w:rPr>
          <w:rFonts w:cs="AdvP641C"/>
          <w:i/>
        </w:rPr>
      </w:pPr>
      <w:r>
        <w:rPr>
          <w:rFonts w:cs="AdvP641C"/>
          <w:i/>
        </w:rPr>
        <w:t>Opinions on r</w:t>
      </w:r>
      <w:r w:rsidR="001771F5">
        <w:rPr>
          <w:rFonts w:cs="AdvP641C"/>
          <w:i/>
        </w:rPr>
        <w:t>ole</w:t>
      </w:r>
      <w:r w:rsidR="00FC0F8E">
        <w:rPr>
          <w:rFonts w:cs="AdvP641C"/>
          <w:i/>
        </w:rPr>
        <w:t>s</w:t>
      </w:r>
      <w:r w:rsidR="001771F5">
        <w:rPr>
          <w:rFonts w:cs="AdvP641C"/>
          <w:i/>
        </w:rPr>
        <w:t xml:space="preserve"> of </w:t>
      </w:r>
      <w:r w:rsidR="008E0EAE">
        <w:rPr>
          <w:rFonts w:cs="AdvP641C"/>
          <w:i/>
        </w:rPr>
        <w:t>p</w:t>
      </w:r>
      <w:r w:rsidR="001771F5">
        <w:rPr>
          <w:rFonts w:cs="AdvP641C"/>
          <w:i/>
        </w:rPr>
        <w:t xml:space="preserve">ublic </w:t>
      </w:r>
      <w:r w:rsidR="008E0EAE">
        <w:rPr>
          <w:rFonts w:cs="AdvP641C"/>
          <w:i/>
        </w:rPr>
        <w:t>h</w:t>
      </w:r>
      <w:r w:rsidR="001771F5">
        <w:rPr>
          <w:rFonts w:cs="AdvP641C"/>
          <w:i/>
        </w:rPr>
        <w:t xml:space="preserve">ealth </w:t>
      </w:r>
      <w:r w:rsidR="00695761">
        <w:rPr>
          <w:rFonts w:cs="AdvP641C"/>
          <w:i/>
        </w:rPr>
        <w:t>bodies and professionals</w:t>
      </w:r>
      <w:r w:rsidR="00FC0F8E">
        <w:rPr>
          <w:rFonts w:cs="AdvP641C"/>
          <w:i/>
        </w:rPr>
        <w:t xml:space="preserve"> in LAQM</w:t>
      </w:r>
    </w:p>
    <w:p w:rsidR="004A28BC" w:rsidRDefault="00DD0A67" w:rsidP="00E73D6F">
      <w:pPr>
        <w:spacing w:after="120"/>
        <w:rPr>
          <w:rFonts w:cs="Arial"/>
        </w:rPr>
      </w:pPr>
      <w:r>
        <w:rPr>
          <w:rFonts w:cs="Arial"/>
        </w:rPr>
        <w:t>In r</w:t>
      </w:r>
      <w:r w:rsidR="00AB0265">
        <w:rPr>
          <w:rFonts w:cs="Arial"/>
        </w:rPr>
        <w:t xml:space="preserve">ound 1, </w:t>
      </w:r>
      <w:r w:rsidR="00CA715B">
        <w:rPr>
          <w:rFonts w:cs="Arial"/>
        </w:rPr>
        <w:t>s</w:t>
      </w:r>
      <w:r w:rsidR="00AE560A" w:rsidRPr="00E73D6F">
        <w:rPr>
          <w:rFonts w:cs="Arial"/>
        </w:rPr>
        <w:t>uggested</w:t>
      </w:r>
      <w:r>
        <w:rPr>
          <w:rFonts w:cs="Arial"/>
        </w:rPr>
        <w:t xml:space="preserve"> roles</w:t>
      </w:r>
      <w:r w:rsidR="00AE560A" w:rsidRPr="00E73D6F">
        <w:rPr>
          <w:rFonts w:cs="Arial"/>
        </w:rPr>
        <w:t xml:space="preserve"> </w:t>
      </w:r>
      <w:r>
        <w:rPr>
          <w:rFonts w:cs="Arial"/>
        </w:rPr>
        <w:t>of</w:t>
      </w:r>
      <w:r w:rsidR="000D68EF" w:rsidRPr="00E73D6F">
        <w:rPr>
          <w:rFonts w:cs="Arial"/>
        </w:rPr>
        <w:t xml:space="preserve"> </w:t>
      </w:r>
      <w:r w:rsidR="008E0EAE">
        <w:rPr>
          <w:rFonts w:cs="Arial"/>
        </w:rPr>
        <w:t>p</w:t>
      </w:r>
      <w:r w:rsidR="000D68EF" w:rsidRPr="00E73D6F">
        <w:rPr>
          <w:rFonts w:cs="Arial"/>
        </w:rPr>
        <w:t xml:space="preserve">ublic </w:t>
      </w:r>
      <w:r w:rsidR="008E0EAE">
        <w:rPr>
          <w:rFonts w:cs="Arial"/>
        </w:rPr>
        <w:t>h</w:t>
      </w:r>
      <w:r w:rsidR="000D68EF" w:rsidRPr="00E73D6F">
        <w:rPr>
          <w:rFonts w:cs="Arial"/>
        </w:rPr>
        <w:t>ealth bodies and specialists</w:t>
      </w:r>
      <w:r w:rsidR="00F9222B">
        <w:rPr>
          <w:rFonts w:cs="Arial"/>
        </w:rPr>
        <w:t xml:space="preserve"> in LAQM </w:t>
      </w:r>
      <w:r>
        <w:rPr>
          <w:rFonts w:cs="Arial"/>
        </w:rPr>
        <w:t xml:space="preserve">included </w:t>
      </w:r>
      <w:r w:rsidR="00C87ED1">
        <w:rPr>
          <w:rFonts w:cs="Arial"/>
        </w:rPr>
        <w:t xml:space="preserve">the need </w:t>
      </w:r>
      <w:r w:rsidR="00CA715B">
        <w:rPr>
          <w:rFonts w:cs="Arial"/>
        </w:rPr>
        <w:t xml:space="preserve">to </w:t>
      </w:r>
      <w:r>
        <w:rPr>
          <w:rFonts w:cs="Arial"/>
        </w:rPr>
        <w:t xml:space="preserve">support broader mainstream </w:t>
      </w:r>
      <w:r w:rsidRPr="00E73D6F">
        <w:rPr>
          <w:rFonts w:cs="Arial"/>
        </w:rPr>
        <w:t>risk assessment and management</w:t>
      </w:r>
      <w:r w:rsidR="00AF7C94">
        <w:rPr>
          <w:rFonts w:cs="Arial"/>
        </w:rPr>
        <w:t xml:space="preserve"> efforts</w:t>
      </w:r>
      <w:r>
        <w:rPr>
          <w:rFonts w:cs="Arial"/>
        </w:rPr>
        <w:t xml:space="preserve"> and enabling functions such as </w:t>
      </w:r>
      <w:r w:rsidR="004B326B">
        <w:rPr>
          <w:rFonts w:cs="Arial"/>
        </w:rPr>
        <w:t>communications</w:t>
      </w:r>
      <w:r>
        <w:rPr>
          <w:rFonts w:cs="Arial"/>
        </w:rPr>
        <w:t xml:space="preserve">, </w:t>
      </w:r>
      <w:r w:rsidR="004B326B">
        <w:rPr>
          <w:rFonts w:cs="Arial"/>
        </w:rPr>
        <w:t>evidence appraisal</w:t>
      </w:r>
      <w:r w:rsidR="004B326B" w:rsidRPr="00E73D6F">
        <w:rPr>
          <w:rFonts w:cs="Arial"/>
        </w:rPr>
        <w:t xml:space="preserve"> </w:t>
      </w:r>
      <w:r w:rsidR="004B326B">
        <w:rPr>
          <w:rFonts w:cs="Arial"/>
        </w:rPr>
        <w:t xml:space="preserve">and </w:t>
      </w:r>
      <w:r w:rsidRPr="00E73D6F">
        <w:rPr>
          <w:rFonts w:cs="Arial"/>
        </w:rPr>
        <w:t>research</w:t>
      </w:r>
      <w:r>
        <w:rPr>
          <w:rFonts w:cs="Arial"/>
        </w:rPr>
        <w:t xml:space="preserve">, advocacy and </w:t>
      </w:r>
      <w:r w:rsidRPr="00743B65">
        <w:rPr>
          <w:rFonts w:cs="Arial"/>
        </w:rPr>
        <w:t>leadership</w:t>
      </w:r>
      <w:r w:rsidR="00CA715B" w:rsidRPr="00743B65">
        <w:rPr>
          <w:rFonts w:cs="Arial"/>
        </w:rPr>
        <w:t xml:space="preserve"> (Table 1).</w:t>
      </w:r>
      <w:r>
        <w:rPr>
          <w:rFonts w:cs="Arial"/>
        </w:rPr>
        <w:t xml:space="preserve"> </w:t>
      </w:r>
    </w:p>
    <w:p w:rsidR="00E73D6F" w:rsidRPr="00DD0A67" w:rsidRDefault="00DD0A67" w:rsidP="00E73D6F">
      <w:pPr>
        <w:spacing w:after="120"/>
        <w:rPr>
          <w:rFonts w:cs="Arial"/>
        </w:rPr>
      </w:pPr>
      <w:r>
        <w:rPr>
          <w:rFonts w:cs="Arial"/>
        </w:rPr>
        <w:lastRenderedPageBreak/>
        <w:t>In r</w:t>
      </w:r>
      <w:r w:rsidR="00E73D6F" w:rsidRPr="00E73D6F">
        <w:t xml:space="preserve">ound 2, the median </w:t>
      </w:r>
      <w:r w:rsidR="00335C29">
        <w:t xml:space="preserve">response </w:t>
      </w:r>
      <w:r w:rsidR="000D57EE">
        <w:t xml:space="preserve">value </w:t>
      </w:r>
      <w:r w:rsidR="00066517">
        <w:t xml:space="preserve">to </w:t>
      </w:r>
      <w:r w:rsidR="00E35D70">
        <w:t>each</w:t>
      </w:r>
      <w:r w:rsidR="00552427">
        <w:t xml:space="preserve"> suggested role </w:t>
      </w:r>
      <w:r w:rsidR="002242D5">
        <w:t xml:space="preserve">item </w:t>
      </w:r>
      <w:r w:rsidR="00E73D6F" w:rsidRPr="00E73D6F">
        <w:t>was at least 4 (‘agree’)</w:t>
      </w:r>
      <w:r w:rsidR="00335C29">
        <w:t xml:space="preserve"> </w:t>
      </w:r>
      <w:r w:rsidR="00AC7900">
        <w:t xml:space="preserve">in each </w:t>
      </w:r>
      <w:r w:rsidR="00066517">
        <w:t>sub-panel. Two suggested roles</w:t>
      </w:r>
      <w:r w:rsidR="002F76E7">
        <w:t xml:space="preserve"> relating to evidence interpretation and raising public and professional awareness</w:t>
      </w:r>
      <w:r w:rsidR="00066517">
        <w:t xml:space="preserve"> </w:t>
      </w:r>
      <w:r w:rsidR="00D926C7">
        <w:t>(</w:t>
      </w:r>
      <w:r w:rsidR="00EA61B9">
        <w:t xml:space="preserve">items </w:t>
      </w:r>
      <w:r w:rsidR="00D926C7">
        <w:t>1.4 and</w:t>
      </w:r>
      <w:r w:rsidR="00B17B3F">
        <w:t xml:space="preserve"> 1.12)</w:t>
      </w:r>
      <w:r w:rsidR="00066517">
        <w:t xml:space="preserve"> scored </w:t>
      </w:r>
      <w:r w:rsidR="00B17B3F">
        <w:t xml:space="preserve">universal </w:t>
      </w:r>
      <w:r w:rsidR="00D926C7">
        <w:t>median response values</w:t>
      </w:r>
      <w:r w:rsidR="00066517">
        <w:t xml:space="preserve"> of 5 (‘strongly agree’)</w:t>
      </w:r>
      <w:r w:rsidR="00B17B3F">
        <w:t xml:space="preserve">. </w:t>
      </w:r>
      <w:r w:rsidR="00E73D6F" w:rsidRPr="00E73D6F">
        <w:t>Good consensus</w:t>
      </w:r>
      <w:r w:rsidR="00DA27CE">
        <w:t xml:space="preserve"> – </w:t>
      </w:r>
      <w:r w:rsidR="00AC7900">
        <w:t xml:space="preserve">indicated by the symbol ‘+’ in Table 1 – </w:t>
      </w:r>
      <w:r w:rsidR="00E73D6F" w:rsidRPr="00E73D6F">
        <w:t>was a</w:t>
      </w:r>
      <w:r w:rsidR="00066517">
        <w:t>chieved across all sub-panels for</w:t>
      </w:r>
      <w:r w:rsidR="00E73D6F" w:rsidRPr="00E73D6F">
        <w:t xml:space="preserve"> 17 </w:t>
      </w:r>
      <w:r w:rsidR="00672F4C" w:rsidRPr="00E73D6F">
        <w:t>(85%)</w:t>
      </w:r>
      <w:r w:rsidR="00885C0B">
        <w:t xml:space="preserve"> items</w:t>
      </w:r>
      <w:r w:rsidR="00E73D6F" w:rsidRPr="00E73D6F">
        <w:t xml:space="preserve">. Very good consensus </w:t>
      </w:r>
      <w:r w:rsidR="00AC7900">
        <w:t xml:space="preserve">– </w:t>
      </w:r>
      <w:r w:rsidR="00DA27CE">
        <w:t>denoted</w:t>
      </w:r>
      <w:r w:rsidR="00AC7900">
        <w:t xml:space="preserve"> by the symbol ‘++’</w:t>
      </w:r>
      <w:r w:rsidR="0063530F">
        <w:t xml:space="preserve"> </w:t>
      </w:r>
      <w:r w:rsidR="00AC7900">
        <w:t xml:space="preserve">in Table 1 – </w:t>
      </w:r>
      <w:r w:rsidR="00E73D6F" w:rsidRPr="00E73D6F">
        <w:t xml:space="preserve">was achieved for </w:t>
      </w:r>
      <w:r w:rsidR="00885C0B">
        <w:t xml:space="preserve">items </w:t>
      </w:r>
      <w:r w:rsidR="002F76E7">
        <w:t xml:space="preserve">relating to risk assessment, understanding broader public health consequences and developing health-focused policy and practice </w:t>
      </w:r>
      <w:r w:rsidR="00B71FDB">
        <w:t xml:space="preserve">in the </w:t>
      </w:r>
      <w:r w:rsidR="00B71FDB" w:rsidRPr="00E73D6F">
        <w:t>‘</w:t>
      </w:r>
      <w:r w:rsidR="00B71FDB">
        <w:t>o</w:t>
      </w:r>
      <w:r w:rsidR="00B71FDB" w:rsidRPr="00E73D6F">
        <w:t>ther’, ‘</w:t>
      </w:r>
      <w:r w:rsidR="00B71FDB">
        <w:t>p</w:t>
      </w:r>
      <w:r w:rsidR="00B71FDB" w:rsidRPr="00E73D6F">
        <w:t xml:space="preserve">ublic </w:t>
      </w:r>
      <w:r w:rsidR="00B71FDB">
        <w:t>h</w:t>
      </w:r>
      <w:r w:rsidR="00B71FDB" w:rsidRPr="00E73D6F">
        <w:t>ealth’ and ‘</w:t>
      </w:r>
      <w:r w:rsidR="00B71FDB">
        <w:t>air quality management’ sub-</w:t>
      </w:r>
      <w:r w:rsidR="00B71FDB" w:rsidRPr="00E73D6F">
        <w:t>panels, respectively</w:t>
      </w:r>
      <w:r w:rsidR="00B71FDB">
        <w:t xml:space="preserve"> </w:t>
      </w:r>
      <w:r w:rsidR="002F76E7">
        <w:t>(</w:t>
      </w:r>
      <w:r w:rsidR="00AC7900">
        <w:t xml:space="preserve"> items </w:t>
      </w:r>
      <w:r w:rsidR="00E73D6F" w:rsidRPr="00E73D6F">
        <w:t>1.3, 1.7 and 1.15</w:t>
      </w:r>
      <w:r w:rsidR="002F76E7">
        <w:t>)</w:t>
      </w:r>
      <w:r w:rsidR="00E73D6F" w:rsidRPr="00E73D6F">
        <w:t xml:space="preserve">. </w:t>
      </w:r>
      <w:r w:rsidR="00E73D6F">
        <w:t>T</w:t>
      </w:r>
      <w:r w:rsidR="00E73D6F" w:rsidRPr="00E73D6F">
        <w:t>he ‘</w:t>
      </w:r>
      <w:r w:rsidR="008E0EAE">
        <w:t>p</w:t>
      </w:r>
      <w:r w:rsidR="00E73D6F" w:rsidRPr="00E73D6F">
        <w:t xml:space="preserve">ublic </w:t>
      </w:r>
      <w:r w:rsidR="008E0EAE">
        <w:t>h</w:t>
      </w:r>
      <w:r w:rsidR="00E73D6F" w:rsidRPr="00E73D6F">
        <w:t xml:space="preserve">ealth’ sub-panel failed to reach consensus </w:t>
      </w:r>
      <w:r w:rsidR="00335C29">
        <w:t xml:space="preserve">agreement </w:t>
      </w:r>
      <w:r w:rsidR="00E73D6F" w:rsidRPr="00E73D6F">
        <w:t xml:space="preserve">on </w:t>
      </w:r>
      <w:r w:rsidR="00B71FDB">
        <w:t xml:space="preserve">items </w:t>
      </w:r>
      <w:r w:rsidR="00EA61B9">
        <w:t>linked with undertaking new research and providing independent scrutiny of action (</w:t>
      </w:r>
      <w:r w:rsidR="00E73D6F" w:rsidRPr="00E73D6F">
        <w:t>1.6 and 1.8</w:t>
      </w:r>
      <w:r w:rsidR="00EA61B9">
        <w:t>)</w:t>
      </w:r>
      <w:r w:rsidR="00E73D6F" w:rsidRPr="00E73D6F">
        <w:t>, and the ‘</w:t>
      </w:r>
      <w:r w:rsidR="008E0EAE">
        <w:t>o</w:t>
      </w:r>
      <w:r w:rsidR="00E73D6F" w:rsidRPr="00E73D6F">
        <w:t xml:space="preserve">ther’ sub-panel on </w:t>
      </w:r>
      <w:r w:rsidR="00EA61B9">
        <w:t xml:space="preserve">the </w:t>
      </w:r>
      <w:r w:rsidR="00E73D6F" w:rsidRPr="00E73D6F">
        <w:t xml:space="preserve">statement </w:t>
      </w:r>
      <w:r w:rsidR="00EA61B9">
        <w:t>about public health acting as champions for environmental sustainability improvement (</w:t>
      </w:r>
      <w:r w:rsidR="00E73D6F" w:rsidRPr="00E73D6F">
        <w:t>1.11</w:t>
      </w:r>
      <w:r w:rsidR="00EA61B9">
        <w:t>)</w:t>
      </w:r>
      <w:r w:rsidR="00E73D6F" w:rsidRPr="00E73D6F">
        <w:t xml:space="preserve">. </w:t>
      </w:r>
      <w:r w:rsidR="00814195">
        <w:t xml:space="preserve">These three items – </w:t>
      </w:r>
      <w:r w:rsidR="00DA27CE">
        <w:t>marked with</w:t>
      </w:r>
      <w:r w:rsidR="00814195">
        <w:t xml:space="preserve"> an asterisk</w:t>
      </w:r>
      <w:r w:rsidR="0063530F">
        <w:t xml:space="preserve"> after the item number in Table 1 </w:t>
      </w:r>
      <w:r w:rsidR="00814195">
        <w:t>– were taken forward for reconsideration in Round 3.</w:t>
      </w:r>
    </w:p>
    <w:p w:rsidR="00E73D6F" w:rsidRPr="00E73D6F" w:rsidRDefault="000200C7" w:rsidP="00E73D6F">
      <w:pPr>
        <w:spacing w:after="120"/>
      </w:pPr>
      <w:r>
        <w:t xml:space="preserve">In Round 3, </w:t>
      </w:r>
      <w:r w:rsidR="00221CC2">
        <w:t xml:space="preserve">the three carried-over items were </w:t>
      </w:r>
      <w:r w:rsidR="00117D3A">
        <w:t xml:space="preserve">unanimously </w:t>
      </w:r>
      <w:r w:rsidR="00221CC2">
        <w:t>agreed</w:t>
      </w:r>
      <w:r w:rsidR="00DD0A67">
        <w:t>,</w:t>
      </w:r>
      <w:r w:rsidR="00221CC2">
        <w:t xml:space="preserve"> with </w:t>
      </w:r>
      <w:r>
        <w:t xml:space="preserve">good consensus </w:t>
      </w:r>
      <w:r w:rsidR="00221CC2">
        <w:t xml:space="preserve">and </w:t>
      </w:r>
      <w:r w:rsidR="00DD0A67">
        <w:t>response stability</w:t>
      </w:r>
      <w:r w:rsidR="00814195">
        <w:t xml:space="preserve">, the latter being annotated with a </w:t>
      </w:r>
      <w:r w:rsidR="00814195" w:rsidRPr="00814195">
        <w:t>‘</w:t>
      </w:r>
      <w:r w:rsidR="00814195" w:rsidRPr="00814195">
        <w:rPr>
          <w:rFonts w:eastAsia="MS Gothic" w:hAnsi="MS Gothic" w:cs="MS Gothic"/>
          <w:color w:val="333333"/>
        </w:rPr>
        <w:t>✓</w:t>
      </w:r>
      <w:proofErr w:type="gramStart"/>
      <w:r w:rsidR="00814195" w:rsidRPr="00814195">
        <w:t>‘</w:t>
      </w:r>
      <w:r w:rsidR="00814195">
        <w:t xml:space="preserve"> symbol</w:t>
      </w:r>
      <w:proofErr w:type="gramEnd"/>
      <w:r w:rsidR="00066517" w:rsidRPr="00814195">
        <w:t>.</w:t>
      </w:r>
      <w:r w:rsidR="00221CC2" w:rsidRPr="00814195">
        <w:t xml:space="preserve"> </w:t>
      </w:r>
      <w:r w:rsidR="00E73D6F" w:rsidRPr="00E73D6F">
        <w:t xml:space="preserve">Ultimately, </w:t>
      </w:r>
      <w:r w:rsidR="00885C0B">
        <w:t>all</w:t>
      </w:r>
      <w:r w:rsidR="00066517">
        <w:t xml:space="preserve"> </w:t>
      </w:r>
      <w:r w:rsidR="00EE7F8C">
        <w:t xml:space="preserve">20 </w:t>
      </w:r>
      <w:r w:rsidR="00066517">
        <w:t>suggested role</w:t>
      </w:r>
      <w:r w:rsidR="00885C0B">
        <w:t xml:space="preserve"> items</w:t>
      </w:r>
      <w:r w:rsidR="00221CC2">
        <w:t xml:space="preserve"> were agreed </w:t>
      </w:r>
      <w:r w:rsidR="00117D3A">
        <w:t xml:space="preserve">by </w:t>
      </w:r>
      <w:r w:rsidR="00221CC2">
        <w:t>sub-panels</w:t>
      </w:r>
      <w:r w:rsidR="00E73D6F" w:rsidRPr="00E73D6F">
        <w:t>.</w:t>
      </w:r>
    </w:p>
    <w:p w:rsidR="00695761" w:rsidRPr="00135F29" w:rsidRDefault="005F4AA1" w:rsidP="00695761">
      <w:pPr>
        <w:spacing w:after="120"/>
        <w:ind w:left="288" w:hanging="288"/>
        <w:rPr>
          <w:i/>
        </w:rPr>
      </w:pPr>
      <w:r>
        <w:rPr>
          <w:i/>
        </w:rPr>
        <w:t>Opinions on o</w:t>
      </w:r>
      <w:r w:rsidR="00695761" w:rsidRPr="00135F29">
        <w:rPr>
          <w:i/>
        </w:rPr>
        <w:t>pportunities</w:t>
      </w:r>
      <w:r>
        <w:rPr>
          <w:i/>
        </w:rPr>
        <w:t xml:space="preserve"> to increase integration and collaboration</w:t>
      </w:r>
    </w:p>
    <w:p w:rsidR="00A02E25" w:rsidRPr="003704C8" w:rsidRDefault="00B12561" w:rsidP="00CD1EA5">
      <w:pPr>
        <w:spacing w:after="120"/>
      </w:pPr>
      <w:r>
        <w:t>In Round 1, s</w:t>
      </w:r>
      <w:r w:rsidR="00CD1EA5" w:rsidRPr="00135F29">
        <w:t xml:space="preserve">uggested </w:t>
      </w:r>
      <w:r w:rsidR="000D68EF" w:rsidRPr="00135F29">
        <w:t>opportunities</w:t>
      </w:r>
      <w:r w:rsidR="00622D02" w:rsidRPr="00135F29">
        <w:t xml:space="preserve"> to increase public health integration and collaboration included</w:t>
      </w:r>
      <w:r w:rsidR="00AF7C94">
        <w:t>:</w:t>
      </w:r>
      <w:r>
        <w:t xml:space="preserve"> </w:t>
      </w:r>
      <w:r w:rsidR="00E35697">
        <w:t>influencing</w:t>
      </w:r>
      <w:r w:rsidR="004A28BC">
        <w:t xml:space="preserve"> </w:t>
      </w:r>
      <w:r w:rsidR="00E35697">
        <w:t xml:space="preserve">Government </w:t>
      </w:r>
      <w:r w:rsidRPr="00135F29">
        <w:t xml:space="preserve">LAQM policy </w:t>
      </w:r>
      <w:r w:rsidR="00E35697">
        <w:t>developme</w:t>
      </w:r>
      <w:r w:rsidR="00AF7C94">
        <w:t>nt,</w:t>
      </w:r>
      <w:r w:rsidR="00E35697">
        <w:t xml:space="preserve"> </w:t>
      </w:r>
      <w:r w:rsidR="00FE3551">
        <w:t>call</w:t>
      </w:r>
      <w:r w:rsidR="00E35697">
        <w:t>ing</w:t>
      </w:r>
      <w:r>
        <w:t xml:space="preserve"> for air pollution problems and solutions to be considered in a broader public health context</w:t>
      </w:r>
      <w:r w:rsidR="00AF7C94">
        <w:t>,</w:t>
      </w:r>
      <w:r w:rsidR="00BC7C75">
        <w:t xml:space="preserve"> </w:t>
      </w:r>
      <w:r w:rsidR="00F548B8">
        <w:t xml:space="preserve">and action to </w:t>
      </w:r>
      <w:r w:rsidR="00A0708F">
        <w:t>extend beyond</w:t>
      </w:r>
      <w:r w:rsidR="00F548B8">
        <w:t xml:space="preserve"> lo</w:t>
      </w:r>
      <w:r w:rsidR="009849AD">
        <w:t>calised ‘hotspot</w:t>
      </w:r>
      <w:r w:rsidR="00E35697">
        <w:t>s</w:t>
      </w:r>
      <w:r w:rsidR="009849AD">
        <w:t>’ (</w:t>
      </w:r>
      <w:r w:rsidR="009849AD" w:rsidRPr="00743B65">
        <w:t>Table 1</w:t>
      </w:r>
      <w:r w:rsidR="00F548B8" w:rsidRPr="00743B65">
        <w:t>)</w:t>
      </w:r>
      <w:r w:rsidRPr="00743B65">
        <w:t xml:space="preserve">. </w:t>
      </w:r>
      <w:r w:rsidR="000E0690" w:rsidRPr="00743B65">
        <w:t>Panellists</w:t>
      </w:r>
      <w:r w:rsidR="000E0690">
        <w:t xml:space="preserve"> commented that r</w:t>
      </w:r>
      <w:r w:rsidR="004E2B0B">
        <w:rPr>
          <w:rFonts w:cs="Arial"/>
        </w:rPr>
        <w:t xml:space="preserve">educing air pollution and </w:t>
      </w:r>
      <w:r w:rsidR="004A28BC">
        <w:rPr>
          <w:rFonts w:cs="Arial"/>
        </w:rPr>
        <w:t xml:space="preserve">risks should not be regarded as an isolated priority; </w:t>
      </w:r>
      <w:r w:rsidR="004E2B0B">
        <w:rPr>
          <w:rFonts w:cs="Arial"/>
        </w:rPr>
        <w:t xml:space="preserve">they felt that </w:t>
      </w:r>
      <w:r w:rsidR="004A28BC">
        <w:rPr>
          <w:rFonts w:cs="Arial"/>
        </w:rPr>
        <w:t xml:space="preserve">integrating LAQM with broader public health policy and practice can increase opportunities for </w:t>
      </w:r>
      <w:r w:rsidR="004A28BC">
        <w:t xml:space="preserve">joint work-planning around shared problems, effective </w:t>
      </w:r>
      <w:r w:rsidR="004A28BC">
        <w:rPr>
          <w:rFonts w:cs="Arial"/>
        </w:rPr>
        <w:t>collaboration, informed policy development and co-ordinated</w:t>
      </w:r>
      <w:r w:rsidR="004A28BC">
        <w:t xml:space="preserve"> </w:t>
      </w:r>
      <w:r w:rsidR="004A28BC">
        <w:rPr>
          <w:rFonts w:cs="Arial"/>
        </w:rPr>
        <w:t>action.</w:t>
      </w:r>
      <w:r w:rsidR="004A28BC">
        <w:t xml:space="preserve"> </w:t>
      </w:r>
      <w:r w:rsidR="004E2B0B">
        <w:t>O</w:t>
      </w:r>
      <w:r w:rsidR="000E0690">
        <w:t xml:space="preserve">pportunities </w:t>
      </w:r>
      <w:r w:rsidR="006F6ABD">
        <w:t xml:space="preserve">offered by the </w:t>
      </w:r>
      <w:r w:rsidR="00E35697">
        <w:t xml:space="preserve">requirements of </w:t>
      </w:r>
      <w:r w:rsidR="00166B6C">
        <w:t xml:space="preserve">Wales’ </w:t>
      </w:r>
      <w:r w:rsidR="00BC7C75">
        <w:t>WFGA</w:t>
      </w:r>
      <w:r w:rsidR="004E2B0B">
        <w:t xml:space="preserve"> were specifically mentioned</w:t>
      </w:r>
      <w:r w:rsidR="00BC7C75">
        <w:t xml:space="preserve">. </w:t>
      </w:r>
      <w:r w:rsidR="006F6ABD">
        <w:t xml:space="preserve">Finally, it was considered that </w:t>
      </w:r>
      <w:r w:rsidR="004E2B0B">
        <w:t xml:space="preserve">the </w:t>
      </w:r>
      <w:r w:rsidR="00E35697">
        <w:t>h</w:t>
      </w:r>
      <w:r>
        <w:t xml:space="preserve">igh </w:t>
      </w:r>
      <w:r w:rsidR="00E35697">
        <w:t xml:space="preserve">levels of interest in </w:t>
      </w:r>
      <w:r w:rsidR="00A0708F" w:rsidRPr="00135F29">
        <w:t xml:space="preserve">air pollution and health </w:t>
      </w:r>
      <w:r w:rsidR="00E35697">
        <w:t xml:space="preserve">matters </w:t>
      </w:r>
      <w:r w:rsidR="00F548B8">
        <w:t>amongst</w:t>
      </w:r>
      <w:r w:rsidR="00E35697">
        <w:t xml:space="preserve"> professionals</w:t>
      </w:r>
      <w:r w:rsidR="00F548B8">
        <w:t xml:space="preserve">, politicians and public </w:t>
      </w:r>
      <w:r w:rsidR="00E35697">
        <w:t>also present</w:t>
      </w:r>
      <w:r w:rsidR="004E2B0B">
        <w:t>ed</w:t>
      </w:r>
      <w:r w:rsidR="00166B6C">
        <w:t xml:space="preserve"> </w:t>
      </w:r>
      <w:r w:rsidR="00AF7C94">
        <w:t xml:space="preserve">worthwhile </w:t>
      </w:r>
      <w:r w:rsidR="00166B6C">
        <w:t>o</w:t>
      </w:r>
      <w:r w:rsidR="006F6ABD">
        <w:t xml:space="preserve">pportunities to raise awareness, </w:t>
      </w:r>
      <w:r w:rsidR="00166B6C">
        <w:t>engage stakeholders</w:t>
      </w:r>
      <w:r w:rsidR="006F6ABD">
        <w:t xml:space="preserve"> and stimulate further debate</w:t>
      </w:r>
      <w:r w:rsidR="00FE3551">
        <w:t xml:space="preserve">. </w:t>
      </w:r>
    </w:p>
    <w:p w:rsidR="003704C8" w:rsidRPr="003704C8" w:rsidRDefault="003704C8" w:rsidP="003704C8">
      <w:pPr>
        <w:spacing w:after="120"/>
      </w:pPr>
      <w:r w:rsidRPr="003704C8">
        <w:t xml:space="preserve">In Round 2, median </w:t>
      </w:r>
      <w:r w:rsidR="000D57EE">
        <w:t xml:space="preserve">response </w:t>
      </w:r>
      <w:r w:rsidRPr="003704C8">
        <w:t>value</w:t>
      </w:r>
      <w:r w:rsidR="00566780">
        <w:t>s for each item were</w:t>
      </w:r>
      <w:r w:rsidR="00230069">
        <w:t xml:space="preserve"> at least 4 (‘agree’)</w:t>
      </w:r>
      <w:r w:rsidR="00230069" w:rsidRPr="003704C8">
        <w:rPr>
          <w:i/>
        </w:rPr>
        <w:t xml:space="preserve"> </w:t>
      </w:r>
      <w:r w:rsidR="00230069">
        <w:t xml:space="preserve">across </w:t>
      </w:r>
      <w:r w:rsidRPr="003704C8">
        <w:t>‘</w:t>
      </w:r>
      <w:r w:rsidR="008E0EAE">
        <w:t>p</w:t>
      </w:r>
      <w:r w:rsidRPr="003704C8">
        <w:t xml:space="preserve">ublic </w:t>
      </w:r>
      <w:r w:rsidR="008E0EAE">
        <w:t>h</w:t>
      </w:r>
      <w:r w:rsidRPr="003704C8">
        <w:t>ealth’ and ‘</w:t>
      </w:r>
      <w:r w:rsidR="008E0EAE">
        <w:t>a</w:t>
      </w:r>
      <w:r w:rsidR="000D57EE">
        <w:t xml:space="preserve">ir </w:t>
      </w:r>
      <w:r w:rsidR="008E0EAE">
        <w:t>q</w:t>
      </w:r>
      <w:r w:rsidR="000D57EE">
        <w:t xml:space="preserve">uality </w:t>
      </w:r>
      <w:r w:rsidR="008E0EAE">
        <w:t>m</w:t>
      </w:r>
      <w:r w:rsidR="000D57EE">
        <w:t>anagement</w:t>
      </w:r>
      <w:r w:rsidR="00566780">
        <w:t>’ sub-panels. In the main, this was the case</w:t>
      </w:r>
      <w:r w:rsidRPr="003704C8">
        <w:t xml:space="preserve"> in the ‘</w:t>
      </w:r>
      <w:r w:rsidR="00503CBB">
        <w:t>o</w:t>
      </w:r>
      <w:r w:rsidRPr="003704C8">
        <w:t>ther’ sub-panel</w:t>
      </w:r>
      <w:r w:rsidR="00566780">
        <w:t>, except for</w:t>
      </w:r>
      <w:r w:rsidR="00230069">
        <w:t xml:space="preserve"> </w:t>
      </w:r>
      <w:r w:rsidRPr="003704C8">
        <w:t xml:space="preserve">a </w:t>
      </w:r>
      <w:r w:rsidR="000D57EE">
        <w:t xml:space="preserve">median </w:t>
      </w:r>
      <w:r w:rsidR="00566780">
        <w:t>response of 3 (‘indifferent</w:t>
      </w:r>
      <w:r w:rsidRPr="003704C8">
        <w:t xml:space="preserve">’) </w:t>
      </w:r>
      <w:r w:rsidR="00D66A17">
        <w:t>for</w:t>
      </w:r>
      <w:r w:rsidR="000D57EE">
        <w:t xml:space="preserve"> item </w:t>
      </w:r>
      <w:r w:rsidRPr="003704C8">
        <w:t>2.19</w:t>
      </w:r>
      <w:r w:rsidR="001E40CB">
        <w:t xml:space="preserve"> which was concerned with </w:t>
      </w:r>
      <w:r w:rsidR="00472466">
        <w:t>willingness to share</w:t>
      </w:r>
      <w:r w:rsidR="007F4A47">
        <w:t xml:space="preserve"> data and other information</w:t>
      </w:r>
      <w:r w:rsidRPr="003704C8">
        <w:t xml:space="preserve">. Good </w:t>
      </w:r>
      <w:r w:rsidR="00AC43B5">
        <w:t xml:space="preserve">response </w:t>
      </w:r>
      <w:r w:rsidRPr="003704C8">
        <w:t xml:space="preserve">consensus was achieved </w:t>
      </w:r>
      <w:r w:rsidR="00503CBB">
        <w:t>within each</w:t>
      </w:r>
      <w:r w:rsidRPr="003704C8">
        <w:t xml:space="preserve"> sub-panel for</w:t>
      </w:r>
      <w:r w:rsidR="00AC43B5">
        <w:t xml:space="preserve"> the same</w:t>
      </w:r>
      <w:r w:rsidRPr="003704C8">
        <w:t xml:space="preserve"> 16 </w:t>
      </w:r>
      <w:r w:rsidR="000D57EE">
        <w:t>(</w:t>
      </w:r>
      <w:r w:rsidRPr="003704C8">
        <w:t>80%)</w:t>
      </w:r>
      <w:r w:rsidR="000D57EE">
        <w:t xml:space="preserve"> items</w:t>
      </w:r>
      <w:r w:rsidR="00230069">
        <w:t>, including item 2.19.</w:t>
      </w:r>
      <w:r w:rsidR="00211FD7">
        <w:t xml:space="preserve"> Consensus was not achieved </w:t>
      </w:r>
      <w:r w:rsidRPr="003704C8">
        <w:t xml:space="preserve">for </w:t>
      </w:r>
      <w:r w:rsidR="00566780">
        <w:t>items</w:t>
      </w:r>
      <w:r w:rsidRPr="003704C8">
        <w:t xml:space="preserve"> </w:t>
      </w:r>
      <w:r w:rsidR="007F4A47">
        <w:t xml:space="preserve">relating to </w:t>
      </w:r>
      <w:r w:rsidR="00EB1F07">
        <w:t>opportunities offered through devolved responsibilities, the WFG Act and wider NHS action (</w:t>
      </w:r>
      <w:r w:rsidRPr="003704C8">
        <w:t xml:space="preserve">2.4, 2.6, </w:t>
      </w:r>
      <w:proofErr w:type="gramStart"/>
      <w:r w:rsidRPr="003704C8">
        <w:t>2.9</w:t>
      </w:r>
      <w:proofErr w:type="gramEnd"/>
      <w:r w:rsidR="00EB1F07">
        <w:t>)</w:t>
      </w:r>
      <w:r w:rsidRPr="003704C8">
        <w:t xml:space="preserve"> in the ‘</w:t>
      </w:r>
      <w:r w:rsidR="008E0EAE">
        <w:t>o</w:t>
      </w:r>
      <w:r w:rsidRPr="003704C8">
        <w:t>ther’ sub-panel, and</w:t>
      </w:r>
      <w:r w:rsidR="00984513">
        <w:t xml:space="preserve"> through the Welsh Air Quality Forum (2.11) in </w:t>
      </w:r>
      <w:r w:rsidRPr="003704C8">
        <w:t>the ‘</w:t>
      </w:r>
      <w:r w:rsidR="008E0EAE">
        <w:t>p</w:t>
      </w:r>
      <w:r w:rsidRPr="003704C8">
        <w:t xml:space="preserve">ublic </w:t>
      </w:r>
      <w:r w:rsidR="008E0EAE">
        <w:t>h</w:t>
      </w:r>
      <w:r w:rsidRPr="003704C8">
        <w:t>ealth’ sub-panel.</w:t>
      </w:r>
    </w:p>
    <w:p w:rsidR="004B1E98" w:rsidRPr="00E73D6F" w:rsidRDefault="004B1E98" w:rsidP="00EE7F8C">
      <w:pPr>
        <w:spacing w:after="120"/>
      </w:pPr>
      <w:r>
        <w:t xml:space="preserve">In Round 3, </w:t>
      </w:r>
      <w:r w:rsidR="00984513">
        <w:t xml:space="preserve">three </w:t>
      </w:r>
      <w:r w:rsidR="00211FD7">
        <w:t xml:space="preserve">of </w:t>
      </w:r>
      <w:r w:rsidR="00984513">
        <w:t xml:space="preserve">the </w:t>
      </w:r>
      <w:r w:rsidR="00211FD7">
        <w:t xml:space="preserve">five carried-over items </w:t>
      </w:r>
      <w:r w:rsidR="00984513">
        <w:t xml:space="preserve">relating to devolved responsibilities, the WFG Act and the contribution of the wider NHS (2.4, 2.6 and 2.9) </w:t>
      </w:r>
      <w:r w:rsidR="00211FD7">
        <w:t>achieved</w:t>
      </w:r>
      <w:r w:rsidR="00566780">
        <w:t xml:space="preserve"> stable consensus </w:t>
      </w:r>
      <w:r w:rsidR="00211FD7">
        <w:t>agreement</w:t>
      </w:r>
      <w:r w:rsidR="00984513">
        <w:t xml:space="preserve"> in each</w:t>
      </w:r>
      <w:r w:rsidR="00CF255F">
        <w:t xml:space="preserve"> </w:t>
      </w:r>
      <w:r w:rsidR="00211FD7">
        <w:t xml:space="preserve">sub-panel. The remaining </w:t>
      </w:r>
      <w:r w:rsidR="00984513">
        <w:t xml:space="preserve">two </w:t>
      </w:r>
      <w:r w:rsidR="00566780">
        <w:t>items (</w:t>
      </w:r>
      <w:r w:rsidR="00211FD7">
        <w:t>2.11 and 2.19</w:t>
      </w:r>
      <w:r w:rsidR="00566780">
        <w:t>)</w:t>
      </w:r>
      <w:r w:rsidR="00211FD7">
        <w:t xml:space="preserve"> </w:t>
      </w:r>
      <w:r w:rsidR="00122376">
        <w:t xml:space="preserve">failed to </w:t>
      </w:r>
      <w:r w:rsidR="00211FD7">
        <w:t xml:space="preserve">reach </w:t>
      </w:r>
      <w:r w:rsidR="00566780">
        <w:t>universal stable consensus agreement</w:t>
      </w:r>
      <w:r w:rsidR="00122376">
        <w:t>.</w:t>
      </w:r>
      <w:r w:rsidR="00211FD7">
        <w:t xml:space="preserve"> </w:t>
      </w:r>
      <w:r w:rsidR="00E35697">
        <w:t xml:space="preserve">Ultimately, </w:t>
      </w:r>
      <w:r w:rsidR="00CF255F">
        <w:t xml:space="preserve">all sub-panels agreed with, and achieved good </w:t>
      </w:r>
      <w:r w:rsidR="00211FD7">
        <w:t xml:space="preserve">and stable </w:t>
      </w:r>
      <w:r w:rsidR="00CF255F">
        <w:t xml:space="preserve">consensus </w:t>
      </w:r>
      <w:r w:rsidR="00566780">
        <w:t>on, 1</w:t>
      </w:r>
      <w:r w:rsidR="00472466">
        <w:t>8</w:t>
      </w:r>
      <w:r w:rsidR="00566780">
        <w:t xml:space="preserve"> (</w:t>
      </w:r>
      <w:r w:rsidR="00472466">
        <w:t>90</w:t>
      </w:r>
      <w:r w:rsidR="00566780">
        <w:t>%)</w:t>
      </w:r>
      <w:r w:rsidR="00EE7F8C">
        <w:t xml:space="preserve"> items.</w:t>
      </w:r>
    </w:p>
    <w:p w:rsidR="00695761" w:rsidRPr="005318E1" w:rsidRDefault="005F4AA1" w:rsidP="00695761">
      <w:pPr>
        <w:spacing w:after="120"/>
        <w:ind w:left="288" w:hanging="288"/>
        <w:rPr>
          <w:i/>
        </w:rPr>
      </w:pPr>
      <w:r>
        <w:rPr>
          <w:i/>
        </w:rPr>
        <w:t>Opinions on the a</w:t>
      </w:r>
      <w:r w:rsidR="00695761" w:rsidRPr="005318E1">
        <w:rPr>
          <w:i/>
        </w:rPr>
        <w:t>dded value</w:t>
      </w:r>
      <w:r>
        <w:rPr>
          <w:i/>
        </w:rPr>
        <w:t xml:space="preserve"> of increased integration and collaboration</w:t>
      </w:r>
    </w:p>
    <w:p w:rsidR="00C92A03" w:rsidRPr="005318E1" w:rsidRDefault="004F1321" w:rsidP="005B15DC">
      <w:pPr>
        <w:spacing w:after="120"/>
        <w:rPr>
          <w:rFonts w:cs="Arial"/>
        </w:rPr>
      </w:pPr>
      <w:r w:rsidRPr="005318E1">
        <w:lastRenderedPageBreak/>
        <w:t xml:space="preserve">In Round 1, panellists </w:t>
      </w:r>
      <w:r w:rsidR="00942207">
        <w:t>reported</w:t>
      </w:r>
      <w:r w:rsidRPr="005318E1">
        <w:t xml:space="preserve"> </w:t>
      </w:r>
      <w:r w:rsidR="00324FCF" w:rsidRPr="005318E1">
        <w:t>that</w:t>
      </w:r>
      <w:r w:rsidR="00340242">
        <w:t xml:space="preserve"> increasing public health integration and collaboration in LAQM </w:t>
      </w:r>
      <w:r w:rsidR="00324FCF" w:rsidRPr="005318E1">
        <w:t>could add real value.</w:t>
      </w:r>
      <w:r w:rsidR="00CC4EC4">
        <w:t xml:space="preserve"> This may be in the form of, f</w:t>
      </w:r>
      <w:r w:rsidR="00E14343">
        <w:t>or example</w:t>
      </w:r>
      <w:r w:rsidR="00CC4EC4">
        <w:t>,</w:t>
      </w:r>
      <w:r w:rsidR="00E14343">
        <w:t xml:space="preserve"> </w:t>
      </w:r>
      <w:r w:rsidR="00CC081E" w:rsidRPr="005318E1">
        <w:t xml:space="preserve">more efficient, creative and </w:t>
      </w:r>
      <w:r w:rsidR="00C92A03" w:rsidRPr="005318E1">
        <w:t>product</w:t>
      </w:r>
      <w:r w:rsidR="00E14343">
        <w:t>ive collaboration</w:t>
      </w:r>
      <w:r w:rsidR="00CC4EC4">
        <w:t>,</w:t>
      </w:r>
      <w:r w:rsidR="00C92A03" w:rsidRPr="005318E1">
        <w:t xml:space="preserve"> more meaningful risk assessment</w:t>
      </w:r>
      <w:r w:rsidR="00CC4EC4">
        <w:t>,</w:t>
      </w:r>
      <w:r w:rsidR="00340242">
        <w:t xml:space="preserve"> better</w:t>
      </w:r>
      <w:r w:rsidR="00CC4EC4">
        <w:t>-</w:t>
      </w:r>
      <w:r w:rsidR="00340242">
        <w:t xml:space="preserve">informed </w:t>
      </w:r>
      <w:r w:rsidR="00324FCF" w:rsidRPr="005318E1">
        <w:t>action</w:t>
      </w:r>
      <w:r w:rsidR="00CC4EC4">
        <w:t>,</w:t>
      </w:r>
      <w:r w:rsidR="00C92A03" w:rsidRPr="005318E1">
        <w:t xml:space="preserve"> </w:t>
      </w:r>
      <w:r w:rsidR="00CC4EC4">
        <w:t xml:space="preserve">connected and </w:t>
      </w:r>
      <w:r w:rsidR="00A606C6">
        <w:t xml:space="preserve">integrated </w:t>
      </w:r>
      <w:r w:rsidR="00C92A03" w:rsidRPr="005318E1">
        <w:t>policy and practice</w:t>
      </w:r>
      <w:r w:rsidR="00CC4EC4">
        <w:t>,</w:t>
      </w:r>
      <w:r w:rsidR="00C92A03" w:rsidRPr="005318E1">
        <w:t xml:space="preserve"> effective </w:t>
      </w:r>
      <w:r w:rsidR="00AE6977">
        <w:t>communications</w:t>
      </w:r>
      <w:r w:rsidR="00CC4EC4">
        <w:t>,</w:t>
      </w:r>
      <w:r w:rsidR="00AE6977">
        <w:t xml:space="preserve"> </w:t>
      </w:r>
      <w:r w:rsidR="00C92A03" w:rsidRPr="005318E1">
        <w:t>and robust research and evaluation</w:t>
      </w:r>
      <w:r w:rsidR="00AE6977">
        <w:t xml:space="preserve"> </w:t>
      </w:r>
      <w:r w:rsidR="00AE6977" w:rsidRPr="00743B65">
        <w:t>(Table 1)</w:t>
      </w:r>
      <w:r w:rsidR="00C92A03" w:rsidRPr="00743B65">
        <w:t>.</w:t>
      </w:r>
    </w:p>
    <w:p w:rsidR="009E5A6C" w:rsidRPr="005318E1" w:rsidRDefault="009E5A6C" w:rsidP="009E5A6C">
      <w:pPr>
        <w:spacing w:after="120"/>
      </w:pPr>
      <w:r w:rsidRPr="005318E1">
        <w:t xml:space="preserve">In Round 2, </w:t>
      </w:r>
      <w:r w:rsidR="00300319" w:rsidRPr="005318E1">
        <w:t xml:space="preserve">median response </w:t>
      </w:r>
      <w:r w:rsidR="005825A3">
        <w:t>values for</w:t>
      </w:r>
      <w:r w:rsidRPr="005318E1">
        <w:t xml:space="preserve"> </w:t>
      </w:r>
      <w:r w:rsidR="005825A3">
        <w:t xml:space="preserve">each </w:t>
      </w:r>
      <w:r w:rsidR="00300319" w:rsidRPr="005318E1">
        <w:t xml:space="preserve">item </w:t>
      </w:r>
      <w:r w:rsidR="005825A3">
        <w:t xml:space="preserve">were </w:t>
      </w:r>
      <w:r w:rsidRPr="005318E1">
        <w:t>at least 4 (‘agree’)</w:t>
      </w:r>
      <w:r w:rsidR="00300319" w:rsidRPr="005318E1">
        <w:t xml:space="preserve"> across </w:t>
      </w:r>
      <w:r w:rsidR="00CC4EC4">
        <w:t xml:space="preserve">all </w:t>
      </w:r>
      <w:r w:rsidR="00300319" w:rsidRPr="005318E1">
        <w:t>sub-panels</w:t>
      </w:r>
      <w:r w:rsidRPr="005318E1">
        <w:t xml:space="preserve">. Good consensus was achieved </w:t>
      </w:r>
      <w:r w:rsidR="005825A3">
        <w:t xml:space="preserve">universally </w:t>
      </w:r>
      <w:r w:rsidRPr="005318E1">
        <w:t>for 14 (70%)</w:t>
      </w:r>
      <w:r w:rsidR="002666FC" w:rsidRPr="005318E1">
        <w:t xml:space="preserve"> items. </w:t>
      </w:r>
      <w:r w:rsidRPr="005318E1">
        <w:t>There was</w:t>
      </w:r>
      <w:r w:rsidR="002666FC" w:rsidRPr="005318E1">
        <w:t xml:space="preserve"> no dissent</w:t>
      </w:r>
      <w:r w:rsidRPr="005318E1">
        <w:t xml:space="preserve"> </w:t>
      </w:r>
      <w:r w:rsidR="002666FC" w:rsidRPr="005318E1">
        <w:t xml:space="preserve">in agreement </w:t>
      </w:r>
      <w:r w:rsidRPr="005318E1">
        <w:t>amongst ‘</w:t>
      </w:r>
      <w:r w:rsidR="008E0EAE">
        <w:t>a</w:t>
      </w:r>
      <w:r w:rsidR="002666FC" w:rsidRPr="005318E1">
        <w:t xml:space="preserve">ir </w:t>
      </w:r>
      <w:r w:rsidR="008E0EAE">
        <w:t>q</w:t>
      </w:r>
      <w:r w:rsidR="002666FC" w:rsidRPr="005318E1">
        <w:t xml:space="preserve">uality </w:t>
      </w:r>
      <w:r w:rsidR="008E0EAE">
        <w:t>m</w:t>
      </w:r>
      <w:r w:rsidR="002666FC" w:rsidRPr="005318E1">
        <w:t>anagement</w:t>
      </w:r>
      <w:r w:rsidRPr="005318E1">
        <w:t xml:space="preserve">’ sub-panel members for </w:t>
      </w:r>
      <w:r w:rsidR="002666FC" w:rsidRPr="005318E1">
        <w:t>items</w:t>
      </w:r>
      <w:r w:rsidR="00DF3E99">
        <w:t xml:space="preserve"> highlighting added value </w:t>
      </w:r>
      <w:r w:rsidR="00CC4EC4">
        <w:t>resulting from</w:t>
      </w:r>
      <w:r w:rsidR="00605EC5">
        <w:t xml:space="preserve"> </w:t>
      </w:r>
      <w:r w:rsidR="00DF3E99">
        <w:t>linking LAQM with other public health priorities, sharing priority-setting and work-planning, connecting policy and practice</w:t>
      </w:r>
      <w:r w:rsidR="00195231">
        <w:t xml:space="preserve"> around universal and targeted action</w:t>
      </w:r>
      <w:r w:rsidR="00DF3E99">
        <w:t xml:space="preserve">, undertaking new research, </w:t>
      </w:r>
      <w:r w:rsidR="00605EC5">
        <w:t>improving LAQM transparency, and applying learning from LAQM enhancement to other public health priorities (</w:t>
      </w:r>
      <w:r w:rsidRPr="005318E1">
        <w:t>3.6, 3.9, 3.10, 3.16, 3.18 and 3.20</w:t>
      </w:r>
      <w:r w:rsidR="00605EC5">
        <w:t xml:space="preserve">). The </w:t>
      </w:r>
      <w:r w:rsidRPr="005318E1">
        <w:t>same was true in the ‘</w:t>
      </w:r>
      <w:r w:rsidR="008E0EAE">
        <w:t>o</w:t>
      </w:r>
      <w:r w:rsidRPr="005318E1">
        <w:t xml:space="preserve">ther’ sub-panel for </w:t>
      </w:r>
      <w:r w:rsidR="00605EC5">
        <w:t>these latter two items, as well as another relating to the benefits of defining the role of public health in LAQM (3.1)</w:t>
      </w:r>
      <w:r w:rsidRPr="005318E1">
        <w:t>. The ‘</w:t>
      </w:r>
      <w:r w:rsidR="008E0EAE">
        <w:t>a</w:t>
      </w:r>
      <w:r w:rsidR="002666FC" w:rsidRPr="005318E1">
        <w:t xml:space="preserve">ir </w:t>
      </w:r>
      <w:r w:rsidR="008E0EAE">
        <w:t>q</w:t>
      </w:r>
      <w:r w:rsidR="002666FC" w:rsidRPr="005318E1">
        <w:t xml:space="preserve">uality </w:t>
      </w:r>
      <w:r w:rsidR="008E0EAE">
        <w:t>m</w:t>
      </w:r>
      <w:r w:rsidR="002666FC" w:rsidRPr="005318E1">
        <w:t>anagement’</w:t>
      </w:r>
      <w:r w:rsidRPr="005318E1">
        <w:t xml:space="preserve"> sub-panel failed to reach consensus </w:t>
      </w:r>
      <w:r w:rsidR="002666FC" w:rsidRPr="005318E1">
        <w:t xml:space="preserve">agreement </w:t>
      </w:r>
      <w:r w:rsidRPr="005318E1">
        <w:t xml:space="preserve">on </w:t>
      </w:r>
      <w:r w:rsidR="002666FC" w:rsidRPr="005318E1">
        <w:t xml:space="preserve">item </w:t>
      </w:r>
      <w:r w:rsidRPr="005318E1">
        <w:t>3.1, the ‘</w:t>
      </w:r>
      <w:r w:rsidR="008E0EAE">
        <w:t>p</w:t>
      </w:r>
      <w:r w:rsidRPr="005318E1">
        <w:t xml:space="preserve">ublic </w:t>
      </w:r>
      <w:r w:rsidR="008E0EAE">
        <w:t>h</w:t>
      </w:r>
      <w:r w:rsidRPr="005318E1">
        <w:t xml:space="preserve">ealth’ sub-panel on </w:t>
      </w:r>
      <w:r w:rsidR="002666FC" w:rsidRPr="005318E1">
        <w:t xml:space="preserve">items </w:t>
      </w:r>
      <w:r w:rsidRPr="005318E1">
        <w:t>3.2</w:t>
      </w:r>
      <w:r w:rsidR="00A86C07">
        <w:t xml:space="preserve"> (increased capacity)</w:t>
      </w:r>
      <w:r w:rsidRPr="005318E1">
        <w:t xml:space="preserve">, 3.8 </w:t>
      </w:r>
      <w:r w:rsidR="00A86C07">
        <w:t xml:space="preserve">(more efficient and effective ways of working) </w:t>
      </w:r>
      <w:r w:rsidRPr="005318E1">
        <w:t>and 3.20</w:t>
      </w:r>
      <w:r w:rsidR="00195231">
        <w:t xml:space="preserve"> (applying learning from LAQM enhancement elsewhere)</w:t>
      </w:r>
      <w:r w:rsidRPr="005318E1">
        <w:t>, and the ‘</w:t>
      </w:r>
      <w:r w:rsidR="008E0EAE">
        <w:t>o</w:t>
      </w:r>
      <w:r w:rsidRPr="005318E1">
        <w:t xml:space="preserve">ther’ sub-panel </w:t>
      </w:r>
      <w:r w:rsidR="002666FC" w:rsidRPr="005318E1">
        <w:t>on items</w:t>
      </w:r>
      <w:r w:rsidRPr="005318E1">
        <w:t xml:space="preserve"> 3.10 </w:t>
      </w:r>
      <w:r w:rsidR="00195231">
        <w:t xml:space="preserve">(connecting policy and practice around universal and targeted action) </w:t>
      </w:r>
      <w:r w:rsidRPr="005318E1">
        <w:t>and 3.14</w:t>
      </w:r>
      <w:r w:rsidR="00195231">
        <w:t xml:space="preserve"> (reducing healthcare service burdens)</w:t>
      </w:r>
      <w:r w:rsidRPr="005318E1">
        <w:t>.</w:t>
      </w:r>
    </w:p>
    <w:p w:rsidR="00195231" w:rsidRDefault="0024418A" w:rsidP="00FC0F8E">
      <w:pPr>
        <w:spacing w:after="120"/>
      </w:pPr>
      <w:r w:rsidRPr="005318E1">
        <w:t xml:space="preserve">In Round 3, </w:t>
      </w:r>
      <w:r w:rsidR="005825A3">
        <w:t xml:space="preserve">all six carried-over items achieved good </w:t>
      </w:r>
      <w:r w:rsidRPr="005318E1">
        <w:t xml:space="preserve">consensus </w:t>
      </w:r>
      <w:r w:rsidR="005825A3">
        <w:t xml:space="preserve">agreement </w:t>
      </w:r>
      <w:r w:rsidRPr="005318E1">
        <w:t>across sub-panels</w:t>
      </w:r>
      <w:r w:rsidR="00AA1B65" w:rsidRPr="005318E1">
        <w:t xml:space="preserve">, </w:t>
      </w:r>
      <w:r w:rsidR="00FC0F8E">
        <w:t xml:space="preserve">but </w:t>
      </w:r>
      <w:r w:rsidR="005825A3">
        <w:t xml:space="preserve">responses </w:t>
      </w:r>
      <w:r w:rsidR="00B237C7">
        <w:t xml:space="preserve">over </w:t>
      </w:r>
      <w:r w:rsidR="00A606C6">
        <w:t>r</w:t>
      </w:r>
      <w:r w:rsidR="00B237C7">
        <w:t xml:space="preserve">ounds 2 and 3 </w:t>
      </w:r>
      <w:r w:rsidR="005825A3">
        <w:t>were unstable for two of these</w:t>
      </w:r>
      <w:r w:rsidR="0062423B">
        <w:t xml:space="preserve"> – the item concerned with increasing capacity (</w:t>
      </w:r>
      <w:r w:rsidR="005825A3">
        <w:t xml:space="preserve">3.2 </w:t>
      </w:r>
      <w:r w:rsidR="0062423B">
        <w:t xml:space="preserve">) </w:t>
      </w:r>
      <w:r w:rsidR="005825A3">
        <w:t xml:space="preserve">in </w:t>
      </w:r>
      <w:r w:rsidR="00B237C7">
        <w:t xml:space="preserve">the </w:t>
      </w:r>
      <w:r w:rsidR="005825A3">
        <w:t>‘</w:t>
      </w:r>
      <w:r w:rsidR="00711861">
        <w:t>a</w:t>
      </w:r>
      <w:r w:rsidR="005825A3">
        <w:t xml:space="preserve">ir </w:t>
      </w:r>
      <w:r w:rsidR="00711861">
        <w:t>q</w:t>
      </w:r>
      <w:r w:rsidR="005825A3">
        <w:t xml:space="preserve">uality </w:t>
      </w:r>
      <w:r w:rsidR="00711861">
        <w:t>m</w:t>
      </w:r>
      <w:r w:rsidR="005825A3">
        <w:t xml:space="preserve">anagement’ sub-panel, and </w:t>
      </w:r>
      <w:r w:rsidR="0062423B">
        <w:t xml:space="preserve">the </w:t>
      </w:r>
      <w:r w:rsidR="005825A3">
        <w:t xml:space="preserve">item </w:t>
      </w:r>
      <w:r w:rsidR="0062423B">
        <w:t>re</w:t>
      </w:r>
      <w:r w:rsidR="00711861">
        <w:t>lating to</w:t>
      </w:r>
      <w:r w:rsidR="0062423B">
        <w:t xml:space="preserve"> more efficient and effective ways of working (</w:t>
      </w:r>
      <w:r w:rsidR="005825A3">
        <w:t>3.8</w:t>
      </w:r>
      <w:r w:rsidR="0062423B">
        <w:t xml:space="preserve">) </w:t>
      </w:r>
      <w:r w:rsidR="00B237C7">
        <w:t xml:space="preserve">amongst </w:t>
      </w:r>
      <w:r w:rsidR="005825A3">
        <w:t>‘</w:t>
      </w:r>
      <w:r w:rsidR="008E0EAE">
        <w:t>p</w:t>
      </w:r>
      <w:r w:rsidR="005825A3">
        <w:t xml:space="preserve">ublic </w:t>
      </w:r>
      <w:r w:rsidR="008E0EAE">
        <w:t>h</w:t>
      </w:r>
      <w:r w:rsidR="005825A3">
        <w:t xml:space="preserve">ealth’ </w:t>
      </w:r>
      <w:r w:rsidR="00B237C7">
        <w:t>experts</w:t>
      </w:r>
      <w:r w:rsidR="005825A3">
        <w:t>.</w:t>
      </w:r>
      <w:r w:rsidR="00561AEE" w:rsidRPr="005318E1">
        <w:t xml:space="preserve"> </w:t>
      </w:r>
      <w:r w:rsidRPr="005318E1">
        <w:t xml:space="preserve">Ultimately, all sub-panels agreed with, and </w:t>
      </w:r>
      <w:r w:rsidRPr="00E25D06">
        <w:t xml:space="preserve">achieved good </w:t>
      </w:r>
      <w:r w:rsidR="00B237C7">
        <w:t xml:space="preserve">stable </w:t>
      </w:r>
      <w:r w:rsidRPr="00E25D06">
        <w:t>consensus on</w:t>
      </w:r>
      <w:r w:rsidR="00AA1B65" w:rsidRPr="00E25D06">
        <w:t>, 18</w:t>
      </w:r>
      <w:r w:rsidRPr="00E25D06">
        <w:t xml:space="preserve"> </w:t>
      </w:r>
      <w:r w:rsidR="00B237C7">
        <w:t>(</w:t>
      </w:r>
      <w:r w:rsidR="0062423B">
        <w:t>90</w:t>
      </w:r>
      <w:r w:rsidR="00B237C7">
        <w:t xml:space="preserve">%) </w:t>
      </w:r>
      <w:r w:rsidRPr="00E25D06">
        <w:t xml:space="preserve">suggested </w:t>
      </w:r>
      <w:r w:rsidR="00891514" w:rsidRPr="00E25D06">
        <w:t>added value items</w:t>
      </w:r>
      <w:r w:rsidRPr="00E25D06">
        <w:t>.</w:t>
      </w:r>
    </w:p>
    <w:p w:rsidR="00FC0F8E" w:rsidRDefault="00FC0F8E" w:rsidP="00FC0F8E">
      <w:pPr>
        <w:spacing w:after="120"/>
        <w:rPr>
          <w:i/>
        </w:rPr>
      </w:pPr>
      <w:r w:rsidRPr="00FC0F8E">
        <w:rPr>
          <w:i/>
        </w:rPr>
        <w:t xml:space="preserve"> </w:t>
      </w: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p w:rsidR="00743B65" w:rsidRDefault="00743B65" w:rsidP="00FC0F8E">
      <w:pPr>
        <w:spacing w:after="120"/>
        <w:rPr>
          <w:i/>
        </w:rPr>
      </w:pPr>
    </w:p>
    <w:tbl>
      <w:tblPr>
        <w:tblStyle w:val="TableGrid"/>
        <w:tblW w:w="9641" w:type="dxa"/>
        <w:tblInd w:w="-318" w:type="dxa"/>
        <w:tblLayout w:type="fixed"/>
        <w:tblLook w:val="04A0"/>
      </w:tblPr>
      <w:tblGrid>
        <w:gridCol w:w="710"/>
        <w:gridCol w:w="5953"/>
        <w:gridCol w:w="284"/>
        <w:gridCol w:w="425"/>
        <w:gridCol w:w="284"/>
        <w:gridCol w:w="283"/>
        <w:gridCol w:w="425"/>
        <w:gridCol w:w="284"/>
        <w:gridCol w:w="283"/>
        <w:gridCol w:w="426"/>
        <w:gridCol w:w="284"/>
      </w:tblGrid>
      <w:tr w:rsidR="00D95D95" w:rsidTr="00D95D95">
        <w:tc>
          <w:tcPr>
            <w:tcW w:w="710" w:type="dxa"/>
            <w:vMerge w:val="restart"/>
            <w:tcBorders>
              <w:top w:val="nil"/>
              <w:left w:val="nil"/>
              <w:bottom w:val="nil"/>
              <w:right w:val="nil"/>
            </w:tcBorders>
            <w:vAlign w:val="center"/>
          </w:tcPr>
          <w:p w:rsidR="00D95D95" w:rsidRPr="001E3A59" w:rsidRDefault="00D95D95" w:rsidP="00D95D95">
            <w:pPr>
              <w:rPr>
                <w:b/>
                <w:sz w:val="16"/>
                <w:szCs w:val="16"/>
              </w:rPr>
            </w:pPr>
            <w:r>
              <w:rPr>
                <w:b/>
                <w:sz w:val="16"/>
                <w:szCs w:val="16"/>
              </w:rPr>
              <w:lastRenderedPageBreak/>
              <w:t>Ref.</w:t>
            </w:r>
          </w:p>
        </w:tc>
        <w:tc>
          <w:tcPr>
            <w:tcW w:w="5953" w:type="dxa"/>
            <w:vMerge w:val="restart"/>
            <w:tcBorders>
              <w:top w:val="nil"/>
              <w:left w:val="nil"/>
              <w:bottom w:val="nil"/>
              <w:right w:val="nil"/>
            </w:tcBorders>
            <w:vAlign w:val="center"/>
          </w:tcPr>
          <w:p w:rsidR="00D95D95" w:rsidRPr="001E3A59" w:rsidRDefault="00D95D95" w:rsidP="008E0EAE">
            <w:pPr>
              <w:rPr>
                <w:b/>
                <w:sz w:val="16"/>
                <w:szCs w:val="16"/>
              </w:rPr>
            </w:pPr>
            <w:r>
              <w:rPr>
                <w:b/>
                <w:sz w:val="16"/>
                <w:szCs w:val="16"/>
              </w:rPr>
              <w:t xml:space="preserve">Role of </w:t>
            </w:r>
            <w:r w:rsidR="008E0EAE">
              <w:rPr>
                <w:b/>
                <w:sz w:val="16"/>
                <w:szCs w:val="16"/>
              </w:rPr>
              <w:t>p</w:t>
            </w:r>
            <w:r>
              <w:rPr>
                <w:b/>
                <w:sz w:val="16"/>
                <w:szCs w:val="16"/>
              </w:rPr>
              <w:t xml:space="preserve">ublic </w:t>
            </w:r>
            <w:r w:rsidR="008E0EAE">
              <w:rPr>
                <w:b/>
                <w:sz w:val="16"/>
                <w:szCs w:val="16"/>
              </w:rPr>
              <w:t>h</w:t>
            </w:r>
            <w:r>
              <w:rPr>
                <w:b/>
                <w:sz w:val="16"/>
                <w:szCs w:val="16"/>
              </w:rPr>
              <w:t>ealth bodies and specialists</w:t>
            </w:r>
            <w:r w:rsidR="00AC7900">
              <w:rPr>
                <w:b/>
                <w:sz w:val="16"/>
                <w:szCs w:val="16"/>
              </w:rPr>
              <w:t xml:space="preserve"> in LAQM</w:t>
            </w:r>
          </w:p>
        </w:tc>
        <w:tc>
          <w:tcPr>
            <w:tcW w:w="993" w:type="dxa"/>
            <w:gridSpan w:val="3"/>
            <w:tcBorders>
              <w:top w:val="nil"/>
              <w:left w:val="nil"/>
              <w:bottom w:val="nil"/>
              <w:right w:val="nil"/>
            </w:tcBorders>
            <w:shd w:val="clear" w:color="auto" w:fill="D9D9D9" w:themeFill="background1" w:themeFillShade="D9"/>
          </w:tcPr>
          <w:p w:rsidR="00D95D95" w:rsidRPr="001E3A59" w:rsidRDefault="00D95D95" w:rsidP="00D95D95">
            <w:pPr>
              <w:jc w:val="center"/>
              <w:rPr>
                <w:b/>
                <w:sz w:val="16"/>
                <w:szCs w:val="16"/>
              </w:rPr>
            </w:pPr>
            <w:r>
              <w:rPr>
                <w:b/>
                <w:sz w:val="16"/>
                <w:szCs w:val="16"/>
              </w:rPr>
              <w:t>Pub. Health</w:t>
            </w:r>
          </w:p>
        </w:tc>
        <w:tc>
          <w:tcPr>
            <w:tcW w:w="992" w:type="dxa"/>
            <w:gridSpan w:val="3"/>
            <w:tcBorders>
              <w:top w:val="nil"/>
              <w:left w:val="nil"/>
              <w:bottom w:val="nil"/>
              <w:right w:val="nil"/>
            </w:tcBorders>
            <w:shd w:val="clear" w:color="auto" w:fill="F2F2F2" w:themeFill="background1" w:themeFillShade="F2"/>
          </w:tcPr>
          <w:p w:rsidR="00D95D95" w:rsidRPr="001E3A59" w:rsidRDefault="00D95D95" w:rsidP="00D95D95">
            <w:pPr>
              <w:jc w:val="center"/>
              <w:rPr>
                <w:b/>
                <w:sz w:val="16"/>
                <w:szCs w:val="16"/>
              </w:rPr>
            </w:pPr>
            <w:r>
              <w:rPr>
                <w:b/>
                <w:sz w:val="16"/>
                <w:szCs w:val="16"/>
              </w:rPr>
              <w:t>Air Qual.</w:t>
            </w:r>
          </w:p>
        </w:tc>
        <w:tc>
          <w:tcPr>
            <w:tcW w:w="993" w:type="dxa"/>
            <w:gridSpan w:val="3"/>
            <w:tcBorders>
              <w:top w:val="nil"/>
              <w:left w:val="nil"/>
              <w:bottom w:val="nil"/>
              <w:right w:val="nil"/>
            </w:tcBorders>
            <w:shd w:val="clear" w:color="auto" w:fill="D9D9D9" w:themeFill="background1" w:themeFillShade="D9"/>
          </w:tcPr>
          <w:p w:rsidR="00D95D95" w:rsidRPr="001E3A59" w:rsidRDefault="00D95D95" w:rsidP="00D95D95">
            <w:pPr>
              <w:jc w:val="center"/>
              <w:rPr>
                <w:b/>
                <w:sz w:val="16"/>
                <w:szCs w:val="16"/>
              </w:rPr>
            </w:pPr>
            <w:r w:rsidRPr="001E3A59">
              <w:rPr>
                <w:b/>
                <w:sz w:val="16"/>
                <w:szCs w:val="16"/>
              </w:rPr>
              <w:t>O</w:t>
            </w:r>
            <w:r>
              <w:rPr>
                <w:b/>
                <w:sz w:val="16"/>
                <w:szCs w:val="16"/>
              </w:rPr>
              <w:t>ther</w:t>
            </w:r>
          </w:p>
        </w:tc>
      </w:tr>
      <w:tr w:rsidR="00D95D95" w:rsidTr="00D95D95">
        <w:tc>
          <w:tcPr>
            <w:tcW w:w="710" w:type="dxa"/>
            <w:vMerge/>
            <w:tcBorders>
              <w:top w:val="single" w:sz="4" w:space="0" w:color="auto"/>
              <w:left w:val="nil"/>
              <w:bottom w:val="nil"/>
              <w:right w:val="nil"/>
            </w:tcBorders>
          </w:tcPr>
          <w:p w:rsidR="00D95D95" w:rsidRPr="001E3A59" w:rsidRDefault="00D95D95" w:rsidP="00D95D95">
            <w:pPr>
              <w:rPr>
                <w:b/>
                <w:sz w:val="16"/>
                <w:szCs w:val="16"/>
              </w:rPr>
            </w:pPr>
          </w:p>
        </w:tc>
        <w:tc>
          <w:tcPr>
            <w:tcW w:w="5953" w:type="dxa"/>
            <w:vMerge/>
            <w:tcBorders>
              <w:top w:val="single" w:sz="4" w:space="0" w:color="auto"/>
              <w:left w:val="nil"/>
              <w:bottom w:val="nil"/>
              <w:right w:val="nil"/>
            </w:tcBorders>
          </w:tcPr>
          <w:p w:rsidR="00D95D95" w:rsidRPr="001E3A59" w:rsidRDefault="00D95D95" w:rsidP="00D95D95">
            <w:pPr>
              <w:rPr>
                <w:b/>
                <w:sz w:val="16"/>
                <w:szCs w:val="16"/>
              </w:rPr>
            </w:pPr>
          </w:p>
        </w:tc>
        <w:tc>
          <w:tcPr>
            <w:tcW w:w="284" w:type="dxa"/>
            <w:tcBorders>
              <w:top w:val="nil"/>
              <w:left w:val="nil"/>
              <w:bottom w:val="single" w:sz="4" w:space="0" w:color="auto"/>
              <w:right w:val="nil"/>
            </w:tcBorders>
            <w:shd w:val="clear" w:color="auto" w:fill="D9D9D9" w:themeFill="background1" w:themeFillShade="D9"/>
          </w:tcPr>
          <w:p w:rsidR="00D95D95" w:rsidRPr="001E3A59" w:rsidRDefault="00D95D95" w:rsidP="00D95D95">
            <w:pPr>
              <w:jc w:val="center"/>
              <w:rPr>
                <w:b/>
                <w:sz w:val="16"/>
                <w:szCs w:val="16"/>
              </w:rPr>
            </w:pPr>
            <w:r>
              <w:rPr>
                <w:b/>
                <w:sz w:val="16"/>
                <w:szCs w:val="16"/>
              </w:rPr>
              <w:t>R</w:t>
            </w:r>
          </w:p>
        </w:tc>
        <w:tc>
          <w:tcPr>
            <w:tcW w:w="425" w:type="dxa"/>
            <w:tcBorders>
              <w:top w:val="nil"/>
              <w:left w:val="nil"/>
              <w:bottom w:val="single" w:sz="4" w:space="0" w:color="auto"/>
              <w:right w:val="nil"/>
            </w:tcBorders>
            <w:shd w:val="clear" w:color="auto" w:fill="D9D9D9" w:themeFill="background1" w:themeFillShade="D9"/>
          </w:tcPr>
          <w:p w:rsidR="00D95D95" w:rsidRPr="001E3A59" w:rsidRDefault="00D95D95" w:rsidP="00D95D95">
            <w:pPr>
              <w:jc w:val="center"/>
              <w:rPr>
                <w:b/>
                <w:sz w:val="16"/>
                <w:szCs w:val="16"/>
              </w:rPr>
            </w:pPr>
            <w:r>
              <w:rPr>
                <w:b/>
                <w:sz w:val="16"/>
                <w:szCs w:val="16"/>
              </w:rPr>
              <w:t>C</w:t>
            </w:r>
          </w:p>
        </w:tc>
        <w:tc>
          <w:tcPr>
            <w:tcW w:w="284" w:type="dxa"/>
            <w:tcBorders>
              <w:top w:val="nil"/>
              <w:left w:val="nil"/>
              <w:bottom w:val="single" w:sz="4" w:space="0" w:color="auto"/>
              <w:right w:val="nil"/>
            </w:tcBorders>
            <w:shd w:val="clear" w:color="auto" w:fill="D9D9D9" w:themeFill="background1" w:themeFillShade="D9"/>
          </w:tcPr>
          <w:p w:rsidR="00D95D95" w:rsidRPr="001E3A59" w:rsidRDefault="00D95D95" w:rsidP="00D95D95">
            <w:pPr>
              <w:jc w:val="center"/>
              <w:rPr>
                <w:b/>
                <w:sz w:val="16"/>
                <w:szCs w:val="16"/>
              </w:rPr>
            </w:pPr>
            <w:r>
              <w:rPr>
                <w:b/>
                <w:sz w:val="16"/>
                <w:szCs w:val="16"/>
              </w:rPr>
              <w:t>S</w:t>
            </w:r>
          </w:p>
        </w:tc>
        <w:tc>
          <w:tcPr>
            <w:tcW w:w="283" w:type="dxa"/>
            <w:tcBorders>
              <w:top w:val="nil"/>
              <w:left w:val="nil"/>
              <w:bottom w:val="single" w:sz="4" w:space="0" w:color="auto"/>
              <w:right w:val="nil"/>
            </w:tcBorders>
            <w:shd w:val="clear" w:color="auto" w:fill="F2F2F2" w:themeFill="background1" w:themeFillShade="F2"/>
          </w:tcPr>
          <w:p w:rsidR="00D95D95" w:rsidRPr="001E3A59" w:rsidRDefault="00D95D95" w:rsidP="00D95D95">
            <w:pPr>
              <w:jc w:val="center"/>
              <w:rPr>
                <w:b/>
                <w:sz w:val="16"/>
                <w:szCs w:val="16"/>
              </w:rPr>
            </w:pPr>
            <w:r>
              <w:rPr>
                <w:b/>
                <w:sz w:val="16"/>
                <w:szCs w:val="16"/>
              </w:rPr>
              <w:t>R</w:t>
            </w:r>
          </w:p>
        </w:tc>
        <w:tc>
          <w:tcPr>
            <w:tcW w:w="425" w:type="dxa"/>
            <w:tcBorders>
              <w:top w:val="nil"/>
              <w:left w:val="nil"/>
              <w:bottom w:val="single" w:sz="4" w:space="0" w:color="auto"/>
              <w:right w:val="nil"/>
            </w:tcBorders>
            <w:shd w:val="clear" w:color="auto" w:fill="F2F2F2" w:themeFill="background1" w:themeFillShade="F2"/>
          </w:tcPr>
          <w:p w:rsidR="00D95D95" w:rsidRPr="001E3A59" w:rsidRDefault="00D95D95" w:rsidP="00D95D95">
            <w:pPr>
              <w:jc w:val="center"/>
              <w:rPr>
                <w:b/>
                <w:sz w:val="16"/>
                <w:szCs w:val="16"/>
              </w:rPr>
            </w:pPr>
            <w:r>
              <w:rPr>
                <w:b/>
                <w:sz w:val="16"/>
                <w:szCs w:val="16"/>
              </w:rPr>
              <w:t>C</w:t>
            </w:r>
          </w:p>
        </w:tc>
        <w:tc>
          <w:tcPr>
            <w:tcW w:w="284" w:type="dxa"/>
            <w:tcBorders>
              <w:top w:val="nil"/>
              <w:left w:val="nil"/>
              <w:bottom w:val="single" w:sz="4" w:space="0" w:color="auto"/>
              <w:right w:val="nil"/>
            </w:tcBorders>
            <w:shd w:val="clear" w:color="auto" w:fill="F2F2F2" w:themeFill="background1" w:themeFillShade="F2"/>
          </w:tcPr>
          <w:p w:rsidR="00D95D95" w:rsidRPr="001E3A59" w:rsidRDefault="00D95D95" w:rsidP="00D95D95">
            <w:pPr>
              <w:jc w:val="center"/>
              <w:rPr>
                <w:b/>
                <w:sz w:val="16"/>
                <w:szCs w:val="16"/>
              </w:rPr>
            </w:pPr>
            <w:r>
              <w:rPr>
                <w:b/>
                <w:sz w:val="16"/>
                <w:szCs w:val="16"/>
              </w:rPr>
              <w:t>S</w:t>
            </w:r>
          </w:p>
        </w:tc>
        <w:tc>
          <w:tcPr>
            <w:tcW w:w="283" w:type="dxa"/>
            <w:tcBorders>
              <w:top w:val="nil"/>
              <w:left w:val="nil"/>
              <w:bottom w:val="single" w:sz="4" w:space="0" w:color="auto"/>
              <w:right w:val="nil"/>
            </w:tcBorders>
            <w:shd w:val="clear" w:color="auto" w:fill="D9D9D9" w:themeFill="background1" w:themeFillShade="D9"/>
          </w:tcPr>
          <w:p w:rsidR="00D95D95" w:rsidRPr="001E3A59" w:rsidRDefault="00D95D95" w:rsidP="00D95D95">
            <w:pPr>
              <w:jc w:val="center"/>
              <w:rPr>
                <w:b/>
                <w:sz w:val="16"/>
                <w:szCs w:val="16"/>
              </w:rPr>
            </w:pPr>
            <w:r>
              <w:rPr>
                <w:b/>
                <w:sz w:val="16"/>
                <w:szCs w:val="16"/>
              </w:rPr>
              <w:t>R</w:t>
            </w:r>
          </w:p>
        </w:tc>
        <w:tc>
          <w:tcPr>
            <w:tcW w:w="426" w:type="dxa"/>
            <w:tcBorders>
              <w:top w:val="nil"/>
              <w:left w:val="nil"/>
              <w:bottom w:val="single" w:sz="4" w:space="0" w:color="auto"/>
              <w:right w:val="nil"/>
            </w:tcBorders>
            <w:shd w:val="clear" w:color="auto" w:fill="D9D9D9" w:themeFill="background1" w:themeFillShade="D9"/>
          </w:tcPr>
          <w:p w:rsidR="00D95D95" w:rsidRPr="001E3A59" w:rsidRDefault="00D95D95" w:rsidP="00D95D95">
            <w:pPr>
              <w:jc w:val="center"/>
              <w:rPr>
                <w:b/>
                <w:sz w:val="16"/>
                <w:szCs w:val="16"/>
              </w:rPr>
            </w:pPr>
            <w:r>
              <w:rPr>
                <w:b/>
                <w:sz w:val="16"/>
                <w:szCs w:val="16"/>
              </w:rPr>
              <w:t>C</w:t>
            </w:r>
          </w:p>
        </w:tc>
        <w:tc>
          <w:tcPr>
            <w:tcW w:w="284" w:type="dxa"/>
            <w:tcBorders>
              <w:top w:val="nil"/>
              <w:left w:val="nil"/>
              <w:bottom w:val="single" w:sz="4" w:space="0" w:color="auto"/>
              <w:right w:val="nil"/>
            </w:tcBorders>
            <w:shd w:val="clear" w:color="auto" w:fill="D9D9D9" w:themeFill="background1" w:themeFillShade="D9"/>
          </w:tcPr>
          <w:p w:rsidR="00D95D95" w:rsidRPr="001E3A59" w:rsidRDefault="00D95D95" w:rsidP="00D95D95">
            <w:pPr>
              <w:jc w:val="center"/>
              <w:rPr>
                <w:b/>
                <w:sz w:val="16"/>
                <w:szCs w:val="16"/>
              </w:rPr>
            </w:pPr>
            <w:r>
              <w:rPr>
                <w:b/>
                <w:sz w:val="16"/>
                <w:szCs w:val="16"/>
              </w:rPr>
              <w:t>S</w:t>
            </w: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rFonts w:eastAsia="Times New Roman" w:cs="Times New Roman"/>
                <w:sz w:val="16"/>
                <w:szCs w:val="16"/>
                <w:lang w:val="en-US"/>
              </w:rPr>
              <w:t>1.1</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H</w:t>
            </w:r>
            <w:r w:rsidRPr="00FC79C3">
              <w:rPr>
                <w:sz w:val="16"/>
                <w:szCs w:val="16"/>
              </w:rPr>
              <w:t>elp others assess air pollution risks in the broadest possible public health context</w:t>
            </w:r>
          </w:p>
        </w:tc>
        <w:tc>
          <w:tcPr>
            <w:tcW w:w="284" w:type="dxa"/>
            <w:tcBorders>
              <w:top w:val="single" w:sz="4" w:space="0" w:color="auto"/>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5</w:t>
            </w:r>
          </w:p>
        </w:tc>
        <w:tc>
          <w:tcPr>
            <w:tcW w:w="425" w:type="dxa"/>
            <w:tcBorders>
              <w:top w:val="single" w:sz="4" w:space="0" w:color="auto"/>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w:t>
            </w:r>
          </w:p>
        </w:tc>
        <w:tc>
          <w:tcPr>
            <w:tcW w:w="284" w:type="dxa"/>
            <w:tcBorders>
              <w:top w:val="single" w:sz="4" w:space="0" w:color="auto"/>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single" w:sz="4" w:space="0" w:color="auto"/>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sidRPr="00727E19">
              <w:rPr>
                <w:sz w:val="16"/>
                <w:szCs w:val="16"/>
              </w:rPr>
              <w:t>5</w:t>
            </w:r>
          </w:p>
        </w:tc>
        <w:tc>
          <w:tcPr>
            <w:tcW w:w="425" w:type="dxa"/>
            <w:tcBorders>
              <w:top w:val="single" w:sz="4" w:space="0" w:color="auto"/>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sidRPr="00727E19">
              <w:rPr>
                <w:sz w:val="16"/>
                <w:szCs w:val="16"/>
              </w:rPr>
              <w:t>+</w:t>
            </w:r>
          </w:p>
        </w:tc>
        <w:tc>
          <w:tcPr>
            <w:tcW w:w="284" w:type="dxa"/>
            <w:tcBorders>
              <w:top w:val="single" w:sz="4" w:space="0" w:color="auto"/>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single" w:sz="4" w:space="0" w:color="auto"/>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4</w:t>
            </w:r>
          </w:p>
        </w:tc>
        <w:tc>
          <w:tcPr>
            <w:tcW w:w="426" w:type="dxa"/>
            <w:tcBorders>
              <w:top w:val="single" w:sz="4" w:space="0" w:color="auto"/>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w:t>
            </w:r>
          </w:p>
        </w:tc>
        <w:tc>
          <w:tcPr>
            <w:tcW w:w="284" w:type="dxa"/>
            <w:tcBorders>
              <w:top w:val="single" w:sz="4" w:space="0" w:color="auto"/>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1.2</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U</w:t>
            </w:r>
            <w:r w:rsidRPr="00FC79C3">
              <w:rPr>
                <w:sz w:val="16"/>
                <w:szCs w:val="16"/>
              </w:rPr>
              <w:t>se expertise and resources to share, link and analyse data to assess risks and impacts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sidRPr="00727E19">
              <w:rPr>
                <w:sz w:val="16"/>
                <w:szCs w:val="16"/>
              </w:rPr>
              <w:t>5</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sidRPr="00727E19">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1.3</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D</w:t>
            </w:r>
            <w:r w:rsidRPr="00FC79C3">
              <w:rPr>
                <w:sz w:val="16"/>
                <w:szCs w:val="16"/>
              </w:rPr>
              <w:t xml:space="preserve">etermine how air pollution-related risks vary </w:t>
            </w:r>
            <w:r w:rsidRPr="00FC79C3">
              <w:rPr>
                <w:i/>
                <w:sz w:val="16"/>
                <w:szCs w:val="16"/>
              </w:rPr>
              <w:t xml:space="preserve">between </w:t>
            </w:r>
            <w:r w:rsidRPr="00FC79C3">
              <w:rPr>
                <w:sz w:val="16"/>
                <w:szCs w:val="16"/>
              </w:rPr>
              <w:t xml:space="preserve">and </w:t>
            </w:r>
            <w:r w:rsidRPr="00FC79C3">
              <w:rPr>
                <w:i/>
                <w:sz w:val="16"/>
                <w:szCs w:val="16"/>
              </w:rPr>
              <w:t>within</w:t>
            </w:r>
            <w:r w:rsidRPr="00FC79C3">
              <w:rPr>
                <w:sz w:val="16"/>
                <w:szCs w:val="16"/>
              </w:rPr>
              <w:t xml:space="preserve"> communities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sidRPr="00727E19">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sidRPr="00727E19">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1.4</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I</w:t>
            </w:r>
            <w:r w:rsidRPr="00FC79C3">
              <w:rPr>
                <w:sz w:val="16"/>
                <w:szCs w:val="16"/>
              </w:rPr>
              <w:t>nterpret evidence, and use it to set shared priorities and inform others’ decisions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sidRPr="00727E19">
              <w:rPr>
                <w:sz w:val="16"/>
                <w:szCs w:val="16"/>
              </w:rPr>
              <w:t>5</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sidRPr="00727E19">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sidRPr="00727E19">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1.5</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A</w:t>
            </w:r>
            <w:r w:rsidRPr="00FC79C3">
              <w:rPr>
                <w:sz w:val="16"/>
                <w:szCs w:val="16"/>
              </w:rPr>
              <w:t xml:space="preserve">dvocate for, and support evidence reviews to, assess intervention effectiveness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1.6</w:t>
            </w:r>
            <w:r>
              <w:rPr>
                <w:sz w:val="16"/>
                <w:szCs w:val="16"/>
              </w:rPr>
              <w:t>*</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U</w:t>
            </w:r>
            <w:r w:rsidRPr="00FC79C3">
              <w:rPr>
                <w:sz w:val="16"/>
                <w:szCs w:val="16"/>
              </w:rPr>
              <w:t xml:space="preserve">ndertake new research to evaluate the air pollution </w:t>
            </w:r>
            <w:r w:rsidRPr="00FC79C3">
              <w:rPr>
                <w:i/>
                <w:sz w:val="16"/>
                <w:szCs w:val="16"/>
              </w:rPr>
              <w:t>and</w:t>
            </w:r>
            <w:r w:rsidRPr="00FC79C3">
              <w:rPr>
                <w:sz w:val="16"/>
                <w:szCs w:val="16"/>
              </w:rPr>
              <w:t xml:space="preserve"> health impacts of action</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rPr>
                <w:rFonts w:ascii="Wingdings 2" w:hAnsi="Wingdings 2"/>
                <w:sz w:val="14"/>
                <w:szCs w:val="14"/>
              </w:rPr>
            </w:pPr>
            <w:r w:rsidRPr="00EF7A4F">
              <w:rPr>
                <w:rFonts w:ascii="MS Gothic" w:eastAsia="MS Gothic" w:hAnsi="MS Gothic" w:cs="MS Gothic" w:hint="eastAsia"/>
                <w:color w:val="333333"/>
                <w:sz w:val="14"/>
                <w:szCs w:val="14"/>
              </w:rPr>
              <w:t>✓</w:t>
            </w: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1.7</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U</w:t>
            </w:r>
            <w:r w:rsidRPr="00FC79C3">
              <w:rPr>
                <w:sz w:val="16"/>
                <w:szCs w:val="16"/>
              </w:rPr>
              <w:t>nderstand broader public health consequences of action to reduce air pollution/risks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1.8</w:t>
            </w:r>
            <w:r>
              <w:rPr>
                <w:sz w:val="16"/>
                <w:szCs w:val="16"/>
              </w:rPr>
              <w:t>*</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P</w:t>
            </w:r>
            <w:r w:rsidRPr="00FC79C3">
              <w:rPr>
                <w:sz w:val="16"/>
                <w:szCs w:val="16"/>
              </w:rPr>
              <w:t xml:space="preserve">rovide independent scrutiny of evidence-based and innovative action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1.9</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W</w:t>
            </w:r>
            <w:r w:rsidRPr="00FC79C3">
              <w:rPr>
                <w:sz w:val="16"/>
                <w:szCs w:val="16"/>
              </w:rPr>
              <w:t>ork with others to promote and facilitate active-travel for all</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1.10</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W</w:t>
            </w:r>
            <w:r w:rsidRPr="00FC79C3">
              <w:rPr>
                <w:sz w:val="16"/>
                <w:szCs w:val="16"/>
              </w:rPr>
              <w:t xml:space="preserve">ork with others to </w:t>
            </w:r>
            <w:r>
              <w:rPr>
                <w:sz w:val="16"/>
                <w:szCs w:val="16"/>
              </w:rPr>
              <w:t>improve public health and reduce</w:t>
            </w:r>
            <w:r w:rsidRPr="00FC79C3">
              <w:rPr>
                <w:sz w:val="16"/>
                <w:szCs w:val="16"/>
              </w:rPr>
              <w:t xml:space="preserve"> susceptibility </w:t>
            </w:r>
            <w:r>
              <w:rPr>
                <w:sz w:val="16"/>
                <w:szCs w:val="16"/>
              </w:rPr>
              <w:t>to air pollution</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1.11</w:t>
            </w:r>
            <w:r>
              <w:rPr>
                <w:sz w:val="16"/>
                <w:szCs w:val="16"/>
              </w:rPr>
              <w:t>*</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C</w:t>
            </w:r>
            <w:r w:rsidRPr="00FC79C3">
              <w:rPr>
                <w:sz w:val="16"/>
                <w:szCs w:val="16"/>
              </w:rPr>
              <w:t>hampion the principles of environmental sustainability</w:t>
            </w:r>
            <w:r>
              <w:rPr>
                <w:sz w:val="16"/>
                <w:szCs w:val="16"/>
              </w:rPr>
              <w:t xml:space="preserve"> in and beyond the NHS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1.12</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R</w:t>
            </w:r>
            <w:r w:rsidRPr="00FC79C3">
              <w:rPr>
                <w:sz w:val="16"/>
                <w:szCs w:val="16"/>
              </w:rPr>
              <w:t xml:space="preserve">aise </w:t>
            </w:r>
            <w:r>
              <w:rPr>
                <w:sz w:val="16"/>
                <w:szCs w:val="16"/>
              </w:rPr>
              <w:t>professional and public awareness of</w:t>
            </w:r>
            <w:r w:rsidRPr="00FC79C3">
              <w:rPr>
                <w:sz w:val="16"/>
                <w:szCs w:val="16"/>
              </w:rPr>
              <w:t xml:space="preserve"> air pollution as a health priority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1.13</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L</w:t>
            </w:r>
            <w:r w:rsidRPr="00FC79C3">
              <w:rPr>
                <w:sz w:val="16"/>
                <w:szCs w:val="16"/>
              </w:rPr>
              <w:t xml:space="preserve">et </w:t>
            </w:r>
            <w:r>
              <w:rPr>
                <w:sz w:val="16"/>
                <w:szCs w:val="16"/>
              </w:rPr>
              <w:t>others</w:t>
            </w:r>
            <w:r w:rsidRPr="00FC79C3">
              <w:rPr>
                <w:sz w:val="16"/>
                <w:szCs w:val="16"/>
              </w:rPr>
              <w:t xml:space="preserve"> know ‘what works’ to reduce air pollution and associated risks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1.14</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W</w:t>
            </w:r>
            <w:r w:rsidRPr="00FC79C3">
              <w:rPr>
                <w:sz w:val="16"/>
                <w:szCs w:val="16"/>
              </w:rPr>
              <w:t>ork with others to provide timely advice to the public on how to minimise risks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1.15</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 xml:space="preserve">Help </w:t>
            </w:r>
            <w:r w:rsidRPr="00FC79C3">
              <w:rPr>
                <w:sz w:val="16"/>
                <w:szCs w:val="16"/>
              </w:rPr>
              <w:t>others</w:t>
            </w:r>
            <w:r>
              <w:rPr>
                <w:sz w:val="16"/>
                <w:szCs w:val="16"/>
              </w:rPr>
              <w:t xml:space="preserve"> locally </w:t>
            </w:r>
            <w:r w:rsidRPr="00FC79C3">
              <w:rPr>
                <w:sz w:val="16"/>
                <w:szCs w:val="16"/>
              </w:rPr>
              <w:t xml:space="preserve">to develop </w:t>
            </w:r>
            <w:r>
              <w:rPr>
                <w:sz w:val="16"/>
                <w:szCs w:val="16"/>
              </w:rPr>
              <w:t>health-focused LAQM</w:t>
            </w:r>
            <w:r w:rsidRPr="00FC79C3">
              <w:rPr>
                <w:sz w:val="16"/>
                <w:szCs w:val="16"/>
              </w:rPr>
              <w:t xml:space="preserve"> policy and practice</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1.16</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U</w:t>
            </w:r>
            <w:r w:rsidRPr="00FC79C3">
              <w:rPr>
                <w:sz w:val="16"/>
                <w:szCs w:val="16"/>
              </w:rPr>
              <w:t xml:space="preserve">se local-level learning to inform </w:t>
            </w:r>
            <w:r>
              <w:rPr>
                <w:sz w:val="16"/>
                <w:szCs w:val="16"/>
              </w:rPr>
              <w:t xml:space="preserve">national-level </w:t>
            </w:r>
            <w:r w:rsidRPr="00FC79C3">
              <w:rPr>
                <w:sz w:val="16"/>
                <w:szCs w:val="16"/>
              </w:rPr>
              <w:t xml:space="preserve">policy development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1.17</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C</w:t>
            </w:r>
            <w:r w:rsidRPr="00FC79C3">
              <w:rPr>
                <w:sz w:val="16"/>
                <w:szCs w:val="16"/>
              </w:rPr>
              <w:t xml:space="preserve">onnect </w:t>
            </w:r>
            <w:r>
              <w:rPr>
                <w:sz w:val="16"/>
                <w:szCs w:val="16"/>
              </w:rPr>
              <w:t>LAQM</w:t>
            </w:r>
            <w:r w:rsidRPr="00FC79C3">
              <w:rPr>
                <w:sz w:val="16"/>
                <w:szCs w:val="16"/>
              </w:rPr>
              <w:t xml:space="preserve"> policy and practice with other public health priority work areas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1.18</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Advocate for, and support, integrated air pollution/public health  action everywhere</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1.19</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A</w:t>
            </w:r>
            <w:r w:rsidRPr="00FC79C3">
              <w:rPr>
                <w:sz w:val="16"/>
                <w:szCs w:val="16"/>
              </w:rPr>
              <w:t>dvocate for, and support, targeted</w:t>
            </w:r>
            <w:r>
              <w:rPr>
                <w:sz w:val="16"/>
                <w:szCs w:val="16"/>
              </w:rPr>
              <w:t xml:space="preserve"> action in ‘high</w:t>
            </w:r>
            <w:r w:rsidRPr="00FC79C3">
              <w:rPr>
                <w:sz w:val="16"/>
                <w:szCs w:val="16"/>
              </w:rPr>
              <w:t xml:space="preserve"> risk’ areas</w:t>
            </w:r>
            <w:r>
              <w:rPr>
                <w:sz w:val="16"/>
                <w:szCs w:val="16"/>
              </w:rPr>
              <w:t xml:space="preserve"> to reduce inequalities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sidRPr="00FC79C3">
              <w:rPr>
                <w:sz w:val="16"/>
                <w:szCs w:val="16"/>
              </w:rPr>
              <w:t>1.20</w:t>
            </w:r>
          </w:p>
        </w:tc>
        <w:tc>
          <w:tcPr>
            <w:tcW w:w="5953" w:type="dxa"/>
            <w:tcBorders>
              <w:top w:val="nil"/>
              <w:left w:val="nil"/>
              <w:bottom w:val="nil"/>
              <w:right w:val="nil"/>
            </w:tcBorders>
          </w:tcPr>
          <w:p w:rsidR="00D95D95" w:rsidRPr="00FC79C3" w:rsidRDefault="00D95D95" w:rsidP="00D95D95">
            <w:pPr>
              <w:contextualSpacing/>
              <w:rPr>
                <w:sz w:val="16"/>
                <w:szCs w:val="16"/>
              </w:rPr>
            </w:pPr>
            <w:r>
              <w:rPr>
                <w:sz w:val="16"/>
                <w:szCs w:val="16"/>
              </w:rPr>
              <w:t>H</w:t>
            </w:r>
            <w:r w:rsidRPr="00FC79C3">
              <w:rPr>
                <w:sz w:val="16"/>
                <w:szCs w:val="16"/>
              </w:rPr>
              <w:t>elp shape others’ policy and p</w:t>
            </w:r>
            <w:r>
              <w:rPr>
                <w:sz w:val="16"/>
                <w:szCs w:val="16"/>
              </w:rPr>
              <w:t xml:space="preserve">ractice to reduce air pollution-linked </w:t>
            </w:r>
            <w:r w:rsidRPr="00FC79C3">
              <w:rPr>
                <w:sz w:val="16"/>
                <w:szCs w:val="16"/>
              </w:rPr>
              <w:t>health risks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vMerge w:val="restart"/>
            <w:tcBorders>
              <w:top w:val="nil"/>
              <w:left w:val="nil"/>
              <w:bottom w:val="nil"/>
              <w:right w:val="nil"/>
            </w:tcBorders>
          </w:tcPr>
          <w:p w:rsidR="00D95D95" w:rsidRDefault="00D95D95" w:rsidP="00D95D95">
            <w:pPr>
              <w:contextualSpacing/>
              <w:rPr>
                <w:b/>
                <w:sz w:val="16"/>
                <w:szCs w:val="16"/>
              </w:rPr>
            </w:pPr>
          </w:p>
          <w:p w:rsidR="00D95D95" w:rsidRPr="00B237C7" w:rsidRDefault="00D95D95" w:rsidP="00D95D95">
            <w:pPr>
              <w:contextualSpacing/>
              <w:rPr>
                <w:b/>
                <w:sz w:val="4"/>
                <w:szCs w:val="4"/>
              </w:rPr>
            </w:pPr>
          </w:p>
        </w:tc>
        <w:tc>
          <w:tcPr>
            <w:tcW w:w="5953" w:type="dxa"/>
            <w:vMerge w:val="restart"/>
            <w:tcBorders>
              <w:top w:val="nil"/>
              <w:left w:val="nil"/>
              <w:bottom w:val="nil"/>
              <w:right w:val="nil"/>
            </w:tcBorders>
          </w:tcPr>
          <w:p w:rsidR="00D95D95" w:rsidRPr="00EC204C" w:rsidRDefault="00D95D95" w:rsidP="00D95D95">
            <w:pPr>
              <w:contextualSpacing/>
              <w:rPr>
                <w:b/>
                <w:sz w:val="8"/>
                <w:szCs w:val="8"/>
              </w:rPr>
            </w:pPr>
          </w:p>
          <w:p w:rsidR="00D95D95" w:rsidRDefault="00D95D95" w:rsidP="00D95D95">
            <w:pPr>
              <w:contextualSpacing/>
              <w:rPr>
                <w:b/>
                <w:sz w:val="16"/>
                <w:szCs w:val="16"/>
              </w:rPr>
            </w:pPr>
            <w:r>
              <w:rPr>
                <w:b/>
                <w:sz w:val="16"/>
                <w:szCs w:val="16"/>
              </w:rPr>
              <w:t>Opportunities to increase public health integration and collaboration in LAQM</w:t>
            </w:r>
          </w:p>
          <w:p w:rsidR="00D95D95" w:rsidRPr="00B237C7" w:rsidRDefault="00D95D95" w:rsidP="00D95D95">
            <w:pPr>
              <w:contextualSpacing/>
              <w:rPr>
                <w:b/>
                <w:sz w:val="4"/>
                <w:szCs w:val="4"/>
              </w:rPr>
            </w:pPr>
          </w:p>
        </w:tc>
        <w:tc>
          <w:tcPr>
            <w:tcW w:w="993" w:type="dxa"/>
            <w:gridSpan w:val="3"/>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992" w:type="dxa"/>
            <w:gridSpan w:val="3"/>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993" w:type="dxa"/>
            <w:gridSpan w:val="3"/>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r>
      <w:tr w:rsidR="00D95D95" w:rsidTr="00D95D95">
        <w:tc>
          <w:tcPr>
            <w:tcW w:w="710" w:type="dxa"/>
            <w:vMerge/>
            <w:tcBorders>
              <w:top w:val="single" w:sz="4" w:space="0" w:color="auto"/>
              <w:left w:val="nil"/>
              <w:bottom w:val="nil"/>
              <w:right w:val="nil"/>
            </w:tcBorders>
          </w:tcPr>
          <w:p w:rsidR="00D95D95" w:rsidRPr="001E3A59" w:rsidRDefault="00D95D95" w:rsidP="00D95D95">
            <w:pPr>
              <w:contextualSpacing/>
              <w:rPr>
                <w:b/>
                <w:sz w:val="16"/>
                <w:szCs w:val="16"/>
              </w:rPr>
            </w:pPr>
          </w:p>
        </w:tc>
        <w:tc>
          <w:tcPr>
            <w:tcW w:w="5953" w:type="dxa"/>
            <w:vMerge/>
            <w:tcBorders>
              <w:top w:val="single" w:sz="4" w:space="0" w:color="auto"/>
              <w:left w:val="nil"/>
              <w:bottom w:val="nil"/>
              <w:right w:val="nil"/>
            </w:tcBorders>
          </w:tcPr>
          <w:p w:rsidR="00D95D95" w:rsidRPr="001E3A59" w:rsidRDefault="00D95D95" w:rsidP="00D95D95">
            <w:pPr>
              <w:contextualSpacing/>
              <w:rPr>
                <w:b/>
                <w:sz w:val="16"/>
                <w:szCs w:val="16"/>
              </w:rPr>
            </w:pPr>
          </w:p>
        </w:tc>
        <w:tc>
          <w:tcPr>
            <w:tcW w:w="284"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425"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4"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3"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425"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4"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3"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426"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4"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rFonts w:eastAsia="Times New Roman" w:cs="Times New Roman"/>
                <w:sz w:val="16"/>
                <w:szCs w:val="16"/>
                <w:lang w:val="en-US"/>
              </w:rPr>
              <w:t>2</w:t>
            </w:r>
            <w:r w:rsidRPr="00FC79C3">
              <w:rPr>
                <w:rFonts w:eastAsia="Times New Roman" w:cs="Times New Roman"/>
                <w:sz w:val="16"/>
                <w:szCs w:val="16"/>
                <w:lang w:val="en-US"/>
              </w:rPr>
              <w:t>.1</w:t>
            </w:r>
          </w:p>
        </w:tc>
        <w:tc>
          <w:tcPr>
            <w:tcW w:w="5953" w:type="dxa"/>
            <w:tcBorders>
              <w:top w:val="nil"/>
              <w:left w:val="nil"/>
              <w:bottom w:val="nil"/>
              <w:right w:val="nil"/>
            </w:tcBorders>
          </w:tcPr>
          <w:p w:rsidR="00D95D95" w:rsidRPr="0010079F" w:rsidRDefault="00D95D95" w:rsidP="00D95D95">
            <w:pPr>
              <w:contextualSpacing/>
              <w:rPr>
                <w:sz w:val="16"/>
                <w:szCs w:val="16"/>
              </w:rPr>
            </w:pPr>
            <w:r>
              <w:rPr>
                <w:sz w:val="16"/>
                <w:szCs w:val="16"/>
              </w:rPr>
              <w:t>C</w:t>
            </w:r>
            <w:r w:rsidRPr="0010079F">
              <w:rPr>
                <w:sz w:val="16"/>
                <w:szCs w:val="16"/>
              </w:rPr>
              <w:t>apitalise on political, media and publi</w:t>
            </w:r>
            <w:r>
              <w:rPr>
                <w:sz w:val="16"/>
                <w:szCs w:val="16"/>
              </w:rPr>
              <w:t xml:space="preserve">c interest in air pollution as </w:t>
            </w:r>
            <w:r w:rsidRPr="0010079F">
              <w:rPr>
                <w:sz w:val="16"/>
                <w:szCs w:val="16"/>
              </w:rPr>
              <w:t xml:space="preserve"> public health priority</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.2</w:t>
            </w:r>
          </w:p>
        </w:tc>
        <w:tc>
          <w:tcPr>
            <w:tcW w:w="5953" w:type="dxa"/>
            <w:tcBorders>
              <w:top w:val="nil"/>
              <w:left w:val="nil"/>
              <w:bottom w:val="nil"/>
              <w:right w:val="nil"/>
            </w:tcBorders>
          </w:tcPr>
          <w:p w:rsidR="00D95D95" w:rsidRPr="0010079F" w:rsidRDefault="00D95D95" w:rsidP="00D95D95">
            <w:pPr>
              <w:contextualSpacing/>
              <w:rPr>
                <w:sz w:val="16"/>
                <w:szCs w:val="16"/>
              </w:rPr>
            </w:pPr>
            <w:r>
              <w:rPr>
                <w:sz w:val="16"/>
                <w:szCs w:val="16"/>
              </w:rPr>
              <w:t xml:space="preserve">Evidence of </w:t>
            </w:r>
            <w:r w:rsidRPr="0010079F">
              <w:rPr>
                <w:sz w:val="16"/>
                <w:szCs w:val="16"/>
              </w:rPr>
              <w:t xml:space="preserve">no ‘safe’ </w:t>
            </w:r>
            <w:r>
              <w:rPr>
                <w:sz w:val="16"/>
                <w:szCs w:val="16"/>
              </w:rPr>
              <w:t xml:space="preserve">air pollution exposure </w:t>
            </w:r>
            <w:r w:rsidRPr="0010079F">
              <w:rPr>
                <w:sz w:val="16"/>
                <w:szCs w:val="16"/>
              </w:rPr>
              <w:t>level</w:t>
            </w:r>
            <w:r>
              <w:rPr>
                <w:sz w:val="16"/>
                <w:szCs w:val="16"/>
              </w:rPr>
              <w:t xml:space="preserve"> encourages action beyond ‘hotspots’</w:t>
            </w:r>
            <w:r w:rsidRPr="0010079F">
              <w:rPr>
                <w:sz w:val="16"/>
                <w:szCs w:val="16"/>
              </w:rPr>
              <w:t xml:space="preserve">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.3</w:t>
            </w:r>
          </w:p>
        </w:tc>
        <w:tc>
          <w:tcPr>
            <w:tcW w:w="5953" w:type="dxa"/>
            <w:tcBorders>
              <w:top w:val="nil"/>
              <w:left w:val="nil"/>
              <w:bottom w:val="nil"/>
              <w:right w:val="nil"/>
            </w:tcBorders>
          </w:tcPr>
          <w:p w:rsidR="00D95D95" w:rsidRPr="0010079F" w:rsidRDefault="00D95D95" w:rsidP="00D95D95">
            <w:pPr>
              <w:contextualSpacing/>
              <w:rPr>
                <w:sz w:val="16"/>
                <w:szCs w:val="16"/>
              </w:rPr>
            </w:pPr>
            <w:r>
              <w:rPr>
                <w:sz w:val="16"/>
                <w:szCs w:val="16"/>
              </w:rPr>
              <w:t>Evidence calls for air pollution problems/</w:t>
            </w:r>
            <w:r w:rsidRPr="0010079F">
              <w:rPr>
                <w:sz w:val="16"/>
                <w:szCs w:val="16"/>
              </w:rPr>
              <w:t xml:space="preserve">solutions to be considered in </w:t>
            </w:r>
            <w:r>
              <w:rPr>
                <w:sz w:val="16"/>
                <w:szCs w:val="16"/>
              </w:rPr>
              <w:t>broader context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.4</w:t>
            </w:r>
            <w:r>
              <w:rPr>
                <w:sz w:val="16"/>
                <w:szCs w:val="16"/>
              </w:rPr>
              <w:t>*</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LAQM responsibilities</w:t>
            </w:r>
            <w:r>
              <w:rPr>
                <w:sz w:val="16"/>
                <w:szCs w:val="16"/>
              </w:rPr>
              <w:t xml:space="preserve"> are</w:t>
            </w:r>
            <w:r w:rsidRPr="0010079F">
              <w:rPr>
                <w:sz w:val="16"/>
                <w:szCs w:val="16"/>
              </w:rPr>
              <w:t xml:space="preserve"> devolved; opportunities exist to enhance the regime </w:t>
            </w:r>
            <w:r>
              <w:rPr>
                <w:sz w:val="16"/>
                <w:szCs w:val="16"/>
              </w:rPr>
              <w:t>in Wales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331B17"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.5</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Welsh Government is review</w:t>
            </w:r>
            <w:r>
              <w:rPr>
                <w:sz w:val="16"/>
                <w:szCs w:val="16"/>
              </w:rPr>
              <w:t>ing</w:t>
            </w:r>
            <w:r w:rsidRPr="0010079F">
              <w:rPr>
                <w:sz w:val="16"/>
                <w:szCs w:val="16"/>
              </w:rPr>
              <w:t xml:space="preserve"> existing LAQM arrangements so </w:t>
            </w:r>
            <w:r>
              <w:rPr>
                <w:sz w:val="16"/>
                <w:szCs w:val="16"/>
              </w:rPr>
              <w:t>influence is timely</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.6</w:t>
            </w:r>
            <w:r>
              <w:rPr>
                <w:sz w:val="16"/>
                <w:szCs w:val="16"/>
              </w:rPr>
              <w:t>*</w:t>
            </w:r>
          </w:p>
        </w:tc>
        <w:tc>
          <w:tcPr>
            <w:tcW w:w="5953" w:type="dxa"/>
            <w:tcBorders>
              <w:top w:val="nil"/>
              <w:left w:val="nil"/>
              <w:bottom w:val="nil"/>
              <w:right w:val="nil"/>
            </w:tcBorders>
          </w:tcPr>
          <w:p w:rsidR="00D95D95" w:rsidRPr="0010079F" w:rsidRDefault="00D95D95" w:rsidP="00D95D95">
            <w:pPr>
              <w:contextualSpacing/>
              <w:rPr>
                <w:sz w:val="16"/>
                <w:szCs w:val="16"/>
              </w:rPr>
            </w:pPr>
            <w:r>
              <w:rPr>
                <w:sz w:val="16"/>
                <w:szCs w:val="16"/>
              </w:rPr>
              <w:t>The WFGA 2015 calls for environmental sustainability action that can support LAQM</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rPr>
                <w:rFonts w:ascii="Wingdings 2" w:hAnsi="Wingdings 2"/>
                <w:sz w:val="14"/>
                <w:szCs w:val="14"/>
              </w:rPr>
            </w:pPr>
            <w:r w:rsidRPr="00EF7A4F">
              <w:rPr>
                <w:rFonts w:ascii="MS Gothic" w:eastAsia="MS Gothic" w:hAnsi="MS Gothic" w:cs="MS Gothic" w:hint="eastAsia"/>
                <w:color w:val="333333"/>
                <w:sz w:val="14"/>
                <w:szCs w:val="14"/>
              </w:rPr>
              <w:t>✓</w:t>
            </w: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.7</w:t>
            </w:r>
          </w:p>
        </w:tc>
        <w:tc>
          <w:tcPr>
            <w:tcW w:w="5953" w:type="dxa"/>
            <w:tcBorders>
              <w:top w:val="nil"/>
              <w:left w:val="nil"/>
              <w:bottom w:val="nil"/>
              <w:right w:val="nil"/>
            </w:tcBorders>
          </w:tcPr>
          <w:p w:rsidR="00D95D95" w:rsidRPr="0010079F" w:rsidRDefault="00D95D95" w:rsidP="00D95D95">
            <w:pPr>
              <w:contextualSpacing/>
              <w:rPr>
                <w:sz w:val="16"/>
                <w:szCs w:val="16"/>
              </w:rPr>
            </w:pPr>
            <w:r>
              <w:rPr>
                <w:sz w:val="16"/>
                <w:szCs w:val="16"/>
              </w:rPr>
              <w:t xml:space="preserve">In Wales, there is a focus on prevention; ‘treating’ effects is no longer </w:t>
            </w:r>
            <w:r w:rsidRPr="0010079F">
              <w:rPr>
                <w:sz w:val="16"/>
                <w:szCs w:val="16"/>
              </w:rPr>
              <w:t>acceptable</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.8</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Wales’ national air quality indicator can help inform local action and evaluations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.9</w:t>
            </w:r>
            <w:r>
              <w:rPr>
                <w:sz w:val="16"/>
                <w:szCs w:val="16"/>
              </w:rPr>
              <w:t>*</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Public Health Wales is well-placed to  encourage action across wider NHS</w:t>
            </w:r>
            <w:r>
              <w:rPr>
                <w:sz w:val="16"/>
                <w:szCs w:val="16"/>
              </w:rPr>
              <w:t xml:space="preserve"> and beyond</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.10</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 xml:space="preserve">Good </w:t>
            </w:r>
            <w:r>
              <w:rPr>
                <w:sz w:val="16"/>
                <w:szCs w:val="16"/>
              </w:rPr>
              <w:t xml:space="preserve">rapport between </w:t>
            </w:r>
            <w:r w:rsidRPr="0010079F">
              <w:rPr>
                <w:sz w:val="16"/>
                <w:szCs w:val="16"/>
              </w:rPr>
              <w:t xml:space="preserve">Welsh Government </w:t>
            </w:r>
            <w:r>
              <w:rPr>
                <w:sz w:val="16"/>
                <w:szCs w:val="16"/>
              </w:rPr>
              <w:t xml:space="preserve">and other bodies </w:t>
            </w:r>
            <w:r w:rsidRPr="0010079F">
              <w:rPr>
                <w:sz w:val="16"/>
                <w:szCs w:val="16"/>
              </w:rPr>
              <w:t xml:space="preserve">can facilitate change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.11</w:t>
            </w:r>
            <w:r>
              <w:rPr>
                <w:sz w:val="16"/>
                <w:szCs w:val="16"/>
              </w:rPr>
              <w:t>*</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 xml:space="preserve">The Welsh Air Quality Forum offers opportunities to increase collaboration </w:t>
            </w:r>
            <w:r>
              <w:rPr>
                <w:sz w:val="16"/>
                <w:szCs w:val="16"/>
              </w:rPr>
              <w:t>and action</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Mincho" w:eastAsia="MS Mincho" w:hAnsi="MS Mincho" w:cs="MS Mincho" w:hint="eastAsia"/>
                <w:color w:val="333333"/>
                <w:sz w:val="14"/>
                <w:szCs w:val="14"/>
              </w:rPr>
              <w:t>✗</w:t>
            </w: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.12</w:t>
            </w:r>
          </w:p>
        </w:tc>
        <w:tc>
          <w:tcPr>
            <w:tcW w:w="5953" w:type="dxa"/>
            <w:tcBorders>
              <w:top w:val="nil"/>
              <w:left w:val="nil"/>
              <w:bottom w:val="nil"/>
              <w:right w:val="nil"/>
            </w:tcBorders>
          </w:tcPr>
          <w:p w:rsidR="00D95D95" w:rsidRPr="0010079F" w:rsidRDefault="00D95D95" w:rsidP="00D95D95">
            <w:pPr>
              <w:contextualSpacing/>
              <w:rPr>
                <w:sz w:val="16"/>
                <w:szCs w:val="16"/>
              </w:rPr>
            </w:pPr>
            <w:r>
              <w:rPr>
                <w:sz w:val="16"/>
                <w:szCs w:val="16"/>
              </w:rPr>
              <w:t xml:space="preserve">WFGA </w:t>
            </w:r>
            <w:r w:rsidRPr="0010079F">
              <w:rPr>
                <w:sz w:val="16"/>
                <w:szCs w:val="16"/>
              </w:rPr>
              <w:t xml:space="preserve">Public Service Boards </w:t>
            </w:r>
            <w:r>
              <w:rPr>
                <w:sz w:val="16"/>
                <w:szCs w:val="16"/>
              </w:rPr>
              <w:t xml:space="preserve">are required to agree and </w:t>
            </w:r>
            <w:r w:rsidRPr="0010079F">
              <w:rPr>
                <w:sz w:val="16"/>
                <w:szCs w:val="16"/>
              </w:rPr>
              <w:t>address joint priorities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.13</w:t>
            </w:r>
          </w:p>
        </w:tc>
        <w:tc>
          <w:tcPr>
            <w:tcW w:w="5953" w:type="dxa"/>
            <w:tcBorders>
              <w:top w:val="nil"/>
              <w:left w:val="nil"/>
              <w:bottom w:val="nil"/>
              <w:right w:val="nil"/>
            </w:tcBorders>
          </w:tcPr>
          <w:p w:rsidR="00D95D95" w:rsidRPr="0010079F" w:rsidRDefault="00D95D95" w:rsidP="00D95D95">
            <w:pPr>
              <w:contextualSpacing/>
              <w:rPr>
                <w:sz w:val="16"/>
                <w:szCs w:val="16"/>
              </w:rPr>
            </w:pPr>
            <w:r>
              <w:rPr>
                <w:sz w:val="16"/>
                <w:szCs w:val="16"/>
              </w:rPr>
              <w:t>P</w:t>
            </w:r>
            <w:r w:rsidRPr="0010079F">
              <w:rPr>
                <w:sz w:val="16"/>
                <w:szCs w:val="16"/>
              </w:rPr>
              <w:t>ublic bodies are encouraged to work regionally</w:t>
            </w:r>
            <w:r>
              <w:rPr>
                <w:sz w:val="16"/>
                <w:szCs w:val="16"/>
              </w:rPr>
              <w:t xml:space="preserve"> on priorities that cross boundaries</w:t>
            </w:r>
            <w:r w:rsidRPr="0010079F">
              <w:rPr>
                <w:sz w:val="16"/>
                <w:szCs w:val="16"/>
              </w:rPr>
              <w:t xml:space="preserve">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.14</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 xml:space="preserve">Understanding </w:t>
            </w:r>
            <w:r>
              <w:rPr>
                <w:sz w:val="16"/>
                <w:szCs w:val="16"/>
              </w:rPr>
              <w:t xml:space="preserve">broader </w:t>
            </w:r>
            <w:r w:rsidRPr="0010079F">
              <w:rPr>
                <w:sz w:val="16"/>
                <w:szCs w:val="16"/>
              </w:rPr>
              <w:t xml:space="preserve">links </w:t>
            </w:r>
            <w:r>
              <w:rPr>
                <w:sz w:val="16"/>
                <w:szCs w:val="16"/>
              </w:rPr>
              <w:t xml:space="preserve">can </w:t>
            </w:r>
            <w:r w:rsidRPr="0010079F">
              <w:rPr>
                <w:sz w:val="16"/>
                <w:szCs w:val="16"/>
              </w:rPr>
              <w:t xml:space="preserve">help align public health </w:t>
            </w:r>
            <w:r>
              <w:rPr>
                <w:sz w:val="16"/>
                <w:szCs w:val="16"/>
              </w:rPr>
              <w:t xml:space="preserve">and </w:t>
            </w:r>
            <w:r w:rsidRPr="0010079F">
              <w:rPr>
                <w:sz w:val="16"/>
                <w:szCs w:val="16"/>
              </w:rPr>
              <w:t>LAQM action</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.15</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 xml:space="preserve">Increasing collaboration </w:t>
            </w:r>
            <w:r>
              <w:rPr>
                <w:sz w:val="16"/>
                <w:szCs w:val="16"/>
              </w:rPr>
              <w:t>(especially academics) can create research opportunities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.16</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 xml:space="preserve">Communicating messages in a public health context </w:t>
            </w:r>
            <w:r>
              <w:rPr>
                <w:sz w:val="16"/>
                <w:szCs w:val="16"/>
              </w:rPr>
              <w:t>can influence broader audiences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.17</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Good</w:t>
            </w:r>
            <w:r>
              <w:rPr>
                <w:sz w:val="16"/>
                <w:szCs w:val="16"/>
              </w:rPr>
              <w:t>, less technical,</w:t>
            </w:r>
            <w:r w:rsidRPr="0010079F">
              <w:rPr>
                <w:sz w:val="16"/>
                <w:szCs w:val="16"/>
              </w:rPr>
              <w:t xml:space="preserve"> communications can </w:t>
            </w:r>
            <w:r>
              <w:rPr>
                <w:sz w:val="16"/>
                <w:szCs w:val="16"/>
              </w:rPr>
              <w:t xml:space="preserve">increase </w:t>
            </w:r>
            <w:r w:rsidRPr="0010079F">
              <w:rPr>
                <w:sz w:val="16"/>
                <w:szCs w:val="16"/>
              </w:rPr>
              <w:t>understand</w:t>
            </w:r>
            <w:r>
              <w:rPr>
                <w:sz w:val="16"/>
                <w:szCs w:val="16"/>
              </w:rPr>
              <w:t xml:space="preserve">ing and engagement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.18</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Good quality local-level data can inform risk assessments, surveillance and action</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.19</w:t>
            </w:r>
            <w:r>
              <w:rPr>
                <w:sz w:val="16"/>
                <w:szCs w:val="16"/>
              </w:rPr>
              <w:t>*</w:t>
            </w:r>
          </w:p>
        </w:tc>
        <w:tc>
          <w:tcPr>
            <w:tcW w:w="5953" w:type="dxa"/>
            <w:tcBorders>
              <w:top w:val="nil"/>
              <w:left w:val="nil"/>
              <w:bottom w:val="nil"/>
              <w:right w:val="nil"/>
            </w:tcBorders>
          </w:tcPr>
          <w:p w:rsidR="00D95D95" w:rsidRPr="0010079F" w:rsidRDefault="00D95D95" w:rsidP="00D95D95">
            <w:pPr>
              <w:contextualSpacing/>
              <w:rPr>
                <w:sz w:val="16"/>
                <w:szCs w:val="16"/>
              </w:rPr>
            </w:pPr>
            <w:r>
              <w:rPr>
                <w:sz w:val="16"/>
                <w:szCs w:val="16"/>
              </w:rPr>
              <w:t>There is currently an increased</w:t>
            </w:r>
            <w:r w:rsidRPr="0010079F">
              <w:rPr>
                <w:sz w:val="16"/>
                <w:szCs w:val="16"/>
              </w:rPr>
              <w:t xml:space="preserve"> willingness to share data, intelligence and expertise</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3</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2</w:t>
            </w:r>
            <w:r w:rsidRPr="00FC79C3">
              <w:rPr>
                <w:sz w:val="16"/>
                <w:szCs w:val="16"/>
              </w:rPr>
              <w:t>.20</w:t>
            </w:r>
          </w:p>
        </w:tc>
        <w:tc>
          <w:tcPr>
            <w:tcW w:w="5953" w:type="dxa"/>
            <w:tcBorders>
              <w:top w:val="nil"/>
              <w:left w:val="nil"/>
              <w:bottom w:val="nil"/>
              <w:right w:val="nil"/>
            </w:tcBorders>
          </w:tcPr>
          <w:p w:rsidR="00D95D95" w:rsidRPr="0010079F" w:rsidRDefault="00D95D95" w:rsidP="00D95D95">
            <w:pPr>
              <w:contextualSpacing/>
              <w:rPr>
                <w:sz w:val="16"/>
                <w:szCs w:val="16"/>
              </w:rPr>
            </w:pPr>
            <w:r w:rsidRPr="0010079F">
              <w:rPr>
                <w:sz w:val="16"/>
                <w:szCs w:val="16"/>
              </w:rPr>
              <w:t xml:space="preserve">Public health </w:t>
            </w:r>
            <w:r>
              <w:rPr>
                <w:sz w:val="16"/>
                <w:szCs w:val="16"/>
              </w:rPr>
              <w:t xml:space="preserve">specialists have </w:t>
            </w:r>
            <w:r w:rsidRPr="0010079F">
              <w:rPr>
                <w:sz w:val="16"/>
                <w:szCs w:val="16"/>
              </w:rPr>
              <w:t xml:space="preserve">expertise </w:t>
            </w:r>
            <w:r>
              <w:rPr>
                <w:sz w:val="16"/>
                <w:szCs w:val="16"/>
              </w:rPr>
              <w:t xml:space="preserve">to </w:t>
            </w:r>
            <w:r w:rsidRPr="0010079F">
              <w:rPr>
                <w:sz w:val="16"/>
                <w:szCs w:val="16"/>
              </w:rPr>
              <w:t>support Local Authority-led risk assessments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1E3A59" w:rsidTr="00D95D95">
        <w:tc>
          <w:tcPr>
            <w:tcW w:w="710" w:type="dxa"/>
            <w:vMerge w:val="restart"/>
            <w:tcBorders>
              <w:top w:val="nil"/>
              <w:left w:val="nil"/>
              <w:bottom w:val="nil"/>
              <w:right w:val="nil"/>
            </w:tcBorders>
          </w:tcPr>
          <w:p w:rsidR="00D95D95" w:rsidRDefault="00D95D95" w:rsidP="00D95D95">
            <w:pPr>
              <w:contextualSpacing/>
              <w:rPr>
                <w:b/>
                <w:sz w:val="16"/>
                <w:szCs w:val="16"/>
              </w:rPr>
            </w:pPr>
          </w:p>
          <w:p w:rsidR="00D95D95" w:rsidRPr="001E3A59" w:rsidRDefault="00D95D95" w:rsidP="00D95D95">
            <w:pPr>
              <w:contextualSpacing/>
              <w:rPr>
                <w:b/>
                <w:sz w:val="16"/>
                <w:szCs w:val="16"/>
              </w:rPr>
            </w:pPr>
          </w:p>
        </w:tc>
        <w:tc>
          <w:tcPr>
            <w:tcW w:w="5953" w:type="dxa"/>
            <w:vMerge w:val="restart"/>
            <w:tcBorders>
              <w:top w:val="nil"/>
              <w:left w:val="nil"/>
              <w:bottom w:val="nil"/>
              <w:right w:val="nil"/>
            </w:tcBorders>
          </w:tcPr>
          <w:p w:rsidR="00D95D95" w:rsidRPr="00EC204C" w:rsidRDefault="00D95D95" w:rsidP="00D95D95">
            <w:pPr>
              <w:contextualSpacing/>
              <w:rPr>
                <w:b/>
                <w:sz w:val="8"/>
                <w:szCs w:val="8"/>
              </w:rPr>
            </w:pPr>
          </w:p>
          <w:p w:rsidR="00D95D95" w:rsidRDefault="00D95D95" w:rsidP="00D95D95">
            <w:pPr>
              <w:contextualSpacing/>
              <w:rPr>
                <w:b/>
                <w:sz w:val="16"/>
                <w:szCs w:val="16"/>
              </w:rPr>
            </w:pPr>
            <w:r>
              <w:rPr>
                <w:b/>
                <w:sz w:val="16"/>
                <w:szCs w:val="16"/>
              </w:rPr>
              <w:t>Added value of increased public health integration and collaboration in LAQM</w:t>
            </w:r>
          </w:p>
          <w:p w:rsidR="00D95D95" w:rsidRPr="00EC204C" w:rsidRDefault="00D95D95" w:rsidP="00D95D95">
            <w:pPr>
              <w:contextualSpacing/>
              <w:rPr>
                <w:b/>
                <w:sz w:val="8"/>
                <w:szCs w:val="8"/>
              </w:rPr>
            </w:pPr>
          </w:p>
        </w:tc>
        <w:tc>
          <w:tcPr>
            <w:tcW w:w="993" w:type="dxa"/>
            <w:gridSpan w:val="3"/>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992" w:type="dxa"/>
            <w:gridSpan w:val="3"/>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993" w:type="dxa"/>
            <w:gridSpan w:val="3"/>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r>
      <w:tr w:rsidR="00D95D95" w:rsidRPr="001E3A59" w:rsidTr="00D95D95">
        <w:tc>
          <w:tcPr>
            <w:tcW w:w="710" w:type="dxa"/>
            <w:vMerge/>
            <w:tcBorders>
              <w:top w:val="single" w:sz="4" w:space="0" w:color="auto"/>
              <w:left w:val="nil"/>
              <w:bottom w:val="nil"/>
              <w:right w:val="nil"/>
            </w:tcBorders>
          </w:tcPr>
          <w:p w:rsidR="00D95D95" w:rsidRPr="001E3A59" w:rsidRDefault="00D95D95" w:rsidP="00D95D95">
            <w:pPr>
              <w:contextualSpacing/>
              <w:rPr>
                <w:b/>
                <w:sz w:val="16"/>
                <w:szCs w:val="16"/>
              </w:rPr>
            </w:pPr>
          </w:p>
        </w:tc>
        <w:tc>
          <w:tcPr>
            <w:tcW w:w="5953" w:type="dxa"/>
            <w:vMerge/>
            <w:tcBorders>
              <w:top w:val="single" w:sz="4" w:space="0" w:color="auto"/>
              <w:left w:val="nil"/>
              <w:bottom w:val="nil"/>
              <w:right w:val="nil"/>
            </w:tcBorders>
          </w:tcPr>
          <w:p w:rsidR="00D95D95" w:rsidRPr="001E3A59" w:rsidRDefault="00D95D95" w:rsidP="00D95D95">
            <w:pPr>
              <w:contextualSpacing/>
              <w:rPr>
                <w:b/>
                <w:sz w:val="16"/>
                <w:szCs w:val="16"/>
              </w:rPr>
            </w:pPr>
          </w:p>
        </w:tc>
        <w:tc>
          <w:tcPr>
            <w:tcW w:w="284"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425"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4"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3"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425"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4"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3"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426"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c>
          <w:tcPr>
            <w:tcW w:w="284" w:type="dxa"/>
            <w:tcBorders>
              <w:top w:val="nil"/>
              <w:left w:val="nil"/>
              <w:bottom w:val="nil"/>
              <w:right w:val="nil"/>
            </w:tcBorders>
            <w:shd w:val="clear" w:color="auto" w:fill="FFFFFF" w:themeFill="background1"/>
          </w:tcPr>
          <w:p w:rsidR="00D95D95" w:rsidRPr="001E3A59" w:rsidRDefault="00D95D95" w:rsidP="00D95D95">
            <w:pPr>
              <w:contextualSpacing/>
              <w:jc w:val="center"/>
              <w:rPr>
                <w:b/>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rFonts w:eastAsia="Times New Roman" w:cs="Times New Roman"/>
                <w:sz w:val="16"/>
                <w:szCs w:val="16"/>
                <w:lang w:val="en-US"/>
              </w:rPr>
              <w:t>3</w:t>
            </w:r>
            <w:r w:rsidRPr="00FC79C3">
              <w:rPr>
                <w:rFonts w:eastAsia="Times New Roman" w:cs="Times New Roman"/>
                <w:sz w:val="16"/>
                <w:szCs w:val="16"/>
                <w:lang w:val="en-US"/>
              </w:rPr>
              <w:t>.1</w:t>
            </w:r>
            <w:r>
              <w:rPr>
                <w:rFonts w:eastAsia="Times New Roman" w:cs="Times New Roman"/>
                <w:sz w:val="16"/>
                <w:szCs w:val="16"/>
                <w:lang w:val="en-US"/>
              </w:rPr>
              <w:t>*</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Defining the public health role in LAQM can increase expertise, confidence and support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.2</w:t>
            </w:r>
            <w:r>
              <w:rPr>
                <w:sz w:val="16"/>
                <w:szCs w:val="16"/>
              </w:rPr>
              <w:t>*</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Increased</w:t>
            </w:r>
            <w:r w:rsidRPr="00061C69">
              <w:rPr>
                <w:sz w:val="16"/>
                <w:szCs w:val="16"/>
              </w:rPr>
              <w:t xml:space="preserve"> public health support for Local Authorities can help increase capacity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Mincho" w:eastAsia="MS Mincho" w:hAnsi="MS Mincho" w:cs="MS Mincho"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.3</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 xml:space="preserve">Improved public health support </w:t>
            </w:r>
            <w:r w:rsidRPr="00061C69">
              <w:rPr>
                <w:sz w:val="16"/>
                <w:szCs w:val="16"/>
              </w:rPr>
              <w:t xml:space="preserve">can facilitate broader air pollution risk assessment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.4</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U</w:t>
            </w:r>
            <w:r w:rsidRPr="00061C69">
              <w:rPr>
                <w:sz w:val="16"/>
                <w:szCs w:val="16"/>
              </w:rPr>
              <w:t xml:space="preserve">nderstanding risks </w:t>
            </w:r>
            <w:r>
              <w:rPr>
                <w:sz w:val="16"/>
                <w:szCs w:val="16"/>
              </w:rPr>
              <w:t xml:space="preserve">in a broader context </w:t>
            </w:r>
            <w:r w:rsidRPr="00061C69">
              <w:rPr>
                <w:sz w:val="16"/>
                <w:szCs w:val="16"/>
              </w:rPr>
              <w:t xml:space="preserve">can </w:t>
            </w:r>
            <w:r>
              <w:rPr>
                <w:sz w:val="16"/>
                <w:szCs w:val="16"/>
              </w:rPr>
              <w:t xml:space="preserve">improve </w:t>
            </w:r>
            <w:r w:rsidRPr="00061C69">
              <w:rPr>
                <w:sz w:val="16"/>
                <w:szCs w:val="16"/>
              </w:rPr>
              <w:t xml:space="preserve">communications </w:t>
            </w:r>
            <w:r>
              <w:rPr>
                <w:sz w:val="16"/>
                <w:szCs w:val="16"/>
              </w:rPr>
              <w:t>and their reach</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331B17"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.5</w:t>
            </w:r>
          </w:p>
        </w:tc>
        <w:tc>
          <w:tcPr>
            <w:tcW w:w="5953" w:type="dxa"/>
            <w:tcBorders>
              <w:top w:val="nil"/>
              <w:left w:val="nil"/>
              <w:bottom w:val="nil"/>
              <w:right w:val="nil"/>
            </w:tcBorders>
          </w:tcPr>
          <w:p w:rsidR="00D95D95" w:rsidRPr="00061C69" w:rsidRDefault="00D95D95" w:rsidP="00D95D95">
            <w:pPr>
              <w:contextualSpacing/>
              <w:rPr>
                <w:sz w:val="16"/>
                <w:szCs w:val="16"/>
              </w:rPr>
            </w:pPr>
            <w:r w:rsidRPr="00061C69">
              <w:rPr>
                <w:sz w:val="16"/>
                <w:szCs w:val="16"/>
              </w:rPr>
              <w:t xml:space="preserve">‘Big picture’ evidence can </w:t>
            </w:r>
            <w:r>
              <w:rPr>
                <w:sz w:val="16"/>
                <w:szCs w:val="16"/>
              </w:rPr>
              <w:t>help link</w:t>
            </w:r>
            <w:r w:rsidRPr="00061C69">
              <w:rPr>
                <w:sz w:val="16"/>
                <w:szCs w:val="16"/>
              </w:rPr>
              <w:t xml:space="preserve"> air pollution with other local public health priorities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4313B5"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.6</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 xml:space="preserve">Making links with other priorities </w:t>
            </w:r>
            <w:r w:rsidRPr="00061C69">
              <w:rPr>
                <w:sz w:val="16"/>
                <w:szCs w:val="16"/>
              </w:rPr>
              <w:t>help</w:t>
            </w:r>
            <w:r>
              <w:rPr>
                <w:sz w:val="16"/>
                <w:szCs w:val="16"/>
              </w:rPr>
              <w:t>s</w:t>
            </w:r>
            <w:r w:rsidRPr="00061C69">
              <w:rPr>
                <w:sz w:val="16"/>
                <w:szCs w:val="16"/>
              </w:rPr>
              <w:t xml:space="preserve"> public health </w:t>
            </w:r>
            <w:r>
              <w:rPr>
                <w:sz w:val="16"/>
                <w:szCs w:val="16"/>
              </w:rPr>
              <w:t>integrate LAQM with the ‘</w:t>
            </w:r>
            <w:r w:rsidRPr="00061C69">
              <w:rPr>
                <w:sz w:val="16"/>
                <w:szCs w:val="16"/>
              </w:rPr>
              <w:t>day job’</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4313B5" w:rsidRDefault="00D95D95" w:rsidP="00D95D95">
            <w:pPr>
              <w:contextualSpacing/>
              <w:rPr>
                <w:rFonts w:ascii="Wingdings 2" w:hAnsi="Wingdings 2"/>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.7</w:t>
            </w:r>
          </w:p>
        </w:tc>
        <w:tc>
          <w:tcPr>
            <w:tcW w:w="5953" w:type="dxa"/>
            <w:tcBorders>
              <w:top w:val="nil"/>
              <w:left w:val="nil"/>
              <w:bottom w:val="nil"/>
              <w:right w:val="nil"/>
            </w:tcBorders>
          </w:tcPr>
          <w:p w:rsidR="00D95D95" w:rsidRPr="00061C69" w:rsidRDefault="00D95D95" w:rsidP="00D95D95">
            <w:pPr>
              <w:contextualSpacing/>
              <w:rPr>
                <w:sz w:val="16"/>
                <w:szCs w:val="16"/>
              </w:rPr>
            </w:pPr>
            <w:r w:rsidRPr="00061C69">
              <w:rPr>
                <w:sz w:val="16"/>
                <w:szCs w:val="16"/>
              </w:rPr>
              <w:t xml:space="preserve">A broader outlook on LAQM </w:t>
            </w:r>
            <w:r>
              <w:rPr>
                <w:sz w:val="16"/>
                <w:szCs w:val="16"/>
              </w:rPr>
              <w:t>helps</w:t>
            </w:r>
            <w:r w:rsidRPr="00061C69">
              <w:rPr>
                <w:sz w:val="16"/>
                <w:szCs w:val="16"/>
              </w:rPr>
              <w:t xml:space="preserve"> connect it with ‘prevention-focused’</w:t>
            </w:r>
            <w:r>
              <w:rPr>
                <w:sz w:val="16"/>
                <w:szCs w:val="16"/>
              </w:rPr>
              <w:t xml:space="preserve"> WFGA practice</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.8</w:t>
            </w:r>
            <w:r>
              <w:rPr>
                <w:sz w:val="16"/>
                <w:szCs w:val="16"/>
              </w:rPr>
              <w:t>*</w:t>
            </w:r>
          </w:p>
        </w:tc>
        <w:tc>
          <w:tcPr>
            <w:tcW w:w="5953" w:type="dxa"/>
            <w:tcBorders>
              <w:top w:val="nil"/>
              <w:left w:val="nil"/>
              <w:bottom w:val="nil"/>
              <w:right w:val="nil"/>
            </w:tcBorders>
          </w:tcPr>
          <w:p w:rsidR="00D95D95" w:rsidRPr="00061C69" w:rsidRDefault="00D95D95" w:rsidP="00D95D95">
            <w:pPr>
              <w:contextualSpacing/>
              <w:rPr>
                <w:sz w:val="16"/>
                <w:szCs w:val="16"/>
              </w:rPr>
            </w:pPr>
            <w:r w:rsidRPr="00061C69">
              <w:rPr>
                <w:sz w:val="16"/>
                <w:szCs w:val="16"/>
              </w:rPr>
              <w:t xml:space="preserve">Connecting policy and practice can create more efficient and effective ways of working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Mincho" w:eastAsia="MS Mincho" w:hAnsi="MS Mincho" w:cs="MS Mincho"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.9</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Better integration</w:t>
            </w:r>
            <w:r w:rsidRPr="00061C69">
              <w:rPr>
                <w:sz w:val="16"/>
                <w:szCs w:val="16"/>
              </w:rPr>
              <w:t xml:space="preserve"> can inform </w:t>
            </w:r>
            <w:r>
              <w:rPr>
                <w:sz w:val="16"/>
                <w:szCs w:val="16"/>
              </w:rPr>
              <w:t>shared objective</w:t>
            </w:r>
            <w:r w:rsidRPr="00061C69">
              <w:rPr>
                <w:sz w:val="16"/>
                <w:szCs w:val="16"/>
              </w:rPr>
              <w:t>-setting</w:t>
            </w:r>
            <w:r>
              <w:rPr>
                <w:sz w:val="16"/>
                <w:szCs w:val="16"/>
              </w:rPr>
              <w:t>, work planning</w:t>
            </w:r>
            <w:r w:rsidRPr="00061C69">
              <w:rPr>
                <w:sz w:val="16"/>
                <w:szCs w:val="16"/>
              </w:rPr>
              <w:t xml:space="preserve"> and action</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.10</w:t>
            </w:r>
            <w:r>
              <w:rPr>
                <w:sz w:val="16"/>
                <w:szCs w:val="16"/>
              </w:rPr>
              <w:t>*</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Better connection can encourage action to reduce</w:t>
            </w:r>
            <w:r w:rsidRPr="00061C69">
              <w:rPr>
                <w:sz w:val="16"/>
                <w:szCs w:val="16"/>
              </w:rPr>
              <w:t xml:space="preserve"> risks for all </w:t>
            </w:r>
            <w:r w:rsidRPr="00061C69">
              <w:rPr>
                <w:i/>
                <w:sz w:val="16"/>
                <w:szCs w:val="16"/>
              </w:rPr>
              <w:t xml:space="preserve">and </w:t>
            </w:r>
            <w:r>
              <w:rPr>
                <w:sz w:val="16"/>
                <w:szCs w:val="16"/>
              </w:rPr>
              <w:t>target ‘at</w:t>
            </w:r>
            <w:r w:rsidRPr="00061C69">
              <w:rPr>
                <w:sz w:val="16"/>
                <w:szCs w:val="16"/>
              </w:rPr>
              <w:t xml:space="preserve"> risk’ areas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.11</w:t>
            </w:r>
          </w:p>
        </w:tc>
        <w:tc>
          <w:tcPr>
            <w:tcW w:w="5953" w:type="dxa"/>
            <w:tcBorders>
              <w:top w:val="nil"/>
              <w:left w:val="nil"/>
              <w:bottom w:val="nil"/>
              <w:right w:val="nil"/>
            </w:tcBorders>
          </w:tcPr>
          <w:p w:rsidR="00D95D95" w:rsidRPr="00061C69" w:rsidRDefault="00D95D95" w:rsidP="00D95D95">
            <w:pPr>
              <w:contextualSpacing/>
              <w:rPr>
                <w:sz w:val="16"/>
                <w:szCs w:val="16"/>
              </w:rPr>
            </w:pPr>
            <w:r w:rsidRPr="00061C69">
              <w:rPr>
                <w:sz w:val="16"/>
                <w:szCs w:val="16"/>
              </w:rPr>
              <w:t xml:space="preserve">Greater collaboration can lead to more creative and innovative solutions to problems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.12</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Using public health to inform, educate and empower others can</w:t>
            </w:r>
            <w:r w:rsidRPr="00061C69">
              <w:rPr>
                <w:sz w:val="16"/>
                <w:szCs w:val="16"/>
              </w:rPr>
              <w:t xml:space="preserve"> </w:t>
            </w:r>
            <w:r>
              <w:rPr>
                <w:sz w:val="16"/>
                <w:szCs w:val="16"/>
              </w:rPr>
              <w:t>link ‘whole systems’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.13</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 xml:space="preserve">Effective </w:t>
            </w:r>
            <w:r w:rsidRPr="00061C69">
              <w:rPr>
                <w:sz w:val="16"/>
                <w:szCs w:val="16"/>
              </w:rPr>
              <w:t xml:space="preserve">LAQM </w:t>
            </w:r>
            <w:r>
              <w:rPr>
                <w:sz w:val="16"/>
                <w:szCs w:val="16"/>
              </w:rPr>
              <w:t xml:space="preserve">policy and practice has potential to deliver </w:t>
            </w:r>
            <w:r w:rsidRPr="00061C69">
              <w:rPr>
                <w:sz w:val="16"/>
                <w:szCs w:val="16"/>
              </w:rPr>
              <w:t xml:space="preserve">multiple </w:t>
            </w:r>
            <w:r>
              <w:rPr>
                <w:sz w:val="16"/>
                <w:szCs w:val="16"/>
              </w:rPr>
              <w:t>health co-benefits</w:t>
            </w:r>
            <w:r w:rsidRPr="00061C69">
              <w:rPr>
                <w:sz w:val="16"/>
                <w:szCs w:val="16"/>
              </w:rPr>
              <w:t xml:space="preserve">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.14</w:t>
            </w:r>
            <w:r>
              <w:rPr>
                <w:sz w:val="16"/>
                <w:szCs w:val="16"/>
              </w:rPr>
              <w:t>*</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 xml:space="preserve">Protecting public </w:t>
            </w:r>
            <w:r w:rsidRPr="00061C69">
              <w:rPr>
                <w:sz w:val="16"/>
                <w:szCs w:val="16"/>
              </w:rPr>
              <w:t xml:space="preserve">health through LAQM can </w:t>
            </w:r>
            <w:r>
              <w:rPr>
                <w:sz w:val="16"/>
                <w:szCs w:val="16"/>
              </w:rPr>
              <w:t>reduce the burden on NHS services</w:t>
            </w:r>
            <w:r w:rsidRPr="00061C69">
              <w:rPr>
                <w:sz w:val="16"/>
                <w:szCs w:val="16"/>
              </w:rPr>
              <w:t xml:space="preserve">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5</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.15</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Better collaboration (especially academics) can create opportunities</w:t>
            </w:r>
            <w:r w:rsidRPr="00061C69">
              <w:rPr>
                <w:sz w:val="16"/>
                <w:szCs w:val="16"/>
              </w:rPr>
              <w:t xml:space="preserve"> </w:t>
            </w:r>
            <w:r>
              <w:rPr>
                <w:sz w:val="16"/>
                <w:szCs w:val="16"/>
              </w:rPr>
              <w:t xml:space="preserve">for new </w:t>
            </w:r>
            <w:r w:rsidRPr="00061C69">
              <w:rPr>
                <w:sz w:val="16"/>
                <w:szCs w:val="16"/>
              </w:rPr>
              <w:t>research</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.16</w:t>
            </w:r>
          </w:p>
        </w:tc>
        <w:tc>
          <w:tcPr>
            <w:tcW w:w="5953" w:type="dxa"/>
            <w:tcBorders>
              <w:top w:val="nil"/>
              <w:left w:val="nil"/>
              <w:bottom w:val="nil"/>
              <w:right w:val="nil"/>
            </w:tcBorders>
          </w:tcPr>
          <w:p w:rsidR="00D95D95" w:rsidRPr="00061C69" w:rsidRDefault="00D95D95" w:rsidP="00D95D95">
            <w:pPr>
              <w:contextualSpacing/>
              <w:rPr>
                <w:sz w:val="16"/>
                <w:szCs w:val="16"/>
              </w:rPr>
            </w:pPr>
            <w:r w:rsidRPr="00061C69">
              <w:rPr>
                <w:sz w:val="16"/>
                <w:szCs w:val="16"/>
              </w:rPr>
              <w:t xml:space="preserve">New research in Wales can add to the evidence-base on </w:t>
            </w:r>
            <w:r>
              <w:rPr>
                <w:sz w:val="16"/>
                <w:szCs w:val="16"/>
              </w:rPr>
              <w:t xml:space="preserve">intervention </w:t>
            </w:r>
            <w:r w:rsidRPr="00061C69">
              <w:rPr>
                <w:sz w:val="16"/>
                <w:szCs w:val="16"/>
              </w:rPr>
              <w:t>effectiveness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.17</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P</w:t>
            </w:r>
            <w:r w:rsidRPr="00061C69">
              <w:rPr>
                <w:sz w:val="16"/>
                <w:szCs w:val="16"/>
              </w:rPr>
              <w:t xml:space="preserve">ositive LAQM impacts can encourage </w:t>
            </w:r>
            <w:r>
              <w:rPr>
                <w:sz w:val="16"/>
                <w:szCs w:val="16"/>
              </w:rPr>
              <w:t>future prevention-focused service</w:t>
            </w:r>
            <w:r w:rsidRPr="00061C69">
              <w:rPr>
                <w:sz w:val="16"/>
                <w:szCs w:val="16"/>
              </w:rPr>
              <w:t xml:space="preserve"> investment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.18</w:t>
            </w:r>
          </w:p>
        </w:tc>
        <w:tc>
          <w:tcPr>
            <w:tcW w:w="5953" w:type="dxa"/>
            <w:tcBorders>
              <w:top w:val="nil"/>
              <w:left w:val="nil"/>
              <w:bottom w:val="nil"/>
              <w:right w:val="nil"/>
            </w:tcBorders>
          </w:tcPr>
          <w:p w:rsidR="00D95D95" w:rsidRPr="00061C69" w:rsidRDefault="00D95D95" w:rsidP="00D95D95">
            <w:pPr>
              <w:contextualSpacing/>
              <w:rPr>
                <w:sz w:val="16"/>
                <w:szCs w:val="16"/>
              </w:rPr>
            </w:pPr>
            <w:r w:rsidRPr="00061C69">
              <w:rPr>
                <w:sz w:val="16"/>
                <w:szCs w:val="16"/>
              </w:rPr>
              <w:t xml:space="preserve">Improving public health involvement can increase LAQM inclusiveness and transparency </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.19</w:t>
            </w:r>
          </w:p>
        </w:tc>
        <w:tc>
          <w:tcPr>
            <w:tcW w:w="5953" w:type="dxa"/>
            <w:tcBorders>
              <w:top w:val="nil"/>
              <w:left w:val="nil"/>
              <w:bottom w:val="nil"/>
              <w:right w:val="nil"/>
            </w:tcBorders>
          </w:tcPr>
          <w:p w:rsidR="00D95D95" w:rsidRPr="00061C69" w:rsidRDefault="00D95D95" w:rsidP="00D95D95">
            <w:pPr>
              <w:contextualSpacing/>
              <w:rPr>
                <w:sz w:val="16"/>
                <w:szCs w:val="16"/>
              </w:rPr>
            </w:pPr>
            <w:r>
              <w:rPr>
                <w:sz w:val="16"/>
                <w:szCs w:val="16"/>
              </w:rPr>
              <w:t xml:space="preserve">Raising </w:t>
            </w:r>
            <w:r w:rsidRPr="00061C69">
              <w:rPr>
                <w:sz w:val="16"/>
                <w:szCs w:val="16"/>
              </w:rPr>
              <w:t>LAQM</w:t>
            </w:r>
            <w:r>
              <w:rPr>
                <w:sz w:val="16"/>
                <w:szCs w:val="16"/>
              </w:rPr>
              <w:t>’s profile reduces the likelihood of missing opportunities to connect policy</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p>
        </w:tc>
      </w:tr>
      <w:tr w:rsidR="00D95D95" w:rsidRPr="00727E19" w:rsidTr="00D95D95">
        <w:tc>
          <w:tcPr>
            <w:tcW w:w="710" w:type="dxa"/>
            <w:tcBorders>
              <w:top w:val="nil"/>
              <w:left w:val="nil"/>
              <w:bottom w:val="nil"/>
              <w:right w:val="nil"/>
            </w:tcBorders>
          </w:tcPr>
          <w:p w:rsidR="00D95D95" w:rsidRPr="00FC79C3" w:rsidRDefault="00D95D95" w:rsidP="00D95D95">
            <w:pPr>
              <w:contextualSpacing/>
              <w:rPr>
                <w:sz w:val="16"/>
                <w:szCs w:val="16"/>
              </w:rPr>
            </w:pPr>
            <w:r>
              <w:rPr>
                <w:sz w:val="16"/>
                <w:szCs w:val="16"/>
              </w:rPr>
              <w:t>3</w:t>
            </w:r>
            <w:r w:rsidRPr="00FC79C3">
              <w:rPr>
                <w:sz w:val="16"/>
                <w:szCs w:val="16"/>
              </w:rPr>
              <w:t>.20</w:t>
            </w:r>
            <w:r>
              <w:rPr>
                <w:sz w:val="16"/>
                <w:szCs w:val="16"/>
              </w:rPr>
              <w:t>*</w:t>
            </w:r>
          </w:p>
        </w:tc>
        <w:tc>
          <w:tcPr>
            <w:tcW w:w="5953" w:type="dxa"/>
            <w:tcBorders>
              <w:top w:val="nil"/>
              <w:left w:val="nil"/>
              <w:bottom w:val="nil"/>
              <w:right w:val="nil"/>
            </w:tcBorders>
          </w:tcPr>
          <w:p w:rsidR="00D95D95" w:rsidRPr="00061C69" w:rsidRDefault="00D95D95" w:rsidP="00D95D95">
            <w:pPr>
              <w:contextualSpacing/>
              <w:rPr>
                <w:sz w:val="16"/>
                <w:szCs w:val="16"/>
              </w:rPr>
            </w:pPr>
            <w:r w:rsidRPr="00061C69">
              <w:rPr>
                <w:sz w:val="16"/>
                <w:szCs w:val="16"/>
              </w:rPr>
              <w:t>Enhancing LAQM can act as an exemplar for evolving policy and practice in other areas</w:t>
            </w:r>
          </w:p>
        </w:tc>
        <w:tc>
          <w:tcPr>
            <w:tcW w:w="284"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4</w:t>
            </w:r>
          </w:p>
        </w:tc>
        <w:tc>
          <w:tcPr>
            <w:tcW w:w="425" w:type="dxa"/>
            <w:tcBorders>
              <w:top w:val="nil"/>
              <w:left w:val="nil"/>
              <w:bottom w:val="nil"/>
              <w:right w:val="nil"/>
            </w:tcBorders>
            <w:shd w:val="clear" w:color="auto" w:fill="F2F2F2" w:themeFill="background1" w:themeFillShade="F2"/>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F2F2F2" w:themeFill="background1" w:themeFillShade="F2"/>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c>
          <w:tcPr>
            <w:tcW w:w="283"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4</w:t>
            </w:r>
          </w:p>
        </w:tc>
        <w:tc>
          <w:tcPr>
            <w:tcW w:w="426" w:type="dxa"/>
            <w:tcBorders>
              <w:top w:val="nil"/>
              <w:left w:val="nil"/>
              <w:bottom w:val="nil"/>
              <w:right w:val="nil"/>
            </w:tcBorders>
            <w:shd w:val="clear" w:color="auto" w:fill="D9D9D9" w:themeFill="background1" w:themeFillShade="D9"/>
          </w:tcPr>
          <w:p w:rsidR="00D95D95" w:rsidRPr="00727E19" w:rsidRDefault="00D95D95" w:rsidP="00D95D95">
            <w:pPr>
              <w:contextualSpacing/>
              <w:jc w:val="center"/>
              <w:rPr>
                <w:sz w:val="16"/>
                <w:szCs w:val="16"/>
              </w:rPr>
            </w:pPr>
            <w:r>
              <w:rPr>
                <w:sz w:val="16"/>
                <w:szCs w:val="16"/>
              </w:rPr>
              <w:t>++</w:t>
            </w:r>
          </w:p>
        </w:tc>
        <w:tc>
          <w:tcPr>
            <w:tcW w:w="284" w:type="dxa"/>
            <w:tcBorders>
              <w:top w:val="nil"/>
              <w:left w:val="nil"/>
              <w:bottom w:val="nil"/>
              <w:right w:val="nil"/>
            </w:tcBorders>
            <w:shd w:val="clear" w:color="auto" w:fill="D9D9D9" w:themeFill="background1" w:themeFillShade="D9"/>
          </w:tcPr>
          <w:p w:rsidR="00D95D95" w:rsidRPr="00EF7A4F" w:rsidRDefault="00D95D95" w:rsidP="00D95D95">
            <w:pPr>
              <w:contextualSpacing/>
              <w:jc w:val="center"/>
              <w:rPr>
                <w:sz w:val="14"/>
                <w:szCs w:val="14"/>
              </w:rPr>
            </w:pPr>
            <w:r w:rsidRPr="00EF7A4F">
              <w:rPr>
                <w:rFonts w:ascii="MS Gothic" w:eastAsia="MS Gothic" w:hAnsi="MS Gothic" w:cs="MS Gothic" w:hint="eastAsia"/>
                <w:color w:val="333333"/>
                <w:sz w:val="14"/>
                <w:szCs w:val="14"/>
              </w:rPr>
              <w:t>✓</w:t>
            </w:r>
          </w:p>
        </w:tc>
      </w:tr>
    </w:tbl>
    <w:p w:rsidR="00D95D95" w:rsidRPr="00B237C7" w:rsidRDefault="00D95D95" w:rsidP="00D95D95">
      <w:pPr>
        <w:spacing w:after="0" w:line="240" w:lineRule="auto"/>
        <w:ind w:hanging="284"/>
        <w:rPr>
          <w:b/>
          <w:sz w:val="4"/>
          <w:szCs w:val="4"/>
        </w:rPr>
      </w:pPr>
    </w:p>
    <w:p w:rsidR="00D95D95" w:rsidRPr="0009077B" w:rsidRDefault="00D95D95" w:rsidP="00D95D95">
      <w:pPr>
        <w:spacing w:after="0" w:line="240" w:lineRule="auto"/>
        <w:ind w:right="-188" w:hanging="284"/>
        <w:jc w:val="right"/>
        <w:rPr>
          <w:sz w:val="12"/>
          <w:szCs w:val="12"/>
        </w:rPr>
      </w:pPr>
      <w:r w:rsidRPr="00D41DAA">
        <w:rPr>
          <w:b/>
          <w:sz w:val="12"/>
          <w:szCs w:val="12"/>
        </w:rPr>
        <w:t>R</w:t>
      </w:r>
      <w:r>
        <w:rPr>
          <w:sz w:val="12"/>
          <w:szCs w:val="12"/>
        </w:rPr>
        <w:t xml:space="preserve"> =</w:t>
      </w:r>
      <w:r w:rsidRPr="0009077B">
        <w:rPr>
          <w:sz w:val="12"/>
          <w:szCs w:val="12"/>
        </w:rPr>
        <w:t xml:space="preserve"> RESPONSE median (</w:t>
      </w:r>
      <w:proofErr w:type="spellStart"/>
      <w:r w:rsidRPr="0009077B">
        <w:rPr>
          <w:sz w:val="12"/>
          <w:szCs w:val="12"/>
        </w:rPr>
        <w:t>Likert</w:t>
      </w:r>
      <w:proofErr w:type="spellEnd"/>
      <w:r w:rsidRPr="0009077B">
        <w:rPr>
          <w:sz w:val="12"/>
          <w:szCs w:val="12"/>
        </w:rPr>
        <w:t xml:space="preserve"> scale: 1 = strongly disagree</w:t>
      </w:r>
      <w:r>
        <w:rPr>
          <w:sz w:val="12"/>
          <w:szCs w:val="12"/>
        </w:rPr>
        <w:t xml:space="preserve">; 2 = disagree; 3 = indifferent; 4 = agree; </w:t>
      </w:r>
      <w:r w:rsidRPr="0009077B">
        <w:rPr>
          <w:sz w:val="12"/>
          <w:szCs w:val="12"/>
        </w:rPr>
        <w:t>5 = strongly agree)</w:t>
      </w:r>
    </w:p>
    <w:p w:rsidR="00D95D95" w:rsidRPr="000F0EBC" w:rsidRDefault="00D95D95" w:rsidP="00D95D95">
      <w:pPr>
        <w:spacing w:after="0" w:line="240" w:lineRule="auto"/>
        <w:ind w:right="-188" w:hanging="284"/>
        <w:jc w:val="right"/>
        <w:rPr>
          <w:sz w:val="12"/>
          <w:szCs w:val="12"/>
        </w:rPr>
      </w:pPr>
      <w:r w:rsidRPr="00D41DAA">
        <w:rPr>
          <w:b/>
          <w:sz w:val="12"/>
          <w:szCs w:val="12"/>
        </w:rPr>
        <w:t>C</w:t>
      </w:r>
      <w:r>
        <w:rPr>
          <w:sz w:val="12"/>
          <w:szCs w:val="12"/>
        </w:rPr>
        <w:t xml:space="preserve"> =</w:t>
      </w:r>
      <w:r w:rsidRPr="0009077B">
        <w:rPr>
          <w:sz w:val="12"/>
          <w:szCs w:val="12"/>
        </w:rPr>
        <w:t xml:space="preserve"> CONSENSUS </w:t>
      </w:r>
      <w:r>
        <w:rPr>
          <w:sz w:val="12"/>
          <w:szCs w:val="12"/>
        </w:rPr>
        <w:t xml:space="preserve">extent </w:t>
      </w:r>
      <w:r w:rsidRPr="0009077B">
        <w:rPr>
          <w:sz w:val="12"/>
          <w:szCs w:val="12"/>
        </w:rPr>
        <w:t>(- = consensus</w:t>
      </w:r>
      <w:r>
        <w:rPr>
          <w:sz w:val="12"/>
          <w:szCs w:val="12"/>
        </w:rPr>
        <w:t xml:space="preserve"> not achieved (inter-quartile range (IQR) = &gt;1.0)</w:t>
      </w:r>
      <w:r w:rsidRPr="0009077B">
        <w:rPr>
          <w:sz w:val="12"/>
          <w:szCs w:val="12"/>
        </w:rPr>
        <w:t>; + = good consensus</w:t>
      </w:r>
      <w:r>
        <w:rPr>
          <w:sz w:val="12"/>
          <w:szCs w:val="12"/>
        </w:rPr>
        <w:t xml:space="preserve"> (IQR = 1.0)</w:t>
      </w:r>
      <w:r w:rsidRPr="0009077B">
        <w:rPr>
          <w:sz w:val="12"/>
          <w:szCs w:val="12"/>
        </w:rPr>
        <w:t xml:space="preserve">; </w:t>
      </w:r>
      <w:r w:rsidRPr="000F0EBC">
        <w:rPr>
          <w:sz w:val="12"/>
          <w:szCs w:val="12"/>
        </w:rPr>
        <w:t>++ = very good consensus</w:t>
      </w:r>
      <w:r>
        <w:rPr>
          <w:sz w:val="12"/>
          <w:szCs w:val="12"/>
        </w:rPr>
        <w:t xml:space="preserve"> (IQR = &lt;1.0)</w:t>
      </w:r>
      <w:r w:rsidRPr="000F0EBC">
        <w:rPr>
          <w:sz w:val="12"/>
          <w:szCs w:val="12"/>
        </w:rPr>
        <w:t xml:space="preserve">) </w:t>
      </w:r>
    </w:p>
    <w:p w:rsidR="00D95D95" w:rsidRPr="000F0EBC" w:rsidRDefault="00D95D95" w:rsidP="00D95D95">
      <w:pPr>
        <w:spacing w:after="0" w:line="240" w:lineRule="auto"/>
        <w:ind w:right="-188" w:hanging="284"/>
        <w:jc w:val="right"/>
        <w:rPr>
          <w:rFonts w:eastAsia="MS Mincho" w:cs="MS Mincho"/>
          <w:sz w:val="16"/>
          <w:szCs w:val="16"/>
        </w:rPr>
      </w:pPr>
      <w:r w:rsidRPr="00513113">
        <w:rPr>
          <w:b/>
          <w:sz w:val="12"/>
          <w:szCs w:val="12"/>
        </w:rPr>
        <w:t>S</w:t>
      </w:r>
      <w:r>
        <w:rPr>
          <w:sz w:val="12"/>
          <w:szCs w:val="12"/>
        </w:rPr>
        <w:t xml:space="preserve"> =</w:t>
      </w:r>
      <w:r w:rsidRPr="000F0EBC">
        <w:rPr>
          <w:sz w:val="12"/>
          <w:szCs w:val="12"/>
        </w:rPr>
        <w:t xml:space="preserve"> STABILITY of round 2→3 response</w:t>
      </w:r>
      <w:r>
        <w:rPr>
          <w:sz w:val="12"/>
          <w:szCs w:val="12"/>
        </w:rPr>
        <w:t>s</w:t>
      </w:r>
      <w:r w:rsidRPr="000F0EBC">
        <w:rPr>
          <w:sz w:val="12"/>
          <w:szCs w:val="12"/>
        </w:rPr>
        <w:t xml:space="preserve"> (</w:t>
      </w:r>
      <w:r w:rsidRPr="000F0EBC">
        <w:rPr>
          <w:rFonts w:ascii="MS Gothic" w:eastAsia="MS Gothic" w:hAnsi="MS Gothic" w:cs="MS Gothic" w:hint="eastAsia"/>
          <w:sz w:val="12"/>
          <w:szCs w:val="12"/>
        </w:rPr>
        <w:t>✓</w:t>
      </w:r>
      <w:r w:rsidRPr="000F0EBC">
        <w:rPr>
          <w:rFonts w:eastAsia="MS Gothic" w:cs="MS Gothic"/>
          <w:sz w:val="12"/>
          <w:szCs w:val="12"/>
        </w:rPr>
        <w:t xml:space="preserve">= no significant change, </w:t>
      </w:r>
      <w:r w:rsidRPr="000F0EBC">
        <w:rPr>
          <w:rFonts w:eastAsia="MS Gothic" w:cs="MS Gothic"/>
          <w:i/>
          <w:sz w:val="12"/>
          <w:szCs w:val="12"/>
        </w:rPr>
        <w:t>p</w:t>
      </w:r>
      <w:r>
        <w:rPr>
          <w:rFonts w:eastAsia="MS Gothic" w:cs="MS Gothic"/>
          <w:sz w:val="12"/>
          <w:szCs w:val="12"/>
        </w:rPr>
        <w:t>-value = &gt;0.05</w:t>
      </w:r>
      <w:r w:rsidRPr="000F0EBC">
        <w:rPr>
          <w:rFonts w:eastAsia="MS Gothic" w:cs="MS Gothic"/>
          <w:sz w:val="12"/>
          <w:szCs w:val="12"/>
        </w:rPr>
        <w:t>;</w:t>
      </w:r>
      <w:r w:rsidRPr="000F0EBC">
        <w:rPr>
          <w:rFonts w:ascii="MS Mincho" w:eastAsia="MS Mincho" w:hAnsi="MS Mincho" w:cs="MS Mincho" w:hint="eastAsia"/>
          <w:sz w:val="12"/>
          <w:szCs w:val="12"/>
        </w:rPr>
        <w:t xml:space="preserve"> ✗</w:t>
      </w:r>
      <w:r w:rsidRPr="000F0EBC">
        <w:rPr>
          <w:rFonts w:eastAsia="MS Mincho" w:cs="MS Mincho"/>
          <w:sz w:val="12"/>
          <w:szCs w:val="12"/>
        </w:rPr>
        <w:t xml:space="preserve">= significant change, </w:t>
      </w:r>
      <w:r w:rsidRPr="000F0EBC">
        <w:rPr>
          <w:rFonts w:eastAsia="MS Mincho" w:cs="MS Mincho"/>
          <w:i/>
          <w:sz w:val="12"/>
          <w:szCs w:val="12"/>
        </w:rPr>
        <w:t>p</w:t>
      </w:r>
      <w:r>
        <w:rPr>
          <w:rFonts w:eastAsia="MS Mincho" w:cs="MS Mincho"/>
          <w:sz w:val="12"/>
          <w:szCs w:val="12"/>
        </w:rPr>
        <w:t>-value = &lt;0.05</w:t>
      </w:r>
      <w:r w:rsidRPr="000F0EBC">
        <w:rPr>
          <w:rFonts w:eastAsia="MS Mincho" w:cs="MS Mincho"/>
          <w:sz w:val="12"/>
          <w:szCs w:val="12"/>
        </w:rPr>
        <w:t>)</w:t>
      </w:r>
      <w:r w:rsidRPr="000F0EBC">
        <w:rPr>
          <w:rFonts w:eastAsia="MS Mincho" w:cs="MS Mincho"/>
          <w:sz w:val="16"/>
          <w:szCs w:val="16"/>
        </w:rPr>
        <w:t xml:space="preserve"> </w:t>
      </w:r>
    </w:p>
    <w:p w:rsidR="00D95D95" w:rsidRDefault="00D95D95" w:rsidP="00D95D95">
      <w:pPr>
        <w:spacing w:after="0" w:line="240" w:lineRule="auto"/>
        <w:ind w:right="-188" w:hanging="284"/>
        <w:jc w:val="right"/>
        <w:rPr>
          <w:rFonts w:eastAsia="MS Mincho" w:cs="MS Mincho"/>
          <w:sz w:val="12"/>
          <w:szCs w:val="12"/>
        </w:rPr>
      </w:pPr>
      <w:r w:rsidRPr="00513113">
        <w:rPr>
          <w:rFonts w:eastAsia="MS Mincho" w:cs="MS Mincho"/>
          <w:b/>
          <w:sz w:val="12"/>
          <w:szCs w:val="12"/>
        </w:rPr>
        <w:t>*</w:t>
      </w:r>
      <w:r w:rsidRPr="000F0EBC">
        <w:rPr>
          <w:rFonts w:eastAsia="MS Mincho" w:cs="MS Mincho"/>
          <w:sz w:val="12"/>
          <w:szCs w:val="12"/>
        </w:rPr>
        <w:t xml:space="preserve"> </w:t>
      </w:r>
      <w:r>
        <w:rPr>
          <w:rFonts w:eastAsia="MS Mincho" w:cs="MS Mincho"/>
          <w:sz w:val="12"/>
          <w:szCs w:val="12"/>
        </w:rPr>
        <w:t>=</w:t>
      </w:r>
      <w:r w:rsidRPr="000F0EBC">
        <w:rPr>
          <w:rFonts w:eastAsia="MS Mincho" w:cs="MS Mincho"/>
          <w:sz w:val="12"/>
          <w:szCs w:val="12"/>
        </w:rPr>
        <w:t xml:space="preserve"> </w:t>
      </w:r>
      <w:r>
        <w:rPr>
          <w:rFonts w:eastAsia="MS Mincho" w:cs="MS Mincho"/>
          <w:sz w:val="12"/>
          <w:szCs w:val="12"/>
        </w:rPr>
        <w:t>item</w:t>
      </w:r>
      <w:r w:rsidRPr="000F0EBC">
        <w:rPr>
          <w:rFonts w:eastAsia="MS Mincho" w:cs="MS Mincho"/>
          <w:sz w:val="12"/>
          <w:szCs w:val="12"/>
        </w:rPr>
        <w:t xml:space="preserve"> did not achieve consensus in survey round 2 and was carried over to round</w:t>
      </w:r>
      <w:r>
        <w:rPr>
          <w:rFonts w:eastAsia="MS Mincho" w:cs="MS Mincho"/>
          <w:sz w:val="12"/>
          <w:szCs w:val="12"/>
        </w:rPr>
        <w:t xml:space="preserve"> 3; only round 3 </w:t>
      </w:r>
      <w:proofErr w:type="gramStart"/>
      <w:r>
        <w:rPr>
          <w:rFonts w:eastAsia="MS Mincho" w:cs="MS Mincho"/>
          <w:sz w:val="12"/>
          <w:szCs w:val="12"/>
        </w:rPr>
        <w:t>result</w:t>
      </w:r>
      <w:proofErr w:type="gramEnd"/>
      <w:r>
        <w:rPr>
          <w:rFonts w:eastAsia="MS Mincho" w:cs="MS Mincho"/>
          <w:sz w:val="12"/>
          <w:szCs w:val="12"/>
        </w:rPr>
        <w:t xml:space="preserve"> shown</w:t>
      </w:r>
    </w:p>
    <w:p w:rsidR="00D95D95" w:rsidRPr="00B237C7" w:rsidRDefault="00D95D95" w:rsidP="00D95D95">
      <w:pPr>
        <w:spacing w:after="120"/>
        <w:ind w:left="289" w:hanging="289"/>
        <w:rPr>
          <w:sz w:val="2"/>
          <w:szCs w:val="2"/>
        </w:rPr>
      </w:pPr>
    </w:p>
    <w:p w:rsidR="00D95D95" w:rsidRPr="00FC0F8E" w:rsidRDefault="00D95D95" w:rsidP="00D95D95">
      <w:pPr>
        <w:spacing w:after="120"/>
        <w:ind w:left="289" w:hanging="289"/>
        <w:jc w:val="center"/>
        <w:rPr>
          <w:sz w:val="18"/>
          <w:szCs w:val="18"/>
        </w:rPr>
      </w:pPr>
      <w:proofErr w:type="gramStart"/>
      <w:r w:rsidRPr="00FC0F8E">
        <w:rPr>
          <w:sz w:val="18"/>
          <w:szCs w:val="18"/>
        </w:rPr>
        <w:t>Table 1.</w:t>
      </w:r>
      <w:proofErr w:type="gramEnd"/>
      <w:r w:rsidRPr="00FC0F8E">
        <w:rPr>
          <w:sz w:val="18"/>
          <w:szCs w:val="18"/>
        </w:rPr>
        <w:t xml:space="preserve"> Suggested </w:t>
      </w:r>
      <w:r w:rsidR="008E0EAE">
        <w:rPr>
          <w:sz w:val="18"/>
          <w:szCs w:val="18"/>
        </w:rPr>
        <w:t>p</w:t>
      </w:r>
      <w:r w:rsidRPr="00FC0F8E">
        <w:rPr>
          <w:sz w:val="18"/>
          <w:szCs w:val="18"/>
        </w:rPr>
        <w:t xml:space="preserve">ublic </w:t>
      </w:r>
      <w:r w:rsidR="008E0EAE">
        <w:rPr>
          <w:sz w:val="18"/>
          <w:szCs w:val="18"/>
        </w:rPr>
        <w:t>h</w:t>
      </w:r>
      <w:r w:rsidRPr="00FC0F8E">
        <w:rPr>
          <w:sz w:val="18"/>
          <w:szCs w:val="18"/>
        </w:rPr>
        <w:t>ealth roles in LAQM; opportunities and added value of increased integration and collaboration</w:t>
      </w:r>
    </w:p>
    <w:p w:rsidR="00FC0F8E" w:rsidRPr="00E25D06" w:rsidRDefault="00FC0F8E" w:rsidP="00FC0F8E">
      <w:pPr>
        <w:spacing w:after="120"/>
        <w:ind w:left="288" w:hanging="288"/>
        <w:rPr>
          <w:i/>
        </w:rPr>
      </w:pPr>
      <w:r>
        <w:rPr>
          <w:i/>
        </w:rPr>
        <w:lastRenderedPageBreak/>
        <w:t>Opinions on b</w:t>
      </w:r>
      <w:r w:rsidRPr="00E25D06">
        <w:rPr>
          <w:i/>
        </w:rPr>
        <w:t>arriers</w:t>
      </w:r>
      <w:r>
        <w:rPr>
          <w:i/>
        </w:rPr>
        <w:t xml:space="preserve"> to increasing integration and collaboration</w:t>
      </w:r>
    </w:p>
    <w:p w:rsidR="00FC0F8E" w:rsidRPr="00E25D06" w:rsidRDefault="00FC0F8E" w:rsidP="00FC0F8E">
      <w:pPr>
        <w:spacing w:after="120"/>
        <w:rPr>
          <w:rFonts w:cs="Arial"/>
        </w:rPr>
      </w:pPr>
      <w:r w:rsidRPr="00E25D06">
        <w:t xml:space="preserve">In Round 1, </w:t>
      </w:r>
      <w:r>
        <w:t xml:space="preserve">suggested </w:t>
      </w:r>
      <w:r w:rsidRPr="00E25D06">
        <w:t xml:space="preserve">barriers </w:t>
      </w:r>
      <w:r>
        <w:t>that hinder increasing</w:t>
      </w:r>
      <w:r w:rsidRPr="00E25D06">
        <w:t xml:space="preserve"> public health integration and</w:t>
      </w:r>
      <w:r>
        <w:t xml:space="preserve"> collaboration in LAQM included</w:t>
      </w:r>
      <w:r w:rsidRPr="00E25D06">
        <w:t xml:space="preserve"> air pollution</w:t>
      </w:r>
      <w:r>
        <w:t xml:space="preserve"> being </w:t>
      </w:r>
      <w:r w:rsidRPr="00E25D06">
        <w:t>regarded as an isolated problem</w:t>
      </w:r>
      <w:r>
        <w:t>, and being perceived to be too</w:t>
      </w:r>
      <w:r w:rsidRPr="00E25D06">
        <w:t xml:space="preserve"> technical </w:t>
      </w:r>
      <w:r>
        <w:t xml:space="preserve">and </w:t>
      </w:r>
      <w:r w:rsidRPr="00E25D06">
        <w:t xml:space="preserve">complicated </w:t>
      </w:r>
      <w:r>
        <w:t xml:space="preserve">for many </w:t>
      </w:r>
      <w:r w:rsidRPr="00E25D06">
        <w:t>to</w:t>
      </w:r>
      <w:r>
        <w:t xml:space="preserve"> understand and resolve locally (</w:t>
      </w:r>
      <w:r w:rsidRPr="00743B65">
        <w:t>Table 2).</w:t>
      </w:r>
      <w:r>
        <w:t xml:space="preserve"> Additionally, Local Government</w:t>
      </w:r>
      <w:r w:rsidR="00D864AF">
        <w:t xml:space="preserve"> bodies</w:t>
      </w:r>
      <w:r>
        <w:t xml:space="preserve"> and the NHS have assigned it low priority status with little accompanying support resource, and there is </w:t>
      </w:r>
      <w:r w:rsidRPr="00E25D06">
        <w:t xml:space="preserve">no </w:t>
      </w:r>
      <w:r>
        <w:t xml:space="preserve">formal requirement </w:t>
      </w:r>
      <w:r w:rsidRPr="00E25D06">
        <w:t xml:space="preserve">to </w:t>
      </w:r>
      <w:r>
        <w:t xml:space="preserve">act on problems beyond </w:t>
      </w:r>
      <w:r w:rsidRPr="00E25D06">
        <w:t>localised ‘hotspot’ areas</w:t>
      </w:r>
      <w:r>
        <w:t xml:space="preserve">. </w:t>
      </w:r>
    </w:p>
    <w:p w:rsidR="00FC0F8E" w:rsidRPr="00076AAA" w:rsidRDefault="00FC0F8E" w:rsidP="00FC0F8E">
      <w:pPr>
        <w:spacing w:after="120"/>
        <w:rPr>
          <w:rFonts w:cs="Arial"/>
          <w:color w:val="FF0000"/>
        </w:rPr>
      </w:pPr>
      <w:r w:rsidRPr="005624C1">
        <w:t xml:space="preserve">In Round 2, median </w:t>
      </w:r>
      <w:r>
        <w:t xml:space="preserve">responses </w:t>
      </w:r>
      <w:r w:rsidRPr="005624C1">
        <w:t xml:space="preserve">across sub-panels for 13 (65%) </w:t>
      </w:r>
      <w:r>
        <w:t xml:space="preserve">items were </w:t>
      </w:r>
      <w:r w:rsidRPr="005624C1">
        <w:t>at least 4 (‘agree’). For remaining ite</w:t>
      </w:r>
      <w:r w:rsidRPr="00D144D3">
        <w:t>ms, at least one sub-panel</w:t>
      </w:r>
      <w:r>
        <w:t xml:space="preserve"> had a </w:t>
      </w:r>
      <w:r w:rsidRPr="00D144D3">
        <w:t xml:space="preserve">median response </w:t>
      </w:r>
      <w:r>
        <w:t xml:space="preserve">value </w:t>
      </w:r>
      <w:r w:rsidRPr="00D144D3">
        <w:t>of</w:t>
      </w:r>
      <w:r>
        <w:t xml:space="preserve"> 3 (‘indifferent</w:t>
      </w:r>
      <w:r w:rsidRPr="00D144D3">
        <w:t>’). Good consensus was achieved across sub-panels for 10 (50%) items</w:t>
      </w:r>
      <w:r>
        <w:t xml:space="preserve">; the level of consensus achieved for item 4.8 </w:t>
      </w:r>
      <w:r w:rsidR="0013732C">
        <w:t xml:space="preserve">(LAQM being too reactive) </w:t>
      </w:r>
      <w:r>
        <w:t>was universally</w:t>
      </w:r>
      <w:r w:rsidRPr="00D144D3">
        <w:t xml:space="preserve"> very good. </w:t>
      </w:r>
      <w:r>
        <w:t xml:space="preserve">All sub-panels failed to reach </w:t>
      </w:r>
      <w:r w:rsidRPr="00D144D3">
        <w:t xml:space="preserve">consensus </w:t>
      </w:r>
      <w:r>
        <w:t xml:space="preserve">on item </w:t>
      </w:r>
      <w:r w:rsidRPr="00D144D3">
        <w:t>4.19</w:t>
      </w:r>
      <w:r w:rsidR="0013732C">
        <w:t xml:space="preserve"> which related to the position of the main public health body in Wales outside local authority structures</w:t>
      </w:r>
      <w:r w:rsidRPr="00D144D3">
        <w:t>.</w:t>
      </w:r>
    </w:p>
    <w:p w:rsidR="00FC0F8E" w:rsidRDefault="00FC0F8E" w:rsidP="00FC0F8E">
      <w:pPr>
        <w:spacing w:after="120"/>
      </w:pPr>
      <w:r w:rsidRPr="003D713E">
        <w:t xml:space="preserve">In Round 3, </w:t>
      </w:r>
      <w:r>
        <w:t>four</w:t>
      </w:r>
      <w:r w:rsidRPr="003D713E">
        <w:t xml:space="preserve"> of 11 </w:t>
      </w:r>
      <w:r>
        <w:t xml:space="preserve">carried-over </w:t>
      </w:r>
      <w:r w:rsidRPr="003D713E">
        <w:t>items</w:t>
      </w:r>
      <w:r>
        <w:t xml:space="preserve"> reached good consensus agreement across sub-panels with response stability. For each of the remaining </w:t>
      </w:r>
      <w:r w:rsidRPr="003D713E">
        <w:t xml:space="preserve">seven </w:t>
      </w:r>
      <w:r>
        <w:t>items, at least one sub-panel failed to agree, reach consensus or deliver stable responses.</w:t>
      </w:r>
      <w:r w:rsidRPr="00097C86">
        <w:t xml:space="preserve"> </w:t>
      </w:r>
      <w:r>
        <w:t xml:space="preserve">Ultimately, all </w:t>
      </w:r>
      <w:r w:rsidRPr="00097C86">
        <w:t>sub-panels agreed with, and achieved good</w:t>
      </w:r>
      <w:r>
        <w:t xml:space="preserve"> stable</w:t>
      </w:r>
      <w:r w:rsidRPr="00097C86">
        <w:t xml:space="preserve"> consensus on, 13</w:t>
      </w:r>
      <w:r>
        <w:t xml:space="preserve"> (65%)</w:t>
      </w:r>
      <w:r w:rsidRPr="00097C86">
        <w:t xml:space="preserve"> suggested </w:t>
      </w:r>
      <w:r>
        <w:t>barriers</w:t>
      </w:r>
      <w:r w:rsidRPr="00097C86">
        <w:t>.</w:t>
      </w:r>
    </w:p>
    <w:p w:rsidR="00FC0F8E" w:rsidRPr="00D95D95" w:rsidRDefault="00FC0F8E" w:rsidP="00FC0F8E">
      <w:pPr>
        <w:spacing w:after="120"/>
        <w:rPr>
          <w:sz w:val="6"/>
          <w:szCs w:val="6"/>
        </w:rPr>
      </w:pPr>
    </w:p>
    <w:p w:rsidR="00FC0F8E" w:rsidRPr="00097C86" w:rsidRDefault="00FC0F8E" w:rsidP="00FC0F8E">
      <w:pPr>
        <w:spacing w:after="120"/>
        <w:rPr>
          <w:rFonts w:cs="AdvP641C"/>
          <w:i/>
        </w:rPr>
      </w:pPr>
      <w:r>
        <w:rPr>
          <w:rFonts w:cs="AdvP641C"/>
          <w:i/>
        </w:rPr>
        <w:t>Opinions on so</w:t>
      </w:r>
      <w:r w:rsidRPr="00097C86">
        <w:rPr>
          <w:rFonts w:cs="AdvP641C"/>
          <w:i/>
        </w:rPr>
        <w:t>lutions</w:t>
      </w:r>
      <w:r>
        <w:rPr>
          <w:rFonts w:cs="AdvP641C"/>
          <w:i/>
        </w:rPr>
        <w:t xml:space="preserve"> to increasing integration and collaboration</w:t>
      </w:r>
    </w:p>
    <w:p w:rsidR="00FC0F8E" w:rsidRPr="00097C86" w:rsidRDefault="00FC0F8E" w:rsidP="00FC0F8E">
      <w:pPr>
        <w:spacing w:after="120"/>
        <w:rPr>
          <w:rFonts w:cs="AdvP641C"/>
          <w:i/>
        </w:rPr>
      </w:pPr>
      <w:r w:rsidRPr="00097C86">
        <w:t xml:space="preserve">In Round 2, panellists suggested a range of solutions to </w:t>
      </w:r>
      <w:r>
        <w:t xml:space="preserve">highlighted </w:t>
      </w:r>
      <w:r w:rsidRPr="00097C86">
        <w:t>barriers</w:t>
      </w:r>
      <w:r w:rsidR="00D864AF">
        <w:t>, including:</w:t>
      </w:r>
      <w:r w:rsidRPr="00097C86">
        <w:t xml:space="preserve"> </w:t>
      </w:r>
      <w:r>
        <w:t>specifying</w:t>
      </w:r>
      <w:r w:rsidRPr="00097C86">
        <w:t xml:space="preserve"> the role of </w:t>
      </w:r>
      <w:r w:rsidR="008E0EAE">
        <w:t>p</w:t>
      </w:r>
      <w:r w:rsidRPr="00097C86">
        <w:t xml:space="preserve">ublic </w:t>
      </w:r>
      <w:r w:rsidR="008E0EAE">
        <w:t>h</w:t>
      </w:r>
      <w:r w:rsidRPr="00097C86">
        <w:t>ealth</w:t>
      </w:r>
      <w:r>
        <w:t xml:space="preserve"> bodies and specialists in LAQM and increasing engagement through multi-sector local/regional air quality management groups;</w:t>
      </w:r>
      <w:r w:rsidRPr="00097C86">
        <w:t xml:space="preserve"> </w:t>
      </w:r>
      <w:r>
        <w:t>evolving policy to extend LAQM’s</w:t>
      </w:r>
      <w:r w:rsidRPr="00097C86">
        <w:t xml:space="preserve"> scope to consider air pollution in the context of </w:t>
      </w:r>
      <w:r>
        <w:t xml:space="preserve">wider </w:t>
      </w:r>
      <w:r w:rsidRPr="00097C86">
        <w:t>health determinants</w:t>
      </w:r>
      <w:r>
        <w:t>; encouraging</w:t>
      </w:r>
      <w:r w:rsidRPr="00097C86">
        <w:t xml:space="preserve"> </w:t>
      </w:r>
      <w:r>
        <w:t>universal risk reduction action alongside more-</w:t>
      </w:r>
      <w:r w:rsidRPr="00097C86">
        <w:t xml:space="preserve">targeted </w:t>
      </w:r>
      <w:r>
        <w:t xml:space="preserve">intervention; </w:t>
      </w:r>
      <w:r w:rsidRPr="00097C86">
        <w:t xml:space="preserve">integrating LAQM with the </w:t>
      </w:r>
      <w:r>
        <w:t>‘</w:t>
      </w:r>
      <w:r w:rsidRPr="00097C86">
        <w:t>day job</w:t>
      </w:r>
      <w:r>
        <w:t>’ across the public health workforce; appraising evidence; communicating risks, behaviour change and action effectiveness; and</w:t>
      </w:r>
      <w:r w:rsidR="00D864AF">
        <w:t>,</w:t>
      </w:r>
      <w:r>
        <w:t xml:space="preserve"> making </w:t>
      </w:r>
      <w:r w:rsidR="00BA6E30">
        <w:t xml:space="preserve">work placements and </w:t>
      </w:r>
      <w:r>
        <w:t xml:space="preserve">funding available to facilitate investment and </w:t>
      </w:r>
      <w:r w:rsidRPr="00743B65">
        <w:t>action (Table 2).</w:t>
      </w:r>
      <w:r>
        <w:t xml:space="preserve"> </w:t>
      </w:r>
    </w:p>
    <w:p w:rsidR="0024418A" w:rsidRDefault="00FC0F8E" w:rsidP="00FC0F8E">
      <w:pPr>
        <w:spacing w:after="120"/>
      </w:pPr>
      <w:r w:rsidRPr="00097C86">
        <w:t>In Round 3, median response value</w:t>
      </w:r>
      <w:r>
        <w:t>s</w:t>
      </w:r>
      <w:r w:rsidRPr="00097C86">
        <w:t xml:space="preserve"> for </w:t>
      </w:r>
      <w:r w:rsidR="00071B98">
        <w:t xml:space="preserve">most </w:t>
      </w:r>
      <w:r w:rsidRPr="00097C86">
        <w:t>item</w:t>
      </w:r>
      <w:r w:rsidR="00071B98">
        <w:t>s</w:t>
      </w:r>
      <w:r w:rsidRPr="00097C86">
        <w:t xml:space="preserve"> </w:t>
      </w:r>
      <w:r>
        <w:t>were</w:t>
      </w:r>
      <w:r w:rsidRPr="00097C86">
        <w:t xml:space="preserve"> at least 4 (‘agree’)</w:t>
      </w:r>
      <w:r w:rsidRPr="00097C86">
        <w:rPr>
          <w:i/>
        </w:rPr>
        <w:t xml:space="preserve"> </w:t>
      </w:r>
      <w:r>
        <w:t xml:space="preserve">across </w:t>
      </w:r>
      <w:r w:rsidR="00071B98">
        <w:t>all sub-panels</w:t>
      </w:r>
      <w:r w:rsidR="00E30D80">
        <w:t>. The exceptions were:</w:t>
      </w:r>
      <w:r w:rsidR="00071B98">
        <w:t xml:space="preserve"> the suggested solution of </w:t>
      </w:r>
      <w:r w:rsidR="0013732C">
        <w:t>shifting LAQM accountability from local authorities to WFG Act Public Services</w:t>
      </w:r>
      <w:r w:rsidR="00FF6978">
        <w:t xml:space="preserve"> Boards</w:t>
      </w:r>
      <w:r w:rsidR="00071B98">
        <w:t xml:space="preserve"> (which all </w:t>
      </w:r>
      <w:r w:rsidR="00E30D80">
        <w:t>sub-</w:t>
      </w:r>
      <w:r w:rsidR="00071B98">
        <w:t>panels reached consensus disagreement with)</w:t>
      </w:r>
      <w:r w:rsidR="00743B65">
        <w:t>,</w:t>
      </w:r>
      <w:r w:rsidR="00071B98">
        <w:t xml:space="preserve"> and another concerning tightening statutory national air quality standards (which the </w:t>
      </w:r>
      <w:r w:rsidR="00E30D80">
        <w:t>‘</w:t>
      </w:r>
      <w:r w:rsidR="00071B98">
        <w:t>air quality management</w:t>
      </w:r>
      <w:r w:rsidR="00E30D80">
        <w:t>’</w:t>
      </w:r>
      <w:r w:rsidR="00071B98">
        <w:t xml:space="preserve"> sub-panel was </w:t>
      </w:r>
      <w:r>
        <w:t>‘indifferent</w:t>
      </w:r>
      <w:r w:rsidR="00BA6E30">
        <w:t xml:space="preserve">’ </w:t>
      </w:r>
      <w:r w:rsidR="00071B98">
        <w:t xml:space="preserve">about. </w:t>
      </w:r>
      <w:r>
        <w:t xml:space="preserve"> Ultimately, consens</w:t>
      </w:r>
      <w:r w:rsidR="00BA6E30">
        <w:t>us agreement was achieved for 15 (7</w:t>
      </w:r>
      <w:r>
        <w:t>5%) items across all sub-panels.</w:t>
      </w:r>
    </w:p>
    <w:p w:rsidR="00FC0F8E" w:rsidRDefault="00FC0F8E" w:rsidP="00FC0F8E">
      <w:pPr>
        <w:spacing w:after="120"/>
      </w:pPr>
    </w:p>
    <w:p w:rsidR="00FC0F8E" w:rsidRDefault="00FC0F8E" w:rsidP="00FC0F8E">
      <w:pPr>
        <w:spacing w:after="120"/>
      </w:pPr>
    </w:p>
    <w:p w:rsidR="00FC0F8E" w:rsidRDefault="00FC0F8E" w:rsidP="00FC0F8E">
      <w:pPr>
        <w:spacing w:after="120"/>
      </w:pPr>
    </w:p>
    <w:p w:rsidR="00FC0F8E" w:rsidRDefault="00FC0F8E" w:rsidP="00FC0F8E">
      <w:pPr>
        <w:spacing w:after="120"/>
      </w:pPr>
    </w:p>
    <w:p w:rsidR="00FC0F8E" w:rsidRDefault="00FC0F8E" w:rsidP="00FC0F8E">
      <w:pPr>
        <w:spacing w:after="120"/>
      </w:pPr>
    </w:p>
    <w:p w:rsidR="00FC0F8E" w:rsidRDefault="00FC0F8E" w:rsidP="00FC0F8E">
      <w:pPr>
        <w:spacing w:after="120"/>
      </w:pPr>
    </w:p>
    <w:p w:rsidR="00FC0F8E" w:rsidRDefault="00FC0F8E" w:rsidP="00FC0F8E">
      <w:pPr>
        <w:spacing w:after="120"/>
      </w:pPr>
    </w:p>
    <w:p w:rsidR="00FC0F8E" w:rsidRDefault="00FC0F8E" w:rsidP="00FC0F8E">
      <w:pPr>
        <w:spacing w:after="120"/>
      </w:pPr>
    </w:p>
    <w:tbl>
      <w:tblPr>
        <w:tblStyle w:val="TableGrid"/>
        <w:tblW w:w="9640" w:type="dxa"/>
        <w:tblInd w:w="-318" w:type="dxa"/>
        <w:tblLayout w:type="fixed"/>
        <w:tblLook w:val="04A0"/>
      </w:tblPr>
      <w:tblGrid>
        <w:gridCol w:w="707"/>
        <w:gridCol w:w="5956"/>
        <w:gridCol w:w="292"/>
        <w:gridCol w:w="6"/>
        <w:gridCol w:w="411"/>
        <w:gridCol w:w="8"/>
        <w:gridCol w:w="276"/>
        <w:gridCol w:w="8"/>
        <w:gridCol w:w="275"/>
        <w:gridCol w:w="8"/>
        <w:gridCol w:w="417"/>
        <w:gridCol w:w="8"/>
        <w:gridCol w:w="276"/>
        <w:gridCol w:w="8"/>
        <w:gridCol w:w="275"/>
        <w:gridCol w:w="8"/>
        <w:gridCol w:w="418"/>
        <w:gridCol w:w="8"/>
        <w:gridCol w:w="275"/>
      </w:tblGrid>
      <w:tr w:rsidR="00C73F40" w:rsidRPr="001E3A59" w:rsidTr="00615073">
        <w:tc>
          <w:tcPr>
            <w:tcW w:w="707" w:type="dxa"/>
            <w:vMerge w:val="restart"/>
            <w:tcBorders>
              <w:top w:val="nil"/>
              <w:left w:val="nil"/>
              <w:bottom w:val="nil"/>
              <w:right w:val="nil"/>
            </w:tcBorders>
            <w:vAlign w:val="center"/>
          </w:tcPr>
          <w:p w:rsidR="00C73F40" w:rsidRPr="001E3A59" w:rsidRDefault="00C73F40" w:rsidP="0010219F">
            <w:pPr>
              <w:rPr>
                <w:b/>
                <w:sz w:val="16"/>
                <w:szCs w:val="16"/>
              </w:rPr>
            </w:pPr>
            <w:r>
              <w:rPr>
                <w:b/>
                <w:sz w:val="16"/>
                <w:szCs w:val="16"/>
              </w:rPr>
              <w:lastRenderedPageBreak/>
              <w:t>Ref.</w:t>
            </w:r>
          </w:p>
        </w:tc>
        <w:tc>
          <w:tcPr>
            <w:tcW w:w="5956" w:type="dxa"/>
            <w:vMerge w:val="restart"/>
            <w:tcBorders>
              <w:top w:val="nil"/>
              <w:left w:val="nil"/>
              <w:bottom w:val="nil"/>
              <w:right w:val="nil"/>
            </w:tcBorders>
            <w:vAlign w:val="center"/>
          </w:tcPr>
          <w:p w:rsidR="00C73F40" w:rsidRPr="001E3A59" w:rsidRDefault="00C73F40" w:rsidP="0010219F">
            <w:pPr>
              <w:rPr>
                <w:b/>
                <w:sz w:val="16"/>
                <w:szCs w:val="16"/>
              </w:rPr>
            </w:pPr>
            <w:r>
              <w:rPr>
                <w:b/>
                <w:sz w:val="16"/>
                <w:szCs w:val="16"/>
              </w:rPr>
              <w:t>Barriers to increasing public health integration and collaboration in LAQM</w:t>
            </w:r>
          </w:p>
        </w:tc>
        <w:tc>
          <w:tcPr>
            <w:tcW w:w="1001" w:type="dxa"/>
            <w:gridSpan w:val="6"/>
            <w:tcBorders>
              <w:top w:val="nil"/>
              <w:left w:val="nil"/>
              <w:bottom w:val="nil"/>
              <w:right w:val="nil"/>
            </w:tcBorders>
            <w:shd w:val="clear" w:color="auto" w:fill="D9D9D9" w:themeFill="background1" w:themeFillShade="D9"/>
          </w:tcPr>
          <w:p w:rsidR="00C73F40" w:rsidRPr="001E3A59" w:rsidRDefault="00C73F40" w:rsidP="0010219F">
            <w:pPr>
              <w:jc w:val="center"/>
              <w:rPr>
                <w:b/>
                <w:sz w:val="16"/>
                <w:szCs w:val="16"/>
              </w:rPr>
            </w:pPr>
            <w:r>
              <w:rPr>
                <w:b/>
                <w:sz w:val="16"/>
                <w:szCs w:val="16"/>
              </w:rPr>
              <w:t>Pub. Health</w:t>
            </w:r>
          </w:p>
        </w:tc>
        <w:tc>
          <w:tcPr>
            <w:tcW w:w="992" w:type="dxa"/>
            <w:gridSpan w:val="6"/>
            <w:tcBorders>
              <w:top w:val="nil"/>
              <w:left w:val="nil"/>
              <w:bottom w:val="nil"/>
              <w:right w:val="nil"/>
            </w:tcBorders>
            <w:shd w:val="clear" w:color="auto" w:fill="F2F2F2" w:themeFill="background1" w:themeFillShade="F2"/>
          </w:tcPr>
          <w:p w:rsidR="00C73F40" w:rsidRPr="001E3A59" w:rsidRDefault="00C73F40" w:rsidP="0010219F">
            <w:pPr>
              <w:jc w:val="center"/>
              <w:rPr>
                <w:b/>
                <w:sz w:val="16"/>
                <w:szCs w:val="16"/>
              </w:rPr>
            </w:pPr>
            <w:r>
              <w:rPr>
                <w:b/>
                <w:sz w:val="16"/>
                <w:szCs w:val="16"/>
              </w:rPr>
              <w:t>Air Qual.</w:t>
            </w:r>
          </w:p>
        </w:tc>
        <w:tc>
          <w:tcPr>
            <w:tcW w:w="984" w:type="dxa"/>
            <w:gridSpan w:val="5"/>
            <w:tcBorders>
              <w:top w:val="nil"/>
              <w:left w:val="nil"/>
              <w:bottom w:val="nil"/>
              <w:right w:val="nil"/>
            </w:tcBorders>
            <w:shd w:val="clear" w:color="auto" w:fill="D9D9D9" w:themeFill="background1" w:themeFillShade="D9"/>
          </w:tcPr>
          <w:p w:rsidR="00C73F40" w:rsidRPr="001E3A59" w:rsidRDefault="00C73F40" w:rsidP="0010219F">
            <w:pPr>
              <w:jc w:val="center"/>
              <w:rPr>
                <w:b/>
                <w:sz w:val="16"/>
                <w:szCs w:val="16"/>
              </w:rPr>
            </w:pPr>
            <w:r w:rsidRPr="001E3A59">
              <w:rPr>
                <w:b/>
                <w:sz w:val="16"/>
                <w:szCs w:val="16"/>
              </w:rPr>
              <w:t>O</w:t>
            </w:r>
            <w:r>
              <w:rPr>
                <w:b/>
                <w:sz w:val="16"/>
                <w:szCs w:val="16"/>
              </w:rPr>
              <w:t>ther</w:t>
            </w:r>
          </w:p>
        </w:tc>
      </w:tr>
      <w:tr w:rsidR="00C73F40" w:rsidRPr="001E3A59" w:rsidTr="00615073">
        <w:tc>
          <w:tcPr>
            <w:tcW w:w="707" w:type="dxa"/>
            <w:vMerge/>
            <w:tcBorders>
              <w:top w:val="single" w:sz="4" w:space="0" w:color="auto"/>
              <w:left w:val="nil"/>
              <w:bottom w:val="nil"/>
              <w:right w:val="nil"/>
            </w:tcBorders>
          </w:tcPr>
          <w:p w:rsidR="00C73F40" w:rsidRPr="001E3A59" w:rsidRDefault="00C73F40" w:rsidP="0010219F">
            <w:pPr>
              <w:rPr>
                <w:b/>
                <w:sz w:val="16"/>
                <w:szCs w:val="16"/>
              </w:rPr>
            </w:pPr>
          </w:p>
        </w:tc>
        <w:tc>
          <w:tcPr>
            <w:tcW w:w="5956" w:type="dxa"/>
            <w:vMerge/>
            <w:tcBorders>
              <w:top w:val="single" w:sz="4" w:space="0" w:color="auto"/>
              <w:left w:val="nil"/>
              <w:bottom w:val="nil"/>
              <w:right w:val="nil"/>
            </w:tcBorders>
          </w:tcPr>
          <w:p w:rsidR="00C73F40" w:rsidRPr="001E3A59" w:rsidRDefault="00C73F40" w:rsidP="0010219F">
            <w:pPr>
              <w:rPr>
                <w:b/>
                <w:sz w:val="16"/>
                <w:szCs w:val="16"/>
              </w:rPr>
            </w:pPr>
          </w:p>
        </w:tc>
        <w:tc>
          <w:tcPr>
            <w:tcW w:w="292" w:type="dxa"/>
            <w:tcBorders>
              <w:top w:val="nil"/>
              <w:left w:val="nil"/>
              <w:bottom w:val="single" w:sz="4" w:space="0" w:color="auto"/>
              <w:right w:val="nil"/>
            </w:tcBorders>
            <w:shd w:val="clear" w:color="auto" w:fill="D9D9D9" w:themeFill="background1" w:themeFillShade="D9"/>
          </w:tcPr>
          <w:p w:rsidR="00C73F40" w:rsidRPr="001E3A59" w:rsidRDefault="00C73F40" w:rsidP="0010219F">
            <w:pPr>
              <w:jc w:val="center"/>
              <w:rPr>
                <w:b/>
                <w:sz w:val="16"/>
                <w:szCs w:val="16"/>
              </w:rPr>
            </w:pPr>
            <w:r>
              <w:rPr>
                <w:b/>
                <w:sz w:val="16"/>
                <w:szCs w:val="16"/>
              </w:rPr>
              <w:t>R</w:t>
            </w:r>
          </w:p>
        </w:tc>
        <w:tc>
          <w:tcPr>
            <w:tcW w:w="425" w:type="dxa"/>
            <w:gridSpan w:val="3"/>
            <w:tcBorders>
              <w:top w:val="nil"/>
              <w:left w:val="nil"/>
              <w:bottom w:val="single" w:sz="4" w:space="0" w:color="auto"/>
              <w:right w:val="nil"/>
            </w:tcBorders>
            <w:shd w:val="clear" w:color="auto" w:fill="D9D9D9" w:themeFill="background1" w:themeFillShade="D9"/>
          </w:tcPr>
          <w:p w:rsidR="00C73F40" w:rsidRPr="001E3A59" w:rsidRDefault="00C73F40" w:rsidP="0010219F">
            <w:pPr>
              <w:jc w:val="center"/>
              <w:rPr>
                <w:b/>
                <w:sz w:val="16"/>
                <w:szCs w:val="16"/>
              </w:rPr>
            </w:pPr>
            <w:r>
              <w:rPr>
                <w:b/>
                <w:sz w:val="16"/>
                <w:szCs w:val="16"/>
              </w:rPr>
              <w:t>C</w:t>
            </w:r>
          </w:p>
        </w:tc>
        <w:tc>
          <w:tcPr>
            <w:tcW w:w="284" w:type="dxa"/>
            <w:gridSpan w:val="2"/>
            <w:tcBorders>
              <w:top w:val="nil"/>
              <w:left w:val="nil"/>
              <w:bottom w:val="single" w:sz="4" w:space="0" w:color="auto"/>
              <w:right w:val="nil"/>
            </w:tcBorders>
            <w:shd w:val="clear" w:color="auto" w:fill="D9D9D9" w:themeFill="background1" w:themeFillShade="D9"/>
          </w:tcPr>
          <w:p w:rsidR="00C73F40" w:rsidRPr="001E3A59" w:rsidRDefault="00C73F40" w:rsidP="0010219F">
            <w:pPr>
              <w:jc w:val="center"/>
              <w:rPr>
                <w:b/>
                <w:sz w:val="16"/>
                <w:szCs w:val="16"/>
              </w:rPr>
            </w:pPr>
            <w:r>
              <w:rPr>
                <w:b/>
                <w:sz w:val="16"/>
                <w:szCs w:val="16"/>
              </w:rPr>
              <w:t>S</w:t>
            </w:r>
          </w:p>
        </w:tc>
        <w:tc>
          <w:tcPr>
            <w:tcW w:w="283" w:type="dxa"/>
            <w:gridSpan w:val="2"/>
            <w:tcBorders>
              <w:top w:val="nil"/>
              <w:left w:val="nil"/>
              <w:bottom w:val="single" w:sz="4" w:space="0" w:color="auto"/>
              <w:right w:val="nil"/>
            </w:tcBorders>
            <w:shd w:val="clear" w:color="auto" w:fill="F2F2F2" w:themeFill="background1" w:themeFillShade="F2"/>
          </w:tcPr>
          <w:p w:rsidR="00C73F40" w:rsidRPr="001E3A59" w:rsidRDefault="00C73F40" w:rsidP="0010219F">
            <w:pPr>
              <w:jc w:val="center"/>
              <w:rPr>
                <w:b/>
                <w:sz w:val="16"/>
                <w:szCs w:val="16"/>
              </w:rPr>
            </w:pPr>
            <w:r>
              <w:rPr>
                <w:b/>
                <w:sz w:val="16"/>
                <w:szCs w:val="16"/>
              </w:rPr>
              <w:t>R</w:t>
            </w:r>
          </w:p>
        </w:tc>
        <w:tc>
          <w:tcPr>
            <w:tcW w:w="425" w:type="dxa"/>
            <w:gridSpan w:val="2"/>
            <w:tcBorders>
              <w:top w:val="nil"/>
              <w:left w:val="nil"/>
              <w:bottom w:val="single" w:sz="4" w:space="0" w:color="auto"/>
              <w:right w:val="nil"/>
            </w:tcBorders>
            <w:shd w:val="clear" w:color="auto" w:fill="F2F2F2" w:themeFill="background1" w:themeFillShade="F2"/>
          </w:tcPr>
          <w:p w:rsidR="00C73F40" w:rsidRPr="001E3A59" w:rsidRDefault="00C73F40" w:rsidP="0010219F">
            <w:pPr>
              <w:jc w:val="center"/>
              <w:rPr>
                <w:b/>
                <w:sz w:val="16"/>
                <w:szCs w:val="16"/>
              </w:rPr>
            </w:pPr>
            <w:r>
              <w:rPr>
                <w:b/>
                <w:sz w:val="16"/>
                <w:szCs w:val="16"/>
              </w:rPr>
              <w:t>C</w:t>
            </w:r>
          </w:p>
        </w:tc>
        <w:tc>
          <w:tcPr>
            <w:tcW w:w="284" w:type="dxa"/>
            <w:gridSpan w:val="2"/>
            <w:tcBorders>
              <w:top w:val="nil"/>
              <w:left w:val="nil"/>
              <w:bottom w:val="single" w:sz="4" w:space="0" w:color="auto"/>
              <w:right w:val="nil"/>
            </w:tcBorders>
            <w:shd w:val="clear" w:color="auto" w:fill="F2F2F2" w:themeFill="background1" w:themeFillShade="F2"/>
          </w:tcPr>
          <w:p w:rsidR="00C73F40" w:rsidRPr="001E3A59" w:rsidRDefault="00C73F40" w:rsidP="0010219F">
            <w:pPr>
              <w:jc w:val="center"/>
              <w:rPr>
                <w:b/>
                <w:sz w:val="16"/>
                <w:szCs w:val="16"/>
              </w:rPr>
            </w:pPr>
            <w:r>
              <w:rPr>
                <w:b/>
                <w:sz w:val="16"/>
                <w:szCs w:val="16"/>
              </w:rPr>
              <w:t>S</w:t>
            </w:r>
          </w:p>
        </w:tc>
        <w:tc>
          <w:tcPr>
            <w:tcW w:w="283" w:type="dxa"/>
            <w:gridSpan w:val="2"/>
            <w:tcBorders>
              <w:top w:val="nil"/>
              <w:left w:val="nil"/>
              <w:bottom w:val="single" w:sz="4" w:space="0" w:color="auto"/>
              <w:right w:val="nil"/>
            </w:tcBorders>
            <w:shd w:val="clear" w:color="auto" w:fill="D9D9D9" w:themeFill="background1" w:themeFillShade="D9"/>
          </w:tcPr>
          <w:p w:rsidR="00C73F40" w:rsidRPr="001E3A59" w:rsidRDefault="00C73F40" w:rsidP="0010219F">
            <w:pPr>
              <w:jc w:val="center"/>
              <w:rPr>
                <w:b/>
                <w:sz w:val="16"/>
                <w:szCs w:val="16"/>
              </w:rPr>
            </w:pPr>
            <w:r>
              <w:rPr>
                <w:b/>
                <w:sz w:val="16"/>
                <w:szCs w:val="16"/>
              </w:rPr>
              <w:t>R</w:t>
            </w:r>
          </w:p>
        </w:tc>
        <w:tc>
          <w:tcPr>
            <w:tcW w:w="426" w:type="dxa"/>
            <w:gridSpan w:val="2"/>
            <w:tcBorders>
              <w:top w:val="nil"/>
              <w:left w:val="nil"/>
              <w:bottom w:val="single" w:sz="4" w:space="0" w:color="auto"/>
              <w:right w:val="nil"/>
            </w:tcBorders>
            <w:shd w:val="clear" w:color="auto" w:fill="D9D9D9" w:themeFill="background1" w:themeFillShade="D9"/>
          </w:tcPr>
          <w:p w:rsidR="00C73F40" w:rsidRPr="001E3A59" w:rsidRDefault="00C73F40" w:rsidP="0010219F">
            <w:pPr>
              <w:jc w:val="center"/>
              <w:rPr>
                <w:b/>
                <w:sz w:val="16"/>
                <w:szCs w:val="16"/>
              </w:rPr>
            </w:pPr>
            <w:r>
              <w:rPr>
                <w:b/>
                <w:sz w:val="16"/>
                <w:szCs w:val="16"/>
              </w:rPr>
              <w:t>C</w:t>
            </w:r>
          </w:p>
        </w:tc>
        <w:tc>
          <w:tcPr>
            <w:tcW w:w="275" w:type="dxa"/>
            <w:tcBorders>
              <w:top w:val="nil"/>
              <w:left w:val="nil"/>
              <w:bottom w:val="single" w:sz="4" w:space="0" w:color="auto"/>
              <w:right w:val="nil"/>
            </w:tcBorders>
            <w:shd w:val="clear" w:color="auto" w:fill="D9D9D9" w:themeFill="background1" w:themeFillShade="D9"/>
          </w:tcPr>
          <w:p w:rsidR="00C73F40" w:rsidRPr="001E3A59" w:rsidRDefault="00C73F40" w:rsidP="0010219F">
            <w:pPr>
              <w:jc w:val="center"/>
              <w:rPr>
                <w:b/>
                <w:sz w:val="16"/>
                <w:szCs w:val="16"/>
              </w:rPr>
            </w:pPr>
            <w:r>
              <w:rPr>
                <w:b/>
                <w:sz w:val="16"/>
                <w:szCs w:val="16"/>
              </w:rPr>
              <w:t>S</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rFonts w:eastAsia="Times New Roman" w:cs="Times New Roman"/>
                <w:sz w:val="16"/>
                <w:szCs w:val="16"/>
                <w:lang w:val="en-US"/>
              </w:rPr>
              <w:t>4</w:t>
            </w:r>
            <w:r w:rsidRPr="00FC79C3">
              <w:rPr>
                <w:rFonts w:eastAsia="Times New Roman" w:cs="Times New Roman"/>
                <w:sz w:val="16"/>
                <w:szCs w:val="16"/>
                <w:lang w:val="en-US"/>
              </w:rPr>
              <w:t>.1</w:t>
            </w:r>
          </w:p>
        </w:tc>
        <w:tc>
          <w:tcPr>
            <w:tcW w:w="5956" w:type="dxa"/>
            <w:tcBorders>
              <w:top w:val="nil"/>
              <w:left w:val="nil"/>
              <w:bottom w:val="nil"/>
              <w:right w:val="nil"/>
            </w:tcBorders>
          </w:tcPr>
          <w:p w:rsidR="00C73F40" w:rsidRPr="00061C69" w:rsidRDefault="00C73F40" w:rsidP="0010219F">
            <w:pPr>
              <w:contextualSpacing/>
              <w:rPr>
                <w:sz w:val="16"/>
                <w:szCs w:val="16"/>
              </w:rPr>
            </w:pPr>
            <w:r>
              <w:rPr>
                <w:sz w:val="16"/>
                <w:szCs w:val="16"/>
              </w:rPr>
              <w:t>A</w:t>
            </w:r>
            <w:r w:rsidRPr="00061C69">
              <w:rPr>
                <w:sz w:val="16"/>
                <w:szCs w:val="16"/>
              </w:rPr>
              <w:t xml:space="preserve">ir pollution </w:t>
            </w:r>
            <w:r>
              <w:rPr>
                <w:sz w:val="16"/>
                <w:szCs w:val="16"/>
              </w:rPr>
              <w:t xml:space="preserve">has </w:t>
            </w:r>
            <w:r w:rsidRPr="00061C69">
              <w:rPr>
                <w:sz w:val="16"/>
                <w:szCs w:val="16"/>
              </w:rPr>
              <w:t xml:space="preserve">a relatively low profile in Local Authorities and </w:t>
            </w:r>
            <w:r>
              <w:rPr>
                <w:sz w:val="16"/>
                <w:szCs w:val="16"/>
              </w:rPr>
              <w:t xml:space="preserve">across </w:t>
            </w:r>
            <w:r w:rsidRPr="00061C69">
              <w:rPr>
                <w:sz w:val="16"/>
                <w:szCs w:val="16"/>
              </w:rPr>
              <w:t>the NHS in Wales</w:t>
            </w:r>
          </w:p>
        </w:tc>
        <w:tc>
          <w:tcPr>
            <w:tcW w:w="292" w:type="dxa"/>
            <w:tcBorders>
              <w:top w:val="single" w:sz="4" w:space="0" w:color="auto"/>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single" w:sz="4" w:space="0" w:color="auto"/>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single" w:sz="4" w:space="0" w:color="auto"/>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c>
          <w:tcPr>
            <w:tcW w:w="283" w:type="dxa"/>
            <w:gridSpan w:val="2"/>
            <w:tcBorders>
              <w:top w:val="single" w:sz="4" w:space="0" w:color="auto"/>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single" w:sz="4" w:space="0" w:color="auto"/>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single" w:sz="4" w:space="0" w:color="auto"/>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p>
        </w:tc>
        <w:tc>
          <w:tcPr>
            <w:tcW w:w="283" w:type="dxa"/>
            <w:gridSpan w:val="2"/>
            <w:tcBorders>
              <w:top w:val="single" w:sz="4" w:space="0" w:color="auto"/>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single" w:sz="4" w:space="0" w:color="auto"/>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single" w:sz="4" w:space="0" w:color="auto"/>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.2</w:t>
            </w:r>
          </w:p>
        </w:tc>
        <w:tc>
          <w:tcPr>
            <w:tcW w:w="5956" w:type="dxa"/>
            <w:tcBorders>
              <w:top w:val="nil"/>
              <w:left w:val="nil"/>
              <w:bottom w:val="nil"/>
              <w:right w:val="nil"/>
            </w:tcBorders>
          </w:tcPr>
          <w:p w:rsidR="00C73F40" w:rsidRPr="00061C69" w:rsidRDefault="00C73F40" w:rsidP="0010219F">
            <w:pPr>
              <w:contextualSpacing/>
              <w:rPr>
                <w:sz w:val="16"/>
                <w:szCs w:val="16"/>
              </w:rPr>
            </w:pPr>
            <w:r>
              <w:rPr>
                <w:sz w:val="16"/>
                <w:szCs w:val="16"/>
              </w:rPr>
              <w:t>Most people,</w:t>
            </w:r>
            <w:r w:rsidRPr="00061C69">
              <w:rPr>
                <w:sz w:val="16"/>
                <w:szCs w:val="16"/>
              </w:rPr>
              <w:t xml:space="preserve"> especially politicians and public</w:t>
            </w:r>
            <w:r>
              <w:rPr>
                <w:sz w:val="16"/>
                <w:szCs w:val="16"/>
              </w:rPr>
              <w:t xml:space="preserve">, </w:t>
            </w:r>
            <w:r w:rsidRPr="00061C69">
              <w:rPr>
                <w:sz w:val="16"/>
                <w:szCs w:val="16"/>
              </w:rPr>
              <w:t xml:space="preserve">are unaware of </w:t>
            </w:r>
            <w:r>
              <w:rPr>
                <w:sz w:val="16"/>
                <w:szCs w:val="16"/>
              </w:rPr>
              <w:t>problem scope/solutions</w:t>
            </w:r>
            <w:r w:rsidRPr="00061C69">
              <w:rPr>
                <w:sz w:val="16"/>
                <w:szCs w:val="16"/>
              </w:rPr>
              <w:t xml:space="preserve"> </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.3</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Pr>
                <w:sz w:val="16"/>
                <w:szCs w:val="16"/>
              </w:rPr>
              <w:t xml:space="preserve">The </w:t>
            </w:r>
            <w:r w:rsidRPr="00061C69">
              <w:rPr>
                <w:sz w:val="16"/>
                <w:szCs w:val="16"/>
              </w:rPr>
              <w:t xml:space="preserve">NHS </w:t>
            </w:r>
            <w:r>
              <w:rPr>
                <w:sz w:val="16"/>
                <w:szCs w:val="16"/>
              </w:rPr>
              <w:t xml:space="preserve">in </w:t>
            </w:r>
            <w:r w:rsidRPr="00061C69">
              <w:rPr>
                <w:sz w:val="16"/>
                <w:szCs w:val="16"/>
              </w:rPr>
              <w:t xml:space="preserve">Wales </w:t>
            </w:r>
            <w:r>
              <w:rPr>
                <w:sz w:val="16"/>
                <w:szCs w:val="16"/>
              </w:rPr>
              <w:t xml:space="preserve">also perceives air pollution to be </w:t>
            </w:r>
            <w:r w:rsidRPr="00061C69">
              <w:rPr>
                <w:sz w:val="16"/>
                <w:szCs w:val="16"/>
              </w:rPr>
              <w:t xml:space="preserve">‘someone else’s problem’ </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.4</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Pr>
                <w:sz w:val="16"/>
                <w:szCs w:val="16"/>
              </w:rPr>
              <w:t>Too often, a</w:t>
            </w:r>
            <w:r w:rsidRPr="00061C69">
              <w:rPr>
                <w:sz w:val="16"/>
                <w:szCs w:val="16"/>
              </w:rPr>
              <w:t>ir pollution is seen as a</w:t>
            </w:r>
            <w:r>
              <w:rPr>
                <w:sz w:val="16"/>
                <w:szCs w:val="16"/>
              </w:rPr>
              <w:t>n isolated problem, rarely linked to other priorities</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Mincho" w:eastAsia="MS Mincho" w:hAnsi="MS Mincho" w:cs="MS Mincho"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.5</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 xml:space="preserve">Air pollution is </w:t>
            </w:r>
            <w:r>
              <w:rPr>
                <w:sz w:val="16"/>
                <w:szCs w:val="16"/>
              </w:rPr>
              <w:t xml:space="preserve">too </w:t>
            </w:r>
            <w:r w:rsidRPr="00061C69">
              <w:rPr>
                <w:sz w:val="16"/>
                <w:szCs w:val="16"/>
              </w:rPr>
              <w:t xml:space="preserve">technical; </w:t>
            </w:r>
            <w:r>
              <w:rPr>
                <w:sz w:val="16"/>
                <w:szCs w:val="16"/>
              </w:rPr>
              <w:t xml:space="preserve">most people </w:t>
            </w:r>
            <w:r w:rsidRPr="00061C69">
              <w:rPr>
                <w:sz w:val="16"/>
                <w:szCs w:val="16"/>
              </w:rPr>
              <w:t>lack understanding and confidence to engage</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4313B5"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.6</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LAQM is disconnected from many relevant aspects of public health policy and practice</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Mincho" w:eastAsia="MS Mincho" w:hAnsi="MS Mincho" w:cs="MS Mincho"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.7</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 xml:space="preserve">LAQM </w:t>
            </w:r>
            <w:r>
              <w:rPr>
                <w:sz w:val="16"/>
                <w:szCs w:val="16"/>
              </w:rPr>
              <w:t xml:space="preserve">action is only required in areas where Air Quality Objectives are/likely breached </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.8</w:t>
            </w:r>
          </w:p>
        </w:tc>
        <w:tc>
          <w:tcPr>
            <w:tcW w:w="5956" w:type="dxa"/>
            <w:tcBorders>
              <w:top w:val="nil"/>
              <w:left w:val="nil"/>
              <w:bottom w:val="nil"/>
              <w:right w:val="nil"/>
            </w:tcBorders>
          </w:tcPr>
          <w:p w:rsidR="00C73F40" w:rsidRPr="00061C69" w:rsidRDefault="00C73F40" w:rsidP="0010219F">
            <w:pPr>
              <w:contextualSpacing/>
              <w:rPr>
                <w:sz w:val="16"/>
                <w:szCs w:val="16"/>
              </w:rPr>
            </w:pPr>
            <w:r>
              <w:rPr>
                <w:sz w:val="16"/>
                <w:szCs w:val="16"/>
              </w:rPr>
              <w:t>LAQM is reactive; p</w:t>
            </w:r>
            <w:r w:rsidRPr="00061C69">
              <w:rPr>
                <w:sz w:val="16"/>
                <w:szCs w:val="16"/>
              </w:rPr>
              <w:t xml:space="preserve">roactive </w:t>
            </w:r>
            <w:r>
              <w:rPr>
                <w:sz w:val="16"/>
                <w:szCs w:val="16"/>
              </w:rPr>
              <w:t>public health/air pollution action is not encouraged</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.9</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LAQM</w:t>
            </w:r>
            <w:r>
              <w:rPr>
                <w:sz w:val="16"/>
                <w:szCs w:val="16"/>
              </w:rPr>
              <w:t>’s</w:t>
            </w:r>
            <w:r w:rsidRPr="00061C69">
              <w:rPr>
                <w:sz w:val="16"/>
                <w:szCs w:val="16"/>
              </w:rPr>
              <w:t xml:space="preserve"> risk assessment and action planning processes </w:t>
            </w:r>
            <w:r>
              <w:rPr>
                <w:sz w:val="16"/>
                <w:szCs w:val="16"/>
              </w:rPr>
              <w:t xml:space="preserve">are </w:t>
            </w:r>
            <w:r w:rsidRPr="00061C69">
              <w:rPr>
                <w:sz w:val="16"/>
                <w:szCs w:val="16"/>
              </w:rPr>
              <w:t>cumbersome and confusing</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3</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.10</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 xml:space="preserve">There is </w:t>
            </w:r>
            <w:r>
              <w:rPr>
                <w:sz w:val="16"/>
                <w:szCs w:val="16"/>
              </w:rPr>
              <w:t xml:space="preserve">lack of </w:t>
            </w:r>
            <w:r w:rsidRPr="00061C69">
              <w:rPr>
                <w:sz w:val="16"/>
                <w:szCs w:val="16"/>
              </w:rPr>
              <w:t xml:space="preserve">guidance </w:t>
            </w:r>
            <w:r>
              <w:rPr>
                <w:sz w:val="16"/>
                <w:szCs w:val="16"/>
              </w:rPr>
              <w:t>on</w:t>
            </w:r>
            <w:r w:rsidRPr="00061C69">
              <w:rPr>
                <w:sz w:val="16"/>
                <w:szCs w:val="16"/>
              </w:rPr>
              <w:t xml:space="preserve"> comprehensive air quality public health risk assessments</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.11</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 xml:space="preserve">Information governance and IT data systems/policies discourage data sharing/linking </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3</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3</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.12</w:t>
            </w:r>
          </w:p>
        </w:tc>
        <w:tc>
          <w:tcPr>
            <w:tcW w:w="5956" w:type="dxa"/>
            <w:tcBorders>
              <w:top w:val="nil"/>
              <w:left w:val="nil"/>
              <w:bottom w:val="nil"/>
              <w:right w:val="nil"/>
            </w:tcBorders>
          </w:tcPr>
          <w:p w:rsidR="00C73F40" w:rsidRPr="00061C69" w:rsidRDefault="00C73F40" w:rsidP="0010219F">
            <w:pPr>
              <w:contextualSpacing/>
              <w:rPr>
                <w:sz w:val="16"/>
                <w:szCs w:val="16"/>
              </w:rPr>
            </w:pPr>
            <w:r>
              <w:rPr>
                <w:sz w:val="16"/>
                <w:szCs w:val="16"/>
              </w:rPr>
              <w:t xml:space="preserve">Information on </w:t>
            </w:r>
            <w:r w:rsidRPr="00061C69">
              <w:rPr>
                <w:sz w:val="16"/>
                <w:szCs w:val="16"/>
              </w:rPr>
              <w:t xml:space="preserve">air pollution </w:t>
            </w:r>
            <w:r>
              <w:rPr>
                <w:sz w:val="16"/>
                <w:szCs w:val="16"/>
              </w:rPr>
              <w:t>mitigation intervention</w:t>
            </w:r>
            <w:r w:rsidRPr="00061C69">
              <w:rPr>
                <w:sz w:val="16"/>
                <w:szCs w:val="16"/>
              </w:rPr>
              <w:t xml:space="preserve"> </w:t>
            </w:r>
            <w:r>
              <w:rPr>
                <w:sz w:val="16"/>
                <w:szCs w:val="16"/>
              </w:rPr>
              <w:t>[cost] effectiveness is lacking</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5</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.13</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There is no ‘one size fits all’ answer to air pollution problems</w:t>
            </w:r>
            <w:r>
              <w:rPr>
                <w:sz w:val="16"/>
                <w:szCs w:val="16"/>
              </w:rPr>
              <w:t>; solutions are complex</w:t>
            </w:r>
            <w:r w:rsidRPr="00061C69">
              <w:rPr>
                <w:sz w:val="16"/>
                <w:szCs w:val="16"/>
              </w:rPr>
              <w:t xml:space="preserve"> </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5</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.14</w:t>
            </w:r>
          </w:p>
        </w:tc>
        <w:tc>
          <w:tcPr>
            <w:tcW w:w="5956" w:type="dxa"/>
            <w:tcBorders>
              <w:top w:val="nil"/>
              <w:left w:val="nil"/>
              <w:bottom w:val="nil"/>
              <w:right w:val="nil"/>
            </w:tcBorders>
          </w:tcPr>
          <w:p w:rsidR="00C73F40" w:rsidRPr="00061C69" w:rsidRDefault="00C73F40" w:rsidP="0010219F">
            <w:pPr>
              <w:contextualSpacing/>
              <w:rPr>
                <w:sz w:val="16"/>
                <w:szCs w:val="16"/>
              </w:rPr>
            </w:pPr>
            <w:r>
              <w:rPr>
                <w:sz w:val="16"/>
                <w:szCs w:val="16"/>
              </w:rPr>
              <w:t xml:space="preserve">It is perceived </w:t>
            </w:r>
            <w:r w:rsidRPr="00061C69">
              <w:rPr>
                <w:sz w:val="16"/>
                <w:szCs w:val="16"/>
              </w:rPr>
              <w:t xml:space="preserve">that </w:t>
            </w:r>
            <w:r>
              <w:rPr>
                <w:sz w:val="16"/>
                <w:szCs w:val="16"/>
              </w:rPr>
              <w:t xml:space="preserve">air pollution needs a national solution and </w:t>
            </w:r>
            <w:r w:rsidRPr="00061C69">
              <w:rPr>
                <w:sz w:val="16"/>
                <w:szCs w:val="16"/>
              </w:rPr>
              <w:t xml:space="preserve">little can be done </w:t>
            </w:r>
            <w:r>
              <w:rPr>
                <w:sz w:val="16"/>
                <w:szCs w:val="16"/>
              </w:rPr>
              <w:t>locally</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.15</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 xml:space="preserve">LAQM </w:t>
            </w:r>
            <w:r>
              <w:rPr>
                <w:sz w:val="16"/>
                <w:szCs w:val="16"/>
              </w:rPr>
              <w:t xml:space="preserve">aims to reduce air pollution; it ignores complementary risk reduction approaches </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.16</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Pr>
                <w:sz w:val="16"/>
                <w:szCs w:val="16"/>
              </w:rPr>
              <w:t>It is becoming increasingly difficult to secure</w:t>
            </w:r>
            <w:r w:rsidRPr="00061C69">
              <w:rPr>
                <w:sz w:val="16"/>
                <w:szCs w:val="16"/>
              </w:rPr>
              <w:t xml:space="preserve"> ‘buy-in’ from </w:t>
            </w:r>
            <w:r>
              <w:rPr>
                <w:sz w:val="16"/>
                <w:szCs w:val="16"/>
              </w:rPr>
              <w:t xml:space="preserve">essential LAQM </w:t>
            </w:r>
            <w:r w:rsidRPr="00061C69">
              <w:rPr>
                <w:sz w:val="16"/>
                <w:szCs w:val="16"/>
              </w:rPr>
              <w:t xml:space="preserve">stakeholders </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.17</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 xml:space="preserve">Public health </w:t>
            </w:r>
            <w:r>
              <w:rPr>
                <w:sz w:val="16"/>
                <w:szCs w:val="16"/>
              </w:rPr>
              <w:t>is</w:t>
            </w:r>
            <w:r w:rsidRPr="00061C69">
              <w:rPr>
                <w:sz w:val="16"/>
                <w:szCs w:val="16"/>
              </w:rPr>
              <w:t xml:space="preserve"> disengaged from LAQM</w:t>
            </w:r>
            <w:r>
              <w:rPr>
                <w:sz w:val="16"/>
                <w:szCs w:val="16"/>
              </w:rPr>
              <w:t>; role and expected contribution poorly defined</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.18</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Pr>
                <w:sz w:val="16"/>
                <w:szCs w:val="16"/>
              </w:rPr>
              <w:t>Public health specialists have received no training/guidance on how to support LAQM</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3</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3</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.19</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 xml:space="preserve">Public health </w:t>
            </w:r>
            <w:r>
              <w:rPr>
                <w:sz w:val="16"/>
                <w:szCs w:val="16"/>
              </w:rPr>
              <w:t>is part of NHS Wales and sits outside of Local Authority structures</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C73F40" w:rsidRPr="00727E19" w:rsidTr="00615073">
        <w:tc>
          <w:tcPr>
            <w:tcW w:w="707" w:type="dxa"/>
            <w:tcBorders>
              <w:top w:val="nil"/>
              <w:left w:val="nil"/>
              <w:bottom w:val="nil"/>
              <w:right w:val="nil"/>
            </w:tcBorders>
          </w:tcPr>
          <w:p w:rsidR="00C73F40" w:rsidRPr="00FC79C3" w:rsidRDefault="00C73F40" w:rsidP="0010219F">
            <w:pPr>
              <w:contextualSpacing/>
              <w:rPr>
                <w:sz w:val="16"/>
                <w:szCs w:val="16"/>
              </w:rPr>
            </w:pPr>
            <w:r>
              <w:rPr>
                <w:sz w:val="16"/>
                <w:szCs w:val="16"/>
              </w:rPr>
              <w:t>4</w:t>
            </w:r>
            <w:r w:rsidRPr="00FC79C3">
              <w:rPr>
                <w:sz w:val="16"/>
                <w:szCs w:val="16"/>
              </w:rPr>
              <w:t>.20</w:t>
            </w:r>
            <w:r>
              <w:rPr>
                <w:sz w:val="16"/>
                <w:szCs w:val="16"/>
              </w:rPr>
              <w:t>*</w:t>
            </w:r>
          </w:p>
        </w:tc>
        <w:tc>
          <w:tcPr>
            <w:tcW w:w="5956" w:type="dxa"/>
            <w:tcBorders>
              <w:top w:val="nil"/>
              <w:left w:val="nil"/>
              <w:bottom w:val="nil"/>
              <w:right w:val="nil"/>
            </w:tcBorders>
          </w:tcPr>
          <w:p w:rsidR="00C73F40" w:rsidRPr="00061C69" w:rsidRDefault="00C73F40" w:rsidP="0010219F">
            <w:pPr>
              <w:contextualSpacing/>
              <w:rPr>
                <w:sz w:val="16"/>
                <w:szCs w:val="16"/>
              </w:rPr>
            </w:pPr>
            <w:r w:rsidRPr="00061C69">
              <w:rPr>
                <w:sz w:val="16"/>
                <w:szCs w:val="16"/>
              </w:rPr>
              <w:t xml:space="preserve">Local Authorities tend not to engage </w:t>
            </w:r>
            <w:r>
              <w:rPr>
                <w:sz w:val="16"/>
                <w:szCs w:val="16"/>
              </w:rPr>
              <w:t xml:space="preserve">with </w:t>
            </w:r>
            <w:r w:rsidRPr="00061C69">
              <w:rPr>
                <w:sz w:val="16"/>
                <w:szCs w:val="16"/>
              </w:rPr>
              <w:t xml:space="preserve">public health and academics on </w:t>
            </w:r>
            <w:r>
              <w:rPr>
                <w:sz w:val="16"/>
                <w:szCs w:val="16"/>
              </w:rPr>
              <w:t>LAQM issues</w:t>
            </w:r>
          </w:p>
        </w:tc>
        <w:tc>
          <w:tcPr>
            <w:tcW w:w="292"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3</w:t>
            </w:r>
          </w:p>
        </w:tc>
        <w:tc>
          <w:tcPr>
            <w:tcW w:w="425" w:type="dxa"/>
            <w:gridSpan w:val="3"/>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3</w:t>
            </w:r>
          </w:p>
        </w:tc>
        <w:tc>
          <w:tcPr>
            <w:tcW w:w="425"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3</w:t>
            </w:r>
          </w:p>
        </w:tc>
        <w:tc>
          <w:tcPr>
            <w:tcW w:w="426"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Pr>
                <w:sz w:val="16"/>
                <w:szCs w:val="16"/>
              </w:rPr>
              <w:t>+</w:t>
            </w:r>
          </w:p>
        </w:tc>
        <w:tc>
          <w:tcPr>
            <w:tcW w:w="275" w:type="dxa"/>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r w:rsidRPr="00EF7A4F">
              <w:rPr>
                <w:rFonts w:ascii="MS Gothic" w:eastAsia="MS Gothic" w:hAnsi="MS Gothic" w:cs="MS Gothic" w:hint="eastAsia"/>
                <w:color w:val="333333"/>
                <w:sz w:val="14"/>
                <w:szCs w:val="14"/>
              </w:rPr>
              <w:t>✓</w:t>
            </w:r>
          </w:p>
        </w:tc>
      </w:tr>
      <w:tr w:rsidR="00615073" w:rsidRPr="001E3A59" w:rsidTr="00615073">
        <w:trPr>
          <w:trHeight w:val="391"/>
        </w:trPr>
        <w:tc>
          <w:tcPr>
            <w:tcW w:w="707" w:type="dxa"/>
            <w:tcBorders>
              <w:top w:val="nil"/>
              <w:left w:val="nil"/>
              <w:bottom w:val="nil"/>
              <w:right w:val="nil"/>
            </w:tcBorders>
          </w:tcPr>
          <w:p w:rsidR="00615073" w:rsidRDefault="00615073" w:rsidP="0010219F">
            <w:pPr>
              <w:contextualSpacing/>
              <w:rPr>
                <w:b/>
                <w:sz w:val="16"/>
                <w:szCs w:val="16"/>
              </w:rPr>
            </w:pPr>
          </w:p>
          <w:p w:rsidR="00615073" w:rsidRPr="001E3A59" w:rsidRDefault="00615073" w:rsidP="0010219F">
            <w:pPr>
              <w:contextualSpacing/>
              <w:rPr>
                <w:b/>
                <w:sz w:val="16"/>
                <w:szCs w:val="16"/>
              </w:rPr>
            </w:pPr>
          </w:p>
        </w:tc>
        <w:tc>
          <w:tcPr>
            <w:tcW w:w="5956" w:type="dxa"/>
            <w:tcBorders>
              <w:top w:val="nil"/>
              <w:left w:val="nil"/>
              <w:bottom w:val="nil"/>
              <w:right w:val="nil"/>
            </w:tcBorders>
          </w:tcPr>
          <w:p w:rsidR="00615073" w:rsidRPr="00EC204C" w:rsidRDefault="00615073" w:rsidP="0010219F">
            <w:pPr>
              <w:contextualSpacing/>
              <w:rPr>
                <w:b/>
                <w:sz w:val="8"/>
                <w:szCs w:val="8"/>
              </w:rPr>
            </w:pPr>
          </w:p>
          <w:p w:rsidR="00615073" w:rsidRDefault="00615073" w:rsidP="0010219F">
            <w:pPr>
              <w:contextualSpacing/>
              <w:rPr>
                <w:b/>
                <w:sz w:val="16"/>
                <w:szCs w:val="16"/>
              </w:rPr>
            </w:pPr>
            <w:r>
              <w:rPr>
                <w:b/>
                <w:sz w:val="16"/>
                <w:szCs w:val="16"/>
              </w:rPr>
              <w:t>Solutions to barriers to increase public health integration and collaboration in LAQM</w:t>
            </w:r>
          </w:p>
          <w:p w:rsidR="00615073" w:rsidRPr="00EC204C" w:rsidRDefault="00615073" w:rsidP="0010219F">
            <w:pPr>
              <w:contextualSpacing/>
              <w:rPr>
                <w:b/>
                <w:sz w:val="8"/>
                <w:szCs w:val="8"/>
              </w:rPr>
            </w:pPr>
          </w:p>
        </w:tc>
        <w:tc>
          <w:tcPr>
            <w:tcW w:w="2977" w:type="dxa"/>
            <w:gridSpan w:val="17"/>
            <w:tcBorders>
              <w:top w:val="nil"/>
              <w:left w:val="nil"/>
              <w:bottom w:val="nil"/>
              <w:right w:val="nil"/>
            </w:tcBorders>
            <w:shd w:val="clear" w:color="auto" w:fill="FFFFFF" w:themeFill="background1"/>
          </w:tcPr>
          <w:p w:rsidR="00615073" w:rsidRPr="001E3A59" w:rsidRDefault="00615073" w:rsidP="0010219F">
            <w:pPr>
              <w:contextualSpacing/>
              <w:jc w:val="center"/>
              <w:rPr>
                <w:b/>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rFonts w:eastAsia="Times New Roman" w:cs="Times New Roman"/>
                <w:sz w:val="16"/>
                <w:szCs w:val="16"/>
                <w:lang w:val="en-US"/>
              </w:rPr>
              <w:t>5.1</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 xml:space="preserve">Extend the scope of LAQM to require targeted </w:t>
            </w:r>
            <w:r w:rsidRPr="001B263D">
              <w:rPr>
                <w:i/>
                <w:sz w:val="16"/>
                <w:szCs w:val="16"/>
              </w:rPr>
              <w:t>and</w:t>
            </w:r>
            <w:r w:rsidRPr="001B263D">
              <w:rPr>
                <w:sz w:val="16"/>
                <w:szCs w:val="16"/>
              </w:rPr>
              <w:t xml:space="preserve"> universal local action </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5.2</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Shift LAQM accountability from Local Authorities to WFGA Public Services Boards</w:t>
            </w:r>
          </w:p>
        </w:tc>
        <w:tc>
          <w:tcPr>
            <w:tcW w:w="298" w:type="dxa"/>
            <w:gridSpan w:val="2"/>
            <w:tcBorders>
              <w:top w:val="nil"/>
              <w:left w:val="nil"/>
              <w:bottom w:val="nil"/>
              <w:right w:val="nil"/>
            </w:tcBorders>
            <w:shd w:val="clear" w:color="auto" w:fill="D9D9D9" w:themeFill="background1" w:themeFillShade="D9"/>
          </w:tcPr>
          <w:p w:rsidR="00C73F40" w:rsidRPr="001B263D" w:rsidRDefault="00071B98" w:rsidP="0010219F">
            <w:pPr>
              <w:contextualSpacing/>
              <w:jc w:val="center"/>
              <w:rPr>
                <w:sz w:val="16"/>
                <w:szCs w:val="16"/>
              </w:rPr>
            </w:pPr>
            <w:r>
              <w:rPr>
                <w:sz w:val="16"/>
                <w:szCs w:val="16"/>
              </w:rPr>
              <w:t>2</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2</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071B98" w:rsidP="0010219F">
            <w:pPr>
              <w:contextualSpacing/>
              <w:jc w:val="center"/>
              <w:rPr>
                <w:sz w:val="16"/>
                <w:szCs w:val="16"/>
              </w:rPr>
            </w:pPr>
            <w:r>
              <w:rPr>
                <w:sz w:val="16"/>
                <w:szCs w:val="16"/>
              </w:rPr>
              <w:t>2</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5.3</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Statutorily require Public Health Wales and Health Boards to support all parts of LAQM</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5.4</w:t>
            </w:r>
          </w:p>
        </w:tc>
        <w:tc>
          <w:tcPr>
            <w:tcW w:w="5956" w:type="dxa"/>
            <w:tcBorders>
              <w:top w:val="nil"/>
              <w:left w:val="nil"/>
              <w:bottom w:val="nil"/>
              <w:right w:val="nil"/>
            </w:tcBorders>
          </w:tcPr>
          <w:p w:rsidR="00C73F40" w:rsidRPr="001B263D" w:rsidRDefault="00C73F40" w:rsidP="009B279F">
            <w:pPr>
              <w:contextualSpacing/>
              <w:rPr>
                <w:sz w:val="16"/>
                <w:szCs w:val="16"/>
              </w:rPr>
            </w:pPr>
            <w:r w:rsidRPr="001B263D">
              <w:rPr>
                <w:sz w:val="16"/>
                <w:szCs w:val="16"/>
              </w:rPr>
              <w:t xml:space="preserve">Specify the LAQM role of NHS public health bodies and specialists in </w:t>
            </w:r>
            <w:r w:rsidR="009B279F" w:rsidRPr="001B263D">
              <w:rPr>
                <w:sz w:val="16"/>
                <w:szCs w:val="16"/>
              </w:rPr>
              <w:t>supporting LAQM</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5.5</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Prescribe a broader LAQM risk assessment approach to stimulate NHS interest/action</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5.6</w:t>
            </w:r>
          </w:p>
        </w:tc>
        <w:tc>
          <w:tcPr>
            <w:tcW w:w="5956" w:type="dxa"/>
            <w:tcBorders>
              <w:top w:val="nil"/>
              <w:left w:val="nil"/>
              <w:bottom w:val="nil"/>
              <w:right w:val="nil"/>
            </w:tcBorders>
          </w:tcPr>
          <w:p w:rsidR="00C73F40" w:rsidRPr="001B263D" w:rsidRDefault="00C73F40" w:rsidP="002878DD">
            <w:pPr>
              <w:contextualSpacing/>
              <w:rPr>
                <w:sz w:val="16"/>
                <w:szCs w:val="16"/>
              </w:rPr>
            </w:pPr>
            <w:r w:rsidRPr="001B263D">
              <w:rPr>
                <w:sz w:val="16"/>
                <w:szCs w:val="16"/>
              </w:rPr>
              <w:t xml:space="preserve">Promote LAQM integration with the ‘day job’ for health specialists (all disciplines) </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rPr>
                <w:rFonts w:ascii="Wingdings 2" w:hAnsi="Wingdings 2"/>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5.7</w:t>
            </w:r>
          </w:p>
        </w:tc>
        <w:tc>
          <w:tcPr>
            <w:tcW w:w="5956" w:type="dxa"/>
            <w:tcBorders>
              <w:top w:val="nil"/>
              <w:left w:val="nil"/>
              <w:bottom w:val="nil"/>
              <w:right w:val="nil"/>
            </w:tcBorders>
          </w:tcPr>
          <w:p w:rsidR="00C73F40" w:rsidRPr="001B263D" w:rsidRDefault="00BA259F" w:rsidP="00BA259F">
            <w:pPr>
              <w:contextualSpacing/>
              <w:rPr>
                <w:sz w:val="16"/>
                <w:szCs w:val="16"/>
              </w:rPr>
            </w:pPr>
            <w:r>
              <w:rPr>
                <w:sz w:val="16"/>
                <w:szCs w:val="16"/>
              </w:rPr>
              <w:t>Target</w:t>
            </w:r>
            <w:r w:rsidR="00C73F40" w:rsidRPr="001B263D">
              <w:rPr>
                <w:sz w:val="16"/>
                <w:szCs w:val="16"/>
              </w:rPr>
              <w:t xml:space="preserve"> action in </w:t>
            </w:r>
            <w:r>
              <w:rPr>
                <w:sz w:val="16"/>
                <w:szCs w:val="16"/>
              </w:rPr>
              <w:t xml:space="preserve">poor </w:t>
            </w:r>
            <w:r w:rsidR="00C73F40" w:rsidRPr="001B263D">
              <w:rPr>
                <w:sz w:val="16"/>
                <w:szCs w:val="16"/>
              </w:rPr>
              <w:t xml:space="preserve">air pollution </w:t>
            </w:r>
            <w:r w:rsidR="00C73F40" w:rsidRPr="001B263D">
              <w:rPr>
                <w:i/>
                <w:sz w:val="16"/>
                <w:szCs w:val="16"/>
              </w:rPr>
              <w:t>and</w:t>
            </w:r>
            <w:r w:rsidR="00C73F40" w:rsidRPr="001B263D">
              <w:rPr>
                <w:sz w:val="16"/>
                <w:szCs w:val="16"/>
              </w:rPr>
              <w:t xml:space="preserve"> health </w:t>
            </w:r>
            <w:r>
              <w:rPr>
                <w:sz w:val="16"/>
                <w:szCs w:val="16"/>
              </w:rPr>
              <w:t>areas to reduce risks and inequalities</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5</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5.8</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 xml:space="preserve">Fully integrate Health Impact Assessment principles </w:t>
            </w:r>
            <w:r w:rsidR="008A67A6" w:rsidRPr="001B263D">
              <w:rPr>
                <w:sz w:val="16"/>
                <w:szCs w:val="16"/>
              </w:rPr>
              <w:t xml:space="preserve">and processes </w:t>
            </w:r>
            <w:r w:rsidRPr="001B263D">
              <w:rPr>
                <w:sz w:val="16"/>
                <w:szCs w:val="16"/>
              </w:rPr>
              <w:t>with LAQM</w:t>
            </w:r>
            <w:r w:rsidR="008A67A6" w:rsidRPr="001B263D">
              <w:rPr>
                <w:sz w:val="16"/>
                <w:szCs w:val="16"/>
              </w:rPr>
              <w:t xml:space="preserve"> action</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5.9</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 xml:space="preserve">Tighten Air Quality Objectives to support delivery of an extended LAQM regime </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BA6E30" w:rsidP="0010219F">
            <w:pPr>
              <w:contextualSpacing/>
              <w:jc w:val="center"/>
              <w:rPr>
                <w:sz w:val="16"/>
                <w:szCs w:val="16"/>
              </w:rPr>
            </w:pPr>
            <w:r w:rsidRPr="001B263D">
              <w:rPr>
                <w:sz w:val="16"/>
                <w:szCs w:val="16"/>
              </w:rPr>
              <w:t>3</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5.10</w:t>
            </w:r>
          </w:p>
        </w:tc>
        <w:tc>
          <w:tcPr>
            <w:tcW w:w="5956" w:type="dxa"/>
            <w:tcBorders>
              <w:top w:val="nil"/>
              <w:left w:val="nil"/>
              <w:bottom w:val="nil"/>
              <w:right w:val="nil"/>
            </w:tcBorders>
          </w:tcPr>
          <w:p w:rsidR="00C73F40" w:rsidRPr="001B263D" w:rsidRDefault="00C73F40" w:rsidP="008A67A6">
            <w:pPr>
              <w:contextualSpacing/>
              <w:rPr>
                <w:sz w:val="16"/>
                <w:szCs w:val="16"/>
              </w:rPr>
            </w:pPr>
            <w:r w:rsidRPr="001B263D">
              <w:rPr>
                <w:sz w:val="16"/>
                <w:szCs w:val="16"/>
              </w:rPr>
              <w:t xml:space="preserve">Create multi-sector local or regional LAQM groups </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BA6E3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5.11</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Raise profile of LAQM in/across Welsh Government to improve cross-sector working</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5.12</w:t>
            </w:r>
          </w:p>
        </w:tc>
        <w:tc>
          <w:tcPr>
            <w:tcW w:w="5956" w:type="dxa"/>
            <w:tcBorders>
              <w:top w:val="nil"/>
              <w:left w:val="nil"/>
              <w:bottom w:val="nil"/>
              <w:right w:val="nil"/>
            </w:tcBorders>
          </w:tcPr>
          <w:p w:rsidR="00C73F40" w:rsidRPr="001B263D" w:rsidRDefault="00861049" w:rsidP="002878DD">
            <w:pPr>
              <w:contextualSpacing/>
              <w:rPr>
                <w:sz w:val="16"/>
                <w:szCs w:val="16"/>
              </w:rPr>
            </w:pPr>
            <w:r w:rsidRPr="001B263D">
              <w:rPr>
                <w:bCs/>
                <w:sz w:val="16"/>
                <w:szCs w:val="16"/>
              </w:rPr>
              <w:t>Use independent public health voice to advocate for LAQM change, as necessary</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5.13</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Invest in technology; making it easier to ‘see’ air pollution can stimulate interest/action</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5</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5.14</w:t>
            </w:r>
          </w:p>
        </w:tc>
        <w:tc>
          <w:tcPr>
            <w:tcW w:w="5956" w:type="dxa"/>
            <w:tcBorders>
              <w:top w:val="nil"/>
              <w:left w:val="nil"/>
              <w:bottom w:val="nil"/>
              <w:right w:val="nil"/>
            </w:tcBorders>
          </w:tcPr>
          <w:p w:rsidR="00C73F40" w:rsidRPr="001B263D" w:rsidRDefault="00D81A4D" w:rsidP="0010219F">
            <w:pPr>
              <w:contextualSpacing/>
              <w:rPr>
                <w:sz w:val="16"/>
                <w:szCs w:val="16"/>
              </w:rPr>
            </w:pPr>
            <w:r w:rsidRPr="001B263D">
              <w:rPr>
                <w:sz w:val="16"/>
                <w:szCs w:val="16"/>
              </w:rPr>
              <w:t>Establish</w:t>
            </w:r>
            <w:r w:rsidR="00C73F40" w:rsidRPr="001B263D">
              <w:rPr>
                <w:sz w:val="16"/>
                <w:szCs w:val="16"/>
              </w:rPr>
              <w:t xml:space="preserve"> recurring funding stream for air quality and environmental sustainability work</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5.15</w:t>
            </w:r>
          </w:p>
        </w:tc>
        <w:tc>
          <w:tcPr>
            <w:tcW w:w="5956" w:type="dxa"/>
            <w:tcBorders>
              <w:top w:val="nil"/>
              <w:left w:val="nil"/>
              <w:bottom w:val="nil"/>
              <w:right w:val="nil"/>
            </w:tcBorders>
          </w:tcPr>
          <w:p w:rsidR="00C73F40" w:rsidRPr="001B263D" w:rsidRDefault="00C73F40" w:rsidP="009B279F">
            <w:pPr>
              <w:contextualSpacing/>
              <w:rPr>
                <w:sz w:val="16"/>
                <w:szCs w:val="16"/>
              </w:rPr>
            </w:pPr>
            <w:r w:rsidRPr="001B263D">
              <w:rPr>
                <w:sz w:val="16"/>
                <w:szCs w:val="16"/>
              </w:rPr>
              <w:t xml:space="preserve">Make </w:t>
            </w:r>
            <w:r w:rsidR="009B279F" w:rsidRPr="001B263D">
              <w:rPr>
                <w:sz w:val="16"/>
                <w:szCs w:val="16"/>
              </w:rPr>
              <w:t>public health bodies</w:t>
            </w:r>
            <w:r w:rsidRPr="001B263D">
              <w:rPr>
                <w:sz w:val="16"/>
                <w:szCs w:val="16"/>
              </w:rPr>
              <w:t xml:space="preserve"> statutory </w:t>
            </w:r>
            <w:proofErr w:type="spellStart"/>
            <w:r w:rsidRPr="001B263D">
              <w:rPr>
                <w:sz w:val="16"/>
                <w:szCs w:val="16"/>
              </w:rPr>
              <w:t>consultees</w:t>
            </w:r>
            <w:proofErr w:type="spellEnd"/>
            <w:r w:rsidRPr="001B263D">
              <w:rPr>
                <w:sz w:val="16"/>
                <w:szCs w:val="16"/>
              </w:rPr>
              <w:t xml:space="preserve"> in planning processes</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5.16</w:t>
            </w:r>
          </w:p>
        </w:tc>
        <w:tc>
          <w:tcPr>
            <w:tcW w:w="5956" w:type="dxa"/>
            <w:tcBorders>
              <w:top w:val="nil"/>
              <w:left w:val="nil"/>
              <w:bottom w:val="nil"/>
              <w:right w:val="nil"/>
            </w:tcBorders>
          </w:tcPr>
          <w:p w:rsidR="00C73F40" w:rsidRPr="001B263D" w:rsidRDefault="00861049" w:rsidP="0010219F">
            <w:pPr>
              <w:contextualSpacing/>
              <w:rPr>
                <w:sz w:val="16"/>
                <w:szCs w:val="16"/>
              </w:rPr>
            </w:pPr>
            <w:r w:rsidRPr="001B263D">
              <w:rPr>
                <w:bCs/>
                <w:sz w:val="16"/>
                <w:szCs w:val="16"/>
              </w:rPr>
              <w:t>Interpret and communicate evidence, and encourage new research and evaluation</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5</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5</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5.17</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Work closer with communities to raise awareness; undertake ‘citizen science’ research</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5.18</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Train all public health specialists on LAQM risk assessment, management and evaluation</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BA6E3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1B263D"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5.19</w:t>
            </w:r>
          </w:p>
        </w:tc>
        <w:tc>
          <w:tcPr>
            <w:tcW w:w="5956"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 xml:space="preserve">Raise awareness amongst public bodies, policy-makers, politicians and public </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r>
      <w:tr w:rsidR="00C73F40" w:rsidRPr="00727E19" w:rsidTr="00615073">
        <w:tc>
          <w:tcPr>
            <w:tcW w:w="707" w:type="dxa"/>
            <w:tcBorders>
              <w:top w:val="nil"/>
              <w:left w:val="nil"/>
              <w:bottom w:val="nil"/>
              <w:right w:val="nil"/>
            </w:tcBorders>
          </w:tcPr>
          <w:p w:rsidR="00C73F40" w:rsidRPr="001B263D" w:rsidRDefault="00C73F40" w:rsidP="0010219F">
            <w:pPr>
              <w:contextualSpacing/>
              <w:rPr>
                <w:sz w:val="16"/>
                <w:szCs w:val="16"/>
              </w:rPr>
            </w:pPr>
            <w:r w:rsidRPr="001B263D">
              <w:rPr>
                <w:sz w:val="16"/>
                <w:szCs w:val="16"/>
              </w:rPr>
              <w:t>5.20</w:t>
            </w:r>
          </w:p>
        </w:tc>
        <w:tc>
          <w:tcPr>
            <w:tcW w:w="5956" w:type="dxa"/>
            <w:tcBorders>
              <w:top w:val="nil"/>
              <w:left w:val="nil"/>
              <w:bottom w:val="nil"/>
              <w:right w:val="nil"/>
            </w:tcBorders>
          </w:tcPr>
          <w:p w:rsidR="00C73F40" w:rsidRPr="001B263D" w:rsidRDefault="00C73F40" w:rsidP="002878DD">
            <w:pPr>
              <w:contextualSpacing/>
              <w:rPr>
                <w:sz w:val="16"/>
                <w:szCs w:val="16"/>
              </w:rPr>
            </w:pPr>
            <w:r w:rsidRPr="001B263D">
              <w:rPr>
                <w:sz w:val="16"/>
                <w:szCs w:val="16"/>
              </w:rPr>
              <w:t xml:space="preserve">Create and support </w:t>
            </w:r>
            <w:r w:rsidR="002878DD" w:rsidRPr="001B263D">
              <w:rPr>
                <w:sz w:val="16"/>
                <w:szCs w:val="16"/>
              </w:rPr>
              <w:t xml:space="preserve">air pollution/health placements and </w:t>
            </w:r>
            <w:r w:rsidRPr="001B263D">
              <w:rPr>
                <w:sz w:val="16"/>
                <w:szCs w:val="16"/>
              </w:rPr>
              <w:t xml:space="preserve">projects across public bodies </w:t>
            </w:r>
          </w:p>
        </w:tc>
        <w:tc>
          <w:tcPr>
            <w:tcW w:w="298"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11" w:type="dxa"/>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4</w:t>
            </w:r>
          </w:p>
        </w:tc>
        <w:tc>
          <w:tcPr>
            <w:tcW w:w="425"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r w:rsidRPr="001B263D">
              <w:rPr>
                <w:sz w:val="16"/>
                <w:szCs w:val="16"/>
              </w:rPr>
              <w:t>++</w:t>
            </w:r>
          </w:p>
        </w:tc>
        <w:tc>
          <w:tcPr>
            <w:tcW w:w="284" w:type="dxa"/>
            <w:gridSpan w:val="2"/>
            <w:tcBorders>
              <w:top w:val="nil"/>
              <w:left w:val="nil"/>
              <w:bottom w:val="nil"/>
              <w:right w:val="nil"/>
            </w:tcBorders>
            <w:shd w:val="clear" w:color="auto" w:fill="F2F2F2" w:themeFill="background1" w:themeFillShade="F2"/>
          </w:tcPr>
          <w:p w:rsidR="00C73F40" w:rsidRPr="001B263D" w:rsidRDefault="00C73F40" w:rsidP="0010219F">
            <w:pPr>
              <w:contextualSpacing/>
              <w:jc w:val="center"/>
              <w:rPr>
                <w:sz w:val="16"/>
                <w:szCs w:val="16"/>
              </w:rPr>
            </w:pPr>
          </w:p>
        </w:tc>
        <w:tc>
          <w:tcPr>
            <w:tcW w:w="283" w:type="dxa"/>
            <w:gridSpan w:val="2"/>
            <w:tcBorders>
              <w:top w:val="nil"/>
              <w:left w:val="nil"/>
              <w:bottom w:val="nil"/>
              <w:right w:val="nil"/>
            </w:tcBorders>
            <w:shd w:val="clear" w:color="auto" w:fill="D9D9D9" w:themeFill="background1" w:themeFillShade="D9"/>
          </w:tcPr>
          <w:p w:rsidR="00C73F40" w:rsidRPr="001B263D" w:rsidRDefault="00C73F40" w:rsidP="0010219F">
            <w:pPr>
              <w:contextualSpacing/>
              <w:jc w:val="center"/>
              <w:rPr>
                <w:sz w:val="16"/>
                <w:szCs w:val="16"/>
              </w:rPr>
            </w:pPr>
            <w:r w:rsidRPr="001B263D">
              <w:rPr>
                <w:sz w:val="16"/>
                <w:szCs w:val="16"/>
              </w:rPr>
              <w:t>4</w:t>
            </w:r>
          </w:p>
        </w:tc>
        <w:tc>
          <w:tcPr>
            <w:tcW w:w="426" w:type="dxa"/>
            <w:gridSpan w:val="2"/>
            <w:tcBorders>
              <w:top w:val="nil"/>
              <w:left w:val="nil"/>
              <w:bottom w:val="nil"/>
              <w:right w:val="nil"/>
            </w:tcBorders>
            <w:shd w:val="clear" w:color="auto" w:fill="D9D9D9" w:themeFill="background1" w:themeFillShade="D9"/>
          </w:tcPr>
          <w:p w:rsidR="00C73F40" w:rsidRPr="00727E19" w:rsidRDefault="00BA6E30" w:rsidP="0010219F">
            <w:pPr>
              <w:contextualSpacing/>
              <w:jc w:val="center"/>
              <w:rPr>
                <w:sz w:val="16"/>
                <w:szCs w:val="16"/>
              </w:rPr>
            </w:pPr>
            <w:r w:rsidRPr="001B263D">
              <w:rPr>
                <w:sz w:val="16"/>
                <w:szCs w:val="16"/>
              </w:rPr>
              <w:t>+</w:t>
            </w:r>
          </w:p>
        </w:tc>
        <w:tc>
          <w:tcPr>
            <w:tcW w:w="283" w:type="dxa"/>
            <w:gridSpan w:val="2"/>
            <w:tcBorders>
              <w:top w:val="nil"/>
              <w:left w:val="nil"/>
              <w:bottom w:val="nil"/>
              <w:right w:val="nil"/>
            </w:tcBorders>
            <w:shd w:val="clear" w:color="auto" w:fill="D9D9D9" w:themeFill="background1" w:themeFillShade="D9"/>
          </w:tcPr>
          <w:p w:rsidR="00C73F40" w:rsidRPr="00727E19" w:rsidRDefault="00C73F40" w:rsidP="0010219F">
            <w:pPr>
              <w:contextualSpacing/>
              <w:jc w:val="center"/>
              <w:rPr>
                <w:sz w:val="16"/>
                <w:szCs w:val="16"/>
              </w:rPr>
            </w:pPr>
          </w:p>
        </w:tc>
      </w:tr>
    </w:tbl>
    <w:p w:rsidR="00C73F40" w:rsidRPr="008A36BC" w:rsidRDefault="00C73F40" w:rsidP="00C73F40">
      <w:pPr>
        <w:spacing w:after="120"/>
        <w:rPr>
          <w:sz w:val="4"/>
          <w:szCs w:val="4"/>
        </w:rPr>
      </w:pPr>
    </w:p>
    <w:p w:rsidR="004B326B" w:rsidRPr="0009077B" w:rsidRDefault="004B326B" w:rsidP="004B326B">
      <w:pPr>
        <w:spacing w:after="0" w:line="240" w:lineRule="auto"/>
        <w:ind w:right="-188" w:hanging="284"/>
        <w:jc w:val="right"/>
        <w:rPr>
          <w:sz w:val="12"/>
          <w:szCs w:val="12"/>
        </w:rPr>
      </w:pPr>
      <w:r w:rsidRPr="00D41DAA">
        <w:rPr>
          <w:b/>
          <w:sz w:val="12"/>
          <w:szCs w:val="12"/>
        </w:rPr>
        <w:t>R</w:t>
      </w:r>
      <w:r>
        <w:rPr>
          <w:sz w:val="12"/>
          <w:szCs w:val="12"/>
        </w:rPr>
        <w:t xml:space="preserve"> =</w:t>
      </w:r>
      <w:r w:rsidRPr="0009077B">
        <w:rPr>
          <w:sz w:val="12"/>
          <w:szCs w:val="12"/>
        </w:rPr>
        <w:t xml:space="preserve"> RESPONSE median (</w:t>
      </w:r>
      <w:proofErr w:type="spellStart"/>
      <w:r w:rsidRPr="0009077B">
        <w:rPr>
          <w:sz w:val="12"/>
          <w:szCs w:val="12"/>
        </w:rPr>
        <w:t>Likert</w:t>
      </w:r>
      <w:proofErr w:type="spellEnd"/>
      <w:r w:rsidRPr="0009077B">
        <w:rPr>
          <w:sz w:val="12"/>
          <w:szCs w:val="12"/>
        </w:rPr>
        <w:t xml:space="preserve"> scale: 1 = strongly disagree</w:t>
      </w:r>
      <w:r>
        <w:rPr>
          <w:sz w:val="12"/>
          <w:szCs w:val="12"/>
        </w:rPr>
        <w:t xml:space="preserve">; 2 = disagree; 3 = indifferent; 4 = agree; </w:t>
      </w:r>
      <w:r w:rsidRPr="0009077B">
        <w:rPr>
          <w:sz w:val="12"/>
          <w:szCs w:val="12"/>
        </w:rPr>
        <w:t>5 = strongly agree)</w:t>
      </w:r>
    </w:p>
    <w:p w:rsidR="004B326B" w:rsidRPr="000F0EBC" w:rsidRDefault="004B326B" w:rsidP="004B326B">
      <w:pPr>
        <w:spacing w:after="0" w:line="240" w:lineRule="auto"/>
        <w:ind w:right="-188" w:hanging="284"/>
        <w:jc w:val="right"/>
        <w:rPr>
          <w:sz w:val="12"/>
          <w:szCs w:val="12"/>
        </w:rPr>
      </w:pPr>
      <w:r w:rsidRPr="00D41DAA">
        <w:rPr>
          <w:b/>
          <w:sz w:val="12"/>
          <w:szCs w:val="12"/>
        </w:rPr>
        <w:t>C</w:t>
      </w:r>
      <w:r>
        <w:rPr>
          <w:sz w:val="12"/>
          <w:szCs w:val="12"/>
        </w:rPr>
        <w:t xml:space="preserve"> =</w:t>
      </w:r>
      <w:r w:rsidRPr="0009077B">
        <w:rPr>
          <w:sz w:val="12"/>
          <w:szCs w:val="12"/>
        </w:rPr>
        <w:t xml:space="preserve"> CONSENSUS </w:t>
      </w:r>
      <w:r>
        <w:rPr>
          <w:sz w:val="12"/>
          <w:szCs w:val="12"/>
        </w:rPr>
        <w:t xml:space="preserve">extent </w:t>
      </w:r>
      <w:r w:rsidRPr="0009077B">
        <w:rPr>
          <w:sz w:val="12"/>
          <w:szCs w:val="12"/>
        </w:rPr>
        <w:t>(- = consensus</w:t>
      </w:r>
      <w:r>
        <w:rPr>
          <w:sz w:val="12"/>
          <w:szCs w:val="12"/>
        </w:rPr>
        <w:t xml:space="preserve"> not achieved (inter-quartile range (IQR) = &gt;1.0)</w:t>
      </w:r>
      <w:r w:rsidRPr="0009077B">
        <w:rPr>
          <w:sz w:val="12"/>
          <w:szCs w:val="12"/>
        </w:rPr>
        <w:t>; + = good consensus</w:t>
      </w:r>
      <w:r>
        <w:rPr>
          <w:sz w:val="12"/>
          <w:szCs w:val="12"/>
        </w:rPr>
        <w:t xml:space="preserve"> (IQR = 1.0)</w:t>
      </w:r>
      <w:r w:rsidRPr="0009077B">
        <w:rPr>
          <w:sz w:val="12"/>
          <w:szCs w:val="12"/>
        </w:rPr>
        <w:t xml:space="preserve">; </w:t>
      </w:r>
      <w:r w:rsidRPr="000F0EBC">
        <w:rPr>
          <w:sz w:val="12"/>
          <w:szCs w:val="12"/>
        </w:rPr>
        <w:t>++ = very good consensus</w:t>
      </w:r>
      <w:r>
        <w:rPr>
          <w:sz w:val="12"/>
          <w:szCs w:val="12"/>
        </w:rPr>
        <w:t xml:space="preserve"> (IQR = &lt;1.0)</w:t>
      </w:r>
      <w:r w:rsidRPr="000F0EBC">
        <w:rPr>
          <w:sz w:val="12"/>
          <w:szCs w:val="12"/>
        </w:rPr>
        <w:t xml:space="preserve">) </w:t>
      </w:r>
    </w:p>
    <w:p w:rsidR="004B326B" w:rsidRPr="000F0EBC" w:rsidRDefault="004B326B" w:rsidP="004B326B">
      <w:pPr>
        <w:spacing w:after="0" w:line="240" w:lineRule="auto"/>
        <w:ind w:right="-188" w:hanging="284"/>
        <w:jc w:val="right"/>
        <w:rPr>
          <w:rFonts w:eastAsia="MS Mincho" w:cs="MS Mincho"/>
          <w:sz w:val="16"/>
          <w:szCs w:val="16"/>
        </w:rPr>
      </w:pPr>
      <w:r w:rsidRPr="00513113">
        <w:rPr>
          <w:b/>
          <w:sz w:val="12"/>
          <w:szCs w:val="12"/>
        </w:rPr>
        <w:t>S</w:t>
      </w:r>
      <w:r>
        <w:rPr>
          <w:sz w:val="12"/>
          <w:szCs w:val="12"/>
        </w:rPr>
        <w:t xml:space="preserve"> =</w:t>
      </w:r>
      <w:r w:rsidRPr="000F0EBC">
        <w:rPr>
          <w:sz w:val="12"/>
          <w:szCs w:val="12"/>
        </w:rPr>
        <w:t xml:space="preserve"> STABILITY of round 2→3 response</w:t>
      </w:r>
      <w:r>
        <w:rPr>
          <w:sz w:val="12"/>
          <w:szCs w:val="12"/>
        </w:rPr>
        <w:t>s</w:t>
      </w:r>
      <w:r w:rsidRPr="000F0EBC">
        <w:rPr>
          <w:sz w:val="12"/>
          <w:szCs w:val="12"/>
        </w:rPr>
        <w:t xml:space="preserve"> (</w:t>
      </w:r>
      <w:r w:rsidRPr="000F0EBC">
        <w:rPr>
          <w:rFonts w:ascii="MS Gothic" w:eastAsia="MS Gothic" w:hAnsi="MS Gothic" w:cs="MS Gothic" w:hint="eastAsia"/>
          <w:sz w:val="12"/>
          <w:szCs w:val="12"/>
        </w:rPr>
        <w:t>✓</w:t>
      </w:r>
      <w:r w:rsidRPr="000F0EBC">
        <w:rPr>
          <w:rFonts w:eastAsia="MS Gothic" w:cs="MS Gothic"/>
          <w:sz w:val="12"/>
          <w:szCs w:val="12"/>
        </w:rPr>
        <w:t xml:space="preserve">= no significant change, </w:t>
      </w:r>
      <w:r w:rsidRPr="000F0EBC">
        <w:rPr>
          <w:rFonts w:eastAsia="MS Gothic" w:cs="MS Gothic"/>
          <w:i/>
          <w:sz w:val="12"/>
          <w:szCs w:val="12"/>
        </w:rPr>
        <w:t>p</w:t>
      </w:r>
      <w:r>
        <w:rPr>
          <w:rFonts w:eastAsia="MS Gothic" w:cs="MS Gothic"/>
          <w:sz w:val="12"/>
          <w:szCs w:val="12"/>
        </w:rPr>
        <w:t>-value = &gt;0.05</w:t>
      </w:r>
      <w:r w:rsidRPr="000F0EBC">
        <w:rPr>
          <w:rFonts w:eastAsia="MS Gothic" w:cs="MS Gothic"/>
          <w:sz w:val="12"/>
          <w:szCs w:val="12"/>
        </w:rPr>
        <w:t>;</w:t>
      </w:r>
      <w:r w:rsidRPr="000F0EBC">
        <w:rPr>
          <w:rFonts w:ascii="MS Mincho" w:eastAsia="MS Mincho" w:hAnsi="MS Mincho" w:cs="MS Mincho" w:hint="eastAsia"/>
          <w:sz w:val="12"/>
          <w:szCs w:val="12"/>
        </w:rPr>
        <w:t xml:space="preserve"> ✗</w:t>
      </w:r>
      <w:r w:rsidRPr="000F0EBC">
        <w:rPr>
          <w:rFonts w:eastAsia="MS Mincho" w:cs="MS Mincho"/>
          <w:sz w:val="12"/>
          <w:szCs w:val="12"/>
        </w:rPr>
        <w:t xml:space="preserve">= significant change, </w:t>
      </w:r>
      <w:r w:rsidRPr="000F0EBC">
        <w:rPr>
          <w:rFonts w:eastAsia="MS Mincho" w:cs="MS Mincho"/>
          <w:i/>
          <w:sz w:val="12"/>
          <w:szCs w:val="12"/>
        </w:rPr>
        <w:t>p</w:t>
      </w:r>
      <w:r>
        <w:rPr>
          <w:rFonts w:eastAsia="MS Mincho" w:cs="MS Mincho"/>
          <w:sz w:val="12"/>
          <w:szCs w:val="12"/>
        </w:rPr>
        <w:t>-value = &lt;0.05</w:t>
      </w:r>
      <w:r w:rsidRPr="000F0EBC">
        <w:rPr>
          <w:rFonts w:eastAsia="MS Mincho" w:cs="MS Mincho"/>
          <w:sz w:val="12"/>
          <w:szCs w:val="12"/>
        </w:rPr>
        <w:t>)</w:t>
      </w:r>
      <w:r w:rsidRPr="000F0EBC">
        <w:rPr>
          <w:rFonts w:eastAsia="MS Mincho" w:cs="MS Mincho"/>
          <w:sz w:val="16"/>
          <w:szCs w:val="16"/>
        </w:rPr>
        <w:t xml:space="preserve"> </w:t>
      </w:r>
    </w:p>
    <w:p w:rsidR="004B326B" w:rsidRDefault="004B326B" w:rsidP="004B326B">
      <w:pPr>
        <w:spacing w:after="0" w:line="240" w:lineRule="auto"/>
        <w:ind w:right="-188" w:hanging="284"/>
        <w:jc w:val="right"/>
        <w:rPr>
          <w:rFonts w:eastAsia="MS Mincho" w:cs="MS Mincho"/>
          <w:sz w:val="12"/>
          <w:szCs w:val="12"/>
        </w:rPr>
      </w:pPr>
      <w:r w:rsidRPr="00513113">
        <w:rPr>
          <w:rFonts w:eastAsia="MS Mincho" w:cs="MS Mincho"/>
          <w:b/>
          <w:sz w:val="12"/>
          <w:szCs w:val="12"/>
        </w:rPr>
        <w:t>*</w:t>
      </w:r>
      <w:r w:rsidRPr="000F0EBC">
        <w:rPr>
          <w:rFonts w:eastAsia="MS Mincho" w:cs="MS Mincho"/>
          <w:sz w:val="12"/>
          <w:szCs w:val="12"/>
        </w:rPr>
        <w:t xml:space="preserve"> </w:t>
      </w:r>
      <w:r>
        <w:rPr>
          <w:rFonts w:eastAsia="MS Mincho" w:cs="MS Mincho"/>
          <w:sz w:val="12"/>
          <w:szCs w:val="12"/>
        </w:rPr>
        <w:t>=</w:t>
      </w:r>
      <w:r w:rsidRPr="000F0EBC">
        <w:rPr>
          <w:rFonts w:eastAsia="MS Mincho" w:cs="MS Mincho"/>
          <w:sz w:val="12"/>
          <w:szCs w:val="12"/>
        </w:rPr>
        <w:t xml:space="preserve"> </w:t>
      </w:r>
      <w:r>
        <w:rPr>
          <w:rFonts w:eastAsia="MS Mincho" w:cs="MS Mincho"/>
          <w:sz w:val="12"/>
          <w:szCs w:val="12"/>
        </w:rPr>
        <w:t>item</w:t>
      </w:r>
      <w:r w:rsidRPr="000F0EBC">
        <w:rPr>
          <w:rFonts w:eastAsia="MS Mincho" w:cs="MS Mincho"/>
          <w:sz w:val="12"/>
          <w:szCs w:val="12"/>
        </w:rPr>
        <w:t xml:space="preserve"> did not achieve consensus in survey round 2 and was carried over to round</w:t>
      </w:r>
      <w:r>
        <w:rPr>
          <w:rFonts w:eastAsia="MS Mincho" w:cs="MS Mincho"/>
          <w:sz w:val="12"/>
          <w:szCs w:val="12"/>
        </w:rPr>
        <w:t xml:space="preserve"> 3; only round 3 </w:t>
      </w:r>
      <w:proofErr w:type="gramStart"/>
      <w:r>
        <w:rPr>
          <w:rFonts w:eastAsia="MS Mincho" w:cs="MS Mincho"/>
          <w:sz w:val="12"/>
          <w:szCs w:val="12"/>
        </w:rPr>
        <w:t>result</w:t>
      </w:r>
      <w:proofErr w:type="gramEnd"/>
      <w:r>
        <w:rPr>
          <w:rFonts w:eastAsia="MS Mincho" w:cs="MS Mincho"/>
          <w:sz w:val="12"/>
          <w:szCs w:val="12"/>
        </w:rPr>
        <w:t xml:space="preserve"> shown</w:t>
      </w:r>
    </w:p>
    <w:p w:rsidR="004B326B" w:rsidRDefault="004B326B" w:rsidP="004B326B">
      <w:pPr>
        <w:spacing w:after="0" w:line="240" w:lineRule="auto"/>
        <w:ind w:hanging="284"/>
        <w:rPr>
          <w:b/>
          <w:sz w:val="12"/>
          <w:szCs w:val="12"/>
        </w:rPr>
      </w:pPr>
    </w:p>
    <w:p w:rsidR="004B326B" w:rsidRPr="007F0930" w:rsidRDefault="004B326B" w:rsidP="004B326B">
      <w:pPr>
        <w:spacing w:after="0" w:line="240" w:lineRule="auto"/>
        <w:ind w:hanging="284"/>
        <w:rPr>
          <w:b/>
          <w:sz w:val="2"/>
          <w:szCs w:val="2"/>
        </w:rPr>
      </w:pPr>
    </w:p>
    <w:p w:rsidR="004B326B" w:rsidRPr="00FC0F8E" w:rsidRDefault="004B326B" w:rsidP="004B326B">
      <w:pPr>
        <w:spacing w:after="120"/>
        <w:ind w:left="289" w:hanging="289"/>
        <w:jc w:val="center"/>
        <w:rPr>
          <w:sz w:val="18"/>
          <w:szCs w:val="18"/>
        </w:rPr>
      </w:pPr>
      <w:proofErr w:type="gramStart"/>
      <w:r w:rsidRPr="00FC0F8E">
        <w:rPr>
          <w:sz w:val="18"/>
          <w:szCs w:val="18"/>
        </w:rPr>
        <w:t>Table 2.</w:t>
      </w:r>
      <w:proofErr w:type="gramEnd"/>
      <w:r w:rsidRPr="00FC0F8E">
        <w:rPr>
          <w:sz w:val="18"/>
          <w:szCs w:val="18"/>
        </w:rPr>
        <w:t xml:space="preserve"> Suggested barriers and solutions to increasing public health integration and collaboration in LAQM</w:t>
      </w:r>
    </w:p>
    <w:p w:rsidR="004B326B" w:rsidRDefault="004B326B" w:rsidP="004B326B">
      <w:pPr>
        <w:spacing w:after="0" w:line="240" w:lineRule="auto"/>
        <w:ind w:hanging="284"/>
        <w:rPr>
          <w:b/>
          <w:sz w:val="12"/>
          <w:szCs w:val="12"/>
        </w:rPr>
      </w:pPr>
    </w:p>
    <w:p w:rsidR="004B326B" w:rsidRDefault="004B326B" w:rsidP="004B326B">
      <w:pPr>
        <w:spacing w:after="0" w:line="240" w:lineRule="auto"/>
        <w:ind w:hanging="284"/>
        <w:rPr>
          <w:b/>
          <w:sz w:val="12"/>
          <w:szCs w:val="12"/>
        </w:rPr>
      </w:pPr>
    </w:p>
    <w:p w:rsidR="004B326B" w:rsidRDefault="004B326B" w:rsidP="004B326B">
      <w:pPr>
        <w:spacing w:after="0" w:line="240" w:lineRule="auto"/>
        <w:ind w:hanging="284"/>
        <w:rPr>
          <w:b/>
          <w:sz w:val="12"/>
          <w:szCs w:val="12"/>
        </w:rPr>
      </w:pPr>
    </w:p>
    <w:p w:rsidR="004B326B" w:rsidRDefault="004B326B" w:rsidP="004B326B">
      <w:pPr>
        <w:spacing w:after="0" w:line="240" w:lineRule="auto"/>
        <w:ind w:hanging="284"/>
        <w:rPr>
          <w:b/>
          <w:sz w:val="12"/>
          <w:szCs w:val="12"/>
        </w:rPr>
      </w:pPr>
    </w:p>
    <w:p w:rsidR="005F4AA1" w:rsidRDefault="005F4AA1" w:rsidP="00C21028">
      <w:pPr>
        <w:spacing w:after="120"/>
        <w:rPr>
          <w:rFonts w:ascii="Calibri" w:hAnsi="Calibri"/>
        </w:rPr>
      </w:pPr>
    </w:p>
    <w:p w:rsidR="00D95D95" w:rsidRDefault="00D95D95" w:rsidP="00C21028">
      <w:pPr>
        <w:spacing w:after="120"/>
        <w:rPr>
          <w:rFonts w:ascii="Calibri" w:hAnsi="Calibri"/>
        </w:rPr>
      </w:pPr>
    </w:p>
    <w:p w:rsidR="00D95D95" w:rsidRDefault="00D95D95" w:rsidP="00C21028">
      <w:pPr>
        <w:spacing w:after="120"/>
        <w:rPr>
          <w:rFonts w:ascii="Calibri" w:hAnsi="Calibri"/>
        </w:rPr>
      </w:pPr>
    </w:p>
    <w:p w:rsidR="00D95D95" w:rsidRDefault="00D95D95" w:rsidP="00C21028">
      <w:pPr>
        <w:spacing w:after="120"/>
        <w:rPr>
          <w:rFonts w:ascii="Calibri" w:hAnsi="Calibri"/>
        </w:rPr>
      </w:pPr>
    </w:p>
    <w:p w:rsidR="00D95D95" w:rsidRDefault="00D95D95" w:rsidP="00C21028">
      <w:pPr>
        <w:spacing w:after="120"/>
        <w:rPr>
          <w:rFonts w:ascii="Calibri" w:hAnsi="Calibri"/>
        </w:rPr>
      </w:pPr>
    </w:p>
    <w:p w:rsidR="00D95D95" w:rsidRDefault="00D95D95" w:rsidP="00C21028">
      <w:pPr>
        <w:spacing w:after="120"/>
        <w:rPr>
          <w:rFonts w:ascii="Calibri" w:hAnsi="Calibri"/>
        </w:rPr>
      </w:pPr>
    </w:p>
    <w:p w:rsidR="00D95D95" w:rsidRDefault="00D95D95" w:rsidP="00C21028">
      <w:pPr>
        <w:spacing w:after="120"/>
        <w:rPr>
          <w:rFonts w:ascii="Calibri" w:hAnsi="Calibri"/>
        </w:rPr>
      </w:pPr>
    </w:p>
    <w:p w:rsidR="00D95D95" w:rsidRDefault="00D95D95" w:rsidP="00C21028">
      <w:pPr>
        <w:spacing w:after="120"/>
        <w:rPr>
          <w:rFonts w:ascii="Calibri" w:hAnsi="Calibri"/>
        </w:rPr>
      </w:pPr>
    </w:p>
    <w:p w:rsidR="005F4AA1" w:rsidRPr="005F4AA1" w:rsidRDefault="00E30D80" w:rsidP="00C21028">
      <w:pPr>
        <w:spacing w:after="120"/>
        <w:rPr>
          <w:rFonts w:ascii="Calibri" w:hAnsi="Calibri"/>
          <w:i/>
        </w:rPr>
      </w:pPr>
      <w:r>
        <w:rPr>
          <w:rFonts w:ascii="Calibri" w:hAnsi="Calibri"/>
          <w:i/>
        </w:rPr>
        <w:lastRenderedPageBreak/>
        <w:t>Sub-panel c</w:t>
      </w:r>
      <w:r w:rsidR="005F4AA1">
        <w:rPr>
          <w:rFonts w:ascii="Calibri" w:hAnsi="Calibri"/>
          <w:i/>
        </w:rPr>
        <w:t>onsensus variation</w:t>
      </w:r>
      <w:r w:rsidR="00074C2A">
        <w:rPr>
          <w:rFonts w:ascii="Calibri" w:hAnsi="Calibri"/>
          <w:i/>
        </w:rPr>
        <w:t>,</w:t>
      </w:r>
      <w:r w:rsidR="00DB7228">
        <w:rPr>
          <w:rFonts w:ascii="Calibri" w:hAnsi="Calibri"/>
          <w:i/>
        </w:rPr>
        <w:t xml:space="preserve"> convergence and divergence</w:t>
      </w:r>
    </w:p>
    <w:p w:rsidR="00C21028" w:rsidRDefault="005F4AA1" w:rsidP="00C21028">
      <w:pPr>
        <w:spacing w:after="120"/>
        <w:rPr>
          <w:rFonts w:ascii="Calibri" w:hAnsi="Calibri"/>
        </w:rPr>
      </w:pPr>
      <w:r>
        <w:rPr>
          <w:rFonts w:ascii="Calibri" w:hAnsi="Calibri"/>
        </w:rPr>
        <w:t xml:space="preserve">In summary, </w:t>
      </w:r>
      <w:r w:rsidR="00C21028">
        <w:rPr>
          <w:rFonts w:ascii="Calibri" w:hAnsi="Calibri"/>
        </w:rPr>
        <w:t xml:space="preserve">agreement </w:t>
      </w:r>
      <w:r w:rsidR="00ED4762">
        <w:rPr>
          <w:rFonts w:ascii="Calibri" w:hAnsi="Calibri"/>
        </w:rPr>
        <w:t xml:space="preserve">with good consensus </w:t>
      </w:r>
      <w:r w:rsidR="00071B98">
        <w:rPr>
          <w:rFonts w:ascii="Calibri" w:hAnsi="Calibri"/>
        </w:rPr>
        <w:t xml:space="preserve">(and response stability where appropriate) </w:t>
      </w:r>
      <w:r w:rsidR="00C21028">
        <w:rPr>
          <w:rFonts w:ascii="Calibri" w:hAnsi="Calibri"/>
        </w:rPr>
        <w:t>was achieved across all sub-panels for 8</w:t>
      </w:r>
      <w:r w:rsidR="00071B98">
        <w:rPr>
          <w:rFonts w:ascii="Calibri" w:hAnsi="Calibri"/>
        </w:rPr>
        <w:t>4</w:t>
      </w:r>
      <w:r w:rsidR="00C21028">
        <w:rPr>
          <w:rFonts w:ascii="Calibri" w:hAnsi="Calibri"/>
        </w:rPr>
        <w:t>/100 items</w:t>
      </w:r>
      <w:r w:rsidR="00F364D9">
        <w:rPr>
          <w:rFonts w:ascii="Calibri" w:hAnsi="Calibri"/>
        </w:rPr>
        <w:t>. Those experts in the</w:t>
      </w:r>
      <w:r w:rsidR="00C21028">
        <w:rPr>
          <w:rFonts w:ascii="Calibri" w:hAnsi="Calibri"/>
        </w:rPr>
        <w:t xml:space="preserve"> ‘</w:t>
      </w:r>
      <w:r w:rsidR="008E0EAE">
        <w:rPr>
          <w:rFonts w:ascii="Calibri" w:hAnsi="Calibri"/>
        </w:rPr>
        <w:t>p</w:t>
      </w:r>
      <w:r w:rsidR="00C21028">
        <w:rPr>
          <w:rFonts w:ascii="Calibri" w:hAnsi="Calibri"/>
        </w:rPr>
        <w:t xml:space="preserve">ublic </w:t>
      </w:r>
      <w:r w:rsidR="008E0EAE">
        <w:rPr>
          <w:rFonts w:ascii="Calibri" w:hAnsi="Calibri"/>
        </w:rPr>
        <w:t>h</w:t>
      </w:r>
      <w:r w:rsidR="00C21028">
        <w:rPr>
          <w:rFonts w:ascii="Calibri" w:hAnsi="Calibri"/>
        </w:rPr>
        <w:t xml:space="preserve">ealth’ </w:t>
      </w:r>
      <w:r w:rsidR="00F364D9">
        <w:rPr>
          <w:rFonts w:ascii="Calibri" w:hAnsi="Calibri"/>
        </w:rPr>
        <w:t>sub-panel</w:t>
      </w:r>
      <w:r w:rsidR="00C21028">
        <w:rPr>
          <w:rFonts w:ascii="Calibri" w:hAnsi="Calibri"/>
        </w:rPr>
        <w:t xml:space="preserve"> reached agreement </w:t>
      </w:r>
      <w:r w:rsidR="00ED4762">
        <w:rPr>
          <w:rFonts w:ascii="Calibri" w:hAnsi="Calibri"/>
        </w:rPr>
        <w:t xml:space="preserve">with consensus </w:t>
      </w:r>
      <w:r w:rsidR="00C21028">
        <w:rPr>
          <w:rFonts w:ascii="Calibri" w:hAnsi="Calibri"/>
        </w:rPr>
        <w:t>on 9</w:t>
      </w:r>
      <w:r w:rsidR="00186A66">
        <w:rPr>
          <w:rFonts w:ascii="Calibri" w:hAnsi="Calibri"/>
        </w:rPr>
        <w:t>3</w:t>
      </w:r>
      <w:r w:rsidR="00C21028">
        <w:rPr>
          <w:rFonts w:ascii="Calibri" w:hAnsi="Calibri"/>
        </w:rPr>
        <w:t xml:space="preserve"> items, ‘</w:t>
      </w:r>
      <w:r w:rsidR="008E0EAE">
        <w:rPr>
          <w:rFonts w:ascii="Calibri" w:hAnsi="Calibri"/>
        </w:rPr>
        <w:t>a</w:t>
      </w:r>
      <w:r w:rsidR="00C21028">
        <w:rPr>
          <w:rFonts w:ascii="Calibri" w:hAnsi="Calibri"/>
        </w:rPr>
        <w:t xml:space="preserve">ir </w:t>
      </w:r>
      <w:r w:rsidR="008E0EAE">
        <w:rPr>
          <w:rFonts w:ascii="Calibri" w:hAnsi="Calibri"/>
        </w:rPr>
        <w:t>q</w:t>
      </w:r>
      <w:r w:rsidR="00C21028">
        <w:rPr>
          <w:rFonts w:ascii="Calibri" w:hAnsi="Calibri"/>
        </w:rPr>
        <w:t xml:space="preserve">uality </w:t>
      </w:r>
      <w:r w:rsidR="008E0EAE">
        <w:rPr>
          <w:rFonts w:ascii="Calibri" w:hAnsi="Calibri"/>
        </w:rPr>
        <w:t>m</w:t>
      </w:r>
      <w:r w:rsidR="00C21028">
        <w:rPr>
          <w:rFonts w:ascii="Calibri" w:hAnsi="Calibri"/>
        </w:rPr>
        <w:t>anagement’ experts on 91 items, and ‘</w:t>
      </w:r>
      <w:r w:rsidR="008E0EAE">
        <w:rPr>
          <w:rFonts w:ascii="Calibri" w:hAnsi="Calibri"/>
        </w:rPr>
        <w:t>o</w:t>
      </w:r>
      <w:r w:rsidR="00C21028">
        <w:rPr>
          <w:rFonts w:ascii="Calibri" w:hAnsi="Calibri"/>
        </w:rPr>
        <w:t xml:space="preserve">ther’ experts on </w:t>
      </w:r>
      <w:r w:rsidR="00186A66">
        <w:rPr>
          <w:rFonts w:ascii="Calibri" w:hAnsi="Calibri"/>
        </w:rPr>
        <w:t>90</w:t>
      </w:r>
      <w:r w:rsidR="00C21028">
        <w:rPr>
          <w:rFonts w:ascii="Calibri" w:hAnsi="Calibri"/>
        </w:rPr>
        <w:t xml:space="preserve"> </w:t>
      </w:r>
      <w:r w:rsidR="00C21028" w:rsidRPr="00743B65">
        <w:rPr>
          <w:rFonts w:ascii="Calibri" w:hAnsi="Calibri"/>
        </w:rPr>
        <w:t>items (Table 3).</w:t>
      </w:r>
      <w:r w:rsidR="00C21028">
        <w:rPr>
          <w:rFonts w:ascii="Calibri" w:hAnsi="Calibri"/>
        </w:rPr>
        <w:t xml:space="preserve"> </w:t>
      </w:r>
    </w:p>
    <w:p w:rsidR="00FC0F8E" w:rsidRPr="00D95D95" w:rsidRDefault="00FC0F8E" w:rsidP="00C21028">
      <w:pPr>
        <w:spacing w:after="120"/>
        <w:rPr>
          <w:rFonts w:ascii="Calibri" w:hAnsi="Calibri"/>
          <w:sz w:val="6"/>
          <w:szCs w:val="6"/>
        </w:rPr>
      </w:pPr>
    </w:p>
    <w:p w:rsidR="00C21028" w:rsidRPr="003D7C2C" w:rsidRDefault="00C21028" w:rsidP="00C21028">
      <w:pPr>
        <w:spacing w:after="120"/>
        <w:rPr>
          <w:rFonts w:ascii="Calibri" w:hAnsi="Calibri"/>
          <w:sz w:val="2"/>
          <w:szCs w:val="2"/>
        </w:r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134"/>
        <w:gridCol w:w="1843"/>
        <w:gridCol w:w="1701"/>
        <w:gridCol w:w="709"/>
        <w:gridCol w:w="1417"/>
        <w:gridCol w:w="1870"/>
      </w:tblGrid>
      <w:tr w:rsidR="00C21028" w:rsidRPr="003D7C2C" w:rsidTr="000E41BB">
        <w:trPr>
          <w:trHeight w:val="928"/>
          <w:jc w:val="center"/>
        </w:trPr>
        <w:tc>
          <w:tcPr>
            <w:tcW w:w="1134" w:type="dxa"/>
            <w:tcBorders>
              <w:top w:val="nil"/>
              <w:left w:val="nil"/>
              <w:bottom w:val="single" w:sz="4" w:space="0" w:color="auto"/>
              <w:right w:val="single" w:sz="4" w:space="0" w:color="auto"/>
            </w:tcBorders>
            <w:vAlign w:val="center"/>
          </w:tcPr>
          <w:p w:rsidR="00C21028" w:rsidRPr="003D7C2C" w:rsidRDefault="00C21028" w:rsidP="00FF01B2">
            <w:pPr>
              <w:contextualSpacing/>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b/>
                <w:bCs/>
                <w:sz w:val="16"/>
                <w:szCs w:val="16"/>
              </w:rPr>
            </w:pPr>
            <w:r w:rsidRPr="003D7C2C">
              <w:rPr>
                <w:b/>
                <w:bCs/>
                <w:sz w:val="16"/>
                <w:szCs w:val="16"/>
              </w:rPr>
              <w:t>Delphi</w:t>
            </w:r>
          </w:p>
          <w:p w:rsidR="00C21028" w:rsidRPr="003D7C2C" w:rsidRDefault="00C21028" w:rsidP="00FF01B2">
            <w:pPr>
              <w:contextualSpacing/>
              <w:jc w:val="center"/>
              <w:rPr>
                <w:b/>
                <w:sz w:val="16"/>
                <w:szCs w:val="16"/>
              </w:rPr>
            </w:pPr>
            <w:r w:rsidRPr="003D7C2C">
              <w:rPr>
                <w:b/>
                <w:bCs/>
                <w:sz w:val="16"/>
                <w:szCs w:val="16"/>
              </w:rPr>
              <w:t>sub-panel</w:t>
            </w:r>
          </w:p>
        </w:tc>
        <w:tc>
          <w:tcPr>
            <w:tcW w:w="1701" w:type="dxa"/>
            <w:tcBorders>
              <w:top w:val="single" w:sz="4" w:space="0" w:color="auto"/>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b/>
                <w:sz w:val="16"/>
                <w:szCs w:val="16"/>
              </w:rPr>
            </w:pPr>
            <w:r w:rsidRPr="003D7C2C">
              <w:rPr>
                <w:b/>
                <w:bCs/>
                <w:sz w:val="16"/>
                <w:szCs w:val="16"/>
              </w:rPr>
              <w:t>No. items agreed, with consensus (R</w:t>
            </w:r>
            <w:r w:rsidR="0084438C">
              <w:rPr>
                <w:b/>
                <w:bCs/>
                <w:sz w:val="16"/>
                <w:szCs w:val="16"/>
              </w:rPr>
              <w:t xml:space="preserve">ound </w:t>
            </w:r>
            <w:r w:rsidRPr="003D7C2C">
              <w:rPr>
                <w:b/>
                <w:bCs/>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b/>
                <w:sz w:val="16"/>
                <w:szCs w:val="16"/>
              </w:rPr>
            </w:pPr>
            <w:r w:rsidRPr="003D7C2C">
              <w:rPr>
                <w:b/>
                <w:bCs/>
                <w:sz w:val="16"/>
                <w:szCs w:val="16"/>
              </w:rPr>
              <w:t>No. items carried</w:t>
            </w:r>
          </w:p>
        </w:tc>
        <w:tc>
          <w:tcPr>
            <w:tcW w:w="1417" w:type="dxa"/>
            <w:tcBorders>
              <w:top w:val="single" w:sz="4" w:space="0" w:color="auto"/>
              <w:left w:val="single" w:sz="4" w:space="0" w:color="auto"/>
              <w:bottom w:val="single" w:sz="4" w:space="0" w:color="auto"/>
              <w:right w:val="single" w:sz="4" w:space="0" w:color="auto"/>
            </w:tcBorders>
            <w:vAlign w:val="center"/>
          </w:tcPr>
          <w:p w:rsidR="00FF01B2" w:rsidRDefault="00FF01B2" w:rsidP="00FF01B2">
            <w:pPr>
              <w:contextualSpacing/>
              <w:jc w:val="center"/>
              <w:rPr>
                <w:b/>
                <w:bCs/>
                <w:sz w:val="16"/>
                <w:szCs w:val="16"/>
              </w:rPr>
            </w:pPr>
          </w:p>
          <w:p w:rsidR="00FF01B2" w:rsidRPr="003D7C2C" w:rsidRDefault="00C21028" w:rsidP="00FF01B2">
            <w:pPr>
              <w:contextualSpacing/>
              <w:jc w:val="center"/>
              <w:rPr>
                <w:b/>
                <w:sz w:val="16"/>
                <w:szCs w:val="16"/>
              </w:rPr>
            </w:pPr>
            <w:r w:rsidRPr="003D7C2C">
              <w:rPr>
                <w:b/>
                <w:bCs/>
                <w:sz w:val="16"/>
                <w:szCs w:val="16"/>
              </w:rPr>
              <w:t>No. items agreed, with consensus and stability (R</w:t>
            </w:r>
            <w:r w:rsidR="0084438C">
              <w:rPr>
                <w:b/>
                <w:bCs/>
                <w:sz w:val="16"/>
                <w:szCs w:val="16"/>
              </w:rPr>
              <w:t xml:space="preserve">ound </w:t>
            </w:r>
            <w:r w:rsidRPr="003D7C2C">
              <w:rPr>
                <w:b/>
                <w:bCs/>
                <w:sz w:val="16"/>
                <w:szCs w:val="16"/>
              </w:rPr>
              <w:t>3)</w:t>
            </w:r>
          </w:p>
        </w:tc>
        <w:tc>
          <w:tcPr>
            <w:tcW w:w="1870" w:type="dxa"/>
            <w:tcBorders>
              <w:top w:val="single" w:sz="4" w:space="0" w:color="auto"/>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b/>
                <w:sz w:val="16"/>
                <w:szCs w:val="16"/>
              </w:rPr>
            </w:pPr>
            <w:r w:rsidRPr="003D7C2C">
              <w:rPr>
                <w:b/>
                <w:bCs/>
                <w:sz w:val="16"/>
                <w:szCs w:val="16"/>
              </w:rPr>
              <w:t>Final no. items agreed, with consensus and stability</w:t>
            </w:r>
          </w:p>
        </w:tc>
      </w:tr>
      <w:tr w:rsidR="00C21028" w:rsidRPr="003D7C2C" w:rsidTr="00743B65">
        <w:trPr>
          <w:trHeight w:val="416"/>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21028" w:rsidRPr="003F109C" w:rsidRDefault="00C21028" w:rsidP="00FF01B2">
            <w:pPr>
              <w:contextualSpacing/>
              <w:jc w:val="center"/>
              <w:rPr>
                <w:b/>
                <w:sz w:val="16"/>
                <w:szCs w:val="16"/>
              </w:rPr>
            </w:pPr>
            <w:r w:rsidRPr="003F109C">
              <w:rPr>
                <w:b/>
                <w:bCs/>
                <w:sz w:val="16"/>
                <w:szCs w:val="16"/>
              </w:rPr>
              <w:t>Suggested roles</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p</w:t>
            </w:r>
            <w:r w:rsidR="00C21028" w:rsidRPr="003D7C2C">
              <w:rPr>
                <w:sz w:val="16"/>
                <w:szCs w:val="16"/>
              </w:rPr>
              <w:t xml:space="preserve">ublic </w:t>
            </w:r>
            <w:r>
              <w:rPr>
                <w:sz w:val="16"/>
                <w:szCs w:val="16"/>
              </w:rPr>
              <w:t>h</w:t>
            </w:r>
            <w:r w:rsidR="00C21028" w:rsidRPr="003D7C2C">
              <w:rPr>
                <w:sz w:val="16"/>
                <w:szCs w:val="16"/>
              </w:rPr>
              <w:t>ealth</w:t>
            </w:r>
          </w:p>
          <w:p w:rsidR="00FF01B2" w:rsidRPr="003D7C2C" w:rsidRDefault="00FF01B2" w:rsidP="00FF01B2">
            <w:pPr>
              <w:contextualSpacing/>
              <w:jc w:val="center"/>
              <w:rPr>
                <w:sz w:val="16"/>
                <w:szCs w:val="16"/>
              </w:rPr>
            </w:pP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17 of 20</w:t>
            </w:r>
          </w:p>
        </w:tc>
        <w:tc>
          <w:tcPr>
            <w:tcW w:w="709" w:type="dxa"/>
            <w:vMerge w:val="restart"/>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3</w:t>
            </w: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3 of 3</w:t>
            </w:r>
          </w:p>
        </w:tc>
        <w:tc>
          <w:tcPr>
            <w:tcW w:w="1870" w:type="dxa"/>
            <w:tcBorders>
              <w:top w:val="single" w:sz="4" w:space="0" w:color="auto"/>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20</w:t>
            </w:r>
          </w:p>
        </w:tc>
      </w:tr>
      <w:tr w:rsidR="00C21028" w:rsidRPr="003D7C2C" w:rsidTr="000E41BB">
        <w:trPr>
          <w:trHeight w:val="131"/>
          <w:jc w:val="center"/>
        </w:trPr>
        <w:tc>
          <w:tcPr>
            <w:tcW w:w="1134"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F109C" w:rsidRDefault="00C21028" w:rsidP="00FF01B2">
            <w:pPr>
              <w:contextualSpacing/>
              <w:jc w:val="center"/>
              <w:rPr>
                <w:b/>
                <w:sz w:val="16"/>
                <w:szCs w:val="16"/>
              </w:rPr>
            </w:pPr>
          </w:p>
        </w:tc>
        <w:tc>
          <w:tcPr>
            <w:tcW w:w="1843" w:type="dxa"/>
            <w:tcBorders>
              <w:left w:val="single" w:sz="4" w:space="0" w:color="auto"/>
              <w:right w:val="single" w:sz="4" w:space="0" w:color="auto"/>
            </w:tcBorders>
            <w:shd w:val="clear" w:color="auto" w:fill="F2F2F2" w:themeFill="background1" w:themeFillShade="F2"/>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a</w:t>
            </w:r>
            <w:r w:rsidR="00C21028" w:rsidRPr="003D7C2C">
              <w:rPr>
                <w:sz w:val="16"/>
                <w:szCs w:val="16"/>
              </w:rPr>
              <w:t xml:space="preserve">ir </w:t>
            </w:r>
            <w:r>
              <w:rPr>
                <w:sz w:val="16"/>
                <w:szCs w:val="16"/>
              </w:rPr>
              <w:t>q</w:t>
            </w:r>
            <w:r w:rsidR="00C21028" w:rsidRPr="003D7C2C">
              <w:rPr>
                <w:sz w:val="16"/>
                <w:szCs w:val="16"/>
              </w:rPr>
              <w:t xml:space="preserve">uality </w:t>
            </w:r>
            <w:r>
              <w:rPr>
                <w:sz w:val="16"/>
                <w:szCs w:val="16"/>
              </w:rPr>
              <w:t>m</w:t>
            </w:r>
            <w:r w:rsidR="00C21028" w:rsidRPr="003D7C2C">
              <w:rPr>
                <w:sz w:val="16"/>
                <w:szCs w:val="16"/>
              </w:rPr>
              <w:t>anagement</w:t>
            </w:r>
          </w:p>
          <w:p w:rsidR="00FF01B2" w:rsidRPr="003D7C2C" w:rsidRDefault="00FF01B2" w:rsidP="00FF01B2">
            <w:pPr>
              <w:contextualSpacing/>
              <w:jc w:val="center"/>
              <w:rPr>
                <w:sz w:val="16"/>
                <w:szCs w:val="16"/>
              </w:rPr>
            </w:pPr>
          </w:p>
        </w:tc>
        <w:tc>
          <w:tcPr>
            <w:tcW w:w="1701" w:type="dxa"/>
            <w:tcBorders>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17 of 20</w:t>
            </w:r>
          </w:p>
        </w:tc>
        <w:tc>
          <w:tcPr>
            <w:tcW w:w="709"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p>
        </w:tc>
        <w:tc>
          <w:tcPr>
            <w:tcW w:w="1417" w:type="dxa"/>
            <w:tcBorders>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3 of 3</w:t>
            </w:r>
          </w:p>
        </w:tc>
        <w:tc>
          <w:tcPr>
            <w:tcW w:w="1870" w:type="dxa"/>
            <w:tcBorders>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20</w:t>
            </w:r>
          </w:p>
        </w:tc>
      </w:tr>
      <w:tr w:rsidR="00C21028" w:rsidRPr="003D7C2C" w:rsidTr="00097F7F">
        <w:trPr>
          <w:trHeight w:val="85"/>
          <w:jc w:val="center"/>
        </w:trPr>
        <w:tc>
          <w:tcPr>
            <w:tcW w:w="1134"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F109C" w:rsidRDefault="00C21028" w:rsidP="00FF01B2">
            <w:pPr>
              <w:contextualSpacing/>
              <w:jc w:val="center"/>
              <w:rPr>
                <w:b/>
                <w:sz w:val="16"/>
                <w:szCs w:val="16"/>
              </w:rPr>
            </w:pPr>
          </w:p>
        </w:tc>
        <w:tc>
          <w:tcPr>
            <w:tcW w:w="1843" w:type="dxa"/>
            <w:tcBorders>
              <w:left w:val="single" w:sz="4" w:space="0" w:color="auto"/>
              <w:bottom w:val="single" w:sz="4" w:space="0" w:color="auto"/>
              <w:right w:val="single" w:sz="4" w:space="0" w:color="auto"/>
            </w:tcBorders>
            <w:shd w:val="clear" w:color="auto" w:fill="F2F2F2" w:themeFill="background1" w:themeFillShade="F2"/>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o</w:t>
            </w:r>
            <w:r w:rsidR="00C21028" w:rsidRPr="003D7C2C">
              <w:rPr>
                <w:sz w:val="16"/>
                <w:szCs w:val="16"/>
              </w:rPr>
              <w:t>ther</w:t>
            </w:r>
          </w:p>
          <w:p w:rsidR="00FF01B2" w:rsidRPr="003D7C2C" w:rsidRDefault="00FF01B2" w:rsidP="00FF01B2">
            <w:pPr>
              <w:contextualSpacing/>
              <w:jc w:val="center"/>
              <w:rPr>
                <w:sz w:val="16"/>
                <w:szCs w:val="16"/>
              </w:rPr>
            </w:pPr>
          </w:p>
        </w:tc>
        <w:tc>
          <w:tcPr>
            <w:tcW w:w="1701" w:type="dxa"/>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17 of 20</w:t>
            </w:r>
          </w:p>
        </w:tc>
        <w:tc>
          <w:tcPr>
            <w:tcW w:w="709"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p>
        </w:tc>
        <w:tc>
          <w:tcPr>
            <w:tcW w:w="1417" w:type="dxa"/>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3 of 3</w:t>
            </w:r>
          </w:p>
        </w:tc>
        <w:tc>
          <w:tcPr>
            <w:tcW w:w="1870" w:type="dxa"/>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20</w:t>
            </w:r>
          </w:p>
        </w:tc>
      </w:tr>
      <w:tr w:rsidR="00C21028" w:rsidRPr="003D7C2C" w:rsidTr="00FF01B2">
        <w:trPr>
          <w:jc w:val="center"/>
        </w:trPr>
        <w:tc>
          <w:tcPr>
            <w:tcW w:w="1134" w:type="dxa"/>
            <w:vMerge w:val="restart"/>
            <w:tcBorders>
              <w:left w:val="single" w:sz="4" w:space="0" w:color="auto"/>
              <w:bottom w:val="single" w:sz="4" w:space="0" w:color="auto"/>
              <w:right w:val="single" w:sz="4" w:space="0" w:color="auto"/>
            </w:tcBorders>
            <w:vAlign w:val="center"/>
          </w:tcPr>
          <w:p w:rsidR="00C21028" w:rsidRPr="003F109C" w:rsidRDefault="00C21028" w:rsidP="00FF01B2">
            <w:pPr>
              <w:contextualSpacing/>
              <w:jc w:val="center"/>
              <w:rPr>
                <w:b/>
                <w:sz w:val="16"/>
                <w:szCs w:val="16"/>
              </w:rPr>
            </w:pPr>
            <w:r w:rsidRPr="003F109C">
              <w:rPr>
                <w:b/>
                <w:bCs/>
                <w:sz w:val="16"/>
                <w:szCs w:val="16"/>
              </w:rPr>
              <w:t>Suggested opportunities</w:t>
            </w:r>
          </w:p>
        </w:tc>
        <w:tc>
          <w:tcPr>
            <w:tcW w:w="1843" w:type="dxa"/>
            <w:tcBorders>
              <w:top w:val="single" w:sz="4" w:space="0" w:color="auto"/>
              <w:left w:val="single" w:sz="4" w:space="0" w:color="auto"/>
              <w:right w:val="single" w:sz="4" w:space="0" w:color="auto"/>
            </w:tcBorders>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p</w:t>
            </w:r>
            <w:r w:rsidR="00C21028" w:rsidRPr="003D7C2C">
              <w:rPr>
                <w:sz w:val="16"/>
                <w:szCs w:val="16"/>
              </w:rPr>
              <w:t xml:space="preserve">ublic </w:t>
            </w:r>
            <w:r>
              <w:rPr>
                <w:sz w:val="16"/>
                <w:szCs w:val="16"/>
              </w:rPr>
              <w:t>h</w:t>
            </w:r>
            <w:r w:rsidR="00C21028" w:rsidRPr="003D7C2C">
              <w:rPr>
                <w:sz w:val="16"/>
                <w:szCs w:val="16"/>
              </w:rPr>
              <w:t>ealth</w:t>
            </w:r>
          </w:p>
          <w:p w:rsidR="00FF01B2" w:rsidRPr="003D7C2C" w:rsidRDefault="00FF01B2" w:rsidP="00FF01B2">
            <w:pPr>
              <w:contextualSpacing/>
              <w:jc w:val="center"/>
              <w:rPr>
                <w:sz w:val="16"/>
                <w:szCs w:val="16"/>
              </w:rPr>
            </w:pPr>
          </w:p>
        </w:tc>
        <w:tc>
          <w:tcPr>
            <w:tcW w:w="1701" w:type="dxa"/>
            <w:tcBorders>
              <w:top w:val="single" w:sz="4" w:space="0" w:color="auto"/>
              <w:left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19 of 20</w:t>
            </w:r>
          </w:p>
        </w:tc>
        <w:tc>
          <w:tcPr>
            <w:tcW w:w="709" w:type="dxa"/>
            <w:vMerge w:val="restart"/>
            <w:tcBorders>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5</w:t>
            </w:r>
          </w:p>
        </w:tc>
        <w:tc>
          <w:tcPr>
            <w:tcW w:w="1417" w:type="dxa"/>
            <w:tcBorders>
              <w:top w:val="single" w:sz="4" w:space="0" w:color="auto"/>
              <w:left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3 of 5</w:t>
            </w:r>
          </w:p>
        </w:tc>
        <w:tc>
          <w:tcPr>
            <w:tcW w:w="1870" w:type="dxa"/>
            <w:tcBorders>
              <w:top w:val="single" w:sz="4" w:space="0" w:color="auto"/>
              <w:left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18 (not  2.11, 2.19)</w:t>
            </w:r>
          </w:p>
        </w:tc>
      </w:tr>
      <w:tr w:rsidR="00C21028" w:rsidRPr="003D7C2C" w:rsidTr="00FF01B2">
        <w:trPr>
          <w:jc w:val="center"/>
        </w:trPr>
        <w:tc>
          <w:tcPr>
            <w:tcW w:w="1134" w:type="dxa"/>
            <w:vMerge/>
            <w:tcBorders>
              <w:left w:val="single" w:sz="4" w:space="0" w:color="auto"/>
              <w:bottom w:val="single" w:sz="4" w:space="0" w:color="auto"/>
              <w:right w:val="single" w:sz="4" w:space="0" w:color="auto"/>
            </w:tcBorders>
            <w:vAlign w:val="center"/>
          </w:tcPr>
          <w:p w:rsidR="00C21028" w:rsidRPr="003F109C" w:rsidRDefault="00C21028" w:rsidP="00FF01B2">
            <w:pPr>
              <w:contextualSpacing/>
              <w:jc w:val="center"/>
              <w:rPr>
                <w:b/>
                <w:sz w:val="16"/>
                <w:szCs w:val="16"/>
              </w:rPr>
            </w:pPr>
          </w:p>
        </w:tc>
        <w:tc>
          <w:tcPr>
            <w:tcW w:w="1843" w:type="dxa"/>
            <w:tcBorders>
              <w:left w:val="single" w:sz="4" w:space="0" w:color="auto"/>
              <w:right w:val="single" w:sz="4" w:space="0" w:color="auto"/>
            </w:tcBorders>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a</w:t>
            </w:r>
            <w:r w:rsidR="00C21028" w:rsidRPr="003D7C2C">
              <w:rPr>
                <w:sz w:val="16"/>
                <w:szCs w:val="16"/>
              </w:rPr>
              <w:t xml:space="preserve">ir </w:t>
            </w:r>
            <w:r>
              <w:rPr>
                <w:sz w:val="16"/>
                <w:szCs w:val="16"/>
              </w:rPr>
              <w:t>q</w:t>
            </w:r>
            <w:r w:rsidR="00C21028" w:rsidRPr="003D7C2C">
              <w:rPr>
                <w:sz w:val="16"/>
                <w:szCs w:val="16"/>
              </w:rPr>
              <w:t xml:space="preserve">uality </w:t>
            </w:r>
            <w:r>
              <w:rPr>
                <w:sz w:val="16"/>
                <w:szCs w:val="16"/>
              </w:rPr>
              <w:t>m</w:t>
            </w:r>
            <w:r w:rsidR="00C21028" w:rsidRPr="003D7C2C">
              <w:rPr>
                <w:sz w:val="16"/>
                <w:szCs w:val="16"/>
              </w:rPr>
              <w:t>anagement</w:t>
            </w:r>
          </w:p>
          <w:p w:rsidR="00FF01B2" w:rsidRPr="003D7C2C" w:rsidRDefault="00FF01B2" w:rsidP="00FF01B2">
            <w:pPr>
              <w:contextualSpacing/>
              <w:jc w:val="center"/>
              <w:rPr>
                <w:sz w:val="16"/>
                <w:szCs w:val="16"/>
              </w:rPr>
            </w:pPr>
          </w:p>
        </w:tc>
        <w:tc>
          <w:tcPr>
            <w:tcW w:w="1701" w:type="dxa"/>
            <w:tcBorders>
              <w:left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17 of 20</w:t>
            </w:r>
          </w:p>
        </w:tc>
        <w:tc>
          <w:tcPr>
            <w:tcW w:w="709" w:type="dxa"/>
            <w:vMerge/>
            <w:tcBorders>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sz w:val="16"/>
                <w:szCs w:val="16"/>
              </w:rPr>
            </w:pPr>
          </w:p>
        </w:tc>
        <w:tc>
          <w:tcPr>
            <w:tcW w:w="1417" w:type="dxa"/>
            <w:tcBorders>
              <w:left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4 of 5</w:t>
            </w:r>
          </w:p>
        </w:tc>
        <w:tc>
          <w:tcPr>
            <w:tcW w:w="1870" w:type="dxa"/>
            <w:tcBorders>
              <w:left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19 (not  2.19)</w:t>
            </w:r>
          </w:p>
        </w:tc>
      </w:tr>
      <w:tr w:rsidR="00C21028" w:rsidRPr="003D7C2C" w:rsidTr="00FF01B2">
        <w:trPr>
          <w:jc w:val="center"/>
        </w:trPr>
        <w:tc>
          <w:tcPr>
            <w:tcW w:w="1134" w:type="dxa"/>
            <w:vMerge/>
            <w:tcBorders>
              <w:left w:val="single" w:sz="4" w:space="0" w:color="auto"/>
              <w:bottom w:val="single" w:sz="4" w:space="0" w:color="auto"/>
              <w:right w:val="single" w:sz="4" w:space="0" w:color="auto"/>
            </w:tcBorders>
            <w:vAlign w:val="center"/>
          </w:tcPr>
          <w:p w:rsidR="00C21028" w:rsidRPr="003F109C" w:rsidRDefault="00C21028" w:rsidP="00FF01B2">
            <w:pPr>
              <w:contextualSpacing/>
              <w:jc w:val="center"/>
              <w:rPr>
                <w:b/>
                <w:sz w:val="16"/>
                <w:szCs w:val="16"/>
              </w:rPr>
            </w:pPr>
          </w:p>
        </w:tc>
        <w:tc>
          <w:tcPr>
            <w:tcW w:w="1843" w:type="dxa"/>
            <w:tcBorders>
              <w:left w:val="single" w:sz="4" w:space="0" w:color="auto"/>
              <w:bottom w:val="single" w:sz="4" w:space="0" w:color="auto"/>
              <w:right w:val="single" w:sz="4" w:space="0" w:color="auto"/>
            </w:tcBorders>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o</w:t>
            </w:r>
            <w:r w:rsidR="00C21028" w:rsidRPr="003D7C2C">
              <w:rPr>
                <w:sz w:val="16"/>
                <w:szCs w:val="16"/>
              </w:rPr>
              <w:t>ther</w:t>
            </w:r>
          </w:p>
          <w:p w:rsidR="00FF01B2" w:rsidRPr="003D7C2C" w:rsidRDefault="00FF01B2" w:rsidP="00FF01B2">
            <w:pPr>
              <w:contextualSpacing/>
              <w:jc w:val="center"/>
              <w:rPr>
                <w:sz w:val="16"/>
                <w:szCs w:val="16"/>
              </w:rPr>
            </w:pPr>
          </w:p>
        </w:tc>
        <w:tc>
          <w:tcPr>
            <w:tcW w:w="1701" w:type="dxa"/>
            <w:tcBorders>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16 of 20</w:t>
            </w:r>
          </w:p>
        </w:tc>
        <w:tc>
          <w:tcPr>
            <w:tcW w:w="709" w:type="dxa"/>
            <w:vMerge/>
            <w:tcBorders>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sz w:val="16"/>
                <w:szCs w:val="16"/>
              </w:rPr>
            </w:pPr>
          </w:p>
        </w:tc>
        <w:tc>
          <w:tcPr>
            <w:tcW w:w="1417" w:type="dxa"/>
            <w:tcBorders>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4 of 5</w:t>
            </w:r>
          </w:p>
        </w:tc>
        <w:tc>
          <w:tcPr>
            <w:tcW w:w="1870" w:type="dxa"/>
            <w:tcBorders>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19 (not item 2.11)</w:t>
            </w:r>
          </w:p>
        </w:tc>
      </w:tr>
      <w:tr w:rsidR="00C21028" w:rsidRPr="003D7C2C" w:rsidTr="00FF01B2">
        <w:trPr>
          <w:jc w:val="center"/>
        </w:trPr>
        <w:tc>
          <w:tcPr>
            <w:tcW w:w="1134" w:type="dxa"/>
            <w:vMerge w:val="restart"/>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F109C" w:rsidRDefault="00C21028" w:rsidP="00FF01B2">
            <w:pPr>
              <w:contextualSpacing/>
              <w:jc w:val="center"/>
              <w:rPr>
                <w:b/>
                <w:sz w:val="16"/>
                <w:szCs w:val="16"/>
              </w:rPr>
            </w:pPr>
            <w:r w:rsidRPr="003F109C">
              <w:rPr>
                <w:b/>
                <w:bCs/>
                <w:sz w:val="16"/>
                <w:szCs w:val="16"/>
              </w:rPr>
              <w:t>Suggested added value</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p</w:t>
            </w:r>
            <w:r w:rsidR="00C21028" w:rsidRPr="003D7C2C">
              <w:rPr>
                <w:sz w:val="16"/>
                <w:szCs w:val="16"/>
              </w:rPr>
              <w:t xml:space="preserve">ublic </w:t>
            </w:r>
            <w:r>
              <w:rPr>
                <w:sz w:val="16"/>
                <w:szCs w:val="16"/>
              </w:rPr>
              <w:t>h</w:t>
            </w:r>
            <w:r w:rsidR="00C21028" w:rsidRPr="003D7C2C">
              <w:rPr>
                <w:sz w:val="16"/>
                <w:szCs w:val="16"/>
              </w:rPr>
              <w:t>ealth</w:t>
            </w:r>
          </w:p>
          <w:p w:rsidR="00FF01B2" w:rsidRPr="003D7C2C" w:rsidRDefault="00FF01B2" w:rsidP="00FF01B2">
            <w:pPr>
              <w:contextualSpacing/>
              <w:jc w:val="center"/>
              <w:rPr>
                <w:sz w:val="16"/>
                <w:szCs w:val="16"/>
              </w:rPr>
            </w:pP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17 of 20</w:t>
            </w:r>
          </w:p>
        </w:tc>
        <w:tc>
          <w:tcPr>
            <w:tcW w:w="709" w:type="dxa"/>
            <w:vMerge w:val="restart"/>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6</w:t>
            </w: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5 of 6</w:t>
            </w:r>
          </w:p>
        </w:tc>
        <w:tc>
          <w:tcPr>
            <w:tcW w:w="1870" w:type="dxa"/>
            <w:tcBorders>
              <w:top w:val="single" w:sz="4" w:space="0" w:color="auto"/>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19 (not  3.8)</w:t>
            </w:r>
          </w:p>
        </w:tc>
      </w:tr>
      <w:tr w:rsidR="00C21028" w:rsidRPr="003D7C2C" w:rsidTr="00FF01B2">
        <w:trPr>
          <w:jc w:val="center"/>
        </w:trPr>
        <w:tc>
          <w:tcPr>
            <w:tcW w:w="1134"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F109C" w:rsidRDefault="00C21028" w:rsidP="00FF01B2">
            <w:pPr>
              <w:contextualSpacing/>
              <w:jc w:val="center"/>
              <w:rPr>
                <w:b/>
                <w:sz w:val="16"/>
                <w:szCs w:val="16"/>
              </w:rPr>
            </w:pPr>
          </w:p>
        </w:tc>
        <w:tc>
          <w:tcPr>
            <w:tcW w:w="1843" w:type="dxa"/>
            <w:tcBorders>
              <w:left w:val="single" w:sz="4" w:space="0" w:color="auto"/>
              <w:right w:val="single" w:sz="4" w:space="0" w:color="auto"/>
            </w:tcBorders>
            <w:shd w:val="clear" w:color="auto" w:fill="F2F2F2" w:themeFill="background1" w:themeFillShade="F2"/>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a</w:t>
            </w:r>
            <w:r w:rsidR="00C21028" w:rsidRPr="003D7C2C">
              <w:rPr>
                <w:sz w:val="16"/>
                <w:szCs w:val="16"/>
              </w:rPr>
              <w:t xml:space="preserve">ir </w:t>
            </w:r>
            <w:r>
              <w:rPr>
                <w:sz w:val="16"/>
                <w:szCs w:val="16"/>
              </w:rPr>
              <w:t>q</w:t>
            </w:r>
            <w:r w:rsidR="00C21028" w:rsidRPr="003D7C2C">
              <w:rPr>
                <w:sz w:val="16"/>
                <w:szCs w:val="16"/>
              </w:rPr>
              <w:t xml:space="preserve">uality </w:t>
            </w:r>
            <w:r>
              <w:rPr>
                <w:sz w:val="16"/>
                <w:szCs w:val="16"/>
              </w:rPr>
              <w:t>m</w:t>
            </w:r>
            <w:r w:rsidR="00C21028" w:rsidRPr="003D7C2C">
              <w:rPr>
                <w:sz w:val="16"/>
                <w:szCs w:val="16"/>
              </w:rPr>
              <w:t>anagement</w:t>
            </w:r>
          </w:p>
          <w:p w:rsidR="00FF01B2" w:rsidRPr="003D7C2C" w:rsidRDefault="00FF01B2" w:rsidP="00FF01B2">
            <w:pPr>
              <w:contextualSpacing/>
              <w:jc w:val="center"/>
              <w:rPr>
                <w:sz w:val="16"/>
                <w:szCs w:val="16"/>
              </w:rPr>
            </w:pPr>
          </w:p>
        </w:tc>
        <w:tc>
          <w:tcPr>
            <w:tcW w:w="1701" w:type="dxa"/>
            <w:tcBorders>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19 of 20</w:t>
            </w:r>
          </w:p>
        </w:tc>
        <w:tc>
          <w:tcPr>
            <w:tcW w:w="709"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p>
        </w:tc>
        <w:tc>
          <w:tcPr>
            <w:tcW w:w="1417" w:type="dxa"/>
            <w:tcBorders>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5 of 5</w:t>
            </w:r>
          </w:p>
        </w:tc>
        <w:tc>
          <w:tcPr>
            <w:tcW w:w="1870" w:type="dxa"/>
            <w:tcBorders>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19 (not  3.2)</w:t>
            </w:r>
          </w:p>
        </w:tc>
      </w:tr>
      <w:tr w:rsidR="00C21028" w:rsidRPr="003D7C2C" w:rsidTr="00FF01B2">
        <w:trPr>
          <w:jc w:val="center"/>
        </w:trPr>
        <w:tc>
          <w:tcPr>
            <w:tcW w:w="1134"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F109C" w:rsidRDefault="00C21028" w:rsidP="00FF01B2">
            <w:pPr>
              <w:contextualSpacing/>
              <w:jc w:val="center"/>
              <w:rPr>
                <w:b/>
                <w:sz w:val="16"/>
                <w:szCs w:val="16"/>
              </w:rPr>
            </w:pPr>
          </w:p>
        </w:tc>
        <w:tc>
          <w:tcPr>
            <w:tcW w:w="1843" w:type="dxa"/>
            <w:tcBorders>
              <w:left w:val="single" w:sz="4" w:space="0" w:color="auto"/>
              <w:bottom w:val="single" w:sz="4" w:space="0" w:color="auto"/>
              <w:right w:val="single" w:sz="4" w:space="0" w:color="auto"/>
            </w:tcBorders>
            <w:shd w:val="clear" w:color="auto" w:fill="F2F2F2" w:themeFill="background1" w:themeFillShade="F2"/>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o</w:t>
            </w:r>
            <w:r w:rsidR="00C21028" w:rsidRPr="003D7C2C">
              <w:rPr>
                <w:sz w:val="16"/>
                <w:szCs w:val="16"/>
              </w:rPr>
              <w:t>ther</w:t>
            </w:r>
          </w:p>
          <w:p w:rsidR="00FF01B2" w:rsidRPr="003D7C2C" w:rsidRDefault="00FF01B2" w:rsidP="00FF01B2">
            <w:pPr>
              <w:contextualSpacing/>
              <w:jc w:val="center"/>
              <w:rPr>
                <w:sz w:val="16"/>
                <w:szCs w:val="16"/>
              </w:rPr>
            </w:pPr>
          </w:p>
        </w:tc>
        <w:tc>
          <w:tcPr>
            <w:tcW w:w="1701" w:type="dxa"/>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18 of 20</w:t>
            </w:r>
          </w:p>
        </w:tc>
        <w:tc>
          <w:tcPr>
            <w:tcW w:w="709"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p>
        </w:tc>
        <w:tc>
          <w:tcPr>
            <w:tcW w:w="1417" w:type="dxa"/>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6 of 6</w:t>
            </w:r>
          </w:p>
        </w:tc>
        <w:tc>
          <w:tcPr>
            <w:tcW w:w="1870" w:type="dxa"/>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20</w:t>
            </w:r>
          </w:p>
        </w:tc>
      </w:tr>
      <w:tr w:rsidR="00C21028" w:rsidRPr="003D7C2C" w:rsidTr="00FF01B2">
        <w:trPr>
          <w:jc w:val="center"/>
        </w:trPr>
        <w:tc>
          <w:tcPr>
            <w:tcW w:w="1134" w:type="dxa"/>
            <w:vMerge w:val="restart"/>
            <w:tcBorders>
              <w:left w:val="single" w:sz="4" w:space="0" w:color="auto"/>
              <w:bottom w:val="single" w:sz="4" w:space="0" w:color="auto"/>
              <w:right w:val="single" w:sz="4" w:space="0" w:color="auto"/>
            </w:tcBorders>
            <w:vAlign w:val="center"/>
          </w:tcPr>
          <w:p w:rsidR="00C21028" w:rsidRPr="003F109C" w:rsidRDefault="00C21028" w:rsidP="00FF01B2">
            <w:pPr>
              <w:contextualSpacing/>
              <w:jc w:val="center"/>
              <w:rPr>
                <w:b/>
                <w:sz w:val="16"/>
                <w:szCs w:val="16"/>
              </w:rPr>
            </w:pPr>
            <w:r w:rsidRPr="003F109C">
              <w:rPr>
                <w:b/>
                <w:bCs/>
                <w:sz w:val="16"/>
                <w:szCs w:val="16"/>
              </w:rPr>
              <w:t>Suggested barriers</w:t>
            </w:r>
          </w:p>
        </w:tc>
        <w:tc>
          <w:tcPr>
            <w:tcW w:w="1843" w:type="dxa"/>
            <w:tcBorders>
              <w:top w:val="single" w:sz="4" w:space="0" w:color="auto"/>
              <w:left w:val="single" w:sz="4" w:space="0" w:color="auto"/>
              <w:right w:val="single" w:sz="4" w:space="0" w:color="auto"/>
            </w:tcBorders>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p</w:t>
            </w:r>
            <w:r w:rsidR="00C21028" w:rsidRPr="003D7C2C">
              <w:rPr>
                <w:sz w:val="16"/>
                <w:szCs w:val="16"/>
              </w:rPr>
              <w:t xml:space="preserve">ublic </w:t>
            </w:r>
            <w:r>
              <w:rPr>
                <w:sz w:val="16"/>
                <w:szCs w:val="16"/>
              </w:rPr>
              <w:t>h</w:t>
            </w:r>
            <w:r w:rsidR="00C21028" w:rsidRPr="003D7C2C">
              <w:rPr>
                <w:sz w:val="16"/>
                <w:szCs w:val="16"/>
              </w:rPr>
              <w:t>ealth</w:t>
            </w:r>
          </w:p>
          <w:p w:rsidR="00FF01B2" w:rsidRPr="003D7C2C" w:rsidRDefault="00FF01B2" w:rsidP="00FF01B2">
            <w:pPr>
              <w:contextualSpacing/>
              <w:jc w:val="center"/>
              <w:rPr>
                <w:sz w:val="16"/>
                <w:szCs w:val="16"/>
              </w:rPr>
            </w:pPr>
          </w:p>
        </w:tc>
        <w:tc>
          <w:tcPr>
            <w:tcW w:w="1701" w:type="dxa"/>
            <w:tcBorders>
              <w:top w:val="single" w:sz="4" w:space="0" w:color="auto"/>
              <w:left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15 of 20</w:t>
            </w:r>
          </w:p>
        </w:tc>
        <w:tc>
          <w:tcPr>
            <w:tcW w:w="709" w:type="dxa"/>
            <w:vMerge w:val="restart"/>
            <w:tcBorders>
              <w:left w:val="single" w:sz="4" w:space="0" w:color="auto"/>
              <w:bottom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11</w:t>
            </w:r>
          </w:p>
        </w:tc>
        <w:tc>
          <w:tcPr>
            <w:tcW w:w="1417" w:type="dxa"/>
            <w:tcBorders>
              <w:top w:val="single" w:sz="4" w:space="0" w:color="auto"/>
              <w:left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9 of 11</w:t>
            </w:r>
          </w:p>
        </w:tc>
        <w:tc>
          <w:tcPr>
            <w:tcW w:w="1870" w:type="dxa"/>
            <w:tcBorders>
              <w:top w:val="single" w:sz="4" w:space="0" w:color="auto"/>
              <w:left w:val="single" w:sz="4" w:space="0" w:color="auto"/>
              <w:right w:val="single" w:sz="4" w:space="0" w:color="auto"/>
            </w:tcBorders>
            <w:vAlign w:val="center"/>
          </w:tcPr>
          <w:p w:rsidR="00C21028" w:rsidRPr="003D7C2C" w:rsidRDefault="00C21028" w:rsidP="00FF01B2">
            <w:pPr>
              <w:contextualSpacing/>
              <w:jc w:val="center"/>
              <w:rPr>
                <w:sz w:val="16"/>
                <w:szCs w:val="16"/>
              </w:rPr>
            </w:pPr>
            <w:r w:rsidRPr="003D7C2C">
              <w:rPr>
                <w:sz w:val="16"/>
                <w:szCs w:val="16"/>
              </w:rPr>
              <w:t>18 (not 4.16, 4.20)</w:t>
            </w:r>
          </w:p>
        </w:tc>
      </w:tr>
      <w:tr w:rsidR="00FF01B2" w:rsidRPr="003D7C2C" w:rsidTr="00FF01B2">
        <w:trPr>
          <w:jc w:val="center"/>
        </w:trPr>
        <w:tc>
          <w:tcPr>
            <w:tcW w:w="1134" w:type="dxa"/>
            <w:vMerge/>
            <w:tcBorders>
              <w:left w:val="single" w:sz="4" w:space="0" w:color="auto"/>
              <w:bottom w:val="single" w:sz="4" w:space="0" w:color="auto"/>
              <w:right w:val="single" w:sz="4" w:space="0" w:color="auto"/>
            </w:tcBorders>
            <w:vAlign w:val="center"/>
          </w:tcPr>
          <w:p w:rsidR="00FF01B2" w:rsidRPr="003F109C" w:rsidRDefault="00FF01B2" w:rsidP="00FF01B2">
            <w:pPr>
              <w:contextualSpacing/>
              <w:jc w:val="center"/>
              <w:rPr>
                <w:b/>
                <w:sz w:val="16"/>
                <w:szCs w:val="16"/>
              </w:rPr>
            </w:pPr>
          </w:p>
        </w:tc>
        <w:tc>
          <w:tcPr>
            <w:tcW w:w="1843" w:type="dxa"/>
            <w:tcBorders>
              <w:left w:val="single" w:sz="4" w:space="0" w:color="auto"/>
              <w:right w:val="single" w:sz="4" w:space="0" w:color="auto"/>
            </w:tcBorders>
            <w:vAlign w:val="center"/>
          </w:tcPr>
          <w:p w:rsidR="00FF01B2" w:rsidRDefault="00FF01B2" w:rsidP="00D7331F">
            <w:pPr>
              <w:contextualSpacing/>
              <w:jc w:val="center"/>
              <w:rPr>
                <w:sz w:val="16"/>
                <w:szCs w:val="16"/>
              </w:rPr>
            </w:pPr>
          </w:p>
          <w:p w:rsidR="00FF01B2" w:rsidRDefault="008E0EAE" w:rsidP="00D7331F">
            <w:pPr>
              <w:contextualSpacing/>
              <w:jc w:val="center"/>
              <w:rPr>
                <w:sz w:val="16"/>
                <w:szCs w:val="16"/>
              </w:rPr>
            </w:pPr>
            <w:r>
              <w:rPr>
                <w:sz w:val="16"/>
                <w:szCs w:val="16"/>
              </w:rPr>
              <w:t>a</w:t>
            </w:r>
            <w:r w:rsidR="00FF01B2" w:rsidRPr="003D7C2C">
              <w:rPr>
                <w:sz w:val="16"/>
                <w:szCs w:val="16"/>
              </w:rPr>
              <w:t xml:space="preserve">ir </w:t>
            </w:r>
            <w:r>
              <w:rPr>
                <w:sz w:val="16"/>
                <w:szCs w:val="16"/>
              </w:rPr>
              <w:t>q</w:t>
            </w:r>
            <w:r w:rsidR="00FF01B2" w:rsidRPr="003D7C2C">
              <w:rPr>
                <w:sz w:val="16"/>
                <w:szCs w:val="16"/>
              </w:rPr>
              <w:t xml:space="preserve">uality </w:t>
            </w:r>
            <w:r>
              <w:rPr>
                <w:sz w:val="16"/>
                <w:szCs w:val="16"/>
              </w:rPr>
              <w:t>m</w:t>
            </w:r>
            <w:r w:rsidR="00FF01B2" w:rsidRPr="003D7C2C">
              <w:rPr>
                <w:sz w:val="16"/>
                <w:szCs w:val="16"/>
              </w:rPr>
              <w:t>anagement</w:t>
            </w:r>
          </w:p>
          <w:p w:rsidR="00FF01B2" w:rsidRPr="003D7C2C" w:rsidRDefault="00FF01B2" w:rsidP="00D7331F">
            <w:pPr>
              <w:contextualSpacing/>
              <w:jc w:val="center"/>
              <w:rPr>
                <w:sz w:val="16"/>
                <w:szCs w:val="16"/>
              </w:rPr>
            </w:pPr>
          </w:p>
        </w:tc>
        <w:tc>
          <w:tcPr>
            <w:tcW w:w="1701" w:type="dxa"/>
            <w:tcBorders>
              <w:left w:val="single" w:sz="4" w:space="0" w:color="auto"/>
              <w:right w:val="single" w:sz="4" w:space="0" w:color="auto"/>
            </w:tcBorders>
            <w:vAlign w:val="center"/>
          </w:tcPr>
          <w:p w:rsidR="00FF01B2" w:rsidRPr="003D7C2C" w:rsidRDefault="00FF01B2" w:rsidP="00FF01B2">
            <w:pPr>
              <w:contextualSpacing/>
              <w:jc w:val="center"/>
              <w:rPr>
                <w:sz w:val="16"/>
                <w:szCs w:val="16"/>
              </w:rPr>
            </w:pPr>
            <w:r w:rsidRPr="003D7C2C">
              <w:rPr>
                <w:sz w:val="16"/>
                <w:szCs w:val="16"/>
              </w:rPr>
              <w:t>15 of 20</w:t>
            </w:r>
          </w:p>
        </w:tc>
        <w:tc>
          <w:tcPr>
            <w:tcW w:w="709" w:type="dxa"/>
            <w:vMerge/>
            <w:tcBorders>
              <w:left w:val="single" w:sz="4" w:space="0" w:color="auto"/>
              <w:bottom w:val="single" w:sz="4" w:space="0" w:color="auto"/>
              <w:right w:val="single" w:sz="4" w:space="0" w:color="auto"/>
            </w:tcBorders>
            <w:vAlign w:val="center"/>
          </w:tcPr>
          <w:p w:rsidR="00FF01B2" w:rsidRPr="003D7C2C" w:rsidRDefault="00FF01B2" w:rsidP="00FF01B2">
            <w:pPr>
              <w:contextualSpacing/>
              <w:jc w:val="center"/>
              <w:rPr>
                <w:sz w:val="16"/>
                <w:szCs w:val="16"/>
              </w:rPr>
            </w:pPr>
          </w:p>
        </w:tc>
        <w:tc>
          <w:tcPr>
            <w:tcW w:w="1417" w:type="dxa"/>
            <w:tcBorders>
              <w:left w:val="single" w:sz="4" w:space="0" w:color="auto"/>
              <w:right w:val="single" w:sz="4" w:space="0" w:color="auto"/>
            </w:tcBorders>
            <w:vAlign w:val="center"/>
          </w:tcPr>
          <w:p w:rsidR="00FF01B2" w:rsidRPr="003D7C2C" w:rsidRDefault="00FF01B2" w:rsidP="00FF01B2">
            <w:pPr>
              <w:contextualSpacing/>
              <w:jc w:val="center"/>
              <w:rPr>
                <w:sz w:val="16"/>
                <w:szCs w:val="16"/>
              </w:rPr>
            </w:pPr>
            <w:r w:rsidRPr="003D7C2C">
              <w:rPr>
                <w:sz w:val="16"/>
                <w:szCs w:val="16"/>
              </w:rPr>
              <w:t>6 of 11</w:t>
            </w:r>
          </w:p>
        </w:tc>
        <w:tc>
          <w:tcPr>
            <w:tcW w:w="1870" w:type="dxa"/>
            <w:tcBorders>
              <w:left w:val="single" w:sz="4" w:space="0" w:color="auto"/>
              <w:right w:val="single" w:sz="4" w:space="0" w:color="auto"/>
            </w:tcBorders>
            <w:vAlign w:val="center"/>
          </w:tcPr>
          <w:p w:rsidR="00FF01B2" w:rsidRPr="003D7C2C" w:rsidRDefault="00FF01B2" w:rsidP="00FF01B2">
            <w:pPr>
              <w:contextualSpacing/>
              <w:jc w:val="center"/>
              <w:rPr>
                <w:sz w:val="16"/>
                <w:szCs w:val="16"/>
              </w:rPr>
            </w:pPr>
            <w:r w:rsidRPr="003D7C2C">
              <w:rPr>
                <w:sz w:val="16"/>
                <w:szCs w:val="16"/>
              </w:rPr>
              <w:t>15 (not 4.4, 4.6, 4.11, 4.18, 4.20)</w:t>
            </w:r>
          </w:p>
        </w:tc>
      </w:tr>
      <w:tr w:rsidR="00FF01B2" w:rsidRPr="003D7C2C" w:rsidTr="00FF01B2">
        <w:trPr>
          <w:jc w:val="center"/>
        </w:trPr>
        <w:tc>
          <w:tcPr>
            <w:tcW w:w="1134" w:type="dxa"/>
            <w:vMerge/>
            <w:tcBorders>
              <w:left w:val="single" w:sz="4" w:space="0" w:color="auto"/>
              <w:bottom w:val="single" w:sz="4" w:space="0" w:color="auto"/>
              <w:right w:val="single" w:sz="4" w:space="0" w:color="auto"/>
            </w:tcBorders>
            <w:vAlign w:val="center"/>
          </w:tcPr>
          <w:p w:rsidR="00FF01B2" w:rsidRPr="003F109C" w:rsidRDefault="00FF01B2" w:rsidP="00FF01B2">
            <w:pPr>
              <w:contextualSpacing/>
              <w:jc w:val="center"/>
              <w:rPr>
                <w:b/>
                <w:sz w:val="16"/>
                <w:szCs w:val="16"/>
              </w:rPr>
            </w:pPr>
          </w:p>
        </w:tc>
        <w:tc>
          <w:tcPr>
            <w:tcW w:w="1843" w:type="dxa"/>
            <w:tcBorders>
              <w:left w:val="single" w:sz="4" w:space="0" w:color="auto"/>
              <w:bottom w:val="single" w:sz="4" w:space="0" w:color="auto"/>
              <w:right w:val="single" w:sz="4" w:space="0" w:color="auto"/>
            </w:tcBorders>
            <w:vAlign w:val="center"/>
          </w:tcPr>
          <w:p w:rsidR="00FF01B2" w:rsidRDefault="00FF01B2" w:rsidP="00D7331F">
            <w:pPr>
              <w:contextualSpacing/>
              <w:jc w:val="center"/>
              <w:rPr>
                <w:sz w:val="16"/>
                <w:szCs w:val="16"/>
              </w:rPr>
            </w:pPr>
          </w:p>
          <w:p w:rsidR="00FF01B2" w:rsidRDefault="008E0EAE" w:rsidP="00D7331F">
            <w:pPr>
              <w:contextualSpacing/>
              <w:jc w:val="center"/>
              <w:rPr>
                <w:sz w:val="16"/>
                <w:szCs w:val="16"/>
              </w:rPr>
            </w:pPr>
            <w:r>
              <w:rPr>
                <w:sz w:val="16"/>
                <w:szCs w:val="16"/>
              </w:rPr>
              <w:t>o</w:t>
            </w:r>
            <w:r w:rsidR="00FF01B2" w:rsidRPr="003D7C2C">
              <w:rPr>
                <w:sz w:val="16"/>
                <w:szCs w:val="16"/>
              </w:rPr>
              <w:t>ther</w:t>
            </w:r>
          </w:p>
          <w:p w:rsidR="00FF01B2" w:rsidRPr="003D7C2C" w:rsidRDefault="00FF01B2" w:rsidP="00D7331F">
            <w:pPr>
              <w:contextualSpacing/>
              <w:jc w:val="center"/>
              <w:rPr>
                <w:sz w:val="16"/>
                <w:szCs w:val="16"/>
              </w:rPr>
            </w:pPr>
          </w:p>
        </w:tc>
        <w:tc>
          <w:tcPr>
            <w:tcW w:w="1701" w:type="dxa"/>
            <w:tcBorders>
              <w:left w:val="single" w:sz="4" w:space="0" w:color="auto"/>
              <w:bottom w:val="single" w:sz="4" w:space="0" w:color="auto"/>
              <w:right w:val="single" w:sz="4" w:space="0" w:color="auto"/>
            </w:tcBorders>
            <w:vAlign w:val="center"/>
          </w:tcPr>
          <w:p w:rsidR="00FF01B2" w:rsidRPr="003D7C2C" w:rsidRDefault="00FF01B2" w:rsidP="00FF01B2">
            <w:pPr>
              <w:contextualSpacing/>
              <w:jc w:val="center"/>
              <w:rPr>
                <w:sz w:val="16"/>
                <w:szCs w:val="16"/>
              </w:rPr>
            </w:pPr>
            <w:r w:rsidRPr="003D7C2C">
              <w:rPr>
                <w:sz w:val="16"/>
                <w:szCs w:val="16"/>
              </w:rPr>
              <w:t>12 of 20</w:t>
            </w:r>
          </w:p>
        </w:tc>
        <w:tc>
          <w:tcPr>
            <w:tcW w:w="709" w:type="dxa"/>
            <w:vMerge/>
            <w:tcBorders>
              <w:left w:val="single" w:sz="4" w:space="0" w:color="auto"/>
              <w:bottom w:val="single" w:sz="4" w:space="0" w:color="auto"/>
              <w:right w:val="single" w:sz="4" w:space="0" w:color="auto"/>
            </w:tcBorders>
            <w:vAlign w:val="center"/>
          </w:tcPr>
          <w:p w:rsidR="00FF01B2" w:rsidRPr="003D7C2C" w:rsidRDefault="00FF01B2" w:rsidP="00FF01B2">
            <w:pPr>
              <w:contextualSpacing/>
              <w:jc w:val="center"/>
              <w:rPr>
                <w:sz w:val="16"/>
                <w:szCs w:val="16"/>
              </w:rPr>
            </w:pPr>
          </w:p>
        </w:tc>
        <w:tc>
          <w:tcPr>
            <w:tcW w:w="1417" w:type="dxa"/>
            <w:tcBorders>
              <w:left w:val="single" w:sz="4" w:space="0" w:color="auto"/>
              <w:bottom w:val="single" w:sz="4" w:space="0" w:color="auto"/>
              <w:right w:val="single" w:sz="4" w:space="0" w:color="auto"/>
            </w:tcBorders>
            <w:vAlign w:val="center"/>
          </w:tcPr>
          <w:p w:rsidR="00FF01B2" w:rsidRPr="003D7C2C" w:rsidRDefault="00FF01B2" w:rsidP="00FF01B2">
            <w:pPr>
              <w:contextualSpacing/>
              <w:jc w:val="center"/>
              <w:rPr>
                <w:sz w:val="16"/>
                <w:szCs w:val="16"/>
              </w:rPr>
            </w:pPr>
            <w:r w:rsidRPr="003D7C2C">
              <w:rPr>
                <w:sz w:val="16"/>
                <w:szCs w:val="16"/>
              </w:rPr>
              <w:t>6 of 11</w:t>
            </w:r>
          </w:p>
        </w:tc>
        <w:tc>
          <w:tcPr>
            <w:tcW w:w="1870" w:type="dxa"/>
            <w:tcBorders>
              <w:left w:val="single" w:sz="4" w:space="0" w:color="auto"/>
              <w:bottom w:val="single" w:sz="4" w:space="0" w:color="auto"/>
              <w:right w:val="single" w:sz="4" w:space="0" w:color="auto"/>
            </w:tcBorders>
            <w:vAlign w:val="center"/>
          </w:tcPr>
          <w:p w:rsidR="00FF01B2" w:rsidRPr="003D7C2C" w:rsidRDefault="00FF01B2" w:rsidP="00FF01B2">
            <w:pPr>
              <w:contextualSpacing/>
              <w:jc w:val="center"/>
              <w:rPr>
                <w:sz w:val="16"/>
                <w:szCs w:val="16"/>
              </w:rPr>
            </w:pPr>
            <w:r w:rsidRPr="003D7C2C">
              <w:rPr>
                <w:sz w:val="16"/>
                <w:szCs w:val="16"/>
              </w:rPr>
              <w:t>15 (not 4.4, 4.9, 4.11, 4.18, 4.20)</w:t>
            </w:r>
          </w:p>
        </w:tc>
      </w:tr>
      <w:tr w:rsidR="00C21028" w:rsidRPr="003D7C2C" w:rsidTr="00FF01B2">
        <w:trPr>
          <w:jc w:val="center"/>
        </w:trPr>
        <w:tc>
          <w:tcPr>
            <w:tcW w:w="1134" w:type="dxa"/>
            <w:vMerge w:val="restart"/>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F109C" w:rsidRDefault="00C21028" w:rsidP="00FF01B2">
            <w:pPr>
              <w:contextualSpacing/>
              <w:jc w:val="center"/>
              <w:rPr>
                <w:b/>
                <w:sz w:val="16"/>
                <w:szCs w:val="16"/>
              </w:rPr>
            </w:pPr>
            <w:r w:rsidRPr="003F109C">
              <w:rPr>
                <w:b/>
                <w:bCs/>
                <w:sz w:val="16"/>
                <w:szCs w:val="16"/>
              </w:rPr>
              <w:t>Suggested solutions</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p</w:t>
            </w:r>
            <w:r w:rsidR="00C21028" w:rsidRPr="003D7C2C">
              <w:rPr>
                <w:sz w:val="16"/>
                <w:szCs w:val="16"/>
              </w:rPr>
              <w:t xml:space="preserve">ublic </w:t>
            </w:r>
            <w:r>
              <w:rPr>
                <w:sz w:val="16"/>
                <w:szCs w:val="16"/>
              </w:rPr>
              <w:t>h</w:t>
            </w:r>
            <w:r w:rsidR="00C21028" w:rsidRPr="003D7C2C">
              <w:rPr>
                <w:sz w:val="16"/>
                <w:szCs w:val="16"/>
              </w:rPr>
              <w:t>ealth</w:t>
            </w:r>
          </w:p>
          <w:p w:rsidR="00FF01B2" w:rsidRPr="003D7C2C" w:rsidRDefault="00FF01B2" w:rsidP="00FF01B2">
            <w:pPr>
              <w:contextualSpacing/>
              <w:jc w:val="center"/>
              <w:rPr>
                <w:sz w:val="16"/>
                <w:szCs w:val="16"/>
              </w:rPr>
            </w:pP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19 of 20 (not 5.3)</w:t>
            </w:r>
          </w:p>
        </w:tc>
        <w:tc>
          <w:tcPr>
            <w:tcW w:w="709" w:type="dxa"/>
            <w:vMerge w:val="restart"/>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r w:rsidRPr="003D7C2C">
              <w:rPr>
                <w:sz w:val="16"/>
                <w:szCs w:val="16"/>
              </w:rPr>
              <w:t>N/A</w:t>
            </w:r>
          </w:p>
        </w:tc>
        <w:tc>
          <w:tcPr>
            <w:tcW w:w="3287" w:type="dxa"/>
            <w:gridSpan w:val="2"/>
            <w:vMerge w:val="restart"/>
            <w:tcBorders>
              <w:left w:val="single" w:sz="4" w:space="0" w:color="auto"/>
              <w:right w:val="nil"/>
            </w:tcBorders>
            <w:vAlign w:val="center"/>
          </w:tcPr>
          <w:p w:rsidR="00C21028" w:rsidRPr="003D7C2C" w:rsidRDefault="00C21028" w:rsidP="00FF01B2">
            <w:pPr>
              <w:contextualSpacing/>
              <w:jc w:val="center"/>
              <w:rPr>
                <w:sz w:val="16"/>
                <w:szCs w:val="16"/>
              </w:rPr>
            </w:pPr>
          </w:p>
        </w:tc>
      </w:tr>
      <w:tr w:rsidR="00C21028" w:rsidRPr="003D7C2C" w:rsidTr="00FF01B2">
        <w:trPr>
          <w:jc w:val="center"/>
        </w:trPr>
        <w:tc>
          <w:tcPr>
            <w:tcW w:w="1134"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p>
        </w:tc>
        <w:tc>
          <w:tcPr>
            <w:tcW w:w="1843" w:type="dxa"/>
            <w:tcBorders>
              <w:left w:val="single" w:sz="4" w:space="0" w:color="auto"/>
              <w:right w:val="single" w:sz="4" w:space="0" w:color="auto"/>
            </w:tcBorders>
            <w:shd w:val="clear" w:color="auto" w:fill="F2F2F2" w:themeFill="background1" w:themeFillShade="F2"/>
            <w:vAlign w:val="center"/>
          </w:tcPr>
          <w:p w:rsidR="00FF01B2" w:rsidRDefault="00FF01B2" w:rsidP="00FF01B2">
            <w:pPr>
              <w:contextualSpacing/>
              <w:jc w:val="center"/>
              <w:rPr>
                <w:sz w:val="16"/>
                <w:szCs w:val="16"/>
              </w:rPr>
            </w:pPr>
          </w:p>
          <w:p w:rsidR="00C21028" w:rsidRDefault="008E0EAE" w:rsidP="00FF01B2">
            <w:pPr>
              <w:contextualSpacing/>
              <w:jc w:val="center"/>
              <w:rPr>
                <w:sz w:val="16"/>
                <w:szCs w:val="16"/>
              </w:rPr>
            </w:pPr>
            <w:r>
              <w:rPr>
                <w:sz w:val="16"/>
                <w:szCs w:val="16"/>
              </w:rPr>
              <w:t>a</w:t>
            </w:r>
            <w:r w:rsidR="00C21028" w:rsidRPr="003D7C2C">
              <w:rPr>
                <w:sz w:val="16"/>
                <w:szCs w:val="16"/>
              </w:rPr>
              <w:t xml:space="preserve">ir </w:t>
            </w:r>
            <w:r>
              <w:rPr>
                <w:sz w:val="16"/>
                <w:szCs w:val="16"/>
              </w:rPr>
              <w:t>q</w:t>
            </w:r>
            <w:r w:rsidR="00C21028" w:rsidRPr="003D7C2C">
              <w:rPr>
                <w:sz w:val="16"/>
                <w:szCs w:val="16"/>
              </w:rPr>
              <w:t xml:space="preserve">uality </w:t>
            </w:r>
            <w:r>
              <w:rPr>
                <w:sz w:val="16"/>
                <w:szCs w:val="16"/>
              </w:rPr>
              <w:t>m</w:t>
            </w:r>
            <w:r w:rsidR="00C21028" w:rsidRPr="003D7C2C">
              <w:rPr>
                <w:sz w:val="16"/>
                <w:szCs w:val="16"/>
              </w:rPr>
              <w:t>anagement</w:t>
            </w:r>
          </w:p>
          <w:p w:rsidR="00FF01B2" w:rsidRPr="003D7C2C" w:rsidRDefault="00FF01B2" w:rsidP="00FF01B2">
            <w:pPr>
              <w:contextualSpacing/>
              <w:jc w:val="center"/>
              <w:rPr>
                <w:sz w:val="16"/>
                <w:szCs w:val="16"/>
              </w:rPr>
            </w:pPr>
          </w:p>
        </w:tc>
        <w:tc>
          <w:tcPr>
            <w:tcW w:w="1701" w:type="dxa"/>
            <w:tcBorders>
              <w:left w:val="single" w:sz="4" w:space="0" w:color="auto"/>
              <w:right w:val="single" w:sz="4" w:space="0" w:color="auto"/>
            </w:tcBorders>
            <w:shd w:val="clear" w:color="auto" w:fill="F2F2F2" w:themeFill="background1" w:themeFillShade="F2"/>
            <w:vAlign w:val="center"/>
          </w:tcPr>
          <w:p w:rsidR="00C21028" w:rsidRPr="003D7C2C" w:rsidRDefault="00BA6E30" w:rsidP="00FF01B2">
            <w:pPr>
              <w:contextualSpacing/>
              <w:jc w:val="center"/>
              <w:rPr>
                <w:sz w:val="16"/>
                <w:szCs w:val="16"/>
              </w:rPr>
            </w:pPr>
            <w:r>
              <w:rPr>
                <w:sz w:val="16"/>
                <w:szCs w:val="16"/>
              </w:rPr>
              <w:t>18 of 20 (not 5.2, 5.9</w:t>
            </w:r>
            <w:r w:rsidR="00C21028" w:rsidRPr="003D7C2C">
              <w:rPr>
                <w:sz w:val="16"/>
                <w:szCs w:val="16"/>
              </w:rPr>
              <w:t>)</w:t>
            </w:r>
          </w:p>
        </w:tc>
        <w:tc>
          <w:tcPr>
            <w:tcW w:w="709"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p>
        </w:tc>
        <w:tc>
          <w:tcPr>
            <w:tcW w:w="3287" w:type="dxa"/>
            <w:gridSpan w:val="2"/>
            <w:vMerge/>
            <w:tcBorders>
              <w:left w:val="single" w:sz="4" w:space="0" w:color="auto"/>
              <w:right w:val="nil"/>
            </w:tcBorders>
            <w:vAlign w:val="center"/>
          </w:tcPr>
          <w:p w:rsidR="00C21028" w:rsidRPr="003D7C2C" w:rsidRDefault="00C21028" w:rsidP="00FF01B2">
            <w:pPr>
              <w:contextualSpacing/>
              <w:jc w:val="center"/>
              <w:rPr>
                <w:sz w:val="16"/>
                <w:szCs w:val="16"/>
              </w:rPr>
            </w:pPr>
          </w:p>
        </w:tc>
      </w:tr>
      <w:tr w:rsidR="00C21028" w:rsidRPr="003D7C2C" w:rsidTr="00FF01B2">
        <w:trPr>
          <w:jc w:val="center"/>
        </w:trPr>
        <w:tc>
          <w:tcPr>
            <w:tcW w:w="1134"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p>
        </w:tc>
        <w:tc>
          <w:tcPr>
            <w:tcW w:w="1843" w:type="dxa"/>
            <w:tcBorders>
              <w:left w:val="single" w:sz="4" w:space="0" w:color="auto"/>
              <w:bottom w:val="single" w:sz="4" w:space="0" w:color="auto"/>
              <w:right w:val="single" w:sz="4" w:space="0" w:color="auto"/>
            </w:tcBorders>
            <w:shd w:val="clear" w:color="auto" w:fill="F2F2F2" w:themeFill="background1" w:themeFillShade="F2"/>
            <w:vAlign w:val="center"/>
          </w:tcPr>
          <w:p w:rsidR="00FF01B2" w:rsidRDefault="00FF01B2" w:rsidP="00FF01B2">
            <w:pPr>
              <w:contextualSpacing/>
              <w:jc w:val="center"/>
              <w:rPr>
                <w:sz w:val="16"/>
                <w:szCs w:val="16"/>
              </w:rPr>
            </w:pPr>
          </w:p>
          <w:p w:rsidR="00C21028" w:rsidRDefault="00C21028" w:rsidP="00FF01B2">
            <w:pPr>
              <w:contextualSpacing/>
              <w:jc w:val="center"/>
              <w:rPr>
                <w:sz w:val="16"/>
                <w:szCs w:val="16"/>
              </w:rPr>
            </w:pPr>
            <w:r w:rsidRPr="003D7C2C">
              <w:rPr>
                <w:sz w:val="16"/>
                <w:szCs w:val="16"/>
              </w:rPr>
              <w:t>Other</w:t>
            </w:r>
          </w:p>
          <w:p w:rsidR="00FF01B2" w:rsidRPr="003D7C2C" w:rsidRDefault="00FF01B2" w:rsidP="00FF01B2">
            <w:pPr>
              <w:contextualSpacing/>
              <w:jc w:val="center"/>
              <w:rPr>
                <w:sz w:val="16"/>
                <w:szCs w:val="16"/>
              </w:rPr>
            </w:pPr>
          </w:p>
        </w:tc>
        <w:tc>
          <w:tcPr>
            <w:tcW w:w="1701" w:type="dxa"/>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BA6E30" w:rsidP="00BA6E30">
            <w:pPr>
              <w:contextualSpacing/>
              <w:jc w:val="center"/>
              <w:rPr>
                <w:sz w:val="16"/>
                <w:szCs w:val="16"/>
              </w:rPr>
            </w:pPr>
            <w:r>
              <w:rPr>
                <w:sz w:val="16"/>
                <w:szCs w:val="16"/>
              </w:rPr>
              <w:t>17</w:t>
            </w:r>
            <w:r w:rsidR="00C21028" w:rsidRPr="003D7C2C">
              <w:rPr>
                <w:sz w:val="16"/>
                <w:szCs w:val="16"/>
              </w:rPr>
              <w:t xml:space="preserve"> of 20 (not 5.3, 5.13, 5.15)</w:t>
            </w:r>
          </w:p>
        </w:tc>
        <w:tc>
          <w:tcPr>
            <w:tcW w:w="709"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C21028" w:rsidRPr="003D7C2C" w:rsidRDefault="00C21028" w:rsidP="00FF01B2">
            <w:pPr>
              <w:contextualSpacing/>
              <w:jc w:val="center"/>
              <w:rPr>
                <w:sz w:val="16"/>
                <w:szCs w:val="16"/>
              </w:rPr>
            </w:pPr>
          </w:p>
        </w:tc>
        <w:tc>
          <w:tcPr>
            <w:tcW w:w="3287" w:type="dxa"/>
            <w:gridSpan w:val="2"/>
            <w:vMerge/>
            <w:tcBorders>
              <w:left w:val="single" w:sz="4" w:space="0" w:color="auto"/>
              <w:bottom w:val="nil"/>
              <w:right w:val="nil"/>
            </w:tcBorders>
            <w:vAlign w:val="center"/>
          </w:tcPr>
          <w:p w:rsidR="00C21028" w:rsidRPr="003D7C2C" w:rsidRDefault="00C21028" w:rsidP="00FF01B2">
            <w:pPr>
              <w:contextualSpacing/>
              <w:jc w:val="center"/>
              <w:rPr>
                <w:sz w:val="16"/>
                <w:szCs w:val="16"/>
              </w:rPr>
            </w:pPr>
          </w:p>
        </w:tc>
      </w:tr>
    </w:tbl>
    <w:p w:rsidR="00C21028" w:rsidRPr="003D7C2C" w:rsidRDefault="00C21028" w:rsidP="00C21028">
      <w:pPr>
        <w:spacing w:after="120"/>
        <w:rPr>
          <w:rFonts w:ascii="Calibri" w:hAnsi="Calibri"/>
          <w:b/>
          <w:sz w:val="4"/>
          <w:szCs w:val="4"/>
        </w:rPr>
      </w:pPr>
    </w:p>
    <w:p w:rsidR="00FC0F8E" w:rsidRPr="00FC0F8E" w:rsidRDefault="00FC0F8E" w:rsidP="00C21028">
      <w:pPr>
        <w:spacing w:after="120"/>
        <w:jc w:val="center"/>
        <w:rPr>
          <w:rFonts w:ascii="Calibri" w:hAnsi="Calibri"/>
          <w:sz w:val="6"/>
          <w:szCs w:val="6"/>
        </w:rPr>
      </w:pPr>
    </w:p>
    <w:p w:rsidR="00C21028" w:rsidRPr="00B608F5" w:rsidRDefault="00C21028" w:rsidP="00C21028">
      <w:pPr>
        <w:spacing w:after="120"/>
        <w:jc w:val="center"/>
        <w:rPr>
          <w:rFonts w:ascii="Calibri" w:hAnsi="Calibri"/>
          <w:sz w:val="18"/>
          <w:szCs w:val="18"/>
        </w:rPr>
      </w:pPr>
      <w:proofErr w:type="gramStart"/>
      <w:r w:rsidRPr="00B608F5">
        <w:rPr>
          <w:rFonts w:ascii="Calibri" w:hAnsi="Calibri"/>
          <w:sz w:val="18"/>
          <w:szCs w:val="18"/>
        </w:rPr>
        <w:t>Table 3.</w:t>
      </w:r>
      <w:proofErr w:type="gramEnd"/>
      <w:r>
        <w:rPr>
          <w:rFonts w:ascii="Calibri" w:hAnsi="Calibri"/>
          <w:sz w:val="18"/>
          <w:szCs w:val="18"/>
        </w:rPr>
        <w:t xml:space="preserve"> </w:t>
      </w:r>
      <w:r w:rsidR="00FF01B2">
        <w:rPr>
          <w:rFonts w:ascii="Calibri" w:hAnsi="Calibri"/>
          <w:sz w:val="18"/>
          <w:szCs w:val="18"/>
        </w:rPr>
        <w:t xml:space="preserve">Summary of </w:t>
      </w:r>
      <w:r>
        <w:rPr>
          <w:rFonts w:ascii="Calibri" w:hAnsi="Calibri"/>
          <w:sz w:val="18"/>
          <w:szCs w:val="18"/>
        </w:rPr>
        <w:t xml:space="preserve">Item </w:t>
      </w:r>
      <w:r w:rsidR="00711861">
        <w:rPr>
          <w:rFonts w:ascii="Calibri" w:hAnsi="Calibri"/>
          <w:sz w:val="18"/>
          <w:szCs w:val="18"/>
        </w:rPr>
        <w:t>opinion convergence and divergence</w:t>
      </w:r>
      <w:r>
        <w:rPr>
          <w:rFonts w:ascii="Calibri" w:hAnsi="Calibri"/>
          <w:sz w:val="18"/>
          <w:szCs w:val="18"/>
        </w:rPr>
        <w:t xml:space="preserve"> by sub-panel</w:t>
      </w:r>
    </w:p>
    <w:p w:rsidR="008A36BC" w:rsidRDefault="008A36BC" w:rsidP="004B326B">
      <w:pPr>
        <w:spacing w:after="120"/>
        <w:rPr>
          <w:rFonts w:ascii="Calibri" w:hAnsi="Calibri"/>
        </w:rPr>
      </w:pPr>
    </w:p>
    <w:p w:rsidR="00DB7228" w:rsidRPr="00DB7228" w:rsidRDefault="00117AD6" w:rsidP="004B326B">
      <w:pPr>
        <w:spacing w:after="120"/>
        <w:rPr>
          <w:rFonts w:ascii="Calibri" w:hAnsi="Calibri"/>
        </w:rPr>
      </w:pPr>
      <w:r>
        <w:rPr>
          <w:rFonts w:ascii="Calibri" w:hAnsi="Calibri"/>
        </w:rPr>
        <w:t xml:space="preserve">A total of </w:t>
      </w:r>
      <w:r w:rsidR="00DB7228">
        <w:rPr>
          <w:rFonts w:ascii="Calibri" w:hAnsi="Calibri"/>
        </w:rPr>
        <w:t>25 items failing to achieve consensus agreement in Round 2 were carried over for reconsideration in Round 3.</w:t>
      </w:r>
      <w:r>
        <w:rPr>
          <w:rFonts w:ascii="Calibri" w:hAnsi="Calibri"/>
        </w:rPr>
        <w:t xml:space="preserve"> Of these, 14 (56%) subsequently achieved </w:t>
      </w:r>
      <w:r w:rsidR="001E315F">
        <w:rPr>
          <w:rFonts w:ascii="Calibri" w:hAnsi="Calibri"/>
        </w:rPr>
        <w:t xml:space="preserve">universal </w:t>
      </w:r>
      <w:r>
        <w:rPr>
          <w:rFonts w:ascii="Calibri" w:hAnsi="Calibri"/>
        </w:rPr>
        <w:t xml:space="preserve">consensus </w:t>
      </w:r>
      <w:r>
        <w:rPr>
          <w:rFonts w:ascii="Calibri" w:hAnsi="Calibri"/>
        </w:rPr>
        <w:lastRenderedPageBreak/>
        <w:t xml:space="preserve">agreement with response stability. This result is characteristic of the Delphi process where participants have regard to </w:t>
      </w:r>
      <w:r w:rsidR="00C16B8D">
        <w:rPr>
          <w:rFonts w:ascii="Calibri" w:hAnsi="Calibri"/>
        </w:rPr>
        <w:t>the opinions of others in the sub-panel</w:t>
      </w:r>
      <w:r>
        <w:rPr>
          <w:rFonts w:ascii="Calibri" w:hAnsi="Calibri"/>
        </w:rPr>
        <w:t xml:space="preserve"> and gradually move closer to agreeing as a group.</w:t>
      </w:r>
      <w:r w:rsidR="00DB7228">
        <w:rPr>
          <w:rFonts w:ascii="Calibri" w:hAnsi="Calibri"/>
        </w:rPr>
        <w:t xml:space="preserve"> </w:t>
      </w:r>
      <w:r>
        <w:rPr>
          <w:rFonts w:ascii="Calibri" w:hAnsi="Calibri"/>
        </w:rPr>
        <w:t xml:space="preserve">Overall, 47% of responses to </w:t>
      </w:r>
      <w:r w:rsidR="001E315F">
        <w:rPr>
          <w:rFonts w:ascii="Calibri" w:hAnsi="Calibri"/>
        </w:rPr>
        <w:t xml:space="preserve">Round 3 </w:t>
      </w:r>
      <w:r>
        <w:rPr>
          <w:rFonts w:ascii="Calibri" w:hAnsi="Calibri"/>
        </w:rPr>
        <w:t xml:space="preserve">carried-over items </w:t>
      </w:r>
      <w:r w:rsidR="00C85605">
        <w:rPr>
          <w:rFonts w:ascii="Calibri" w:hAnsi="Calibri"/>
        </w:rPr>
        <w:t>were revised by participants</w:t>
      </w:r>
      <w:r>
        <w:rPr>
          <w:rFonts w:ascii="Calibri" w:hAnsi="Calibri"/>
        </w:rPr>
        <w:t xml:space="preserve">; </w:t>
      </w:r>
      <w:r w:rsidR="00C16B8D">
        <w:rPr>
          <w:rFonts w:ascii="Calibri" w:hAnsi="Calibri"/>
        </w:rPr>
        <w:t xml:space="preserve">this broke down as </w:t>
      </w:r>
      <w:r w:rsidR="00C85605">
        <w:rPr>
          <w:rFonts w:ascii="Calibri" w:hAnsi="Calibri"/>
        </w:rPr>
        <w:t>37%</w:t>
      </w:r>
      <w:r w:rsidR="0000680B">
        <w:rPr>
          <w:rFonts w:ascii="Calibri" w:hAnsi="Calibri"/>
        </w:rPr>
        <w:t>, 44% and 69%</w:t>
      </w:r>
      <w:r w:rsidR="00C85605">
        <w:rPr>
          <w:rFonts w:ascii="Calibri" w:hAnsi="Calibri"/>
        </w:rPr>
        <w:t xml:space="preserve"> in the ‘public health</w:t>
      </w:r>
      <w:r w:rsidR="0000680B">
        <w:rPr>
          <w:rFonts w:ascii="Calibri" w:hAnsi="Calibri"/>
        </w:rPr>
        <w:t>’, ‘air quality management’ and ‘other’ sub-panels, respectively.</w:t>
      </w:r>
      <w:r w:rsidR="00C85605">
        <w:rPr>
          <w:rFonts w:ascii="Calibri" w:hAnsi="Calibri"/>
        </w:rPr>
        <w:t xml:space="preserve"> </w:t>
      </w:r>
    </w:p>
    <w:p w:rsidR="00E55269" w:rsidRDefault="00E55269" w:rsidP="004B326B">
      <w:pPr>
        <w:spacing w:after="120"/>
        <w:rPr>
          <w:rFonts w:ascii="Calibri" w:hAnsi="Calibri"/>
          <w:i/>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3F109C" w:rsidRDefault="003F109C" w:rsidP="00295238">
      <w:pPr>
        <w:spacing w:before="100" w:beforeAutospacing="1" w:after="100" w:afterAutospacing="1" w:line="240" w:lineRule="auto"/>
        <w:outlineLvl w:val="1"/>
        <w:rPr>
          <w:rFonts w:eastAsia="Times New Roman" w:cs="Times New Roman"/>
          <w:b/>
          <w:bCs/>
          <w:lang w:eastAsia="en-GB"/>
        </w:rPr>
      </w:pPr>
    </w:p>
    <w:p w:rsidR="00DC1543" w:rsidRDefault="00F92B28" w:rsidP="00295238">
      <w:pPr>
        <w:spacing w:before="100" w:beforeAutospacing="1" w:after="100" w:afterAutospacing="1" w:line="240" w:lineRule="auto"/>
        <w:outlineLvl w:val="1"/>
        <w:rPr>
          <w:rFonts w:ascii="Calibri" w:hAnsi="Calibri"/>
          <w:i/>
        </w:rPr>
      </w:pPr>
      <w:r>
        <w:rPr>
          <w:rFonts w:eastAsia="Times New Roman" w:cs="Times New Roman"/>
          <w:b/>
          <w:bCs/>
          <w:lang w:eastAsia="en-GB"/>
        </w:rPr>
        <w:lastRenderedPageBreak/>
        <w:t>Di</w:t>
      </w:r>
      <w:r w:rsidR="00EF4572" w:rsidRPr="00EF4572">
        <w:rPr>
          <w:rFonts w:eastAsia="Times New Roman" w:cs="Times New Roman"/>
          <w:b/>
          <w:bCs/>
          <w:lang w:eastAsia="en-GB"/>
        </w:rPr>
        <w:t>scussion</w:t>
      </w:r>
    </w:p>
    <w:p w:rsidR="005B278B" w:rsidRPr="005B278B" w:rsidRDefault="005B278B" w:rsidP="003F109C">
      <w:pPr>
        <w:spacing w:after="120"/>
        <w:rPr>
          <w:rFonts w:ascii="Calibri" w:hAnsi="Calibri"/>
          <w:i/>
        </w:rPr>
      </w:pPr>
      <w:r>
        <w:rPr>
          <w:rFonts w:ascii="Calibri" w:hAnsi="Calibri"/>
          <w:i/>
        </w:rPr>
        <w:t>Main findings</w:t>
      </w:r>
    </w:p>
    <w:p w:rsidR="0025603A" w:rsidRDefault="00FF01B2" w:rsidP="003F109C">
      <w:pPr>
        <w:spacing w:after="120"/>
        <w:rPr>
          <w:rFonts w:ascii="Calibri" w:hAnsi="Calibri"/>
        </w:rPr>
      </w:pPr>
      <w:r>
        <w:rPr>
          <w:rFonts w:ascii="Calibri" w:hAnsi="Calibri"/>
        </w:rPr>
        <w:t xml:space="preserve">The </w:t>
      </w:r>
      <w:r w:rsidR="00615A54">
        <w:rPr>
          <w:rFonts w:ascii="Calibri" w:hAnsi="Calibri"/>
        </w:rPr>
        <w:t>Delphi method proved successful in eliciting multiple viewpoints from a range of experts on this complex research problem</w:t>
      </w:r>
      <w:r w:rsidR="00D95D95">
        <w:rPr>
          <w:rFonts w:ascii="Calibri" w:hAnsi="Calibri"/>
        </w:rPr>
        <w:t>.</w:t>
      </w:r>
      <w:r w:rsidR="00615A54">
        <w:rPr>
          <w:rFonts w:ascii="Calibri" w:hAnsi="Calibri"/>
        </w:rPr>
        <w:t xml:space="preserve"> It helped generate valuable</w:t>
      </w:r>
      <w:r w:rsidR="005B278B">
        <w:rPr>
          <w:rFonts w:ascii="Calibri" w:hAnsi="Calibri"/>
        </w:rPr>
        <w:t xml:space="preserve"> </w:t>
      </w:r>
      <w:r w:rsidR="00615A54">
        <w:rPr>
          <w:rFonts w:ascii="Calibri" w:hAnsi="Calibri"/>
        </w:rPr>
        <w:t xml:space="preserve">evidence </w:t>
      </w:r>
      <w:r>
        <w:rPr>
          <w:rFonts w:ascii="Calibri" w:hAnsi="Calibri"/>
        </w:rPr>
        <w:t xml:space="preserve">that </w:t>
      </w:r>
      <w:r w:rsidR="007D406C">
        <w:rPr>
          <w:rFonts w:ascii="Calibri" w:hAnsi="Calibri"/>
        </w:rPr>
        <w:t xml:space="preserve">can </w:t>
      </w:r>
      <w:r>
        <w:rPr>
          <w:rFonts w:ascii="Calibri" w:hAnsi="Calibri"/>
        </w:rPr>
        <w:t>be used to</w:t>
      </w:r>
      <w:r w:rsidR="00615A54">
        <w:rPr>
          <w:rFonts w:ascii="Calibri" w:hAnsi="Calibri"/>
        </w:rPr>
        <w:t xml:space="preserve"> inform the </w:t>
      </w:r>
      <w:r>
        <w:rPr>
          <w:rFonts w:ascii="Calibri" w:hAnsi="Calibri"/>
        </w:rPr>
        <w:t xml:space="preserve">future development of </w:t>
      </w:r>
      <w:r w:rsidR="00615A54">
        <w:rPr>
          <w:rFonts w:ascii="Calibri" w:hAnsi="Calibri"/>
        </w:rPr>
        <w:t>LAQM</w:t>
      </w:r>
      <w:r w:rsidR="00876E0D">
        <w:rPr>
          <w:rFonts w:ascii="Calibri" w:hAnsi="Calibri"/>
        </w:rPr>
        <w:t xml:space="preserve"> to maximise public health integration, collaboration and impact.</w:t>
      </w:r>
      <w:r w:rsidR="00615A54">
        <w:rPr>
          <w:rFonts w:ascii="Calibri" w:hAnsi="Calibri"/>
        </w:rPr>
        <w:t xml:space="preserve"> </w:t>
      </w:r>
    </w:p>
    <w:p w:rsidR="001A4043" w:rsidRDefault="007D406C" w:rsidP="003F109C">
      <w:pPr>
        <w:spacing w:after="120"/>
        <w:rPr>
          <w:rFonts w:ascii="Calibri" w:hAnsi="Calibri"/>
        </w:rPr>
      </w:pPr>
      <w:r>
        <w:rPr>
          <w:rFonts w:ascii="Calibri" w:hAnsi="Calibri"/>
        </w:rPr>
        <w:t xml:space="preserve">Experts in each sub-panel ultimately </w:t>
      </w:r>
      <w:r w:rsidR="00B26095">
        <w:rPr>
          <w:rFonts w:ascii="Calibri" w:hAnsi="Calibri"/>
        </w:rPr>
        <w:t xml:space="preserve">achieved </w:t>
      </w:r>
      <w:r>
        <w:rPr>
          <w:rFonts w:ascii="Calibri" w:hAnsi="Calibri"/>
        </w:rPr>
        <w:t xml:space="preserve">consensus agreement on all suggested roles for public health in LAQM. </w:t>
      </w:r>
      <w:r w:rsidR="00F47F8D">
        <w:rPr>
          <w:rFonts w:ascii="Calibri" w:hAnsi="Calibri"/>
        </w:rPr>
        <w:t>These included</w:t>
      </w:r>
      <w:r w:rsidR="001A4043">
        <w:rPr>
          <w:rFonts w:ascii="Calibri" w:hAnsi="Calibri"/>
        </w:rPr>
        <w:t>:</w:t>
      </w:r>
      <w:r w:rsidR="00F47F8D">
        <w:rPr>
          <w:rFonts w:ascii="Calibri" w:hAnsi="Calibri"/>
        </w:rPr>
        <w:t xml:space="preserve"> supporting</w:t>
      </w:r>
      <w:r>
        <w:rPr>
          <w:rFonts w:ascii="Calibri" w:hAnsi="Calibri"/>
        </w:rPr>
        <w:t xml:space="preserve"> </w:t>
      </w:r>
      <w:r w:rsidR="005771C0">
        <w:rPr>
          <w:rFonts w:ascii="Calibri" w:hAnsi="Calibri"/>
        </w:rPr>
        <w:t xml:space="preserve">risk </w:t>
      </w:r>
      <w:r>
        <w:rPr>
          <w:rFonts w:ascii="Calibri" w:hAnsi="Calibri"/>
        </w:rPr>
        <w:t>assessments that consider air pollution problems and solution</w:t>
      </w:r>
      <w:r w:rsidR="005771C0">
        <w:rPr>
          <w:rFonts w:ascii="Calibri" w:hAnsi="Calibri"/>
        </w:rPr>
        <w:t>s</w:t>
      </w:r>
      <w:r>
        <w:rPr>
          <w:rFonts w:ascii="Calibri" w:hAnsi="Calibri"/>
        </w:rPr>
        <w:t xml:space="preserve"> in a broad public health context</w:t>
      </w:r>
      <w:r w:rsidR="00582432">
        <w:rPr>
          <w:rFonts w:ascii="Calibri" w:hAnsi="Calibri"/>
        </w:rPr>
        <w:t xml:space="preserve">, </w:t>
      </w:r>
      <w:r w:rsidR="00416FCF">
        <w:rPr>
          <w:rFonts w:ascii="Calibri" w:hAnsi="Calibri"/>
        </w:rPr>
        <w:t>integrat</w:t>
      </w:r>
      <w:r w:rsidR="00F47F8D">
        <w:rPr>
          <w:rFonts w:ascii="Calibri" w:hAnsi="Calibri"/>
        </w:rPr>
        <w:t>ing</w:t>
      </w:r>
      <w:r w:rsidR="00582432">
        <w:rPr>
          <w:rFonts w:ascii="Calibri" w:hAnsi="Calibri"/>
        </w:rPr>
        <w:t xml:space="preserve"> action to reduce air pollution and risks</w:t>
      </w:r>
      <w:r w:rsidR="004A59D1">
        <w:rPr>
          <w:rFonts w:ascii="Calibri" w:hAnsi="Calibri"/>
        </w:rPr>
        <w:t xml:space="preserve"> with the ‘day job’ to </w:t>
      </w:r>
      <w:r w:rsidR="00416FCF">
        <w:rPr>
          <w:rFonts w:ascii="Calibri" w:hAnsi="Calibri"/>
        </w:rPr>
        <w:t xml:space="preserve">help </w:t>
      </w:r>
      <w:r w:rsidR="004A59D1">
        <w:rPr>
          <w:rFonts w:ascii="Calibri" w:hAnsi="Calibri"/>
        </w:rPr>
        <w:t>address linked priorities</w:t>
      </w:r>
      <w:r w:rsidR="00F47F8D">
        <w:rPr>
          <w:rFonts w:ascii="Calibri" w:hAnsi="Calibri"/>
        </w:rPr>
        <w:t>, unde</w:t>
      </w:r>
      <w:r w:rsidR="001A4043">
        <w:rPr>
          <w:rFonts w:ascii="Calibri" w:hAnsi="Calibri"/>
        </w:rPr>
        <w:t>rtaking research and evaluation</w:t>
      </w:r>
      <w:r w:rsidR="00F47F8D">
        <w:rPr>
          <w:rFonts w:ascii="Calibri" w:hAnsi="Calibri"/>
        </w:rPr>
        <w:t>, and appraising and interpreting evidence.</w:t>
      </w:r>
      <w:r w:rsidR="00416FCF">
        <w:rPr>
          <w:rFonts w:ascii="Calibri" w:hAnsi="Calibri"/>
        </w:rPr>
        <w:t xml:space="preserve"> </w:t>
      </w:r>
      <w:r w:rsidR="00F47F8D">
        <w:rPr>
          <w:rFonts w:ascii="Calibri" w:hAnsi="Calibri"/>
        </w:rPr>
        <w:t>Experts agreed that t</w:t>
      </w:r>
      <w:r w:rsidR="00416FCF">
        <w:rPr>
          <w:rFonts w:ascii="Calibri" w:hAnsi="Calibri"/>
        </w:rPr>
        <w:t xml:space="preserve">hese roles, together </w:t>
      </w:r>
      <w:r w:rsidR="001A4043">
        <w:rPr>
          <w:rFonts w:ascii="Calibri" w:hAnsi="Calibri"/>
        </w:rPr>
        <w:t xml:space="preserve">with </w:t>
      </w:r>
      <w:r w:rsidR="00B26095">
        <w:rPr>
          <w:rFonts w:ascii="Calibri" w:hAnsi="Calibri"/>
        </w:rPr>
        <w:t xml:space="preserve">the application of </w:t>
      </w:r>
      <w:r w:rsidR="005771C0">
        <w:rPr>
          <w:rFonts w:ascii="Calibri" w:hAnsi="Calibri"/>
        </w:rPr>
        <w:t>other</w:t>
      </w:r>
      <w:r w:rsidR="001A4043">
        <w:rPr>
          <w:rFonts w:ascii="Calibri" w:hAnsi="Calibri"/>
        </w:rPr>
        <w:t xml:space="preserve"> core public health skills</w:t>
      </w:r>
      <w:r w:rsidR="00416FCF">
        <w:rPr>
          <w:rFonts w:ascii="Calibri" w:hAnsi="Calibri"/>
        </w:rPr>
        <w:t xml:space="preserve"> such as </w:t>
      </w:r>
      <w:r w:rsidR="00F47F8D">
        <w:rPr>
          <w:rFonts w:ascii="Calibri" w:hAnsi="Calibri"/>
        </w:rPr>
        <w:t xml:space="preserve">authoritative </w:t>
      </w:r>
      <w:r w:rsidR="00416FCF">
        <w:rPr>
          <w:rFonts w:ascii="Calibri" w:hAnsi="Calibri"/>
        </w:rPr>
        <w:t>comm</w:t>
      </w:r>
      <w:r w:rsidR="001A4043">
        <w:rPr>
          <w:rFonts w:ascii="Calibri" w:hAnsi="Calibri"/>
        </w:rPr>
        <w:t>unication</w:t>
      </w:r>
      <w:r w:rsidR="00416FCF">
        <w:rPr>
          <w:rFonts w:ascii="Calibri" w:hAnsi="Calibri"/>
        </w:rPr>
        <w:t>, advocacy and leadership</w:t>
      </w:r>
      <w:r w:rsidR="005771C0">
        <w:rPr>
          <w:rFonts w:ascii="Calibri" w:hAnsi="Calibri"/>
        </w:rPr>
        <w:t>,</w:t>
      </w:r>
      <w:r w:rsidR="00F47F8D">
        <w:rPr>
          <w:rFonts w:ascii="Calibri" w:hAnsi="Calibri"/>
        </w:rPr>
        <w:t xml:space="preserve"> could </w:t>
      </w:r>
      <w:r w:rsidR="008A564B">
        <w:rPr>
          <w:rFonts w:ascii="Calibri" w:hAnsi="Calibri"/>
        </w:rPr>
        <w:t xml:space="preserve">inform evidence-based </w:t>
      </w:r>
      <w:r w:rsidR="005771C0">
        <w:rPr>
          <w:rFonts w:ascii="Calibri" w:hAnsi="Calibri"/>
        </w:rPr>
        <w:t xml:space="preserve">LAQM </w:t>
      </w:r>
      <w:r w:rsidR="00416FCF">
        <w:rPr>
          <w:rFonts w:ascii="Calibri" w:hAnsi="Calibri"/>
        </w:rPr>
        <w:t>policy development</w:t>
      </w:r>
      <w:r w:rsidR="005771C0">
        <w:rPr>
          <w:rFonts w:ascii="Calibri" w:hAnsi="Calibri"/>
        </w:rPr>
        <w:t xml:space="preserve"> and more effective implementation</w:t>
      </w:r>
      <w:r w:rsidR="00416FCF">
        <w:rPr>
          <w:rFonts w:ascii="Calibri" w:hAnsi="Calibri"/>
        </w:rPr>
        <w:t>.</w:t>
      </w:r>
      <w:r w:rsidR="001A4043">
        <w:rPr>
          <w:rFonts w:ascii="Calibri" w:hAnsi="Calibri"/>
        </w:rPr>
        <w:t xml:space="preserve"> </w:t>
      </w:r>
      <w:r w:rsidR="0027445F">
        <w:rPr>
          <w:rFonts w:ascii="Calibri" w:hAnsi="Calibri"/>
        </w:rPr>
        <w:t xml:space="preserve">The only item (in the entire Delphi study) to achieve universal strong </w:t>
      </w:r>
      <w:r w:rsidR="00B26095">
        <w:rPr>
          <w:rFonts w:ascii="Calibri" w:hAnsi="Calibri"/>
        </w:rPr>
        <w:t xml:space="preserve">agreement with </w:t>
      </w:r>
      <w:r w:rsidR="0027445F">
        <w:rPr>
          <w:rFonts w:ascii="Calibri" w:hAnsi="Calibri"/>
        </w:rPr>
        <w:t xml:space="preserve">consensus was the </w:t>
      </w:r>
      <w:r w:rsidR="00B26095">
        <w:rPr>
          <w:rFonts w:ascii="Calibri" w:hAnsi="Calibri"/>
        </w:rPr>
        <w:t xml:space="preserve">suggested </w:t>
      </w:r>
      <w:r w:rsidR="0027445F">
        <w:rPr>
          <w:rFonts w:ascii="Calibri" w:hAnsi="Calibri"/>
        </w:rPr>
        <w:t>public health role to raise professional and public awareness of air pollution as a health priority.</w:t>
      </w:r>
    </w:p>
    <w:p w:rsidR="00F15DD4" w:rsidRPr="000C6ADD" w:rsidRDefault="00BD066B" w:rsidP="003F109C">
      <w:pPr>
        <w:spacing w:after="120"/>
        <w:rPr>
          <w:rFonts w:ascii="Calibri" w:hAnsi="Calibri"/>
        </w:rPr>
      </w:pPr>
      <w:r>
        <w:rPr>
          <w:rFonts w:ascii="Calibri" w:hAnsi="Calibri"/>
        </w:rPr>
        <w:t xml:space="preserve">Experts reached consensus agreement (and where appropriate, response stability) on the majority of suggested </w:t>
      </w:r>
      <w:r w:rsidR="00F15DD4">
        <w:rPr>
          <w:rFonts w:ascii="Calibri" w:hAnsi="Calibri"/>
        </w:rPr>
        <w:t>opportunities to increase public health integration and collaboration</w:t>
      </w:r>
      <w:r>
        <w:rPr>
          <w:rFonts w:ascii="Calibri" w:hAnsi="Calibri"/>
        </w:rPr>
        <w:t xml:space="preserve">. </w:t>
      </w:r>
      <w:r w:rsidR="00F15DD4">
        <w:rPr>
          <w:rFonts w:ascii="Calibri" w:hAnsi="Calibri"/>
        </w:rPr>
        <w:t>These included</w:t>
      </w:r>
      <w:r w:rsidR="00B26095">
        <w:rPr>
          <w:rFonts w:ascii="Calibri" w:hAnsi="Calibri"/>
        </w:rPr>
        <w:t xml:space="preserve"> transferring existing</w:t>
      </w:r>
      <w:r w:rsidR="000F37A6">
        <w:rPr>
          <w:rFonts w:ascii="Calibri" w:hAnsi="Calibri"/>
        </w:rPr>
        <w:t xml:space="preserve"> </w:t>
      </w:r>
      <w:r w:rsidR="00F15DD4">
        <w:rPr>
          <w:rFonts w:ascii="Calibri" w:hAnsi="Calibri"/>
        </w:rPr>
        <w:t>public health expertise to</w:t>
      </w:r>
      <w:r w:rsidR="00B26095">
        <w:rPr>
          <w:rFonts w:ascii="Calibri" w:hAnsi="Calibri"/>
        </w:rPr>
        <w:t xml:space="preserve"> help</w:t>
      </w:r>
      <w:r w:rsidR="000F37A6">
        <w:rPr>
          <w:rFonts w:ascii="Calibri" w:hAnsi="Calibri"/>
        </w:rPr>
        <w:t>:</w:t>
      </w:r>
      <w:r w:rsidR="00F15DD4">
        <w:rPr>
          <w:rFonts w:ascii="Calibri" w:hAnsi="Calibri"/>
        </w:rPr>
        <w:t xml:space="preserve"> </w:t>
      </w:r>
      <w:r w:rsidR="000F37A6">
        <w:rPr>
          <w:rFonts w:ascii="Calibri" w:hAnsi="Calibri"/>
        </w:rPr>
        <w:t xml:space="preserve">improve air quality </w:t>
      </w:r>
      <w:r w:rsidR="00406A56">
        <w:rPr>
          <w:rFonts w:ascii="Calibri" w:hAnsi="Calibri"/>
        </w:rPr>
        <w:t>risk assessments and surveillance</w:t>
      </w:r>
      <w:r w:rsidR="00F15DD4">
        <w:rPr>
          <w:rFonts w:ascii="Calibri" w:hAnsi="Calibri"/>
        </w:rPr>
        <w:t xml:space="preserve">, </w:t>
      </w:r>
      <w:r w:rsidR="000F37A6">
        <w:rPr>
          <w:rFonts w:ascii="Calibri" w:hAnsi="Calibri"/>
        </w:rPr>
        <w:t>communicate</w:t>
      </w:r>
      <w:r w:rsidR="00406A56">
        <w:rPr>
          <w:rFonts w:ascii="Calibri" w:hAnsi="Calibri"/>
        </w:rPr>
        <w:t xml:space="preserve"> </w:t>
      </w:r>
      <w:r w:rsidR="000C6ADD">
        <w:rPr>
          <w:rFonts w:ascii="Calibri" w:hAnsi="Calibri"/>
        </w:rPr>
        <w:t xml:space="preserve">with broader audiences </w:t>
      </w:r>
      <w:r w:rsidR="000F37A6">
        <w:rPr>
          <w:rFonts w:ascii="Calibri" w:hAnsi="Calibri"/>
        </w:rPr>
        <w:t xml:space="preserve">in less technical ways </w:t>
      </w:r>
      <w:r w:rsidR="000C6ADD">
        <w:rPr>
          <w:rFonts w:ascii="Calibri" w:hAnsi="Calibri"/>
        </w:rPr>
        <w:t xml:space="preserve">to raise awareness and encourage stakeholder ‘buy in’, </w:t>
      </w:r>
      <w:r w:rsidR="00F15DD4">
        <w:rPr>
          <w:rFonts w:ascii="Calibri" w:hAnsi="Calibri"/>
        </w:rPr>
        <w:t xml:space="preserve">and influence policy development. </w:t>
      </w:r>
      <w:r>
        <w:rPr>
          <w:rFonts w:ascii="Calibri" w:hAnsi="Calibri"/>
        </w:rPr>
        <w:t>Some policy advances</w:t>
      </w:r>
      <w:r w:rsidR="00F15DD4" w:rsidRPr="000C6ADD">
        <w:rPr>
          <w:rFonts w:ascii="Calibri" w:hAnsi="Calibri"/>
        </w:rPr>
        <w:t xml:space="preserve"> </w:t>
      </w:r>
      <w:r w:rsidR="000F37A6">
        <w:rPr>
          <w:rFonts w:ascii="Calibri" w:hAnsi="Calibri"/>
        </w:rPr>
        <w:t xml:space="preserve">in Wales </w:t>
      </w:r>
      <w:r w:rsidR="00F15DD4" w:rsidRPr="000C6ADD">
        <w:rPr>
          <w:rFonts w:ascii="Calibri" w:hAnsi="Calibri"/>
        </w:rPr>
        <w:t xml:space="preserve">that </w:t>
      </w:r>
      <w:r>
        <w:rPr>
          <w:rFonts w:ascii="Calibri" w:hAnsi="Calibri"/>
        </w:rPr>
        <w:t xml:space="preserve">require public bodies to work </w:t>
      </w:r>
      <w:r w:rsidR="000F37A6">
        <w:rPr>
          <w:rFonts w:ascii="Calibri" w:hAnsi="Calibri"/>
        </w:rPr>
        <w:t xml:space="preserve">collaboratively in more </w:t>
      </w:r>
      <w:r>
        <w:rPr>
          <w:rFonts w:ascii="Calibri" w:hAnsi="Calibri"/>
        </w:rPr>
        <w:t xml:space="preserve">sustainable </w:t>
      </w:r>
      <w:r w:rsidR="00F15DD4" w:rsidRPr="000C6ADD">
        <w:rPr>
          <w:rFonts w:ascii="Calibri" w:hAnsi="Calibri"/>
        </w:rPr>
        <w:t>ways</w:t>
      </w:r>
      <w:r>
        <w:rPr>
          <w:rFonts w:ascii="Calibri" w:hAnsi="Calibri"/>
        </w:rPr>
        <w:t xml:space="preserve"> across regions</w:t>
      </w:r>
      <w:r w:rsidR="00F15DD4" w:rsidRPr="000C6ADD">
        <w:rPr>
          <w:rFonts w:ascii="Calibri" w:hAnsi="Calibri"/>
        </w:rPr>
        <w:t xml:space="preserve">, and </w:t>
      </w:r>
      <w:r>
        <w:rPr>
          <w:rFonts w:ascii="Calibri" w:hAnsi="Calibri"/>
        </w:rPr>
        <w:t xml:space="preserve">encourage </w:t>
      </w:r>
      <w:r w:rsidR="00F15DD4" w:rsidRPr="000C6ADD">
        <w:rPr>
          <w:rFonts w:ascii="Calibri" w:hAnsi="Calibri"/>
        </w:rPr>
        <w:t xml:space="preserve">universal action to </w:t>
      </w:r>
      <w:r w:rsidR="009858CB">
        <w:rPr>
          <w:rFonts w:ascii="Calibri" w:hAnsi="Calibri"/>
        </w:rPr>
        <w:t>complement targeted intervention to reduce air pollution, risks and inequalities</w:t>
      </w:r>
      <w:r>
        <w:rPr>
          <w:rFonts w:ascii="Calibri" w:hAnsi="Calibri"/>
        </w:rPr>
        <w:t>,</w:t>
      </w:r>
      <w:r w:rsidR="009858CB">
        <w:rPr>
          <w:rFonts w:ascii="Calibri" w:hAnsi="Calibri"/>
        </w:rPr>
        <w:t xml:space="preserve"> were also seen as positive drivers for change. Two suggested items were not </w:t>
      </w:r>
      <w:r w:rsidR="000F57A1">
        <w:rPr>
          <w:rFonts w:ascii="Calibri" w:hAnsi="Calibri"/>
        </w:rPr>
        <w:t xml:space="preserve">universally </w:t>
      </w:r>
      <w:r w:rsidR="009858CB">
        <w:rPr>
          <w:rFonts w:ascii="Calibri" w:hAnsi="Calibri"/>
        </w:rPr>
        <w:t>accepted</w:t>
      </w:r>
      <w:r w:rsidR="00CF26F2">
        <w:rPr>
          <w:rFonts w:ascii="Calibri" w:hAnsi="Calibri"/>
        </w:rPr>
        <w:t>:</w:t>
      </w:r>
    </w:p>
    <w:p w:rsidR="000C6ADD" w:rsidRPr="00FF0B3B" w:rsidRDefault="00CF26F2" w:rsidP="003F109C">
      <w:pPr>
        <w:pStyle w:val="ListParagraph"/>
        <w:numPr>
          <w:ilvl w:val="0"/>
          <w:numId w:val="20"/>
        </w:numPr>
        <w:spacing w:before="0" w:after="120" w:line="276" w:lineRule="auto"/>
        <w:rPr>
          <w:rFonts w:ascii="Calibri" w:hAnsi="Calibri"/>
          <w:sz w:val="22"/>
          <w:szCs w:val="22"/>
        </w:rPr>
      </w:pPr>
      <w:r>
        <w:rPr>
          <w:rFonts w:ascii="Calibri" w:hAnsi="Calibri"/>
          <w:sz w:val="22"/>
          <w:szCs w:val="22"/>
        </w:rPr>
        <w:t>E</w:t>
      </w:r>
      <w:r w:rsidR="000C6ADD" w:rsidRPr="00406A56">
        <w:rPr>
          <w:rFonts w:ascii="Calibri" w:hAnsi="Calibri"/>
          <w:sz w:val="22"/>
          <w:szCs w:val="22"/>
        </w:rPr>
        <w:t xml:space="preserve">xperts in all three sub-panels agreed that the existing Welsh Air Quality Forum </w:t>
      </w:r>
      <w:r w:rsidR="00BD066B" w:rsidRPr="00406A56">
        <w:rPr>
          <w:rFonts w:ascii="Calibri" w:hAnsi="Calibri"/>
          <w:sz w:val="22"/>
          <w:szCs w:val="22"/>
        </w:rPr>
        <w:t>(</w:t>
      </w:r>
      <w:r>
        <w:rPr>
          <w:rFonts w:ascii="Calibri" w:hAnsi="Calibri"/>
          <w:sz w:val="22"/>
          <w:szCs w:val="22"/>
        </w:rPr>
        <w:t>which helps</w:t>
      </w:r>
      <w:r w:rsidR="00BD066B" w:rsidRPr="00406A56">
        <w:rPr>
          <w:rFonts w:ascii="Calibri" w:hAnsi="Calibri"/>
          <w:sz w:val="22"/>
          <w:szCs w:val="22"/>
        </w:rPr>
        <w:t xml:space="preserve"> </w:t>
      </w:r>
      <w:r>
        <w:rPr>
          <w:rFonts w:ascii="Calibri" w:hAnsi="Calibri"/>
          <w:sz w:val="22"/>
          <w:szCs w:val="22"/>
        </w:rPr>
        <w:t xml:space="preserve">local authorities </w:t>
      </w:r>
      <w:r w:rsidR="00BD066B" w:rsidRPr="00406A56">
        <w:rPr>
          <w:rFonts w:ascii="Calibri" w:hAnsi="Calibri"/>
          <w:sz w:val="22"/>
          <w:szCs w:val="22"/>
        </w:rPr>
        <w:t xml:space="preserve">translate </w:t>
      </w:r>
      <w:r>
        <w:rPr>
          <w:rFonts w:ascii="Calibri" w:hAnsi="Calibri"/>
          <w:sz w:val="22"/>
          <w:szCs w:val="22"/>
        </w:rPr>
        <w:t xml:space="preserve">LAQM </w:t>
      </w:r>
      <w:r w:rsidR="00BD066B" w:rsidRPr="00406A56">
        <w:rPr>
          <w:rFonts w:ascii="Calibri" w:hAnsi="Calibri"/>
          <w:sz w:val="22"/>
          <w:szCs w:val="22"/>
        </w:rPr>
        <w:t xml:space="preserve">policy into consistent practice across Wales) </w:t>
      </w:r>
      <w:r w:rsidR="000C6ADD" w:rsidRPr="00406A56">
        <w:rPr>
          <w:rFonts w:ascii="Calibri" w:hAnsi="Calibri"/>
          <w:sz w:val="22"/>
          <w:szCs w:val="22"/>
        </w:rPr>
        <w:t xml:space="preserve">could </w:t>
      </w:r>
      <w:r>
        <w:rPr>
          <w:rFonts w:ascii="Calibri" w:hAnsi="Calibri"/>
          <w:sz w:val="22"/>
          <w:szCs w:val="22"/>
        </w:rPr>
        <w:t>increase</w:t>
      </w:r>
      <w:r w:rsidR="000C6ADD" w:rsidRPr="00406A56">
        <w:rPr>
          <w:rFonts w:ascii="Calibri" w:hAnsi="Calibri"/>
          <w:sz w:val="22"/>
          <w:szCs w:val="22"/>
        </w:rPr>
        <w:t xml:space="preserve"> </w:t>
      </w:r>
      <w:r w:rsidR="00BD066B" w:rsidRPr="00406A56">
        <w:rPr>
          <w:rFonts w:ascii="Calibri" w:hAnsi="Calibri"/>
          <w:sz w:val="22"/>
          <w:szCs w:val="22"/>
        </w:rPr>
        <w:t xml:space="preserve">public health </w:t>
      </w:r>
      <w:r w:rsidR="000C6ADD" w:rsidRPr="00406A56">
        <w:rPr>
          <w:rFonts w:ascii="Calibri" w:hAnsi="Calibri"/>
          <w:sz w:val="22"/>
          <w:szCs w:val="22"/>
        </w:rPr>
        <w:t>collaboration and action,</w:t>
      </w:r>
      <w:r>
        <w:rPr>
          <w:rFonts w:ascii="Calibri" w:hAnsi="Calibri"/>
          <w:sz w:val="22"/>
          <w:szCs w:val="22"/>
        </w:rPr>
        <w:t xml:space="preserve"> but</w:t>
      </w:r>
      <w:r w:rsidR="000C6ADD" w:rsidRPr="00406A56">
        <w:rPr>
          <w:rFonts w:ascii="Calibri" w:hAnsi="Calibri"/>
          <w:sz w:val="22"/>
          <w:szCs w:val="22"/>
        </w:rPr>
        <w:t xml:space="preserve"> public health </w:t>
      </w:r>
      <w:r w:rsidR="00BD066B" w:rsidRPr="00406A56">
        <w:rPr>
          <w:rFonts w:ascii="Calibri" w:hAnsi="Calibri"/>
          <w:sz w:val="22"/>
          <w:szCs w:val="22"/>
        </w:rPr>
        <w:t xml:space="preserve">and </w:t>
      </w:r>
      <w:r w:rsidR="000C6ADD" w:rsidRPr="00406A56">
        <w:rPr>
          <w:rFonts w:ascii="Calibri" w:hAnsi="Calibri"/>
          <w:sz w:val="22"/>
          <w:szCs w:val="22"/>
        </w:rPr>
        <w:t xml:space="preserve">‘other’ experts could not </w:t>
      </w:r>
      <w:r w:rsidR="00406A56" w:rsidRPr="00406A56">
        <w:rPr>
          <w:rFonts w:ascii="Calibri" w:hAnsi="Calibri"/>
          <w:sz w:val="22"/>
          <w:szCs w:val="22"/>
        </w:rPr>
        <w:t>reach consensus and/or response stability</w:t>
      </w:r>
      <w:r>
        <w:rPr>
          <w:rFonts w:ascii="Calibri" w:hAnsi="Calibri"/>
          <w:sz w:val="22"/>
          <w:szCs w:val="22"/>
        </w:rPr>
        <w:t xml:space="preserve"> on this item</w:t>
      </w:r>
      <w:r w:rsidR="00406A56" w:rsidRPr="00406A56">
        <w:rPr>
          <w:rFonts w:ascii="Calibri" w:hAnsi="Calibri"/>
          <w:sz w:val="22"/>
          <w:szCs w:val="22"/>
        </w:rPr>
        <w:t xml:space="preserve">. </w:t>
      </w:r>
      <w:r>
        <w:rPr>
          <w:rFonts w:ascii="Calibri" w:hAnsi="Calibri"/>
          <w:sz w:val="22"/>
          <w:szCs w:val="22"/>
        </w:rPr>
        <w:t>Since th</w:t>
      </w:r>
      <w:r w:rsidR="00B26095">
        <w:rPr>
          <w:rFonts w:ascii="Calibri" w:hAnsi="Calibri"/>
          <w:sz w:val="22"/>
          <w:szCs w:val="22"/>
        </w:rPr>
        <w:t xml:space="preserve">e Welsh Air Quality Forum </w:t>
      </w:r>
      <w:r>
        <w:rPr>
          <w:rFonts w:ascii="Calibri" w:hAnsi="Calibri"/>
          <w:sz w:val="22"/>
          <w:szCs w:val="22"/>
        </w:rPr>
        <w:t>partnership</w:t>
      </w:r>
      <w:r w:rsidR="00406A56" w:rsidRPr="00406A56">
        <w:rPr>
          <w:rFonts w:ascii="Calibri" w:hAnsi="Calibri"/>
          <w:sz w:val="22"/>
          <w:szCs w:val="22"/>
        </w:rPr>
        <w:t xml:space="preserve"> </w:t>
      </w:r>
      <w:r>
        <w:rPr>
          <w:rFonts w:ascii="Calibri" w:hAnsi="Calibri"/>
          <w:sz w:val="22"/>
          <w:szCs w:val="22"/>
        </w:rPr>
        <w:t xml:space="preserve">is local </w:t>
      </w:r>
      <w:r w:rsidR="00406A56" w:rsidRPr="00406A56">
        <w:rPr>
          <w:rFonts w:ascii="Calibri" w:hAnsi="Calibri"/>
          <w:sz w:val="22"/>
          <w:szCs w:val="22"/>
        </w:rPr>
        <w:t xml:space="preserve">authority </w:t>
      </w:r>
      <w:r>
        <w:rPr>
          <w:rFonts w:ascii="Calibri" w:hAnsi="Calibri"/>
          <w:sz w:val="22"/>
          <w:szCs w:val="22"/>
        </w:rPr>
        <w:t>and LAQM compliance-focused, this</w:t>
      </w:r>
      <w:r w:rsidR="00406A56" w:rsidRPr="00FF0B3B">
        <w:rPr>
          <w:rFonts w:ascii="Calibri" w:hAnsi="Calibri"/>
          <w:sz w:val="22"/>
          <w:szCs w:val="22"/>
        </w:rPr>
        <w:t xml:space="preserve"> finding </w:t>
      </w:r>
      <w:r>
        <w:rPr>
          <w:rFonts w:ascii="Calibri" w:hAnsi="Calibri"/>
          <w:sz w:val="22"/>
          <w:szCs w:val="22"/>
        </w:rPr>
        <w:t xml:space="preserve">suggests </w:t>
      </w:r>
      <w:r w:rsidR="00406A56" w:rsidRPr="00FF0B3B">
        <w:rPr>
          <w:rFonts w:ascii="Calibri" w:hAnsi="Calibri"/>
          <w:sz w:val="22"/>
          <w:szCs w:val="22"/>
        </w:rPr>
        <w:t>that very few non-local authority experts know about it or are engaged in its work</w:t>
      </w:r>
      <w:r>
        <w:rPr>
          <w:rFonts w:ascii="Calibri" w:hAnsi="Calibri"/>
          <w:sz w:val="22"/>
          <w:szCs w:val="22"/>
        </w:rPr>
        <w:t xml:space="preserve">. </w:t>
      </w:r>
    </w:p>
    <w:p w:rsidR="00406A56" w:rsidRPr="00FF0B3B" w:rsidRDefault="00E90690" w:rsidP="003F109C">
      <w:pPr>
        <w:pStyle w:val="ListParagraph"/>
        <w:numPr>
          <w:ilvl w:val="0"/>
          <w:numId w:val="20"/>
        </w:numPr>
        <w:spacing w:before="0" w:after="120" w:line="276" w:lineRule="auto"/>
        <w:rPr>
          <w:rFonts w:ascii="Calibri" w:hAnsi="Calibri"/>
          <w:sz w:val="22"/>
          <w:szCs w:val="22"/>
        </w:rPr>
      </w:pPr>
      <w:r>
        <w:rPr>
          <w:rFonts w:ascii="Calibri" w:hAnsi="Calibri"/>
          <w:sz w:val="22"/>
          <w:szCs w:val="22"/>
        </w:rPr>
        <w:t>Neither p</w:t>
      </w:r>
      <w:r w:rsidR="00FF0B3B" w:rsidRPr="00FF0B3B">
        <w:rPr>
          <w:rFonts w:ascii="Calibri" w:hAnsi="Calibri"/>
          <w:sz w:val="22"/>
          <w:szCs w:val="22"/>
        </w:rPr>
        <w:t xml:space="preserve">ublic health </w:t>
      </w:r>
      <w:r>
        <w:rPr>
          <w:rFonts w:ascii="Calibri" w:hAnsi="Calibri"/>
          <w:sz w:val="22"/>
          <w:szCs w:val="22"/>
        </w:rPr>
        <w:t xml:space="preserve">nor </w:t>
      </w:r>
      <w:r w:rsidR="00FF0B3B">
        <w:rPr>
          <w:rFonts w:ascii="Calibri" w:hAnsi="Calibri"/>
          <w:sz w:val="22"/>
          <w:szCs w:val="22"/>
        </w:rPr>
        <w:t xml:space="preserve">air quality management experts </w:t>
      </w:r>
      <w:r>
        <w:rPr>
          <w:rFonts w:ascii="Calibri" w:hAnsi="Calibri"/>
          <w:sz w:val="22"/>
          <w:szCs w:val="22"/>
        </w:rPr>
        <w:t xml:space="preserve">were confident that </w:t>
      </w:r>
      <w:r w:rsidR="008A028F">
        <w:rPr>
          <w:rFonts w:ascii="Calibri" w:hAnsi="Calibri"/>
          <w:sz w:val="22"/>
          <w:szCs w:val="22"/>
        </w:rPr>
        <w:t>an increased willingness to share data, intelligence and expertise</w:t>
      </w:r>
      <w:r w:rsidR="003A1642">
        <w:rPr>
          <w:rFonts w:ascii="Calibri" w:hAnsi="Calibri"/>
          <w:sz w:val="22"/>
          <w:szCs w:val="22"/>
        </w:rPr>
        <w:t xml:space="preserve"> existed</w:t>
      </w:r>
      <w:r w:rsidR="008A028F">
        <w:rPr>
          <w:rFonts w:ascii="Calibri" w:hAnsi="Calibri"/>
          <w:sz w:val="22"/>
          <w:szCs w:val="22"/>
        </w:rPr>
        <w:t>.</w:t>
      </w:r>
      <w:r>
        <w:rPr>
          <w:rFonts w:ascii="Calibri" w:hAnsi="Calibri"/>
          <w:sz w:val="22"/>
          <w:szCs w:val="22"/>
        </w:rPr>
        <w:t xml:space="preserve"> </w:t>
      </w:r>
      <w:r w:rsidR="00CF26F2">
        <w:rPr>
          <w:rFonts w:ascii="Calibri" w:hAnsi="Calibri"/>
          <w:sz w:val="22"/>
          <w:szCs w:val="22"/>
        </w:rPr>
        <w:t>Possible explanations for this include</w:t>
      </w:r>
      <w:r w:rsidR="0027333D">
        <w:rPr>
          <w:rFonts w:ascii="Calibri" w:hAnsi="Calibri"/>
          <w:sz w:val="22"/>
          <w:szCs w:val="22"/>
        </w:rPr>
        <w:t xml:space="preserve"> public health experts not understanding the LAQM process and air quality experts being unfamiliar with the </w:t>
      </w:r>
      <w:r w:rsidR="003A1642">
        <w:rPr>
          <w:rFonts w:ascii="Calibri" w:hAnsi="Calibri"/>
          <w:sz w:val="22"/>
          <w:szCs w:val="22"/>
        </w:rPr>
        <w:t xml:space="preserve">type of data and analytical capability that public health can offer. </w:t>
      </w:r>
    </w:p>
    <w:p w:rsidR="00916FEC" w:rsidRPr="00916FEC" w:rsidRDefault="009858CB" w:rsidP="003F109C">
      <w:pPr>
        <w:spacing w:after="120"/>
        <w:rPr>
          <w:rFonts w:ascii="Calibri" w:hAnsi="Calibri"/>
        </w:rPr>
      </w:pPr>
      <w:r w:rsidRPr="00FF0B3B">
        <w:rPr>
          <w:rFonts w:ascii="Calibri" w:hAnsi="Calibri"/>
        </w:rPr>
        <w:t xml:space="preserve">The </w:t>
      </w:r>
      <w:r w:rsidR="006028B9">
        <w:rPr>
          <w:rFonts w:ascii="Calibri" w:hAnsi="Calibri"/>
        </w:rPr>
        <w:t xml:space="preserve">possible </w:t>
      </w:r>
      <w:r w:rsidRPr="00FF0B3B">
        <w:rPr>
          <w:rFonts w:ascii="Calibri" w:hAnsi="Calibri"/>
        </w:rPr>
        <w:t xml:space="preserve">added value </w:t>
      </w:r>
      <w:r w:rsidR="000F57A1">
        <w:rPr>
          <w:rFonts w:ascii="Calibri" w:hAnsi="Calibri"/>
        </w:rPr>
        <w:t>of increased public health integration and collaboration</w:t>
      </w:r>
      <w:r w:rsidR="00F15DD4" w:rsidRPr="00FF0B3B">
        <w:rPr>
          <w:rFonts w:ascii="Calibri" w:hAnsi="Calibri"/>
        </w:rPr>
        <w:t xml:space="preserve"> was considered</w:t>
      </w:r>
      <w:r w:rsidR="001A2B0D" w:rsidRPr="00FF0B3B">
        <w:rPr>
          <w:rFonts w:ascii="Calibri" w:hAnsi="Calibri"/>
        </w:rPr>
        <w:t xml:space="preserve"> significant</w:t>
      </w:r>
      <w:r w:rsidR="006831E3">
        <w:rPr>
          <w:rFonts w:ascii="Calibri" w:hAnsi="Calibri"/>
        </w:rPr>
        <w:t xml:space="preserve">. It </w:t>
      </w:r>
      <w:r w:rsidR="000F57A1">
        <w:rPr>
          <w:rFonts w:ascii="Calibri" w:hAnsi="Calibri"/>
        </w:rPr>
        <w:t xml:space="preserve">included: </w:t>
      </w:r>
      <w:r w:rsidR="001A2B0D">
        <w:rPr>
          <w:rFonts w:ascii="Calibri" w:hAnsi="Calibri"/>
        </w:rPr>
        <w:t xml:space="preserve">increased public health expertise, confidence and </w:t>
      </w:r>
      <w:r w:rsidR="006831E3">
        <w:rPr>
          <w:rFonts w:ascii="Calibri" w:hAnsi="Calibri"/>
        </w:rPr>
        <w:t>LAQM</w:t>
      </w:r>
      <w:r w:rsidR="005A0305">
        <w:rPr>
          <w:rFonts w:ascii="Calibri" w:hAnsi="Calibri"/>
        </w:rPr>
        <w:t xml:space="preserve"> </w:t>
      </w:r>
      <w:r w:rsidR="001A2B0D">
        <w:rPr>
          <w:rFonts w:ascii="Calibri" w:hAnsi="Calibri"/>
        </w:rPr>
        <w:t>support, improved risk</w:t>
      </w:r>
      <w:r w:rsidR="00D513CB">
        <w:rPr>
          <w:rFonts w:ascii="Calibri" w:hAnsi="Calibri"/>
        </w:rPr>
        <w:t xml:space="preserve"> assessment</w:t>
      </w:r>
      <w:r w:rsidR="001A4043">
        <w:rPr>
          <w:rFonts w:ascii="Calibri" w:hAnsi="Calibri"/>
        </w:rPr>
        <w:t xml:space="preserve"> and understanding</w:t>
      </w:r>
      <w:r w:rsidR="00EB2F17">
        <w:rPr>
          <w:rFonts w:ascii="Calibri" w:hAnsi="Calibri"/>
        </w:rPr>
        <w:t xml:space="preserve">, evidence-based universal and targeted action </w:t>
      </w:r>
      <w:r w:rsidR="000F57A1">
        <w:rPr>
          <w:rFonts w:ascii="Calibri" w:hAnsi="Calibri"/>
        </w:rPr>
        <w:t>to reduce</w:t>
      </w:r>
      <w:r w:rsidR="00EB2F17">
        <w:rPr>
          <w:rFonts w:ascii="Calibri" w:hAnsi="Calibri"/>
        </w:rPr>
        <w:t xml:space="preserve"> inequalities</w:t>
      </w:r>
      <w:r w:rsidR="00BC7240">
        <w:rPr>
          <w:rFonts w:ascii="Calibri" w:hAnsi="Calibri"/>
        </w:rPr>
        <w:t xml:space="preserve">, </w:t>
      </w:r>
      <w:r w:rsidR="007D6EC6">
        <w:rPr>
          <w:rFonts w:ascii="Calibri" w:hAnsi="Calibri"/>
        </w:rPr>
        <w:t xml:space="preserve">and better alignment </w:t>
      </w:r>
      <w:r w:rsidR="00B26095">
        <w:rPr>
          <w:rFonts w:ascii="Calibri" w:hAnsi="Calibri"/>
        </w:rPr>
        <w:t xml:space="preserve">of action </w:t>
      </w:r>
      <w:r w:rsidR="007D6EC6">
        <w:rPr>
          <w:rFonts w:ascii="Calibri" w:hAnsi="Calibri"/>
        </w:rPr>
        <w:t>with</w:t>
      </w:r>
      <w:r w:rsidR="00BC7240">
        <w:rPr>
          <w:rFonts w:ascii="Calibri" w:hAnsi="Calibri"/>
        </w:rPr>
        <w:t xml:space="preserve"> other public health intervention</w:t>
      </w:r>
      <w:r w:rsidR="006831E3">
        <w:rPr>
          <w:rFonts w:ascii="Calibri" w:hAnsi="Calibri"/>
        </w:rPr>
        <w:t>s</w:t>
      </w:r>
      <w:r w:rsidR="007D6EC6">
        <w:rPr>
          <w:rFonts w:ascii="Calibri" w:hAnsi="Calibri"/>
        </w:rPr>
        <w:t>.</w:t>
      </w:r>
      <w:r w:rsidR="00BC7240">
        <w:rPr>
          <w:rFonts w:ascii="Calibri" w:hAnsi="Calibri"/>
        </w:rPr>
        <w:t xml:space="preserve"> In turn, more creative and productive collaboration could result</w:t>
      </w:r>
      <w:r w:rsidR="00E018A0">
        <w:rPr>
          <w:rFonts w:ascii="Calibri" w:hAnsi="Calibri"/>
        </w:rPr>
        <w:t xml:space="preserve">, along with </w:t>
      </w:r>
      <w:r w:rsidR="007D6EC6">
        <w:rPr>
          <w:rFonts w:ascii="Calibri" w:hAnsi="Calibri"/>
        </w:rPr>
        <w:t xml:space="preserve">more effective </w:t>
      </w:r>
      <w:r w:rsidR="00E018A0">
        <w:rPr>
          <w:rFonts w:ascii="Calibri" w:hAnsi="Calibri"/>
        </w:rPr>
        <w:t xml:space="preserve">communications, </w:t>
      </w:r>
      <w:r w:rsidR="006831E3">
        <w:rPr>
          <w:rFonts w:ascii="Calibri" w:hAnsi="Calibri"/>
        </w:rPr>
        <w:t xml:space="preserve">good opportunities for </w:t>
      </w:r>
      <w:r w:rsidR="00E018A0">
        <w:rPr>
          <w:rFonts w:ascii="Calibri" w:hAnsi="Calibri"/>
        </w:rPr>
        <w:t>research and evaluation, connected policy</w:t>
      </w:r>
      <w:r w:rsidR="007D6EC6">
        <w:rPr>
          <w:rFonts w:ascii="Calibri" w:hAnsi="Calibri"/>
        </w:rPr>
        <w:t>,</w:t>
      </w:r>
      <w:r w:rsidR="00E018A0">
        <w:rPr>
          <w:rFonts w:ascii="Calibri" w:hAnsi="Calibri"/>
        </w:rPr>
        <w:t xml:space="preserve"> and </w:t>
      </w:r>
      <w:r w:rsidR="006831E3">
        <w:rPr>
          <w:rFonts w:ascii="Calibri" w:hAnsi="Calibri"/>
        </w:rPr>
        <w:t xml:space="preserve">prevention-focused </w:t>
      </w:r>
      <w:r w:rsidR="00E018A0" w:rsidRPr="00916FEC">
        <w:rPr>
          <w:rFonts w:ascii="Calibri" w:hAnsi="Calibri"/>
        </w:rPr>
        <w:t>investment.</w:t>
      </w:r>
      <w:r w:rsidR="000F57A1">
        <w:rPr>
          <w:rFonts w:ascii="Calibri" w:hAnsi="Calibri"/>
        </w:rPr>
        <w:t xml:space="preserve"> T</w:t>
      </w:r>
      <w:r w:rsidR="007D6EC6" w:rsidRPr="00916FEC">
        <w:rPr>
          <w:rFonts w:ascii="Calibri" w:hAnsi="Calibri"/>
        </w:rPr>
        <w:t xml:space="preserve">wo suggested items were not </w:t>
      </w:r>
      <w:r w:rsidR="009255CA">
        <w:rPr>
          <w:rFonts w:ascii="Calibri" w:hAnsi="Calibri"/>
        </w:rPr>
        <w:t>universally a</w:t>
      </w:r>
      <w:r w:rsidR="007D6EC6" w:rsidRPr="00916FEC">
        <w:rPr>
          <w:rFonts w:ascii="Calibri" w:hAnsi="Calibri"/>
        </w:rPr>
        <w:t>ccepted</w:t>
      </w:r>
      <w:r w:rsidR="00916FEC" w:rsidRPr="00916FEC">
        <w:rPr>
          <w:rFonts w:ascii="Calibri" w:hAnsi="Calibri"/>
        </w:rPr>
        <w:t>:</w:t>
      </w:r>
    </w:p>
    <w:p w:rsidR="00916FEC" w:rsidRDefault="007D6EC6" w:rsidP="003F109C">
      <w:pPr>
        <w:pStyle w:val="ListParagraph"/>
        <w:numPr>
          <w:ilvl w:val="0"/>
          <w:numId w:val="19"/>
        </w:numPr>
        <w:spacing w:before="0" w:after="120" w:line="276" w:lineRule="auto"/>
        <w:rPr>
          <w:rFonts w:ascii="Calibri" w:hAnsi="Calibri"/>
          <w:sz w:val="22"/>
          <w:szCs w:val="22"/>
        </w:rPr>
      </w:pPr>
      <w:r w:rsidRPr="00916FEC">
        <w:rPr>
          <w:rFonts w:ascii="Calibri" w:hAnsi="Calibri"/>
          <w:sz w:val="22"/>
          <w:szCs w:val="22"/>
        </w:rPr>
        <w:lastRenderedPageBreak/>
        <w:t>D</w:t>
      </w:r>
      <w:r w:rsidR="00C45342" w:rsidRPr="00916FEC">
        <w:rPr>
          <w:rFonts w:ascii="Calibri" w:hAnsi="Calibri"/>
          <w:sz w:val="22"/>
          <w:szCs w:val="22"/>
        </w:rPr>
        <w:t xml:space="preserve">espite strongly agreeing </w:t>
      </w:r>
      <w:r w:rsidR="00431F45" w:rsidRPr="00916FEC">
        <w:rPr>
          <w:rFonts w:ascii="Calibri" w:hAnsi="Calibri"/>
          <w:sz w:val="22"/>
          <w:szCs w:val="22"/>
        </w:rPr>
        <w:t xml:space="preserve">(with good consensus) </w:t>
      </w:r>
      <w:r w:rsidR="00C45342" w:rsidRPr="00916FEC">
        <w:rPr>
          <w:rFonts w:ascii="Calibri" w:hAnsi="Calibri"/>
          <w:sz w:val="22"/>
          <w:szCs w:val="22"/>
        </w:rPr>
        <w:t>that better connected policy and practice c</w:t>
      </w:r>
      <w:r w:rsidR="00F44DC2">
        <w:rPr>
          <w:rFonts w:ascii="Calibri" w:hAnsi="Calibri"/>
          <w:sz w:val="22"/>
          <w:szCs w:val="22"/>
        </w:rPr>
        <w:t xml:space="preserve">ould </w:t>
      </w:r>
      <w:r w:rsidR="00C45342" w:rsidRPr="00916FEC">
        <w:rPr>
          <w:rFonts w:ascii="Calibri" w:hAnsi="Calibri"/>
          <w:sz w:val="22"/>
          <w:szCs w:val="22"/>
        </w:rPr>
        <w:t xml:space="preserve">create more effective and efficient ways of working, </w:t>
      </w:r>
      <w:r w:rsidRPr="00916FEC">
        <w:rPr>
          <w:rFonts w:ascii="Calibri" w:hAnsi="Calibri"/>
          <w:sz w:val="22"/>
          <w:szCs w:val="22"/>
        </w:rPr>
        <w:t xml:space="preserve">public health expert responses </w:t>
      </w:r>
      <w:r w:rsidR="00C45342" w:rsidRPr="00916FEC">
        <w:rPr>
          <w:rFonts w:ascii="Calibri" w:hAnsi="Calibri"/>
          <w:sz w:val="22"/>
          <w:szCs w:val="22"/>
        </w:rPr>
        <w:t xml:space="preserve">were </w:t>
      </w:r>
      <w:r w:rsidR="00431F45" w:rsidRPr="00916FEC">
        <w:rPr>
          <w:rFonts w:ascii="Calibri" w:hAnsi="Calibri"/>
          <w:sz w:val="22"/>
          <w:szCs w:val="22"/>
        </w:rPr>
        <w:t xml:space="preserve">unstable. </w:t>
      </w:r>
      <w:r w:rsidR="006E1651">
        <w:rPr>
          <w:rFonts w:ascii="Calibri" w:hAnsi="Calibri"/>
          <w:sz w:val="22"/>
          <w:szCs w:val="22"/>
        </w:rPr>
        <w:t xml:space="preserve">This </w:t>
      </w:r>
      <w:r w:rsidR="00F44DC2">
        <w:rPr>
          <w:rFonts w:ascii="Calibri" w:hAnsi="Calibri"/>
          <w:sz w:val="22"/>
          <w:szCs w:val="22"/>
        </w:rPr>
        <w:t xml:space="preserve">result </w:t>
      </w:r>
      <w:r w:rsidR="002F38C1">
        <w:rPr>
          <w:rFonts w:ascii="Calibri" w:hAnsi="Calibri"/>
          <w:sz w:val="22"/>
          <w:szCs w:val="22"/>
        </w:rPr>
        <w:t>suggests that</w:t>
      </w:r>
      <w:r w:rsidR="006E1651">
        <w:rPr>
          <w:rFonts w:ascii="Calibri" w:hAnsi="Calibri"/>
          <w:sz w:val="22"/>
          <w:szCs w:val="22"/>
        </w:rPr>
        <w:t xml:space="preserve"> the majority of public health experts came into the Delphi process with only a limited understanding of how their work linked with air quality management</w:t>
      </w:r>
      <w:r w:rsidR="002F38C1">
        <w:rPr>
          <w:rFonts w:ascii="Calibri" w:hAnsi="Calibri"/>
          <w:sz w:val="22"/>
          <w:szCs w:val="22"/>
        </w:rPr>
        <w:t>,</w:t>
      </w:r>
      <w:r w:rsidR="006E1651">
        <w:rPr>
          <w:rFonts w:ascii="Calibri" w:hAnsi="Calibri"/>
          <w:sz w:val="22"/>
          <w:szCs w:val="22"/>
        </w:rPr>
        <w:t xml:space="preserve"> but</w:t>
      </w:r>
      <w:r w:rsidR="00F44DC2">
        <w:rPr>
          <w:rFonts w:ascii="Calibri" w:hAnsi="Calibri"/>
          <w:sz w:val="22"/>
          <w:szCs w:val="22"/>
        </w:rPr>
        <w:t xml:space="preserve"> over time </w:t>
      </w:r>
      <w:r w:rsidR="006E1651">
        <w:rPr>
          <w:rFonts w:ascii="Calibri" w:hAnsi="Calibri"/>
          <w:sz w:val="22"/>
          <w:szCs w:val="22"/>
        </w:rPr>
        <w:t>– learning from others’ opinions</w:t>
      </w:r>
      <w:r w:rsidR="00B26095">
        <w:rPr>
          <w:rFonts w:ascii="Calibri" w:hAnsi="Calibri"/>
          <w:sz w:val="22"/>
          <w:szCs w:val="22"/>
        </w:rPr>
        <w:t xml:space="preserve"> and changing their own</w:t>
      </w:r>
      <w:r w:rsidR="006E1651">
        <w:rPr>
          <w:rFonts w:ascii="Calibri" w:hAnsi="Calibri"/>
          <w:sz w:val="22"/>
          <w:szCs w:val="22"/>
        </w:rPr>
        <w:t xml:space="preserve"> – started to </w:t>
      </w:r>
      <w:r w:rsidR="00F44DC2">
        <w:rPr>
          <w:rFonts w:ascii="Calibri" w:hAnsi="Calibri"/>
          <w:sz w:val="22"/>
          <w:szCs w:val="22"/>
        </w:rPr>
        <w:t>identify overlaps</w:t>
      </w:r>
      <w:r w:rsidR="002432B4">
        <w:rPr>
          <w:rFonts w:ascii="Calibri" w:hAnsi="Calibri"/>
          <w:sz w:val="22"/>
          <w:szCs w:val="22"/>
        </w:rPr>
        <w:t xml:space="preserve"> and </w:t>
      </w:r>
      <w:proofErr w:type="spellStart"/>
      <w:r w:rsidR="00F44DC2">
        <w:rPr>
          <w:rFonts w:ascii="Calibri" w:hAnsi="Calibri"/>
          <w:sz w:val="22"/>
          <w:szCs w:val="22"/>
        </w:rPr>
        <w:t>recognise</w:t>
      </w:r>
      <w:proofErr w:type="spellEnd"/>
      <w:r w:rsidR="00F44DC2">
        <w:rPr>
          <w:rFonts w:ascii="Calibri" w:hAnsi="Calibri"/>
          <w:sz w:val="22"/>
          <w:szCs w:val="22"/>
        </w:rPr>
        <w:t xml:space="preserve"> </w:t>
      </w:r>
      <w:r w:rsidR="006E1651">
        <w:rPr>
          <w:rFonts w:ascii="Calibri" w:hAnsi="Calibri"/>
          <w:sz w:val="22"/>
          <w:szCs w:val="22"/>
        </w:rPr>
        <w:t xml:space="preserve">opportunities for greater connection and collaboration. </w:t>
      </w:r>
    </w:p>
    <w:p w:rsidR="00F47F8D" w:rsidRPr="00916FEC" w:rsidRDefault="002432B4" w:rsidP="003F109C">
      <w:pPr>
        <w:pStyle w:val="ListParagraph"/>
        <w:numPr>
          <w:ilvl w:val="0"/>
          <w:numId w:val="19"/>
        </w:numPr>
        <w:spacing w:before="0" w:after="120" w:line="276" w:lineRule="auto"/>
        <w:rPr>
          <w:rFonts w:ascii="Calibri" w:hAnsi="Calibri"/>
          <w:sz w:val="22"/>
          <w:szCs w:val="22"/>
        </w:rPr>
      </w:pPr>
      <w:r>
        <w:rPr>
          <w:rFonts w:ascii="Calibri" w:hAnsi="Calibri"/>
          <w:sz w:val="22"/>
          <w:szCs w:val="22"/>
        </w:rPr>
        <w:t>A</w:t>
      </w:r>
      <w:r w:rsidR="00431F45" w:rsidRPr="00916FEC">
        <w:rPr>
          <w:rFonts w:ascii="Calibri" w:hAnsi="Calibri"/>
          <w:sz w:val="22"/>
          <w:szCs w:val="22"/>
        </w:rPr>
        <w:t xml:space="preserve">ir quality management experts </w:t>
      </w:r>
      <w:r>
        <w:rPr>
          <w:rFonts w:ascii="Calibri" w:hAnsi="Calibri"/>
          <w:sz w:val="22"/>
          <w:szCs w:val="22"/>
        </w:rPr>
        <w:t xml:space="preserve">achieved consensus agreement (without response stability) </w:t>
      </w:r>
      <w:r w:rsidR="002F38C1">
        <w:rPr>
          <w:rFonts w:ascii="Calibri" w:hAnsi="Calibri"/>
          <w:sz w:val="22"/>
          <w:szCs w:val="22"/>
        </w:rPr>
        <w:t xml:space="preserve">with the item proposing </w:t>
      </w:r>
      <w:r w:rsidR="00431F45" w:rsidRPr="00916FEC">
        <w:rPr>
          <w:rFonts w:ascii="Calibri" w:hAnsi="Calibri"/>
          <w:sz w:val="22"/>
          <w:szCs w:val="22"/>
        </w:rPr>
        <w:t>that increased public health s</w:t>
      </w:r>
      <w:r w:rsidR="00916FEC">
        <w:rPr>
          <w:rFonts w:ascii="Calibri" w:hAnsi="Calibri"/>
          <w:sz w:val="22"/>
          <w:szCs w:val="22"/>
        </w:rPr>
        <w:t xml:space="preserve">upport for local authorities </w:t>
      </w:r>
      <w:r w:rsidR="002F38C1">
        <w:rPr>
          <w:rFonts w:ascii="Calibri" w:hAnsi="Calibri"/>
          <w:sz w:val="22"/>
          <w:szCs w:val="22"/>
        </w:rPr>
        <w:t>w</w:t>
      </w:r>
      <w:r w:rsidR="00916FEC">
        <w:rPr>
          <w:rFonts w:ascii="Calibri" w:hAnsi="Calibri"/>
          <w:sz w:val="22"/>
          <w:szCs w:val="22"/>
        </w:rPr>
        <w:t>ould</w:t>
      </w:r>
      <w:r w:rsidR="00431F45" w:rsidRPr="00916FEC">
        <w:rPr>
          <w:rFonts w:ascii="Calibri" w:hAnsi="Calibri"/>
          <w:sz w:val="22"/>
          <w:szCs w:val="22"/>
        </w:rPr>
        <w:t xml:space="preserve"> help increase capacity.</w:t>
      </w:r>
      <w:r>
        <w:rPr>
          <w:rFonts w:ascii="Calibri" w:hAnsi="Calibri"/>
          <w:sz w:val="22"/>
          <w:szCs w:val="22"/>
        </w:rPr>
        <w:t xml:space="preserve"> </w:t>
      </w:r>
      <w:r w:rsidR="00D52CCF">
        <w:rPr>
          <w:rFonts w:ascii="Calibri" w:hAnsi="Calibri"/>
          <w:sz w:val="22"/>
          <w:szCs w:val="22"/>
        </w:rPr>
        <w:t>I</w:t>
      </w:r>
      <w:r>
        <w:rPr>
          <w:rFonts w:ascii="Calibri" w:hAnsi="Calibri"/>
          <w:sz w:val="22"/>
          <w:szCs w:val="22"/>
        </w:rPr>
        <w:t>t is possible that</w:t>
      </w:r>
      <w:r w:rsidR="00D52CCF">
        <w:rPr>
          <w:rFonts w:ascii="Calibri" w:hAnsi="Calibri"/>
          <w:sz w:val="22"/>
          <w:szCs w:val="22"/>
        </w:rPr>
        <w:t xml:space="preserve"> </w:t>
      </w:r>
      <w:r w:rsidR="00B26095">
        <w:rPr>
          <w:rFonts w:ascii="Calibri" w:hAnsi="Calibri"/>
          <w:sz w:val="22"/>
          <w:szCs w:val="22"/>
        </w:rPr>
        <w:t xml:space="preserve">this finding stems from the majority of </w:t>
      </w:r>
      <w:r w:rsidR="00DB3EC7">
        <w:rPr>
          <w:rFonts w:ascii="Calibri" w:hAnsi="Calibri"/>
          <w:sz w:val="22"/>
          <w:szCs w:val="22"/>
        </w:rPr>
        <w:t xml:space="preserve">air quality management experts </w:t>
      </w:r>
      <w:r w:rsidR="00B26095">
        <w:rPr>
          <w:rFonts w:ascii="Calibri" w:hAnsi="Calibri"/>
          <w:sz w:val="22"/>
          <w:szCs w:val="22"/>
        </w:rPr>
        <w:t xml:space="preserve">being </w:t>
      </w:r>
      <w:r w:rsidR="00DB3EC7">
        <w:rPr>
          <w:rFonts w:ascii="Calibri" w:hAnsi="Calibri"/>
          <w:sz w:val="22"/>
          <w:szCs w:val="22"/>
        </w:rPr>
        <w:t xml:space="preserve">unfamiliar with the role of public health experts since relatively few </w:t>
      </w:r>
      <w:r>
        <w:rPr>
          <w:rFonts w:ascii="Calibri" w:hAnsi="Calibri"/>
          <w:sz w:val="22"/>
          <w:szCs w:val="22"/>
        </w:rPr>
        <w:t>actively support LAQM</w:t>
      </w:r>
      <w:r w:rsidR="00F662AC">
        <w:rPr>
          <w:rFonts w:ascii="Calibri" w:hAnsi="Calibri"/>
          <w:sz w:val="22"/>
          <w:szCs w:val="22"/>
        </w:rPr>
        <w:t xml:space="preserve"> at present</w:t>
      </w:r>
      <w:r w:rsidR="00416FE1">
        <w:rPr>
          <w:rFonts w:ascii="Calibri" w:hAnsi="Calibri"/>
          <w:sz w:val="22"/>
          <w:szCs w:val="22"/>
        </w:rPr>
        <w:t xml:space="preserve"> and </w:t>
      </w:r>
      <w:r w:rsidR="00B26095">
        <w:rPr>
          <w:rFonts w:ascii="Calibri" w:hAnsi="Calibri"/>
          <w:sz w:val="22"/>
          <w:szCs w:val="22"/>
        </w:rPr>
        <w:t xml:space="preserve">they </w:t>
      </w:r>
      <w:r w:rsidR="00416FE1">
        <w:rPr>
          <w:rFonts w:ascii="Calibri" w:hAnsi="Calibri"/>
          <w:sz w:val="22"/>
          <w:szCs w:val="22"/>
        </w:rPr>
        <w:t xml:space="preserve">struggled to </w:t>
      </w:r>
      <w:r w:rsidR="006831E3">
        <w:rPr>
          <w:rFonts w:ascii="Calibri" w:hAnsi="Calibri"/>
          <w:sz w:val="22"/>
          <w:szCs w:val="22"/>
        </w:rPr>
        <w:t xml:space="preserve">grasp </w:t>
      </w:r>
      <w:r w:rsidR="00DB3EC7">
        <w:rPr>
          <w:rFonts w:ascii="Calibri" w:hAnsi="Calibri"/>
          <w:sz w:val="22"/>
          <w:szCs w:val="22"/>
        </w:rPr>
        <w:t xml:space="preserve">what </w:t>
      </w:r>
      <w:r w:rsidR="00B26095">
        <w:rPr>
          <w:rFonts w:ascii="Calibri" w:hAnsi="Calibri"/>
          <w:sz w:val="22"/>
          <w:szCs w:val="22"/>
        </w:rPr>
        <w:t xml:space="preserve">any </w:t>
      </w:r>
      <w:r w:rsidR="00416FE1">
        <w:rPr>
          <w:rFonts w:ascii="Calibri" w:hAnsi="Calibri"/>
          <w:sz w:val="22"/>
          <w:szCs w:val="22"/>
        </w:rPr>
        <w:t xml:space="preserve">increased support and </w:t>
      </w:r>
      <w:r w:rsidR="00DB3EC7">
        <w:rPr>
          <w:rFonts w:ascii="Calibri" w:hAnsi="Calibri"/>
          <w:sz w:val="22"/>
          <w:szCs w:val="22"/>
        </w:rPr>
        <w:t xml:space="preserve">capacity might look </w:t>
      </w:r>
      <w:r w:rsidR="006831E3">
        <w:rPr>
          <w:rFonts w:ascii="Calibri" w:hAnsi="Calibri"/>
          <w:sz w:val="22"/>
          <w:szCs w:val="22"/>
        </w:rPr>
        <w:t xml:space="preserve">and feel </w:t>
      </w:r>
      <w:r w:rsidR="00DB3EC7">
        <w:rPr>
          <w:rFonts w:ascii="Calibri" w:hAnsi="Calibri"/>
          <w:sz w:val="22"/>
          <w:szCs w:val="22"/>
        </w:rPr>
        <w:t>like</w:t>
      </w:r>
      <w:r w:rsidR="006831E3">
        <w:rPr>
          <w:rFonts w:ascii="Calibri" w:hAnsi="Calibri"/>
          <w:sz w:val="22"/>
          <w:szCs w:val="22"/>
        </w:rPr>
        <w:t xml:space="preserve"> </w:t>
      </w:r>
      <w:r w:rsidR="00B26095">
        <w:rPr>
          <w:rFonts w:ascii="Calibri" w:hAnsi="Calibri"/>
          <w:sz w:val="22"/>
          <w:szCs w:val="22"/>
        </w:rPr>
        <w:t xml:space="preserve">for them </w:t>
      </w:r>
      <w:r w:rsidR="006831E3">
        <w:rPr>
          <w:rFonts w:ascii="Calibri" w:hAnsi="Calibri"/>
          <w:sz w:val="22"/>
          <w:szCs w:val="22"/>
        </w:rPr>
        <w:t>in reality</w:t>
      </w:r>
      <w:r w:rsidR="00DB3EC7">
        <w:rPr>
          <w:rFonts w:ascii="Calibri" w:hAnsi="Calibri"/>
          <w:sz w:val="22"/>
          <w:szCs w:val="22"/>
        </w:rPr>
        <w:t>.</w:t>
      </w:r>
      <w:r w:rsidR="00F662AC">
        <w:rPr>
          <w:rFonts w:ascii="Calibri" w:hAnsi="Calibri"/>
          <w:sz w:val="22"/>
          <w:szCs w:val="22"/>
        </w:rPr>
        <w:t xml:space="preserve"> </w:t>
      </w:r>
    </w:p>
    <w:p w:rsidR="007D406C" w:rsidRDefault="006028B9" w:rsidP="003F109C">
      <w:pPr>
        <w:spacing w:after="120"/>
        <w:rPr>
          <w:rFonts w:ascii="Calibri" w:hAnsi="Calibri"/>
        </w:rPr>
      </w:pPr>
      <w:r>
        <w:rPr>
          <w:rFonts w:ascii="Calibri" w:hAnsi="Calibri"/>
        </w:rPr>
        <w:t xml:space="preserve">Several barriers were believed to hinder action in this area. The following items achieved consensus agreement (with response stability where appropriate): the public health role in LAQM is poorly defined, air pollution </w:t>
      </w:r>
      <w:r w:rsidR="0035021E">
        <w:rPr>
          <w:rFonts w:ascii="Calibri" w:hAnsi="Calibri"/>
        </w:rPr>
        <w:t xml:space="preserve">has </w:t>
      </w:r>
      <w:r>
        <w:rPr>
          <w:rFonts w:ascii="Calibri" w:hAnsi="Calibri"/>
        </w:rPr>
        <w:t xml:space="preserve">a low profile in local authorities and health services, the </w:t>
      </w:r>
      <w:r w:rsidR="0035021E">
        <w:rPr>
          <w:rFonts w:ascii="Calibri" w:hAnsi="Calibri"/>
        </w:rPr>
        <w:t>topic is</w:t>
      </w:r>
      <w:r>
        <w:rPr>
          <w:rFonts w:ascii="Calibri" w:hAnsi="Calibri"/>
        </w:rPr>
        <w:t xml:space="preserve"> perceived as being too technical and too complicated to attempt to resolve locally, disconnected policy, the scope of the LAQM prescribed process </w:t>
      </w:r>
      <w:r w:rsidR="0035021E">
        <w:rPr>
          <w:rFonts w:ascii="Calibri" w:hAnsi="Calibri"/>
        </w:rPr>
        <w:t xml:space="preserve">is </w:t>
      </w:r>
      <w:r>
        <w:rPr>
          <w:rFonts w:ascii="Calibri" w:hAnsi="Calibri"/>
        </w:rPr>
        <w:t>too n</w:t>
      </w:r>
      <w:r w:rsidR="0035021E">
        <w:rPr>
          <w:rFonts w:ascii="Calibri" w:hAnsi="Calibri"/>
        </w:rPr>
        <w:t>arrow and required</w:t>
      </w:r>
      <w:r>
        <w:rPr>
          <w:rFonts w:ascii="Calibri" w:hAnsi="Calibri"/>
        </w:rPr>
        <w:t xml:space="preserve"> action </w:t>
      </w:r>
      <w:r w:rsidR="0035021E">
        <w:rPr>
          <w:rFonts w:ascii="Calibri" w:hAnsi="Calibri"/>
        </w:rPr>
        <w:t xml:space="preserve">only </w:t>
      </w:r>
      <w:r>
        <w:rPr>
          <w:rFonts w:ascii="Calibri" w:hAnsi="Calibri"/>
        </w:rPr>
        <w:t>in areas whi</w:t>
      </w:r>
      <w:r w:rsidR="001914D4">
        <w:rPr>
          <w:rFonts w:ascii="Calibri" w:hAnsi="Calibri"/>
        </w:rPr>
        <w:t>ch breach air quality standards.</w:t>
      </w:r>
      <w:r>
        <w:rPr>
          <w:rFonts w:ascii="Calibri" w:hAnsi="Calibri"/>
        </w:rPr>
        <w:t xml:space="preserve"> </w:t>
      </w:r>
      <w:r w:rsidR="0035021E">
        <w:rPr>
          <w:rFonts w:ascii="Calibri" w:hAnsi="Calibri"/>
        </w:rPr>
        <w:t>Some suggested barriers</w:t>
      </w:r>
      <w:r>
        <w:rPr>
          <w:rFonts w:ascii="Calibri" w:hAnsi="Calibri"/>
        </w:rPr>
        <w:t xml:space="preserve"> failed to achieve agreement and/or consensus and/or response stability too</w:t>
      </w:r>
      <w:r w:rsidR="0035021E">
        <w:rPr>
          <w:rFonts w:ascii="Calibri" w:hAnsi="Calibri"/>
        </w:rPr>
        <w:t>. These included:</w:t>
      </w:r>
      <w:r>
        <w:rPr>
          <w:rFonts w:ascii="Calibri" w:hAnsi="Calibri"/>
        </w:rPr>
        <w:t xml:space="preserve"> public health specialists receiving limited training and guidance</w:t>
      </w:r>
      <w:r w:rsidR="00553487">
        <w:rPr>
          <w:rFonts w:ascii="Calibri" w:hAnsi="Calibri"/>
        </w:rPr>
        <w:t xml:space="preserve">, </w:t>
      </w:r>
      <w:r w:rsidR="0035021E">
        <w:rPr>
          <w:rFonts w:ascii="Calibri" w:hAnsi="Calibri"/>
        </w:rPr>
        <w:t xml:space="preserve">problems sharing and linking </w:t>
      </w:r>
      <w:r w:rsidR="00553487">
        <w:rPr>
          <w:rFonts w:ascii="Calibri" w:hAnsi="Calibri"/>
        </w:rPr>
        <w:t xml:space="preserve">data, </w:t>
      </w:r>
      <w:r w:rsidR="0035021E">
        <w:rPr>
          <w:rFonts w:ascii="Calibri" w:hAnsi="Calibri"/>
        </w:rPr>
        <w:t>weak relationships with public health and academic partners</w:t>
      </w:r>
      <w:r w:rsidR="00E328A1">
        <w:rPr>
          <w:rFonts w:ascii="Calibri" w:hAnsi="Calibri"/>
        </w:rPr>
        <w:t xml:space="preserve">, and </w:t>
      </w:r>
      <w:r w:rsidR="00553487">
        <w:rPr>
          <w:rFonts w:ascii="Calibri" w:hAnsi="Calibri"/>
        </w:rPr>
        <w:t>LAQM process</w:t>
      </w:r>
      <w:r w:rsidR="00E328A1">
        <w:rPr>
          <w:rFonts w:ascii="Calibri" w:hAnsi="Calibri"/>
        </w:rPr>
        <w:t>es</w:t>
      </w:r>
      <w:r w:rsidR="00553487">
        <w:rPr>
          <w:rFonts w:ascii="Calibri" w:hAnsi="Calibri"/>
        </w:rPr>
        <w:t xml:space="preserve"> </w:t>
      </w:r>
      <w:r w:rsidR="0035021E">
        <w:rPr>
          <w:rFonts w:ascii="Calibri" w:hAnsi="Calibri"/>
        </w:rPr>
        <w:t xml:space="preserve">being </w:t>
      </w:r>
      <w:r w:rsidR="00553487">
        <w:rPr>
          <w:rFonts w:ascii="Calibri" w:hAnsi="Calibri"/>
        </w:rPr>
        <w:t xml:space="preserve">too cumbersome. It is possible that </w:t>
      </w:r>
      <w:r w:rsidR="00E328A1">
        <w:rPr>
          <w:rFonts w:ascii="Calibri" w:hAnsi="Calibri"/>
        </w:rPr>
        <w:t xml:space="preserve">some </w:t>
      </w:r>
      <w:r w:rsidR="00553487">
        <w:rPr>
          <w:rFonts w:ascii="Calibri" w:hAnsi="Calibri"/>
        </w:rPr>
        <w:t xml:space="preserve">experts raised uncertainty around these </w:t>
      </w:r>
      <w:r w:rsidR="0035021E">
        <w:rPr>
          <w:rFonts w:ascii="Calibri" w:hAnsi="Calibri"/>
        </w:rPr>
        <w:t xml:space="preserve">latter </w:t>
      </w:r>
      <w:r w:rsidR="00553487">
        <w:rPr>
          <w:rFonts w:ascii="Calibri" w:hAnsi="Calibri"/>
        </w:rPr>
        <w:t xml:space="preserve">points because </w:t>
      </w:r>
      <w:r w:rsidR="0035021E">
        <w:rPr>
          <w:rFonts w:ascii="Calibri" w:hAnsi="Calibri"/>
        </w:rPr>
        <w:t>they felt that others were better placed to consider</w:t>
      </w:r>
      <w:r w:rsidR="0027445F">
        <w:rPr>
          <w:rFonts w:ascii="Calibri" w:hAnsi="Calibri"/>
        </w:rPr>
        <w:t xml:space="preserve"> them</w:t>
      </w:r>
      <w:r w:rsidR="0035021E">
        <w:rPr>
          <w:rFonts w:ascii="Calibri" w:hAnsi="Calibri"/>
        </w:rPr>
        <w:t xml:space="preserve">, </w:t>
      </w:r>
      <w:r w:rsidR="00E328A1">
        <w:rPr>
          <w:rFonts w:ascii="Calibri" w:hAnsi="Calibri"/>
        </w:rPr>
        <w:t>or</w:t>
      </w:r>
      <w:r w:rsidR="00553487">
        <w:rPr>
          <w:rFonts w:ascii="Calibri" w:hAnsi="Calibri"/>
        </w:rPr>
        <w:t xml:space="preserve"> were not sufficiently familiar with LAQM processes and lacked confidence to</w:t>
      </w:r>
      <w:r w:rsidR="0035021E">
        <w:rPr>
          <w:rFonts w:ascii="Calibri" w:hAnsi="Calibri"/>
        </w:rPr>
        <w:t xml:space="preserve"> comment</w:t>
      </w:r>
      <w:r w:rsidR="00553487">
        <w:rPr>
          <w:rFonts w:ascii="Calibri" w:hAnsi="Calibri"/>
        </w:rPr>
        <w:t xml:space="preserve">. </w:t>
      </w:r>
      <w:r w:rsidR="00E328A1">
        <w:rPr>
          <w:rFonts w:ascii="Calibri" w:hAnsi="Calibri"/>
        </w:rPr>
        <w:t>Whatever the reason, t</w:t>
      </w:r>
      <w:r w:rsidR="00553487">
        <w:rPr>
          <w:rFonts w:ascii="Calibri" w:hAnsi="Calibri"/>
        </w:rPr>
        <w:t xml:space="preserve">hese findings add weight to the argument that LAQM </w:t>
      </w:r>
      <w:r w:rsidR="00E328A1">
        <w:rPr>
          <w:rFonts w:ascii="Calibri" w:hAnsi="Calibri"/>
        </w:rPr>
        <w:t xml:space="preserve">(and its relevance </w:t>
      </w:r>
      <w:r w:rsidR="0027445F">
        <w:rPr>
          <w:rFonts w:ascii="Calibri" w:hAnsi="Calibri"/>
        </w:rPr>
        <w:t xml:space="preserve">in </w:t>
      </w:r>
      <w:r w:rsidR="00E328A1">
        <w:rPr>
          <w:rFonts w:ascii="Calibri" w:hAnsi="Calibri"/>
        </w:rPr>
        <w:t>a broader public health</w:t>
      </w:r>
      <w:r w:rsidR="0027445F">
        <w:rPr>
          <w:rFonts w:ascii="Calibri" w:hAnsi="Calibri"/>
        </w:rPr>
        <w:t xml:space="preserve"> context</w:t>
      </w:r>
      <w:r w:rsidR="00E328A1">
        <w:rPr>
          <w:rFonts w:ascii="Calibri" w:hAnsi="Calibri"/>
        </w:rPr>
        <w:t xml:space="preserve">) </w:t>
      </w:r>
      <w:r w:rsidR="00553487">
        <w:rPr>
          <w:rFonts w:ascii="Calibri" w:hAnsi="Calibri"/>
        </w:rPr>
        <w:t xml:space="preserve">is not as well understood across relevant professional groups. </w:t>
      </w:r>
    </w:p>
    <w:p w:rsidR="00416FE1" w:rsidRDefault="00E328A1" w:rsidP="00B00376">
      <w:pPr>
        <w:spacing w:after="120"/>
        <w:rPr>
          <w:rFonts w:ascii="Calibri" w:hAnsi="Calibri"/>
        </w:rPr>
      </w:pPr>
      <w:r>
        <w:rPr>
          <w:rFonts w:ascii="Calibri" w:hAnsi="Calibri"/>
        </w:rPr>
        <w:t>Finally, to address identified barriers, a number of solutions were</w:t>
      </w:r>
      <w:r w:rsidR="001914D4">
        <w:rPr>
          <w:rFonts w:ascii="Calibri" w:hAnsi="Calibri"/>
        </w:rPr>
        <w:t xml:space="preserve"> proposed</w:t>
      </w:r>
      <w:r>
        <w:rPr>
          <w:rFonts w:ascii="Calibri" w:hAnsi="Calibri"/>
        </w:rPr>
        <w:t xml:space="preserve"> and agreed </w:t>
      </w:r>
      <w:r w:rsidR="00F24D62">
        <w:rPr>
          <w:rFonts w:ascii="Calibri" w:hAnsi="Calibri"/>
        </w:rPr>
        <w:t xml:space="preserve">by experts </w:t>
      </w:r>
      <w:r>
        <w:rPr>
          <w:rFonts w:ascii="Calibri" w:hAnsi="Calibri"/>
        </w:rPr>
        <w:t xml:space="preserve">with consensus. These included: </w:t>
      </w:r>
      <w:r w:rsidR="00F24D62">
        <w:rPr>
          <w:rFonts w:ascii="Calibri" w:hAnsi="Calibri"/>
        </w:rPr>
        <w:t xml:space="preserve">extending the scope of LAQM, </w:t>
      </w:r>
      <w:r>
        <w:rPr>
          <w:rFonts w:ascii="Calibri" w:hAnsi="Calibri"/>
        </w:rPr>
        <w:t>improving communications to raise the profile of air pollution as a public health priority (linked with others)</w:t>
      </w:r>
      <w:r w:rsidR="0027445F">
        <w:rPr>
          <w:rFonts w:ascii="Calibri" w:hAnsi="Calibri"/>
        </w:rPr>
        <w:t>,</w:t>
      </w:r>
      <w:r w:rsidR="00F24D62">
        <w:rPr>
          <w:rFonts w:ascii="Calibri" w:hAnsi="Calibri"/>
        </w:rPr>
        <w:t xml:space="preserve"> and letting people </w:t>
      </w:r>
      <w:r w:rsidR="0027445F">
        <w:rPr>
          <w:rFonts w:ascii="Calibri" w:hAnsi="Calibri"/>
        </w:rPr>
        <w:t xml:space="preserve">– both professionals and </w:t>
      </w:r>
      <w:r w:rsidR="001914D4">
        <w:rPr>
          <w:rFonts w:ascii="Calibri" w:hAnsi="Calibri"/>
        </w:rPr>
        <w:t xml:space="preserve">the </w:t>
      </w:r>
      <w:r w:rsidR="0027445F">
        <w:rPr>
          <w:rFonts w:ascii="Calibri" w:hAnsi="Calibri"/>
        </w:rPr>
        <w:t xml:space="preserve">public </w:t>
      </w:r>
      <w:r w:rsidR="001914D4">
        <w:rPr>
          <w:rFonts w:ascii="Calibri" w:hAnsi="Calibri"/>
        </w:rPr>
        <w:t>–</w:t>
      </w:r>
      <w:r w:rsidR="0027445F">
        <w:rPr>
          <w:rFonts w:ascii="Calibri" w:hAnsi="Calibri"/>
        </w:rPr>
        <w:t xml:space="preserve"> </w:t>
      </w:r>
      <w:r w:rsidR="00F24D62">
        <w:rPr>
          <w:rFonts w:ascii="Calibri" w:hAnsi="Calibri"/>
        </w:rPr>
        <w:t>know</w:t>
      </w:r>
      <w:r w:rsidR="001914D4">
        <w:rPr>
          <w:rFonts w:ascii="Calibri" w:hAnsi="Calibri"/>
        </w:rPr>
        <w:t xml:space="preserve"> </w:t>
      </w:r>
      <w:r w:rsidR="00F24D62">
        <w:rPr>
          <w:rFonts w:ascii="Calibri" w:hAnsi="Calibri"/>
        </w:rPr>
        <w:t xml:space="preserve">what can be done to tackle it, and making funding available to support prevention-focused investment and sustainable action. Other </w:t>
      </w:r>
      <w:r w:rsidR="001914D4">
        <w:rPr>
          <w:rFonts w:ascii="Calibri" w:hAnsi="Calibri"/>
        </w:rPr>
        <w:t xml:space="preserve">suggested </w:t>
      </w:r>
      <w:r w:rsidR="00F24D62">
        <w:rPr>
          <w:rFonts w:ascii="Calibri" w:hAnsi="Calibri"/>
        </w:rPr>
        <w:t xml:space="preserve">solutions, specific to public health expert development, included: clarifying the role of public health in LAQM, highlighting opportunities for a broader public health audience to integrate aspects of LAQM with the ‘day job’, and providing training and resources to support work in this area. </w:t>
      </w:r>
      <w:r w:rsidR="00186A66">
        <w:rPr>
          <w:rFonts w:ascii="Calibri" w:hAnsi="Calibri"/>
        </w:rPr>
        <w:t xml:space="preserve">Just one item achieved universal disagreement with consensus; this was concerned with shifting LAQM accountability responsibilities </w:t>
      </w:r>
      <w:r w:rsidR="001914D4">
        <w:rPr>
          <w:rFonts w:ascii="Calibri" w:hAnsi="Calibri"/>
        </w:rPr>
        <w:t xml:space="preserve">away </w:t>
      </w:r>
      <w:r w:rsidR="00186A66">
        <w:rPr>
          <w:rFonts w:ascii="Calibri" w:hAnsi="Calibri"/>
        </w:rPr>
        <w:t>from local authorities to WFG Act Public Services Boards.</w:t>
      </w:r>
      <w:r w:rsidR="00186A66" w:rsidDel="00ED4762">
        <w:rPr>
          <w:rFonts w:ascii="Calibri" w:hAnsi="Calibri"/>
        </w:rPr>
        <w:t xml:space="preserve"> </w:t>
      </w:r>
      <w:r w:rsidR="00186A66">
        <w:rPr>
          <w:rFonts w:ascii="Calibri" w:hAnsi="Calibri"/>
        </w:rPr>
        <w:t xml:space="preserve"> </w:t>
      </w:r>
    </w:p>
    <w:p w:rsidR="005B278B" w:rsidRPr="005B278B" w:rsidRDefault="00BC4A20" w:rsidP="00B00376">
      <w:pPr>
        <w:spacing w:after="120"/>
        <w:rPr>
          <w:rFonts w:ascii="Calibri" w:hAnsi="Calibri"/>
          <w:i/>
        </w:rPr>
      </w:pPr>
      <w:r>
        <w:rPr>
          <w:rFonts w:ascii="Calibri" w:hAnsi="Calibri"/>
          <w:i/>
        </w:rPr>
        <w:t xml:space="preserve">Prior understanding of the </w:t>
      </w:r>
      <w:r w:rsidR="00381B6A">
        <w:rPr>
          <w:rFonts w:ascii="Calibri" w:hAnsi="Calibri"/>
          <w:i/>
        </w:rPr>
        <w:t>research problem</w:t>
      </w:r>
    </w:p>
    <w:p w:rsidR="00295238" w:rsidRPr="00B00376" w:rsidRDefault="00295238" w:rsidP="00B00376">
      <w:pPr>
        <w:spacing w:after="120"/>
        <w:rPr>
          <w:rFonts w:ascii="Calibri" w:hAnsi="Calibri"/>
        </w:rPr>
      </w:pPr>
      <w:r w:rsidRPr="00295238">
        <w:rPr>
          <w:rFonts w:ascii="Calibri" w:hAnsi="Calibri"/>
        </w:rPr>
        <w:t>Prior to this study, o</w:t>
      </w:r>
      <w:r w:rsidR="0010219F">
        <w:rPr>
          <w:rFonts w:ascii="Calibri" w:hAnsi="Calibri"/>
        </w:rPr>
        <w:t>nly general context e</w:t>
      </w:r>
      <w:r w:rsidR="00F30D15">
        <w:rPr>
          <w:rFonts w:ascii="Calibri" w:hAnsi="Calibri"/>
        </w:rPr>
        <w:t>vidence</w:t>
      </w:r>
      <w:r w:rsidR="0010219F">
        <w:rPr>
          <w:rFonts w:ascii="Calibri" w:hAnsi="Calibri"/>
        </w:rPr>
        <w:t xml:space="preserve"> </w:t>
      </w:r>
      <w:r>
        <w:rPr>
          <w:rFonts w:ascii="Calibri" w:hAnsi="Calibri"/>
        </w:rPr>
        <w:t xml:space="preserve">was </w:t>
      </w:r>
      <w:r w:rsidR="0010219F">
        <w:rPr>
          <w:rFonts w:ascii="Calibri" w:hAnsi="Calibri"/>
        </w:rPr>
        <w:t>available on</w:t>
      </w:r>
      <w:r w:rsidR="004E1F58">
        <w:rPr>
          <w:rFonts w:ascii="Calibri" w:hAnsi="Calibri"/>
        </w:rPr>
        <w:t xml:space="preserve"> the public health aspects of, </w:t>
      </w:r>
      <w:r w:rsidR="004E1F58" w:rsidRPr="00B00376">
        <w:rPr>
          <w:rFonts w:ascii="Calibri" w:hAnsi="Calibri"/>
        </w:rPr>
        <w:t>perspectives on, and extent of engagement in, LAQM</w:t>
      </w:r>
      <w:r w:rsidR="00B00376">
        <w:rPr>
          <w:rFonts w:ascii="Calibri" w:hAnsi="Calibri"/>
        </w:rPr>
        <w:t xml:space="preserve">. A critique of the available literature is presented elsewhere </w:t>
      </w:r>
      <w:r w:rsidR="0010219F" w:rsidRPr="00B00376">
        <w:rPr>
          <w:rFonts w:ascii="Calibri" w:hAnsi="Calibri"/>
        </w:rPr>
        <w:t>(</w:t>
      </w:r>
      <w:r w:rsidR="002318B2" w:rsidRPr="00B00376">
        <w:rPr>
          <w:rFonts w:ascii="Calibri" w:hAnsi="Calibri"/>
          <w:color w:val="00B050"/>
        </w:rPr>
        <w:t xml:space="preserve">Brunt </w:t>
      </w:r>
      <w:r w:rsidR="002318B2" w:rsidRPr="00B00376">
        <w:rPr>
          <w:rFonts w:ascii="Calibri" w:hAnsi="Calibri"/>
          <w:i/>
          <w:color w:val="00B050"/>
        </w:rPr>
        <w:t>et al</w:t>
      </w:r>
      <w:r w:rsidR="002318B2" w:rsidRPr="00B00376">
        <w:rPr>
          <w:rFonts w:ascii="Calibri" w:hAnsi="Calibri"/>
          <w:color w:val="00B050"/>
        </w:rPr>
        <w:t>., 2016</w:t>
      </w:r>
      <w:r w:rsidR="00DC4935" w:rsidRPr="00B00376">
        <w:rPr>
          <w:rFonts w:ascii="Calibri" w:hAnsi="Calibri"/>
          <w:color w:val="00B050"/>
        </w:rPr>
        <w:t>a</w:t>
      </w:r>
      <w:r w:rsidR="00E63FC7" w:rsidRPr="00B00376">
        <w:rPr>
          <w:rFonts w:ascii="Calibri" w:hAnsi="Calibri"/>
        </w:rPr>
        <w:t>)</w:t>
      </w:r>
      <w:r w:rsidR="00B00376">
        <w:rPr>
          <w:rFonts w:ascii="Calibri" w:hAnsi="Calibri"/>
        </w:rPr>
        <w:t xml:space="preserve"> but </w:t>
      </w:r>
      <w:r w:rsidR="00832C78">
        <w:rPr>
          <w:rFonts w:ascii="Calibri" w:hAnsi="Calibri"/>
        </w:rPr>
        <w:t>is summarised here.</w:t>
      </w:r>
      <w:r w:rsidRPr="00B00376">
        <w:rPr>
          <w:rFonts w:ascii="Calibri" w:hAnsi="Calibri"/>
        </w:rPr>
        <w:t xml:space="preserve"> </w:t>
      </w:r>
    </w:p>
    <w:p w:rsidR="00B00376" w:rsidRPr="00B00376" w:rsidRDefault="0010219F" w:rsidP="00832C78">
      <w:pPr>
        <w:pStyle w:val="ListParagraph"/>
        <w:numPr>
          <w:ilvl w:val="0"/>
          <w:numId w:val="0"/>
        </w:numPr>
        <w:spacing w:before="0" w:after="120" w:line="276" w:lineRule="auto"/>
        <w:rPr>
          <w:rFonts w:ascii="Calibri" w:hAnsi="Calibri"/>
          <w:sz w:val="22"/>
          <w:szCs w:val="22"/>
        </w:rPr>
      </w:pPr>
      <w:r w:rsidRPr="00B00376">
        <w:rPr>
          <w:rFonts w:ascii="Calibri" w:hAnsi="Calibri"/>
          <w:sz w:val="22"/>
          <w:szCs w:val="22"/>
        </w:rPr>
        <w:t>LAQM</w:t>
      </w:r>
      <w:r w:rsidR="000564DB" w:rsidRPr="00B00376">
        <w:rPr>
          <w:rFonts w:ascii="Calibri" w:hAnsi="Calibri"/>
          <w:sz w:val="22"/>
          <w:szCs w:val="22"/>
        </w:rPr>
        <w:t xml:space="preserve"> is </w:t>
      </w:r>
      <w:r w:rsidRPr="00B00376">
        <w:rPr>
          <w:rFonts w:ascii="Calibri" w:hAnsi="Calibri"/>
          <w:sz w:val="22"/>
          <w:szCs w:val="22"/>
        </w:rPr>
        <w:t xml:space="preserve">underpinned by </w:t>
      </w:r>
      <w:r w:rsidR="000564DB" w:rsidRPr="00B00376">
        <w:rPr>
          <w:rFonts w:ascii="Calibri" w:hAnsi="Calibri"/>
          <w:sz w:val="22"/>
          <w:szCs w:val="22"/>
        </w:rPr>
        <w:t xml:space="preserve">the principle </w:t>
      </w:r>
      <w:r w:rsidR="001636EC" w:rsidRPr="00B00376">
        <w:rPr>
          <w:rFonts w:ascii="Calibri" w:hAnsi="Calibri"/>
          <w:sz w:val="22"/>
          <w:szCs w:val="22"/>
        </w:rPr>
        <w:t>that good collaboration</w:t>
      </w:r>
      <w:r w:rsidR="007221D9" w:rsidRPr="00B00376">
        <w:rPr>
          <w:rFonts w:ascii="Calibri" w:hAnsi="Calibri"/>
          <w:sz w:val="22"/>
          <w:szCs w:val="22"/>
        </w:rPr>
        <w:t xml:space="preserve"> is</w:t>
      </w:r>
      <w:r w:rsidR="001636EC" w:rsidRPr="00B00376">
        <w:rPr>
          <w:rFonts w:ascii="Calibri" w:hAnsi="Calibri"/>
          <w:sz w:val="22"/>
          <w:szCs w:val="22"/>
        </w:rPr>
        <w:t xml:space="preserve"> </w:t>
      </w:r>
      <w:proofErr w:type="gramStart"/>
      <w:r w:rsidR="00907D6E" w:rsidRPr="00B00376">
        <w:rPr>
          <w:rFonts w:ascii="Calibri" w:hAnsi="Calibri"/>
          <w:sz w:val="22"/>
          <w:szCs w:val="22"/>
        </w:rPr>
        <w:t>key</w:t>
      </w:r>
      <w:proofErr w:type="gramEnd"/>
      <w:r w:rsidR="00907D6E" w:rsidRPr="00B00376">
        <w:rPr>
          <w:rFonts w:ascii="Calibri" w:hAnsi="Calibri"/>
          <w:sz w:val="22"/>
          <w:szCs w:val="22"/>
        </w:rPr>
        <w:t xml:space="preserve"> </w:t>
      </w:r>
      <w:r w:rsidR="002B71FD" w:rsidRPr="00B00376">
        <w:rPr>
          <w:rFonts w:ascii="Calibri" w:hAnsi="Calibri"/>
          <w:sz w:val="22"/>
          <w:szCs w:val="22"/>
        </w:rPr>
        <w:t xml:space="preserve">to </w:t>
      </w:r>
      <w:r w:rsidR="00907D6E" w:rsidRPr="00B00376">
        <w:rPr>
          <w:rFonts w:ascii="Calibri" w:hAnsi="Calibri"/>
          <w:sz w:val="22"/>
          <w:szCs w:val="22"/>
        </w:rPr>
        <w:t>tackling</w:t>
      </w:r>
      <w:r w:rsidR="002B71FD" w:rsidRPr="00B00376">
        <w:rPr>
          <w:rFonts w:ascii="Calibri" w:hAnsi="Calibri"/>
          <w:sz w:val="22"/>
          <w:szCs w:val="22"/>
        </w:rPr>
        <w:t xml:space="preserve"> </w:t>
      </w:r>
      <w:r w:rsidR="001636EC" w:rsidRPr="00B00376">
        <w:rPr>
          <w:rFonts w:ascii="Calibri" w:hAnsi="Calibri"/>
          <w:sz w:val="22"/>
          <w:szCs w:val="22"/>
        </w:rPr>
        <w:t xml:space="preserve">diverse and complex local </w:t>
      </w:r>
      <w:r w:rsidR="004A5371" w:rsidRPr="00B00376">
        <w:rPr>
          <w:rFonts w:ascii="Calibri" w:hAnsi="Calibri"/>
          <w:sz w:val="22"/>
          <w:szCs w:val="22"/>
        </w:rPr>
        <w:t>air pollution problems</w:t>
      </w:r>
      <w:r w:rsidR="001636EC" w:rsidRPr="00B00376">
        <w:rPr>
          <w:rFonts w:ascii="Calibri" w:hAnsi="Calibri"/>
          <w:sz w:val="22"/>
          <w:szCs w:val="22"/>
        </w:rPr>
        <w:t>.</w:t>
      </w:r>
      <w:r w:rsidR="007221D9" w:rsidRPr="00B00376">
        <w:rPr>
          <w:rFonts w:ascii="Calibri" w:hAnsi="Calibri"/>
          <w:sz w:val="22"/>
          <w:szCs w:val="22"/>
        </w:rPr>
        <w:t xml:space="preserve"> </w:t>
      </w:r>
      <w:r w:rsidRPr="00B00376">
        <w:rPr>
          <w:rFonts w:ascii="Calibri" w:hAnsi="Calibri"/>
          <w:sz w:val="22"/>
          <w:szCs w:val="22"/>
        </w:rPr>
        <w:t>T</w:t>
      </w:r>
      <w:r w:rsidR="000564DB" w:rsidRPr="00B00376">
        <w:rPr>
          <w:rFonts w:ascii="Calibri" w:hAnsi="Calibri"/>
          <w:sz w:val="22"/>
          <w:szCs w:val="22"/>
        </w:rPr>
        <w:t xml:space="preserve">o </w:t>
      </w:r>
      <w:r w:rsidRPr="00B00376">
        <w:rPr>
          <w:rFonts w:ascii="Calibri" w:hAnsi="Calibri"/>
          <w:sz w:val="22"/>
          <w:szCs w:val="22"/>
        </w:rPr>
        <w:t>support this</w:t>
      </w:r>
      <w:r w:rsidR="00CB6681" w:rsidRPr="00B00376">
        <w:rPr>
          <w:rFonts w:ascii="Calibri" w:hAnsi="Calibri"/>
          <w:sz w:val="22"/>
          <w:szCs w:val="22"/>
        </w:rPr>
        <w:t>, t</w:t>
      </w:r>
      <w:r w:rsidR="00893515" w:rsidRPr="00B00376">
        <w:rPr>
          <w:rFonts w:ascii="Calibri" w:hAnsi="Calibri"/>
          <w:sz w:val="22"/>
          <w:szCs w:val="22"/>
        </w:rPr>
        <w:t xml:space="preserve">he </w:t>
      </w:r>
      <w:r w:rsidR="00542874" w:rsidRPr="00B00376">
        <w:rPr>
          <w:rFonts w:ascii="Calibri" w:hAnsi="Calibri"/>
          <w:sz w:val="22"/>
          <w:szCs w:val="22"/>
        </w:rPr>
        <w:t>role</w:t>
      </w:r>
      <w:r w:rsidR="00674FCF" w:rsidRPr="00B00376">
        <w:rPr>
          <w:rFonts w:ascii="Calibri" w:hAnsi="Calibri"/>
          <w:sz w:val="22"/>
          <w:szCs w:val="22"/>
        </w:rPr>
        <w:t>s</w:t>
      </w:r>
      <w:r w:rsidR="00893515" w:rsidRPr="00B00376">
        <w:rPr>
          <w:rFonts w:ascii="Calibri" w:hAnsi="Calibri"/>
          <w:sz w:val="22"/>
          <w:szCs w:val="22"/>
        </w:rPr>
        <w:t xml:space="preserve"> </w:t>
      </w:r>
      <w:r w:rsidR="00CB6681" w:rsidRPr="00B00376">
        <w:rPr>
          <w:rFonts w:ascii="Calibri" w:hAnsi="Calibri"/>
          <w:sz w:val="22"/>
          <w:szCs w:val="22"/>
        </w:rPr>
        <w:t>of various stakeholder</w:t>
      </w:r>
      <w:r w:rsidR="002B71FD" w:rsidRPr="00B00376">
        <w:rPr>
          <w:rFonts w:ascii="Calibri" w:hAnsi="Calibri"/>
          <w:sz w:val="22"/>
          <w:szCs w:val="22"/>
        </w:rPr>
        <w:t>s</w:t>
      </w:r>
      <w:r w:rsidR="00CB6681" w:rsidRPr="00B00376">
        <w:rPr>
          <w:rFonts w:ascii="Calibri" w:hAnsi="Calibri"/>
          <w:sz w:val="22"/>
          <w:szCs w:val="22"/>
        </w:rPr>
        <w:t xml:space="preserve"> </w:t>
      </w:r>
      <w:r w:rsidRPr="00B00376">
        <w:rPr>
          <w:rFonts w:ascii="Calibri" w:hAnsi="Calibri"/>
          <w:sz w:val="22"/>
          <w:szCs w:val="22"/>
        </w:rPr>
        <w:t xml:space="preserve">have been specified </w:t>
      </w:r>
      <w:r w:rsidRPr="00B00376">
        <w:rPr>
          <w:rFonts w:ascii="Calibri" w:hAnsi="Calibri"/>
          <w:sz w:val="22"/>
          <w:szCs w:val="22"/>
        </w:rPr>
        <w:lastRenderedPageBreak/>
        <w:t xml:space="preserve">(e.g. </w:t>
      </w:r>
      <w:r w:rsidR="002318B2" w:rsidRPr="00B00376">
        <w:rPr>
          <w:rFonts w:ascii="Calibri" w:hAnsi="Calibri"/>
          <w:sz w:val="22"/>
          <w:szCs w:val="22"/>
        </w:rPr>
        <w:t>environmental health, planning, transp</w:t>
      </w:r>
      <w:r w:rsidRPr="00B00376">
        <w:rPr>
          <w:rFonts w:ascii="Calibri" w:hAnsi="Calibri"/>
          <w:sz w:val="22"/>
          <w:szCs w:val="22"/>
        </w:rPr>
        <w:t xml:space="preserve">ort, regulation and </w:t>
      </w:r>
      <w:r w:rsidR="002318B2" w:rsidRPr="00B00376">
        <w:rPr>
          <w:rFonts w:ascii="Calibri" w:hAnsi="Calibri"/>
          <w:sz w:val="22"/>
          <w:szCs w:val="22"/>
        </w:rPr>
        <w:t>sustainable development</w:t>
      </w:r>
      <w:r w:rsidRPr="00B00376">
        <w:rPr>
          <w:rFonts w:ascii="Calibri" w:hAnsi="Calibri"/>
          <w:sz w:val="22"/>
          <w:szCs w:val="22"/>
        </w:rPr>
        <w:t>)</w:t>
      </w:r>
      <w:r w:rsidR="00893515" w:rsidRPr="00B00376">
        <w:rPr>
          <w:rFonts w:ascii="Calibri" w:hAnsi="Calibri"/>
          <w:sz w:val="22"/>
          <w:szCs w:val="22"/>
        </w:rPr>
        <w:t>.</w:t>
      </w:r>
      <w:r w:rsidR="002B71FD" w:rsidRPr="00B00376">
        <w:rPr>
          <w:rFonts w:ascii="Calibri" w:hAnsi="Calibri"/>
          <w:sz w:val="22"/>
          <w:szCs w:val="22"/>
        </w:rPr>
        <w:t xml:space="preserve"> </w:t>
      </w:r>
      <w:r w:rsidR="007221D9" w:rsidRPr="00B00376">
        <w:rPr>
          <w:rFonts w:ascii="Calibri" w:hAnsi="Calibri"/>
          <w:sz w:val="22"/>
          <w:szCs w:val="22"/>
        </w:rPr>
        <w:t xml:space="preserve">However, the valuable contribution </w:t>
      </w:r>
      <w:r w:rsidR="000564DB" w:rsidRPr="00B00376">
        <w:rPr>
          <w:rFonts w:ascii="Calibri" w:hAnsi="Calibri"/>
          <w:sz w:val="22"/>
          <w:szCs w:val="22"/>
        </w:rPr>
        <w:t xml:space="preserve">of </w:t>
      </w:r>
      <w:r w:rsidR="008E0EAE">
        <w:rPr>
          <w:rFonts w:ascii="Calibri" w:hAnsi="Calibri"/>
          <w:sz w:val="22"/>
          <w:szCs w:val="22"/>
        </w:rPr>
        <w:t>p</w:t>
      </w:r>
      <w:r w:rsidR="007221D9" w:rsidRPr="00B00376">
        <w:rPr>
          <w:rFonts w:ascii="Calibri" w:hAnsi="Calibri"/>
          <w:sz w:val="22"/>
          <w:szCs w:val="22"/>
        </w:rPr>
        <w:t xml:space="preserve">ublic </w:t>
      </w:r>
      <w:r w:rsidR="008E0EAE">
        <w:rPr>
          <w:rFonts w:ascii="Calibri" w:hAnsi="Calibri"/>
          <w:sz w:val="22"/>
          <w:szCs w:val="22"/>
        </w:rPr>
        <w:t>h</w:t>
      </w:r>
      <w:r w:rsidR="007221D9" w:rsidRPr="00B00376">
        <w:rPr>
          <w:rFonts w:ascii="Calibri" w:hAnsi="Calibri"/>
          <w:sz w:val="22"/>
          <w:szCs w:val="22"/>
        </w:rPr>
        <w:t xml:space="preserve">ealth </w:t>
      </w:r>
      <w:r w:rsidRPr="00B00376">
        <w:rPr>
          <w:rFonts w:ascii="Calibri" w:hAnsi="Calibri"/>
          <w:sz w:val="22"/>
          <w:szCs w:val="22"/>
        </w:rPr>
        <w:t xml:space="preserve">bodies </w:t>
      </w:r>
      <w:r w:rsidR="007221D9" w:rsidRPr="00B00376">
        <w:rPr>
          <w:rFonts w:ascii="Calibri" w:hAnsi="Calibri"/>
          <w:sz w:val="22"/>
          <w:szCs w:val="22"/>
        </w:rPr>
        <w:t xml:space="preserve">and specialists </w:t>
      </w:r>
      <w:r w:rsidR="00CB6681" w:rsidRPr="00B00376">
        <w:rPr>
          <w:rFonts w:ascii="Calibri" w:hAnsi="Calibri"/>
          <w:sz w:val="22"/>
          <w:szCs w:val="22"/>
        </w:rPr>
        <w:t>to the regime</w:t>
      </w:r>
      <w:r w:rsidR="002B71FD" w:rsidRPr="00B00376">
        <w:rPr>
          <w:rFonts w:ascii="Calibri" w:hAnsi="Calibri"/>
          <w:sz w:val="22"/>
          <w:szCs w:val="22"/>
        </w:rPr>
        <w:t xml:space="preserve"> </w:t>
      </w:r>
      <w:r w:rsidR="007221D9" w:rsidRPr="00B00376">
        <w:rPr>
          <w:rFonts w:ascii="Calibri" w:hAnsi="Calibri"/>
          <w:sz w:val="22"/>
          <w:szCs w:val="22"/>
        </w:rPr>
        <w:t xml:space="preserve">has never been defined, despite being </w:t>
      </w:r>
      <w:r w:rsidRPr="00B00376">
        <w:rPr>
          <w:rFonts w:ascii="Calibri" w:hAnsi="Calibri"/>
          <w:sz w:val="22"/>
          <w:szCs w:val="22"/>
        </w:rPr>
        <w:t xml:space="preserve">highlighted previously </w:t>
      </w:r>
      <w:r w:rsidR="003E36EF" w:rsidRPr="00B00376">
        <w:rPr>
          <w:rFonts w:ascii="Calibri" w:hAnsi="Calibri"/>
          <w:sz w:val="22"/>
          <w:szCs w:val="22"/>
        </w:rPr>
        <w:t>(</w:t>
      </w:r>
      <w:proofErr w:type="spellStart"/>
      <w:r w:rsidR="00C93E84" w:rsidRPr="00B00376">
        <w:rPr>
          <w:rFonts w:ascii="Calibri" w:hAnsi="Calibri"/>
          <w:color w:val="00B050"/>
          <w:sz w:val="22"/>
          <w:szCs w:val="22"/>
        </w:rPr>
        <w:t>Laxen</w:t>
      </w:r>
      <w:proofErr w:type="spellEnd"/>
      <w:r w:rsidR="00C93E84" w:rsidRPr="00B00376">
        <w:rPr>
          <w:rFonts w:ascii="Calibri" w:hAnsi="Calibri"/>
          <w:color w:val="00B050"/>
          <w:sz w:val="22"/>
          <w:szCs w:val="22"/>
        </w:rPr>
        <w:t xml:space="preserve"> </w:t>
      </w:r>
      <w:r w:rsidR="00C93E84" w:rsidRPr="00B00376">
        <w:rPr>
          <w:rFonts w:ascii="Calibri" w:hAnsi="Calibri"/>
          <w:i/>
          <w:color w:val="00B050"/>
          <w:sz w:val="22"/>
          <w:szCs w:val="22"/>
        </w:rPr>
        <w:t>et al</w:t>
      </w:r>
      <w:r w:rsidR="00C93E84" w:rsidRPr="00B00376">
        <w:rPr>
          <w:rFonts w:ascii="Calibri" w:hAnsi="Calibri"/>
          <w:color w:val="00B050"/>
          <w:sz w:val="22"/>
          <w:szCs w:val="22"/>
        </w:rPr>
        <w:t>., 2014; In-house Policy Consultants, 2010; Welsh Government 2009</w:t>
      </w:r>
      <w:r w:rsidR="00C93E84">
        <w:rPr>
          <w:rFonts w:ascii="Calibri" w:hAnsi="Calibri"/>
          <w:color w:val="00B050"/>
          <w:sz w:val="22"/>
          <w:szCs w:val="22"/>
        </w:rPr>
        <w:t xml:space="preserve">; </w:t>
      </w:r>
      <w:r w:rsidR="00C93E84" w:rsidRPr="00B00376">
        <w:rPr>
          <w:rFonts w:ascii="Calibri" w:hAnsi="Calibri"/>
          <w:color w:val="00B050"/>
          <w:sz w:val="22"/>
          <w:szCs w:val="22"/>
        </w:rPr>
        <w:t xml:space="preserve">Defra, 2007; Longhurst </w:t>
      </w:r>
      <w:r w:rsidR="00C93E84" w:rsidRPr="00B00376">
        <w:rPr>
          <w:rFonts w:ascii="Calibri" w:hAnsi="Calibri"/>
          <w:i/>
          <w:color w:val="00B050"/>
          <w:sz w:val="22"/>
          <w:szCs w:val="22"/>
        </w:rPr>
        <w:t>et al</w:t>
      </w:r>
      <w:r w:rsidR="00C93E84" w:rsidRPr="00B00376">
        <w:rPr>
          <w:rFonts w:ascii="Calibri" w:hAnsi="Calibri"/>
          <w:color w:val="00B050"/>
          <w:sz w:val="22"/>
          <w:szCs w:val="22"/>
        </w:rPr>
        <w:t>., 2006;</w:t>
      </w:r>
      <w:r w:rsidR="00C93E84">
        <w:rPr>
          <w:rFonts w:ascii="Calibri" w:hAnsi="Calibri"/>
          <w:color w:val="00B050"/>
          <w:sz w:val="22"/>
          <w:szCs w:val="22"/>
        </w:rPr>
        <w:t xml:space="preserve"> </w:t>
      </w:r>
      <w:r w:rsidR="002267D6" w:rsidRPr="00B00376">
        <w:rPr>
          <w:rFonts w:ascii="Calibri" w:hAnsi="Calibri"/>
          <w:color w:val="00B050"/>
          <w:sz w:val="22"/>
          <w:szCs w:val="22"/>
        </w:rPr>
        <w:t xml:space="preserve">Beattie </w:t>
      </w:r>
      <w:r w:rsidR="002267D6" w:rsidRPr="00B00376">
        <w:rPr>
          <w:rFonts w:ascii="Calibri" w:hAnsi="Calibri"/>
          <w:i/>
          <w:color w:val="00B050"/>
          <w:sz w:val="22"/>
          <w:szCs w:val="22"/>
        </w:rPr>
        <w:t>et al</w:t>
      </w:r>
      <w:r w:rsidR="002267D6" w:rsidRPr="00B00376">
        <w:rPr>
          <w:rFonts w:ascii="Calibri" w:hAnsi="Calibri"/>
          <w:color w:val="00B050"/>
          <w:sz w:val="22"/>
          <w:szCs w:val="22"/>
        </w:rPr>
        <w:t xml:space="preserve">., 2001; </w:t>
      </w:r>
      <w:r w:rsidR="006F3FF1" w:rsidRPr="00B00376">
        <w:rPr>
          <w:rFonts w:ascii="Calibri" w:hAnsi="Calibri"/>
          <w:color w:val="00B050"/>
          <w:sz w:val="22"/>
          <w:szCs w:val="22"/>
        </w:rPr>
        <w:t xml:space="preserve">Lindley </w:t>
      </w:r>
      <w:r w:rsidR="006F3FF1" w:rsidRPr="00B00376">
        <w:rPr>
          <w:rFonts w:ascii="Calibri" w:hAnsi="Calibri"/>
          <w:i/>
          <w:color w:val="00B050"/>
          <w:sz w:val="22"/>
          <w:szCs w:val="22"/>
        </w:rPr>
        <w:t>et al</w:t>
      </w:r>
      <w:r w:rsidR="006F3FF1" w:rsidRPr="00B00376">
        <w:rPr>
          <w:rFonts w:ascii="Calibri" w:hAnsi="Calibri"/>
          <w:color w:val="00B050"/>
          <w:sz w:val="22"/>
          <w:szCs w:val="22"/>
        </w:rPr>
        <w:t>., 1996</w:t>
      </w:r>
      <w:r w:rsidR="003F7469" w:rsidRPr="00B00376">
        <w:rPr>
          <w:rFonts w:ascii="Calibri" w:hAnsi="Calibri"/>
          <w:sz w:val="22"/>
          <w:szCs w:val="22"/>
        </w:rPr>
        <w:t>)</w:t>
      </w:r>
      <w:r w:rsidR="003E36EF" w:rsidRPr="00B00376">
        <w:rPr>
          <w:rFonts w:ascii="Calibri" w:hAnsi="Calibri"/>
          <w:sz w:val="22"/>
          <w:szCs w:val="22"/>
        </w:rPr>
        <w:t>.</w:t>
      </w:r>
      <w:r w:rsidR="000D09CD" w:rsidRPr="00B00376">
        <w:rPr>
          <w:rFonts w:ascii="Calibri" w:hAnsi="Calibri"/>
          <w:sz w:val="22"/>
          <w:szCs w:val="22"/>
        </w:rPr>
        <w:t xml:space="preserve"> This failing has</w:t>
      </w:r>
      <w:r w:rsidR="000B7E1B" w:rsidRPr="00B00376">
        <w:rPr>
          <w:rFonts w:ascii="Calibri" w:hAnsi="Calibri"/>
          <w:sz w:val="22"/>
          <w:szCs w:val="22"/>
        </w:rPr>
        <w:t xml:space="preserve"> likely </w:t>
      </w:r>
      <w:r w:rsidRPr="00B00376">
        <w:rPr>
          <w:rFonts w:ascii="Calibri" w:hAnsi="Calibri"/>
          <w:sz w:val="22"/>
          <w:szCs w:val="22"/>
        </w:rPr>
        <w:t>created the prese</w:t>
      </w:r>
      <w:r w:rsidR="00B33835" w:rsidRPr="00B00376">
        <w:rPr>
          <w:rFonts w:ascii="Calibri" w:hAnsi="Calibri"/>
          <w:sz w:val="22"/>
          <w:szCs w:val="22"/>
        </w:rPr>
        <w:t>n</w:t>
      </w:r>
      <w:r w:rsidRPr="00B00376">
        <w:rPr>
          <w:rFonts w:ascii="Calibri" w:hAnsi="Calibri"/>
          <w:sz w:val="22"/>
          <w:szCs w:val="22"/>
        </w:rPr>
        <w:t>t-day disconnect between LAQM and public health</w:t>
      </w:r>
      <w:r w:rsidR="00CB6681" w:rsidRPr="00B00376">
        <w:rPr>
          <w:rFonts w:ascii="Calibri" w:hAnsi="Calibri"/>
          <w:sz w:val="22"/>
          <w:szCs w:val="22"/>
        </w:rPr>
        <w:t xml:space="preserve"> (</w:t>
      </w:r>
      <w:proofErr w:type="spellStart"/>
      <w:r w:rsidR="00CB6681" w:rsidRPr="00B00376">
        <w:rPr>
          <w:rFonts w:ascii="Calibri" w:hAnsi="Calibri"/>
          <w:color w:val="00B050"/>
          <w:sz w:val="22"/>
          <w:szCs w:val="22"/>
        </w:rPr>
        <w:t>Leksmono</w:t>
      </w:r>
      <w:proofErr w:type="spellEnd"/>
      <w:r w:rsidR="00CB6681" w:rsidRPr="00B00376">
        <w:rPr>
          <w:rFonts w:ascii="Calibri" w:hAnsi="Calibri"/>
          <w:color w:val="00B050"/>
          <w:sz w:val="22"/>
          <w:szCs w:val="22"/>
        </w:rPr>
        <w:t xml:space="preserve"> </w:t>
      </w:r>
      <w:r w:rsidR="00CB6681" w:rsidRPr="00B00376">
        <w:rPr>
          <w:rFonts w:ascii="Calibri" w:hAnsi="Calibri"/>
          <w:i/>
          <w:color w:val="00B050"/>
          <w:sz w:val="22"/>
          <w:szCs w:val="22"/>
        </w:rPr>
        <w:t>et al</w:t>
      </w:r>
      <w:r w:rsidR="00CB6681" w:rsidRPr="00B00376">
        <w:rPr>
          <w:rFonts w:ascii="Calibri" w:hAnsi="Calibri"/>
          <w:color w:val="00B050"/>
          <w:sz w:val="22"/>
          <w:szCs w:val="22"/>
        </w:rPr>
        <w:t xml:space="preserve">., 2009; Longhurst </w:t>
      </w:r>
      <w:r w:rsidR="00CB6681" w:rsidRPr="00B00376">
        <w:rPr>
          <w:rFonts w:ascii="Calibri" w:hAnsi="Calibri"/>
          <w:i/>
          <w:color w:val="00B050"/>
          <w:sz w:val="22"/>
          <w:szCs w:val="22"/>
        </w:rPr>
        <w:t>et al</w:t>
      </w:r>
      <w:r w:rsidR="00CB6681" w:rsidRPr="00B00376">
        <w:rPr>
          <w:rFonts w:ascii="Calibri" w:hAnsi="Calibri"/>
          <w:color w:val="00B050"/>
          <w:sz w:val="22"/>
          <w:szCs w:val="22"/>
        </w:rPr>
        <w:t>., 2006</w:t>
      </w:r>
      <w:r w:rsidR="00CB6681" w:rsidRPr="00B00376">
        <w:rPr>
          <w:rFonts w:ascii="Calibri" w:hAnsi="Calibri"/>
          <w:sz w:val="22"/>
          <w:szCs w:val="22"/>
        </w:rPr>
        <w:t xml:space="preserve">) and compromised the evolution of integrated public health and air pollution management policy and practice. </w:t>
      </w:r>
      <w:r w:rsidR="00AE38DA" w:rsidRPr="00B00376">
        <w:rPr>
          <w:rFonts w:ascii="Calibri" w:hAnsi="Calibri"/>
          <w:sz w:val="22"/>
          <w:szCs w:val="22"/>
        </w:rPr>
        <w:t>This disconnect, along with a lack of training,</w:t>
      </w:r>
      <w:r w:rsidR="000D09CD" w:rsidRPr="00B00376">
        <w:rPr>
          <w:rFonts w:ascii="Calibri" w:hAnsi="Calibri"/>
          <w:sz w:val="22"/>
          <w:szCs w:val="22"/>
        </w:rPr>
        <w:t xml:space="preserve"> has meant that most </w:t>
      </w:r>
      <w:r w:rsidR="008E0EAE">
        <w:rPr>
          <w:rFonts w:ascii="Calibri" w:hAnsi="Calibri"/>
          <w:sz w:val="22"/>
          <w:szCs w:val="22"/>
        </w:rPr>
        <w:t>p</w:t>
      </w:r>
      <w:r w:rsidR="00AE38DA" w:rsidRPr="00B00376">
        <w:rPr>
          <w:rFonts w:ascii="Calibri" w:hAnsi="Calibri"/>
          <w:sz w:val="22"/>
          <w:szCs w:val="22"/>
        </w:rPr>
        <w:t xml:space="preserve">ublic </w:t>
      </w:r>
      <w:r w:rsidR="008E0EAE">
        <w:rPr>
          <w:rFonts w:ascii="Calibri" w:hAnsi="Calibri"/>
          <w:sz w:val="22"/>
          <w:szCs w:val="22"/>
        </w:rPr>
        <w:t>h</w:t>
      </w:r>
      <w:r w:rsidR="00AE38DA" w:rsidRPr="00B00376">
        <w:rPr>
          <w:rFonts w:ascii="Calibri" w:hAnsi="Calibri"/>
          <w:sz w:val="22"/>
          <w:szCs w:val="22"/>
        </w:rPr>
        <w:t xml:space="preserve">ealth specialists </w:t>
      </w:r>
      <w:r w:rsidR="000D09CD" w:rsidRPr="00B00376">
        <w:rPr>
          <w:rFonts w:ascii="Calibri" w:hAnsi="Calibri"/>
          <w:sz w:val="22"/>
          <w:szCs w:val="22"/>
        </w:rPr>
        <w:t xml:space="preserve">have a </w:t>
      </w:r>
      <w:r w:rsidR="00AE38DA" w:rsidRPr="00B00376">
        <w:rPr>
          <w:rFonts w:ascii="Calibri" w:hAnsi="Calibri"/>
          <w:sz w:val="22"/>
          <w:szCs w:val="22"/>
        </w:rPr>
        <w:t xml:space="preserve">relatively </w:t>
      </w:r>
      <w:r w:rsidR="000D09CD" w:rsidRPr="00B00376">
        <w:rPr>
          <w:rFonts w:ascii="Calibri" w:hAnsi="Calibri"/>
          <w:sz w:val="22"/>
          <w:szCs w:val="22"/>
        </w:rPr>
        <w:t xml:space="preserve">poor appreciation of air pollution problems, </w:t>
      </w:r>
      <w:r w:rsidR="00EC028C">
        <w:rPr>
          <w:rFonts w:ascii="Calibri" w:hAnsi="Calibri"/>
          <w:sz w:val="22"/>
          <w:szCs w:val="22"/>
        </w:rPr>
        <w:t xml:space="preserve">their </w:t>
      </w:r>
      <w:r w:rsidR="000D09CD" w:rsidRPr="00B00376">
        <w:rPr>
          <w:rFonts w:ascii="Calibri" w:hAnsi="Calibri"/>
          <w:sz w:val="22"/>
          <w:szCs w:val="22"/>
        </w:rPr>
        <w:t>links with wider health determinants, and risk management solutions. L</w:t>
      </w:r>
      <w:r w:rsidR="007F59C1" w:rsidRPr="00B00376">
        <w:rPr>
          <w:rFonts w:ascii="Calibri" w:hAnsi="Calibri"/>
          <w:sz w:val="22"/>
          <w:szCs w:val="22"/>
        </w:rPr>
        <w:t xml:space="preserve">ittle </w:t>
      </w:r>
      <w:r w:rsidR="000D09CD" w:rsidRPr="00B00376">
        <w:rPr>
          <w:rFonts w:ascii="Calibri" w:hAnsi="Calibri"/>
          <w:sz w:val="22"/>
          <w:szCs w:val="22"/>
        </w:rPr>
        <w:t xml:space="preserve">has been </w:t>
      </w:r>
      <w:r w:rsidR="007F59C1" w:rsidRPr="00B00376">
        <w:rPr>
          <w:rFonts w:ascii="Calibri" w:hAnsi="Calibri"/>
          <w:sz w:val="22"/>
          <w:szCs w:val="22"/>
        </w:rPr>
        <w:t xml:space="preserve">done to </w:t>
      </w:r>
      <w:r w:rsidR="00DB64CF" w:rsidRPr="00B00376">
        <w:rPr>
          <w:rFonts w:ascii="Calibri" w:hAnsi="Calibri"/>
          <w:sz w:val="22"/>
          <w:szCs w:val="22"/>
        </w:rPr>
        <w:t xml:space="preserve">investigate or </w:t>
      </w:r>
      <w:r w:rsidR="007F59C1" w:rsidRPr="00B00376">
        <w:rPr>
          <w:rFonts w:ascii="Calibri" w:hAnsi="Calibri"/>
          <w:sz w:val="22"/>
          <w:szCs w:val="22"/>
        </w:rPr>
        <w:t xml:space="preserve">address </w:t>
      </w:r>
      <w:r w:rsidR="00EC028C">
        <w:rPr>
          <w:rFonts w:ascii="Calibri" w:hAnsi="Calibri"/>
          <w:sz w:val="22"/>
          <w:szCs w:val="22"/>
        </w:rPr>
        <w:t xml:space="preserve">why </w:t>
      </w:r>
      <w:r w:rsidR="007F59C1" w:rsidRPr="00B00376">
        <w:rPr>
          <w:rFonts w:ascii="Calibri" w:hAnsi="Calibri"/>
          <w:sz w:val="22"/>
          <w:szCs w:val="22"/>
        </w:rPr>
        <w:t>this</w:t>
      </w:r>
      <w:r w:rsidR="00EC028C">
        <w:rPr>
          <w:rFonts w:ascii="Calibri" w:hAnsi="Calibri"/>
          <w:sz w:val="22"/>
          <w:szCs w:val="22"/>
        </w:rPr>
        <w:t xml:space="preserve"> is so</w:t>
      </w:r>
      <w:r w:rsidR="00DB64CF" w:rsidRPr="00B00376">
        <w:rPr>
          <w:rFonts w:ascii="Calibri" w:hAnsi="Calibri"/>
          <w:sz w:val="22"/>
          <w:szCs w:val="22"/>
        </w:rPr>
        <w:t xml:space="preserve">; </w:t>
      </w:r>
      <w:r w:rsidR="007F59C1" w:rsidRPr="00B00376">
        <w:rPr>
          <w:rFonts w:ascii="Calibri" w:hAnsi="Calibri"/>
          <w:sz w:val="22"/>
          <w:szCs w:val="22"/>
        </w:rPr>
        <w:t xml:space="preserve">historic reviews </w:t>
      </w:r>
      <w:r w:rsidR="00AE38DA" w:rsidRPr="00B00376">
        <w:rPr>
          <w:rFonts w:ascii="Calibri" w:hAnsi="Calibri"/>
          <w:sz w:val="22"/>
          <w:szCs w:val="22"/>
        </w:rPr>
        <w:t xml:space="preserve">assessing LAQM stakeholder </w:t>
      </w:r>
      <w:r w:rsidR="007F59C1" w:rsidRPr="00B00376">
        <w:rPr>
          <w:rFonts w:ascii="Calibri" w:hAnsi="Calibri"/>
          <w:sz w:val="22"/>
          <w:szCs w:val="22"/>
        </w:rPr>
        <w:t xml:space="preserve">interactions have largely ignored </w:t>
      </w:r>
      <w:r w:rsidR="00EC028C">
        <w:rPr>
          <w:rFonts w:ascii="Calibri" w:hAnsi="Calibri"/>
          <w:sz w:val="22"/>
          <w:szCs w:val="22"/>
        </w:rPr>
        <w:t>public health specialists</w:t>
      </w:r>
      <w:r w:rsidR="00AE38DA" w:rsidRPr="00B00376">
        <w:rPr>
          <w:rFonts w:ascii="Calibri" w:hAnsi="Calibri"/>
          <w:sz w:val="22"/>
          <w:szCs w:val="22"/>
        </w:rPr>
        <w:t xml:space="preserve"> </w:t>
      </w:r>
      <w:r w:rsidR="007F59C1" w:rsidRPr="00B00376">
        <w:rPr>
          <w:rFonts w:ascii="Calibri" w:hAnsi="Calibri"/>
          <w:sz w:val="22"/>
          <w:szCs w:val="22"/>
        </w:rPr>
        <w:t>(</w:t>
      </w:r>
      <w:r w:rsidR="002001C1" w:rsidRPr="00B00376">
        <w:rPr>
          <w:rFonts w:ascii="Calibri" w:hAnsi="Calibri"/>
          <w:color w:val="00B050"/>
          <w:sz w:val="22"/>
          <w:szCs w:val="22"/>
        </w:rPr>
        <w:t>In-house Policy Consultants, 2010</w:t>
      </w:r>
      <w:r w:rsidR="002001C1">
        <w:rPr>
          <w:rFonts w:ascii="Calibri" w:hAnsi="Calibri"/>
          <w:color w:val="00B050"/>
          <w:sz w:val="22"/>
          <w:szCs w:val="22"/>
        </w:rPr>
        <w:t xml:space="preserve">; </w:t>
      </w:r>
      <w:r w:rsidR="00302496" w:rsidRPr="00B00376">
        <w:rPr>
          <w:rFonts w:ascii="Calibri" w:hAnsi="Calibri"/>
          <w:color w:val="00B050"/>
          <w:sz w:val="22"/>
          <w:szCs w:val="22"/>
        </w:rPr>
        <w:t xml:space="preserve">Hayes </w:t>
      </w:r>
      <w:r w:rsidR="00302496" w:rsidRPr="00B00376">
        <w:rPr>
          <w:rFonts w:ascii="Calibri" w:hAnsi="Calibri"/>
          <w:i/>
          <w:color w:val="00B050"/>
          <w:sz w:val="22"/>
          <w:szCs w:val="22"/>
        </w:rPr>
        <w:t>et al</w:t>
      </w:r>
      <w:r w:rsidR="00302496" w:rsidRPr="00B00376">
        <w:rPr>
          <w:rFonts w:ascii="Calibri" w:hAnsi="Calibri"/>
          <w:color w:val="00B050"/>
          <w:sz w:val="22"/>
          <w:szCs w:val="22"/>
        </w:rPr>
        <w:t>., 2009</w:t>
      </w:r>
      <w:r w:rsidR="007F59C1" w:rsidRPr="00B00376">
        <w:rPr>
          <w:rFonts w:ascii="Calibri" w:hAnsi="Calibri"/>
          <w:sz w:val="22"/>
          <w:szCs w:val="22"/>
        </w:rPr>
        <w:t>).</w:t>
      </w:r>
      <w:r w:rsidR="00DB64CF" w:rsidRPr="00B00376">
        <w:rPr>
          <w:rFonts w:ascii="Calibri" w:hAnsi="Calibri"/>
          <w:sz w:val="22"/>
          <w:szCs w:val="22"/>
        </w:rPr>
        <w:t xml:space="preserve"> </w:t>
      </w:r>
    </w:p>
    <w:p w:rsidR="00B00376" w:rsidRPr="00832C78" w:rsidRDefault="004B3A25" w:rsidP="00832C78">
      <w:pPr>
        <w:spacing w:after="120"/>
        <w:rPr>
          <w:rFonts w:ascii="Calibri" w:hAnsi="Calibri"/>
        </w:rPr>
      </w:pPr>
      <w:r w:rsidRPr="00832C78">
        <w:rPr>
          <w:rFonts w:ascii="Calibri" w:hAnsi="Calibri"/>
        </w:rPr>
        <w:t>As corroborated by this study, the effects-based approach of LAQM has p</w:t>
      </w:r>
      <w:r w:rsidR="00BD3EAC" w:rsidRPr="00832C78">
        <w:rPr>
          <w:rFonts w:ascii="Calibri" w:hAnsi="Calibri"/>
        </w:rPr>
        <w:t>revious</w:t>
      </w:r>
      <w:r w:rsidRPr="00832C78">
        <w:rPr>
          <w:rFonts w:ascii="Calibri" w:hAnsi="Calibri"/>
        </w:rPr>
        <w:t>ly been described as</w:t>
      </w:r>
      <w:r w:rsidR="000D09CD" w:rsidRPr="00832C78">
        <w:rPr>
          <w:rFonts w:ascii="Calibri" w:hAnsi="Calibri"/>
        </w:rPr>
        <w:t xml:space="preserve"> </w:t>
      </w:r>
      <w:r w:rsidR="003E36EF" w:rsidRPr="00832C78">
        <w:rPr>
          <w:rFonts w:ascii="Calibri" w:hAnsi="Calibri"/>
        </w:rPr>
        <w:t>narrow in scope (</w:t>
      </w:r>
      <w:proofErr w:type="spellStart"/>
      <w:r w:rsidR="003E36EF" w:rsidRPr="00832C78">
        <w:rPr>
          <w:rFonts w:ascii="Calibri" w:hAnsi="Calibri"/>
          <w:color w:val="00B050"/>
        </w:rPr>
        <w:t>Everard</w:t>
      </w:r>
      <w:proofErr w:type="spellEnd"/>
      <w:r w:rsidR="003E36EF" w:rsidRPr="00832C78">
        <w:rPr>
          <w:rFonts w:ascii="Calibri" w:hAnsi="Calibri"/>
          <w:color w:val="00B050"/>
        </w:rPr>
        <w:t xml:space="preserve"> </w:t>
      </w:r>
      <w:r w:rsidR="003E36EF" w:rsidRPr="00832C78">
        <w:rPr>
          <w:rFonts w:ascii="Calibri" w:hAnsi="Calibri"/>
          <w:i/>
          <w:color w:val="00B050"/>
        </w:rPr>
        <w:t>et al</w:t>
      </w:r>
      <w:r w:rsidR="003E36EF" w:rsidRPr="00832C78">
        <w:rPr>
          <w:rFonts w:ascii="Calibri" w:hAnsi="Calibri"/>
          <w:color w:val="00B050"/>
        </w:rPr>
        <w:t>., 2013</w:t>
      </w:r>
      <w:r w:rsidR="003E36EF" w:rsidRPr="00832C78">
        <w:rPr>
          <w:rFonts w:ascii="Calibri" w:hAnsi="Calibri"/>
        </w:rPr>
        <w:t>).</w:t>
      </w:r>
      <w:r w:rsidR="00C93E84">
        <w:rPr>
          <w:rFonts w:ascii="Calibri" w:hAnsi="Calibri"/>
        </w:rPr>
        <w:t xml:space="preserve"> </w:t>
      </w:r>
      <w:r w:rsidR="00812EE5">
        <w:t>This is because the current approach encourages LAQM work to take place in isolation</w:t>
      </w:r>
      <w:r w:rsidR="00081A7C">
        <w:t xml:space="preserve">; there is no requirement to acknowledge </w:t>
      </w:r>
      <w:r w:rsidR="00EC028C">
        <w:t xml:space="preserve">the </w:t>
      </w:r>
      <w:r w:rsidR="00081A7C">
        <w:t xml:space="preserve">significant overlaps </w:t>
      </w:r>
      <w:r w:rsidR="00EC028C">
        <w:t xml:space="preserve">that exist </w:t>
      </w:r>
      <w:r w:rsidR="00081A7C">
        <w:t xml:space="preserve">with other public health </w:t>
      </w:r>
      <w:r w:rsidR="00C93E84">
        <w:t xml:space="preserve">priorities and </w:t>
      </w:r>
      <w:r w:rsidR="00081A7C">
        <w:t xml:space="preserve">work to tackle wider health determinants at population level. It is important to </w:t>
      </w:r>
      <w:r w:rsidR="00AE38DA" w:rsidRPr="00832C78">
        <w:rPr>
          <w:rFonts w:ascii="Calibri" w:hAnsi="Calibri"/>
        </w:rPr>
        <w:t>understand</w:t>
      </w:r>
      <w:r w:rsidR="00081A7C">
        <w:rPr>
          <w:rFonts w:ascii="Calibri" w:hAnsi="Calibri"/>
        </w:rPr>
        <w:t xml:space="preserve"> </w:t>
      </w:r>
      <w:r w:rsidR="007A70E4" w:rsidRPr="00832C78">
        <w:rPr>
          <w:rFonts w:ascii="Calibri" w:hAnsi="Calibri"/>
        </w:rPr>
        <w:t>air pollution problems and solutions in</w:t>
      </w:r>
      <w:r w:rsidR="008B676A" w:rsidRPr="00832C78">
        <w:rPr>
          <w:rFonts w:ascii="Calibri" w:hAnsi="Calibri"/>
        </w:rPr>
        <w:t xml:space="preserve"> </w:t>
      </w:r>
      <w:r w:rsidR="00B412E4">
        <w:rPr>
          <w:rFonts w:ascii="Calibri" w:hAnsi="Calibri"/>
        </w:rPr>
        <w:t>this</w:t>
      </w:r>
      <w:r w:rsidR="008B676A" w:rsidRPr="00832C78">
        <w:rPr>
          <w:rFonts w:ascii="Calibri" w:hAnsi="Calibri"/>
        </w:rPr>
        <w:t xml:space="preserve"> broader </w:t>
      </w:r>
      <w:r w:rsidR="007A70E4" w:rsidRPr="00832C78">
        <w:rPr>
          <w:rFonts w:ascii="Calibri" w:hAnsi="Calibri"/>
        </w:rPr>
        <w:t xml:space="preserve">public health context </w:t>
      </w:r>
      <w:r w:rsidR="00BE6F84">
        <w:rPr>
          <w:rFonts w:ascii="Calibri" w:hAnsi="Calibri"/>
        </w:rPr>
        <w:t>to maximise health gain</w:t>
      </w:r>
      <w:r w:rsidR="000C6E0C">
        <w:rPr>
          <w:rFonts w:ascii="Calibri" w:hAnsi="Calibri"/>
        </w:rPr>
        <w:t xml:space="preserve"> and reduce health inequalities</w:t>
      </w:r>
      <w:r w:rsidR="00BE6F84">
        <w:rPr>
          <w:rFonts w:ascii="Calibri" w:hAnsi="Calibri"/>
        </w:rPr>
        <w:t xml:space="preserve"> </w:t>
      </w:r>
      <w:r w:rsidR="00FC50CD" w:rsidRPr="00832C78">
        <w:rPr>
          <w:rFonts w:ascii="Calibri" w:hAnsi="Calibri"/>
        </w:rPr>
        <w:t>(</w:t>
      </w:r>
      <w:r w:rsidR="00DC4935" w:rsidRPr="00832C78">
        <w:rPr>
          <w:rFonts w:ascii="Calibri" w:hAnsi="Calibri"/>
          <w:color w:val="00B050"/>
        </w:rPr>
        <w:t xml:space="preserve">Brunt </w:t>
      </w:r>
      <w:r w:rsidR="00DC4935" w:rsidRPr="00832C78">
        <w:rPr>
          <w:rFonts w:ascii="Calibri" w:hAnsi="Calibri"/>
          <w:i/>
          <w:color w:val="00B050"/>
        </w:rPr>
        <w:t>et al.,</w:t>
      </w:r>
      <w:r w:rsidR="00DC4935" w:rsidRPr="00832C78">
        <w:rPr>
          <w:rFonts w:ascii="Calibri" w:hAnsi="Calibri"/>
          <w:color w:val="00B050"/>
        </w:rPr>
        <w:t xml:space="preserve"> 2016b</w:t>
      </w:r>
      <w:r w:rsidR="00DC4935" w:rsidRPr="00832C78">
        <w:rPr>
          <w:rFonts w:ascii="Calibri" w:hAnsi="Calibri"/>
        </w:rPr>
        <w:t>;</w:t>
      </w:r>
      <w:r w:rsidR="00DC4935" w:rsidRPr="00832C78">
        <w:rPr>
          <w:rFonts w:ascii="Calibri" w:hAnsi="Calibri"/>
          <w:i/>
        </w:rPr>
        <w:t xml:space="preserve"> </w:t>
      </w:r>
      <w:proofErr w:type="spellStart"/>
      <w:r w:rsidR="00FC50CD" w:rsidRPr="00832C78">
        <w:rPr>
          <w:rFonts w:ascii="Calibri" w:hAnsi="Calibri"/>
          <w:color w:val="00B050"/>
        </w:rPr>
        <w:t>Jerrett</w:t>
      </w:r>
      <w:proofErr w:type="spellEnd"/>
      <w:r w:rsidR="00FC50CD" w:rsidRPr="00832C78">
        <w:rPr>
          <w:rFonts w:ascii="Calibri" w:hAnsi="Calibri"/>
          <w:color w:val="00B050"/>
        </w:rPr>
        <w:t xml:space="preserve"> </w:t>
      </w:r>
      <w:r w:rsidR="00FC50CD" w:rsidRPr="00832C78">
        <w:rPr>
          <w:rFonts w:ascii="Calibri" w:hAnsi="Calibri"/>
          <w:i/>
          <w:color w:val="00B050"/>
        </w:rPr>
        <w:t>et al</w:t>
      </w:r>
      <w:r w:rsidR="00FC50CD" w:rsidRPr="00832C78">
        <w:rPr>
          <w:rFonts w:ascii="Calibri" w:hAnsi="Calibri"/>
          <w:color w:val="00B050"/>
        </w:rPr>
        <w:t>., 2001</w:t>
      </w:r>
      <w:r w:rsidR="00FC50CD" w:rsidRPr="00832C78">
        <w:rPr>
          <w:rFonts w:ascii="Calibri" w:hAnsi="Calibri"/>
        </w:rPr>
        <w:t>)</w:t>
      </w:r>
      <w:r w:rsidRPr="00832C78">
        <w:rPr>
          <w:rFonts w:ascii="Calibri" w:hAnsi="Calibri"/>
        </w:rPr>
        <w:t xml:space="preserve"> since</w:t>
      </w:r>
      <w:r w:rsidR="007A70E4" w:rsidRPr="00832C78">
        <w:rPr>
          <w:rFonts w:ascii="Calibri" w:hAnsi="Calibri"/>
        </w:rPr>
        <w:t xml:space="preserve"> acting on a limited understanding of scope and relationships, or worse ignoring them altogether, </w:t>
      </w:r>
      <w:r w:rsidR="00AE38DA" w:rsidRPr="00832C78">
        <w:rPr>
          <w:rFonts w:ascii="Calibri" w:hAnsi="Calibri"/>
        </w:rPr>
        <w:t xml:space="preserve">might </w:t>
      </w:r>
      <w:r w:rsidR="007A70E4" w:rsidRPr="00832C78">
        <w:rPr>
          <w:rFonts w:ascii="Calibri" w:hAnsi="Calibri"/>
        </w:rPr>
        <w:t>exacerbate or create new problems (</w:t>
      </w:r>
      <w:r w:rsidR="007A70E4" w:rsidRPr="00832C78">
        <w:rPr>
          <w:rFonts w:ascii="Calibri" w:hAnsi="Calibri"/>
          <w:color w:val="00B050"/>
        </w:rPr>
        <w:t>Bowen, 2002</w:t>
      </w:r>
      <w:r w:rsidR="007A70E4" w:rsidRPr="00832C78">
        <w:rPr>
          <w:rFonts w:ascii="Calibri" w:hAnsi="Calibri"/>
        </w:rPr>
        <w:t>).</w:t>
      </w:r>
      <w:r w:rsidR="0077274E" w:rsidRPr="00832C78">
        <w:rPr>
          <w:rFonts w:ascii="Calibri" w:hAnsi="Calibri"/>
        </w:rPr>
        <w:t xml:space="preserve"> </w:t>
      </w:r>
      <w:r w:rsidR="00AE38DA" w:rsidRPr="00832C78">
        <w:rPr>
          <w:rFonts w:ascii="Calibri" w:hAnsi="Calibri"/>
        </w:rPr>
        <w:t xml:space="preserve">The </w:t>
      </w:r>
      <w:r w:rsidR="00DA73AB" w:rsidRPr="00832C78">
        <w:rPr>
          <w:rFonts w:ascii="Calibri" w:hAnsi="Calibri"/>
        </w:rPr>
        <w:t xml:space="preserve">‘big picture’ evidence </w:t>
      </w:r>
      <w:r w:rsidR="00AE38DA" w:rsidRPr="00832C78">
        <w:rPr>
          <w:rFonts w:ascii="Calibri" w:hAnsi="Calibri"/>
        </w:rPr>
        <w:t xml:space="preserve">needed to inform LAQM </w:t>
      </w:r>
      <w:r w:rsidRPr="00832C78">
        <w:rPr>
          <w:rFonts w:ascii="Calibri" w:hAnsi="Calibri"/>
        </w:rPr>
        <w:t xml:space="preserve">risk assessments and </w:t>
      </w:r>
      <w:r w:rsidR="00AE38DA" w:rsidRPr="00832C78">
        <w:rPr>
          <w:rFonts w:ascii="Calibri" w:hAnsi="Calibri"/>
        </w:rPr>
        <w:t xml:space="preserve">action </w:t>
      </w:r>
      <w:r w:rsidR="00DA73AB" w:rsidRPr="00832C78">
        <w:rPr>
          <w:rFonts w:ascii="Calibri" w:hAnsi="Calibri"/>
        </w:rPr>
        <w:t xml:space="preserve">can be generated by drawing upon </w:t>
      </w:r>
      <w:r w:rsidR="008E0EAE" w:rsidRPr="00832C78">
        <w:rPr>
          <w:rFonts w:ascii="Calibri" w:hAnsi="Calibri"/>
        </w:rPr>
        <w:t>p</w:t>
      </w:r>
      <w:r w:rsidR="008B676A" w:rsidRPr="00832C78">
        <w:rPr>
          <w:rFonts w:ascii="Calibri" w:hAnsi="Calibri"/>
        </w:rPr>
        <w:t xml:space="preserve">ublic </w:t>
      </w:r>
      <w:r w:rsidR="008E0EAE" w:rsidRPr="00832C78">
        <w:rPr>
          <w:rFonts w:ascii="Calibri" w:hAnsi="Calibri"/>
        </w:rPr>
        <w:t>h</w:t>
      </w:r>
      <w:r w:rsidR="008B676A" w:rsidRPr="00832C78">
        <w:rPr>
          <w:rFonts w:ascii="Calibri" w:hAnsi="Calibri"/>
        </w:rPr>
        <w:t xml:space="preserve">ealth expertise </w:t>
      </w:r>
      <w:r w:rsidR="00AE38DA" w:rsidRPr="00832C78">
        <w:rPr>
          <w:rFonts w:ascii="Calibri" w:hAnsi="Calibri"/>
        </w:rPr>
        <w:t xml:space="preserve">around </w:t>
      </w:r>
      <w:r w:rsidR="008B676A" w:rsidRPr="00832C78">
        <w:rPr>
          <w:rFonts w:ascii="Calibri" w:hAnsi="Calibri"/>
        </w:rPr>
        <w:t>data sharing, linkage, analysis and interpretation</w:t>
      </w:r>
      <w:r w:rsidR="00404A15" w:rsidRPr="00832C78">
        <w:rPr>
          <w:rFonts w:ascii="Calibri" w:hAnsi="Calibri"/>
        </w:rPr>
        <w:t xml:space="preserve"> (</w:t>
      </w:r>
      <w:r w:rsidR="00404A15" w:rsidRPr="00832C78">
        <w:rPr>
          <w:rFonts w:ascii="Calibri" w:hAnsi="Calibri"/>
          <w:color w:val="00B050"/>
        </w:rPr>
        <w:t xml:space="preserve">Brunt </w:t>
      </w:r>
      <w:r w:rsidR="00404A15" w:rsidRPr="00832C78">
        <w:rPr>
          <w:rFonts w:ascii="Calibri" w:hAnsi="Calibri"/>
          <w:i/>
          <w:color w:val="00B050"/>
        </w:rPr>
        <w:t>et al</w:t>
      </w:r>
      <w:r w:rsidR="00404A15" w:rsidRPr="00832C78">
        <w:rPr>
          <w:rFonts w:ascii="Calibri" w:hAnsi="Calibri"/>
          <w:color w:val="00B050"/>
        </w:rPr>
        <w:t>., 2016</w:t>
      </w:r>
      <w:r w:rsidR="00DC4935" w:rsidRPr="00832C78">
        <w:rPr>
          <w:rFonts w:ascii="Calibri" w:hAnsi="Calibri"/>
          <w:color w:val="00B050"/>
        </w:rPr>
        <w:t>a</w:t>
      </w:r>
      <w:r w:rsidR="00404A15" w:rsidRPr="00832C78">
        <w:rPr>
          <w:rFonts w:ascii="Calibri" w:hAnsi="Calibri"/>
        </w:rPr>
        <w:t>)</w:t>
      </w:r>
      <w:r w:rsidR="008B676A" w:rsidRPr="00832C78">
        <w:rPr>
          <w:rFonts w:ascii="Calibri" w:hAnsi="Calibri"/>
        </w:rPr>
        <w:t>.</w:t>
      </w:r>
    </w:p>
    <w:p w:rsidR="00B00376" w:rsidRPr="00B00376" w:rsidRDefault="000D09CD" w:rsidP="00832C78">
      <w:pPr>
        <w:pStyle w:val="ListParagraph"/>
        <w:numPr>
          <w:ilvl w:val="0"/>
          <w:numId w:val="0"/>
        </w:numPr>
        <w:spacing w:before="0" w:after="120" w:line="276" w:lineRule="auto"/>
        <w:rPr>
          <w:rFonts w:ascii="Calibri" w:hAnsi="Calibri"/>
          <w:sz w:val="22"/>
          <w:szCs w:val="22"/>
        </w:rPr>
      </w:pPr>
      <w:r w:rsidRPr="00B00376">
        <w:rPr>
          <w:rFonts w:ascii="Calibri" w:hAnsi="Calibri"/>
          <w:sz w:val="22"/>
          <w:szCs w:val="22"/>
        </w:rPr>
        <w:t>T</w:t>
      </w:r>
      <w:r w:rsidR="00043390" w:rsidRPr="00B00376">
        <w:rPr>
          <w:rFonts w:ascii="Calibri" w:hAnsi="Calibri"/>
          <w:sz w:val="22"/>
          <w:szCs w:val="22"/>
        </w:rPr>
        <w:t>he regime</w:t>
      </w:r>
      <w:r w:rsidR="00AE38DA" w:rsidRPr="00B00376">
        <w:rPr>
          <w:rFonts w:ascii="Calibri" w:hAnsi="Calibri"/>
          <w:sz w:val="22"/>
          <w:szCs w:val="22"/>
        </w:rPr>
        <w:t xml:space="preserve"> also has a</w:t>
      </w:r>
      <w:r w:rsidR="00043390" w:rsidRPr="00B00376">
        <w:rPr>
          <w:rFonts w:ascii="Calibri" w:hAnsi="Calibri"/>
          <w:sz w:val="22"/>
          <w:szCs w:val="22"/>
        </w:rPr>
        <w:t xml:space="preserve"> history of </w:t>
      </w:r>
      <w:r w:rsidR="00365C1C" w:rsidRPr="00B00376">
        <w:rPr>
          <w:rFonts w:ascii="Calibri" w:hAnsi="Calibri"/>
          <w:sz w:val="22"/>
          <w:szCs w:val="22"/>
        </w:rPr>
        <w:t>poor</w:t>
      </w:r>
      <w:r w:rsidR="00255D5F" w:rsidRPr="00B00376">
        <w:rPr>
          <w:rFonts w:ascii="Calibri" w:hAnsi="Calibri"/>
          <w:sz w:val="22"/>
          <w:szCs w:val="22"/>
        </w:rPr>
        <w:t>, low-profile</w:t>
      </w:r>
      <w:r w:rsidR="00365C1C" w:rsidRPr="00B00376">
        <w:rPr>
          <w:rFonts w:ascii="Calibri" w:hAnsi="Calibri"/>
          <w:sz w:val="22"/>
          <w:szCs w:val="22"/>
        </w:rPr>
        <w:t xml:space="preserve"> </w:t>
      </w:r>
      <w:r w:rsidR="00AE38DA" w:rsidRPr="00B00376">
        <w:rPr>
          <w:rFonts w:ascii="Calibri" w:hAnsi="Calibri"/>
          <w:sz w:val="22"/>
          <w:szCs w:val="22"/>
        </w:rPr>
        <w:t xml:space="preserve">risk </w:t>
      </w:r>
      <w:r w:rsidR="00365C1C" w:rsidRPr="00B00376">
        <w:rPr>
          <w:rFonts w:ascii="Calibri" w:hAnsi="Calibri"/>
          <w:sz w:val="22"/>
          <w:szCs w:val="22"/>
        </w:rPr>
        <w:t>communications</w:t>
      </w:r>
      <w:r w:rsidR="004B3A25">
        <w:rPr>
          <w:rFonts w:ascii="Calibri" w:hAnsi="Calibri"/>
          <w:sz w:val="22"/>
          <w:szCs w:val="22"/>
        </w:rPr>
        <w:t xml:space="preserve"> which can</w:t>
      </w:r>
      <w:r w:rsidR="00AE38DA" w:rsidRPr="00B00376">
        <w:rPr>
          <w:rFonts w:ascii="Calibri" w:hAnsi="Calibri"/>
          <w:sz w:val="22"/>
          <w:szCs w:val="22"/>
        </w:rPr>
        <w:t xml:space="preserve"> be improved</w:t>
      </w:r>
      <w:r w:rsidR="00255D5F" w:rsidRPr="00B00376">
        <w:rPr>
          <w:rFonts w:ascii="Calibri" w:hAnsi="Calibri"/>
          <w:sz w:val="22"/>
          <w:szCs w:val="22"/>
        </w:rPr>
        <w:t xml:space="preserve"> if </w:t>
      </w:r>
      <w:r w:rsidR="006846DE" w:rsidRPr="00B00376">
        <w:rPr>
          <w:rFonts w:ascii="Calibri" w:hAnsi="Calibri"/>
          <w:sz w:val="22"/>
          <w:szCs w:val="22"/>
        </w:rPr>
        <w:t>better-</w:t>
      </w:r>
      <w:r w:rsidR="00365C1C" w:rsidRPr="00B00376">
        <w:rPr>
          <w:rFonts w:ascii="Calibri" w:hAnsi="Calibri"/>
          <w:sz w:val="22"/>
          <w:szCs w:val="22"/>
        </w:rPr>
        <w:t xml:space="preserve">informed and supported by </w:t>
      </w:r>
      <w:r w:rsidR="008E0EAE">
        <w:rPr>
          <w:rFonts w:ascii="Calibri" w:hAnsi="Calibri"/>
          <w:sz w:val="22"/>
          <w:szCs w:val="22"/>
        </w:rPr>
        <w:t>p</w:t>
      </w:r>
      <w:r w:rsidR="00365C1C" w:rsidRPr="00B00376">
        <w:rPr>
          <w:rFonts w:ascii="Calibri" w:hAnsi="Calibri"/>
          <w:sz w:val="22"/>
          <w:szCs w:val="22"/>
        </w:rPr>
        <w:t xml:space="preserve">ublic </w:t>
      </w:r>
      <w:r w:rsidR="008E0EAE">
        <w:rPr>
          <w:rFonts w:ascii="Calibri" w:hAnsi="Calibri"/>
          <w:sz w:val="22"/>
          <w:szCs w:val="22"/>
        </w:rPr>
        <w:t>h</w:t>
      </w:r>
      <w:r w:rsidR="00365C1C" w:rsidRPr="00B00376">
        <w:rPr>
          <w:rFonts w:ascii="Calibri" w:hAnsi="Calibri"/>
          <w:sz w:val="22"/>
          <w:szCs w:val="22"/>
        </w:rPr>
        <w:t xml:space="preserve">ealth </w:t>
      </w:r>
      <w:r w:rsidR="00AE38DA" w:rsidRPr="00B00376">
        <w:rPr>
          <w:rFonts w:ascii="Calibri" w:hAnsi="Calibri"/>
          <w:sz w:val="22"/>
          <w:szCs w:val="22"/>
        </w:rPr>
        <w:t xml:space="preserve">specialists </w:t>
      </w:r>
      <w:r w:rsidR="00D9650A" w:rsidRPr="00B00376">
        <w:rPr>
          <w:rFonts w:ascii="Calibri" w:hAnsi="Calibri"/>
          <w:sz w:val="22"/>
          <w:szCs w:val="22"/>
        </w:rPr>
        <w:t>(</w:t>
      </w:r>
      <w:r w:rsidR="00D9650A" w:rsidRPr="00B00376">
        <w:rPr>
          <w:rFonts w:ascii="Calibri" w:hAnsi="Calibri"/>
          <w:color w:val="00B050"/>
          <w:sz w:val="22"/>
          <w:szCs w:val="22"/>
        </w:rPr>
        <w:t xml:space="preserve">Barnes </w:t>
      </w:r>
      <w:r w:rsidR="00D9650A" w:rsidRPr="00B00376">
        <w:rPr>
          <w:rFonts w:ascii="Calibri" w:hAnsi="Calibri"/>
          <w:i/>
          <w:color w:val="00B050"/>
          <w:sz w:val="22"/>
          <w:szCs w:val="22"/>
        </w:rPr>
        <w:t>et al</w:t>
      </w:r>
      <w:r w:rsidR="00D9650A" w:rsidRPr="00B00376">
        <w:rPr>
          <w:rFonts w:ascii="Calibri" w:hAnsi="Calibri"/>
          <w:color w:val="00B050"/>
          <w:sz w:val="22"/>
          <w:szCs w:val="22"/>
        </w:rPr>
        <w:t>., 2014; Beat</w:t>
      </w:r>
      <w:r w:rsidR="00161899" w:rsidRPr="00B00376">
        <w:rPr>
          <w:rFonts w:ascii="Calibri" w:hAnsi="Calibri"/>
          <w:color w:val="00B050"/>
          <w:sz w:val="22"/>
          <w:szCs w:val="22"/>
        </w:rPr>
        <w:t>t</w:t>
      </w:r>
      <w:r w:rsidR="00D9650A" w:rsidRPr="00B00376">
        <w:rPr>
          <w:rFonts w:ascii="Calibri" w:hAnsi="Calibri"/>
          <w:color w:val="00B050"/>
          <w:sz w:val="22"/>
          <w:szCs w:val="22"/>
        </w:rPr>
        <w:t xml:space="preserve">ie </w:t>
      </w:r>
      <w:r w:rsidR="00D9650A" w:rsidRPr="00B00376">
        <w:rPr>
          <w:rFonts w:ascii="Calibri" w:hAnsi="Calibri"/>
          <w:i/>
          <w:color w:val="00B050"/>
          <w:sz w:val="22"/>
          <w:szCs w:val="22"/>
        </w:rPr>
        <w:t>et al</w:t>
      </w:r>
      <w:r w:rsidR="00D9650A" w:rsidRPr="00B00376">
        <w:rPr>
          <w:rFonts w:ascii="Calibri" w:hAnsi="Calibri"/>
          <w:color w:val="00B050"/>
          <w:sz w:val="22"/>
          <w:szCs w:val="22"/>
        </w:rPr>
        <w:t>., 2001</w:t>
      </w:r>
      <w:r w:rsidR="00043390" w:rsidRPr="00B00376">
        <w:rPr>
          <w:rFonts w:ascii="Calibri" w:hAnsi="Calibri"/>
          <w:sz w:val="22"/>
          <w:szCs w:val="22"/>
        </w:rPr>
        <w:t xml:space="preserve">). Also, </w:t>
      </w:r>
      <w:r w:rsidR="00853AFB" w:rsidRPr="00B00376">
        <w:rPr>
          <w:rFonts w:ascii="Calibri" w:hAnsi="Calibri"/>
          <w:sz w:val="22"/>
          <w:szCs w:val="22"/>
        </w:rPr>
        <w:t xml:space="preserve">there is </w:t>
      </w:r>
      <w:r w:rsidR="00043390" w:rsidRPr="00B00376">
        <w:rPr>
          <w:rFonts w:ascii="Calibri" w:hAnsi="Calibri"/>
          <w:sz w:val="22"/>
          <w:szCs w:val="22"/>
        </w:rPr>
        <w:t xml:space="preserve">the need to </w:t>
      </w:r>
      <w:r w:rsidR="00287A1C" w:rsidRPr="00B00376">
        <w:rPr>
          <w:rFonts w:ascii="Calibri" w:hAnsi="Calibri"/>
          <w:sz w:val="22"/>
          <w:szCs w:val="22"/>
        </w:rPr>
        <w:t xml:space="preserve">draw upon </w:t>
      </w:r>
      <w:r w:rsidR="008E0EAE">
        <w:rPr>
          <w:rFonts w:ascii="Calibri" w:hAnsi="Calibri"/>
          <w:sz w:val="22"/>
          <w:szCs w:val="22"/>
        </w:rPr>
        <w:t>p</w:t>
      </w:r>
      <w:r w:rsidR="00287A1C" w:rsidRPr="00B00376">
        <w:rPr>
          <w:rFonts w:ascii="Calibri" w:hAnsi="Calibri"/>
          <w:sz w:val="22"/>
          <w:szCs w:val="22"/>
        </w:rPr>
        <w:t xml:space="preserve">ublic </w:t>
      </w:r>
      <w:r w:rsidR="008E0EAE">
        <w:rPr>
          <w:rFonts w:ascii="Calibri" w:hAnsi="Calibri"/>
          <w:sz w:val="22"/>
          <w:szCs w:val="22"/>
        </w:rPr>
        <w:t>h</w:t>
      </w:r>
      <w:r w:rsidR="00287A1C" w:rsidRPr="00B00376">
        <w:rPr>
          <w:rFonts w:ascii="Calibri" w:hAnsi="Calibri"/>
          <w:sz w:val="22"/>
          <w:szCs w:val="22"/>
        </w:rPr>
        <w:t xml:space="preserve">ealth expertise around evidence appraisal, research and evaluation to </w:t>
      </w:r>
      <w:r w:rsidR="00043390" w:rsidRPr="00B00376">
        <w:rPr>
          <w:rFonts w:ascii="Calibri" w:hAnsi="Calibri"/>
          <w:sz w:val="22"/>
          <w:szCs w:val="22"/>
        </w:rPr>
        <w:t xml:space="preserve">improve LAQM </w:t>
      </w:r>
      <w:r w:rsidR="00853AFB" w:rsidRPr="00B00376">
        <w:rPr>
          <w:rFonts w:ascii="Calibri" w:hAnsi="Calibri"/>
          <w:sz w:val="22"/>
          <w:szCs w:val="22"/>
        </w:rPr>
        <w:t xml:space="preserve">impact </w:t>
      </w:r>
      <w:r w:rsidR="00043390" w:rsidRPr="00B00376">
        <w:rPr>
          <w:rFonts w:ascii="Calibri" w:hAnsi="Calibri"/>
          <w:sz w:val="22"/>
          <w:szCs w:val="22"/>
        </w:rPr>
        <w:t xml:space="preserve">by </w:t>
      </w:r>
      <w:r w:rsidR="00AE38DA" w:rsidRPr="00B00376">
        <w:rPr>
          <w:rFonts w:ascii="Calibri" w:hAnsi="Calibri"/>
          <w:sz w:val="22"/>
          <w:szCs w:val="22"/>
        </w:rPr>
        <w:t>communicating information about</w:t>
      </w:r>
      <w:r w:rsidR="00043390" w:rsidRPr="00B00376">
        <w:rPr>
          <w:rFonts w:ascii="Calibri" w:hAnsi="Calibri"/>
          <w:sz w:val="22"/>
          <w:szCs w:val="22"/>
        </w:rPr>
        <w:t xml:space="preserve"> what actions</w:t>
      </w:r>
      <w:r w:rsidR="00853AFB" w:rsidRPr="00B00376">
        <w:rPr>
          <w:rFonts w:ascii="Calibri" w:hAnsi="Calibri"/>
          <w:sz w:val="22"/>
          <w:szCs w:val="22"/>
        </w:rPr>
        <w:t xml:space="preserve">, </w:t>
      </w:r>
      <w:r w:rsidR="00043390" w:rsidRPr="00B00376">
        <w:rPr>
          <w:rFonts w:ascii="Calibri" w:hAnsi="Calibri"/>
          <w:sz w:val="22"/>
          <w:szCs w:val="22"/>
        </w:rPr>
        <w:t xml:space="preserve">in what combination(s), </w:t>
      </w:r>
      <w:r w:rsidR="00AE38DA" w:rsidRPr="00B00376">
        <w:rPr>
          <w:rFonts w:ascii="Calibri" w:hAnsi="Calibri"/>
          <w:sz w:val="22"/>
          <w:szCs w:val="22"/>
        </w:rPr>
        <w:t>are most effective</w:t>
      </w:r>
      <w:r w:rsidR="00043390" w:rsidRPr="00B00376">
        <w:rPr>
          <w:rFonts w:ascii="Calibri" w:hAnsi="Calibri"/>
          <w:sz w:val="22"/>
          <w:szCs w:val="22"/>
        </w:rPr>
        <w:t xml:space="preserve"> (</w:t>
      </w:r>
      <w:r w:rsidR="00043390" w:rsidRPr="00B00376">
        <w:rPr>
          <w:rFonts w:ascii="Calibri" w:hAnsi="Calibri"/>
          <w:color w:val="00B050"/>
          <w:sz w:val="22"/>
          <w:szCs w:val="22"/>
        </w:rPr>
        <w:t>Policy Exchange, 2013</w:t>
      </w:r>
      <w:r w:rsidR="00043390" w:rsidRPr="00B00376">
        <w:rPr>
          <w:rFonts w:ascii="Calibri" w:hAnsi="Calibri"/>
          <w:sz w:val="22"/>
          <w:szCs w:val="22"/>
        </w:rPr>
        <w:t>)</w:t>
      </w:r>
      <w:r w:rsidR="00287A1C" w:rsidRPr="00B00376">
        <w:rPr>
          <w:rFonts w:ascii="Calibri" w:hAnsi="Calibri"/>
          <w:sz w:val="22"/>
          <w:szCs w:val="22"/>
        </w:rPr>
        <w:t>.</w:t>
      </w:r>
      <w:r w:rsidR="00E9399F" w:rsidRPr="00B00376">
        <w:rPr>
          <w:rFonts w:ascii="Calibri" w:hAnsi="Calibri"/>
          <w:sz w:val="22"/>
          <w:szCs w:val="22"/>
        </w:rPr>
        <w:t xml:space="preserve"> </w:t>
      </w:r>
    </w:p>
    <w:p w:rsidR="00E40D6F" w:rsidRPr="00B00376" w:rsidRDefault="00E40D6F" w:rsidP="00B00376">
      <w:pPr>
        <w:spacing w:after="120"/>
        <w:rPr>
          <w:rFonts w:ascii="Calibri" w:hAnsi="Calibri"/>
        </w:rPr>
      </w:pPr>
      <w:r w:rsidRPr="00B00376">
        <w:rPr>
          <w:rFonts w:ascii="Calibri" w:hAnsi="Calibri"/>
        </w:rPr>
        <w:t xml:space="preserve">As for the Delphi technique, </w:t>
      </w:r>
      <w:r w:rsidR="00287A1C" w:rsidRPr="00B00376">
        <w:rPr>
          <w:rFonts w:ascii="Calibri" w:hAnsi="Calibri"/>
        </w:rPr>
        <w:t xml:space="preserve">this has evolved </w:t>
      </w:r>
      <w:r w:rsidR="00287A1C" w:rsidRPr="00B00376">
        <w:rPr>
          <w:lang w:eastAsia="en-GB"/>
        </w:rPr>
        <w:t>into</w:t>
      </w:r>
      <w:r w:rsidRPr="00B00376">
        <w:rPr>
          <w:lang w:eastAsia="en-GB"/>
        </w:rPr>
        <w:t xml:space="preserve"> a valid, reliable and widely-accepted </w:t>
      </w:r>
      <w:r w:rsidR="00CC780F" w:rsidRPr="00B00376">
        <w:rPr>
          <w:lang w:eastAsia="en-GB"/>
        </w:rPr>
        <w:t>research method. As was the case here, the approach is best suited for use in circumstances where scientific knowledge of an issue is scarce, (</w:t>
      </w:r>
      <w:proofErr w:type="spellStart"/>
      <w:r w:rsidR="00CC780F" w:rsidRPr="00B00376">
        <w:rPr>
          <w:color w:val="00B050"/>
          <w:lang w:eastAsia="en-GB"/>
        </w:rPr>
        <w:t>Crutzen</w:t>
      </w:r>
      <w:proofErr w:type="spellEnd"/>
      <w:r w:rsidR="00CC780F" w:rsidRPr="00B00376">
        <w:rPr>
          <w:color w:val="00B050"/>
          <w:lang w:eastAsia="en-GB"/>
        </w:rPr>
        <w:t xml:space="preserve"> </w:t>
      </w:r>
      <w:r w:rsidR="00CC780F" w:rsidRPr="00B00376">
        <w:rPr>
          <w:i/>
          <w:color w:val="00B050"/>
          <w:lang w:eastAsia="en-GB"/>
        </w:rPr>
        <w:t>et al</w:t>
      </w:r>
      <w:r w:rsidR="00CC780F" w:rsidRPr="00B00376">
        <w:rPr>
          <w:color w:val="00B050"/>
          <w:lang w:eastAsia="en-GB"/>
        </w:rPr>
        <w:t>., 2008</w:t>
      </w:r>
      <w:r w:rsidR="00CC780F" w:rsidRPr="00B00376">
        <w:rPr>
          <w:lang w:eastAsia="en-GB"/>
        </w:rPr>
        <w:t xml:space="preserve">), </w:t>
      </w:r>
      <w:r w:rsidR="00CC780F" w:rsidRPr="00B00376">
        <w:t xml:space="preserve">where research problems cannot be precisely analysed but benefit from subjective opinion, and </w:t>
      </w:r>
      <w:r w:rsidR="00CC780F" w:rsidRPr="00B00376">
        <w:rPr>
          <w:lang w:eastAsia="en-GB"/>
        </w:rPr>
        <w:t xml:space="preserve">where </w:t>
      </w:r>
      <w:r w:rsidR="00CC780F" w:rsidRPr="00B00376">
        <w:t>study populations are not easily reached as they are geographically and professionally diverse</w:t>
      </w:r>
      <w:r w:rsidR="00CC780F" w:rsidRPr="00B00376">
        <w:rPr>
          <w:lang w:eastAsia="en-GB"/>
        </w:rPr>
        <w:t xml:space="preserve"> (</w:t>
      </w:r>
      <w:r w:rsidR="00CC780F" w:rsidRPr="00B00376">
        <w:rPr>
          <w:color w:val="00B050"/>
          <w:lang w:eastAsia="en-GB"/>
        </w:rPr>
        <w:t xml:space="preserve">Green </w:t>
      </w:r>
      <w:r w:rsidR="00CC780F" w:rsidRPr="00D864AF">
        <w:rPr>
          <w:i/>
          <w:color w:val="00B050"/>
          <w:lang w:eastAsia="en-GB"/>
        </w:rPr>
        <w:t>et al.</w:t>
      </w:r>
      <w:r w:rsidR="00CC780F" w:rsidRPr="00B00376">
        <w:rPr>
          <w:color w:val="00B050"/>
          <w:lang w:eastAsia="en-GB"/>
        </w:rPr>
        <w:t>, 1999</w:t>
      </w:r>
      <w:r w:rsidR="00CC780F" w:rsidRPr="00B00376">
        <w:rPr>
          <w:lang w:eastAsia="en-GB"/>
        </w:rPr>
        <w:t xml:space="preserve">). Delphi has been used with success in other areas of </w:t>
      </w:r>
      <w:r w:rsidRPr="00B00376">
        <w:rPr>
          <w:lang w:eastAsia="en-GB"/>
        </w:rPr>
        <w:t xml:space="preserve">environmental and public health research (e.g. </w:t>
      </w:r>
      <w:r w:rsidR="003F109C" w:rsidRPr="00B00376">
        <w:rPr>
          <w:color w:val="00B050"/>
          <w:lang w:eastAsia="en-GB"/>
        </w:rPr>
        <w:t xml:space="preserve">Moynihan </w:t>
      </w:r>
      <w:r w:rsidR="003F109C" w:rsidRPr="00B00376">
        <w:rPr>
          <w:i/>
          <w:color w:val="00B050"/>
          <w:lang w:eastAsia="en-GB"/>
        </w:rPr>
        <w:t>et al</w:t>
      </w:r>
      <w:r w:rsidR="003F109C" w:rsidRPr="00B00376">
        <w:rPr>
          <w:color w:val="00B050"/>
          <w:lang w:eastAsia="en-GB"/>
        </w:rPr>
        <w:t xml:space="preserve">., 2015; Bailey </w:t>
      </w:r>
      <w:r w:rsidR="003F109C" w:rsidRPr="00B00376">
        <w:rPr>
          <w:i/>
          <w:color w:val="00B050"/>
          <w:lang w:eastAsia="en-GB"/>
        </w:rPr>
        <w:t>et al</w:t>
      </w:r>
      <w:r w:rsidR="003F109C" w:rsidRPr="00B00376">
        <w:rPr>
          <w:color w:val="00B050"/>
          <w:lang w:eastAsia="en-GB"/>
        </w:rPr>
        <w:t xml:space="preserve">., 2012; </w:t>
      </w:r>
      <w:proofErr w:type="spellStart"/>
      <w:r w:rsidRPr="00B00376">
        <w:rPr>
          <w:color w:val="00B050"/>
          <w:lang w:eastAsia="en-GB"/>
        </w:rPr>
        <w:t>Aarts</w:t>
      </w:r>
      <w:proofErr w:type="spellEnd"/>
      <w:r w:rsidRPr="00B00376">
        <w:rPr>
          <w:color w:val="00B050"/>
          <w:lang w:eastAsia="en-GB"/>
        </w:rPr>
        <w:t xml:space="preserve"> </w:t>
      </w:r>
      <w:r w:rsidRPr="00B00376">
        <w:rPr>
          <w:i/>
          <w:color w:val="00B050"/>
          <w:lang w:eastAsia="en-GB"/>
        </w:rPr>
        <w:t>et al</w:t>
      </w:r>
      <w:r w:rsidRPr="00B00376">
        <w:rPr>
          <w:color w:val="00B050"/>
          <w:lang w:eastAsia="en-GB"/>
        </w:rPr>
        <w:t xml:space="preserve">., 2011; </w:t>
      </w:r>
      <w:proofErr w:type="spellStart"/>
      <w:r w:rsidRPr="00B00376">
        <w:rPr>
          <w:color w:val="00B050"/>
          <w:lang w:eastAsia="en-GB"/>
        </w:rPr>
        <w:t>Ratnapradipa</w:t>
      </w:r>
      <w:proofErr w:type="spellEnd"/>
      <w:r w:rsidRPr="00B00376">
        <w:rPr>
          <w:color w:val="00B050"/>
          <w:lang w:eastAsia="en-GB"/>
        </w:rPr>
        <w:t xml:space="preserve"> </w:t>
      </w:r>
      <w:r w:rsidRPr="00B00376">
        <w:rPr>
          <w:i/>
          <w:color w:val="00B050"/>
          <w:lang w:eastAsia="en-GB"/>
        </w:rPr>
        <w:t>et al</w:t>
      </w:r>
      <w:r w:rsidRPr="00B00376">
        <w:rPr>
          <w:color w:val="00B050"/>
          <w:lang w:eastAsia="en-GB"/>
        </w:rPr>
        <w:t xml:space="preserve">., 2011; </w:t>
      </w:r>
      <w:proofErr w:type="spellStart"/>
      <w:r w:rsidRPr="00B00376">
        <w:rPr>
          <w:color w:val="00B050"/>
          <w:lang w:eastAsia="en-GB"/>
        </w:rPr>
        <w:t>Waterlander</w:t>
      </w:r>
      <w:proofErr w:type="spellEnd"/>
      <w:r w:rsidRPr="00B00376">
        <w:rPr>
          <w:color w:val="00B050"/>
          <w:lang w:eastAsia="en-GB"/>
        </w:rPr>
        <w:t xml:space="preserve"> </w:t>
      </w:r>
      <w:r w:rsidRPr="00B00376">
        <w:rPr>
          <w:i/>
          <w:color w:val="00B050"/>
          <w:lang w:eastAsia="en-GB"/>
        </w:rPr>
        <w:t>et al</w:t>
      </w:r>
      <w:r w:rsidRPr="00B00376">
        <w:rPr>
          <w:color w:val="00B050"/>
          <w:lang w:eastAsia="en-GB"/>
        </w:rPr>
        <w:t>., 2009</w:t>
      </w:r>
      <w:r w:rsidRPr="00B00376">
        <w:rPr>
          <w:lang w:eastAsia="en-GB"/>
        </w:rPr>
        <w:t xml:space="preserve">) </w:t>
      </w:r>
      <w:r w:rsidR="00CC780F" w:rsidRPr="00B00376">
        <w:rPr>
          <w:lang w:eastAsia="en-GB"/>
        </w:rPr>
        <w:t>as well as</w:t>
      </w:r>
      <w:r w:rsidRPr="00B00376">
        <w:rPr>
          <w:lang w:eastAsia="en-GB"/>
        </w:rPr>
        <w:t xml:space="preserve"> </w:t>
      </w:r>
      <w:r w:rsidR="00CC780F" w:rsidRPr="00B00376">
        <w:rPr>
          <w:lang w:eastAsia="en-GB"/>
        </w:rPr>
        <w:t xml:space="preserve">policy evaluation and </w:t>
      </w:r>
      <w:r w:rsidRPr="00B00376">
        <w:rPr>
          <w:lang w:eastAsia="en-GB"/>
        </w:rPr>
        <w:t>development (</w:t>
      </w:r>
      <w:r w:rsidRPr="003F109C">
        <w:rPr>
          <w:lang w:eastAsia="en-GB"/>
        </w:rPr>
        <w:t xml:space="preserve">e.g. </w:t>
      </w:r>
      <w:proofErr w:type="spellStart"/>
      <w:r w:rsidR="003F109C" w:rsidRPr="00B00376">
        <w:rPr>
          <w:color w:val="00B050"/>
          <w:lang w:eastAsia="en-GB"/>
        </w:rPr>
        <w:t>Hsueh</w:t>
      </w:r>
      <w:proofErr w:type="spellEnd"/>
      <w:r w:rsidR="003F109C" w:rsidRPr="00B00376">
        <w:rPr>
          <w:color w:val="00B050"/>
          <w:lang w:eastAsia="en-GB"/>
        </w:rPr>
        <w:t>, 20</w:t>
      </w:r>
      <w:r w:rsidR="003F109C" w:rsidRPr="003F109C">
        <w:rPr>
          <w:color w:val="00B050"/>
          <w:lang w:eastAsia="en-GB"/>
        </w:rPr>
        <w:t xml:space="preserve">15; Sherriff, 2014; </w:t>
      </w:r>
      <w:proofErr w:type="spellStart"/>
      <w:r w:rsidR="00BD6BCA" w:rsidRPr="003F109C">
        <w:rPr>
          <w:color w:val="00B050"/>
          <w:lang w:eastAsia="en-GB"/>
        </w:rPr>
        <w:t>Frewer</w:t>
      </w:r>
      <w:proofErr w:type="spellEnd"/>
      <w:r w:rsidR="00BD6BCA" w:rsidRPr="003F109C">
        <w:rPr>
          <w:color w:val="00B050"/>
          <w:lang w:eastAsia="en-GB"/>
        </w:rPr>
        <w:t xml:space="preserve"> </w:t>
      </w:r>
      <w:r w:rsidR="00BD6BCA" w:rsidRPr="003F109C">
        <w:rPr>
          <w:i/>
          <w:color w:val="00B050"/>
          <w:lang w:eastAsia="en-GB"/>
        </w:rPr>
        <w:t>et al</w:t>
      </w:r>
      <w:r w:rsidR="00BD6BCA" w:rsidRPr="003F109C">
        <w:rPr>
          <w:color w:val="00B050"/>
          <w:lang w:eastAsia="en-GB"/>
        </w:rPr>
        <w:t>., 2011</w:t>
      </w:r>
      <w:r w:rsidRPr="00B00376">
        <w:rPr>
          <w:lang w:eastAsia="en-GB"/>
        </w:rPr>
        <w:t xml:space="preserve">). </w:t>
      </w:r>
    </w:p>
    <w:p w:rsidR="00BC4A20" w:rsidRPr="00BC4A20" w:rsidRDefault="00BC4A20" w:rsidP="003E78DD">
      <w:pPr>
        <w:spacing w:after="120"/>
        <w:rPr>
          <w:rFonts w:ascii="Calibri" w:hAnsi="Calibri"/>
          <w:i/>
        </w:rPr>
      </w:pPr>
      <w:r>
        <w:rPr>
          <w:rFonts w:ascii="Calibri" w:hAnsi="Calibri"/>
          <w:i/>
        </w:rPr>
        <w:t>Evolving the evidence-base</w:t>
      </w:r>
    </w:p>
    <w:p w:rsidR="006D0550" w:rsidRDefault="00B00376" w:rsidP="003E78DD">
      <w:pPr>
        <w:spacing w:after="120"/>
        <w:rPr>
          <w:rFonts w:ascii="Calibri" w:hAnsi="Calibri"/>
        </w:rPr>
      </w:pPr>
      <w:r>
        <w:rPr>
          <w:rFonts w:ascii="Calibri" w:hAnsi="Calibri"/>
        </w:rPr>
        <w:t xml:space="preserve">This study </w:t>
      </w:r>
      <w:r w:rsidR="00EC028C">
        <w:rPr>
          <w:rFonts w:ascii="Calibri" w:hAnsi="Calibri"/>
        </w:rPr>
        <w:t xml:space="preserve">makes </w:t>
      </w:r>
      <w:r>
        <w:rPr>
          <w:rFonts w:ascii="Calibri" w:hAnsi="Calibri"/>
        </w:rPr>
        <w:t>a substantial contribution to the evidence-base</w:t>
      </w:r>
      <w:r w:rsidR="00EC028C">
        <w:rPr>
          <w:rFonts w:ascii="Calibri" w:hAnsi="Calibri"/>
        </w:rPr>
        <w:t xml:space="preserve"> in this research field</w:t>
      </w:r>
      <w:r w:rsidR="005B278B">
        <w:rPr>
          <w:rFonts w:ascii="Calibri" w:hAnsi="Calibri"/>
        </w:rPr>
        <w:t>.</w:t>
      </w:r>
      <w:r w:rsidR="00D864AF">
        <w:rPr>
          <w:rFonts w:ascii="Calibri" w:hAnsi="Calibri"/>
        </w:rPr>
        <w:t xml:space="preserve"> There have been previous calls</w:t>
      </w:r>
      <w:r w:rsidR="005B278B">
        <w:rPr>
          <w:rFonts w:ascii="Calibri" w:hAnsi="Calibri"/>
        </w:rPr>
        <w:t xml:space="preserve"> </w:t>
      </w:r>
      <w:r w:rsidR="00D864AF">
        <w:rPr>
          <w:rFonts w:ascii="Calibri" w:hAnsi="Calibri"/>
        </w:rPr>
        <w:t>for the reorientation of LAQM such that public health is a core driving principle rather than merely a hopeful outcome</w:t>
      </w:r>
      <w:r w:rsidR="00D864AF">
        <w:rPr>
          <w:rFonts w:ascii="Calibri" w:hAnsi="Calibri"/>
          <w:color w:val="00B050"/>
        </w:rPr>
        <w:t xml:space="preserve"> </w:t>
      </w:r>
      <w:r w:rsidR="00D864AF" w:rsidRPr="00D864AF">
        <w:rPr>
          <w:rFonts w:ascii="Calibri" w:hAnsi="Calibri"/>
        </w:rPr>
        <w:t>(</w:t>
      </w:r>
      <w:r w:rsidR="00DC4935">
        <w:rPr>
          <w:rFonts w:ascii="Calibri" w:hAnsi="Calibri"/>
          <w:color w:val="00B050"/>
        </w:rPr>
        <w:t>Brunt</w:t>
      </w:r>
      <w:r w:rsidR="00FD650C" w:rsidRPr="005F21AC">
        <w:rPr>
          <w:rFonts w:ascii="Calibri" w:hAnsi="Calibri"/>
          <w:color w:val="00B050"/>
        </w:rPr>
        <w:t xml:space="preserve"> </w:t>
      </w:r>
      <w:r w:rsidR="00FD650C" w:rsidRPr="005F21AC">
        <w:rPr>
          <w:rFonts w:ascii="Calibri" w:hAnsi="Calibri"/>
          <w:i/>
          <w:color w:val="00B050"/>
        </w:rPr>
        <w:t>et al.</w:t>
      </w:r>
      <w:r w:rsidR="00D864AF">
        <w:rPr>
          <w:rFonts w:ascii="Calibri" w:hAnsi="Calibri"/>
        </w:rPr>
        <w:t xml:space="preserve">, </w:t>
      </w:r>
      <w:r w:rsidR="00FD650C" w:rsidRPr="00FD650C">
        <w:rPr>
          <w:rFonts w:ascii="Calibri" w:hAnsi="Calibri"/>
          <w:color w:val="00B050"/>
        </w:rPr>
        <w:t>2016</w:t>
      </w:r>
      <w:r w:rsidR="00DC4935">
        <w:rPr>
          <w:rFonts w:ascii="Calibri" w:hAnsi="Calibri"/>
          <w:color w:val="00B050"/>
        </w:rPr>
        <w:t>a</w:t>
      </w:r>
      <w:r w:rsidR="00FD650C">
        <w:rPr>
          <w:rFonts w:ascii="Calibri" w:hAnsi="Calibri"/>
        </w:rPr>
        <w:t>)</w:t>
      </w:r>
      <w:r w:rsidR="00906C86">
        <w:rPr>
          <w:rFonts w:ascii="Calibri" w:hAnsi="Calibri"/>
        </w:rPr>
        <w:t>.</w:t>
      </w:r>
      <w:r w:rsidR="00CC523C">
        <w:rPr>
          <w:rFonts w:ascii="Calibri" w:hAnsi="Calibri"/>
        </w:rPr>
        <w:t xml:space="preserve"> </w:t>
      </w:r>
      <w:r w:rsidR="00E119FF">
        <w:rPr>
          <w:rFonts w:ascii="Calibri" w:hAnsi="Calibri"/>
        </w:rPr>
        <w:t>In response</w:t>
      </w:r>
      <w:r w:rsidR="004E3145">
        <w:rPr>
          <w:rFonts w:ascii="Calibri" w:hAnsi="Calibri"/>
        </w:rPr>
        <w:t>,</w:t>
      </w:r>
      <w:r w:rsidR="00E119FF">
        <w:rPr>
          <w:rFonts w:ascii="Calibri" w:hAnsi="Calibri"/>
        </w:rPr>
        <w:t xml:space="preserve"> this study</w:t>
      </w:r>
      <w:r w:rsidR="006D0550">
        <w:rPr>
          <w:rFonts w:ascii="Calibri" w:hAnsi="Calibri"/>
        </w:rPr>
        <w:t xml:space="preserve"> </w:t>
      </w:r>
      <w:r w:rsidR="005B278B">
        <w:rPr>
          <w:rFonts w:ascii="Calibri" w:hAnsi="Calibri"/>
        </w:rPr>
        <w:t>has generated</w:t>
      </w:r>
      <w:r w:rsidR="00E16B7F">
        <w:rPr>
          <w:rFonts w:ascii="Calibri" w:hAnsi="Calibri"/>
        </w:rPr>
        <w:t xml:space="preserve"> much-needed, previously </w:t>
      </w:r>
      <w:r w:rsidR="00E119FF">
        <w:rPr>
          <w:rFonts w:ascii="Calibri" w:hAnsi="Calibri"/>
        </w:rPr>
        <w:t>unavailable</w:t>
      </w:r>
      <w:r w:rsidR="00E16B7F">
        <w:rPr>
          <w:rFonts w:ascii="Calibri" w:hAnsi="Calibri"/>
        </w:rPr>
        <w:t xml:space="preserve">, </w:t>
      </w:r>
      <w:r w:rsidR="00A73DBA">
        <w:rPr>
          <w:rFonts w:ascii="Calibri" w:hAnsi="Calibri"/>
        </w:rPr>
        <w:t xml:space="preserve">evidence </w:t>
      </w:r>
      <w:r w:rsidR="00E16B7F">
        <w:rPr>
          <w:rFonts w:ascii="Calibri" w:hAnsi="Calibri"/>
        </w:rPr>
        <w:t>to</w:t>
      </w:r>
      <w:r w:rsidR="00E119FF">
        <w:rPr>
          <w:rFonts w:ascii="Calibri" w:hAnsi="Calibri"/>
        </w:rPr>
        <w:t xml:space="preserve"> inform </w:t>
      </w:r>
      <w:r w:rsidR="00A73DBA">
        <w:rPr>
          <w:rFonts w:ascii="Calibri" w:hAnsi="Calibri"/>
        </w:rPr>
        <w:t xml:space="preserve">and support </w:t>
      </w:r>
      <w:r w:rsidR="00E16B7F">
        <w:rPr>
          <w:rFonts w:ascii="Calibri" w:hAnsi="Calibri"/>
        </w:rPr>
        <w:t xml:space="preserve">future </w:t>
      </w:r>
      <w:r w:rsidR="00E4230B">
        <w:rPr>
          <w:rFonts w:ascii="Calibri" w:hAnsi="Calibri"/>
        </w:rPr>
        <w:t xml:space="preserve">LAQM </w:t>
      </w:r>
      <w:r w:rsidR="00E119FF">
        <w:rPr>
          <w:rFonts w:ascii="Calibri" w:hAnsi="Calibri"/>
        </w:rPr>
        <w:t xml:space="preserve">enhancements </w:t>
      </w:r>
      <w:r w:rsidR="00A73DBA">
        <w:rPr>
          <w:rFonts w:ascii="Calibri" w:hAnsi="Calibri"/>
        </w:rPr>
        <w:t>that</w:t>
      </w:r>
      <w:r w:rsidR="00906C86" w:rsidRPr="002930D5">
        <w:rPr>
          <w:rFonts w:ascii="Calibri" w:hAnsi="Calibri"/>
        </w:rPr>
        <w:t xml:space="preserve"> </w:t>
      </w:r>
      <w:r w:rsidR="005B2C93">
        <w:rPr>
          <w:rFonts w:ascii="Calibri" w:hAnsi="Calibri"/>
        </w:rPr>
        <w:t xml:space="preserve">could </w:t>
      </w:r>
      <w:r w:rsidR="00906C86" w:rsidRPr="002930D5">
        <w:rPr>
          <w:rFonts w:ascii="Calibri" w:hAnsi="Calibri"/>
        </w:rPr>
        <w:t>maximise public health integration, collaboration and impact.</w:t>
      </w:r>
      <w:r w:rsidR="00FD650C">
        <w:rPr>
          <w:rFonts w:ascii="Calibri" w:hAnsi="Calibri"/>
        </w:rPr>
        <w:t xml:space="preserve"> </w:t>
      </w:r>
    </w:p>
    <w:p w:rsidR="00212A5C" w:rsidRDefault="00A73DBA" w:rsidP="004E6379">
      <w:pPr>
        <w:spacing w:after="120"/>
        <w:rPr>
          <w:rFonts w:ascii="Calibri" w:hAnsi="Calibri"/>
        </w:rPr>
      </w:pPr>
      <w:r>
        <w:rPr>
          <w:rFonts w:ascii="Calibri" w:hAnsi="Calibri"/>
        </w:rPr>
        <w:lastRenderedPageBreak/>
        <w:t xml:space="preserve">The </w:t>
      </w:r>
      <w:r w:rsidR="00BE6573">
        <w:rPr>
          <w:rFonts w:ascii="Calibri" w:hAnsi="Calibri"/>
        </w:rPr>
        <w:t>Delphi</w:t>
      </w:r>
      <w:r>
        <w:rPr>
          <w:rFonts w:ascii="Calibri" w:hAnsi="Calibri"/>
        </w:rPr>
        <w:t xml:space="preserve"> method confirmed and clarified </w:t>
      </w:r>
      <w:r w:rsidR="00E16B7F">
        <w:rPr>
          <w:rFonts w:ascii="Calibri" w:hAnsi="Calibri"/>
        </w:rPr>
        <w:t xml:space="preserve">the </w:t>
      </w:r>
      <w:r w:rsidR="00E119FF">
        <w:rPr>
          <w:rFonts w:ascii="Calibri" w:hAnsi="Calibri"/>
        </w:rPr>
        <w:t xml:space="preserve">significant contribution that </w:t>
      </w:r>
      <w:r w:rsidR="008E0EAE">
        <w:rPr>
          <w:rFonts w:ascii="Calibri" w:hAnsi="Calibri"/>
        </w:rPr>
        <w:t>p</w:t>
      </w:r>
      <w:r w:rsidR="00E119FF">
        <w:rPr>
          <w:rFonts w:ascii="Calibri" w:hAnsi="Calibri"/>
        </w:rPr>
        <w:t xml:space="preserve">ublic </w:t>
      </w:r>
      <w:r w:rsidR="008E0EAE">
        <w:rPr>
          <w:rFonts w:ascii="Calibri" w:hAnsi="Calibri"/>
        </w:rPr>
        <w:t>h</w:t>
      </w:r>
      <w:r w:rsidR="00E119FF">
        <w:rPr>
          <w:rFonts w:ascii="Calibri" w:hAnsi="Calibri"/>
        </w:rPr>
        <w:t>ealth bodies and specialists could and should make to LAQM.</w:t>
      </w:r>
      <w:r w:rsidR="002930D5" w:rsidRPr="002930D5">
        <w:rPr>
          <w:rFonts w:ascii="Calibri" w:hAnsi="Calibri"/>
        </w:rPr>
        <w:t xml:space="preserve"> This </w:t>
      </w:r>
      <w:r w:rsidR="00467AB6">
        <w:rPr>
          <w:rFonts w:ascii="Calibri" w:hAnsi="Calibri"/>
        </w:rPr>
        <w:t xml:space="preserve">essential guidance </w:t>
      </w:r>
      <w:r w:rsidR="002930D5" w:rsidRPr="002930D5">
        <w:rPr>
          <w:rFonts w:ascii="Calibri" w:hAnsi="Calibri"/>
        </w:rPr>
        <w:t xml:space="preserve">has been </w:t>
      </w:r>
      <w:r>
        <w:rPr>
          <w:rFonts w:ascii="Calibri" w:hAnsi="Calibri"/>
        </w:rPr>
        <w:t>lacking</w:t>
      </w:r>
      <w:r w:rsidR="00467AB6">
        <w:rPr>
          <w:rFonts w:ascii="Calibri" w:hAnsi="Calibri"/>
        </w:rPr>
        <w:t xml:space="preserve"> since</w:t>
      </w:r>
      <w:r w:rsidR="00A83AF5">
        <w:rPr>
          <w:rFonts w:ascii="Calibri" w:hAnsi="Calibri"/>
        </w:rPr>
        <w:t xml:space="preserve"> the </w:t>
      </w:r>
      <w:r w:rsidR="00467AB6">
        <w:rPr>
          <w:rFonts w:ascii="Calibri" w:hAnsi="Calibri"/>
        </w:rPr>
        <w:t xml:space="preserve">regime’s </w:t>
      </w:r>
      <w:r w:rsidR="00212A5C">
        <w:rPr>
          <w:rFonts w:ascii="Calibri" w:hAnsi="Calibri"/>
        </w:rPr>
        <w:t>inception</w:t>
      </w:r>
      <w:r w:rsidR="004E3145">
        <w:rPr>
          <w:rFonts w:ascii="Calibri" w:hAnsi="Calibri"/>
        </w:rPr>
        <w:t xml:space="preserve"> </w:t>
      </w:r>
      <w:r w:rsidR="00EC028C">
        <w:rPr>
          <w:rFonts w:ascii="Calibri" w:hAnsi="Calibri"/>
        </w:rPr>
        <w:t>–</w:t>
      </w:r>
      <w:r w:rsidR="004E3145">
        <w:rPr>
          <w:rFonts w:ascii="Calibri" w:hAnsi="Calibri"/>
        </w:rPr>
        <w:t xml:space="preserve"> its</w:t>
      </w:r>
      <w:r w:rsidR="00EC028C">
        <w:rPr>
          <w:rFonts w:ascii="Calibri" w:hAnsi="Calibri"/>
        </w:rPr>
        <w:t xml:space="preserve"> </w:t>
      </w:r>
      <w:r w:rsidR="004E3145">
        <w:rPr>
          <w:rFonts w:ascii="Calibri" w:hAnsi="Calibri"/>
        </w:rPr>
        <w:t xml:space="preserve">absence </w:t>
      </w:r>
      <w:r w:rsidR="006846DE">
        <w:rPr>
          <w:rFonts w:ascii="Calibri" w:hAnsi="Calibri"/>
        </w:rPr>
        <w:t xml:space="preserve">is </w:t>
      </w:r>
      <w:r>
        <w:rPr>
          <w:rFonts w:ascii="Calibri" w:hAnsi="Calibri"/>
        </w:rPr>
        <w:t xml:space="preserve">largely responsible for the </w:t>
      </w:r>
      <w:r w:rsidR="00212A5C">
        <w:rPr>
          <w:rFonts w:ascii="Calibri" w:hAnsi="Calibri"/>
        </w:rPr>
        <w:t>growing</w:t>
      </w:r>
      <w:r w:rsidR="00CF3CE9">
        <w:rPr>
          <w:rFonts w:ascii="Calibri" w:hAnsi="Calibri"/>
        </w:rPr>
        <w:t xml:space="preserve"> disconnect</w:t>
      </w:r>
      <w:r w:rsidR="002930D5" w:rsidRPr="002930D5">
        <w:rPr>
          <w:rFonts w:ascii="Calibri" w:hAnsi="Calibri"/>
        </w:rPr>
        <w:t xml:space="preserve"> </w:t>
      </w:r>
      <w:r w:rsidR="004E3145" w:rsidRPr="002930D5">
        <w:rPr>
          <w:rFonts w:ascii="Calibri" w:hAnsi="Calibri"/>
        </w:rPr>
        <w:t xml:space="preserve">between </w:t>
      </w:r>
      <w:r w:rsidR="004E3145">
        <w:rPr>
          <w:rFonts w:ascii="Calibri" w:hAnsi="Calibri"/>
        </w:rPr>
        <w:t xml:space="preserve">LAQM and </w:t>
      </w:r>
      <w:r w:rsidR="004E3145" w:rsidRPr="002930D5">
        <w:rPr>
          <w:rFonts w:ascii="Calibri" w:hAnsi="Calibri"/>
        </w:rPr>
        <w:t>public health agendas</w:t>
      </w:r>
      <w:r w:rsidR="004E3145">
        <w:rPr>
          <w:rFonts w:ascii="Calibri" w:hAnsi="Calibri"/>
        </w:rPr>
        <w:t xml:space="preserve"> </w:t>
      </w:r>
      <w:r w:rsidR="007460F4">
        <w:rPr>
          <w:rFonts w:ascii="Calibri" w:hAnsi="Calibri"/>
        </w:rPr>
        <w:t>evident today</w:t>
      </w:r>
      <w:r w:rsidR="00314673">
        <w:rPr>
          <w:rFonts w:ascii="Calibri" w:hAnsi="Calibri"/>
        </w:rPr>
        <w:t xml:space="preserve">. </w:t>
      </w:r>
      <w:r w:rsidR="000C64C5">
        <w:rPr>
          <w:rFonts w:ascii="Calibri" w:hAnsi="Calibri"/>
        </w:rPr>
        <w:t xml:space="preserve">The </w:t>
      </w:r>
      <w:r w:rsidR="00212A5C">
        <w:rPr>
          <w:rFonts w:ascii="Calibri" w:hAnsi="Calibri"/>
        </w:rPr>
        <w:t xml:space="preserve">added value </w:t>
      </w:r>
      <w:r w:rsidR="004E3145">
        <w:rPr>
          <w:rFonts w:ascii="Calibri" w:hAnsi="Calibri"/>
        </w:rPr>
        <w:t>arising from</w:t>
      </w:r>
      <w:r w:rsidR="00212A5C">
        <w:rPr>
          <w:rFonts w:ascii="Calibri" w:hAnsi="Calibri"/>
        </w:rPr>
        <w:t xml:space="preserve"> a</w:t>
      </w:r>
      <w:r w:rsidR="00467AB6">
        <w:rPr>
          <w:rFonts w:ascii="Calibri" w:hAnsi="Calibri"/>
        </w:rPr>
        <w:t xml:space="preserve"> more p</w:t>
      </w:r>
      <w:r w:rsidR="00212A5C">
        <w:rPr>
          <w:rFonts w:ascii="Calibri" w:hAnsi="Calibri"/>
        </w:rPr>
        <w:t xml:space="preserve">ublic </w:t>
      </w:r>
      <w:r w:rsidR="00467AB6">
        <w:rPr>
          <w:rFonts w:ascii="Calibri" w:hAnsi="Calibri"/>
        </w:rPr>
        <w:t>h</w:t>
      </w:r>
      <w:r w:rsidR="007460F4">
        <w:rPr>
          <w:rFonts w:ascii="Calibri" w:hAnsi="Calibri"/>
        </w:rPr>
        <w:t xml:space="preserve">ealth </w:t>
      </w:r>
      <w:r w:rsidR="00212A5C">
        <w:rPr>
          <w:rFonts w:ascii="Calibri" w:hAnsi="Calibri"/>
        </w:rPr>
        <w:t xml:space="preserve">focused and supported </w:t>
      </w:r>
      <w:r w:rsidR="00467AB6">
        <w:rPr>
          <w:rFonts w:ascii="Calibri" w:hAnsi="Calibri"/>
        </w:rPr>
        <w:t xml:space="preserve">LAQM regime </w:t>
      </w:r>
      <w:r w:rsidR="004E3145">
        <w:rPr>
          <w:rFonts w:ascii="Calibri" w:hAnsi="Calibri"/>
        </w:rPr>
        <w:t xml:space="preserve">is also </w:t>
      </w:r>
      <w:r w:rsidR="007460F4">
        <w:rPr>
          <w:rFonts w:ascii="Calibri" w:hAnsi="Calibri"/>
        </w:rPr>
        <w:t>presented</w:t>
      </w:r>
      <w:r w:rsidR="00467AB6">
        <w:rPr>
          <w:rFonts w:ascii="Calibri" w:hAnsi="Calibri"/>
        </w:rPr>
        <w:t xml:space="preserve">, and </w:t>
      </w:r>
      <w:r w:rsidR="007460F4">
        <w:rPr>
          <w:rFonts w:ascii="Calibri" w:hAnsi="Calibri"/>
        </w:rPr>
        <w:t xml:space="preserve">is </w:t>
      </w:r>
      <w:r w:rsidR="00467AB6">
        <w:rPr>
          <w:rFonts w:ascii="Calibri" w:hAnsi="Calibri"/>
        </w:rPr>
        <w:t>considerable</w:t>
      </w:r>
      <w:r w:rsidR="00212A5C">
        <w:rPr>
          <w:rFonts w:ascii="Calibri" w:hAnsi="Calibri"/>
        </w:rPr>
        <w:t>.</w:t>
      </w:r>
    </w:p>
    <w:p w:rsidR="00545ACD" w:rsidRPr="00587BD6" w:rsidRDefault="00A73DBA" w:rsidP="004E6379">
      <w:pPr>
        <w:spacing w:after="120"/>
        <w:rPr>
          <w:rFonts w:ascii="Calibri" w:hAnsi="Calibri"/>
        </w:rPr>
      </w:pPr>
      <w:r>
        <w:rPr>
          <w:rFonts w:ascii="Calibri" w:hAnsi="Calibri"/>
        </w:rPr>
        <w:t>T</w:t>
      </w:r>
      <w:r w:rsidR="00212A5C">
        <w:rPr>
          <w:rFonts w:ascii="Calibri" w:hAnsi="Calibri"/>
        </w:rPr>
        <w:t>his study goes</w:t>
      </w:r>
      <w:r w:rsidR="003F203C">
        <w:rPr>
          <w:rFonts w:ascii="Calibri" w:hAnsi="Calibri"/>
        </w:rPr>
        <w:t xml:space="preserve"> beyond</w:t>
      </w:r>
      <w:r w:rsidR="006D3221">
        <w:rPr>
          <w:rFonts w:ascii="Calibri" w:hAnsi="Calibri"/>
        </w:rPr>
        <w:t xml:space="preserve"> </w:t>
      </w:r>
      <w:r w:rsidR="00212A5C">
        <w:rPr>
          <w:rFonts w:ascii="Calibri" w:hAnsi="Calibri"/>
        </w:rPr>
        <w:t>role specification</w:t>
      </w:r>
      <w:r w:rsidR="00314673">
        <w:rPr>
          <w:rFonts w:ascii="Calibri" w:hAnsi="Calibri"/>
        </w:rPr>
        <w:t xml:space="preserve">. </w:t>
      </w:r>
      <w:r w:rsidR="00884B25">
        <w:rPr>
          <w:rFonts w:ascii="Calibri" w:hAnsi="Calibri"/>
        </w:rPr>
        <w:t>Expert o</w:t>
      </w:r>
      <w:r w:rsidR="0066442D">
        <w:rPr>
          <w:rFonts w:ascii="Calibri" w:hAnsi="Calibri"/>
        </w:rPr>
        <w:t>pinion</w:t>
      </w:r>
      <w:r w:rsidR="008847F5">
        <w:rPr>
          <w:rFonts w:ascii="Calibri" w:hAnsi="Calibri"/>
        </w:rPr>
        <w:t xml:space="preserve"> </w:t>
      </w:r>
      <w:r>
        <w:rPr>
          <w:rFonts w:ascii="Calibri" w:hAnsi="Calibri"/>
        </w:rPr>
        <w:t xml:space="preserve">elaborated </w:t>
      </w:r>
      <w:r w:rsidR="0066442D">
        <w:rPr>
          <w:rFonts w:ascii="Calibri" w:hAnsi="Calibri"/>
        </w:rPr>
        <w:t>on</w:t>
      </w:r>
      <w:r w:rsidR="008847F5">
        <w:rPr>
          <w:rFonts w:ascii="Calibri" w:hAnsi="Calibri"/>
        </w:rPr>
        <w:t xml:space="preserve"> </w:t>
      </w:r>
      <w:r w:rsidR="0066442D">
        <w:rPr>
          <w:rFonts w:ascii="Calibri" w:hAnsi="Calibri"/>
        </w:rPr>
        <w:t>opportunities,</w:t>
      </w:r>
      <w:r w:rsidR="00EC028C">
        <w:rPr>
          <w:rFonts w:ascii="Calibri" w:hAnsi="Calibri"/>
        </w:rPr>
        <w:t xml:space="preserve"> </w:t>
      </w:r>
      <w:r w:rsidR="0066442D">
        <w:rPr>
          <w:rFonts w:ascii="Calibri" w:hAnsi="Calibri"/>
        </w:rPr>
        <w:t xml:space="preserve">barriers </w:t>
      </w:r>
      <w:r w:rsidR="008A0270">
        <w:rPr>
          <w:rFonts w:ascii="Calibri" w:hAnsi="Calibri"/>
        </w:rPr>
        <w:t xml:space="preserve">that might hinder </w:t>
      </w:r>
      <w:r w:rsidR="0066442D">
        <w:rPr>
          <w:rFonts w:ascii="Calibri" w:hAnsi="Calibri"/>
        </w:rPr>
        <w:t xml:space="preserve">and solutions </w:t>
      </w:r>
      <w:r w:rsidR="006D3221">
        <w:rPr>
          <w:rFonts w:ascii="Calibri" w:hAnsi="Calibri"/>
        </w:rPr>
        <w:t xml:space="preserve">that </w:t>
      </w:r>
      <w:r>
        <w:rPr>
          <w:rFonts w:ascii="Calibri" w:hAnsi="Calibri"/>
        </w:rPr>
        <w:t xml:space="preserve">might </w:t>
      </w:r>
      <w:r w:rsidR="004E3145">
        <w:rPr>
          <w:rFonts w:ascii="Calibri" w:hAnsi="Calibri"/>
        </w:rPr>
        <w:t>enable</w:t>
      </w:r>
      <w:r w:rsidR="00FD62ED">
        <w:rPr>
          <w:rFonts w:ascii="Calibri" w:hAnsi="Calibri"/>
        </w:rPr>
        <w:t xml:space="preserve"> </w:t>
      </w:r>
      <w:r w:rsidR="006D3221">
        <w:rPr>
          <w:rFonts w:ascii="Calibri" w:hAnsi="Calibri"/>
        </w:rPr>
        <w:t>‘real world’ policy and practice</w:t>
      </w:r>
      <w:r w:rsidR="00212A5C">
        <w:rPr>
          <w:rFonts w:ascii="Calibri" w:hAnsi="Calibri"/>
        </w:rPr>
        <w:t xml:space="preserve"> change</w:t>
      </w:r>
      <w:r w:rsidR="0066442D">
        <w:rPr>
          <w:rFonts w:ascii="Calibri" w:hAnsi="Calibri"/>
        </w:rPr>
        <w:t>.</w:t>
      </w:r>
      <w:r w:rsidR="000C64C5">
        <w:rPr>
          <w:rFonts w:ascii="Calibri" w:hAnsi="Calibri"/>
        </w:rPr>
        <w:t xml:space="preserve"> </w:t>
      </w:r>
      <w:r w:rsidR="008B47E3">
        <w:rPr>
          <w:rFonts w:ascii="Calibri" w:hAnsi="Calibri"/>
        </w:rPr>
        <w:t xml:space="preserve">On occasion, </w:t>
      </w:r>
      <w:r w:rsidR="00743EF6">
        <w:rPr>
          <w:rFonts w:ascii="Calibri" w:hAnsi="Calibri"/>
        </w:rPr>
        <w:t>panellists</w:t>
      </w:r>
      <w:r>
        <w:rPr>
          <w:rFonts w:ascii="Calibri" w:hAnsi="Calibri"/>
        </w:rPr>
        <w:t>’ opinions</w:t>
      </w:r>
      <w:r w:rsidR="006807D4">
        <w:rPr>
          <w:rFonts w:ascii="Calibri" w:hAnsi="Calibri"/>
        </w:rPr>
        <w:t xml:space="preserve"> </w:t>
      </w:r>
      <w:r w:rsidR="00CB753F">
        <w:rPr>
          <w:rFonts w:ascii="Calibri" w:hAnsi="Calibri"/>
        </w:rPr>
        <w:t>were</w:t>
      </w:r>
      <w:r w:rsidR="000D5C1D">
        <w:rPr>
          <w:rFonts w:ascii="Calibri" w:hAnsi="Calibri"/>
        </w:rPr>
        <w:t xml:space="preserve"> </w:t>
      </w:r>
      <w:r w:rsidR="00D35C4C">
        <w:rPr>
          <w:rFonts w:ascii="Calibri" w:hAnsi="Calibri"/>
        </w:rPr>
        <w:t xml:space="preserve">specific to </w:t>
      </w:r>
      <w:r w:rsidR="008B47E3">
        <w:rPr>
          <w:rFonts w:ascii="Calibri" w:hAnsi="Calibri"/>
        </w:rPr>
        <w:t xml:space="preserve">the situation in </w:t>
      </w:r>
      <w:r w:rsidR="000C64C5">
        <w:rPr>
          <w:rFonts w:ascii="Calibri" w:hAnsi="Calibri"/>
        </w:rPr>
        <w:t>Wales</w:t>
      </w:r>
      <w:r w:rsidR="00360FFA">
        <w:rPr>
          <w:rFonts w:ascii="Calibri" w:hAnsi="Calibri"/>
        </w:rPr>
        <w:t xml:space="preserve"> e.g.</w:t>
      </w:r>
      <w:r w:rsidR="008A0270">
        <w:rPr>
          <w:rFonts w:ascii="Calibri" w:hAnsi="Calibri"/>
        </w:rPr>
        <w:t xml:space="preserve"> highlighting </w:t>
      </w:r>
      <w:r w:rsidR="00485384">
        <w:rPr>
          <w:rFonts w:ascii="Calibri" w:hAnsi="Calibri"/>
        </w:rPr>
        <w:t>the importance of seizing unique opportunities offered by joining up</w:t>
      </w:r>
      <w:r w:rsidR="006E3727">
        <w:rPr>
          <w:rFonts w:ascii="Calibri" w:hAnsi="Calibri"/>
        </w:rPr>
        <w:t xml:space="preserve"> LAQM, public health and broader wellbeing and environmental sustainability</w:t>
      </w:r>
      <w:r w:rsidR="008A0270">
        <w:rPr>
          <w:rFonts w:ascii="Calibri" w:hAnsi="Calibri"/>
        </w:rPr>
        <w:t xml:space="preserve"> </w:t>
      </w:r>
      <w:r w:rsidR="006E3727">
        <w:rPr>
          <w:rFonts w:ascii="Calibri" w:hAnsi="Calibri"/>
        </w:rPr>
        <w:t xml:space="preserve">(WFG Act) </w:t>
      </w:r>
      <w:r w:rsidR="00485384">
        <w:rPr>
          <w:rFonts w:ascii="Calibri" w:hAnsi="Calibri"/>
        </w:rPr>
        <w:t>legislati</w:t>
      </w:r>
      <w:r w:rsidR="00360FFA">
        <w:rPr>
          <w:rFonts w:ascii="Calibri" w:hAnsi="Calibri"/>
        </w:rPr>
        <w:t>on</w:t>
      </w:r>
      <w:r w:rsidR="00485384">
        <w:rPr>
          <w:rFonts w:ascii="Calibri" w:hAnsi="Calibri"/>
        </w:rPr>
        <w:t xml:space="preserve"> </w:t>
      </w:r>
      <w:r w:rsidR="006E3727">
        <w:rPr>
          <w:rFonts w:ascii="Calibri" w:hAnsi="Calibri"/>
        </w:rPr>
        <w:t xml:space="preserve">and </w:t>
      </w:r>
      <w:r w:rsidR="008A0270">
        <w:rPr>
          <w:rFonts w:ascii="Calibri" w:hAnsi="Calibri"/>
        </w:rPr>
        <w:t>policy</w:t>
      </w:r>
      <w:r w:rsidR="00360FFA">
        <w:rPr>
          <w:rFonts w:ascii="Calibri" w:hAnsi="Calibri"/>
        </w:rPr>
        <w:t xml:space="preserve"> to facilitate action</w:t>
      </w:r>
      <w:r w:rsidR="00485384">
        <w:rPr>
          <w:rFonts w:ascii="Calibri" w:hAnsi="Calibri"/>
        </w:rPr>
        <w:t>. However, most findings</w:t>
      </w:r>
      <w:r w:rsidR="000D5C1D">
        <w:rPr>
          <w:rFonts w:ascii="Calibri" w:hAnsi="Calibri"/>
        </w:rPr>
        <w:t xml:space="preserve"> </w:t>
      </w:r>
      <w:r w:rsidR="003F203C">
        <w:rPr>
          <w:rFonts w:ascii="Calibri" w:hAnsi="Calibri"/>
        </w:rPr>
        <w:t xml:space="preserve">were </w:t>
      </w:r>
      <w:r w:rsidR="004E3145">
        <w:rPr>
          <w:rFonts w:ascii="Calibri" w:hAnsi="Calibri"/>
        </w:rPr>
        <w:t xml:space="preserve">sufficiently generic to </w:t>
      </w:r>
      <w:r w:rsidR="006807D4">
        <w:rPr>
          <w:rFonts w:ascii="Calibri" w:hAnsi="Calibri"/>
        </w:rPr>
        <w:t xml:space="preserve">have relevance </w:t>
      </w:r>
      <w:r w:rsidR="004E3145">
        <w:rPr>
          <w:rFonts w:ascii="Calibri" w:hAnsi="Calibri"/>
        </w:rPr>
        <w:t>outside</w:t>
      </w:r>
      <w:r w:rsidR="003F203C">
        <w:rPr>
          <w:rFonts w:ascii="Calibri" w:hAnsi="Calibri"/>
        </w:rPr>
        <w:t xml:space="preserve"> Wales</w:t>
      </w:r>
      <w:r w:rsidR="00360FFA">
        <w:rPr>
          <w:rFonts w:ascii="Calibri" w:hAnsi="Calibri"/>
        </w:rPr>
        <w:t xml:space="preserve"> e.g.</w:t>
      </w:r>
      <w:r w:rsidR="003F203C" w:rsidRPr="006807D4">
        <w:rPr>
          <w:rFonts w:ascii="Calibri" w:hAnsi="Calibri"/>
        </w:rPr>
        <w:t xml:space="preserve"> consensus opinion</w:t>
      </w:r>
      <w:r w:rsidR="00770467">
        <w:rPr>
          <w:rFonts w:ascii="Calibri" w:hAnsi="Calibri"/>
        </w:rPr>
        <w:t xml:space="preserve"> suggested</w:t>
      </w:r>
      <w:r w:rsidR="00E40D6F" w:rsidRPr="006807D4">
        <w:rPr>
          <w:rFonts w:ascii="Calibri" w:hAnsi="Calibri"/>
        </w:rPr>
        <w:t xml:space="preserve"> that</w:t>
      </w:r>
      <w:r w:rsidR="003F203C" w:rsidRPr="006807D4">
        <w:rPr>
          <w:rFonts w:ascii="Calibri" w:hAnsi="Calibri"/>
        </w:rPr>
        <w:t xml:space="preserve"> </w:t>
      </w:r>
      <w:r w:rsidR="00D24EE8" w:rsidRPr="006807D4">
        <w:rPr>
          <w:rFonts w:ascii="Calibri" w:hAnsi="Calibri"/>
        </w:rPr>
        <w:t xml:space="preserve">integration and collaboration could be increased by extending </w:t>
      </w:r>
      <w:r w:rsidR="003F203C" w:rsidRPr="006807D4">
        <w:rPr>
          <w:rFonts w:ascii="Calibri" w:hAnsi="Calibri"/>
        </w:rPr>
        <w:t>LAQM</w:t>
      </w:r>
      <w:r w:rsidR="00770467">
        <w:rPr>
          <w:rFonts w:ascii="Calibri" w:hAnsi="Calibri"/>
        </w:rPr>
        <w:t>’s scope</w:t>
      </w:r>
      <w:r w:rsidR="003F203C" w:rsidRPr="006807D4">
        <w:rPr>
          <w:rFonts w:ascii="Calibri" w:hAnsi="Calibri"/>
        </w:rPr>
        <w:t xml:space="preserve"> </w:t>
      </w:r>
      <w:r w:rsidR="00E20FCB">
        <w:rPr>
          <w:rFonts w:ascii="Calibri" w:hAnsi="Calibri"/>
        </w:rPr>
        <w:t>and encouraging</w:t>
      </w:r>
      <w:r w:rsidR="00743EF6" w:rsidRPr="00770467">
        <w:rPr>
          <w:rFonts w:ascii="Calibri" w:hAnsi="Calibri"/>
        </w:rPr>
        <w:t xml:space="preserve"> </w:t>
      </w:r>
      <w:r w:rsidR="003F203C" w:rsidRPr="00770467">
        <w:rPr>
          <w:rFonts w:ascii="Calibri" w:hAnsi="Calibri"/>
        </w:rPr>
        <w:t xml:space="preserve">universal action </w:t>
      </w:r>
      <w:r w:rsidR="00D24EE8" w:rsidRPr="00770467">
        <w:rPr>
          <w:rFonts w:ascii="Calibri" w:hAnsi="Calibri"/>
        </w:rPr>
        <w:t xml:space="preserve">to reduce risks for all </w:t>
      </w:r>
      <w:r w:rsidR="003F203C" w:rsidRPr="00770467">
        <w:rPr>
          <w:rFonts w:ascii="Calibri" w:hAnsi="Calibri"/>
        </w:rPr>
        <w:t xml:space="preserve">alongside </w:t>
      </w:r>
      <w:r w:rsidR="00D24EE8" w:rsidRPr="00770467">
        <w:rPr>
          <w:rFonts w:ascii="Calibri" w:hAnsi="Calibri"/>
        </w:rPr>
        <w:t>more-</w:t>
      </w:r>
      <w:r w:rsidR="003F203C" w:rsidRPr="00770467">
        <w:rPr>
          <w:rFonts w:ascii="Calibri" w:hAnsi="Calibri"/>
        </w:rPr>
        <w:t>targeted intervention.</w:t>
      </w:r>
      <w:r w:rsidR="00D24EE8" w:rsidRPr="00770467">
        <w:rPr>
          <w:rFonts w:ascii="Calibri" w:hAnsi="Calibri"/>
        </w:rPr>
        <w:t xml:space="preserve"> </w:t>
      </w:r>
      <w:r w:rsidR="004E3145">
        <w:rPr>
          <w:rFonts w:ascii="Calibri" w:hAnsi="Calibri"/>
        </w:rPr>
        <w:t>T</w:t>
      </w:r>
      <w:r w:rsidR="006807D4" w:rsidRPr="00770467">
        <w:rPr>
          <w:rFonts w:ascii="Calibri" w:hAnsi="Calibri"/>
        </w:rPr>
        <w:t xml:space="preserve">hese </w:t>
      </w:r>
      <w:r w:rsidR="004E3145">
        <w:rPr>
          <w:rFonts w:ascii="Calibri" w:hAnsi="Calibri"/>
        </w:rPr>
        <w:t>enhancements</w:t>
      </w:r>
      <w:r w:rsidR="006807D4" w:rsidRPr="00770467">
        <w:rPr>
          <w:rFonts w:ascii="Calibri" w:hAnsi="Calibri"/>
        </w:rPr>
        <w:t xml:space="preserve"> </w:t>
      </w:r>
      <w:r w:rsidR="00E20FCB">
        <w:rPr>
          <w:rFonts w:ascii="Calibri" w:hAnsi="Calibri"/>
        </w:rPr>
        <w:t xml:space="preserve">could </w:t>
      </w:r>
      <w:r w:rsidR="004E3145">
        <w:rPr>
          <w:rFonts w:ascii="Calibri" w:hAnsi="Calibri"/>
        </w:rPr>
        <w:t>increase LAQM-related interest and importance amongst</w:t>
      </w:r>
      <w:r w:rsidR="00E40D6F" w:rsidRPr="00770467">
        <w:rPr>
          <w:rFonts w:ascii="Calibri" w:hAnsi="Calibri"/>
        </w:rPr>
        <w:t xml:space="preserve"> </w:t>
      </w:r>
      <w:r w:rsidR="00770467" w:rsidRPr="00770467">
        <w:rPr>
          <w:rFonts w:ascii="Calibri" w:hAnsi="Calibri"/>
        </w:rPr>
        <w:t xml:space="preserve">a </w:t>
      </w:r>
      <w:r w:rsidR="00E40D6F" w:rsidRPr="00770467">
        <w:rPr>
          <w:rFonts w:ascii="Calibri" w:hAnsi="Calibri"/>
        </w:rPr>
        <w:t xml:space="preserve">wider </w:t>
      </w:r>
      <w:r w:rsidR="008E0EAE">
        <w:rPr>
          <w:rFonts w:ascii="Calibri" w:hAnsi="Calibri"/>
        </w:rPr>
        <w:t>p</w:t>
      </w:r>
      <w:r w:rsidR="009964EE" w:rsidRPr="00770467">
        <w:rPr>
          <w:rFonts w:ascii="Calibri" w:hAnsi="Calibri"/>
        </w:rPr>
        <w:t xml:space="preserve">ublic </w:t>
      </w:r>
      <w:r w:rsidR="008E0EAE">
        <w:rPr>
          <w:rFonts w:ascii="Calibri" w:hAnsi="Calibri"/>
        </w:rPr>
        <w:t>h</w:t>
      </w:r>
      <w:r w:rsidR="009964EE" w:rsidRPr="00770467">
        <w:rPr>
          <w:rFonts w:ascii="Calibri" w:hAnsi="Calibri"/>
        </w:rPr>
        <w:t xml:space="preserve">ealth </w:t>
      </w:r>
      <w:r w:rsidR="00E20FCB">
        <w:rPr>
          <w:rFonts w:ascii="Calibri" w:hAnsi="Calibri"/>
        </w:rPr>
        <w:t xml:space="preserve">workforce </w:t>
      </w:r>
      <w:r w:rsidR="00770467" w:rsidRPr="00770467">
        <w:rPr>
          <w:rFonts w:ascii="Calibri" w:hAnsi="Calibri"/>
        </w:rPr>
        <w:t>and pave</w:t>
      </w:r>
      <w:r w:rsidR="009964EE" w:rsidRPr="00770467">
        <w:rPr>
          <w:rFonts w:ascii="Calibri" w:hAnsi="Calibri"/>
        </w:rPr>
        <w:t xml:space="preserve"> the way for </w:t>
      </w:r>
      <w:r w:rsidR="00077AB5">
        <w:rPr>
          <w:rFonts w:ascii="Calibri" w:hAnsi="Calibri"/>
        </w:rPr>
        <w:t xml:space="preserve">better </w:t>
      </w:r>
      <w:r w:rsidR="00D35C4C">
        <w:rPr>
          <w:rFonts w:ascii="Calibri" w:hAnsi="Calibri"/>
        </w:rPr>
        <w:t xml:space="preserve">integration of </w:t>
      </w:r>
      <w:r w:rsidR="00AC3DF6">
        <w:rPr>
          <w:rFonts w:ascii="Calibri" w:hAnsi="Calibri"/>
        </w:rPr>
        <w:t xml:space="preserve">LAQM </w:t>
      </w:r>
      <w:r w:rsidR="00D35C4C">
        <w:rPr>
          <w:rFonts w:ascii="Calibri" w:hAnsi="Calibri"/>
        </w:rPr>
        <w:t>into the core responsibilities of</w:t>
      </w:r>
      <w:r w:rsidR="00770467" w:rsidRPr="00770467">
        <w:rPr>
          <w:rFonts w:ascii="Calibri" w:hAnsi="Calibri"/>
        </w:rPr>
        <w:t xml:space="preserve"> many</w:t>
      </w:r>
      <w:r w:rsidR="00AC3DF6">
        <w:rPr>
          <w:rFonts w:ascii="Calibri" w:hAnsi="Calibri"/>
        </w:rPr>
        <w:t xml:space="preserve"> more specialists</w:t>
      </w:r>
      <w:r w:rsidR="00884B25">
        <w:rPr>
          <w:rFonts w:ascii="Calibri" w:hAnsi="Calibri"/>
        </w:rPr>
        <w:t>. G</w:t>
      </w:r>
      <w:r w:rsidR="00770467" w:rsidRPr="00770467">
        <w:rPr>
          <w:rFonts w:ascii="Calibri" w:hAnsi="Calibri"/>
        </w:rPr>
        <w:t>reater opportunities</w:t>
      </w:r>
      <w:r w:rsidR="003F5297">
        <w:rPr>
          <w:rFonts w:ascii="Calibri" w:hAnsi="Calibri"/>
        </w:rPr>
        <w:t xml:space="preserve"> </w:t>
      </w:r>
      <w:r w:rsidR="00AC3DF6">
        <w:rPr>
          <w:rFonts w:ascii="Calibri" w:hAnsi="Calibri"/>
        </w:rPr>
        <w:t xml:space="preserve">could </w:t>
      </w:r>
      <w:r w:rsidR="00884B25">
        <w:rPr>
          <w:rFonts w:ascii="Calibri" w:hAnsi="Calibri"/>
        </w:rPr>
        <w:t>result</w:t>
      </w:r>
      <w:r w:rsidR="009964EE" w:rsidRPr="00770467">
        <w:rPr>
          <w:rFonts w:ascii="Calibri" w:hAnsi="Calibri"/>
        </w:rPr>
        <w:t xml:space="preserve"> for </w:t>
      </w:r>
      <w:r w:rsidR="00770467" w:rsidRPr="00587BD6">
        <w:rPr>
          <w:rFonts w:ascii="Calibri" w:hAnsi="Calibri"/>
        </w:rPr>
        <w:t xml:space="preserve">connected policy development, </w:t>
      </w:r>
      <w:r w:rsidR="009964EE" w:rsidRPr="00587BD6">
        <w:rPr>
          <w:rFonts w:ascii="Calibri" w:hAnsi="Calibri"/>
        </w:rPr>
        <w:t>aligned</w:t>
      </w:r>
      <w:r w:rsidR="00884B25" w:rsidRPr="00587BD6">
        <w:rPr>
          <w:rFonts w:ascii="Calibri" w:hAnsi="Calibri"/>
        </w:rPr>
        <w:t xml:space="preserve"> planning</w:t>
      </w:r>
      <w:r w:rsidR="009964EE" w:rsidRPr="00587BD6">
        <w:rPr>
          <w:rFonts w:ascii="Calibri" w:hAnsi="Calibri"/>
        </w:rPr>
        <w:t xml:space="preserve"> and action, </w:t>
      </w:r>
      <w:r w:rsidR="00770467" w:rsidRPr="00587BD6">
        <w:rPr>
          <w:rFonts w:ascii="Calibri" w:hAnsi="Calibri"/>
        </w:rPr>
        <w:t xml:space="preserve">effective </w:t>
      </w:r>
      <w:r w:rsidR="003F5297" w:rsidRPr="00587BD6">
        <w:rPr>
          <w:rFonts w:ascii="Calibri" w:hAnsi="Calibri"/>
        </w:rPr>
        <w:t>communication</w:t>
      </w:r>
      <w:r w:rsidR="009964EE" w:rsidRPr="00587BD6">
        <w:rPr>
          <w:rFonts w:ascii="Calibri" w:hAnsi="Calibri"/>
        </w:rPr>
        <w:t xml:space="preserve">, </w:t>
      </w:r>
      <w:r w:rsidR="00770467" w:rsidRPr="00587BD6">
        <w:rPr>
          <w:rFonts w:ascii="Calibri" w:hAnsi="Calibri"/>
        </w:rPr>
        <w:t xml:space="preserve">multidisciplinary research, and </w:t>
      </w:r>
      <w:r w:rsidR="003F5297" w:rsidRPr="00587BD6">
        <w:rPr>
          <w:rFonts w:ascii="Calibri" w:hAnsi="Calibri"/>
        </w:rPr>
        <w:t xml:space="preserve">change </w:t>
      </w:r>
      <w:r w:rsidR="00770467" w:rsidRPr="00587BD6">
        <w:rPr>
          <w:rFonts w:ascii="Calibri" w:hAnsi="Calibri"/>
        </w:rPr>
        <w:t>advocacy</w:t>
      </w:r>
      <w:r w:rsidR="003F5297" w:rsidRPr="00587BD6">
        <w:rPr>
          <w:rFonts w:ascii="Calibri" w:hAnsi="Calibri"/>
        </w:rPr>
        <w:t>,</w:t>
      </w:r>
      <w:r w:rsidR="00770467" w:rsidRPr="00587BD6">
        <w:rPr>
          <w:rFonts w:ascii="Calibri" w:hAnsi="Calibri"/>
        </w:rPr>
        <w:t xml:space="preserve"> leadership</w:t>
      </w:r>
      <w:r w:rsidR="003F5297" w:rsidRPr="00587BD6">
        <w:rPr>
          <w:rFonts w:ascii="Calibri" w:hAnsi="Calibri"/>
        </w:rPr>
        <w:t xml:space="preserve"> and management</w:t>
      </w:r>
      <w:r w:rsidR="00770467" w:rsidRPr="00587BD6">
        <w:rPr>
          <w:rFonts w:ascii="Calibri" w:hAnsi="Calibri"/>
        </w:rPr>
        <w:t>.</w:t>
      </w:r>
      <w:r w:rsidR="00545ACD" w:rsidRPr="00587BD6">
        <w:rPr>
          <w:rFonts w:ascii="Calibri" w:hAnsi="Calibri"/>
        </w:rPr>
        <w:t xml:space="preserve"> </w:t>
      </w:r>
    </w:p>
    <w:p w:rsidR="00862555" w:rsidRPr="00587BD6" w:rsidRDefault="00BC4A20" w:rsidP="004E6379">
      <w:pPr>
        <w:spacing w:after="120"/>
        <w:rPr>
          <w:rFonts w:ascii="Calibri" w:hAnsi="Calibri"/>
        </w:rPr>
      </w:pPr>
      <w:r w:rsidRPr="00587BD6">
        <w:rPr>
          <w:rFonts w:ascii="Calibri" w:hAnsi="Calibri"/>
        </w:rPr>
        <w:t>The</w:t>
      </w:r>
      <w:r w:rsidR="00EE1CCF" w:rsidRPr="00587BD6">
        <w:rPr>
          <w:rFonts w:ascii="Calibri" w:hAnsi="Calibri"/>
        </w:rPr>
        <w:t xml:space="preserve"> </w:t>
      </w:r>
      <w:r w:rsidRPr="00587BD6">
        <w:rPr>
          <w:rFonts w:ascii="Calibri" w:hAnsi="Calibri"/>
        </w:rPr>
        <w:t xml:space="preserve">findings </w:t>
      </w:r>
      <w:r w:rsidR="00EE1CCF" w:rsidRPr="00587BD6">
        <w:rPr>
          <w:rFonts w:ascii="Calibri" w:hAnsi="Calibri"/>
        </w:rPr>
        <w:t xml:space="preserve">of this study </w:t>
      </w:r>
      <w:r w:rsidRPr="00587BD6">
        <w:rPr>
          <w:rFonts w:ascii="Calibri" w:hAnsi="Calibri"/>
        </w:rPr>
        <w:t xml:space="preserve">resonate well with the </w:t>
      </w:r>
      <w:r w:rsidR="00EE1CCF" w:rsidRPr="00587BD6">
        <w:rPr>
          <w:rFonts w:ascii="Calibri" w:hAnsi="Calibri"/>
        </w:rPr>
        <w:t xml:space="preserve">requirements of the </w:t>
      </w:r>
      <w:r w:rsidRPr="00587BD6">
        <w:rPr>
          <w:rFonts w:ascii="Calibri" w:hAnsi="Calibri"/>
        </w:rPr>
        <w:t>WFG Act in Wales</w:t>
      </w:r>
      <w:r w:rsidR="00EE1CCF" w:rsidRPr="00587BD6">
        <w:rPr>
          <w:rFonts w:ascii="Calibri" w:hAnsi="Calibri"/>
        </w:rPr>
        <w:t xml:space="preserve">. Enhancing the LAQM regime in the ways suggested aligns with the sustainable development principles of collaboration, integration and involvement to facilitate long-term, prevention-focused action. Seizing opportunities to recognise and realise synergies, and create and adopt more effective and efficient ways of working across LAQM and public health agendas, can only serve to help to achieve the Act’s broader Well-being Goals too. For example, increasing </w:t>
      </w:r>
      <w:r w:rsidR="008E0EAE">
        <w:rPr>
          <w:rFonts w:ascii="Calibri" w:hAnsi="Calibri"/>
        </w:rPr>
        <w:t>p</w:t>
      </w:r>
      <w:r w:rsidR="00EE1CCF" w:rsidRPr="00587BD6">
        <w:rPr>
          <w:rFonts w:ascii="Calibri" w:hAnsi="Calibri"/>
        </w:rPr>
        <w:t xml:space="preserve">ublic </w:t>
      </w:r>
      <w:r w:rsidR="008E0EAE">
        <w:rPr>
          <w:rFonts w:ascii="Calibri" w:hAnsi="Calibri"/>
        </w:rPr>
        <w:t>h</w:t>
      </w:r>
      <w:r w:rsidR="00EE1CCF" w:rsidRPr="00587BD6">
        <w:rPr>
          <w:rFonts w:ascii="Calibri" w:hAnsi="Calibri"/>
        </w:rPr>
        <w:t xml:space="preserve">ealth integration and </w:t>
      </w:r>
      <w:r w:rsidR="00500F95" w:rsidRPr="00587BD6">
        <w:rPr>
          <w:rFonts w:ascii="Calibri" w:hAnsi="Calibri"/>
        </w:rPr>
        <w:t xml:space="preserve">collaboration in </w:t>
      </w:r>
      <w:r w:rsidR="0007605A" w:rsidRPr="00587BD6">
        <w:rPr>
          <w:rFonts w:ascii="Calibri" w:hAnsi="Calibri"/>
        </w:rPr>
        <w:t xml:space="preserve">LAQM </w:t>
      </w:r>
      <w:r w:rsidR="00EE1CCF" w:rsidRPr="00587BD6">
        <w:rPr>
          <w:rFonts w:ascii="Calibri" w:hAnsi="Calibri"/>
        </w:rPr>
        <w:t xml:space="preserve">can </w:t>
      </w:r>
      <w:r w:rsidR="0007605A" w:rsidRPr="00587BD6">
        <w:rPr>
          <w:rFonts w:ascii="Calibri" w:hAnsi="Calibri"/>
        </w:rPr>
        <w:t xml:space="preserve">support </w:t>
      </w:r>
      <w:r w:rsidR="00EE1CCF" w:rsidRPr="00587BD6">
        <w:rPr>
          <w:rFonts w:ascii="Calibri" w:hAnsi="Calibri"/>
        </w:rPr>
        <w:t xml:space="preserve">joined-up action </w:t>
      </w:r>
      <w:r w:rsidR="00500F95" w:rsidRPr="00587BD6">
        <w:rPr>
          <w:rFonts w:ascii="Calibri" w:hAnsi="Calibri"/>
        </w:rPr>
        <w:t xml:space="preserve">(where air pollution problems and solutions are considered </w:t>
      </w:r>
      <w:r w:rsidR="0007605A" w:rsidRPr="00587BD6">
        <w:rPr>
          <w:rFonts w:ascii="Calibri" w:hAnsi="Calibri"/>
        </w:rPr>
        <w:t xml:space="preserve">in context alongside </w:t>
      </w:r>
      <w:r w:rsidR="00500F95" w:rsidRPr="00587BD6">
        <w:rPr>
          <w:rFonts w:ascii="Calibri" w:hAnsi="Calibri"/>
        </w:rPr>
        <w:t xml:space="preserve">broader public health priorities) </w:t>
      </w:r>
      <w:r w:rsidR="0007605A" w:rsidRPr="00587BD6">
        <w:rPr>
          <w:rFonts w:ascii="Calibri" w:hAnsi="Calibri"/>
        </w:rPr>
        <w:t xml:space="preserve">that </w:t>
      </w:r>
      <w:r w:rsidR="00EE1CCF" w:rsidRPr="00587BD6">
        <w:rPr>
          <w:rFonts w:ascii="Calibri" w:hAnsi="Calibri"/>
        </w:rPr>
        <w:t xml:space="preserve">has the potential to </w:t>
      </w:r>
      <w:r w:rsidR="00500F95" w:rsidRPr="00587BD6">
        <w:rPr>
          <w:rFonts w:ascii="Calibri" w:hAnsi="Calibri"/>
        </w:rPr>
        <w:t>deliver</w:t>
      </w:r>
      <w:r w:rsidR="0007605A" w:rsidRPr="00587BD6">
        <w:rPr>
          <w:rFonts w:ascii="Calibri" w:hAnsi="Calibri"/>
        </w:rPr>
        <w:t xml:space="preserve"> multiple </w:t>
      </w:r>
      <w:r w:rsidR="00500F95" w:rsidRPr="00587BD6">
        <w:rPr>
          <w:rFonts w:ascii="Calibri" w:hAnsi="Calibri"/>
        </w:rPr>
        <w:t xml:space="preserve">positive </w:t>
      </w:r>
      <w:r w:rsidR="0007605A" w:rsidRPr="00587BD6">
        <w:rPr>
          <w:rFonts w:ascii="Calibri" w:hAnsi="Calibri"/>
        </w:rPr>
        <w:t xml:space="preserve">health </w:t>
      </w:r>
      <w:r w:rsidR="00500F95" w:rsidRPr="00587BD6">
        <w:rPr>
          <w:rFonts w:ascii="Calibri" w:hAnsi="Calibri"/>
        </w:rPr>
        <w:t xml:space="preserve">impacts </w:t>
      </w:r>
      <w:r w:rsidR="0007605A" w:rsidRPr="00587BD6">
        <w:rPr>
          <w:rFonts w:ascii="Calibri" w:hAnsi="Calibri"/>
        </w:rPr>
        <w:t>amongst</w:t>
      </w:r>
      <w:r w:rsidR="00500F95" w:rsidRPr="00587BD6">
        <w:rPr>
          <w:rFonts w:ascii="Calibri" w:hAnsi="Calibri"/>
        </w:rPr>
        <w:t xml:space="preserve"> the Welsh population.</w:t>
      </w:r>
      <w:r w:rsidR="0007605A" w:rsidRPr="00587BD6">
        <w:rPr>
          <w:rFonts w:ascii="Calibri" w:hAnsi="Calibri"/>
        </w:rPr>
        <w:t xml:space="preserve"> Further, broadening the scope of LAQM can help identify and reduce air pollution and associated health inequalities to create a fairer Wales. </w:t>
      </w:r>
      <w:r w:rsidR="00500F95" w:rsidRPr="00587BD6">
        <w:rPr>
          <w:rFonts w:ascii="Calibri" w:hAnsi="Calibri"/>
        </w:rPr>
        <w:t xml:space="preserve">In turn, </w:t>
      </w:r>
      <w:r w:rsidR="0007605A" w:rsidRPr="00587BD6">
        <w:rPr>
          <w:rFonts w:ascii="Calibri" w:hAnsi="Calibri"/>
        </w:rPr>
        <w:t xml:space="preserve">these improvements </w:t>
      </w:r>
      <w:r w:rsidR="00587BD6" w:rsidRPr="00587BD6">
        <w:rPr>
          <w:rFonts w:ascii="Calibri" w:hAnsi="Calibri"/>
        </w:rPr>
        <w:t>can increase</w:t>
      </w:r>
      <w:r w:rsidR="0007605A" w:rsidRPr="00587BD6">
        <w:rPr>
          <w:rFonts w:ascii="Calibri" w:hAnsi="Calibri"/>
        </w:rPr>
        <w:t xml:space="preserve"> </w:t>
      </w:r>
      <w:r w:rsidR="00500F95" w:rsidRPr="00587BD6">
        <w:rPr>
          <w:rFonts w:ascii="Calibri" w:hAnsi="Calibri"/>
        </w:rPr>
        <w:t>population resilience</w:t>
      </w:r>
      <w:r w:rsidR="0007605A" w:rsidRPr="00587BD6">
        <w:rPr>
          <w:rFonts w:ascii="Calibri" w:hAnsi="Calibri"/>
        </w:rPr>
        <w:t>, productivity and prosperity</w:t>
      </w:r>
      <w:r w:rsidR="00587BD6" w:rsidRPr="00587BD6">
        <w:rPr>
          <w:rFonts w:ascii="Calibri" w:hAnsi="Calibri"/>
        </w:rPr>
        <w:t>, and community cohesion, and contribute to Wales being a globally responsible country.</w:t>
      </w:r>
    </w:p>
    <w:p w:rsidR="003F5297" w:rsidRDefault="00770467" w:rsidP="00350E63">
      <w:pPr>
        <w:spacing w:after="120"/>
        <w:rPr>
          <w:rFonts w:ascii="Calibri" w:hAnsi="Calibri"/>
        </w:rPr>
      </w:pPr>
      <w:r w:rsidRPr="003F5297">
        <w:rPr>
          <w:rFonts w:ascii="Calibri" w:hAnsi="Calibri"/>
        </w:rPr>
        <w:t xml:space="preserve">In addition to generating </w:t>
      </w:r>
      <w:r w:rsidR="00BC4A20">
        <w:rPr>
          <w:rFonts w:ascii="Calibri" w:hAnsi="Calibri"/>
        </w:rPr>
        <w:t xml:space="preserve">new </w:t>
      </w:r>
      <w:r w:rsidRPr="003F5297">
        <w:rPr>
          <w:rFonts w:ascii="Calibri" w:hAnsi="Calibri"/>
        </w:rPr>
        <w:t xml:space="preserve">evidence to inform </w:t>
      </w:r>
      <w:r w:rsidR="00E20FCB">
        <w:rPr>
          <w:rFonts w:ascii="Calibri" w:hAnsi="Calibri"/>
        </w:rPr>
        <w:t xml:space="preserve">and support </w:t>
      </w:r>
      <w:r w:rsidR="003F5297" w:rsidRPr="003F5297">
        <w:rPr>
          <w:rFonts w:ascii="Calibri" w:hAnsi="Calibri"/>
        </w:rPr>
        <w:t>LAQM policy and practice development, this study highlight</w:t>
      </w:r>
      <w:r w:rsidR="00E20FCB">
        <w:rPr>
          <w:rFonts w:ascii="Calibri" w:hAnsi="Calibri"/>
        </w:rPr>
        <w:t>s</w:t>
      </w:r>
      <w:r w:rsidR="003F5297" w:rsidRPr="003F5297">
        <w:rPr>
          <w:rFonts w:ascii="Calibri" w:hAnsi="Calibri"/>
        </w:rPr>
        <w:t xml:space="preserve"> the </w:t>
      </w:r>
      <w:r w:rsidR="00BC4A20">
        <w:rPr>
          <w:rFonts w:ascii="Calibri" w:hAnsi="Calibri"/>
        </w:rPr>
        <w:t xml:space="preserve">usefulness and </w:t>
      </w:r>
      <w:r w:rsidR="00E20FCB">
        <w:rPr>
          <w:rFonts w:ascii="Calibri" w:hAnsi="Calibri"/>
        </w:rPr>
        <w:t xml:space="preserve">applicability </w:t>
      </w:r>
      <w:r w:rsidR="003F5297" w:rsidRPr="008607A0">
        <w:rPr>
          <w:rFonts w:ascii="Calibri" w:hAnsi="Calibri"/>
        </w:rPr>
        <w:t>of</w:t>
      </w:r>
      <w:r w:rsidR="00BC4A20">
        <w:rPr>
          <w:rFonts w:ascii="Calibri" w:hAnsi="Calibri"/>
        </w:rPr>
        <w:t xml:space="preserve"> the</w:t>
      </w:r>
      <w:r w:rsidR="003F5297" w:rsidRPr="008607A0">
        <w:rPr>
          <w:rFonts w:ascii="Calibri" w:hAnsi="Calibri"/>
        </w:rPr>
        <w:t xml:space="preserve"> </w:t>
      </w:r>
      <w:r w:rsidR="000D2B73" w:rsidRPr="008607A0">
        <w:rPr>
          <w:rFonts w:ascii="Calibri" w:hAnsi="Calibri"/>
        </w:rPr>
        <w:t xml:space="preserve">Delphi </w:t>
      </w:r>
      <w:r w:rsidR="00BC4A20">
        <w:rPr>
          <w:rFonts w:ascii="Calibri" w:hAnsi="Calibri"/>
        </w:rPr>
        <w:t xml:space="preserve">technique </w:t>
      </w:r>
      <w:r w:rsidR="003F5297" w:rsidRPr="008607A0">
        <w:rPr>
          <w:rFonts w:ascii="Calibri" w:hAnsi="Calibri"/>
        </w:rPr>
        <w:t xml:space="preserve">in </w:t>
      </w:r>
      <w:r w:rsidR="00BC4A20">
        <w:rPr>
          <w:rFonts w:ascii="Calibri" w:hAnsi="Calibri"/>
        </w:rPr>
        <w:t xml:space="preserve">supporting </w:t>
      </w:r>
      <w:r w:rsidR="003F5297" w:rsidRPr="008607A0">
        <w:rPr>
          <w:rFonts w:ascii="Calibri" w:hAnsi="Calibri"/>
        </w:rPr>
        <w:t>complex environmental public health</w:t>
      </w:r>
      <w:r w:rsidR="00E20FCB">
        <w:rPr>
          <w:rFonts w:ascii="Calibri" w:hAnsi="Calibri"/>
        </w:rPr>
        <w:t xml:space="preserve"> research.</w:t>
      </w:r>
      <w:r w:rsidR="00385FA4">
        <w:rPr>
          <w:rFonts w:ascii="Calibri" w:hAnsi="Calibri"/>
        </w:rPr>
        <w:t xml:space="preserve"> </w:t>
      </w:r>
    </w:p>
    <w:p w:rsidR="008607A0" w:rsidRPr="008607A0" w:rsidRDefault="008607A0" w:rsidP="00350E63">
      <w:pPr>
        <w:spacing w:after="120"/>
        <w:rPr>
          <w:rFonts w:ascii="Calibri" w:hAnsi="Calibri"/>
          <w:i/>
        </w:rPr>
      </w:pPr>
      <w:r w:rsidRPr="008607A0">
        <w:rPr>
          <w:rFonts w:ascii="Calibri" w:hAnsi="Calibri"/>
          <w:i/>
        </w:rPr>
        <w:t>Limitations</w:t>
      </w:r>
    </w:p>
    <w:p w:rsidR="00D66464" w:rsidRDefault="006C6241" w:rsidP="009A034B">
      <w:pPr>
        <w:spacing w:after="120"/>
        <w:rPr>
          <w:rFonts w:ascii="Calibri" w:hAnsi="Calibri"/>
        </w:rPr>
      </w:pPr>
      <w:r>
        <w:rPr>
          <w:rFonts w:eastAsia="Times New Roman" w:cs="Times New Roman"/>
          <w:lang w:eastAsia="en-GB"/>
        </w:rPr>
        <w:t>The possible limitations of this study relate to the application of the Delphi technique</w:t>
      </w:r>
      <w:r w:rsidR="00421FC1">
        <w:rPr>
          <w:rFonts w:eastAsia="Times New Roman" w:cs="Times New Roman"/>
          <w:lang w:eastAsia="en-GB"/>
        </w:rPr>
        <w:t xml:space="preserve"> in this research context</w:t>
      </w:r>
      <w:r>
        <w:rPr>
          <w:rFonts w:eastAsia="Times New Roman" w:cs="Times New Roman"/>
          <w:lang w:eastAsia="en-GB"/>
        </w:rPr>
        <w:t>.</w:t>
      </w:r>
      <w:r w:rsidR="00421FC1">
        <w:rPr>
          <w:rFonts w:eastAsia="Times New Roman" w:cs="Times New Roman"/>
          <w:lang w:eastAsia="en-GB"/>
        </w:rPr>
        <w:t xml:space="preserve"> </w:t>
      </w:r>
      <w:r w:rsidR="009E33C6">
        <w:rPr>
          <w:rFonts w:eastAsia="Times New Roman" w:cs="Times New Roman"/>
          <w:lang w:eastAsia="en-GB"/>
        </w:rPr>
        <w:t>The strength of the</w:t>
      </w:r>
      <w:r>
        <w:rPr>
          <w:rFonts w:eastAsia="Times New Roman" w:cs="Times New Roman"/>
          <w:lang w:eastAsia="en-GB"/>
        </w:rPr>
        <w:t xml:space="preserve"> Delphi approach is that </w:t>
      </w:r>
      <w:r w:rsidR="009E33C6">
        <w:rPr>
          <w:rFonts w:eastAsia="Times New Roman" w:cs="Times New Roman"/>
          <w:lang w:eastAsia="en-GB"/>
        </w:rPr>
        <w:t xml:space="preserve">it is underpinned by </w:t>
      </w:r>
      <w:r w:rsidRPr="00D66464">
        <w:rPr>
          <w:rFonts w:eastAsia="Times New Roman" w:cs="Times New Roman"/>
          <w:lang w:eastAsia="en-GB"/>
        </w:rPr>
        <w:t>principles of anonymity and democratic participation</w:t>
      </w:r>
      <w:r w:rsidR="009E33C6">
        <w:rPr>
          <w:rFonts w:eastAsia="Times New Roman" w:cs="Times New Roman"/>
          <w:lang w:eastAsia="en-GB"/>
        </w:rPr>
        <w:t xml:space="preserve">, </w:t>
      </w:r>
      <w:r>
        <w:rPr>
          <w:rFonts w:eastAsia="Times New Roman" w:cs="Times New Roman"/>
          <w:lang w:eastAsia="en-GB"/>
        </w:rPr>
        <w:t xml:space="preserve">where </w:t>
      </w:r>
      <w:r w:rsidRPr="00D66464">
        <w:rPr>
          <w:rFonts w:eastAsia="Times New Roman" w:cs="Times New Roman"/>
          <w:lang w:eastAsia="en-GB"/>
        </w:rPr>
        <w:t xml:space="preserve">all </w:t>
      </w:r>
      <w:r w:rsidRPr="00D66464">
        <w:rPr>
          <w:rFonts w:ascii="Calibri" w:hAnsi="Calibri"/>
        </w:rPr>
        <w:t>panellists have equal op</w:t>
      </w:r>
      <w:r>
        <w:rPr>
          <w:rFonts w:ascii="Calibri" w:hAnsi="Calibri"/>
        </w:rPr>
        <w:t xml:space="preserve">portunity </w:t>
      </w:r>
      <w:r w:rsidRPr="00D66464">
        <w:rPr>
          <w:rFonts w:ascii="Calibri" w:hAnsi="Calibri"/>
        </w:rPr>
        <w:t>to influence</w:t>
      </w:r>
      <w:r w:rsidR="009E33C6">
        <w:rPr>
          <w:rFonts w:ascii="Calibri" w:hAnsi="Calibri"/>
        </w:rPr>
        <w:t xml:space="preserve"> the process</w:t>
      </w:r>
      <w:r w:rsidR="009C3F63">
        <w:rPr>
          <w:rFonts w:ascii="Calibri" w:hAnsi="Calibri"/>
        </w:rPr>
        <w:t xml:space="preserve"> </w:t>
      </w:r>
      <w:r w:rsidRPr="00D66464">
        <w:rPr>
          <w:rFonts w:eastAsia="Times New Roman" w:cs="Times New Roman"/>
          <w:lang w:eastAsia="en-GB"/>
        </w:rPr>
        <w:t>(</w:t>
      </w:r>
      <w:r w:rsidRPr="00D66464">
        <w:rPr>
          <w:rFonts w:eastAsia="Times New Roman" w:cs="Times New Roman"/>
          <w:color w:val="00B050"/>
          <w:lang w:eastAsia="en-GB"/>
        </w:rPr>
        <w:t xml:space="preserve">Day and </w:t>
      </w:r>
      <w:proofErr w:type="spellStart"/>
      <w:r w:rsidRPr="00D66464">
        <w:rPr>
          <w:rFonts w:eastAsia="Times New Roman" w:cs="Times New Roman"/>
          <w:color w:val="00B050"/>
          <w:lang w:eastAsia="en-GB"/>
        </w:rPr>
        <w:t>Bobeva</w:t>
      </w:r>
      <w:proofErr w:type="spellEnd"/>
      <w:r w:rsidRPr="00D66464">
        <w:rPr>
          <w:rFonts w:eastAsia="Times New Roman" w:cs="Times New Roman"/>
          <w:color w:val="00B050"/>
          <w:lang w:eastAsia="en-GB"/>
        </w:rPr>
        <w:t>, 2005</w:t>
      </w:r>
      <w:r w:rsidRPr="00D66464">
        <w:rPr>
          <w:rFonts w:eastAsia="Times New Roman" w:cs="Times New Roman"/>
          <w:lang w:eastAsia="en-GB"/>
        </w:rPr>
        <w:t>)</w:t>
      </w:r>
      <w:r w:rsidR="009E33C6">
        <w:rPr>
          <w:rFonts w:eastAsia="Times New Roman" w:cs="Times New Roman"/>
          <w:lang w:eastAsia="en-GB"/>
        </w:rPr>
        <w:t xml:space="preserve">. However, </w:t>
      </w:r>
      <w:r w:rsidR="009F7DCC">
        <w:rPr>
          <w:rFonts w:eastAsia="Times New Roman" w:cs="Times New Roman"/>
          <w:lang w:eastAsia="en-GB"/>
        </w:rPr>
        <w:t>some</w:t>
      </w:r>
      <w:r w:rsidR="009E33C6">
        <w:rPr>
          <w:rFonts w:eastAsia="Times New Roman" w:cs="Times New Roman"/>
          <w:lang w:eastAsia="en-GB"/>
        </w:rPr>
        <w:t xml:space="preserve"> </w:t>
      </w:r>
      <w:r w:rsidR="00421FC1">
        <w:rPr>
          <w:rFonts w:eastAsia="Times New Roman" w:cs="Times New Roman"/>
          <w:lang w:eastAsia="en-GB"/>
        </w:rPr>
        <w:t xml:space="preserve">aspects </w:t>
      </w:r>
      <w:r w:rsidR="009E33C6">
        <w:rPr>
          <w:rFonts w:eastAsia="Times New Roman" w:cs="Times New Roman"/>
          <w:lang w:eastAsia="en-GB"/>
        </w:rPr>
        <w:t xml:space="preserve">are </w:t>
      </w:r>
      <w:r w:rsidR="00421FC1">
        <w:rPr>
          <w:rFonts w:eastAsia="Times New Roman" w:cs="Times New Roman"/>
          <w:lang w:eastAsia="en-GB"/>
        </w:rPr>
        <w:t>open to interpretation</w:t>
      </w:r>
      <w:r w:rsidR="009E33C6">
        <w:rPr>
          <w:rFonts w:eastAsia="Times New Roman" w:cs="Times New Roman"/>
          <w:lang w:eastAsia="en-GB"/>
        </w:rPr>
        <w:t>, and so it is important to reflect on the steps taken in this study to assure validity and reliability</w:t>
      </w:r>
      <w:r w:rsidR="009F7DCC">
        <w:rPr>
          <w:rFonts w:eastAsia="Times New Roman" w:cs="Times New Roman"/>
          <w:lang w:eastAsia="en-GB"/>
        </w:rPr>
        <w:t>, as follows</w:t>
      </w:r>
      <w:r w:rsidR="009E33C6">
        <w:rPr>
          <w:rFonts w:eastAsia="Times New Roman" w:cs="Times New Roman"/>
          <w:lang w:eastAsia="en-GB"/>
        </w:rPr>
        <w:t>:</w:t>
      </w:r>
      <w:r w:rsidR="00D66464">
        <w:rPr>
          <w:rFonts w:ascii="Calibri" w:hAnsi="Calibri"/>
        </w:rPr>
        <w:t xml:space="preserve"> </w:t>
      </w:r>
    </w:p>
    <w:p w:rsidR="006721E8" w:rsidRDefault="006721E8" w:rsidP="004B3A25">
      <w:pPr>
        <w:pStyle w:val="ListParagraph"/>
        <w:numPr>
          <w:ilvl w:val="0"/>
          <w:numId w:val="17"/>
        </w:numPr>
        <w:spacing w:before="0" w:after="120" w:line="276" w:lineRule="auto"/>
        <w:ind w:left="567" w:hanging="283"/>
        <w:rPr>
          <w:rFonts w:asciiTheme="minorHAnsi" w:hAnsiTheme="minorHAnsi"/>
          <w:sz w:val="22"/>
          <w:szCs w:val="22"/>
        </w:rPr>
      </w:pPr>
      <w:r w:rsidRPr="006721E8">
        <w:rPr>
          <w:rFonts w:asciiTheme="minorHAnsi" w:hAnsiTheme="minorHAnsi"/>
          <w:i/>
          <w:sz w:val="22"/>
          <w:szCs w:val="22"/>
        </w:rPr>
        <w:t>H</w:t>
      </w:r>
      <w:r w:rsidR="00061768" w:rsidRPr="006721E8">
        <w:rPr>
          <w:rFonts w:asciiTheme="minorHAnsi" w:hAnsiTheme="minorHAnsi"/>
          <w:i/>
          <w:sz w:val="22"/>
          <w:szCs w:val="22"/>
        </w:rPr>
        <w:t>ow many survey rounds</w:t>
      </w:r>
      <w:r w:rsidR="00061768" w:rsidRPr="00F544FD">
        <w:rPr>
          <w:rFonts w:asciiTheme="minorHAnsi" w:hAnsiTheme="minorHAnsi"/>
          <w:sz w:val="22"/>
          <w:szCs w:val="22"/>
        </w:rPr>
        <w:t xml:space="preserve">? </w:t>
      </w:r>
      <w:r w:rsidR="00F2000F" w:rsidRPr="00F544FD">
        <w:rPr>
          <w:rFonts w:asciiTheme="minorHAnsi" w:hAnsiTheme="minorHAnsi"/>
          <w:sz w:val="22"/>
          <w:szCs w:val="22"/>
        </w:rPr>
        <w:t>To instil</w:t>
      </w:r>
      <w:r w:rsidR="004B3A25">
        <w:rPr>
          <w:rFonts w:asciiTheme="minorHAnsi" w:hAnsiTheme="minorHAnsi"/>
          <w:sz w:val="22"/>
          <w:szCs w:val="22"/>
        </w:rPr>
        <w:t>l</w:t>
      </w:r>
      <w:r w:rsidR="00F2000F" w:rsidRPr="00F544FD">
        <w:rPr>
          <w:rFonts w:asciiTheme="minorHAnsi" w:hAnsiTheme="minorHAnsi"/>
          <w:sz w:val="22"/>
          <w:szCs w:val="22"/>
        </w:rPr>
        <w:t xml:space="preserve"> confidence and </w:t>
      </w:r>
      <w:proofErr w:type="spellStart"/>
      <w:r w:rsidR="00F2000F" w:rsidRPr="00F544FD">
        <w:rPr>
          <w:rFonts w:asciiTheme="minorHAnsi" w:hAnsiTheme="minorHAnsi"/>
          <w:sz w:val="22"/>
          <w:szCs w:val="22"/>
        </w:rPr>
        <w:t>rigour</w:t>
      </w:r>
      <w:proofErr w:type="spellEnd"/>
      <w:r w:rsidR="00F2000F" w:rsidRPr="00F544FD">
        <w:rPr>
          <w:rFonts w:asciiTheme="minorHAnsi" w:hAnsiTheme="minorHAnsi"/>
          <w:sz w:val="22"/>
          <w:szCs w:val="22"/>
        </w:rPr>
        <w:t xml:space="preserve">, </w:t>
      </w:r>
      <w:r w:rsidR="00061768" w:rsidRPr="00F544FD">
        <w:rPr>
          <w:rFonts w:asciiTheme="minorHAnsi" w:hAnsiTheme="minorHAnsi"/>
          <w:sz w:val="22"/>
          <w:szCs w:val="22"/>
        </w:rPr>
        <w:t>a general rule</w:t>
      </w:r>
      <w:r>
        <w:rPr>
          <w:rFonts w:asciiTheme="minorHAnsi" w:hAnsiTheme="minorHAnsi"/>
          <w:sz w:val="22"/>
          <w:szCs w:val="22"/>
        </w:rPr>
        <w:t xml:space="preserve"> is</w:t>
      </w:r>
      <w:r w:rsidR="00061768" w:rsidRPr="00F544FD">
        <w:rPr>
          <w:rFonts w:asciiTheme="minorHAnsi" w:hAnsiTheme="minorHAnsi"/>
          <w:sz w:val="22"/>
          <w:szCs w:val="22"/>
        </w:rPr>
        <w:t xml:space="preserve"> for researchers to</w:t>
      </w:r>
      <w:r w:rsidR="00F2000F" w:rsidRPr="00F544FD">
        <w:rPr>
          <w:rFonts w:asciiTheme="minorHAnsi" w:hAnsiTheme="minorHAnsi"/>
          <w:sz w:val="22"/>
          <w:szCs w:val="22"/>
        </w:rPr>
        <w:t xml:space="preserve"> commit to provide feedback to </w:t>
      </w:r>
      <w:proofErr w:type="spellStart"/>
      <w:r w:rsidR="00F2000F" w:rsidRPr="00F544FD">
        <w:rPr>
          <w:rFonts w:asciiTheme="minorHAnsi" w:hAnsiTheme="minorHAnsi"/>
          <w:sz w:val="22"/>
          <w:szCs w:val="22"/>
        </w:rPr>
        <w:t>panellists</w:t>
      </w:r>
      <w:proofErr w:type="spellEnd"/>
      <w:r w:rsidR="00F2000F" w:rsidRPr="00F544FD">
        <w:rPr>
          <w:rFonts w:asciiTheme="minorHAnsi" w:hAnsiTheme="minorHAnsi"/>
          <w:sz w:val="22"/>
          <w:szCs w:val="22"/>
        </w:rPr>
        <w:t xml:space="preserve"> over at least two survey rounds (</w:t>
      </w:r>
      <w:r w:rsidR="00F2000F" w:rsidRPr="00F544FD">
        <w:rPr>
          <w:rFonts w:asciiTheme="minorHAnsi" w:hAnsiTheme="minorHAnsi"/>
          <w:color w:val="00B050"/>
          <w:sz w:val="22"/>
          <w:szCs w:val="22"/>
        </w:rPr>
        <w:t xml:space="preserve">Day and </w:t>
      </w:r>
      <w:proofErr w:type="spellStart"/>
      <w:r w:rsidR="00F2000F" w:rsidRPr="00F544FD">
        <w:rPr>
          <w:rFonts w:asciiTheme="minorHAnsi" w:hAnsiTheme="minorHAnsi"/>
          <w:color w:val="00B050"/>
          <w:sz w:val="22"/>
          <w:szCs w:val="22"/>
        </w:rPr>
        <w:t>Bobeva</w:t>
      </w:r>
      <w:proofErr w:type="spellEnd"/>
      <w:r w:rsidR="00F2000F" w:rsidRPr="00F544FD">
        <w:rPr>
          <w:rFonts w:asciiTheme="minorHAnsi" w:hAnsiTheme="minorHAnsi"/>
          <w:color w:val="00B050"/>
          <w:sz w:val="22"/>
          <w:szCs w:val="22"/>
        </w:rPr>
        <w:t xml:space="preserve">, </w:t>
      </w:r>
      <w:r w:rsidR="00F2000F" w:rsidRPr="00F544FD">
        <w:rPr>
          <w:rFonts w:asciiTheme="minorHAnsi" w:hAnsiTheme="minorHAnsi"/>
          <w:color w:val="00B050"/>
          <w:sz w:val="22"/>
          <w:szCs w:val="22"/>
        </w:rPr>
        <w:lastRenderedPageBreak/>
        <w:t>2005</w:t>
      </w:r>
      <w:r w:rsidR="00F2000F" w:rsidRPr="00F544FD">
        <w:rPr>
          <w:rFonts w:asciiTheme="minorHAnsi" w:hAnsiTheme="minorHAnsi"/>
          <w:sz w:val="22"/>
          <w:szCs w:val="22"/>
        </w:rPr>
        <w:t>).</w:t>
      </w:r>
      <w:r w:rsidR="00061768" w:rsidRPr="00F544FD">
        <w:rPr>
          <w:rFonts w:asciiTheme="minorHAnsi" w:hAnsiTheme="minorHAnsi"/>
          <w:sz w:val="22"/>
          <w:szCs w:val="22"/>
        </w:rPr>
        <w:t xml:space="preserve"> T</w:t>
      </w:r>
      <w:r w:rsidR="007E111E" w:rsidRPr="00F544FD">
        <w:rPr>
          <w:rFonts w:asciiTheme="minorHAnsi" w:hAnsiTheme="minorHAnsi"/>
          <w:sz w:val="22"/>
          <w:szCs w:val="22"/>
        </w:rPr>
        <w:t xml:space="preserve">his study </w:t>
      </w:r>
      <w:r w:rsidR="00061768" w:rsidRPr="00F544FD">
        <w:rPr>
          <w:rFonts w:asciiTheme="minorHAnsi" w:hAnsiTheme="minorHAnsi"/>
          <w:sz w:val="22"/>
          <w:szCs w:val="22"/>
        </w:rPr>
        <w:t>had</w:t>
      </w:r>
      <w:r w:rsidR="007E111E" w:rsidRPr="00F544FD">
        <w:rPr>
          <w:rFonts w:asciiTheme="minorHAnsi" w:hAnsiTheme="minorHAnsi"/>
          <w:sz w:val="22"/>
          <w:szCs w:val="22"/>
        </w:rPr>
        <w:t xml:space="preserve"> three rounds</w:t>
      </w:r>
      <w:r w:rsidR="00061768" w:rsidRPr="00F544FD">
        <w:rPr>
          <w:rFonts w:asciiTheme="minorHAnsi" w:hAnsiTheme="minorHAnsi"/>
          <w:sz w:val="22"/>
          <w:szCs w:val="22"/>
        </w:rPr>
        <w:t>, and a</w:t>
      </w:r>
      <w:r w:rsidR="007E111E" w:rsidRPr="00F544FD">
        <w:rPr>
          <w:rFonts w:asciiTheme="minorHAnsi" w:hAnsiTheme="minorHAnsi"/>
          <w:sz w:val="22"/>
          <w:szCs w:val="22"/>
        </w:rPr>
        <w:t xml:space="preserve"> ‘classic’</w:t>
      </w:r>
      <w:r w:rsidR="00F2000F" w:rsidRPr="00F544FD">
        <w:rPr>
          <w:rFonts w:asciiTheme="minorHAnsi" w:hAnsiTheme="minorHAnsi"/>
          <w:sz w:val="22"/>
          <w:szCs w:val="22"/>
        </w:rPr>
        <w:t xml:space="preserve"> </w:t>
      </w:r>
      <w:r w:rsidR="007E111E" w:rsidRPr="00F544FD">
        <w:rPr>
          <w:rFonts w:asciiTheme="minorHAnsi" w:hAnsiTheme="minorHAnsi"/>
          <w:sz w:val="22"/>
          <w:szCs w:val="22"/>
        </w:rPr>
        <w:t xml:space="preserve">design was </w:t>
      </w:r>
      <w:r w:rsidR="00061768" w:rsidRPr="00F544FD">
        <w:rPr>
          <w:rFonts w:asciiTheme="minorHAnsi" w:hAnsiTheme="minorHAnsi"/>
          <w:sz w:val="22"/>
          <w:szCs w:val="22"/>
        </w:rPr>
        <w:t xml:space="preserve">selected </w:t>
      </w:r>
      <w:r w:rsidR="00F2000F" w:rsidRPr="00F544FD">
        <w:rPr>
          <w:rFonts w:asciiTheme="minorHAnsi" w:hAnsiTheme="minorHAnsi"/>
          <w:sz w:val="22"/>
          <w:szCs w:val="22"/>
        </w:rPr>
        <w:t xml:space="preserve">over other </w:t>
      </w:r>
      <w:r w:rsidR="00061768" w:rsidRPr="00F544FD">
        <w:rPr>
          <w:rFonts w:asciiTheme="minorHAnsi" w:hAnsiTheme="minorHAnsi"/>
          <w:sz w:val="22"/>
          <w:szCs w:val="22"/>
        </w:rPr>
        <w:t>Delphi variant</w:t>
      </w:r>
      <w:r>
        <w:rPr>
          <w:rFonts w:asciiTheme="minorHAnsi" w:hAnsiTheme="minorHAnsi"/>
          <w:sz w:val="22"/>
          <w:szCs w:val="22"/>
        </w:rPr>
        <w:t>s</w:t>
      </w:r>
      <w:r w:rsidR="004B3A25">
        <w:rPr>
          <w:rFonts w:asciiTheme="minorHAnsi" w:hAnsiTheme="minorHAnsi"/>
          <w:sz w:val="22"/>
          <w:szCs w:val="22"/>
        </w:rPr>
        <w:t xml:space="preserve"> because</w:t>
      </w:r>
      <w:r w:rsidR="00B80F3B" w:rsidRPr="00F544FD">
        <w:rPr>
          <w:rFonts w:asciiTheme="minorHAnsi" w:hAnsiTheme="minorHAnsi"/>
          <w:sz w:val="22"/>
          <w:szCs w:val="22"/>
        </w:rPr>
        <w:t xml:space="preserve"> </w:t>
      </w:r>
      <w:r w:rsidR="00F2000F" w:rsidRPr="00F544FD">
        <w:rPr>
          <w:rFonts w:asciiTheme="minorHAnsi" w:hAnsiTheme="minorHAnsi"/>
          <w:sz w:val="22"/>
          <w:szCs w:val="22"/>
          <w:lang w:eastAsia="en-GB"/>
        </w:rPr>
        <w:t>existing evidence was limited and</w:t>
      </w:r>
      <w:r>
        <w:rPr>
          <w:rFonts w:asciiTheme="minorHAnsi" w:hAnsiTheme="minorHAnsi"/>
          <w:sz w:val="22"/>
          <w:szCs w:val="22"/>
          <w:lang w:eastAsia="en-GB"/>
        </w:rPr>
        <w:t xml:space="preserve"> a</w:t>
      </w:r>
      <w:r w:rsidR="00061768" w:rsidRPr="00F544FD">
        <w:rPr>
          <w:rFonts w:asciiTheme="minorHAnsi" w:hAnsiTheme="minorHAnsi"/>
          <w:sz w:val="22"/>
          <w:szCs w:val="22"/>
          <w:lang w:eastAsia="en-GB"/>
        </w:rPr>
        <w:t xml:space="preserve"> </w:t>
      </w:r>
      <w:r w:rsidR="00F2000F" w:rsidRPr="00F544FD">
        <w:rPr>
          <w:rFonts w:asciiTheme="minorHAnsi" w:hAnsiTheme="minorHAnsi"/>
          <w:sz w:val="22"/>
          <w:szCs w:val="22"/>
          <w:lang w:eastAsia="en-GB"/>
        </w:rPr>
        <w:t xml:space="preserve">first </w:t>
      </w:r>
      <w:r>
        <w:rPr>
          <w:rFonts w:asciiTheme="minorHAnsi" w:hAnsiTheme="minorHAnsi"/>
          <w:sz w:val="22"/>
          <w:szCs w:val="22"/>
          <w:lang w:eastAsia="en-GB"/>
        </w:rPr>
        <w:t xml:space="preserve">idea-generation </w:t>
      </w:r>
      <w:r w:rsidR="00061768" w:rsidRPr="00F544FD">
        <w:rPr>
          <w:rFonts w:asciiTheme="minorHAnsi" w:hAnsiTheme="minorHAnsi"/>
          <w:sz w:val="22"/>
          <w:szCs w:val="22"/>
          <w:lang w:eastAsia="en-GB"/>
        </w:rPr>
        <w:t>round</w:t>
      </w:r>
      <w:r>
        <w:rPr>
          <w:rFonts w:asciiTheme="minorHAnsi" w:hAnsiTheme="minorHAnsi"/>
          <w:sz w:val="22"/>
          <w:szCs w:val="22"/>
          <w:lang w:eastAsia="en-GB"/>
        </w:rPr>
        <w:t xml:space="preserve"> was required</w:t>
      </w:r>
      <w:r w:rsidR="00F2000F" w:rsidRPr="00F544FD">
        <w:rPr>
          <w:rFonts w:asciiTheme="minorHAnsi" w:hAnsiTheme="minorHAnsi"/>
          <w:sz w:val="22"/>
          <w:szCs w:val="22"/>
          <w:lang w:eastAsia="en-GB"/>
        </w:rPr>
        <w:t>.</w:t>
      </w:r>
    </w:p>
    <w:p w:rsidR="008F6C41" w:rsidRPr="008F6C41" w:rsidRDefault="006721E8" w:rsidP="004B3A25">
      <w:pPr>
        <w:pStyle w:val="ListParagraph"/>
        <w:numPr>
          <w:ilvl w:val="0"/>
          <w:numId w:val="17"/>
        </w:numPr>
        <w:spacing w:before="0" w:after="120" w:line="276" w:lineRule="auto"/>
        <w:ind w:left="567" w:hanging="283"/>
        <w:rPr>
          <w:rFonts w:asciiTheme="minorHAnsi" w:hAnsiTheme="minorHAnsi"/>
          <w:sz w:val="22"/>
          <w:szCs w:val="22"/>
        </w:rPr>
      </w:pPr>
      <w:r w:rsidRPr="006721E8">
        <w:rPr>
          <w:rFonts w:asciiTheme="minorHAnsi" w:hAnsiTheme="minorHAnsi"/>
          <w:i/>
          <w:sz w:val="22"/>
          <w:szCs w:val="22"/>
        </w:rPr>
        <w:t>Who is an</w:t>
      </w:r>
      <w:r w:rsidR="00061768" w:rsidRPr="006721E8">
        <w:rPr>
          <w:rFonts w:asciiTheme="minorHAnsi" w:hAnsiTheme="minorHAnsi"/>
          <w:i/>
          <w:sz w:val="22"/>
          <w:szCs w:val="22"/>
        </w:rPr>
        <w:t xml:space="preserve"> </w:t>
      </w:r>
      <w:r w:rsidR="00B80F3B" w:rsidRPr="006721E8">
        <w:rPr>
          <w:rFonts w:asciiTheme="minorHAnsi" w:hAnsiTheme="minorHAnsi"/>
          <w:i/>
          <w:sz w:val="22"/>
          <w:szCs w:val="22"/>
        </w:rPr>
        <w:t>‘expert’</w:t>
      </w:r>
      <w:r w:rsidRPr="008F6C41">
        <w:rPr>
          <w:rFonts w:asciiTheme="minorHAnsi" w:hAnsiTheme="minorHAnsi"/>
          <w:sz w:val="22"/>
          <w:szCs w:val="22"/>
        </w:rPr>
        <w:t>?</w:t>
      </w:r>
      <w:r w:rsidR="00B80F3B" w:rsidRPr="00F544FD">
        <w:rPr>
          <w:rFonts w:asciiTheme="minorHAnsi" w:hAnsiTheme="minorHAnsi"/>
          <w:sz w:val="22"/>
          <w:szCs w:val="22"/>
        </w:rPr>
        <w:t xml:space="preserve"> </w:t>
      </w:r>
      <w:r w:rsidR="00C7013D">
        <w:rPr>
          <w:rFonts w:asciiTheme="minorHAnsi" w:hAnsiTheme="minorHAnsi"/>
          <w:sz w:val="22"/>
          <w:szCs w:val="22"/>
        </w:rPr>
        <w:t xml:space="preserve">Appropriate selection of </w:t>
      </w:r>
      <w:proofErr w:type="spellStart"/>
      <w:r w:rsidR="00061768" w:rsidRPr="00F544FD">
        <w:rPr>
          <w:rFonts w:asciiTheme="minorHAnsi" w:hAnsiTheme="minorHAnsi"/>
          <w:sz w:val="22"/>
          <w:szCs w:val="22"/>
        </w:rPr>
        <w:t>panellists</w:t>
      </w:r>
      <w:proofErr w:type="spellEnd"/>
      <w:r w:rsidR="00B80F3B" w:rsidRPr="00F544FD">
        <w:rPr>
          <w:rFonts w:asciiTheme="minorHAnsi" w:hAnsiTheme="minorHAnsi"/>
          <w:sz w:val="22"/>
          <w:szCs w:val="22"/>
        </w:rPr>
        <w:t xml:space="preserve"> is</w:t>
      </w:r>
      <w:r w:rsidR="00061768" w:rsidRPr="00F544FD">
        <w:rPr>
          <w:rFonts w:asciiTheme="minorHAnsi" w:hAnsiTheme="minorHAnsi"/>
          <w:sz w:val="22"/>
          <w:szCs w:val="22"/>
        </w:rPr>
        <w:t xml:space="preserve"> </w:t>
      </w:r>
      <w:r w:rsidR="00C7013D">
        <w:rPr>
          <w:rFonts w:asciiTheme="minorHAnsi" w:hAnsiTheme="minorHAnsi"/>
          <w:sz w:val="22"/>
          <w:szCs w:val="22"/>
        </w:rPr>
        <w:t>a critical process</w:t>
      </w:r>
      <w:r w:rsidR="00061768" w:rsidRPr="00F544FD">
        <w:rPr>
          <w:rFonts w:asciiTheme="minorHAnsi" w:hAnsiTheme="minorHAnsi"/>
          <w:sz w:val="22"/>
          <w:szCs w:val="22"/>
        </w:rPr>
        <w:t>;</w:t>
      </w:r>
      <w:r w:rsidR="00B80F3B" w:rsidRPr="00F544FD">
        <w:rPr>
          <w:rFonts w:asciiTheme="minorHAnsi" w:hAnsiTheme="minorHAnsi"/>
          <w:sz w:val="22"/>
          <w:szCs w:val="22"/>
        </w:rPr>
        <w:t xml:space="preserve"> </w:t>
      </w:r>
      <w:r w:rsidR="00061768" w:rsidRPr="00F544FD">
        <w:rPr>
          <w:rFonts w:asciiTheme="minorHAnsi" w:hAnsiTheme="minorHAnsi"/>
          <w:sz w:val="22"/>
          <w:szCs w:val="22"/>
        </w:rPr>
        <w:t>selection bias introduced by</w:t>
      </w:r>
      <w:r w:rsidR="00C7013D">
        <w:rPr>
          <w:rFonts w:asciiTheme="minorHAnsi" w:hAnsiTheme="minorHAnsi"/>
          <w:sz w:val="22"/>
          <w:szCs w:val="22"/>
        </w:rPr>
        <w:t xml:space="preserve"> choosing</w:t>
      </w:r>
      <w:r w:rsidR="00B80F3B" w:rsidRPr="00F544FD">
        <w:rPr>
          <w:rFonts w:asciiTheme="minorHAnsi" w:hAnsiTheme="minorHAnsi"/>
          <w:sz w:val="22"/>
          <w:szCs w:val="22"/>
        </w:rPr>
        <w:t xml:space="preserve"> the wrong </w:t>
      </w:r>
      <w:r w:rsidR="00061768" w:rsidRPr="00F544FD">
        <w:rPr>
          <w:rFonts w:asciiTheme="minorHAnsi" w:hAnsiTheme="minorHAnsi"/>
          <w:sz w:val="22"/>
          <w:szCs w:val="22"/>
        </w:rPr>
        <w:t>experts</w:t>
      </w:r>
      <w:r w:rsidR="00B80F3B" w:rsidRPr="00F544FD">
        <w:rPr>
          <w:rFonts w:asciiTheme="minorHAnsi" w:hAnsiTheme="minorHAnsi"/>
          <w:sz w:val="22"/>
          <w:szCs w:val="22"/>
        </w:rPr>
        <w:t xml:space="preserve"> can seriously affect </w:t>
      </w:r>
      <w:r w:rsidR="00061768" w:rsidRPr="00F544FD">
        <w:rPr>
          <w:rFonts w:asciiTheme="minorHAnsi" w:hAnsiTheme="minorHAnsi"/>
          <w:sz w:val="22"/>
          <w:szCs w:val="22"/>
        </w:rPr>
        <w:t xml:space="preserve">study </w:t>
      </w:r>
      <w:r w:rsidR="00B80F3B" w:rsidRPr="00F544FD">
        <w:rPr>
          <w:rFonts w:asciiTheme="minorHAnsi" w:hAnsiTheme="minorHAnsi"/>
          <w:sz w:val="22"/>
          <w:szCs w:val="22"/>
        </w:rPr>
        <w:t xml:space="preserve">validity and reliability. </w:t>
      </w:r>
      <w:r w:rsidR="009F7DCC">
        <w:rPr>
          <w:rFonts w:asciiTheme="minorHAnsi" w:hAnsiTheme="minorHAnsi"/>
          <w:sz w:val="22"/>
          <w:szCs w:val="22"/>
        </w:rPr>
        <w:t>T</w:t>
      </w:r>
      <w:r w:rsidR="00061768" w:rsidRPr="00F544FD">
        <w:rPr>
          <w:rFonts w:asciiTheme="minorHAnsi" w:hAnsiTheme="minorHAnsi"/>
          <w:sz w:val="22"/>
          <w:szCs w:val="22"/>
        </w:rPr>
        <w:t xml:space="preserve">o </w:t>
      </w:r>
      <w:proofErr w:type="spellStart"/>
      <w:r w:rsidR="00061768" w:rsidRPr="00F544FD">
        <w:rPr>
          <w:rFonts w:asciiTheme="minorHAnsi" w:hAnsiTheme="minorHAnsi"/>
          <w:sz w:val="22"/>
          <w:szCs w:val="22"/>
        </w:rPr>
        <w:t>minimise</w:t>
      </w:r>
      <w:proofErr w:type="spellEnd"/>
      <w:r w:rsidR="00061768" w:rsidRPr="00F544FD">
        <w:rPr>
          <w:rFonts w:asciiTheme="minorHAnsi" w:hAnsiTheme="minorHAnsi"/>
          <w:sz w:val="22"/>
          <w:szCs w:val="22"/>
        </w:rPr>
        <w:t xml:space="preserve"> bias</w:t>
      </w:r>
      <w:r w:rsidR="009F7DCC">
        <w:rPr>
          <w:rFonts w:asciiTheme="minorHAnsi" w:hAnsiTheme="minorHAnsi"/>
          <w:sz w:val="22"/>
          <w:szCs w:val="22"/>
        </w:rPr>
        <w:t xml:space="preserve"> here</w:t>
      </w:r>
      <w:r w:rsidR="00061768" w:rsidRPr="00F544FD">
        <w:rPr>
          <w:rFonts w:asciiTheme="minorHAnsi" w:hAnsiTheme="minorHAnsi"/>
          <w:sz w:val="22"/>
          <w:szCs w:val="22"/>
        </w:rPr>
        <w:t xml:space="preserve">, </w:t>
      </w:r>
      <w:r w:rsidR="009F7DCC">
        <w:rPr>
          <w:rFonts w:asciiTheme="minorHAnsi" w:hAnsiTheme="minorHAnsi"/>
          <w:sz w:val="22"/>
          <w:szCs w:val="22"/>
        </w:rPr>
        <w:t>only ‘professional</w:t>
      </w:r>
      <w:r w:rsidR="00860D7E">
        <w:rPr>
          <w:rFonts w:asciiTheme="minorHAnsi" w:hAnsiTheme="minorHAnsi"/>
          <w:sz w:val="22"/>
          <w:szCs w:val="22"/>
        </w:rPr>
        <w:t>’</w:t>
      </w:r>
      <w:r w:rsidR="00B80F3B" w:rsidRPr="00F544FD">
        <w:rPr>
          <w:rFonts w:asciiTheme="minorHAnsi" w:hAnsiTheme="minorHAnsi"/>
          <w:sz w:val="22"/>
          <w:szCs w:val="22"/>
        </w:rPr>
        <w:t xml:space="preserve"> expert</w:t>
      </w:r>
      <w:r>
        <w:rPr>
          <w:rFonts w:asciiTheme="minorHAnsi" w:hAnsiTheme="minorHAnsi"/>
          <w:sz w:val="22"/>
          <w:szCs w:val="22"/>
        </w:rPr>
        <w:t>s</w:t>
      </w:r>
      <w:r w:rsidR="00B80F3B" w:rsidRPr="00F544FD">
        <w:rPr>
          <w:rFonts w:asciiTheme="minorHAnsi" w:hAnsiTheme="minorHAnsi"/>
          <w:sz w:val="22"/>
          <w:szCs w:val="22"/>
        </w:rPr>
        <w:t xml:space="preserve"> </w:t>
      </w:r>
      <w:r>
        <w:rPr>
          <w:rFonts w:asciiTheme="minorHAnsi" w:hAnsiTheme="minorHAnsi"/>
          <w:sz w:val="22"/>
          <w:szCs w:val="22"/>
        </w:rPr>
        <w:t>were engaged (</w:t>
      </w:r>
      <w:r w:rsidR="00101190">
        <w:rPr>
          <w:rFonts w:asciiTheme="minorHAnsi" w:hAnsiTheme="minorHAnsi"/>
          <w:sz w:val="22"/>
          <w:szCs w:val="22"/>
        </w:rPr>
        <w:t xml:space="preserve">through </w:t>
      </w:r>
      <w:r w:rsidR="00061768" w:rsidRPr="00F544FD">
        <w:rPr>
          <w:rFonts w:asciiTheme="minorHAnsi" w:hAnsiTheme="minorHAnsi"/>
          <w:sz w:val="22"/>
          <w:szCs w:val="22"/>
        </w:rPr>
        <w:t xml:space="preserve">a </w:t>
      </w:r>
      <w:r w:rsidR="00101190">
        <w:rPr>
          <w:rFonts w:asciiTheme="minorHAnsi" w:hAnsiTheme="minorHAnsi"/>
          <w:sz w:val="22"/>
          <w:szCs w:val="22"/>
        </w:rPr>
        <w:t xml:space="preserve">process of </w:t>
      </w:r>
      <w:r w:rsidR="00061768" w:rsidRPr="00F544FD">
        <w:rPr>
          <w:rFonts w:asciiTheme="minorHAnsi" w:hAnsiTheme="minorHAnsi"/>
          <w:sz w:val="22"/>
          <w:szCs w:val="22"/>
        </w:rPr>
        <w:t xml:space="preserve">systematic </w:t>
      </w:r>
      <w:r w:rsidRPr="008F6C41">
        <w:rPr>
          <w:rFonts w:asciiTheme="minorHAnsi" w:hAnsiTheme="minorHAnsi"/>
          <w:sz w:val="22"/>
          <w:szCs w:val="22"/>
        </w:rPr>
        <w:t xml:space="preserve">identification and </w:t>
      </w:r>
      <w:r w:rsidR="007F3D44" w:rsidRPr="008F6C41">
        <w:rPr>
          <w:rFonts w:asciiTheme="minorHAnsi" w:hAnsiTheme="minorHAnsi"/>
          <w:sz w:val="22"/>
          <w:szCs w:val="22"/>
          <w:lang w:eastAsia="en-GB"/>
        </w:rPr>
        <w:t>peer-</w:t>
      </w:r>
      <w:r w:rsidR="00061768" w:rsidRPr="008F6C41">
        <w:rPr>
          <w:rFonts w:asciiTheme="minorHAnsi" w:hAnsiTheme="minorHAnsi"/>
          <w:sz w:val="22"/>
          <w:szCs w:val="22"/>
          <w:lang w:eastAsia="en-GB"/>
        </w:rPr>
        <w:t>recommendation</w:t>
      </w:r>
      <w:r w:rsidRPr="008F6C41">
        <w:rPr>
          <w:rFonts w:asciiTheme="minorHAnsi" w:hAnsiTheme="minorHAnsi"/>
          <w:sz w:val="22"/>
          <w:szCs w:val="22"/>
          <w:lang w:eastAsia="en-GB"/>
        </w:rPr>
        <w:t xml:space="preserve">) </w:t>
      </w:r>
      <w:r w:rsidR="00101190">
        <w:rPr>
          <w:rFonts w:asciiTheme="minorHAnsi" w:hAnsiTheme="minorHAnsi"/>
          <w:sz w:val="22"/>
          <w:szCs w:val="22"/>
          <w:lang w:eastAsia="en-GB"/>
        </w:rPr>
        <w:t xml:space="preserve">who met </w:t>
      </w:r>
      <w:r w:rsidRPr="008F6C41">
        <w:rPr>
          <w:rFonts w:asciiTheme="minorHAnsi" w:hAnsiTheme="minorHAnsi"/>
          <w:sz w:val="22"/>
          <w:szCs w:val="22"/>
        </w:rPr>
        <w:t xml:space="preserve">pre-agreed eligibility criteria. </w:t>
      </w:r>
      <w:r w:rsidR="00101190">
        <w:rPr>
          <w:rFonts w:asciiTheme="minorHAnsi" w:hAnsiTheme="minorHAnsi"/>
          <w:sz w:val="22"/>
          <w:szCs w:val="22"/>
        </w:rPr>
        <w:t xml:space="preserve">Involving </w:t>
      </w:r>
      <w:r w:rsidR="00185303" w:rsidRPr="008F6C41">
        <w:rPr>
          <w:rFonts w:asciiTheme="minorHAnsi" w:hAnsiTheme="minorHAnsi"/>
          <w:sz w:val="22"/>
          <w:szCs w:val="22"/>
          <w:lang w:eastAsia="en-GB"/>
        </w:rPr>
        <w:t>participant</w:t>
      </w:r>
      <w:r w:rsidR="00101190">
        <w:rPr>
          <w:rFonts w:asciiTheme="minorHAnsi" w:hAnsiTheme="minorHAnsi"/>
          <w:sz w:val="22"/>
          <w:szCs w:val="22"/>
          <w:lang w:eastAsia="en-GB"/>
        </w:rPr>
        <w:t>s with</w:t>
      </w:r>
      <w:r w:rsidR="00185303" w:rsidRPr="008F6C41">
        <w:rPr>
          <w:rFonts w:asciiTheme="minorHAnsi" w:hAnsiTheme="minorHAnsi"/>
          <w:sz w:val="22"/>
          <w:szCs w:val="22"/>
          <w:lang w:eastAsia="en-GB"/>
        </w:rPr>
        <w:t xml:space="preserve"> diverse</w:t>
      </w:r>
      <w:r w:rsidR="00101190">
        <w:rPr>
          <w:rFonts w:asciiTheme="minorHAnsi" w:hAnsiTheme="minorHAnsi"/>
          <w:sz w:val="22"/>
          <w:szCs w:val="22"/>
          <w:lang w:eastAsia="en-GB"/>
        </w:rPr>
        <w:t xml:space="preserve"> backgrounds avoided </w:t>
      </w:r>
      <w:r w:rsidR="00B80F3B" w:rsidRPr="008F6C41">
        <w:rPr>
          <w:rFonts w:asciiTheme="minorHAnsi" w:hAnsiTheme="minorHAnsi"/>
          <w:sz w:val="22"/>
          <w:szCs w:val="22"/>
        </w:rPr>
        <w:t xml:space="preserve">‘illusory </w:t>
      </w:r>
      <w:r w:rsidR="00101190">
        <w:rPr>
          <w:rFonts w:asciiTheme="minorHAnsi" w:hAnsiTheme="minorHAnsi"/>
          <w:sz w:val="22"/>
          <w:szCs w:val="22"/>
        </w:rPr>
        <w:t>expertise’ skewing results</w:t>
      </w:r>
      <w:r w:rsidR="00185303" w:rsidRPr="008F6C41">
        <w:rPr>
          <w:rFonts w:asciiTheme="minorHAnsi" w:hAnsiTheme="minorHAnsi"/>
          <w:sz w:val="22"/>
          <w:szCs w:val="22"/>
        </w:rPr>
        <w:t xml:space="preserve"> (</w:t>
      </w:r>
      <w:proofErr w:type="spellStart"/>
      <w:r w:rsidR="00185303" w:rsidRPr="008F6C41">
        <w:rPr>
          <w:rFonts w:asciiTheme="minorHAnsi" w:hAnsiTheme="minorHAnsi"/>
          <w:color w:val="00B050"/>
          <w:sz w:val="22"/>
          <w:szCs w:val="22"/>
        </w:rPr>
        <w:t>Linstone</w:t>
      </w:r>
      <w:proofErr w:type="spellEnd"/>
      <w:r w:rsidR="00185303" w:rsidRPr="008F6C41">
        <w:rPr>
          <w:rFonts w:asciiTheme="minorHAnsi" w:hAnsiTheme="minorHAnsi"/>
          <w:color w:val="00B050"/>
          <w:sz w:val="22"/>
          <w:szCs w:val="22"/>
        </w:rPr>
        <w:t xml:space="preserve"> and </w:t>
      </w:r>
      <w:proofErr w:type="spellStart"/>
      <w:r w:rsidR="00185303" w:rsidRPr="008F6C41">
        <w:rPr>
          <w:rFonts w:asciiTheme="minorHAnsi" w:hAnsiTheme="minorHAnsi"/>
          <w:color w:val="00B050"/>
          <w:sz w:val="22"/>
          <w:szCs w:val="22"/>
        </w:rPr>
        <w:t>Turoff</w:t>
      </w:r>
      <w:proofErr w:type="spellEnd"/>
      <w:r w:rsidR="00185303" w:rsidRPr="008F6C41">
        <w:rPr>
          <w:rFonts w:asciiTheme="minorHAnsi" w:hAnsiTheme="minorHAnsi"/>
          <w:color w:val="00B050"/>
          <w:sz w:val="22"/>
          <w:szCs w:val="22"/>
        </w:rPr>
        <w:t>, 2002</w:t>
      </w:r>
      <w:r w:rsidR="00185303" w:rsidRPr="008F6C41">
        <w:rPr>
          <w:rFonts w:asciiTheme="minorHAnsi" w:hAnsiTheme="minorHAnsi"/>
          <w:sz w:val="22"/>
          <w:szCs w:val="22"/>
        </w:rPr>
        <w:t xml:space="preserve">). </w:t>
      </w:r>
      <w:r w:rsidR="00B80F3B" w:rsidRPr="008F6C41">
        <w:rPr>
          <w:rFonts w:asciiTheme="minorHAnsi" w:hAnsiTheme="minorHAnsi"/>
          <w:sz w:val="22"/>
          <w:szCs w:val="22"/>
        </w:rPr>
        <w:t xml:space="preserve"> </w:t>
      </w:r>
    </w:p>
    <w:p w:rsidR="0080701D" w:rsidRPr="008F6C41" w:rsidRDefault="008F6C41" w:rsidP="004B3A25">
      <w:pPr>
        <w:pStyle w:val="ListParagraph"/>
        <w:numPr>
          <w:ilvl w:val="0"/>
          <w:numId w:val="17"/>
        </w:numPr>
        <w:spacing w:before="0" w:after="120" w:line="276" w:lineRule="auto"/>
        <w:ind w:left="567" w:hanging="283"/>
        <w:rPr>
          <w:rFonts w:asciiTheme="minorHAnsi" w:hAnsiTheme="minorHAnsi"/>
          <w:sz w:val="22"/>
          <w:szCs w:val="22"/>
        </w:rPr>
      </w:pPr>
      <w:r w:rsidRPr="008F6C41">
        <w:rPr>
          <w:rFonts w:asciiTheme="minorHAnsi" w:hAnsiTheme="minorHAnsi"/>
          <w:i/>
          <w:sz w:val="22"/>
          <w:szCs w:val="22"/>
        </w:rPr>
        <w:t xml:space="preserve">What is the </w:t>
      </w:r>
      <w:r w:rsidR="00F2000F" w:rsidRPr="008F6C41">
        <w:rPr>
          <w:rFonts w:asciiTheme="minorHAnsi" w:hAnsiTheme="minorHAnsi"/>
          <w:i/>
          <w:sz w:val="22"/>
          <w:szCs w:val="22"/>
          <w:lang w:eastAsia="en-GB"/>
        </w:rPr>
        <w:t xml:space="preserve">optimal number of </w:t>
      </w:r>
      <w:r w:rsidR="007E111E" w:rsidRPr="008F6C41">
        <w:rPr>
          <w:rFonts w:asciiTheme="minorHAnsi" w:hAnsiTheme="minorHAnsi"/>
          <w:i/>
          <w:sz w:val="22"/>
          <w:szCs w:val="22"/>
          <w:lang w:eastAsia="en-GB"/>
        </w:rPr>
        <w:t xml:space="preserve">Delphi </w:t>
      </w:r>
      <w:proofErr w:type="spellStart"/>
      <w:r w:rsidR="001C05F0" w:rsidRPr="008F6C41">
        <w:rPr>
          <w:rFonts w:asciiTheme="minorHAnsi" w:hAnsiTheme="minorHAnsi"/>
          <w:i/>
          <w:sz w:val="22"/>
          <w:szCs w:val="22"/>
          <w:lang w:eastAsia="en-GB"/>
        </w:rPr>
        <w:t>panellists</w:t>
      </w:r>
      <w:proofErr w:type="spellEnd"/>
      <w:r w:rsidRPr="008F6C41">
        <w:rPr>
          <w:rFonts w:asciiTheme="minorHAnsi" w:hAnsiTheme="minorHAnsi"/>
          <w:sz w:val="22"/>
          <w:szCs w:val="22"/>
          <w:lang w:eastAsia="en-GB"/>
        </w:rPr>
        <w:t>?</w:t>
      </w:r>
      <w:r w:rsidR="00954735" w:rsidRPr="008F6C41">
        <w:rPr>
          <w:rFonts w:asciiTheme="minorHAnsi" w:hAnsiTheme="minorHAnsi"/>
          <w:sz w:val="22"/>
          <w:szCs w:val="22"/>
          <w:lang w:eastAsia="en-GB"/>
        </w:rPr>
        <w:t xml:space="preserve"> </w:t>
      </w:r>
      <w:r w:rsidR="00B845D8">
        <w:rPr>
          <w:rFonts w:asciiTheme="minorHAnsi" w:hAnsiTheme="minorHAnsi"/>
          <w:sz w:val="22"/>
          <w:szCs w:val="22"/>
          <w:lang w:eastAsia="en-GB"/>
        </w:rPr>
        <w:t>Most p</w:t>
      </w:r>
      <w:r w:rsidR="00954735" w:rsidRPr="008F6C41">
        <w:rPr>
          <w:rFonts w:asciiTheme="minorHAnsi" w:hAnsiTheme="minorHAnsi"/>
          <w:sz w:val="22"/>
          <w:szCs w:val="22"/>
          <w:lang w:eastAsia="en-GB"/>
        </w:rPr>
        <w:t>anels comprise</w:t>
      </w:r>
      <w:r>
        <w:rPr>
          <w:rFonts w:asciiTheme="minorHAnsi" w:hAnsiTheme="minorHAnsi"/>
          <w:sz w:val="22"/>
          <w:szCs w:val="22"/>
          <w:lang w:eastAsia="en-GB"/>
        </w:rPr>
        <w:t xml:space="preserve"> 10-50</w:t>
      </w:r>
      <w:r w:rsidR="00954735" w:rsidRPr="008F6C41">
        <w:rPr>
          <w:rFonts w:asciiTheme="minorHAnsi" w:hAnsiTheme="minorHAnsi"/>
          <w:sz w:val="22"/>
          <w:szCs w:val="22"/>
          <w:lang w:eastAsia="en-GB"/>
        </w:rPr>
        <w:t xml:space="preserve"> experts (</w:t>
      </w:r>
      <w:r w:rsidR="00954735" w:rsidRPr="008F6C41">
        <w:rPr>
          <w:rFonts w:asciiTheme="minorHAnsi" w:hAnsiTheme="minorHAnsi"/>
          <w:color w:val="00B050"/>
          <w:sz w:val="22"/>
          <w:szCs w:val="22"/>
          <w:lang w:eastAsia="en-GB"/>
        </w:rPr>
        <w:t>Ke</w:t>
      </w:r>
      <w:r w:rsidR="00860D7E">
        <w:rPr>
          <w:rFonts w:asciiTheme="minorHAnsi" w:hAnsiTheme="minorHAnsi"/>
          <w:color w:val="00B050"/>
          <w:sz w:val="22"/>
          <w:szCs w:val="22"/>
          <w:lang w:eastAsia="en-GB"/>
        </w:rPr>
        <w:t>e</w:t>
      </w:r>
      <w:r w:rsidR="00954735" w:rsidRPr="008F6C41">
        <w:rPr>
          <w:rFonts w:asciiTheme="minorHAnsi" w:hAnsiTheme="minorHAnsi"/>
          <w:color w:val="00B050"/>
          <w:sz w:val="22"/>
          <w:szCs w:val="22"/>
          <w:lang w:eastAsia="en-GB"/>
        </w:rPr>
        <w:t xml:space="preserve">ney </w:t>
      </w:r>
      <w:r w:rsidR="00954735" w:rsidRPr="008F6C41">
        <w:rPr>
          <w:rFonts w:asciiTheme="minorHAnsi" w:hAnsiTheme="minorHAnsi"/>
          <w:i/>
          <w:color w:val="00B050"/>
          <w:sz w:val="22"/>
          <w:szCs w:val="22"/>
          <w:lang w:eastAsia="en-GB"/>
        </w:rPr>
        <w:t>et al</w:t>
      </w:r>
      <w:r w:rsidR="00954735" w:rsidRPr="008F6C41">
        <w:rPr>
          <w:rFonts w:asciiTheme="minorHAnsi" w:hAnsiTheme="minorHAnsi"/>
          <w:color w:val="00B050"/>
          <w:sz w:val="22"/>
          <w:szCs w:val="22"/>
          <w:lang w:eastAsia="en-GB"/>
        </w:rPr>
        <w:t>, 2011</w:t>
      </w:r>
      <w:r w:rsidR="00954735" w:rsidRPr="008F6C41">
        <w:rPr>
          <w:rFonts w:asciiTheme="minorHAnsi" w:hAnsiTheme="minorHAnsi"/>
          <w:sz w:val="22"/>
          <w:szCs w:val="22"/>
          <w:lang w:eastAsia="en-GB"/>
        </w:rPr>
        <w:t>)</w:t>
      </w:r>
      <w:r w:rsidR="00860D7E">
        <w:rPr>
          <w:rFonts w:asciiTheme="minorHAnsi" w:hAnsiTheme="minorHAnsi"/>
          <w:sz w:val="22"/>
          <w:szCs w:val="22"/>
          <w:lang w:eastAsia="en-GB"/>
        </w:rPr>
        <w:t xml:space="preserve"> but it is generally accepted that </w:t>
      </w:r>
      <w:r>
        <w:rPr>
          <w:rFonts w:asciiTheme="minorHAnsi" w:hAnsiTheme="minorHAnsi"/>
          <w:sz w:val="22"/>
          <w:szCs w:val="22"/>
          <w:lang w:eastAsia="en-GB"/>
        </w:rPr>
        <w:t>l</w:t>
      </w:r>
      <w:r w:rsidR="00F2000F" w:rsidRPr="00F544FD">
        <w:rPr>
          <w:rFonts w:asciiTheme="minorHAnsi" w:hAnsiTheme="minorHAnsi"/>
          <w:sz w:val="22"/>
          <w:szCs w:val="22"/>
        </w:rPr>
        <w:t>arger panel</w:t>
      </w:r>
      <w:r w:rsidR="001C05F0" w:rsidRPr="00F544FD">
        <w:rPr>
          <w:rFonts w:asciiTheme="minorHAnsi" w:hAnsiTheme="minorHAnsi"/>
          <w:sz w:val="22"/>
          <w:szCs w:val="22"/>
        </w:rPr>
        <w:t>s</w:t>
      </w:r>
      <w:r w:rsidR="00F2000F" w:rsidRPr="00F544FD">
        <w:rPr>
          <w:rFonts w:asciiTheme="minorHAnsi" w:hAnsiTheme="minorHAnsi"/>
          <w:sz w:val="22"/>
          <w:szCs w:val="22"/>
        </w:rPr>
        <w:t xml:space="preserve"> enhance </w:t>
      </w:r>
      <w:r w:rsidR="007E111E" w:rsidRPr="00F544FD">
        <w:rPr>
          <w:rFonts w:asciiTheme="minorHAnsi" w:hAnsiTheme="minorHAnsi"/>
          <w:sz w:val="22"/>
          <w:szCs w:val="22"/>
        </w:rPr>
        <w:t xml:space="preserve">study </w:t>
      </w:r>
      <w:r w:rsidR="00F2000F" w:rsidRPr="00F544FD">
        <w:rPr>
          <w:rFonts w:asciiTheme="minorHAnsi" w:hAnsiTheme="minorHAnsi"/>
          <w:sz w:val="22"/>
          <w:szCs w:val="22"/>
        </w:rPr>
        <w:t>reliability and reduce error (</w:t>
      </w:r>
      <w:r w:rsidR="00F2000F" w:rsidRPr="008F6C41">
        <w:rPr>
          <w:rFonts w:asciiTheme="minorHAnsi" w:hAnsiTheme="minorHAnsi"/>
          <w:color w:val="00B050"/>
          <w:sz w:val="22"/>
          <w:szCs w:val="22"/>
        </w:rPr>
        <w:t>Cochran, 1983</w:t>
      </w:r>
      <w:r w:rsidR="00F2000F" w:rsidRPr="00F544FD">
        <w:rPr>
          <w:rFonts w:asciiTheme="minorHAnsi" w:hAnsiTheme="minorHAnsi"/>
          <w:sz w:val="22"/>
          <w:szCs w:val="22"/>
        </w:rPr>
        <w:t>)</w:t>
      </w:r>
      <w:r w:rsidR="009F7DCC">
        <w:rPr>
          <w:rFonts w:asciiTheme="minorHAnsi" w:hAnsiTheme="minorHAnsi"/>
          <w:sz w:val="22"/>
          <w:szCs w:val="22"/>
        </w:rPr>
        <w:t>. P</w:t>
      </w:r>
      <w:r w:rsidR="00B04BE3">
        <w:rPr>
          <w:rFonts w:asciiTheme="minorHAnsi" w:hAnsiTheme="minorHAnsi"/>
          <w:sz w:val="22"/>
          <w:szCs w:val="22"/>
        </w:rPr>
        <w:t xml:space="preserve">anel make-up also influences </w:t>
      </w:r>
      <w:r w:rsidR="001C05F0" w:rsidRPr="00F544FD">
        <w:rPr>
          <w:rFonts w:asciiTheme="minorHAnsi" w:hAnsiTheme="minorHAnsi"/>
          <w:sz w:val="22"/>
          <w:szCs w:val="22"/>
        </w:rPr>
        <w:t>decisions</w:t>
      </w:r>
      <w:r w:rsidR="00860D7E">
        <w:rPr>
          <w:rFonts w:asciiTheme="minorHAnsi" w:hAnsiTheme="minorHAnsi"/>
          <w:sz w:val="22"/>
          <w:szCs w:val="22"/>
        </w:rPr>
        <w:t xml:space="preserve"> with</w:t>
      </w:r>
      <w:r w:rsidR="0080701D" w:rsidRPr="00F544FD">
        <w:rPr>
          <w:rFonts w:asciiTheme="minorHAnsi" w:hAnsiTheme="minorHAnsi"/>
          <w:sz w:val="22"/>
          <w:szCs w:val="22"/>
        </w:rPr>
        <w:t xml:space="preserve"> </w:t>
      </w:r>
      <w:r w:rsidR="009A4ACD" w:rsidRPr="008F6C41">
        <w:rPr>
          <w:rFonts w:asciiTheme="minorHAnsi" w:hAnsiTheme="minorHAnsi"/>
          <w:sz w:val="22"/>
          <w:szCs w:val="22"/>
          <w:lang w:eastAsia="en-GB"/>
        </w:rPr>
        <w:t xml:space="preserve">homogeneous </w:t>
      </w:r>
      <w:r w:rsidR="007E111E" w:rsidRPr="008F6C41">
        <w:rPr>
          <w:rFonts w:asciiTheme="minorHAnsi" w:hAnsiTheme="minorHAnsi"/>
          <w:sz w:val="22"/>
          <w:szCs w:val="22"/>
          <w:lang w:eastAsia="en-GB"/>
        </w:rPr>
        <w:t>panel</w:t>
      </w:r>
      <w:r w:rsidR="00860D7E">
        <w:rPr>
          <w:rFonts w:asciiTheme="minorHAnsi" w:hAnsiTheme="minorHAnsi"/>
          <w:sz w:val="22"/>
          <w:szCs w:val="22"/>
          <w:lang w:eastAsia="en-GB"/>
        </w:rPr>
        <w:t>s requiring</w:t>
      </w:r>
      <w:r w:rsidR="007E111E" w:rsidRPr="008F6C41">
        <w:rPr>
          <w:rFonts w:asciiTheme="minorHAnsi" w:hAnsiTheme="minorHAnsi"/>
          <w:sz w:val="22"/>
          <w:szCs w:val="22"/>
          <w:lang w:eastAsia="en-GB"/>
        </w:rPr>
        <w:t xml:space="preserve"> fewer participants than heterogeneous</w:t>
      </w:r>
      <w:r w:rsidR="00860D7E">
        <w:rPr>
          <w:rFonts w:asciiTheme="minorHAnsi" w:hAnsiTheme="minorHAnsi"/>
          <w:sz w:val="22"/>
          <w:szCs w:val="22"/>
          <w:lang w:eastAsia="en-GB"/>
        </w:rPr>
        <w:t xml:space="preserve"> panels </w:t>
      </w:r>
      <w:r w:rsidR="009A4ACD" w:rsidRPr="008F6C41">
        <w:rPr>
          <w:rFonts w:asciiTheme="minorHAnsi" w:hAnsiTheme="minorHAnsi"/>
          <w:sz w:val="22"/>
          <w:szCs w:val="22"/>
          <w:lang w:eastAsia="en-GB"/>
        </w:rPr>
        <w:t>(</w:t>
      </w:r>
      <w:proofErr w:type="spellStart"/>
      <w:r w:rsidR="009A4ACD" w:rsidRPr="008F6C41">
        <w:rPr>
          <w:rFonts w:asciiTheme="minorHAnsi" w:hAnsiTheme="minorHAnsi"/>
          <w:color w:val="00B050"/>
          <w:sz w:val="22"/>
          <w:szCs w:val="22"/>
          <w:lang w:eastAsia="en-GB"/>
        </w:rPr>
        <w:t>Paliwoda</w:t>
      </w:r>
      <w:proofErr w:type="spellEnd"/>
      <w:r w:rsidR="009A4ACD" w:rsidRPr="008F6C41">
        <w:rPr>
          <w:rFonts w:asciiTheme="minorHAnsi" w:hAnsiTheme="minorHAnsi"/>
          <w:color w:val="00B050"/>
          <w:sz w:val="22"/>
          <w:szCs w:val="22"/>
          <w:lang w:eastAsia="en-GB"/>
        </w:rPr>
        <w:t xml:space="preserve"> </w:t>
      </w:r>
      <w:r w:rsidR="009A4ACD" w:rsidRPr="00010934">
        <w:rPr>
          <w:rFonts w:asciiTheme="minorHAnsi" w:hAnsiTheme="minorHAnsi"/>
          <w:i/>
          <w:color w:val="00B050"/>
          <w:sz w:val="22"/>
          <w:szCs w:val="22"/>
          <w:lang w:eastAsia="en-GB"/>
        </w:rPr>
        <w:t>et al</w:t>
      </w:r>
      <w:r w:rsidR="009A4ACD" w:rsidRPr="008F6C41">
        <w:rPr>
          <w:rFonts w:asciiTheme="minorHAnsi" w:hAnsiTheme="minorHAnsi"/>
          <w:color w:val="00B050"/>
          <w:sz w:val="22"/>
          <w:szCs w:val="22"/>
          <w:lang w:eastAsia="en-GB"/>
        </w:rPr>
        <w:t>., 1983</w:t>
      </w:r>
      <w:r w:rsidR="009A4ACD" w:rsidRPr="008F6C41">
        <w:rPr>
          <w:rFonts w:asciiTheme="minorHAnsi" w:hAnsiTheme="minorHAnsi"/>
          <w:sz w:val="22"/>
          <w:szCs w:val="22"/>
          <w:lang w:eastAsia="en-GB"/>
        </w:rPr>
        <w:t>)</w:t>
      </w:r>
      <w:r w:rsidR="00860D7E">
        <w:rPr>
          <w:rFonts w:asciiTheme="minorHAnsi" w:hAnsiTheme="minorHAnsi"/>
          <w:sz w:val="22"/>
          <w:szCs w:val="22"/>
          <w:lang w:eastAsia="en-GB"/>
        </w:rPr>
        <w:t xml:space="preserve">. The latter also needs </w:t>
      </w:r>
      <w:r w:rsidR="009A4ACD" w:rsidRPr="008F6C41">
        <w:rPr>
          <w:rFonts w:asciiTheme="minorHAnsi" w:hAnsiTheme="minorHAnsi"/>
          <w:sz w:val="22"/>
          <w:szCs w:val="22"/>
          <w:lang w:eastAsia="en-GB"/>
        </w:rPr>
        <w:t>homogeneous sub-panels</w:t>
      </w:r>
      <w:r w:rsidR="00860D7E">
        <w:rPr>
          <w:rFonts w:asciiTheme="minorHAnsi" w:hAnsiTheme="minorHAnsi"/>
          <w:sz w:val="22"/>
          <w:szCs w:val="22"/>
          <w:lang w:eastAsia="en-GB"/>
        </w:rPr>
        <w:t xml:space="preserve"> comprising</w:t>
      </w:r>
      <w:r w:rsidR="009A4ACD" w:rsidRPr="008F6C41">
        <w:rPr>
          <w:rFonts w:asciiTheme="minorHAnsi" w:hAnsiTheme="minorHAnsi"/>
          <w:sz w:val="22"/>
          <w:szCs w:val="22"/>
          <w:lang w:eastAsia="en-GB"/>
        </w:rPr>
        <w:t xml:space="preserve"> at least ten experts</w:t>
      </w:r>
      <w:r w:rsidR="00860D7E">
        <w:rPr>
          <w:rFonts w:asciiTheme="minorHAnsi" w:hAnsiTheme="minorHAnsi"/>
          <w:sz w:val="22"/>
          <w:szCs w:val="22"/>
          <w:lang w:eastAsia="en-GB"/>
        </w:rPr>
        <w:t xml:space="preserve">, </w:t>
      </w:r>
      <w:r w:rsidR="009A4ACD" w:rsidRPr="008F6C41">
        <w:rPr>
          <w:rFonts w:asciiTheme="minorHAnsi" w:hAnsiTheme="minorHAnsi"/>
          <w:sz w:val="22"/>
          <w:szCs w:val="22"/>
          <w:lang w:eastAsia="en-GB"/>
        </w:rPr>
        <w:t xml:space="preserve">to </w:t>
      </w:r>
      <w:r w:rsidR="007E111E" w:rsidRPr="008F6C41">
        <w:rPr>
          <w:rFonts w:asciiTheme="minorHAnsi" w:hAnsiTheme="minorHAnsi"/>
          <w:sz w:val="22"/>
          <w:szCs w:val="22"/>
          <w:lang w:eastAsia="en-GB"/>
        </w:rPr>
        <w:t xml:space="preserve">facilitate comparisons of </w:t>
      </w:r>
      <w:r w:rsidR="009A4ACD" w:rsidRPr="008F6C41">
        <w:rPr>
          <w:rFonts w:asciiTheme="minorHAnsi" w:hAnsiTheme="minorHAnsi"/>
          <w:sz w:val="22"/>
          <w:szCs w:val="22"/>
          <w:lang w:eastAsia="en-GB"/>
        </w:rPr>
        <w:t>different groups’ perspectives (</w:t>
      </w:r>
      <w:proofErr w:type="spellStart"/>
      <w:r w:rsidR="009A4ACD" w:rsidRPr="008F6C41">
        <w:rPr>
          <w:rFonts w:asciiTheme="minorHAnsi" w:hAnsiTheme="minorHAnsi"/>
          <w:color w:val="00B050"/>
          <w:sz w:val="22"/>
          <w:szCs w:val="22"/>
          <w:lang w:eastAsia="en-GB"/>
        </w:rPr>
        <w:t>Okali</w:t>
      </w:r>
      <w:proofErr w:type="spellEnd"/>
      <w:r w:rsidR="009A4ACD" w:rsidRPr="008F6C41">
        <w:rPr>
          <w:rFonts w:asciiTheme="minorHAnsi" w:hAnsiTheme="minorHAnsi"/>
          <w:color w:val="00B050"/>
          <w:sz w:val="22"/>
          <w:szCs w:val="22"/>
          <w:lang w:eastAsia="en-GB"/>
        </w:rPr>
        <w:t xml:space="preserve"> and </w:t>
      </w:r>
      <w:proofErr w:type="spellStart"/>
      <w:r w:rsidR="009A4ACD" w:rsidRPr="008F6C41">
        <w:rPr>
          <w:rFonts w:asciiTheme="minorHAnsi" w:hAnsiTheme="minorHAnsi"/>
          <w:color w:val="00B050"/>
          <w:sz w:val="22"/>
          <w:szCs w:val="22"/>
          <w:lang w:eastAsia="en-GB"/>
        </w:rPr>
        <w:t>Pawlowski</w:t>
      </w:r>
      <w:proofErr w:type="spellEnd"/>
      <w:r w:rsidR="009A4ACD" w:rsidRPr="008F6C41">
        <w:rPr>
          <w:rFonts w:asciiTheme="minorHAnsi" w:hAnsiTheme="minorHAnsi"/>
          <w:color w:val="00B050"/>
          <w:sz w:val="22"/>
          <w:szCs w:val="22"/>
          <w:lang w:eastAsia="en-GB"/>
        </w:rPr>
        <w:t xml:space="preserve"> 2004</w:t>
      </w:r>
      <w:r w:rsidR="009A4ACD" w:rsidRPr="008F6C41">
        <w:rPr>
          <w:rFonts w:asciiTheme="minorHAnsi" w:hAnsiTheme="minorHAnsi"/>
          <w:sz w:val="22"/>
          <w:szCs w:val="22"/>
          <w:lang w:eastAsia="en-GB"/>
        </w:rPr>
        <w:t xml:space="preserve">; </w:t>
      </w:r>
      <w:proofErr w:type="spellStart"/>
      <w:r w:rsidR="009A4ACD" w:rsidRPr="008F6C41">
        <w:rPr>
          <w:rFonts w:asciiTheme="minorHAnsi" w:hAnsiTheme="minorHAnsi"/>
          <w:color w:val="00B050"/>
          <w:sz w:val="22"/>
          <w:szCs w:val="22"/>
          <w:lang w:eastAsia="en-GB"/>
        </w:rPr>
        <w:t>Parente</w:t>
      </w:r>
      <w:proofErr w:type="spellEnd"/>
      <w:r w:rsidR="009A4ACD" w:rsidRPr="008F6C41">
        <w:rPr>
          <w:rFonts w:asciiTheme="minorHAnsi" w:hAnsiTheme="minorHAnsi"/>
          <w:color w:val="00B050"/>
          <w:sz w:val="22"/>
          <w:szCs w:val="22"/>
          <w:lang w:eastAsia="en-GB"/>
        </w:rPr>
        <w:t xml:space="preserve"> and Anderson-</w:t>
      </w:r>
      <w:proofErr w:type="spellStart"/>
      <w:r w:rsidR="009A4ACD" w:rsidRPr="008F6C41">
        <w:rPr>
          <w:rFonts w:asciiTheme="minorHAnsi" w:hAnsiTheme="minorHAnsi"/>
          <w:color w:val="00B050"/>
          <w:sz w:val="22"/>
          <w:szCs w:val="22"/>
          <w:lang w:eastAsia="en-GB"/>
        </w:rPr>
        <w:t>Parente</w:t>
      </w:r>
      <w:proofErr w:type="spellEnd"/>
      <w:r w:rsidR="009A4ACD" w:rsidRPr="008F6C41">
        <w:rPr>
          <w:rFonts w:asciiTheme="minorHAnsi" w:hAnsiTheme="minorHAnsi"/>
          <w:color w:val="00B050"/>
          <w:sz w:val="22"/>
          <w:szCs w:val="22"/>
          <w:lang w:eastAsia="en-GB"/>
        </w:rPr>
        <w:t>, 1987</w:t>
      </w:r>
      <w:r w:rsidR="0042346B">
        <w:rPr>
          <w:rFonts w:asciiTheme="minorHAnsi" w:hAnsiTheme="minorHAnsi"/>
          <w:sz w:val="22"/>
          <w:szCs w:val="22"/>
          <w:lang w:eastAsia="en-GB"/>
        </w:rPr>
        <w:t xml:space="preserve">). To </w:t>
      </w:r>
      <w:proofErr w:type="spellStart"/>
      <w:r w:rsidR="0042346B">
        <w:rPr>
          <w:rFonts w:asciiTheme="minorHAnsi" w:hAnsiTheme="minorHAnsi"/>
          <w:sz w:val="22"/>
          <w:szCs w:val="22"/>
          <w:lang w:eastAsia="en-GB"/>
        </w:rPr>
        <w:t>maximise</w:t>
      </w:r>
      <w:proofErr w:type="spellEnd"/>
      <w:r w:rsidR="009A4ACD" w:rsidRPr="008F6C41">
        <w:rPr>
          <w:rFonts w:asciiTheme="minorHAnsi" w:hAnsiTheme="minorHAnsi"/>
          <w:sz w:val="22"/>
          <w:szCs w:val="22"/>
          <w:lang w:eastAsia="en-GB"/>
        </w:rPr>
        <w:t xml:space="preserve"> credibility</w:t>
      </w:r>
      <w:r w:rsidR="007E111E" w:rsidRPr="008F6C41">
        <w:rPr>
          <w:rFonts w:asciiTheme="minorHAnsi" w:hAnsiTheme="minorHAnsi"/>
          <w:sz w:val="22"/>
          <w:szCs w:val="22"/>
          <w:lang w:eastAsia="en-GB"/>
        </w:rPr>
        <w:t xml:space="preserve"> </w:t>
      </w:r>
      <w:r w:rsidR="00C17C8E">
        <w:rPr>
          <w:rFonts w:asciiTheme="minorHAnsi" w:hAnsiTheme="minorHAnsi"/>
          <w:sz w:val="22"/>
          <w:szCs w:val="22"/>
          <w:lang w:eastAsia="en-GB"/>
        </w:rPr>
        <w:t>here</w:t>
      </w:r>
      <w:r w:rsidR="009A4ACD" w:rsidRPr="008F6C41">
        <w:rPr>
          <w:rFonts w:asciiTheme="minorHAnsi" w:hAnsiTheme="minorHAnsi"/>
          <w:sz w:val="22"/>
          <w:szCs w:val="22"/>
          <w:lang w:eastAsia="en-GB"/>
        </w:rPr>
        <w:t xml:space="preserve">, </w:t>
      </w:r>
      <w:r w:rsidR="00C17C8E">
        <w:rPr>
          <w:rFonts w:asciiTheme="minorHAnsi" w:hAnsiTheme="minorHAnsi"/>
          <w:sz w:val="22"/>
          <w:szCs w:val="22"/>
          <w:lang w:eastAsia="en-GB"/>
        </w:rPr>
        <w:t xml:space="preserve">a </w:t>
      </w:r>
      <w:r w:rsidR="00287FFA" w:rsidRPr="00F544FD">
        <w:rPr>
          <w:rFonts w:asciiTheme="minorHAnsi" w:hAnsiTheme="minorHAnsi"/>
          <w:sz w:val="22"/>
          <w:szCs w:val="22"/>
        </w:rPr>
        <w:t xml:space="preserve">heterogeneous panel of </w:t>
      </w:r>
      <w:r w:rsidR="00F2000F" w:rsidRPr="00F544FD">
        <w:rPr>
          <w:rFonts w:asciiTheme="minorHAnsi" w:hAnsiTheme="minorHAnsi"/>
          <w:sz w:val="22"/>
          <w:szCs w:val="22"/>
        </w:rPr>
        <w:t>experts</w:t>
      </w:r>
      <w:r w:rsidR="009A4ACD" w:rsidRPr="00F544FD">
        <w:rPr>
          <w:rFonts w:asciiTheme="minorHAnsi" w:hAnsiTheme="minorHAnsi"/>
          <w:sz w:val="22"/>
          <w:szCs w:val="22"/>
        </w:rPr>
        <w:t xml:space="preserve"> was</w:t>
      </w:r>
      <w:r w:rsidR="0080701D" w:rsidRPr="00F544FD">
        <w:rPr>
          <w:rFonts w:asciiTheme="minorHAnsi" w:hAnsiTheme="minorHAnsi"/>
          <w:sz w:val="22"/>
          <w:szCs w:val="22"/>
        </w:rPr>
        <w:t xml:space="preserve"> </w:t>
      </w:r>
      <w:r w:rsidR="0080701D" w:rsidRPr="00D709A4">
        <w:rPr>
          <w:rFonts w:asciiTheme="minorHAnsi" w:hAnsiTheme="minorHAnsi"/>
          <w:sz w:val="22"/>
          <w:szCs w:val="22"/>
        </w:rPr>
        <w:t>recruited</w:t>
      </w:r>
      <w:r w:rsidR="0042346B" w:rsidRPr="00D709A4">
        <w:rPr>
          <w:rFonts w:asciiTheme="minorHAnsi" w:hAnsiTheme="minorHAnsi"/>
          <w:sz w:val="22"/>
          <w:szCs w:val="22"/>
        </w:rPr>
        <w:t xml:space="preserve">, with </w:t>
      </w:r>
      <w:r w:rsidR="009F7DCC">
        <w:rPr>
          <w:rFonts w:asciiTheme="minorHAnsi" w:hAnsiTheme="minorHAnsi"/>
          <w:sz w:val="22"/>
          <w:szCs w:val="22"/>
        </w:rPr>
        <w:t xml:space="preserve">each </w:t>
      </w:r>
      <w:r w:rsidR="00DB4F27">
        <w:rPr>
          <w:rFonts w:asciiTheme="minorHAnsi" w:hAnsiTheme="minorHAnsi"/>
          <w:sz w:val="22"/>
          <w:szCs w:val="22"/>
        </w:rPr>
        <w:t xml:space="preserve">of </w:t>
      </w:r>
      <w:r w:rsidR="0042346B" w:rsidRPr="00D709A4">
        <w:rPr>
          <w:rFonts w:asciiTheme="minorHAnsi" w:hAnsiTheme="minorHAnsi"/>
          <w:sz w:val="22"/>
          <w:szCs w:val="22"/>
        </w:rPr>
        <w:t xml:space="preserve">the </w:t>
      </w:r>
      <w:r w:rsidR="00317B1C" w:rsidRPr="00D709A4">
        <w:rPr>
          <w:rFonts w:asciiTheme="minorHAnsi" w:hAnsiTheme="minorHAnsi"/>
          <w:sz w:val="22"/>
          <w:szCs w:val="22"/>
        </w:rPr>
        <w:t>three</w:t>
      </w:r>
      <w:r w:rsidR="00F2000F" w:rsidRPr="00D709A4">
        <w:rPr>
          <w:rFonts w:asciiTheme="minorHAnsi" w:hAnsiTheme="minorHAnsi"/>
          <w:sz w:val="22"/>
          <w:szCs w:val="22"/>
        </w:rPr>
        <w:t xml:space="preserve"> homogeneous sub-panels</w:t>
      </w:r>
      <w:r w:rsidR="009A4ACD" w:rsidRPr="00D709A4">
        <w:rPr>
          <w:rFonts w:asciiTheme="minorHAnsi" w:hAnsiTheme="minorHAnsi"/>
          <w:sz w:val="22"/>
          <w:szCs w:val="22"/>
        </w:rPr>
        <w:t xml:space="preserve"> </w:t>
      </w:r>
      <w:r w:rsidR="009F7DCC">
        <w:rPr>
          <w:rFonts w:asciiTheme="minorHAnsi" w:hAnsiTheme="minorHAnsi"/>
          <w:sz w:val="22"/>
          <w:szCs w:val="22"/>
        </w:rPr>
        <w:t>having</w:t>
      </w:r>
      <w:r w:rsidR="009A4ACD" w:rsidRPr="00D709A4">
        <w:rPr>
          <w:rFonts w:asciiTheme="minorHAnsi" w:hAnsiTheme="minorHAnsi"/>
          <w:sz w:val="22"/>
          <w:szCs w:val="22"/>
        </w:rPr>
        <w:t xml:space="preserve"> </w:t>
      </w:r>
      <w:r w:rsidR="00DB4F27">
        <w:rPr>
          <w:rFonts w:asciiTheme="minorHAnsi" w:hAnsiTheme="minorHAnsi"/>
          <w:sz w:val="22"/>
          <w:szCs w:val="22"/>
        </w:rPr>
        <w:t>more</w:t>
      </w:r>
      <w:r w:rsidR="00C17C8E" w:rsidRPr="00D709A4">
        <w:rPr>
          <w:rFonts w:asciiTheme="minorHAnsi" w:hAnsiTheme="minorHAnsi"/>
          <w:sz w:val="22"/>
          <w:szCs w:val="22"/>
        </w:rPr>
        <w:t xml:space="preserve"> than 10</w:t>
      </w:r>
      <w:r w:rsidR="009A4ACD" w:rsidRPr="00D709A4">
        <w:rPr>
          <w:rFonts w:asciiTheme="minorHAnsi" w:hAnsiTheme="minorHAnsi"/>
          <w:sz w:val="22"/>
          <w:szCs w:val="22"/>
        </w:rPr>
        <w:t xml:space="preserve"> experts</w:t>
      </w:r>
      <w:r w:rsidR="00D709A4" w:rsidRPr="00D709A4">
        <w:rPr>
          <w:rFonts w:asciiTheme="minorHAnsi" w:hAnsiTheme="minorHAnsi"/>
          <w:sz w:val="22"/>
          <w:szCs w:val="22"/>
        </w:rPr>
        <w:t>.</w:t>
      </w:r>
    </w:p>
    <w:p w:rsidR="008C30F3" w:rsidRPr="00F544FD" w:rsidRDefault="003277C6" w:rsidP="008A36BC">
      <w:pPr>
        <w:spacing w:after="120"/>
        <w:rPr>
          <w:rFonts w:eastAsia="Times New Roman" w:cs="Times New Roman"/>
          <w:lang w:eastAsia="en-GB"/>
        </w:rPr>
      </w:pPr>
      <w:r>
        <w:t xml:space="preserve">On this </w:t>
      </w:r>
      <w:r w:rsidR="00A81A19">
        <w:t xml:space="preserve">latter </w:t>
      </w:r>
      <w:r>
        <w:t>point, it is noteworthy that</w:t>
      </w:r>
      <w:r w:rsidR="0080701D" w:rsidRPr="00F544FD">
        <w:t xml:space="preserve"> </w:t>
      </w:r>
      <w:r w:rsidR="008C30F3" w:rsidRPr="00F544FD">
        <w:t xml:space="preserve">Delphi </w:t>
      </w:r>
      <w:r w:rsidR="0080701D" w:rsidRPr="00F544FD">
        <w:t xml:space="preserve">studies are sometimes </w:t>
      </w:r>
      <w:r w:rsidR="008C30F3" w:rsidRPr="00F544FD">
        <w:t xml:space="preserve">criticised </w:t>
      </w:r>
      <w:r w:rsidR="00317B1C">
        <w:t>because</w:t>
      </w:r>
      <w:r w:rsidR="0080701D" w:rsidRPr="00F544FD">
        <w:t xml:space="preserve"> </w:t>
      </w:r>
      <w:r w:rsidR="008C30F3" w:rsidRPr="00F544FD">
        <w:t>findings from small number</w:t>
      </w:r>
      <w:r w:rsidR="00317B1C">
        <w:t>s</w:t>
      </w:r>
      <w:r w:rsidR="008C30F3" w:rsidRPr="00F544FD">
        <w:t xml:space="preserve"> of experts </w:t>
      </w:r>
      <w:r>
        <w:t>are not considered</w:t>
      </w:r>
      <w:r w:rsidR="008C30F3" w:rsidRPr="00F544FD">
        <w:t xml:space="preserve"> representative (</w:t>
      </w:r>
      <w:proofErr w:type="spellStart"/>
      <w:r w:rsidR="008C30F3" w:rsidRPr="00F544FD">
        <w:rPr>
          <w:color w:val="00B050"/>
        </w:rPr>
        <w:t>Yousuf</w:t>
      </w:r>
      <w:proofErr w:type="spellEnd"/>
      <w:r w:rsidR="008C30F3" w:rsidRPr="00F544FD">
        <w:rPr>
          <w:color w:val="00B050"/>
        </w:rPr>
        <w:t>, 2007</w:t>
      </w:r>
      <w:r w:rsidR="008C30F3" w:rsidRPr="00F544FD">
        <w:t xml:space="preserve">). </w:t>
      </w:r>
      <w:r>
        <w:t xml:space="preserve">Such </w:t>
      </w:r>
      <w:r w:rsidR="00C7013D">
        <w:t>criticism is ill-informed. I</w:t>
      </w:r>
      <w:r w:rsidR="008C30F3" w:rsidRPr="00F544FD">
        <w:t>t is not appropriate, nor intended, to</w:t>
      </w:r>
      <w:r w:rsidR="008C30F3" w:rsidRPr="00F544FD">
        <w:rPr>
          <w:rFonts w:eastAsia="Times New Roman" w:cs="Times New Roman"/>
          <w:lang w:eastAsia="en-GB"/>
        </w:rPr>
        <w:t xml:space="preserve"> generalise findings </w:t>
      </w:r>
      <w:r>
        <w:rPr>
          <w:rFonts w:eastAsia="Times New Roman" w:cs="Times New Roman"/>
          <w:lang w:eastAsia="en-GB"/>
        </w:rPr>
        <w:t>given their derivation</w:t>
      </w:r>
      <w:r w:rsidR="0080701D" w:rsidRPr="00F544FD">
        <w:rPr>
          <w:rFonts w:eastAsia="Times New Roman" w:cs="Times New Roman"/>
          <w:lang w:eastAsia="en-GB"/>
        </w:rPr>
        <w:t xml:space="preserve"> from a</w:t>
      </w:r>
      <w:r w:rsidR="008A5959">
        <w:rPr>
          <w:rFonts w:eastAsia="Times New Roman" w:cs="Times New Roman"/>
          <w:lang w:eastAsia="en-GB"/>
        </w:rPr>
        <w:t>n</w:t>
      </w:r>
      <w:r w:rsidR="0080701D" w:rsidRPr="00F544FD">
        <w:rPr>
          <w:rFonts w:eastAsia="Times New Roman" w:cs="Times New Roman"/>
          <w:lang w:eastAsia="en-GB"/>
        </w:rPr>
        <w:t xml:space="preserve"> </w:t>
      </w:r>
      <w:r>
        <w:rPr>
          <w:rFonts w:eastAsia="Times New Roman" w:cs="Times New Roman"/>
          <w:lang w:eastAsia="en-GB"/>
        </w:rPr>
        <w:t xml:space="preserve">expert </w:t>
      </w:r>
      <w:r w:rsidR="0080701D" w:rsidRPr="00F544FD">
        <w:rPr>
          <w:rFonts w:eastAsia="Times New Roman" w:cs="Times New Roman"/>
          <w:lang w:eastAsia="en-GB"/>
        </w:rPr>
        <w:t>panel</w:t>
      </w:r>
      <w:r>
        <w:rPr>
          <w:rFonts w:eastAsia="Times New Roman" w:cs="Times New Roman"/>
          <w:lang w:eastAsia="en-GB"/>
        </w:rPr>
        <w:t xml:space="preserve"> with unique characteristics</w:t>
      </w:r>
      <w:r w:rsidR="008C30F3" w:rsidRPr="00F544FD">
        <w:rPr>
          <w:rFonts w:eastAsia="Times New Roman" w:cs="Times New Roman"/>
          <w:lang w:eastAsia="en-GB"/>
        </w:rPr>
        <w:t>.</w:t>
      </w:r>
      <w:r w:rsidR="0080701D" w:rsidRPr="00F544FD">
        <w:rPr>
          <w:rFonts w:eastAsia="Times New Roman" w:cs="Times New Roman"/>
          <w:lang w:eastAsia="en-GB"/>
        </w:rPr>
        <w:t xml:space="preserve"> </w:t>
      </w:r>
      <w:r w:rsidR="00245185" w:rsidRPr="00F544FD">
        <w:rPr>
          <w:rFonts w:eastAsia="Times New Roman" w:cs="Times New Roman"/>
          <w:lang w:eastAsia="en-GB"/>
        </w:rPr>
        <w:t xml:space="preserve">That said, </w:t>
      </w:r>
      <w:r>
        <w:rPr>
          <w:rFonts w:eastAsia="Times New Roman" w:cs="Times New Roman"/>
          <w:lang w:eastAsia="en-GB"/>
        </w:rPr>
        <w:t xml:space="preserve">this study’s </w:t>
      </w:r>
      <w:r w:rsidR="00245185" w:rsidRPr="00F544FD">
        <w:rPr>
          <w:rFonts w:eastAsia="Times New Roman" w:cs="Times New Roman"/>
          <w:lang w:eastAsia="en-GB"/>
        </w:rPr>
        <w:t xml:space="preserve">panel </w:t>
      </w:r>
      <w:r>
        <w:rPr>
          <w:rFonts w:eastAsia="Times New Roman" w:cs="Times New Roman"/>
          <w:lang w:eastAsia="en-GB"/>
        </w:rPr>
        <w:t>size</w:t>
      </w:r>
      <w:r w:rsidR="00A81A19">
        <w:rPr>
          <w:rFonts w:eastAsia="Times New Roman" w:cs="Times New Roman"/>
          <w:lang w:eastAsia="en-GB"/>
        </w:rPr>
        <w:t>,</w:t>
      </w:r>
      <w:r w:rsidR="0080701D" w:rsidRPr="00F544FD">
        <w:rPr>
          <w:rFonts w:eastAsia="Times New Roman" w:cs="Times New Roman"/>
          <w:lang w:eastAsia="en-GB"/>
        </w:rPr>
        <w:t xml:space="preserve"> </w:t>
      </w:r>
      <w:r w:rsidR="00245185" w:rsidRPr="00F544FD">
        <w:rPr>
          <w:rFonts w:eastAsia="Times New Roman" w:cs="Times New Roman"/>
          <w:lang w:eastAsia="en-GB"/>
        </w:rPr>
        <w:t>diversity</w:t>
      </w:r>
      <w:r w:rsidR="008C30F3" w:rsidRPr="00F544FD">
        <w:rPr>
          <w:rFonts w:eastAsia="Times New Roman" w:cs="Times New Roman"/>
          <w:lang w:eastAsia="en-GB"/>
        </w:rPr>
        <w:t xml:space="preserve"> and</w:t>
      </w:r>
      <w:r w:rsidR="0032243A" w:rsidRPr="00F544FD">
        <w:rPr>
          <w:rFonts w:eastAsia="Times New Roman" w:cs="Times New Roman"/>
          <w:lang w:eastAsia="en-GB"/>
        </w:rPr>
        <w:t xml:space="preserve"> </w:t>
      </w:r>
      <w:r w:rsidR="00A81A19">
        <w:rPr>
          <w:rFonts w:eastAsia="Times New Roman" w:cs="Times New Roman"/>
          <w:lang w:eastAsia="en-GB"/>
        </w:rPr>
        <w:t>response rates</w:t>
      </w:r>
      <w:r w:rsidR="008C30F3" w:rsidRPr="00F544FD">
        <w:rPr>
          <w:rFonts w:eastAsia="Times New Roman" w:cs="Times New Roman"/>
          <w:lang w:eastAsia="en-GB"/>
        </w:rPr>
        <w:t xml:space="preserve"> </w:t>
      </w:r>
      <w:r>
        <w:rPr>
          <w:rFonts w:eastAsia="Times New Roman" w:cs="Times New Roman"/>
          <w:lang w:eastAsia="en-GB"/>
        </w:rPr>
        <w:t xml:space="preserve">may mean that </w:t>
      </w:r>
      <w:r w:rsidR="008C30F3" w:rsidRPr="00F544FD">
        <w:rPr>
          <w:rFonts w:eastAsia="Times New Roman" w:cs="Times New Roman"/>
          <w:lang w:eastAsia="en-GB"/>
        </w:rPr>
        <w:t xml:space="preserve">opinions </w:t>
      </w:r>
      <w:r w:rsidR="009F7DCC">
        <w:rPr>
          <w:rFonts w:eastAsia="Times New Roman" w:cs="Times New Roman"/>
          <w:i/>
          <w:lang w:eastAsia="en-GB"/>
        </w:rPr>
        <w:t>were</w:t>
      </w:r>
      <w:r w:rsidR="00245185" w:rsidRPr="00F544FD">
        <w:rPr>
          <w:rFonts w:eastAsia="Times New Roman" w:cs="Times New Roman"/>
          <w:lang w:eastAsia="en-GB"/>
        </w:rPr>
        <w:t xml:space="preserve"> a</w:t>
      </w:r>
      <w:r w:rsidR="008C30F3" w:rsidRPr="00F544FD">
        <w:rPr>
          <w:rFonts w:eastAsia="Times New Roman" w:cs="Times New Roman"/>
          <w:lang w:eastAsia="en-GB"/>
        </w:rPr>
        <w:t xml:space="preserve"> valid representation of </w:t>
      </w:r>
      <w:r w:rsidR="00245185" w:rsidRPr="00F544FD">
        <w:rPr>
          <w:rFonts w:eastAsia="Times New Roman" w:cs="Times New Roman"/>
          <w:lang w:eastAsia="en-GB"/>
        </w:rPr>
        <w:t xml:space="preserve">expert </w:t>
      </w:r>
      <w:r w:rsidR="008C30F3" w:rsidRPr="00F544FD">
        <w:rPr>
          <w:rFonts w:eastAsia="Times New Roman" w:cs="Times New Roman"/>
          <w:lang w:eastAsia="en-GB"/>
        </w:rPr>
        <w:t xml:space="preserve">views on this </w:t>
      </w:r>
      <w:r w:rsidR="0080701D" w:rsidRPr="00F544FD">
        <w:rPr>
          <w:rFonts w:eastAsia="Times New Roman" w:cs="Times New Roman"/>
          <w:lang w:eastAsia="en-GB"/>
        </w:rPr>
        <w:t xml:space="preserve">particular </w:t>
      </w:r>
      <w:r w:rsidR="008C30F3" w:rsidRPr="00F544FD">
        <w:rPr>
          <w:rFonts w:eastAsia="Times New Roman" w:cs="Times New Roman"/>
          <w:lang w:eastAsia="en-GB"/>
        </w:rPr>
        <w:t>subject.</w:t>
      </w:r>
    </w:p>
    <w:p w:rsidR="00D5051E" w:rsidRPr="00F544FD" w:rsidRDefault="00245185" w:rsidP="00D5051E">
      <w:pPr>
        <w:spacing w:after="120"/>
        <w:rPr>
          <w:color w:val="FF0000"/>
        </w:rPr>
      </w:pPr>
      <w:r w:rsidRPr="00F544FD">
        <w:t xml:space="preserve">Another </w:t>
      </w:r>
      <w:r w:rsidR="00C7013D">
        <w:t xml:space="preserve">possible </w:t>
      </w:r>
      <w:r w:rsidRPr="00F544FD">
        <w:t>criticism</w:t>
      </w:r>
      <w:r w:rsidR="007E111E" w:rsidRPr="00F544FD">
        <w:t xml:space="preserve"> </w:t>
      </w:r>
      <w:r w:rsidRPr="00F544FD">
        <w:t xml:space="preserve">is </w:t>
      </w:r>
      <w:r w:rsidR="00C7013D">
        <w:t xml:space="preserve">that Delphi can </w:t>
      </w:r>
      <w:r>
        <w:rPr>
          <w:rFonts w:ascii="Calibri" w:hAnsi="Calibri"/>
        </w:rPr>
        <w:t xml:space="preserve">achieve </w:t>
      </w:r>
      <w:r w:rsidR="009A4ACD" w:rsidRPr="000C53DE">
        <w:rPr>
          <w:rFonts w:ascii="Calibri" w:hAnsi="Calibri"/>
        </w:rPr>
        <w:t xml:space="preserve">only quasi-anonymity </w:t>
      </w:r>
      <w:r w:rsidR="00AB6CBD">
        <w:rPr>
          <w:rFonts w:ascii="Calibri" w:hAnsi="Calibri"/>
        </w:rPr>
        <w:t>as</w:t>
      </w:r>
      <w:r w:rsidR="00CB65F5" w:rsidRPr="000C53DE">
        <w:rPr>
          <w:rFonts w:ascii="Calibri" w:hAnsi="Calibri"/>
        </w:rPr>
        <w:t xml:space="preserve"> researcher</w:t>
      </w:r>
      <w:r w:rsidR="00AB6CBD">
        <w:rPr>
          <w:rFonts w:ascii="Calibri" w:hAnsi="Calibri"/>
        </w:rPr>
        <w:t>s</w:t>
      </w:r>
      <w:r w:rsidR="00CB65F5" w:rsidRPr="000C53DE">
        <w:rPr>
          <w:rFonts w:ascii="Calibri" w:hAnsi="Calibri"/>
        </w:rPr>
        <w:t xml:space="preserve"> kn</w:t>
      </w:r>
      <w:r w:rsidR="00AB6CBD">
        <w:rPr>
          <w:rFonts w:ascii="Calibri" w:hAnsi="Calibri"/>
        </w:rPr>
        <w:t>ow</w:t>
      </w:r>
      <w:r w:rsidR="009A4ACD" w:rsidRPr="000C53DE">
        <w:rPr>
          <w:rFonts w:ascii="Calibri" w:hAnsi="Calibri"/>
        </w:rPr>
        <w:t xml:space="preserve"> panel members and their responses</w:t>
      </w:r>
      <w:r w:rsidR="00D91FB8" w:rsidRPr="000C53DE">
        <w:rPr>
          <w:rFonts w:ascii="Calibri" w:hAnsi="Calibri"/>
        </w:rPr>
        <w:t>.</w:t>
      </w:r>
      <w:r w:rsidR="00AB6CBD">
        <w:rPr>
          <w:rFonts w:ascii="Calibri" w:hAnsi="Calibri"/>
        </w:rPr>
        <w:t xml:space="preserve"> </w:t>
      </w:r>
      <w:r w:rsidR="00D5051E">
        <w:rPr>
          <w:rFonts w:ascii="Calibri" w:hAnsi="Calibri"/>
        </w:rPr>
        <w:t>I</w:t>
      </w:r>
      <w:r w:rsidR="00AB6CBD">
        <w:rPr>
          <w:rFonts w:ascii="Calibri" w:hAnsi="Calibri"/>
        </w:rPr>
        <w:t>t is possible</w:t>
      </w:r>
      <w:r w:rsidR="00A81A19">
        <w:rPr>
          <w:rFonts w:ascii="Calibri" w:hAnsi="Calibri"/>
        </w:rPr>
        <w:t xml:space="preserve"> </w:t>
      </w:r>
      <w:r w:rsidR="00AB6CBD">
        <w:rPr>
          <w:rFonts w:ascii="Calibri" w:hAnsi="Calibri"/>
        </w:rPr>
        <w:t xml:space="preserve">that </w:t>
      </w:r>
      <w:r w:rsidR="00D91FB8" w:rsidRPr="000C53DE">
        <w:rPr>
          <w:rFonts w:ascii="Calibri" w:hAnsi="Calibri"/>
        </w:rPr>
        <w:t xml:space="preserve">experts </w:t>
      </w:r>
      <w:r w:rsidR="00AB6CBD">
        <w:rPr>
          <w:rFonts w:ascii="Calibri" w:hAnsi="Calibri"/>
        </w:rPr>
        <w:t>knew each other</w:t>
      </w:r>
      <w:r w:rsidR="00A81A19">
        <w:rPr>
          <w:rFonts w:ascii="Calibri" w:hAnsi="Calibri"/>
        </w:rPr>
        <w:t>, but t</w:t>
      </w:r>
      <w:r w:rsidR="00D5051E">
        <w:rPr>
          <w:rFonts w:ascii="Calibri" w:hAnsi="Calibri"/>
        </w:rPr>
        <w:t xml:space="preserve">his </w:t>
      </w:r>
      <w:r w:rsidR="00C54AF4">
        <w:rPr>
          <w:rFonts w:ascii="Calibri" w:hAnsi="Calibri"/>
        </w:rPr>
        <w:t>was unavoidable</w:t>
      </w:r>
      <w:r w:rsidR="00A81A19">
        <w:rPr>
          <w:rFonts w:ascii="Calibri" w:hAnsi="Calibri"/>
        </w:rPr>
        <w:t>. P</w:t>
      </w:r>
      <w:r w:rsidR="00D5051E" w:rsidRPr="00D5051E">
        <w:rPr>
          <w:rFonts w:ascii="Calibri" w:hAnsi="Calibri"/>
        </w:rPr>
        <w:t xml:space="preserve">erversely, </w:t>
      </w:r>
      <w:r w:rsidR="00A81A19">
        <w:rPr>
          <w:rFonts w:ascii="Calibri" w:hAnsi="Calibri"/>
        </w:rPr>
        <w:t>this may have</w:t>
      </w:r>
      <w:r w:rsidR="00016834" w:rsidRPr="00D5051E">
        <w:rPr>
          <w:rFonts w:ascii="Calibri" w:hAnsi="Calibri"/>
        </w:rPr>
        <w:t xml:space="preserve"> </w:t>
      </w:r>
      <w:r w:rsidR="00D5051E" w:rsidRPr="00D5051E">
        <w:rPr>
          <w:rFonts w:ascii="Calibri" w:hAnsi="Calibri"/>
        </w:rPr>
        <w:t xml:space="preserve">helped </w:t>
      </w:r>
      <w:r w:rsidR="00A81A19">
        <w:rPr>
          <w:rFonts w:ascii="Calibri" w:hAnsi="Calibri"/>
        </w:rPr>
        <w:t xml:space="preserve">increase </w:t>
      </w:r>
      <w:r w:rsidR="00D5051E" w:rsidRPr="00D5051E">
        <w:rPr>
          <w:rFonts w:ascii="Calibri" w:hAnsi="Calibri"/>
        </w:rPr>
        <w:t xml:space="preserve">response rates - </w:t>
      </w:r>
      <w:r w:rsidR="00945156" w:rsidRPr="00D5051E">
        <w:rPr>
          <w:rFonts w:ascii="Calibri" w:hAnsi="Calibri"/>
        </w:rPr>
        <w:t xml:space="preserve">the </w:t>
      </w:r>
      <w:r w:rsidR="00016834" w:rsidRPr="00D5051E">
        <w:rPr>
          <w:rFonts w:ascii="Calibri" w:hAnsi="Calibri"/>
        </w:rPr>
        <w:t>perception</w:t>
      </w:r>
      <w:r w:rsidR="009A4ACD" w:rsidRPr="00D5051E">
        <w:rPr>
          <w:rFonts w:ascii="Calibri" w:hAnsi="Calibri"/>
        </w:rPr>
        <w:t xml:space="preserve"> of being in </w:t>
      </w:r>
      <w:r w:rsidR="00D5051E" w:rsidRPr="00D5051E">
        <w:rPr>
          <w:rFonts w:ascii="Calibri" w:hAnsi="Calibri"/>
        </w:rPr>
        <w:t xml:space="preserve">an </w:t>
      </w:r>
      <w:r w:rsidR="009A4ACD" w:rsidRPr="00D5051E">
        <w:rPr>
          <w:rFonts w:ascii="Calibri" w:hAnsi="Calibri"/>
        </w:rPr>
        <w:t xml:space="preserve">elite expert </w:t>
      </w:r>
      <w:r w:rsidR="00D5051E" w:rsidRPr="00D5051E">
        <w:rPr>
          <w:rFonts w:ascii="Calibri" w:hAnsi="Calibri"/>
        </w:rPr>
        <w:t>‘</w:t>
      </w:r>
      <w:r w:rsidR="009A4ACD" w:rsidRPr="00D5051E">
        <w:rPr>
          <w:rFonts w:ascii="Calibri" w:hAnsi="Calibri"/>
        </w:rPr>
        <w:t>club’</w:t>
      </w:r>
      <w:r w:rsidR="00C54AF4">
        <w:rPr>
          <w:rFonts w:ascii="Calibri" w:hAnsi="Calibri"/>
        </w:rPr>
        <w:t xml:space="preserve"> </w:t>
      </w:r>
      <w:r w:rsidR="00C7013D">
        <w:rPr>
          <w:rFonts w:ascii="Calibri" w:hAnsi="Calibri"/>
        </w:rPr>
        <w:t>may</w:t>
      </w:r>
      <w:r w:rsidR="00945156" w:rsidRPr="00D5051E">
        <w:rPr>
          <w:rFonts w:ascii="Calibri" w:hAnsi="Calibri"/>
        </w:rPr>
        <w:t xml:space="preserve"> have </w:t>
      </w:r>
      <w:r w:rsidR="00C7013D">
        <w:rPr>
          <w:rFonts w:ascii="Calibri" w:hAnsi="Calibri"/>
        </w:rPr>
        <w:t xml:space="preserve">motivated </w:t>
      </w:r>
      <w:r w:rsidR="009A4ACD" w:rsidRPr="00D5051E">
        <w:rPr>
          <w:rFonts w:ascii="Calibri" w:hAnsi="Calibri"/>
        </w:rPr>
        <w:t>participation.</w:t>
      </w:r>
      <w:r w:rsidR="001F358D" w:rsidRPr="00D5051E">
        <w:rPr>
          <w:rFonts w:ascii="Calibri" w:hAnsi="Calibri"/>
        </w:rPr>
        <w:t xml:space="preserve"> </w:t>
      </w:r>
      <w:r w:rsidR="00A81A19">
        <w:rPr>
          <w:rFonts w:ascii="Calibri" w:hAnsi="Calibri"/>
        </w:rPr>
        <w:t xml:space="preserve">This </w:t>
      </w:r>
      <w:r w:rsidR="00D5051E" w:rsidRPr="00D5051E">
        <w:rPr>
          <w:rFonts w:ascii="Calibri" w:hAnsi="Calibri"/>
        </w:rPr>
        <w:t>is important</w:t>
      </w:r>
      <w:r w:rsidR="00C54AF4">
        <w:rPr>
          <w:rFonts w:ascii="Calibri" w:hAnsi="Calibri"/>
        </w:rPr>
        <w:t>;</w:t>
      </w:r>
      <w:r w:rsidR="00D5051E" w:rsidRPr="00D5051E">
        <w:rPr>
          <w:rFonts w:ascii="Calibri" w:hAnsi="Calibri"/>
        </w:rPr>
        <w:t xml:space="preserve"> </w:t>
      </w:r>
      <w:r w:rsidR="00C54AF4">
        <w:rPr>
          <w:rFonts w:ascii="Calibri" w:hAnsi="Calibri"/>
        </w:rPr>
        <w:t xml:space="preserve">Delphi’s </w:t>
      </w:r>
      <w:r w:rsidR="00D5051E" w:rsidRPr="00D5051E">
        <w:rPr>
          <w:rFonts w:ascii="Calibri" w:hAnsi="Calibri"/>
        </w:rPr>
        <w:t xml:space="preserve">effectiveness is dependent </w:t>
      </w:r>
      <w:r w:rsidR="00C54AF4">
        <w:rPr>
          <w:rFonts w:ascii="Calibri" w:hAnsi="Calibri"/>
        </w:rPr>
        <w:t>up</w:t>
      </w:r>
      <w:r w:rsidR="00D5051E" w:rsidRPr="00D5051E">
        <w:rPr>
          <w:rFonts w:ascii="Calibri" w:hAnsi="Calibri"/>
        </w:rPr>
        <w:t xml:space="preserve">on ongoing participation. </w:t>
      </w:r>
      <w:r w:rsidR="00A81A19">
        <w:rPr>
          <w:rFonts w:ascii="Calibri" w:hAnsi="Calibri"/>
        </w:rPr>
        <w:t>Other factors likely helped improve response rates</w:t>
      </w:r>
      <w:r w:rsidR="00C54AF4">
        <w:rPr>
          <w:rFonts w:ascii="Calibri" w:hAnsi="Calibri"/>
        </w:rPr>
        <w:t xml:space="preserve"> too, e.g.</w:t>
      </w:r>
      <w:r w:rsidR="00D5051E" w:rsidRPr="00D5051E">
        <w:rPr>
          <w:rFonts w:ascii="Calibri" w:hAnsi="Calibri"/>
        </w:rPr>
        <w:t xml:space="preserve"> panellists’ interest in the research area</w:t>
      </w:r>
      <w:r w:rsidR="00A81A19">
        <w:rPr>
          <w:rFonts w:ascii="Calibri" w:hAnsi="Calibri"/>
        </w:rPr>
        <w:t>,</w:t>
      </w:r>
      <w:r w:rsidR="00D5051E" w:rsidRPr="00D5051E">
        <w:rPr>
          <w:rFonts w:ascii="Calibri" w:hAnsi="Calibri"/>
        </w:rPr>
        <w:t xml:space="preserve"> administering surveys electronically </w:t>
      </w:r>
      <w:r w:rsidR="00C54AF4">
        <w:rPr>
          <w:rFonts w:ascii="Calibri" w:hAnsi="Calibri"/>
        </w:rPr>
        <w:t>in non-</w:t>
      </w:r>
      <w:r w:rsidR="00D5051E" w:rsidRPr="00D5051E">
        <w:rPr>
          <w:rFonts w:ascii="Calibri" w:hAnsi="Calibri"/>
        </w:rPr>
        <w:t xml:space="preserve">holiday periods, </w:t>
      </w:r>
      <w:r w:rsidR="00D5051E" w:rsidRPr="00D5051E">
        <w:t>regular communications, reiterating contribution</w:t>
      </w:r>
      <w:r w:rsidR="00C54AF4">
        <w:t xml:space="preserve"> importance, and setting a three-</w:t>
      </w:r>
      <w:r w:rsidR="00D5051E" w:rsidRPr="00D5051E">
        <w:t xml:space="preserve">round </w:t>
      </w:r>
      <w:r w:rsidR="00C54AF4">
        <w:t xml:space="preserve">study </w:t>
      </w:r>
      <w:r w:rsidR="00D5051E" w:rsidRPr="00D5051E">
        <w:t>limit.</w:t>
      </w:r>
      <w:r w:rsidR="00D5051E" w:rsidRPr="00F544FD">
        <w:rPr>
          <w:color w:val="FF0000"/>
        </w:rPr>
        <w:t xml:space="preserve"> </w:t>
      </w:r>
    </w:p>
    <w:p w:rsidR="007367CE" w:rsidRDefault="008A5959" w:rsidP="008A5959">
      <w:pPr>
        <w:pStyle w:val="NoSpacing"/>
        <w:spacing w:before="0" w:beforeAutospacing="0" w:after="120" w:afterAutospacing="0" w:line="276" w:lineRule="auto"/>
        <w:rPr>
          <w:rFonts w:asciiTheme="minorHAnsi" w:hAnsiTheme="minorHAnsi"/>
          <w:color w:val="00B050"/>
          <w:sz w:val="22"/>
          <w:szCs w:val="22"/>
        </w:rPr>
      </w:pPr>
      <w:r w:rsidRPr="00494225">
        <w:rPr>
          <w:rFonts w:ascii="Calibri" w:hAnsi="Calibri"/>
          <w:sz w:val="22"/>
          <w:szCs w:val="22"/>
        </w:rPr>
        <w:t xml:space="preserve">It is also important to acknowledge </w:t>
      </w:r>
      <w:r w:rsidRPr="003F109C">
        <w:rPr>
          <w:rFonts w:ascii="Calibri" w:hAnsi="Calibri"/>
          <w:sz w:val="22"/>
          <w:szCs w:val="22"/>
        </w:rPr>
        <w:t xml:space="preserve">that </w:t>
      </w:r>
      <w:r w:rsidRPr="003F109C">
        <w:rPr>
          <w:rFonts w:asciiTheme="minorHAnsi" w:hAnsiTheme="minorHAnsi"/>
          <w:sz w:val="22"/>
          <w:szCs w:val="22"/>
        </w:rPr>
        <w:t>participants’ views may be influenced by group opinion. While this is the whole point of Delphi’s iterative consensus-forming process interspersed with controlled feedback, unlike in alternative group research methods (such as interviews, focus groups or nominal group technique)</w:t>
      </w:r>
      <w:r w:rsidR="005A2B33" w:rsidRPr="003F109C">
        <w:rPr>
          <w:rFonts w:asciiTheme="minorHAnsi" w:hAnsiTheme="minorHAnsi"/>
          <w:sz w:val="22"/>
          <w:szCs w:val="22"/>
        </w:rPr>
        <w:t>, participants</w:t>
      </w:r>
      <w:r w:rsidRPr="003F109C">
        <w:rPr>
          <w:rFonts w:asciiTheme="minorHAnsi" w:hAnsiTheme="minorHAnsi"/>
          <w:sz w:val="22"/>
          <w:szCs w:val="22"/>
        </w:rPr>
        <w:t xml:space="preserve"> are under </w:t>
      </w:r>
      <w:r w:rsidR="005A2B33" w:rsidRPr="003F109C">
        <w:rPr>
          <w:rFonts w:asciiTheme="minorHAnsi" w:hAnsiTheme="minorHAnsi"/>
          <w:sz w:val="22"/>
          <w:szCs w:val="22"/>
        </w:rPr>
        <w:t xml:space="preserve">no </w:t>
      </w:r>
      <w:r w:rsidRPr="003F109C">
        <w:rPr>
          <w:rFonts w:asciiTheme="minorHAnsi" w:hAnsiTheme="minorHAnsi"/>
          <w:sz w:val="22"/>
          <w:szCs w:val="22"/>
        </w:rPr>
        <w:t>pressure to change their minds</w:t>
      </w:r>
      <w:r w:rsidR="00494225" w:rsidRPr="003F109C">
        <w:rPr>
          <w:rFonts w:asciiTheme="minorHAnsi" w:hAnsiTheme="minorHAnsi"/>
          <w:sz w:val="22"/>
          <w:szCs w:val="22"/>
        </w:rPr>
        <w:t xml:space="preserve"> as the process evolves</w:t>
      </w:r>
      <w:r w:rsidR="005A2B33" w:rsidRPr="003F109C">
        <w:rPr>
          <w:rFonts w:asciiTheme="minorHAnsi" w:hAnsiTheme="minorHAnsi"/>
          <w:sz w:val="22"/>
          <w:szCs w:val="22"/>
        </w:rPr>
        <w:t xml:space="preserve">. This is </w:t>
      </w:r>
      <w:r w:rsidRPr="003F109C">
        <w:rPr>
          <w:rFonts w:asciiTheme="minorHAnsi" w:hAnsiTheme="minorHAnsi"/>
          <w:sz w:val="22"/>
          <w:szCs w:val="22"/>
        </w:rPr>
        <w:t xml:space="preserve">because </w:t>
      </w:r>
      <w:r w:rsidR="00494225" w:rsidRPr="003F109C">
        <w:rPr>
          <w:rFonts w:asciiTheme="minorHAnsi" w:hAnsiTheme="minorHAnsi"/>
          <w:sz w:val="22"/>
          <w:szCs w:val="22"/>
        </w:rPr>
        <w:t>Delphi</w:t>
      </w:r>
      <w:r w:rsidRPr="003F109C">
        <w:rPr>
          <w:rFonts w:asciiTheme="minorHAnsi" w:hAnsiTheme="minorHAnsi"/>
          <w:sz w:val="22"/>
          <w:szCs w:val="22"/>
        </w:rPr>
        <w:t xml:space="preserve"> is based on democratic participation and anonymity. If participants wish to revise responses in light of group feedback, they can; but if they are not swayed by </w:t>
      </w:r>
      <w:r w:rsidR="005A2B33" w:rsidRPr="003F109C">
        <w:rPr>
          <w:rFonts w:asciiTheme="minorHAnsi" w:hAnsiTheme="minorHAnsi"/>
          <w:sz w:val="22"/>
          <w:szCs w:val="22"/>
        </w:rPr>
        <w:t xml:space="preserve">the </w:t>
      </w:r>
      <w:r w:rsidRPr="003F109C">
        <w:rPr>
          <w:rFonts w:asciiTheme="minorHAnsi" w:hAnsiTheme="minorHAnsi"/>
          <w:sz w:val="22"/>
          <w:szCs w:val="22"/>
        </w:rPr>
        <w:t xml:space="preserve">group opinion </w:t>
      </w:r>
      <w:r w:rsidR="005A2B33" w:rsidRPr="003F109C">
        <w:rPr>
          <w:rFonts w:asciiTheme="minorHAnsi" w:hAnsiTheme="minorHAnsi"/>
          <w:sz w:val="22"/>
          <w:szCs w:val="22"/>
        </w:rPr>
        <w:t xml:space="preserve">statistical </w:t>
      </w:r>
      <w:r w:rsidRPr="003F109C">
        <w:rPr>
          <w:rFonts w:asciiTheme="minorHAnsi" w:hAnsiTheme="minorHAnsi"/>
          <w:sz w:val="22"/>
          <w:szCs w:val="22"/>
        </w:rPr>
        <w:t>feedback</w:t>
      </w:r>
      <w:r w:rsidR="005A2B33" w:rsidRPr="003F109C">
        <w:rPr>
          <w:rFonts w:asciiTheme="minorHAnsi" w:hAnsiTheme="minorHAnsi"/>
          <w:sz w:val="22"/>
          <w:szCs w:val="22"/>
        </w:rPr>
        <w:t xml:space="preserve"> presented</w:t>
      </w:r>
      <w:r w:rsidRPr="003F109C">
        <w:rPr>
          <w:rFonts w:asciiTheme="minorHAnsi" w:hAnsiTheme="minorHAnsi"/>
          <w:sz w:val="22"/>
          <w:szCs w:val="22"/>
        </w:rPr>
        <w:t>, they need not change their mind.</w:t>
      </w:r>
      <w:r w:rsidR="007367CE" w:rsidRPr="003F109C">
        <w:rPr>
          <w:rFonts w:asciiTheme="minorHAnsi" w:hAnsiTheme="minorHAnsi"/>
          <w:sz w:val="22"/>
          <w:szCs w:val="22"/>
        </w:rPr>
        <w:t xml:space="preserve"> In this study, 47% of Round 2 responses were revised in Round 3</w:t>
      </w:r>
      <w:r w:rsidR="00964B0E" w:rsidRPr="003F109C">
        <w:rPr>
          <w:rFonts w:asciiTheme="minorHAnsi" w:hAnsiTheme="minorHAnsi"/>
          <w:sz w:val="22"/>
          <w:szCs w:val="22"/>
        </w:rPr>
        <w:t xml:space="preserve">. Interestingly, it was the public health experts that changed their minds </w:t>
      </w:r>
      <w:r w:rsidR="001D3CAD" w:rsidRPr="003F109C">
        <w:rPr>
          <w:rFonts w:asciiTheme="minorHAnsi" w:hAnsiTheme="minorHAnsi"/>
          <w:sz w:val="22"/>
          <w:szCs w:val="22"/>
        </w:rPr>
        <w:t xml:space="preserve">the </w:t>
      </w:r>
      <w:r w:rsidR="00964B0E" w:rsidRPr="003F109C">
        <w:rPr>
          <w:rFonts w:asciiTheme="minorHAnsi" w:hAnsiTheme="minorHAnsi"/>
          <w:sz w:val="22"/>
          <w:szCs w:val="22"/>
        </w:rPr>
        <w:t>least</w:t>
      </w:r>
      <w:r w:rsidR="007A7AC7" w:rsidRPr="003F109C">
        <w:rPr>
          <w:rFonts w:asciiTheme="minorHAnsi" w:hAnsiTheme="minorHAnsi"/>
          <w:sz w:val="22"/>
          <w:szCs w:val="22"/>
        </w:rPr>
        <w:t xml:space="preserve"> (37%)</w:t>
      </w:r>
      <w:r w:rsidR="001D3CAD" w:rsidRPr="003F109C">
        <w:rPr>
          <w:rFonts w:asciiTheme="minorHAnsi" w:hAnsiTheme="minorHAnsi"/>
          <w:sz w:val="22"/>
          <w:szCs w:val="22"/>
        </w:rPr>
        <w:t>; while this group of experts probably knew relatively little about LAQM compared with others, this result may be explained by public health experts feeling more confident with their responses because the research problem under investigation was public health-focused.</w:t>
      </w:r>
      <w:r w:rsidR="001D3CAD">
        <w:rPr>
          <w:rFonts w:asciiTheme="minorHAnsi" w:hAnsiTheme="minorHAnsi"/>
          <w:color w:val="00B050"/>
          <w:sz w:val="22"/>
          <w:szCs w:val="22"/>
        </w:rPr>
        <w:t xml:space="preserve"> </w:t>
      </w:r>
    </w:p>
    <w:p w:rsidR="00B2343E" w:rsidRDefault="00F9099A" w:rsidP="00056C35">
      <w:pPr>
        <w:spacing w:after="120"/>
        <w:rPr>
          <w:rFonts w:ascii="Calibri" w:hAnsi="Calibri"/>
        </w:rPr>
      </w:pPr>
      <w:r w:rsidRPr="000C53DE">
        <w:rPr>
          <w:rFonts w:ascii="Calibri" w:hAnsi="Calibri"/>
        </w:rPr>
        <w:t>In addition to</w:t>
      </w:r>
      <w:r w:rsidR="009602D9" w:rsidRPr="000C53DE">
        <w:rPr>
          <w:rFonts w:ascii="Calibri" w:hAnsi="Calibri"/>
        </w:rPr>
        <w:t xml:space="preserve"> </w:t>
      </w:r>
      <w:r w:rsidR="00056C35">
        <w:rPr>
          <w:rFonts w:ascii="Calibri" w:hAnsi="Calibri"/>
        </w:rPr>
        <w:t>study-</w:t>
      </w:r>
      <w:r w:rsidR="00106B1D" w:rsidRPr="000C53DE">
        <w:rPr>
          <w:rFonts w:ascii="Calibri" w:hAnsi="Calibri"/>
        </w:rPr>
        <w:t>design issues</w:t>
      </w:r>
      <w:r w:rsidR="009602D9" w:rsidRPr="000C53DE">
        <w:rPr>
          <w:rFonts w:ascii="Calibri" w:hAnsi="Calibri"/>
        </w:rPr>
        <w:t>,</w:t>
      </w:r>
      <w:r w:rsidR="00A81A19">
        <w:rPr>
          <w:rFonts w:ascii="Calibri" w:hAnsi="Calibri"/>
        </w:rPr>
        <w:t xml:space="preserve"> possible</w:t>
      </w:r>
      <w:r w:rsidR="00555E61">
        <w:rPr>
          <w:rFonts w:ascii="Calibri" w:hAnsi="Calibri"/>
        </w:rPr>
        <w:t xml:space="preserve"> </w:t>
      </w:r>
      <w:r w:rsidR="009602D9" w:rsidRPr="000C53DE">
        <w:rPr>
          <w:rFonts w:ascii="Calibri" w:hAnsi="Calibri"/>
        </w:rPr>
        <w:t>data collection and analysis</w:t>
      </w:r>
      <w:r w:rsidR="00945156">
        <w:rPr>
          <w:rFonts w:ascii="Calibri" w:hAnsi="Calibri"/>
        </w:rPr>
        <w:t xml:space="preserve">-related limitations </w:t>
      </w:r>
      <w:r w:rsidR="00056C35">
        <w:rPr>
          <w:rFonts w:ascii="Calibri" w:hAnsi="Calibri"/>
        </w:rPr>
        <w:t>should be acknowledged</w:t>
      </w:r>
      <w:r w:rsidR="00945156">
        <w:rPr>
          <w:rFonts w:ascii="Calibri" w:hAnsi="Calibri"/>
        </w:rPr>
        <w:t>.</w:t>
      </w:r>
      <w:r w:rsidR="009602D9" w:rsidRPr="000C53DE">
        <w:rPr>
          <w:rFonts w:ascii="Calibri" w:hAnsi="Calibri"/>
        </w:rPr>
        <w:t xml:space="preserve"> For example,</w:t>
      </w:r>
      <w:r w:rsidR="00106B1D" w:rsidRPr="000C53DE">
        <w:rPr>
          <w:rFonts w:ascii="Calibri" w:hAnsi="Calibri"/>
        </w:rPr>
        <w:t xml:space="preserve"> it is </w:t>
      </w:r>
      <w:r w:rsidR="00056C35">
        <w:rPr>
          <w:rFonts w:ascii="Calibri" w:hAnsi="Calibri"/>
        </w:rPr>
        <w:t>possible for</w:t>
      </w:r>
      <w:r w:rsidR="00404759" w:rsidRPr="000C53DE">
        <w:rPr>
          <w:rFonts w:ascii="Calibri" w:hAnsi="Calibri"/>
        </w:rPr>
        <w:t xml:space="preserve"> </w:t>
      </w:r>
      <w:r w:rsidR="00106B1D" w:rsidRPr="000C53DE">
        <w:rPr>
          <w:rFonts w:ascii="Calibri" w:hAnsi="Calibri"/>
        </w:rPr>
        <w:t xml:space="preserve">data collection instruments </w:t>
      </w:r>
      <w:r w:rsidR="00056C35">
        <w:rPr>
          <w:rFonts w:ascii="Calibri" w:hAnsi="Calibri"/>
        </w:rPr>
        <w:t xml:space="preserve">to </w:t>
      </w:r>
      <w:r w:rsidR="00555E61">
        <w:rPr>
          <w:rFonts w:ascii="Calibri" w:hAnsi="Calibri"/>
        </w:rPr>
        <w:t xml:space="preserve">confuse </w:t>
      </w:r>
      <w:r w:rsidR="00106B1D" w:rsidRPr="000C53DE">
        <w:rPr>
          <w:rFonts w:ascii="Calibri" w:hAnsi="Calibri"/>
        </w:rPr>
        <w:t>panellists and</w:t>
      </w:r>
      <w:r w:rsidR="00056C35">
        <w:rPr>
          <w:rFonts w:ascii="Calibri" w:hAnsi="Calibri"/>
        </w:rPr>
        <w:t xml:space="preserve">, </w:t>
      </w:r>
      <w:r w:rsidR="00056C35">
        <w:rPr>
          <w:rFonts w:ascii="Calibri" w:hAnsi="Calibri"/>
        </w:rPr>
        <w:lastRenderedPageBreak/>
        <w:t>through the use of leading questions, compromise the collection of balanced</w:t>
      </w:r>
      <w:r w:rsidR="006846DE">
        <w:rPr>
          <w:rFonts w:ascii="Calibri" w:hAnsi="Calibri"/>
        </w:rPr>
        <w:t xml:space="preserve"> responses</w:t>
      </w:r>
      <w:r w:rsidR="00106B1D" w:rsidRPr="000C53DE">
        <w:rPr>
          <w:rFonts w:ascii="Calibri" w:hAnsi="Calibri"/>
        </w:rPr>
        <w:t>. To avoid this</w:t>
      </w:r>
      <w:r w:rsidR="00404759" w:rsidRPr="000C53DE">
        <w:rPr>
          <w:rFonts w:ascii="Calibri" w:hAnsi="Calibri"/>
        </w:rPr>
        <w:t>,</w:t>
      </w:r>
      <w:r w:rsidR="00106B1D" w:rsidRPr="000C53DE">
        <w:rPr>
          <w:rFonts w:ascii="Calibri" w:hAnsi="Calibri"/>
        </w:rPr>
        <w:t xml:space="preserve"> </w:t>
      </w:r>
      <w:r w:rsidRPr="000C53DE">
        <w:rPr>
          <w:rFonts w:ascii="Calibri" w:hAnsi="Calibri"/>
        </w:rPr>
        <w:t xml:space="preserve">and </w:t>
      </w:r>
      <w:r w:rsidR="00C7013D">
        <w:rPr>
          <w:rFonts w:ascii="Calibri" w:hAnsi="Calibri"/>
        </w:rPr>
        <w:t xml:space="preserve">to </w:t>
      </w:r>
      <w:r w:rsidRPr="000C53DE">
        <w:rPr>
          <w:rFonts w:ascii="Calibri" w:hAnsi="Calibri"/>
        </w:rPr>
        <w:t>ensure surveys</w:t>
      </w:r>
      <w:r w:rsidR="00106B1D" w:rsidRPr="000C53DE">
        <w:rPr>
          <w:rFonts w:ascii="Calibri" w:hAnsi="Calibri"/>
        </w:rPr>
        <w:t xml:space="preserve"> </w:t>
      </w:r>
      <w:r w:rsidR="00555E61">
        <w:rPr>
          <w:rFonts w:ascii="Calibri" w:hAnsi="Calibri"/>
        </w:rPr>
        <w:t xml:space="preserve">asked </w:t>
      </w:r>
      <w:r w:rsidR="00106B1D" w:rsidRPr="000C53DE">
        <w:rPr>
          <w:rFonts w:ascii="Calibri" w:hAnsi="Calibri"/>
        </w:rPr>
        <w:t>clear, concise and unambiguous</w:t>
      </w:r>
      <w:r w:rsidR="00F47389">
        <w:rPr>
          <w:rFonts w:ascii="Calibri" w:hAnsi="Calibri"/>
        </w:rPr>
        <w:t xml:space="preserve"> questions</w:t>
      </w:r>
      <w:r w:rsidR="00106B1D" w:rsidRPr="000C53DE">
        <w:rPr>
          <w:rFonts w:ascii="Calibri" w:hAnsi="Calibri"/>
        </w:rPr>
        <w:t xml:space="preserve">, </w:t>
      </w:r>
      <w:r w:rsidR="00404759" w:rsidRPr="000C53DE">
        <w:rPr>
          <w:rFonts w:ascii="Calibri" w:hAnsi="Calibri"/>
        </w:rPr>
        <w:t xml:space="preserve">each </w:t>
      </w:r>
      <w:r w:rsidR="00F47389">
        <w:rPr>
          <w:rFonts w:ascii="Calibri" w:hAnsi="Calibri"/>
        </w:rPr>
        <w:t xml:space="preserve">round </w:t>
      </w:r>
      <w:r w:rsidR="00404759" w:rsidRPr="000C53DE">
        <w:rPr>
          <w:rFonts w:ascii="Calibri" w:hAnsi="Calibri"/>
        </w:rPr>
        <w:t>was</w:t>
      </w:r>
      <w:r w:rsidR="00106B1D" w:rsidRPr="000C53DE">
        <w:rPr>
          <w:rFonts w:ascii="Calibri" w:hAnsi="Calibri"/>
        </w:rPr>
        <w:t xml:space="preserve"> piloted</w:t>
      </w:r>
      <w:r w:rsidR="00C86DDE" w:rsidRPr="000C53DE">
        <w:rPr>
          <w:rFonts w:ascii="Calibri" w:hAnsi="Calibri"/>
        </w:rPr>
        <w:t xml:space="preserve"> and refined </w:t>
      </w:r>
      <w:r w:rsidR="00F47389">
        <w:rPr>
          <w:rFonts w:ascii="Calibri" w:hAnsi="Calibri"/>
        </w:rPr>
        <w:t>accordingly</w:t>
      </w:r>
      <w:r w:rsidR="00C86DDE" w:rsidRPr="000C53DE">
        <w:rPr>
          <w:rFonts w:ascii="Calibri" w:hAnsi="Calibri"/>
        </w:rPr>
        <w:t>.</w:t>
      </w:r>
      <w:r w:rsidR="001F358D" w:rsidRPr="000C53DE">
        <w:rPr>
          <w:rFonts w:ascii="Calibri" w:hAnsi="Calibri"/>
        </w:rPr>
        <w:t xml:space="preserve"> </w:t>
      </w:r>
    </w:p>
    <w:p w:rsidR="00F47389" w:rsidRDefault="00F47389" w:rsidP="00056C35">
      <w:pPr>
        <w:spacing w:after="120"/>
        <w:rPr>
          <w:rFonts w:ascii="Calibri" w:hAnsi="Calibri"/>
          <w:color w:val="4F81BD" w:themeColor="accent1"/>
        </w:rPr>
      </w:pPr>
      <w:r>
        <w:rPr>
          <w:rFonts w:ascii="Calibri" w:hAnsi="Calibri"/>
        </w:rPr>
        <w:t xml:space="preserve">In terms of </w:t>
      </w:r>
      <w:r w:rsidR="00503A64">
        <w:rPr>
          <w:rFonts w:ascii="Calibri" w:hAnsi="Calibri"/>
        </w:rPr>
        <w:t xml:space="preserve">qualitative </w:t>
      </w:r>
      <w:r>
        <w:rPr>
          <w:rFonts w:ascii="Calibri" w:hAnsi="Calibri"/>
        </w:rPr>
        <w:t>data</w:t>
      </w:r>
      <w:r w:rsidR="002028A8">
        <w:rPr>
          <w:rFonts w:ascii="Calibri" w:hAnsi="Calibri"/>
        </w:rPr>
        <w:t xml:space="preserve"> analysis</w:t>
      </w:r>
      <w:r>
        <w:rPr>
          <w:rFonts w:ascii="Calibri" w:hAnsi="Calibri"/>
        </w:rPr>
        <w:t>,</w:t>
      </w:r>
      <w:r w:rsidR="004D153B">
        <w:rPr>
          <w:rFonts w:ascii="Calibri" w:hAnsi="Calibri"/>
        </w:rPr>
        <w:t xml:space="preserve"> measures were taken to mitigate the possibility of </w:t>
      </w:r>
      <w:r w:rsidR="00404759" w:rsidRPr="000C53DE">
        <w:rPr>
          <w:rFonts w:ascii="Calibri" w:hAnsi="Calibri"/>
        </w:rPr>
        <w:t xml:space="preserve">panellists’ </w:t>
      </w:r>
      <w:r w:rsidR="00C86DDE" w:rsidRPr="000C53DE">
        <w:rPr>
          <w:rFonts w:ascii="Calibri" w:hAnsi="Calibri"/>
        </w:rPr>
        <w:t>contributions</w:t>
      </w:r>
      <w:r w:rsidR="002028A8">
        <w:rPr>
          <w:rFonts w:ascii="Calibri" w:hAnsi="Calibri"/>
        </w:rPr>
        <w:t xml:space="preserve"> not </w:t>
      </w:r>
      <w:r w:rsidR="004D153B">
        <w:rPr>
          <w:rFonts w:ascii="Calibri" w:hAnsi="Calibri"/>
        </w:rPr>
        <w:t xml:space="preserve">being </w:t>
      </w:r>
      <w:r w:rsidR="002028A8">
        <w:rPr>
          <w:rFonts w:ascii="Calibri" w:hAnsi="Calibri"/>
        </w:rPr>
        <w:t>captured or interpreted correctly</w:t>
      </w:r>
      <w:r>
        <w:rPr>
          <w:rFonts w:ascii="Calibri" w:hAnsi="Calibri"/>
        </w:rPr>
        <w:t xml:space="preserve">, especially extreme </w:t>
      </w:r>
      <w:r w:rsidR="00404759" w:rsidRPr="000C53DE">
        <w:rPr>
          <w:rFonts w:ascii="Calibri" w:hAnsi="Calibri"/>
        </w:rPr>
        <w:t>outlier responses</w:t>
      </w:r>
      <w:r w:rsidR="00C86DDE" w:rsidRPr="000C53DE">
        <w:rPr>
          <w:rFonts w:ascii="Calibri" w:hAnsi="Calibri"/>
        </w:rPr>
        <w:t xml:space="preserve">. </w:t>
      </w:r>
      <w:r w:rsidR="001C6391">
        <w:rPr>
          <w:rFonts w:ascii="Calibri" w:hAnsi="Calibri"/>
        </w:rPr>
        <w:t xml:space="preserve">While the </w:t>
      </w:r>
      <w:r w:rsidR="002028A8">
        <w:rPr>
          <w:rFonts w:ascii="Calibri" w:hAnsi="Calibri"/>
        </w:rPr>
        <w:t xml:space="preserve">thematic analysis </w:t>
      </w:r>
      <w:r w:rsidR="001C6391">
        <w:rPr>
          <w:rFonts w:ascii="Calibri" w:hAnsi="Calibri"/>
        </w:rPr>
        <w:t xml:space="preserve">approach adopted </w:t>
      </w:r>
      <w:r w:rsidR="002028A8">
        <w:rPr>
          <w:rFonts w:ascii="Calibri" w:hAnsi="Calibri"/>
        </w:rPr>
        <w:t xml:space="preserve">in this study </w:t>
      </w:r>
      <w:r w:rsidR="001C6391">
        <w:rPr>
          <w:rFonts w:ascii="Calibri" w:hAnsi="Calibri"/>
        </w:rPr>
        <w:t>may not hold the same ‘</w:t>
      </w:r>
      <w:r w:rsidR="001C6391" w:rsidRPr="00503A64">
        <w:rPr>
          <w:rFonts w:ascii="Calibri" w:hAnsi="Calibri"/>
        </w:rPr>
        <w:t xml:space="preserve">kudos’ as full discourse analysis or grounded theory, it </w:t>
      </w:r>
      <w:r w:rsidR="002028A8">
        <w:rPr>
          <w:rFonts w:ascii="Calibri" w:hAnsi="Calibri"/>
        </w:rPr>
        <w:t xml:space="preserve">is no less </w:t>
      </w:r>
      <w:r w:rsidR="001C6391" w:rsidRPr="00503A64">
        <w:rPr>
          <w:rFonts w:ascii="Calibri" w:hAnsi="Calibri"/>
        </w:rPr>
        <w:t>credible</w:t>
      </w:r>
      <w:r w:rsidR="002028A8">
        <w:rPr>
          <w:rFonts w:ascii="Calibri" w:hAnsi="Calibri"/>
        </w:rPr>
        <w:t>, having</w:t>
      </w:r>
      <w:r w:rsidR="001C6391">
        <w:rPr>
          <w:rFonts w:ascii="Calibri" w:hAnsi="Calibri"/>
        </w:rPr>
        <w:t xml:space="preserve"> been</w:t>
      </w:r>
      <w:r w:rsidR="001C6391" w:rsidRPr="00503A64">
        <w:rPr>
          <w:rFonts w:ascii="Calibri" w:hAnsi="Calibri"/>
        </w:rPr>
        <w:t xml:space="preserve"> used successful</w:t>
      </w:r>
      <w:r w:rsidR="001C6391">
        <w:rPr>
          <w:rFonts w:ascii="Calibri" w:hAnsi="Calibri"/>
        </w:rPr>
        <w:t>ly</w:t>
      </w:r>
      <w:r w:rsidR="001C6391" w:rsidRPr="00503A64">
        <w:rPr>
          <w:rFonts w:ascii="Calibri" w:hAnsi="Calibri"/>
        </w:rPr>
        <w:t xml:space="preserve"> in other health-related research  (</w:t>
      </w:r>
      <w:r w:rsidR="00901B6F" w:rsidRPr="0093477A">
        <w:rPr>
          <w:rFonts w:ascii="Calibri" w:hAnsi="Calibri"/>
          <w:color w:val="00B050"/>
        </w:rPr>
        <w:t xml:space="preserve">Allen and Foulkes, 2011; </w:t>
      </w:r>
      <w:r w:rsidR="003F109C" w:rsidRPr="00E56BB8">
        <w:rPr>
          <w:rFonts w:ascii="Calibri" w:hAnsi="Calibri"/>
          <w:color w:val="00B050"/>
        </w:rPr>
        <w:t>Fade and Swift, 2011</w:t>
      </w:r>
      <w:r w:rsidR="003F109C">
        <w:rPr>
          <w:rFonts w:ascii="Calibri" w:hAnsi="Calibri"/>
          <w:color w:val="00B050"/>
        </w:rPr>
        <w:t xml:space="preserve">; </w:t>
      </w:r>
      <w:r w:rsidR="001C6391" w:rsidRPr="00503A64">
        <w:rPr>
          <w:rFonts w:ascii="Calibri" w:hAnsi="Calibri"/>
          <w:color w:val="00B050"/>
        </w:rPr>
        <w:t>Braun and Clarke, 2006</w:t>
      </w:r>
      <w:r w:rsidR="001C6391" w:rsidRPr="00503A64">
        <w:rPr>
          <w:rFonts w:ascii="Calibri" w:hAnsi="Calibri"/>
          <w:bCs/>
        </w:rPr>
        <w:t>).</w:t>
      </w:r>
      <w:r w:rsidR="001C6391">
        <w:rPr>
          <w:rFonts w:ascii="Calibri" w:hAnsi="Calibri"/>
          <w:bCs/>
        </w:rPr>
        <w:t xml:space="preserve"> To minimise data misinterpretation</w:t>
      </w:r>
      <w:r w:rsidR="002028A8">
        <w:rPr>
          <w:rFonts w:ascii="Calibri" w:hAnsi="Calibri"/>
          <w:bCs/>
        </w:rPr>
        <w:t xml:space="preserve"> risks</w:t>
      </w:r>
      <w:r w:rsidR="001C6391">
        <w:rPr>
          <w:rFonts w:ascii="Calibri" w:hAnsi="Calibri"/>
          <w:bCs/>
        </w:rPr>
        <w:t>, s</w:t>
      </w:r>
      <w:r w:rsidR="00503A64">
        <w:rPr>
          <w:rFonts w:ascii="Calibri" w:hAnsi="Calibri"/>
        </w:rPr>
        <w:t xml:space="preserve">everal recommended steps were </w:t>
      </w:r>
      <w:r w:rsidR="00503A64" w:rsidRPr="000C53DE">
        <w:rPr>
          <w:rFonts w:ascii="Calibri" w:hAnsi="Calibri"/>
        </w:rPr>
        <w:t>taken</w:t>
      </w:r>
      <w:r w:rsidR="00503A64">
        <w:rPr>
          <w:rFonts w:ascii="Calibri" w:hAnsi="Calibri"/>
        </w:rPr>
        <w:t>:</w:t>
      </w:r>
      <w:r w:rsidR="00503A64" w:rsidRPr="000C53DE">
        <w:rPr>
          <w:rFonts w:ascii="Calibri" w:hAnsi="Calibri"/>
        </w:rPr>
        <w:t xml:space="preserve"> seeking brief explanations </w:t>
      </w:r>
      <w:r w:rsidR="002028A8">
        <w:rPr>
          <w:rFonts w:ascii="Calibri" w:hAnsi="Calibri"/>
        </w:rPr>
        <w:t>of</w:t>
      </w:r>
      <w:r w:rsidR="00503A64" w:rsidRPr="000C53DE">
        <w:rPr>
          <w:rFonts w:ascii="Calibri" w:hAnsi="Calibri"/>
        </w:rPr>
        <w:t xml:space="preserve"> opinions submitted</w:t>
      </w:r>
      <w:r w:rsidR="001C6391">
        <w:rPr>
          <w:rFonts w:ascii="Calibri" w:hAnsi="Calibri"/>
        </w:rPr>
        <w:t xml:space="preserve">, </w:t>
      </w:r>
      <w:r w:rsidR="00503A64" w:rsidRPr="000C53DE">
        <w:rPr>
          <w:rFonts w:ascii="Calibri" w:hAnsi="Calibri"/>
        </w:rPr>
        <w:t xml:space="preserve">having </w:t>
      </w:r>
      <w:r w:rsidR="00503A64">
        <w:rPr>
          <w:rFonts w:ascii="Calibri" w:hAnsi="Calibri"/>
        </w:rPr>
        <w:t xml:space="preserve">different </w:t>
      </w:r>
      <w:r w:rsidR="002028A8">
        <w:rPr>
          <w:rFonts w:ascii="Calibri" w:hAnsi="Calibri"/>
        </w:rPr>
        <w:t xml:space="preserve">research team </w:t>
      </w:r>
      <w:r w:rsidR="00503A64" w:rsidRPr="000C53DE">
        <w:rPr>
          <w:rFonts w:ascii="Calibri" w:hAnsi="Calibri"/>
        </w:rPr>
        <w:t xml:space="preserve">members independently review panellists’ responses, and validating </w:t>
      </w:r>
      <w:r w:rsidR="00503A64">
        <w:rPr>
          <w:rFonts w:ascii="Calibri" w:hAnsi="Calibri"/>
        </w:rPr>
        <w:t xml:space="preserve">summary </w:t>
      </w:r>
      <w:r w:rsidR="00503A64" w:rsidRPr="000C53DE">
        <w:rPr>
          <w:rFonts w:ascii="Calibri" w:hAnsi="Calibri"/>
        </w:rPr>
        <w:t xml:space="preserve">item lists </w:t>
      </w:r>
      <w:r w:rsidR="00503A64">
        <w:rPr>
          <w:rFonts w:ascii="Calibri" w:hAnsi="Calibri"/>
        </w:rPr>
        <w:t xml:space="preserve">directly </w:t>
      </w:r>
      <w:r w:rsidR="001C6391">
        <w:rPr>
          <w:rFonts w:ascii="Calibri" w:hAnsi="Calibri"/>
        </w:rPr>
        <w:t xml:space="preserve">back </w:t>
      </w:r>
      <w:r w:rsidR="00503A64" w:rsidRPr="000C53DE">
        <w:rPr>
          <w:rFonts w:ascii="Calibri" w:hAnsi="Calibri"/>
        </w:rPr>
        <w:t>with panellists (</w:t>
      </w:r>
      <w:r w:rsidR="003F109C" w:rsidRPr="000C53DE">
        <w:rPr>
          <w:rFonts w:ascii="Calibri" w:hAnsi="Calibri"/>
          <w:color w:val="00B050"/>
        </w:rPr>
        <w:t>Dubois and Graff, 2011</w:t>
      </w:r>
      <w:r w:rsidR="003F109C">
        <w:rPr>
          <w:rFonts w:ascii="Calibri" w:hAnsi="Calibri"/>
          <w:color w:val="00B050"/>
        </w:rPr>
        <w:t xml:space="preserve">; </w:t>
      </w:r>
      <w:proofErr w:type="spellStart"/>
      <w:r w:rsidR="00503A64" w:rsidRPr="000C53DE">
        <w:rPr>
          <w:rFonts w:ascii="Calibri" w:hAnsi="Calibri"/>
          <w:color w:val="00B050"/>
        </w:rPr>
        <w:t>Linstone</w:t>
      </w:r>
      <w:proofErr w:type="spellEnd"/>
      <w:r w:rsidR="00503A64" w:rsidRPr="000C53DE">
        <w:rPr>
          <w:rFonts w:ascii="Calibri" w:hAnsi="Calibri"/>
          <w:color w:val="00B050"/>
        </w:rPr>
        <w:t xml:space="preserve"> and </w:t>
      </w:r>
      <w:proofErr w:type="spellStart"/>
      <w:r w:rsidR="00503A64" w:rsidRPr="000C53DE">
        <w:rPr>
          <w:rFonts w:ascii="Calibri" w:hAnsi="Calibri"/>
          <w:color w:val="00B050"/>
        </w:rPr>
        <w:t>Turoff</w:t>
      </w:r>
      <w:proofErr w:type="spellEnd"/>
      <w:r w:rsidR="00503A64" w:rsidRPr="000C53DE">
        <w:rPr>
          <w:rFonts w:ascii="Calibri" w:hAnsi="Calibri"/>
          <w:color w:val="00B050"/>
        </w:rPr>
        <w:t>, 2002</w:t>
      </w:r>
      <w:r w:rsidR="00503A64" w:rsidRPr="000C53DE">
        <w:rPr>
          <w:rFonts w:ascii="Calibri" w:hAnsi="Calibri"/>
        </w:rPr>
        <w:t>).</w:t>
      </w:r>
      <w:r w:rsidR="00503A64" w:rsidRPr="000C53DE">
        <w:rPr>
          <w:rFonts w:ascii="Calibri" w:hAnsi="Calibri"/>
          <w:color w:val="4F81BD" w:themeColor="accent1"/>
        </w:rPr>
        <w:t xml:space="preserve"> </w:t>
      </w:r>
    </w:p>
    <w:p w:rsidR="008D5974" w:rsidRPr="000C53DE" w:rsidRDefault="005A1DC4" w:rsidP="000C53DE">
      <w:pPr>
        <w:spacing w:after="120"/>
        <w:rPr>
          <w:bCs/>
        </w:rPr>
      </w:pPr>
      <w:r w:rsidRPr="000C53DE">
        <w:rPr>
          <w:rFonts w:ascii="Calibri" w:hAnsi="Calibri"/>
        </w:rPr>
        <w:t xml:space="preserve">As for </w:t>
      </w:r>
      <w:r w:rsidR="001C6391">
        <w:rPr>
          <w:rFonts w:ascii="Calibri" w:hAnsi="Calibri"/>
        </w:rPr>
        <w:t xml:space="preserve">quantitative data analysis, </w:t>
      </w:r>
      <w:r w:rsidR="002028A8">
        <w:rPr>
          <w:rFonts w:ascii="Calibri" w:hAnsi="Calibri"/>
        </w:rPr>
        <w:t>determining consensus is often the most controversial aspect</w:t>
      </w:r>
      <w:r w:rsidR="001C6391">
        <w:rPr>
          <w:rFonts w:ascii="Calibri" w:hAnsi="Calibri"/>
        </w:rPr>
        <w:t xml:space="preserve"> of any Delphi study</w:t>
      </w:r>
      <w:r w:rsidR="002028A8">
        <w:rPr>
          <w:rFonts w:ascii="Calibri" w:hAnsi="Calibri"/>
        </w:rPr>
        <w:t>.</w:t>
      </w:r>
      <w:r w:rsidR="001C6391">
        <w:rPr>
          <w:rFonts w:ascii="Calibri" w:hAnsi="Calibri"/>
        </w:rPr>
        <w:t xml:space="preserve"> </w:t>
      </w:r>
      <w:r w:rsidR="00E121D0">
        <w:rPr>
          <w:rFonts w:ascii="Calibri" w:hAnsi="Calibri"/>
        </w:rPr>
        <w:t xml:space="preserve">Consensus is </w:t>
      </w:r>
      <w:r w:rsidR="001C6391">
        <w:rPr>
          <w:rFonts w:ascii="Calibri" w:hAnsi="Calibri"/>
        </w:rPr>
        <w:t xml:space="preserve">defined as </w:t>
      </w:r>
      <w:r w:rsidR="003F109C">
        <w:rPr>
          <w:rFonts w:ascii="Calibri" w:hAnsi="Calibri"/>
        </w:rPr>
        <w:t>“</w:t>
      </w:r>
      <w:r w:rsidR="0069124F" w:rsidRPr="000C53DE">
        <w:rPr>
          <w:rFonts w:eastAsia="Times New Roman" w:cs="Times New Roman"/>
          <w:lang w:eastAsia="en-GB"/>
        </w:rPr>
        <w:t>a condition of homogeneity or consistency of opinion among panellists</w:t>
      </w:r>
      <w:r w:rsidR="003F109C">
        <w:rPr>
          <w:rFonts w:eastAsia="Times New Roman" w:cs="Times New Roman"/>
          <w:lang w:eastAsia="en-GB"/>
        </w:rPr>
        <w:t>”</w:t>
      </w:r>
      <w:r w:rsidR="0069124F" w:rsidRPr="000C53DE">
        <w:rPr>
          <w:rFonts w:eastAsia="Times New Roman" w:cs="Times New Roman"/>
          <w:lang w:eastAsia="en-GB"/>
        </w:rPr>
        <w:t xml:space="preserve"> (</w:t>
      </w:r>
      <w:r w:rsidR="0069124F" w:rsidRPr="000C53DE">
        <w:rPr>
          <w:rFonts w:eastAsia="Times New Roman" w:cs="Times New Roman"/>
          <w:color w:val="00B050"/>
          <w:lang w:eastAsia="en-GB"/>
        </w:rPr>
        <w:t xml:space="preserve">Graham </w:t>
      </w:r>
      <w:r w:rsidR="0069124F" w:rsidRPr="000C53DE">
        <w:rPr>
          <w:rFonts w:eastAsia="Times New Roman" w:cs="Times New Roman"/>
          <w:i/>
          <w:color w:val="00B050"/>
          <w:lang w:eastAsia="en-GB"/>
        </w:rPr>
        <w:t>et al</w:t>
      </w:r>
      <w:r w:rsidR="0069124F" w:rsidRPr="000C53DE">
        <w:rPr>
          <w:rFonts w:eastAsia="Times New Roman" w:cs="Times New Roman"/>
          <w:color w:val="00B050"/>
          <w:lang w:eastAsia="en-GB"/>
        </w:rPr>
        <w:t>., 2003</w:t>
      </w:r>
      <w:r w:rsidR="003B021C">
        <w:rPr>
          <w:rFonts w:eastAsia="Times New Roman" w:cs="Times New Roman"/>
          <w:lang w:eastAsia="en-GB"/>
        </w:rPr>
        <w:t xml:space="preserve"> p. 1152</w:t>
      </w:r>
      <w:r w:rsidR="0069124F" w:rsidRPr="000C53DE">
        <w:rPr>
          <w:rFonts w:eastAsia="Times New Roman" w:cs="Times New Roman"/>
          <w:lang w:eastAsia="en-GB"/>
        </w:rPr>
        <w:t>)</w:t>
      </w:r>
      <w:r w:rsidR="00E121D0">
        <w:rPr>
          <w:rFonts w:eastAsia="Times New Roman" w:cs="Times New Roman"/>
          <w:lang w:eastAsia="en-GB"/>
        </w:rPr>
        <w:t>, but achieving it</w:t>
      </w:r>
      <w:r w:rsidR="00E121D0" w:rsidRPr="000C53DE">
        <w:rPr>
          <w:rFonts w:ascii="Calibri" w:hAnsi="Calibri"/>
        </w:rPr>
        <w:t xml:space="preserve"> does not mean th</w:t>
      </w:r>
      <w:r w:rsidR="00E121D0">
        <w:rPr>
          <w:rFonts w:ascii="Calibri" w:hAnsi="Calibri"/>
        </w:rPr>
        <w:t xml:space="preserve">e correct answer has been </w:t>
      </w:r>
      <w:proofErr w:type="gramStart"/>
      <w:r w:rsidR="00E121D0">
        <w:rPr>
          <w:rFonts w:ascii="Calibri" w:hAnsi="Calibri"/>
        </w:rPr>
        <w:t>found,</w:t>
      </w:r>
      <w:proofErr w:type="gramEnd"/>
      <w:r w:rsidR="00E121D0">
        <w:rPr>
          <w:rFonts w:ascii="Calibri" w:hAnsi="Calibri"/>
        </w:rPr>
        <w:t xml:space="preserve"> rather</w:t>
      </w:r>
      <w:r w:rsidR="00E121D0" w:rsidRPr="000C53DE">
        <w:rPr>
          <w:rFonts w:ascii="Calibri" w:hAnsi="Calibri"/>
        </w:rPr>
        <w:t xml:space="preserve"> panellists hav</w:t>
      </w:r>
      <w:r w:rsidR="00E121D0">
        <w:rPr>
          <w:rFonts w:ascii="Calibri" w:hAnsi="Calibri"/>
        </w:rPr>
        <w:t>e reached agreement on something</w:t>
      </w:r>
      <w:r w:rsidR="00E121D0" w:rsidRPr="000C53DE">
        <w:rPr>
          <w:rFonts w:ascii="Calibri" w:hAnsi="Calibri"/>
        </w:rPr>
        <w:t>.</w:t>
      </w:r>
      <w:r w:rsidR="00E121D0">
        <w:rPr>
          <w:rFonts w:ascii="Calibri" w:hAnsi="Calibri"/>
        </w:rPr>
        <w:t xml:space="preserve"> Unhelpfully, because consensus </w:t>
      </w:r>
      <w:r w:rsidR="00F66165" w:rsidRPr="000C53DE">
        <w:rPr>
          <w:rFonts w:ascii="Calibri" w:hAnsi="Calibri"/>
        </w:rPr>
        <w:t>measurement</w:t>
      </w:r>
      <w:r w:rsidRPr="000C53DE">
        <w:rPr>
          <w:rFonts w:ascii="Calibri" w:hAnsi="Calibri"/>
        </w:rPr>
        <w:t xml:space="preserve"> </w:t>
      </w:r>
      <w:r w:rsidR="00E121D0">
        <w:rPr>
          <w:rFonts w:ascii="Calibri" w:hAnsi="Calibri"/>
        </w:rPr>
        <w:t xml:space="preserve">criteria </w:t>
      </w:r>
      <w:r w:rsidR="0069124F" w:rsidRPr="000C53DE">
        <w:rPr>
          <w:rFonts w:ascii="Calibri" w:hAnsi="Calibri"/>
        </w:rPr>
        <w:t>are lacking</w:t>
      </w:r>
      <w:r w:rsidR="00E121D0">
        <w:rPr>
          <w:rFonts w:ascii="Calibri" w:hAnsi="Calibri"/>
        </w:rPr>
        <w:t>,</w:t>
      </w:r>
      <w:r w:rsidR="001C6391">
        <w:rPr>
          <w:rFonts w:ascii="Calibri" w:hAnsi="Calibri"/>
        </w:rPr>
        <w:t xml:space="preserve"> </w:t>
      </w:r>
      <w:r w:rsidR="00E121D0">
        <w:rPr>
          <w:rFonts w:ascii="Calibri" w:hAnsi="Calibri"/>
        </w:rPr>
        <w:t xml:space="preserve">a variety of </w:t>
      </w:r>
      <w:r w:rsidR="001C6391">
        <w:rPr>
          <w:rFonts w:ascii="Calibri" w:hAnsi="Calibri"/>
        </w:rPr>
        <w:t xml:space="preserve">methods </w:t>
      </w:r>
      <w:r w:rsidR="00E121D0">
        <w:rPr>
          <w:rFonts w:ascii="Calibri" w:hAnsi="Calibri"/>
        </w:rPr>
        <w:t xml:space="preserve">have been used </w:t>
      </w:r>
      <w:r w:rsidR="001C6391">
        <w:rPr>
          <w:rFonts w:ascii="Calibri" w:hAnsi="Calibri"/>
        </w:rPr>
        <w:t>previously</w:t>
      </w:r>
      <w:r w:rsidR="00E121D0">
        <w:rPr>
          <w:rFonts w:ascii="Calibri" w:hAnsi="Calibri"/>
        </w:rPr>
        <w:t xml:space="preserve"> e.g.</w:t>
      </w:r>
      <w:r w:rsidR="00F66165" w:rsidRPr="000C53DE">
        <w:rPr>
          <w:rFonts w:eastAsia="Times New Roman" w:cs="Times New Roman"/>
          <w:lang w:eastAsia="en-GB"/>
        </w:rPr>
        <w:t xml:space="preserve"> aggregating </w:t>
      </w:r>
      <w:r w:rsidR="00E121D0">
        <w:rPr>
          <w:rFonts w:eastAsia="Times New Roman" w:cs="Times New Roman"/>
          <w:lang w:eastAsia="en-GB"/>
        </w:rPr>
        <w:t xml:space="preserve">response </w:t>
      </w:r>
      <w:r w:rsidR="00F66165" w:rsidRPr="000C53DE">
        <w:rPr>
          <w:rFonts w:eastAsia="Times New Roman" w:cs="Times New Roman"/>
          <w:lang w:eastAsia="en-GB"/>
        </w:rPr>
        <w:t>judgments, setting pre-determined consensus level</w:t>
      </w:r>
      <w:r w:rsidR="00E121D0">
        <w:rPr>
          <w:rFonts w:eastAsia="Times New Roman" w:cs="Times New Roman"/>
          <w:lang w:eastAsia="en-GB"/>
        </w:rPr>
        <w:t>s</w:t>
      </w:r>
      <w:r w:rsidR="00F66165" w:rsidRPr="000C53DE">
        <w:rPr>
          <w:rFonts w:eastAsia="Times New Roman" w:cs="Times New Roman"/>
          <w:lang w:eastAsia="en-GB"/>
        </w:rPr>
        <w:t xml:space="preserve">, applying measures of central tendency. </w:t>
      </w:r>
      <w:r w:rsidRPr="000C53DE">
        <w:rPr>
          <w:rFonts w:ascii="Calibri" w:hAnsi="Calibri"/>
        </w:rPr>
        <w:t xml:space="preserve">Here, consensus assessment </w:t>
      </w:r>
      <w:r w:rsidR="00E121D0">
        <w:rPr>
          <w:rFonts w:ascii="Calibri" w:hAnsi="Calibri"/>
        </w:rPr>
        <w:t>was based on the latter approach using</w:t>
      </w:r>
      <w:r w:rsidRPr="000C53DE">
        <w:rPr>
          <w:rFonts w:ascii="Calibri" w:hAnsi="Calibri"/>
        </w:rPr>
        <w:t xml:space="preserve"> objective</w:t>
      </w:r>
      <w:r w:rsidR="00BB22E4">
        <w:rPr>
          <w:rFonts w:ascii="Calibri" w:hAnsi="Calibri"/>
        </w:rPr>
        <w:t xml:space="preserve"> statistical techniques</w:t>
      </w:r>
      <w:r w:rsidR="001C6391">
        <w:rPr>
          <w:rFonts w:ascii="Calibri" w:hAnsi="Calibri"/>
        </w:rPr>
        <w:t xml:space="preserve"> </w:t>
      </w:r>
      <w:r w:rsidRPr="000C53DE">
        <w:rPr>
          <w:rFonts w:ascii="Calibri" w:hAnsi="Calibri"/>
        </w:rPr>
        <w:t>and not the application of arbitrary levels of agreement</w:t>
      </w:r>
      <w:r w:rsidR="009602D9" w:rsidRPr="000C53DE">
        <w:rPr>
          <w:rFonts w:ascii="Calibri" w:hAnsi="Calibri"/>
        </w:rPr>
        <w:t xml:space="preserve">. </w:t>
      </w:r>
      <w:r w:rsidR="00E121D0">
        <w:rPr>
          <w:rFonts w:ascii="Calibri" w:hAnsi="Calibri"/>
        </w:rPr>
        <w:t xml:space="preserve">The </w:t>
      </w:r>
      <w:r w:rsidRPr="000C53DE">
        <w:rPr>
          <w:rFonts w:ascii="Calibri" w:hAnsi="Calibri"/>
        </w:rPr>
        <w:t xml:space="preserve">combined use of data </w:t>
      </w:r>
      <w:r w:rsidR="009602D9" w:rsidRPr="000C53DE">
        <w:rPr>
          <w:bCs/>
          <w:i/>
        </w:rPr>
        <w:t xml:space="preserve">median </w:t>
      </w:r>
      <w:r w:rsidR="009602D9" w:rsidRPr="000C53DE">
        <w:rPr>
          <w:bCs/>
        </w:rPr>
        <w:t xml:space="preserve">and </w:t>
      </w:r>
      <w:r w:rsidR="009602D9" w:rsidRPr="000C53DE">
        <w:rPr>
          <w:bCs/>
          <w:i/>
        </w:rPr>
        <w:t>inter-quartile range</w:t>
      </w:r>
      <w:r w:rsidR="009602D9" w:rsidRPr="000C53DE">
        <w:rPr>
          <w:bCs/>
        </w:rPr>
        <w:t xml:space="preserve"> measures is believed to be the most robust method </w:t>
      </w:r>
      <w:r w:rsidR="001C6391">
        <w:rPr>
          <w:bCs/>
        </w:rPr>
        <w:t xml:space="preserve">for </w:t>
      </w:r>
      <w:r w:rsidR="009602D9" w:rsidRPr="000C53DE">
        <w:rPr>
          <w:bCs/>
        </w:rPr>
        <w:t>measuring consensus in Delphi studies</w:t>
      </w:r>
      <w:r w:rsidRPr="000C53DE">
        <w:rPr>
          <w:bCs/>
        </w:rPr>
        <w:t xml:space="preserve"> (</w:t>
      </w:r>
      <w:r w:rsidRPr="000C53DE">
        <w:rPr>
          <w:bCs/>
          <w:color w:val="00B050"/>
        </w:rPr>
        <w:t xml:space="preserve">Murphy </w:t>
      </w:r>
      <w:r w:rsidRPr="003B021C">
        <w:rPr>
          <w:bCs/>
          <w:i/>
          <w:color w:val="00B050"/>
        </w:rPr>
        <w:t>et al</w:t>
      </w:r>
      <w:r w:rsidRPr="000C53DE">
        <w:rPr>
          <w:bCs/>
          <w:color w:val="00B050"/>
        </w:rPr>
        <w:t>., 1998</w:t>
      </w:r>
      <w:r w:rsidR="005B2916">
        <w:rPr>
          <w:bCs/>
        </w:rPr>
        <w:t>)</w:t>
      </w:r>
      <w:r w:rsidR="00E121D0">
        <w:rPr>
          <w:bCs/>
        </w:rPr>
        <w:t xml:space="preserve"> and so was used here</w:t>
      </w:r>
      <w:r w:rsidR="005B2916">
        <w:rPr>
          <w:bCs/>
        </w:rPr>
        <w:t xml:space="preserve">. </w:t>
      </w:r>
    </w:p>
    <w:p w:rsidR="008D5974" w:rsidRDefault="009602D9" w:rsidP="00E909F6">
      <w:pPr>
        <w:spacing w:after="120"/>
        <w:rPr>
          <w:rFonts w:ascii="Calibri" w:hAnsi="Calibri"/>
        </w:rPr>
      </w:pPr>
      <w:r w:rsidRPr="000C53DE">
        <w:rPr>
          <w:bCs/>
        </w:rPr>
        <w:t>To further</w:t>
      </w:r>
      <w:r w:rsidR="005A1DC4" w:rsidRPr="000C53DE">
        <w:rPr>
          <w:bCs/>
        </w:rPr>
        <w:t xml:space="preserve"> strengthen study</w:t>
      </w:r>
      <w:r w:rsidR="00F66165" w:rsidRPr="000C53DE">
        <w:rPr>
          <w:bCs/>
        </w:rPr>
        <w:t xml:space="preserve"> reliability</w:t>
      </w:r>
      <w:r w:rsidRPr="000C53DE">
        <w:rPr>
          <w:bCs/>
        </w:rPr>
        <w:t>, consensus measurement was complemented b</w:t>
      </w:r>
      <w:r w:rsidR="004610EA">
        <w:rPr>
          <w:bCs/>
        </w:rPr>
        <w:t xml:space="preserve">y stability assessment using a </w:t>
      </w:r>
      <w:r w:rsidR="00C54AF4">
        <w:rPr>
          <w:bCs/>
        </w:rPr>
        <w:t>statistical</w:t>
      </w:r>
      <w:r w:rsidRPr="000C53DE">
        <w:rPr>
          <w:bCs/>
        </w:rPr>
        <w:t xml:space="preserve"> test </w:t>
      </w:r>
      <w:r w:rsidR="00C54AF4">
        <w:rPr>
          <w:bCs/>
        </w:rPr>
        <w:t xml:space="preserve">recommended </w:t>
      </w:r>
      <w:r w:rsidRPr="000C53DE">
        <w:rPr>
          <w:bCs/>
        </w:rPr>
        <w:t xml:space="preserve">for use with ordinal data </w:t>
      </w:r>
      <w:r w:rsidR="006B10F7">
        <w:rPr>
          <w:bCs/>
        </w:rPr>
        <w:t xml:space="preserve">that are not normally distributed </w:t>
      </w:r>
      <w:r w:rsidRPr="000C53DE">
        <w:rPr>
          <w:bCs/>
        </w:rPr>
        <w:t>(</w:t>
      </w:r>
      <w:r w:rsidR="003F109C" w:rsidRPr="000C53DE">
        <w:rPr>
          <w:rFonts w:eastAsia="Times New Roman" w:cs="Times New Roman"/>
          <w:color w:val="00B050"/>
          <w:lang w:eastAsia="en-GB"/>
        </w:rPr>
        <w:t xml:space="preserve">Von </w:t>
      </w:r>
      <w:proofErr w:type="spellStart"/>
      <w:r w:rsidR="003F109C" w:rsidRPr="000C53DE">
        <w:rPr>
          <w:rFonts w:eastAsia="Times New Roman" w:cs="Times New Roman"/>
          <w:color w:val="00B050"/>
          <w:lang w:eastAsia="en-GB"/>
        </w:rPr>
        <w:t>der</w:t>
      </w:r>
      <w:proofErr w:type="spellEnd"/>
      <w:r w:rsidR="003F109C" w:rsidRPr="000C53DE">
        <w:rPr>
          <w:rFonts w:eastAsia="Times New Roman" w:cs="Times New Roman"/>
          <w:color w:val="00B050"/>
          <w:lang w:eastAsia="en-GB"/>
        </w:rPr>
        <w:t xml:space="preserve"> </w:t>
      </w:r>
      <w:proofErr w:type="spellStart"/>
      <w:r w:rsidR="003F109C" w:rsidRPr="000C53DE">
        <w:rPr>
          <w:rFonts w:eastAsia="Times New Roman" w:cs="Times New Roman"/>
          <w:color w:val="00B050"/>
          <w:lang w:eastAsia="en-GB"/>
        </w:rPr>
        <w:t>Gracht</w:t>
      </w:r>
      <w:proofErr w:type="spellEnd"/>
      <w:r w:rsidR="003F109C" w:rsidRPr="000C53DE">
        <w:rPr>
          <w:rFonts w:eastAsia="Times New Roman" w:cs="Times New Roman"/>
          <w:color w:val="00B050"/>
          <w:lang w:eastAsia="en-GB"/>
        </w:rPr>
        <w:t>, 2012</w:t>
      </w:r>
      <w:r w:rsidR="003F109C">
        <w:rPr>
          <w:rFonts w:eastAsia="Times New Roman" w:cs="Times New Roman"/>
          <w:color w:val="00B050"/>
          <w:lang w:eastAsia="en-GB"/>
        </w:rPr>
        <w:t xml:space="preserve">; </w:t>
      </w:r>
      <w:r w:rsidR="008B2880" w:rsidRPr="000C53DE">
        <w:rPr>
          <w:bCs/>
          <w:color w:val="00B050"/>
        </w:rPr>
        <w:t xml:space="preserve">Banks </w:t>
      </w:r>
      <w:r w:rsidR="008B2880" w:rsidRPr="008B2880">
        <w:rPr>
          <w:bCs/>
          <w:i/>
          <w:color w:val="00B050"/>
        </w:rPr>
        <w:t>et al</w:t>
      </w:r>
      <w:r w:rsidR="008B2880">
        <w:rPr>
          <w:bCs/>
          <w:color w:val="00B050"/>
        </w:rPr>
        <w:t>.</w:t>
      </w:r>
      <w:r w:rsidR="008B2880" w:rsidRPr="000C53DE">
        <w:rPr>
          <w:bCs/>
          <w:color w:val="00B050"/>
        </w:rPr>
        <w:t>, 2009</w:t>
      </w:r>
      <w:r w:rsidR="008B2880">
        <w:rPr>
          <w:bCs/>
          <w:color w:val="00B050"/>
        </w:rPr>
        <w:t xml:space="preserve">; </w:t>
      </w:r>
      <w:r w:rsidR="00F66165" w:rsidRPr="000C53DE">
        <w:rPr>
          <w:rFonts w:cs="TimesNewRomanPSMT"/>
          <w:color w:val="00B050"/>
        </w:rPr>
        <w:t xml:space="preserve">Crisp </w:t>
      </w:r>
      <w:r w:rsidR="00F66165" w:rsidRPr="008B2880">
        <w:rPr>
          <w:rFonts w:cs="TimesNewRomanPSMT"/>
          <w:i/>
          <w:color w:val="00B050"/>
        </w:rPr>
        <w:t>et al</w:t>
      </w:r>
      <w:r w:rsidR="008B2880">
        <w:rPr>
          <w:rFonts w:cs="TimesNewRomanPSMT"/>
          <w:color w:val="00B050"/>
        </w:rPr>
        <w:t>.</w:t>
      </w:r>
      <w:r w:rsidR="00F66165" w:rsidRPr="000C53DE">
        <w:rPr>
          <w:rFonts w:cs="TimesNewRomanPSMT"/>
          <w:color w:val="00B050"/>
        </w:rPr>
        <w:t>, 1997</w:t>
      </w:r>
      <w:r w:rsidRPr="000C53DE">
        <w:rPr>
          <w:bCs/>
        </w:rPr>
        <w:t>).</w:t>
      </w:r>
      <w:r w:rsidRPr="000C53DE">
        <w:rPr>
          <w:rFonts w:ascii="Calibri" w:hAnsi="Calibri"/>
        </w:rPr>
        <w:t xml:space="preserve"> </w:t>
      </w:r>
      <w:r w:rsidR="004610EA">
        <w:rPr>
          <w:rFonts w:ascii="Calibri" w:hAnsi="Calibri"/>
        </w:rPr>
        <w:t>It is important to have</w:t>
      </w:r>
      <w:r w:rsidR="00F66165" w:rsidRPr="000C53DE">
        <w:rPr>
          <w:rFonts w:eastAsia="Times New Roman" w:cs="Times New Roman"/>
          <w:lang w:eastAsia="en-GB"/>
        </w:rPr>
        <w:t xml:space="preserve"> regard for convergence or divergence of opinions </w:t>
      </w:r>
      <w:r w:rsidR="005B2916" w:rsidRPr="000C53DE">
        <w:rPr>
          <w:rFonts w:eastAsia="Times New Roman" w:cs="Times New Roman"/>
          <w:lang w:eastAsia="en-GB"/>
        </w:rPr>
        <w:t>over successive</w:t>
      </w:r>
      <w:r w:rsidR="005B2916">
        <w:rPr>
          <w:rFonts w:eastAsia="Times New Roman" w:cs="Times New Roman"/>
          <w:lang w:eastAsia="en-GB"/>
        </w:rPr>
        <w:t xml:space="preserve"> rounds</w:t>
      </w:r>
      <w:r w:rsidR="005B2916" w:rsidRPr="000C53DE">
        <w:rPr>
          <w:rFonts w:eastAsia="Times New Roman" w:cs="Times New Roman"/>
          <w:lang w:eastAsia="en-GB"/>
        </w:rPr>
        <w:t xml:space="preserve"> </w:t>
      </w:r>
      <w:r w:rsidR="004610EA">
        <w:rPr>
          <w:rFonts w:eastAsia="Times New Roman" w:cs="Times New Roman"/>
          <w:lang w:eastAsia="en-GB"/>
        </w:rPr>
        <w:t xml:space="preserve">(as a separate component to consensus) </w:t>
      </w:r>
      <w:r w:rsidR="00F66165" w:rsidRPr="000C53DE">
        <w:rPr>
          <w:rFonts w:eastAsia="Times New Roman" w:cs="Times New Roman"/>
          <w:lang w:eastAsia="en-GB"/>
        </w:rPr>
        <w:t xml:space="preserve">since the concept of stability </w:t>
      </w:r>
      <w:r w:rsidR="009B6023" w:rsidRPr="000C53DE">
        <w:rPr>
          <w:rFonts w:eastAsia="Times New Roman" w:cs="Times New Roman"/>
          <w:lang w:eastAsia="en-GB"/>
        </w:rPr>
        <w:t>indicates whether agreement was there</w:t>
      </w:r>
      <w:r w:rsidR="004610EA">
        <w:rPr>
          <w:rFonts w:eastAsia="Times New Roman" w:cs="Times New Roman"/>
          <w:lang w:eastAsia="en-GB"/>
        </w:rPr>
        <w:t xml:space="preserve"> always</w:t>
      </w:r>
      <w:r w:rsidR="009B6023" w:rsidRPr="000C53DE">
        <w:rPr>
          <w:rFonts w:eastAsia="Times New Roman" w:cs="Times New Roman"/>
          <w:lang w:eastAsia="en-GB"/>
        </w:rPr>
        <w:t xml:space="preserve">, developed through the Delphi process or </w:t>
      </w:r>
      <w:r w:rsidR="005B2916">
        <w:rPr>
          <w:rFonts w:eastAsia="Times New Roman" w:cs="Times New Roman"/>
          <w:lang w:eastAsia="en-GB"/>
        </w:rPr>
        <w:t xml:space="preserve">changed between rounds </w:t>
      </w:r>
      <w:r w:rsidR="00F66165" w:rsidRPr="000C53DE">
        <w:rPr>
          <w:rFonts w:eastAsia="Times New Roman" w:cs="Times New Roman"/>
          <w:lang w:eastAsia="en-GB"/>
        </w:rPr>
        <w:t>(</w:t>
      </w:r>
      <w:proofErr w:type="spellStart"/>
      <w:r w:rsidR="008B2880" w:rsidRPr="000C53DE">
        <w:rPr>
          <w:rFonts w:eastAsia="Times New Roman" w:cs="Times New Roman"/>
          <w:color w:val="00B050"/>
          <w:lang w:eastAsia="en-GB"/>
        </w:rPr>
        <w:t>Dajani</w:t>
      </w:r>
      <w:proofErr w:type="spellEnd"/>
      <w:r w:rsidR="008B2880" w:rsidRPr="000C53DE">
        <w:rPr>
          <w:rFonts w:eastAsia="Times New Roman" w:cs="Times New Roman"/>
          <w:color w:val="00B050"/>
          <w:lang w:eastAsia="en-GB"/>
        </w:rPr>
        <w:t xml:space="preserve"> </w:t>
      </w:r>
      <w:r w:rsidR="008B2880" w:rsidRPr="000C53DE">
        <w:rPr>
          <w:rFonts w:eastAsia="Times New Roman" w:cs="Times New Roman"/>
          <w:i/>
          <w:color w:val="00B050"/>
          <w:lang w:eastAsia="en-GB"/>
        </w:rPr>
        <w:t>et al</w:t>
      </w:r>
      <w:r w:rsidR="008B2880" w:rsidRPr="000C53DE">
        <w:rPr>
          <w:rFonts w:eastAsia="Times New Roman" w:cs="Times New Roman"/>
          <w:color w:val="00B050"/>
          <w:lang w:eastAsia="en-GB"/>
        </w:rPr>
        <w:t>., 1979</w:t>
      </w:r>
      <w:r w:rsidR="008B2880">
        <w:rPr>
          <w:rFonts w:eastAsia="Times New Roman" w:cs="Times New Roman"/>
          <w:color w:val="00B050"/>
          <w:lang w:eastAsia="en-GB"/>
        </w:rPr>
        <w:t xml:space="preserve">; </w:t>
      </w:r>
      <w:proofErr w:type="spellStart"/>
      <w:r w:rsidR="009B6023" w:rsidRPr="000C53DE">
        <w:rPr>
          <w:rFonts w:eastAsia="Times New Roman" w:cs="Times New Roman"/>
          <w:color w:val="00B050"/>
          <w:lang w:eastAsia="en-GB"/>
        </w:rPr>
        <w:t>Scheibe</w:t>
      </w:r>
      <w:proofErr w:type="spellEnd"/>
      <w:r w:rsidR="009B6023" w:rsidRPr="000C53DE">
        <w:rPr>
          <w:rFonts w:eastAsia="Times New Roman" w:cs="Times New Roman"/>
          <w:color w:val="00B050"/>
          <w:lang w:eastAsia="en-GB"/>
        </w:rPr>
        <w:t xml:space="preserve"> </w:t>
      </w:r>
      <w:r w:rsidR="009B6023" w:rsidRPr="008B2880">
        <w:rPr>
          <w:rFonts w:eastAsia="Times New Roman" w:cs="Times New Roman"/>
          <w:i/>
          <w:color w:val="00B050"/>
          <w:lang w:eastAsia="en-GB"/>
        </w:rPr>
        <w:t>et al</w:t>
      </w:r>
      <w:r w:rsidR="008B2880">
        <w:rPr>
          <w:rFonts w:eastAsia="Times New Roman" w:cs="Times New Roman"/>
          <w:color w:val="00B050"/>
          <w:lang w:eastAsia="en-GB"/>
        </w:rPr>
        <w:t>., 1975</w:t>
      </w:r>
      <w:r w:rsidR="00F66165" w:rsidRPr="000C53DE">
        <w:rPr>
          <w:rFonts w:eastAsia="Times New Roman" w:cs="Times New Roman"/>
          <w:lang w:eastAsia="en-GB"/>
        </w:rPr>
        <w:t xml:space="preserve">). </w:t>
      </w:r>
      <w:r w:rsidR="008D5974" w:rsidRPr="000C53DE">
        <w:rPr>
          <w:rFonts w:ascii="Calibri" w:hAnsi="Calibri"/>
        </w:rPr>
        <w:t>Participants do change their views as the Delphi evolves; this is the value of the iterative process, but stability assessment makes sure this is not so significant that the response is rendered meaningless.</w:t>
      </w:r>
    </w:p>
    <w:p w:rsidR="003F109C" w:rsidRDefault="003F109C" w:rsidP="00E909F6">
      <w:pPr>
        <w:spacing w:after="120"/>
        <w:outlineLvl w:val="1"/>
        <w:rPr>
          <w:rFonts w:eastAsia="Times New Roman" w:cs="Times New Roman"/>
          <w:b/>
          <w:bCs/>
          <w:lang w:eastAsia="en-GB"/>
        </w:rPr>
      </w:pPr>
    </w:p>
    <w:p w:rsidR="003F109C" w:rsidRDefault="003F109C" w:rsidP="00E909F6">
      <w:pPr>
        <w:spacing w:after="120"/>
        <w:outlineLvl w:val="1"/>
        <w:rPr>
          <w:rFonts w:eastAsia="Times New Roman" w:cs="Times New Roman"/>
          <w:b/>
          <w:bCs/>
          <w:lang w:eastAsia="en-GB"/>
        </w:rPr>
      </w:pPr>
    </w:p>
    <w:p w:rsidR="003F109C" w:rsidRDefault="003F109C" w:rsidP="00E909F6">
      <w:pPr>
        <w:spacing w:after="120"/>
        <w:outlineLvl w:val="1"/>
        <w:rPr>
          <w:rFonts w:eastAsia="Times New Roman" w:cs="Times New Roman"/>
          <w:b/>
          <w:bCs/>
          <w:lang w:eastAsia="en-GB"/>
        </w:rPr>
      </w:pPr>
    </w:p>
    <w:p w:rsidR="003F109C" w:rsidRDefault="003F109C" w:rsidP="00E909F6">
      <w:pPr>
        <w:spacing w:after="120"/>
        <w:outlineLvl w:val="1"/>
        <w:rPr>
          <w:rFonts w:eastAsia="Times New Roman" w:cs="Times New Roman"/>
          <w:b/>
          <w:bCs/>
          <w:lang w:eastAsia="en-GB"/>
        </w:rPr>
      </w:pPr>
    </w:p>
    <w:p w:rsidR="003F109C" w:rsidRDefault="003F109C" w:rsidP="00E909F6">
      <w:pPr>
        <w:spacing w:after="120"/>
        <w:outlineLvl w:val="1"/>
        <w:rPr>
          <w:rFonts w:eastAsia="Times New Roman" w:cs="Times New Roman"/>
          <w:b/>
          <w:bCs/>
          <w:lang w:eastAsia="en-GB"/>
        </w:rPr>
      </w:pPr>
    </w:p>
    <w:p w:rsidR="003F109C" w:rsidRDefault="003F109C" w:rsidP="00E909F6">
      <w:pPr>
        <w:spacing w:after="120"/>
        <w:outlineLvl w:val="1"/>
        <w:rPr>
          <w:rFonts w:eastAsia="Times New Roman" w:cs="Times New Roman"/>
          <w:b/>
          <w:bCs/>
          <w:lang w:eastAsia="en-GB"/>
        </w:rPr>
      </w:pPr>
    </w:p>
    <w:p w:rsidR="003F109C" w:rsidRDefault="003F109C" w:rsidP="00E909F6">
      <w:pPr>
        <w:spacing w:after="120"/>
        <w:outlineLvl w:val="1"/>
        <w:rPr>
          <w:rFonts w:eastAsia="Times New Roman" w:cs="Times New Roman"/>
          <w:b/>
          <w:bCs/>
          <w:lang w:eastAsia="en-GB"/>
        </w:rPr>
      </w:pPr>
    </w:p>
    <w:p w:rsidR="003F109C" w:rsidRDefault="003F109C" w:rsidP="00E909F6">
      <w:pPr>
        <w:spacing w:after="120"/>
        <w:outlineLvl w:val="1"/>
        <w:rPr>
          <w:rFonts w:eastAsia="Times New Roman" w:cs="Times New Roman"/>
          <w:b/>
          <w:bCs/>
          <w:lang w:eastAsia="en-GB"/>
        </w:rPr>
      </w:pPr>
    </w:p>
    <w:p w:rsidR="003F109C" w:rsidRDefault="003F109C" w:rsidP="00E909F6">
      <w:pPr>
        <w:spacing w:after="120"/>
        <w:outlineLvl w:val="1"/>
        <w:rPr>
          <w:rFonts w:eastAsia="Times New Roman" w:cs="Times New Roman"/>
          <w:b/>
          <w:bCs/>
          <w:lang w:eastAsia="en-GB"/>
        </w:rPr>
      </w:pPr>
    </w:p>
    <w:p w:rsidR="00EF4572" w:rsidRPr="00EF4572" w:rsidRDefault="0091583A" w:rsidP="00E909F6">
      <w:pPr>
        <w:spacing w:after="120"/>
        <w:outlineLvl w:val="1"/>
        <w:rPr>
          <w:rFonts w:eastAsia="Times New Roman" w:cs="Times New Roman"/>
          <w:b/>
          <w:bCs/>
          <w:lang w:eastAsia="en-GB"/>
        </w:rPr>
      </w:pPr>
      <w:r>
        <w:rPr>
          <w:rFonts w:eastAsia="Times New Roman" w:cs="Times New Roman"/>
          <w:b/>
          <w:bCs/>
          <w:lang w:eastAsia="en-GB"/>
        </w:rPr>
        <w:lastRenderedPageBreak/>
        <w:t>Conclusion</w:t>
      </w:r>
    </w:p>
    <w:p w:rsidR="00F130D3" w:rsidRDefault="00942F9A" w:rsidP="00E909F6">
      <w:pPr>
        <w:spacing w:after="120"/>
      </w:pPr>
      <w:r>
        <w:t xml:space="preserve">Public </w:t>
      </w:r>
      <w:r w:rsidR="008E0EAE">
        <w:t>h</w:t>
      </w:r>
      <w:r>
        <w:t xml:space="preserve">ealth bodies and specialists have a significant role to play in </w:t>
      </w:r>
      <w:r w:rsidR="00F130D3">
        <w:t>LAQM</w:t>
      </w:r>
      <w:r>
        <w:t>, but</w:t>
      </w:r>
      <w:r w:rsidR="00B34413">
        <w:t xml:space="preserve"> </w:t>
      </w:r>
      <w:r w:rsidR="00C5121A">
        <w:t xml:space="preserve">this </w:t>
      </w:r>
      <w:r w:rsidR="00B34413">
        <w:t xml:space="preserve">is </w:t>
      </w:r>
      <w:r w:rsidR="00C5121A">
        <w:t xml:space="preserve">rarely </w:t>
      </w:r>
      <w:r>
        <w:t xml:space="preserve">recognised or realised. </w:t>
      </w:r>
      <w:r w:rsidR="00B34413">
        <w:t>T</w:t>
      </w:r>
      <w:r>
        <w:t xml:space="preserve">his study </w:t>
      </w:r>
      <w:r w:rsidR="00F130D3">
        <w:t xml:space="preserve">confirms </w:t>
      </w:r>
      <w:r w:rsidR="003C1E22">
        <w:t>t</w:t>
      </w:r>
      <w:r w:rsidR="00F130D3">
        <w:t>he importance of</w:t>
      </w:r>
      <w:r w:rsidR="00D25709">
        <w:t>, and added value that could result from,</w:t>
      </w:r>
      <w:r w:rsidR="00F130D3">
        <w:t xml:space="preserve"> address</w:t>
      </w:r>
      <w:r w:rsidR="00C7013D">
        <w:t>ing</w:t>
      </w:r>
      <w:r w:rsidR="00F130D3">
        <w:t xml:space="preserve"> this </w:t>
      </w:r>
      <w:r w:rsidR="003C1E22">
        <w:t>disconnect</w:t>
      </w:r>
      <w:r w:rsidR="00D25709">
        <w:t>,</w:t>
      </w:r>
      <w:r w:rsidR="00F130D3">
        <w:t xml:space="preserve"> and </w:t>
      </w:r>
      <w:r w:rsidR="00C13ED1">
        <w:t xml:space="preserve">proposes </w:t>
      </w:r>
      <w:r w:rsidR="00F130D3">
        <w:t xml:space="preserve">enhancements </w:t>
      </w:r>
      <w:r w:rsidR="00D25709">
        <w:t>that could</w:t>
      </w:r>
      <w:r>
        <w:t xml:space="preserve"> maximise </w:t>
      </w:r>
      <w:r w:rsidR="00790A8A">
        <w:t xml:space="preserve">LAQM </w:t>
      </w:r>
      <w:r>
        <w:t>public health integration, collaboration and impact</w:t>
      </w:r>
      <w:r w:rsidR="003C1E22">
        <w:t xml:space="preserve">. </w:t>
      </w:r>
    </w:p>
    <w:p w:rsidR="00C13ED1" w:rsidRPr="00D46E8D" w:rsidRDefault="003C1E22" w:rsidP="00E909F6">
      <w:pPr>
        <w:spacing w:after="120"/>
      </w:pPr>
      <w:r>
        <w:t>For</w:t>
      </w:r>
      <w:r w:rsidR="00B34413">
        <w:t xml:space="preserve"> the first time,</w:t>
      </w:r>
      <w:r w:rsidR="00C5121A">
        <w:t xml:space="preserve"> </w:t>
      </w:r>
      <w:r>
        <w:t xml:space="preserve">using the iterative consensus-forming Delphi method, </w:t>
      </w:r>
      <w:r w:rsidR="00C5121A">
        <w:t xml:space="preserve">expert opinion </w:t>
      </w:r>
      <w:r w:rsidR="00B34413">
        <w:t xml:space="preserve">has </w:t>
      </w:r>
      <w:r w:rsidR="00C5121A">
        <w:t xml:space="preserve">clarified the </w:t>
      </w:r>
      <w:r w:rsidR="008E0EAE">
        <w:t>p</w:t>
      </w:r>
      <w:r w:rsidR="00C5121A">
        <w:t xml:space="preserve">ublic </w:t>
      </w:r>
      <w:r w:rsidR="008E0EAE">
        <w:t>h</w:t>
      </w:r>
      <w:r w:rsidR="00C5121A">
        <w:t>ealth role in LAQM</w:t>
      </w:r>
      <w:r w:rsidR="00F130D3">
        <w:t xml:space="preserve">. </w:t>
      </w:r>
      <w:r w:rsidR="00C5121A">
        <w:t xml:space="preserve"> </w:t>
      </w:r>
      <w:r w:rsidR="00F130D3">
        <w:rPr>
          <w:rFonts w:ascii="Calibri" w:hAnsi="Calibri"/>
        </w:rPr>
        <w:t>Briefly, this involves</w:t>
      </w:r>
      <w:r w:rsidR="00F130D3">
        <w:rPr>
          <w:rFonts w:cs="Arial"/>
        </w:rPr>
        <w:t xml:space="preserve"> greater support for broader mainstream </w:t>
      </w:r>
      <w:r w:rsidR="00F130D3" w:rsidRPr="00E73D6F">
        <w:rPr>
          <w:rFonts w:cs="Arial"/>
        </w:rPr>
        <w:t xml:space="preserve">risk assessment and </w:t>
      </w:r>
      <w:r w:rsidR="00790A8A">
        <w:rPr>
          <w:rFonts w:cs="Arial"/>
        </w:rPr>
        <w:t xml:space="preserve">integrated </w:t>
      </w:r>
      <w:r w:rsidR="00F130D3" w:rsidRPr="00E73D6F">
        <w:rPr>
          <w:rFonts w:cs="Arial"/>
        </w:rPr>
        <w:t>management</w:t>
      </w:r>
      <w:r w:rsidR="00F130D3">
        <w:rPr>
          <w:rFonts w:cs="Arial"/>
        </w:rPr>
        <w:t xml:space="preserve"> efforts, and enabling functions such as communications, </w:t>
      </w:r>
      <w:r w:rsidR="00F130D3" w:rsidRPr="00E73D6F">
        <w:rPr>
          <w:rFonts w:cs="Arial"/>
        </w:rPr>
        <w:t xml:space="preserve">research </w:t>
      </w:r>
      <w:r w:rsidR="00F130D3">
        <w:rPr>
          <w:rFonts w:cs="Arial"/>
        </w:rPr>
        <w:t xml:space="preserve">and </w:t>
      </w:r>
      <w:r w:rsidR="00F130D3" w:rsidRPr="00D46E8D">
        <w:rPr>
          <w:rFonts w:cs="Arial"/>
        </w:rPr>
        <w:t xml:space="preserve">evidence appraisal, advocacy and leadership. </w:t>
      </w:r>
      <w:r w:rsidR="00B34413" w:rsidRPr="00D46E8D">
        <w:rPr>
          <w:rFonts w:cs="Arial"/>
        </w:rPr>
        <w:t xml:space="preserve">To </w:t>
      </w:r>
      <w:r w:rsidRPr="00D46E8D">
        <w:rPr>
          <w:rFonts w:cs="Arial"/>
        </w:rPr>
        <w:t xml:space="preserve">facilitate change, </w:t>
      </w:r>
      <w:r w:rsidR="00C13ED1" w:rsidRPr="00D46E8D">
        <w:rPr>
          <w:rFonts w:cs="Arial"/>
        </w:rPr>
        <w:t xml:space="preserve">a range of linked </w:t>
      </w:r>
      <w:r w:rsidRPr="00D46E8D">
        <w:rPr>
          <w:rFonts w:cs="Arial"/>
        </w:rPr>
        <w:t>o</w:t>
      </w:r>
      <w:r w:rsidR="00C5121A" w:rsidRPr="00D46E8D">
        <w:t xml:space="preserve">pportunities, barriers and solutions </w:t>
      </w:r>
      <w:r w:rsidRPr="00D46E8D">
        <w:t>are</w:t>
      </w:r>
      <w:r w:rsidR="00373EFD" w:rsidRPr="00D46E8D">
        <w:t xml:space="preserve"> suggested. T</w:t>
      </w:r>
      <w:r w:rsidR="00C13ED1" w:rsidRPr="00D46E8D">
        <w:t xml:space="preserve">he added value </w:t>
      </w:r>
      <w:r w:rsidR="00D25709">
        <w:t>resulting</w:t>
      </w:r>
      <w:r w:rsidR="00C13ED1" w:rsidRPr="00D46E8D">
        <w:t xml:space="preserve"> from evolving a more public health-focused and supported regime</w:t>
      </w:r>
      <w:r w:rsidR="00373EFD" w:rsidRPr="00D46E8D">
        <w:t xml:space="preserve"> is also highlighted</w:t>
      </w:r>
      <w:r w:rsidR="00C13ED1" w:rsidRPr="00D46E8D">
        <w:t xml:space="preserve">. </w:t>
      </w:r>
    </w:p>
    <w:p w:rsidR="00C5121A" w:rsidRPr="00D46E8D" w:rsidRDefault="008C107A" w:rsidP="00E909F6">
      <w:pPr>
        <w:spacing w:after="120"/>
      </w:pPr>
      <w:r w:rsidRPr="00D46E8D">
        <w:t xml:space="preserve">While some </w:t>
      </w:r>
      <w:r w:rsidR="00C13ED1" w:rsidRPr="00D46E8D">
        <w:t>opinions</w:t>
      </w:r>
      <w:r w:rsidRPr="00D46E8D">
        <w:t xml:space="preserve"> relate to </w:t>
      </w:r>
      <w:r w:rsidR="00101190" w:rsidRPr="00D46E8D">
        <w:t xml:space="preserve">Wales’ </w:t>
      </w:r>
      <w:r w:rsidR="003C1E22" w:rsidRPr="00D46E8D">
        <w:t>unique circumstances</w:t>
      </w:r>
      <w:r w:rsidRPr="00D46E8D">
        <w:t>,</w:t>
      </w:r>
      <w:r w:rsidR="00101190" w:rsidRPr="00D46E8D">
        <w:t xml:space="preserve"> most </w:t>
      </w:r>
      <w:r w:rsidR="003C1E22" w:rsidRPr="00D46E8D">
        <w:t xml:space="preserve">are </w:t>
      </w:r>
      <w:r w:rsidR="00373EFD" w:rsidRPr="00D46E8D">
        <w:t xml:space="preserve">general in context and </w:t>
      </w:r>
      <w:r w:rsidR="00D25709">
        <w:t xml:space="preserve">so are </w:t>
      </w:r>
      <w:r w:rsidR="00C13ED1" w:rsidRPr="00D46E8D">
        <w:t xml:space="preserve">likely </w:t>
      </w:r>
      <w:r w:rsidR="006F15D7">
        <w:t xml:space="preserve">to be both </w:t>
      </w:r>
      <w:r w:rsidR="003C1E22" w:rsidRPr="00D46E8D">
        <w:t xml:space="preserve">relevant </w:t>
      </w:r>
      <w:r w:rsidR="00585E30" w:rsidRPr="00D46E8D">
        <w:t xml:space="preserve">and </w:t>
      </w:r>
      <w:r w:rsidR="00D25709">
        <w:t>useful</w:t>
      </w:r>
      <w:r w:rsidR="00D25709" w:rsidRPr="00D46E8D">
        <w:t xml:space="preserve"> </w:t>
      </w:r>
      <w:r w:rsidR="00D46E8D" w:rsidRPr="00D46E8D">
        <w:t>in other parts of the</w:t>
      </w:r>
      <w:r w:rsidR="003C1E22" w:rsidRPr="00D46E8D">
        <w:t xml:space="preserve"> UK and in countries beyond</w:t>
      </w:r>
      <w:r w:rsidR="00D46E8D" w:rsidRPr="00D46E8D">
        <w:t xml:space="preserve"> where there is </w:t>
      </w:r>
      <w:r w:rsidR="00D25709">
        <w:t xml:space="preserve">a </w:t>
      </w:r>
      <w:r w:rsidR="00D46E8D" w:rsidRPr="00D46E8D">
        <w:t>recognised disconnect between air quality management and public health policy and practice</w:t>
      </w:r>
      <w:r w:rsidR="003C1E22" w:rsidRPr="00D46E8D">
        <w:t>.</w:t>
      </w:r>
    </w:p>
    <w:p w:rsidR="005D1A8E" w:rsidRPr="005D1A8E" w:rsidRDefault="00585E30" w:rsidP="005D1A8E">
      <w:pPr>
        <w:pStyle w:val="NoSpacing"/>
        <w:spacing w:before="0" w:beforeAutospacing="0" w:after="120" w:afterAutospacing="0" w:line="276" w:lineRule="auto"/>
        <w:rPr>
          <w:rFonts w:asciiTheme="minorHAnsi" w:hAnsiTheme="minorHAnsi"/>
          <w:color w:val="FF0000"/>
          <w:sz w:val="22"/>
          <w:szCs w:val="22"/>
        </w:rPr>
      </w:pPr>
      <w:r w:rsidRPr="005D1A8E">
        <w:rPr>
          <w:rFonts w:asciiTheme="minorHAnsi" w:eastAsia="Times New Roman" w:hAnsiTheme="minorHAnsi"/>
          <w:sz w:val="22"/>
          <w:szCs w:val="22"/>
        </w:rPr>
        <w:t>Given the strengthening evidence linking ill-health with air</w:t>
      </w:r>
      <w:r w:rsidR="006F15D7" w:rsidRPr="005D1A8E">
        <w:rPr>
          <w:rFonts w:asciiTheme="minorHAnsi" w:eastAsia="Times New Roman" w:hAnsiTheme="minorHAnsi"/>
          <w:sz w:val="22"/>
          <w:szCs w:val="22"/>
        </w:rPr>
        <w:t xml:space="preserve"> pollution exposure, action</w:t>
      </w:r>
      <w:r w:rsidRPr="005D1A8E">
        <w:rPr>
          <w:rFonts w:asciiTheme="minorHAnsi" w:eastAsia="Times New Roman" w:hAnsiTheme="minorHAnsi"/>
          <w:sz w:val="22"/>
          <w:szCs w:val="22"/>
        </w:rPr>
        <w:t xml:space="preserve"> to </w:t>
      </w:r>
      <w:r w:rsidR="00C13ED1" w:rsidRPr="005D1A8E">
        <w:rPr>
          <w:rFonts w:asciiTheme="minorHAnsi" w:eastAsia="Times New Roman" w:hAnsiTheme="minorHAnsi"/>
          <w:sz w:val="22"/>
          <w:szCs w:val="22"/>
        </w:rPr>
        <w:t xml:space="preserve">bring together LAQM </w:t>
      </w:r>
      <w:r w:rsidRPr="005D1A8E">
        <w:rPr>
          <w:rFonts w:asciiTheme="minorHAnsi" w:eastAsia="Times New Roman" w:hAnsiTheme="minorHAnsi"/>
          <w:sz w:val="22"/>
          <w:szCs w:val="22"/>
        </w:rPr>
        <w:t>and public health policy and practice must be prioritised.</w:t>
      </w:r>
      <w:r w:rsidR="009F5FDD" w:rsidRPr="005D1A8E">
        <w:rPr>
          <w:rFonts w:asciiTheme="minorHAnsi" w:eastAsia="Times New Roman" w:hAnsiTheme="minorHAnsi"/>
          <w:sz w:val="22"/>
          <w:szCs w:val="22"/>
        </w:rPr>
        <w:t xml:space="preserve"> This is </w:t>
      </w:r>
      <w:r w:rsidR="006F15D7" w:rsidRPr="005D1A8E">
        <w:rPr>
          <w:rFonts w:asciiTheme="minorHAnsi" w:eastAsia="Times New Roman" w:hAnsiTheme="minorHAnsi"/>
          <w:sz w:val="22"/>
          <w:szCs w:val="22"/>
        </w:rPr>
        <w:t xml:space="preserve">currently </w:t>
      </w:r>
      <w:r w:rsidR="009F5FDD" w:rsidRPr="005D1A8E">
        <w:rPr>
          <w:rFonts w:asciiTheme="minorHAnsi" w:eastAsia="Times New Roman" w:hAnsiTheme="minorHAnsi"/>
          <w:sz w:val="22"/>
          <w:szCs w:val="22"/>
        </w:rPr>
        <w:t>supported</w:t>
      </w:r>
      <w:r w:rsidR="00246197" w:rsidRPr="005D1A8E">
        <w:rPr>
          <w:rFonts w:asciiTheme="minorHAnsi" w:eastAsia="Times New Roman" w:hAnsiTheme="minorHAnsi"/>
          <w:sz w:val="22"/>
          <w:szCs w:val="22"/>
        </w:rPr>
        <w:t xml:space="preserve"> in Wales</w:t>
      </w:r>
      <w:r w:rsidR="009F5FDD" w:rsidRPr="005D1A8E">
        <w:rPr>
          <w:rFonts w:asciiTheme="minorHAnsi" w:eastAsia="Times New Roman" w:hAnsiTheme="minorHAnsi"/>
          <w:sz w:val="22"/>
          <w:szCs w:val="22"/>
        </w:rPr>
        <w:t xml:space="preserve"> by </w:t>
      </w:r>
      <w:r w:rsidRPr="005D1A8E">
        <w:rPr>
          <w:rFonts w:asciiTheme="minorHAnsi" w:eastAsia="Times New Roman" w:hAnsiTheme="minorHAnsi"/>
          <w:sz w:val="22"/>
          <w:szCs w:val="22"/>
        </w:rPr>
        <w:t xml:space="preserve">increased professional, political and public </w:t>
      </w:r>
      <w:r w:rsidR="00246197" w:rsidRPr="005D1A8E">
        <w:rPr>
          <w:rFonts w:asciiTheme="minorHAnsi" w:eastAsia="Times New Roman" w:hAnsiTheme="minorHAnsi"/>
          <w:sz w:val="22"/>
          <w:szCs w:val="22"/>
        </w:rPr>
        <w:t xml:space="preserve">interest in this subject, and </w:t>
      </w:r>
      <w:r w:rsidR="00373EFD" w:rsidRPr="005D1A8E">
        <w:rPr>
          <w:rFonts w:asciiTheme="minorHAnsi" w:eastAsia="Times New Roman" w:hAnsiTheme="minorHAnsi"/>
          <w:sz w:val="22"/>
          <w:szCs w:val="22"/>
        </w:rPr>
        <w:t xml:space="preserve">a </w:t>
      </w:r>
      <w:r w:rsidRPr="005D1A8E">
        <w:rPr>
          <w:rFonts w:asciiTheme="minorHAnsi" w:eastAsia="Times New Roman" w:hAnsiTheme="minorHAnsi"/>
          <w:sz w:val="22"/>
          <w:szCs w:val="22"/>
        </w:rPr>
        <w:t xml:space="preserve">willingness </w:t>
      </w:r>
      <w:r w:rsidR="00246197" w:rsidRPr="005D1A8E">
        <w:rPr>
          <w:rFonts w:asciiTheme="minorHAnsi" w:eastAsia="Times New Roman" w:hAnsiTheme="minorHAnsi"/>
          <w:sz w:val="22"/>
          <w:szCs w:val="22"/>
        </w:rPr>
        <w:t xml:space="preserve">and commitment </w:t>
      </w:r>
      <w:r w:rsidR="004C48B5" w:rsidRPr="005D1A8E">
        <w:rPr>
          <w:rFonts w:asciiTheme="minorHAnsi" w:eastAsia="Times New Roman" w:hAnsiTheme="minorHAnsi"/>
          <w:sz w:val="22"/>
          <w:szCs w:val="22"/>
        </w:rPr>
        <w:t xml:space="preserve">amongst stakeholders </w:t>
      </w:r>
      <w:r w:rsidR="00246197" w:rsidRPr="005D1A8E">
        <w:rPr>
          <w:rFonts w:asciiTheme="minorHAnsi" w:eastAsia="Times New Roman" w:hAnsiTheme="minorHAnsi"/>
          <w:sz w:val="22"/>
          <w:szCs w:val="22"/>
        </w:rPr>
        <w:t xml:space="preserve">(supported by the WFG Act) </w:t>
      </w:r>
      <w:r w:rsidRPr="005D1A8E">
        <w:rPr>
          <w:rFonts w:asciiTheme="minorHAnsi" w:eastAsia="Times New Roman" w:hAnsiTheme="minorHAnsi"/>
          <w:sz w:val="22"/>
          <w:szCs w:val="22"/>
        </w:rPr>
        <w:t>to do thing</w:t>
      </w:r>
      <w:r w:rsidR="00246197" w:rsidRPr="005D1A8E">
        <w:rPr>
          <w:rFonts w:asciiTheme="minorHAnsi" w:eastAsia="Times New Roman" w:hAnsiTheme="minorHAnsi"/>
          <w:sz w:val="22"/>
          <w:szCs w:val="22"/>
        </w:rPr>
        <w:t>s</w:t>
      </w:r>
      <w:r w:rsidRPr="005D1A8E">
        <w:rPr>
          <w:rFonts w:asciiTheme="minorHAnsi" w:eastAsia="Times New Roman" w:hAnsiTheme="minorHAnsi"/>
          <w:sz w:val="22"/>
          <w:szCs w:val="22"/>
        </w:rPr>
        <w:t xml:space="preserve"> differently </w:t>
      </w:r>
      <w:r w:rsidR="00E909F6" w:rsidRPr="005D1A8E">
        <w:rPr>
          <w:rFonts w:asciiTheme="minorHAnsi" w:eastAsia="Times New Roman" w:hAnsiTheme="minorHAnsi"/>
          <w:sz w:val="22"/>
          <w:szCs w:val="22"/>
        </w:rPr>
        <w:t>to make a difference</w:t>
      </w:r>
      <w:r w:rsidRPr="005D1A8E">
        <w:rPr>
          <w:rFonts w:asciiTheme="minorHAnsi" w:eastAsia="Times New Roman" w:hAnsiTheme="minorHAnsi"/>
          <w:sz w:val="22"/>
          <w:szCs w:val="22"/>
        </w:rPr>
        <w:t xml:space="preserve">. While the </w:t>
      </w:r>
      <w:r w:rsidR="00E909F6" w:rsidRPr="005D1A8E">
        <w:rPr>
          <w:rFonts w:asciiTheme="minorHAnsi" w:eastAsia="Times New Roman" w:hAnsiTheme="minorHAnsi"/>
          <w:sz w:val="22"/>
          <w:szCs w:val="22"/>
        </w:rPr>
        <w:t xml:space="preserve">findings of this </w:t>
      </w:r>
      <w:r w:rsidRPr="005D1A8E">
        <w:rPr>
          <w:rFonts w:asciiTheme="minorHAnsi" w:eastAsia="Times New Roman" w:hAnsiTheme="minorHAnsi"/>
          <w:sz w:val="22"/>
          <w:szCs w:val="22"/>
        </w:rPr>
        <w:t xml:space="preserve">Delphi </w:t>
      </w:r>
      <w:r w:rsidR="00E909F6" w:rsidRPr="005D1A8E">
        <w:rPr>
          <w:rFonts w:asciiTheme="minorHAnsi" w:eastAsia="Times New Roman" w:hAnsiTheme="minorHAnsi"/>
          <w:sz w:val="22"/>
          <w:szCs w:val="22"/>
        </w:rPr>
        <w:t>study</w:t>
      </w:r>
      <w:r w:rsidRPr="005D1A8E">
        <w:rPr>
          <w:rFonts w:asciiTheme="minorHAnsi" w:eastAsia="Times New Roman" w:hAnsiTheme="minorHAnsi"/>
          <w:sz w:val="22"/>
          <w:szCs w:val="22"/>
        </w:rPr>
        <w:t xml:space="preserve"> </w:t>
      </w:r>
      <w:r w:rsidR="006F15D7" w:rsidRPr="005D1A8E">
        <w:rPr>
          <w:rFonts w:asciiTheme="minorHAnsi" w:eastAsia="Times New Roman" w:hAnsiTheme="minorHAnsi"/>
          <w:sz w:val="22"/>
          <w:szCs w:val="22"/>
        </w:rPr>
        <w:t xml:space="preserve">proffer strong and well-informed expert consensus rather than </w:t>
      </w:r>
      <w:r w:rsidRPr="005D1A8E">
        <w:rPr>
          <w:rFonts w:asciiTheme="minorHAnsi" w:hAnsiTheme="minorHAnsi"/>
          <w:sz w:val="22"/>
          <w:szCs w:val="22"/>
        </w:rPr>
        <w:t xml:space="preserve">indisputable fact, they present a </w:t>
      </w:r>
      <w:r w:rsidRPr="003F109C">
        <w:rPr>
          <w:rFonts w:asciiTheme="minorHAnsi" w:hAnsiTheme="minorHAnsi"/>
          <w:sz w:val="22"/>
          <w:szCs w:val="22"/>
        </w:rPr>
        <w:t xml:space="preserve">convincing evidence-based case to </w:t>
      </w:r>
      <w:r w:rsidR="00E909F6" w:rsidRPr="003F109C">
        <w:rPr>
          <w:rFonts w:asciiTheme="minorHAnsi" w:hAnsiTheme="minorHAnsi"/>
          <w:sz w:val="22"/>
          <w:szCs w:val="22"/>
        </w:rPr>
        <w:t xml:space="preserve">direct and </w:t>
      </w:r>
      <w:r w:rsidRPr="003F109C">
        <w:rPr>
          <w:rFonts w:asciiTheme="minorHAnsi" w:hAnsiTheme="minorHAnsi"/>
          <w:sz w:val="22"/>
          <w:szCs w:val="22"/>
        </w:rPr>
        <w:t xml:space="preserve">support much-needed </w:t>
      </w:r>
      <w:r w:rsidR="00373EFD" w:rsidRPr="003F109C">
        <w:rPr>
          <w:rFonts w:asciiTheme="minorHAnsi" w:hAnsiTheme="minorHAnsi"/>
          <w:sz w:val="22"/>
          <w:szCs w:val="22"/>
        </w:rPr>
        <w:t xml:space="preserve">LAQM policy and practice </w:t>
      </w:r>
      <w:r w:rsidRPr="003F109C">
        <w:rPr>
          <w:rFonts w:asciiTheme="minorHAnsi" w:hAnsiTheme="minorHAnsi"/>
          <w:sz w:val="22"/>
          <w:szCs w:val="22"/>
        </w:rPr>
        <w:t>change</w:t>
      </w:r>
      <w:r w:rsidRPr="003F109C">
        <w:rPr>
          <w:rFonts w:asciiTheme="minorHAnsi" w:eastAsia="Times New Roman" w:hAnsiTheme="minorHAnsi"/>
          <w:sz w:val="22"/>
          <w:szCs w:val="22"/>
        </w:rPr>
        <w:t xml:space="preserve">. </w:t>
      </w:r>
      <w:r w:rsidR="00272734">
        <w:rPr>
          <w:rFonts w:asciiTheme="minorHAnsi" w:eastAsia="Times New Roman" w:hAnsiTheme="minorHAnsi"/>
          <w:sz w:val="22"/>
          <w:szCs w:val="22"/>
        </w:rPr>
        <w:t xml:space="preserve">This </w:t>
      </w:r>
      <w:r w:rsidR="00CD4B3A">
        <w:rPr>
          <w:rFonts w:asciiTheme="minorHAnsi" w:eastAsia="Times New Roman" w:hAnsiTheme="minorHAnsi"/>
          <w:sz w:val="22"/>
          <w:szCs w:val="22"/>
        </w:rPr>
        <w:t>Delphi study</w:t>
      </w:r>
      <w:r w:rsidR="00272734">
        <w:rPr>
          <w:rFonts w:asciiTheme="minorHAnsi" w:eastAsia="Times New Roman" w:hAnsiTheme="minorHAnsi"/>
          <w:sz w:val="22"/>
          <w:szCs w:val="22"/>
        </w:rPr>
        <w:t>’s findings have</w:t>
      </w:r>
      <w:r w:rsidR="00CD4B3A">
        <w:rPr>
          <w:rFonts w:asciiTheme="minorHAnsi" w:eastAsia="Times New Roman" w:hAnsiTheme="minorHAnsi"/>
          <w:sz w:val="22"/>
          <w:szCs w:val="22"/>
        </w:rPr>
        <w:t xml:space="preserve"> since been shared</w:t>
      </w:r>
      <w:r w:rsidR="00D63473" w:rsidRPr="003F109C">
        <w:rPr>
          <w:rFonts w:asciiTheme="minorHAnsi" w:eastAsia="Times New Roman" w:hAnsiTheme="minorHAnsi"/>
          <w:sz w:val="22"/>
          <w:szCs w:val="22"/>
        </w:rPr>
        <w:t xml:space="preserve"> and discussed </w:t>
      </w:r>
      <w:r w:rsidR="00CD4B3A">
        <w:rPr>
          <w:rFonts w:asciiTheme="minorHAnsi" w:eastAsia="Times New Roman" w:hAnsiTheme="minorHAnsi"/>
          <w:sz w:val="22"/>
          <w:szCs w:val="22"/>
        </w:rPr>
        <w:t xml:space="preserve">further </w:t>
      </w:r>
      <w:r w:rsidR="00D63473" w:rsidRPr="003F109C">
        <w:rPr>
          <w:rFonts w:asciiTheme="minorHAnsi" w:eastAsia="Times New Roman" w:hAnsiTheme="minorHAnsi"/>
          <w:sz w:val="22"/>
          <w:szCs w:val="22"/>
        </w:rPr>
        <w:t>with Delphi panel members and the wider air quality management and public health community through a</w:t>
      </w:r>
      <w:r w:rsidR="00C163B2">
        <w:rPr>
          <w:rFonts w:asciiTheme="minorHAnsi" w:eastAsia="Times New Roman" w:hAnsiTheme="minorHAnsi"/>
          <w:sz w:val="22"/>
          <w:szCs w:val="22"/>
        </w:rPr>
        <w:t>n</w:t>
      </w:r>
      <w:r w:rsidR="00D63473" w:rsidRPr="003F109C">
        <w:rPr>
          <w:rFonts w:asciiTheme="minorHAnsi" w:eastAsia="Times New Roman" w:hAnsiTheme="minorHAnsi"/>
          <w:sz w:val="22"/>
          <w:szCs w:val="22"/>
        </w:rPr>
        <w:t xml:space="preserve"> interactive ‘research with impact’ workshop. This workshop </w:t>
      </w:r>
      <w:r w:rsidR="00C163B2">
        <w:rPr>
          <w:rFonts w:asciiTheme="minorHAnsi" w:eastAsia="Times New Roman" w:hAnsiTheme="minorHAnsi"/>
          <w:sz w:val="22"/>
          <w:szCs w:val="22"/>
        </w:rPr>
        <w:t>sought</w:t>
      </w:r>
      <w:r w:rsidR="00D63473" w:rsidRPr="003F109C">
        <w:rPr>
          <w:rFonts w:asciiTheme="minorHAnsi" w:eastAsia="Times New Roman" w:hAnsiTheme="minorHAnsi"/>
          <w:sz w:val="22"/>
          <w:szCs w:val="22"/>
        </w:rPr>
        <w:t xml:space="preserve"> to engage a broad audi</w:t>
      </w:r>
      <w:r w:rsidR="00790A8A" w:rsidRPr="003F109C">
        <w:rPr>
          <w:rFonts w:asciiTheme="minorHAnsi" w:eastAsia="Times New Roman" w:hAnsiTheme="minorHAnsi"/>
          <w:sz w:val="22"/>
          <w:szCs w:val="22"/>
        </w:rPr>
        <w:t>ence to collectively determine how</w:t>
      </w:r>
      <w:r w:rsidR="00D63473" w:rsidRPr="003F109C">
        <w:rPr>
          <w:rFonts w:asciiTheme="minorHAnsi" w:eastAsia="Times New Roman" w:hAnsiTheme="minorHAnsi"/>
          <w:sz w:val="22"/>
          <w:szCs w:val="22"/>
        </w:rPr>
        <w:t xml:space="preserve"> enhancements </w:t>
      </w:r>
      <w:r w:rsidR="00C163B2">
        <w:rPr>
          <w:rFonts w:asciiTheme="minorHAnsi" w:eastAsia="Times New Roman" w:hAnsiTheme="minorHAnsi"/>
          <w:sz w:val="22"/>
          <w:szCs w:val="22"/>
        </w:rPr>
        <w:t xml:space="preserve">suggested </w:t>
      </w:r>
      <w:r w:rsidR="00D63473" w:rsidRPr="003F109C">
        <w:rPr>
          <w:rFonts w:asciiTheme="minorHAnsi" w:eastAsia="Times New Roman" w:hAnsiTheme="minorHAnsi"/>
          <w:sz w:val="22"/>
          <w:szCs w:val="22"/>
        </w:rPr>
        <w:t xml:space="preserve">in this study </w:t>
      </w:r>
      <w:r w:rsidR="00C163B2">
        <w:rPr>
          <w:rFonts w:asciiTheme="minorHAnsi" w:eastAsia="Times New Roman" w:hAnsiTheme="minorHAnsi"/>
          <w:sz w:val="22"/>
          <w:szCs w:val="22"/>
        </w:rPr>
        <w:t>could</w:t>
      </w:r>
      <w:r w:rsidR="00D63473" w:rsidRPr="003F109C">
        <w:rPr>
          <w:rFonts w:asciiTheme="minorHAnsi" w:eastAsia="Times New Roman" w:hAnsiTheme="minorHAnsi"/>
          <w:sz w:val="22"/>
          <w:szCs w:val="22"/>
        </w:rPr>
        <w:t xml:space="preserve"> be taken forward</w:t>
      </w:r>
      <w:r w:rsidR="00C163B2">
        <w:rPr>
          <w:rFonts w:asciiTheme="minorHAnsi" w:eastAsia="Times New Roman" w:hAnsiTheme="minorHAnsi"/>
          <w:sz w:val="22"/>
          <w:szCs w:val="22"/>
        </w:rPr>
        <w:t xml:space="preserve"> in practice</w:t>
      </w:r>
      <w:r w:rsidR="00D63473" w:rsidRPr="003F109C">
        <w:rPr>
          <w:rFonts w:asciiTheme="minorHAnsi" w:eastAsia="Times New Roman" w:hAnsiTheme="minorHAnsi"/>
          <w:sz w:val="22"/>
          <w:szCs w:val="22"/>
        </w:rPr>
        <w:t>.</w:t>
      </w:r>
      <w:r w:rsidR="00C163B2">
        <w:rPr>
          <w:rFonts w:asciiTheme="minorHAnsi" w:eastAsia="Times New Roman" w:hAnsiTheme="minorHAnsi"/>
          <w:sz w:val="22"/>
          <w:szCs w:val="22"/>
        </w:rPr>
        <w:t xml:space="preserve"> F</w:t>
      </w:r>
      <w:r w:rsidR="00D63473" w:rsidRPr="003F109C">
        <w:rPr>
          <w:rFonts w:asciiTheme="minorHAnsi" w:eastAsia="Times New Roman" w:hAnsiTheme="minorHAnsi"/>
          <w:sz w:val="22"/>
          <w:szCs w:val="22"/>
        </w:rPr>
        <w:t xml:space="preserve">or each LAQM enhancement, enablers </w:t>
      </w:r>
      <w:r w:rsidR="00C163B2">
        <w:rPr>
          <w:rFonts w:asciiTheme="minorHAnsi" w:eastAsia="Times New Roman" w:hAnsiTheme="minorHAnsi"/>
          <w:sz w:val="22"/>
          <w:szCs w:val="22"/>
        </w:rPr>
        <w:t xml:space="preserve">have been </w:t>
      </w:r>
      <w:r w:rsidR="00D63473" w:rsidRPr="003F109C">
        <w:rPr>
          <w:rFonts w:asciiTheme="minorHAnsi" w:eastAsia="Times New Roman" w:hAnsiTheme="minorHAnsi"/>
          <w:sz w:val="22"/>
          <w:szCs w:val="22"/>
        </w:rPr>
        <w:t xml:space="preserve">specified to inform next-step </w:t>
      </w:r>
      <w:r w:rsidR="00790A8A" w:rsidRPr="003F109C">
        <w:rPr>
          <w:rFonts w:asciiTheme="minorHAnsi" w:eastAsia="Times New Roman" w:hAnsiTheme="minorHAnsi"/>
          <w:sz w:val="22"/>
          <w:szCs w:val="22"/>
        </w:rPr>
        <w:t xml:space="preserve">practical </w:t>
      </w:r>
      <w:r w:rsidR="00D63473" w:rsidRPr="003F109C">
        <w:rPr>
          <w:rFonts w:asciiTheme="minorHAnsi" w:eastAsia="Times New Roman" w:hAnsiTheme="minorHAnsi"/>
          <w:sz w:val="22"/>
          <w:szCs w:val="22"/>
        </w:rPr>
        <w:t>actions (such as direct practice change, guidance development, policy connection, training, advocacy and leadership).</w:t>
      </w:r>
    </w:p>
    <w:p w:rsidR="00B0600A" w:rsidRPr="003F5297" w:rsidRDefault="00373EFD" w:rsidP="00E909F6">
      <w:pPr>
        <w:spacing w:after="120"/>
        <w:rPr>
          <w:rFonts w:ascii="Calibri" w:hAnsi="Calibri"/>
        </w:rPr>
      </w:pPr>
      <w:r>
        <w:rPr>
          <w:rFonts w:ascii="Calibri" w:hAnsi="Calibri"/>
        </w:rPr>
        <w:t xml:space="preserve">Not only has this study generated </w:t>
      </w:r>
      <w:r w:rsidR="00B0600A" w:rsidRPr="003F5297">
        <w:rPr>
          <w:rFonts w:ascii="Calibri" w:hAnsi="Calibri"/>
        </w:rPr>
        <w:t xml:space="preserve">new evidence to </w:t>
      </w:r>
      <w:r>
        <w:rPr>
          <w:rFonts w:ascii="Calibri" w:hAnsi="Calibri"/>
        </w:rPr>
        <w:t xml:space="preserve">enhance </w:t>
      </w:r>
      <w:r w:rsidR="00B0600A" w:rsidRPr="003F5297">
        <w:rPr>
          <w:rFonts w:ascii="Calibri" w:hAnsi="Calibri"/>
        </w:rPr>
        <w:t xml:space="preserve">LAQM, </w:t>
      </w:r>
      <w:r>
        <w:rPr>
          <w:rFonts w:ascii="Calibri" w:hAnsi="Calibri"/>
        </w:rPr>
        <w:t>it</w:t>
      </w:r>
      <w:r w:rsidR="00B0600A" w:rsidRPr="003F5297">
        <w:rPr>
          <w:rFonts w:ascii="Calibri" w:hAnsi="Calibri"/>
        </w:rPr>
        <w:t xml:space="preserve"> </w:t>
      </w:r>
      <w:r w:rsidR="00E909F6">
        <w:rPr>
          <w:rFonts w:ascii="Calibri" w:hAnsi="Calibri"/>
        </w:rPr>
        <w:t>also</w:t>
      </w:r>
      <w:r>
        <w:rPr>
          <w:rFonts w:ascii="Calibri" w:hAnsi="Calibri"/>
        </w:rPr>
        <w:t xml:space="preserve"> highlights </w:t>
      </w:r>
      <w:r w:rsidR="00B0600A" w:rsidRPr="003F5297">
        <w:rPr>
          <w:rFonts w:ascii="Calibri" w:hAnsi="Calibri"/>
        </w:rPr>
        <w:t xml:space="preserve">the applicability </w:t>
      </w:r>
      <w:r w:rsidR="00B0600A" w:rsidRPr="008607A0">
        <w:rPr>
          <w:rFonts w:ascii="Calibri" w:hAnsi="Calibri"/>
        </w:rPr>
        <w:t xml:space="preserve">of the Delphi </w:t>
      </w:r>
      <w:r>
        <w:rPr>
          <w:rFonts w:ascii="Calibri" w:hAnsi="Calibri"/>
        </w:rPr>
        <w:t xml:space="preserve">method </w:t>
      </w:r>
      <w:r w:rsidR="00B0600A" w:rsidRPr="008607A0">
        <w:rPr>
          <w:rFonts w:ascii="Calibri" w:hAnsi="Calibri"/>
        </w:rPr>
        <w:t>in investigating complex environmental public health problems.</w:t>
      </w:r>
      <w:r w:rsidR="00B0600A">
        <w:rPr>
          <w:rFonts w:ascii="Calibri" w:hAnsi="Calibri"/>
        </w:rPr>
        <w:t xml:space="preserve"> </w:t>
      </w:r>
    </w:p>
    <w:p w:rsidR="008A36BC" w:rsidRDefault="008A36BC" w:rsidP="00E909F6">
      <w:pPr>
        <w:spacing w:after="120"/>
        <w:outlineLvl w:val="1"/>
        <w:rPr>
          <w:rFonts w:eastAsia="Times New Roman" w:cs="Times New Roman"/>
          <w:b/>
          <w:bCs/>
          <w:lang w:eastAsia="en-GB"/>
        </w:rPr>
      </w:pPr>
    </w:p>
    <w:p w:rsidR="00C54AF4" w:rsidRDefault="00C54AF4" w:rsidP="00E909F6">
      <w:pPr>
        <w:spacing w:after="120"/>
        <w:outlineLvl w:val="1"/>
        <w:rPr>
          <w:rFonts w:eastAsia="Times New Roman" w:cs="Times New Roman"/>
          <w:b/>
          <w:bCs/>
          <w:lang w:eastAsia="en-GB"/>
        </w:rPr>
      </w:pPr>
    </w:p>
    <w:p w:rsidR="00C54AF4" w:rsidRDefault="00C54AF4" w:rsidP="00E909F6">
      <w:pPr>
        <w:spacing w:after="120"/>
        <w:outlineLvl w:val="1"/>
        <w:rPr>
          <w:rFonts w:eastAsia="Times New Roman" w:cs="Times New Roman"/>
          <w:b/>
          <w:bCs/>
          <w:lang w:eastAsia="en-GB"/>
        </w:rPr>
      </w:pPr>
    </w:p>
    <w:p w:rsidR="00C54AF4" w:rsidRDefault="00C54AF4" w:rsidP="00E909F6">
      <w:pPr>
        <w:spacing w:after="120"/>
        <w:outlineLvl w:val="1"/>
        <w:rPr>
          <w:rFonts w:eastAsia="Times New Roman" w:cs="Times New Roman"/>
          <w:b/>
          <w:bCs/>
          <w:lang w:eastAsia="en-GB"/>
        </w:rPr>
      </w:pPr>
    </w:p>
    <w:p w:rsidR="00C54AF4" w:rsidRDefault="00C54AF4" w:rsidP="00E909F6">
      <w:pPr>
        <w:spacing w:after="120"/>
        <w:outlineLvl w:val="1"/>
        <w:rPr>
          <w:rFonts w:eastAsia="Times New Roman" w:cs="Times New Roman"/>
          <w:b/>
          <w:bCs/>
          <w:lang w:eastAsia="en-GB"/>
        </w:rPr>
      </w:pPr>
    </w:p>
    <w:p w:rsidR="00C54AF4" w:rsidRDefault="00C54AF4" w:rsidP="00E909F6">
      <w:pPr>
        <w:spacing w:after="120"/>
        <w:outlineLvl w:val="1"/>
        <w:rPr>
          <w:rFonts w:eastAsia="Times New Roman" w:cs="Times New Roman"/>
          <w:b/>
          <w:bCs/>
          <w:lang w:eastAsia="en-GB"/>
        </w:rPr>
      </w:pPr>
    </w:p>
    <w:p w:rsidR="00C54AF4" w:rsidRDefault="00C54AF4" w:rsidP="00E909F6">
      <w:pPr>
        <w:spacing w:after="120"/>
        <w:outlineLvl w:val="1"/>
        <w:rPr>
          <w:rFonts w:eastAsia="Times New Roman" w:cs="Times New Roman"/>
          <w:b/>
          <w:bCs/>
          <w:lang w:eastAsia="en-GB"/>
        </w:rPr>
      </w:pPr>
    </w:p>
    <w:p w:rsidR="00C54AF4" w:rsidRDefault="00C54AF4" w:rsidP="00E909F6">
      <w:pPr>
        <w:spacing w:after="120"/>
        <w:outlineLvl w:val="1"/>
        <w:rPr>
          <w:rFonts w:eastAsia="Times New Roman" w:cs="Times New Roman"/>
          <w:b/>
          <w:bCs/>
          <w:lang w:eastAsia="en-GB"/>
        </w:rPr>
      </w:pPr>
    </w:p>
    <w:p w:rsidR="00C54AF4" w:rsidRDefault="00C54AF4" w:rsidP="00E909F6">
      <w:pPr>
        <w:spacing w:after="120"/>
        <w:outlineLvl w:val="1"/>
        <w:rPr>
          <w:rFonts w:eastAsia="Times New Roman" w:cs="Times New Roman"/>
          <w:b/>
          <w:bCs/>
          <w:lang w:eastAsia="en-GB"/>
        </w:rPr>
      </w:pPr>
    </w:p>
    <w:p w:rsidR="00C54AF4" w:rsidRDefault="00C54AF4" w:rsidP="00E909F6">
      <w:pPr>
        <w:spacing w:after="120"/>
        <w:outlineLvl w:val="1"/>
        <w:rPr>
          <w:rFonts w:eastAsia="Times New Roman" w:cs="Times New Roman"/>
          <w:b/>
          <w:bCs/>
          <w:lang w:eastAsia="en-GB"/>
        </w:rPr>
      </w:pPr>
    </w:p>
    <w:p w:rsidR="00C54AF4" w:rsidRPr="00BF2B66" w:rsidRDefault="00C54AF4" w:rsidP="00BF2B66">
      <w:pPr>
        <w:spacing w:after="120"/>
        <w:outlineLvl w:val="1"/>
        <w:rPr>
          <w:rFonts w:eastAsia="Times New Roman" w:cs="Times New Roman"/>
          <w:b/>
          <w:bCs/>
          <w:lang w:eastAsia="en-GB"/>
        </w:rPr>
      </w:pPr>
      <w:r w:rsidRPr="00BF2B66">
        <w:rPr>
          <w:rFonts w:eastAsia="Times New Roman" w:cs="Times New Roman"/>
          <w:b/>
          <w:bCs/>
          <w:lang w:eastAsia="en-GB"/>
        </w:rPr>
        <w:lastRenderedPageBreak/>
        <w:t>Acknowledgements</w:t>
      </w:r>
    </w:p>
    <w:p w:rsidR="00C54AF4" w:rsidRPr="00BF2B66" w:rsidRDefault="00BF2B66" w:rsidP="00BF2B66">
      <w:pPr>
        <w:autoSpaceDE w:val="0"/>
        <w:autoSpaceDN w:val="0"/>
        <w:adjustRightInd w:val="0"/>
        <w:spacing w:after="120"/>
        <w:rPr>
          <w:rFonts w:eastAsia="Times New Roman" w:cs="Times New Roman"/>
          <w:b/>
          <w:bCs/>
          <w:lang w:eastAsia="en-GB"/>
        </w:rPr>
      </w:pPr>
      <w:r w:rsidRPr="00BF2B66">
        <w:rPr>
          <w:rFonts w:cs="AdvTT378de93d"/>
        </w:rPr>
        <w:t xml:space="preserve">The authors would like to thank Prof </w:t>
      </w:r>
      <w:proofErr w:type="spellStart"/>
      <w:r w:rsidRPr="00BF2B66">
        <w:rPr>
          <w:rFonts w:cs="AdvTT378de93d"/>
        </w:rPr>
        <w:t>Jimi</w:t>
      </w:r>
      <w:proofErr w:type="spellEnd"/>
      <w:r w:rsidRPr="00BF2B66">
        <w:rPr>
          <w:rFonts w:cs="AdvTT378de93d"/>
        </w:rPr>
        <w:t xml:space="preserve"> Irwin (University of the West of England) for </w:t>
      </w:r>
      <w:r>
        <w:rPr>
          <w:rFonts w:cs="AdvTT378de93d"/>
        </w:rPr>
        <w:t xml:space="preserve">his </w:t>
      </w:r>
      <w:r w:rsidRPr="00BF2B66">
        <w:rPr>
          <w:rFonts w:cs="AdvTT378de93d"/>
        </w:rPr>
        <w:t>support, advice</w:t>
      </w:r>
      <w:r>
        <w:rPr>
          <w:rFonts w:cs="AdvTT378de93d"/>
        </w:rPr>
        <w:t xml:space="preserve"> </w:t>
      </w:r>
      <w:r w:rsidRPr="00BF2B66">
        <w:rPr>
          <w:rFonts w:cs="AdvTT378de93d"/>
        </w:rPr>
        <w:t xml:space="preserve">and guidance. </w:t>
      </w:r>
    </w:p>
    <w:p w:rsidR="00C54AF4" w:rsidRPr="00BF2B66" w:rsidRDefault="00C54AF4" w:rsidP="00BF2B66">
      <w:pPr>
        <w:spacing w:after="120"/>
        <w:outlineLvl w:val="1"/>
        <w:rPr>
          <w:rFonts w:eastAsia="Times New Roman" w:cs="Times New Roman"/>
          <w:b/>
          <w:bCs/>
          <w:lang w:eastAsia="en-GB"/>
        </w:rPr>
      </w:pPr>
    </w:p>
    <w:p w:rsidR="00EF4572" w:rsidRPr="00BF2B66" w:rsidRDefault="00E909F6" w:rsidP="00BF2B66">
      <w:pPr>
        <w:spacing w:after="120"/>
        <w:outlineLvl w:val="1"/>
        <w:rPr>
          <w:rFonts w:eastAsia="Times New Roman" w:cs="Times New Roman"/>
          <w:b/>
          <w:bCs/>
          <w:lang w:eastAsia="en-GB"/>
        </w:rPr>
      </w:pPr>
      <w:r w:rsidRPr="00BF2B66">
        <w:rPr>
          <w:rFonts w:eastAsia="Times New Roman" w:cs="Times New Roman"/>
          <w:b/>
          <w:bCs/>
          <w:lang w:eastAsia="en-GB"/>
        </w:rPr>
        <w:t>D</w:t>
      </w:r>
      <w:r w:rsidR="00EF4572" w:rsidRPr="00BF2B66">
        <w:rPr>
          <w:rFonts w:eastAsia="Times New Roman" w:cs="Times New Roman"/>
          <w:b/>
          <w:bCs/>
          <w:lang w:eastAsia="en-GB"/>
        </w:rPr>
        <w:t>eclarations</w:t>
      </w:r>
    </w:p>
    <w:p w:rsidR="009534AE" w:rsidRDefault="009534AE" w:rsidP="009534AE">
      <w:pPr>
        <w:spacing w:after="120"/>
        <w:rPr>
          <w:rFonts w:eastAsia="Times New Roman" w:cs="Times New Roman"/>
          <w:lang w:eastAsia="en-GB"/>
        </w:rPr>
      </w:pPr>
      <w:r>
        <w:rPr>
          <w:rFonts w:eastAsia="Times New Roman" w:cs="Times New Roman"/>
          <w:lang w:eastAsia="en-GB"/>
        </w:rPr>
        <w:t xml:space="preserve">Ethics </w:t>
      </w:r>
      <w:r w:rsidRPr="00E77050">
        <w:rPr>
          <w:rFonts w:eastAsia="Times New Roman" w:cs="Times New Roman"/>
          <w:lang w:eastAsia="en-GB"/>
        </w:rPr>
        <w:t xml:space="preserve">approval for this study was obtained from the University of West of England in February 2016 </w:t>
      </w:r>
      <w:r w:rsidRPr="00E77050">
        <w:t>(ref. FET/16/02/028).</w:t>
      </w:r>
      <w:r w:rsidRPr="003014BC">
        <w:rPr>
          <w:color w:val="00B0F0"/>
        </w:rPr>
        <w:t xml:space="preserve"> </w:t>
      </w:r>
      <w:r>
        <w:rPr>
          <w:rFonts w:eastAsia="Times New Roman" w:cs="Times New Roman"/>
          <w:lang w:eastAsia="en-GB"/>
        </w:rPr>
        <w:t>This study was part-funded by Public Health Wales.</w:t>
      </w:r>
    </w:p>
    <w:p w:rsidR="00E507A6" w:rsidRDefault="00E507A6" w:rsidP="00E77050">
      <w:pPr>
        <w:spacing w:after="120"/>
        <w:rPr>
          <w:rFonts w:eastAsia="Times New Roman" w:cs="Times New Roman"/>
          <w:lang w:eastAsia="en-GB"/>
        </w:rPr>
      </w:pPr>
      <w:r>
        <w:rPr>
          <w:rFonts w:eastAsia="Times New Roman" w:cs="Times New Roman"/>
          <w:lang w:eastAsia="en-GB"/>
        </w:rPr>
        <w:t>No competing interests declared.</w:t>
      </w:r>
    </w:p>
    <w:p w:rsidR="0091583A" w:rsidRDefault="0091583A" w:rsidP="00E77050">
      <w:pPr>
        <w:spacing w:after="120"/>
        <w:rPr>
          <w:rFonts w:eastAsia="Times New Roman" w:cs="Times New Roman"/>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A81A19" w:rsidRDefault="00A81A19"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CD4738" w:rsidRDefault="00CD4738" w:rsidP="00E77050">
      <w:pPr>
        <w:spacing w:after="120"/>
        <w:rPr>
          <w:rFonts w:eastAsia="Times New Roman" w:cs="Times New Roman"/>
          <w:b/>
          <w:lang w:eastAsia="en-GB"/>
        </w:rPr>
      </w:pPr>
    </w:p>
    <w:p w:rsidR="00BF2B66" w:rsidRDefault="00BF2B66" w:rsidP="00E77050">
      <w:pPr>
        <w:spacing w:after="120"/>
        <w:rPr>
          <w:rFonts w:eastAsia="Times New Roman" w:cs="Times New Roman"/>
          <w:b/>
          <w:lang w:eastAsia="en-GB"/>
        </w:rPr>
      </w:pPr>
    </w:p>
    <w:p w:rsidR="0091583A" w:rsidRDefault="0091583A" w:rsidP="00E77050">
      <w:pPr>
        <w:spacing w:after="120"/>
        <w:rPr>
          <w:rFonts w:eastAsia="Times New Roman" w:cs="Times New Roman"/>
          <w:b/>
          <w:lang w:eastAsia="en-GB"/>
        </w:rPr>
      </w:pPr>
      <w:r>
        <w:rPr>
          <w:rFonts w:eastAsia="Times New Roman" w:cs="Times New Roman"/>
          <w:b/>
          <w:lang w:eastAsia="en-GB"/>
        </w:rPr>
        <w:lastRenderedPageBreak/>
        <w:t>References</w:t>
      </w:r>
      <w:bookmarkStart w:id="0" w:name="_GoBack"/>
      <w:bookmarkEnd w:id="0"/>
    </w:p>
    <w:p w:rsidR="00BD6BCA" w:rsidRPr="00E56BB8" w:rsidRDefault="00BD6BCA" w:rsidP="00E56BB8">
      <w:pPr>
        <w:spacing w:after="60" w:line="264" w:lineRule="auto"/>
        <w:rPr>
          <w:rFonts w:cs="Arial"/>
        </w:rPr>
      </w:pPr>
      <w:proofErr w:type="spellStart"/>
      <w:r w:rsidRPr="00E56BB8">
        <w:rPr>
          <w:rFonts w:cs="Arial"/>
        </w:rPr>
        <w:t>Aarts</w:t>
      </w:r>
      <w:proofErr w:type="spellEnd"/>
      <w:r w:rsidRPr="00E56BB8">
        <w:rPr>
          <w:rFonts w:cs="Arial"/>
        </w:rPr>
        <w:t xml:space="preserve"> MJ, </w:t>
      </w:r>
      <w:proofErr w:type="spellStart"/>
      <w:r w:rsidRPr="00E56BB8">
        <w:rPr>
          <w:rFonts w:cs="Arial"/>
        </w:rPr>
        <w:t>Schuit</w:t>
      </w:r>
      <w:proofErr w:type="spellEnd"/>
      <w:r w:rsidRPr="00E56BB8">
        <w:rPr>
          <w:rFonts w:cs="Arial"/>
        </w:rPr>
        <w:t xml:space="preserve"> AJ, van </w:t>
      </w:r>
      <w:proofErr w:type="spellStart"/>
      <w:r w:rsidRPr="00E56BB8">
        <w:rPr>
          <w:rFonts w:cs="Arial"/>
        </w:rPr>
        <w:t>der</w:t>
      </w:r>
      <w:proofErr w:type="spellEnd"/>
      <w:r w:rsidRPr="00E56BB8">
        <w:rPr>
          <w:rFonts w:cs="Arial"/>
        </w:rPr>
        <w:t xml:space="preserve"> </w:t>
      </w:r>
      <w:proofErr w:type="spellStart"/>
      <w:r w:rsidRPr="00E56BB8">
        <w:rPr>
          <w:rFonts w:cs="Arial"/>
        </w:rPr>
        <w:t>Goor</w:t>
      </w:r>
      <w:proofErr w:type="spellEnd"/>
      <w:r w:rsidRPr="00E56BB8">
        <w:rPr>
          <w:rFonts w:cs="Arial"/>
        </w:rPr>
        <w:t xml:space="preserve"> AM, van </w:t>
      </w:r>
      <w:proofErr w:type="spellStart"/>
      <w:r w:rsidRPr="00E56BB8">
        <w:rPr>
          <w:rFonts w:cs="Arial"/>
        </w:rPr>
        <w:t>Oers</w:t>
      </w:r>
      <w:proofErr w:type="spellEnd"/>
      <w:r w:rsidRPr="00E56BB8">
        <w:rPr>
          <w:rFonts w:cs="Arial"/>
        </w:rPr>
        <w:t xml:space="preserve"> AM (2011). Feasibility of multi-sector policy measures that create activity-friendly environments for children: results of a Delphi study. </w:t>
      </w:r>
      <w:r w:rsidRPr="00E56BB8">
        <w:rPr>
          <w:rFonts w:cs="Arial"/>
          <w:i/>
        </w:rPr>
        <w:t>Implementation Science</w:t>
      </w:r>
      <w:r w:rsidRPr="00E56BB8">
        <w:rPr>
          <w:rFonts w:cs="Arial"/>
        </w:rPr>
        <w:t>; 6: 128-138.</w:t>
      </w:r>
    </w:p>
    <w:p w:rsidR="0093477A" w:rsidRPr="00E56BB8" w:rsidRDefault="0093477A" w:rsidP="00E56BB8">
      <w:pPr>
        <w:spacing w:after="60" w:line="264" w:lineRule="auto"/>
        <w:rPr>
          <w:rFonts w:cs="Arial"/>
        </w:rPr>
      </w:pPr>
      <w:r w:rsidRPr="00E56BB8">
        <w:rPr>
          <w:rFonts w:cs="Arial"/>
        </w:rPr>
        <w:t xml:space="preserve">Allen C, Foulkes WD (2011). Qualitative thematic analysis of consent forms used in cancer genome sequencing. </w:t>
      </w:r>
      <w:r w:rsidRPr="00E56BB8">
        <w:rPr>
          <w:rFonts w:cs="Arial"/>
          <w:i/>
        </w:rPr>
        <w:t>BMC Medical Ethics</w:t>
      </w:r>
      <w:r w:rsidRPr="00E56BB8">
        <w:rPr>
          <w:rFonts w:cs="Arial"/>
        </w:rPr>
        <w:t>; 12(1): 14-22.</w:t>
      </w:r>
    </w:p>
    <w:p w:rsidR="008B70F0" w:rsidRPr="00E56BB8" w:rsidRDefault="008B70F0" w:rsidP="00E56BB8">
      <w:pPr>
        <w:spacing w:after="60" w:line="264" w:lineRule="auto"/>
        <w:rPr>
          <w:rFonts w:cs="Arial"/>
        </w:rPr>
      </w:pPr>
      <w:proofErr w:type="spellStart"/>
      <w:r w:rsidRPr="00E56BB8">
        <w:rPr>
          <w:rFonts w:cs="Arial"/>
        </w:rPr>
        <w:t>Argyrous</w:t>
      </w:r>
      <w:proofErr w:type="spellEnd"/>
      <w:r w:rsidRPr="00E56BB8">
        <w:rPr>
          <w:rFonts w:cs="Arial"/>
        </w:rPr>
        <w:t xml:space="preserve"> G (2005). </w:t>
      </w:r>
      <w:proofErr w:type="gramStart"/>
      <w:r w:rsidRPr="00E56BB8">
        <w:rPr>
          <w:rFonts w:cs="Arial"/>
        </w:rPr>
        <w:t>Statistics for research, 2</w:t>
      </w:r>
      <w:r w:rsidRPr="00E56BB8">
        <w:rPr>
          <w:rFonts w:cs="Arial"/>
          <w:vertAlign w:val="superscript"/>
        </w:rPr>
        <w:t>nd</w:t>
      </w:r>
      <w:r w:rsidRPr="00E56BB8">
        <w:rPr>
          <w:rFonts w:cs="Arial"/>
        </w:rPr>
        <w:t xml:space="preserve"> edition.</w:t>
      </w:r>
      <w:proofErr w:type="gramEnd"/>
      <w:r w:rsidRPr="00E56BB8">
        <w:rPr>
          <w:rFonts w:cs="Arial"/>
        </w:rPr>
        <w:t xml:space="preserve"> Sage: London, UK.</w:t>
      </w:r>
    </w:p>
    <w:p w:rsidR="00BD6BCA" w:rsidRPr="00E56BB8" w:rsidRDefault="00BD6BCA" w:rsidP="00E56BB8">
      <w:pPr>
        <w:spacing w:after="60" w:line="264" w:lineRule="auto"/>
      </w:pPr>
      <w:proofErr w:type="gramStart"/>
      <w:r w:rsidRPr="00E56BB8">
        <w:t xml:space="preserve">Bailey R, Longhurst JWS, Hayes ET </w:t>
      </w:r>
      <w:proofErr w:type="spellStart"/>
      <w:r w:rsidRPr="00E56BB8">
        <w:rPr>
          <w:i/>
        </w:rPr>
        <w:t>et</w:t>
      </w:r>
      <w:proofErr w:type="spellEnd"/>
      <w:r w:rsidRPr="00E56BB8">
        <w:rPr>
          <w:i/>
        </w:rPr>
        <w:t xml:space="preserve"> al.</w:t>
      </w:r>
      <w:r w:rsidRPr="00E56BB8">
        <w:t xml:space="preserve"> (2012).</w:t>
      </w:r>
      <w:proofErr w:type="gramEnd"/>
      <w:r w:rsidRPr="00E56BB8">
        <w:t xml:space="preserve"> </w:t>
      </w:r>
      <w:proofErr w:type="gramStart"/>
      <w:r w:rsidRPr="00E56BB8">
        <w:t>Exploring a city’s potential low carbon futures using Delphi methods: some preliminary findings.</w:t>
      </w:r>
      <w:proofErr w:type="gramEnd"/>
      <w:r w:rsidRPr="00E56BB8">
        <w:t xml:space="preserve"> </w:t>
      </w:r>
      <w:r w:rsidRPr="00E56BB8">
        <w:rPr>
          <w:i/>
        </w:rPr>
        <w:t>Journal of Environmental Planning and Management</w:t>
      </w:r>
      <w:r w:rsidRPr="00E56BB8">
        <w:t>; 55(8): 1022-1046.</w:t>
      </w:r>
    </w:p>
    <w:p w:rsidR="00746B22" w:rsidRPr="00E56BB8" w:rsidRDefault="00746B22" w:rsidP="00E56BB8">
      <w:pPr>
        <w:spacing w:after="60" w:line="264" w:lineRule="auto"/>
        <w:rPr>
          <w:rFonts w:cs="Arial"/>
        </w:rPr>
      </w:pPr>
      <w:r w:rsidRPr="00E56BB8">
        <w:rPr>
          <w:rFonts w:cs="Arial"/>
        </w:rPr>
        <w:t xml:space="preserve">Banks DE, Shi R, </w:t>
      </w:r>
      <w:proofErr w:type="spellStart"/>
      <w:r w:rsidRPr="00E56BB8">
        <w:rPr>
          <w:rFonts w:cs="Arial"/>
        </w:rPr>
        <w:t>McLarty</w:t>
      </w:r>
      <w:proofErr w:type="spellEnd"/>
      <w:r w:rsidRPr="00E56BB8">
        <w:rPr>
          <w:rFonts w:cs="Arial"/>
        </w:rPr>
        <w:t xml:space="preserve"> J, Cowl CT </w:t>
      </w:r>
      <w:r w:rsidRPr="00E56BB8">
        <w:rPr>
          <w:rFonts w:cs="Arial"/>
          <w:i/>
        </w:rPr>
        <w:t>et al</w:t>
      </w:r>
      <w:r w:rsidRPr="00E56BB8">
        <w:rPr>
          <w:rFonts w:cs="Arial"/>
        </w:rPr>
        <w:t xml:space="preserve">. (2009). American College of Chest Physicians Consensus Statement on the Respiratory Health Effects of Asbestos: results of a Delphi Study. </w:t>
      </w:r>
      <w:r w:rsidRPr="00E56BB8">
        <w:rPr>
          <w:rFonts w:cs="Arial"/>
          <w:i/>
        </w:rPr>
        <w:t>Chest</w:t>
      </w:r>
      <w:r w:rsidRPr="00E56BB8">
        <w:rPr>
          <w:rFonts w:cs="Arial"/>
        </w:rPr>
        <w:t>; 135(6): 1619-1627.</w:t>
      </w:r>
    </w:p>
    <w:p w:rsidR="00161899" w:rsidRPr="00E56BB8" w:rsidRDefault="00161899" w:rsidP="00E56BB8">
      <w:pPr>
        <w:spacing w:after="60" w:line="264" w:lineRule="auto"/>
        <w:rPr>
          <w:rFonts w:cs="Arial"/>
        </w:rPr>
      </w:pPr>
      <w:proofErr w:type="gramStart"/>
      <w:r w:rsidRPr="00E56BB8">
        <w:rPr>
          <w:rFonts w:cs="Arial"/>
        </w:rPr>
        <w:t>Barnes JH, Hayes ET, Chatterton TJ, Longhurst JWS (2014).</w:t>
      </w:r>
      <w:proofErr w:type="gramEnd"/>
      <w:r w:rsidRPr="00E56BB8">
        <w:rPr>
          <w:rFonts w:cs="Arial"/>
        </w:rPr>
        <w:t xml:space="preserve"> Air quality action planning: why do barriers to remediation in local air quality management remain? </w:t>
      </w:r>
      <w:r w:rsidRPr="00E56BB8">
        <w:rPr>
          <w:rFonts w:cs="Arial"/>
          <w:i/>
        </w:rPr>
        <w:t>Journal of Environmental Planning and Management</w:t>
      </w:r>
      <w:proofErr w:type="gramStart"/>
      <w:r w:rsidRPr="00E56BB8">
        <w:rPr>
          <w:rFonts w:cs="Arial"/>
        </w:rPr>
        <w:t>;57</w:t>
      </w:r>
      <w:proofErr w:type="gramEnd"/>
      <w:r w:rsidRPr="00E56BB8">
        <w:rPr>
          <w:rFonts w:cs="Arial"/>
        </w:rPr>
        <w:t>(5):660-681.</w:t>
      </w:r>
    </w:p>
    <w:p w:rsidR="006F3FF1" w:rsidRPr="00E56BB8" w:rsidRDefault="006F3FF1" w:rsidP="00E56BB8">
      <w:pPr>
        <w:spacing w:after="60" w:line="264" w:lineRule="auto"/>
      </w:pPr>
      <w:proofErr w:type="gramStart"/>
      <w:r w:rsidRPr="00E56BB8">
        <w:t xml:space="preserve">Beattie CI, Longhurst JWS, </w:t>
      </w:r>
      <w:proofErr w:type="spellStart"/>
      <w:r w:rsidRPr="00E56BB8">
        <w:t>Woodfield</w:t>
      </w:r>
      <w:proofErr w:type="spellEnd"/>
      <w:r w:rsidRPr="00E56BB8">
        <w:t xml:space="preserve"> NK (2001).</w:t>
      </w:r>
      <w:proofErr w:type="gramEnd"/>
      <w:r w:rsidRPr="00E56BB8">
        <w:t xml:space="preserve"> </w:t>
      </w:r>
      <w:proofErr w:type="gramStart"/>
      <w:r w:rsidRPr="00E56BB8">
        <w:t>Air quality management: evolution of policy and practice in the UK as exemplified by the experience of English local government.</w:t>
      </w:r>
      <w:proofErr w:type="gramEnd"/>
      <w:r w:rsidRPr="00E56BB8">
        <w:t xml:space="preserve"> </w:t>
      </w:r>
      <w:r w:rsidRPr="00E56BB8">
        <w:rPr>
          <w:i/>
          <w:iCs/>
        </w:rPr>
        <w:t>Atmospheric Environment</w:t>
      </w:r>
      <w:r w:rsidRPr="00E56BB8">
        <w:t>; 35: 1479-1490.</w:t>
      </w:r>
    </w:p>
    <w:p w:rsidR="00746B22" w:rsidRPr="00E56BB8" w:rsidRDefault="00746B22" w:rsidP="00E56BB8">
      <w:pPr>
        <w:pStyle w:val="NormalWeb"/>
        <w:spacing w:before="0" w:beforeAutospacing="0" w:after="60" w:afterAutospacing="0" w:line="264" w:lineRule="auto"/>
        <w:rPr>
          <w:rFonts w:asciiTheme="minorHAnsi" w:hAnsiTheme="minorHAnsi"/>
          <w:sz w:val="22"/>
          <w:szCs w:val="22"/>
        </w:rPr>
      </w:pPr>
      <w:r w:rsidRPr="00E56BB8">
        <w:rPr>
          <w:rFonts w:asciiTheme="minorHAnsi" w:hAnsiTheme="minorHAnsi"/>
          <w:sz w:val="22"/>
          <w:szCs w:val="22"/>
        </w:rPr>
        <w:t xml:space="preserve">Becker GE, Roberts T (2009). Do we agree? </w:t>
      </w:r>
      <w:proofErr w:type="gramStart"/>
      <w:r w:rsidRPr="00E56BB8">
        <w:rPr>
          <w:rFonts w:asciiTheme="minorHAnsi" w:hAnsiTheme="minorHAnsi"/>
          <w:sz w:val="22"/>
          <w:szCs w:val="22"/>
        </w:rPr>
        <w:t>Using a Delphi technique to develop consensus on skills of hand expression.</w:t>
      </w:r>
      <w:proofErr w:type="gramEnd"/>
      <w:r w:rsidRPr="00E56BB8">
        <w:rPr>
          <w:rFonts w:asciiTheme="minorHAnsi" w:hAnsiTheme="minorHAnsi"/>
          <w:sz w:val="22"/>
          <w:szCs w:val="22"/>
        </w:rPr>
        <w:t xml:space="preserve"> </w:t>
      </w:r>
      <w:r w:rsidRPr="00E56BB8">
        <w:rPr>
          <w:rFonts w:asciiTheme="minorHAnsi" w:hAnsiTheme="minorHAnsi"/>
          <w:i/>
          <w:sz w:val="22"/>
          <w:szCs w:val="22"/>
        </w:rPr>
        <w:t xml:space="preserve">Journal Hum </w:t>
      </w:r>
      <w:proofErr w:type="spellStart"/>
      <w:r w:rsidRPr="00E56BB8">
        <w:rPr>
          <w:rFonts w:asciiTheme="minorHAnsi" w:hAnsiTheme="minorHAnsi"/>
          <w:i/>
          <w:sz w:val="22"/>
          <w:szCs w:val="22"/>
        </w:rPr>
        <w:t>Lact</w:t>
      </w:r>
      <w:proofErr w:type="spellEnd"/>
      <w:r w:rsidRPr="00E56BB8">
        <w:rPr>
          <w:rFonts w:asciiTheme="minorHAnsi" w:hAnsiTheme="minorHAnsi"/>
          <w:sz w:val="22"/>
          <w:szCs w:val="22"/>
        </w:rPr>
        <w:t>; 25(2): 220-225.</w:t>
      </w:r>
    </w:p>
    <w:p w:rsidR="00540549" w:rsidRPr="00E56BB8" w:rsidRDefault="00540549" w:rsidP="00E56BB8">
      <w:pPr>
        <w:autoSpaceDE w:val="0"/>
        <w:autoSpaceDN w:val="0"/>
        <w:adjustRightInd w:val="0"/>
        <w:spacing w:after="60" w:line="264" w:lineRule="auto"/>
      </w:pPr>
      <w:r w:rsidRPr="00E56BB8">
        <w:t xml:space="preserve">Bloor M, Sampson H, Baker S, Dahlgren K (2015). Useful but no oracle: reflections on the use of a Delphi group in a multi-methods policy research study. </w:t>
      </w:r>
      <w:r w:rsidRPr="00E56BB8">
        <w:rPr>
          <w:i/>
        </w:rPr>
        <w:t>Qualitative Research</w:t>
      </w:r>
      <w:r w:rsidRPr="00E56BB8">
        <w:t>; 15(1): 57-70.</w:t>
      </w:r>
    </w:p>
    <w:p w:rsidR="00540549" w:rsidRPr="00E56BB8" w:rsidRDefault="00540549" w:rsidP="00E56BB8">
      <w:pPr>
        <w:spacing w:after="60" w:line="264" w:lineRule="auto"/>
      </w:pPr>
      <w:proofErr w:type="spellStart"/>
      <w:r w:rsidRPr="00E56BB8">
        <w:t>Boulkedid</w:t>
      </w:r>
      <w:proofErr w:type="spellEnd"/>
      <w:r w:rsidRPr="00E56BB8">
        <w:t xml:space="preserve"> R, </w:t>
      </w:r>
      <w:proofErr w:type="spellStart"/>
      <w:r w:rsidRPr="00E56BB8">
        <w:t>Abdoul</w:t>
      </w:r>
      <w:proofErr w:type="spellEnd"/>
      <w:r w:rsidRPr="00E56BB8">
        <w:t xml:space="preserve"> H, </w:t>
      </w:r>
      <w:proofErr w:type="spellStart"/>
      <w:r w:rsidRPr="00E56BB8">
        <w:t>Loustau</w:t>
      </w:r>
      <w:proofErr w:type="spellEnd"/>
      <w:r w:rsidRPr="00E56BB8">
        <w:t xml:space="preserve"> M (2011). Using and reporting the Delphi method for selecting quality indicators: a systematic review. </w:t>
      </w:r>
      <w:r w:rsidRPr="00E56BB8">
        <w:rPr>
          <w:i/>
        </w:rPr>
        <w:t>PLOS One</w:t>
      </w:r>
      <w:r w:rsidRPr="00E56BB8">
        <w:t xml:space="preserve">; </w:t>
      </w:r>
      <w:proofErr w:type="spellStart"/>
      <w:r w:rsidRPr="00E56BB8">
        <w:t>doi</w:t>
      </w:r>
      <w:proofErr w:type="spellEnd"/>
      <w:r w:rsidRPr="00E56BB8">
        <w:t>: 10.1371/journal.pone.0020476.</w:t>
      </w:r>
    </w:p>
    <w:p w:rsidR="00161899" w:rsidRPr="00E56BB8" w:rsidRDefault="00161899" w:rsidP="00E56BB8">
      <w:pPr>
        <w:spacing w:after="60" w:line="264" w:lineRule="auto"/>
      </w:pPr>
      <w:r w:rsidRPr="00E56BB8">
        <w:t xml:space="preserve">Bowen W (2002). An analytical review of environmental justice research: what do we really know? </w:t>
      </w:r>
      <w:r w:rsidRPr="00E56BB8">
        <w:rPr>
          <w:i/>
        </w:rPr>
        <w:t>Environmental Management</w:t>
      </w:r>
      <w:r w:rsidRPr="00E56BB8">
        <w:t>; 29(1): 3-15.</w:t>
      </w:r>
    </w:p>
    <w:p w:rsidR="00E40621" w:rsidRPr="00E56BB8" w:rsidRDefault="00E40621" w:rsidP="00E56BB8">
      <w:pPr>
        <w:spacing w:after="60" w:line="264" w:lineRule="auto"/>
      </w:pPr>
      <w:r w:rsidRPr="00E56BB8">
        <w:t xml:space="preserve">Braun V, Clarke V (2006). </w:t>
      </w:r>
      <w:proofErr w:type="gramStart"/>
      <w:r w:rsidRPr="00E56BB8">
        <w:t>Using thematic analysis in psychology.</w:t>
      </w:r>
      <w:proofErr w:type="gramEnd"/>
      <w:r w:rsidRPr="00E56BB8">
        <w:t xml:space="preserve"> </w:t>
      </w:r>
      <w:r w:rsidRPr="00E56BB8">
        <w:rPr>
          <w:i/>
        </w:rPr>
        <w:t>Qualitative Research in Psychology</w:t>
      </w:r>
      <w:r w:rsidRPr="00E56BB8">
        <w:t>; 3(2): 77-101.</w:t>
      </w:r>
    </w:p>
    <w:p w:rsidR="00940B46" w:rsidRPr="00E56BB8" w:rsidRDefault="00940B46" w:rsidP="00E56BB8">
      <w:pPr>
        <w:autoSpaceDE w:val="0"/>
        <w:autoSpaceDN w:val="0"/>
        <w:adjustRightInd w:val="0"/>
        <w:spacing w:after="60" w:line="264" w:lineRule="auto"/>
        <w:rPr>
          <w:rFonts w:cs="AdvTT378de93d"/>
        </w:rPr>
      </w:pPr>
      <w:proofErr w:type="gramStart"/>
      <w:r w:rsidRPr="00E56BB8">
        <w:rPr>
          <w:rFonts w:cs="AdvTT378de93d"/>
        </w:rPr>
        <w:t xml:space="preserve">Brunt H, Barnes J, Longhurst JWS, </w:t>
      </w:r>
      <w:proofErr w:type="spellStart"/>
      <w:r w:rsidRPr="00E56BB8">
        <w:rPr>
          <w:rFonts w:cs="AdvTT378de93d"/>
        </w:rPr>
        <w:t>Scally</w:t>
      </w:r>
      <w:proofErr w:type="spellEnd"/>
      <w:r w:rsidRPr="00E56BB8">
        <w:rPr>
          <w:rFonts w:cs="AdvTT378de93d"/>
        </w:rPr>
        <w:t xml:space="preserve"> G, Hayes E (2016</w:t>
      </w:r>
      <w:r w:rsidR="00DC4935" w:rsidRPr="00E56BB8">
        <w:rPr>
          <w:rFonts w:cs="AdvTT378de93d"/>
        </w:rPr>
        <w:t>a</w:t>
      </w:r>
      <w:r w:rsidRPr="00E56BB8">
        <w:rPr>
          <w:rFonts w:cs="AdvTT378de93d"/>
        </w:rPr>
        <w:t>).</w:t>
      </w:r>
      <w:proofErr w:type="gramEnd"/>
      <w:r w:rsidRPr="00E56BB8">
        <w:rPr>
          <w:rFonts w:cs="AdvTT378de93d"/>
        </w:rPr>
        <w:t xml:space="preserve"> Local Air Quality Management policy and practice in the UK: the case for greater Public Health integration and engagement. </w:t>
      </w:r>
      <w:r w:rsidRPr="00E56BB8">
        <w:rPr>
          <w:rFonts w:cs="AdvTTed3652b8.I"/>
          <w:i/>
        </w:rPr>
        <w:t xml:space="preserve">J </w:t>
      </w:r>
      <w:proofErr w:type="spellStart"/>
      <w:r w:rsidRPr="00E56BB8">
        <w:rPr>
          <w:rFonts w:cs="AdvTTed3652b8.I"/>
          <w:i/>
        </w:rPr>
        <w:t>Env</w:t>
      </w:r>
      <w:proofErr w:type="spellEnd"/>
      <w:r w:rsidRPr="00E56BB8">
        <w:rPr>
          <w:rFonts w:cs="AdvTTed3652b8.I"/>
          <w:i/>
        </w:rPr>
        <w:t xml:space="preserve"> </w:t>
      </w:r>
      <w:proofErr w:type="spellStart"/>
      <w:r w:rsidRPr="00E56BB8">
        <w:rPr>
          <w:rFonts w:cs="AdvTTed3652b8.I"/>
          <w:i/>
        </w:rPr>
        <w:t>Sci</w:t>
      </w:r>
      <w:proofErr w:type="spellEnd"/>
      <w:r w:rsidRPr="00E56BB8">
        <w:rPr>
          <w:rFonts w:cs="AdvTTed3652b8.I"/>
          <w:i/>
        </w:rPr>
        <w:t xml:space="preserve"> Policy</w:t>
      </w:r>
      <w:r w:rsidRPr="00E56BB8">
        <w:rPr>
          <w:rFonts w:cs="AdvTT378de93d"/>
        </w:rPr>
        <w:t xml:space="preserve">; </w:t>
      </w:r>
      <w:r w:rsidRPr="00E56BB8">
        <w:rPr>
          <w:rFonts w:cs="AdvTT345220aa.B"/>
        </w:rPr>
        <w:t>58</w:t>
      </w:r>
      <w:r w:rsidRPr="00E56BB8">
        <w:rPr>
          <w:rFonts w:cs="AdvTT378de93d"/>
        </w:rPr>
        <w:t>:52</w:t>
      </w:r>
      <w:r w:rsidRPr="00E56BB8">
        <w:rPr>
          <w:rFonts w:cs="AdvTT378de93d+20"/>
        </w:rPr>
        <w:t>–</w:t>
      </w:r>
      <w:r w:rsidRPr="00E56BB8">
        <w:rPr>
          <w:rFonts w:cs="AdvTT378de93d"/>
        </w:rPr>
        <w:t>60.</w:t>
      </w:r>
    </w:p>
    <w:p w:rsidR="00DC4935" w:rsidRPr="00E56BB8" w:rsidRDefault="00DC4935" w:rsidP="00E56BB8">
      <w:pPr>
        <w:autoSpaceDE w:val="0"/>
        <w:autoSpaceDN w:val="0"/>
        <w:adjustRightInd w:val="0"/>
        <w:spacing w:after="60" w:line="264" w:lineRule="auto"/>
        <w:rPr>
          <w:rFonts w:cs="AdvTT378de93d"/>
        </w:rPr>
      </w:pPr>
      <w:proofErr w:type="gramStart"/>
      <w:r w:rsidRPr="00E56BB8">
        <w:t xml:space="preserve">Brunt H, Barnes J, Jones SJ, Longhurst JWS, </w:t>
      </w:r>
      <w:proofErr w:type="spellStart"/>
      <w:r w:rsidRPr="00E56BB8">
        <w:t>Scally</w:t>
      </w:r>
      <w:proofErr w:type="spellEnd"/>
      <w:r w:rsidRPr="00E56BB8">
        <w:t xml:space="preserve"> G, Hayes ET (2016b).</w:t>
      </w:r>
      <w:proofErr w:type="gramEnd"/>
      <w:r w:rsidRPr="00E56BB8">
        <w:t xml:space="preserve"> Air pollution, deprivation and health: Understanding relationships to add value to local air quality management policy and practice in Wales, UK. </w:t>
      </w:r>
      <w:proofErr w:type="gramStart"/>
      <w:r w:rsidRPr="00E56BB8">
        <w:rPr>
          <w:i/>
        </w:rPr>
        <w:t>J Public Health</w:t>
      </w:r>
      <w:r w:rsidRPr="00E56BB8">
        <w:t xml:space="preserve">; </w:t>
      </w:r>
      <w:r w:rsidRPr="00E56BB8">
        <w:rPr>
          <w:rFonts w:cs="AdvTT378de93d"/>
        </w:rPr>
        <w:t>doi:10.1093/</w:t>
      </w:r>
      <w:proofErr w:type="spellStart"/>
      <w:r w:rsidRPr="00E56BB8">
        <w:rPr>
          <w:rFonts w:cs="AdvTT378de93d"/>
        </w:rPr>
        <w:t>pubmed</w:t>
      </w:r>
      <w:proofErr w:type="spellEnd"/>
      <w:r w:rsidRPr="00E56BB8">
        <w:rPr>
          <w:rFonts w:cs="AdvTT378de93d"/>
        </w:rPr>
        <w:t>/fdw084.</w:t>
      </w:r>
      <w:proofErr w:type="gramEnd"/>
    </w:p>
    <w:p w:rsidR="00010934" w:rsidRPr="00E56BB8" w:rsidRDefault="00010934" w:rsidP="00E56BB8">
      <w:pPr>
        <w:spacing w:after="60" w:line="264" w:lineRule="auto"/>
      </w:pPr>
      <w:r w:rsidRPr="00E56BB8">
        <w:t xml:space="preserve">Cochran SW (1983). The Delphi method: formulating and refining group judgments. </w:t>
      </w:r>
      <w:r w:rsidRPr="00E56BB8">
        <w:rPr>
          <w:i/>
        </w:rPr>
        <w:t>Journal of Human Sciences</w:t>
      </w:r>
      <w:r w:rsidRPr="00E56BB8">
        <w:t>; 2(2): 111-117.</w:t>
      </w:r>
    </w:p>
    <w:p w:rsidR="008B2880" w:rsidRPr="00E56BB8" w:rsidRDefault="008B2880" w:rsidP="00E56BB8">
      <w:pPr>
        <w:spacing w:after="60" w:line="264" w:lineRule="auto"/>
        <w:rPr>
          <w:i/>
        </w:rPr>
      </w:pPr>
      <w:r w:rsidRPr="00E56BB8">
        <w:t xml:space="preserve">Crisp J, Pelletier D, Duffield C </w:t>
      </w:r>
      <w:r w:rsidRPr="00E56BB8">
        <w:rPr>
          <w:i/>
        </w:rPr>
        <w:t>et al</w:t>
      </w:r>
      <w:r w:rsidRPr="00E56BB8">
        <w:t xml:space="preserve">. (1997). </w:t>
      </w:r>
      <w:proofErr w:type="gramStart"/>
      <w:r w:rsidRPr="00E56BB8">
        <w:t>The Delphi method?</w:t>
      </w:r>
      <w:proofErr w:type="gramEnd"/>
      <w:r w:rsidRPr="00E56BB8">
        <w:t xml:space="preserve"> </w:t>
      </w:r>
      <w:r w:rsidRPr="00E56BB8">
        <w:rPr>
          <w:i/>
        </w:rPr>
        <w:t>Nursing Research</w:t>
      </w:r>
      <w:r w:rsidRPr="00E56BB8">
        <w:t>; 46(2): 116-118.</w:t>
      </w:r>
    </w:p>
    <w:p w:rsidR="00BD6BCA" w:rsidRPr="00E56BB8" w:rsidRDefault="00BD6BCA" w:rsidP="00E56BB8">
      <w:pPr>
        <w:spacing w:after="60" w:line="264" w:lineRule="auto"/>
      </w:pPr>
      <w:proofErr w:type="spellStart"/>
      <w:r w:rsidRPr="00E56BB8">
        <w:t>Crutzen</w:t>
      </w:r>
      <w:proofErr w:type="spellEnd"/>
      <w:r w:rsidRPr="00E56BB8">
        <w:t xml:space="preserve"> R, de </w:t>
      </w:r>
      <w:proofErr w:type="spellStart"/>
      <w:r w:rsidRPr="00E56BB8">
        <w:t>Nooijer</w:t>
      </w:r>
      <w:proofErr w:type="spellEnd"/>
      <w:r w:rsidRPr="00E56BB8">
        <w:t xml:space="preserve"> J, </w:t>
      </w:r>
      <w:proofErr w:type="spellStart"/>
      <w:r w:rsidRPr="00E56BB8">
        <w:t>Brouwer</w:t>
      </w:r>
      <w:proofErr w:type="spellEnd"/>
      <w:r w:rsidRPr="00E56BB8">
        <w:t xml:space="preserve"> W </w:t>
      </w:r>
      <w:r w:rsidRPr="00E56BB8">
        <w:rPr>
          <w:i/>
        </w:rPr>
        <w:t>et al</w:t>
      </w:r>
      <w:r w:rsidRPr="00E56BB8">
        <w:t xml:space="preserve">. (2008). Internet-delivered interventions aimed at adolescents: a Delphi study on dissemination and exposure. </w:t>
      </w:r>
      <w:r w:rsidRPr="00E56BB8">
        <w:rPr>
          <w:i/>
        </w:rPr>
        <w:t>Health Education Research</w:t>
      </w:r>
      <w:r w:rsidRPr="00E56BB8">
        <w:t>; 23(3): 427-439.</w:t>
      </w:r>
    </w:p>
    <w:p w:rsidR="008B2880" w:rsidRPr="00E56BB8" w:rsidRDefault="008B2880" w:rsidP="00E56BB8">
      <w:pPr>
        <w:spacing w:after="60" w:line="264" w:lineRule="auto"/>
        <w:rPr>
          <w:rFonts w:cs="Lucida Sans Unicode"/>
          <w:iCs/>
        </w:rPr>
      </w:pPr>
      <w:proofErr w:type="spellStart"/>
      <w:r w:rsidRPr="00E56BB8">
        <w:rPr>
          <w:rFonts w:cs="Lucida Sans Unicode"/>
          <w:iCs/>
        </w:rPr>
        <w:t>Dajani</w:t>
      </w:r>
      <w:proofErr w:type="spellEnd"/>
      <w:r w:rsidRPr="00E56BB8">
        <w:rPr>
          <w:rFonts w:cs="Lucida Sans Unicode"/>
          <w:iCs/>
        </w:rPr>
        <w:t xml:space="preserve"> JS, </w:t>
      </w:r>
      <w:proofErr w:type="spellStart"/>
      <w:r w:rsidRPr="00E56BB8">
        <w:rPr>
          <w:rFonts w:cs="Lucida Sans Unicode"/>
          <w:iCs/>
        </w:rPr>
        <w:t>Sincoff</w:t>
      </w:r>
      <w:proofErr w:type="spellEnd"/>
      <w:r w:rsidRPr="00E56BB8">
        <w:rPr>
          <w:rFonts w:cs="Lucida Sans Unicode"/>
          <w:iCs/>
        </w:rPr>
        <w:t xml:space="preserve"> MZ, Talley WK (1979). </w:t>
      </w:r>
      <w:proofErr w:type="gramStart"/>
      <w:r w:rsidRPr="00E56BB8">
        <w:rPr>
          <w:rFonts w:cs="Lucida Sans Unicode"/>
          <w:iCs/>
        </w:rPr>
        <w:t>Stability and agreement criteria for the termination of Delphi studies.</w:t>
      </w:r>
      <w:proofErr w:type="gramEnd"/>
      <w:r w:rsidRPr="00E56BB8">
        <w:rPr>
          <w:rFonts w:cs="Lucida Sans Unicode"/>
          <w:i/>
          <w:iCs/>
        </w:rPr>
        <w:t xml:space="preserve"> Technological Forecasting and Social Change</w:t>
      </w:r>
      <w:r w:rsidRPr="00E56BB8">
        <w:rPr>
          <w:rFonts w:cs="Lucida Sans Unicode"/>
          <w:iCs/>
        </w:rPr>
        <w:t xml:space="preserve">; </w:t>
      </w:r>
      <w:proofErr w:type="gramStart"/>
      <w:r w:rsidRPr="00E56BB8">
        <w:rPr>
          <w:rFonts w:cs="Lucida Sans Unicode"/>
          <w:iCs/>
        </w:rPr>
        <w:t>13 :</w:t>
      </w:r>
      <w:proofErr w:type="gramEnd"/>
      <w:r w:rsidRPr="00E56BB8">
        <w:rPr>
          <w:rFonts w:cs="Lucida Sans Unicode"/>
          <w:iCs/>
        </w:rPr>
        <w:t xml:space="preserve"> 83-90. </w:t>
      </w:r>
    </w:p>
    <w:p w:rsidR="00540549" w:rsidRPr="00E56BB8" w:rsidRDefault="00540549" w:rsidP="00E56BB8">
      <w:pPr>
        <w:spacing w:after="60" w:line="264" w:lineRule="auto"/>
        <w:rPr>
          <w:rFonts w:cs="Arial"/>
        </w:rPr>
      </w:pPr>
      <w:proofErr w:type="spellStart"/>
      <w:r w:rsidRPr="00E56BB8">
        <w:rPr>
          <w:rFonts w:cs="Arial"/>
        </w:rPr>
        <w:lastRenderedPageBreak/>
        <w:t>Dalkey</w:t>
      </w:r>
      <w:proofErr w:type="spellEnd"/>
      <w:r w:rsidRPr="00E56BB8">
        <w:rPr>
          <w:rFonts w:cs="Arial"/>
        </w:rPr>
        <w:t xml:space="preserve"> N, </w:t>
      </w:r>
      <w:proofErr w:type="spellStart"/>
      <w:r w:rsidRPr="00E56BB8">
        <w:rPr>
          <w:rFonts w:cs="Arial"/>
        </w:rPr>
        <w:t>Helmer</w:t>
      </w:r>
      <w:proofErr w:type="spellEnd"/>
      <w:r w:rsidRPr="00E56BB8">
        <w:rPr>
          <w:rFonts w:cs="Arial"/>
        </w:rPr>
        <w:t xml:space="preserve"> O (1963). Delphi technique: characteristics and sequence model to the use of experts. </w:t>
      </w:r>
      <w:r w:rsidRPr="00E56BB8">
        <w:rPr>
          <w:rFonts w:cs="Arial"/>
          <w:i/>
        </w:rPr>
        <w:t>Management Science</w:t>
      </w:r>
      <w:r w:rsidRPr="00E56BB8">
        <w:rPr>
          <w:rFonts w:cs="Arial"/>
        </w:rPr>
        <w:t>; 9(3): 458-467.</w:t>
      </w:r>
    </w:p>
    <w:p w:rsidR="00540549" w:rsidRPr="00E56BB8" w:rsidRDefault="00540549" w:rsidP="00E56BB8">
      <w:pPr>
        <w:autoSpaceDE w:val="0"/>
        <w:autoSpaceDN w:val="0"/>
        <w:adjustRightInd w:val="0"/>
        <w:spacing w:after="60" w:line="264" w:lineRule="auto"/>
        <w:rPr>
          <w:rFonts w:cs="FrutigerLTStd-Light"/>
        </w:rPr>
      </w:pPr>
      <w:r w:rsidRPr="00E56BB8">
        <w:rPr>
          <w:rFonts w:cs="FrutigerLTStd-Light"/>
        </w:rPr>
        <w:t xml:space="preserve">Day J, </w:t>
      </w:r>
      <w:proofErr w:type="spellStart"/>
      <w:r w:rsidRPr="00E56BB8">
        <w:rPr>
          <w:rFonts w:cs="FrutigerLTStd-Light"/>
        </w:rPr>
        <w:t>Bobeva</w:t>
      </w:r>
      <w:proofErr w:type="spellEnd"/>
      <w:r w:rsidRPr="00E56BB8">
        <w:rPr>
          <w:rFonts w:cs="FrutigerLTStd-Light"/>
        </w:rPr>
        <w:t xml:space="preserve"> M (2005). </w:t>
      </w:r>
      <w:proofErr w:type="gramStart"/>
      <w:r w:rsidRPr="00E56BB8">
        <w:rPr>
          <w:rFonts w:cs="FrutigerLTStd-Light"/>
        </w:rPr>
        <w:t>A generic toolkit for the successful management of Delphi studies.</w:t>
      </w:r>
      <w:proofErr w:type="gramEnd"/>
      <w:r w:rsidRPr="00E56BB8">
        <w:rPr>
          <w:rFonts w:cs="FrutigerLTStd-Light"/>
        </w:rPr>
        <w:t xml:space="preserve"> </w:t>
      </w:r>
      <w:r w:rsidRPr="00E56BB8">
        <w:rPr>
          <w:rFonts w:cs="FrutigerLTStd-Light"/>
          <w:i/>
        </w:rPr>
        <w:t>The Electronic Journal of Business Research Methodology</w:t>
      </w:r>
      <w:r w:rsidRPr="00E56BB8">
        <w:rPr>
          <w:rFonts w:cs="FrutigerLTStd-Light"/>
        </w:rPr>
        <w:t>; 3(2): 103-116.</w:t>
      </w:r>
    </w:p>
    <w:p w:rsidR="00540549" w:rsidRPr="00E56BB8" w:rsidRDefault="00540549" w:rsidP="00E56BB8">
      <w:pPr>
        <w:autoSpaceDE w:val="0"/>
        <w:autoSpaceDN w:val="0"/>
        <w:adjustRightInd w:val="0"/>
        <w:spacing w:after="60" w:line="264" w:lineRule="auto"/>
        <w:rPr>
          <w:rFonts w:cs="Lucida Sans Unicode"/>
          <w:iCs/>
        </w:rPr>
      </w:pPr>
      <w:r w:rsidRPr="00E56BB8">
        <w:rPr>
          <w:rFonts w:cs="Lucida Sans Unicode"/>
          <w:iCs/>
        </w:rPr>
        <w:t xml:space="preserve">De </w:t>
      </w:r>
      <w:proofErr w:type="spellStart"/>
      <w:r w:rsidRPr="00E56BB8">
        <w:rPr>
          <w:rFonts w:cs="Lucida Sans Unicode"/>
          <w:iCs/>
        </w:rPr>
        <w:t>Meyrick</w:t>
      </w:r>
      <w:proofErr w:type="spellEnd"/>
      <w:r w:rsidRPr="00E56BB8">
        <w:rPr>
          <w:rFonts w:cs="Lucida Sans Unicode"/>
          <w:iCs/>
        </w:rPr>
        <w:t xml:space="preserve"> J (2003). </w:t>
      </w:r>
      <w:proofErr w:type="gramStart"/>
      <w:r w:rsidRPr="00E56BB8">
        <w:rPr>
          <w:rFonts w:cs="Lucida Sans Unicode"/>
          <w:iCs/>
        </w:rPr>
        <w:t>The Delphi method and health research.</w:t>
      </w:r>
      <w:proofErr w:type="gramEnd"/>
      <w:r w:rsidRPr="00E56BB8">
        <w:rPr>
          <w:rFonts w:cs="Lucida Sans Unicode"/>
          <w:iCs/>
        </w:rPr>
        <w:t xml:space="preserve"> </w:t>
      </w:r>
      <w:r w:rsidRPr="00E56BB8">
        <w:rPr>
          <w:rFonts w:cs="Lucida Sans Unicode"/>
          <w:i/>
          <w:iCs/>
        </w:rPr>
        <w:t>Health Education Research</w:t>
      </w:r>
      <w:r w:rsidRPr="00E56BB8">
        <w:rPr>
          <w:rFonts w:cs="Lucida Sans Unicode"/>
          <w:iCs/>
        </w:rPr>
        <w:t>; 103(1): 7-16.</w:t>
      </w:r>
    </w:p>
    <w:p w:rsidR="00746B22" w:rsidRPr="00E56BB8" w:rsidRDefault="00746B22" w:rsidP="00E56BB8">
      <w:pPr>
        <w:spacing w:after="60" w:line="264" w:lineRule="auto"/>
      </w:pPr>
      <w:r w:rsidRPr="00E56BB8">
        <w:t xml:space="preserve">De Vet EJ, </w:t>
      </w:r>
      <w:proofErr w:type="spellStart"/>
      <w:r w:rsidRPr="00E56BB8">
        <w:t>Brug</w:t>
      </w:r>
      <w:proofErr w:type="spellEnd"/>
      <w:r w:rsidRPr="00E56BB8">
        <w:t xml:space="preserve"> J, De </w:t>
      </w:r>
      <w:proofErr w:type="spellStart"/>
      <w:r w:rsidRPr="00E56BB8">
        <w:t>Nooijer</w:t>
      </w:r>
      <w:proofErr w:type="spellEnd"/>
      <w:r w:rsidRPr="00E56BB8">
        <w:t xml:space="preserve"> J, </w:t>
      </w:r>
      <w:proofErr w:type="spellStart"/>
      <w:r w:rsidRPr="00E56BB8">
        <w:t>Dijkstra</w:t>
      </w:r>
      <w:proofErr w:type="spellEnd"/>
      <w:r w:rsidRPr="00E56BB8">
        <w:t xml:space="preserve"> A, De </w:t>
      </w:r>
      <w:proofErr w:type="spellStart"/>
      <w:r w:rsidRPr="00E56BB8">
        <w:t>Vries</w:t>
      </w:r>
      <w:proofErr w:type="spellEnd"/>
      <w:r w:rsidRPr="00E56BB8">
        <w:t xml:space="preserve"> NK (2005). Determinants of forward stage transitions: a Delphi study. </w:t>
      </w:r>
      <w:r w:rsidRPr="00E56BB8">
        <w:rPr>
          <w:i/>
        </w:rPr>
        <w:t>Health Education Research</w:t>
      </w:r>
      <w:r w:rsidRPr="00E56BB8">
        <w:t xml:space="preserve">; 20(2): 195-205. </w:t>
      </w:r>
    </w:p>
    <w:p w:rsidR="00E40621" w:rsidRPr="00E56BB8" w:rsidRDefault="00E40621" w:rsidP="00E56BB8">
      <w:pPr>
        <w:spacing w:after="60" w:line="264" w:lineRule="auto"/>
      </w:pPr>
      <w:proofErr w:type="spellStart"/>
      <w:r w:rsidRPr="00E56BB8">
        <w:t>Denscombe</w:t>
      </w:r>
      <w:proofErr w:type="spellEnd"/>
      <w:r w:rsidRPr="00E56BB8">
        <w:t xml:space="preserve"> M (2003). </w:t>
      </w:r>
      <w:r w:rsidRPr="00E56BB8">
        <w:rPr>
          <w:i/>
        </w:rPr>
        <w:t>The good research guide for small scale research projects (2</w:t>
      </w:r>
      <w:r w:rsidRPr="00E56BB8">
        <w:rPr>
          <w:i/>
          <w:vertAlign w:val="superscript"/>
        </w:rPr>
        <w:t>nd</w:t>
      </w:r>
      <w:r w:rsidRPr="00E56BB8">
        <w:rPr>
          <w:i/>
        </w:rPr>
        <w:t xml:space="preserve"> edition)</w:t>
      </w:r>
      <w:r w:rsidRPr="00E56BB8">
        <w:t>. Open University Press: Buckingham, UK.</w:t>
      </w:r>
    </w:p>
    <w:p w:rsidR="009D317A" w:rsidRPr="00E56BB8" w:rsidRDefault="009D317A" w:rsidP="00E56BB8">
      <w:pPr>
        <w:autoSpaceDE w:val="0"/>
        <w:autoSpaceDN w:val="0"/>
        <w:adjustRightInd w:val="0"/>
        <w:spacing w:after="60" w:line="264" w:lineRule="auto"/>
        <w:rPr>
          <w:rFonts w:cs="FrutigerLTStd-Light"/>
        </w:rPr>
      </w:pPr>
      <w:proofErr w:type="gramStart"/>
      <w:r w:rsidRPr="00E56BB8">
        <w:t xml:space="preserve">Department for Environment, Food and Rural Affairs </w:t>
      </w:r>
      <w:r w:rsidRPr="00E56BB8">
        <w:rPr>
          <w:rFonts w:cs="Lucida Sans Unicode"/>
          <w:iCs/>
        </w:rPr>
        <w:t>(2007).</w:t>
      </w:r>
      <w:proofErr w:type="gramEnd"/>
      <w:r w:rsidRPr="00E56BB8">
        <w:rPr>
          <w:rFonts w:cs="Lucida Sans Unicode"/>
          <w:iCs/>
        </w:rPr>
        <w:t xml:space="preserve"> </w:t>
      </w:r>
      <w:proofErr w:type="gramStart"/>
      <w:r w:rsidRPr="00E56BB8">
        <w:rPr>
          <w:rFonts w:cs="FrutigerLTStd-Light"/>
          <w:i/>
        </w:rPr>
        <w:t>The Air Quality Strategy for England, Scotland, Wales and Northern Ireland (volumes 1 and 2)</w:t>
      </w:r>
      <w:r w:rsidRPr="00E56BB8">
        <w:rPr>
          <w:rFonts w:cs="FrutigerLTStd-Light"/>
        </w:rPr>
        <w:t>.</w:t>
      </w:r>
      <w:proofErr w:type="gramEnd"/>
      <w:r w:rsidRPr="00E56BB8">
        <w:rPr>
          <w:rFonts w:cs="FrutigerLTStd-Light"/>
        </w:rPr>
        <w:t xml:space="preserve"> Defra: London, UK.</w:t>
      </w:r>
    </w:p>
    <w:p w:rsidR="00540549" w:rsidRPr="00E56BB8" w:rsidRDefault="00540549" w:rsidP="00E56BB8">
      <w:pPr>
        <w:spacing w:after="60" w:line="264" w:lineRule="auto"/>
      </w:pPr>
      <w:r w:rsidRPr="00E56BB8">
        <w:t xml:space="preserve">Devenish G, Pollard C, Kerr D (2012). </w:t>
      </w:r>
      <w:r w:rsidRPr="00E56BB8">
        <w:rPr>
          <w:i/>
        </w:rPr>
        <w:t>The Delphi process for public health policy development: five things you need to know.</w:t>
      </w:r>
      <w:r w:rsidRPr="00E56BB8">
        <w:t xml:space="preserve"> Curtin University: Australia.</w:t>
      </w:r>
    </w:p>
    <w:p w:rsidR="003B021C" w:rsidRPr="00E56BB8" w:rsidRDefault="003B021C" w:rsidP="00E56BB8">
      <w:pPr>
        <w:shd w:val="clear" w:color="auto" w:fill="FFFFFF"/>
        <w:spacing w:after="60" w:line="264" w:lineRule="auto"/>
        <w:rPr>
          <w:rFonts w:eastAsia="Times New Roman" w:cs="Arial"/>
        </w:rPr>
      </w:pPr>
      <w:r w:rsidRPr="00E56BB8">
        <w:rPr>
          <w:rFonts w:eastAsia="Times New Roman" w:cs="Arial"/>
        </w:rPr>
        <w:t xml:space="preserve">Dubois RW, Graff JS (2011). Setting priorities for comparative effectiveness research: from assessing public health benefits to being open with the public. </w:t>
      </w:r>
      <w:r w:rsidRPr="00E56BB8">
        <w:rPr>
          <w:rFonts w:eastAsia="Times New Roman" w:cs="Arial"/>
          <w:i/>
        </w:rPr>
        <w:t>Health Affairs</w:t>
      </w:r>
      <w:r w:rsidRPr="00E56BB8">
        <w:rPr>
          <w:rFonts w:eastAsia="Times New Roman" w:cs="Arial"/>
        </w:rPr>
        <w:t>; 30(12): 2235-2242.</w:t>
      </w:r>
    </w:p>
    <w:p w:rsidR="00161899" w:rsidRPr="00E56BB8" w:rsidRDefault="00161899" w:rsidP="00E56BB8">
      <w:pPr>
        <w:shd w:val="clear" w:color="auto" w:fill="FFFFFF"/>
        <w:spacing w:after="60" w:line="264" w:lineRule="auto"/>
        <w:rPr>
          <w:rFonts w:eastAsia="Times New Roman" w:cs="Arial"/>
        </w:rPr>
      </w:pPr>
      <w:proofErr w:type="spellStart"/>
      <w:r w:rsidRPr="00E56BB8">
        <w:rPr>
          <w:rFonts w:eastAsia="Times New Roman" w:cs="Arial"/>
        </w:rPr>
        <w:t>Everard</w:t>
      </w:r>
      <w:proofErr w:type="spellEnd"/>
      <w:r w:rsidRPr="00E56BB8">
        <w:rPr>
          <w:rFonts w:eastAsia="Times New Roman" w:cs="Arial"/>
        </w:rPr>
        <w:t xml:space="preserve"> M, </w:t>
      </w:r>
      <w:proofErr w:type="spellStart"/>
      <w:r w:rsidRPr="00E56BB8">
        <w:rPr>
          <w:rFonts w:eastAsia="Times New Roman" w:cs="Arial"/>
        </w:rPr>
        <w:t>Pontin</w:t>
      </w:r>
      <w:proofErr w:type="spellEnd"/>
      <w:r w:rsidRPr="00E56BB8">
        <w:rPr>
          <w:rFonts w:eastAsia="Times New Roman" w:cs="Arial"/>
        </w:rPr>
        <w:t xml:space="preserve"> B, Appleby T </w:t>
      </w:r>
      <w:r w:rsidRPr="00E56BB8">
        <w:rPr>
          <w:rFonts w:eastAsia="Times New Roman" w:cs="Arial"/>
          <w:i/>
        </w:rPr>
        <w:t>et al</w:t>
      </w:r>
      <w:r w:rsidRPr="00E56BB8">
        <w:rPr>
          <w:rFonts w:eastAsia="Times New Roman" w:cs="Arial"/>
        </w:rPr>
        <w:t xml:space="preserve">. (2013). </w:t>
      </w:r>
      <w:proofErr w:type="gramStart"/>
      <w:r w:rsidRPr="00E56BB8">
        <w:rPr>
          <w:rFonts w:eastAsia="Times New Roman" w:cs="Arial"/>
        </w:rPr>
        <w:t>Air as a Common Good.</w:t>
      </w:r>
      <w:proofErr w:type="gramEnd"/>
      <w:r w:rsidRPr="00E56BB8">
        <w:rPr>
          <w:rFonts w:eastAsia="Times New Roman" w:cs="Arial"/>
        </w:rPr>
        <w:t xml:space="preserve"> </w:t>
      </w:r>
      <w:proofErr w:type="spellStart"/>
      <w:proofErr w:type="gramStart"/>
      <w:r w:rsidRPr="00E56BB8">
        <w:rPr>
          <w:rFonts w:eastAsia="Times New Roman" w:cs="Arial"/>
          <w:i/>
        </w:rPr>
        <w:t>Env</w:t>
      </w:r>
      <w:proofErr w:type="spellEnd"/>
      <w:r w:rsidRPr="00E56BB8">
        <w:rPr>
          <w:rFonts w:eastAsia="Times New Roman" w:cs="Arial"/>
          <w:i/>
        </w:rPr>
        <w:t xml:space="preserve"> </w:t>
      </w:r>
      <w:proofErr w:type="spellStart"/>
      <w:r w:rsidRPr="00E56BB8">
        <w:rPr>
          <w:rFonts w:eastAsia="Times New Roman" w:cs="Arial"/>
          <w:i/>
        </w:rPr>
        <w:t>Sci</w:t>
      </w:r>
      <w:proofErr w:type="spellEnd"/>
      <w:r w:rsidRPr="00E56BB8">
        <w:rPr>
          <w:rFonts w:eastAsia="Times New Roman" w:cs="Arial"/>
          <w:i/>
        </w:rPr>
        <w:t xml:space="preserve"> and Policy</w:t>
      </w:r>
      <w:r w:rsidRPr="00E56BB8">
        <w:rPr>
          <w:rFonts w:eastAsia="Times New Roman" w:cs="Arial"/>
        </w:rPr>
        <w:t>; 33: 354-368.</w:t>
      </w:r>
      <w:proofErr w:type="gramEnd"/>
    </w:p>
    <w:p w:rsidR="00E56BB8" w:rsidRPr="00E56BB8" w:rsidRDefault="00E56BB8" w:rsidP="00E56BB8">
      <w:pPr>
        <w:shd w:val="clear" w:color="auto" w:fill="FFFFFF"/>
        <w:spacing w:after="60" w:line="264" w:lineRule="auto"/>
        <w:rPr>
          <w:rFonts w:eastAsia="Times New Roman" w:cs="Arial"/>
        </w:rPr>
      </w:pPr>
      <w:r w:rsidRPr="00E56BB8">
        <w:rPr>
          <w:rFonts w:eastAsia="Times New Roman" w:cs="Arial"/>
        </w:rPr>
        <w:t xml:space="preserve">Fade SA, Swift JA (2011). Qualitative research in nutrition and dietetics: data analysis issues. </w:t>
      </w:r>
      <w:r w:rsidRPr="00E56BB8">
        <w:rPr>
          <w:rFonts w:eastAsia="Times New Roman" w:cs="Arial"/>
          <w:i/>
        </w:rPr>
        <w:t>Journal of Human Nutrition and Dietetics</w:t>
      </w:r>
      <w:r w:rsidRPr="00E56BB8">
        <w:rPr>
          <w:rFonts w:eastAsia="Times New Roman" w:cs="Arial"/>
        </w:rPr>
        <w:t>; 24(2): 106-114.</w:t>
      </w:r>
    </w:p>
    <w:p w:rsidR="00BD6BCA" w:rsidRPr="00E56BB8" w:rsidRDefault="00BD6BCA" w:rsidP="00E56BB8">
      <w:pPr>
        <w:shd w:val="clear" w:color="auto" w:fill="FFFFFF"/>
        <w:spacing w:after="60" w:line="264" w:lineRule="auto"/>
        <w:rPr>
          <w:rFonts w:eastAsia="Times New Roman" w:cs="Arial"/>
        </w:rPr>
      </w:pPr>
      <w:proofErr w:type="spellStart"/>
      <w:r w:rsidRPr="00E56BB8">
        <w:rPr>
          <w:rFonts w:eastAsia="Times New Roman" w:cs="Arial"/>
        </w:rPr>
        <w:t>Frewer</w:t>
      </w:r>
      <w:proofErr w:type="spellEnd"/>
      <w:r w:rsidRPr="00E56BB8">
        <w:rPr>
          <w:rFonts w:eastAsia="Times New Roman" w:cs="Arial"/>
        </w:rPr>
        <w:t xml:space="preserve"> LJ, Fischer ARH, </w:t>
      </w:r>
      <w:proofErr w:type="spellStart"/>
      <w:r w:rsidRPr="00E56BB8">
        <w:rPr>
          <w:rFonts w:eastAsia="Times New Roman" w:cs="Arial"/>
        </w:rPr>
        <w:t>Wentholt</w:t>
      </w:r>
      <w:proofErr w:type="spellEnd"/>
      <w:r w:rsidRPr="00E56BB8">
        <w:rPr>
          <w:rFonts w:eastAsia="Times New Roman" w:cs="Arial"/>
        </w:rPr>
        <w:t xml:space="preserve"> MTA </w:t>
      </w:r>
      <w:r w:rsidRPr="00E56BB8">
        <w:rPr>
          <w:rFonts w:eastAsia="Times New Roman" w:cs="Arial"/>
          <w:i/>
        </w:rPr>
        <w:t>et al</w:t>
      </w:r>
      <w:r w:rsidRPr="00E56BB8">
        <w:rPr>
          <w:rFonts w:eastAsia="Times New Roman" w:cs="Arial"/>
        </w:rPr>
        <w:t xml:space="preserve">. (2011). The use of Delphi methodology in </w:t>
      </w:r>
      <w:proofErr w:type="spellStart"/>
      <w:r w:rsidRPr="00E56BB8">
        <w:rPr>
          <w:rFonts w:eastAsia="Times New Roman" w:cs="Arial"/>
        </w:rPr>
        <w:t>agrifood</w:t>
      </w:r>
      <w:proofErr w:type="spellEnd"/>
      <w:r w:rsidRPr="00E56BB8">
        <w:rPr>
          <w:rFonts w:eastAsia="Times New Roman" w:cs="Arial"/>
        </w:rPr>
        <w:t xml:space="preserve"> policy development: some lessons learned. </w:t>
      </w:r>
      <w:proofErr w:type="gramStart"/>
      <w:r w:rsidRPr="00E56BB8">
        <w:rPr>
          <w:rFonts w:eastAsia="Times New Roman" w:cs="Arial"/>
          <w:i/>
        </w:rPr>
        <w:t>Technological Forecasting and Social Change</w:t>
      </w:r>
      <w:r w:rsidRPr="00E56BB8">
        <w:rPr>
          <w:rFonts w:eastAsia="Times New Roman" w:cs="Arial"/>
        </w:rPr>
        <w:t>; 78: 1514-1525.</w:t>
      </w:r>
      <w:proofErr w:type="gramEnd"/>
    </w:p>
    <w:p w:rsidR="002D6C44" w:rsidRPr="00E56BB8" w:rsidRDefault="002D6C44" w:rsidP="00E56BB8">
      <w:pPr>
        <w:shd w:val="clear" w:color="auto" w:fill="FFFFFF"/>
        <w:spacing w:after="60" w:line="264" w:lineRule="auto"/>
        <w:rPr>
          <w:rFonts w:eastAsia="Times New Roman" w:cs="Arial"/>
        </w:rPr>
      </w:pPr>
      <w:proofErr w:type="spellStart"/>
      <w:r w:rsidRPr="00E56BB8">
        <w:rPr>
          <w:rFonts w:eastAsia="Times New Roman" w:cs="Arial"/>
        </w:rPr>
        <w:t>Gijsbers</w:t>
      </w:r>
      <w:proofErr w:type="spellEnd"/>
      <w:r w:rsidRPr="00E56BB8">
        <w:rPr>
          <w:rFonts w:eastAsia="Times New Roman" w:cs="Arial"/>
        </w:rPr>
        <w:t xml:space="preserve"> HJH, </w:t>
      </w:r>
      <w:proofErr w:type="spellStart"/>
      <w:r w:rsidRPr="00E56BB8">
        <w:rPr>
          <w:rFonts w:eastAsia="Times New Roman" w:cs="Arial"/>
        </w:rPr>
        <w:t>Lauret</w:t>
      </w:r>
      <w:proofErr w:type="spellEnd"/>
      <w:r w:rsidRPr="00E56BB8">
        <w:rPr>
          <w:rFonts w:eastAsia="Times New Roman" w:cs="Arial"/>
        </w:rPr>
        <w:t xml:space="preserve"> GJ, van </w:t>
      </w:r>
      <w:proofErr w:type="spellStart"/>
      <w:r w:rsidRPr="00E56BB8">
        <w:rPr>
          <w:rFonts w:eastAsia="Times New Roman" w:cs="Arial"/>
        </w:rPr>
        <w:t>Hofwegen</w:t>
      </w:r>
      <w:proofErr w:type="spellEnd"/>
      <w:r w:rsidRPr="00E56BB8">
        <w:rPr>
          <w:rFonts w:eastAsia="Times New Roman" w:cs="Arial"/>
        </w:rPr>
        <w:t xml:space="preserve"> A (2016). Development of quality indicators for physiotherapy for patients with PAOD in the Netherlands: a Delphi study. </w:t>
      </w:r>
      <w:r w:rsidRPr="00E56BB8">
        <w:rPr>
          <w:rFonts w:eastAsia="Times New Roman" w:cs="Arial"/>
          <w:i/>
        </w:rPr>
        <w:t>Physiotherapy</w:t>
      </w:r>
      <w:r w:rsidRPr="00E56BB8">
        <w:rPr>
          <w:rFonts w:eastAsia="Times New Roman" w:cs="Arial"/>
        </w:rPr>
        <w:t>; 102(2): 196-201.</w:t>
      </w:r>
    </w:p>
    <w:p w:rsidR="00E40621" w:rsidRPr="00E56BB8" w:rsidRDefault="00E40621" w:rsidP="00E56BB8">
      <w:pPr>
        <w:spacing w:after="60" w:line="264" w:lineRule="auto"/>
      </w:pPr>
      <w:r w:rsidRPr="00E56BB8">
        <w:t xml:space="preserve">Glaser BG, Strauss AL (1967). </w:t>
      </w:r>
      <w:r w:rsidRPr="00E56BB8">
        <w:rPr>
          <w:i/>
        </w:rPr>
        <w:t>The discovery of grounded theory: strategies for qualitative research</w:t>
      </w:r>
      <w:r w:rsidRPr="00E56BB8">
        <w:t>. Aldine: Chicago, IL, US.</w:t>
      </w:r>
    </w:p>
    <w:p w:rsidR="008B70F0" w:rsidRPr="00E56BB8" w:rsidRDefault="008B70F0" w:rsidP="00E56BB8">
      <w:pPr>
        <w:spacing w:after="60" w:line="264" w:lineRule="auto"/>
        <w:rPr>
          <w:rFonts w:cs="Arial"/>
        </w:rPr>
      </w:pPr>
      <w:r w:rsidRPr="00E56BB8">
        <w:rPr>
          <w:rFonts w:cs="Arial"/>
        </w:rPr>
        <w:t xml:space="preserve">Gordon TJ (2003). </w:t>
      </w:r>
      <w:proofErr w:type="gramStart"/>
      <w:r w:rsidRPr="00E56BB8">
        <w:rPr>
          <w:rFonts w:cs="Arial"/>
          <w:i/>
        </w:rPr>
        <w:t>The Delphi method</w:t>
      </w:r>
      <w:r w:rsidRPr="00E56BB8">
        <w:rPr>
          <w:rFonts w:cs="Arial"/>
        </w:rPr>
        <w:t>.</w:t>
      </w:r>
      <w:proofErr w:type="gramEnd"/>
      <w:r w:rsidRPr="00E56BB8">
        <w:rPr>
          <w:rFonts w:cs="Arial"/>
        </w:rPr>
        <w:t xml:space="preserve"> In: JC Glenn, TJ Gordon (Eds.) Futures Research Methodology v 2.0. American Council for the United Nations University: Washington, US. </w:t>
      </w:r>
    </w:p>
    <w:p w:rsidR="003B021C" w:rsidRPr="00E56BB8" w:rsidRDefault="003B021C" w:rsidP="00E56BB8">
      <w:pPr>
        <w:spacing w:after="60" w:line="264" w:lineRule="auto"/>
      </w:pPr>
      <w:r w:rsidRPr="00E56BB8">
        <w:t xml:space="preserve">Graham B, </w:t>
      </w:r>
      <w:proofErr w:type="spellStart"/>
      <w:r w:rsidRPr="00E56BB8">
        <w:t>Regehr</w:t>
      </w:r>
      <w:proofErr w:type="spellEnd"/>
      <w:r w:rsidRPr="00E56BB8">
        <w:t xml:space="preserve"> G, Wright JG (2003). </w:t>
      </w:r>
      <w:proofErr w:type="gramStart"/>
      <w:r w:rsidRPr="00E56BB8">
        <w:t>Delphi as a method to establish consensus for diagnostic criteria.</w:t>
      </w:r>
      <w:proofErr w:type="gramEnd"/>
      <w:r w:rsidRPr="00E56BB8">
        <w:t xml:space="preserve"> </w:t>
      </w:r>
      <w:r w:rsidRPr="00E56BB8">
        <w:rPr>
          <w:i/>
        </w:rPr>
        <w:t>Journal of Clinical Epidemiology</w:t>
      </w:r>
      <w:r w:rsidRPr="00E56BB8">
        <w:t>; 56: 1150-1156.</w:t>
      </w:r>
    </w:p>
    <w:p w:rsidR="00BD6BCA" w:rsidRPr="0042085B" w:rsidRDefault="00BD6BCA" w:rsidP="00E56BB8">
      <w:pPr>
        <w:spacing w:after="60" w:line="264" w:lineRule="auto"/>
      </w:pPr>
      <w:r w:rsidRPr="00E56BB8">
        <w:t xml:space="preserve">Green B, Jones M, Hughes D, Williams A (1999). </w:t>
      </w:r>
      <w:proofErr w:type="gramStart"/>
      <w:r w:rsidRPr="00E56BB8">
        <w:t xml:space="preserve">Applying the Delphi technique in a study of GPs information </w:t>
      </w:r>
      <w:r w:rsidRPr="0042085B">
        <w:t>requirement.</w:t>
      </w:r>
      <w:proofErr w:type="gramEnd"/>
      <w:r w:rsidRPr="0042085B">
        <w:t xml:space="preserve"> </w:t>
      </w:r>
      <w:r w:rsidRPr="0042085B">
        <w:rPr>
          <w:i/>
        </w:rPr>
        <w:t>Health and Social Care in the Community</w:t>
      </w:r>
      <w:r w:rsidRPr="0042085B">
        <w:t>; 7(3): 198-205.</w:t>
      </w:r>
    </w:p>
    <w:p w:rsidR="00161899" w:rsidRPr="0042085B" w:rsidRDefault="00161899" w:rsidP="00E56BB8">
      <w:pPr>
        <w:spacing w:after="60" w:line="264" w:lineRule="auto"/>
        <w:rPr>
          <w:rFonts w:cs="Arial"/>
          <w:bCs/>
        </w:rPr>
      </w:pPr>
      <w:r w:rsidRPr="0042085B">
        <w:rPr>
          <w:rFonts w:cs="Arial"/>
          <w:bCs/>
        </w:rPr>
        <w:t xml:space="preserve">Hayes E, Chatterton T, </w:t>
      </w:r>
      <w:proofErr w:type="spellStart"/>
      <w:r w:rsidRPr="0042085B">
        <w:rPr>
          <w:rFonts w:cs="Arial"/>
          <w:bCs/>
        </w:rPr>
        <w:t>Laxen</w:t>
      </w:r>
      <w:proofErr w:type="spellEnd"/>
      <w:r w:rsidRPr="0042085B">
        <w:rPr>
          <w:rFonts w:cs="Arial"/>
          <w:bCs/>
        </w:rPr>
        <w:t xml:space="preserve"> D (2009). </w:t>
      </w:r>
      <w:r w:rsidRPr="0042085B">
        <w:rPr>
          <w:rFonts w:cs="Arial"/>
          <w:bCs/>
          <w:i/>
        </w:rPr>
        <w:t>Questionnaire survey of UK Local Authorities on the Local Air Quality Management Process</w:t>
      </w:r>
      <w:r w:rsidRPr="0042085B">
        <w:rPr>
          <w:rFonts w:cs="Arial"/>
          <w:bCs/>
        </w:rPr>
        <w:t>. UWE/AQC: Bristol, UK.</w:t>
      </w:r>
    </w:p>
    <w:p w:rsidR="0042085B" w:rsidRPr="0042085B" w:rsidRDefault="0042085B" w:rsidP="00E56BB8">
      <w:pPr>
        <w:spacing w:after="60" w:line="264" w:lineRule="auto"/>
        <w:rPr>
          <w:rFonts w:cs="Arial"/>
          <w:bCs/>
        </w:rPr>
      </w:pPr>
      <w:proofErr w:type="gramStart"/>
      <w:r w:rsidRPr="0042085B">
        <w:rPr>
          <w:rFonts w:cs="Arial"/>
          <w:bCs/>
        </w:rPr>
        <w:t>HM Government (1995).</w:t>
      </w:r>
      <w:proofErr w:type="gramEnd"/>
      <w:r w:rsidRPr="0042085B">
        <w:rPr>
          <w:rFonts w:cs="Arial"/>
          <w:bCs/>
        </w:rPr>
        <w:t xml:space="preserve"> </w:t>
      </w:r>
      <w:proofErr w:type="gramStart"/>
      <w:r w:rsidRPr="0042085B">
        <w:rPr>
          <w:i/>
        </w:rPr>
        <w:t>Environment Act 1995, Chapter 25 (Part IV)</w:t>
      </w:r>
      <w:r>
        <w:t>.</w:t>
      </w:r>
      <w:proofErr w:type="gramEnd"/>
      <w:r>
        <w:t xml:space="preserve"> HMSO: </w:t>
      </w:r>
      <w:r w:rsidRPr="0042085B">
        <w:t>London</w:t>
      </w:r>
      <w:r>
        <w:t>, UK</w:t>
      </w:r>
      <w:r w:rsidRPr="0042085B">
        <w:t>.</w:t>
      </w:r>
    </w:p>
    <w:p w:rsidR="00BD6BCA" w:rsidRPr="00E56BB8" w:rsidRDefault="00BD6BCA" w:rsidP="00E56BB8">
      <w:pPr>
        <w:spacing w:after="60" w:line="264" w:lineRule="auto"/>
        <w:rPr>
          <w:rFonts w:eastAsia="Times New Roman"/>
        </w:rPr>
      </w:pPr>
      <w:proofErr w:type="spellStart"/>
      <w:r w:rsidRPr="0042085B">
        <w:rPr>
          <w:rFonts w:eastAsia="Times New Roman"/>
        </w:rPr>
        <w:t>Hsueh</w:t>
      </w:r>
      <w:proofErr w:type="spellEnd"/>
      <w:r w:rsidRPr="0042085B">
        <w:rPr>
          <w:rFonts w:eastAsia="Times New Roman"/>
        </w:rPr>
        <w:t xml:space="preserve"> SL (2015). </w:t>
      </w:r>
      <w:proofErr w:type="gramStart"/>
      <w:r w:rsidRPr="0042085B">
        <w:rPr>
          <w:rFonts w:eastAsia="Times New Roman"/>
        </w:rPr>
        <w:t>Assessing the effectiveness of community-promoted environmental protection policy by using a Delphi</w:t>
      </w:r>
      <w:r w:rsidRPr="00E56BB8">
        <w:rPr>
          <w:rFonts w:eastAsia="Times New Roman"/>
        </w:rPr>
        <w:t xml:space="preserve">-fuzzy method: a case study on solar power and plain </w:t>
      </w:r>
      <w:proofErr w:type="spellStart"/>
      <w:r w:rsidRPr="00E56BB8">
        <w:rPr>
          <w:rFonts w:eastAsia="Times New Roman"/>
        </w:rPr>
        <w:t>afforestation</w:t>
      </w:r>
      <w:proofErr w:type="spellEnd"/>
      <w:r w:rsidRPr="00E56BB8">
        <w:rPr>
          <w:rFonts w:eastAsia="Times New Roman"/>
        </w:rPr>
        <w:t xml:space="preserve"> in Taiwan.</w:t>
      </w:r>
      <w:proofErr w:type="gramEnd"/>
      <w:r w:rsidRPr="00E56BB8">
        <w:rPr>
          <w:rFonts w:eastAsia="Times New Roman"/>
        </w:rPr>
        <w:t xml:space="preserve"> </w:t>
      </w:r>
      <w:r w:rsidRPr="00E56BB8">
        <w:rPr>
          <w:rFonts w:eastAsia="Times New Roman"/>
          <w:i/>
        </w:rPr>
        <w:t>Renewable and Sustainable Energy Reviews</w:t>
      </w:r>
      <w:r w:rsidRPr="00E56BB8">
        <w:rPr>
          <w:rFonts w:eastAsia="Times New Roman"/>
        </w:rPr>
        <w:t>; 49: 1286-1295.</w:t>
      </w:r>
    </w:p>
    <w:p w:rsidR="006F3FF1" w:rsidRPr="00E56BB8" w:rsidRDefault="00161899" w:rsidP="00E56BB8">
      <w:pPr>
        <w:spacing w:after="60" w:line="264" w:lineRule="auto"/>
        <w:rPr>
          <w:rFonts w:eastAsia="Times New Roman"/>
        </w:rPr>
      </w:pPr>
      <w:proofErr w:type="gramStart"/>
      <w:r w:rsidRPr="00E56BB8">
        <w:rPr>
          <w:rFonts w:eastAsia="Times New Roman"/>
        </w:rPr>
        <w:t>In-h</w:t>
      </w:r>
      <w:r w:rsidR="006F3FF1" w:rsidRPr="00E56BB8">
        <w:rPr>
          <w:rFonts w:eastAsia="Times New Roman"/>
        </w:rPr>
        <w:t>ouse Policy Consultants (IHPC) (2010).</w:t>
      </w:r>
      <w:proofErr w:type="gramEnd"/>
      <w:r w:rsidR="006F3FF1" w:rsidRPr="00E56BB8">
        <w:rPr>
          <w:rFonts w:eastAsia="Times New Roman"/>
        </w:rPr>
        <w:t xml:space="preserve"> </w:t>
      </w:r>
      <w:r w:rsidR="006F3FF1" w:rsidRPr="00E56BB8">
        <w:rPr>
          <w:rFonts w:eastAsia="Times New Roman"/>
          <w:i/>
        </w:rPr>
        <w:t>Review of Local Air Quality Management: report to Defra and the Devolved Administrations</w:t>
      </w:r>
      <w:r w:rsidR="006F3FF1" w:rsidRPr="00E56BB8">
        <w:rPr>
          <w:rFonts w:eastAsia="Times New Roman"/>
        </w:rPr>
        <w:t>. Defra: London, UK.</w:t>
      </w:r>
    </w:p>
    <w:p w:rsidR="008B70F0" w:rsidRPr="00E56BB8" w:rsidRDefault="008B70F0" w:rsidP="00E56BB8">
      <w:pPr>
        <w:autoSpaceDE w:val="0"/>
        <w:autoSpaceDN w:val="0"/>
        <w:adjustRightInd w:val="0"/>
        <w:spacing w:after="60" w:line="264" w:lineRule="auto"/>
        <w:rPr>
          <w:rFonts w:cs="Minion-Regular"/>
        </w:rPr>
      </w:pPr>
      <w:r w:rsidRPr="00E56BB8">
        <w:rPr>
          <w:rFonts w:cs="Minion-Regular"/>
        </w:rPr>
        <w:t xml:space="preserve">Jacobs JM (1996). </w:t>
      </w:r>
      <w:r w:rsidRPr="00E56BB8">
        <w:rPr>
          <w:rFonts w:cs="Minion-Regular"/>
          <w:i/>
        </w:rPr>
        <w:t xml:space="preserve">Essential assessment criteria for physical education teacher education programs: a Delphi study. </w:t>
      </w:r>
      <w:proofErr w:type="gramStart"/>
      <w:r w:rsidRPr="00E56BB8">
        <w:rPr>
          <w:rFonts w:cs="Minion-Regular"/>
        </w:rPr>
        <w:t>Unpublished doctoral dissertation.</w:t>
      </w:r>
      <w:proofErr w:type="gramEnd"/>
      <w:r w:rsidRPr="00E56BB8">
        <w:rPr>
          <w:rFonts w:cs="Minion-Regular"/>
        </w:rPr>
        <w:t xml:space="preserve"> West Virginia University: Morgantown, West Virginia, US. </w:t>
      </w:r>
    </w:p>
    <w:p w:rsidR="00161899" w:rsidRPr="00E56BB8" w:rsidRDefault="00161899" w:rsidP="00E56BB8">
      <w:pPr>
        <w:spacing w:after="60" w:line="264" w:lineRule="auto"/>
      </w:pPr>
      <w:proofErr w:type="spellStart"/>
      <w:r w:rsidRPr="00E56BB8">
        <w:lastRenderedPageBreak/>
        <w:t>Jerrett</w:t>
      </w:r>
      <w:proofErr w:type="spellEnd"/>
      <w:r w:rsidRPr="00E56BB8">
        <w:t xml:space="preserve"> M, Burnett R, </w:t>
      </w:r>
      <w:proofErr w:type="spellStart"/>
      <w:r w:rsidRPr="00E56BB8">
        <w:t>Kanaroglou</w:t>
      </w:r>
      <w:proofErr w:type="spellEnd"/>
      <w:r w:rsidRPr="00E56BB8">
        <w:t xml:space="preserve"> P, </w:t>
      </w:r>
      <w:r w:rsidRPr="00E56BB8">
        <w:rPr>
          <w:i/>
        </w:rPr>
        <w:t xml:space="preserve">et al. </w:t>
      </w:r>
      <w:r w:rsidRPr="00E56BB8">
        <w:t xml:space="preserve">(2001). </w:t>
      </w:r>
      <w:proofErr w:type="gramStart"/>
      <w:r w:rsidRPr="00E56BB8">
        <w:t>A GIS-environmental justice analysis of particulate air pollution in Hamilton, Canada.</w:t>
      </w:r>
      <w:proofErr w:type="gramEnd"/>
      <w:r w:rsidRPr="00E56BB8">
        <w:t xml:space="preserve"> </w:t>
      </w:r>
      <w:proofErr w:type="gramStart"/>
      <w:r w:rsidRPr="00E56BB8">
        <w:rPr>
          <w:i/>
        </w:rPr>
        <w:t>Environment and Planning A</w:t>
      </w:r>
      <w:r w:rsidRPr="00E56BB8">
        <w:t>; 33: 955-973.</w:t>
      </w:r>
      <w:proofErr w:type="gramEnd"/>
    </w:p>
    <w:p w:rsidR="00D04478" w:rsidRPr="00E56BB8" w:rsidRDefault="00D04478" w:rsidP="00E56BB8">
      <w:pPr>
        <w:spacing w:after="60" w:line="264" w:lineRule="auto"/>
      </w:pPr>
      <w:proofErr w:type="spellStart"/>
      <w:r w:rsidRPr="00E56BB8">
        <w:t>Kalaian</w:t>
      </w:r>
      <w:proofErr w:type="spellEnd"/>
      <w:r w:rsidRPr="00E56BB8">
        <w:t xml:space="preserve"> SA, </w:t>
      </w:r>
      <w:proofErr w:type="spellStart"/>
      <w:r w:rsidRPr="00E56BB8">
        <w:t>Kasim</w:t>
      </w:r>
      <w:proofErr w:type="spellEnd"/>
      <w:r w:rsidRPr="00E56BB8">
        <w:t xml:space="preserve"> RM (2012). </w:t>
      </w:r>
      <w:proofErr w:type="gramStart"/>
      <w:r w:rsidRPr="00E56BB8">
        <w:t>Terminating sequential Delphi survey data collection.</w:t>
      </w:r>
      <w:proofErr w:type="gramEnd"/>
      <w:r w:rsidRPr="00E56BB8">
        <w:t xml:space="preserve"> </w:t>
      </w:r>
      <w:r w:rsidRPr="00E56BB8">
        <w:rPr>
          <w:i/>
        </w:rPr>
        <w:t>Practical Assessment and Evaluation</w:t>
      </w:r>
      <w:r w:rsidRPr="00E56BB8">
        <w:t>; 17)5): 1-10.</w:t>
      </w:r>
    </w:p>
    <w:p w:rsidR="00540549" w:rsidRPr="00E56BB8" w:rsidRDefault="00540549" w:rsidP="00E56BB8">
      <w:pPr>
        <w:spacing w:after="60" w:line="264" w:lineRule="auto"/>
        <w:rPr>
          <w:rFonts w:cs="HelveticaNeue-Light"/>
          <w:color w:val="010202"/>
        </w:rPr>
      </w:pPr>
      <w:r w:rsidRPr="00E56BB8">
        <w:rPr>
          <w:rFonts w:cs="HelveticaNeue-Light"/>
          <w:color w:val="010202"/>
        </w:rPr>
        <w:t xml:space="preserve">Keeney S, </w:t>
      </w:r>
      <w:proofErr w:type="spellStart"/>
      <w:r w:rsidRPr="00E56BB8">
        <w:rPr>
          <w:rFonts w:cs="HelveticaNeue-Light"/>
          <w:color w:val="010202"/>
        </w:rPr>
        <w:t>Hasson</w:t>
      </w:r>
      <w:proofErr w:type="spellEnd"/>
      <w:r w:rsidRPr="00E56BB8">
        <w:rPr>
          <w:rFonts w:cs="HelveticaNeue-Light"/>
          <w:color w:val="010202"/>
        </w:rPr>
        <w:t xml:space="preserve"> F, McKenna H (2011). </w:t>
      </w:r>
      <w:proofErr w:type="gramStart"/>
      <w:r w:rsidRPr="00E56BB8">
        <w:rPr>
          <w:rFonts w:cs="HelveticaNeue-Light"/>
          <w:i/>
          <w:color w:val="010202"/>
        </w:rPr>
        <w:t>The Delphi technique in nursing and health research</w:t>
      </w:r>
      <w:r w:rsidRPr="00E56BB8">
        <w:rPr>
          <w:rFonts w:cs="HelveticaNeue-Light"/>
          <w:color w:val="010202"/>
        </w:rPr>
        <w:t>.</w:t>
      </w:r>
      <w:proofErr w:type="gramEnd"/>
      <w:r w:rsidRPr="00E56BB8">
        <w:rPr>
          <w:rFonts w:cs="HelveticaNeue-Light"/>
          <w:color w:val="010202"/>
        </w:rPr>
        <w:t xml:space="preserve"> Wiley-Blackwell: Oxford, UK.</w:t>
      </w:r>
    </w:p>
    <w:p w:rsidR="006F3FF1" w:rsidRPr="00E56BB8" w:rsidRDefault="006F3FF1" w:rsidP="00E56BB8">
      <w:pPr>
        <w:spacing w:after="60" w:line="264" w:lineRule="auto"/>
      </w:pPr>
      <w:proofErr w:type="spellStart"/>
      <w:r w:rsidRPr="00E56BB8">
        <w:t>Laxen</w:t>
      </w:r>
      <w:proofErr w:type="spellEnd"/>
      <w:r w:rsidRPr="00E56BB8">
        <w:t xml:space="preserve"> D, Beattie C, </w:t>
      </w:r>
      <w:proofErr w:type="spellStart"/>
      <w:r w:rsidRPr="00E56BB8">
        <w:t>Dickie</w:t>
      </w:r>
      <w:proofErr w:type="spellEnd"/>
      <w:r w:rsidRPr="00E56BB8">
        <w:t xml:space="preserve"> I (2014). </w:t>
      </w:r>
      <w:r w:rsidRPr="00E56BB8">
        <w:rPr>
          <w:i/>
        </w:rPr>
        <w:t>Health impacts of air pollution in Bristol</w:t>
      </w:r>
      <w:r w:rsidRPr="00E56BB8">
        <w:t>. Bristol: Air Quality Consultants.</w:t>
      </w:r>
    </w:p>
    <w:p w:rsidR="006F3FF1" w:rsidRPr="00E56BB8" w:rsidRDefault="006F3FF1" w:rsidP="00E56BB8">
      <w:pPr>
        <w:spacing w:after="60" w:line="264" w:lineRule="auto"/>
      </w:pPr>
      <w:proofErr w:type="spellStart"/>
      <w:r w:rsidRPr="00E56BB8">
        <w:t>Leksmono</w:t>
      </w:r>
      <w:proofErr w:type="spellEnd"/>
      <w:r w:rsidRPr="00E56BB8">
        <w:t xml:space="preserve"> N, </w:t>
      </w:r>
      <w:proofErr w:type="spellStart"/>
      <w:r w:rsidRPr="00E56BB8">
        <w:t>Dorfman</w:t>
      </w:r>
      <w:proofErr w:type="spellEnd"/>
      <w:r w:rsidRPr="00E56BB8">
        <w:t xml:space="preserve"> P, Burnet F </w:t>
      </w:r>
      <w:r w:rsidRPr="00E56BB8">
        <w:rPr>
          <w:i/>
        </w:rPr>
        <w:t xml:space="preserve">et al. </w:t>
      </w:r>
      <w:r w:rsidRPr="00E56BB8">
        <w:t xml:space="preserve">(2010). Enhancing consultation practices in Air Quality Management in local authorities. </w:t>
      </w:r>
      <w:r w:rsidRPr="00E56BB8">
        <w:rPr>
          <w:i/>
        </w:rPr>
        <w:t xml:space="preserve">Journal of </w:t>
      </w:r>
      <w:proofErr w:type="spellStart"/>
      <w:r w:rsidRPr="00E56BB8">
        <w:rPr>
          <w:i/>
        </w:rPr>
        <w:t>Env</w:t>
      </w:r>
      <w:proofErr w:type="spellEnd"/>
      <w:r w:rsidRPr="00E56BB8">
        <w:rPr>
          <w:i/>
        </w:rPr>
        <w:t xml:space="preserve"> Planning and Management</w:t>
      </w:r>
      <w:r w:rsidRPr="00E56BB8">
        <w:t>; 53(5): 559-571.</w:t>
      </w:r>
    </w:p>
    <w:p w:rsidR="009D317A" w:rsidRPr="00E56BB8" w:rsidRDefault="009D317A" w:rsidP="00E56BB8">
      <w:pPr>
        <w:spacing w:after="60" w:line="264" w:lineRule="auto"/>
      </w:pPr>
      <w:proofErr w:type="gramStart"/>
      <w:r w:rsidRPr="00E56BB8">
        <w:t xml:space="preserve">Lim SS, </w:t>
      </w:r>
      <w:proofErr w:type="spellStart"/>
      <w:r w:rsidRPr="00E56BB8">
        <w:t>Vos</w:t>
      </w:r>
      <w:proofErr w:type="spellEnd"/>
      <w:r w:rsidRPr="00E56BB8">
        <w:t xml:space="preserve"> T, Flaxman AD </w:t>
      </w:r>
      <w:r w:rsidRPr="00E56BB8">
        <w:rPr>
          <w:i/>
        </w:rPr>
        <w:t xml:space="preserve">et al. </w:t>
      </w:r>
      <w:r w:rsidRPr="00E56BB8">
        <w:t>(2012).</w:t>
      </w:r>
      <w:proofErr w:type="gramEnd"/>
      <w:r w:rsidRPr="00E56BB8">
        <w:t xml:space="preserve"> A comparative risk assessment of burden of disease and injury attributable to 67 risk factors and risk factor clusters in 21 regions, 1990-2010: a systematic analysis for the Global Burden of Disease Study 2010. </w:t>
      </w:r>
      <w:r w:rsidRPr="00E56BB8">
        <w:rPr>
          <w:i/>
        </w:rPr>
        <w:t>The Lancet</w:t>
      </w:r>
      <w:r w:rsidRPr="00E56BB8">
        <w:t>; 380: 2224-2260.</w:t>
      </w:r>
    </w:p>
    <w:p w:rsidR="006F3FF1" w:rsidRPr="00E56BB8" w:rsidRDefault="006F3FF1" w:rsidP="00E56BB8">
      <w:pPr>
        <w:spacing w:after="60" w:line="264" w:lineRule="auto"/>
      </w:pPr>
      <w:proofErr w:type="gramStart"/>
      <w:r w:rsidRPr="00E56BB8">
        <w:t xml:space="preserve">Lindley SJ, Longhurst JWS, Watson AFR, </w:t>
      </w:r>
      <w:proofErr w:type="spellStart"/>
      <w:r w:rsidRPr="00E56BB8">
        <w:t>Conlan</w:t>
      </w:r>
      <w:proofErr w:type="spellEnd"/>
      <w:r w:rsidRPr="00E56BB8">
        <w:t xml:space="preserve"> DE (1996).</w:t>
      </w:r>
      <w:proofErr w:type="gramEnd"/>
      <w:r w:rsidRPr="00E56BB8">
        <w:t xml:space="preserve"> </w:t>
      </w:r>
      <w:proofErr w:type="gramStart"/>
      <w:r w:rsidRPr="00E56BB8">
        <w:t>Procedures for estimation of regional scale atmospheric emissions-an example from NW region of England.</w:t>
      </w:r>
      <w:proofErr w:type="gramEnd"/>
      <w:r w:rsidRPr="00E56BB8">
        <w:t xml:space="preserve"> </w:t>
      </w:r>
      <w:proofErr w:type="spellStart"/>
      <w:r w:rsidRPr="00E56BB8">
        <w:rPr>
          <w:i/>
        </w:rPr>
        <w:t>Atmos</w:t>
      </w:r>
      <w:proofErr w:type="spellEnd"/>
      <w:r w:rsidRPr="00E56BB8">
        <w:rPr>
          <w:i/>
        </w:rPr>
        <w:t xml:space="preserve"> </w:t>
      </w:r>
      <w:proofErr w:type="spellStart"/>
      <w:r w:rsidRPr="00E56BB8">
        <w:rPr>
          <w:i/>
        </w:rPr>
        <w:t>Env</w:t>
      </w:r>
      <w:proofErr w:type="spellEnd"/>
      <w:r w:rsidRPr="00E56BB8">
        <w:t>; 30(17): 3079-3091.</w:t>
      </w:r>
    </w:p>
    <w:p w:rsidR="00A16532" w:rsidRPr="00E56BB8" w:rsidRDefault="00A16532" w:rsidP="00E56BB8">
      <w:pPr>
        <w:spacing w:after="60" w:line="264" w:lineRule="auto"/>
      </w:pPr>
      <w:proofErr w:type="spellStart"/>
      <w:r w:rsidRPr="00E56BB8">
        <w:t>Linstone</w:t>
      </w:r>
      <w:proofErr w:type="spellEnd"/>
      <w:r w:rsidRPr="00E56BB8">
        <w:t xml:space="preserve"> HL, </w:t>
      </w:r>
      <w:proofErr w:type="spellStart"/>
      <w:r w:rsidRPr="00E56BB8">
        <w:t>Turoff</w:t>
      </w:r>
      <w:proofErr w:type="spellEnd"/>
      <w:r w:rsidRPr="00E56BB8">
        <w:t xml:space="preserve"> M (</w:t>
      </w:r>
      <w:proofErr w:type="spellStart"/>
      <w:r w:rsidRPr="00E56BB8">
        <w:t>Eds</w:t>
      </w:r>
      <w:proofErr w:type="spellEnd"/>
      <w:r w:rsidRPr="00E56BB8">
        <w:t xml:space="preserve">) (2002). </w:t>
      </w:r>
      <w:r w:rsidRPr="00E56BB8">
        <w:rPr>
          <w:i/>
        </w:rPr>
        <w:t xml:space="preserve">The Delphi method: Techniques and Applications. </w:t>
      </w:r>
      <w:r w:rsidRPr="00E56BB8">
        <w:t>Addison-Wesley Publishing Company: Reading, MA, US.</w:t>
      </w:r>
    </w:p>
    <w:p w:rsidR="006F3FF1" w:rsidRPr="00E56BB8" w:rsidRDefault="006F3FF1" w:rsidP="00E56BB8">
      <w:pPr>
        <w:spacing w:after="60" w:line="264" w:lineRule="auto"/>
        <w:rPr>
          <w:rFonts w:eastAsia="Times New Roman"/>
        </w:rPr>
      </w:pPr>
      <w:proofErr w:type="gramStart"/>
      <w:r w:rsidRPr="00E56BB8">
        <w:rPr>
          <w:rFonts w:eastAsia="Times New Roman"/>
        </w:rPr>
        <w:t xml:space="preserve">Longhurst JWS, Beattie CI, Chatterton TJ </w:t>
      </w:r>
      <w:r w:rsidRPr="00E56BB8">
        <w:rPr>
          <w:rFonts w:eastAsia="Times New Roman"/>
          <w:i/>
        </w:rPr>
        <w:t xml:space="preserve">et al. </w:t>
      </w:r>
      <w:r w:rsidRPr="00E56BB8">
        <w:rPr>
          <w:rFonts w:eastAsia="Times New Roman"/>
        </w:rPr>
        <w:t>(2006).</w:t>
      </w:r>
      <w:proofErr w:type="gramEnd"/>
      <w:r w:rsidRPr="00E56BB8">
        <w:rPr>
          <w:rFonts w:eastAsia="Times New Roman"/>
        </w:rPr>
        <w:t xml:space="preserve"> Local air quality management as a risk management process: Assessing, managing and remediating risk of exceeding an air quality objective in Great Britain. </w:t>
      </w:r>
      <w:r w:rsidRPr="00E56BB8">
        <w:rPr>
          <w:rFonts w:eastAsia="Times New Roman"/>
          <w:i/>
        </w:rPr>
        <w:t>Environment International</w:t>
      </w:r>
      <w:r w:rsidRPr="00E56BB8">
        <w:rPr>
          <w:rFonts w:eastAsia="Times New Roman"/>
        </w:rPr>
        <w:t>; 32: 934-947.</w:t>
      </w:r>
    </w:p>
    <w:p w:rsidR="00E40621" w:rsidRPr="00E56BB8" w:rsidRDefault="00E40621" w:rsidP="00E56BB8">
      <w:pPr>
        <w:spacing w:after="60" w:line="264" w:lineRule="auto"/>
      </w:pPr>
      <w:r w:rsidRPr="00E56BB8">
        <w:t xml:space="preserve">McKenna H (1994). The Delphi technique: a worthwhile research approach for nursing? </w:t>
      </w:r>
      <w:r w:rsidRPr="00E56BB8">
        <w:rPr>
          <w:i/>
        </w:rPr>
        <w:t>Journal of Advanced Nursing</w:t>
      </w:r>
      <w:r w:rsidRPr="00E56BB8">
        <w:t>; 19(6): 1221-1225.</w:t>
      </w:r>
    </w:p>
    <w:p w:rsidR="00BD6BCA" w:rsidRPr="00E56BB8" w:rsidRDefault="00BD6BCA" w:rsidP="00E56BB8">
      <w:pPr>
        <w:spacing w:after="60" w:line="264" w:lineRule="auto"/>
      </w:pPr>
      <w:r w:rsidRPr="00E56BB8">
        <w:t xml:space="preserve">Moynihan S, </w:t>
      </w:r>
      <w:proofErr w:type="spellStart"/>
      <w:r w:rsidRPr="00E56BB8">
        <w:t>Paakkari</w:t>
      </w:r>
      <w:proofErr w:type="spellEnd"/>
      <w:r w:rsidRPr="00E56BB8">
        <w:t xml:space="preserve"> L, </w:t>
      </w:r>
      <w:proofErr w:type="spellStart"/>
      <w:r w:rsidRPr="00E56BB8">
        <w:t>Valimaa</w:t>
      </w:r>
      <w:proofErr w:type="spellEnd"/>
      <w:r w:rsidRPr="00E56BB8">
        <w:t xml:space="preserve"> R </w:t>
      </w:r>
      <w:r w:rsidRPr="00E56BB8">
        <w:rPr>
          <w:i/>
        </w:rPr>
        <w:t>et al.</w:t>
      </w:r>
      <w:r w:rsidRPr="00E56BB8">
        <w:t xml:space="preserve"> (2015</w:t>
      </w:r>
      <w:r w:rsidR="005F21AC" w:rsidRPr="00E56BB8">
        <w:t>)</w:t>
      </w:r>
      <w:r w:rsidRPr="00E56BB8">
        <w:t xml:space="preserve">. Teacher competencies in health education: results of a Delphi study. </w:t>
      </w:r>
      <w:r w:rsidRPr="00E56BB8">
        <w:rPr>
          <w:i/>
        </w:rPr>
        <w:t>PLOS One</w:t>
      </w:r>
      <w:r w:rsidRPr="00E56BB8">
        <w:t>; 10(12): 1-17.</w:t>
      </w:r>
    </w:p>
    <w:p w:rsidR="003B021C" w:rsidRPr="00E56BB8" w:rsidRDefault="003B021C" w:rsidP="00E56BB8">
      <w:pPr>
        <w:spacing w:after="60" w:line="264" w:lineRule="auto"/>
      </w:pPr>
      <w:r w:rsidRPr="00E56BB8">
        <w:t xml:space="preserve">Murphy MK, </w:t>
      </w:r>
      <w:proofErr w:type="gramStart"/>
      <w:r w:rsidRPr="00E56BB8">
        <w:t>Sanderson  CFB</w:t>
      </w:r>
      <w:proofErr w:type="gramEnd"/>
      <w:r w:rsidRPr="00E56BB8">
        <w:t xml:space="preserve">, Black NA </w:t>
      </w:r>
      <w:r w:rsidRPr="00E56BB8">
        <w:rPr>
          <w:i/>
        </w:rPr>
        <w:t>et al</w:t>
      </w:r>
      <w:r w:rsidRPr="00E56BB8">
        <w:t xml:space="preserve">. (1998). </w:t>
      </w:r>
      <w:proofErr w:type="gramStart"/>
      <w:r w:rsidRPr="00E56BB8">
        <w:t>Consensus development methods and their use in clinical guideline development.</w:t>
      </w:r>
      <w:proofErr w:type="gramEnd"/>
      <w:r w:rsidRPr="00E56BB8">
        <w:t xml:space="preserve"> </w:t>
      </w:r>
      <w:r w:rsidRPr="00E56BB8">
        <w:rPr>
          <w:i/>
        </w:rPr>
        <w:t>Health Technology Assessment</w:t>
      </w:r>
      <w:r w:rsidRPr="00E56BB8">
        <w:t>; 2: 5-83.</w:t>
      </w:r>
    </w:p>
    <w:p w:rsidR="00E40621" w:rsidRPr="00E56BB8" w:rsidRDefault="00E40621" w:rsidP="00E56BB8">
      <w:pPr>
        <w:spacing w:after="60" w:line="264" w:lineRule="auto"/>
      </w:pPr>
      <w:proofErr w:type="spellStart"/>
      <w:r w:rsidRPr="00E56BB8">
        <w:t>Nadin</w:t>
      </w:r>
      <w:proofErr w:type="spellEnd"/>
      <w:r w:rsidRPr="00E56BB8">
        <w:t xml:space="preserve"> S, </w:t>
      </w:r>
      <w:proofErr w:type="spellStart"/>
      <w:r w:rsidRPr="00E56BB8">
        <w:t>Cassell</w:t>
      </w:r>
      <w:proofErr w:type="spellEnd"/>
      <w:r w:rsidRPr="00E56BB8">
        <w:t xml:space="preserve"> CM (2007). </w:t>
      </w:r>
      <w:proofErr w:type="gramStart"/>
      <w:r w:rsidRPr="00E56BB8">
        <w:t>New deal for old?</w:t>
      </w:r>
      <w:proofErr w:type="gramEnd"/>
      <w:r w:rsidRPr="00E56BB8">
        <w:t xml:space="preserve"> </w:t>
      </w:r>
      <w:proofErr w:type="gramStart"/>
      <w:r w:rsidRPr="00E56BB8">
        <w:t>Exploring the psychological contract in the small firm environment.</w:t>
      </w:r>
      <w:proofErr w:type="gramEnd"/>
      <w:r w:rsidRPr="00E56BB8">
        <w:t xml:space="preserve"> </w:t>
      </w:r>
      <w:r w:rsidRPr="00E56BB8">
        <w:rPr>
          <w:i/>
        </w:rPr>
        <w:t>International Small Business Journal</w:t>
      </w:r>
      <w:r w:rsidRPr="00E56BB8">
        <w:t>; 25(4): 417-443.</w:t>
      </w:r>
    </w:p>
    <w:p w:rsidR="00AB37A9" w:rsidRPr="00E56BB8" w:rsidRDefault="00AB37A9" w:rsidP="00E56BB8">
      <w:pPr>
        <w:spacing w:after="60" w:line="264" w:lineRule="auto"/>
        <w:rPr>
          <w:rFonts w:eastAsia="Times New Roman"/>
        </w:rPr>
      </w:pPr>
      <w:proofErr w:type="spellStart"/>
      <w:r w:rsidRPr="00E56BB8">
        <w:rPr>
          <w:rFonts w:eastAsia="Times New Roman"/>
        </w:rPr>
        <w:t>Okali</w:t>
      </w:r>
      <w:proofErr w:type="spellEnd"/>
      <w:r w:rsidRPr="00E56BB8">
        <w:rPr>
          <w:rFonts w:eastAsia="Times New Roman"/>
        </w:rPr>
        <w:t xml:space="preserve"> C, </w:t>
      </w:r>
      <w:proofErr w:type="spellStart"/>
      <w:r w:rsidRPr="00E56BB8">
        <w:rPr>
          <w:rFonts w:eastAsia="Times New Roman"/>
        </w:rPr>
        <w:t>Pawlowski</w:t>
      </w:r>
      <w:proofErr w:type="spellEnd"/>
      <w:r w:rsidRPr="00E56BB8">
        <w:rPr>
          <w:rFonts w:eastAsia="Times New Roman"/>
        </w:rPr>
        <w:t xml:space="preserve"> SD (2004). The Delphi method as a research tool: an example, design considerations and applications. </w:t>
      </w:r>
      <w:proofErr w:type="gramStart"/>
      <w:r w:rsidRPr="00E56BB8">
        <w:rPr>
          <w:rFonts w:eastAsia="Times New Roman"/>
          <w:i/>
        </w:rPr>
        <w:t>Information and Management</w:t>
      </w:r>
      <w:r w:rsidRPr="00E56BB8">
        <w:rPr>
          <w:rFonts w:eastAsia="Times New Roman"/>
        </w:rPr>
        <w:t>; 42: 15-29.</w:t>
      </w:r>
      <w:proofErr w:type="gramEnd"/>
    </w:p>
    <w:p w:rsidR="00010934" w:rsidRPr="00E56BB8" w:rsidRDefault="00010934" w:rsidP="00E56BB8">
      <w:pPr>
        <w:spacing w:after="60" w:line="264" w:lineRule="auto"/>
        <w:rPr>
          <w:rFonts w:cs="Minion-Regular"/>
        </w:rPr>
      </w:pPr>
      <w:proofErr w:type="spellStart"/>
      <w:r w:rsidRPr="00E56BB8">
        <w:rPr>
          <w:rFonts w:cs="Minion-Regular"/>
        </w:rPr>
        <w:t>Paliwoda</w:t>
      </w:r>
      <w:proofErr w:type="spellEnd"/>
      <w:r w:rsidRPr="00E56BB8">
        <w:rPr>
          <w:rFonts w:cs="Minion-Regular"/>
        </w:rPr>
        <w:t xml:space="preserve"> SJ (1983). </w:t>
      </w:r>
      <w:proofErr w:type="gramStart"/>
      <w:r w:rsidRPr="00E56BB8">
        <w:rPr>
          <w:rFonts w:cs="Minion-Regular"/>
        </w:rPr>
        <w:t>Predicting the future using Delphi.</w:t>
      </w:r>
      <w:proofErr w:type="gramEnd"/>
      <w:r w:rsidRPr="00E56BB8">
        <w:rPr>
          <w:rFonts w:cs="Minion-Regular"/>
        </w:rPr>
        <w:t xml:space="preserve"> </w:t>
      </w:r>
      <w:r w:rsidRPr="00E56BB8">
        <w:rPr>
          <w:rFonts w:cs="Minion-Regular"/>
          <w:i/>
        </w:rPr>
        <w:t>Management and Decision</w:t>
      </w:r>
      <w:r w:rsidRPr="00E56BB8">
        <w:rPr>
          <w:rFonts w:cs="Minion-Regular"/>
        </w:rPr>
        <w:t>; 21(1): 31-38.</w:t>
      </w:r>
    </w:p>
    <w:p w:rsidR="00010934" w:rsidRPr="00E56BB8" w:rsidRDefault="00D934B3" w:rsidP="00E56BB8">
      <w:pPr>
        <w:spacing w:after="60" w:line="264" w:lineRule="auto"/>
      </w:pPr>
      <w:proofErr w:type="spellStart"/>
      <w:proofErr w:type="gramStart"/>
      <w:r w:rsidRPr="00E56BB8">
        <w:t>Parent</w:t>
      </w:r>
      <w:r w:rsidR="00DB4F27">
        <w:t>e</w:t>
      </w:r>
      <w:proofErr w:type="spellEnd"/>
      <w:r w:rsidRPr="00E56BB8">
        <w:t xml:space="preserve"> FJ, Anderson-</w:t>
      </w:r>
      <w:proofErr w:type="spellStart"/>
      <w:r w:rsidRPr="00E56BB8">
        <w:t>Parente</w:t>
      </w:r>
      <w:proofErr w:type="spellEnd"/>
      <w:r w:rsidRPr="00E56BB8">
        <w:t xml:space="preserve"> JK (1987).</w:t>
      </w:r>
      <w:proofErr w:type="gramEnd"/>
      <w:r w:rsidRPr="00E56BB8">
        <w:t xml:space="preserve"> </w:t>
      </w:r>
      <w:proofErr w:type="gramStart"/>
      <w:r w:rsidRPr="00E56BB8">
        <w:t>Delphi inquiry systems.</w:t>
      </w:r>
      <w:proofErr w:type="gramEnd"/>
      <w:r w:rsidRPr="00E56BB8">
        <w:t xml:space="preserve"> In: </w:t>
      </w:r>
      <w:r w:rsidRPr="00E56BB8">
        <w:rPr>
          <w:i/>
        </w:rPr>
        <w:t xml:space="preserve">Judge Mental Forecasting </w:t>
      </w:r>
      <w:r w:rsidRPr="00E56BB8">
        <w:t>(</w:t>
      </w:r>
      <w:proofErr w:type="spellStart"/>
      <w:r w:rsidRPr="00E56BB8">
        <w:t>Eds</w:t>
      </w:r>
      <w:proofErr w:type="spellEnd"/>
      <w:r w:rsidRPr="00E56BB8">
        <w:t xml:space="preserve"> Wright G, Ayton P). John Wiley: Chichester, UK.</w:t>
      </w:r>
    </w:p>
    <w:p w:rsidR="00746B22" w:rsidRPr="00E56BB8" w:rsidRDefault="00746B22" w:rsidP="00E56BB8">
      <w:pPr>
        <w:spacing w:after="60" w:line="264" w:lineRule="auto"/>
      </w:pPr>
      <w:r w:rsidRPr="00E56BB8">
        <w:t xml:space="preserve">Phillips AC, Lewis LK, </w:t>
      </w:r>
      <w:proofErr w:type="spellStart"/>
      <w:r w:rsidRPr="00E56BB8">
        <w:t>McEvoy</w:t>
      </w:r>
      <w:proofErr w:type="spellEnd"/>
      <w:r w:rsidRPr="00E56BB8">
        <w:t xml:space="preserve"> MP, </w:t>
      </w:r>
      <w:r w:rsidRPr="00E56BB8">
        <w:rPr>
          <w:i/>
        </w:rPr>
        <w:t>et al</w:t>
      </w:r>
      <w:r w:rsidRPr="00E56BB8">
        <w:t xml:space="preserve">. (2014). A Delphi study to determine how educational interventions for evidence-based practice should be reported: stage 2 of the development of a reporting guideline. </w:t>
      </w:r>
      <w:r w:rsidRPr="00E56BB8">
        <w:rPr>
          <w:i/>
        </w:rPr>
        <w:t>BMC Medical Education</w:t>
      </w:r>
      <w:r w:rsidRPr="00E56BB8">
        <w:t>; 14: 159.</w:t>
      </w:r>
    </w:p>
    <w:p w:rsidR="00161899" w:rsidRPr="00E56BB8" w:rsidRDefault="00161899" w:rsidP="00E56BB8">
      <w:pPr>
        <w:spacing w:after="60" w:line="264" w:lineRule="auto"/>
      </w:pPr>
      <w:proofErr w:type="gramStart"/>
      <w:r w:rsidRPr="00E56BB8">
        <w:t>Policy Exchange (2013).</w:t>
      </w:r>
      <w:proofErr w:type="gramEnd"/>
      <w:r w:rsidRPr="00E56BB8">
        <w:t xml:space="preserve"> </w:t>
      </w:r>
      <w:proofErr w:type="gramStart"/>
      <w:r w:rsidRPr="00E56BB8">
        <w:rPr>
          <w:i/>
        </w:rPr>
        <w:t>Cleaning up road transport in London: the next steps to improve the capital’s air quality.</w:t>
      </w:r>
      <w:proofErr w:type="gramEnd"/>
      <w:r w:rsidRPr="00E56BB8">
        <w:rPr>
          <w:i/>
        </w:rPr>
        <w:t xml:space="preserve"> </w:t>
      </w:r>
      <w:proofErr w:type="gramStart"/>
      <w:r w:rsidRPr="00E56BB8">
        <w:t xml:space="preserve">(Accessed: </w:t>
      </w:r>
      <w:hyperlink r:id="rId11" w:history="1">
        <w:r w:rsidRPr="00E56BB8">
          <w:rPr>
            <w:rStyle w:val="Hyperlink"/>
          </w:rPr>
          <w:t>http://www.policyexchange.org.uk/images/publications/cleaning%20up%20road%20transport%20in%20london.pdf</w:t>
        </w:r>
      </w:hyperlink>
      <w:r w:rsidRPr="00E56BB8">
        <w:t xml:space="preserve"> on 03/03/17).</w:t>
      </w:r>
      <w:proofErr w:type="gramEnd"/>
    </w:p>
    <w:p w:rsidR="00A16532" w:rsidRPr="00E56BB8" w:rsidRDefault="00A16532" w:rsidP="00E56BB8">
      <w:pPr>
        <w:autoSpaceDE w:val="0"/>
        <w:autoSpaceDN w:val="0"/>
        <w:adjustRightInd w:val="0"/>
        <w:spacing w:after="60" w:line="264" w:lineRule="auto"/>
        <w:rPr>
          <w:rFonts w:cs="Times-Roman"/>
        </w:rPr>
      </w:pPr>
      <w:proofErr w:type="spellStart"/>
      <w:r w:rsidRPr="00E56BB8">
        <w:rPr>
          <w:rFonts w:cs="Times-Roman"/>
        </w:rPr>
        <w:t>Privitera</w:t>
      </w:r>
      <w:proofErr w:type="spellEnd"/>
      <w:r w:rsidRPr="00E56BB8">
        <w:rPr>
          <w:rFonts w:cs="Times-Roman"/>
        </w:rPr>
        <w:t xml:space="preserve"> GJ (2012). </w:t>
      </w:r>
      <w:proofErr w:type="gramStart"/>
      <w:r w:rsidRPr="00E56BB8">
        <w:rPr>
          <w:rFonts w:cs="Times-Roman"/>
          <w:i/>
        </w:rPr>
        <w:t xml:space="preserve">Statistics for the </w:t>
      </w:r>
      <w:proofErr w:type="spellStart"/>
      <w:r w:rsidRPr="00E56BB8">
        <w:rPr>
          <w:rFonts w:cs="Times-Roman"/>
          <w:i/>
        </w:rPr>
        <w:t>behvioral</w:t>
      </w:r>
      <w:proofErr w:type="spellEnd"/>
      <w:r w:rsidRPr="00E56BB8">
        <w:rPr>
          <w:rFonts w:cs="Times-Roman"/>
          <w:i/>
        </w:rPr>
        <w:t xml:space="preserve"> sciences</w:t>
      </w:r>
      <w:r w:rsidR="00D04478" w:rsidRPr="00E56BB8">
        <w:rPr>
          <w:rFonts w:cs="Times-Roman"/>
        </w:rPr>
        <w:t>.</w:t>
      </w:r>
      <w:proofErr w:type="gramEnd"/>
      <w:r w:rsidR="00D04478" w:rsidRPr="00E56BB8">
        <w:rPr>
          <w:rFonts w:cs="Times-Roman"/>
        </w:rPr>
        <w:t xml:space="preserve"> Sage Publications: California, US.</w:t>
      </w:r>
    </w:p>
    <w:p w:rsidR="00540549" w:rsidRPr="00E56BB8" w:rsidRDefault="00540549" w:rsidP="00E56BB8">
      <w:pPr>
        <w:autoSpaceDE w:val="0"/>
        <w:autoSpaceDN w:val="0"/>
        <w:adjustRightInd w:val="0"/>
        <w:spacing w:after="60" w:line="264" w:lineRule="auto"/>
        <w:rPr>
          <w:rFonts w:cs="Times-Roman"/>
        </w:rPr>
      </w:pPr>
      <w:proofErr w:type="spellStart"/>
      <w:r w:rsidRPr="00E56BB8">
        <w:rPr>
          <w:rFonts w:cs="Times-Roman"/>
        </w:rPr>
        <w:lastRenderedPageBreak/>
        <w:t>Radestad</w:t>
      </w:r>
      <w:proofErr w:type="spellEnd"/>
      <w:r w:rsidRPr="00E56BB8">
        <w:rPr>
          <w:rFonts w:cs="Times-Roman"/>
        </w:rPr>
        <w:t xml:space="preserve"> M, </w:t>
      </w:r>
      <w:proofErr w:type="spellStart"/>
      <w:r w:rsidRPr="00E56BB8">
        <w:rPr>
          <w:rFonts w:cs="Times-Roman"/>
        </w:rPr>
        <w:t>Jirwe</w:t>
      </w:r>
      <w:proofErr w:type="spellEnd"/>
      <w:r w:rsidRPr="00E56BB8">
        <w:rPr>
          <w:rFonts w:cs="Times-Roman"/>
        </w:rPr>
        <w:t xml:space="preserve"> M, </w:t>
      </w:r>
      <w:proofErr w:type="spellStart"/>
      <w:r w:rsidRPr="00E56BB8">
        <w:rPr>
          <w:rFonts w:cs="Times-Roman"/>
        </w:rPr>
        <w:t>Castren</w:t>
      </w:r>
      <w:proofErr w:type="spellEnd"/>
      <w:r w:rsidRPr="00E56BB8">
        <w:rPr>
          <w:rFonts w:cs="Times-Roman"/>
        </w:rPr>
        <w:t xml:space="preserve"> M </w:t>
      </w:r>
      <w:r w:rsidRPr="00E56BB8">
        <w:rPr>
          <w:rFonts w:cs="Times-Roman"/>
          <w:i/>
        </w:rPr>
        <w:t>et al</w:t>
      </w:r>
      <w:r w:rsidRPr="00E56BB8">
        <w:rPr>
          <w:rFonts w:cs="Times-Roman"/>
        </w:rPr>
        <w:t xml:space="preserve">. (2013). Essential key indicators for disaster medical response suggested </w:t>
      </w:r>
      <w:proofErr w:type="gramStart"/>
      <w:r w:rsidRPr="00E56BB8">
        <w:rPr>
          <w:rFonts w:cs="Times-Roman"/>
        </w:rPr>
        <w:t>to be</w:t>
      </w:r>
      <w:proofErr w:type="gramEnd"/>
      <w:r w:rsidRPr="00E56BB8">
        <w:rPr>
          <w:rFonts w:cs="Times-Roman"/>
        </w:rPr>
        <w:t xml:space="preserve"> included in a national uniform protocol for documentation of major incidents: a Delphi study. </w:t>
      </w:r>
      <w:r w:rsidRPr="00E56BB8">
        <w:rPr>
          <w:rFonts w:cs="Times-Roman"/>
          <w:i/>
        </w:rPr>
        <w:t>Scandinavian Journal of Trauma, Resuscitation and Emergency Medicine</w:t>
      </w:r>
      <w:r w:rsidRPr="00E56BB8">
        <w:rPr>
          <w:rFonts w:cs="Times-Roman"/>
        </w:rPr>
        <w:t>; 21: 68-79.</w:t>
      </w:r>
    </w:p>
    <w:p w:rsidR="00A16532" w:rsidRPr="00E56BB8" w:rsidRDefault="00A16532" w:rsidP="00E56BB8">
      <w:pPr>
        <w:autoSpaceDE w:val="0"/>
        <w:autoSpaceDN w:val="0"/>
        <w:adjustRightInd w:val="0"/>
        <w:spacing w:after="60" w:line="264" w:lineRule="auto"/>
        <w:rPr>
          <w:rFonts w:cs="Times-Roman"/>
        </w:rPr>
      </w:pPr>
      <w:proofErr w:type="spellStart"/>
      <w:proofErr w:type="gramStart"/>
      <w:r w:rsidRPr="00E56BB8">
        <w:rPr>
          <w:rFonts w:cs="Times-Roman"/>
        </w:rPr>
        <w:t>Raskin</w:t>
      </w:r>
      <w:proofErr w:type="spellEnd"/>
      <w:r w:rsidRPr="00E56BB8">
        <w:rPr>
          <w:rFonts w:cs="Times-Roman"/>
        </w:rPr>
        <w:t xml:space="preserve"> MS (1994).</w:t>
      </w:r>
      <w:proofErr w:type="gramEnd"/>
      <w:r w:rsidRPr="00E56BB8">
        <w:rPr>
          <w:rFonts w:cs="Times-Roman"/>
        </w:rPr>
        <w:t xml:space="preserve"> The Delphi study in field instruction revisited: expert consensus on issues and research priorities. </w:t>
      </w:r>
      <w:r w:rsidRPr="00E56BB8">
        <w:rPr>
          <w:rFonts w:cs="Times-Roman"/>
          <w:i/>
        </w:rPr>
        <w:t>Journal of Social Work and Education</w:t>
      </w:r>
      <w:r w:rsidRPr="00E56BB8">
        <w:rPr>
          <w:rFonts w:cs="Times-Roman"/>
        </w:rPr>
        <w:t>; 30: 75-89.</w:t>
      </w:r>
    </w:p>
    <w:p w:rsidR="00BD6BCA" w:rsidRPr="00E56BB8" w:rsidRDefault="00BD6BCA" w:rsidP="00E56BB8">
      <w:pPr>
        <w:autoSpaceDE w:val="0"/>
        <w:autoSpaceDN w:val="0"/>
        <w:adjustRightInd w:val="0"/>
        <w:spacing w:after="60" w:line="264" w:lineRule="auto"/>
        <w:rPr>
          <w:rFonts w:cs="Times-Roman"/>
        </w:rPr>
      </w:pPr>
      <w:proofErr w:type="spellStart"/>
      <w:proofErr w:type="gramStart"/>
      <w:r w:rsidRPr="00E56BB8">
        <w:rPr>
          <w:rFonts w:cs="Times-Roman"/>
        </w:rPr>
        <w:t>Ratnapradipa</w:t>
      </w:r>
      <w:proofErr w:type="spellEnd"/>
      <w:r w:rsidRPr="00E56BB8">
        <w:rPr>
          <w:rFonts w:cs="Times-Roman"/>
        </w:rPr>
        <w:t xml:space="preserve"> D, Brown SL, </w:t>
      </w:r>
      <w:proofErr w:type="spellStart"/>
      <w:r w:rsidRPr="00E56BB8">
        <w:rPr>
          <w:rFonts w:cs="Times-Roman"/>
        </w:rPr>
        <w:t>Wodika</w:t>
      </w:r>
      <w:proofErr w:type="spellEnd"/>
      <w:r w:rsidRPr="00E56BB8">
        <w:rPr>
          <w:rFonts w:cs="Times-Roman"/>
        </w:rPr>
        <w:t xml:space="preserve"> AB (2011).</w:t>
      </w:r>
      <w:proofErr w:type="gramEnd"/>
      <w:r w:rsidRPr="00E56BB8">
        <w:rPr>
          <w:rFonts w:cs="Times-Roman"/>
        </w:rPr>
        <w:t xml:space="preserve"> Examining the breadth and depth of environmental health through </w:t>
      </w:r>
      <w:proofErr w:type="gramStart"/>
      <w:r w:rsidRPr="00E56BB8">
        <w:rPr>
          <w:rFonts w:cs="Times-Roman"/>
        </w:rPr>
        <w:t>a modifies</w:t>
      </w:r>
      <w:proofErr w:type="gramEnd"/>
      <w:r w:rsidRPr="00E56BB8">
        <w:rPr>
          <w:rFonts w:cs="Times-Roman"/>
        </w:rPr>
        <w:t xml:space="preserve"> Delphi technique. </w:t>
      </w:r>
      <w:r w:rsidRPr="00E56BB8">
        <w:rPr>
          <w:rFonts w:cs="Times-Roman"/>
          <w:i/>
        </w:rPr>
        <w:t>American Journal of Health Education</w:t>
      </w:r>
      <w:r w:rsidRPr="00E56BB8">
        <w:rPr>
          <w:rFonts w:cs="Times-Roman"/>
        </w:rPr>
        <w:t>; 42(1): 50-57.</w:t>
      </w:r>
    </w:p>
    <w:p w:rsidR="00A16532" w:rsidRPr="00E56BB8" w:rsidRDefault="00A16532" w:rsidP="00E56BB8">
      <w:pPr>
        <w:autoSpaceDE w:val="0"/>
        <w:autoSpaceDN w:val="0"/>
        <w:adjustRightInd w:val="0"/>
        <w:spacing w:after="60" w:line="264" w:lineRule="auto"/>
        <w:rPr>
          <w:rFonts w:cs="Times-Roman"/>
          <w:i/>
        </w:rPr>
      </w:pPr>
      <w:proofErr w:type="spellStart"/>
      <w:r w:rsidRPr="00E56BB8">
        <w:rPr>
          <w:rFonts w:cs="Times-Roman"/>
        </w:rPr>
        <w:t>Rayens</w:t>
      </w:r>
      <w:proofErr w:type="spellEnd"/>
      <w:r w:rsidRPr="00E56BB8">
        <w:rPr>
          <w:rFonts w:cs="Times-Roman"/>
        </w:rPr>
        <w:t xml:space="preserve"> MK, Hahn EJ (2000). </w:t>
      </w:r>
      <w:proofErr w:type="gramStart"/>
      <w:r w:rsidRPr="00E56BB8">
        <w:rPr>
          <w:rFonts w:cs="Times-Roman"/>
        </w:rPr>
        <w:t>Building consensus using the policy Delphi method.</w:t>
      </w:r>
      <w:proofErr w:type="gramEnd"/>
      <w:r w:rsidRPr="00E56BB8">
        <w:rPr>
          <w:rFonts w:cs="Times-Roman"/>
        </w:rPr>
        <w:t xml:space="preserve"> </w:t>
      </w:r>
      <w:r w:rsidRPr="00E56BB8">
        <w:rPr>
          <w:rFonts w:cs="Times-Roman"/>
          <w:i/>
        </w:rPr>
        <w:t xml:space="preserve">Policy </w:t>
      </w:r>
      <w:proofErr w:type="spellStart"/>
      <w:r w:rsidRPr="00E56BB8">
        <w:rPr>
          <w:rFonts w:cs="Times-Roman"/>
          <w:i/>
        </w:rPr>
        <w:t>Polit</w:t>
      </w:r>
      <w:proofErr w:type="spellEnd"/>
      <w:r w:rsidRPr="00E56BB8">
        <w:rPr>
          <w:rFonts w:cs="Times-Roman"/>
          <w:i/>
        </w:rPr>
        <w:t xml:space="preserve"> Nurse </w:t>
      </w:r>
      <w:proofErr w:type="spellStart"/>
      <w:r w:rsidRPr="00E56BB8">
        <w:rPr>
          <w:rFonts w:cs="Times-Roman"/>
          <w:i/>
        </w:rPr>
        <w:t>Pract</w:t>
      </w:r>
      <w:proofErr w:type="spellEnd"/>
      <w:r w:rsidRPr="00E56BB8">
        <w:rPr>
          <w:rFonts w:cs="Times-Roman"/>
        </w:rPr>
        <w:t>; 1: 308-315.</w:t>
      </w:r>
      <w:r w:rsidRPr="00E56BB8">
        <w:rPr>
          <w:rFonts w:cs="Times-Roman"/>
          <w:i/>
        </w:rPr>
        <w:t xml:space="preserve"> </w:t>
      </w:r>
    </w:p>
    <w:p w:rsidR="00746B22" w:rsidRPr="00E56BB8" w:rsidRDefault="00746B22" w:rsidP="00E56BB8">
      <w:pPr>
        <w:spacing w:after="60" w:line="264" w:lineRule="auto"/>
      </w:pPr>
      <w:proofErr w:type="gramStart"/>
      <w:r w:rsidRPr="00E56BB8">
        <w:t xml:space="preserve">Revilla MA, Saris WE, </w:t>
      </w:r>
      <w:proofErr w:type="spellStart"/>
      <w:r w:rsidRPr="00E56BB8">
        <w:t>Krosnick</w:t>
      </w:r>
      <w:proofErr w:type="spellEnd"/>
      <w:r w:rsidRPr="00E56BB8">
        <w:t xml:space="preserve"> JA (2014).</w:t>
      </w:r>
      <w:proofErr w:type="gramEnd"/>
      <w:r w:rsidRPr="00E56BB8">
        <w:t xml:space="preserve"> Choosing the number of categories in agree-disagree scales. </w:t>
      </w:r>
      <w:r w:rsidRPr="00E56BB8">
        <w:rPr>
          <w:i/>
        </w:rPr>
        <w:t>Sociological Methods and Research</w:t>
      </w:r>
      <w:r w:rsidRPr="00E56BB8">
        <w:t>; 43(1): 73-97.</w:t>
      </w:r>
    </w:p>
    <w:p w:rsidR="00D04478" w:rsidRPr="00E56BB8" w:rsidRDefault="00D04478" w:rsidP="00E56BB8">
      <w:pPr>
        <w:spacing w:after="60" w:line="264" w:lineRule="auto"/>
      </w:pPr>
      <w:r w:rsidRPr="00E56BB8">
        <w:t xml:space="preserve">Riley M, Wood RC, Clark E </w:t>
      </w:r>
      <w:r w:rsidRPr="00E56BB8">
        <w:rPr>
          <w:i/>
        </w:rPr>
        <w:t>et al.</w:t>
      </w:r>
      <w:r w:rsidRPr="00E56BB8">
        <w:t xml:space="preserve"> (2000). </w:t>
      </w:r>
      <w:proofErr w:type="gramStart"/>
      <w:r w:rsidRPr="00E56BB8">
        <w:rPr>
          <w:i/>
        </w:rPr>
        <w:t>Researching and writing dissertations in business and management</w:t>
      </w:r>
      <w:r w:rsidRPr="00E56BB8">
        <w:t>.</w:t>
      </w:r>
      <w:proofErr w:type="gramEnd"/>
      <w:r w:rsidRPr="00E56BB8">
        <w:t xml:space="preserve"> Thomson Learning: London, UK.</w:t>
      </w:r>
    </w:p>
    <w:p w:rsidR="009D317A" w:rsidRPr="00E56BB8" w:rsidRDefault="009D317A" w:rsidP="00E56BB8">
      <w:pPr>
        <w:spacing w:after="60" w:line="264" w:lineRule="auto"/>
      </w:pPr>
      <w:proofErr w:type="gramStart"/>
      <w:r w:rsidRPr="00E56BB8">
        <w:t>Royal Colleges of Physicians and Paediatrics Child Health (2016).</w:t>
      </w:r>
      <w:proofErr w:type="gramEnd"/>
      <w:r w:rsidRPr="00E56BB8">
        <w:t xml:space="preserve"> </w:t>
      </w:r>
      <w:r w:rsidRPr="00E56BB8">
        <w:rPr>
          <w:i/>
        </w:rPr>
        <w:t>Every breath we take – the lifelong impact of air pollution</w:t>
      </w:r>
      <w:r w:rsidRPr="00E56BB8">
        <w:t>. London: Royal College of Physicians.</w:t>
      </w:r>
    </w:p>
    <w:p w:rsidR="008B2880" w:rsidRPr="00E56BB8" w:rsidRDefault="008B2880" w:rsidP="00E56BB8">
      <w:pPr>
        <w:autoSpaceDE w:val="0"/>
        <w:autoSpaceDN w:val="0"/>
        <w:adjustRightInd w:val="0"/>
        <w:spacing w:after="60" w:line="264" w:lineRule="auto"/>
        <w:rPr>
          <w:rFonts w:cs="Times-Roman"/>
        </w:rPr>
      </w:pPr>
      <w:proofErr w:type="spellStart"/>
      <w:r w:rsidRPr="00E56BB8">
        <w:rPr>
          <w:rFonts w:cs="Times-Roman"/>
        </w:rPr>
        <w:t>Scheibe</w:t>
      </w:r>
      <w:proofErr w:type="spellEnd"/>
      <w:r w:rsidRPr="00E56BB8">
        <w:rPr>
          <w:rFonts w:cs="Times-Roman"/>
        </w:rPr>
        <w:t xml:space="preserve"> M, </w:t>
      </w:r>
      <w:proofErr w:type="spellStart"/>
      <w:r w:rsidRPr="00E56BB8">
        <w:rPr>
          <w:rFonts w:cs="Times-Roman"/>
        </w:rPr>
        <w:t>Skutsch</w:t>
      </w:r>
      <w:proofErr w:type="spellEnd"/>
      <w:r w:rsidRPr="00E56BB8">
        <w:rPr>
          <w:rFonts w:cs="Times-Roman"/>
        </w:rPr>
        <w:t xml:space="preserve"> M, </w:t>
      </w:r>
      <w:proofErr w:type="spellStart"/>
      <w:r w:rsidRPr="00E56BB8">
        <w:rPr>
          <w:rFonts w:cs="Times-Roman"/>
        </w:rPr>
        <w:t>Schofer</w:t>
      </w:r>
      <w:proofErr w:type="spellEnd"/>
      <w:r w:rsidRPr="00E56BB8">
        <w:rPr>
          <w:rFonts w:cs="Times-Roman"/>
        </w:rPr>
        <w:t xml:space="preserve"> J (1975). </w:t>
      </w:r>
      <w:proofErr w:type="gramStart"/>
      <w:r w:rsidRPr="00E56BB8">
        <w:rPr>
          <w:rFonts w:cs="Times-Roman"/>
        </w:rPr>
        <w:t>Experiments in Delphi methodology.</w:t>
      </w:r>
      <w:proofErr w:type="gramEnd"/>
      <w:r w:rsidRPr="00E56BB8">
        <w:rPr>
          <w:rFonts w:cs="Times-Roman"/>
        </w:rPr>
        <w:t xml:space="preserve"> In: HA </w:t>
      </w:r>
      <w:proofErr w:type="spellStart"/>
      <w:r w:rsidRPr="00E56BB8">
        <w:rPr>
          <w:rFonts w:cs="Times-Roman"/>
        </w:rPr>
        <w:t>Linstone</w:t>
      </w:r>
      <w:proofErr w:type="spellEnd"/>
      <w:r w:rsidRPr="00E56BB8">
        <w:rPr>
          <w:rFonts w:cs="Times-Roman"/>
        </w:rPr>
        <w:t xml:space="preserve">, M </w:t>
      </w:r>
      <w:proofErr w:type="spellStart"/>
      <w:r w:rsidRPr="00E56BB8">
        <w:rPr>
          <w:rFonts w:cs="Times-Roman"/>
        </w:rPr>
        <w:t>Turoff</w:t>
      </w:r>
      <w:proofErr w:type="spellEnd"/>
      <w:r w:rsidRPr="00E56BB8">
        <w:rPr>
          <w:rFonts w:cs="Times-Roman"/>
        </w:rPr>
        <w:t xml:space="preserve"> (Eds.) The Delphi Method – techniques and applications (262-287). Addison-Wesley: Reading, US.</w:t>
      </w:r>
    </w:p>
    <w:p w:rsidR="00E40621" w:rsidRPr="00E56BB8" w:rsidRDefault="00E40621" w:rsidP="00E56BB8">
      <w:pPr>
        <w:autoSpaceDE w:val="0"/>
        <w:autoSpaceDN w:val="0"/>
        <w:adjustRightInd w:val="0"/>
        <w:spacing w:after="60" w:line="264" w:lineRule="auto"/>
        <w:rPr>
          <w:rFonts w:cs="Times-Roman"/>
        </w:rPr>
      </w:pPr>
      <w:r w:rsidRPr="00E56BB8">
        <w:rPr>
          <w:rFonts w:cs="Times-Roman"/>
        </w:rPr>
        <w:t xml:space="preserve">Schmidt RC (1997). Managing Delphi surveys using nonparametric statistical techniques. </w:t>
      </w:r>
      <w:r w:rsidRPr="00E56BB8">
        <w:rPr>
          <w:rFonts w:cs="Times-Roman"/>
          <w:i/>
        </w:rPr>
        <w:t>Decision Sciences</w:t>
      </w:r>
      <w:r w:rsidRPr="00E56BB8">
        <w:rPr>
          <w:rFonts w:cs="Times-Roman"/>
        </w:rPr>
        <w:t>; 28(3): 763-774.</w:t>
      </w:r>
    </w:p>
    <w:p w:rsidR="00BD6BCA" w:rsidRPr="00E56BB8" w:rsidRDefault="00BD6BCA" w:rsidP="00E56BB8">
      <w:pPr>
        <w:autoSpaceDE w:val="0"/>
        <w:autoSpaceDN w:val="0"/>
        <w:adjustRightInd w:val="0"/>
        <w:spacing w:after="60" w:line="264" w:lineRule="auto"/>
      </w:pPr>
      <w:r w:rsidRPr="00E56BB8">
        <w:t xml:space="preserve">Sherriff G (2014). Drivers of and barriers to urban energy in the UK: a Delphi study. </w:t>
      </w:r>
      <w:r w:rsidRPr="00E56BB8">
        <w:rPr>
          <w:i/>
        </w:rPr>
        <w:t>Local Environment</w:t>
      </w:r>
      <w:r w:rsidRPr="00E56BB8">
        <w:t>; 19(5): 497-519.</w:t>
      </w:r>
    </w:p>
    <w:p w:rsidR="008B70F0" w:rsidRPr="00E56BB8" w:rsidRDefault="008B70F0" w:rsidP="00E56BB8">
      <w:pPr>
        <w:pStyle w:val="paragraphstyle4"/>
        <w:shd w:val="clear" w:color="auto" w:fill="FFFFFF"/>
        <w:spacing w:before="0" w:beforeAutospacing="0" w:after="60" w:afterAutospacing="0" w:line="264" w:lineRule="auto"/>
        <w:rPr>
          <w:rFonts w:asciiTheme="minorHAnsi" w:hAnsiTheme="minorHAnsi" w:cs="Tahoma"/>
          <w:sz w:val="22"/>
          <w:szCs w:val="22"/>
        </w:rPr>
      </w:pPr>
      <w:r w:rsidRPr="00E56BB8">
        <w:rPr>
          <w:rFonts w:asciiTheme="minorHAnsi" w:hAnsiTheme="minorHAnsi" w:cs="Tahoma"/>
          <w:sz w:val="22"/>
          <w:szCs w:val="22"/>
        </w:rPr>
        <w:t xml:space="preserve">Von </w:t>
      </w:r>
      <w:proofErr w:type="spellStart"/>
      <w:r w:rsidRPr="00E56BB8">
        <w:rPr>
          <w:rFonts w:asciiTheme="minorHAnsi" w:hAnsiTheme="minorHAnsi" w:cs="Tahoma"/>
          <w:sz w:val="22"/>
          <w:szCs w:val="22"/>
        </w:rPr>
        <w:t>der</w:t>
      </w:r>
      <w:proofErr w:type="spellEnd"/>
      <w:r w:rsidRPr="00E56BB8">
        <w:rPr>
          <w:rFonts w:asciiTheme="minorHAnsi" w:hAnsiTheme="minorHAnsi" w:cs="Tahoma"/>
          <w:sz w:val="22"/>
          <w:szCs w:val="22"/>
        </w:rPr>
        <w:t xml:space="preserve"> </w:t>
      </w:r>
      <w:proofErr w:type="spellStart"/>
      <w:r w:rsidRPr="00E56BB8">
        <w:rPr>
          <w:rFonts w:asciiTheme="minorHAnsi" w:hAnsiTheme="minorHAnsi" w:cs="Tahoma"/>
          <w:sz w:val="22"/>
          <w:szCs w:val="22"/>
        </w:rPr>
        <w:t>Gracht</w:t>
      </w:r>
      <w:proofErr w:type="spellEnd"/>
      <w:r w:rsidRPr="00E56BB8">
        <w:rPr>
          <w:rFonts w:asciiTheme="minorHAnsi" w:hAnsiTheme="minorHAnsi" w:cs="Tahoma"/>
          <w:sz w:val="22"/>
          <w:szCs w:val="22"/>
        </w:rPr>
        <w:t xml:space="preserve"> (2012). Consensus measurement in Delphi studies: review and implications for future quality assurance. </w:t>
      </w:r>
      <w:proofErr w:type="gramStart"/>
      <w:r w:rsidRPr="00E56BB8">
        <w:rPr>
          <w:rFonts w:asciiTheme="minorHAnsi" w:hAnsiTheme="minorHAnsi" w:cs="Tahoma"/>
          <w:i/>
          <w:sz w:val="22"/>
          <w:szCs w:val="22"/>
        </w:rPr>
        <w:t>Technological Forecasting and Social Change</w:t>
      </w:r>
      <w:r w:rsidRPr="00E56BB8">
        <w:rPr>
          <w:rFonts w:asciiTheme="minorHAnsi" w:hAnsiTheme="minorHAnsi" w:cs="Tahoma"/>
          <w:sz w:val="22"/>
          <w:szCs w:val="22"/>
        </w:rPr>
        <w:t>; 79: 1525-1536.</w:t>
      </w:r>
      <w:proofErr w:type="gramEnd"/>
    </w:p>
    <w:p w:rsidR="00BD6BCA" w:rsidRPr="00E56BB8" w:rsidRDefault="00BD6BCA" w:rsidP="00E56BB8">
      <w:pPr>
        <w:spacing w:after="60" w:line="264" w:lineRule="auto"/>
      </w:pPr>
      <w:proofErr w:type="spellStart"/>
      <w:proofErr w:type="gramStart"/>
      <w:r w:rsidRPr="00E56BB8">
        <w:t>Waterlander</w:t>
      </w:r>
      <w:proofErr w:type="spellEnd"/>
      <w:r w:rsidRPr="00E56BB8">
        <w:t xml:space="preserve"> WE, </w:t>
      </w:r>
      <w:proofErr w:type="spellStart"/>
      <w:r w:rsidRPr="00E56BB8">
        <w:t>Steenhuis</w:t>
      </w:r>
      <w:proofErr w:type="spellEnd"/>
      <w:r w:rsidRPr="00E56BB8">
        <w:t xml:space="preserve"> IHM, de Vet E </w:t>
      </w:r>
      <w:r w:rsidRPr="00E56BB8">
        <w:rPr>
          <w:i/>
        </w:rPr>
        <w:t>et al</w:t>
      </w:r>
      <w:r w:rsidRPr="00E56BB8">
        <w:t>. (2009).</w:t>
      </w:r>
      <w:proofErr w:type="gramEnd"/>
      <w:r w:rsidRPr="00E56BB8">
        <w:t xml:space="preserve"> Expert views on most suitable monetary incentives on food to stimulate healthy eating. </w:t>
      </w:r>
      <w:r w:rsidRPr="00E56BB8">
        <w:rPr>
          <w:i/>
        </w:rPr>
        <w:t>European Journal of Public Health</w:t>
      </w:r>
      <w:r w:rsidRPr="00E56BB8">
        <w:t>; 20(3): 325-331.</w:t>
      </w:r>
    </w:p>
    <w:p w:rsidR="006F3FF1" w:rsidRPr="00E56BB8" w:rsidRDefault="006F3FF1" w:rsidP="00E56BB8">
      <w:pPr>
        <w:spacing w:after="60" w:line="264" w:lineRule="auto"/>
      </w:pPr>
      <w:proofErr w:type="gramStart"/>
      <w:r w:rsidRPr="00E56BB8">
        <w:t>Welsh Government (2009).</w:t>
      </w:r>
      <w:proofErr w:type="gramEnd"/>
      <w:r w:rsidRPr="00E56BB8">
        <w:t xml:space="preserve"> </w:t>
      </w:r>
      <w:proofErr w:type="gramStart"/>
      <w:r w:rsidRPr="00E56BB8">
        <w:rPr>
          <w:i/>
        </w:rPr>
        <w:t>Local Air Quality Management Policy Guidance for Wales</w:t>
      </w:r>
      <w:r w:rsidRPr="00E56BB8">
        <w:t>.</w:t>
      </w:r>
      <w:proofErr w:type="gramEnd"/>
      <w:r w:rsidRPr="00E56BB8">
        <w:t xml:space="preserve"> Welsh Government: Cardiff, UK.</w:t>
      </w:r>
    </w:p>
    <w:p w:rsidR="00940B46" w:rsidRPr="00E56BB8" w:rsidRDefault="00940B46" w:rsidP="00E56BB8">
      <w:pPr>
        <w:spacing w:after="60" w:line="264" w:lineRule="auto"/>
      </w:pPr>
      <w:proofErr w:type="gramStart"/>
      <w:r w:rsidRPr="00E56BB8">
        <w:t>Welsh Government (2015).</w:t>
      </w:r>
      <w:proofErr w:type="gramEnd"/>
      <w:r w:rsidRPr="00E56BB8">
        <w:t xml:space="preserve"> </w:t>
      </w:r>
      <w:proofErr w:type="gramStart"/>
      <w:r w:rsidRPr="00E56BB8">
        <w:rPr>
          <w:i/>
        </w:rPr>
        <w:t>Wellbeing of Future Generations (Wales) Act 2015.</w:t>
      </w:r>
      <w:proofErr w:type="gramEnd"/>
      <w:r w:rsidRPr="00E56BB8">
        <w:rPr>
          <w:i/>
        </w:rPr>
        <w:t xml:space="preserve"> </w:t>
      </w:r>
      <w:r w:rsidRPr="00E56BB8">
        <w:t>Welsh Government: Cardiff, UK.</w:t>
      </w:r>
      <w:r w:rsidR="009762DD" w:rsidRPr="00E56BB8">
        <w:t xml:space="preserve"> </w:t>
      </w:r>
      <w:proofErr w:type="gramStart"/>
      <w:r w:rsidR="009762DD" w:rsidRPr="00E56BB8">
        <w:t>(Accessed</w:t>
      </w:r>
      <w:r w:rsidRPr="00E56BB8">
        <w:t xml:space="preserve">: </w:t>
      </w:r>
      <w:hyperlink r:id="rId12" w:history="1">
        <w:r w:rsidRPr="00E56BB8">
          <w:rPr>
            <w:rStyle w:val="Hyperlink"/>
          </w:rPr>
          <w:t>http://www.legislation.gov.uk/anaw/2015/2/contents/enacted</w:t>
        </w:r>
      </w:hyperlink>
      <w:r w:rsidR="009762DD" w:rsidRPr="00E56BB8">
        <w:t xml:space="preserve"> on </w:t>
      </w:r>
      <w:r w:rsidRPr="00E56BB8">
        <w:t>02/03/17</w:t>
      </w:r>
      <w:r w:rsidR="008B70F0" w:rsidRPr="00E56BB8">
        <w:t>)</w:t>
      </w:r>
      <w:r w:rsidRPr="00E56BB8">
        <w:t>.</w:t>
      </w:r>
      <w:proofErr w:type="gramEnd"/>
    </w:p>
    <w:p w:rsidR="009D317A" w:rsidRPr="00E56BB8" w:rsidRDefault="009D317A" w:rsidP="00E56BB8">
      <w:pPr>
        <w:spacing w:after="60" w:line="264" w:lineRule="auto"/>
      </w:pPr>
      <w:proofErr w:type="gramStart"/>
      <w:r w:rsidRPr="00E56BB8">
        <w:t>World Health Organization (2013).</w:t>
      </w:r>
      <w:proofErr w:type="gramEnd"/>
      <w:r w:rsidRPr="00E56BB8">
        <w:t xml:space="preserve"> </w:t>
      </w:r>
      <w:r w:rsidRPr="00E56BB8">
        <w:rPr>
          <w:i/>
        </w:rPr>
        <w:t>Review of evidence on health aspects of air pollution–REVIHAAP</w:t>
      </w:r>
      <w:r w:rsidRPr="00E56BB8">
        <w:t>. WHO: Copenhagen, Denmark.</w:t>
      </w:r>
    </w:p>
    <w:p w:rsidR="00901B6F" w:rsidRPr="00E56BB8" w:rsidRDefault="00901B6F" w:rsidP="00E56BB8">
      <w:pPr>
        <w:spacing w:after="60" w:line="264" w:lineRule="auto"/>
      </w:pPr>
      <w:proofErr w:type="spellStart"/>
      <w:r w:rsidRPr="00E56BB8">
        <w:t>Yousuf</w:t>
      </w:r>
      <w:proofErr w:type="spellEnd"/>
      <w:r w:rsidRPr="00E56BB8">
        <w:t xml:space="preserve"> MI (2007). </w:t>
      </w:r>
      <w:proofErr w:type="gramStart"/>
      <w:r w:rsidRPr="00E56BB8">
        <w:t>Using experts’ opinions through Delphi technique.</w:t>
      </w:r>
      <w:proofErr w:type="gramEnd"/>
      <w:r w:rsidRPr="00E56BB8">
        <w:t xml:space="preserve"> </w:t>
      </w:r>
      <w:proofErr w:type="gramStart"/>
      <w:r w:rsidRPr="00E56BB8">
        <w:rPr>
          <w:i/>
        </w:rPr>
        <w:t>Practical Assessment, Research and Evaluation</w:t>
      </w:r>
      <w:r w:rsidRPr="00E56BB8">
        <w:t>; 12(4).</w:t>
      </w:r>
      <w:proofErr w:type="gramEnd"/>
    </w:p>
    <w:p w:rsidR="009D317A" w:rsidRPr="0091583A" w:rsidRDefault="009D317A" w:rsidP="00E77050">
      <w:pPr>
        <w:spacing w:after="120"/>
        <w:rPr>
          <w:rFonts w:eastAsia="Times New Roman" w:cs="Times New Roman"/>
          <w:b/>
          <w:lang w:eastAsia="en-GB"/>
        </w:rPr>
      </w:pPr>
    </w:p>
    <w:sectPr w:rsidR="009D317A" w:rsidRPr="0091583A" w:rsidSect="000D68EF">
      <w:footerReference w:type="default" r:id="rId13"/>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96A" w:rsidRDefault="0056696A" w:rsidP="004520D2">
      <w:pPr>
        <w:spacing w:after="0" w:line="240" w:lineRule="auto"/>
      </w:pPr>
      <w:r>
        <w:separator/>
      </w:r>
    </w:p>
  </w:endnote>
  <w:endnote w:type="continuationSeparator" w:id="0">
    <w:p w:rsidR="0056696A" w:rsidRDefault="0056696A" w:rsidP="00452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S Albert Light">
    <w:altName w:val="FS Albert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alatinoLinotype-Roman">
    <w:panose1 w:val="00000000000000000000"/>
    <w:charset w:val="00"/>
    <w:family w:val="roman"/>
    <w:notTrueType/>
    <w:pitch w:val="default"/>
    <w:sig w:usb0="00000003" w:usb1="00000000" w:usb2="00000000" w:usb3="00000000" w:csb0="00000001" w:csb1="00000000"/>
  </w:font>
  <w:font w:name="AdvP641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dvTT378de93d">
    <w:panose1 w:val="00000000000000000000"/>
    <w:charset w:val="00"/>
    <w:family w:val="roman"/>
    <w:notTrueType/>
    <w:pitch w:val="default"/>
    <w:sig w:usb0="00000003" w:usb1="00000000" w:usb2="00000000" w:usb3="00000000" w:csb0="00000001" w:csb1="00000000"/>
  </w:font>
  <w:font w:name="AdvTTed3652b8.I">
    <w:panose1 w:val="00000000000000000000"/>
    <w:charset w:val="00"/>
    <w:family w:val="roman"/>
    <w:notTrueType/>
    <w:pitch w:val="default"/>
    <w:sig w:usb0="00000003" w:usb1="00000000" w:usb2="00000000" w:usb3="00000000" w:csb0="00000001" w:csb1="00000000"/>
  </w:font>
  <w:font w:name="AdvTT345220aa.B">
    <w:panose1 w:val="00000000000000000000"/>
    <w:charset w:val="00"/>
    <w:family w:val="roman"/>
    <w:notTrueType/>
    <w:pitch w:val="default"/>
    <w:sig w:usb0="00000003" w:usb1="00000000" w:usb2="00000000" w:usb3="00000000" w:csb0="00000001" w:csb1="00000000"/>
  </w:font>
  <w:font w:name="AdvTT378de93d+20">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utigerLTStd-Light">
    <w:altName w:val="Arial"/>
    <w:panose1 w:val="00000000000000000000"/>
    <w:charset w:val="00"/>
    <w:family w:val="swiss"/>
    <w:notTrueType/>
    <w:pitch w:val="default"/>
    <w:sig w:usb0="00000001" w:usb1="00000000" w:usb2="00000000" w:usb3="00000000" w:csb0="00000009" w:csb1="00000000"/>
  </w:font>
  <w:font w:name="Minion-Regular">
    <w:panose1 w:val="00000000000000000000"/>
    <w:charset w:val="00"/>
    <w:family w:val="swiss"/>
    <w:notTrueType/>
    <w:pitch w:val="default"/>
    <w:sig w:usb0="00000003" w:usb1="00000000" w:usb2="00000000" w:usb3="00000000" w:csb0="00000001" w:csb1="00000000"/>
  </w:font>
  <w:font w:name="HelveticaNeue-Light">
    <w:altName w:val="Arial Unicode MS"/>
    <w:panose1 w:val="00000000000000000000"/>
    <w:charset w:val="00"/>
    <w:family w:val="swiss"/>
    <w:notTrueType/>
    <w:pitch w:val="default"/>
    <w:sig w:usb0="00000001" w:usb1="08070000" w:usb2="00000010" w:usb3="00000000" w:csb0="0002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9C" w:rsidRPr="002349D6" w:rsidRDefault="00ED3E9C">
    <w:pPr>
      <w:pStyle w:val="Footer"/>
      <w:jc w:val="right"/>
      <w:rPr>
        <w:sz w:val="16"/>
        <w:szCs w:val="16"/>
      </w:rPr>
    </w:pPr>
    <w:r w:rsidRPr="002349D6">
      <w:rPr>
        <w:sz w:val="16"/>
        <w:szCs w:val="16"/>
      </w:rPr>
      <w:fldChar w:fldCharType="begin"/>
    </w:r>
    <w:r w:rsidRPr="002349D6">
      <w:rPr>
        <w:sz w:val="16"/>
        <w:szCs w:val="16"/>
      </w:rPr>
      <w:instrText xml:space="preserve"> PAGE   \* MERGEFORMAT </w:instrText>
    </w:r>
    <w:r w:rsidRPr="002349D6">
      <w:rPr>
        <w:sz w:val="16"/>
        <w:szCs w:val="16"/>
      </w:rPr>
      <w:fldChar w:fldCharType="separate"/>
    </w:r>
    <w:r w:rsidR="00272734">
      <w:rPr>
        <w:noProof/>
        <w:sz w:val="16"/>
        <w:szCs w:val="16"/>
      </w:rPr>
      <w:t>22</w:t>
    </w:r>
    <w:r w:rsidRPr="002349D6">
      <w:rPr>
        <w:noProof/>
        <w:sz w:val="16"/>
        <w:szCs w:val="16"/>
      </w:rPr>
      <w:fldChar w:fldCharType="end"/>
    </w:r>
  </w:p>
  <w:p w:rsidR="00ED3E9C" w:rsidRDefault="00ED3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96A" w:rsidRDefault="0056696A" w:rsidP="004520D2">
      <w:pPr>
        <w:spacing w:after="0" w:line="240" w:lineRule="auto"/>
      </w:pPr>
      <w:r>
        <w:separator/>
      </w:r>
    </w:p>
  </w:footnote>
  <w:footnote w:type="continuationSeparator" w:id="0">
    <w:p w:rsidR="0056696A" w:rsidRDefault="0056696A" w:rsidP="00452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40C1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B12B02"/>
    <w:multiLevelType w:val="hybridMultilevel"/>
    <w:tmpl w:val="27902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C7BCA"/>
    <w:multiLevelType w:val="multilevel"/>
    <w:tmpl w:val="734C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C5DEC"/>
    <w:multiLevelType w:val="hybridMultilevel"/>
    <w:tmpl w:val="C752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125C9E"/>
    <w:multiLevelType w:val="hybridMultilevel"/>
    <w:tmpl w:val="C73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295585"/>
    <w:multiLevelType w:val="hybridMultilevel"/>
    <w:tmpl w:val="A55658B4"/>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1AB41C30"/>
    <w:multiLevelType w:val="hybridMultilevel"/>
    <w:tmpl w:val="F56E45F0"/>
    <w:lvl w:ilvl="0" w:tplc="B9B6EB5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11A72B5"/>
    <w:multiLevelType w:val="hybridMultilevel"/>
    <w:tmpl w:val="67C8E4B2"/>
    <w:lvl w:ilvl="0" w:tplc="19C2683C">
      <w:start w:val="1"/>
      <w:numFmt w:val="bullet"/>
      <w:pStyle w:val="ListParagraph"/>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
    <w:nsid w:val="32325B70"/>
    <w:multiLevelType w:val="hybridMultilevel"/>
    <w:tmpl w:val="9A5E7B96"/>
    <w:lvl w:ilvl="0" w:tplc="14B6F3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AE69E2"/>
    <w:multiLevelType w:val="multilevel"/>
    <w:tmpl w:val="9252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17CAD"/>
    <w:multiLevelType w:val="hybridMultilevel"/>
    <w:tmpl w:val="6BF4DDDE"/>
    <w:lvl w:ilvl="0" w:tplc="ABBA6D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A346A0"/>
    <w:multiLevelType w:val="hybridMultilevel"/>
    <w:tmpl w:val="6922B9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B57A37"/>
    <w:multiLevelType w:val="hybridMultilevel"/>
    <w:tmpl w:val="C29E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2110C8"/>
    <w:multiLevelType w:val="hybridMultilevel"/>
    <w:tmpl w:val="028057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827B55"/>
    <w:multiLevelType w:val="multilevel"/>
    <w:tmpl w:val="591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047DF"/>
    <w:multiLevelType w:val="multilevel"/>
    <w:tmpl w:val="EE86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283FC0"/>
    <w:multiLevelType w:val="hybridMultilevel"/>
    <w:tmpl w:val="E9B8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64353E"/>
    <w:multiLevelType w:val="hybridMultilevel"/>
    <w:tmpl w:val="9328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1C0AE0"/>
    <w:multiLevelType w:val="hybridMultilevel"/>
    <w:tmpl w:val="7E9C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7B57E2"/>
    <w:multiLevelType w:val="hybridMultilevel"/>
    <w:tmpl w:val="922620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7"/>
  </w:num>
  <w:num w:numId="3">
    <w:abstractNumId w:val="5"/>
  </w:num>
  <w:num w:numId="4">
    <w:abstractNumId w:val="0"/>
  </w:num>
  <w:num w:numId="5">
    <w:abstractNumId w:val="19"/>
  </w:num>
  <w:num w:numId="6">
    <w:abstractNumId w:val="10"/>
  </w:num>
  <w:num w:numId="7">
    <w:abstractNumId w:val="6"/>
  </w:num>
  <w:num w:numId="8">
    <w:abstractNumId w:val="8"/>
  </w:num>
  <w:num w:numId="9">
    <w:abstractNumId w:val="18"/>
  </w:num>
  <w:num w:numId="10">
    <w:abstractNumId w:val="4"/>
  </w:num>
  <w:num w:numId="11">
    <w:abstractNumId w:val="9"/>
  </w:num>
  <w:num w:numId="12">
    <w:abstractNumId w:val="2"/>
  </w:num>
  <w:num w:numId="13">
    <w:abstractNumId w:val="14"/>
  </w:num>
  <w:num w:numId="14">
    <w:abstractNumId w:val="3"/>
  </w:num>
  <w:num w:numId="15">
    <w:abstractNumId w:val="11"/>
  </w:num>
  <w:num w:numId="16">
    <w:abstractNumId w:val="12"/>
  </w:num>
  <w:num w:numId="17">
    <w:abstractNumId w:val="13"/>
  </w:num>
  <w:num w:numId="18">
    <w:abstractNumId w:val="17"/>
  </w:num>
  <w:num w:numId="19">
    <w:abstractNumId w:val="1"/>
  </w:num>
  <w:num w:numId="20">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0EF6"/>
    <w:rsid w:val="000009E2"/>
    <w:rsid w:val="000022D1"/>
    <w:rsid w:val="000057C9"/>
    <w:rsid w:val="0000680B"/>
    <w:rsid w:val="00007897"/>
    <w:rsid w:val="00007A6B"/>
    <w:rsid w:val="00007E6D"/>
    <w:rsid w:val="00010003"/>
    <w:rsid w:val="0001047D"/>
    <w:rsid w:val="00010934"/>
    <w:rsid w:val="0001198F"/>
    <w:rsid w:val="00015078"/>
    <w:rsid w:val="0001508D"/>
    <w:rsid w:val="00015DE4"/>
    <w:rsid w:val="00016834"/>
    <w:rsid w:val="00016A3A"/>
    <w:rsid w:val="00016A3C"/>
    <w:rsid w:val="00017378"/>
    <w:rsid w:val="000200C7"/>
    <w:rsid w:val="000218EC"/>
    <w:rsid w:val="000231DB"/>
    <w:rsid w:val="0002588C"/>
    <w:rsid w:val="00026822"/>
    <w:rsid w:val="000275BA"/>
    <w:rsid w:val="0003140C"/>
    <w:rsid w:val="00032275"/>
    <w:rsid w:val="000352BC"/>
    <w:rsid w:val="00036E83"/>
    <w:rsid w:val="000408B7"/>
    <w:rsid w:val="000420F7"/>
    <w:rsid w:val="0004264A"/>
    <w:rsid w:val="00043390"/>
    <w:rsid w:val="00045D9B"/>
    <w:rsid w:val="00045FA8"/>
    <w:rsid w:val="00046A46"/>
    <w:rsid w:val="00047C61"/>
    <w:rsid w:val="000505DC"/>
    <w:rsid w:val="000510F6"/>
    <w:rsid w:val="000564DB"/>
    <w:rsid w:val="00056C35"/>
    <w:rsid w:val="00056FBA"/>
    <w:rsid w:val="00057F98"/>
    <w:rsid w:val="0006050C"/>
    <w:rsid w:val="000605D6"/>
    <w:rsid w:val="0006151A"/>
    <w:rsid w:val="00061768"/>
    <w:rsid w:val="0006254A"/>
    <w:rsid w:val="00063418"/>
    <w:rsid w:val="00063EA3"/>
    <w:rsid w:val="000640FE"/>
    <w:rsid w:val="0006475B"/>
    <w:rsid w:val="0006504C"/>
    <w:rsid w:val="000661CD"/>
    <w:rsid w:val="00066517"/>
    <w:rsid w:val="000700DC"/>
    <w:rsid w:val="000709CE"/>
    <w:rsid w:val="00071875"/>
    <w:rsid w:val="00071B98"/>
    <w:rsid w:val="00074C2A"/>
    <w:rsid w:val="0007605A"/>
    <w:rsid w:val="00076250"/>
    <w:rsid w:val="00076AAA"/>
    <w:rsid w:val="00077AB5"/>
    <w:rsid w:val="000802FE"/>
    <w:rsid w:val="00081A7C"/>
    <w:rsid w:val="00081ED0"/>
    <w:rsid w:val="0008569C"/>
    <w:rsid w:val="000901F4"/>
    <w:rsid w:val="00090529"/>
    <w:rsid w:val="0009077B"/>
    <w:rsid w:val="00090D87"/>
    <w:rsid w:val="00090F79"/>
    <w:rsid w:val="00093D76"/>
    <w:rsid w:val="00095BB4"/>
    <w:rsid w:val="00097C86"/>
    <w:rsid w:val="00097F7F"/>
    <w:rsid w:val="000A0350"/>
    <w:rsid w:val="000A1DAC"/>
    <w:rsid w:val="000A2ECF"/>
    <w:rsid w:val="000A7161"/>
    <w:rsid w:val="000B0335"/>
    <w:rsid w:val="000B14B4"/>
    <w:rsid w:val="000B2F45"/>
    <w:rsid w:val="000B368D"/>
    <w:rsid w:val="000B52DE"/>
    <w:rsid w:val="000B5597"/>
    <w:rsid w:val="000B70C5"/>
    <w:rsid w:val="000B73E4"/>
    <w:rsid w:val="000B7E1B"/>
    <w:rsid w:val="000C2A8B"/>
    <w:rsid w:val="000C2FEF"/>
    <w:rsid w:val="000C53DE"/>
    <w:rsid w:val="000C58F2"/>
    <w:rsid w:val="000C5ADE"/>
    <w:rsid w:val="000C64C5"/>
    <w:rsid w:val="000C6ADD"/>
    <w:rsid w:val="000C6AF9"/>
    <w:rsid w:val="000C6E0C"/>
    <w:rsid w:val="000C7F1A"/>
    <w:rsid w:val="000D09CD"/>
    <w:rsid w:val="000D2B3C"/>
    <w:rsid w:val="000D2B73"/>
    <w:rsid w:val="000D57EE"/>
    <w:rsid w:val="000D5C1D"/>
    <w:rsid w:val="000D68EF"/>
    <w:rsid w:val="000E0690"/>
    <w:rsid w:val="000E0E6F"/>
    <w:rsid w:val="000E17F7"/>
    <w:rsid w:val="000E2272"/>
    <w:rsid w:val="000E373E"/>
    <w:rsid w:val="000E41BB"/>
    <w:rsid w:val="000E4FC9"/>
    <w:rsid w:val="000E78F1"/>
    <w:rsid w:val="000F081F"/>
    <w:rsid w:val="000F0D2B"/>
    <w:rsid w:val="000F0EBC"/>
    <w:rsid w:val="000F37A6"/>
    <w:rsid w:val="000F3C33"/>
    <w:rsid w:val="000F57A1"/>
    <w:rsid w:val="00100414"/>
    <w:rsid w:val="0010084A"/>
    <w:rsid w:val="00101190"/>
    <w:rsid w:val="0010219F"/>
    <w:rsid w:val="00104275"/>
    <w:rsid w:val="00104D5D"/>
    <w:rsid w:val="00106B1D"/>
    <w:rsid w:val="00107B92"/>
    <w:rsid w:val="00111B20"/>
    <w:rsid w:val="00112111"/>
    <w:rsid w:val="001121CD"/>
    <w:rsid w:val="0011369B"/>
    <w:rsid w:val="00117AD6"/>
    <w:rsid w:val="00117D3A"/>
    <w:rsid w:val="00120A5D"/>
    <w:rsid w:val="0012219D"/>
    <w:rsid w:val="00122376"/>
    <w:rsid w:val="001224B8"/>
    <w:rsid w:val="00122D3D"/>
    <w:rsid w:val="00123B35"/>
    <w:rsid w:val="00124491"/>
    <w:rsid w:val="001244CF"/>
    <w:rsid w:val="00124D34"/>
    <w:rsid w:val="00125EFD"/>
    <w:rsid w:val="00126635"/>
    <w:rsid w:val="00126B74"/>
    <w:rsid w:val="00127722"/>
    <w:rsid w:val="00130191"/>
    <w:rsid w:val="00131EC5"/>
    <w:rsid w:val="00132C02"/>
    <w:rsid w:val="00134D87"/>
    <w:rsid w:val="00135CAE"/>
    <w:rsid w:val="00135F29"/>
    <w:rsid w:val="0013732C"/>
    <w:rsid w:val="001373E8"/>
    <w:rsid w:val="001413AE"/>
    <w:rsid w:val="00141767"/>
    <w:rsid w:val="00143192"/>
    <w:rsid w:val="0014364D"/>
    <w:rsid w:val="00145A4F"/>
    <w:rsid w:val="00146647"/>
    <w:rsid w:val="00147208"/>
    <w:rsid w:val="0015010D"/>
    <w:rsid w:val="001504B9"/>
    <w:rsid w:val="00153B81"/>
    <w:rsid w:val="00155B6F"/>
    <w:rsid w:val="00156A5C"/>
    <w:rsid w:val="00156C91"/>
    <w:rsid w:val="00160CB6"/>
    <w:rsid w:val="00160D16"/>
    <w:rsid w:val="00160F94"/>
    <w:rsid w:val="00161487"/>
    <w:rsid w:val="00161899"/>
    <w:rsid w:val="0016296F"/>
    <w:rsid w:val="0016358C"/>
    <w:rsid w:val="001636EC"/>
    <w:rsid w:val="00163C73"/>
    <w:rsid w:val="00164858"/>
    <w:rsid w:val="00165940"/>
    <w:rsid w:val="00165BCD"/>
    <w:rsid w:val="0016646A"/>
    <w:rsid w:val="00166B6C"/>
    <w:rsid w:val="00167503"/>
    <w:rsid w:val="00167A3B"/>
    <w:rsid w:val="0017016D"/>
    <w:rsid w:val="00172131"/>
    <w:rsid w:val="0017272B"/>
    <w:rsid w:val="0017337F"/>
    <w:rsid w:val="001736F1"/>
    <w:rsid w:val="00173EA4"/>
    <w:rsid w:val="001742E6"/>
    <w:rsid w:val="00175D46"/>
    <w:rsid w:val="001771F5"/>
    <w:rsid w:val="00177319"/>
    <w:rsid w:val="00181571"/>
    <w:rsid w:val="0018328D"/>
    <w:rsid w:val="00184FC9"/>
    <w:rsid w:val="00185303"/>
    <w:rsid w:val="00185998"/>
    <w:rsid w:val="00186A66"/>
    <w:rsid w:val="0019018E"/>
    <w:rsid w:val="001914D4"/>
    <w:rsid w:val="00192460"/>
    <w:rsid w:val="00192D23"/>
    <w:rsid w:val="0019402B"/>
    <w:rsid w:val="00195231"/>
    <w:rsid w:val="001952EA"/>
    <w:rsid w:val="00197531"/>
    <w:rsid w:val="001A2B0D"/>
    <w:rsid w:val="001A4043"/>
    <w:rsid w:val="001A4C2B"/>
    <w:rsid w:val="001A4D3F"/>
    <w:rsid w:val="001A4F3F"/>
    <w:rsid w:val="001A55B9"/>
    <w:rsid w:val="001A7DF4"/>
    <w:rsid w:val="001B263D"/>
    <w:rsid w:val="001B2EA3"/>
    <w:rsid w:val="001B307D"/>
    <w:rsid w:val="001B50ED"/>
    <w:rsid w:val="001B51B6"/>
    <w:rsid w:val="001B7E6A"/>
    <w:rsid w:val="001C05F0"/>
    <w:rsid w:val="001C2219"/>
    <w:rsid w:val="001C40C2"/>
    <w:rsid w:val="001C6391"/>
    <w:rsid w:val="001C6492"/>
    <w:rsid w:val="001C71C1"/>
    <w:rsid w:val="001D35B5"/>
    <w:rsid w:val="001D3CAD"/>
    <w:rsid w:val="001D55F2"/>
    <w:rsid w:val="001D6D00"/>
    <w:rsid w:val="001D736B"/>
    <w:rsid w:val="001D79D3"/>
    <w:rsid w:val="001E04C3"/>
    <w:rsid w:val="001E20A3"/>
    <w:rsid w:val="001E2439"/>
    <w:rsid w:val="001E315F"/>
    <w:rsid w:val="001E357C"/>
    <w:rsid w:val="001E3A59"/>
    <w:rsid w:val="001E40CB"/>
    <w:rsid w:val="001E4FEB"/>
    <w:rsid w:val="001E7FF1"/>
    <w:rsid w:val="001F0090"/>
    <w:rsid w:val="001F063F"/>
    <w:rsid w:val="001F1295"/>
    <w:rsid w:val="001F358D"/>
    <w:rsid w:val="001F427C"/>
    <w:rsid w:val="001F453F"/>
    <w:rsid w:val="001F518D"/>
    <w:rsid w:val="001F5BB4"/>
    <w:rsid w:val="001F6855"/>
    <w:rsid w:val="001F7BD1"/>
    <w:rsid w:val="002001C1"/>
    <w:rsid w:val="002026C4"/>
    <w:rsid w:val="002028A8"/>
    <w:rsid w:val="002047F4"/>
    <w:rsid w:val="0020597D"/>
    <w:rsid w:val="00205D63"/>
    <w:rsid w:val="00207306"/>
    <w:rsid w:val="0020748A"/>
    <w:rsid w:val="002076B5"/>
    <w:rsid w:val="00207D7A"/>
    <w:rsid w:val="002119A4"/>
    <w:rsid w:val="00211FD7"/>
    <w:rsid w:val="002123D5"/>
    <w:rsid w:val="0021295F"/>
    <w:rsid w:val="00212A5C"/>
    <w:rsid w:val="002132F2"/>
    <w:rsid w:val="00213FCC"/>
    <w:rsid w:val="002152FC"/>
    <w:rsid w:val="0022099C"/>
    <w:rsid w:val="002218D2"/>
    <w:rsid w:val="00221CC2"/>
    <w:rsid w:val="00222AEF"/>
    <w:rsid w:val="00223F41"/>
    <w:rsid w:val="002242D5"/>
    <w:rsid w:val="00225763"/>
    <w:rsid w:val="00226295"/>
    <w:rsid w:val="002267D6"/>
    <w:rsid w:val="00226BD1"/>
    <w:rsid w:val="00227A4C"/>
    <w:rsid w:val="00230069"/>
    <w:rsid w:val="00230917"/>
    <w:rsid w:val="0023165F"/>
    <w:rsid w:val="002318B2"/>
    <w:rsid w:val="002336EB"/>
    <w:rsid w:val="00237ED2"/>
    <w:rsid w:val="0024284C"/>
    <w:rsid w:val="002431FC"/>
    <w:rsid w:val="002432B4"/>
    <w:rsid w:val="0024373B"/>
    <w:rsid w:val="0024418A"/>
    <w:rsid w:val="00245185"/>
    <w:rsid w:val="002454F1"/>
    <w:rsid w:val="00246197"/>
    <w:rsid w:val="00246B11"/>
    <w:rsid w:val="00247833"/>
    <w:rsid w:val="0025078E"/>
    <w:rsid w:val="0025367D"/>
    <w:rsid w:val="002546F6"/>
    <w:rsid w:val="00255D5F"/>
    <w:rsid w:val="0025603A"/>
    <w:rsid w:val="0025618D"/>
    <w:rsid w:val="00256E3E"/>
    <w:rsid w:val="002579AC"/>
    <w:rsid w:val="0026072C"/>
    <w:rsid w:val="0026086E"/>
    <w:rsid w:val="00261024"/>
    <w:rsid w:val="00263B31"/>
    <w:rsid w:val="0026494A"/>
    <w:rsid w:val="002652A7"/>
    <w:rsid w:val="0026650B"/>
    <w:rsid w:val="002666FC"/>
    <w:rsid w:val="00272734"/>
    <w:rsid w:val="002731EA"/>
    <w:rsid w:val="0027333D"/>
    <w:rsid w:val="0027445F"/>
    <w:rsid w:val="002744E0"/>
    <w:rsid w:val="00275A26"/>
    <w:rsid w:val="00283178"/>
    <w:rsid w:val="002838B0"/>
    <w:rsid w:val="00283FD5"/>
    <w:rsid w:val="00284789"/>
    <w:rsid w:val="0028651A"/>
    <w:rsid w:val="00287224"/>
    <w:rsid w:val="002878DD"/>
    <w:rsid w:val="00287A1C"/>
    <w:rsid w:val="00287FFA"/>
    <w:rsid w:val="00290160"/>
    <w:rsid w:val="00292A6E"/>
    <w:rsid w:val="002930D5"/>
    <w:rsid w:val="00295238"/>
    <w:rsid w:val="0029584C"/>
    <w:rsid w:val="00295BC9"/>
    <w:rsid w:val="00297860"/>
    <w:rsid w:val="00297BCA"/>
    <w:rsid w:val="002A0871"/>
    <w:rsid w:val="002A0BB1"/>
    <w:rsid w:val="002A3FC4"/>
    <w:rsid w:val="002A4034"/>
    <w:rsid w:val="002A499C"/>
    <w:rsid w:val="002B1BE8"/>
    <w:rsid w:val="002B2E8D"/>
    <w:rsid w:val="002B5566"/>
    <w:rsid w:val="002B585F"/>
    <w:rsid w:val="002B5F3C"/>
    <w:rsid w:val="002B62F9"/>
    <w:rsid w:val="002B698F"/>
    <w:rsid w:val="002B6EDB"/>
    <w:rsid w:val="002B71FD"/>
    <w:rsid w:val="002C0001"/>
    <w:rsid w:val="002C01A3"/>
    <w:rsid w:val="002C0D85"/>
    <w:rsid w:val="002C0DFD"/>
    <w:rsid w:val="002C2B50"/>
    <w:rsid w:val="002C7CB3"/>
    <w:rsid w:val="002D08A5"/>
    <w:rsid w:val="002D0EA1"/>
    <w:rsid w:val="002D125C"/>
    <w:rsid w:val="002D25B5"/>
    <w:rsid w:val="002D2716"/>
    <w:rsid w:val="002D38E2"/>
    <w:rsid w:val="002D3CBC"/>
    <w:rsid w:val="002D5B29"/>
    <w:rsid w:val="002D6C44"/>
    <w:rsid w:val="002E53EB"/>
    <w:rsid w:val="002E5AB4"/>
    <w:rsid w:val="002E65BE"/>
    <w:rsid w:val="002E6F0D"/>
    <w:rsid w:val="002E7E34"/>
    <w:rsid w:val="002F098C"/>
    <w:rsid w:val="002F2094"/>
    <w:rsid w:val="002F38C1"/>
    <w:rsid w:val="002F76E7"/>
    <w:rsid w:val="002F779C"/>
    <w:rsid w:val="00300319"/>
    <w:rsid w:val="00300373"/>
    <w:rsid w:val="003014BC"/>
    <w:rsid w:val="0030180E"/>
    <w:rsid w:val="00302496"/>
    <w:rsid w:val="003029D3"/>
    <w:rsid w:val="00304A7B"/>
    <w:rsid w:val="00304CD8"/>
    <w:rsid w:val="0030549B"/>
    <w:rsid w:val="00305D5F"/>
    <w:rsid w:val="00306092"/>
    <w:rsid w:val="00306680"/>
    <w:rsid w:val="0031154B"/>
    <w:rsid w:val="00311CFF"/>
    <w:rsid w:val="00312FB3"/>
    <w:rsid w:val="00314673"/>
    <w:rsid w:val="00315158"/>
    <w:rsid w:val="00316E0E"/>
    <w:rsid w:val="003172A6"/>
    <w:rsid w:val="00317B1C"/>
    <w:rsid w:val="0032243A"/>
    <w:rsid w:val="00322ADD"/>
    <w:rsid w:val="00324156"/>
    <w:rsid w:val="00324BA4"/>
    <w:rsid w:val="00324FCF"/>
    <w:rsid w:val="0032549A"/>
    <w:rsid w:val="003254D0"/>
    <w:rsid w:val="00325BFF"/>
    <w:rsid w:val="00325EF5"/>
    <w:rsid w:val="0032694B"/>
    <w:rsid w:val="003277C6"/>
    <w:rsid w:val="0032796A"/>
    <w:rsid w:val="00330AE6"/>
    <w:rsid w:val="00331B17"/>
    <w:rsid w:val="003329B1"/>
    <w:rsid w:val="00334A98"/>
    <w:rsid w:val="00334B14"/>
    <w:rsid w:val="00335B17"/>
    <w:rsid w:val="00335C29"/>
    <w:rsid w:val="00336C29"/>
    <w:rsid w:val="00337A42"/>
    <w:rsid w:val="00337B92"/>
    <w:rsid w:val="00340242"/>
    <w:rsid w:val="00341E95"/>
    <w:rsid w:val="0034304A"/>
    <w:rsid w:val="0034371A"/>
    <w:rsid w:val="003439DB"/>
    <w:rsid w:val="003439EA"/>
    <w:rsid w:val="00345149"/>
    <w:rsid w:val="0035021E"/>
    <w:rsid w:val="0035099C"/>
    <w:rsid w:val="00350E63"/>
    <w:rsid w:val="00352589"/>
    <w:rsid w:val="0035278A"/>
    <w:rsid w:val="00356693"/>
    <w:rsid w:val="0035680E"/>
    <w:rsid w:val="003578D0"/>
    <w:rsid w:val="003606EB"/>
    <w:rsid w:val="00360FFA"/>
    <w:rsid w:val="00362A25"/>
    <w:rsid w:val="00364E23"/>
    <w:rsid w:val="00365C1C"/>
    <w:rsid w:val="00366FC6"/>
    <w:rsid w:val="0036723C"/>
    <w:rsid w:val="003704C8"/>
    <w:rsid w:val="00371EAC"/>
    <w:rsid w:val="00373EFD"/>
    <w:rsid w:val="00374780"/>
    <w:rsid w:val="003754BF"/>
    <w:rsid w:val="00375A49"/>
    <w:rsid w:val="00375E50"/>
    <w:rsid w:val="00377404"/>
    <w:rsid w:val="00381B6A"/>
    <w:rsid w:val="00384195"/>
    <w:rsid w:val="0038464F"/>
    <w:rsid w:val="00385FA4"/>
    <w:rsid w:val="00390FB9"/>
    <w:rsid w:val="00392591"/>
    <w:rsid w:val="003941EA"/>
    <w:rsid w:val="003948B9"/>
    <w:rsid w:val="00395F76"/>
    <w:rsid w:val="00396198"/>
    <w:rsid w:val="00397488"/>
    <w:rsid w:val="00397ABA"/>
    <w:rsid w:val="00397F67"/>
    <w:rsid w:val="003A1642"/>
    <w:rsid w:val="003A1F58"/>
    <w:rsid w:val="003A46E0"/>
    <w:rsid w:val="003A4A67"/>
    <w:rsid w:val="003A777E"/>
    <w:rsid w:val="003B021C"/>
    <w:rsid w:val="003B075B"/>
    <w:rsid w:val="003B08EA"/>
    <w:rsid w:val="003B26E7"/>
    <w:rsid w:val="003B44B4"/>
    <w:rsid w:val="003B59C3"/>
    <w:rsid w:val="003B7488"/>
    <w:rsid w:val="003B7C7F"/>
    <w:rsid w:val="003C0A4B"/>
    <w:rsid w:val="003C1E22"/>
    <w:rsid w:val="003C1FC3"/>
    <w:rsid w:val="003C2A7C"/>
    <w:rsid w:val="003C2DE6"/>
    <w:rsid w:val="003C386C"/>
    <w:rsid w:val="003C4A4E"/>
    <w:rsid w:val="003C5CF0"/>
    <w:rsid w:val="003C67A0"/>
    <w:rsid w:val="003D092A"/>
    <w:rsid w:val="003D2619"/>
    <w:rsid w:val="003D38FC"/>
    <w:rsid w:val="003D506A"/>
    <w:rsid w:val="003D58AD"/>
    <w:rsid w:val="003D5FDE"/>
    <w:rsid w:val="003D713E"/>
    <w:rsid w:val="003D7C2C"/>
    <w:rsid w:val="003E0A52"/>
    <w:rsid w:val="003E36EF"/>
    <w:rsid w:val="003E4727"/>
    <w:rsid w:val="003E72D5"/>
    <w:rsid w:val="003E78DD"/>
    <w:rsid w:val="003F0BC0"/>
    <w:rsid w:val="003F0C4B"/>
    <w:rsid w:val="003F0D7C"/>
    <w:rsid w:val="003F109C"/>
    <w:rsid w:val="003F203C"/>
    <w:rsid w:val="003F4C99"/>
    <w:rsid w:val="003F4E47"/>
    <w:rsid w:val="003F4E6D"/>
    <w:rsid w:val="003F5297"/>
    <w:rsid w:val="003F52A9"/>
    <w:rsid w:val="003F7085"/>
    <w:rsid w:val="003F7469"/>
    <w:rsid w:val="00400588"/>
    <w:rsid w:val="004008A6"/>
    <w:rsid w:val="00401D0A"/>
    <w:rsid w:val="00402E7D"/>
    <w:rsid w:val="00404759"/>
    <w:rsid w:val="00404A15"/>
    <w:rsid w:val="00406707"/>
    <w:rsid w:val="00406A56"/>
    <w:rsid w:val="004106B0"/>
    <w:rsid w:val="0041109E"/>
    <w:rsid w:val="00411EF0"/>
    <w:rsid w:val="00413F46"/>
    <w:rsid w:val="00414BFB"/>
    <w:rsid w:val="00416FCF"/>
    <w:rsid w:val="00416FE1"/>
    <w:rsid w:val="004175A8"/>
    <w:rsid w:val="0042085B"/>
    <w:rsid w:val="00421FC1"/>
    <w:rsid w:val="00423294"/>
    <w:rsid w:val="0042346B"/>
    <w:rsid w:val="00430671"/>
    <w:rsid w:val="00430B51"/>
    <w:rsid w:val="004313B5"/>
    <w:rsid w:val="00431F45"/>
    <w:rsid w:val="00432598"/>
    <w:rsid w:val="00433C0D"/>
    <w:rsid w:val="00435098"/>
    <w:rsid w:val="00436C31"/>
    <w:rsid w:val="00436DEA"/>
    <w:rsid w:val="00440D4B"/>
    <w:rsid w:val="00442DFD"/>
    <w:rsid w:val="00445FC5"/>
    <w:rsid w:val="00445FFC"/>
    <w:rsid w:val="004463EA"/>
    <w:rsid w:val="00450FFC"/>
    <w:rsid w:val="00451F76"/>
    <w:rsid w:val="004520D2"/>
    <w:rsid w:val="004520D8"/>
    <w:rsid w:val="00453D63"/>
    <w:rsid w:val="00460067"/>
    <w:rsid w:val="004605FA"/>
    <w:rsid w:val="004610EA"/>
    <w:rsid w:val="0046282C"/>
    <w:rsid w:val="00463618"/>
    <w:rsid w:val="00464009"/>
    <w:rsid w:val="00464C3B"/>
    <w:rsid w:val="00464D42"/>
    <w:rsid w:val="00465C1E"/>
    <w:rsid w:val="00466A66"/>
    <w:rsid w:val="00466E19"/>
    <w:rsid w:val="00467258"/>
    <w:rsid w:val="00467796"/>
    <w:rsid w:val="00467AB6"/>
    <w:rsid w:val="00471D77"/>
    <w:rsid w:val="004722D0"/>
    <w:rsid w:val="00472466"/>
    <w:rsid w:val="00475083"/>
    <w:rsid w:val="00475DBC"/>
    <w:rsid w:val="00476EB6"/>
    <w:rsid w:val="00482973"/>
    <w:rsid w:val="00482E0A"/>
    <w:rsid w:val="00485384"/>
    <w:rsid w:val="00485A2C"/>
    <w:rsid w:val="00486EE1"/>
    <w:rsid w:val="004871A6"/>
    <w:rsid w:val="004907D0"/>
    <w:rsid w:val="004928D4"/>
    <w:rsid w:val="00493245"/>
    <w:rsid w:val="00494225"/>
    <w:rsid w:val="004950F1"/>
    <w:rsid w:val="00495ED6"/>
    <w:rsid w:val="0049607E"/>
    <w:rsid w:val="00496289"/>
    <w:rsid w:val="004A0DFD"/>
    <w:rsid w:val="004A28BC"/>
    <w:rsid w:val="004A3701"/>
    <w:rsid w:val="004A3BF2"/>
    <w:rsid w:val="004A4114"/>
    <w:rsid w:val="004A440F"/>
    <w:rsid w:val="004A515A"/>
    <w:rsid w:val="004A5371"/>
    <w:rsid w:val="004A56C1"/>
    <w:rsid w:val="004A59D1"/>
    <w:rsid w:val="004A5E85"/>
    <w:rsid w:val="004A7401"/>
    <w:rsid w:val="004A782E"/>
    <w:rsid w:val="004B0D52"/>
    <w:rsid w:val="004B1502"/>
    <w:rsid w:val="004B1E82"/>
    <w:rsid w:val="004B1E98"/>
    <w:rsid w:val="004B326B"/>
    <w:rsid w:val="004B33F8"/>
    <w:rsid w:val="004B354E"/>
    <w:rsid w:val="004B3910"/>
    <w:rsid w:val="004B3A25"/>
    <w:rsid w:val="004B6453"/>
    <w:rsid w:val="004B6C51"/>
    <w:rsid w:val="004B731E"/>
    <w:rsid w:val="004C0239"/>
    <w:rsid w:val="004C20C9"/>
    <w:rsid w:val="004C275E"/>
    <w:rsid w:val="004C27D6"/>
    <w:rsid w:val="004C36D9"/>
    <w:rsid w:val="004C3BC5"/>
    <w:rsid w:val="004C48B5"/>
    <w:rsid w:val="004C52D6"/>
    <w:rsid w:val="004C5C68"/>
    <w:rsid w:val="004C5C76"/>
    <w:rsid w:val="004D0769"/>
    <w:rsid w:val="004D153B"/>
    <w:rsid w:val="004D2D9A"/>
    <w:rsid w:val="004D2E60"/>
    <w:rsid w:val="004D4ACD"/>
    <w:rsid w:val="004D63CD"/>
    <w:rsid w:val="004E0777"/>
    <w:rsid w:val="004E094F"/>
    <w:rsid w:val="004E0DF6"/>
    <w:rsid w:val="004E13CC"/>
    <w:rsid w:val="004E1971"/>
    <w:rsid w:val="004E1F58"/>
    <w:rsid w:val="004E26CA"/>
    <w:rsid w:val="004E2B0B"/>
    <w:rsid w:val="004E3145"/>
    <w:rsid w:val="004E4661"/>
    <w:rsid w:val="004E47BF"/>
    <w:rsid w:val="004E6379"/>
    <w:rsid w:val="004E7D4F"/>
    <w:rsid w:val="004F0BC3"/>
    <w:rsid w:val="004F1321"/>
    <w:rsid w:val="004F176A"/>
    <w:rsid w:val="004F23F3"/>
    <w:rsid w:val="004F4374"/>
    <w:rsid w:val="004F4CE2"/>
    <w:rsid w:val="004F53A8"/>
    <w:rsid w:val="00500F95"/>
    <w:rsid w:val="0050152A"/>
    <w:rsid w:val="00503A64"/>
    <w:rsid w:val="00503CBB"/>
    <w:rsid w:val="0050567D"/>
    <w:rsid w:val="00505EF2"/>
    <w:rsid w:val="00507162"/>
    <w:rsid w:val="00507204"/>
    <w:rsid w:val="00512327"/>
    <w:rsid w:val="00513113"/>
    <w:rsid w:val="00521D93"/>
    <w:rsid w:val="00522021"/>
    <w:rsid w:val="00523817"/>
    <w:rsid w:val="00524B46"/>
    <w:rsid w:val="00524D33"/>
    <w:rsid w:val="00526D42"/>
    <w:rsid w:val="00527597"/>
    <w:rsid w:val="005275DC"/>
    <w:rsid w:val="005303EF"/>
    <w:rsid w:val="0053040C"/>
    <w:rsid w:val="00530F30"/>
    <w:rsid w:val="005318E1"/>
    <w:rsid w:val="0053253C"/>
    <w:rsid w:val="0053298B"/>
    <w:rsid w:val="00532EE8"/>
    <w:rsid w:val="0053371A"/>
    <w:rsid w:val="00533FE9"/>
    <w:rsid w:val="005356E5"/>
    <w:rsid w:val="005356F9"/>
    <w:rsid w:val="0053646B"/>
    <w:rsid w:val="005379C5"/>
    <w:rsid w:val="00540549"/>
    <w:rsid w:val="00540B21"/>
    <w:rsid w:val="00542874"/>
    <w:rsid w:val="00543EEB"/>
    <w:rsid w:val="00544CB9"/>
    <w:rsid w:val="00544E9B"/>
    <w:rsid w:val="00545ACD"/>
    <w:rsid w:val="00546D3D"/>
    <w:rsid w:val="00546FEF"/>
    <w:rsid w:val="00547CA2"/>
    <w:rsid w:val="00550914"/>
    <w:rsid w:val="005516DA"/>
    <w:rsid w:val="00552427"/>
    <w:rsid w:val="00552F9C"/>
    <w:rsid w:val="00553487"/>
    <w:rsid w:val="00554B73"/>
    <w:rsid w:val="00555E61"/>
    <w:rsid w:val="005560D8"/>
    <w:rsid w:val="005567EB"/>
    <w:rsid w:val="00556A28"/>
    <w:rsid w:val="00557C31"/>
    <w:rsid w:val="00557E4D"/>
    <w:rsid w:val="00560CCA"/>
    <w:rsid w:val="00561AEE"/>
    <w:rsid w:val="005621C0"/>
    <w:rsid w:val="005624C1"/>
    <w:rsid w:val="00562B5A"/>
    <w:rsid w:val="00564021"/>
    <w:rsid w:val="0056406B"/>
    <w:rsid w:val="00564BE3"/>
    <w:rsid w:val="00566780"/>
    <w:rsid w:val="0056696A"/>
    <w:rsid w:val="00567866"/>
    <w:rsid w:val="005717A7"/>
    <w:rsid w:val="005725E0"/>
    <w:rsid w:val="0057308E"/>
    <w:rsid w:val="005740D5"/>
    <w:rsid w:val="005771C0"/>
    <w:rsid w:val="005778CC"/>
    <w:rsid w:val="005800AF"/>
    <w:rsid w:val="00580649"/>
    <w:rsid w:val="005816CA"/>
    <w:rsid w:val="00581705"/>
    <w:rsid w:val="00582032"/>
    <w:rsid w:val="00582432"/>
    <w:rsid w:val="005825A3"/>
    <w:rsid w:val="005828B9"/>
    <w:rsid w:val="00585E30"/>
    <w:rsid w:val="0058645C"/>
    <w:rsid w:val="0058659A"/>
    <w:rsid w:val="00587BD6"/>
    <w:rsid w:val="00591E9F"/>
    <w:rsid w:val="00592B88"/>
    <w:rsid w:val="00594ABF"/>
    <w:rsid w:val="00596A1C"/>
    <w:rsid w:val="00596E9E"/>
    <w:rsid w:val="005A024D"/>
    <w:rsid w:val="005A0305"/>
    <w:rsid w:val="005A1DC4"/>
    <w:rsid w:val="005A25C5"/>
    <w:rsid w:val="005A2B33"/>
    <w:rsid w:val="005A3FF6"/>
    <w:rsid w:val="005A5B02"/>
    <w:rsid w:val="005A7064"/>
    <w:rsid w:val="005B15DC"/>
    <w:rsid w:val="005B188D"/>
    <w:rsid w:val="005B1A2C"/>
    <w:rsid w:val="005B1AE8"/>
    <w:rsid w:val="005B278B"/>
    <w:rsid w:val="005B2916"/>
    <w:rsid w:val="005B2C93"/>
    <w:rsid w:val="005B398D"/>
    <w:rsid w:val="005B439E"/>
    <w:rsid w:val="005C1391"/>
    <w:rsid w:val="005C2237"/>
    <w:rsid w:val="005C453C"/>
    <w:rsid w:val="005C7586"/>
    <w:rsid w:val="005D0FF5"/>
    <w:rsid w:val="005D1A8E"/>
    <w:rsid w:val="005D3D0E"/>
    <w:rsid w:val="005D634D"/>
    <w:rsid w:val="005D686B"/>
    <w:rsid w:val="005D69CC"/>
    <w:rsid w:val="005E076D"/>
    <w:rsid w:val="005E1C96"/>
    <w:rsid w:val="005E1F73"/>
    <w:rsid w:val="005E4445"/>
    <w:rsid w:val="005E4E2F"/>
    <w:rsid w:val="005E4F8A"/>
    <w:rsid w:val="005E624A"/>
    <w:rsid w:val="005E6C99"/>
    <w:rsid w:val="005E780F"/>
    <w:rsid w:val="005F21AC"/>
    <w:rsid w:val="005F4AA1"/>
    <w:rsid w:val="005F6876"/>
    <w:rsid w:val="00600652"/>
    <w:rsid w:val="00600A89"/>
    <w:rsid w:val="00601D34"/>
    <w:rsid w:val="00602321"/>
    <w:rsid w:val="006028B9"/>
    <w:rsid w:val="0060317C"/>
    <w:rsid w:val="00605EC5"/>
    <w:rsid w:val="006065C9"/>
    <w:rsid w:val="0060764D"/>
    <w:rsid w:val="006077F3"/>
    <w:rsid w:val="0061250B"/>
    <w:rsid w:val="0061314D"/>
    <w:rsid w:val="00613AA0"/>
    <w:rsid w:val="00614EE4"/>
    <w:rsid w:val="00614F6D"/>
    <w:rsid w:val="00615073"/>
    <w:rsid w:val="00615A54"/>
    <w:rsid w:val="00617A63"/>
    <w:rsid w:val="006207DE"/>
    <w:rsid w:val="00620929"/>
    <w:rsid w:val="00620B47"/>
    <w:rsid w:val="00621B00"/>
    <w:rsid w:val="00621EAF"/>
    <w:rsid w:val="0062252A"/>
    <w:rsid w:val="00622D02"/>
    <w:rsid w:val="0062423B"/>
    <w:rsid w:val="00625FC7"/>
    <w:rsid w:val="00626584"/>
    <w:rsid w:val="00627168"/>
    <w:rsid w:val="0062754B"/>
    <w:rsid w:val="006277FB"/>
    <w:rsid w:val="00630330"/>
    <w:rsid w:val="00632825"/>
    <w:rsid w:val="0063359D"/>
    <w:rsid w:val="0063530F"/>
    <w:rsid w:val="006370CA"/>
    <w:rsid w:val="00641C58"/>
    <w:rsid w:val="00641C5F"/>
    <w:rsid w:val="0064293C"/>
    <w:rsid w:val="00645852"/>
    <w:rsid w:val="00647365"/>
    <w:rsid w:val="006473B2"/>
    <w:rsid w:val="0064743F"/>
    <w:rsid w:val="00647CCD"/>
    <w:rsid w:val="006524BC"/>
    <w:rsid w:val="006564DE"/>
    <w:rsid w:val="00656E4E"/>
    <w:rsid w:val="00657681"/>
    <w:rsid w:val="00657AA0"/>
    <w:rsid w:val="00657CA9"/>
    <w:rsid w:val="00661240"/>
    <w:rsid w:val="006612D0"/>
    <w:rsid w:val="00661597"/>
    <w:rsid w:val="0066442D"/>
    <w:rsid w:val="00665B92"/>
    <w:rsid w:val="00670DE9"/>
    <w:rsid w:val="00671506"/>
    <w:rsid w:val="006718ED"/>
    <w:rsid w:val="0067197B"/>
    <w:rsid w:val="00671985"/>
    <w:rsid w:val="006721E8"/>
    <w:rsid w:val="00672F4C"/>
    <w:rsid w:val="00673430"/>
    <w:rsid w:val="00673818"/>
    <w:rsid w:val="006743A5"/>
    <w:rsid w:val="00674FCF"/>
    <w:rsid w:val="00676F2F"/>
    <w:rsid w:val="006771DB"/>
    <w:rsid w:val="006807D4"/>
    <w:rsid w:val="00680EA1"/>
    <w:rsid w:val="006831E3"/>
    <w:rsid w:val="006838C5"/>
    <w:rsid w:val="006846DE"/>
    <w:rsid w:val="00684926"/>
    <w:rsid w:val="00686B73"/>
    <w:rsid w:val="00686DAD"/>
    <w:rsid w:val="00687921"/>
    <w:rsid w:val="0069124F"/>
    <w:rsid w:val="00691BBB"/>
    <w:rsid w:val="0069360B"/>
    <w:rsid w:val="00693FF4"/>
    <w:rsid w:val="00695761"/>
    <w:rsid w:val="00695846"/>
    <w:rsid w:val="006959BC"/>
    <w:rsid w:val="0069711C"/>
    <w:rsid w:val="006A0D3B"/>
    <w:rsid w:val="006A1243"/>
    <w:rsid w:val="006A1791"/>
    <w:rsid w:val="006A660C"/>
    <w:rsid w:val="006A6DDA"/>
    <w:rsid w:val="006A7853"/>
    <w:rsid w:val="006A7C0F"/>
    <w:rsid w:val="006B10F7"/>
    <w:rsid w:val="006B2ECF"/>
    <w:rsid w:val="006B526E"/>
    <w:rsid w:val="006C29D3"/>
    <w:rsid w:val="006C3290"/>
    <w:rsid w:val="006C613D"/>
    <w:rsid w:val="006C6241"/>
    <w:rsid w:val="006C7221"/>
    <w:rsid w:val="006C733B"/>
    <w:rsid w:val="006D0550"/>
    <w:rsid w:val="006D07E2"/>
    <w:rsid w:val="006D14DE"/>
    <w:rsid w:val="006D23A4"/>
    <w:rsid w:val="006D2B01"/>
    <w:rsid w:val="006D3221"/>
    <w:rsid w:val="006D3B80"/>
    <w:rsid w:val="006D5629"/>
    <w:rsid w:val="006D64C9"/>
    <w:rsid w:val="006D65C6"/>
    <w:rsid w:val="006E160F"/>
    <w:rsid w:val="006E1651"/>
    <w:rsid w:val="006E1966"/>
    <w:rsid w:val="006E23FF"/>
    <w:rsid w:val="006E2BBB"/>
    <w:rsid w:val="006E2D59"/>
    <w:rsid w:val="006E3277"/>
    <w:rsid w:val="006E3334"/>
    <w:rsid w:val="006E3727"/>
    <w:rsid w:val="006E5E53"/>
    <w:rsid w:val="006E608D"/>
    <w:rsid w:val="006E6189"/>
    <w:rsid w:val="006E6B8E"/>
    <w:rsid w:val="006E7D46"/>
    <w:rsid w:val="006E7FAF"/>
    <w:rsid w:val="006F0120"/>
    <w:rsid w:val="006F1420"/>
    <w:rsid w:val="006F15D7"/>
    <w:rsid w:val="006F1AA3"/>
    <w:rsid w:val="006F3CE9"/>
    <w:rsid w:val="006F3FF1"/>
    <w:rsid w:val="006F43CB"/>
    <w:rsid w:val="006F46B5"/>
    <w:rsid w:val="006F5239"/>
    <w:rsid w:val="006F6ABD"/>
    <w:rsid w:val="006F7F64"/>
    <w:rsid w:val="007012F1"/>
    <w:rsid w:val="00704845"/>
    <w:rsid w:val="0070646D"/>
    <w:rsid w:val="00707346"/>
    <w:rsid w:val="00711861"/>
    <w:rsid w:val="007122D2"/>
    <w:rsid w:val="00712FC7"/>
    <w:rsid w:val="00713A90"/>
    <w:rsid w:val="00714048"/>
    <w:rsid w:val="00715354"/>
    <w:rsid w:val="00715B18"/>
    <w:rsid w:val="0071652D"/>
    <w:rsid w:val="00716876"/>
    <w:rsid w:val="007221D9"/>
    <w:rsid w:val="00722308"/>
    <w:rsid w:val="00722BA6"/>
    <w:rsid w:val="0072539C"/>
    <w:rsid w:val="00725806"/>
    <w:rsid w:val="00726477"/>
    <w:rsid w:val="00726FEB"/>
    <w:rsid w:val="007271A3"/>
    <w:rsid w:val="00727E19"/>
    <w:rsid w:val="00727FFB"/>
    <w:rsid w:val="0073184C"/>
    <w:rsid w:val="00731B20"/>
    <w:rsid w:val="00732C79"/>
    <w:rsid w:val="00733C17"/>
    <w:rsid w:val="007367CE"/>
    <w:rsid w:val="0073724E"/>
    <w:rsid w:val="007374B5"/>
    <w:rsid w:val="007379ED"/>
    <w:rsid w:val="00743B65"/>
    <w:rsid w:val="00743EF6"/>
    <w:rsid w:val="00744C7C"/>
    <w:rsid w:val="00745021"/>
    <w:rsid w:val="007458BD"/>
    <w:rsid w:val="007460F4"/>
    <w:rsid w:val="007466C5"/>
    <w:rsid w:val="00746B22"/>
    <w:rsid w:val="007513DF"/>
    <w:rsid w:val="007514D7"/>
    <w:rsid w:val="0075175C"/>
    <w:rsid w:val="00751B08"/>
    <w:rsid w:val="00752EBB"/>
    <w:rsid w:val="007530BD"/>
    <w:rsid w:val="00753629"/>
    <w:rsid w:val="00756CE6"/>
    <w:rsid w:val="0075735D"/>
    <w:rsid w:val="0076205F"/>
    <w:rsid w:val="00762336"/>
    <w:rsid w:val="0076320A"/>
    <w:rsid w:val="007634A3"/>
    <w:rsid w:val="007635DF"/>
    <w:rsid w:val="00763AF8"/>
    <w:rsid w:val="00765B60"/>
    <w:rsid w:val="00767095"/>
    <w:rsid w:val="00767454"/>
    <w:rsid w:val="0076775B"/>
    <w:rsid w:val="007677B2"/>
    <w:rsid w:val="007679B1"/>
    <w:rsid w:val="00770467"/>
    <w:rsid w:val="0077207D"/>
    <w:rsid w:val="0077274E"/>
    <w:rsid w:val="007727B0"/>
    <w:rsid w:val="00773071"/>
    <w:rsid w:val="00775F34"/>
    <w:rsid w:val="00777B52"/>
    <w:rsid w:val="007801CD"/>
    <w:rsid w:val="007801D5"/>
    <w:rsid w:val="00780BC5"/>
    <w:rsid w:val="00781C56"/>
    <w:rsid w:val="00782976"/>
    <w:rsid w:val="00782D98"/>
    <w:rsid w:val="007858CA"/>
    <w:rsid w:val="00786928"/>
    <w:rsid w:val="00786A1A"/>
    <w:rsid w:val="00790A8A"/>
    <w:rsid w:val="007910F6"/>
    <w:rsid w:val="00792FED"/>
    <w:rsid w:val="007931DB"/>
    <w:rsid w:val="00794220"/>
    <w:rsid w:val="00794C8A"/>
    <w:rsid w:val="00797DF8"/>
    <w:rsid w:val="007A3D3E"/>
    <w:rsid w:val="007A4598"/>
    <w:rsid w:val="007A4907"/>
    <w:rsid w:val="007A4C97"/>
    <w:rsid w:val="007A5C94"/>
    <w:rsid w:val="007A5E02"/>
    <w:rsid w:val="007A70E4"/>
    <w:rsid w:val="007A76A5"/>
    <w:rsid w:val="007A7AC7"/>
    <w:rsid w:val="007B2BE7"/>
    <w:rsid w:val="007B30DD"/>
    <w:rsid w:val="007B51AF"/>
    <w:rsid w:val="007B7222"/>
    <w:rsid w:val="007C1DB6"/>
    <w:rsid w:val="007C4687"/>
    <w:rsid w:val="007D120B"/>
    <w:rsid w:val="007D19C1"/>
    <w:rsid w:val="007D406C"/>
    <w:rsid w:val="007D6EC6"/>
    <w:rsid w:val="007E111E"/>
    <w:rsid w:val="007E38A5"/>
    <w:rsid w:val="007E3C58"/>
    <w:rsid w:val="007E4596"/>
    <w:rsid w:val="007E4DD0"/>
    <w:rsid w:val="007E6E53"/>
    <w:rsid w:val="007E7882"/>
    <w:rsid w:val="007F08D0"/>
    <w:rsid w:val="007F0930"/>
    <w:rsid w:val="007F23A9"/>
    <w:rsid w:val="007F3D44"/>
    <w:rsid w:val="007F3E4B"/>
    <w:rsid w:val="007F4A47"/>
    <w:rsid w:val="007F59C1"/>
    <w:rsid w:val="007F64BE"/>
    <w:rsid w:val="007F74FC"/>
    <w:rsid w:val="007F75FD"/>
    <w:rsid w:val="007F7A4A"/>
    <w:rsid w:val="007F7BB1"/>
    <w:rsid w:val="0080041C"/>
    <w:rsid w:val="00801115"/>
    <w:rsid w:val="008029FF"/>
    <w:rsid w:val="00805A16"/>
    <w:rsid w:val="0080701D"/>
    <w:rsid w:val="00807707"/>
    <w:rsid w:val="00807752"/>
    <w:rsid w:val="00812EE5"/>
    <w:rsid w:val="00814195"/>
    <w:rsid w:val="0081513A"/>
    <w:rsid w:val="00815DDE"/>
    <w:rsid w:val="0081660F"/>
    <w:rsid w:val="008167AA"/>
    <w:rsid w:val="00817D0F"/>
    <w:rsid w:val="0082206E"/>
    <w:rsid w:val="00822677"/>
    <w:rsid w:val="008238F3"/>
    <w:rsid w:val="00825007"/>
    <w:rsid w:val="008250B4"/>
    <w:rsid w:val="008258B5"/>
    <w:rsid w:val="008270EB"/>
    <w:rsid w:val="00827E8B"/>
    <w:rsid w:val="0083009C"/>
    <w:rsid w:val="00831BC1"/>
    <w:rsid w:val="00832C78"/>
    <w:rsid w:val="00835376"/>
    <w:rsid w:val="008357E8"/>
    <w:rsid w:val="00836F36"/>
    <w:rsid w:val="00837906"/>
    <w:rsid w:val="0084024A"/>
    <w:rsid w:val="0084157C"/>
    <w:rsid w:val="00842828"/>
    <w:rsid w:val="0084400E"/>
    <w:rsid w:val="0084438C"/>
    <w:rsid w:val="008459DB"/>
    <w:rsid w:val="00846A0B"/>
    <w:rsid w:val="008521EA"/>
    <w:rsid w:val="00853563"/>
    <w:rsid w:val="00853AFB"/>
    <w:rsid w:val="00853C5A"/>
    <w:rsid w:val="00857EF6"/>
    <w:rsid w:val="008607A0"/>
    <w:rsid w:val="00860D7E"/>
    <w:rsid w:val="00860F55"/>
    <w:rsid w:val="00861049"/>
    <w:rsid w:val="00862555"/>
    <w:rsid w:val="008633D2"/>
    <w:rsid w:val="0086352C"/>
    <w:rsid w:val="008636F6"/>
    <w:rsid w:val="00865B89"/>
    <w:rsid w:val="00865FFE"/>
    <w:rsid w:val="00866322"/>
    <w:rsid w:val="00866BDB"/>
    <w:rsid w:val="00871970"/>
    <w:rsid w:val="008725C2"/>
    <w:rsid w:val="00873676"/>
    <w:rsid w:val="00874093"/>
    <w:rsid w:val="008751DC"/>
    <w:rsid w:val="00876E0D"/>
    <w:rsid w:val="008772FC"/>
    <w:rsid w:val="0088019E"/>
    <w:rsid w:val="008801F6"/>
    <w:rsid w:val="00881AD7"/>
    <w:rsid w:val="00882521"/>
    <w:rsid w:val="008847F5"/>
    <w:rsid w:val="00884B25"/>
    <w:rsid w:val="00885C0B"/>
    <w:rsid w:val="00886042"/>
    <w:rsid w:val="0088640F"/>
    <w:rsid w:val="00886981"/>
    <w:rsid w:val="00887208"/>
    <w:rsid w:val="00890217"/>
    <w:rsid w:val="00890581"/>
    <w:rsid w:val="008910AF"/>
    <w:rsid w:val="00891514"/>
    <w:rsid w:val="00891CCE"/>
    <w:rsid w:val="00893515"/>
    <w:rsid w:val="008A0270"/>
    <w:rsid w:val="008A028F"/>
    <w:rsid w:val="008A09D7"/>
    <w:rsid w:val="008A225F"/>
    <w:rsid w:val="008A36BC"/>
    <w:rsid w:val="008A38A2"/>
    <w:rsid w:val="008A4AC5"/>
    <w:rsid w:val="008A564B"/>
    <w:rsid w:val="008A5959"/>
    <w:rsid w:val="008A6384"/>
    <w:rsid w:val="008A67A6"/>
    <w:rsid w:val="008B1722"/>
    <w:rsid w:val="008B2880"/>
    <w:rsid w:val="008B31E0"/>
    <w:rsid w:val="008B3298"/>
    <w:rsid w:val="008B47E3"/>
    <w:rsid w:val="008B4A8F"/>
    <w:rsid w:val="008B676A"/>
    <w:rsid w:val="008B70F0"/>
    <w:rsid w:val="008C107A"/>
    <w:rsid w:val="008C1A40"/>
    <w:rsid w:val="008C2311"/>
    <w:rsid w:val="008C30F3"/>
    <w:rsid w:val="008C56D4"/>
    <w:rsid w:val="008C61B1"/>
    <w:rsid w:val="008C6D0B"/>
    <w:rsid w:val="008C7AA0"/>
    <w:rsid w:val="008D02B2"/>
    <w:rsid w:val="008D3EC8"/>
    <w:rsid w:val="008D42B9"/>
    <w:rsid w:val="008D48D7"/>
    <w:rsid w:val="008D5974"/>
    <w:rsid w:val="008D6114"/>
    <w:rsid w:val="008E0EAE"/>
    <w:rsid w:val="008E1064"/>
    <w:rsid w:val="008E2E7F"/>
    <w:rsid w:val="008E3B11"/>
    <w:rsid w:val="008E471F"/>
    <w:rsid w:val="008E6362"/>
    <w:rsid w:val="008E7632"/>
    <w:rsid w:val="008E7CF3"/>
    <w:rsid w:val="008F153D"/>
    <w:rsid w:val="008F23CF"/>
    <w:rsid w:val="008F2473"/>
    <w:rsid w:val="008F3E19"/>
    <w:rsid w:val="008F6130"/>
    <w:rsid w:val="008F6A99"/>
    <w:rsid w:val="008F6C41"/>
    <w:rsid w:val="00900FCA"/>
    <w:rsid w:val="00901B6F"/>
    <w:rsid w:val="00901F95"/>
    <w:rsid w:val="0090320C"/>
    <w:rsid w:val="0090349C"/>
    <w:rsid w:val="00903E98"/>
    <w:rsid w:val="0090429E"/>
    <w:rsid w:val="00906A4E"/>
    <w:rsid w:val="00906B61"/>
    <w:rsid w:val="00906BBA"/>
    <w:rsid w:val="00906C86"/>
    <w:rsid w:val="00907D6E"/>
    <w:rsid w:val="00907E13"/>
    <w:rsid w:val="009121B9"/>
    <w:rsid w:val="00912E0A"/>
    <w:rsid w:val="00913821"/>
    <w:rsid w:val="009145F0"/>
    <w:rsid w:val="0091583A"/>
    <w:rsid w:val="00916FEC"/>
    <w:rsid w:val="0092040A"/>
    <w:rsid w:val="00920D09"/>
    <w:rsid w:val="00920F37"/>
    <w:rsid w:val="00923B6B"/>
    <w:rsid w:val="00923DE2"/>
    <w:rsid w:val="009255CA"/>
    <w:rsid w:val="0092653B"/>
    <w:rsid w:val="0092685A"/>
    <w:rsid w:val="00927095"/>
    <w:rsid w:val="00927842"/>
    <w:rsid w:val="00930600"/>
    <w:rsid w:val="00931076"/>
    <w:rsid w:val="00931DF3"/>
    <w:rsid w:val="00932099"/>
    <w:rsid w:val="009320EB"/>
    <w:rsid w:val="009337F8"/>
    <w:rsid w:val="00933D11"/>
    <w:rsid w:val="0093439D"/>
    <w:rsid w:val="0093477A"/>
    <w:rsid w:val="00936FE4"/>
    <w:rsid w:val="0093728F"/>
    <w:rsid w:val="0093799F"/>
    <w:rsid w:val="009408F8"/>
    <w:rsid w:val="00940B46"/>
    <w:rsid w:val="00941EA5"/>
    <w:rsid w:val="00942207"/>
    <w:rsid w:val="0094257B"/>
    <w:rsid w:val="00942F9A"/>
    <w:rsid w:val="009447C1"/>
    <w:rsid w:val="00945156"/>
    <w:rsid w:val="00945826"/>
    <w:rsid w:val="00945A65"/>
    <w:rsid w:val="00946312"/>
    <w:rsid w:val="00947673"/>
    <w:rsid w:val="00947B03"/>
    <w:rsid w:val="00952A35"/>
    <w:rsid w:val="0095321E"/>
    <w:rsid w:val="009534AE"/>
    <w:rsid w:val="00953944"/>
    <w:rsid w:val="00954735"/>
    <w:rsid w:val="00954BCC"/>
    <w:rsid w:val="00955271"/>
    <w:rsid w:val="00956B3A"/>
    <w:rsid w:val="0095748E"/>
    <w:rsid w:val="009602D9"/>
    <w:rsid w:val="00961013"/>
    <w:rsid w:val="00962261"/>
    <w:rsid w:val="00962F66"/>
    <w:rsid w:val="00964B0E"/>
    <w:rsid w:val="00965525"/>
    <w:rsid w:val="00973D4D"/>
    <w:rsid w:val="00975BA3"/>
    <w:rsid w:val="009762DD"/>
    <w:rsid w:val="00977A8C"/>
    <w:rsid w:val="00977C00"/>
    <w:rsid w:val="0098046C"/>
    <w:rsid w:val="00980D1E"/>
    <w:rsid w:val="00981076"/>
    <w:rsid w:val="00984513"/>
    <w:rsid w:val="009849AD"/>
    <w:rsid w:val="009858CB"/>
    <w:rsid w:val="0098591F"/>
    <w:rsid w:val="00986C15"/>
    <w:rsid w:val="00991CBB"/>
    <w:rsid w:val="0099236C"/>
    <w:rsid w:val="00995B6A"/>
    <w:rsid w:val="009964EE"/>
    <w:rsid w:val="00996682"/>
    <w:rsid w:val="00997DC6"/>
    <w:rsid w:val="009A034B"/>
    <w:rsid w:val="009A0ED2"/>
    <w:rsid w:val="009A3228"/>
    <w:rsid w:val="009A396A"/>
    <w:rsid w:val="009A4225"/>
    <w:rsid w:val="009A4ACD"/>
    <w:rsid w:val="009A551C"/>
    <w:rsid w:val="009B0CB5"/>
    <w:rsid w:val="009B1A5A"/>
    <w:rsid w:val="009B279F"/>
    <w:rsid w:val="009B2FEF"/>
    <w:rsid w:val="009B4D98"/>
    <w:rsid w:val="009B6023"/>
    <w:rsid w:val="009B6AEA"/>
    <w:rsid w:val="009B7C43"/>
    <w:rsid w:val="009C31C8"/>
    <w:rsid w:val="009C3F63"/>
    <w:rsid w:val="009C404D"/>
    <w:rsid w:val="009C48DA"/>
    <w:rsid w:val="009C55AC"/>
    <w:rsid w:val="009C5AA4"/>
    <w:rsid w:val="009C5D92"/>
    <w:rsid w:val="009C5F6D"/>
    <w:rsid w:val="009C62FD"/>
    <w:rsid w:val="009C644F"/>
    <w:rsid w:val="009C6EF7"/>
    <w:rsid w:val="009C705C"/>
    <w:rsid w:val="009D03AB"/>
    <w:rsid w:val="009D1B38"/>
    <w:rsid w:val="009D2BB8"/>
    <w:rsid w:val="009D317A"/>
    <w:rsid w:val="009D427F"/>
    <w:rsid w:val="009D4E6A"/>
    <w:rsid w:val="009D4F79"/>
    <w:rsid w:val="009D5E70"/>
    <w:rsid w:val="009D6848"/>
    <w:rsid w:val="009D7358"/>
    <w:rsid w:val="009D7C7E"/>
    <w:rsid w:val="009E070E"/>
    <w:rsid w:val="009E077C"/>
    <w:rsid w:val="009E33C6"/>
    <w:rsid w:val="009E5659"/>
    <w:rsid w:val="009E5A6C"/>
    <w:rsid w:val="009F137B"/>
    <w:rsid w:val="009F2093"/>
    <w:rsid w:val="009F50D1"/>
    <w:rsid w:val="009F5FDD"/>
    <w:rsid w:val="009F69B7"/>
    <w:rsid w:val="009F7DCC"/>
    <w:rsid w:val="00A00A48"/>
    <w:rsid w:val="00A01EBE"/>
    <w:rsid w:val="00A02855"/>
    <w:rsid w:val="00A02E25"/>
    <w:rsid w:val="00A0648D"/>
    <w:rsid w:val="00A06A3D"/>
    <w:rsid w:val="00A06A92"/>
    <w:rsid w:val="00A0708F"/>
    <w:rsid w:val="00A10739"/>
    <w:rsid w:val="00A11969"/>
    <w:rsid w:val="00A128F9"/>
    <w:rsid w:val="00A15C2F"/>
    <w:rsid w:val="00A15D62"/>
    <w:rsid w:val="00A16532"/>
    <w:rsid w:val="00A17E62"/>
    <w:rsid w:val="00A20743"/>
    <w:rsid w:val="00A2083A"/>
    <w:rsid w:val="00A228E4"/>
    <w:rsid w:val="00A25EC9"/>
    <w:rsid w:val="00A278FB"/>
    <w:rsid w:val="00A30E3C"/>
    <w:rsid w:val="00A33132"/>
    <w:rsid w:val="00A33872"/>
    <w:rsid w:val="00A3509E"/>
    <w:rsid w:val="00A355AA"/>
    <w:rsid w:val="00A35D3B"/>
    <w:rsid w:val="00A36187"/>
    <w:rsid w:val="00A3629F"/>
    <w:rsid w:val="00A363F4"/>
    <w:rsid w:val="00A36CF4"/>
    <w:rsid w:val="00A370D8"/>
    <w:rsid w:val="00A402E6"/>
    <w:rsid w:val="00A4336B"/>
    <w:rsid w:val="00A436B4"/>
    <w:rsid w:val="00A454C8"/>
    <w:rsid w:val="00A45E98"/>
    <w:rsid w:val="00A4768E"/>
    <w:rsid w:val="00A50A02"/>
    <w:rsid w:val="00A50D00"/>
    <w:rsid w:val="00A51523"/>
    <w:rsid w:val="00A53446"/>
    <w:rsid w:val="00A55374"/>
    <w:rsid w:val="00A554E3"/>
    <w:rsid w:val="00A55EA2"/>
    <w:rsid w:val="00A606C6"/>
    <w:rsid w:val="00A61C23"/>
    <w:rsid w:val="00A620F1"/>
    <w:rsid w:val="00A62D75"/>
    <w:rsid w:val="00A63EBA"/>
    <w:rsid w:val="00A64AC6"/>
    <w:rsid w:val="00A65E55"/>
    <w:rsid w:val="00A67D54"/>
    <w:rsid w:val="00A71F4C"/>
    <w:rsid w:val="00A72754"/>
    <w:rsid w:val="00A73DBA"/>
    <w:rsid w:val="00A7429B"/>
    <w:rsid w:val="00A75715"/>
    <w:rsid w:val="00A76201"/>
    <w:rsid w:val="00A80401"/>
    <w:rsid w:val="00A81A19"/>
    <w:rsid w:val="00A82DC6"/>
    <w:rsid w:val="00A8355B"/>
    <w:rsid w:val="00A83AF5"/>
    <w:rsid w:val="00A85939"/>
    <w:rsid w:val="00A859B5"/>
    <w:rsid w:val="00A86C07"/>
    <w:rsid w:val="00A908DD"/>
    <w:rsid w:val="00A91C6E"/>
    <w:rsid w:val="00A92E28"/>
    <w:rsid w:val="00A94E82"/>
    <w:rsid w:val="00A9661C"/>
    <w:rsid w:val="00AA059A"/>
    <w:rsid w:val="00AA186F"/>
    <w:rsid w:val="00AA1B65"/>
    <w:rsid w:val="00AA1D44"/>
    <w:rsid w:val="00AA2277"/>
    <w:rsid w:val="00AA2837"/>
    <w:rsid w:val="00AA3628"/>
    <w:rsid w:val="00AA44BB"/>
    <w:rsid w:val="00AA5740"/>
    <w:rsid w:val="00AA6158"/>
    <w:rsid w:val="00AA6EC2"/>
    <w:rsid w:val="00AB0265"/>
    <w:rsid w:val="00AB1E01"/>
    <w:rsid w:val="00AB2002"/>
    <w:rsid w:val="00AB3537"/>
    <w:rsid w:val="00AB37A9"/>
    <w:rsid w:val="00AB6682"/>
    <w:rsid w:val="00AB6CBD"/>
    <w:rsid w:val="00AB73B9"/>
    <w:rsid w:val="00AB7FEC"/>
    <w:rsid w:val="00AC110C"/>
    <w:rsid w:val="00AC23B9"/>
    <w:rsid w:val="00AC2E29"/>
    <w:rsid w:val="00AC3DF6"/>
    <w:rsid w:val="00AC3F7F"/>
    <w:rsid w:val="00AC43B5"/>
    <w:rsid w:val="00AC59B6"/>
    <w:rsid w:val="00AC6B6B"/>
    <w:rsid w:val="00AC73B6"/>
    <w:rsid w:val="00AC7900"/>
    <w:rsid w:val="00AD0863"/>
    <w:rsid w:val="00AD0CBA"/>
    <w:rsid w:val="00AD221D"/>
    <w:rsid w:val="00AD2805"/>
    <w:rsid w:val="00AD34BA"/>
    <w:rsid w:val="00AD3520"/>
    <w:rsid w:val="00AD3AA2"/>
    <w:rsid w:val="00AD46B9"/>
    <w:rsid w:val="00AE045E"/>
    <w:rsid w:val="00AE1266"/>
    <w:rsid w:val="00AE171C"/>
    <w:rsid w:val="00AE2ADD"/>
    <w:rsid w:val="00AE35C8"/>
    <w:rsid w:val="00AE38DA"/>
    <w:rsid w:val="00AE426A"/>
    <w:rsid w:val="00AE560A"/>
    <w:rsid w:val="00AE593F"/>
    <w:rsid w:val="00AE59D0"/>
    <w:rsid w:val="00AE5F83"/>
    <w:rsid w:val="00AE62A8"/>
    <w:rsid w:val="00AE67BE"/>
    <w:rsid w:val="00AE6977"/>
    <w:rsid w:val="00AE7A18"/>
    <w:rsid w:val="00AF000C"/>
    <w:rsid w:val="00AF1488"/>
    <w:rsid w:val="00AF1ACB"/>
    <w:rsid w:val="00AF585D"/>
    <w:rsid w:val="00AF7C94"/>
    <w:rsid w:val="00B00376"/>
    <w:rsid w:val="00B0225C"/>
    <w:rsid w:val="00B02CCF"/>
    <w:rsid w:val="00B02FBA"/>
    <w:rsid w:val="00B0306D"/>
    <w:rsid w:val="00B040FF"/>
    <w:rsid w:val="00B04552"/>
    <w:rsid w:val="00B04BE3"/>
    <w:rsid w:val="00B0600A"/>
    <w:rsid w:val="00B07D8E"/>
    <w:rsid w:val="00B115F6"/>
    <w:rsid w:val="00B11732"/>
    <w:rsid w:val="00B11F52"/>
    <w:rsid w:val="00B12561"/>
    <w:rsid w:val="00B16C71"/>
    <w:rsid w:val="00B170F0"/>
    <w:rsid w:val="00B171C3"/>
    <w:rsid w:val="00B174A4"/>
    <w:rsid w:val="00B17B3F"/>
    <w:rsid w:val="00B2182C"/>
    <w:rsid w:val="00B22569"/>
    <w:rsid w:val="00B22E00"/>
    <w:rsid w:val="00B2343E"/>
    <w:rsid w:val="00B236AF"/>
    <w:rsid w:val="00B237C7"/>
    <w:rsid w:val="00B26095"/>
    <w:rsid w:val="00B27207"/>
    <w:rsid w:val="00B30BCB"/>
    <w:rsid w:val="00B311A1"/>
    <w:rsid w:val="00B33835"/>
    <w:rsid w:val="00B340D9"/>
    <w:rsid w:val="00B34413"/>
    <w:rsid w:val="00B363D4"/>
    <w:rsid w:val="00B374F5"/>
    <w:rsid w:val="00B37901"/>
    <w:rsid w:val="00B379CA"/>
    <w:rsid w:val="00B37A61"/>
    <w:rsid w:val="00B412E4"/>
    <w:rsid w:val="00B41982"/>
    <w:rsid w:val="00B42F4E"/>
    <w:rsid w:val="00B44372"/>
    <w:rsid w:val="00B467AA"/>
    <w:rsid w:val="00B5252B"/>
    <w:rsid w:val="00B5629F"/>
    <w:rsid w:val="00B56EE8"/>
    <w:rsid w:val="00B56FC3"/>
    <w:rsid w:val="00B608F5"/>
    <w:rsid w:val="00B60D03"/>
    <w:rsid w:val="00B648D5"/>
    <w:rsid w:val="00B65111"/>
    <w:rsid w:val="00B659AF"/>
    <w:rsid w:val="00B6649F"/>
    <w:rsid w:val="00B66C9E"/>
    <w:rsid w:val="00B67049"/>
    <w:rsid w:val="00B674D8"/>
    <w:rsid w:val="00B67B10"/>
    <w:rsid w:val="00B71FDB"/>
    <w:rsid w:val="00B729E2"/>
    <w:rsid w:val="00B730DE"/>
    <w:rsid w:val="00B75BF4"/>
    <w:rsid w:val="00B75D7B"/>
    <w:rsid w:val="00B76457"/>
    <w:rsid w:val="00B76927"/>
    <w:rsid w:val="00B76B9F"/>
    <w:rsid w:val="00B80F3B"/>
    <w:rsid w:val="00B83220"/>
    <w:rsid w:val="00B845D8"/>
    <w:rsid w:val="00B85A5A"/>
    <w:rsid w:val="00B864DA"/>
    <w:rsid w:val="00B86DAA"/>
    <w:rsid w:val="00B90198"/>
    <w:rsid w:val="00B913EB"/>
    <w:rsid w:val="00B92EF4"/>
    <w:rsid w:val="00B92FC7"/>
    <w:rsid w:val="00B939A4"/>
    <w:rsid w:val="00B95518"/>
    <w:rsid w:val="00B9679D"/>
    <w:rsid w:val="00B97ACC"/>
    <w:rsid w:val="00BA18F8"/>
    <w:rsid w:val="00BA259F"/>
    <w:rsid w:val="00BA578A"/>
    <w:rsid w:val="00BA6544"/>
    <w:rsid w:val="00BA6E30"/>
    <w:rsid w:val="00BB18FA"/>
    <w:rsid w:val="00BB1D30"/>
    <w:rsid w:val="00BB2092"/>
    <w:rsid w:val="00BB22E4"/>
    <w:rsid w:val="00BB2CA1"/>
    <w:rsid w:val="00BB3217"/>
    <w:rsid w:val="00BB3CB3"/>
    <w:rsid w:val="00BB5AFE"/>
    <w:rsid w:val="00BB6A9B"/>
    <w:rsid w:val="00BC055C"/>
    <w:rsid w:val="00BC1330"/>
    <w:rsid w:val="00BC2684"/>
    <w:rsid w:val="00BC2E08"/>
    <w:rsid w:val="00BC438C"/>
    <w:rsid w:val="00BC4A20"/>
    <w:rsid w:val="00BC4E32"/>
    <w:rsid w:val="00BC5299"/>
    <w:rsid w:val="00BC6166"/>
    <w:rsid w:val="00BC6964"/>
    <w:rsid w:val="00BC7240"/>
    <w:rsid w:val="00BC767E"/>
    <w:rsid w:val="00BC7B6E"/>
    <w:rsid w:val="00BC7C05"/>
    <w:rsid w:val="00BC7C75"/>
    <w:rsid w:val="00BD03D6"/>
    <w:rsid w:val="00BD066B"/>
    <w:rsid w:val="00BD1250"/>
    <w:rsid w:val="00BD3EAC"/>
    <w:rsid w:val="00BD4D7C"/>
    <w:rsid w:val="00BD5C1E"/>
    <w:rsid w:val="00BD6047"/>
    <w:rsid w:val="00BD60E9"/>
    <w:rsid w:val="00BD634C"/>
    <w:rsid w:val="00BD6BCA"/>
    <w:rsid w:val="00BD6E0D"/>
    <w:rsid w:val="00BE1937"/>
    <w:rsid w:val="00BE2962"/>
    <w:rsid w:val="00BE2CEB"/>
    <w:rsid w:val="00BE2F11"/>
    <w:rsid w:val="00BE3907"/>
    <w:rsid w:val="00BE46F7"/>
    <w:rsid w:val="00BE4843"/>
    <w:rsid w:val="00BE50B3"/>
    <w:rsid w:val="00BE6573"/>
    <w:rsid w:val="00BE68B7"/>
    <w:rsid w:val="00BE6F84"/>
    <w:rsid w:val="00BF1EF7"/>
    <w:rsid w:val="00BF2B66"/>
    <w:rsid w:val="00BF2BA1"/>
    <w:rsid w:val="00BF41C3"/>
    <w:rsid w:val="00BF57E9"/>
    <w:rsid w:val="00BF5D55"/>
    <w:rsid w:val="00C00122"/>
    <w:rsid w:val="00C007A5"/>
    <w:rsid w:val="00C01499"/>
    <w:rsid w:val="00C01CF4"/>
    <w:rsid w:val="00C04606"/>
    <w:rsid w:val="00C05C40"/>
    <w:rsid w:val="00C05F84"/>
    <w:rsid w:val="00C06B60"/>
    <w:rsid w:val="00C06BAD"/>
    <w:rsid w:val="00C100F4"/>
    <w:rsid w:val="00C10A29"/>
    <w:rsid w:val="00C13ED1"/>
    <w:rsid w:val="00C14294"/>
    <w:rsid w:val="00C15042"/>
    <w:rsid w:val="00C1544D"/>
    <w:rsid w:val="00C15EBB"/>
    <w:rsid w:val="00C15F3D"/>
    <w:rsid w:val="00C163B2"/>
    <w:rsid w:val="00C16B8D"/>
    <w:rsid w:val="00C170C7"/>
    <w:rsid w:val="00C176BD"/>
    <w:rsid w:val="00C17C8E"/>
    <w:rsid w:val="00C17D3F"/>
    <w:rsid w:val="00C21028"/>
    <w:rsid w:val="00C216DE"/>
    <w:rsid w:val="00C2253C"/>
    <w:rsid w:val="00C22D02"/>
    <w:rsid w:val="00C24867"/>
    <w:rsid w:val="00C25A2B"/>
    <w:rsid w:val="00C27411"/>
    <w:rsid w:val="00C27983"/>
    <w:rsid w:val="00C33095"/>
    <w:rsid w:val="00C33E66"/>
    <w:rsid w:val="00C349E8"/>
    <w:rsid w:val="00C35AB6"/>
    <w:rsid w:val="00C3605C"/>
    <w:rsid w:val="00C37492"/>
    <w:rsid w:val="00C42300"/>
    <w:rsid w:val="00C42B18"/>
    <w:rsid w:val="00C43577"/>
    <w:rsid w:val="00C43B75"/>
    <w:rsid w:val="00C446B4"/>
    <w:rsid w:val="00C4480B"/>
    <w:rsid w:val="00C45342"/>
    <w:rsid w:val="00C45E46"/>
    <w:rsid w:val="00C46694"/>
    <w:rsid w:val="00C5121A"/>
    <w:rsid w:val="00C54AF4"/>
    <w:rsid w:val="00C54DD4"/>
    <w:rsid w:val="00C556E5"/>
    <w:rsid w:val="00C55A40"/>
    <w:rsid w:val="00C55D2C"/>
    <w:rsid w:val="00C615AF"/>
    <w:rsid w:val="00C63600"/>
    <w:rsid w:val="00C65843"/>
    <w:rsid w:val="00C66C13"/>
    <w:rsid w:val="00C7013D"/>
    <w:rsid w:val="00C7105D"/>
    <w:rsid w:val="00C72667"/>
    <w:rsid w:val="00C73148"/>
    <w:rsid w:val="00C73F40"/>
    <w:rsid w:val="00C74505"/>
    <w:rsid w:val="00C749C3"/>
    <w:rsid w:val="00C756F4"/>
    <w:rsid w:val="00C76897"/>
    <w:rsid w:val="00C773A0"/>
    <w:rsid w:val="00C77572"/>
    <w:rsid w:val="00C77674"/>
    <w:rsid w:val="00C779B8"/>
    <w:rsid w:val="00C77F49"/>
    <w:rsid w:val="00C8082E"/>
    <w:rsid w:val="00C81367"/>
    <w:rsid w:val="00C81EDA"/>
    <w:rsid w:val="00C827B7"/>
    <w:rsid w:val="00C82EE0"/>
    <w:rsid w:val="00C85605"/>
    <w:rsid w:val="00C86DDE"/>
    <w:rsid w:val="00C87ED1"/>
    <w:rsid w:val="00C912E6"/>
    <w:rsid w:val="00C91839"/>
    <w:rsid w:val="00C91EE6"/>
    <w:rsid w:val="00C92A03"/>
    <w:rsid w:val="00C93E84"/>
    <w:rsid w:val="00C97E0B"/>
    <w:rsid w:val="00CA0448"/>
    <w:rsid w:val="00CA04B3"/>
    <w:rsid w:val="00CA05A1"/>
    <w:rsid w:val="00CA188F"/>
    <w:rsid w:val="00CA2348"/>
    <w:rsid w:val="00CA4C49"/>
    <w:rsid w:val="00CA5166"/>
    <w:rsid w:val="00CA620B"/>
    <w:rsid w:val="00CA640A"/>
    <w:rsid w:val="00CA715B"/>
    <w:rsid w:val="00CA7C4D"/>
    <w:rsid w:val="00CB071E"/>
    <w:rsid w:val="00CB0C58"/>
    <w:rsid w:val="00CB1C35"/>
    <w:rsid w:val="00CB65F5"/>
    <w:rsid w:val="00CB6681"/>
    <w:rsid w:val="00CB72CE"/>
    <w:rsid w:val="00CB753F"/>
    <w:rsid w:val="00CC081E"/>
    <w:rsid w:val="00CC105B"/>
    <w:rsid w:val="00CC1F2C"/>
    <w:rsid w:val="00CC301C"/>
    <w:rsid w:val="00CC34B8"/>
    <w:rsid w:val="00CC36D8"/>
    <w:rsid w:val="00CC4EC4"/>
    <w:rsid w:val="00CC523C"/>
    <w:rsid w:val="00CC52DB"/>
    <w:rsid w:val="00CC63FD"/>
    <w:rsid w:val="00CC780F"/>
    <w:rsid w:val="00CD042E"/>
    <w:rsid w:val="00CD1EA5"/>
    <w:rsid w:val="00CD2FC9"/>
    <w:rsid w:val="00CD4738"/>
    <w:rsid w:val="00CD4B3A"/>
    <w:rsid w:val="00CD64B0"/>
    <w:rsid w:val="00CD7EF3"/>
    <w:rsid w:val="00CE07BD"/>
    <w:rsid w:val="00CE165D"/>
    <w:rsid w:val="00CE2BF8"/>
    <w:rsid w:val="00CE30D5"/>
    <w:rsid w:val="00CE33FB"/>
    <w:rsid w:val="00CE3D5E"/>
    <w:rsid w:val="00CE522E"/>
    <w:rsid w:val="00CE5462"/>
    <w:rsid w:val="00CE5773"/>
    <w:rsid w:val="00CE5D9C"/>
    <w:rsid w:val="00CE5ECE"/>
    <w:rsid w:val="00CF0CEB"/>
    <w:rsid w:val="00CF255F"/>
    <w:rsid w:val="00CF26F2"/>
    <w:rsid w:val="00CF3CE9"/>
    <w:rsid w:val="00CF6238"/>
    <w:rsid w:val="00CF6B0A"/>
    <w:rsid w:val="00D01E94"/>
    <w:rsid w:val="00D0315D"/>
    <w:rsid w:val="00D0328A"/>
    <w:rsid w:val="00D03A4D"/>
    <w:rsid w:val="00D04478"/>
    <w:rsid w:val="00D04558"/>
    <w:rsid w:val="00D06530"/>
    <w:rsid w:val="00D071A6"/>
    <w:rsid w:val="00D10AFA"/>
    <w:rsid w:val="00D11D88"/>
    <w:rsid w:val="00D12F6B"/>
    <w:rsid w:val="00D144D3"/>
    <w:rsid w:val="00D16D19"/>
    <w:rsid w:val="00D17CA8"/>
    <w:rsid w:val="00D17F0C"/>
    <w:rsid w:val="00D20844"/>
    <w:rsid w:val="00D22191"/>
    <w:rsid w:val="00D223F1"/>
    <w:rsid w:val="00D23FE5"/>
    <w:rsid w:val="00D24EE8"/>
    <w:rsid w:val="00D25709"/>
    <w:rsid w:val="00D27145"/>
    <w:rsid w:val="00D272DC"/>
    <w:rsid w:val="00D27ADE"/>
    <w:rsid w:val="00D31B5B"/>
    <w:rsid w:val="00D329AA"/>
    <w:rsid w:val="00D32B22"/>
    <w:rsid w:val="00D34BEB"/>
    <w:rsid w:val="00D35199"/>
    <w:rsid w:val="00D35C4C"/>
    <w:rsid w:val="00D36C3E"/>
    <w:rsid w:val="00D41D68"/>
    <w:rsid w:val="00D41DAA"/>
    <w:rsid w:val="00D42A43"/>
    <w:rsid w:val="00D45AAA"/>
    <w:rsid w:val="00D46E8D"/>
    <w:rsid w:val="00D47856"/>
    <w:rsid w:val="00D5051E"/>
    <w:rsid w:val="00D50654"/>
    <w:rsid w:val="00D51230"/>
    <w:rsid w:val="00D513CB"/>
    <w:rsid w:val="00D514E1"/>
    <w:rsid w:val="00D52CCF"/>
    <w:rsid w:val="00D541BF"/>
    <w:rsid w:val="00D56958"/>
    <w:rsid w:val="00D60915"/>
    <w:rsid w:val="00D609B7"/>
    <w:rsid w:val="00D614B5"/>
    <w:rsid w:val="00D62BC7"/>
    <w:rsid w:val="00D63473"/>
    <w:rsid w:val="00D64786"/>
    <w:rsid w:val="00D657B6"/>
    <w:rsid w:val="00D66464"/>
    <w:rsid w:val="00D66A17"/>
    <w:rsid w:val="00D675E5"/>
    <w:rsid w:val="00D67CB9"/>
    <w:rsid w:val="00D709A4"/>
    <w:rsid w:val="00D710F0"/>
    <w:rsid w:val="00D72AB2"/>
    <w:rsid w:val="00D7331F"/>
    <w:rsid w:val="00D75054"/>
    <w:rsid w:val="00D80FCE"/>
    <w:rsid w:val="00D81329"/>
    <w:rsid w:val="00D81A4D"/>
    <w:rsid w:val="00D840BF"/>
    <w:rsid w:val="00D8473B"/>
    <w:rsid w:val="00D864AF"/>
    <w:rsid w:val="00D8766C"/>
    <w:rsid w:val="00D87A20"/>
    <w:rsid w:val="00D91FB8"/>
    <w:rsid w:val="00D926C7"/>
    <w:rsid w:val="00D934B3"/>
    <w:rsid w:val="00D94B40"/>
    <w:rsid w:val="00D94F71"/>
    <w:rsid w:val="00D95D95"/>
    <w:rsid w:val="00D9650A"/>
    <w:rsid w:val="00D97B7E"/>
    <w:rsid w:val="00DA27CE"/>
    <w:rsid w:val="00DA53F8"/>
    <w:rsid w:val="00DA73AB"/>
    <w:rsid w:val="00DA75AA"/>
    <w:rsid w:val="00DA7666"/>
    <w:rsid w:val="00DB0548"/>
    <w:rsid w:val="00DB0DCE"/>
    <w:rsid w:val="00DB1A5F"/>
    <w:rsid w:val="00DB3862"/>
    <w:rsid w:val="00DB3EC7"/>
    <w:rsid w:val="00DB4D4C"/>
    <w:rsid w:val="00DB4EA8"/>
    <w:rsid w:val="00DB4F27"/>
    <w:rsid w:val="00DB57B9"/>
    <w:rsid w:val="00DB6278"/>
    <w:rsid w:val="00DB64BC"/>
    <w:rsid w:val="00DB64CF"/>
    <w:rsid w:val="00DB7228"/>
    <w:rsid w:val="00DC1543"/>
    <w:rsid w:val="00DC2208"/>
    <w:rsid w:val="00DC2519"/>
    <w:rsid w:val="00DC2CF2"/>
    <w:rsid w:val="00DC2FAC"/>
    <w:rsid w:val="00DC4935"/>
    <w:rsid w:val="00DD0A67"/>
    <w:rsid w:val="00DD0D10"/>
    <w:rsid w:val="00DD1C78"/>
    <w:rsid w:val="00DD2132"/>
    <w:rsid w:val="00DD6349"/>
    <w:rsid w:val="00DD6C2A"/>
    <w:rsid w:val="00DD7023"/>
    <w:rsid w:val="00DE5865"/>
    <w:rsid w:val="00DE7D79"/>
    <w:rsid w:val="00DF1BD1"/>
    <w:rsid w:val="00DF2A9F"/>
    <w:rsid w:val="00DF3E99"/>
    <w:rsid w:val="00DF570C"/>
    <w:rsid w:val="00DF6132"/>
    <w:rsid w:val="00E0102D"/>
    <w:rsid w:val="00E0170B"/>
    <w:rsid w:val="00E018A0"/>
    <w:rsid w:val="00E0198E"/>
    <w:rsid w:val="00E02909"/>
    <w:rsid w:val="00E03DEB"/>
    <w:rsid w:val="00E04B8F"/>
    <w:rsid w:val="00E07815"/>
    <w:rsid w:val="00E119FF"/>
    <w:rsid w:val="00E121D0"/>
    <w:rsid w:val="00E1285F"/>
    <w:rsid w:val="00E1312D"/>
    <w:rsid w:val="00E14274"/>
    <w:rsid w:val="00E142A9"/>
    <w:rsid w:val="00E14343"/>
    <w:rsid w:val="00E16395"/>
    <w:rsid w:val="00E16B7F"/>
    <w:rsid w:val="00E171AE"/>
    <w:rsid w:val="00E20FCB"/>
    <w:rsid w:val="00E21546"/>
    <w:rsid w:val="00E2253F"/>
    <w:rsid w:val="00E23F69"/>
    <w:rsid w:val="00E244EF"/>
    <w:rsid w:val="00E24B15"/>
    <w:rsid w:val="00E24EB2"/>
    <w:rsid w:val="00E25D06"/>
    <w:rsid w:val="00E268F2"/>
    <w:rsid w:val="00E26C60"/>
    <w:rsid w:val="00E30D80"/>
    <w:rsid w:val="00E31302"/>
    <w:rsid w:val="00E328A1"/>
    <w:rsid w:val="00E336AD"/>
    <w:rsid w:val="00E35697"/>
    <w:rsid w:val="00E35D70"/>
    <w:rsid w:val="00E3627B"/>
    <w:rsid w:val="00E402D4"/>
    <w:rsid w:val="00E40621"/>
    <w:rsid w:val="00E40D6F"/>
    <w:rsid w:val="00E4230B"/>
    <w:rsid w:val="00E439F3"/>
    <w:rsid w:val="00E44C3B"/>
    <w:rsid w:val="00E44FCA"/>
    <w:rsid w:val="00E46741"/>
    <w:rsid w:val="00E46A8E"/>
    <w:rsid w:val="00E46BAE"/>
    <w:rsid w:val="00E5039E"/>
    <w:rsid w:val="00E507A6"/>
    <w:rsid w:val="00E51926"/>
    <w:rsid w:val="00E519A1"/>
    <w:rsid w:val="00E51F2F"/>
    <w:rsid w:val="00E52350"/>
    <w:rsid w:val="00E54567"/>
    <w:rsid w:val="00E55269"/>
    <w:rsid w:val="00E559C7"/>
    <w:rsid w:val="00E56B67"/>
    <w:rsid w:val="00E56BB8"/>
    <w:rsid w:val="00E57755"/>
    <w:rsid w:val="00E617DA"/>
    <w:rsid w:val="00E624CF"/>
    <w:rsid w:val="00E62E5B"/>
    <w:rsid w:val="00E63C01"/>
    <w:rsid w:val="00E63FC7"/>
    <w:rsid w:val="00E71032"/>
    <w:rsid w:val="00E7164A"/>
    <w:rsid w:val="00E71D28"/>
    <w:rsid w:val="00E73D6F"/>
    <w:rsid w:val="00E7435A"/>
    <w:rsid w:val="00E74C65"/>
    <w:rsid w:val="00E75E8D"/>
    <w:rsid w:val="00E76DD2"/>
    <w:rsid w:val="00E77050"/>
    <w:rsid w:val="00E82A0E"/>
    <w:rsid w:val="00E83DA9"/>
    <w:rsid w:val="00E83E47"/>
    <w:rsid w:val="00E85207"/>
    <w:rsid w:val="00E8542E"/>
    <w:rsid w:val="00E854F9"/>
    <w:rsid w:val="00E90690"/>
    <w:rsid w:val="00E909F6"/>
    <w:rsid w:val="00E90F14"/>
    <w:rsid w:val="00E9103E"/>
    <w:rsid w:val="00E91B6F"/>
    <w:rsid w:val="00E92123"/>
    <w:rsid w:val="00E9399F"/>
    <w:rsid w:val="00E94F6F"/>
    <w:rsid w:val="00E960EA"/>
    <w:rsid w:val="00E96333"/>
    <w:rsid w:val="00EA0A0F"/>
    <w:rsid w:val="00EA0D61"/>
    <w:rsid w:val="00EA2D28"/>
    <w:rsid w:val="00EA4B96"/>
    <w:rsid w:val="00EA57EA"/>
    <w:rsid w:val="00EA61B9"/>
    <w:rsid w:val="00EA6C07"/>
    <w:rsid w:val="00EA735D"/>
    <w:rsid w:val="00EA7B1A"/>
    <w:rsid w:val="00EB0F1D"/>
    <w:rsid w:val="00EB19F5"/>
    <w:rsid w:val="00EB1F07"/>
    <w:rsid w:val="00EB2193"/>
    <w:rsid w:val="00EB29CD"/>
    <w:rsid w:val="00EB2A0A"/>
    <w:rsid w:val="00EB2F17"/>
    <w:rsid w:val="00EB3E97"/>
    <w:rsid w:val="00EB3FF1"/>
    <w:rsid w:val="00EB40BC"/>
    <w:rsid w:val="00EB6DEB"/>
    <w:rsid w:val="00EC028C"/>
    <w:rsid w:val="00EC08D6"/>
    <w:rsid w:val="00EC0C0F"/>
    <w:rsid w:val="00EC1903"/>
    <w:rsid w:val="00EC1999"/>
    <w:rsid w:val="00EC204C"/>
    <w:rsid w:val="00EC206A"/>
    <w:rsid w:val="00EC467D"/>
    <w:rsid w:val="00EC48D3"/>
    <w:rsid w:val="00EC4D08"/>
    <w:rsid w:val="00EC4DCC"/>
    <w:rsid w:val="00EC624B"/>
    <w:rsid w:val="00EC7623"/>
    <w:rsid w:val="00EC76CC"/>
    <w:rsid w:val="00EC78AF"/>
    <w:rsid w:val="00ED0852"/>
    <w:rsid w:val="00ED0A90"/>
    <w:rsid w:val="00ED10DB"/>
    <w:rsid w:val="00ED2D15"/>
    <w:rsid w:val="00ED328A"/>
    <w:rsid w:val="00ED3E9C"/>
    <w:rsid w:val="00ED4762"/>
    <w:rsid w:val="00ED4DFA"/>
    <w:rsid w:val="00ED6329"/>
    <w:rsid w:val="00ED6E0C"/>
    <w:rsid w:val="00ED79C7"/>
    <w:rsid w:val="00EE0849"/>
    <w:rsid w:val="00EE1427"/>
    <w:rsid w:val="00EE1CCF"/>
    <w:rsid w:val="00EE2107"/>
    <w:rsid w:val="00EE2D2A"/>
    <w:rsid w:val="00EE2DB5"/>
    <w:rsid w:val="00EE34AC"/>
    <w:rsid w:val="00EE369D"/>
    <w:rsid w:val="00EE39C1"/>
    <w:rsid w:val="00EE4BE4"/>
    <w:rsid w:val="00EE577A"/>
    <w:rsid w:val="00EE6D0F"/>
    <w:rsid w:val="00EE764C"/>
    <w:rsid w:val="00EE7F8C"/>
    <w:rsid w:val="00EF0565"/>
    <w:rsid w:val="00EF0682"/>
    <w:rsid w:val="00EF1F85"/>
    <w:rsid w:val="00EF2695"/>
    <w:rsid w:val="00EF3A25"/>
    <w:rsid w:val="00EF3A60"/>
    <w:rsid w:val="00EF4317"/>
    <w:rsid w:val="00EF4572"/>
    <w:rsid w:val="00EF6348"/>
    <w:rsid w:val="00EF7A4F"/>
    <w:rsid w:val="00F003B1"/>
    <w:rsid w:val="00F01A8B"/>
    <w:rsid w:val="00F06BD8"/>
    <w:rsid w:val="00F06C21"/>
    <w:rsid w:val="00F07949"/>
    <w:rsid w:val="00F130D3"/>
    <w:rsid w:val="00F133C9"/>
    <w:rsid w:val="00F1429C"/>
    <w:rsid w:val="00F14429"/>
    <w:rsid w:val="00F15DD4"/>
    <w:rsid w:val="00F16198"/>
    <w:rsid w:val="00F16CB1"/>
    <w:rsid w:val="00F16E20"/>
    <w:rsid w:val="00F17F98"/>
    <w:rsid w:val="00F2000F"/>
    <w:rsid w:val="00F20928"/>
    <w:rsid w:val="00F245E6"/>
    <w:rsid w:val="00F24BE7"/>
    <w:rsid w:val="00F24D62"/>
    <w:rsid w:val="00F3023A"/>
    <w:rsid w:val="00F30D15"/>
    <w:rsid w:val="00F30EA1"/>
    <w:rsid w:val="00F33960"/>
    <w:rsid w:val="00F3469A"/>
    <w:rsid w:val="00F353C0"/>
    <w:rsid w:val="00F35C3E"/>
    <w:rsid w:val="00F364D9"/>
    <w:rsid w:val="00F365B5"/>
    <w:rsid w:val="00F36B54"/>
    <w:rsid w:val="00F4035F"/>
    <w:rsid w:val="00F409F3"/>
    <w:rsid w:val="00F40CAB"/>
    <w:rsid w:val="00F41631"/>
    <w:rsid w:val="00F4228F"/>
    <w:rsid w:val="00F42BB7"/>
    <w:rsid w:val="00F43F67"/>
    <w:rsid w:val="00F44350"/>
    <w:rsid w:val="00F44985"/>
    <w:rsid w:val="00F44DC2"/>
    <w:rsid w:val="00F47389"/>
    <w:rsid w:val="00F47F8D"/>
    <w:rsid w:val="00F5074F"/>
    <w:rsid w:val="00F539CF"/>
    <w:rsid w:val="00F53EE5"/>
    <w:rsid w:val="00F544FD"/>
    <w:rsid w:val="00F548B8"/>
    <w:rsid w:val="00F54D02"/>
    <w:rsid w:val="00F55D84"/>
    <w:rsid w:val="00F574C1"/>
    <w:rsid w:val="00F616ED"/>
    <w:rsid w:val="00F61ECC"/>
    <w:rsid w:val="00F622D0"/>
    <w:rsid w:val="00F6579F"/>
    <w:rsid w:val="00F66165"/>
    <w:rsid w:val="00F661BC"/>
    <w:rsid w:val="00F662AC"/>
    <w:rsid w:val="00F714C1"/>
    <w:rsid w:val="00F71B5C"/>
    <w:rsid w:val="00F724AA"/>
    <w:rsid w:val="00F73800"/>
    <w:rsid w:val="00F74419"/>
    <w:rsid w:val="00F74C1A"/>
    <w:rsid w:val="00F76DEA"/>
    <w:rsid w:val="00F776CE"/>
    <w:rsid w:val="00F77AAA"/>
    <w:rsid w:val="00F81E5A"/>
    <w:rsid w:val="00F81F30"/>
    <w:rsid w:val="00F84EB4"/>
    <w:rsid w:val="00F85756"/>
    <w:rsid w:val="00F868B7"/>
    <w:rsid w:val="00F905D0"/>
    <w:rsid w:val="00F9099A"/>
    <w:rsid w:val="00F91913"/>
    <w:rsid w:val="00F91947"/>
    <w:rsid w:val="00F91BB5"/>
    <w:rsid w:val="00F9222B"/>
    <w:rsid w:val="00F92454"/>
    <w:rsid w:val="00F925AA"/>
    <w:rsid w:val="00F92B28"/>
    <w:rsid w:val="00F92CEC"/>
    <w:rsid w:val="00F92D25"/>
    <w:rsid w:val="00F93271"/>
    <w:rsid w:val="00F93746"/>
    <w:rsid w:val="00F95158"/>
    <w:rsid w:val="00F962EC"/>
    <w:rsid w:val="00F96C84"/>
    <w:rsid w:val="00F9718D"/>
    <w:rsid w:val="00F97474"/>
    <w:rsid w:val="00FA369E"/>
    <w:rsid w:val="00FA3D4C"/>
    <w:rsid w:val="00FA4978"/>
    <w:rsid w:val="00FA56AD"/>
    <w:rsid w:val="00FA6CF8"/>
    <w:rsid w:val="00FA76E3"/>
    <w:rsid w:val="00FB0C89"/>
    <w:rsid w:val="00FB1C1B"/>
    <w:rsid w:val="00FB6514"/>
    <w:rsid w:val="00FB7706"/>
    <w:rsid w:val="00FB7FD5"/>
    <w:rsid w:val="00FC0F8E"/>
    <w:rsid w:val="00FC1497"/>
    <w:rsid w:val="00FC2192"/>
    <w:rsid w:val="00FC3AAB"/>
    <w:rsid w:val="00FC4C56"/>
    <w:rsid w:val="00FC50CD"/>
    <w:rsid w:val="00FC5C40"/>
    <w:rsid w:val="00FC79C3"/>
    <w:rsid w:val="00FD02CD"/>
    <w:rsid w:val="00FD0EF6"/>
    <w:rsid w:val="00FD45D3"/>
    <w:rsid w:val="00FD4DDC"/>
    <w:rsid w:val="00FD58D3"/>
    <w:rsid w:val="00FD62ED"/>
    <w:rsid w:val="00FD64ED"/>
    <w:rsid w:val="00FD650C"/>
    <w:rsid w:val="00FD65EB"/>
    <w:rsid w:val="00FE0D02"/>
    <w:rsid w:val="00FE1F5A"/>
    <w:rsid w:val="00FE3551"/>
    <w:rsid w:val="00FE3672"/>
    <w:rsid w:val="00FE3C74"/>
    <w:rsid w:val="00FE42EA"/>
    <w:rsid w:val="00FE4663"/>
    <w:rsid w:val="00FE5281"/>
    <w:rsid w:val="00FE7214"/>
    <w:rsid w:val="00FE7A46"/>
    <w:rsid w:val="00FE7C47"/>
    <w:rsid w:val="00FE7D42"/>
    <w:rsid w:val="00FF01B2"/>
    <w:rsid w:val="00FF0B3B"/>
    <w:rsid w:val="00FF2881"/>
    <w:rsid w:val="00FF352D"/>
    <w:rsid w:val="00FF3AD9"/>
    <w:rsid w:val="00FF5798"/>
    <w:rsid w:val="00FF6978"/>
    <w:rsid w:val="00FF6D99"/>
    <w:rsid w:val="00FF7B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E9"/>
  </w:style>
  <w:style w:type="paragraph" w:styleId="Heading2">
    <w:name w:val="heading 2"/>
    <w:basedOn w:val="Normal"/>
    <w:link w:val="Heading2Char"/>
    <w:uiPriority w:val="9"/>
    <w:qFormat/>
    <w:rsid w:val="00EF45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57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F4572"/>
    <w:rPr>
      <w:b/>
      <w:bCs/>
    </w:rPr>
  </w:style>
  <w:style w:type="paragraph" w:styleId="NormalWeb">
    <w:name w:val="Normal (Web)"/>
    <w:basedOn w:val="Normal"/>
    <w:uiPriority w:val="99"/>
    <w:unhideWhenUsed/>
    <w:rsid w:val="00EF45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520D2"/>
    <w:pPr>
      <w:spacing w:after="0" w:line="240" w:lineRule="auto"/>
    </w:pPr>
    <w:rPr>
      <w:rFonts w:ascii="Calibri"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4520D2"/>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4520D2"/>
    <w:rPr>
      <w:vertAlign w:val="superscript"/>
    </w:rPr>
  </w:style>
  <w:style w:type="paragraph" w:customStyle="1" w:styleId="Default">
    <w:name w:val="Default"/>
    <w:rsid w:val="008772F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1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9A4"/>
    <w:rPr>
      <w:rFonts w:ascii="Tahoma" w:hAnsi="Tahoma" w:cs="Tahoma"/>
      <w:sz w:val="16"/>
      <w:szCs w:val="16"/>
    </w:rPr>
  </w:style>
  <w:style w:type="paragraph" w:styleId="ListParagraph">
    <w:name w:val="List Paragraph"/>
    <w:basedOn w:val="Normal"/>
    <w:uiPriority w:val="34"/>
    <w:qFormat/>
    <w:rsid w:val="00732C79"/>
    <w:pPr>
      <w:numPr>
        <w:numId w:val="2"/>
      </w:numPr>
      <w:spacing w:before="100" w:line="240" w:lineRule="auto"/>
    </w:pPr>
    <w:rPr>
      <w:rFonts w:ascii="Arial" w:eastAsia="Times New Roman" w:hAnsi="Arial" w:cs="Times New Roman"/>
      <w:sz w:val="18"/>
      <w:szCs w:val="24"/>
      <w:lang w:val="en-US"/>
    </w:rPr>
  </w:style>
  <w:style w:type="table" w:styleId="TableGrid">
    <w:name w:val="Table Grid"/>
    <w:basedOn w:val="TableNormal"/>
    <w:uiPriority w:val="59"/>
    <w:rsid w:val="00122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0D68EF"/>
    <w:rPr>
      <w:sz w:val="20"/>
      <w:szCs w:val="20"/>
    </w:rPr>
  </w:style>
  <w:style w:type="paragraph" w:styleId="CommentText">
    <w:name w:val="annotation text"/>
    <w:basedOn w:val="Normal"/>
    <w:link w:val="CommentTextChar"/>
    <w:uiPriority w:val="99"/>
    <w:semiHidden/>
    <w:unhideWhenUsed/>
    <w:rsid w:val="000D68EF"/>
    <w:pPr>
      <w:spacing w:line="240" w:lineRule="auto"/>
    </w:pPr>
    <w:rPr>
      <w:sz w:val="20"/>
      <w:szCs w:val="20"/>
    </w:rPr>
  </w:style>
  <w:style w:type="character" w:customStyle="1" w:styleId="CommentSubjectChar">
    <w:name w:val="Comment Subject Char"/>
    <w:basedOn w:val="CommentTextChar"/>
    <w:link w:val="CommentSubject"/>
    <w:uiPriority w:val="99"/>
    <w:semiHidden/>
    <w:rsid w:val="000D68EF"/>
    <w:rPr>
      <w:b/>
      <w:bCs/>
      <w:sz w:val="20"/>
      <w:szCs w:val="20"/>
    </w:rPr>
  </w:style>
  <w:style w:type="paragraph" w:styleId="CommentSubject">
    <w:name w:val="annotation subject"/>
    <w:basedOn w:val="CommentText"/>
    <w:next w:val="CommentText"/>
    <w:link w:val="CommentSubjectChar"/>
    <w:uiPriority w:val="99"/>
    <w:semiHidden/>
    <w:unhideWhenUsed/>
    <w:rsid w:val="000D68EF"/>
    <w:rPr>
      <w:b/>
      <w:bCs/>
    </w:rPr>
  </w:style>
  <w:style w:type="paragraph" w:customStyle="1" w:styleId="Italic">
    <w:name w:val="Italic"/>
    <w:basedOn w:val="Normal"/>
    <w:link w:val="ItalicChar"/>
    <w:rsid w:val="000D68EF"/>
    <w:pPr>
      <w:spacing w:before="40" w:after="40" w:line="240" w:lineRule="auto"/>
    </w:pPr>
    <w:rPr>
      <w:rFonts w:ascii="Arial" w:eastAsia="Times New Roman" w:hAnsi="Arial" w:cs="Times New Roman"/>
      <w:i/>
      <w:sz w:val="18"/>
      <w:szCs w:val="24"/>
      <w:lang w:val="en-US"/>
    </w:rPr>
  </w:style>
  <w:style w:type="character" w:customStyle="1" w:styleId="ItalicChar">
    <w:name w:val="Italic Char"/>
    <w:link w:val="Italic"/>
    <w:rsid w:val="000D68EF"/>
    <w:rPr>
      <w:rFonts w:ascii="Arial" w:eastAsia="Times New Roman" w:hAnsi="Arial" w:cs="Times New Roman"/>
      <w:i/>
      <w:sz w:val="18"/>
      <w:szCs w:val="24"/>
      <w:lang w:val="en-US"/>
    </w:rPr>
  </w:style>
  <w:style w:type="character" w:styleId="Hyperlink">
    <w:name w:val="Hyperlink"/>
    <w:basedOn w:val="DefaultParagraphFont"/>
    <w:unhideWhenUsed/>
    <w:rsid w:val="000D68EF"/>
    <w:rPr>
      <w:color w:val="0000FF" w:themeColor="hyperlink"/>
      <w:u w:val="single"/>
    </w:rPr>
  </w:style>
  <w:style w:type="character" w:customStyle="1" w:styleId="HeaderChar">
    <w:name w:val="Header Char"/>
    <w:basedOn w:val="DefaultParagraphFont"/>
    <w:link w:val="Header"/>
    <w:uiPriority w:val="99"/>
    <w:semiHidden/>
    <w:rsid w:val="000D68EF"/>
    <w:rPr>
      <w:rFonts w:eastAsiaTheme="minorEastAsia"/>
      <w:lang w:eastAsia="en-GB"/>
    </w:rPr>
  </w:style>
  <w:style w:type="paragraph" w:styleId="Header">
    <w:name w:val="header"/>
    <w:basedOn w:val="Normal"/>
    <w:link w:val="HeaderChar"/>
    <w:uiPriority w:val="99"/>
    <w:semiHidden/>
    <w:unhideWhenUsed/>
    <w:rsid w:val="000D68EF"/>
    <w:pPr>
      <w:tabs>
        <w:tab w:val="center" w:pos="4513"/>
        <w:tab w:val="right" w:pos="9026"/>
      </w:tabs>
      <w:spacing w:after="0" w:line="240" w:lineRule="auto"/>
    </w:pPr>
    <w:rPr>
      <w:rFonts w:eastAsiaTheme="minorEastAsia"/>
      <w:lang w:eastAsia="en-GB"/>
    </w:rPr>
  </w:style>
  <w:style w:type="paragraph" w:styleId="Footer">
    <w:name w:val="footer"/>
    <w:basedOn w:val="Normal"/>
    <w:link w:val="FooterChar"/>
    <w:uiPriority w:val="99"/>
    <w:unhideWhenUsed/>
    <w:rsid w:val="000D68EF"/>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0D68EF"/>
    <w:rPr>
      <w:rFonts w:eastAsiaTheme="minorEastAsia"/>
      <w:lang w:eastAsia="en-GB"/>
    </w:rPr>
  </w:style>
  <w:style w:type="character" w:styleId="Emphasis">
    <w:name w:val="Emphasis"/>
    <w:basedOn w:val="DefaultParagraphFont"/>
    <w:uiPriority w:val="20"/>
    <w:qFormat/>
    <w:rsid w:val="000D68EF"/>
    <w:rPr>
      <w:i/>
      <w:iCs/>
    </w:rPr>
  </w:style>
  <w:style w:type="paragraph" w:styleId="ListBullet">
    <w:name w:val="List Bullet"/>
    <w:basedOn w:val="Normal"/>
    <w:uiPriority w:val="99"/>
    <w:unhideWhenUsed/>
    <w:rsid w:val="000D68EF"/>
    <w:pPr>
      <w:numPr>
        <w:numId w:val="4"/>
      </w:numPr>
      <w:contextualSpacing/>
    </w:pPr>
    <w:rPr>
      <w:rFonts w:eastAsiaTheme="minorEastAsia"/>
      <w:lang w:eastAsia="en-GB"/>
    </w:rPr>
  </w:style>
  <w:style w:type="paragraph" w:customStyle="1" w:styleId="standfirst">
    <w:name w:val="standfirst"/>
    <w:basedOn w:val="Normal"/>
    <w:rsid w:val="000D68EF"/>
    <w:pPr>
      <w:spacing w:before="100" w:beforeAutospacing="1" w:after="187" w:line="336" w:lineRule="auto"/>
    </w:pPr>
    <w:rPr>
      <w:rFonts w:ascii="Times New Roman" w:eastAsia="Times New Roman" w:hAnsi="Times New Roman" w:cs="Times New Roman"/>
      <w:b/>
      <w:bCs/>
      <w:color w:val="666666"/>
      <w:sz w:val="26"/>
      <w:szCs w:val="26"/>
      <w:lang w:eastAsia="en-GB"/>
    </w:rPr>
  </w:style>
  <w:style w:type="paragraph" w:customStyle="1" w:styleId="Pa23">
    <w:name w:val="Pa23"/>
    <w:basedOn w:val="Default"/>
    <w:next w:val="Default"/>
    <w:uiPriority w:val="99"/>
    <w:rsid w:val="000D68EF"/>
    <w:pPr>
      <w:spacing w:line="241" w:lineRule="atLeast"/>
    </w:pPr>
    <w:rPr>
      <w:rFonts w:ascii="FS Albert Light" w:eastAsiaTheme="minorHAnsi" w:hAnsi="FS Albert Light" w:cstheme="minorBidi"/>
      <w:color w:val="auto"/>
    </w:rPr>
  </w:style>
  <w:style w:type="paragraph" w:styleId="BodyText">
    <w:name w:val="Body Text"/>
    <w:basedOn w:val="Normal"/>
    <w:link w:val="BodyTextChar"/>
    <w:rsid w:val="000D68EF"/>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0D68EF"/>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unhideWhenUsed/>
    <w:rsid w:val="000D68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D68EF"/>
    <w:rPr>
      <w:rFonts w:ascii="Consolas" w:hAnsi="Consolas"/>
      <w:sz w:val="21"/>
      <w:szCs w:val="21"/>
    </w:rPr>
  </w:style>
  <w:style w:type="character" w:customStyle="1" w:styleId="element-citation">
    <w:name w:val="element-citation"/>
    <w:basedOn w:val="DefaultParagraphFont"/>
    <w:rsid w:val="000D68EF"/>
  </w:style>
  <w:style w:type="character" w:customStyle="1" w:styleId="ref-journal">
    <w:name w:val="ref-journal"/>
    <w:basedOn w:val="DefaultParagraphFont"/>
    <w:rsid w:val="000D68EF"/>
  </w:style>
  <w:style w:type="paragraph" w:customStyle="1" w:styleId="paragraphstyle4">
    <w:name w:val="paragraph_style_4"/>
    <w:basedOn w:val="Normal"/>
    <w:rsid w:val="000D6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tra-authors-text1">
    <w:name w:val="extra-authors-text1"/>
    <w:basedOn w:val="DefaultParagraphFont"/>
    <w:rsid w:val="000D68EF"/>
  </w:style>
  <w:style w:type="table" w:customStyle="1" w:styleId="LightList1">
    <w:name w:val="Light List1"/>
    <w:basedOn w:val="TableNormal"/>
    <w:uiPriority w:val="61"/>
    <w:rsid w:val="0093799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2D6C44"/>
    <w:rPr>
      <w:color w:val="800080" w:themeColor="followedHyperlink"/>
      <w:u w:val="single"/>
    </w:rPr>
  </w:style>
  <w:style w:type="character" w:customStyle="1" w:styleId="ng-binding">
    <w:name w:val="ng-binding"/>
    <w:basedOn w:val="DefaultParagraphFont"/>
    <w:rsid w:val="002D6C44"/>
  </w:style>
  <w:style w:type="character" w:customStyle="1" w:styleId="ng-scope">
    <w:name w:val="ng-scope"/>
    <w:basedOn w:val="DefaultParagraphFont"/>
    <w:rsid w:val="002D6C44"/>
  </w:style>
  <w:style w:type="paragraph" w:styleId="NoSpacing">
    <w:name w:val="No Spacing"/>
    <w:basedOn w:val="Normal"/>
    <w:uiPriority w:val="1"/>
    <w:qFormat/>
    <w:rsid w:val="00BF41C3"/>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02444816">
      <w:bodyDiv w:val="1"/>
      <w:marLeft w:val="0"/>
      <w:marRight w:val="0"/>
      <w:marTop w:val="0"/>
      <w:marBottom w:val="0"/>
      <w:divBdr>
        <w:top w:val="none" w:sz="0" w:space="0" w:color="auto"/>
        <w:left w:val="none" w:sz="0" w:space="0" w:color="auto"/>
        <w:bottom w:val="none" w:sz="0" w:space="0" w:color="auto"/>
        <w:right w:val="none" w:sz="0" w:space="0" w:color="auto"/>
      </w:divBdr>
    </w:div>
    <w:div w:id="268439294">
      <w:bodyDiv w:val="1"/>
      <w:marLeft w:val="0"/>
      <w:marRight w:val="0"/>
      <w:marTop w:val="0"/>
      <w:marBottom w:val="0"/>
      <w:divBdr>
        <w:top w:val="none" w:sz="0" w:space="0" w:color="auto"/>
        <w:left w:val="none" w:sz="0" w:space="0" w:color="auto"/>
        <w:bottom w:val="none" w:sz="0" w:space="0" w:color="auto"/>
        <w:right w:val="none" w:sz="0" w:space="0" w:color="auto"/>
      </w:divBdr>
    </w:div>
    <w:div w:id="513492724">
      <w:bodyDiv w:val="1"/>
      <w:marLeft w:val="0"/>
      <w:marRight w:val="0"/>
      <w:marTop w:val="0"/>
      <w:marBottom w:val="0"/>
      <w:divBdr>
        <w:top w:val="none" w:sz="0" w:space="0" w:color="auto"/>
        <w:left w:val="none" w:sz="0" w:space="0" w:color="auto"/>
        <w:bottom w:val="none" w:sz="0" w:space="0" w:color="auto"/>
        <w:right w:val="none" w:sz="0" w:space="0" w:color="auto"/>
      </w:divBdr>
      <w:divsChild>
        <w:div w:id="236942602">
          <w:marLeft w:val="0"/>
          <w:marRight w:val="0"/>
          <w:marTop w:val="0"/>
          <w:marBottom w:val="0"/>
          <w:divBdr>
            <w:top w:val="none" w:sz="0" w:space="0" w:color="auto"/>
            <w:left w:val="none" w:sz="0" w:space="0" w:color="auto"/>
            <w:bottom w:val="none" w:sz="0" w:space="0" w:color="auto"/>
            <w:right w:val="none" w:sz="0" w:space="0" w:color="auto"/>
          </w:divBdr>
          <w:divsChild>
            <w:div w:id="449739001">
              <w:marLeft w:val="0"/>
              <w:marRight w:val="0"/>
              <w:marTop w:val="0"/>
              <w:marBottom w:val="0"/>
              <w:divBdr>
                <w:top w:val="none" w:sz="0" w:space="0" w:color="auto"/>
                <w:left w:val="none" w:sz="0" w:space="0" w:color="auto"/>
                <w:bottom w:val="none" w:sz="0" w:space="0" w:color="auto"/>
                <w:right w:val="none" w:sz="0" w:space="0" w:color="auto"/>
              </w:divBdr>
              <w:divsChild>
                <w:div w:id="92678224">
                  <w:marLeft w:val="0"/>
                  <w:marRight w:val="0"/>
                  <w:marTop w:val="0"/>
                  <w:marBottom w:val="0"/>
                  <w:divBdr>
                    <w:top w:val="none" w:sz="0" w:space="0" w:color="auto"/>
                    <w:left w:val="none" w:sz="0" w:space="0" w:color="auto"/>
                    <w:bottom w:val="none" w:sz="0" w:space="0" w:color="auto"/>
                    <w:right w:val="none" w:sz="0" w:space="0" w:color="auto"/>
                  </w:divBdr>
                  <w:divsChild>
                    <w:div w:id="128088469">
                      <w:marLeft w:val="0"/>
                      <w:marRight w:val="0"/>
                      <w:marTop w:val="0"/>
                      <w:marBottom w:val="0"/>
                      <w:divBdr>
                        <w:top w:val="none" w:sz="0" w:space="0" w:color="auto"/>
                        <w:left w:val="none" w:sz="0" w:space="0" w:color="auto"/>
                        <w:bottom w:val="none" w:sz="0" w:space="0" w:color="auto"/>
                        <w:right w:val="none" w:sz="0" w:space="0" w:color="auto"/>
                      </w:divBdr>
                      <w:divsChild>
                        <w:div w:id="647706321">
                          <w:marLeft w:val="0"/>
                          <w:marRight w:val="0"/>
                          <w:marTop w:val="0"/>
                          <w:marBottom w:val="0"/>
                          <w:divBdr>
                            <w:top w:val="single" w:sz="8" w:space="0" w:color="DDDDDD"/>
                            <w:left w:val="single" w:sz="8" w:space="0" w:color="DDDDDD"/>
                            <w:bottom w:val="single" w:sz="8" w:space="0" w:color="DDDDDD"/>
                            <w:right w:val="single" w:sz="8" w:space="0" w:color="DDDDDD"/>
                          </w:divBdr>
                          <w:divsChild>
                            <w:div w:id="318847475">
                              <w:marLeft w:val="0"/>
                              <w:marRight w:val="0"/>
                              <w:marTop w:val="0"/>
                              <w:marBottom w:val="0"/>
                              <w:divBdr>
                                <w:top w:val="none" w:sz="0" w:space="0" w:color="auto"/>
                                <w:left w:val="none" w:sz="0" w:space="0" w:color="auto"/>
                                <w:bottom w:val="none" w:sz="0" w:space="0" w:color="auto"/>
                                <w:right w:val="none" w:sz="0" w:space="0" w:color="auto"/>
                              </w:divBdr>
                              <w:divsChild>
                                <w:div w:id="905257813">
                                  <w:marLeft w:val="0"/>
                                  <w:marRight w:val="0"/>
                                  <w:marTop w:val="0"/>
                                  <w:marBottom w:val="0"/>
                                  <w:divBdr>
                                    <w:top w:val="none" w:sz="0" w:space="0" w:color="auto"/>
                                    <w:left w:val="none" w:sz="0" w:space="0" w:color="auto"/>
                                    <w:bottom w:val="single" w:sz="8" w:space="18" w:color="DDDDDD"/>
                                    <w:right w:val="none" w:sz="0" w:space="0" w:color="auto"/>
                                  </w:divBdr>
                                  <w:divsChild>
                                    <w:div w:id="1172916324">
                                      <w:marLeft w:val="0"/>
                                      <w:marRight w:val="0"/>
                                      <w:marTop w:val="0"/>
                                      <w:marBottom w:val="0"/>
                                      <w:divBdr>
                                        <w:top w:val="none" w:sz="0" w:space="0" w:color="auto"/>
                                        <w:left w:val="none" w:sz="0" w:space="0" w:color="auto"/>
                                        <w:bottom w:val="none" w:sz="0" w:space="0" w:color="auto"/>
                                        <w:right w:val="none" w:sz="0" w:space="0" w:color="auto"/>
                                      </w:divBdr>
                                      <w:divsChild>
                                        <w:div w:id="1631475653">
                                          <w:marLeft w:val="0"/>
                                          <w:marRight w:val="0"/>
                                          <w:marTop w:val="0"/>
                                          <w:marBottom w:val="0"/>
                                          <w:divBdr>
                                            <w:top w:val="none" w:sz="0" w:space="0" w:color="auto"/>
                                            <w:left w:val="none" w:sz="0" w:space="0" w:color="auto"/>
                                            <w:bottom w:val="none" w:sz="0" w:space="0" w:color="auto"/>
                                            <w:right w:val="none" w:sz="0" w:space="0" w:color="auto"/>
                                          </w:divBdr>
                                          <w:divsChild>
                                            <w:div w:id="523715404">
                                              <w:marLeft w:val="0"/>
                                              <w:marRight w:val="0"/>
                                              <w:marTop w:val="0"/>
                                              <w:marBottom w:val="0"/>
                                              <w:divBdr>
                                                <w:top w:val="none" w:sz="0" w:space="0" w:color="auto"/>
                                                <w:left w:val="none" w:sz="0" w:space="0" w:color="auto"/>
                                                <w:bottom w:val="none" w:sz="0" w:space="0" w:color="auto"/>
                                                <w:right w:val="none" w:sz="0" w:space="0" w:color="auto"/>
                                              </w:divBdr>
                                              <w:divsChild>
                                                <w:div w:id="1458645023">
                                                  <w:marLeft w:val="0"/>
                                                  <w:marRight w:val="0"/>
                                                  <w:marTop w:val="0"/>
                                                  <w:marBottom w:val="0"/>
                                                  <w:divBdr>
                                                    <w:top w:val="none" w:sz="0" w:space="0" w:color="auto"/>
                                                    <w:left w:val="none" w:sz="0" w:space="0" w:color="auto"/>
                                                    <w:bottom w:val="none" w:sz="0" w:space="0" w:color="auto"/>
                                                    <w:right w:val="none" w:sz="0" w:space="0" w:color="auto"/>
                                                  </w:divBdr>
                                                </w:div>
                                                <w:div w:id="77987994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382685">
      <w:bodyDiv w:val="1"/>
      <w:marLeft w:val="0"/>
      <w:marRight w:val="0"/>
      <w:marTop w:val="0"/>
      <w:marBottom w:val="0"/>
      <w:divBdr>
        <w:top w:val="none" w:sz="0" w:space="0" w:color="auto"/>
        <w:left w:val="none" w:sz="0" w:space="0" w:color="auto"/>
        <w:bottom w:val="none" w:sz="0" w:space="0" w:color="auto"/>
        <w:right w:val="none" w:sz="0" w:space="0" w:color="auto"/>
      </w:divBdr>
      <w:divsChild>
        <w:div w:id="1188367952">
          <w:marLeft w:val="0"/>
          <w:marRight w:val="0"/>
          <w:marTop w:val="0"/>
          <w:marBottom w:val="0"/>
          <w:divBdr>
            <w:top w:val="none" w:sz="0" w:space="0" w:color="auto"/>
            <w:left w:val="none" w:sz="0" w:space="0" w:color="auto"/>
            <w:bottom w:val="none" w:sz="0" w:space="0" w:color="auto"/>
            <w:right w:val="none" w:sz="0" w:space="0" w:color="auto"/>
          </w:divBdr>
          <w:divsChild>
            <w:div w:id="1460295157">
              <w:marLeft w:val="0"/>
              <w:marRight w:val="0"/>
              <w:marTop w:val="0"/>
              <w:marBottom w:val="0"/>
              <w:divBdr>
                <w:top w:val="none" w:sz="0" w:space="0" w:color="auto"/>
                <w:left w:val="none" w:sz="0" w:space="0" w:color="auto"/>
                <w:bottom w:val="none" w:sz="0" w:space="0" w:color="auto"/>
                <w:right w:val="none" w:sz="0" w:space="0" w:color="auto"/>
              </w:divBdr>
              <w:divsChild>
                <w:div w:id="2013992203">
                  <w:marLeft w:val="0"/>
                  <w:marRight w:val="0"/>
                  <w:marTop w:val="0"/>
                  <w:marBottom w:val="0"/>
                  <w:divBdr>
                    <w:top w:val="none" w:sz="0" w:space="0" w:color="auto"/>
                    <w:left w:val="none" w:sz="0" w:space="0" w:color="auto"/>
                    <w:bottom w:val="none" w:sz="0" w:space="0" w:color="auto"/>
                    <w:right w:val="none" w:sz="0" w:space="0" w:color="auto"/>
                  </w:divBdr>
                  <w:divsChild>
                    <w:div w:id="663748951">
                      <w:marLeft w:val="0"/>
                      <w:marRight w:val="0"/>
                      <w:marTop w:val="0"/>
                      <w:marBottom w:val="0"/>
                      <w:divBdr>
                        <w:top w:val="none" w:sz="0" w:space="0" w:color="auto"/>
                        <w:left w:val="none" w:sz="0" w:space="0" w:color="auto"/>
                        <w:bottom w:val="none" w:sz="0" w:space="0" w:color="auto"/>
                        <w:right w:val="none" w:sz="0" w:space="0" w:color="auto"/>
                      </w:divBdr>
                      <w:divsChild>
                        <w:div w:id="524902761">
                          <w:marLeft w:val="0"/>
                          <w:marRight w:val="0"/>
                          <w:marTop w:val="0"/>
                          <w:marBottom w:val="0"/>
                          <w:divBdr>
                            <w:top w:val="single" w:sz="8" w:space="0" w:color="DDDDDD"/>
                            <w:left w:val="single" w:sz="8" w:space="0" w:color="DDDDDD"/>
                            <w:bottom w:val="single" w:sz="8" w:space="0" w:color="DDDDDD"/>
                            <w:right w:val="single" w:sz="8" w:space="0" w:color="DDDDDD"/>
                          </w:divBdr>
                          <w:divsChild>
                            <w:div w:id="1393191244">
                              <w:marLeft w:val="0"/>
                              <w:marRight w:val="0"/>
                              <w:marTop w:val="0"/>
                              <w:marBottom w:val="0"/>
                              <w:divBdr>
                                <w:top w:val="none" w:sz="0" w:space="0" w:color="auto"/>
                                <w:left w:val="none" w:sz="0" w:space="0" w:color="auto"/>
                                <w:bottom w:val="none" w:sz="0" w:space="0" w:color="auto"/>
                                <w:right w:val="none" w:sz="0" w:space="0" w:color="auto"/>
                              </w:divBdr>
                              <w:divsChild>
                                <w:div w:id="1081831564">
                                  <w:marLeft w:val="0"/>
                                  <w:marRight w:val="0"/>
                                  <w:marTop w:val="0"/>
                                  <w:marBottom w:val="0"/>
                                  <w:divBdr>
                                    <w:top w:val="none" w:sz="0" w:space="0" w:color="auto"/>
                                    <w:left w:val="none" w:sz="0" w:space="0" w:color="auto"/>
                                    <w:bottom w:val="single" w:sz="8" w:space="18" w:color="DDDDDD"/>
                                    <w:right w:val="none" w:sz="0" w:space="0" w:color="auto"/>
                                  </w:divBdr>
                                  <w:divsChild>
                                    <w:div w:id="589049751">
                                      <w:marLeft w:val="0"/>
                                      <w:marRight w:val="0"/>
                                      <w:marTop w:val="0"/>
                                      <w:marBottom w:val="0"/>
                                      <w:divBdr>
                                        <w:top w:val="none" w:sz="0" w:space="0" w:color="auto"/>
                                        <w:left w:val="none" w:sz="0" w:space="0" w:color="auto"/>
                                        <w:bottom w:val="none" w:sz="0" w:space="0" w:color="auto"/>
                                        <w:right w:val="none" w:sz="0" w:space="0" w:color="auto"/>
                                      </w:divBdr>
                                      <w:divsChild>
                                        <w:div w:id="186719678">
                                          <w:marLeft w:val="0"/>
                                          <w:marRight w:val="0"/>
                                          <w:marTop w:val="0"/>
                                          <w:marBottom w:val="0"/>
                                          <w:divBdr>
                                            <w:top w:val="none" w:sz="0" w:space="0" w:color="auto"/>
                                            <w:left w:val="none" w:sz="0" w:space="0" w:color="auto"/>
                                            <w:bottom w:val="none" w:sz="0" w:space="0" w:color="auto"/>
                                            <w:right w:val="none" w:sz="0" w:space="0" w:color="auto"/>
                                          </w:divBdr>
                                          <w:divsChild>
                                            <w:div w:id="1689141016">
                                              <w:marLeft w:val="0"/>
                                              <w:marRight w:val="0"/>
                                              <w:marTop w:val="0"/>
                                              <w:marBottom w:val="0"/>
                                              <w:divBdr>
                                                <w:top w:val="none" w:sz="0" w:space="0" w:color="auto"/>
                                                <w:left w:val="none" w:sz="0" w:space="0" w:color="auto"/>
                                                <w:bottom w:val="none" w:sz="0" w:space="0" w:color="auto"/>
                                                <w:right w:val="none" w:sz="0" w:space="0" w:color="auto"/>
                                              </w:divBdr>
                                              <w:divsChild>
                                                <w:div w:id="803741081">
                                                  <w:marLeft w:val="0"/>
                                                  <w:marRight w:val="0"/>
                                                  <w:marTop w:val="0"/>
                                                  <w:marBottom w:val="0"/>
                                                  <w:divBdr>
                                                    <w:top w:val="none" w:sz="0" w:space="0" w:color="auto"/>
                                                    <w:left w:val="none" w:sz="0" w:space="0" w:color="auto"/>
                                                    <w:bottom w:val="none" w:sz="0" w:space="0" w:color="auto"/>
                                                    <w:right w:val="none" w:sz="0" w:space="0" w:color="auto"/>
                                                  </w:divBdr>
                                                </w:div>
                                                <w:div w:id="38981470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758114">
      <w:bodyDiv w:val="1"/>
      <w:marLeft w:val="0"/>
      <w:marRight w:val="0"/>
      <w:marTop w:val="0"/>
      <w:marBottom w:val="0"/>
      <w:divBdr>
        <w:top w:val="none" w:sz="0" w:space="0" w:color="auto"/>
        <w:left w:val="none" w:sz="0" w:space="0" w:color="auto"/>
        <w:bottom w:val="none" w:sz="0" w:space="0" w:color="auto"/>
        <w:right w:val="none" w:sz="0" w:space="0" w:color="auto"/>
      </w:divBdr>
    </w:div>
    <w:div w:id="789711757">
      <w:bodyDiv w:val="1"/>
      <w:marLeft w:val="0"/>
      <w:marRight w:val="0"/>
      <w:marTop w:val="0"/>
      <w:marBottom w:val="0"/>
      <w:divBdr>
        <w:top w:val="none" w:sz="0" w:space="0" w:color="auto"/>
        <w:left w:val="none" w:sz="0" w:space="0" w:color="auto"/>
        <w:bottom w:val="none" w:sz="0" w:space="0" w:color="auto"/>
        <w:right w:val="none" w:sz="0" w:space="0" w:color="auto"/>
      </w:divBdr>
    </w:div>
    <w:div w:id="1008485788">
      <w:bodyDiv w:val="1"/>
      <w:marLeft w:val="0"/>
      <w:marRight w:val="0"/>
      <w:marTop w:val="0"/>
      <w:marBottom w:val="0"/>
      <w:divBdr>
        <w:top w:val="none" w:sz="0" w:space="0" w:color="auto"/>
        <w:left w:val="none" w:sz="0" w:space="0" w:color="auto"/>
        <w:bottom w:val="none" w:sz="0" w:space="0" w:color="auto"/>
        <w:right w:val="none" w:sz="0" w:space="0" w:color="auto"/>
      </w:divBdr>
      <w:divsChild>
        <w:div w:id="134031948">
          <w:marLeft w:val="0"/>
          <w:marRight w:val="0"/>
          <w:marTop w:val="0"/>
          <w:marBottom w:val="0"/>
          <w:divBdr>
            <w:top w:val="none" w:sz="0" w:space="0" w:color="auto"/>
            <w:left w:val="none" w:sz="0" w:space="0" w:color="auto"/>
            <w:bottom w:val="none" w:sz="0" w:space="0" w:color="auto"/>
            <w:right w:val="none" w:sz="0" w:space="0" w:color="auto"/>
          </w:divBdr>
          <w:divsChild>
            <w:div w:id="748771291">
              <w:marLeft w:val="0"/>
              <w:marRight w:val="0"/>
              <w:marTop w:val="0"/>
              <w:marBottom w:val="0"/>
              <w:divBdr>
                <w:top w:val="none" w:sz="0" w:space="0" w:color="auto"/>
                <w:left w:val="none" w:sz="0" w:space="0" w:color="auto"/>
                <w:bottom w:val="none" w:sz="0" w:space="0" w:color="auto"/>
                <w:right w:val="none" w:sz="0" w:space="0" w:color="auto"/>
              </w:divBdr>
              <w:divsChild>
                <w:div w:id="1241602245">
                  <w:marLeft w:val="0"/>
                  <w:marRight w:val="0"/>
                  <w:marTop w:val="0"/>
                  <w:marBottom w:val="0"/>
                  <w:divBdr>
                    <w:top w:val="none" w:sz="0" w:space="0" w:color="auto"/>
                    <w:left w:val="none" w:sz="0" w:space="0" w:color="auto"/>
                    <w:bottom w:val="none" w:sz="0" w:space="0" w:color="auto"/>
                    <w:right w:val="none" w:sz="0" w:space="0" w:color="auto"/>
                  </w:divBdr>
                  <w:divsChild>
                    <w:div w:id="840238713">
                      <w:marLeft w:val="0"/>
                      <w:marRight w:val="0"/>
                      <w:marTop w:val="0"/>
                      <w:marBottom w:val="0"/>
                      <w:divBdr>
                        <w:top w:val="none" w:sz="0" w:space="0" w:color="auto"/>
                        <w:left w:val="none" w:sz="0" w:space="0" w:color="auto"/>
                        <w:bottom w:val="none" w:sz="0" w:space="0" w:color="auto"/>
                        <w:right w:val="none" w:sz="0" w:space="0" w:color="auto"/>
                      </w:divBdr>
                      <w:divsChild>
                        <w:div w:id="1313177463">
                          <w:marLeft w:val="0"/>
                          <w:marRight w:val="0"/>
                          <w:marTop w:val="0"/>
                          <w:marBottom w:val="0"/>
                          <w:divBdr>
                            <w:top w:val="none" w:sz="0" w:space="0" w:color="auto"/>
                            <w:left w:val="none" w:sz="0" w:space="0" w:color="auto"/>
                            <w:bottom w:val="none" w:sz="0" w:space="0" w:color="auto"/>
                            <w:right w:val="none" w:sz="0" w:space="0" w:color="auto"/>
                          </w:divBdr>
                          <w:divsChild>
                            <w:div w:id="157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123188">
      <w:bodyDiv w:val="1"/>
      <w:marLeft w:val="0"/>
      <w:marRight w:val="0"/>
      <w:marTop w:val="0"/>
      <w:marBottom w:val="0"/>
      <w:divBdr>
        <w:top w:val="none" w:sz="0" w:space="0" w:color="auto"/>
        <w:left w:val="none" w:sz="0" w:space="0" w:color="auto"/>
        <w:bottom w:val="none" w:sz="0" w:space="0" w:color="auto"/>
        <w:right w:val="none" w:sz="0" w:space="0" w:color="auto"/>
      </w:divBdr>
    </w:div>
    <w:div w:id="1318608564">
      <w:bodyDiv w:val="1"/>
      <w:marLeft w:val="0"/>
      <w:marRight w:val="0"/>
      <w:marTop w:val="0"/>
      <w:marBottom w:val="0"/>
      <w:divBdr>
        <w:top w:val="none" w:sz="0" w:space="0" w:color="auto"/>
        <w:left w:val="none" w:sz="0" w:space="0" w:color="auto"/>
        <w:bottom w:val="none" w:sz="0" w:space="0" w:color="auto"/>
        <w:right w:val="none" w:sz="0" w:space="0" w:color="auto"/>
      </w:divBdr>
    </w:div>
    <w:div w:id="1456483656">
      <w:bodyDiv w:val="1"/>
      <w:marLeft w:val="0"/>
      <w:marRight w:val="0"/>
      <w:marTop w:val="0"/>
      <w:marBottom w:val="0"/>
      <w:divBdr>
        <w:top w:val="none" w:sz="0" w:space="0" w:color="auto"/>
        <w:left w:val="none" w:sz="0" w:space="0" w:color="auto"/>
        <w:bottom w:val="none" w:sz="0" w:space="0" w:color="auto"/>
        <w:right w:val="none" w:sz="0" w:space="0" w:color="auto"/>
      </w:divBdr>
    </w:div>
    <w:div w:id="1595552852">
      <w:bodyDiv w:val="1"/>
      <w:marLeft w:val="0"/>
      <w:marRight w:val="0"/>
      <w:marTop w:val="0"/>
      <w:marBottom w:val="0"/>
      <w:divBdr>
        <w:top w:val="none" w:sz="0" w:space="0" w:color="auto"/>
        <w:left w:val="none" w:sz="0" w:space="0" w:color="auto"/>
        <w:bottom w:val="none" w:sz="0" w:space="0" w:color="auto"/>
        <w:right w:val="none" w:sz="0" w:space="0" w:color="auto"/>
      </w:divBdr>
    </w:div>
    <w:div w:id="1665353691">
      <w:bodyDiv w:val="1"/>
      <w:marLeft w:val="0"/>
      <w:marRight w:val="0"/>
      <w:marTop w:val="0"/>
      <w:marBottom w:val="0"/>
      <w:divBdr>
        <w:top w:val="none" w:sz="0" w:space="0" w:color="auto"/>
        <w:left w:val="none" w:sz="0" w:space="0" w:color="auto"/>
        <w:bottom w:val="none" w:sz="0" w:space="0" w:color="auto"/>
        <w:right w:val="none" w:sz="0" w:space="0" w:color="auto"/>
      </w:divBdr>
    </w:div>
    <w:div w:id="1734817884">
      <w:bodyDiv w:val="1"/>
      <w:marLeft w:val="0"/>
      <w:marRight w:val="0"/>
      <w:marTop w:val="0"/>
      <w:marBottom w:val="0"/>
      <w:divBdr>
        <w:top w:val="none" w:sz="0" w:space="0" w:color="auto"/>
        <w:left w:val="none" w:sz="0" w:space="0" w:color="auto"/>
        <w:bottom w:val="none" w:sz="0" w:space="0" w:color="auto"/>
        <w:right w:val="none" w:sz="0" w:space="0" w:color="auto"/>
      </w:divBdr>
      <w:divsChild>
        <w:div w:id="1641887994">
          <w:marLeft w:val="0"/>
          <w:marRight w:val="0"/>
          <w:marTop w:val="0"/>
          <w:marBottom w:val="0"/>
          <w:divBdr>
            <w:top w:val="none" w:sz="0" w:space="0" w:color="auto"/>
            <w:left w:val="none" w:sz="0" w:space="0" w:color="auto"/>
            <w:bottom w:val="none" w:sz="0" w:space="0" w:color="auto"/>
            <w:right w:val="none" w:sz="0" w:space="0" w:color="auto"/>
          </w:divBdr>
          <w:divsChild>
            <w:div w:id="1358920819">
              <w:marLeft w:val="0"/>
              <w:marRight w:val="0"/>
              <w:marTop w:val="0"/>
              <w:marBottom w:val="0"/>
              <w:divBdr>
                <w:top w:val="none" w:sz="0" w:space="0" w:color="auto"/>
                <w:left w:val="none" w:sz="0" w:space="0" w:color="auto"/>
                <w:bottom w:val="none" w:sz="0" w:space="0" w:color="auto"/>
                <w:right w:val="none" w:sz="0" w:space="0" w:color="auto"/>
              </w:divBdr>
              <w:divsChild>
                <w:div w:id="1832912111">
                  <w:marLeft w:val="0"/>
                  <w:marRight w:val="0"/>
                  <w:marTop w:val="0"/>
                  <w:marBottom w:val="0"/>
                  <w:divBdr>
                    <w:top w:val="none" w:sz="0" w:space="0" w:color="auto"/>
                    <w:left w:val="none" w:sz="0" w:space="0" w:color="auto"/>
                    <w:bottom w:val="none" w:sz="0" w:space="0" w:color="auto"/>
                    <w:right w:val="none" w:sz="0" w:space="0" w:color="auto"/>
                  </w:divBdr>
                  <w:divsChild>
                    <w:div w:id="1365256321">
                      <w:marLeft w:val="0"/>
                      <w:marRight w:val="0"/>
                      <w:marTop w:val="0"/>
                      <w:marBottom w:val="0"/>
                      <w:divBdr>
                        <w:top w:val="none" w:sz="0" w:space="0" w:color="auto"/>
                        <w:left w:val="none" w:sz="0" w:space="0" w:color="auto"/>
                        <w:bottom w:val="none" w:sz="0" w:space="0" w:color="auto"/>
                        <w:right w:val="none" w:sz="0" w:space="0" w:color="auto"/>
                      </w:divBdr>
                      <w:divsChild>
                        <w:div w:id="725421749">
                          <w:marLeft w:val="0"/>
                          <w:marRight w:val="0"/>
                          <w:marTop w:val="0"/>
                          <w:marBottom w:val="0"/>
                          <w:divBdr>
                            <w:top w:val="single" w:sz="8" w:space="0" w:color="DDDDDD"/>
                            <w:left w:val="single" w:sz="8" w:space="0" w:color="DDDDDD"/>
                            <w:bottom w:val="single" w:sz="8" w:space="0" w:color="DDDDDD"/>
                            <w:right w:val="single" w:sz="8" w:space="0" w:color="DDDDDD"/>
                          </w:divBdr>
                          <w:divsChild>
                            <w:div w:id="332689010">
                              <w:marLeft w:val="0"/>
                              <w:marRight w:val="0"/>
                              <w:marTop w:val="0"/>
                              <w:marBottom w:val="0"/>
                              <w:divBdr>
                                <w:top w:val="none" w:sz="0" w:space="0" w:color="auto"/>
                                <w:left w:val="none" w:sz="0" w:space="0" w:color="auto"/>
                                <w:bottom w:val="none" w:sz="0" w:space="0" w:color="auto"/>
                                <w:right w:val="none" w:sz="0" w:space="0" w:color="auto"/>
                              </w:divBdr>
                              <w:divsChild>
                                <w:div w:id="660737969">
                                  <w:marLeft w:val="0"/>
                                  <w:marRight w:val="0"/>
                                  <w:marTop w:val="0"/>
                                  <w:marBottom w:val="0"/>
                                  <w:divBdr>
                                    <w:top w:val="none" w:sz="0" w:space="0" w:color="auto"/>
                                    <w:left w:val="none" w:sz="0" w:space="0" w:color="auto"/>
                                    <w:bottom w:val="single" w:sz="8" w:space="18" w:color="DDDDDD"/>
                                    <w:right w:val="none" w:sz="0" w:space="0" w:color="auto"/>
                                  </w:divBdr>
                                  <w:divsChild>
                                    <w:div w:id="1864830267">
                                      <w:marLeft w:val="0"/>
                                      <w:marRight w:val="0"/>
                                      <w:marTop w:val="0"/>
                                      <w:marBottom w:val="0"/>
                                      <w:divBdr>
                                        <w:top w:val="none" w:sz="0" w:space="0" w:color="auto"/>
                                        <w:left w:val="none" w:sz="0" w:space="0" w:color="auto"/>
                                        <w:bottom w:val="none" w:sz="0" w:space="0" w:color="auto"/>
                                        <w:right w:val="none" w:sz="0" w:space="0" w:color="auto"/>
                                      </w:divBdr>
                                      <w:divsChild>
                                        <w:div w:id="1524972644">
                                          <w:marLeft w:val="0"/>
                                          <w:marRight w:val="0"/>
                                          <w:marTop w:val="0"/>
                                          <w:marBottom w:val="0"/>
                                          <w:divBdr>
                                            <w:top w:val="none" w:sz="0" w:space="0" w:color="auto"/>
                                            <w:left w:val="none" w:sz="0" w:space="0" w:color="auto"/>
                                            <w:bottom w:val="none" w:sz="0" w:space="0" w:color="auto"/>
                                            <w:right w:val="none" w:sz="0" w:space="0" w:color="auto"/>
                                          </w:divBdr>
                                          <w:divsChild>
                                            <w:div w:id="548493984">
                                              <w:marLeft w:val="0"/>
                                              <w:marRight w:val="0"/>
                                              <w:marTop w:val="0"/>
                                              <w:marBottom w:val="0"/>
                                              <w:divBdr>
                                                <w:top w:val="none" w:sz="0" w:space="0" w:color="auto"/>
                                                <w:left w:val="none" w:sz="0" w:space="0" w:color="auto"/>
                                                <w:bottom w:val="none" w:sz="0" w:space="0" w:color="auto"/>
                                                <w:right w:val="none" w:sz="0" w:space="0" w:color="auto"/>
                                              </w:divBdr>
                                              <w:divsChild>
                                                <w:div w:id="1562716724">
                                                  <w:marLeft w:val="0"/>
                                                  <w:marRight w:val="0"/>
                                                  <w:marTop w:val="0"/>
                                                  <w:marBottom w:val="0"/>
                                                  <w:divBdr>
                                                    <w:top w:val="none" w:sz="0" w:space="0" w:color="auto"/>
                                                    <w:left w:val="none" w:sz="0" w:space="0" w:color="auto"/>
                                                    <w:bottom w:val="none" w:sz="0" w:space="0" w:color="auto"/>
                                                    <w:right w:val="none" w:sz="0" w:space="0" w:color="auto"/>
                                                  </w:divBdr>
                                                </w:div>
                                                <w:div w:id="882061329">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675106">
      <w:bodyDiv w:val="1"/>
      <w:marLeft w:val="0"/>
      <w:marRight w:val="0"/>
      <w:marTop w:val="0"/>
      <w:marBottom w:val="0"/>
      <w:divBdr>
        <w:top w:val="none" w:sz="0" w:space="0" w:color="auto"/>
        <w:left w:val="none" w:sz="0" w:space="0" w:color="auto"/>
        <w:bottom w:val="none" w:sz="0" w:space="0" w:color="auto"/>
        <w:right w:val="none" w:sz="0" w:space="0" w:color="auto"/>
      </w:divBdr>
    </w:div>
    <w:div w:id="21214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gov.uk/anaw/2015/2/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cyexchange.org.uk/images/publications/cleaning%20up%20road%20transport%20in%20londo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onlinesurvey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TotalTime>
  <Pages>27</Pages>
  <Words>12194</Words>
  <Characters>69507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81538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Brunt</dc:creator>
  <cp:lastModifiedBy>Huw Brunt</cp:lastModifiedBy>
  <cp:revision>193</cp:revision>
  <cp:lastPrinted>2017-03-21T11:21:00Z</cp:lastPrinted>
  <dcterms:created xsi:type="dcterms:W3CDTF">2017-04-05T14:10:00Z</dcterms:created>
  <dcterms:modified xsi:type="dcterms:W3CDTF">2017-10-17T21:05:00Z</dcterms:modified>
</cp:coreProperties>
</file>