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9DB54" w14:textId="16ED90A0" w:rsidR="00A17AD8" w:rsidRPr="00E839AC" w:rsidRDefault="002D76A6" w:rsidP="00E839AC">
      <w:pPr>
        <w:jc w:val="both"/>
        <w:rPr>
          <w:rFonts w:ascii="Times New Roman" w:hAnsi="Times New Roman" w:cs="Times New Roman"/>
        </w:rPr>
      </w:pPr>
      <w:bookmarkStart w:id="0" w:name="_GoBack"/>
      <w:bookmarkEnd w:id="0"/>
      <w:r w:rsidRPr="00E839AC">
        <w:rPr>
          <w:rFonts w:ascii="Times New Roman" w:hAnsi="Times New Roman" w:cs="Times New Roman"/>
          <w:b/>
        </w:rPr>
        <w:t>Defendant Participation in the Criminal Process</w:t>
      </w:r>
      <w:r w:rsidR="001E3108">
        <w:rPr>
          <w:rFonts w:ascii="Times New Roman" w:hAnsi="Times New Roman" w:cs="Times New Roman"/>
          <w:b/>
        </w:rPr>
        <w:t xml:space="preserve">, </w:t>
      </w:r>
      <w:r w:rsidR="001E3108">
        <w:rPr>
          <w:rFonts w:ascii="Times New Roman" w:hAnsi="Times New Roman" w:cs="Times New Roman"/>
        </w:rPr>
        <w:t xml:space="preserve">by Abenaa Owusu-Bempah (Abingdon: Routledge, 2017), 200pp., hardback, £75.00, </w:t>
      </w:r>
      <w:r w:rsidR="001E3108" w:rsidRPr="00E839AC">
        <w:rPr>
          <w:rFonts w:ascii="Times New Roman" w:hAnsi="Times New Roman" w:cs="Times New Roman"/>
        </w:rPr>
        <w:t>9781138019577</w:t>
      </w:r>
      <w:r w:rsidR="001E3108">
        <w:rPr>
          <w:rFonts w:ascii="Times New Roman" w:hAnsi="Times New Roman" w:cs="Times New Roman"/>
        </w:rPr>
        <w:t>.</w:t>
      </w:r>
    </w:p>
    <w:p w14:paraId="0CACE2DB" w14:textId="77777777" w:rsidR="002D76A6" w:rsidRPr="00E839AC" w:rsidRDefault="002D76A6" w:rsidP="00E839AC">
      <w:pPr>
        <w:rPr>
          <w:rFonts w:ascii="Times New Roman" w:hAnsi="Times New Roman" w:cs="Times New Roman"/>
          <w:b/>
        </w:rPr>
      </w:pPr>
    </w:p>
    <w:p w14:paraId="5F87A7B9" w14:textId="06F7EDB2" w:rsidR="002D76A6" w:rsidRPr="00E839AC" w:rsidRDefault="00B52928" w:rsidP="002D76A6">
      <w:pPr>
        <w:jc w:val="both"/>
        <w:rPr>
          <w:rFonts w:ascii="Times New Roman" w:hAnsi="Times New Roman" w:cs="Times New Roman"/>
        </w:rPr>
      </w:pPr>
      <w:r w:rsidRPr="00E839AC">
        <w:rPr>
          <w:rFonts w:ascii="Times New Roman" w:hAnsi="Times New Roman" w:cs="Times New Roman"/>
        </w:rPr>
        <w:t xml:space="preserve">A classic cornerstone of adversarial criminal justice in England and Wales is that the defendant </w:t>
      </w:r>
      <w:r w:rsidR="001A500C" w:rsidRPr="00E839AC">
        <w:rPr>
          <w:rFonts w:ascii="Times New Roman" w:hAnsi="Times New Roman" w:cs="Times New Roman"/>
        </w:rPr>
        <w:t xml:space="preserve">is protected by the presumption of innocence. </w:t>
      </w:r>
      <w:r w:rsidR="005E4C7A" w:rsidRPr="00E839AC">
        <w:rPr>
          <w:rFonts w:ascii="Times New Roman" w:hAnsi="Times New Roman" w:cs="Times New Roman"/>
        </w:rPr>
        <w:t xml:space="preserve">The burden of proof rests with the prosecution </w:t>
      </w:r>
      <w:r w:rsidR="009F6937" w:rsidRPr="00E839AC">
        <w:rPr>
          <w:rFonts w:ascii="Times New Roman" w:hAnsi="Times New Roman" w:cs="Times New Roman"/>
        </w:rPr>
        <w:t xml:space="preserve">and it is their responsibility to establish the guilt of the defendant, rather than the defendant having to establish his innocence. Theoretically, the adversarial defendant should not be compelled to co-operate with </w:t>
      </w:r>
      <w:r w:rsidR="006061BA" w:rsidRPr="00E839AC">
        <w:rPr>
          <w:rFonts w:ascii="Times New Roman" w:hAnsi="Times New Roman" w:cs="Times New Roman"/>
        </w:rPr>
        <w:t>or</w:t>
      </w:r>
      <w:r w:rsidR="00135C50" w:rsidRPr="00E839AC">
        <w:rPr>
          <w:rFonts w:ascii="Times New Roman" w:hAnsi="Times New Roman" w:cs="Times New Roman"/>
        </w:rPr>
        <w:t xml:space="preserve"> assist the State to achieve their goal of </w:t>
      </w:r>
      <w:r w:rsidR="00607CA8" w:rsidRPr="00E839AC">
        <w:rPr>
          <w:rFonts w:ascii="Times New Roman" w:hAnsi="Times New Roman" w:cs="Times New Roman"/>
        </w:rPr>
        <w:t xml:space="preserve">securing </w:t>
      </w:r>
      <w:r w:rsidR="00135C50" w:rsidRPr="00E839AC">
        <w:rPr>
          <w:rFonts w:ascii="Times New Roman" w:hAnsi="Times New Roman" w:cs="Times New Roman"/>
        </w:rPr>
        <w:t xml:space="preserve">a conviction. In reality, this position no longer exists in England and Wales. </w:t>
      </w:r>
      <w:r w:rsidR="0061624C" w:rsidRPr="00E839AC">
        <w:rPr>
          <w:rFonts w:ascii="Times New Roman" w:hAnsi="Times New Roman" w:cs="Times New Roman"/>
        </w:rPr>
        <w:t>Erosions to the privilege of self-incrimination (</w:t>
      </w:r>
      <w:r w:rsidR="0061624C" w:rsidRPr="00E839AC">
        <w:rPr>
          <w:rFonts w:ascii="Times New Roman" w:hAnsi="Times New Roman" w:cs="Times New Roman"/>
          <w:i/>
        </w:rPr>
        <w:t>Sa</w:t>
      </w:r>
      <w:r w:rsidR="00A17AD8" w:rsidRPr="00E839AC">
        <w:rPr>
          <w:rFonts w:ascii="Times New Roman" w:hAnsi="Times New Roman" w:cs="Times New Roman"/>
          <w:i/>
        </w:rPr>
        <w:t>u</w:t>
      </w:r>
      <w:r w:rsidR="0061624C" w:rsidRPr="00E839AC">
        <w:rPr>
          <w:rFonts w:ascii="Times New Roman" w:hAnsi="Times New Roman" w:cs="Times New Roman"/>
          <w:i/>
        </w:rPr>
        <w:t xml:space="preserve">nders v UK </w:t>
      </w:r>
      <w:r w:rsidR="0061624C" w:rsidRPr="00E839AC">
        <w:rPr>
          <w:rFonts w:ascii="Times New Roman" w:hAnsi="Times New Roman" w:cs="Times New Roman"/>
        </w:rPr>
        <w:t xml:space="preserve">(1997) 23 EHRR 313) and the modifications to the right </w:t>
      </w:r>
      <w:r w:rsidR="00997284" w:rsidRPr="00E839AC">
        <w:rPr>
          <w:rFonts w:ascii="Times New Roman" w:hAnsi="Times New Roman" w:cs="Times New Roman"/>
        </w:rPr>
        <w:t>of</w:t>
      </w:r>
      <w:r w:rsidR="0061624C" w:rsidRPr="00E839AC">
        <w:rPr>
          <w:rFonts w:ascii="Times New Roman" w:hAnsi="Times New Roman" w:cs="Times New Roman"/>
        </w:rPr>
        <w:t xml:space="preserve"> silence (s</w:t>
      </w:r>
      <w:r w:rsidR="001E3108">
        <w:rPr>
          <w:rFonts w:ascii="Times New Roman" w:hAnsi="Times New Roman" w:cs="Times New Roman"/>
        </w:rPr>
        <w:t>s</w:t>
      </w:r>
      <w:r w:rsidR="0061624C" w:rsidRPr="00E839AC">
        <w:rPr>
          <w:rFonts w:ascii="Times New Roman" w:hAnsi="Times New Roman" w:cs="Times New Roman"/>
        </w:rPr>
        <w:t xml:space="preserve">.34-39 </w:t>
      </w:r>
      <w:r w:rsidR="008E5632">
        <w:rPr>
          <w:rFonts w:ascii="Times New Roman" w:hAnsi="Times New Roman" w:cs="Times New Roman"/>
        </w:rPr>
        <w:t xml:space="preserve">of the </w:t>
      </w:r>
      <w:r w:rsidR="0061624C" w:rsidRPr="00E839AC">
        <w:rPr>
          <w:rFonts w:ascii="Times New Roman" w:hAnsi="Times New Roman" w:cs="Times New Roman"/>
        </w:rPr>
        <w:t xml:space="preserve">Criminal Justice and Public Order Act </w:t>
      </w:r>
      <w:r w:rsidR="008E5632">
        <w:rPr>
          <w:rFonts w:ascii="Times New Roman" w:hAnsi="Times New Roman" w:cs="Times New Roman"/>
        </w:rPr>
        <w:t xml:space="preserve">(CJPOA) </w:t>
      </w:r>
      <w:r w:rsidR="0061624C" w:rsidRPr="00E839AC">
        <w:rPr>
          <w:rFonts w:ascii="Times New Roman" w:hAnsi="Times New Roman" w:cs="Times New Roman"/>
        </w:rPr>
        <w:t xml:space="preserve">1994) </w:t>
      </w:r>
      <w:r w:rsidR="00607CA8" w:rsidRPr="00E839AC">
        <w:rPr>
          <w:rFonts w:ascii="Times New Roman" w:hAnsi="Times New Roman" w:cs="Times New Roman"/>
        </w:rPr>
        <w:t>have</w:t>
      </w:r>
      <w:r w:rsidR="0061624C" w:rsidRPr="00E839AC">
        <w:rPr>
          <w:rFonts w:ascii="Times New Roman" w:hAnsi="Times New Roman" w:cs="Times New Roman"/>
        </w:rPr>
        <w:t xml:space="preserve"> seen a general shift toward </w:t>
      </w:r>
      <w:r w:rsidR="00607CA8" w:rsidRPr="00E839AC">
        <w:rPr>
          <w:rFonts w:ascii="Times New Roman" w:hAnsi="Times New Roman" w:cs="Times New Roman"/>
        </w:rPr>
        <w:t xml:space="preserve">a duty of </w:t>
      </w:r>
      <w:r w:rsidR="0039032E" w:rsidRPr="00E839AC">
        <w:rPr>
          <w:rFonts w:ascii="Times New Roman" w:hAnsi="Times New Roman" w:cs="Times New Roman"/>
        </w:rPr>
        <w:t xml:space="preserve">defendant </w:t>
      </w:r>
      <w:r w:rsidR="0061624C" w:rsidRPr="00E839AC">
        <w:rPr>
          <w:rFonts w:ascii="Times New Roman" w:hAnsi="Times New Roman" w:cs="Times New Roman"/>
        </w:rPr>
        <w:t xml:space="preserve">co-operation. Arguably, this growing notion of co-operation has been underpinned and accelerated </w:t>
      </w:r>
      <w:r w:rsidR="00607CA8" w:rsidRPr="00E839AC">
        <w:rPr>
          <w:rFonts w:ascii="Times New Roman" w:hAnsi="Times New Roman" w:cs="Times New Roman"/>
        </w:rPr>
        <w:t xml:space="preserve">by </w:t>
      </w:r>
      <w:r w:rsidR="0061624C" w:rsidRPr="00E839AC">
        <w:rPr>
          <w:rFonts w:ascii="Times New Roman" w:hAnsi="Times New Roman" w:cs="Times New Roman"/>
        </w:rPr>
        <w:t xml:space="preserve">the increasing </w:t>
      </w:r>
      <w:r w:rsidR="00852A65" w:rsidRPr="00E839AC">
        <w:rPr>
          <w:rFonts w:ascii="Times New Roman" w:hAnsi="Times New Roman" w:cs="Times New Roman"/>
        </w:rPr>
        <w:t xml:space="preserve">level </w:t>
      </w:r>
      <w:r w:rsidR="0061624C" w:rsidRPr="00E839AC">
        <w:rPr>
          <w:rFonts w:ascii="Times New Roman" w:hAnsi="Times New Roman" w:cs="Times New Roman"/>
        </w:rPr>
        <w:t xml:space="preserve">of </w:t>
      </w:r>
      <w:r w:rsidR="00607CA8" w:rsidRPr="00E839AC">
        <w:rPr>
          <w:rFonts w:ascii="Times New Roman" w:hAnsi="Times New Roman" w:cs="Times New Roman"/>
        </w:rPr>
        <w:t xml:space="preserve">defence </w:t>
      </w:r>
      <w:r w:rsidR="0061624C" w:rsidRPr="00E839AC">
        <w:rPr>
          <w:rFonts w:ascii="Times New Roman" w:hAnsi="Times New Roman" w:cs="Times New Roman"/>
        </w:rPr>
        <w:t xml:space="preserve">disclosure obligations placed </w:t>
      </w:r>
      <w:r w:rsidR="00607CA8" w:rsidRPr="00E839AC">
        <w:rPr>
          <w:rFonts w:ascii="Times New Roman" w:hAnsi="Times New Roman" w:cs="Times New Roman"/>
        </w:rPr>
        <w:t>up</w:t>
      </w:r>
      <w:r w:rsidR="0061624C" w:rsidRPr="00E839AC">
        <w:rPr>
          <w:rFonts w:ascii="Times New Roman" w:hAnsi="Times New Roman" w:cs="Times New Roman"/>
        </w:rPr>
        <w:t>on the defendant</w:t>
      </w:r>
      <w:r w:rsidR="00135C50" w:rsidRPr="00E839AC">
        <w:rPr>
          <w:rFonts w:ascii="Times New Roman" w:hAnsi="Times New Roman" w:cs="Times New Roman"/>
        </w:rPr>
        <w:t xml:space="preserve">. The </w:t>
      </w:r>
      <w:r w:rsidR="00852A65" w:rsidRPr="00E839AC">
        <w:rPr>
          <w:rFonts w:ascii="Times New Roman" w:hAnsi="Times New Roman" w:cs="Times New Roman"/>
        </w:rPr>
        <w:t xml:space="preserve">origins </w:t>
      </w:r>
      <w:r w:rsidR="00135C50" w:rsidRPr="00E839AC">
        <w:rPr>
          <w:rFonts w:ascii="Times New Roman" w:hAnsi="Times New Roman" w:cs="Times New Roman"/>
        </w:rPr>
        <w:t>of these obligations are relatively non-contentio</w:t>
      </w:r>
      <w:r w:rsidR="00A17AD8" w:rsidRPr="00E839AC">
        <w:rPr>
          <w:rFonts w:ascii="Times New Roman" w:hAnsi="Times New Roman" w:cs="Times New Roman"/>
        </w:rPr>
        <w:t>u</w:t>
      </w:r>
      <w:r w:rsidR="00135C50" w:rsidRPr="00E839AC">
        <w:rPr>
          <w:rFonts w:ascii="Times New Roman" w:hAnsi="Times New Roman" w:cs="Times New Roman"/>
        </w:rPr>
        <w:t xml:space="preserve">s, such as notice of alibi evidence (s.11 </w:t>
      </w:r>
      <w:r w:rsidR="008E5632">
        <w:rPr>
          <w:rFonts w:ascii="Times New Roman" w:hAnsi="Times New Roman" w:cs="Times New Roman"/>
        </w:rPr>
        <w:t xml:space="preserve">of the </w:t>
      </w:r>
      <w:r w:rsidR="00135C50" w:rsidRPr="00E839AC">
        <w:rPr>
          <w:rFonts w:ascii="Times New Roman" w:hAnsi="Times New Roman" w:cs="Times New Roman"/>
        </w:rPr>
        <w:t xml:space="preserve">Criminal Justice Act 1967) and expert evidence </w:t>
      </w:r>
      <w:r w:rsidR="0061624C" w:rsidRPr="00E839AC">
        <w:rPr>
          <w:rFonts w:ascii="Times New Roman" w:hAnsi="Times New Roman" w:cs="Times New Roman"/>
        </w:rPr>
        <w:t xml:space="preserve">(s.81 </w:t>
      </w:r>
      <w:r w:rsidR="008E5632">
        <w:rPr>
          <w:rFonts w:ascii="Times New Roman" w:hAnsi="Times New Roman" w:cs="Times New Roman"/>
        </w:rPr>
        <w:t xml:space="preserve">of the </w:t>
      </w:r>
      <w:r w:rsidR="0061624C" w:rsidRPr="00E839AC">
        <w:rPr>
          <w:rFonts w:ascii="Times New Roman" w:hAnsi="Times New Roman" w:cs="Times New Roman"/>
        </w:rPr>
        <w:t xml:space="preserve">Police and Criminal Evidence Act 1984). </w:t>
      </w:r>
      <w:r w:rsidR="00852A65" w:rsidRPr="00E839AC">
        <w:rPr>
          <w:rFonts w:ascii="Times New Roman" w:hAnsi="Times New Roman" w:cs="Times New Roman"/>
        </w:rPr>
        <w:t xml:space="preserve">That said, </w:t>
      </w:r>
      <w:r w:rsidR="0061624C" w:rsidRPr="00E839AC">
        <w:rPr>
          <w:rFonts w:ascii="Times New Roman" w:hAnsi="Times New Roman" w:cs="Times New Roman"/>
        </w:rPr>
        <w:t xml:space="preserve">disclosure obligations shifted in intensity in the mid-1990s with the creation of the Defence Case Statement (s.5-6D </w:t>
      </w:r>
      <w:r w:rsidR="008E5632">
        <w:rPr>
          <w:rFonts w:ascii="Times New Roman" w:hAnsi="Times New Roman" w:cs="Times New Roman"/>
        </w:rPr>
        <w:t xml:space="preserve">of the </w:t>
      </w:r>
      <w:r w:rsidR="0061624C" w:rsidRPr="00E839AC">
        <w:rPr>
          <w:rFonts w:ascii="Times New Roman" w:hAnsi="Times New Roman" w:cs="Times New Roman"/>
        </w:rPr>
        <w:t xml:space="preserve">Criminal Procedure and Investigations Act 1996) and </w:t>
      </w:r>
      <w:r w:rsidR="008E5632">
        <w:rPr>
          <w:rFonts w:ascii="Times New Roman" w:hAnsi="Times New Roman" w:cs="Times New Roman"/>
        </w:rPr>
        <w:t xml:space="preserve">the </w:t>
      </w:r>
      <w:r w:rsidR="0061624C" w:rsidRPr="00E839AC">
        <w:rPr>
          <w:rFonts w:ascii="Times New Roman" w:hAnsi="Times New Roman" w:cs="Times New Roman"/>
        </w:rPr>
        <w:t>Case Management Provisions of the Criminal Procedure Rules 2015</w:t>
      </w:r>
      <w:r w:rsidR="0054633F" w:rsidRPr="00E839AC">
        <w:rPr>
          <w:rFonts w:ascii="Times New Roman" w:hAnsi="Times New Roman" w:cs="Times New Roman"/>
        </w:rPr>
        <w:t xml:space="preserve"> (hereafter, CrimPR</w:t>
      </w:r>
      <w:r w:rsidR="00607CA8" w:rsidRPr="00E839AC">
        <w:rPr>
          <w:rFonts w:ascii="Times New Roman" w:hAnsi="Times New Roman" w:cs="Times New Roman"/>
        </w:rPr>
        <w:t xml:space="preserve"> 2015</w:t>
      </w:r>
      <w:r w:rsidR="0054633F" w:rsidRPr="00E839AC">
        <w:rPr>
          <w:rFonts w:ascii="Times New Roman" w:hAnsi="Times New Roman" w:cs="Times New Roman"/>
        </w:rPr>
        <w:t>)</w:t>
      </w:r>
      <w:r w:rsidR="0061624C" w:rsidRPr="00E839AC">
        <w:rPr>
          <w:rFonts w:ascii="Times New Roman" w:hAnsi="Times New Roman" w:cs="Times New Roman"/>
        </w:rPr>
        <w:t xml:space="preserve">. </w:t>
      </w:r>
    </w:p>
    <w:p w14:paraId="35B676F5" w14:textId="6A861762" w:rsidR="00A67D5A" w:rsidRPr="00E839AC" w:rsidRDefault="00A67D5A" w:rsidP="002D76A6">
      <w:pPr>
        <w:jc w:val="both"/>
        <w:rPr>
          <w:rFonts w:ascii="Times New Roman" w:hAnsi="Times New Roman" w:cs="Times New Roman"/>
        </w:rPr>
      </w:pPr>
    </w:p>
    <w:p w14:paraId="062B9E12" w14:textId="3B4D4129" w:rsidR="00607CA8" w:rsidRPr="00E839AC" w:rsidRDefault="00C31696" w:rsidP="002D76A6">
      <w:pPr>
        <w:jc w:val="both"/>
        <w:rPr>
          <w:rFonts w:ascii="Times New Roman" w:hAnsi="Times New Roman" w:cs="Times New Roman"/>
        </w:rPr>
      </w:pPr>
      <w:r w:rsidRPr="00E839AC">
        <w:rPr>
          <w:rFonts w:ascii="Times New Roman" w:hAnsi="Times New Roman" w:cs="Times New Roman"/>
        </w:rPr>
        <w:t>Abena</w:t>
      </w:r>
      <w:r w:rsidR="00E26AF2" w:rsidRPr="00E839AC">
        <w:rPr>
          <w:rFonts w:ascii="Times New Roman" w:hAnsi="Times New Roman" w:cs="Times New Roman"/>
        </w:rPr>
        <w:t xml:space="preserve">a Owusu-Bempah’s book, </w:t>
      </w:r>
      <w:r w:rsidR="00E26AF2" w:rsidRPr="00E839AC">
        <w:rPr>
          <w:rFonts w:ascii="Times New Roman" w:hAnsi="Times New Roman" w:cs="Times New Roman"/>
          <w:i/>
        </w:rPr>
        <w:t>Defendant Participation in the Criminal Process</w:t>
      </w:r>
      <w:r w:rsidR="00E26AF2" w:rsidRPr="00E839AC">
        <w:rPr>
          <w:rFonts w:ascii="Times New Roman" w:hAnsi="Times New Roman" w:cs="Times New Roman"/>
        </w:rPr>
        <w:t xml:space="preserve">, argues that the growing obligation for the defendant to participate in the criminal process lacks justification. The first half of the book creates a normative </w:t>
      </w:r>
      <w:r w:rsidR="00944306" w:rsidRPr="00E839AC">
        <w:rPr>
          <w:rFonts w:ascii="Times New Roman" w:hAnsi="Times New Roman" w:cs="Times New Roman"/>
        </w:rPr>
        <w:t>theory</w:t>
      </w:r>
      <w:r w:rsidR="00E26AF2" w:rsidRPr="00E839AC">
        <w:rPr>
          <w:rFonts w:ascii="Times New Roman" w:hAnsi="Times New Roman" w:cs="Times New Roman"/>
        </w:rPr>
        <w:t xml:space="preserve"> </w:t>
      </w:r>
      <w:r w:rsidR="00944306" w:rsidRPr="00E839AC">
        <w:rPr>
          <w:rFonts w:ascii="Times New Roman" w:hAnsi="Times New Roman" w:cs="Times New Roman"/>
        </w:rPr>
        <w:t xml:space="preserve">that the defendant should not be compelled to actively assist the State </w:t>
      </w:r>
      <w:r w:rsidR="00BD51E1" w:rsidRPr="00E839AC">
        <w:rPr>
          <w:rFonts w:ascii="Times New Roman" w:hAnsi="Times New Roman" w:cs="Times New Roman"/>
        </w:rPr>
        <w:t xml:space="preserve">in </w:t>
      </w:r>
      <w:r w:rsidR="00C04A31">
        <w:rPr>
          <w:rFonts w:ascii="Times New Roman" w:hAnsi="Times New Roman" w:cs="Times New Roman"/>
        </w:rPr>
        <w:t>its</w:t>
      </w:r>
      <w:r w:rsidR="00BD51E1" w:rsidRPr="00E839AC">
        <w:rPr>
          <w:rFonts w:ascii="Times New Roman" w:hAnsi="Times New Roman" w:cs="Times New Roman"/>
        </w:rPr>
        <w:t xml:space="preserve"> pursuit of a conviction</w:t>
      </w:r>
      <w:r w:rsidR="005764EA" w:rsidRPr="00E839AC">
        <w:rPr>
          <w:rFonts w:ascii="Times New Roman" w:hAnsi="Times New Roman" w:cs="Times New Roman"/>
        </w:rPr>
        <w:t xml:space="preserve">. The second half applies this theory to criminal procedure of England and Wales by </w:t>
      </w:r>
      <w:r w:rsidR="00997284" w:rsidRPr="00E839AC">
        <w:rPr>
          <w:rFonts w:ascii="Times New Roman" w:hAnsi="Times New Roman" w:cs="Times New Roman"/>
        </w:rPr>
        <w:t>examining the defence disclosure obligations, the right of silence and the privilege against self-incrimination. The book is only concerned with what Owusu-Bempah calls ‘active participation.’ Therefore</w:t>
      </w:r>
      <w:r w:rsidR="00607CA8" w:rsidRPr="00E839AC">
        <w:rPr>
          <w:rFonts w:ascii="Times New Roman" w:hAnsi="Times New Roman" w:cs="Times New Roman"/>
        </w:rPr>
        <w:t>, the book</w:t>
      </w:r>
      <w:r w:rsidR="00997284" w:rsidRPr="00E839AC">
        <w:rPr>
          <w:rFonts w:ascii="Times New Roman" w:hAnsi="Times New Roman" w:cs="Times New Roman"/>
        </w:rPr>
        <w:t xml:space="preserve"> </w:t>
      </w:r>
      <w:r w:rsidR="00BD51E1" w:rsidRPr="00E839AC">
        <w:rPr>
          <w:rFonts w:ascii="Times New Roman" w:hAnsi="Times New Roman" w:cs="Times New Roman"/>
        </w:rPr>
        <w:t>centres on</w:t>
      </w:r>
      <w:r w:rsidR="00997284" w:rsidRPr="00E839AC">
        <w:rPr>
          <w:rFonts w:ascii="Times New Roman" w:hAnsi="Times New Roman" w:cs="Times New Roman"/>
        </w:rPr>
        <w:t xml:space="preserve"> something </w:t>
      </w:r>
      <w:r w:rsidR="001E3108">
        <w:rPr>
          <w:rFonts w:ascii="Times New Roman" w:hAnsi="Times New Roman" w:cs="Times New Roman"/>
        </w:rPr>
        <w:t>“</w:t>
      </w:r>
      <w:r w:rsidR="00997284" w:rsidRPr="00E839AC">
        <w:rPr>
          <w:rFonts w:ascii="Times New Roman" w:hAnsi="Times New Roman" w:cs="Times New Roman"/>
        </w:rPr>
        <w:t>that involves mental effort or voluntary physical movements on the part of the defendant, which results in the production of information</w:t>
      </w:r>
      <w:r w:rsidR="001E3108">
        <w:rPr>
          <w:rFonts w:ascii="Times New Roman" w:hAnsi="Times New Roman" w:cs="Times New Roman"/>
        </w:rPr>
        <w:t>”</w:t>
      </w:r>
      <w:r w:rsidR="00997284" w:rsidRPr="00E839AC">
        <w:rPr>
          <w:rFonts w:ascii="Times New Roman" w:hAnsi="Times New Roman" w:cs="Times New Roman"/>
        </w:rPr>
        <w:t xml:space="preserve"> (p.2). Passive participation</w:t>
      </w:r>
      <w:r w:rsidR="00607CA8" w:rsidRPr="00E839AC">
        <w:rPr>
          <w:rFonts w:ascii="Times New Roman" w:hAnsi="Times New Roman" w:cs="Times New Roman"/>
        </w:rPr>
        <w:t>,</w:t>
      </w:r>
      <w:r w:rsidR="00997284" w:rsidRPr="00E839AC">
        <w:rPr>
          <w:rFonts w:ascii="Times New Roman" w:hAnsi="Times New Roman" w:cs="Times New Roman"/>
        </w:rPr>
        <w:t xml:space="preserve"> such as submitting to </w:t>
      </w:r>
      <w:r w:rsidR="00607CA8" w:rsidRPr="00E839AC">
        <w:rPr>
          <w:rFonts w:ascii="Times New Roman" w:hAnsi="Times New Roman" w:cs="Times New Roman"/>
        </w:rPr>
        <w:t>arrest</w:t>
      </w:r>
      <w:r w:rsidR="00997284" w:rsidRPr="00E839AC">
        <w:rPr>
          <w:rFonts w:ascii="Times New Roman" w:hAnsi="Times New Roman" w:cs="Times New Roman"/>
        </w:rPr>
        <w:t xml:space="preserve">, </w:t>
      </w:r>
      <w:r w:rsidR="00607CA8" w:rsidRPr="00E839AC">
        <w:rPr>
          <w:rFonts w:ascii="Times New Roman" w:hAnsi="Times New Roman" w:cs="Times New Roman"/>
        </w:rPr>
        <w:t>search</w:t>
      </w:r>
      <w:r w:rsidR="00997284" w:rsidRPr="00E839AC">
        <w:rPr>
          <w:rFonts w:ascii="Times New Roman" w:hAnsi="Times New Roman" w:cs="Times New Roman"/>
        </w:rPr>
        <w:t xml:space="preserve"> or </w:t>
      </w:r>
      <w:r w:rsidR="00607CA8" w:rsidRPr="00E839AC">
        <w:rPr>
          <w:rFonts w:ascii="Times New Roman" w:hAnsi="Times New Roman" w:cs="Times New Roman"/>
        </w:rPr>
        <w:t>detention</w:t>
      </w:r>
      <w:r w:rsidR="00997284" w:rsidRPr="00E839AC">
        <w:rPr>
          <w:rFonts w:ascii="Times New Roman" w:hAnsi="Times New Roman" w:cs="Times New Roman"/>
        </w:rPr>
        <w:t xml:space="preserve"> in custody</w:t>
      </w:r>
      <w:r w:rsidR="001E3108">
        <w:rPr>
          <w:rFonts w:ascii="Times New Roman" w:hAnsi="Times New Roman" w:cs="Times New Roman"/>
        </w:rPr>
        <w:t>, is</w:t>
      </w:r>
      <w:r w:rsidR="00997284" w:rsidRPr="00E839AC">
        <w:rPr>
          <w:rFonts w:ascii="Times New Roman" w:hAnsi="Times New Roman" w:cs="Times New Roman"/>
        </w:rPr>
        <w:t xml:space="preserve"> not the focus of the book (p.2). </w:t>
      </w:r>
      <w:r w:rsidR="008A628A" w:rsidRPr="00E839AC">
        <w:rPr>
          <w:rFonts w:ascii="Times New Roman" w:hAnsi="Times New Roman" w:cs="Times New Roman"/>
        </w:rPr>
        <w:t xml:space="preserve">The rationale for this exclusion </w:t>
      </w:r>
      <w:r w:rsidR="00607CA8" w:rsidRPr="00E839AC">
        <w:rPr>
          <w:rFonts w:ascii="Times New Roman" w:hAnsi="Times New Roman" w:cs="Times New Roman"/>
        </w:rPr>
        <w:t xml:space="preserve">centres on the idea that </w:t>
      </w:r>
      <w:r w:rsidR="008A628A" w:rsidRPr="00E839AC">
        <w:rPr>
          <w:rFonts w:ascii="Times New Roman" w:hAnsi="Times New Roman" w:cs="Times New Roman"/>
        </w:rPr>
        <w:t xml:space="preserve">the increase in requirements to </w:t>
      </w:r>
      <w:r w:rsidR="00607CA8" w:rsidRPr="00E839AC">
        <w:rPr>
          <w:rFonts w:ascii="Times New Roman" w:hAnsi="Times New Roman" w:cs="Times New Roman"/>
        </w:rPr>
        <w:t>‘</w:t>
      </w:r>
      <w:r w:rsidR="008A628A" w:rsidRPr="00E839AC">
        <w:rPr>
          <w:rFonts w:ascii="Times New Roman" w:hAnsi="Times New Roman" w:cs="Times New Roman"/>
        </w:rPr>
        <w:t>actively participate</w:t>
      </w:r>
      <w:r w:rsidR="00607CA8" w:rsidRPr="00E839AC">
        <w:rPr>
          <w:rFonts w:ascii="Times New Roman" w:hAnsi="Times New Roman" w:cs="Times New Roman"/>
        </w:rPr>
        <w:t>’</w:t>
      </w:r>
      <w:r w:rsidR="008A628A" w:rsidRPr="00E839AC">
        <w:rPr>
          <w:rFonts w:ascii="Times New Roman" w:hAnsi="Times New Roman" w:cs="Times New Roman"/>
        </w:rPr>
        <w:t xml:space="preserve"> is </w:t>
      </w:r>
      <w:r w:rsidR="00607CA8" w:rsidRPr="00E839AC">
        <w:rPr>
          <w:rFonts w:ascii="Times New Roman" w:hAnsi="Times New Roman" w:cs="Times New Roman"/>
        </w:rPr>
        <w:t xml:space="preserve">a </w:t>
      </w:r>
      <w:r w:rsidR="008A628A" w:rsidRPr="00E839AC">
        <w:rPr>
          <w:rFonts w:ascii="Times New Roman" w:hAnsi="Times New Roman" w:cs="Times New Roman"/>
        </w:rPr>
        <w:t>relatively new</w:t>
      </w:r>
      <w:r w:rsidR="00607CA8" w:rsidRPr="00E839AC">
        <w:rPr>
          <w:rFonts w:ascii="Times New Roman" w:hAnsi="Times New Roman" w:cs="Times New Roman"/>
        </w:rPr>
        <w:t xml:space="preserve"> creation</w:t>
      </w:r>
      <w:r w:rsidR="00852A65" w:rsidRPr="00E839AC">
        <w:rPr>
          <w:rFonts w:ascii="Times New Roman" w:hAnsi="Times New Roman" w:cs="Times New Roman"/>
        </w:rPr>
        <w:t>,</w:t>
      </w:r>
      <w:r w:rsidR="00607CA8" w:rsidRPr="00E839AC">
        <w:rPr>
          <w:rFonts w:ascii="Times New Roman" w:hAnsi="Times New Roman" w:cs="Times New Roman"/>
        </w:rPr>
        <w:t xml:space="preserve"> which </w:t>
      </w:r>
      <w:r w:rsidR="00880A10" w:rsidRPr="00E839AC">
        <w:rPr>
          <w:rFonts w:ascii="Times New Roman" w:hAnsi="Times New Roman" w:cs="Times New Roman"/>
        </w:rPr>
        <w:t>has far</w:t>
      </w:r>
      <w:r w:rsidR="001E3108">
        <w:rPr>
          <w:rFonts w:ascii="Times New Roman" w:hAnsi="Times New Roman" w:cs="Times New Roman"/>
        </w:rPr>
        <w:t>-</w:t>
      </w:r>
      <w:r w:rsidR="00880A10" w:rsidRPr="00E839AC">
        <w:rPr>
          <w:rFonts w:ascii="Times New Roman" w:hAnsi="Times New Roman" w:cs="Times New Roman"/>
        </w:rPr>
        <w:t xml:space="preserve">reaching consequences for both the defendant and the adversarial landscape of England and Wales. </w:t>
      </w:r>
    </w:p>
    <w:p w14:paraId="1A0B11D5" w14:textId="0FD7D39D" w:rsidR="00852A65" w:rsidRPr="00E839AC" w:rsidRDefault="00852A65" w:rsidP="002D76A6">
      <w:pPr>
        <w:jc w:val="both"/>
        <w:rPr>
          <w:rFonts w:ascii="Times New Roman" w:hAnsi="Times New Roman" w:cs="Times New Roman"/>
        </w:rPr>
      </w:pPr>
    </w:p>
    <w:p w14:paraId="6EA6B8EA" w14:textId="293F0E01" w:rsidR="009D18F2" w:rsidRPr="00E839AC" w:rsidRDefault="00852A65" w:rsidP="002D76A6">
      <w:pPr>
        <w:jc w:val="both"/>
        <w:rPr>
          <w:rFonts w:ascii="Times New Roman" w:hAnsi="Times New Roman" w:cs="Times New Roman"/>
        </w:rPr>
      </w:pPr>
      <w:r w:rsidRPr="00E839AC">
        <w:rPr>
          <w:rFonts w:ascii="Times New Roman" w:hAnsi="Times New Roman" w:cs="Times New Roman"/>
        </w:rPr>
        <w:t xml:space="preserve">Depriving the defendant </w:t>
      </w:r>
      <w:r w:rsidR="00880A10" w:rsidRPr="00E839AC">
        <w:rPr>
          <w:rFonts w:ascii="Times New Roman" w:hAnsi="Times New Roman" w:cs="Times New Roman"/>
        </w:rPr>
        <w:t>of the choice</w:t>
      </w:r>
      <w:r w:rsidRPr="00E839AC">
        <w:rPr>
          <w:rFonts w:ascii="Times New Roman" w:hAnsi="Times New Roman" w:cs="Times New Roman"/>
        </w:rPr>
        <w:t xml:space="preserve"> of</w:t>
      </w:r>
      <w:r w:rsidR="007404E6" w:rsidRPr="00E839AC">
        <w:rPr>
          <w:rFonts w:ascii="Times New Roman" w:hAnsi="Times New Roman" w:cs="Times New Roman"/>
        </w:rPr>
        <w:t xml:space="preserve"> </w:t>
      </w:r>
      <w:r w:rsidR="00880A10" w:rsidRPr="00E839AC">
        <w:rPr>
          <w:rFonts w:ascii="Times New Roman" w:hAnsi="Times New Roman" w:cs="Times New Roman"/>
        </w:rPr>
        <w:t xml:space="preserve">whether </w:t>
      </w:r>
      <w:r w:rsidR="00607CA8" w:rsidRPr="00E839AC">
        <w:rPr>
          <w:rFonts w:ascii="Times New Roman" w:hAnsi="Times New Roman" w:cs="Times New Roman"/>
        </w:rPr>
        <w:t>they wish</w:t>
      </w:r>
      <w:r w:rsidR="00880A10" w:rsidRPr="00E839AC">
        <w:rPr>
          <w:rFonts w:ascii="Times New Roman" w:hAnsi="Times New Roman" w:cs="Times New Roman"/>
        </w:rPr>
        <w:t xml:space="preserve"> to co-operate in the criminal process means that England and Wales cannot be characterised as ‘adversarial’ (p.3). </w:t>
      </w:r>
      <w:r w:rsidR="006D7CF2" w:rsidRPr="00E839AC">
        <w:rPr>
          <w:rFonts w:ascii="Times New Roman" w:hAnsi="Times New Roman" w:cs="Times New Roman"/>
        </w:rPr>
        <w:t>Owusu-Bempah points out that whi</w:t>
      </w:r>
      <w:r w:rsidR="001E3108">
        <w:rPr>
          <w:rFonts w:ascii="Times New Roman" w:hAnsi="Times New Roman" w:cs="Times New Roman"/>
        </w:rPr>
        <w:t>l</w:t>
      </w:r>
      <w:r w:rsidR="006D7CF2" w:rsidRPr="00E839AC">
        <w:rPr>
          <w:rFonts w:ascii="Times New Roman" w:hAnsi="Times New Roman" w:cs="Times New Roman"/>
        </w:rPr>
        <w:t xml:space="preserve">st it is natural for systems </w:t>
      </w:r>
      <w:r w:rsidR="003613DE" w:rsidRPr="00E839AC">
        <w:rPr>
          <w:rFonts w:ascii="Times New Roman" w:hAnsi="Times New Roman" w:cs="Times New Roman"/>
        </w:rPr>
        <w:t>t</w:t>
      </w:r>
      <w:r w:rsidR="006D7CF2" w:rsidRPr="00E839AC">
        <w:rPr>
          <w:rFonts w:ascii="Times New Roman" w:hAnsi="Times New Roman" w:cs="Times New Roman"/>
        </w:rPr>
        <w:t xml:space="preserve">o transform over time, it is concerning there has been a departure from legal norms and rights which form a component part of adversarialism. </w:t>
      </w:r>
      <w:r w:rsidR="00246DD8" w:rsidRPr="00E839AC">
        <w:rPr>
          <w:rFonts w:ascii="Times New Roman" w:hAnsi="Times New Roman" w:cs="Times New Roman"/>
        </w:rPr>
        <w:t>Owusu</w:t>
      </w:r>
      <w:r w:rsidR="00F35351" w:rsidRPr="00E839AC">
        <w:rPr>
          <w:rFonts w:ascii="Times New Roman" w:hAnsi="Times New Roman" w:cs="Times New Roman"/>
        </w:rPr>
        <w:t>-Bempah</w:t>
      </w:r>
      <w:r w:rsidR="009D18F2" w:rsidRPr="00E839AC">
        <w:rPr>
          <w:rFonts w:ascii="Times New Roman" w:hAnsi="Times New Roman" w:cs="Times New Roman"/>
        </w:rPr>
        <w:t xml:space="preserve"> outlines her normative theory of </w:t>
      </w:r>
      <w:r w:rsidR="00940B1F" w:rsidRPr="00E839AC">
        <w:rPr>
          <w:rFonts w:ascii="Times New Roman" w:hAnsi="Times New Roman" w:cs="Times New Roman"/>
        </w:rPr>
        <w:t>“</w:t>
      </w:r>
      <w:r w:rsidR="009D18F2" w:rsidRPr="00E839AC">
        <w:rPr>
          <w:rFonts w:ascii="Times New Roman" w:hAnsi="Times New Roman" w:cs="Times New Roman"/>
        </w:rPr>
        <w:t>calling the Sta</w:t>
      </w:r>
      <w:r w:rsidR="00607CA8" w:rsidRPr="00E839AC">
        <w:rPr>
          <w:rFonts w:ascii="Times New Roman" w:hAnsi="Times New Roman" w:cs="Times New Roman"/>
        </w:rPr>
        <w:t>te to A</w:t>
      </w:r>
      <w:r w:rsidR="009D18F2" w:rsidRPr="00E839AC">
        <w:rPr>
          <w:rFonts w:ascii="Times New Roman" w:hAnsi="Times New Roman" w:cs="Times New Roman"/>
        </w:rPr>
        <w:t>ccount</w:t>
      </w:r>
      <w:r w:rsidR="00940B1F" w:rsidRPr="00E839AC">
        <w:rPr>
          <w:rFonts w:ascii="Times New Roman" w:hAnsi="Times New Roman" w:cs="Times New Roman"/>
        </w:rPr>
        <w:t>”</w:t>
      </w:r>
      <w:r w:rsidR="00DA13B1" w:rsidRPr="00E839AC">
        <w:rPr>
          <w:rFonts w:ascii="Times New Roman" w:hAnsi="Times New Roman" w:cs="Times New Roman"/>
        </w:rPr>
        <w:t>(p.9). The book uses Hock Lai Ho’s argument that the central feature of adversarialism is to hold the executive arm of government to account in its quest to uphold and enforce the criminal law (see fn.29). Ultimately, the State can account for its accusations against the defendant by proving guilt of the accused. Owusu-Bempah’s theory of the criminal process is one of an ‘</w:t>
      </w:r>
      <w:r w:rsidR="006D28F2" w:rsidRPr="00E839AC">
        <w:rPr>
          <w:rFonts w:ascii="Times New Roman" w:hAnsi="Times New Roman" w:cs="Times New Roman"/>
        </w:rPr>
        <w:t>absolutist position’</w:t>
      </w:r>
      <w:r w:rsidR="00DA13B1" w:rsidRPr="00E839AC">
        <w:rPr>
          <w:rFonts w:ascii="Times New Roman" w:hAnsi="Times New Roman" w:cs="Times New Roman"/>
        </w:rPr>
        <w:t xml:space="preserve"> and takes the point that the defendant should be under no requirement to actively participate by answering questions or providing information during the pre-trial stage. </w:t>
      </w:r>
    </w:p>
    <w:p w14:paraId="58F59AA6" w14:textId="77777777" w:rsidR="009D18F2" w:rsidRPr="00E839AC" w:rsidRDefault="009D18F2" w:rsidP="002D76A6">
      <w:pPr>
        <w:jc w:val="both"/>
        <w:rPr>
          <w:rFonts w:ascii="Times New Roman" w:hAnsi="Times New Roman" w:cs="Times New Roman"/>
        </w:rPr>
      </w:pPr>
    </w:p>
    <w:p w14:paraId="33FE6A59" w14:textId="3584691F" w:rsidR="00A67D5A" w:rsidRPr="00E839AC" w:rsidRDefault="00FB6C7A" w:rsidP="002D76A6">
      <w:pPr>
        <w:jc w:val="both"/>
        <w:rPr>
          <w:rFonts w:ascii="Times New Roman" w:hAnsi="Times New Roman" w:cs="Times New Roman"/>
        </w:rPr>
      </w:pPr>
      <w:r w:rsidRPr="00E839AC">
        <w:rPr>
          <w:rFonts w:ascii="Times New Roman" w:hAnsi="Times New Roman" w:cs="Times New Roman"/>
        </w:rPr>
        <w:t>Early on</w:t>
      </w:r>
      <w:r w:rsidR="009D18F2" w:rsidRPr="00E839AC">
        <w:rPr>
          <w:rFonts w:ascii="Times New Roman" w:hAnsi="Times New Roman" w:cs="Times New Roman"/>
        </w:rPr>
        <w:t>,</w:t>
      </w:r>
      <w:r w:rsidRPr="00E839AC">
        <w:rPr>
          <w:rFonts w:ascii="Times New Roman" w:hAnsi="Times New Roman" w:cs="Times New Roman"/>
        </w:rPr>
        <w:t xml:space="preserve"> the author recognises a limitation </w:t>
      </w:r>
      <w:r w:rsidR="00607CA8" w:rsidRPr="00E839AC">
        <w:rPr>
          <w:rFonts w:ascii="Times New Roman" w:hAnsi="Times New Roman" w:cs="Times New Roman"/>
        </w:rPr>
        <w:t>to her</w:t>
      </w:r>
      <w:r w:rsidRPr="00E839AC">
        <w:rPr>
          <w:rFonts w:ascii="Times New Roman" w:hAnsi="Times New Roman" w:cs="Times New Roman"/>
        </w:rPr>
        <w:t xml:space="preserve"> study; namely</w:t>
      </w:r>
      <w:r w:rsidR="00607CA8" w:rsidRPr="00E839AC">
        <w:rPr>
          <w:rFonts w:ascii="Times New Roman" w:hAnsi="Times New Roman" w:cs="Times New Roman"/>
        </w:rPr>
        <w:t>,</w:t>
      </w:r>
      <w:r w:rsidRPr="00E839AC">
        <w:rPr>
          <w:rFonts w:ascii="Times New Roman" w:hAnsi="Times New Roman" w:cs="Times New Roman"/>
        </w:rPr>
        <w:t xml:space="preserve"> the theory has developed within the cultural context of the English criminal procedure and has been designed to address a specific issue – the </w:t>
      </w:r>
      <w:r w:rsidR="00C31696" w:rsidRPr="00E839AC">
        <w:rPr>
          <w:rFonts w:ascii="Times New Roman" w:hAnsi="Times New Roman" w:cs="Times New Roman"/>
        </w:rPr>
        <w:t xml:space="preserve">increasing </w:t>
      </w:r>
      <w:r w:rsidRPr="00E839AC">
        <w:rPr>
          <w:rFonts w:ascii="Times New Roman" w:hAnsi="Times New Roman" w:cs="Times New Roman"/>
        </w:rPr>
        <w:t xml:space="preserve">demand for defendants to actively participate in the criminal </w:t>
      </w:r>
      <w:r w:rsidRPr="00E839AC">
        <w:rPr>
          <w:rFonts w:ascii="Times New Roman" w:hAnsi="Times New Roman" w:cs="Times New Roman"/>
        </w:rPr>
        <w:lastRenderedPageBreak/>
        <w:t xml:space="preserve">process. The author points out that a more ambitious project could seek to apply it to passive participation as well. Nevertheless, despite the narrow remit of the book, it is an engaging and stimulating read. </w:t>
      </w:r>
    </w:p>
    <w:p w14:paraId="675C9B62" w14:textId="77777777" w:rsidR="00FB6C7A" w:rsidRPr="00E839AC" w:rsidRDefault="00FB6C7A" w:rsidP="002D76A6">
      <w:pPr>
        <w:jc w:val="both"/>
        <w:rPr>
          <w:rFonts w:ascii="Times New Roman" w:hAnsi="Times New Roman" w:cs="Times New Roman"/>
        </w:rPr>
      </w:pPr>
    </w:p>
    <w:p w14:paraId="1F79AF08" w14:textId="7D41DD63" w:rsidR="001E3108" w:rsidRDefault="006B4B48" w:rsidP="002D76A6">
      <w:pPr>
        <w:jc w:val="both"/>
        <w:rPr>
          <w:rFonts w:ascii="Times New Roman" w:hAnsi="Times New Roman" w:cs="Times New Roman"/>
        </w:rPr>
      </w:pPr>
      <w:r w:rsidRPr="00E839AC">
        <w:rPr>
          <w:rFonts w:ascii="Times New Roman" w:hAnsi="Times New Roman" w:cs="Times New Roman"/>
        </w:rPr>
        <w:t xml:space="preserve">Chapter </w:t>
      </w:r>
      <w:r w:rsidR="002C2C62" w:rsidRPr="00E839AC">
        <w:rPr>
          <w:rFonts w:ascii="Times New Roman" w:hAnsi="Times New Roman" w:cs="Times New Roman"/>
        </w:rPr>
        <w:t>Two</w:t>
      </w:r>
      <w:r w:rsidRPr="00E839AC">
        <w:rPr>
          <w:rFonts w:ascii="Times New Roman" w:hAnsi="Times New Roman" w:cs="Times New Roman"/>
        </w:rPr>
        <w:t xml:space="preserve"> </w:t>
      </w:r>
      <w:r w:rsidR="00B56CAB" w:rsidRPr="00E839AC">
        <w:rPr>
          <w:rFonts w:ascii="Times New Roman" w:hAnsi="Times New Roman" w:cs="Times New Roman"/>
        </w:rPr>
        <w:t xml:space="preserve">examines the aims of the criminal </w:t>
      </w:r>
      <w:r w:rsidR="000A1F7F" w:rsidRPr="00E839AC">
        <w:rPr>
          <w:rFonts w:ascii="Times New Roman" w:hAnsi="Times New Roman" w:cs="Times New Roman"/>
        </w:rPr>
        <w:t>process. Firstly, the chapter uses the</w:t>
      </w:r>
      <w:r w:rsidR="0054633F" w:rsidRPr="00E839AC">
        <w:rPr>
          <w:rFonts w:ascii="Times New Roman" w:hAnsi="Times New Roman" w:cs="Times New Roman"/>
        </w:rPr>
        <w:t xml:space="preserve"> Overriding Objective of the CrimPR 2015 as its lens. The Overriding Objective is to </w:t>
      </w:r>
      <w:r w:rsidR="00940B1F" w:rsidRPr="00E839AC">
        <w:rPr>
          <w:rFonts w:ascii="Times New Roman" w:hAnsi="Times New Roman" w:cs="Times New Roman"/>
        </w:rPr>
        <w:t>“</w:t>
      </w:r>
      <w:r w:rsidR="0054633F" w:rsidRPr="00E839AC">
        <w:rPr>
          <w:rFonts w:ascii="Times New Roman" w:hAnsi="Times New Roman" w:cs="Times New Roman"/>
        </w:rPr>
        <w:t>deal with cases justly</w:t>
      </w:r>
      <w:r w:rsidR="00940B1F" w:rsidRPr="00E839AC">
        <w:rPr>
          <w:rFonts w:ascii="Times New Roman" w:hAnsi="Times New Roman" w:cs="Times New Roman"/>
        </w:rPr>
        <w:t>”</w:t>
      </w:r>
      <w:r w:rsidR="0054633F" w:rsidRPr="00E839AC">
        <w:rPr>
          <w:rFonts w:ascii="Times New Roman" w:hAnsi="Times New Roman" w:cs="Times New Roman"/>
        </w:rPr>
        <w:t xml:space="preserve"> and this is broadly defined in Rule 1.1(2) CrimPR 2015. </w:t>
      </w:r>
      <w:r w:rsidR="003613DE" w:rsidRPr="00E839AC">
        <w:rPr>
          <w:rFonts w:ascii="Times New Roman" w:hAnsi="Times New Roman" w:cs="Times New Roman"/>
        </w:rPr>
        <w:t xml:space="preserve">The aims of the process can be viewed as accurate </w:t>
      </w:r>
      <w:r w:rsidR="00852A65" w:rsidRPr="00E839AC">
        <w:rPr>
          <w:rFonts w:ascii="Times New Roman" w:hAnsi="Times New Roman" w:cs="Times New Roman"/>
        </w:rPr>
        <w:t>fact-finding</w:t>
      </w:r>
      <w:r w:rsidR="003613DE" w:rsidRPr="00E839AC">
        <w:rPr>
          <w:rFonts w:ascii="Times New Roman" w:hAnsi="Times New Roman" w:cs="Times New Roman"/>
        </w:rPr>
        <w:t xml:space="preserve"> and conflict resolution (</w:t>
      </w:r>
      <w:r w:rsidR="00A17AD8" w:rsidRPr="00E839AC">
        <w:rPr>
          <w:rFonts w:ascii="Times New Roman" w:hAnsi="Times New Roman" w:cs="Times New Roman"/>
        </w:rPr>
        <w:t>p</w:t>
      </w:r>
      <w:r w:rsidR="003613DE" w:rsidRPr="00E839AC">
        <w:rPr>
          <w:rFonts w:ascii="Times New Roman" w:hAnsi="Times New Roman" w:cs="Times New Roman"/>
        </w:rPr>
        <w:t>p.18-21)</w:t>
      </w:r>
      <w:r w:rsidR="001E3108">
        <w:rPr>
          <w:rFonts w:ascii="Times New Roman" w:hAnsi="Times New Roman" w:cs="Times New Roman"/>
        </w:rPr>
        <w:t>, w</w:t>
      </w:r>
      <w:r w:rsidR="00852A65" w:rsidRPr="00E839AC">
        <w:rPr>
          <w:rFonts w:ascii="Times New Roman" w:hAnsi="Times New Roman" w:cs="Times New Roman"/>
        </w:rPr>
        <w:t>hereas</w:t>
      </w:r>
      <w:r w:rsidR="003613DE" w:rsidRPr="00E839AC">
        <w:rPr>
          <w:rFonts w:ascii="Times New Roman" w:hAnsi="Times New Roman" w:cs="Times New Roman"/>
        </w:rPr>
        <w:t xml:space="preserve"> the values are </w:t>
      </w:r>
      <w:r w:rsidR="00940B1F" w:rsidRPr="00E839AC">
        <w:rPr>
          <w:rFonts w:ascii="Times New Roman" w:hAnsi="Times New Roman" w:cs="Times New Roman"/>
        </w:rPr>
        <w:t>“</w:t>
      </w:r>
      <w:r w:rsidR="003613DE" w:rsidRPr="00E839AC">
        <w:rPr>
          <w:rFonts w:ascii="Times New Roman" w:hAnsi="Times New Roman" w:cs="Times New Roman"/>
        </w:rPr>
        <w:t>fairness and respect for the rights of the defendant and respecting the interests of witnesses and victims</w:t>
      </w:r>
      <w:r w:rsidR="00940B1F" w:rsidRPr="00E839AC">
        <w:rPr>
          <w:rFonts w:ascii="Times New Roman" w:hAnsi="Times New Roman" w:cs="Times New Roman"/>
        </w:rPr>
        <w:t>”</w:t>
      </w:r>
      <w:r w:rsidR="003613DE" w:rsidRPr="00E839AC">
        <w:rPr>
          <w:rFonts w:ascii="Times New Roman" w:hAnsi="Times New Roman" w:cs="Times New Roman"/>
        </w:rPr>
        <w:t xml:space="preserve"> (</w:t>
      </w:r>
      <w:r w:rsidR="00940B1F" w:rsidRPr="00E839AC">
        <w:rPr>
          <w:rFonts w:ascii="Times New Roman" w:hAnsi="Times New Roman" w:cs="Times New Roman"/>
        </w:rPr>
        <w:t>p</w:t>
      </w:r>
      <w:r w:rsidR="003613DE" w:rsidRPr="00E839AC">
        <w:rPr>
          <w:rFonts w:ascii="Times New Roman" w:hAnsi="Times New Roman" w:cs="Times New Roman"/>
        </w:rPr>
        <w:t xml:space="preserve">p.21-28). The chapter concludes with the proposition that the </w:t>
      </w:r>
      <w:r w:rsidR="00940B1F" w:rsidRPr="00E839AC">
        <w:rPr>
          <w:rFonts w:ascii="Times New Roman" w:hAnsi="Times New Roman" w:cs="Times New Roman"/>
        </w:rPr>
        <w:t>“</w:t>
      </w:r>
      <w:r w:rsidR="003613DE" w:rsidRPr="00E839AC">
        <w:rPr>
          <w:rFonts w:ascii="Times New Roman" w:hAnsi="Times New Roman" w:cs="Times New Roman"/>
        </w:rPr>
        <w:t xml:space="preserve">emphasis </w:t>
      </w:r>
      <w:r w:rsidR="00005253" w:rsidRPr="00E839AC">
        <w:rPr>
          <w:rFonts w:ascii="Times New Roman" w:hAnsi="Times New Roman" w:cs="Times New Roman"/>
        </w:rPr>
        <w:t>has shifted away from the values of fairness and respect for defence rights</w:t>
      </w:r>
      <w:r w:rsidR="00940B1F" w:rsidRPr="00E839AC">
        <w:rPr>
          <w:rFonts w:ascii="Times New Roman" w:hAnsi="Times New Roman" w:cs="Times New Roman"/>
        </w:rPr>
        <w:t>”</w:t>
      </w:r>
      <w:r w:rsidR="00365D90" w:rsidRPr="00E839AC">
        <w:rPr>
          <w:rFonts w:ascii="Times New Roman" w:hAnsi="Times New Roman" w:cs="Times New Roman"/>
        </w:rPr>
        <w:t xml:space="preserve"> (p.29)</w:t>
      </w:r>
      <w:r w:rsidR="00005253" w:rsidRPr="00E839AC">
        <w:rPr>
          <w:rFonts w:ascii="Times New Roman" w:hAnsi="Times New Roman" w:cs="Times New Roman"/>
        </w:rPr>
        <w:t xml:space="preserve">. This departure has permitted the </w:t>
      </w:r>
      <w:r w:rsidR="005E353E" w:rsidRPr="00E839AC">
        <w:rPr>
          <w:rFonts w:ascii="Times New Roman" w:hAnsi="Times New Roman" w:cs="Times New Roman"/>
        </w:rPr>
        <w:t>growth of</w:t>
      </w:r>
      <w:r w:rsidR="00005253" w:rsidRPr="00E839AC">
        <w:rPr>
          <w:rFonts w:ascii="Times New Roman" w:hAnsi="Times New Roman" w:cs="Times New Roman"/>
        </w:rPr>
        <w:t xml:space="preserve"> </w:t>
      </w:r>
      <w:r w:rsidR="001E3108">
        <w:rPr>
          <w:rFonts w:ascii="Times New Roman" w:hAnsi="Times New Roman" w:cs="Times New Roman"/>
        </w:rPr>
        <w:t xml:space="preserve">the </w:t>
      </w:r>
      <w:r w:rsidR="00005253" w:rsidRPr="00E839AC">
        <w:rPr>
          <w:rFonts w:ascii="Times New Roman" w:hAnsi="Times New Roman" w:cs="Times New Roman"/>
        </w:rPr>
        <w:t>defendant</w:t>
      </w:r>
      <w:r w:rsidR="005E353E" w:rsidRPr="00E839AC">
        <w:rPr>
          <w:rFonts w:ascii="Times New Roman" w:hAnsi="Times New Roman" w:cs="Times New Roman"/>
        </w:rPr>
        <w:t>’s</w:t>
      </w:r>
      <w:r w:rsidR="00005253" w:rsidRPr="00E839AC">
        <w:rPr>
          <w:rFonts w:ascii="Times New Roman" w:hAnsi="Times New Roman" w:cs="Times New Roman"/>
        </w:rPr>
        <w:t xml:space="preserve"> obligation to participate in the </w:t>
      </w:r>
      <w:r w:rsidR="005E353E" w:rsidRPr="00E839AC">
        <w:rPr>
          <w:rFonts w:ascii="Times New Roman" w:hAnsi="Times New Roman" w:cs="Times New Roman"/>
        </w:rPr>
        <w:t xml:space="preserve">process. </w:t>
      </w:r>
    </w:p>
    <w:p w14:paraId="21F75D80" w14:textId="77777777" w:rsidR="001E3108" w:rsidRDefault="001E3108" w:rsidP="002D76A6">
      <w:pPr>
        <w:jc w:val="both"/>
        <w:rPr>
          <w:rFonts w:ascii="Times New Roman" w:hAnsi="Times New Roman" w:cs="Times New Roman"/>
        </w:rPr>
      </w:pPr>
    </w:p>
    <w:p w14:paraId="42970B37" w14:textId="2462373A" w:rsidR="002C2C62" w:rsidRPr="00E839AC" w:rsidRDefault="002C2C62" w:rsidP="002D76A6">
      <w:pPr>
        <w:jc w:val="both"/>
        <w:rPr>
          <w:rFonts w:ascii="Times New Roman" w:hAnsi="Times New Roman" w:cs="Times New Roman"/>
        </w:rPr>
      </w:pPr>
      <w:r w:rsidRPr="00E839AC">
        <w:rPr>
          <w:rFonts w:ascii="Times New Roman" w:hAnsi="Times New Roman" w:cs="Times New Roman"/>
        </w:rPr>
        <w:t>Chapter Three</w:t>
      </w:r>
      <w:r w:rsidR="005E353E" w:rsidRPr="00E839AC">
        <w:rPr>
          <w:rFonts w:ascii="Times New Roman" w:hAnsi="Times New Roman" w:cs="Times New Roman"/>
        </w:rPr>
        <w:t xml:space="preserve"> uses </w:t>
      </w:r>
      <w:r w:rsidR="001D11A9" w:rsidRPr="00E839AC">
        <w:rPr>
          <w:rFonts w:ascii="Times New Roman" w:hAnsi="Times New Roman" w:cs="Times New Roman"/>
        </w:rPr>
        <w:t xml:space="preserve">classic </w:t>
      </w:r>
      <w:r w:rsidR="002B02AD" w:rsidRPr="00E839AC">
        <w:rPr>
          <w:rFonts w:ascii="Times New Roman" w:hAnsi="Times New Roman" w:cs="Times New Roman"/>
        </w:rPr>
        <w:t>analytical</w:t>
      </w:r>
      <w:r w:rsidR="005E353E" w:rsidRPr="00E839AC">
        <w:rPr>
          <w:rFonts w:ascii="Times New Roman" w:hAnsi="Times New Roman" w:cs="Times New Roman"/>
        </w:rPr>
        <w:t xml:space="preserve"> approache</w:t>
      </w:r>
      <w:r w:rsidR="001D11A9" w:rsidRPr="00E839AC">
        <w:rPr>
          <w:rFonts w:ascii="Times New Roman" w:hAnsi="Times New Roman" w:cs="Times New Roman"/>
        </w:rPr>
        <w:t xml:space="preserve">s to examine the way England and Wales ‘do’ criminal procedure – i.e. adversarialism/inquisitorialism and </w:t>
      </w:r>
      <w:r w:rsidRPr="00E839AC">
        <w:rPr>
          <w:rFonts w:ascii="Times New Roman" w:hAnsi="Times New Roman" w:cs="Times New Roman"/>
        </w:rPr>
        <w:t>Herbert Packer’s models of Due P</w:t>
      </w:r>
      <w:r w:rsidR="001D11A9" w:rsidRPr="00E839AC">
        <w:rPr>
          <w:rFonts w:ascii="Times New Roman" w:hAnsi="Times New Roman" w:cs="Times New Roman"/>
        </w:rPr>
        <w:t xml:space="preserve">rocess and </w:t>
      </w:r>
      <w:r w:rsidRPr="00E839AC">
        <w:rPr>
          <w:rFonts w:ascii="Times New Roman" w:hAnsi="Times New Roman" w:cs="Times New Roman"/>
        </w:rPr>
        <w:t>Crime C</w:t>
      </w:r>
      <w:r w:rsidR="001D11A9" w:rsidRPr="00E839AC">
        <w:rPr>
          <w:rFonts w:ascii="Times New Roman" w:hAnsi="Times New Roman" w:cs="Times New Roman"/>
        </w:rPr>
        <w:t xml:space="preserve">ontrol. </w:t>
      </w:r>
      <w:r w:rsidRPr="00E839AC">
        <w:rPr>
          <w:rFonts w:ascii="Times New Roman" w:hAnsi="Times New Roman" w:cs="Times New Roman"/>
        </w:rPr>
        <w:t>The chapter</w:t>
      </w:r>
      <w:r w:rsidR="001D11A9" w:rsidRPr="00E839AC">
        <w:rPr>
          <w:rFonts w:ascii="Times New Roman" w:hAnsi="Times New Roman" w:cs="Times New Roman"/>
        </w:rPr>
        <w:t xml:space="preserve"> reaches an interesting conclusion by stating that adversarialism, a mix of adversarialism/inquisitorialism, or a new form of process centring on managerialist goals do not adequately reflect the participatory nature of the modern criminal process</w:t>
      </w:r>
      <w:r w:rsidR="00FC32EA" w:rsidRPr="00E839AC">
        <w:rPr>
          <w:rFonts w:ascii="Times New Roman" w:hAnsi="Times New Roman" w:cs="Times New Roman"/>
        </w:rPr>
        <w:t xml:space="preserve"> in England and Wales</w:t>
      </w:r>
      <w:r w:rsidR="001D11A9" w:rsidRPr="00E839AC">
        <w:rPr>
          <w:rFonts w:ascii="Times New Roman" w:hAnsi="Times New Roman" w:cs="Times New Roman"/>
        </w:rPr>
        <w:t xml:space="preserve">. Owusu-Bempah suggests that the role the defendant plays in the process </w:t>
      </w:r>
      <w:r w:rsidR="00FC32EA" w:rsidRPr="00E839AC">
        <w:rPr>
          <w:rFonts w:ascii="Times New Roman" w:hAnsi="Times New Roman" w:cs="Times New Roman"/>
        </w:rPr>
        <w:t>informs</w:t>
      </w:r>
      <w:r w:rsidR="001D11A9" w:rsidRPr="00E839AC">
        <w:rPr>
          <w:rFonts w:ascii="Times New Roman" w:hAnsi="Times New Roman" w:cs="Times New Roman"/>
        </w:rPr>
        <w:t xml:space="preserve"> us </w:t>
      </w:r>
      <w:r w:rsidR="00FC32EA" w:rsidRPr="00E839AC">
        <w:rPr>
          <w:rFonts w:ascii="Times New Roman" w:hAnsi="Times New Roman" w:cs="Times New Roman"/>
        </w:rPr>
        <w:t xml:space="preserve">of </w:t>
      </w:r>
      <w:r w:rsidR="001D11A9" w:rsidRPr="00E839AC">
        <w:rPr>
          <w:rFonts w:ascii="Times New Roman" w:hAnsi="Times New Roman" w:cs="Times New Roman"/>
        </w:rPr>
        <w:t>the extent to which fairness and respect of defence rights are valued. She draws an early conclusion that the pursuit of efficient fact-finding has taken precedence over fairness and respect for voluntary participation in the criminal process</w:t>
      </w:r>
      <w:r w:rsidR="00A17AD8" w:rsidRPr="00E839AC">
        <w:rPr>
          <w:rFonts w:ascii="Times New Roman" w:hAnsi="Times New Roman" w:cs="Times New Roman"/>
        </w:rPr>
        <w:t xml:space="preserve"> </w:t>
      </w:r>
      <w:r w:rsidR="001D11A9" w:rsidRPr="00E839AC">
        <w:rPr>
          <w:rFonts w:ascii="Times New Roman" w:hAnsi="Times New Roman" w:cs="Times New Roman"/>
        </w:rPr>
        <w:t xml:space="preserve">(p.49). </w:t>
      </w:r>
    </w:p>
    <w:p w14:paraId="1441049A" w14:textId="77777777" w:rsidR="002C2C62" w:rsidRPr="00E839AC" w:rsidRDefault="002C2C62" w:rsidP="002D76A6">
      <w:pPr>
        <w:jc w:val="both"/>
        <w:rPr>
          <w:rFonts w:ascii="Times New Roman" w:hAnsi="Times New Roman" w:cs="Times New Roman"/>
        </w:rPr>
      </w:pPr>
    </w:p>
    <w:p w14:paraId="3AF73AE8" w14:textId="4AC4125F" w:rsidR="00FB6C7A" w:rsidRPr="00E839AC" w:rsidRDefault="00883578" w:rsidP="002D76A6">
      <w:pPr>
        <w:jc w:val="both"/>
        <w:rPr>
          <w:rFonts w:ascii="Times New Roman" w:hAnsi="Times New Roman" w:cs="Times New Roman"/>
        </w:rPr>
      </w:pPr>
      <w:r w:rsidRPr="00E839AC">
        <w:rPr>
          <w:rFonts w:ascii="Times New Roman" w:hAnsi="Times New Roman" w:cs="Times New Roman"/>
        </w:rPr>
        <w:t xml:space="preserve">Chapter 4 </w:t>
      </w:r>
      <w:r w:rsidR="00D95830" w:rsidRPr="00E839AC">
        <w:rPr>
          <w:rFonts w:ascii="Times New Roman" w:hAnsi="Times New Roman" w:cs="Times New Roman"/>
        </w:rPr>
        <w:t>contrasts</w:t>
      </w:r>
      <w:r w:rsidRPr="00E839AC">
        <w:rPr>
          <w:rFonts w:ascii="Times New Roman" w:hAnsi="Times New Roman" w:cs="Times New Roman"/>
        </w:rPr>
        <w:t xml:space="preserve"> </w:t>
      </w:r>
      <w:r w:rsidR="00FC32EA" w:rsidRPr="00E839AC">
        <w:rPr>
          <w:rFonts w:ascii="Times New Roman" w:hAnsi="Times New Roman" w:cs="Times New Roman"/>
        </w:rPr>
        <w:t xml:space="preserve">Owusu-Bempah’s </w:t>
      </w:r>
      <w:r w:rsidRPr="00E839AC">
        <w:rPr>
          <w:rFonts w:ascii="Times New Roman" w:hAnsi="Times New Roman" w:cs="Times New Roman"/>
        </w:rPr>
        <w:t xml:space="preserve">‘calling to account’ theory with </w:t>
      </w:r>
      <w:r w:rsidR="002C2C62" w:rsidRPr="00E839AC">
        <w:rPr>
          <w:rFonts w:ascii="Times New Roman" w:hAnsi="Times New Roman" w:cs="Times New Roman"/>
        </w:rPr>
        <w:t>an</w:t>
      </w:r>
      <w:r w:rsidRPr="00E839AC">
        <w:rPr>
          <w:rFonts w:ascii="Times New Roman" w:hAnsi="Times New Roman" w:cs="Times New Roman"/>
        </w:rPr>
        <w:t xml:space="preserve"> alternative idea that the defendant </w:t>
      </w:r>
      <w:r w:rsidRPr="00E839AC">
        <w:rPr>
          <w:rFonts w:ascii="Times New Roman" w:hAnsi="Times New Roman" w:cs="Times New Roman"/>
          <w:i/>
        </w:rPr>
        <w:t xml:space="preserve">should </w:t>
      </w:r>
      <w:r w:rsidRPr="00E839AC">
        <w:rPr>
          <w:rFonts w:ascii="Times New Roman" w:hAnsi="Times New Roman" w:cs="Times New Roman"/>
        </w:rPr>
        <w:t>participate in the criminal process</w:t>
      </w:r>
      <w:r w:rsidR="002C2C62" w:rsidRPr="00E839AC">
        <w:rPr>
          <w:rFonts w:ascii="Times New Roman" w:hAnsi="Times New Roman" w:cs="Times New Roman"/>
        </w:rPr>
        <w:t xml:space="preserve">, </w:t>
      </w:r>
      <w:r w:rsidR="00FC32EA" w:rsidRPr="00E839AC">
        <w:rPr>
          <w:rFonts w:ascii="Times New Roman" w:hAnsi="Times New Roman" w:cs="Times New Roman"/>
        </w:rPr>
        <w:t>a concept</w:t>
      </w:r>
      <w:r w:rsidR="002C2C62" w:rsidRPr="00E839AC">
        <w:rPr>
          <w:rFonts w:ascii="Times New Roman" w:hAnsi="Times New Roman" w:cs="Times New Roman"/>
        </w:rPr>
        <w:t xml:space="preserve"> advanced by Duff et al in their </w:t>
      </w:r>
      <w:r w:rsidR="002C2C62" w:rsidRPr="00E839AC">
        <w:rPr>
          <w:rFonts w:ascii="Times New Roman" w:hAnsi="Times New Roman" w:cs="Times New Roman"/>
          <w:i/>
        </w:rPr>
        <w:t xml:space="preserve">Trial on Trial </w:t>
      </w:r>
      <w:r w:rsidR="002C2C62" w:rsidRPr="00E839AC">
        <w:rPr>
          <w:rFonts w:ascii="Times New Roman" w:hAnsi="Times New Roman" w:cs="Times New Roman"/>
        </w:rPr>
        <w:t>series</w:t>
      </w:r>
      <w:r w:rsidRPr="00E839AC">
        <w:rPr>
          <w:rFonts w:ascii="Times New Roman" w:hAnsi="Times New Roman" w:cs="Times New Roman"/>
        </w:rPr>
        <w:t xml:space="preserve">. </w:t>
      </w:r>
      <w:r w:rsidR="00BE36F8" w:rsidRPr="00E839AC">
        <w:rPr>
          <w:rFonts w:ascii="Times New Roman" w:hAnsi="Times New Roman" w:cs="Times New Roman"/>
        </w:rPr>
        <w:t xml:space="preserve">This </w:t>
      </w:r>
      <w:r w:rsidR="0066535A" w:rsidRPr="00E839AC">
        <w:rPr>
          <w:rFonts w:ascii="Times New Roman" w:hAnsi="Times New Roman" w:cs="Times New Roman"/>
        </w:rPr>
        <w:t xml:space="preserve">idea </w:t>
      </w:r>
      <w:r w:rsidR="00D95830" w:rsidRPr="00E839AC">
        <w:rPr>
          <w:rFonts w:ascii="Times New Roman" w:hAnsi="Times New Roman" w:cs="Times New Roman"/>
        </w:rPr>
        <w:t>centres</w:t>
      </w:r>
      <w:r w:rsidR="0066535A" w:rsidRPr="00E839AC">
        <w:rPr>
          <w:rFonts w:ascii="Times New Roman" w:hAnsi="Times New Roman" w:cs="Times New Roman"/>
        </w:rPr>
        <w:t xml:space="preserve"> on the notion that the defendant should be called to account for his criminal </w:t>
      </w:r>
      <w:r w:rsidR="00FC32EA" w:rsidRPr="00E839AC">
        <w:rPr>
          <w:rFonts w:ascii="Times New Roman" w:hAnsi="Times New Roman" w:cs="Times New Roman"/>
        </w:rPr>
        <w:t>wrongdoing</w:t>
      </w:r>
      <w:r w:rsidR="0066535A" w:rsidRPr="00E839AC">
        <w:rPr>
          <w:rFonts w:ascii="Times New Roman" w:hAnsi="Times New Roman" w:cs="Times New Roman"/>
        </w:rPr>
        <w:t xml:space="preserve"> (p.51). </w:t>
      </w:r>
      <w:r w:rsidR="00D95830" w:rsidRPr="00E839AC">
        <w:rPr>
          <w:rFonts w:ascii="Times New Roman" w:hAnsi="Times New Roman" w:cs="Times New Roman"/>
        </w:rPr>
        <w:t xml:space="preserve">By offering a brief overview of the origins of the adversarial criminal trial, the author outlines </w:t>
      </w:r>
      <w:r w:rsidR="00C31696" w:rsidRPr="00E839AC">
        <w:rPr>
          <w:rFonts w:ascii="Times New Roman" w:hAnsi="Times New Roman" w:cs="Times New Roman"/>
        </w:rPr>
        <w:t xml:space="preserve">why the defendant should not be compelled to participate in an adversarial criminal justice process. </w:t>
      </w:r>
      <w:r w:rsidR="00D95830" w:rsidRPr="00E839AC">
        <w:rPr>
          <w:rFonts w:ascii="Times New Roman" w:hAnsi="Times New Roman" w:cs="Times New Roman"/>
        </w:rPr>
        <w:t xml:space="preserve">She argues that an adversarial process, which is predicated on testing and probing the case of the prosecution cannot easily be reconciled with the compelled participation of the defendant. Whilst the tracing of the origins of the adversarial trial does not unearth a normative theoretical process, the participation of the defendant in the criminal process must be a choice, </w:t>
      </w:r>
      <w:r w:rsidR="002C2C62" w:rsidRPr="00E839AC">
        <w:rPr>
          <w:rFonts w:ascii="Times New Roman" w:hAnsi="Times New Roman" w:cs="Times New Roman"/>
        </w:rPr>
        <w:t>rather than</w:t>
      </w:r>
      <w:r w:rsidR="00D95830" w:rsidRPr="00E839AC">
        <w:rPr>
          <w:rFonts w:ascii="Times New Roman" w:hAnsi="Times New Roman" w:cs="Times New Roman"/>
        </w:rPr>
        <w:t xml:space="preserve"> a compulsion. </w:t>
      </w:r>
    </w:p>
    <w:p w14:paraId="172AB902" w14:textId="77777777" w:rsidR="00D06908" w:rsidRPr="00E839AC" w:rsidRDefault="00D06908" w:rsidP="002D76A6">
      <w:pPr>
        <w:jc w:val="both"/>
        <w:rPr>
          <w:rFonts w:ascii="Times New Roman" w:hAnsi="Times New Roman" w:cs="Times New Roman"/>
        </w:rPr>
      </w:pPr>
    </w:p>
    <w:p w14:paraId="5D083D71" w14:textId="2F141E34" w:rsidR="00D06908" w:rsidRPr="00E839AC" w:rsidRDefault="00820161" w:rsidP="002D76A6">
      <w:pPr>
        <w:jc w:val="both"/>
        <w:rPr>
          <w:rFonts w:ascii="Times New Roman" w:hAnsi="Times New Roman" w:cs="Times New Roman"/>
        </w:rPr>
      </w:pPr>
      <w:r w:rsidRPr="00E839AC">
        <w:rPr>
          <w:rFonts w:ascii="Times New Roman" w:hAnsi="Times New Roman" w:cs="Times New Roman"/>
        </w:rPr>
        <w:t xml:space="preserve">With the completion of the normative </w:t>
      </w:r>
      <w:r w:rsidR="00C84DC2" w:rsidRPr="00E839AC">
        <w:rPr>
          <w:rFonts w:ascii="Times New Roman" w:hAnsi="Times New Roman" w:cs="Times New Roman"/>
        </w:rPr>
        <w:t xml:space="preserve">work at the conclusion of Chapter </w:t>
      </w:r>
      <w:r w:rsidR="003B36FA" w:rsidRPr="00E839AC">
        <w:rPr>
          <w:rFonts w:ascii="Times New Roman" w:hAnsi="Times New Roman" w:cs="Times New Roman"/>
        </w:rPr>
        <w:t>Four</w:t>
      </w:r>
      <w:r w:rsidR="00940B1F" w:rsidRPr="00E839AC">
        <w:rPr>
          <w:rFonts w:ascii="Times New Roman" w:hAnsi="Times New Roman" w:cs="Times New Roman"/>
        </w:rPr>
        <w:t>, t</w:t>
      </w:r>
      <w:r w:rsidR="00C84DC2" w:rsidRPr="00E839AC">
        <w:rPr>
          <w:rFonts w:ascii="Times New Roman" w:hAnsi="Times New Roman" w:cs="Times New Roman"/>
        </w:rPr>
        <w:t>he remaining chapters examine the privile</w:t>
      </w:r>
      <w:r w:rsidR="003B36FA" w:rsidRPr="00E839AC">
        <w:rPr>
          <w:rFonts w:ascii="Times New Roman" w:hAnsi="Times New Roman" w:cs="Times New Roman"/>
        </w:rPr>
        <w:t xml:space="preserve">ge against self-incrimination (Chapter Five), the </w:t>
      </w:r>
      <w:r w:rsidR="00940B1F" w:rsidRPr="00E839AC">
        <w:rPr>
          <w:rFonts w:ascii="Times New Roman" w:hAnsi="Times New Roman" w:cs="Times New Roman"/>
        </w:rPr>
        <w:t>r</w:t>
      </w:r>
      <w:r w:rsidR="003B36FA" w:rsidRPr="00E839AC">
        <w:rPr>
          <w:rFonts w:ascii="Times New Roman" w:hAnsi="Times New Roman" w:cs="Times New Roman"/>
        </w:rPr>
        <w:t>ight to silence (C</w:t>
      </w:r>
      <w:r w:rsidR="00C84DC2" w:rsidRPr="00E839AC">
        <w:rPr>
          <w:rFonts w:ascii="Times New Roman" w:hAnsi="Times New Roman" w:cs="Times New Roman"/>
        </w:rPr>
        <w:t xml:space="preserve">hapter </w:t>
      </w:r>
      <w:r w:rsidR="003B36FA" w:rsidRPr="00E839AC">
        <w:rPr>
          <w:rFonts w:ascii="Times New Roman" w:hAnsi="Times New Roman" w:cs="Times New Roman"/>
        </w:rPr>
        <w:t>Six) and disclosure (C</w:t>
      </w:r>
      <w:r w:rsidR="00C84DC2" w:rsidRPr="00E839AC">
        <w:rPr>
          <w:rFonts w:ascii="Times New Roman" w:hAnsi="Times New Roman" w:cs="Times New Roman"/>
        </w:rPr>
        <w:t xml:space="preserve">hapter </w:t>
      </w:r>
      <w:r w:rsidR="003B36FA" w:rsidRPr="00E839AC">
        <w:rPr>
          <w:rFonts w:ascii="Times New Roman" w:hAnsi="Times New Roman" w:cs="Times New Roman"/>
        </w:rPr>
        <w:t>Seven</w:t>
      </w:r>
      <w:r w:rsidR="00C84DC2" w:rsidRPr="00E839AC">
        <w:rPr>
          <w:rFonts w:ascii="Times New Roman" w:hAnsi="Times New Roman" w:cs="Times New Roman"/>
        </w:rPr>
        <w:t xml:space="preserve">). </w:t>
      </w:r>
      <w:r w:rsidR="00B166C0" w:rsidRPr="00E839AC">
        <w:rPr>
          <w:rFonts w:ascii="Times New Roman" w:hAnsi="Times New Roman" w:cs="Times New Roman"/>
        </w:rPr>
        <w:t xml:space="preserve">It </w:t>
      </w:r>
      <w:r w:rsidR="00FC32EA" w:rsidRPr="00E839AC">
        <w:rPr>
          <w:rFonts w:ascii="Times New Roman" w:hAnsi="Times New Roman" w:cs="Times New Roman"/>
        </w:rPr>
        <w:t>is of</w:t>
      </w:r>
      <w:r w:rsidR="00C31696" w:rsidRPr="00E839AC">
        <w:rPr>
          <w:rFonts w:ascii="Times New Roman" w:hAnsi="Times New Roman" w:cs="Times New Roman"/>
        </w:rPr>
        <w:t xml:space="preserve"> </w:t>
      </w:r>
      <w:r w:rsidR="00B166C0" w:rsidRPr="00E839AC">
        <w:rPr>
          <w:rFonts w:ascii="Times New Roman" w:hAnsi="Times New Roman" w:cs="Times New Roman"/>
        </w:rPr>
        <w:t xml:space="preserve">no surprise that Owusu-Bempah calls for an overhaul </w:t>
      </w:r>
      <w:r w:rsidR="00940B1F" w:rsidRPr="00E839AC">
        <w:rPr>
          <w:rFonts w:ascii="Times New Roman" w:hAnsi="Times New Roman" w:cs="Times New Roman"/>
        </w:rPr>
        <w:t>of the law regarding</w:t>
      </w:r>
      <w:r w:rsidR="00B166C0" w:rsidRPr="00E839AC">
        <w:rPr>
          <w:rFonts w:ascii="Times New Roman" w:hAnsi="Times New Roman" w:cs="Times New Roman"/>
        </w:rPr>
        <w:t xml:space="preserve"> the privilege against self-incrimination. </w:t>
      </w:r>
      <w:r w:rsidR="00F95DFE" w:rsidRPr="00E839AC">
        <w:rPr>
          <w:rFonts w:ascii="Times New Roman" w:hAnsi="Times New Roman" w:cs="Times New Roman"/>
        </w:rPr>
        <w:t>The author notes that th</w:t>
      </w:r>
      <w:r w:rsidR="00940B1F" w:rsidRPr="00E839AC">
        <w:rPr>
          <w:rFonts w:ascii="Times New Roman" w:hAnsi="Times New Roman" w:cs="Times New Roman"/>
        </w:rPr>
        <w:t xml:space="preserve">e privilege </w:t>
      </w:r>
      <w:r w:rsidR="00F95DFE" w:rsidRPr="00E839AC">
        <w:rPr>
          <w:rFonts w:ascii="Times New Roman" w:hAnsi="Times New Roman" w:cs="Times New Roman"/>
        </w:rPr>
        <w:t xml:space="preserve">would be difficult to </w:t>
      </w:r>
      <w:r w:rsidR="00E16006">
        <w:rPr>
          <w:rFonts w:ascii="Times New Roman" w:hAnsi="Times New Roman" w:cs="Times New Roman"/>
        </w:rPr>
        <w:t xml:space="preserve">extend to </w:t>
      </w:r>
      <w:r w:rsidR="00F95DFE" w:rsidRPr="00E839AC">
        <w:rPr>
          <w:rFonts w:ascii="Times New Roman" w:hAnsi="Times New Roman" w:cs="Times New Roman"/>
        </w:rPr>
        <w:t>all situations</w:t>
      </w:r>
      <w:r w:rsidR="00E66F38" w:rsidRPr="00E839AC">
        <w:rPr>
          <w:rFonts w:ascii="Times New Roman" w:hAnsi="Times New Roman" w:cs="Times New Roman"/>
        </w:rPr>
        <w:t>,</w:t>
      </w:r>
      <w:r w:rsidR="00F95DFE" w:rsidRPr="00E839AC">
        <w:rPr>
          <w:rFonts w:ascii="Times New Roman" w:hAnsi="Times New Roman" w:cs="Times New Roman"/>
        </w:rPr>
        <w:t xml:space="preserve"> so calls for </w:t>
      </w:r>
      <w:r w:rsidR="003B36FA" w:rsidRPr="00E839AC">
        <w:rPr>
          <w:rFonts w:ascii="Times New Roman" w:hAnsi="Times New Roman" w:cs="Times New Roman"/>
        </w:rPr>
        <w:t xml:space="preserve">the creation of a </w:t>
      </w:r>
      <w:r w:rsidR="00F95DFE" w:rsidRPr="00E839AC">
        <w:rPr>
          <w:rFonts w:ascii="Times New Roman" w:hAnsi="Times New Roman" w:cs="Times New Roman"/>
        </w:rPr>
        <w:t xml:space="preserve">‘regulatory regime’ </w:t>
      </w:r>
      <w:r w:rsidR="00FA210B" w:rsidRPr="00E839AC">
        <w:rPr>
          <w:rFonts w:ascii="Times New Roman" w:hAnsi="Times New Roman" w:cs="Times New Roman"/>
        </w:rPr>
        <w:t xml:space="preserve">concerning motor </w:t>
      </w:r>
      <w:r w:rsidR="00891B08" w:rsidRPr="00E839AC">
        <w:rPr>
          <w:rFonts w:ascii="Times New Roman" w:hAnsi="Times New Roman" w:cs="Times New Roman"/>
        </w:rPr>
        <w:t>vehicle</w:t>
      </w:r>
      <w:r w:rsidR="00FA210B" w:rsidRPr="00E839AC">
        <w:rPr>
          <w:rFonts w:ascii="Times New Roman" w:hAnsi="Times New Roman" w:cs="Times New Roman"/>
        </w:rPr>
        <w:t xml:space="preserve"> offences. This regime </w:t>
      </w:r>
      <w:r w:rsidR="00E32BE8" w:rsidRPr="00E839AC">
        <w:rPr>
          <w:rFonts w:ascii="Times New Roman" w:hAnsi="Times New Roman" w:cs="Times New Roman"/>
        </w:rPr>
        <w:t xml:space="preserve">would </w:t>
      </w:r>
      <w:r w:rsidR="00E16006">
        <w:rPr>
          <w:rFonts w:ascii="Times New Roman" w:hAnsi="Times New Roman" w:cs="Times New Roman"/>
        </w:rPr>
        <w:t>notify d</w:t>
      </w:r>
      <w:r w:rsidR="00E32BE8" w:rsidRPr="00E839AC">
        <w:rPr>
          <w:rFonts w:ascii="Times New Roman" w:hAnsi="Times New Roman" w:cs="Times New Roman"/>
        </w:rPr>
        <w:t xml:space="preserve">rivers that they may be required to incriminate themselves </w:t>
      </w:r>
      <w:r w:rsidR="005B058D" w:rsidRPr="00E839AC">
        <w:rPr>
          <w:rFonts w:ascii="Times New Roman" w:hAnsi="Times New Roman" w:cs="Times New Roman"/>
        </w:rPr>
        <w:t xml:space="preserve">only </w:t>
      </w:r>
      <w:r w:rsidR="00C04A31">
        <w:rPr>
          <w:rFonts w:ascii="Times New Roman" w:hAnsi="Times New Roman" w:cs="Times New Roman"/>
        </w:rPr>
        <w:t>in</w:t>
      </w:r>
      <w:r w:rsidR="00891B08" w:rsidRPr="00E839AC">
        <w:rPr>
          <w:rFonts w:ascii="Times New Roman" w:hAnsi="Times New Roman" w:cs="Times New Roman"/>
        </w:rPr>
        <w:t xml:space="preserve"> </w:t>
      </w:r>
      <w:r w:rsidR="005B058D" w:rsidRPr="00E839AC">
        <w:rPr>
          <w:rFonts w:ascii="Times New Roman" w:hAnsi="Times New Roman" w:cs="Times New Roman"/>
        </w:rPr>
        <w:t xml:space="preserve">the following </w:t>
      </w:r>
      <w:r w:rsidR="00891B08" w:rsidRPr="00E839AC">
        <w:rPr>
          <w:rFonts w:ascii="Times New Roman" w:hAnsi="Times New Roman" w:cs="Times New Roman"/>
        </w:rPr>
        <w:t xml:space="preserve">circumstances: </w:t>
      </w:r>
    </w:p>
    <w:p w14:paraId="11F97C13" w14:textId="77777777" w:rsidR="000A68AD" w:rsidRPr="00E839AC" w:rsidRDefault="000A68AD" w:rsidP="002D76A6">
      <w:pPr>
        <w:jc w:val="both"/>
        <w:rPr>
          <w:rFonts w:ascii="Times New Roman" w:hAnsi="Times New Roman" w:cs="Times New Roman"/>
        </w:rPr>
      </w:pPr>
    </w:p>
    <w:p w14:paraId="3D1473D8" w14:textId="06EBA6D1" w:rsidR="00891B08" w:rsidRPr="00E839AC" w:rsidRDefault="00891B08" w:rsidP="00891B08">
      <w:pPr>
        <w:pStyle w:val="ListParagraph"/>
        <w:numPr>
          <w:ilvl w:val="0"/>
          <w:numId w:val="1"/>
        </w:numPr>
        <w:jc w:val="both"/>
        <w:rPr>
          <w:rFonts w:ascii="Times New Roman" w:hAnsi="Times New Roman" w:cs="Times New Roman"/>
        </w:rPr>
      </w:pPr>
      <w:r w:rsidRPr="00E839AC">
        <w:rPr>
          <w:rFonts w:ascii="Times New Roman" w:hAnsi="Times New Roman" w:cs="Times New Roman"/>
        </w:rPr>
        <w:t xml:space="preserve">The individual made a voluntary </w:t>
      </w:r>
      <w:r w:rsidR="00BD51E1" w:rsidRPr="00E839AC">
        <w:rPr>
          <w:rFonts w:ascii="Times New Roman" w:hAnsi="Times New Roman" w:cs="Times New Roman"/>
        </w:rPr>
        <w:t>decision</w:t>
      </w:r>
      <w:r w:rsidRPr="00E839AC">
        <w:rPr>
          <w:rFonts w:ascii="Times New Roman" w:hAnsi="Times New Roman" w:cs="Times New Roman"/>
        </w:rPr>
        <w:t xml:space="preserve"> to enter into a particular regulated authority</w:t>
      </w:r>
      <w:r w:rsidR="00C31696" w:rsidRPr="00E839AC">
        <w:rPr>
          <w:rFonts w:ascii="Times New Roman" w:hAnsi="Times New Roman" w:cs="Times New Roman"/>
        </w:rPr>
        <w:t>;</w:t>
      </w:r>
      <w:r w:rsidRPr="00E839AC">
        <w:rPr>
          <w:rFonts w:ascii="Times New Roman" w:hAnsi="Times New Roman" w:cs="Times New Roman"/>
        </w:rPr>
        <w:t xml:space="preserve"> </w:t>
      </w:r>
    </w:p>
    <w:p w14:paraId="73A08188" w14:textId="1FD8FEB1" w:rsidR="00891B08" w:rsidRPr="00E839AC" w:rsidRDefault="00891B08" w:rsidP="00891B08">
      <w:pPr>
        <w:pStyle w:val="ListParagraph"/>
        <w:numPr>
          <w:ilvl w:val="0"/>
          <w:numId w:val="1"/>
        </w:numPr>
        <w:jc w:val="both"/>
        <w:rPr>
          <w:rFonts w:ascii="Times New Roman" w:hAnsi="Times New Roman" w:cs="Times New Roman"/>
        </w:rPr>
      </w:pPr>
      <w:r w:rsidRPr="00E839AC">
        <w:rPr>
          <w:rFonts w:ascii="Times New Roman" w:hAnsi="Times New Roman" w:cs="Times New Roman"/>
        </w:rPr>
        <w:t xml:space="preserve">The regulation of the activity is enforced through criminal </w:t>
      </w:r>
      <w:r w:rsidR="005B058D" w:rsidRPr="00E839AC">
        <w:rPr>
          <w:rFonts w:ascii="Times New Roman" w:hAnsi="Times New Roman" w:cs="Times New Roman"/>
        </w:rPr>
        <w:t>offences</w:t>
      </w:r>
      <w:r w:rsidRPr="00E839AC">
        <w:rPr>
          <w:rFonts w:ascii="Times New Roman" w:hAnsi="Times New Roman" w:cs="Times New Roman"/>
        </w:rPr>
        <w:t xml:space="preserve"> which would be impractical to prosecute without the individual’s co-operation (i.e. </w:t>
      </w:r>
      <w:r w:rsidR="00312B80" w:rsidRPr="00E839AC">
        <w:rPr>
          <w:rFonts w:ascii="Times New Roman" w:hAnsi="Times New Roman" w:cs="Times New Roman"/>
        </w:rPr>
        <w:t xml:space="preserve">she gives the example of </w:t>
      </w:r>
      <w:r w:rsidRPr="00E839AC">
        <w:rPr>
          <w:rFonts w:ascii="Times New Roman" w:hAnsi="Times New Roman" w:cs="Times New Roman"/>
        </w:rPr>
        <w:t>driving u</w:t>
      </w:r>
      <w:r w:rsidR="00C31696" w:rsidRPr="00E839AC">
        <w:rPr>
          <w:rFonts w:ascii="Times New Roman" w:hAnsi="Times New Roman" w:cs="Times New Roman"/>
        </w:rPr>
        <w:t>nder the influence of alcohol);</w:t>
      </w:r>
    </w:p>
    <w:p w14:paraId="1F6D67E2" w14:textId="62AF9907" w:rsidR="00891B08" w:rsidRPr="00E839AC" w:rsidRDefault="00891B08" w:rsidP="00891B08">
      <w:pPr>
        <w:pStyle w:val="ListParagraph"/>
        <w:numPr>
          <w:ilvl w:val="0"/>
          <w:numId w:val="1"/>
        </w:numPr>
        <w:jc w:val="both"/>
        <w:rPr>
          <w:rFonts w:ascii="Times New Roman" w:hAnsi="Times New Roman" w:cs="Times New Roman"/>
        </w:rPr>
      </w:pPr>
      <w:r w:rsidRPr="00E839AC">
        <w:rPr>
          <w:rFonts w:ascii="Times New Roman" w:hAnsi="Times New Roman" w:cs="Times New Roman"/>
        </w:rPr>
        <w:t xml:space="preserve">Before making their decision to enter into the activity the </w:t>
      </w:r>
      <w:r w:rsidR="00774B59" w:rsidRPr="00E839AC">
        <w:rPr>
          <w:rFonts w:ascii="Times New Roman" w:hAnsi="Times New Roman" w:cs="Times New Roman"/>
        </w:rPr>
        <w:t>individual</w:t>
      </w:r>
      <w:r w:rsidRPr="00E839AC">
        <w:rPr>
          <w:rFonts w:ascii="Times New Roman" w:hAnsi="Times New Roman" w:cs="Times New Roman"/>
        </w:rPr>
        <w:t xml:space="preserve"> was expressly informed that, as part of the regulatory regime, he or she may be required to incriminate him or herself later</w:t>
      </w:r>
      <w:r w:rsidR="005B058D" w:rsidRPr="00E839AC">
        <w:rPr>
          <w:rFonts w:ascii="Times New Roman" w:hAnsi="Times New Roman" w:cs="Times New Roman"/>
        </w:rPr>
        <w:t xml:space="preserve"> </w:t>
      </w:r>
      <w:r w:rsidR="00AD37A2" w:rsidRPr="00E839AC">
        <w:rPr>
          <w:rFonts w:ascii="Times New Roman" w:hAnsi="Times New Roman" w:cs="Times New Roman"/>
        </w:rPr>
        <w:t xml:space="preserve">(p.99). </w:t>
      </w:r>
    </w:p>
    <w:p w14:paraId="2D4A8B23" w14:textId="77777777" w:rsidR="00891B08" w:rsidRPr="00E839AC" w:rsidRDefault="00891B08" w:rsidP="00891B08">
      <w:pPr>
        <w:jc w:val="both"/>
        <w:rPr>
          <w:rFonts w:ascii="Times New Roman" w:hAnsi="Times New Roman" w:cs="Times New Roman"/>
        </w:rPr>
      </w:pPr>
    </w:p>
    <w:p w14:paraId="7AEF8F1C" w14:textId="058E7B63" w:rsidR="00891B08" w:rsidRPr="00E839AC" w:rsidRDefault="00891B08" w:rsidP="00891B08">
      <w:pPr>
        <w:jc w:val="both"/>
        <w:rPr>
          <w:rFonts w:ascii="Times New Roman" w:hAnsi="Times New Roman" w:cs="Times New Roman"/>
        </w:rPr>
      </w:pPr>
      <w:r w:rsidRPr="00E839AC">
        <w:rPr>
          <w:rFonts w:ascii="Times New Roman" w:hAnsi="Times New Roman" w:cs="Times New Roman"/>
        </w:rPr>
        <w:lastRenderedPageBreak/>
        <w:t>This interesting approach allows the chapter to reconsider the privilege against self-</w:t>
      </w:r>
      <w:r w:rsidR="00AD37A2" w:rsidRPr="00E839AC">
        <w:rPr>
          <w:rFonts w:ascii="Times New Roman" w:hAnsi="Times New Roman" w:cs="Times New Roman"/>
        </w:rPr>
        <w:t>incrimination</w:t>
      </w:r>
      <w:r w:rsidRPr="00E839AC">
        <w:rPr>
          <w:rFonts w:ascii="Times New Roman" w:hAnsi="Times New Roman" w:cs="Times New Roman"/>
        </w:rPr>
        <w:t xml:space="preserve"> and forcibly </w:t>
      </w:r>
      <w:r w:rsidR="00C31696" w:rsidRPr="00E839AC">
        <w:rPr>
          <w:rFonts w:ascii="Times New Roman" w:hAnsi="Times New Roman" w:cs="Times New Roman"/>
        </w:rPr>
        <w:t xml:space="preserve">reinforce </w:t>
      </w:r>
      <w:r w:rsidRPr="00E839AC">
        <w:rPr>
          <w:rFonts w:ascii="Times New Roman" w:hAnsi="Times New Roman" w:cs="Times New Roman"/>
        </w:rPr>
        <w:t xml:space="preserve">the proposition </w:t>
      </w:r>
      <w:r w:rsidR="00AD37A2" w:rsidRPr="00E839AC">
        <w:rPr>
          <w:rFonts w:ascii="Times New Roman" w:hAnsi="Times New Roman" w:cs="Times New Roman"/>
        </w:rPr>
        <w:t xml:space="preserve">that the accused should </w:t>
      </w:r>
      <w:r w:rsidR="00940B1F" w:rsidRPr="00E839AC">
        <w:rPr>
          <w:rFonts w:ascii="Times New Roman" w:hAnsi="Times New Roman" w:cs="Times New Roman"/>
        </w:rPr>
        <w:t xml:space="preserve">not </w:t>
      </w:r>
      <w:r w:rsidR="00AD37A2" w:rsidRPr="00E839AC">
        <w:rPr>
          <w:rFonts w:ascii="Times New Roman" w:hAnsi="Times New Roman" w:cs="Times New Roman"/>
        </w:rPr>
        <w:t xml:space="preserve">be compelled to supply information to the prosecution, save in very limited circumstances. </w:t>
      </w:r>
    </w:p>
    <w:p w14:paraId="202A0F57" w14:textId="77777777" w:rsidR="00D06908" w:rsidRPr="00E839AC" w:rsidRDefault="00D06908" w:rsidP="002D76A6">
      <w:pPr>
        <w:jc w:val="both"/>
        <w:rPr>
          <w:rFonts w:ascii="Times New Roman" w:hAnsi="Times New Roman" w:cs="Times New Roman"/>
        </w:rPr>
      </w:pPr>
    </w:p>
    <w:p w14:paraId="6F22FA3F" w14:textId="4A8B77B5" w:rsidR="00C04A31" w:rsidRDefault="00375925" w:rsidP="002D76A6">
      <w:pPr>
        <w:jc w:val="both"/>
        <w:rPr>
          <w:rFonts w:ascii="Times New Roman" w:hAnsi="Times New Roman" w:cs="Times New Roman"/>
        </w:rPr>
      </w:pPr>
      <w:r w:rsidRPr="00E839AC">
        <w:rPr>
          <w:rFonts w:ascii="Times New Roman" w:hAnsi="Times New Roman" w:cs="Times New Roman"/>
        </w:rPr>
        <w:t xml:space="preserve">Chapter </w:t>
      </w:r>
      <w:r w:rsidR="00312B80" w:rsidRPr="00E839AC">
        <w:rPr>
          <w:rFonts w:ascii="Times New Roman" w:hAnsi="Times New Roman" w:cs="Times New Roman"/>
        </w:rPr>
        <w:t>Six</w:t>
      </w:r>
      <w:r w:rsidRPr="00E839AC">
        <w:rPr>
          <w:rFonts w:ascii="Times New Roman" w:hAnsi="Times New Roman" w:cs="Times New Roman"/>
        </w:rPr>
        <w:t xml:space="preserve"> examines the </w:t>
      </w:r>
      <w:r w:rsidR="005B058D" w:rsidRPr="00E839AC">
        <w:rPr>
          <w:rFonts w:ascii="Times New Roman" w:hAnsi="Times New Roman" w:cs="Times New Roman"/>
        </w:rPr>
        <w:t>r</w:t>
      </w:r>
      <w:r w:rsidRPr="00E839AC">
        <w:rPr>
          <w:rFonts w:ascii="Times New Roman" w:hAnsi="Times New Roman" w:cs="Times New Roman"/>
        </w:rPr>
        <w:t xml:space="preserve">ight to </w:t>
      </w:r>
      <w:r w:rsidR="005B058D" w:rsidRPr="00E839AC">
        <w:rPr>
          <w:rFonts w:ascii="Times New Roman" w:hAnsi="Times New Roman" w:cs="Times New Roman"/>
        </w:rPr>
        <w:t>s</w:t>
      </w:r>
      <w:r w:rsidRPr="00E839AC">
        <w:rPr>
          <w:rFonts w:ascii="Times New Roman" w:hAnsi="Times New Roman" w:cs="Times New Roman"/>
        </w:rPr>
        <w:t>ilence at both the investigative stage and the trial stage. The chapt</w:t>
      </w:r>
      <w:r w:rsidR="00B5726E" w:rsidRPr="00E839AC">
        <w:rPr>
          <w:rFonts w:ascii="Times New Roman" w:hAnsi="Times New Roman" w:cs="Times New Roman"/>
        </w:rPr>
        <w:t xml:space="preserve">er analyses the legislative changes under the CJPOA 1994 </w:t>
      </w:r>
      <w:r w:rsidR="00265E5B" w:rsidRPr="00E839AC">
        <w:rPr>
          <w:rFonts w:ascii="Times New Roman" w:hAnsi="Times New Roman" w:cs="Times New Roman"/>
        </w:rPr>
        <w:t xml:space="preserve">and </w:t>
      </w:r>
      <w:r w:rsidR="00E66F38" w:rsidRPr="00E839AC">
        <w:rPr>
          <w:rFonts w:ascii="Times New Roman" w:hAnsi="Times New Roman" w:cs="Times New Roman"/>
        </w:rPr>
        <w:t xml:space="preserve">considers </w:t>
      </w:r>
      <w:r w:rsidR="00265E5B" w:rsidRPr="00E839AC">
        <w:rPr>
          <w:rFonts w:ascii="Times New Roman" w:hAnsi="Times New Roman" w:cs="Times New Roman"/>
        </w:rPr>
        <w:t xml:space="preserve">the empirical work </w:t>
      </w:r>
      <w:r w:rsidR="00C04A31" w:rsidRPr="00E839AC">
        <w:rPr>
          <w:rFonts w:ascii="Times New Roman" w:hAnsi="Times New Roman" w:cs="Times New Roman"/>
        </w:rPr>
        <w:t>that has tracked the changes</w:t>
      </w:r>
      <w:r w:rsidR="00265E5B" w:rsidRPr="00E839AC">
        <w:rPr>
          <w:rFonts w:ascii="Times New Roman" w:hAnsi="Times New Roman" w:cs="Times New Roman"/>
        </w:rPr>
        <w:t xml:space="preserve"> (p.132). The chapter highlights </w:t>
      </w:r>
      <w:r w:rsidR="00BD51E1" w:rsidRPr="00E839AC">
        <w:rPr>
          <w:rFonts w:ascii="Times New Roman" w:hAnsi="Times New Roman" w:cs="Times New Roman"/>
        </w:rPr>
        <w:t>the</w:t>
      </w:r>
      <w:r w:rsidR="00265E5B" w:rsidRPr="00E839AC">
        <w:rPr>
          <w:rFonts w:ascii="Times New Roman" w:hAnsi="Times New Roman" w:cs="Times New Roman"/>
        </w:rPr>
        <w:t xml:space="preserve"> </w:t>
      </w:r>
      <w:r w:rsidR="00774B59" w:rsidRPr="00E839AC">
        <w:rPr>
          <w:rFonts w:ascii="Times New Roman" w:hAnsi="Times New Roman" w:cs="Times New Roman"/>
        </w:rPr>
        <w:t>tenuous</w:t>
      </w:r>
      <w:r w:rsidR="00265E5B" w:rsidRPr="00E839AC">
        <w:rPr>
          <w:rFonts w:ascii="Times New Roman" w:hAnsi="Times New Roman" w:cs="Times New Roman"/>
        </w:rPr>
        <w:t xml:space="preserve"> link</w:t>
      </w:r>
      <w:r w:rsidR="00BD51E1" w:rsidRPr="00E839AC">
        <w:rPr>
          <w:rFonts w:ascii="Times New Roman" w:hAnsi="Times New Roman" w:cs="Times New Roman"/>
        </w:rPr>
        <w:t xml:space="preserve"> that</w:t>
      </w:r>
      <w:r w:rsidR="00265E5B" w:rsidRPr="00E839AC">
        <w:rPr>
          <w:rFonts w:ascii="Times New Roman" w:hAnsi="Times New Roman" w:cs="Times New Roman"/>
        </w:rPr>
        <w:t xml:space="preserve"> exists when conflating silence with guilt. Furthermore, this link runs counter to</w:t>
      </w:r>
      <w:r w:rsidR="00E66F38" w:rsidRPr="00E839AC">
        <w:rPr>
          <w:rFonts w:ascii="Times New Roman" w:hAnsi="Times New Roman" w:cs="Times New Roman"/>
        </w:rPr>
        <w:t xml:space="preserve"> a</w:t>
      </w:r>
      <w:r w:rsidR="00265E5B" w:rsidRPr="00E839AC">
        <w:rPr>
          <w:rFonts w:ascii="Times New Roman" w:hAnsi="Times New Roman" w:cs="Times New Roman"/>
        </w:rPr>
        <w:t xml:space="preserve"> system that allows the defence to test the prosecution</w:t>
      </w:r>
      <w:r w:rsidR="00E66F38" w:rsidRPr="00E839AC">
        <w:rPr>
          <w:rFonts w:ascii="Times New Roman" w:hAnsi="Times New Roman" w:cs="Times New Roman"/>
        </w:rPr>
        <w:t>’s</w:t>
      </w:r>
      <w:r w:rsidR="00265E5B" w:rsidRPr="00E839AC">
        <w:rPr>
          <w:rFonts w:ascii="Times New Roman" w:hAnsi="Times New Roman" w:cs="Times New Roman"/>
        </w:rPr>
        <w:t xml:space="preserve"> case, whil</w:t>
      </w:r>
      <w:r w:rsidR="00E66F38" w:rsidRPr="00E839AC">
        <w:rPr>
          <w:rFonts w:ascii="Times New Roman" w:hAnsi="Times New Roman" w:cs="Times New Roman"/>
        </w:rPr>
        <w:t xml:space="preserve">st continuing to </w:t>
      </w:r>
      <w:r w:rsidR="00265E5B" w:rsidRPr="00E839AC">
        <w:rPr>
          <w:rFonts w:ascii="Times New Roman" w:hAnsi="Times New Roman" w:cs="Times New Roman"/>
        </w:rPr>
        <w:t>respect defence rights and ensur</w:t>
      </w:r>
      <w:r w:rsidR="00E66F38" w:rsidRPr="00E839AC">
        <w:rPr>
          <w:rFonts w:ascii="Times New Roman" w:hAnsi="Times New Roman" w:cs="Times New Roman"/>
        </w:rPr>
        <w:t>e</w:t>
      </w:r>
      <w:r w:rsidR="00265E5B" w:rsidRPr="00E839AC">
        <w:rPr>
          <w:rFonts w:ascii="Times New Roman" w:hAnsi="Times New Roman" w:cs="Times New Roman"/>
        </w:rPr>
        <w:t xml:space="preserve"> fairness (p.139). </w:t>
      </w:r>
      <w:r w:rsidR="00774B59" w:rsidRPr="00E839AC">
        <w:rPr>
          <w:rFonts w:ascii="Times New Roman" w:hAnsi="Times New Roman" w:cs="Times New Roman"/>
        </w:rPr>
        <w:t xml:space="preserve">Owusu-Bempah argues that the current position on silence is inconsistent with </w:t>
      </w:r>
      <w:r w:rsidR="009032CC" w:rsidRPr="00E839AC">
        <w:rPr>
          <w:rFonts w:ascii="Times New Roman" w:hAnsi="Times New Roman" w:cs="Times New Roman"/>
        </w:rPr>
        <w:t xml:space="preserve">notion of </w:t>
      </w:r>
      <w:r w:rsidR="00774B59" w:rsidRPr="00E839AC">
        <w:rPr>
          <w:rFonts w:ascii="Times New Roman" w:hAnsi="Times New Roman" w:cs="Times New Roman"/>
        </w:rPr>
        <w:t xml:space="preserve">adversarialism. </w:t>
      </w:r>
    </w:p>
    <w:p w14:paraId="5E70A448" w14:textId="77777777" w:rsidR="00C04A31" w:rsidRDefault="00C04A31" w:rsidP="002D76A6">
      <w:pPr>
        <w:jc w:val="both"/>
        <w:rPr>
          <w:rFonts w:ascii="Times New Roman" w:hAnsi="Times New Roman" w:cs="Times New Roman"/>
        </w:rPr>
      </w:pPr>
    </w:p>
    <w:p w14:paraId="089B36AE" w14:textId="2BE72B30" w:rsidR="00D06908" w:rsidRPr="00E839AC" w:rsidRDefault="00774B59" w:rsidP="002D76A6">
      <w:pPr>
        <w:jc w:val="both"/>
        <w:rPr>
          <w:rFonts w:ascii="Times New Roman" w:hAnsi="Times New Roman" w:cs="Times New Roman"/>
        </w:rPr>
      </w:pPr>
      <w:r w:rsidRPr="00E839AC">
        <w:rPr>
          <w:rFonts w:ascii="Times New Roman" w:hAnsi="Times New Roman" w:cs="Times New Roman"/>
        </w:rPr>
        <w:t xml:space="preserve">Chapter 7 charts the </w:t>
      </w:r>
      <w:r w:rsidR="00E66F38" w:rsidRPr="00E839AC">
        <w:rPr>
          <w:rFonts w:ascii="Times New Roman" w:hAnsi="Times New Roman" w:cs="Times New Roman"/>
        </w:rPr>
        <w:t xml:space="preserve">origins </w:t>
      </w:r>
      <w:r w:rsidRPr="00E839AC">
        <w:rPr>
          <w:rFonts w:ascii="Times New Roman" w:hAnsi="Times New Roman" w:cs="Times New Roman"/>
        </w:rPr>
        <w:t xml:space="preserve">of </w:t>
      </w:r>
      <w:r w:rsidR="009032CC" w:rsidRPr="00E839AC">
        <w:rPr>
          <w:rFonts w:ascii="Times New Roman" w:hAnsi="Times New Roman" w:cs="Times New Roman"/>
        </w:rPr>
        <w:t xml:space="preserve">the </w:t>
      </w:r>
      <w:r w:rsidRPr="00E839AC">
        <w:rPr>
          <w:rFonts w:ascii="Times New Roman" w:hAnsi="Times New Roman" w:cs="Times New Roman"/>
        </w:rPr>
        <w:t>defence disclosure</w:t>
      </w:r>
      <w:r w:rsidR="009032CC" w:rsidRPr="00E839AC">
        <w:rPr>
          <w:rFonts w:ascii="Times New Roman" w:hAnsi="Times New Roman" w:cs="Times New Roman"/>
        </w:rPr>
        <w:t xml:space="preserve"> regime</w:t>
      </w:r>
      <w:r w:rsidRPr="00E839AC">
        <w:rPr>
          <w:rFonts w:ascii="Times New Roman" w:hAnsi="Times New Roman" w:cs="Times New Roman"/>
        </w:rPr>
        <w:t xml:space="preserve"> and </w:t>
      </w:r>
      <w:r w:rsidR="009032CC" w:rsidRPr="00E839AC">
        <w:rPr>
          <w:rFonts w:ascii="Times New Roman" w:hAnsi="Times New Roman" w:cs="Times New Roman"/>
        </w:rPr>
        <w:t xml:space="preserve">highlights the enforcement mechanisms </w:t>
      </w:r>
      <w:r w:rsidRPr="00E839AC">
        <w:rPr>
          <w:rFonts w:ascii="Times New Roman" w:hAnsi="Times New Roman" w:cs="Times New Roman"/>
        </w:rPr>
        <w:t xml:space="preserve">for non-compliance. </w:t>
      </w:r>
      <w:r w:rsidR="000E7FF3" w:rsidRPr="00E839AC">
        <w:rPr>
          <w:rFonts w:ascii="Times New Roman" w:hAnsi="Times New Roman" w:cs="Times New Roman"/>
        </w:rPr>
        <w:t>The chapter then offers a case law analysis in the post-</w:t>
      </w:r>
      <w:r w:rsidR="000E7FF3" w:rsidRPr="00E839AC">
        <w:rPr>
          <w:rFonts w:ascii="Times New Roman" w:hAnsi="Times New Roman" w:cs="Times New Roman"/>
          <w:i/>
        </w:rPr>
        <w:t xml:space="preserve">Auld Review </w:t>
      </w:r>
      <w:r w:rsidR="000E7FF3" w:rsidRPr="00E839AC">
        <w:rPr>
          <w:rFonts w:ascii="Times New Roman" w:hAnsi="Times New Roman" w:cs="Times New Roman"/>
        </w:rPr>
        <w:t xml:space="preserve">era </w:t>
      </w:r>
      <w:r w:rsidR="000E7206" w:rsidRPr="00E839AC">
        <w:rPr>
          <w:rFonts w:ascii="Times New Roman" w:hAnsi="Times New Roman" w:cs="Times New Roman"/>
        </w:rPr>
        <w:t xml:space="preserve">and the difficulties encountered in the post-CrimPR cases of both </w:t>
      </w:r>
      <w:r w:rsidR="000E7206" w:rsidRPr="00E839AC">
        <w:rPr>
          <w:rFonts w:ascii="Times New Roman" w:hAnsi="Times New Roman" w:cs="Times New Roman"/>
          <w:i/>
        </w:rPr>
        <w:t>Firth</w:t>
      </w:r>
      <w:r w:rsidR="000E7206" w:rsidRPr="00E839AC">
        <w:rPr>
          <w:rFonts w:ascii="Times New Roman" w:hAnsi="Times New Roman" w:cs="Times New Roman"/>
        </w:rPr>
        <w:t xml:space="preserve"> [2011] EWHC 388 Admin and </w:t>
      </w:r>
      <w:r w:rsidR="000E7206" w:rsidRPr="00E839AC">
        <w:rPr>
          <w:rFonts w:ascii="Times New Roman" w:hAnsi="Times New Roman" w:cs="Times New Roman"/>
          <w:i/>
        </w:rPr>
        <w:t>Newell</w:t>
      </w:r>
      <w:r w:rsidR="000E7206" w:rsidRPr="00E839AC">
        <w:rPr>
          <w:rFonts w:ascii="Times New Roman" w:hAnsi="Times New Roman" w:cs="Times New Roman"/>
        </w:rPr>
        <w:t xml:space="preserve"> [2012] EWCA Crim 650</w:t>
      </w:r>
      <w:r w:rsidR="009032CC" w:rsidRPr="00E839AC">
        <w:rPr>
          <w:rFonts w:ascii="Times New Roman" w:hAnsi="Times New Roman" w:cs="Times New Roman"/>
        </w:rPr>
        <w:t>, which bought into the mantra of efficiency</w:t>
      </w:r>
      <w:r w:rsidR="00E66F38" w:rsidRPr="00E839AC">
        <w:rPr>
          <w:rFonts w:ascii="Times New Roman" w:hAnsi="Times New Roman" w:cs="Times New Roman"/>
        </w:rPr>
        <w:t>,</w:t>
      </w:r>
      <w:r w:rsidR="009032CC" w:rsidRPr="00E839AC">
        <w:rPr>
          <w:rFonts w:ascii="Times New Roman" w:hAnsi="Times New Roman" w:cs="Times New Roman"/>
        </w:rPr>
        <w:t xml:space="preserve"> but arguably forgot about fairness</w:t>
      </w:r>
      <w:r w:rsidR="0099707E" w:rsidRPr="00E839AC">
        <w:rPr>
          <w:rFonts w:ascii="Times New Roman" w:hAnsi="Times New Roman" w:cs="Times New Roman"/>
        </w:rPr>
        <w:t xml:space="preserve">. Owusu-Bempah suggests </w:t>
      </w:r>
      <w:r w:rsidR="000A68AD" w:rsidRPr="00E839AC">
        <w:rPr>
          <w:rFonts w:ascii="Times New Roman" w:hAnsi="Times New Roman" w:cs="Times New Roman"/>
        </w:rPr>
        <w:t xml:space="preserve">that the courts have not made a clear distinction between using the information disclosed by the defence to anticipate attacks on prosecution’s case and using it to establish a </w:t>
      </w:r>
      <w:r w:rsidR="000A68AD" w:rsidRPr="00E839AC">
        <w:rPr>
          <w:rFonts w:ascii="Times New Roman" w:hAnsi="Times New Roman" w:cs="Times New Roman"/>
          <w:i/>
        </w:rPr>
        <w:t>prima faci</w:t>
      </w:r>
      <w:r w:rsidR="0017757C" w:rsidRPr="00E839AC">
        <w:rPr>
          <w:rFonts w:ascii="Times New Roman" w:hAnsi="Times New Roman" w:cs="Times New Roman"/>
          <w:i/>
        </w:rPr>
        <w:t>e</w:t>
      </w:r>
      <w:r w:rsidR="000A68AD" w:rsidRPr="00E839AC">
        <w:rPr>
          <w:rFonts w:ascii="Times New Roman" w:hAnsi="Times New Roman" w:cs="Times New Roman"/>
        </w:rPr>
        <w:t xml:space="preserve"> case against the defendant</w:t>
      </w:r>
      <w:r w:rsidR="009032CC" w:rsidRPr="00E839AC">
        <w:rPr>
          <w:rFonts w:ascii="Times New Roman" w:hAnsi="Times New Roman" w:cs="Times New Roman"/>
        </w:rPr>
        <w:t>.</w:t>
      </w:r>
      <w:r w:rsidR="000A68AD" w:rsidRPr="00E839AC">
        <w:rPr>
          <w:rFonts w:ascii="Times New Roman" w:hAnsi="Times New Roman" w:cs="Times New Roman"/>
        </w:rPr>
        <w:t xml:space="preserve"> </w:t>
      </w:r>
      <w:r w:rsidR="000A68AD" w:rsidRPr="00E839AC">
        <w:rPr>
          <w:rFonts w:ascii="Times New Roman" w:hAnsi="Times New Roman" w:cs="Times New Roman"/>
          <w:i/>
        </w:rPr>
        <w:t>Newell</w:t>
      </w:r>
      <w:r w:rsidR="0017757C" w:rsidRPr="00E839AC">
        <w:rPr>
          <w:rFonts w:ascii="Times New Roman" w:hAnsi="Times New Roman" w:cs="Times New Roman"/>
        </w:rPr>
        <w:t xml:space="preserve"> suggests</w:t>
      </w:r>
      <w:r w:rsidR="00E66F38" w:rsidRPr="00E839AC">
        <w:rPr>
          <w:rFonts w:ascii="Times New Roman" w:hAnsi="Times New Roman" w:cs="Times New Roman"/>
        </w:rPr>
        <w:t xml:space="preserve"> that,</w:t>
      </w:r>
      <w:r w:rsidR="0017757C" w:rsidRPr="00E839AC">
        <w:rPr>
          <w:rFonts w:ascii="Times New Roman" w:hAnsi="Times New Roman" w:cs="Times New Roman"/>
        </w:rPr>
        <w:t xml:space="preserve"> where the defence have not followed the letter and spirit of the CrimPR, the fruits of disclosure </w:t>
      </w:r>
      <w:r w:rsidR="0017757C" w:rsidRPr="00E839AC">
        <w:rPr>
          <w:rFonts w:ascii="Times New Roman" w:hAnsi="Times New Roman" w:cs="Times New Roman"/>
          <w:u w:val="single"/>
        </w:rPr>
        <w:t>can</w:t>
      </w:r>
      <w:r w:rsidR="0017757C" w:rsidRPr="00E839AC">
        <w:rPr>
          <w:rFonts w:ascii="Times New Roman" w:hAnsi="Times New Roman" w:cs="Times New Roman"/>
        </w:rPr>
        <w:t xml:space="preserve"> establish a </w:t>
      </w:r>
      <w:r w:rsidR="0017757C" w:rsidRPr="00E839AC">
        <w:rPr>
          <w:rFonts w:ascii="Times New Roman" w:hAnsi="Times New Roman" w:cs="Times New Roman"/>
          <w:i/>
        </w:rPr>
        <w:t xml:space="preserve">prima facie </w:t>
      </w:r>
      <w:r w:rsidR="0017757C" w:rsidRPr="00E839AC">
        <w:rPr>
          <w:rFonts w:ascii="Times New Roman" w:hAnsi="Times New Roman" w:cs="Times New Roman"/>
        </w:rPr>
        <w:t>case (p.169)</w:t>
      </w:r>
      <w:r w:rsidR="00E66F38" w:rsidRPr="00E839AC">
        <w:rPr>
          <w:rFonts w:ascii="Times New Roman" w:hAnsi="Times New Roman" w:cs="Times New Roman"/>
        </w:rPr>
        <w:t>.</w:t>
      </w:r>
      <w:r w:rsidR="0017757C" w:rsidRPr="00E839AC">
        <w:rPr>
          <w:rFonts w:ascii="Times New Roman" w:hAnsi="Times New Roman" w:cs="Times New Roman"/>
        </w:rPr>
        <w:t xml:space="preserve"> As such, the freedom of the defendant </w:t>
      </w:r>
      <w:r w:rsidR="00975CDC" w:rsidRPr="00E839AC">
        <w:rPr>
          <w:rFonts w:ascii="Times New Roman" w:hAnsi="Times New Roman" w:cs="Times New Roman"/>
        </w:rPr>
        <w:t xml:space="preserve">to </w:t>
      </w:r>
      <w:r w:rsidR="00975CDC" w:rsidRPr="00E839AC">
        <w:rPr>
          <w:rFonts w:ascii="Times New Roman" w:hAnsi="Times New Roman" w:cs="Times New Roman"/>
          <w:i/>
        </w:rPr>
        <w:t>choose</w:t>
      </w:r>
      <w:r w:rsidR="00975CDC" w:rsidRPr="00E839AC">
        <w:rPr>
          <w:rFonts w:ascii="Times New Roman" w:hAnsi="Times New Roman" w:cs="Times New Roman"/>
        </w:rPr>
        <w:t xml:space="preserve"> </w:t>
      </w:r>
      <w:r w:rsidR="005F0839" w:rsidRPr="00E839AC">
        <w:rPr>
          <w:rFonts w:ascii="Times New Roman" w:hAnsi="Times New Roman" w:cs="Times New Roman"/>
        </w:rPr>
        <w:t>whether</w:t>
      </w:r>
      <w:r w:rsidR="00975CDC" w:rsidRPr="00E839AC">
        <w:rPr>
          <w:rFonts w:ascii="Times New Roman" w:hAnsi="Times New Roman" w:cs="Times New Roman"/>
        </w:rPr>
        <w:t xml:space="preserve"> to respond to the accusations against him,</w:t>
      </w:r>
      <w:r w:rsidR="005F0839" w:rsidRPr="00E839AC">
        <w:rPr>
          <w:rFonts w:ascii="Times New Roman" w:hAnsi="Times New Roman" w:cs="Times New Roman"/>
        </w:rPr>
        <w:t xml:space="preserve"> and thus</w:t>
      </w:r>
      <w:r w:rsidR="00975CDC" w:rsidRPr="00E839AC">
        <w:rPr>
          <w:rFonts w:ascii="Times New Roman" w:hAnsi="Times New Roman" w:cs="Times New Roman"/>
        </w:rPr>
        <w:t xml:space="preserve"> to provide information or to assist the State in establishing guilt</w:t>
      </w:r>
      <w:r w:rsidR="005F0839" w:rsidRPr="00E839AC">
        <w:rPr>
          <w:rFonts w:ascii="Times New Roman" w:hAnsi="Times New Roman" w:cs="Times New Roman"/>
        </w:rPr>
        <w:t>,</w:t>
      </w:r>
      <w:r w:rsidR="00975CDC" w:rsidRPr="00E839AC">
        <w:rPr>
          <w:rFonts w:ascii="Times New Roman" w:hAnsi="Times New Roman" w:cs="Times New Roman"/>
        </w:rPr>
        <w:t xml:space="preserve"> has been severely </w:t>
      </w:r>
      <w:r w:rsidR="005F0839" w:rsidRPr="00E839AC">
        <w:rPr>
          <w:rFonts w:ascii="Times New Roman" w:hAnsi="Times New Roman" w:cs="Times New Roman"/>
        </w:rPr>
        <w:t xml:space="preserve">attenuated </w:t>
      </w:r>
      <w:r w:rsidR="00975CDC" w:rsidRPr="00E839AC">
        <w:rPr>
          <w:rFonts w:ascii="Times New Roman" w:hAnsi="Times New Roman" w:cs="Times New Roman"/>
        </w:rPr>
        <w:t>by the penalties for non-compliance with the disclosure regime. (p.172)</w:t>
      </w:r>
    </w:p>
    <w:p w14:paraId="458D5BEC" w14:textId="77777777" w:rsidR="00D06908" w:rsidRPr="00E839AC" w:rsidRDefault="00D06908" w:rsidP="002D76A6">
      <w:pPr>
        <w:jc w:val="both"/>
        <w:rPr>
          <w:rFonts w:ascii="Times New Roman" w:hAnsi="Times New Roman" w:cs="Times New Roman"/>
        </w:rPr>
      </w:pPr>
    </w:p>
    <w:p w14:paraId="05F2E5BE" w14:textId="755D57F1" w:rsidR="00975CDC" w:rsidRPr="00E839AC" w:rsidRDefault="00975CDC" w:rsidP="002D76A6">
      <w:pPr>
        <w:jc w:val="both"/>
        <w:rPr>
          <w:rFonts w:ascii="Times New Roman" w:hAnsi="Times New Roman" w:cs="Times New Roman"/>
        </w:rPr>
      </w:pPr>
      <w:r w:rsidRPr="00E839AC">
        <w:rPr>
          <w:rFonts w:ascii="Times New Roman" w:hAnsi="Times New Roman" w:cs="Times New Roman"/>
        </w:rPr>
        <w:t>The final chapter looks at the future of the criminal process and calls into question the legitimacy o</w:t>
      </w:r>
      <w:r w:rsidR="005B058D" w:rsidRPr="00E839AC">
        <w:rPr>
          <w:rFonts w:ascii="Times New Roman" w:hAnsi="Times New Roman" w:cs="Times New Roman"/>
        </w:rPr>
        <w:t>f</w:t>
      </w:r>
      <w:r w:rsidRPr="00E839AC">
        <w:rPr>
          <w:rFonts w:ascii="Times New Roman" w:hAnsi="Times New Roman" w:cs="Times New Roman"/>
        </w:rPr>
        <w:t xml:space="preserve"> emphasising defendant participation and imposing sanctions should they refuse to co-operate. The chapter calls for an implementation of the normative theory that was advanced through chapters 2-4 and was founded </w:t>
      </w:r>
      <w:r w:rsidR="005B058D" w:rsidRPr="00E839AC">
        <w:rPr>
          <w:rFonts w:ascii="Times New Roman" w:hAnsi="Times New Roman" w:cs="Times New Roman"/>
        </w:rPr>
        <w:t xml:space="preserve">on </w:t>
      </w:r>
      <w:r w:rsidRPr="00E839AC">
        <w:rPr>
          <w:rFonts w:ascii="Times New Roman" w:hAnsi="Times New Roman" w:cs="Times New Roman"/>
        </w:rPr>
        <w:t xml:space="preserve">the presumption of innocence, the right to a fair trial and </w:t>
      </w:r>
      <w:r w:rsidR="00E839AC">
        <w:rPr>
          <w:rFonts w:ascii="Times New Roman" w:hAnsi="Times New Roman" w:cs="Times New Roman"/>
        </w:rPr>
        <w:t>the</w:t>
      </w:r>
      <w:r w:rsidR="008E5632">
        <w:rPr>
          <w:rFonts w:ascii="Times New Roman" w:hAnsi="Times New Roman" w:cs="Times New Roman"/>
        </w:rPr>
        <w:t xml:space="preserve"> </w:t>
      </w:r>
      <w:r w:rsidRPr="00E839AC">
        <w:rPr>
          <w:rFonts w:ascii="Times New Roman" w:hAnsi="Times New Roman" w:cs="Times New Roman"/>
        </w:rPr>
        <w:t xml:space="preserve">relationship between citizen and State. </w:t>
      </w:r>
      <w:r w:rsidR="00DF578F" w:rsidRPr="00E839AC">
        <w:rPr>
          <w:rFonts w:ascii="Times New Roman" w:hAnsi="Times New Roman" w:cs="Times New Roman"/>
        </w:rPr>
        <w:t xml:space="preserve">The conclusion states that </w:t>
      </w:r>
      <w:r w:rsidR="00322424" w:rsidRPr="00E839AC">
        <w:rPr>
          <w:rFonts w:ascii="Times New Roman" w:hAnsi="Times New Roman" w:cs="Times New Roman"/>
        </w:rPr>
        <w:t>‘</w:t>
      </w:r>
      <w:r w:rsidR="00DF578F" w:rsidRPr="00E839AC">
        <w:rPr>
          <w:rFonts w:ascii="Times New Roman" w:hAnsi="Times New Roman" w:cs="Times New Roman"/>
        </w:rPr>
        <w:t>adversarialism</w:t>
      </w:r>
      <w:r w:rsidR="00322424" w:rsidRPr="00E839AC">
        <w:rPr>
          <w:rFonts w:ascii="Times New Roman" w:hAnsi="Times New Roman" w:cs="Times New Roman"/>
        </w:rPr>
        <w:t>’</w:t>
      </w:r>
      <w:r w:rsidR="00DF578F" w:rsidRPr="00E839AC">
        <w:rPr>
          <w:rFonts w:ascii="Times New Roman" w:hAnsi="Times New Roman" w:cs="Times New Roman"/>
        </w:rPr>
        <w:t xml:space="preserve"> </w:t>
      </w:r>
      <w:r w:rsidR="00322424" w:rsidRPr="00E839AC">
        <w:rPr>
          <w:rFonts w:ascii="Times New Roman" w:hAnsi="Times New Roman" w:cs="Times New Roman"/>
        </w:rPr>
        <w:t xml:space="preserve">can no longer </w:t>
      </w:r>
      <w:r w:rsidR="005F0839" w:rsidRPr="00E839AC">
        <w:rPr>
          <w:rFonts w:ascii="Times New Roman" w:hAnsi="Times New Roman" w:cs="Times New Roman"/>
        </w:rPr>
        <w:t xml:space="preserve">be used to </w:t>
      </w:r>
      <w:r w:rsidR="00322424" w:rsidRPr="00E839AC">
        <w:rPr>
          <w:rFonts w:ascii="Times New Roman" w:hAnsi="Times New Roman" w:cs="Times New Roman"/>
        </w:rPr>
        <w:t>describe the criminal justice process of England and Wales</w:t>
      </w:r>
      <w:r w:rsidR="005F0839" w:rsidRPr="00E839AC">
        <w:rPr>
          <w:rFonts w:ascii="Times New Roman" w:hAnsi="Times New Roman" w:cs="Times New Roman"/>
        </w:rPr>
        <w:t>,</w:t>
      </w:r>
      <w:r w:rsidR="00322424" w:rsidRPr="00E839AC">
        <w:rPr>
          <w:rFonts w:ascii="Times New Roman" w:hAnsi="Times New Roman" w:cs="Times New Roman"/>
        </w:rPr>
        <w:t xml:space="preserve"> and </w:t>
      </w:r>
      <w:r w:rsidR="00BD51E1" w:rsidRPr="00E839AC">
        <w:rPr>
          <w:rFonts w:ascii="Times New Roman" w:hAnsi="Times New Roman" w:cs="Times New Roman"/>
        </w:rPr>
        <w:t>can</w:t>
      </w:r>
      <w:r w:rsidR="00322424" w:rsidRPr="00E839AC">
        <w:rPr>
          <w:rFonts w:ascii="Times New Roman" w:hAnsi="Times New Roman" w:cs="Times New Roman"/>
        </w:rPr>
        <w:t>no</w:t>
      </w:r>
      <w:r w:rsidR="00BD51E1" w:rsidRPr="00E839AC">
        <w:rPr>
          <w:rFonts w:ascii="Times New Roman" w:hAnsi="Times New Roman" w:cs="Times New Roman"/>
        </w:rPr>
        <w:t>t</w:t>
      </w:r>
      <w:r w:rsidR="00322424" w:rsidRPr="00E839AC">
        <w:rPr>
          <w:rFonts w:ascii="Times New Roman" w:hAnsi="Times New Roman" w:cs="Times New Roman"/>
        </w:rPr>
        <w:t xml:space="preserve"> be characterised by the obligatory nature of defendant participation (p.183). </w:t>
      </w:r>
    </w:p>
    <w:p w14:paraId="63C90B50" w14:textId="77777777" w:rsidR="00D06908" w:rsidRPr="00E839AC" w:rsidRDefault="00D06908" w:rsidP="002D76A6">
      <w:pPr>
        <w:jc w:val="both"/>
        <w:rPr>
          <w:rFonts w:ascii="Times New Roman" w:hAnsi="Times New Roman" w:cs="Times New Roman"/>
        </w:rPr>
      </w:pPr>
    </w:p>
    <w:p w14:paraId="45AFDE19" w14:textId="29B38A72" w:rsidR="00B166C0" w:rsidRPr="00E839AC" w:rsidRDefault="00D06908" w:rsidP="002D76A6">
      <w:pPr>
        <w:jc w:val="both"/>
        <w:rPr>
          <w:rFonts w:ascii="Times New Roman" w:hAnsi="Times New Roman" w:cs="Times New Roman"/>
        </w:rPr>
      </w:pPr>
      <w:r w:rsidRPr="00E839AC">
        <w:rPr>
          <w:rFonts w:ascii="Times New Roman" w:hAnsi="Times New Roman" w:cs="Times New Roman"/>
        </w:rPr>
        <w:t xml:space="preserve">This is </w:t>
      </w:r>
      <w:r w:rsidR="00DF0ACA" w:rsidRPr="00E839AC">
        <w:rPr>
          <w:rFonts w:ascii="Times New Roman" w:hAnsi="Times New Roman" w:cs="Times New Roman"/>
        </w:rPr>
        <w:t>a</w:t>
      </w:r>
      <w:r w:rsidRPr="00E839AC">
        <w:rPr>
          <w:rFonts w:ascii="Times New Roman" w:hAnsi="Times New Roman" w:cs="Times New Roman"/>
        </w:rPr>
        <w:t xml:space="preserve"> </w:t>
      </w:r>
      <w:r w:rsidR="00CE5C9A" w:rsidRPr="00E839AC">
        <w:rPr>
          <w:rFonts w:ascii="Times New Roman" w:hAnsi="Times New Roman" w:cs="Times New Roman"/>
        </w:rPr>
        <w:t>quintessential</w:t>
      </w:r>
      <w:r w:rsidRPr="00E839AC">
        <w:rPr>
          <w:rFonts w:ascii="Times New Roman" w:hAnsi="Times New Roman" w:cs="Times New Roman"/>
        </w:rPr>
        <w:t xml:space="preserve"> book on modern criminal procedure </w:t>
      </w:r>
      <w:r w:rsidR="00D54A7B" w:rsidRPr="00E839AC">
        <w:rPr>
          <w:rFonts w:ascii="Times New Roman" w:hAnsi="Times New Roman" w:cs="Times New Roman"/>
        </w:rPr>
        <w:t>for legal scholars and proceduralists</w:t>
      </w:r>
      <w:r w:rsidR="009032CC" w:rsidRPr="00E839AC">
        <w:rPr>
          <w:rFonts w:ascii="Times New Roman" w:hAnsi="Times New Roman" w:cs="Times New Roman"/>
        </w:rPr>
        <w:t xml:space="preserve"> alike</w:t>
      </w:r>
      <w:r w:rsidRPr="00E839AC">
        <w:rPr>
          <w:rFonts w:ascii="Times New Roman" w:hAnsi="Times New Roman" w:cs="Times New Roman"/>
        </w:rPr>
        <w:t xml:space="preserve">. It is well presented and </w:t>
      </w:r>
      <w:r w:rsidR="00322424" w:rsidRPr="00E839AC">
        <w:rPr>
          <w:rFonts w:ascii="Times New Roman" w:hAnsi="Times New Roman" w:cs="Times New Roman"/>
        </w:rPr>
        <w:t>argued in a compelling and persuasive manner. Whilst certain elements of defence disclosure are arguably non-contentious (</w:t>
      </w:r>
      <w:r w:rsidR="00D54A7B" w:rsidRPr="00E839AC">
        <w:rPr>
          <w:rFonts w:ascii="Times New Roman" w:hAnsi="Times New Roman" w:cs="Times New Roman"/>
        </w:rPr>
        <w:t xml:space="preserve">e.g. </w:t>
      </w:r>
      <w:r w:rsidR="00322424" w:rsidRPr="00E839AC">
        <w:rPr>
          <w:rFonts w:ascii="Times New Roman" w:hAnsi="Times New Roman" w:cs="Times New Roman"/>
        </w:rPr>
        <w:t>alibi and expert evidence</w:t>
      </w:r>
      <w:r w:rsidR="00D54A7B" w:rsidRPr="00E839AC">
        <w:rPr>
          <w:rFonts w:ascii="Times New Roman" w:hAnsi="Times New Roman" w:cs="Times New Roman"/>
        </w:rPr>
        <w:t>)</w:t>
      </w:r>
      <w:r w:rsidR="00C04A31">
        <w:rPr>
          <w:rFonts w:ascii="Times New Roman" w:hAnsi="Times New Roman" w:cs="Times New Roman"/>
        </w:rPr>
        <w:t>,</w:t>
      </w:r>
      <w:r w:rsidR="00D54A7B" w:rsidRPr="00E839AC">
        <w:rPr>
          <w:rFonts w:ascii="Times New Roman" w:hAnsi="Times New Roman" w:cs="Times New Roman"/>
        </w:rPr>
        <w:t xml:space="preserve"> </w:t>
      </w:r>
      <w:r w:rsidR="00322424" w:rsidRPr="00E839AC">
        <w:rPr>
          <w:rFonts w:ascii="Times New Roman" w:hAnsi="Times New Roman" w:cs="Times New Roman"/>
        </w:rPr>
        <w:t xml:space="preserve">the tenor and tone of the Case Management provisions of the CrimPR have stark </w:t>
      </w:r>
      <w:r w:rsidR="00B8464A" w:rsidRPr="00E839AC">
        <w:rPr>
          <w:rFonts w:ascii="Times New Roman" w:hAnsi="Times New Roman" w:cs="Times New Roman"/>
        </w:rPr>
        <w:t>ramifications</w:t>
      </w:r>
      <w:r w:rsidR="00322424" w:rsidRPr="00E839AC">
        <w:rPr>
          <w:rFonts w:ascii="Times New Roman" w:hAnsi="Times New Roman" w:cs="Times New Roman"/>
        </w:rPr>
        <w:t>. These provisions are the enabling factors to compel the defendant to participate</w:t>
      </w:r>
      <w:r w:rsidR="00D54A7B" w:rsidRPr="00E839AC">
        <w:rPr>
          <w:rFonts w:ascii="Times New Roman" w:hAnsi="Times New Roman" w:cs="Times New Roman"/>
        </w:rPr>
        <w:t xml:space="preserve"> in the criminal process</w:t>
      </w:r>
      <w:r w:rsidR="00322424" w:rsidRPr="00E839AC">
        <w:rPr>
          <w:rFonts w:ascii="Times New Roman" w:hAnsi="Times New Roman" w:cs="Times New Roman"/>
        </w:rPr>
        <w:t xml:space="preserve">. With the growing desire for an </w:t>
      </w:r>
      <w:r w:rsidR="00F25C13" w:rsidRPr="00E839AC">
        <w:rPr>
          <w:rFonts w:ascii="Times New Roman" w:hAnsi="Times New Roman" w:cs="Times New Roman"/>
        </w:rPr>
        <w:t>‘</w:t>
      </w:r>
      <w:r w:rsidR="00322424" w:rsidRPr="00E839AC">
        <w:rPr>
          <w:rFonts w:ascii="Times New Roman" w:hAnsi="Times New Roman" w:cs="Times New Roman"/>
        </w:rPr>
        <w:t>efficient and effective</w:t>
      </w:r>
      <w:r w:rsidR="00F25C13" w:rsidRPr="00E839AC">
        <w:rPr>
          <w:rFonts w:ascii="Times New Roman" w:hAnsi="Times New Roman" w:cs="Times New Roman"/>
        </w:rPr>
        <w:t>’</w:t>
      </w:r>
      <w:r w:rsidR="00322424" w:rsidRPr="00E839AC">
        <w:rPr>
          <w:rFonts w:ascii="Times New Roman" w:hAnsi="Times New Roman" w:cs="Times New Roman"/>
        </w:rPr>
        <w:t xml:space="preserve"> criminal justice </w:t>
      </w:r>
      <w:r w:rsidR="00D54A7B" w:rsidRPr="00E839AC">
        <w:rPr>
          <w:rFonts w:ascii="Times New Roman" w:hAnsi="Times New Roman" w:cs="Times New Roman"/>
        </w:rPr>
        <w:t>system</w:t>
      </w:r>
      <w:r w:rsidR="00322424" w:rsidRPr="00E839AC">
        <w:rPr>
          <w:rFonts w:ascii="Times New Roman" w:hAnsi="Times New Roman" w:cs="Times New Roman"/>
        </w:rPr>
        <w:t xml:space="preserve">, Owusu-Bempah’s book is a timely reminder that the maxim </w:t>
      </w:r>
      <w:r w:rsidR="00F25C13" w:rsidRPr="00E839AC">
        <w:rPr>
          <w:rFonts w:ascii="Times New Roman" w:hAnsi="Times New Roman" w:cs="Times New Roman"/>
        </w:rPr>
        <w:t>could be viewed as an</w:t>
      </w:r>
      <w:r w:rsidR="00322424" w:rsidRPr="00E839AC">
        <w:rPr>
          <w:rFonts w:ascii="Times New Roman" w:hAnsi="Times New Roman" w:cs="Times New Roman"/>
        </w:rPr>
        <w:t xml:space="preserve"> antithesis of itself. The book persuasively calls for a halt to the notion of defendant participation and seeks a return to </w:t>
      </w:r>
      <w:r w:rsidR="00D54A7B" w:rsidRPr="00E839AC">
        <w:rPr>
          <w:rFonts w:ascii="Times New Roman" w:hAnsi="Times New Roman" w:cs="Times New Roman"/>
        </w:rPr>
        <w:t xml:space="preserve">the </w:t>
      </w:r>
      <w:r w:rsidR="00322424" w:rsidRPr="00E839AC">
        <w:rPr>
          <w:rFonts w:ascii="Times New Roman" w:hAnsi="Times New Roman" w:cs="Times New Roman"/>
        </w:rPr>
        <w:t xml:space="preserve">classic adversarial approach </w:t>
      </w:r>
      <w:r w:rsidR="00F25C13" w:rsidRPr="00E839AC">
        <w:rPr>
          <w:rFonts w:ascii="Times New Roman" w:hAnsi="Times New Roman" w:cs="Times New Roman"/>
        </w:rPr>
        <w:t>that</w:t>
      </w:r>
      <w:r w:rsidR="00322424" w:rsidRPr="00E839AC">
        <w:rPr>
          <w:rFonts w:ascii="Times New Roman" w:hAnsi="Times New Roman" w:cs="Times New Roman"/>
        </w:rPr>
        <w:t xml:space="preserve"> is focused on the protection of fundamental defence rights</w:t>
      </w:r>
      <w:r w:rsidR="00C04A31">
        <w:rPr>
          <w:rFonts w:ascii="Times New Roman" w:hAnsi="Times New Roman" w:cs="Times New Roman"/>
        </w:rPr>
        <w:t xml:space="preserve">, </w:t>
      </w:r>
      <w:r w:rsidR="00322424" w:rsidRPr="00E839AC">
        <w:rPr>
          <w:rFonts w:ascii="Times New Roman" w:hAnsi="Times New Roman" w:cs="Times New Roman"/>
        </w:rPr>
        <w:t xml:space="preserve">such as the privilege against </w:t>
      </w:r>
      <w:r w:rsidR="005F0839" w:rsidRPr="00E839AC">
        <w:rPr>
          <w:rFonts w:ascii="Times New Roman" w:hAnsi="Times New Roman" w:cs="Times New Roman"/>
        </w:rPr>
        <w:t>self-incrimination</w:t>
      </w:r>
      <w:r w:rsidR="00322424" w:rsidRPr="00E839AC">
        <w:rPr>
          <w:rFonts w:ascii="Times New Roman" w:hAnsi="Times New Roman" w:cs="Times New Roman"/>
        </w:rPr>
        <w:t xml:space="preserve"> and allowing the prosecution to </w:t>
      </w:r>
      <w:r w:rsidR="00B8464A" w:rsidRPr="00E839AC">
        <w:rPr>
          <w:rFonts w:ascii="Times New Roman" w:hAnsi="Times New Roman" w:cs="Times New Roman"/>
        </w:rPr>
        <w:t>discharge</w:t>
      </w:r>
      <w:r w:rsidR="00322424" w:rsidRPr="00E839AC">
        <w:rPr>
          <w:rFonts w:ascii="Times New Roman" w:hAnsi="Times New Roman" w:cs="Times New Roman"/>
        </w:rPr>
        <w:t xml:space="preserve"> the burden of proof, without the assistance of the defendant. </w:t>
      </w:r>
    </w:p>
    <w:p w14:paraId="6DCDCD97" w14:textId="36BC9EF3" w:rsidR="005B058D" w:rsidRPr="00E839AC" w:rsidRDefault="005B058D" w:rsidP="00E839AC">
      <w:pPr>
        <w:jc w:val="right"/>
        <w:rPr>
          <w:rFonts w:ascii="Times New Roman" w:hAnsi="Times New Roman" w:cs="Times New Roman"/>
          <w:i/>
        </w:rPr>
      </w:pPr>
      <w:r w:rsidRPr="00E839AC">
        <w:rPr>
          <w:rFonts w:ascii="Times New Roman" w:hAnsi="Times New Roman" w:cs="Times New Roman"/>
          <w:i/>
        </w:rPr>
        <w:t>Ed Johns</w:t>
      </w:r>
      <w:r w:rsidR="00E839AC">
        <w:rPr>
          <w:rFonts w:ascii="Times New Roman" w:hAnsi="Times New Roman" w:cs="Times New Roman"/>
          <w:i/>
        </w:rPr>
        <w:t>t</w:t>
      </w:r>
      <w:r w:rsidRPr="00E839AC">
        <w:rPr>
          <w:rFonts w:ascii="Times New Roman" w:hAnsi="Times New Roman" w:cs="Times New Roman"/>
          <w:i/>
        </w:rPr>
        <w:t>on</w:t>
      </w:r>
    </w:p>
    <w:p w14:paraId="311C052E" w14:textId="6132CBEE" w:rsidR="005B058D" w:rsidRPr="00E839AC" w:rsidRDefault="00FF561E" w:rsidP="00E839AC">
      <w:pPr>
        <w:jc w:val="right"/>
        <w:rPr>
          <w:rFonts w:ascii="Times New Roman" w:hAnsi="Times New Roman" w:cs="Times New Roman"/>
          <w:i/>
        </w:rPr>
      </w:pPr>
      <w:r w:rsidRPr="00E839AC">
        <w:rPr>
          <w:rFonts w:ascii="Times New Roman" w:hAnsi="Times New Roman" w:cs="Times New Roman"/>
          <w:i/>
        </w:rPr>
        <w:t>Bristol Law School</w:t>
      </w:r>
    </w:p>
    <w:p w14:paraId="74C65FB2" w14:textId="3E84CCE0" w:rsidR="00FF561E" w:rsidRPr="00E839AC" w:rsidRDefault="00FF561E" w:rsidP="00E839AC">
      <w:pPr>
        <w:jc w:val="right"/>
        <w:rPr>
          <w:rFonts w:ascii="Times New Roman" w:hAnsi="Times New Roman" w:cs="Times New Roman"/>
          <w:i/>
        </w:rPr>
      </w:pPr>
      <w:r w:rsidRPr="00E839AC">
        <w:rPr>
          <w:rFonts w:ascii="Times New Roman" w:hAnsi="Times New Roman" w:cs="Times New Roman"/>
          <w:i/>
        </w:rPr>
        <w:t xml:space="preserve">University of the West of England </w:t>
      </w:r>
    </w:p>
    <w:p w14:paraId="0B5502E9" w14:textId="77777777" w:rsidR="005B058D" w:rsidRPr="00E839AC" w:rsidRDefault="005B058D" w:rsidP="00E839AC">
      <w:pPr>
        <w:jc w:val="right"/>
        <w:rPr>
          <w:rFonts w:ascii="Times New Roman" w:hAnsi="Times New Roman" w:cs="Times New Roman"/>
          <w:i/>
        </w:rPr>
      </w:pPr>
    </w:p>
    <w:p w14:paraId="342F66B6" w14:textId="77777777" w:rsidR="00A17AD8" w:rsidRPr="00E839AC" w:rsidRDefault="00A17AD8" w:rsidP="002D76A6">
      <w:pPr>
        <w:jc w:val="both"/>
        <w:rPr>
          <w:rFonts w:ascii="Times New Roman" w:hAnsi="Times New Roman" w:cs="Times New Roman"/>
        </w:rPr>
      </w:pPr>
    </w:p>
    <w:sectPr w:rsidR="00A17AD8" w:rsidRPr="00E839AC" w:rsidSect="003962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AA16" w14:textId="77777777" w:rsidR="00D671E5" w:rsidRDefault="00D671E5" w:rsidP="00E26AF2">
      <w:r>
        <w:separator/>
      </w:r>
    </w:p>
  </w:endnote>
  <w:endnote w:type="continuationSeparator" w:id="0">
    <w:p w14:paraId="1631B296" w14:textId="77777777" w:rsidR="00D671E5" w:rsidRDefault="00D671E5" w:rsidP="00E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3270" w14:textId="77777777" w:rsidR="00D671E5" w:rsidRDefault="00D671E5" w:rsidP="00E26AF2">
      <w:r>
        <w:separator/>
      </w:r>
    </w:p>
  </w:footnote>
  <w:footnote w:type="continuationSeparator" w:id="0">
    <w:p w14:paraId="63C50252" w14:textId="77777777" w:rsidR="00D671E5" w:rsidRDefault="00D671E5" w:rsidP="00E2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22895"/>
    <w:multiLevelType w:val="hybridMultilevel"/>
    <w:tmpl w:val="527AA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A6"/>
    <w:rsid w:val="00005253"/>
    <w:rsid w:val="000A1F7F"/>
    <w:rsid w:val="000A68AD"/>
    <w:rsid w:val="000A6F36"/>
    <w:rsid w:val="000A73D4"/>
    <w:rsid w:val="000B1298"/>
    <w:rsid w:val="000E7206"/>
    <w:rsid w:val="000E7FF3"/>
    <w:rsid w:val="00135C50"/>
    <w:rsid w:val="00154E3C"/>
    <w:rsid w:val="0017757C"/>
    <w:rsid w:val="001A500C"/>
    <w:rsid w:val="001D11A9"/>
    <w:rsid w:val="001E3108"/>
    <w:rsid w:val="00246DD8"/>
    <w:rsid w:val="00265E5B"/>
    <w:rsid w:val="00282B97"/>
    <w:rsid w:val="002B02AD"/>
    <w:rsid w:val="002B7739"/>
    <w:rsid w:val="002C2C62"/>
    <w:rsid w:val="002D76A6"/>
    <w:rsid w:val="00312B80"/>
    <w:rsid w:val="00322424"/>
    <w:rsid w:val="003613DE"/>
    <w:rsid w:val="00365D90"/>
    <w:rsid w:val="00375925"/>
    <w:rsid w:val="0039032E"/>
    <w:rsid w:val="00396245"/>
    <w:rsid w:val="003B36FA"/>
    <w:rsid w:val="003F0C25"/>
    <w:rsid w:val="00411C85"/>
    <w:rsid w:val="00450E24"/>
    <w:rsid w:val="00454836"/>
    <w:rsid w:val="004E7F46"/>
    <w:rsid w:val="0054633F"/>
    <w:rsid w:val="00560DAE"/>
    <w:rsid w:val="005764EA"/>
    <w:rsid w:val="005B058D"/>
    <w:rsid w:val="005E353E"/>
    <w:rsid w:val="005E4C7A"/>
    <w:rsid w:val="005F0839"/>
    <w:rsid w:val="006061BA"/>
    <w:rsid w:val="00607CA8"/>
    <w:rsid w:val="0061624C"/>
    <w:rsid w:val="0066535A"/>
    <w:rsid w:val="00671990"/>
    <w:rsid w:val="006B4B48"/>
    <w:rsid w:val="006D28F2"/>
    <w:rsid w:val="006D7CF2"/>
    <w:rsid w:val="007404E6"/>
    <w:rsid w:val="00761D84"/>
    <w:rsid w:val="00774B59"/>
    <w:rsid w:val="007D26F1"/>
    <w:rsid w:val="0080404D"/>
    <w:rsid w:val="00820161"/>
    <w:rsid w:val="00852A65"/>
    <w:rsid w:val="00865BA4"/>
    <w:rsid w:val="00880A10"/>
    <w:rsid w:val="00883578"/>
    <w:rsid w:val="00891B08"/>
    <w:rsid w:val="008A628A"/>
    <w:rsid w:val="008D293D"/>
    <w:rsid w:val="008D7DE7"/>
    <w:rsid w:val="008E5632"/>
    <w:rsid w:val="009032CC"/>
    <w:rsid w:val="00940B1F"/>
    <w:rsid w:val="00944306"/>
    <w:rsid w:val="00954FF0"/>
    <w:rsid w:val="009561C5"/>
    <w:rsid w:val="00975CDC"/>
    <w:rsid w:val="0099707E"/>
    <w:rsid w:val="00997284"/>
    <w:rsid w:val="009C2BE7"/>
    <w:rsid w:val="009D18F2"/>
    <w:rsid w:val="009E4342"/>
    <w:rsid w:val="009F6937"/>
    <w:rsid w:val="00A17AD8"/>
    <w:rsid w:val="00A33FA2"/>
    <w:rsid w:val="00A67D5A"/>
    <w:rsid w:val="00AD37A2"/>
    <w:rsid w:val="00B166C0"/>
    <w:rsid w:val="00B43DCB"/>
    <w:rsid w:val="00B52928"/>
    <w:rsid w:val="00B56CAB"/>
    <w:rsid w:val="00B5726E"/>
    <w:rsid w:val="00B8464A"/>
    <w:rsid w:val="00B97E35"/>
    <w:rsid w:val="00BB7040"/>
    <w:rsid w:val="00BD51E1"/>
    <w:rsid w:val="00BE36F8"/>
    <w:rsid w:val="00C04A31"/>
    <w:rsid w:val="00C31696"/>
    <w:rsid w:val="00C659A8"/>
    <w:rsid w:val="00C84DC2"/>
    <w:rsid w:val="00CE5C9A"/>
    <w:rsid w:val="00D06908"/>
    <w:rsid w:val="00D41E0A"/>
    <w:rsid w:val="00D54A7B"/>
    <w:rsid w:val="00D671E5"/>
    <w:rsid w:val="00D95830"/>
    <w:rsid w:val="00DA13B1"/>
    <w:rsid w:val="00DC6303"/>
    <w:rsid w:val="00DF0ACA"/>
    <w:rsid w:val="00DF578F"/>
    <w:rsid w:val="00E16006"/>
    <w:rsid w:val="00E21A4C"/>
    <w:rsid w:val="00E26AF2"/>
    <w:rsid w:val="00E32BE8"/>
    <w:rsid w:val="00E66F38"/>
    <w:rsid w:val="00E839AC"/>
    <w:rsid w:val="00E92009"/>
    <w:rsid w:val="00EC5B8F"/>
    <w:rsid w:val="00F14C8D"/>
    <w:rsid w:val="00F25C13"/>
    <w:rsid w:val="00F35351"/>
    <w:rsid w:val="00F95DFE"/>
    <w:rsid w:val="00FA210B"/>
    <w:rsid w:val="00FB6C7A"/>
    <w:rsid w:val="00FC32EA"/>
    <w:rsid w:val="00FD190D"/>
    <w:rsid w:val="00FD1F4D"/>
    <w:rsid w:val="00FF56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CADFE"/>
  <w14:defaultImageDpi w14:val="32767"/>
  <w15:docId w15:val="{434D6AA9-FA41-4090-A644-C8D7B9BD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6AF2"/>
  </w:style>
  <w:style w:type="character" w:customStyle="1" w:styleId="FootnoteTextChar">
    <w:name w:val="Footnote Text Char"/>
    <w:basedOn w:val="DefaultParagraphFont"/>
    <w:link w:val="FootnoteText"/>
    <w:uiPriority w:val="99"/>
    <w:rsid w:val="00E26AF2"/>
  </w:style>
  <w:style w:type="character" w:styleId="FootnoteReference">
    <w:name w:val="footnote reference"/>
    <w:basedOn w:val="DefaultParagraphFont"/>
    <w:uiPriority w:val="99"/>
    <w:unhideWhenUsed/>
    <w:rsid w:val="00E26AF2"/>
    <w:rPr>
      <w:vertAlign w:val="superscript"/>
    </w:rPr>
  </w:style>
  <w:style w:type="paragraph" w:styleId="ListParagraph">
    <w:name w:val="List Paragraph"/>
    <w:basedOn w:val="Normal"/>
    <w:uiPriority w:val="34"/>
    <w:qFormat/>
    <w:rsid w:val="00891B08"/>
    <w:pPr>
      <w:ind w:left="720"/>
      <w:contextualSpacing/>
    </w:pPr>
  </w:style>
  <w:style w:type="character" w:styleId="CommentReference">
    <w:name w:val="annotation reference"/>
    <w:basedOn w:val="DefaultParagraphFont"/>
    <w:uiPriority w:val="99"/>
    <w:semiHidden/>
    <w:unhideWhenUsed/>
    <w:rsid w:val="00852A65"/>
    <w:rPr>
      <w:sz w:val="16"/>
      <w:szCs w:val="16"/>
    </w:rPr>
  </w:style>
  <w:style w:type="paragraph" w:styleId="CommentText">
    <w:name w:val="annotation text"/>
    <w:basedOn w:val="Normal"/>
    <w:link w:val="CommentTextChar"/>
    <w:uiPriority w:val="99"/>
    <w:semiHidden/>
    <w:unhideWhenUsed/>
    <w:rsid w:val="00852A65"/>
    <w:rPr>
      <w:sz w:val="20"/>
      <w:szCs w:val="20"/>
    </w:rPr>
  </w:style>
  <w:style w:type="character" w:customStyle="1" w:styleId="CommentTextChar">
    <w:name w:val="Comment Text Char"/>
    <w:basedOn w:val="DefaultParagraphFont"/>
    <w:link w:val="CommentText"/>
    <w:uiPriority w:val="99"/>
    <w:semiHidden/>
    <w:rsid w:val="00852A65"/>
    <w:rPr>
      <w:sz w:val="20"/>
      <w:szCs w:val="20"/>
    </w:rPr>
  </w:style>
  <w:style w:type="paragraph" w:styleId="CommentSubject">
    <w:name w:val="annotation subject"/>
    <w:basedOn w:val="CommentText"/>
    <w:next w:val="CommentText"/>
    <w:link w:val="CommentSubjectChar"/>
    <w:uiPriority w:val="99"/>
    <w:semiHidden/>
    <w:unhideWhenUsed/>
    <w:rsid w:val="00852A65"/>
    <w:rPr>
      <w:b/>
      <w:bCs/>
    </w:rPr>
  </w:style>
  <w:style w:type="character" w:customStyle="1" w:styleId="CommentSubjectChar">
    <w:name w:val="Comment Subject Char"/>
    <w:basedOn w:val="CommentTextChar"/>
    <w:link w:val="CommentSubject"/>
    <w:uiPriority w:val="99"/>
    <w:semiHidden/>
    <w:rsid w:val="00852A65"/>
    <w:rPr>
      <w:b/>
      <w:bCs/>
      <w:sz w:val="20"/>
      <w:szCs w:val="20"/>
    </w:rPr>
  </w:style>
  <w:style w:type="paragraph" w:styleId="BalloonText">
    <w:name w:val="Balloon Text"/>
    <w:basedOn w:val="Normal"/>
    <w:link w:val="BalloonTextChar"/>
    <w:uiPriority w:val="99"/>
    <w:semiHidden/>
    <w:unhideWhenUsed/>
    <w:rsid w:val="00852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A65"/>
    <w:rPr>
      <w:rFonts w:ascii="Segoe UI" w:hAnsi="Segoe UI" w:cs="Segoe UI"/>
      <w:sz w:val="18"/>
      <w:szCs w:val="18"/>
    </w:rPr>
  </w:style>
  <w:style w:type="character" w:styleId="Hyperlink">
    <w:name w:val="Hyperlink"/>
    <w:basedOn w:val="DefaultParagraphFont"/>
    <w:uiPriority w:val="99"/>
    <w:unhideWhenUsed/>
    <w:rsid w:val="00C31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F38CB3-58E2-4661-A436-47EDA0D3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Johnston</dc:creator>
  <cp:keywords/>
  <dc:description/>
  <cp:lastModifiedBy>Edward Johnston</cp:lastModifiedBy>
  <cp:revision>2</cp:revision>
  <dcterms:created xsi:type="dcterms:W3CDTF">2018-04-20T11:32:00Z</dcterms:created>
  <dcterms:modified xsi:type="dcterms:W3CDTF">2018-04-20T11:32:00Z</dcterms:modified>
</cp:coreProperties>
</file>