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43A" w:rsidRPr="006F343A" w:rsidRDefault="006F343A" w:rsidP="00C97E04">
      <w:pPr>
        <w:autoSpaceDE w:val="0"/>
        <w:autoSpaceDN w:val="0"/>
        <w:adjustRightInd w:val="0"/>
        <w:spacing w:after="0" w:line="480" w:lineRule="auto"/>
        <w:jc w:val="both"/>
        <w:rPr>
          <w:rFonts w:ascii="Times New Roman" w:hAnsi="Times New Roman"/>
          <w:b/>
          <w:sz w:val="24"/>
          <w:szCs w:val="24"/>
          <w:lang w:val="en-US" w:eastAsia="en-GB"/>
        </w:rPr>
      </w:pPr>
      <w:r w:rsidRPr="006F343A">
        <w:rPr>
          <w:rFonts w:ascii="Times New Roman" w:hAnsi="Times New Roman"/>
          <w:b/>
          <w:sz w:val="24"/>
          <w:szCs w:val="24"/>
          <w:lang w:val="en-US" w:eastAsia="en-GB"/>
        </w:rPr>
        <w:t xml:space="preserve">‘The financial war on terrorism: a </w:t>
      </w:r>
      <w:r>
        <w:rPr>
          <w:rFonts w:ascii="Times New Roman" w:hAnsi="Times New Roman"/>
          <w:b/>
          <w:sz w:val="24"/>
          <w:szCs w:val="24"/>
          <w:lang w:val="en-US" w:eastAsia="en-GB"/>
        </w:rPr>
        <w:t xml:space="preserve">critical review </w:t>
      </w:r>
      <w:r w:rsidRPr="006F343A">
        <w:rPr>
          <w:rFonts w:ascii="Times New Roman" w:hAnsi="Times New Roman"/>
          <w:b/>
          <w:sz w:val="24"/>
          <w:szCs w:val="24"/>
          <w:lang w:val="en-US" w:eastAsia="en-GB"/>
        </w:rPr>
        <w:t xml:space="preserve">of </w:t>
      </w:r>
      <w:r>
        <w:rPr>
          <w:rFonts w:ascii="Times New Roman" w:hAnsi="Times New Roman"/>
          <w:b/>
          <w:sz w:val="24"/>
          <w:szCs w:val="24"/>
          <w:lang w:val="en-US" w:eastAsia="en-GB"/>
        </w:rPr>
        <w:t xml:space="preserve">the </w:t>
      </w:r>
      <w:r w:rsidRPr="006F343A">
        <w:rPr>
          <w:rFonts w:ascii="Times New Roman" w:hAnsi="Times New Roman"/>
          <w:b/>
          <w:sz w:val="24"/>
          <w:szCs w:val="24"/>
          <w:lang w:val="en-US" w:eastAsia="en-GB"/>
        </w:rPr>
        <w:t>U</w:t>
      </w:r>
      <w:r>
        <w:rPr>
          <w:rFonts w:ascii="Times New Roman" w:hAnsi="Times New Roman"/>
          <w:b/>
          <w:sz w:val="24"/>
          <w:szCs w:val="24"/>
          <w:lang w:val="en-US" w:eastAsia="en-GB"/>
        </w:rPr>
        <w:t xml:space="preserve">nited Kingdom’s </w:t>
      </w:r>
      <w:r w:rsidRPr="006F343A">
        <w:rPr>
          <w:rFonts w:ascii="Times New Roman" w:hAnsi="Times New Roman"/>
          <w:b/>
          <w:sz w:val="24"/>
          <w:szCs w:val="24"/>
          <w:lang w:val="en-US" w:eastAsia="en-GB"/>
        </w:rPr>
        <w:t>counter-terrorist financing strategies’</w:t>
      </w:r>
    </w:p>
    <w:p w:rsidR="006F343A" w:rsidRDefault="006F343A" w:rsidP="00C97E04">
      <w:pPr>
        <w:autoSpaceDE w:val="0"/>
        <w:autoSpaceDN w:val="0"/>
        <w:adjustRightInd w:val="0"/>
        <w:spacing w:after="0" w:line="480" w:lineRule="auto"/>
        <w:jc w:val="both"/>
        <w:rPr>
          <w:rFonts w:ascii="Times New Roman" w:hAnsi="Times New Roman"/>
          <w:sz w:val="24"/>
          <w:szCs w:val="24"/>
          <w:lang w:val="en-US" w:eastAsia="en-GB"/>
        </w:rPr>
      </w:pPr>
    </w:p>
    <w:p w:rsidR="006F343A" w:rsidRDefault="006F343A" w:rsidP="00C97E04">
      <w:pPr>
        <w:autoSpaceDE w:val="0"/>
        <w:autoSpaceDN w:val="0"/>
        <w:adjustRightInd w:val="0"/>
        <w:spacing w:after="0" w:line="480" w:lineRule="auto"/>
        <w:jc w:val="both"/>
        <w:rPr>
          <w:rFonts w:ascii="Times New Roman" w:hAnsi="Times New Roman"/>
          <w:sz w:val="24"/>
          <w:szCs w:val="24"/>
          <w:lang w:val="en-US" w:eastAsia="en-GB"/>
        </w:rPr>
      </w:pPr>
      <w:r>
        <w:rPr>
          <w:rFonts w:ascii="Times New Roman" w:hAnsi="Times New Roman"/>
          <w:sz w:val="24"/>
          <w:szCs w:val="24"/>
          <w:lang w:val="en-US" w:eastAsia="en-GB"/>
        </w:rPr>
        <w:t>Dr</w:t>
      </w:r>
      <w:r w:rsidR="009E4B96">
        <w:rPr>
          <w:rFonts w:ascii="Times New Roman" w:hAnsi="Times New Roman"/>
          <w:sz w:val="24"/>
          <w:szCs w:val="24"/>
          <w:lang w:val="en-US" w:eastAsia="en-GB"/>
        </w:rPr>
        <w:t>.</w:t>
      </w:r>
      <w:r>
        <w:rPr>
          <w:rFonts w:ascii="Times New Roman" w:hAnsi="Times New Roman"/>
          <w:sz w:val="24"/>
          <w:szCs w:val="24"/>
          <w:lang w:val="en-US" w:eastAsia="en-GB"/>
        </w:rPr>
        <w:t xml:space="preserve"> Nicholas Ryder</w:t>
      </w:r>
      <w:r w:rsidR="009E4B96">
        <w:rPr>
          <w:rFonts w:ascii="Times New Roman" w:hAnsi="Times New Roman"/>
          <w:sz w:val="24"/>
          <w:szCs w:val="24"/>
          <w:lang w:val="en-US" w:eastAsia="en-GB"/>
        </w:rPr>
        <w:t>,</w:t>
      </w:r>
    </w:p>
    <w:p w:rsidR="006F343A" w:rsidRDefault="006F343A" w:rsidP="00C97E04">
      <w:pPr>
        <w:autoSpaceDE w:val="0"/>
        <w:autoSpaceDN w:val="0"/>
        <w:adjustRightInd w:val="0"/>
        <w:spacing w:after="0" w:line="480" w:lineRule="auto"/>
        <w:jc w:val="both"/>
        <w:rPr>
          <w:rFonts w:ascii="Times New Roman" w:hAnsi="Times New Roman"/>
          <w:sz w:val="24"/>
          <w:szCs w:val="24"/>
          <w:lang w:val="en-US" w:eastAsia="en-GB"/>
        </w:rPr>
      </w:pPr>
      <w:r>
        <w:rPr>
          <w:rFonts w:ascii="Times New Roman" w:hAnsi="Times New Roman"/>
          <w:sz w:val="24"/>
          <w:szCs w:val="24"/>
          <w:lang w:val="en-US" w:eastAsia="en-GB"/>
        </w:rPr>
        <w:t>Professor in Financial Crime</w:t>
      </w:r>
      <w:r w:rsidR="009E4B96">
        <w:rPr>
          <w:rFonts w:ascii="Times New Roman" w:hAnsi="Times New Roman"/>
          <w:sz w:val="24"/>
          <w:szCs w:val="24"/>
          <w:lang w:val="en-US" w:eastAsia="en-GB"/>
        </w:rPr>
        <w:t>,</w:t>
      </w:r>
    </w:p>
    <w:p w:rsidR="006F343A" w:rsidRDefault="006F343A" w:rsidP="00C97E04">
      <w:pPr>
        <w:autoSpaceDE w:val="0"/>
        <w:autoSpaceDN w:val="0"/>
        <w:adjustRightInd w:val="0"/>
        <w:spacing w:after="0" w:line="480" w:lineRule="auto"/>
        <w:jc w:val="both"/>
        <w:rPr>
          <w:rFonts w:ascii="Times New Roman" w:hAnsi="Times New Roman"/>
          <w:sz w:val="24"/>
          <w:szCs w:val="24"/>
          <w:lang w:val="en-US" w:eastAsia="en-GB"/>
        </w:rPr>
      </w:pPr>
      <w:r>
        <w:rPr>
          <w:rFonts w:ascii="Times New Roman" w:hAnsi="Times New Roman"/>
          <w:sz w:val="24"/>
          <w:szCs w:val="24"/>
          <w:lang w:val="en-US" w:eastAsia="en-GB"/>
        </w:rPr>
        <w:t>Department of Law</w:t>
      </w:r>
      <w:r w:rsidR="009E4B96">
        <w:rPr>
          <w:rFonts w:ascii="Times New Roman" w:hAnsi="Times New Roman"/>
          <w:sz w:val="24"/>
          <w:szCs w:val="24"/>
          <w:lang w:val="en-US" w:eastAsia="en-GB"/>
        </w:rPr>
        <w:t>,</w:t>
      </w:r>
    </w:p>
    <w:p w:rsidR="009E4B96" w:rsidRDefault="009E4B96" w:rsidP="00C97E04">
      <w:pPr>
        <w:autoSpaceDE w:val="0"/>
        <w:autoSpaceDN w:val="0"/>
        <w:adjustRightInd w:val="0"/>
        <w:spacing w:after="0" w:line="480" w:lineRule="auto"/>
        <w:jc w:val="both"/>
        <w:rPr>
          <w:rFonts w:ascii="Times New Roman" w:hAnsi="Times New Roman"/>
          <w:sz w:val="24"/>
          <w:szCs w:val="24"/>
          <w:lang w:val="en-US" w:eastAsia="en-GB"/>
        </w:rPr>
      </w:pPr>
      <w:r>
        <w:rPr>
          <w:rFonts w:ascii="Times New Roman" w:hAnsi="Times New Roman"/>
          <w:sz w:val="24"/>
          <w:szCs w:val="24"/>
          <w:lang w:val="en-US" w:eastAsia="en-GB"/>
        </w:rPr>
        <w:t>Faculty of Business and Law,</w:t>
      </w:r>
    </w:p>
    <w:p w:rsidR="006F343A" w:rsidRDefault="006F343A" w:rsidP="00C97E04">
      <w:pPr>
        <w:autoSpaceDE w:val="0"/>
        <w:autoSpaceDN w:val="0"/>
        <w:adjustRightInd w:val="0"/>
        <w:spacing w:after="0" w:line="480" w:lineRule="auto"/>
        <w:jc w:val="both"/>
        <w:rPr>
          <w:rFonts w:ascii="Times New Roman" w:hAnsi="Times New Roman"/>
          <w:sz w:val="24"/>
          <w:szCs w:val="24"/>
          <w:lang w:val="en-US" w:eastAsia="en-GB"/>
        </w:rPr>
      </w:pPr>
      <w:r>
        <w:rPr>
          <w:rFonts w:ascii="Times New Roman" w:hAnsi="Times New Roman"/>
          <w:sz w:val="24"/>
          <w:szCs w:val="24"/>
          <w:lang w:val="en-US" w:eastAsia="en-GB"/>
        </w:rPr>
        <w:t>University of the West of England</w:t>
      </w:r>
      <w:r w:rsidR="009E4B96">
        <w:rPr>
          <w:rFonts w:ascii="Times New Roman" w:hAnsi="Times New Roman"/>
          <w:sz w:val="24"/>
          <w:szCs w:val="24"/>
          <w:lang w:val="en-US" w:eastAsia="en-GB"/>
        </w:rPr>
        <w:t>,</w:t>
      </w:r>
    </w:p>
    <w:p w:rsidR="006F343A" w:rsidRPr="006F343A" w:rsidRDefault="006F343A" w:rsidP="00C97E04">
      <w:pPr>
        <w:autoSpaceDE w:val="0"/>
        <w:autoSpaceDN w:val="0"/>
        <w:adjustRightInd w:val="0"/>
        <w:spacing w:after="0" w:line="480" w:lineRule="auto"/>
        <w:jc w:val="both"/>
        <w:rPr>
          <w:rFonts w:ascii="Times New Roman" w:hAnsi="Times New Roman"/>
          <w:sz w:val="24"/>
          <w:szCs w:val="24"/>
          <w:lang w:val="en-US" w:eastAsia="en-GB"/>
        </w:rPr>
      </w:pPr>
      <w:r>
        <w:rPr>
          <w:rFonts w:ascii="Times New Roman" w:hAnsi="Times New Roman"/>
          <w:sz w:val="24"/>
          <w:szCs w:val="24"/>
          <w:lang w:val="en-US" w:eastAsia="en-GB"/>
        </w:rPr>
        <w:t>Bristol</w:t>
      </w:r>
      <w:r w:rsidR="009E4B96">
        <w:rPr>
          <w:rFonts w:ascii="Times New Roman" w:hAnsi="Times New Roman"/>
          <w:sz w:val="24"/>
          <w:szCs w:val="24"/>
          <w:lang w:val="en-US" w:eastAsia="en-GB"/>
        </w:rPr>
        <w:t>.</w:t>
      </w:r>
    </w:p>
    <w:p w:rsidR="006F343A" w:rsidRDefault="006F343A" w:rsidP="00C97E04">
      <w:pPr>
        <w:autoSpaceDE w:val="0"/>
        <w:autoSpaceDN w:val="0"/>
        <w:adjustRightInd w:val="0"/>
        <w:spacing w:after="0" w:line="480" w:lineRule="auto"/>
        <w:jc w:val="both"/>
        <w:rPr>
          <w:rFonts w:ascii="Times New Roman" w:eastAsia="Times New Roman" w:hAnsi="Times New Roman" w:cs="Times New Roman"/>
          <w:b/>
          <w:sz w:val="24"/>
          <w:szCs w:val="24"/>
          <w:lang w:eastAsia="en-GB"/>
        </w:rPr>
      </w:pPr>
    </w:p>
    <w:p w:rsidR="006F343A" w:rsidRDefault="006F343A">
      <w:pP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br w:type="page"/>
      </w:r>
    </w:p>
    <w:p w:rsidR="002916C2" w:rsidRPr="002916C2" w:rsidRDefault="002916C2" w:rsidP="002916C2">
      <w:pPr>
        <w:autoSpaceDE w:val="0"/>
        <w:autoSpaceDN w:val="0"/>
        <w:adjustRightInd w:val="0"/>
        <w:spacing w:after="0" w:line="240" w:lineRule="auto"/>
        <w:rPr>
          <w:rFonts w:ascii="ABCDE E+ Humnst 777 Lt BT" w:hAnsi="ABCDE E+ Humnst 777 Lt BT" w:cs="ABCDE E+ Humnst 777 Lt BT"/>
          <w:color w:val="000000"/>
          <w:sz w:val="24"/>
          <w:szCs w:val="24"/>
        </w:rPr>
      </w:pPr>
    </w:p>
    <w:p w:rsidR="002916C2" w:rsidRPr="002916C2" w:rsidRDefault="002916C2" w:rsidP="002916C2">
      <w:pPr>
        <w:autoSpaceDE w:val="0"/>
        <w:autoSpaceDN w:val="0"/>
        <w:adjustRightInd w:val="0"/>
        <w:spacing w:after="0" w:line="360" w:lineRule="auto"/>
        <w:ind w:left="284" w:right="284"/>
        <w:jc w:val="both"/>
        <w:rPr>
          <w:rFonts w:ascii="Times New Roman" w:hAnsi="Times New Roman" w:cs="Times New Roman"/>
          <w:color w:val="000000"/>
          <w:sz w:val="24"/>
          <w:szCs w:val="24"/>
        </w:rPr>
      </w:pPr>
      <w:r w:rsidRPr="002916C2">
        <w:rPr>
          <w:rFonts w:ascii="Times New Roman" w:hAnsi="Times New Roman" w:cs="Times New Roman"/>
          <w:color w:val="000000"/>
          <w:sz w:val="24"/>
          <w:szCs w:val="24"/>
        </w:rPr>
        <w:t xml:space="preserve">The greatest threat to the UK is </w:t>
      </w:r>
      <w:r>
        <w:rPr>
          <w:rFonts w:ascii="Times New Roman" w:hAnsi="Times New Roman" w:cs="Times New Roman"/>
          <w:color w:val="000000"/>
          <w:sz w:val="24"/>
          <w:szCs w:val="24"/>
        </w:rPr>
        <w:t>assessed to be from Al Qaida Core, AQ Arab Peninsula, AQ Islamic Maghreb</w:t>
      </w:r>
      <w:r w:rsidRPr="002916C2">
        <w:rPr>
          <w:rFonts w:ascii="Times New Roman" w:hAnsi="Times New Roman" w:cs="Times New Roman"/>
          <w:color w:val="000000"/>
          <w:sz w:val="24"/>
          <w:szCs w:val="24"/>
        </w:rPr>
        <w:t>, Islamic Sta</w:t>
      </w:r>
      <w:r>
        <w:rPr>
          <w:rFonts w:ascii="Times New Roman" w:hAnsi="Times New Roman" w:cs="Times New Roman"/>
          <w:color w:val="000000"/>
          <w:sz w:val="24"/>
          <w:szCs w:val="24"/>
        </w:rPr>
        <w:t>te of Iraq and the Levant</w:t>
      </w:r>
      <w:r w:rsidRPr="002916C2">
        <w:rPr>
          <w:rFonts w:ascii="Times New Roman" w:hAnsi="Times New Roman" w:cs="Times New Roman"/>
          <w:color w:val="000000"/>
          <w:sz w:val="24"/>
          <w:szCs w:val="24"/>
        </w:rPr>
        <w:t>, Al –</w:t>
      </w:r>
      <w:r>
        <w:rPr>
          <w:rFonts w:ascii="Times New Roman" w:hAnsi="Times New Roman" w:cs="Times New Roman"/>
          <w:color w:val="000000"/>
          <w:sz w:val="24"/>
          <w:szCs w:val="24"/>
        </w:rPr>
        <w:t>Nusrah Front</w:t>
      </w:r>
      <w:r w:rsidRPr="002916C2">
        <w:rPr>
          <w:rFonts w:ascii="Times New Roman" w:hAnsi="Times New Roman" w:cs="Times New Roman"/>
          <w:color w:val="000000"/>
          <w:sz w:val="24"/>
          <w:szCs w:val="24"/>
        </w:rPr>
        <w:t xml:space="preserve"> and those affiliated to these groups. Terrorist attacks in the UK have required minimal finance, however a lack of funds can have a direct effect on the ability of terrorist organisations and individuals to operate and to mount attacks. Terrorists may use any means at their disposal to raise, store and move funds and this can be through use of legitimate means, self-funding, fraud, or other proceeds of crime</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1"/>
      </w:r>
    </w:p>
    <w:p w:rsidR="00C97E04" w:rsidRPr="00C97E04" w:rsidRDefault="00C97E04" w:rsidP="007813B2">
      <w:pPr>
        <w:autoSpaceDE w:val="0"/>
        <w:autoSpaceDN w:val="0"/>
        <w:adjustRightInd w:val="0"/>
        <w:spacing w:after="0" w:line="480" w:lineRule="auto"/>
        <w:ind w:right="284"/>
        <w:jc w:val="both"/>
        <w:rPr>
          <w:rFonts w:ascii="Times New Roman" w:eastAsia="Times New Roman" w:hAnsi="Times New Roman" w:cs="Times New Roman"/>
          <w:sz w:val="24"/>
          <w:szCs w:val="24"/>
          <w:lang w:eastAsia="en-GB"/>
        </w:rPr>
      </w:pPr>
    </w:p>
    <w:p w:rsidR="00C97E04" w:rsidRPr="00C97E04" w:rsidRDefault="00C97E04" w:rsidP="00C97E04">
      <w:pPr>
        <w:autoSpaceDE w:val="0"/>
        <w:autoSpaceDN w:val="0"/>
        <w:adjustRightInd w:val="0"/>
        <w:spacing w:after="0" w:line="480" w:lineRule="auto"/>
        <w:jc w:val="both"/>
        <w:rPr>
          <w:rFonts w:ascii="Times New Roman" w:eastAsia="Times New Roman" w:hAnsi="Times New Roman" w:cs="Times New Roman"/>
          <w:b/>
          <w:sz w:val="24"/>
          <w:szCs w:val="24"/>
          <w:lang w:eastAsia="en-GB"/>
        </w:rPr>
      </w:pPr>
      <w:r w:rsidRPr="00C97E04">
        <w:rPr>
          <w:rFonts w:ascii="Times New Roman" w:eastAsia="Times New Roman" w:hAnsi="Times New Roman" w:cs="Times New Roman"/>
          <w:b/>
          <w:sz w:val="24"/>
          <w:szCs w:val="24"/>
          <w:lang w:eastAsia="en-GB"/>
        </w:rPr>
        <w:t>Introduction</w:t>
      </w:r>
    </w:p>
    <w:p w:rsidR="00C97E04" w:rsidRPr="00C97E04" w:rsidRDefault="00C97E04" w:rsidP="00C97E04">
      <w:pPr>
        <w:autoSpaceDE w:val="0"/>
        <w:autoSpaceDN w:val="0"/>
        <w:adjustRightInd w:val="0"/>
        <w:spacing w:after="0" w:line="480" w:lineRule="auto"/>
        <w:jc w:val="both"/>
        <w:rPr>
          <w:rFonts w:ascii="Times New Roman" w:eastAsia="Times New Roman" w:hAnsi="Times New Roman" w:cs="Times New Roman"/>
          <w:b/>
          <w:sz w:val="24"/>
          <w:szCs w:val="24"/>
          <w:lang w:eastAsia="en-GB"/>
        </w:rPr>
      </w:pPr>
    </w:p>
    <w:p w:rsidR="00C97E04" w:rsidRDefault="006F343A" w:rsidP="00C97E04">
      <w:pPr>
        <w:autoSpaceDE w:val="0"/>
        <w:autoSpaceDN w:val="0"/>
        <w:adjustRightInd w:val="0"/>
        <w:spacing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This </w:t>
      </w:r>
      <w:r w:rsidR="00C97E04" w:rsidRPr="00C97E04">
        <w:rPr>
          <w:rFonts w:ascii="Times New Roman" w:eastAsia="Times New Roman" w:hAnsi="Times New Roman" w:cs="Times New Roman"/>
          <w:sz w:val="24"/>
          <w:szCs w:val="24"/>
          <w:lang w:eastAsia="en-GB"/>
        </w:rPr>
        <w:t xml:space="preserve">chapter concentrates on the counter-terrorist financing </w:t>
      </w:r>
      <w:r w:rsidR="00C97E04" w:rsidRPr="00C97E04">
        <w:rPr>
          <w:rFonts w:ascii="Times New Roman" w:eastAsiaTheme="majorEastAsia" w:hAnsi="Times New Roman" w:cs="Times New Roman"/>
          <w:sz w:val="24"/>
          <w:szCs w:val="24"/>
          <w:vertAlign w:val="superscript"/>
          <w:lang w:eastAsia="en-GB"/>
        </w:rPr>
        <w:footnoteReference w:id="2"/>
      </w:r>
      <w:r w:rsidR="00C97E04" w:rsidRPr="00C97E04">
        <w:rPr>
          <w:rFonts w:ascii="Times New Roman" w:eastAsia="Times New Roman" w:hAnsi="Times New Roman" w:cs="Times New Roman"/>
          <w:sz w:val="24"/>
          <w:szCs w:val="24"/>
          <w:lang w:eastAsia="en-GB"/>
        </w:rPr>
        <w:t xml:space="preserve"> measures and policies adopted in the United Kingdom.</w:t>
      </w:r>
      <w:r w:rsidR="00C97E04" w:rsidRPr="00C97E04">
        <w:rPr>
          <w:rFonts w:ascii="Times New Roman" w:eastAsiaTheme="majorEastAsia" w:hAnsi="Times New Roman" w:cs="Times New Roman"/>
          <w:sz w:val="24"/>
          <w:szCs w:val="24"/>
          <w:vertAlign w:val="superscript"/>
          <w:lang w:eastAsia="en-GB"/>
        </w:rPr>
        <w:footnoteReference w:id="3"/>
      </w:r>
      <w:r w:rsidR="00C97E04" w:rsidRPr="00C97E04">
        <w:rPr>
          <w:rFonts w:ascii="Times New Roman" w:eastAsia="Times New Roman" w:hAnsi="Times New Roman" w:cs="Times New Roman"/>
          <w:sz w:val="24"/>
          <w:szCs w:val="24"/>
          <w:lang w:eastAsia="en-GB"/>
        </w:rPr>
        <w:t xml:space="preserve">  The UK</w:t>
      </w:r>
      <w:r w:rsidR="00141856">
        <w:rPr>
          <w:rFonts w:ascii="Times New Roman" w:eastAsia="Times New Roman" w:hAnsi="Times New Roman" w:cs="Times New Roman"/>
          <w:sz w:val="24"/>
          <w:szCs w:val="24"/>
          <w:lang w:eastAsia="en-GB"/>
        </w:rPr>
        <w:t>, unlike many other jurisdictions,</w:t>
      </w:r>
      <w:r w:rsidR="00C97E04" w:rsidRPr="00C97E04">
        <w:rPr>
          <w:rFonts w:ascii="Times New Roman" w:eastAsia="Times New Roman" w:hAnsi="Times New Roman" w:cs="Times New Roman"/>
          <w:sz w:val="24"/>
          <w:szCs w:val="24"/>
          <w:lang w:eastAsia="en-GB"/>
        </w:rPr>
        <w:t xml:space="preserve"> has a long and established history of tackling terrorism and has implemented a wide range of </w:t>
      </w:r>
      <w:r w:rsidR="00141856">
        <w:rPr>
          <w:rFonts w:ascii="Times New Roman" w:eastAsia="Times New Roman" w:hAnsi="Times New Roman" w:cs="Times New Roman"/>
          <w:sz w:val="24"/>
          <w:szCs w:val="24"/>
          <w:lang w:eastAsia="en-GB"/>
        </w:rPr>
        <w:t>legislative and policy measures</w:t>
      </w:r>
      <w:r w:rsidR="00C97E04" w:rsidRPr="00C97E04">
        <w:rPr>
          <w:rFonts w:ascii="Times New Roman" w:eastAsia="Times New Roman" w:hAnsi="Times New Roman" w:cs="Times New Roman"/>
          <w:sz w:val="24"/>
          <w:szCs w:val="24"/>
          <w:lang w:eastAsia="en-GB"/>
        </w:rPr>
        <w:t xml:space="preserve">.  These legislative measures, which were </w:t>
      </w:r>
      <w:r w:rsidR="00141856">
        <w:rPr>
          <w:rFonts w:ascii="Times New Roman" w:eastAsia="Times New Roman" w:hAnsi="Times New Roman" w:cs="Times New Roman"/>
          <w:sz w:val="24"/>
          <w:szCs w:val="24"/>
          <w:lang w:eastAsia="en-GB"/>
        </w:rPr>
        <w:t xml:space="preserve">originally </w:t>
      </w:r>
      <w:r w:rsidR="00C97E04" w:rsidRPr="00C97E04">
        <w:rPr>
          <w:rFonts w:ascii="Times New Roman" w:eastAsia="Times New Roman" w:hAnsi="Times New Roman" w:cs="Times New Roman"/>
          <w:sz w:val="24"/>
          <w:szCs w:val="24"/>
          <w:lang w:eastAsia="en-GB"/>
        </w:rPr>
        <w:t xml:space="preserve">enacted </w:t>
      </w:r>
      <w:r w:rsidR="00141856">
        <w:rPr>
          <w:rFonts w:ascii="Times New Roman" w:eastAsia="Times New Roman" w:hAnsi="Times New Roman" w:cs="Times New Roman"/>
          <w:sz w:val="24"/>
          <w:szCs w:val="24"/>
          <w:lang w:eastAsia="en-GB"/>
        </w:rPr>
        <w:t>over a century ago</w:t>
      </w:r>
      <w:r w:rsidR="00C97E04" w:rsidRPr="00C97E04">
        <w:rPr>
          <w:rFonts w:ascii="Times New Roman" w:eastAsia="Times New Roman" w:hAnsi="Times New Roman" w:cs="Times New Roman"/>
          <w:sz w:val="24"/>
          <w:szCs w:val="24"/>
          <w:lang w:eastAsia="en-GB"/>
        </w:rPr>
        <w:t xml:space="preserve">, have been amended in response to the growing threat posed by </w:t>
      </w:r>
      <w:r w:rsidR="00141856">
        <w:rPr>
          <w:rFonts w:ascii="Times New Roman" w:eastAsia="Times New Roman" w:hAnsi="Times New Roman" w:cs="Times New Roman"/>
          <w:sz w:val="24"/>
          <w:szCs w:val="24"/>
          <w:lang w:eastAsia="en-GB"/>
        </w:rPr>
        <w:t xml:space="preserve">international </w:t>
      </w:r>
      <w:r w:rsidR="00C97E04" w:rsidRPr="00C97E04">
        <w:rPr>
          <w:rFonts w:ascii="Times New Roman" w:eastAsia="Times New Roman" w:hAnsi="Times New Roman" w:cs="Times New Roman"/>
          <w:sz w:val="24"/>
          <w:szCs w:val="24"/>
          <w:lang w:eastAsia="en-GB"/>
        </w:rPr>
        <w:t xml:space="preserve">terrorism.  </w:t>
      </w:r>
      <w:r w:rsidR="00691F00">
        <w:rPr>
          <w:rFonts w:ascii="Times New Roman" w:eastAsia="Times New Roman" w:hAnsi="Times New Roman" w:cs="Times New Roman"/>
          <w:sz w:val="24"/>
          <w:szCs w:val="24"/>
          <w:lang w:eastAsia="en-GB"/>
        </w:rPr>
        <w:t xml:space="preserve">The </w:t>
      </w:r>
      <w:r w:rsidR="00ED4648">
        <w:rPr>
          <w:rFonts w:ascii="Times New Roman" w:eastAsia="Times New Roman" w:hAnsi="Times New Roman" w:cs="Times New Roman"/>
          <w:sz w:val="24"/>
          <w:szCs w:val="24"/>
          <w:lang w:eastAsia="en-GB"/>
        </w:rPr>
        <w:t xml:space="preserve">UK terrorist </w:t>
      </w:r>
      <w:r w:rsidR="00691F00">
        <w:rPr>
          <w:rFonts w:ascii="Times New Roman" w:eastAsia="Times New Roman" w:hAnsi="Times New Roman" w:cs="Times New Roman"/>
          <w:sz w:val="24"/>
          <w:szCs w:val="24"/>
          <w:lang w:eastAsia="en-GB"/>
        </w:rPr>
        <w:t>legis</w:t>
      </w:r>
      <w:r w:rsidR="000A197B">
        <w:rPr>
          <w:rFonts w:ascii="Times New Roman" w:eastAsia="Times New Roman" w:hAnsi="Times New Roman" w:cs="Times New Roman"/>
          <w:sz w:val="24"/>
          <w:szCs w:val="24"/>
          <w:lang w:eastAsia="en-GB"/>
        </w:rPr>
        <w:t>lation was extended to include</w:t>
      </w:r>
      <w:r w:rsidR="00691F00">
        <w:rPr>
          <w:rFonts w:ascii="Times New Roman" w:eastAsia="Times New Roman" w:hAnsi="Times New Roman" w:cs="Times New Roman"/>
          <w:sz w:val="24"/>
          <w:szCs w:val="24"/>
          <w:lang w:eastAsia="en-GB"/>
        </w:rPr>
        <w:t xml:space="preserve"> CTF </w:t>
      </w:r>
      <w:r w:rsidR="000A197B">
        <w:rPr>
          <w:rFonts w:ascii="Times New Roman" w:eastAsia="Times New Roman" w:hAnsi="Times New Roman" w:cs="Times New Roman"/>
          <w:sz w:val="24"/>
          <w:szCs w:val="24"/>
          <w:lang w:eastAsia="en-GB"/>
        </w:rPr>
        <w:t xml:space="preserve">provisions </w:t>
      </w:r>
      <w:r w:rsidR="00141856">
        <w:rPr>
          <w:rFonts w:ascii="Times New Roman" w:eastAsia="Times New Roman" w:hAnsi="Times New Roman" w:cs="Times New Roman"/>
          <w:sz w:val="24"/>
          <w:szCs w:val="24"/>
          <w:lang w:eastAsia="en-GB"/>
        </w:rPr>
        <w:t xml:space="preserve">prior to the terrorist attacks in </w:t>
      </w:r>
      <w:r w:rsidR="000A197B">
        <w:rPr>
          <w:rFonts w:ascii="Times New Roman" w:eastAsia="Times New Roman" w:hAnsi="Times New Roman" w:cs="Times New Roman"/>
          <w:sz w:val="24"/>
          <w:szCs w:val="24"/>
          <w:lang w:eastAsia="en-GB"/>
        </w:rPr>
        <w:t>S</w:t>
      </w:r>
      <w:r w:rsidR="00141856">
        <w:rPr>
          <w:rFonts w:ascii="Times New Roman" w:eastAsia="Times New Roman" w:hAnsi="Times New Roman" w:cs="Times New Roman"/>
          <w:sz w:val="24"/>
          <w:szCs w:val="24"/>
          <w:lang w:eastAsia="en-GB"/>
        </w:rPr>
        <w:t xml:space="preserve">eptember </w:t>
      </w:r>
      <w:r w:rsidR="000A197B">
        <w:rPr>
          <w:rFonts w:ascii="Times New Roman" w:eastAsia="Times New Roman" w:hAnsi="Times New Roman" w:cs="Times New Roman"/>
          <w:sz w:val="24"/>
          <w:szCs w:val="24"/>
          <w:lang w:eastAsia="en-GB"/>
        </w:rPr>
        <w:t xml:space="preserve">2001 </w:t>
      </w:r>
      <w:r w:rsidR="00691F00">
        <w:rPr>
          <w:rStyle w:val="FootnoteReference"/>
          <w:rFonts w:ascii="Times New Roman" w:eastAsia="Times New Roman" w:hAnsi="Times New Roman" w:cs="Times New Roman"/>
          <w:sz w:val="24"/>
          <w:szCs w:val="24"/>
          <w:lang w:eastAsia="en-GB"/>
        </w:rPr>
        <w:footnoteReference w:id="4"/>
      </w:r>
      <w:r w:rsidR="00141856">
        <w:rPr>
          <w:rFonts w:ascii="Times New Roman" w:eastAsia="Times New Roman" w:hAnsi="Times New Roman" w:cs="Times New Roman"/>
          <w:sz w:val="24"/>
          <w:szCs w:val="24"/>
          <w:lang w:eastAsia="en-GB"/>
        </w:rPr>
        <w:t xml:space="preserve"> </w:t>
      </w:r>
      <w:r w:rsidR="000A197B">
        <w:rPr>
          <w:rFonts w:ascii="Times New Roman" w:eastAsia="Times New Roman" w:hAnsi="Times New Roman" w:cs="Times New Roman"/>
          <w:sz w:val="24"/>
          <w:szCs w:val="24"/>
          <w:lang w:eastAsia="en-GB"/>
        </w:rPr>
        <w:t xml:space="preserve">and the introduction of the </w:t>
      </w:r>
      <w:r w:rsidR="00C97E04" w:rsidRPr="00C97E04">
        <w:rPr>
          <w:rFonts w:ascii="Times New Roman" w:eastAsia="Times New Roman" w:hAnsi="Times New Roman" w:cs="Times New Roman"/>
          <w:sz w:val="24"/>
          <w:szCs w:val="24"/>
          <w:lang w:eastAsia="en-GB"/>
        </w:rPr>
        <w:t>International Convention on the Suppression of Terrorist Financing.</w:t>
      </w:r>
      <w:r w:rsidR="00C97E04" w:rsidRPr="00C97E04">
        <w:rPr>
          <w:rFonts w:ascii="Times New Roman" w:eastAsiaTheme="majorEastAsia" w:hAnsi="Times New Roman" w:cs="Times New Roman"/>
          <w:sz w:val="24"/>
          <w:szCs w:val="24"/>
          <w:vertAlign w:val="superscript"/>
          <w:lang w:eastAsia="en-GB"/>
        </w:rPr>
        <w:footnoteReference w:id="5"/>
      </w:r>
      <w:r w:rsidR="00C97E04" w:rsidRPr="00C97E04">
        <w:rPr>
          <w:rFonts w:ascii="Times New Roman" w:eastAsia="Times New Roman" w:hAnsi="Times New Roman" w:cs="Times New Roman"/>
          <w:sz w:val="24"/>
          <w:szCs w:val="24"/>
          <w:lang w:eastAsia="en-GB"/>
        </w:rPr>
        <w:t xml:space="preserve">  </w:t>
      </w:r>
      <w:r w:rsidR="000A197B">
        <w:rPr>
          <w:rFonts w:ascii="Times New Roman" w:eastAsia="Times New Roman" w:hAnsi="Times New Roman" w:cs="Times New Roman"/>
          <w:sz w:val="24"/>
          <w:szCs w:val="24"/>
          <w:lang w:eastAsia="en-GB"/>
        </w:rPr>
        <w:t xml:space="preserve">The first part of the chapter seeks to define the ‘Financial War on Terrorism’ and it then moves on to briefly comment on the UKs </w:t>
      </w:r>
      <w:r w:rsidR="00C97E04" w:rsidRPr="00C97E04">
        <w:rPr>
          <w:rFonts w:ascii="Times New Roman" w:eastAsia="Times New Roman" w:hAnsi="Times New Roman" w:cs="Times New Roman"/>
          <w:sz w:val="24"/>
          <w:szCs w:val="24"/>
          <w:lang w:eastAsia="en-GB"/>
        </w:rPr>
        <w:t xml:space="preserve">CTF legislation that existed before </w:t>
      </w:r>
      <w:r w:rsidR="000A197B">
        <w:rPr>
          <w:rFonts w:ascii="Times New Roman" w:eastAsia="Times New Roman" w:hAnsi="Times New Roman" w:cs="Times New Roman"/>
          <w:sz w:val="24"/>
          <w:szCs w:val="24"/>
          <w:lang w:eastAsia="en-GB"/>
        </w:rPr>
        <w:t>9/11.</w:t>
      </w:r>
      <w:r w:rsidR="00C97E04" w:rsidRPr="00C97E04">
        <w:rPr>
          <w:rFonts w:ascii="Times New Roman" w:eastAsia="Times New Roman" w:hAnsi="Times New Roman" w:cs="Times New Roman"/>
          <w:sz w:val="24"/>
          <w:szCs w:val="24"/>
          <w:lang w:eastAsia="en-GB"/>
        </w:rPr>
        <w:t xml:space="preserve">  The </w:t>
      </w:r>
      <w:r w:rsidR="000A197B">
        <w:rPr>
          <w:rFonts w:ascii="Times New Roman" w:eastAsia="Times New Roman" w:hAnsi="Times New Roman" w:cs="Times New Roman"/>
          <w:sz w:val="24"/>
          <w:szCs w:val="24"/>
          <w:lang w:eastAsia="en-GB"/>
        </w:rPr>
        <w:t>next pa</w:t>
      </w:r>
      <w:r w:rsidR="00ED4648">
        <w:rPr>
          <w:rFonts w:ascii="Times New Roman" w:eastAsia="Times New Roman" w:hAnsi="Times New Roman" w:cs="Times New Roman"/>
          <w:sz w:val="24"/>
          <w:szCs w:val="24"/>
          <w:lang w:eastAsia="en-GB"/>
        </w:rPr>
        <w:t>r</w:t>
      </w:r>
      <w:r w:rsidR="000A197B">
        <w:rPr>
          <w:rFonts w:ascii="Times New Roman" w:eastAsia="Times New Roman" w:hAnsi="Times New Roman" w:cs="Times New Roman"/>
          <w:sz w:val="24"/>
          <w:szCs w:val="24"/>
          <w:lang w:eastAsia="en-GB"/>
        </w:rPr>
        <w:t xml:space="preserve">t of the </w:t>
      </w:r>
      <w:r w:rsidR="00C97E04" w:rsidRPr="00C97E04">
        <w:rPr>
          <w:rFonts w:ascii="Times New Roman" w:eastAsia="Times New Roman" w:hAnsi="Times New Roman" w:cs="Times New Roman"/>
          <w:sz w:val="24"/>
          <w:szCs w:val="24"/>
          <w:lang w:eastAsia="en-GB"/>
        </w:rPr>
        <w:t>chapter considers the impact of the ‘Financial War on Terrorism’ on the UKs CTF legislation</w:t>
      </w:r>
      <w:r w:rsidR="000A197B">
        <w:rPr>
          <w:rFonts w:ascii="Times New Roman" w:eastAsia="Times New Roman" w:hAnsi="Times New Roman" w:cs="Times New Roman"/>
          <w:sz w:val="24"/>
          <w:szCs w:val="24"/>
          <w:lang w:eastAsia="en-GB"/>
        </w:rPr>
        <w:t xml:space="preserve"> after </w:t>
      </w:r>
      <w:r w:rsidR="00DC144B">
        <w:rPr>
          <w:rFonts w:ascii="Times New Roman" w:eastAsia="Times New Roman" w:hAnsi="Times New Roman" w:cs="Times New Roman"/>
          <w:sz w:val="24"/>
          <w:szCs w:val="24"/>
          <w:lang w:eastAsia="en-GB"/>
        </w:rPr>
        <w:t>9/11</w:t>
      </w:r>
      <w:r w:rsidR="000A197B">
        <w:rPr>
          <w:rFonts w:ascii="Times New Roman" w:eastAsia="Times New Roman" w:hAnsi="Times New Roman" w:cs="Times New Roman"/>
          <w:sz w:val="24"/>
          <w:szCs w:val="24"/>
          <w:lang w:eastAsia="en-GB"/>
        </w:rPr>
        <w:t xml:space="preserve"> and it c</w:t>
      </w:r>
      <w:r w:rsidR="00C97E04" w:rsidRPr="00C97E04">
        <w:rPr>
          <w:rFonts w:ascii="Times New Roman" w:eastAsia="Times New Roman" w:hAnsi="Times New Roman" w:cs="Times New Roman"/>
          <w:sz w:val="24"/>
          <w:szCs w:val="24"/>
          <w:lang w:eastAsia="en-GB"/>
        </w:rPr>
        <w:t>oncentrates on the criminalisation of terrorist financing, the ability to freeze the assets of terrorists, the confiscation or forfeiture of terrorist assets, the implement</w:t>
      </w:r>
      <w:r w:rsidR="00DC144B">
        <w:rPr>
          <w:rFonts w:ascii="Times New Roman" w:eastAsia="Times New Roman" w:hAnsi="Times New Roman" w:cs="Times New Roman"/>
          <w:sz w:val="24"/>
          <w:szCs w:val="24"/>
          <w:lang w:eastAsia="en-GB"/>
        </w:rPr>
        <w:t xml:space="preserve">ation of the </w:t>
      </w:r>
      <w:r w:rsidR="00C97E04" w:rsidRPr="00C97E04">
        <w:rPr>
          <w:rFonts w:ascii="Times New Roman" w:eastAsia="Times New Roman" w:hAnsi="Times New Roman" w:cs="Times New Roman"/>
          <w:sz w:val="24"/>
          <w:szCs w:val="24"/>
          <w:lang w:eastAsia="en-GB"/>
        </w:rPr>
        <w:t>U</w:t>
      </w:r>
      <w:r w:rsidR="00DC144B">
        <w:rPr>
          <w:rFonts w:ascii="Times New Roman" w:eastAsia="Times New Roman" w:hAnsi="Times New Roman" w:cs="Times New Roman"/>
          <w:sz w:val="24"/>
          <w:szCs w:val="24"/>
          <w:lang w:eastAsia="en-GB"/>
        </w:rPr>
        <w:t xml:space="preserve">nited </w:t>
      </w:r>
      <w:r w:rsidR="00C97E04" w:rsidRPr="00C97E04">
        <w:rPr>
          <w:rFonts w:ascii="Times New Roman" w:eastAsia="Times New Roman" w:hAnsi="Times New Roman" w:cs="Times New Roman"/>
          <w:sz w:val="24"/>
          <w:szCs w:val="24"/>
          <w:lang w:eastAsia="en-GB"/>
        </w:rPr>
        <w:t>N</w:t>
      </w:r>
      <w:r w:rsidR="00DC144B">
        <w:rPr>
          <w:rFonts w:ascii="Times New Roman" w:eastAsia="Times New Roman" w:hAnsi="Times New Roman" w:cs="Times New Roman"/>
          <w:sz w:val="24"/>
          <w:szCs w:val="24"/>
          <w:lang w:eastAsia="en-GB"/>
        </w:rPr>
        <w:t>ations</w:t>
      </w:r>
      <w:r w:rsidR="00C97E04" w:rsidRPr="00C97E04">
        <w:rPr>
          <w:rFonts w:ascii="Times New Roman" w:eastAsia="Times New Roman" w:hAnsi="Times New Roman" w:cs="Times New Roman"/>
          <w:sz w:val="24"/>
          <w:szCs w:val="24"/>
          <w:lang w:eastAsia="en-GB"/>
        </w:rPr>
        <w:t xml:space="preserve"> </w:t>
      </w:r>
      <w:r w:rsidR="00DC144B">
        <w:rPr>
          <w:rStyle w:val="FootnoteReference"/>
          <w:rFonts w:ascii="Times New Roman" w:eastAsia="Times New Roman" w:hAnsi="Times New Roman" w:cs="Times New Roman"/>
          <w:sz w:val="24"/>
          <w:szCs w:val="24"/>
          <w:lang w:eastAsia="en-GB"/>
        </w:rPr>
        <w:footnoteReference w:id="6"/>
      </w:r>
      <w:r w:rsidR="00ED4648">
        <w:rPr>
          <w:rFonts w:ascii="Times New Roman" w:eastAsia="Times New Roman" w:hAnsi="Times New Roman" w:cs="Times New Roman"/>
          <w:sz w:val="24"/>
          <w:szCs w:val="24"/>
          <w:lang w:eastAsia="en-GB"/>
        </w:rPr>
        <w:t xml:space="preserve"> </w:t>
      </w:r>
      <w:r w:rsidR="00C97E04" w:rsidRPr="00C97E04">
        <w:rPr>
          <w:rFonts w:ascii="Times New Roman" w:eastAsia="Times New Roman" w:hAnsi="Times New Roman" w:cs="Times New Roman"/>
          <w:sz w:val="24"/>
          <w:szCs w:val="24"/>
          <w:lang w:eastAsia="en-GB"/>
        </w:rPr>
        <w:t xml:space="preserve">sanctions regime and the use of </w:t>
      </w:r>
      <w:r w:rsidR="00C97E04" w:rsidRPr="00C97E04">
        <w:rPr>
          <w:rFonts w:ascii="Times New Roman" w:eastAsia="Times New Roman" w:hAnsi="Times New Roman" w:cs="Times New Roman"/>
          <w:sz w:val="24"/>
          <w:szCs w:val="24"/>
          <w:lang w:eastAsia="en-GB"/>
        </w:rPr>
        <w:lastRenderedPageBreak/>
        <w:t>financial intelligence provided to the National Crime Agency.</w:t>
      </w:r>
      <w:r w:rsidR="00C97E04" w:rsidRPr="00C97E04">
        <w:rPr>
          <w:rFonts w:ascii="Times New Roman" w:eastAsiaTheme="majorEastAsia" w:hAnsi="Times New Roman" w:cs="Times New Roman"/>
          <w:sz w:val="24"/>
          <w:szCs w:val="24"/>
          <w:vertAlign w:val="superscript"/>
          <w:lang w:eastAsia="en-GB"/>
        </w:rPr>
        <w:footnoteReference w:id="7"/>
      </w:r>
      <w:r w:rsidR="00ED4648">
        <w:rPr>
          <w:rFonts w:ascii="Times New Roman" w:eastAsia="Times New Roman" w:hAnsi="Times New Roman" w:cs="Times New Roman"/>
          <w:sz w:val="24"/>
          <w:szCs w:val="24"/>
          <w:lang w:eastAsia="en-GB"/>
        </w:rPr>
        <w:t xml:space="preserve">  </w:t>
      </w:r>
      <w:r w:rsidR="00ED4648" w:rsidRPr="00C97E04">
        <w:rPr>
          <w:rFonts w:ascii="Times New Roman" w:eastAsia="Times New Roman" w:hAnsi="Times New Roman" w:cs="Times New Roman"/>
          <w:sz w:val="24"/>
          <w:szCs w:val="24"/>
          <w:lang w:eastAsia="en-GB"/>
        </w:rPr>
        <w:t xml:space="preserve">Therefore, </w:t>
      </w:r>
      <w:r w:rsidR="00ED4648">
        <w:rPr>
          <w:rFonts w:ascii="Times New Roman" w:eastAsia="Times New Roman" w:hAnsi="Times New Roman" w:cs="Times New Roman"/>
          <w:sz w:val="24"/>
          <w:szCs w:val="24"/>
          <w:lang w:eastAsia="en-GB"/>
        </w:rPr>
        <w:t>the central theme of the</w:t>
      </w:r>
      <w:r w:rsidR="00ED4648" w:rsidRPr="00C97E04">
        <w:rPr>
          <w:rFonts w:ascii="Times New Roman" w:eastAsia="Times New Roman" w:hAnsi="Times New Roman" w:cs="Times New Roman"/>
          <w:sz w:val="24"/>
          <w:szCs w:val="24"/>
          <w:lang w:eastAsia="en-GB"/>
        </w:rPr>
        <w:t xml:space="preserve"> chapter is to identity the impact of t</w:t>
      </w:r>
      <w:r w:rsidR="00ED4648">
        <w:rPr>
          <w:rFonts w:ascii="Times New Roman" w:eastAsia="Times New Roman" w:hAnsi="Times New Roman" w:cs="Times New Roman"/>
          <w:sz w:val="24"/>
          <w:szCs w:val="24"/>
          <w:lang w:eastAsia="en-GB"/>
        </w:rPr>
        <w:t>he ‘Financial War on Terrorism’ i</w:t>
      </w:r>
      <w:r w:rsidR="00ED4648" w:rsidRPr="00C97E04">
        <w:rPr>
          <w:rFonts w:ascii="Times New Roman" w:eastAsia="Times New Roman" w:hAnsi="Times New Roman" w:cs="Times New Roman"/>
          <w:sz w:val="24"/>
          <w:szCs w:val="24"/>
          <w:lang w:eastAsia="en-GB"/>
        </w:rPr>
        <w:t xml:space="preserve">n </w:t>
      </w:r>
      <w:r w:rsidR="00ED4648">
        <w:rPr>
          <w:rFonts w:ascii="Times New Roman" w:eastAsia="Times New Roman" w:hAnsi="Times New Roman" w:cs="Times New Roman"/>
          <w:sz w:val="24"/>
          <w:szCs w:val="24"/>
          <w:lang w:eastAsia="en-GB"/>
        </w:rPr>
        <w:t>the UK</w:t>
      </w:r>
      <w:r w:rsidR="00ED4648" w:rsidRPr="00C97E04">
        <w:rPr>
          <w:rFonts w:ascii="Times New Roman" w:eastAsia="Times New Roman" w:hAnsi="Times New Roman" w:cs="Times New Roman"/>
          <w:sz w:val="24"/>
          <w:szCs w:val="24"/>
          <w:lang w:eastAsia="en-GB"/>
        </w:rPr>
        <w:t xml:space="preserve">.  </w:t>
      </w:r>
    </w:p>
    <w:p w:rsidR="00ED4648" w:rsidRDefault="00ED4648" w:rsidP="009E4B96">
      <w:pPr>
        <w:autoSpaceDE w:val="0"/>
        <w:autoSpaceDN w:val="0"/>
        <w:adjustRightInd w:val="0"/>
        <w:spacing w:after="0" w:line="480" w:lineRule="auto"/>
        <w:jc w:val="both"/>
        <w:rPr>
          <w:rFonts w:ascii="Times New Roman" w:eastAsia="Times New Roman" w:hAnsi="Times New Roman" w:cs="Times New Roman"/>
          <w:b/>
          <w:color w:val="000000"/>
          <w:sz w:val="24"/>
          <w:szCs w:val="24"/>
          <w:lang w:eastAsia="en-GB"/>
        </w:rPr>
      </w:pPr>
    </w:p>
    <w:p w:rsidR="009E4B96" w:rsidRPr="00DF4993" w:rsidRDefault="009E4B96" w:rsidP="009E4B96">
      <w:pPr>
        <w:autoSpaceDE w:val="0"/>
        <w:autoSpaceDN w:val="0"/>
        <w:adjustRightInd w:val="0"/>
        <w:spacing w:after="0" w:line="480" w:lineRule="auto"/>
        <w:jc w:val="both"/>
        <w:rPr>
          <w:rFonts w:ascii="Times New Roman" w:eastAsia="Times New Roman" w:hAnsi="Times New Roman" w:cs="Times New Roman"/>
          <w:b/>
          <w:color w:val="000000"/>
          <w:sz w:val="24"/>
          <w:szCs w:val="24"/>
          <w:lang w:eastAsia="en-GB"/>
        </w:rPr>
      </w:pPr>
      <w:r w:rsidRPr="00DF4993">
        <w:rPr>
          <w:rFonts w:ascii="Times New Roman" w:eastAsia="Times New Roman" w:hAnsi="Times New Roman" w:cs="Times New Roman"/>
          <w:b/>
          <w:color w:val="000000"/>
          <w:sz w:val="24"/>
          <w:szCs w:val="24"/>
          <w:lang w:eastAsia="en-GB"/>
        </w:rPr>
        <w:t>The Origins of the Financial War on Terrorism</w:t>
      </w:r>
    </w:p>
    <w:p w:rsidR="009E4B96" w:rsidRPr="00DF4993" w:rsidRDefault="009E4B96" w:rsidP="009E4B96">
      <w:pPr>
        <w:autoSpaceDE w:val="0"/>
        <w:autoSpaceDN w:val="0"/>
        <w:adjustRightInd w:val="0"/>
        <w:spacing w:after="0" w:line="480" w:lineRule="auto"/>
        <w:jc w:val="both"/>
        <w:rPr>
          <w:rFonts w:ascii="Times New Roman" w:eastAsia="Times New Roman" w:hAnsi="Times New Roman" w:cs="Times New Roman"/>
          <w:b/>
          <w:color w:val="000000"/>
          <w:sz w:val="24"/>
          <w:szCs w:val="24"/>
          <w:lang w:eastAsia="en-GB"/>
        </w:rPr>
      </w:pPr>
    </w:p>
    <w:p w:rsidR="009E4B96" w:rsidRPr="009D3043" w:rsidRDefault="009E4B96" w:rsidP="009E4B96">
      <w:pPr>
        <w:autoSpaceDE w:val="0"/>
        <w:autoSpaceDN w:val="0"/>
        <w:adjustRightInd w:val="0"/>
        <w:spacing w:after="0" w:line="480" w:lineRule="auto"/>
        <w:jc w:val="both"/>
        <w:rPr>
          <w:rFonts w:ascii="Times New Roman" w:hAnsi="Times New Roman" w:cs="Times New Roman"/>
          <w:sz w:val="24"/>
          <w:szCs w:val="24"/>
        </w:rPr>
      </w:pPr>
      <w:r w:rsidRPr="00AB2A72">
        <w:rPr>
          <w:rFonts w:ascii="Times New Roman" w:eastAsia="Times New Roman" w:hAnsi="Times New Roman" w:cs="Times New Roman"/>
          <w:color w:val="000000"/>
          <w:sz w:val="24"/>
          <w:szCs w:val="24"/>
          <w:lang w:eastAsia="en-GB"/>
        </w:rPr>
        <w:t xml:space="preserve">Prior to </w:t>
      </w:r>
      <w:r w:rsidR="00DC144B">
        <w:rPr>
          <w:rFonts w:ascii="Times New Roman" w:eastAsia="Times New Roman" w:hAnsi="Times New Roman" w:cs="Times New Roman"/>
          <w:color w:val="000000"/>
          <w:sz w:val="24"/>
          <w:szCs w:val="24"/>
          <w:lang w:eastAsia="en-GB"/>
        </w:rPr>
        <w:t>9/11</w:t>
      </w:r>
      <w:r w:rsidRPr="00AB2A72">
        <w:rPr>
          <w:rFonts w:ascii="Times New Roman" w:eastAsia="Times New Roman" w:hAnsi="Times New Roman" w:cs="Times New Roman"/>
          <w:color w:val="000000"/>
          <w:sz w:val="24"/>
          <w:szCs w:val="24"/>
          <w:lang w:eastAsia="en-GB"/>
        </w:rPr>
        <w:t>, the U</w:t>
      </w:r>
      <w:r w:rsidR="00DC144B">
        <w:rPr>
          <w:rFonts w:ascii="Times New Roman" w:eastAsia="Times New Roman" w:hAnsi="Times New Roman" w:cs="Times New Roman"/>
          <w:color w:val="000000"/>
          <w:sz w:val="24"/>
          <w:szCs w:val="24"/>
          <w:lang w:eastAsia="en-GB"/>
        </w:rPr>
        <w:t xml:space="preserve">N </w:t>
      </w:r>
      <w:r w:rsidRPr="00AB2A72">
        <w:rPr>
          <w:rFonts w:ascii="Times New Roman" w:eastAsia="Times New Roman" w:hAnsi="Times New Roman" w:cs="Times New Roman"/>
          <w:color w:val="000000"/>
          <w:sz w:val="24"/>
          <w:szCs w:val="24"/>
          <w:lang w:eastAsia="en-GB"/>
        </w:rPr>
        <w:t>had concentrated on tackling the proceeds of crime derived from the manufacture and distribution of narcotic substances</w:t>
      </w:r>
      <w:r w:rsidR="002D693C">
        <w:rPr>
          <w:rFonts w:ascii="Times New Roman" w:eastAsia="Times New Roman" w:hAnsi="Times New Roman" w:cs="Times New Roman"/>
          <w:color w:val="000000"/>
          <w:sz w:val="24"/>
          <w:szCs w:val="24"/>
          <w:lang w:eastAsia="en-GB"/>
        </w:rPr>
        <w:t xml:space="preserve"> and not the financing of terrorism</w:t>
      </w:r>
      <w:r w:rsidRPr="00AB2A72">
        <w:rPr>
          <w:rFonts w:ascii="Times New Roman" w:eastAsia="Times New Roman" w:hAnsi="Times New Roman" w:cs="Times New Roman"/>
          <w:color w:val="000000"/>
          <w:sz w:val="24"/>
          <w:szCs w:val="24"/>
          <w:lang w:eastAsia="en-GB"/>
        </w:rPr>
        <w:t xml:space="preserve">.  </w:t>
      </w:r>
      <w:bookmarkStart w:id="1" w:name="FNRF43104573265"/>
      <w:bookmarkEnd w:id="1"/>
      <w:r w:rsidRPr="00AB2A72">
        <w:rPr>
          <w:rFonts w:ascii="Times New Roman" w:eastAsia="Times New Roman" w:hAnsi="Times New Roman" w:cs="Times New Roman"/>
          <w:color w:val="000000"/>
          <w:sz w:val="24"/>
          <w:szCs w:val="24"/>
          <w:lang w:eastAsia="en-GB"/>
        </w:rPr>
        <w:t xml:space="preserve">For example, the UN Convention against Illicit Traffic in Narcotic Drugs and Psychotropic Substances, </w:t>
      </w:r>
      <w:r w:rsidRPr="00AB2A72">
        <w:rPr>
          <w:rFonts w:ascii="Times New Roman" w:eastAsia="Times New Roman" w:hAnsi="Times New Roman" w:cs="Times New Roman"/>
          <w:sz w:val="24"/>
          <w:szCs w:val="24"/>
          <w:lang w:eastAsia="en-GB"/>
        </w:rPr>
        <w:t>provided that signatories must criminalise the laundering of drug proceeds, implement instruments to allow for the determination of jurisdiction over the offence of money laundering, permit the confiscation of the proceeds of the sale of illegal drugs, the introduction of mechanisms to facilitate extradition and measures to improve mutual legal assistance.</w:t>
      </w:r>
      <w:r w:rsidRPr="00AB2A72">
        <w:rPr>
          <w:rFonts w:ascii="Times New Roman" w:eastAsia="Times New Roman" w:hAnsi="Times New Roman" w:cs="Times New Roman"/>
          <w:sz w:val="24"/>
          <w:szCs w:val="24"/>
          <w:vertAlign w:val="superscript"/>
          <w:lang w:eastAsia="en-GB"/>
        </w:rPr>
        <w:footnoteReference w:id="8"/>
      </w:r>
      <w:r w:rsidRPr="00AB2A72">
        <w:rPr>
          <w:rFonts w:ascii="Times New Roman" w:eastAsia="Times New Roman" w:hAnsi="Times New Roman" w:cs="Times New Roman"/>
          <w:sz w:val="24"/>
          <w:szCs w:val="24"/>
          <w:lang w:eastAsia="en-GB"/>
        </w:rPr>
        <w:t xml:space="preserve">  However, the scope of the Vienna Convention was narrow </w:t>
      </w:r>
      <w:r w:rsidR="000A197B">
        <w:rPr>
          <w:rFonts w:ascii="Times New Roman" w:eastAsia="Times New Roman" w:hAnsi="Times New Roman" w:cs="Times New Roman"/>
          <w:sz w:val="24"/>
          <w:szCs w:val="24"/>
          <w:lang w:eastAsia="en-GB"/>
        </w:rPr>
        <w:t xml:space="preserve">and it </w:t>
      </w:r>
      <w:r w:rsidRPr="00AB2A72">
        <w:rPr>
          <w:rFonts w:ascii="Times New Roman" w:eastAsia="Times New Roman" w:hAnsi="Times New Roman" w:cs="Times New Roman"/>
          <w:sz w:val="24"/>
          <w:szCs w:val="24"/>
          <w:lang w:eastAsia="en-GB"/>
        </w:rPr>
        <w:t xml:space="preserve">only applied to </w:t>
      </w:r>
      <w:r w:rsidR="00DC144B">
        <w:rPr>
          <w:rFonts w:ascii="Times New Roman" w:eastAsia="Times New Roman" w:hAnsi="Times New Roman" w:cs="Times New Roman"/>
          <w:sz w:val="24"/>
          <w:szCs w:val="24"/>
          <w:lang w:eastAsia="en-GB"/>
        </w:rPr>
        <w:t xml:space="preserve">the </w:t>
      </w:r>
      <w:r w:rsidRPr="00AB2A72">
        <w:rPr>
          <w:rFonts w:ascii="Times New Roman" w:eastAsia="Times New Roman" w:hAnsi="Times New Roman" w:cs="Times New Roman"/>
          <w:sz w:val="24"/>
          <w:szCs w:val="24"/>
          <w:lang w:eastAsia="en-GB"/>
        </w:rPr>
        <w:t xml:space="preserve">proceeds of drug related criminal offences.  This </w:t>
      </w:r>
      <w:r w:rsidR="000A197B">
        <w:rPr>
          <w:rFonts w:ascii="Times New Roman" w:eastAsia="Times New Roman" w:hAnsi="Times New Roman" w:cs="Times New Roman"/>
          <w:sz w:val="24"/>
          <w:szCs w:val="24"/>
          <w:lang w:eastAsia="en-GB"/>
        </w:rPr>
        <w:t>w</w:t>
      </w:r>
      <w:r w:rsidRPr="00AB2A72">
        <w:rPr>
          <w:rFonts w:ascii="Times New Roman" w:eastAsia="Times New Roman" w:hAnsi="Times New Roman" w:cs="Times New Roman"/>
          <w:sz w:val="24"/>
          <w:szCs w:val="24"/>
          <w:lang w:eastAsia="en-GB"/>
        </w:rPr>
        <w:t>as rectified by the Convention against Transnational Organised Crime,</w:t>
      </w:r>
      <w:r w:rsidRPr="00AB2A72">
        <w:rPr>
          <w:rFonts w:ascii="Times New Roman" w:eastAsia="Times New Roman" w:hAnsi="Times New Roman" w:cs="Times New Roman"/>
          <w:sz w:val="24"/>
          <w:szCs w:val="24"/>
          <w:vertAlign w:val="superscript"/>
          <w:lang w:eastAsia="en-GB"/>
        </w:rPr>
        <w:footnoteReference w:id="9"/>
      </w:r>
      <w:r w:rsidRPr="00AB2A72">
        <w:rPr>
          <w:rFonts w:ascii="Times New Roman" w:eastAsia="Times New Roman" w:hAnsi="Times New Roman" w:cs="Times New Roman"/>
          <w:sz w:val="24"/>
          <w:szCs w:val="24"/>
          <w:lang w:eastAsia="en-GB"/>
        </w:rPr>
        <w:t xml:space="preserve"> which broadened the remit of the </w:t>
      </w:r>
      <w:r w:rsidR="00DC144B">
        <w:rPr>
          <w:rFonts w:ascii="Times New Roman" w:eastAsia="Times New Roman" w:hAnsi="Times New Roman" w:cs="Times New Roman"/>
          <w:sz w:val="24"/>
          <w:szCs w:val="24"/>
          <w:lang w:eastAsia="en-GB"/>
        </w:rPr>
        <w:t xml:space="preserve">Vienna Convention </w:t>
      </w:r>
      <w:r w:rsidR="003C606A">
        <w:rPr>
          <w:rFonts w:ascii="Times New Roman" w:eastAsia="Times New Roman" w:hAnsi="Times New Roman" w:cs="Times New Roman"/>
          <w:sz w:val="24"/>
          <w:szCs w:val="24"/>
          <w:lang w:eastAsia="en-GB"/>
        </w:rPr>
        <w:t>to include the proceeds of serious crime</w:t>
      </w:r>
      <w:r w:rsidRPr="00AB2A72">
        <w:rPr>
          <w:rFonts w:ascii="Times New Roman" w:eastAsia="Times New Roman" w:hAnsi="Times New Roman" w:cs="Times New Roman"/>
          <w:sz w:val="24"/>
          <w:szCs w:val="24"/>
          <w:lang w:eastAsia="en-GB"/>
        </w:rPr>
        <w:t>.</w:t>
      </w:r>
      <w:r w:rsidRPr="00AB2A72">
        <w:rPr>
          <w:rStyle w:val="FootnoteReference"/>
          <w:rFonts w:ascii="Times New Roman" w:eastAsia="Times New Roman" w:hAnsi="Times New Roman" w:cs="Times New Roman"/>
          <w:sz w:val="24"/>
          <w:szCs w:val="24"/>
          <w:lang w:eastAsia="en-GB"/>
        </w:rPr>
        <w:footnoteReference w:id="10"/>
      </w:r>
      <w:r w:rsidRPr="00AB2A72">
        <w:rPr>
          <w:rFonts w:ascii="Times New Roman" w:eastAsia="Times New Roman" w:hAnsi="Times New Roman" w:cs="Times New Roman"/>
          <w:sz w:val="24"/>
          <w:szCs w:val="24"/>
          <w:lang w:eastAsia="en-GB"/>
        </w:rPr>
        <w:t xml:space="preserve">  </w:t>
      </w:r>
      <w:r w:rsidRPr="00AB2A72">
        <w:rPr>
          <w:rFonts w:ascii="Times New Roman" w:eastAsiaTheme="minorEastAsia" w:hAnsi="Times New Roman" w:cs="Times New Roman"/>
          <w:bCs/>
          <w:color w:val="000000"/>
          <w:sz w:val="24"/>
          <w:szCs w:val="24"/>
          <w:lang w:eastAsia="en-GB"/>
        </w:rPr>
        <w:t xml:space="preserve">The European Union </w:t>
      </w:r>
      <w:r w:rsidRPr="00AB2A72">
        <w:rPr>
          <w:rFonts w:ascii="Times New Roman" w:eastAsia="Times New Roman" w:hAnsi="Times New Roman" w:cs="Times New Roman"/>
          <w:color w:val="000000"/>
          <w:sz w:val="24"/>
          <w:szCs w:val="24"/>
          <w:lang w:eastAsia="en-GB"/>
        </w:rPr>
        <w:t xml:space="preserve">adopted a very similar approach and </w:t>
      </w:r>
      <w:r w:rsidRPr="00AB2A72">
        <w:rPr>
          <w:rFonts w:ascii="Times New Roman" w:hAnsi="Times New Roman" w:cs="Times New Roman"/>
          <w:sz w:val="24"/>
          <w:szCs w:val="24"/>
        </w:rPr>
        <w:t>implemented three Money Laundering Directives</w:t>
      </w:r>
      <w:r w:rsidR="000A197B">
        <w:rPr>
          <w:rFonts w:ascii="Times New Roman" w:hAnsi="Times New Roman" w:cs="Times New Roman"/>
          <w:sz w:val="24"/>
          <w:szCs w:val="24"/>
        </w:rPr>
        <w:t xml:space="preserve">, a </w:t>
      </w:r>
      <w:r w:rsidRPr="00AB2A72">
        <w:rPr>
          <w:rFonts w:ascii="Times New Roman" w:hAnsi="Times New Roman" w:cs="Times New Roman"/>
          <w:sz w:val="24"/>
          <w:szCs w:val="24"/>
        </w:rPr>
        <w:t>fourth, must be implemented by June 2017.</w:t>
      </w:r>
      <w:r w:rsidRPr="00AB2A72">
        <w:rPr>
          <w:rStyle w:val="FootnoteReference"/>
          <w:rFonts w:ascii="Times New Roman" w:hAnsi="Times New Roman" w:cs="Times New Roman"/>
          <w:sz w:val="24"/>
          <w:szCs w:val="24"/>
        </w:rPr>
        <w:footnoteReference w:id="11"/>
      </w:r>
      <w:r w:rsidRPr="00AB2A72">
        <w:rPr>
          <w:rFonts w:ascii="Times New Roman" w:hAnsi="Times New Roman" w:cs="Times New Roman"/>
          <w:sz w:val="24"/>
          <w:szCs w:val="24"/>
        </w:rPr>
        <w:t xml:space="preserve"> The f</w:t>
      </w:r>
      <w:r w:rsidR="003C606A">
        <w:rPr>
          <w:rFonts w:ascii="Times New Roman" w:hAnsi="Times New Roman" w:cs="Times New Roman"/>
          <w:sz w:val="24"/>
          <w:szCs w:val="24"/>
        </w:rPr>
        <w:t>irst Directive concentrated on ‘</w:t>
      </w:r>
      <w:r w:rsidRPr="00AB2A72">
        <w:rPr>
          <w:rFonts w:ascii="Times New Roman" w:hAnsi="Times New Roman" w:cs="Times New Roman"/>
          <w:sz w:val="24"/>
          <w:szCs w:val="24"/>
        </w:rPr>
        <w:t>combating the laundering of drug proce</w:t>
      </w:r>
      <w:r w:rsidR="003C606A">
        <w:rPr>
          <w:rFonts w:ascii="Times New Roman" w:hAnsi="Times New Roman" w:cs="Times New Roman"/>
          <w:sz w:val="24"/>
          <w:szCs w:val="24"/>
        </w:rPr>
        <w:t>eds though the financial sector’</w:t>
      </w:r>
      <w:r w:rsidRPr="00AB2A72">
        <w:rPr>
          <w:rFonts w:ascii="Times New Roman" w:hAnsi="Times New Roman" w:cs="Times New Roman"/>
          <w:sz w:val="24"/>
          <w:szCs w:val="24"/>
        </w:rPr>
        <w:t>,</w:t>
      </w:r>
      <w:r w:rsidRPr="00AB2A72">
        <w:rPr>
          <w:rFonts w:ascii="Times New Roman" w:hAnsi="Times New Roman" w:cs="Times New Roman"/>
          <w:sz w:val="24"/>
          <w:szCs w:val="24"/>
          <w:vertAlign w:val="superscript"/>
        </w:rPr>
        <w:footnoteReference w:id="12"/>
      </w:r>
      <w:r w:rsidRPr="00AB2A72">
        <w:rPr>
          <w:rFonts w:ascii="Times New Roman" w:hAnsi="Times New Roman" w:cs="Times New Roman"/>
          <w:sz w:val="24"/>
          <w:szCs w:val="24"/>
        </w:rPr>
        <w:t xml:space="preserve"> thus adopting a</w:t>
      </w:r>
      <w:r w:rsidR="007813B2">
        <w:rPr>
          <w:rFonts w:ascii="Times New Roman" w:hAnsi="Times New Roman" w:cs="Times New Roman"/>
          <w:sz w:val="24"/>
          <w:szCs w:val="24"/>
        </w:rPr>
        <w:t xml:space="preserve"> </w:t>
      </w:r>
      <w:r w:rsidRPr="00AB2A72">
        <w:rPr>
          <w:rFonts w:ascii="Times New Roman" w:hAnsi="Times New Roman" w:cs="Times New Roman"/>
          <w:sz w:val="24"/>
          <w:szCs w:val="24"/>
        </w:rPr>
        <w:t xml:space="preserve">similar stance to the Vienna </w:t>
      </w:r>
      <w:r w:rsidRPr="00AB2A72">
        <w:rPr>
          <w:rFonts w:ascii="Times New Roman" w:hAnsi="Times New Roman" w:cs="Times New Roman"/>
          <w:sz w:val="24"/>
          <w:szCs w:val="24"/>
        </w:rPr>
        <w:lastRenderedPageBreak/>
        <w:t>Convention</w:t>
      </w:r>
      <w:r w:rsidR="00DC144B">
        <w:rPr>
          <w:rFonts w:ascii="Times New Roman" w:hAnsi="Times New Roman" w:cs="Times New Roman"/>
          <w:sz w:val="24"/>
          <w:szCs w:val="24"/>
        </w:rPr>
        <w:t>, while t</w:t>
      </w:r>
      <w:r w:rsidRPr="00AB2A72">
        <w:rPr>
          <w:rFonts w:ascii="Times New Roman" w:hAnsi="Times New Roman" w:cs="Times New Roman"/>
          <w:sz w:val="24"/>
          <w:szCs w:val="24"/>
        </w:rPr>
        <w:t xml:space="preserve">he </w:t>
      </w:r>
      <w:r w:rsidR="007813B2">
        <w:rPr>
          <w:rFonts w:ascii="Times New Roman" w:hAnsi="Times New Roman" w:cs="Times New Roman"/>
          <w:sz w:val="24"/>
          <w:szCs w:val="24"/>
        </w:rPr>
        <w:t xml:space="preserve">second </w:t>
      </w:r>
      <w:r w:rsidRPr="00AB2A72">
        <w:rPr>
          <w:rFonts w:ascii="Times New Roman" w:hAnsi="Times New Roman" w:cs="Times New Roman"/>
          <w:sz w:val="24"/>
          <w:szCs w:val="24"/>
        </w:rPr>
        <w:t xml:space="preserve">Directive </w:t>
      </w:r>
      <w:r w:rsidR="007813B2">
        <w:rPr>
          <w:rFonts w:ascii="Times New Roman" w:hAnsi="Times New Roman" w:cs="Times New Roman"/>
          <w:sz w:val="24"/>
          <w:szCs w:val="24"/>
        </w:rPr>
        <w:t xml:space="preserve">introduced the use of </w:t>
      </w:r>
      <w:r w:rsidRPr="00AB2A72">
        <w:rPr>
          <w:rFonts w:ascii="Times New Roman" w:hAnsi="Times New Roman" w:cs="Times New Roman"/>
          <w:sz w:val="24"/>
          <w:szCs w:val="24"/>
        </w:rPr>
        <w:t xml:space="preserve">suspicious </w:t>
      </w:r>
      <w:r w:rsidR="003F7864">
        <w:rPr>
          <w:rFonts w:ascii="Times New Roman" w:hAnsi="Times New Roman" w:cs="Times New Roman"/>
          <w:sz w:val="24"/>
          <w:szCs w:val="24"/>
        </w:rPr>
        <w:t xml:space="preserve">activity </w:t>
      </w:r>
      <w:r w:rsidRPr="00AB2A72">
        <w:rPr>
          <w:rFonts w:ascii="Times New Roman" w:hAnsi="Times New Roman" w:cs="Times New Roman"/>
          <w:sz w:val="24"/>
          <w:szCs w:val="24"/>
        </w:rPr>
        <w:t>reports.</w:t>
      </w:r>
      <w:r w:rsidRPr="00AB2A72">
        <w:rPr>
          <w:rStyle w:val="FootnoteReference"/>
          <w:rFonts w:ascii="Times New Roman" w:hAnsi="Times New Roman" w:cs="Times New Roman"/>
          <w:sz w:val="24"/>
          <w:szCs w:val="24"/>
        </w:rPr>
        <w:footnoteReference w:id="13"/>
      </w:r>
      <w:r w:rsidRPr="00AB2A72">
        <w:rPr>
          <w:rFonts w:ascii="Times New Roman" w:hAnsi="Times New Roman" w:cs="Times New Roman"/>
          <w:sz w:val="24"/>
          <w:szCs w:val="24"/>
        </w:rPr>
        <w:t xml:space="preserve"> Additionally, </w:t>
      </w:r>
      <w:r w:rsidRPr="00AB2A72">
        <w:rPr>
          <w:rFonts w:ascii="Times New Roman" w:eastAsia="Times New Roman" w:hAnsi="Times New Roman" w:cs="Times New Roman"/>
          <w:sz w:val="24"/>
          <w:szCs w:val="24"/>
          <w:lang w:eastAsia="en-GB"/>
        </w:rPr>
        <w:t xml:space="preserve">it is important to note the </w:t>
      </w:r>
      <w:r w:rsidR="00DC144B">
        <w:rPr>
          <w:rFonts w:ascii="Times New Roman" w:eastAsia="Times New Roman" w:hAnsi="Times New Roman" w:cs="Times New Roman"/>
          <w:sz w:val="24"/>
          <w:szCs w:val="24"/>
          <w:lang w:eastAsia="en-GB"/>
        </w:rPr>
        <w:t xml:space="preserve">’40 Recommendations’ of the </w:t>
      </w:r>
      <w:r w:rsidRPr="00AB2A72">
        <w:rPr>
          <w:rFonts w:ascii="Times New Roman" w:eastAsia="Times New Roman" w:hAnsi="Times New Roman" w:cs="Times New Roman"/>
          <w:color w:val="000000"/>
          <w:sz w:val="24"/>
          <w:szCs w:val="24"/>
          <w:lang w:eastAsia="en-GB"/>
        </w:rPr>
        <w:t>Financial Action Task Force,</w:t>
      </w:r>
      <w:r w:rsidRPr="00AB2A72">
        <w:rPr>
          <w:rStyle w:val="FootnoteReference"/>
          <w:rFonts w:ascii="Times New Roman" w:eastAsia="Times New Roman" w:hAnsi="Times New Roman" w:cs="Times New Roman"/>
          <w:color w:val="000000"/>
          <w:sz w:val="24"/>
          <w:szCs w:val="24"/>
          <w:lang w:eastAsia="en-GB"/>
        </w:rPr>
        <w:footnoteReference w:id="14"/>
      </w:r>
      <w:r w:rsidRPr="00AB2A72">
        <w:rPr>
          <w:rFonts w:ascii="Times New Roman" w:eastAsia="Times New Roman" w:hAnsi="Times New Roman" w:cs="Times New Roman"/>
          <w:color w:val="000000"/>
          <w:sz w:val="24"/>
          <w:szCs w:val="24"/>
          <w:lang w:eastAsia="en-GB"/>
        </w:rPr>
        <w:t xml:space="preserve"> </w:t>
      </w:r>
      <w:r w:rsidR="00DC144B">
        <w:rPr>
          <w:rFonts w:ascii="Times New Roman" w:eastAsia="Times New Roman" w:hAnsi="Times New Roman" w:cs="Times New Roman"/>
          <w:color w:val="000000"/>
          <w:sz w:val="24"/>
          <w:szCs w:val="24"/>
          <w:lang w:eastAsia="en-GB"/>
        </w:rPr>
        <w:t>which were aimed at co</w:t>
      </w:r>
      <w:r w:rsidRPr="00AB2A72">
        <w:rPr>
          <w:rFonts w:ascii="Times New Roman" w:eastAsia="Times New Roman" w:hAnsi="Times New Roman" w:cs="Times New Roman"/>
          <w:sz w:val="24"/>
          <w:szCs w:val="24"/>
          <w:lang w:eastAsia="en-GB"/>
        </w:rPr>
        <w:t>untering money laundering.</w:t>
      </w:r>
      <w:r w:rsidRPr="00AB2A72">
        <w:rPr>
          <w:rStyle w:val="FootnoteReference"/>
          <w:rFonts w:ascii="Times New Roman" w:eastAsia="Times New Roman" w:hAnsi="Times New Roman" w:cs="Times New Roman"/>
          <w:sz w:val="24"/>
          <w:szCs w:val="24"/>
          <w:lang w:eastAsia="en-GB"/>
        </w:rPr>
        <w:footnoteReference w:id="15"/>
      </w:r>
      <w:r w:rsidRPr="00AB2A72">
        <w:rPr>
          <w:rFonts w:ascii="Times New Roman" w:eastAsia="Times New Roman" w:hAnsi="Times New Roman" w:cs="Times New Roman"/>
          <w:sz w:val="24"/>
          <w:szCs w:val="24"/>
          <w:lang w:eastAsia="en-GB"/>
        </w:rPr>
        <w:t xml:space="preserve">  The </w:t>
      </w:r>
      <w:r w:rsidR="00DC144B">
        <w:rPr>
          <w:rFonts w:ascii="Times New Roman" w:eastAsia="Times New Roman" w:hAnsi="Times New Roman" w:cs="Times New Roman"/>
          <w:sz w:val="24"/>
          <w:szCs w:val="24"/>
          <w:lang w:eastAsia="en-GB"/>
        </w:rPr>
        <w:t xml:space="preserve">objective of the </w:t>
      </w:r>
      <w:r w:rsidR="003C606A">
        <w:rPr>
          <w:rFonts w:ascii="Times New Roman" w:eastAsia="Times New Roman" w:hAnsi="Times New Roman" w:cs="Times New Roman"/>
          <w:sz w:val="24"/>
          <w:szCs w:val="24"/>
          <w:lang w:eastAsia="en-GB"/>
        </w:rPr>
        <w:t>Recommendations was to ‘</w:t>
      </w:r>
      <w:r w:rsidRPr="00AB2A72">
        <w:rPr>
          <w:rFonts w:ascii="Times New Roman" w:eastAsia="Times New Roman" w:hAnsi="Times New Roman" w:cs="Times New Roman"/>
          <w:sz w:val="24"/>
          <w:szCs w:val="24"/>
          <w:lang w:eastAsia="en-GB"/>
        </w:rPr>
        <w:t>provide a complete set of anti-money laundering procedures which covers the rele</w:t>
      </w:r>
      <w:r w:rsidR="003C606A">
        <w:rPr>
          <w:rFonts w:ascii="Times New Roman" w:eastAsia="Times New Roman" w:hAnsi="Times New Roman" w:cs="Times New Roman"/>
          <w:sz w:val="24"/>
          <w:szCs w:val="24"/>
          <w:lang w:eastAsia="en-GB"/>
        </w:rPr>
        <w:t>vant laws and their enforcement’</w:t>
      </w:r>
      <w:r w:rsidRPr="00AB2A72">
        <w:rPr>
          <w:rFonts w:ascii="Times New Roman" w:eastAsia="Times New Roman" w:hAnsi="Times New Roman" w:cs="Times New Roman"/>
          <w:sz w:val="24"/>
          <w:szCs w:val="24"/>
          <w:lang w:eastAsia="en-GB"/>
        </w:rPr>
        <w:t>.</w:t>
      </w:r>
      <w:r w:rsidRPr="00AB2A72">
        <w:rPr>
          <w:rFonts w:ascii="Times New Roman" w:eastAsia="Times New Roman" w:hAnsi="Times New Roman" w:cs="Times New Roman"/>
          <w:sz w:val="24"/>
          <w:szCs w:val="24"/>
          <w:vertAlign w:val="superscript"/>
          <w:lang w:eastAsia="en-GB"/>
        </w:rPr>
        <w:footnoteReference w:id="16"/>
      </w:r>
      <w:r w:rsidRPr="00AB2A72">
        <w:rPr>
          <w:rFonts w:ascii="Times New Roman" w:eastAsia="Times New Roman" w:hAnsi="Times New Roman" w:cs="Times New Roman"/>
          <w:sz w:val="24"/>
          <w:szCs w:val="24"/>
          <w:lang w:eastAsia="en-GB"/>
        </w:rPr>
        <w:t xml:space="preserve">  </w:t>
      </w:r>
      <w:r w:rsidR="007813B2">
        <w:rPr>
          <w:rFonts w:ascii="Times New Roman" w:eastAsia="Times New Roman" w:hAnsi="Times New Roman" w:cs="Times New Roman"/>
          <w:sz w:val="24"/>
          <w:szCs w:val="24"/>
          <w:lang w:eastAsia="en-GB"/>
        </w:rPr>
        <w:t>I</w:t>
      </w:r>
      <w:r w:rsidRPr="00AB2A72">
        <w:rPr>
          <w:rFonts w:ascii="Times New Roman" w:eastAsia="Times New Roman" w:hAnsi="Times New Roman" w:cs="Times New Roman"/>
          <w:sz w:val="24"/>
          <w:szCs w:val="24"/>
          <w:lang w:eastAsia="en-GB"/>
        </w:rPr>
        <w:t xml:space="preserve">t is important to emphasise that none of these measures addressed the financing of terrorism and it wasn’t until 1999 that the UN approved the </w:t>
      </w:r>
      <w:r w:rsidRPr="00AB2A72">
        <w:rPr>
          <w:rFonts w:ascii="Times New Roman" w:eastAsia="Times New Roman" w:hAnsi="Times New Roman" w:cs="Times New Roman"/>
          <w:bCs/>
          <w:sz w:val="24"/>
          <w:szCs w:val="24"/>
          <w:lang w:eastAsia="en-GB"/>
        </w:rPr>
        <w:t>International Convention.</w:t>
      </w:r>
      <w:r w:rsidRPr="00AB2A72">
        <w:rPr>
          <w:rFonts w:ascii="Times New Roman" w:eastAsia="Times New Roman" w:hAnsi="Times New Roman" w:cs="Times New Roman"/>
          <w:bCs/>
          <w:sz w:val="24"/>
          <w:szCs w:val="24"/>
          <w:vertAlign w:val="superscript"/>
          <w:lang w:eastAsia="en-GB"/>
        </w:rPr>
        <w:footnoteReference w:id="17"/>
      </w:r>
      <w:r w:rsidR="007813B2">
        <w:rPr>
          <w:rFonts w:ascii="Times New Roman" w:eastAsia="Times New Roman" w:hAnsi="Times New Roman" w:cs="Times New Roman"/>
          <w:bCs/>
          <w:sz w:val="24"/>
          <w:szCs w:val="24"/>
          <w:lang w:eastAsia="en-GB"/>
        </w:rPr>
        <w:t xml:space="preserve">  This </w:t>
      </w:r>
      <w:r w:rsidRPr="00AB2A72">
        <w:rPr>
          <w:rFonts w:ascii="Times New Roman" w:eastAsia="Times New Roman" w:hAnsi="Times New Roman" w:cs="Times New Roman"/>
          <w:bCs/>
          <w:sz w:val="24"/>
          <w:szCs w:val="24"/>
          <w:lang w:eastAsia="en-GB"/>
        </w:rPr>
        <w:t xml:space="preserve">Convention was introduced after a series of Presidential Executive Orders </w:t>
      </w:r>
      <w:r w:rsidR="002D693C">
        <w:rPr>
          <w:rFonts w:ascii="Times New Roman" w:eastAsia="Times New Roman" w:hAnsi="Times New Roman" w:cs="Times New Roman"/>
          <w:bCs/>
          <w:sz w:val="24"/>
          <w:szCs w:val="24"/>
          <w:lang w:eastAsia="en-GB"/>
        </w:rPr>
        <w:t xml:space="preserve">were introduced by President Bill Clinton </w:t>
      </w:r>
      <w:r w:rsidR="00DC144B">
        <w:rPr>
          <w:rFonts w:ascii="Times New Roman" w:eastAsia="Times New Roman" w:hAnsi="Times New Roman" w:cs="Times New Roman"/>
          <w:bCs/>
          <w:sz w:val="24"/>
          <w:szCs w:val="24"/>
          <w:lang w:eastAsia="en-GB"/>
        </w:rPr>
        <w:t xml:space="preserve">that targeted the finances of al Qaeda following the </w:t>
      </w:r>
      <w:r w:rsidR="002D693C">
        <w:rPr>
          <w:rFonts w:ascii="Times New Roman" w:eastAsia="Times New Roman" w:hAnsi="Times New Roman" w:cs="Times New Roman"/>
          <w:bCs/>
          <w:sz w:val="24"/>
          <w:szCs w:val="24"/>
          <w:lang w:eastAsia="en-GB"/>
        </w:rPr>
        <w:t>terrorist attack</w:t>
      </w:r>
      <w:r w:rsidR="007813B2">
        <w:rPr>
          <w:rFonts w:ascii="Times New Roman" w:eastAsia="Times New Roman" w:hAnsi="Times New Roman" w:cs="Times New Roman"/>
          <w:bCs/>
          <w:sz w:val="24"/>
          <w:szCs w:val="24"/>
          <w:lang w:eastAsia="en-GB"/>
        </w:rPr>
        <w:t xml:space="preserve"> on </w:t>
      </w:r>
      <w:r w:rsidR="002D693C">
        <w:rPr>
          <w:rFonts w:ascii="Times New Roman" w:eastAsia="Times New Roman" w:hAnsi="Times New Roman" w:cs="Times New Roman"/>
          <w:bCs/>
          <w:sz w:val="24"/>
          <w:szCs w:val="24"/>
          <w:lang w:eastAsia="en-GB"/>
        </w:rPr>
        <w:t xml:space="preserve">two </w:t>
      </w:r>
      <w:r w:rsidR="007813B2">
        <w:rPr>
          <w:rFonts w:ascii="Times New Roman" w:eastAsia="Times New Roman" w:hAnsi="Times New Roman" w:cs="Times New Roman"/>
          <w:bCs/>
          <w:sz w:val="24"/>
          <w:szCs w:val="24"/>
          <w:lang w:eastAsia="en-GB"/>
        </w:rPr>
        <w:t>United States</w:t>
      </w:r>
      <w:r w:rsidRPr="00AB2A72">
        <w:rPr>
          <w:rFonts w:ascii="Times New Roman" w:eastAsia="Times New Roman" w:hAnsi="Times New Roman" w:cs="Times New Roman"/>
          <w:bCs/>
          <w:sz w:val="24"/>
          <w:szCs w:val="24"/>
          <w:lang w:eastAsia="en-GB"/>
        </w:rPr>
        <w:t xml:space="preserve"> embassies in Kenya and Tanzania.</w:t>
      </w:r>
      <w:r w:rsidRPr="00AB2A72">
        <w:rPr>
          <w:rStyle w:val="FootnoteReference"/>
          <w:rFonts w:ascii="Times New Roman" w:eastAsia="Times New Roman" w:hAnsi="Times New Roman" w:cs="Times New Roman"/>
          <w:bCs/>
          <w:sz w:val="24"/>
          <w:szCs w:val="24"/>
          <w:lang w:eastAsia="en-GB"/>
        </w:rPr>
        <w:footnoteReference w:id="18"/>
      </w:r>
      <w:r w:rsidRPr="00AB2A72">
        <w:rPr>
          <w:rFonts w:ascii="Times New Roman" w:eastAsia="Times New Roman" w:hAnsi="Times New Roman" w:cs="Times New Roman"/>
          <w:bCs/>
          <w:sz w:val="24"/>
          <w:szCs w:val="24"/>
          <w:lang w:eastAsia="en-GB"/>
        </w:rPr>
        <w:t xml:space="preserve">  </w:t>
      </w:r>
      <w:r w:rsidRPr="00AB2A72">
        <w:rPr>
          <w:rFonts w:ascii="Times New Roman" w:eastAsia="Times New Roman" w:hAnsi="Times New Roman" w:cs="Times New Roman"/>
          <w:sz w:val="24"/>
          <w:szCs w:val="24"/>
          <w:lang w:eastAsia="en-GB"/>
        </w:rPr>
        <w:t xml:space="preserve">The International Convention criminalised the financing of terrorism; permitted the freezing, seizing or forfeiture of funds used for supporting terrorist activities and financial institutions were required to report any </w:t>
      </w:r>
      <w:r w:rsidRPr="00AB2A72">
        <w:rPr>
          <w:rFonts w:ascii="Times New Roman" w:eastAsiaTheme="minorEastAsia" w:hAnsi="Times New Roman" w:cs="Times New Roman"/>
          <w:bCs/>
          <w:color w:val="000000"/>
          <w:sz w:val="24"/>
          <w:szCs w:val="24"/>
          <w:lang w:eastAsia="en-GB"/>
        </w:rPr>
        <w:t xml:space="preserve">terrorist related </w:t>
      </w:r>
      <w:r w:rsidR="003F7864">
        <w:rPr>
          <w:rFonts w:ascii="Times New Roman" w:eastAsiaTheme="minorEastAsia" w:hAnsi="Times New Roman" w:cs="Times New Roman"/>
          <w:bCs/>
          <w:color w:val="000000"/>
          <w:sz w:val="24"/>
          <w:szCs w:val="24"/>
          <w:lang w:eastAsia="en-GB"/>
        </w:rPr>
        <w:t>SARs</w:t>
      </w:r>
      <w:r w:rsidRPr="00AB2A72">
        <w:rPr>
          <w:rFonts w:ascii="Times New Roman" w:eastAsiaTheme="minorEastAsia" w:hAnsi="Times New Roman" w:cs="Times New Roman"/>
          <w:bCs/>
          <w:color w:val="000000"/>
          <w:sz w:val="24"/>
          <w:szCs w:val="24"/>
          <w:lang w:eastAsia="en-GB"/>
        </w:rPr>
        <w:t>.</w:t>
      </w:r>
      <w:r w:rsidR="002D693C">
        <w:rPr>
          <w:rStyle w:val="FootnoteReference"/>
          <w:rFonts w:ascii="Times New Roman" w:eastAsiaTheme="minorEastAsia" w:hAnsi="Times New Roman" w:cs="Times New Roman"/>
          <w:bCs/>
          <w:color w:val="000000"/>
          <w:sz w:val="24"/>
          <w:szCs w:val="24"/>
          <w:lang w:eastAsia="en-GB"/>
        </w:rPr>
        <w:footnoteReference w:id="19"/>
      </w:r>
      <w:r w:rsidRPr="00AB2A72">
        <w:rPr>
          <w:rFonts w:ascii="Times New Roman" w:eastAsiaTheme="minorEastAsia" w:hAnsi="Times New Roman" w:cs="Times New Roman"/>
          <w:bCs/>
          <w:color w:val="000000"/>
          <w:sz w:val="24"/>
          <w:szCs w:val="24"/>
          <w:lang w:eastAsia="en-GB"/>
        </w:rPr>
        <w:t xml:space="preserve">  </w:t>
      </w:r>
      <w:r w:rsidR="007813B2">
        <w:rPr>
          <w:rFonts w:ascii="Times New Roman" w:eastAsiaTheme="minorEastAsia" w:hAnsi="Times New Roman" w:cs="Times New Roman"/>
          <w:bCs/>
          <w:color w:val="000000"/>
          <w:sz w:val="24"/>
          <w:szCs w:val="24"/>
          <w:lang w:eastAsia="en-GB"/>
        </w:rPr>
        <w:t>P</w:t>
      </w:r>
      <w:r w:rsidRPr="00AB2A72">
        <w:rPr>
          <w:rFonts w:ascii="Times New Roman" w:hAnsi="Times New Roman" w:cs="Times New Roman"/>
          <w:sz w:val="24"/>
          <w:szCs w:val="24"/>
        </w:rPr>
        <w:t>r</w:t>
      </w:r>
      <w:r w:rsidR="00DC144B">
        <w:rPr>
          <w:rFonts w:ascii="Times New Roman" w:hAnsi="Times New Roman" w:cs="Times New Roman"/>
          <w:sz w:val="24"/>
          <w:szCs w:val="24"/>
        </w:rPr>
        <w:t>ior to the terrorist attacks on 9/11</w:t>
      </w:r>
      <w:r w:rsidR="003C606A">
        <w:rPr>
          <w:rFonts w:ascii="Times New Roman" w:hAnsi="Times New Roman" w:cs="Times New Roman"/>
          <w:sz w:val="24"/>
          <w:szCs w:val="24"/>
        </w:rPr>
        <w:t>, ‘</w:t>
      </w:r>
      <w:r w:rsidRPr="00AB2A72">
        <w:rPr>
          <w:rFonts w:ascii="Times New Roman" w:hAnsi="Times New Roman" w:cs="Times New Roman"/>
          <w:sz w:val="24"/>
          <w:szCs w:val="24"/>
        </w:rPr>
        <w:t>only four State</w:t>
      </w:r>
      <w:r w:rsidR="003C606A">
        <w:rPr>
          <w:rFonts w:ascii="Times New Roman" w:hAnsi="Times New Roman" w:cs="Times New Roman"/>
          <w:sz w:val="24"/>
          <w:szCs w:val="24"/>
        </w:rPr>
        <w:t>s had acceded to the Convention’</w:t>
      </w:r>
      <w:r w:rsidRPr="00AB2A72">
        <w:rPr>
          <w:rFonts w:ascii="Times New Roman" w:hAnsi="Times New Roman" w:cs="Times New Roman"/>
          <w:sz w:val="24"/>
          <w:szCs w:val="24"/>
        </w:rPr>
        <w:t>.</w:t>
      </w:r>
      <w:r w:rsidRPr="00AB2A72">
        <w:rPr>
          <w:rStyle w:val="FootnoteReference"/>
          <w:rFonts w:ascii="Times New Roman" w:hAnsi="Times New Roman" w:cs="Times New Roman"/>
          <w:sz w:val="24"/>
          <w:szCs w:val="24"/>
        </w:rPr>
        <w:footnoteReference w:id="20"/>
      </w:r>
      <w:r w:rsidRPr="00AB2A72">
        <w:rPr>
          <w:rFonts w:ascii="Times New Roman" w:hAnsi="Times New Roman" w:cs="Times New Roman"/>
          <w:sz w:val="24"/>
          <w:szCs w:val="24"/>
        </w:rPr>
        <w:t xml:space="preserve"> However, at the time of writing the International Convention has been implemented by 186 nation states.</w:t>
      </w:r>
      <w:r w:rsidRPr="00AB2A72">
        <w:rPr>
          <w:rStyle w:val="FootnoteReference"/>
          <w:rFonts w:ascii="Times New Roman" w:hAnsi="Times New Roman" w:cs="Times New Roman"/>
          <w:sz w:val="24"/>
          <w:szCs w:val="24"/>
        </w:rPr>
        <w:footnoteReference w:id="21"/>
      </w:r>
      <w:r w:rsidRPr="00AB2A72">
        <w:rPr>
          <w:rFonts w:ascii="Times New Roman" w:hAnsi="Times New Roman" w:cs="Times New Roman"/>
          <w:sz w:val="24"/>
          <w:szCs w:val="24"/>
        </w:rPr>
        <w:t xml:space="preserve">  </w:t>
      </w:r>
      <w:r>
        <w:rPr>
          <w:rFonts w:ascii="Times New Roman" w:hAnsi="Times New Roman" w:cs="Times New Roman"/>
          <w:sz w:val="24"/>
          <w:szCs w:val="24"/>
        </w:rPr>
        <w:t>T</w:t>
      </w:r>
      <w:r w:rsidRPr="00AB2A72">
        <w:rPr>
          <w:rFonts w:ascii="Times New Roman" w:hAnsi="Times New Roman" w:cs="Times New Roman"/>
          <w:sz w:val="24"/>
          <w:szCs w:val="24"/>
        </w:rPr>
        <w:t xml:space="preserve">he </w:t>
      </w:r>
      <w:r w:rsidR="007813B2">
        <w:rPr>
          <w:rFonts w:ascii="Times New Roman" w:hAnsi="Times New Roman" w:cs="Times New Roman"/>
          <w:sz w:val="24"/>
          <w:szCs w:val="24"/>
        </w:rPr>
        <w:t xml:space="preserve">next </w:t>
      </w:r>
      <w:r w:rsidR="007813B2">
        <w:rPr>
          <w:rFonts w:ascii="Times New Roman" w:hAnsi="Times New Roman" w:cs="Times New Roman"/>
          <w:bCs/>
          <w:sz w:val="24"/>
          <w:szCs w:val="24"/>
        </w:rPr>
        <w:t xml:space="preserve">measure was </w:t>
      </w:r>
      <w:r w:rsidR="00E25E01">
        <w:rPr>
          <w:rFonts w:ascii="Times New Roman" w:hAnsi="Times New Roman" w:cs="Times New Roman"/>
          <w:bCs/>
          <w:sz w:val="24"/>
          <w:szCs w:val="24"/>
        </w:rPr>
        <w:t xml:space="preserve">UN </w:t>
      </w:r>
      <w:r w:rsidRPr="00AB2A72">
        <w:rPr>
          <w:rFonts w:ascii="Times New Roman" w:hAnsi="Times New Roman" w:cs="Times New Roman"/>
          <w:bCs/>
          <w:sz w:val="24"/>
          <w:szCs w:val="24"/>
        </w:rPr>
        <w:t>Security Council Resolution 1267</w:t>
      </w:r>
      <w:r w:rsidR="007813B2">
        <w:rPr>
          <w:rFonts w:ascii="Times New Roman" w:hAnsi="Times New Roman" w:cs="Times New Roman"/>
          <w:bCs/>
          <w:sz w:val="24"/>
          <w:szCs w:val="24"/>
        </w:rPr>
        <w:t>,</w:t>
      </w:r>
      <w:r w:rsidR="00E25E01">
        <w:rPr>
          <w:rStyle w:val="FootnoteReference"/>
          <w:rFonts w:ascii="Times New Roman" w:hAnsi="Times New Roman" w:cs="Times New Roman"/>
          <w:bCs/>
          <w:sz w:val="24"/>
          <w:szCs w:val="24"/>
        </w:rPr>
        <w:footnoteReference w:id="22"/>
      </w:r>
      <w:r w:rsidR="007813B2">
        <w:rPr>
          <w:rFonts w:ascii="Times New Roman" w:hAnsi="Times New Roman" w:cs="Times New Roman"/>
          <w:bCs/>
          <w:sz w:val="24"/>
          <w:szCs w:val="24"/>
        </w:rPr>
        <w:t xml:space="preserve"> which </w:t>
      </w:r>
      <w:r>
        <w:rPr>
          <w:rFonts w:ascii="Times New Roman" w:hAnsi="Times New Roman" w:cs="Times New Roman"/>
          <w:bCs/>
          <w:sz w:val="24"/>
          <w:szCs w:val="24"/>
        </w:rPr>
        <w:t xml:space="preserve">provides </w:t>
      </w:r>
      <w:r w:rsidRPr="00DF4993">
        <w:rPr>
          <w:rFonts w:ascii="Times New Roman" w:hAnsi="Times New Roman" w:cs="Times New Roman"/>
          <w:bCs/>
          <w:sz w:val="24"/>
          <w:szCs w:val="24"/>
        </w:rPr>
        <w:t xml:space="preserve">that </w:t>
      </w:r>
      <w:r w:rsidRPr="00DF4993">
        <w:rPr>
          <w:rFonts w:ascii="Times New Roman" w:eastAsiaTheme="minorEastAsia" w:hAnsi="Times New Roman" w:cs="Times New Roman"/>
          <w:bCs/>
          <w:color w:val="000000"/>
          <w:sz w:val="24"/>
          <w:szCs w:val="24"/>
          <w:lang w:eastAsia="en-GB"/>
        </w:rPr>
        <w:t>member</w:t>
      </w:r>
      <w:r>
        <w:rPr>
          <w:rFonts w:ascii="Times New Roman" w:eastAsiaTheme="minorEastAsia" w:hAnsi="Times New Roman" w:cs="Times New Roman"/>
          <w:bCs/>
          <w:color w:val="000000"/>
          <w:sz w:val="24"/>
          <w:szCs w:val="24"/>
          <w:lang w:eastAsia="en-GB"/>
        </w:rPr>
        <w:t xml:space="preserve"> states </w:t>
      </w:r>
      <w:r w:rsidR="003C606A">
        <w:rPr>
          <w:rFonts w:ascii="Times New Roman" w:eastAsiaTheme="minorEastAsia" w:hAnsi="Times New Roman" w:cs="Times New Roman"/>
          <w:bCs/>
          <w:color w:val="000000"/>
          <w:sz w:val="24"/>
          <w:szCs w:val="24"/>
          <w:lang w:eastAsia="en-GB"/>
        </w:rPr>
        <w:t>are required to ‘</w:t>
      </w:r>
      <w:r w:rsidRPr="00DF4993">
        <w:rPr>
          <w:rFonts w:ascii="Times New Roman" w:eastAsiaTheme="minorEastAsia" w:hAnsi="Times New Roman" w:cs="Times New Roman"/>
          <w:bCs/>
          <w:color w:val="000000"/>
          <w:sz w:val="24"/>
          <w:szCs w:val="24"/>
          <w:lang w:eastAsia="en-GB"/>
        </w:rPr>
        <w:t>f</w:t>
      </w:r>
      <w:r w:rsidRPr="00DF4993">
        <w:rPr>
          <w:rFonts w:ascii="Times New Roman" w:eastAsia="Times New Roman" w:hAnsi="Times New Roman" w:cs="Times New Roman"/>
          <w:sz w:val="24"/>
          <w:szCs w:val="24"/>
          <w:lang w:eastAsia="en-GB"/>
        </w:rPr>
        <w:t xml:space="preserve">reeze </w:t>
      </w:r>
      <w:r>
        <w:rPr>
          <w:rFonts w:ascii="Times New Roman" w:eastAsia="Times New Roman" w:hAnsi="Times New Roman" w:cs="Times New Roman"/>
          <w:sz w:val="24"/>
          <w:szCs w:val="24"/>
          <w:lang w:eastAsia="en-GB"/>
        </w:rPr>
        <w:t xml:space="preserve">[the] </w:t>
      </w:r>
      <w:r w:rsidRPr="00DF4993">
        <w:rPr>
          <w:rFonts w:ascii="Times New Roman" w:eastAsia="Times New Roman" w:hAnsi="Times New Roman" w:cs="Times New Roman"/>
          <w:sz w:val="24"/>
          <w:szCs w:val="24"/>
          <w:lang w:eastAsia="en-GB"/>
        </w:rPr>
        <w:t>funds and other financial reso</w:t>
      </w:r>
      <w:r w:rsidR="003C606A">
        <w:rPr>
          <w:rFonts w:ascii="Times New Roman" w:eastAsia="Times New Roman" w:hAnsi="Times New Roman" w:cs="Times New Roman"/>
          <w:sz w:val="24"/>
          <w:szCs w:val="24"/>
          <w:lang w:eastAsia="en-GB"/>
        </w:rPr>
        <w:t>urces controlled by the Taliban’</w:t>
      </w:r>
      <w:r>
        <w:rPr>
          <w:rFonts w:ascii="Times New Roman" w:eastAsia="Times New Roman" w:hAnsi="Times New Roman" w:cs="Times New Roman"/>
          <w:sz w:val="24"/>
          <w:szCs w:val="24"/>
          <w:lang w:eastAsia="en-GB"/>
        </w:rPr>
        <w:t>.</w:t>
      </w:r>
      <w:r w:rsidRPr="00DF4993">
        <w:rPr>
          <w:rFonts w:ascii="Times New Roman" w:eastAsia="Times New Roman" w:hAnsi="Times New Roman" w:cs="Times New Roman"/>
          <w:sz w:val="24"/>
          <w:szCs w:val="24"/>
          <w:vertAlign w:val="superscript"/>
          <w:lang w:eastAsia="en-GB"/>
        </w:rPr>
        <w:footnoteReference w:id="23"/>
      </w:r>
      <w:r w:rsidRPr="00DF499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Furthermore, </w:t>
      </w:r>
      <w:r w:rsidR="007813B2">
        <w:rPr>
          <w:rFonts w:ascii="Times New Roman" w:eastAsia="Times New Roman" w:hAnsi="Times New Roman" w:cs="Times New Roman"/>
          <w:sz w:val="24"/>
          <w:szCs w:val="24"/>
          <w:lang w:eastAsia="en-GB"/>
        </w:rPr>
        <w:t xml:space="preserve">this </w:t>
      </w:r>
      <w:r w:rsidR="002D693C">
        <w:rPr>
          <w:rFonts w:ascii="Times New Roman" w:eastAsia="Times New Roman" w:hAnsi="Times New Roman" w:cs="Times New Roman"/>
          <w:sz w:val="24"/>
          <w:szCs w:val="24"/>
          <w:lang w:eastAsia="en-GB"/>
        </w:rPr>
        <w:t xml:space="preserve">UNSCR </w:t>
      </w:r>
      <w:r w:rsidR="007813B2">
        <w:rPr>
          <w:rFonts w:ascii="Times New Roman" w:eastAsia="Times New Roman" w:hAnsi="Times New Roman" w:cs="Times New Roman"/>
          <w:sz w:val="24"/>
          <w:szCs w:val="24"/>
          <w:lang w:eastAsia="en-GB"/>
        </w:rPr>
        <w:t>c</w:t>
      </w:r>
      <w:r w:rsidRPr="00DF4993">
        <w:rPr>
          <w:rFonts w:ascii="Times New Roman" w:eastAsiaTheme="minorEastAsia" w:hAnsi="Times New Roman" w:cs="Times New Roman"/>
          <w:bCs/>
          <w:color w:val="000000"/>
          <w:sz w:val="24"/>
          <w:szCs w:val="24"/>
          <w:lang w:eastAsia="en-GB"/>
        </w:rPr>
        <w:t xml:space="preserve">reated a sanctions regime that targeted individuals and </w:t>
      </w:r>
      <w:r w:rsidRPr="00DF4993">
        <w:rPr>
          <w:rFonts w:ascii="Times New Roman" w:eastAsiaTheme="minorEastAsia" w:hAnsi="Times New Roman" w:cs="Times New Roman"/>
          <w:bCs/>
          <w:color w:val="000000"/>
          <w:sz w:val="24"/>
          <w:szCs w:val="24"/>
          <w:lang w:eastAsia="en-GB"/>
        </w:rPr>
        <w:lastRenderedPageBreak/>
        <w:t xml:space="preserve">entities associated with al-Qaida, Osama bin Laden and the Taliban.  </w:t>
      </w:r>
      <w:r w:rsidR="007813B2">
        <w:rPr>
          <w:rFonts w:ascii="Times New Roman" w:eastAsiaTheme="minorEastAsia" w:hAnsi="Times New Roman" w:cs="Times New Roman"/>
          <w:bCs/>
          <w:color w:val="000000"/>
          <w:sz w:val="24"/>
          <w:szCs w:val="24"/>
          <w:lang w:eastAsia="en-GB"/>
        </w:rPr>
        <w:t xml:space="preserve">This was soon followed by </w:t>
      </w:r>
      <w:r w:rsidR="00E25E01">
        <w:rPr>
          <w:rFonts w:ascii="Times New Roman" w:eastAsiaTheme="minorEastAsia" w:hAnsi="Times New Roman" w:cs="Times New Roman"/>
          <w:bCs/>
          <w:color w:val="000000"/>
          <w:sz w:val="24"/>
          <w:szCs w:val="24"/>
          <w:lang w:eastAsia="en-GB"/>
        </w:rPr>
        <w:t xml:space="preserve">UNSCR </w:t>
      </w:r>
      <w:r w:rsidRPr="00DF4993">
        <w:rPr>
          <w:rFonts w:ascii="Times New Roman" w:eastAsia="Times New Roman" w:hAnsi="Times New Roman" w:cs="Times New Roman"/>
          <w:bCs/>
          <w:sz w:val="24"/>
          <w:szCs w:val="24"/>
          <w:lang w:val="en" w:eastAsia="en-GB"/>
        </w:rPr>
        <w:t>1269</w:t>
      </w:r>
      <w:r w:rsidRPr="00DF4993">
        <w:rPr>
          <w:rFonts w:ascii="Times New Roman" w:eastAsia="Times New Roman" w:hAnsi="Times New Roman" w:cs="Times New Roman"/>
          <w:sz w:val="24"/>
          <w:szCs w:val="24"/>
          <w:lang w:val="en" w:eastAsia="en-GB"/>
        </w:rPr>
        <w:t>, which asked nation states to fully implement the UN</w:t>
      </w:r>
      <w:r w:rsidR="007813B2">
        <w:rPr>
          <w:rFonts w:ascii="Times New Roman" w:eastAsia="Times New Roman" w:hAnsi="Times New Roman" w:cs="Times New Roman"/>
          <w:sz w:val="24"/>
          <w:szCs w:val="24"/>
          <w:lang w:val="en" w:eastAsia="en-GB"/>
        </w:rPr>
        <w:t>’s anti-terrorist conventions</w:t>
      </w:r>
      <w:r w:rsidRPr="00DF4993">
        <w:rPr>
          <w:rFonts w:ascii="Times New Roman" w:hAnsi="Times New Roman" w:cs="Times New Roman"/>
          <w:sz w:val="24"/>
          <w:szCs w:val="24"/>
        </w:rPr>
        <w:t>.</w:t>
      </w:r>
      <w:r w:rsidRPr="00DF4993">
        <w:rPr>
          <w:rFonts w:ascii="Times New Roman" w:hAnsi="Times New Roman" w:cs="Times New Roman"/>
          <w:sz w:val="24"/>
          <w:szCs w:val="24"/>
          <w:vertAlign w:val="superscript"/>
        </w:rPr>
        <w:footnoteReference w:id="24"/>
      </w:r>
      <w:r w:rsidR="007813B2">
        <w:rPr>
          <w:rFonts w:ascii="Times New Roman" w:hAnsi="Times New Roman" w:cs="Times New Roman"/>
          <w:sz w:val="24"/>
          <w:szCs w:val="24"/>
        </w:rPr>
        <w:t xml:space="preserve">  Despite this</w:t>
      </w:r>
      <w:r>
        <w:rPr>
          <w:rFonts w:ascii="Times New Roman" w:hAnsi="Times New Roman" w:cs="Times New Roman"/>
          <w:sz w:val="24"/>
          <w:szCs w:val="24"/>
        </w:rPr>
        <w:t xml:space="preserve"> belated recognition from the UN </w:t>
      </w:r>
      <w:r w:rsidR="007813B2">
        <w:rPr>
          <w:rFonts w:ascii="Times New Roman" w:hAnsi="Times New Roman" w:cs="Times New Roman"/>
          <w:sz w:val="24"/>
          <w:szCs w:val="24"/>
        </w:rPr>
        <w:t xml:space="preserve">towards </w:t>
      </w:r>
      <w:r>
        <w:rPr>
          <w:rFonts w:ascii="Times New Roman" w:hAnsi="Times New Roman" w:cs="Times New Roman"/>
          <w:sz w:val="24"/>
          <w:szCs w:val="24"/>
        </w:rPr>
        <w:t xml:space="preserve">the financing of terrorism, it wasn’t until </w:t>
      </w:r>
      <w:r w:rsidR="00DC144B">
        <w:rPr>
          <w:rFonts w:ascii="Times New Roman" w:hAnsi="Times New Roman" w:cs="Times New Roman"/>
          <w:sz w:val="24"/>
          <w:szCs w:val="24"/>
        </w:rPr>
        <w:t xml:space="preserve">after 9/11 </w:t>
      </w:r>
      <w:r>
        <w:rPr>
          <w:rFonts w:ascii="Times New Roman" w:hAnsi="Times New Roman" w:cs="Times New Roman"/>
          <w:sz w:val="24"/>
          <w:szCs w:val="24"/>
        </w:rPr>
        <w:t xml:space="preserve">that President George Bush instigated the ‘Financial War on Terrorism’, which the </w:t>
      </w:r>
      <w:r w:rsidR="007813B2">
        <w:rPr>
          <w:rFonts w:ascii="Times New Roman" w:hAnsi="Times New Roman" w:cs="Times New Roman"/>
          <w:sz w:val="24"/>
          <w:szCs w:val="24"/>
        </w:rPr>
        <w:t xml:space="preserve">chapter </w:t>
      </w:r>
      <w:r>
        <w:rPr>
          <w:rFonts w:ascii="Times New Roman" w:hAnsi="Times New Roman" w:cs="Times New Roman"/>
          <w:sz w:val="24"/>
          <w:szCs w:val="24"/>
        </w:rPr>
        <w:t>now consider</w:t>
      </w:r>
      <w:r w:rsidR="007813B2">
        <w:rPr>
          <w:rFonts w:ascii="Times New Roman" w:hAnsi="Times New Roman" w:cs="Times New Roman"/>
          <w:sz w:val="24"/>
          <w:szCs w:val="24"/>
        </w:rPr>
        <w:t>s</w:t>
      </w:r>
      <w:r>
        <w:rPr>
          <w:rFonts w:ascii="Times New Roman" w:hAnsi="Times New Roman" w:cs="Times New Roman"/>
          <w:sz w:val="24"/>
          <w:szCs w:val="24"/>
        </w:rPr>
        <w:t xml:space="preserve">.  </w:t>
      </w:r>
    </w:p>
    <w:p w:rsidR="009E4B96" w:rsidRDefault="009E4B96" w:rsidP="009E4B96">
      <w:pPr>
        <w:spacing w:after="0" w:line="480" w:lineRule="auto"/>
        <w:jc w:val="both"/>
        <w:rPr>
          <w:rFonts w:ascii="Times New Roman" w:eastAsiaTheme="minorEastAsia" w:hAnsi="Times New Roman" w:cs="Times New Roman"/>
          <w:bCs/>
          <w:color w:val="000000"/>
          <w:sz w:val="24"/>
          <w:szCs w:val="24"/>
          <w:lang w:eastAsia="en-GB"/>
        </w:rPr>
      </w:pPr>
    </w:p>
    <w:p w:rsidR="00E318F3" w:rsidRDefault="007813B2" w:rsidP="009E4B96">
      <w:pPr>
        <w:spacing w:after="0" w:line="48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en-GB"/>
        </w:rPr>
        <w:t xml:space="preserve">In September </w:t>
      </w:r>
      <w:r w:rsidR="009E4B96">
        <w:rPr>
          <w:rFonts w:ascii="Times New Roman" w:eastAsia="Times New Roman" w:hAnsi="Times New Roman" w:cs="Times New Roman"/>
          <w:color w:val="000000"/>
          <w:sz w:val="24"/>
          <w:szCs w:val="24"/>
          <w:lang w:eastAsia="en-GB"/>
        </w:rPr>
        <w:t>2001</w:t>
      </w:r>
      <w:r w:rsidR="009E4B96" w:rsidRPr="00DF4993">
        <w:rPr>
          <w:rFonts w:ascii="Times New Roman" w:eastAsia="Times New Roman" w:hAnsi="Times New Roman" w:cs="Times New Roman"/>
          <w:color w:val="000000"/>
          <w:sz w:val="24"/>
          <w:szCs w:val="24"/>
          <w:lang w:eastAsia="en-GB"/>
        </w:rPr>
        <w:t xml:space="preserve">, President George Bush </w:t>
      </w:r>
      <w:r w:rsidR="009E4B96">
        <w:rPr>
          <w:rFonts w:ascii="Times New Roman" w:eastAsia="Times New Roman" w:hAnsi="Times New Roman" w:cs="Times New Roman"/>
          <w:color w:val="000000"/>
          <w:sz w:val="24"/>
          <w:szCs w:val="24"/>
          <w:lang w:eastAsia="en-GB"/>
        </w:rPr>
        <w:t xml:space="preserve">declared that </w:t>
      </w:r>
      <w:r w:rsidR="003C606A">
        <w:rPr>
          <w:rFonts w:ascii="Times New Roman" w:eastAsia="Times New Roman" w:hAnsi="Times New Roman" w:cs="Times New Roman"/>
          <w:color w:val="000000"/>
          <w:sz w:val="24"/>
          <w:szCs w:val="24"/>
          <w:lang w:eastAsia="en-GB"/>
        </w:rPr>
        <w:t>‘</w:t>
      </w:r>
      <w:r w:rsidR="009E4B96" w:rsidRPr="00DF4993">
        <w:rPr>
          <w:rFonts w:ascii="Times New Roman" w:eastAsia="Times New Roman" w:hAnsi="Times New Roman" w:cs="Times New Roman"/>
          <w:color w:val="000000"/>
          <w:sz w:val="24"/>
          <w:szCs w:val="24"/>
          <w:lang w:eastAsia="en-GB"/>
        </w:rPr>
        <w:t>a major thrust of our war on terrorism began with the stroke of a pen … we have launched a strike on the financial foundation of the global terror network … we will starve the terrorists of</w:t>
      </w:r>
      <w:r w:rsidR="002D693C">
        <w:rPr>
          <w:rFonts w:ascii="Times New Roman" w:eastAsia="Times New Roman" w:hAnsi="Times New Roman" w:cs="Times New Roman"/>
          <w:color w:val="000000"/>
          <w:sz w:val="24"/>
          <w:szCs w:val="24"/>
          <w:lang w:eastAsia="en-GB"/>
        </w:rPr>
        <w:t xml:space="preserve"> funding</w:t>
      </w:r>
      <w:r w:rsidR="003C606A">
        <w:rPr>
          <w:rFonts w:ascii="Times New Roman" w:eastAsia="Times New Roman" w:hAnsi="Times New Roman" w:cs="Times New Roman"/>
          <w:color w:val="000000"/>
          <w:sz w:val="24"/>
          <w:szCs w:val="24"/>
          <w:lang w:eastAsia="en-GB"/>
        </w:rPr>
        <w:t>’</w:t>
      </w:r>
      <w:r w:rsidR="002D693C">
        <w:rPr>
          <w:rFonts w:ascii="Times New Roman" w:eastAsia="Times New Roman" w:hAnsi="Times New Roman" w:cs="Times New Roman"/>
          <w:color w:val="000000"/>
          <w:sz w:val="24"/>
          <w:szCs w:val="24"/>
          <w:lang w:eastAsia="en-GB"/>
        </w:rPr>
        <w:t>.</w:t>
      </w:r>
      <w:r w:rsidR="009E4B96" w:rsidRPr="00DF4993">
        <w:rPr>
          <w:rFonts w:ascii="Times New Roman" w:eastAsia="Times New Roman" w:hAnsi="Times New Roman" w:cs="Times New Roman"/>
          <w:color w:val="000000"/>
          <w:sz w:val="24"/>
          <w:szCs w:val="24"/>
          <w:vertAlign w:val="superscript"/>
          <w:lang w:eastAsia="en-GB"/>
        </w:rPr>
        <w:footnoteReference w:id="25"/>
      </w:r>
      <w:r w:rsidR="009E4B96" w:rsidRPr="00DF4993">
        <w:rPr>
          <w:rFonts w:ascii="Times New Roman" w:eastAsia="Times New Roman" w:hAnsi="Times New Roman" w:cs="Times New Roman"/>
          <w:color w:val="000000"/>
          <w:sz w:val="24"/>
          <w:szCs w:val="24"/>
          <w:lang w:eastAsia="en-GB"/>
        </w:rPr>
        <w:t xml:space="preserve">  </w:t>
      </w:r>
      <w:r w:rsidR="009E4B96" w:rsidRPr="00DF4993">
        <w:rPr>
          <w:rFonts w:ascii="Times New Roman" w:hAnsi="Times New Roman" w:cs="Times New Roman"/>
          <w:color w:val="000000"/>
          <w:sz w:val="24"/>
          <w:szCs w:val="24"/>
        </w:rPr>
        <w:t xml:space="preserve">This declaration was followed by the publication of an action plan to tackle terrorist financing by </w:t>
      </w:r>
      <w:r w:rsidR="009E4B96">
        <w:rPr>
          <w:rFonts w:ascii="Times New Roman" w:hAnsi="Times New Roman" w:cs="Times New Roman"/>
          <w:color w:val="000000"/>
          <w:sz w:val="24"/>
          <w:szCs w:val="24"/>
        </w:rPr>
        <w:t xml:space="preserve">the </w:t>
      </w:r>
      <w:r w:rsidR="009E4B96" w:rsidRPr="00DF4993">
        <w:rPr>
          <w:rFonts w:ascii="Times New Roman" w:hAnsi="Times New Roman" w:cs="Times New Roman"/>
          <w:color w:val="000000"/>
          <w:sz w:val="24"/>
          <w:szCs w:val="24"/>
        </w:rPr>
        <w:t xml:space="preserve">G7 </w:t>
      </w:r>
      <w:r w:rsidR="009E4B96">
        <w:rPr>
          <w:rFonts w:ascii="Times New Roman" w:hAnsi="Times New Roman" w:cs="Times New Roman"/>
          <w:color w:val="000000"/>
          <w:sz w:val="24"/>
          <w:szCs w:val="24"/>
        </w:rPr>
        <w:t>Finance Ministers and Central Bank Governors</w:t>
      </w:r>
      <w:r w:rsidR="009E4B96" w:rsidRPr="00DF4993">
        <w:rPr>
          <w:rFonts w:ascii="Times New Roman" w:eastAsia="Times New Roman" w:hAnsi="Times New Roman" w:cs="Times New Roman"/>
          <w:sz w:val="24"/>
          <w:szCs w:val="24"/>
          <w:lang w:eastAsia="en-GB"/>
        </w:rPr>
        <w:t>.</w:t>
      </w:r>
      <w:r w:rsidR="009E4B96" w:rsidRPr="00DF4993">
        <w:rPr>
          <w:rFonts w:ascii="Times New Roman" w:eastAsia="Times New Roman" w:hAnsi="Times New Roman" w:cs="Times New Roman"/>
          <w:sz w:val="24"/>
          <w:szCs w:val="24"/>
          <w:vertAlign w:val="superscript"/>
          <w:lang w:eastAsia="en-GB"/>
        </w:rPr>
        <w:footnoteReference w:id="26"/>
      </w:r>
      <w:r w:rsidR="009E4B96" w:rsidRPr="00DF4993">
        <w:rPr>
          <w:rFonts w:ascii="Times New Roman" w:eastAsia="Times New Roman" w:hAnsi="Times New Roman" w:cs="Times New Roman"/>
          <w:sz w:val="24"/>
          <w:szCs w:val="24"/>
          <w:lang w:eastAsia="en-GB"/>
        </w:rPr>
        <w:t xml:space="preserve">  </w:t>
      </w:r>
      <w:r w:rsidR="009E4B96" w:rsidRPr="00DF4993">
        <w:rPr>
          <w:rFonts w:ascii="Times New Roman" w:hAnsi="Times New Roman" w:cs="Times New Roman"/>
          <w:color w:val="000000"/>
          <w:sz w:val="24"/>
          <w:szCs w:val="24"/>
        </w:rPr>
        <w:t xml:space="preserve">The response </w:t>
      </w:r>
      <w:r w:rsidR="002D693C">
        <w:rPr>
          <w:rFonts w:ascii="Times New Roman" w:hAnsi="Times New Roman" w:cs="Times New Roman"/>
          <w:color w:val="000000"/>
          <w:sz w:val="24"/>
          <w:szCs w:val="24"/>
        </w:rPr>
        <w:t xml:space="preserve">from the UN </w:t>
      </w:r>
      <w:r w:rsidR="000D4E92">
        <w:rPr>
          <w:rFonts w:ascii="Times New Roman" w:hAnsi="Times New Roman" w:cs="Times New Roman"/>
          <w:color w:val="000000"/>
          <w:sz w:val="24"/>
          <w:szCs w:val="24"/>
        </w:rPr>
        <w:t>w</w:t>
      </w:r>
      <w:r w:rsidR="009E4B96" w:rsidRPr="00DF4993">
        <w:rPr>
          <w:rFonts w:ascii="Times New Roman" w:hAnsi="Times New Roman" w:cs="Times New Roman"/>
          <w:color w:val="000000"/>
          <w:sz w:val="24"/>
          <w:szCs w:val="24"/>
        </w:rPr>
        <w:t>as instantaneous</w:t>
      </w:r>
      <w:r w:rsidR="000D4E92">
        <w:rPr>
          <w:rFonts w:ascii="Times New Roman" w:hAnsi="Times New Roman" w:cs="Times New Roman"/>
          <w:color w:val="000000"/>
          <w:sz w:val="24"/>
          <w:szCs w:val="24"/>
        </w:rPr>
        <w:t xml:space="preserve"> </w:t>
      </w:r>
      <w:r w:rsidR="009E4B96" w:rsidRPr="00DF4993">
        <w:rPr>
          <w:rFonts w:ascii="Times New Roman" w:hAnsi="Times New Roman" w:cs="Times New Roman"/>
          <w:color w:val="000000"/>
          <w:sz w:val="24"/>
          <w:szCs w:val="24"/>
        </w:rPr>
        <w:t>and controversial</w:t>
      </w:r>
      <w:r w:rsidR="009E4B96">
        <w:rPr>
          <w:rFonts w:ascii="Times New Roman" w:hAnsi="Times New Roman" w:cs="Times New Roman"/>
          <w:color w:val="000000"/>
          <w:sz w:val="24"/>
          <w:szCs w:val="24"/>
        </w:rPr>
        <w:t>.</w:t>
      </w:r>
      <w:r w:rsidR="009E4B96" w:rsidRPr="00DF4993">
        <w:rPr>
          <w:rFonts w:ascii="Times New Roman" w:eastAsiaTheme="minorEastAsia" w:hAnsi="Times New Roman" w:cs="Times New Roman"/>
          <w:bCs/>
          <w:color w:val="000000"/>
          <w:sz w:val="24"/>
          <w:szCs w:val="24"/>
          <w:vertAlign w:val="superscript"/>
          <w:lang w:eastAsia="en-GB"/>
        </w:rPr>
        <w:footnoteReference w:id="27"/>
      </w:r>
      <w:r w:rsidR="009E4B96">
        <w:rPr>
          <w:rFonts w:ascii="Times New Roman" w:hAnsi="Times New Roman" w:cs="Times New Roman"/>
          <w:color w:val="000000"/>
          <w:sz w:val="24"/>
          <w:szCs w:val="24"/>
        </w:rPr>
        <w:t xml:space="preserve"> T</w:t>
      </w:r>
      <w:r w:rsidR="009E4B96" w:rsidRPr="00DF4993">
        <w:rPr>
          <w:rFonts w:ascii="Times New Roman" w:hAnsi="Times New Roman" w:cs="Times New Roman"/>
          <w:color w:val="000000"/>
          <w:sz w:val="24"/>
          <w:szCs w:val="24"/>
        </w:rPr>
        <w:t xml:space="preserve">errorist financing </w:t>
      </w:r>
      <w:r w:rsidR="000D4E92">
        <w:rPr>
          <w:rFonts w:ascii="Times New Roman" w:hAnsi="Times New Roman" w:cs="Times New Roman"/>
          <w:color w:val="000000"/>
          <w:sz w:val="24"/>
          <w:szCs w:val="24"/>
        </w:rPr>
        <w:t xml:space="preserve">was propelled </w:t>
      </w:r>
      <w:r w:rsidR="009E4B96" w:rsidRPr="00DF4993">
        <w:rPr>
          <w:rFonts w:ascii="Times New Roman" w:hAnsi="Times New Roman" w:cs="Times New Roman"/>
          <w:color w:val="000000"/>
          <w:sz w:val="24"/>
          <w:szCs w:val="24"/>
        </w:rPr>
        <w:t xml:space="preserve">from </w:t>
      </w:r>
      <w:r w:rsidR="009E4B96">
        <w:rPr>
          <w:rFonts w:ascii="Times New Roman" w:hAnsi="Times New Roman" w:cs="Times New Roman"/>
          <w:color w:val="000000"/>
          <w:sz w:val="24"/>
          <w:szCs w:val="24"/>
        </w:rPr>
        <w:t xml:space="preserve">political </w:t>
      </w:r>
      <w:r w:rsidR="009E4B96" w:rsidRPr="00DF4993">
        <w:rPr>
          <w:rFonts w:ascii="Times New Roman" w:hAnsi="Times New Roman" w:cs="Times New Roman"/>
          <w:color w:val="000000"/>
          <w:sz w:val="24"/>
          <w:szCs w:val="24"/>
        </w:rPr>
        <w:t xml:space="preserve">obscurity and pushed towards the summit of the </w:t>
      </w:r>
      <w:r w:rsidR="009E4B96">
        <w:rPr>
          <w:rFonts w:ascii="Times New Roman" w:hAnsi="Times New Roman" w:cs="Times New Roman"/>
          <w:color w:val="000000"/>
          <w:sz w:val="24"/>
          <w:szCs w:val="24"/>
        </w:rPr>
        <w:t>counter-</w:t>
      </w:r>
      <w:r w:rsidR="009E4B96" w:rsidRPr="00DF4993">
        <w:rPr>
          <w:rFonts w:ascii="Times New Roman" w:hAnsi="Times New Roman" w:cs="Times New Roman"/>
          <w:color w:val="000000"/>
          <w:sz w:val="24"/>
          <w:szCs w:val="24"/>
        </w:rPr>
        <w:t xml:space="preserve">terrorism agenda.  </w:t>
      </w:r>
      <w:r w:rsidR="00E25E01">
        <w:rPr>
          <w:rFonts w:ascii="Times New Roman" w:eastAsiaTheme="minorEastAsia" w:hAnsi="Times New Roman" w:cs="Times New Roman"/>
          <w:bCs/>
          <w:color w:val="000000"/>
          <w:sz w:val="24"/>
          <w:szCs w:val="24"/>
          <w:lang w:eastAsia="en-GB"/>
        </w:rPr>
        <w:t xml:space="preserve">UNSCR </w:t>
      </w:r>
      <w:r w:rsidR="000D4E92">
        <w:rPr>
          <w:rFonts w:ascii="Times New Roman" w:hAnsi="Times New Roman" w:cs="Times New Roman"/>
          <w:color w:val="000000"/>
          <w:sz w:val="24"/>
          <w:szCs w:val="24"/>
        </w:rPr>
        <w:t xml:space="preserve">1368 </w:t>
      </w:r>
      <w:r w:rsidR="00785FFE">
        <w:rPr>
          <w:rFonts w:ascii="Times New Roman" w:hAnsi="Times New Roman" w:cs="Times New Roman"/>
          <w:sz w:val="24"/>
          <w:szCs w:val="24"/>
        </w:rPr>
        <w:t xml:space="preserve">requires </w:t>
      </w:r>
      <w:r w:rsidR="009E4B96" w:rsidRPr="00DF4993">
        <w:rPr>
          <w:rFonts w:ascii="Times New Roman" w:hAnsi="Times New Roman" w:cs="Times New Roman"/>
          <w:sz w:val="24"/>
          <w:szCs w:val="24"/>
        </w:rPr>
        <w:t xml:space="preserve">nation states </w:t>
      </w:r>
      <w:r w:rsidR="00785FFE">
        <w:rPr>
          <w:rFonts w:ascii="Times New Roman" w:hAnsi="Times New Roman" w:cs="Times New Roman"/>
          <w:sz w:val="24"/>
          <w:szCs w:val="24"/>
        </w:rPr>
        <w:t xml:space="preserve">to </w:t>
      </w:r>
      <w:r w:rsidR="009E4B96" w:rsidRPr="00DF4993">
        <w:rPr>
          <w:rFonts w:ascii="Times New Roman" w:hAnsi="Times New Roman" w:cs="Times New Roman"/>
          <w:sz w:val="24"/>
          <w:szCs w:val="24"/>
        </w:rPr>
        <w:t>work together and target the ‘sponsors’ of terrorism.</w:t>
      </w:r>
      <w:r w:rsidR="009E4B96" w:rsidRPr="00DF4993">
        <w:rPr>
          <w:rStyle w:val="FootnoteReference"/>
          <w:rFonts w:ascii="Times New Roman" w:hAnsi="Times New Roman" w:cs="Times New Roman"/>
          <w:sz w:val="24"/>
          <w:szCs w:val="24"/>
        </w:rPr>
        <w:footnoteReference w:id="28"/>
      </w:r>
      <w:r w:rsidR="009E4B96" w:rsidRPr="00DF4993">
        <w:rPr>
          <w:rFonts w:ascii="Times New Roman" w:hAnsi="Times New Roman" w:cs="Times New Roman"/>
          <w:sz w:val="24"/>
          <w:szCs w:val="24"/>
        </w:rPr>
        <w:t xml:space="preserve"> </w:t>
      </w:r>
      <w:r w:rsidR="00E25E01">
        <w:rPr>
          <w:rFonts w:ascii="Times New Roman" w:hAnsi="Times New Roman" w:cs="Times New Roman"/>
          <w:sz w:val="24"/>
          <w:szCs w:val="24"/>
        </w:rPr>
        <w:t xml:space="preserve">Additionally, </w:t>
      </w:r>
      <w:r w:rsidR="00E25E01">
        <w:rPr>
          <w:rFonts w:ascii="Times New Roman" w:eastAsiaTheme="minorEastAsia" w:hAnsi="Times New Roman" w:cs="Times New Roman"/>
          <w:bCs/>
          <w:color w:val="000000"/>
          <w:sz w:val="24"/>
          <w:szCs w:val="24"/>
          <w:lang w:eastAsia="en-GB"/>
        </w:rPr>
        <w:t>UNSCR 1373</w:t>
      </w:r>
      <w:r w:rsidR="000D4E92">
        <w:rPr>
          <w:rFonts w:ascii="Times New Roman" w:hAnsi="Times New Roman" w:cs="Times New Roman"/>
          <w:sz w:val="24"/>
          <w:szCs w:val="24"/>
        </w:rPr>
        <w:t xml:space="preserve">, which </w:t>
      </w:r>
      <w:r w:rsidR="009E4B96">
        <w:rPr>
          <w:rFonts w:ascii="Times New Roman" w:eastAsia="Times New Roman" w:hAnsi="Times New Roman" w:cs="Times New Roman"/>
          <w:sz w:val="24"/>
          <w:szCs w:val="24"/>
          <w:lang w:eastAsia="en-GB"/>
        </w:rPr>
        <w:t>was introduced under c</w:t>
      </w:r>
      <w:r w:rsidR="009E4B96" w:rsidRPr="00DF4993">
        <w:rPr>
          <w:rFonts w:ascii="Times New Roman" w:eastAsia="Times New Roman" w:hAnsi="Times New Roman" w:cs="Times New Roman"/>
          <w:sz w:val="24"/>
          <w:szCs w:val="24"/>
          <w:lang w:eastAsia="en-GB"/>
        </w:rPr>
        <w:t>hapter VII of the UN Charter</w:t>
      </w:r>
      <w:r w:rsidR="000D4E92">
        <w:rPr>
          <w:rFonts w:ascii="Times New Roman" w:eastAsia="Times New Roman" w:hAnsi="Times New Roman" w:cs="Times New Roman"/>
          <w:sz w:val="24"/>
          <w:szCs w:val="24"/>
          <w:lang w:eastAsia="en-GB"/>
        </w:rPr>
        <w:t>,</w:t>
      </w:r>
      <w:r w:rsidR="009E4B96">
        <w:rPr>
          <w:rFonts w:ascii="Times New Roman" w:eastAsia="Times New Roman" w:hAnsi="Times New Roman" w:cs="Times New Roman"/>
          <w:sz w:val="24"/>
          <w:szCs w:val="24"/>
          <w:lang w:eastAsia="en-GB"/>
        </w:rPr>
        <w:t xml:space="preserve"> </w:t>
      </w:r>
      <w:r w:rsidR="009E4B96" w:rsidRPr="00785FFE">
        <w:rPr>
          <w:rFonts w:ascii="Times New Roman" w:eastAsia="Times New Roman" w:hAnsi="Times New Roman" w:cs="Times New Roman"/>
          <w:i/>
          <w:sz w:val="24"/>
          <w:szCs w:val="24"/>
          <w:lang w:eastAsia="en-GB"/>
        </w:rPr>
        <w:t>compelled</w:t>
      </w:r>
      <w:r w:rsidR="009E4B96">
        <w:rPr>
          <w:rFonts w:ascii="Times New Roman" w:eastAsia="Times New Roman" w:hAnsi="Times New Roman" w:cs="Times New Roman"/>
          <w:sz w:val="24"/>
          <w:szCs w:val="24"/>
          <w:lang w:eastAsia="en-GB"/>
        </w:rPr>
        <w:t xml:space="preserve"> </w:t>
      </w:r>
      <w:r w:rsidR="009E4B96" w:rsidRPr="00DF4993">
        <w:rPr>
          <w:rFonts w:ascii="Times New Roman" w:eastAsia="Times New Roman" w:hAnsi="Times New Roman" w:cs="Times New Roman"/>
          <w:sz w:val="24"/>
          <w:szCs w:val="24"/>
          <w:lang w:eastAsia="en-GB"/>
        </w:rPr>
        <w:t xml:space="preserve">nation states to implement </w:t>
      </w:r>
      <w:r w:rsidR="000D4E92">
        <w:rPr>
          <w:rFonts w:ascii="Times New Roman" w:eastAsia="Times New Roman" w:hAnsi="Times New Roman" w:cs="Times New Roman"/>
          <w:sz w:val="24"/>
          <w:szCs w:val="24"/>
          <w:lang w:eastAsia="en-GB"/>
        </w:rPr>
        <w:t>four CTF measures</w:t>
      </w:r>
      <w:r w:rsidR="00E25E01">
        <w:rPr>
          <w:rFonts w:ascii="Times New Roman" w:eastAsia="Times New Roman" w:hAnsi="Times New Roman" w:cs="Times New Roman"/>
          <w:sz w:val="24"/>
          <w:szCs w:val="24"/>
          <w:lang w:eastAsia="en-GB"/>
        </w:rPr>
        <w:t>:</w:t>
      </w:r>
      <w:r w:rsidR="009E4B96" w:rsidRPr="00DF4993">
        <w:rPr>
          <w:rFonts w:ascii="Times New Roman" w:eastAsia="Times New Roman" w:hAnsi="Times New Roman" w:cs="Times New Roman"/>
          <w:sz w:val="24"/>
          <w:szCs w:val="24"/>
          <w:lang w:eastAsia="en-GB"/>
        </w:rPr>
        <w:t xml:space="preserve"> </w:t>
      </w:r>
      <w:r w:rsidR="00785FFE">
        <w:rPr>
          <w:rFonts w:ascii="Times New Roman" w:eastAsia="Times New Roman" w:hAnsi="Times New Roman" w:cs="Times New Roman"/>
          <w:sz w:val="24"/>
          <w:szCs w:val="24"/>
          <w:lang w:eastAsia="en-GB"/>
        </w:rPr>
        <w:t xml:space="preserve">to </w:t>
      </w:r>
      <w:r w:rsidR="00E25E01">
        <w:rPr>
          <w:rFonts w:ascii="Times New Roman" w:eastAsia="Times New Roman" w:hAnsi="Times New Roman" w:cs="Times New Roman"/>
          <w:sz w:val="24"/>
          <w:szCs w:val="24"/>
          <w:lang w:eastAsia="en-GB"/>
        </w:rPr>
        <w:t>avert and s</w:t>
      </w:r>
      <w:r w:rsidR="009E4B96" w:rsidRPr="00DF4993">
        <w:rPr>
          <w:rFonts w:ascii="Times New Roman" w:hAnsi="Times New Roman" w:cs="Times New Roman"/>
          <w:sz w:val="24"/>
          <w:szCs w:val="24"/>
        </w:rPr>
        <w:t xml:space="preserve">uppress </w:t>
      </w:r>
      <w:r w:rsidR="00E25E01">
        <w:rPr>
          <w:rFonts w:ascii="Times New Roman" w:hAnsi="Times New Roman" w:cs="Times New Roman"/>
          <w:sz w:val="24"/>
          <w:szCs w:val="24"/>
        </w:rPr>
        <w:t>terrorist financing;</w:t>
      </w:r>
      <w:r w:rsidR="009E4B96" w:rsidRPr="00DF4993">
        <w:rPr>
          <w:rFonts w:ascii="Times New Roman" w:hAnsi="Times New Roman" w:cs="Times New Roman"/>
          <w:sz w:val="24"/>
          <w:szCs w:val="24"/>
          <w:vertAlign w:val="superscript"/>
        </w:rPr>
        <w:footnoteReference w:id="29"/>
      </w:r>
      <w:r w:rsidR="009E4B96" w:rsidRPr="00DF4993">
        <w:rPr>
          <w:rFonts w:ascii="Times New Roman" w:hAnsi="Times New Roman" w:cs="Times New Roman"/>
          <w:sz w:val="24"/>
          <w:szCs w:val="24"/>
        </w:rPr>
        <w:t xml:space="preserve">  criminalize </w:t>
      </w:r>
      <w:r w:rsidR="009E4B96">
        <w:rPr>
          <w:rFonts w:ascii="Times New Roman" w:hAnsi="Times New Roman" w:cs="Times New Roman"/>
          <w:sz w:val="24"/>
          <w:szCs w:val="24"/>
        </w:rPr>
        <w:t>the financing of terrorism</w:t>
      </w:r>
      <w:r w:rsidR="00E25E01">
        <w:rPr>
          <w:rFonts w:ascii="Times New Roman" w:hAnsi="Times New Roman" w:cs="Times New Roman"/>
          <w:sz w:val="24"/>
          <w:szCs w:val="24"/>
        </w:rPr>
        <w:t>;</w:t>
      </w:r>
      <w:r w:rsidR="009E4B96" w:rsidRPr="00DF4993">
        <w:rPr>
          <w:rFonts w:ascii="Times New Roman" w:hAnsi="Times New Roman" w:cs="Times New Roman"/>
          <w:sz w:val="24"/>
          <w:szCs w:val="24"/>
          <w:vertAlign w:val="superscript"/>
        </w:rPr>
        <w:footnoteReference w:id="30"/>
      </w:r>
      <w:r w:rsidR="00E25E01">
        <w:rPr>
          <w:rFonts w:ascii="Times New Roman" w:hAnsi="Times New Roman" w:cs="Times New Roman"/>
          <w:sz w:val="24"/>
          <w:szCs w:val="24"/>
        </w:rPr>
        <w:t xml:space="preserve"> </w:t>
      </w:r>
      <w:r w:rsidR="009E4B96" w:rsidRPr="00DF4993">
        <w:rPr>
          <w:rFonts w:ascii="Times New Roman" w:hAnsi="Times New Roman" w:cs="Times New Roman"/>
          <w:sz w:val="24"/>
          <w:szCs w:val="24"/>
        </w:rPr>
        <w:t xml:space="preserve">freeze </w:t>
      </w:r>
      <w:r w:rsidR="00E25E01">
        <w:rPr>
          <w:rFonts w:ascii="Times New Roman" w:hAnsi="Times New Roman" w:cs="Times New Roman"/>
          <w:sz w:val="24"/>
          <w:szCs w:val="24"/>
        </w:rPr>
        <w:t xml:space="preserve">the funds of terrorist and their financers </w:t>
      </w:r>
      <w:r w:rsidR="009E4B96" w:rsidRPr="00DF4993">
        <w:rPr>
          <w:rFonts w:ascii="Times New Roman" w:hAnsi="Times New Roman" w:cs="Times New Roman"/>
          <w:sz w:val="24"/>
          <w:szCs w:val="24"/>
          <w:vertAlign w:val="superscript"/>
        </w:rPr>
        <w:footnoteReference w:id="31"/>
      </w:r>
      <w:r w:rsidR="00E25E01">
        <w:rPr>
          <w:rFonts w:ascii="Times New Roman" w:hAnsi="Times New Roman" w:cs="Times New Roman"/>
          <w:sz w:val="24"/>
          <w:szCs w:val="24"/>
        </w:rPr>
        <w:t xml:space="preserve"> and to stop people or entities from providing financial support to those seeking to commit acts of terrorism</w:t>
      </w:r>
      <w:r w:rsidR="009E4B96" w:rsidRPr="00DF4993">
        <w:rPr>
          <w:rFonts w:ascii="Times New Roman" w:hAnsi="Times New Roman" w:cs="Times New Roman"/>
          <w:sz w:val="24"/>
          <w:szCs w:val="24"/>
        </w:rPr>
        <w:t>.</w:t>
      </w:r>
      <w:r w:rsidR="009E4B96" w:rsidRPr="00DF4993">
        <w:rPr>
          <w:rFonts w:ascii="Times New Roman" w:hAnsi="Times New Roman" w:cs="Times New Roman"/>
          <w:sz w:val="24"/>
          <w:szCs w:val="24"/>
          <w:vertAlign w:val="superscript"/>
        </w:rPr>
        <w:footnoteReference w:id="32"/>
      </w:r>
      <w:r w:rsidR="009E4B96" w:rsidRPr="00DF4993">
        <w:rPr>
          <w:rFonts w:ascii="Times New Roman" w:hAnsi="Times New Roman" w:cs="Times New Roman"/>
          <w:sz w:val="24"/>
          <w:szCs w:val="24"/>
        </w:rPr>
        <w:t xml:space="preserve">  Furthermore, </w:t>
      </w:r>
      <w:r w:rsidR="008E3D95">
        <w:rPr>
          <w:rFonts w:ascii="Times New Roman" w:hAnsi="Times New Roman" w:cs="Times New Roman"/>
          <w:sz w:val="24"/>
          <w:szCs w:val="24"/>
        </w:rPr>
        <w:t xml:space="preserve">UNSCR </w:t>
      </w:r>
      <w:r w:rsidR="009E4B96" w:rsidRPr="00DF4993">
        <w:rPr>
          <w:rFonts w:ascii="Times New Roman" w:eastAsia="Times New Roman" w:hAnsi="Times New Roman" w:cs="Times New Roman"/>
          <w:color w:val="000000"/>
          <w:sz w:val="24"/>
          <w:szCs w:val="24"/>
          <w:lang w:eastAsia="en-GB"/>
        </w:rPr>
        <w:t xml:space="preserve">1373 established </w:t>
      </w:r>
      <w:r w:rsidR="009E4B96">
        <w:rPr>
          <w:rFonts w:ascii="Times New Roman" w:eastAsia="Times New Roman" w:hAnsi="Times New Roman" w:cs="Times New Roman"/>
          <w:color w:val="000000"/>
          <w:sz w:val="24"/>
          <w:szCs w:val="24"/>
          <w:lang w:eastAsia="en-GB"/>
        </w:rPr>
        <w:t>the C</w:t>
      </w:r>
      <w:r w:rsidR="009E4B96" w:rsidRPr="00DF4993">
        <w:rPr>
          <w:rFonts w:ascii="Times New Roman" w:eastAsia="Times New Roman" w:hAnsi="Times New Roman" w:cs="Times New Roman"/>
          <w:color w:val="000000"/>
          <w:sz w:val="24"/>
          <w:szCs w:val="24"/>
          <w:lang w:eastAsia="en-GB"/>
        </w:rPr>
        <w:t xml:space="preserve">ounter-Terrorism Committee </w:t>
      </w:r>
      <w:r w:rsidR="008E3D95">
        <w:rPr>
          <w:rStyle w:val="FootnoteReference"/>
          <w:rFonts w:ascii="Times New Roman" w:eastAsia="Times New Roman" w:hAnsi="Times New Roman" w:cs="Times New Roman"/>
          <w:color w:val="000000"/>
          <w:sz w:val="24"/>
          <w:szCs w:val="24"/>
          <w:lang w:eastAsia="en-GB"/>
        </w:rPr>
        <w:footnoteReference w:id="33"/>
      </w:r>
      <w:r w:rsidR="00785FFE">
        <w:rPr>
          <w:rFonts w:ascii="Times New Roman" w:eastAsia="Times New Roman" w:hAnsi="Times New Roman" w:cs="Times New Roman"/>
          <w:color w:val="000000"/>
          <w:sz w:val="24"/>
          <w:szCs w:val="24"/>
          <w:lang w:eastAsia="en-GB"/>
        </w:rPr>
        <w:t xml:space="preserve"> </w:t>
      </w:r>
      <w:r w:rsidR="009E4B96">
        <w:rPr>
          <w:rFonts w:ascii="Times New Roman" w:eastAsia="Times New Roman" w:hAnsi="Times New Roman" w:cs="Times New Roman"/>
          <w:color w:val="000000"/>
          <w:sz w:val="24"/>
          <w:szCs w:val="24"/>
          <w:lang w:eastAsia="en-GB"/>
        </w:rPr>
        <w:t xml:space="preserve">which </w:t>
      </w:r>
      <w:r w:rsidR="009E4B96" w:rsidRPr="00DF4993">
        <w:rPr>
          <w:rFonts w:ascii="Times New Roman" w:eastAsia="Times New Roman" w:hAnsi="Times New Roman" w:cs="Times New Roman"/>
          <w:color w:val="000000"/>
          <w:sz w:val="24"/>
          <w:szCs w:val="24"/>
          <w:lang w:eastAsia="en-GB"/>
        </w:rPr>
        <w:t>monitor</w:t>
      </w:r>
      <w:r w:rsidR="008E3D95">
        <w:rPr>
          <w:rFonts w:ascii="Times New Roman" w:eastAsia="Times New Roman" w:hAnsi="Times New Roman" w:cs="Times New Roman"/>
          <w:color w:val="000000"/>
          <w:sz w:val="24"/>
          <w:szCs w:val="24"/>
          <w:lang w:eastAsia="en-GB"/>
        </w:rPr>
        <w:t xml:space="preserve">s </w:t>
      </w:r>
      <w:r w:rsidR="009E4B96">
        <w:rPr>
          <w:rFonts w:ascii="Times New Roman" w:eastAsia="Times New Roman" w:hAnsi="Times New Roman" w:cs="Times New Roman"/>
          <w:color w:val="000000"/>
          <w:sz w:val="24"/>
          <w:szCs w:val="24"/>
          <w:lang w:eastAsia="en-GB"/>
        </w:rPr>
        <w:lastRenderedPageBreak/>
        <w:t xml:space="preserve">the levels of </w:t>
      </w:r>
      <w:r w:rsidR="009E4B96" w:rsidRPr="00DF4993">
        <w:rPr>
          <w:rFonts w:ascii="Times New Roman" w:eastAsia="Times New Roman" w:hAnsi="Times New Roman" w:cs="Times New Roman"/>
          <w:color w:val="000000"/>
          <w:sz w:val="24"/>
          <w:szCs w:val="24"/>
          <w:lang w:eastAsia="en-GB"/>
        </w:rPr>
        <w:t xml:space="preserve">compliance with </w:t>
      </w:r>
      <w:r w:rsidR="009E4B96">
        <w:rPr>
          <w:rFonts w:ascii="Times New Roman" w:eastAsia="Times New Roman" w:hAnsi="Times New Roman" w:cs="Times New Roman"/>
          <w:color w:val="000000"/>
          <w:sz w:val="24"/>
          <w:szCs w:val="24"/>
          <w:lang w:eastAsia="en-GB"/>
        </w:rPr>
        <w:t>the</w:t>
      </w:r>
      <w:r w:rsidR="008E3D95">
        <w:rPr>
          <w:rFonts w:ascii="Times New Roman" w:eastAsia="Times New Roman" w:hAnsi="Times New Roman" w:cs="Times New Roman"/>
          <w:color w:val="000000"/>
          <w:sz w:val="24"/>
          <w:szCs w:val="24"/>
          <w:lang w:eastAsia="en-GB"/>
        </w:rPr>
        <w:t xml:space="preserve">se </w:t>
      </w:r>
      <w:r w:rsidR="009E4B96" w:rsidRPr="00DF4993">
        <w:rPr>
          <w:rFonts w:ascii="Times New Roman" w:eastAsia="Times New Roman" w:hAnsi="Times New Roman" w:cs="Times New Roman"/>
          <w:color w:val="000000"/>
          <w:sz w:val="24"/>
          <w:szCs w:val="24"/>
          <w:lang w:eastAsia="en-GB"/>
        </w:rPr>
        <w:t>provisions.</w:t>
      </w:r>
      <w:r w:rsidR="009E4B96" w:rsidRPr="00DF4993">
        <w:rPr>
          <w:rFonts w:ascii="Times New Roman" w:eastAsia="Times New Roman" w:hAnsi="Times New Roman" w:cs="Times New Roman"/>
          <w:color w:val="000000"/>
          <w:sz w:val="24"/>
          <w:szCs w:val="24"/>
          <w:vertAlign w:val="superscript"/>
          <w:lang w:eastAsia="en-GB"/>
        </w:rPr>
        <w:footnoteReference w:id="34"/>
      </w:r>
      <w:r w:rsidR="009E4B96" w:rsidRPr="00DF4993">
        <w:rPr>
          <w:rFonts w:ascii="Times New Roman" w:eastAsia="Times New Roman" w:hAnsi="Times New Roman" w:cs="Times New Roman"/>
          <w:color w:val="000000"/>
          <w:sz w:val="24"/>
          <w:szCs w:val="24"/>
          <w:lang w:eastAsia="en-GB"/>
        </w:rPr>
        <w:t xml:space="preserve">  The remit of the C</w:t>
      </w:r>
      <w:r w:rsidR="00E318F3">
        <w:rPr>
          <w:rFonts w:ascii="Times New Roman" w:eastAsia="Times New Roman" w:hAnsi="Times New Roman" w:cs="Times New Roman"/>
          <w:color w:val="000000"/>
          <w:sz w:val="24"/>
          <w:szCs w:val="24"/>
          <w:lang w:eastAsia="en-GB"/>
        </w:rPr>
        <w:t xml:space="preserve">TC </w:t>
      </w:r>
      <w:r w:rsidR="009E4B96" w:rsidRPr="00DF4993">
        <w:rPr>
          <w:rFonts w:ascii="Times New Roman" w:eastAsia="Times New Roman" w:hAnsi="Times New Roman" w:cs="Times New Roman"/>
          <w:color w:val="000000"/>
          <w:sz w:val="24"/>
          <w:szCs w:val="24"/>
          <w:lang w:eastAsia="en-GB"/>
        </w:rPr>
        <w:t>was extended by UN</w:t>
      </w:r>
      <w:r w:rsidR="00E318F3">
        <w:rPr>
          <w:rFonts w:ascii="Times New Roman" w:eastAsia="Times New Roman" w:hAnsi="Times New Roman" w:cs="Times New Roman"/>
          <w:color w:val="000000"/>
          <w:sz w:val="24"/>
          <w:szCs w:val="24"/>
          <w:lang w:eastAsia="en-GB"/>
        </w:rPr>
        <w:t xml:space="preserve">SCRs </w:t>
      </w:r>
      <w:r w:rsidR="009E4B96" w:rsidRPr="00DF4993">
        <w:rPr>
          <w:rFonts w:ascii="Times New Roman" w:eastAsia="Times New Roman" w:hAnsi="Times New Roman" w:cs="Times New Roman"/>
          <w:color w:val="000000"/>
          <w:sz w:val="24"/>
          <w:szCs w:val="24"/>
          <w:lang w:eastAsia="en-GB"/>
        </w:rPr>
        <w:t xml:space="preserve">1535 </w:t>
      </w:r>
      <w:r w:rsidR="009E4B96" w:rsidRPr="00DF4993">
        <w:rPr>
          <w:rFonts w:ascii="Times New Roman" w:eastAsia="Times New Roman" w:hAnsi="Times New Roman" w:cs="Times New Roman"/>
          <w:color w:val="000000"/>
          <w:sz w:val="24"/>
          <w:szCs w:val="24"/>
          <w:vertAlign w:val="superscript"/>
          <w:lang w:eastAsia="en-GB"/>
        </w:rPr>
        <w:footnoteReference w:id="35"/>
      </w:r>
      <w:r w:rsidR="009E4B96" w:rsidRPr="00DF4993">
        <w:rPr>
          <w:rFonts w:ascii="Times New Roman" w:eastAsia="Times New Roman" w:hAnsi="Times New Roman" w:cs="Times New Roman"/>
          <w:color w:val="000000"/>
          <w:sz w:val="24"/>
          <w:szCs w:val="24"/>
          <w:lang w:eastAsia="en-GB"/>
        </w:rPr>
        <w:t xml:space="preserve"> and 1566.</w:t>
      </w:r>
      <w:r w:rsidR="009E4B96" w:rsidRPr="00DF4993">
        <w:rPr>
          <w:rStyle w:val="FootnoteReference"/>
          <w:rFonts w:ascii="Times New Roman" w:eastAsia="Times New Roman" w:hAnsi="Times New Roman" w:cs="Times New Roman"/>
          <w:color w:val="000000"/>
          <w:sz w:val="24"/>
          <w:szCs w:val="24"/>
          <w:lang w:eastAsia="en-GB"/>
        </w:rPr>
        <w:footnoteReference w:id="36"/>
      </w:r>
      <w:r w:rsidR="009E4B96" w:rsidRPr="00DF4993">
        <w:rPr>
          <w:rFonts w:ascii="Times New Roman" w:eastAsia="Times New Roman" w:hAnsi="Times New Roman" w:cs="Times New Roman"/>
          <w:color w:val="000000"/>
          <w:sz w:val="24"/>
          <w:szCs w:val="24"/>
          <w:lang w:eastAsia="en-GB"/>
        </w:rPr>
        <w:t xml:space="preserve"> </w:t>
      </w:r>
      <w:r w:rsidR="009E4B96" w:rsidRPr="00B12660">
        <w:rPr>
          <w:rFonts w:ascii="Times New Roman" w:eastAsia="Times New Roman" w:hAnsi="Times New Roman" w:cs="Times New Roman"/>
          <w:sz w:val="24"/>
          <w:szCs w:val="24"/>
          <w:lang w:eastAsia="en-GB"/>
        </w:rPr>
        <w:t xml:space="preserve"> </w:t>
      </w:r>
      <w:r w:rsidR="009E4B96" w:rsidRPr="00DF4993">
        <w:rPr>
          <w:rFonts w:ascii="Times New Roman" w:eastAsia="Times New Roman" w:hAnsi="Times New Roman" w:cs="Times New Roman"/>
          <w:sz w:val="24"/>
          <w:szCs w:val="24"/>
          <w:lang w:eastAsia="en-GB"/>
        </w:rPr>
        <w:t>T</w:t>
      </w:r>
      <w:r w:rsidR="009E4B96" w:rsidRPr="00DF4993">
        <w:rPr>
          <w:rFonts w:ascii="Times New Roman" w:hAnsi="Times New Roman" w:cs="Times New Roman"/>
          <w:color w:val="000000"/>
          <w:sz w:val="24"/>
          <w:szCs w:val="24"/>
        </w:rPr>
        <w:t>he</w:t>
      </w:r>
      <w:r w:rsidR="009E4B96">
        <w:rPr>
          <w:rFonts w:ascii="Times New Roman" w:hAnsi="Times New Roman" w:cs="Times New Roman"/>
          <w:color w:val="000000"/>
          <w:sz w:val="24"/>
          <w:szCs w:val="24"/>
        </w:rPr>
        <w:t xml:space="preserve">refore, the </w:t>
      </w:r>
      <w:r w:rsidR="009E4B96" w:rsidRPr="00DF4993">
        <w:rPr>
          <w:rFonts w:ascii="Times New Roman" w:hAnsi="Times New Roman" w:cs="Times New Roman"/>
          <w:color w:val="000000"/>
          <w:sz w:val="24"/>
          <w:szCs w:val="24"/>
        </w:rPr>
        <w:t xml:space="preserve">terrorist attacks </w:t>
      </w:r>
      <w:r w:rsidR="00E318F3">
        <w:rPr>
          <w:rFonts w:ascii="Times New Roman" w:hAnsi="Times New Roman" w:cs="Times New Roman"/>
          <w:color w:val="000000"/>
          <w:sz w:val="24"/>
          <w:szCs w:val="24"/>
        </w:rPr>
        <w:t xml:space="preserve">in September 2001 </w:t>
      </w:r>
      <w:r w:rsidR="009E4B96">
        <w:rPr>
          <w:rFonts w:ascii="Times New Roman" w:hAnsi="Times New Roman" w:cs="Times New Roman"/>
          <w:color w:val="000000"/>
          <w:sz w:val="24"/>
          <w:szCs w:val="24"/>
        </w:rPr>
        <w:t xml:space="preserve">fundamentally altered how </w:t>
      </w:r>
      <w:r w:rsidR="009E4B96" w:rsidRPr="00DF4993">
        <w:rPr>
          <w:rFonts w:ascii="Times New Roman" w:hAnsi="Times New Roman" w:cs="Times New Roman"/>
          <w:color w:val="000000"/>
          <w:sz w:val="24"/>
          <w:szCs w:val="24"/>
        </w:rPr>
        <w:t>the international communit</w:t>
      </w:r>
      <w:r w:rsidR="009E4B96">
        <w:rPr>
          <w:rFonts w:ascii="Times New Roman" w:hAnsi="Times New Roman" w:cs="Times New Roman"/>
          <w:color w:val="000000"/>
          <w:sz w:val="24"/>
          <w:szCs w:val="24"/>
        </w:rPr>
        <w:t xml:space="preserve">y </w:t>
      </w:r>
      <w:r w:rsidR="00E318F3">
        <w:rPr>
          <w:rFonts w:ascii="Times New Roman" w:hAnsi="Times New Roman" w:cs="Times New Roman"/>
          <w:color w:val="000000"/>
          <w:sz w:val="24"/>
          <w:szCs w:val="24"/>
        </w:rPr>
        <w:t xml:space="preserve">tackled </w:t>
      </w:r>
      <w:r w:rsidR="009E4B96" w:rsidRPr="00DF4993">
        <w:rPr>
          <w:rFonts w:ascii="Times New Roman" w:hAnsi="Times New Roman" w:cs="Times New Roman"/>
          <w:color w:val="000000"/>
          <w:sz w:val="24"/>
          <w:szCs w:val="24"/>
        </w:rPr>
        <w:t xml:space="preserve">the financing of terrorism.  </w:t>
      </w:r>
      <w:r w:rsidR="009E4B96">
        <w:rPr>
          <w:rFonts w:ascii="Times New Roman" w:hAnsi="Times New Roman" w:cs="Times New Roman"/>
          <w:color w:val="000000"/>
          <w:sz w:val="24"/>
          <w:szCs w:val="24"/>
        </w:rPr>
        <w:t>The</w:t>
      </w:r>
      <w:r w:rsidR="00785FFE">
        <w:rPr>
          <w:rFonts w:ascii="Times New Roman" w:hAnsi="Times New Roman" w:cs="Times New Roman"/>
          <w:color w:val="000000"/>
          <w:sz w:val="24"/>
          <w:szCs w:val="24"/>
        </w:rPr>
        <w:t xml:space="preserve"> UN </w:t>
      </w:r>
      <w:r w:rsidR="009E4B96">
        <w:rPr>
          <w:rFonts w:ascii="Times New Roman" w:hAnsi="Times New Roman" w:cs="Times New Roman"/>
          <w:color w:val="000000"/>
          <w:sz w:val="24"/>
          <w:szCs w:val="24"/>
        </w:rPr>
        <w:t xml:space="preserve">measures heavily influenced the ‘Financial War on Terrorism’ and included the criminalisation of terrorist financing, the ability to freeze and confiscate/forfeiture terrorist assets.  </w:t>
      </w:r>
    </w:p>
    <w:p w:rsidR="00E318F3" w:rsidRDefault="00E318F3" w:rsidP="009E4B96">
      <w:pPr>
        <w:spacing w:after="0" w:line="480" w:lineRule="auto"/>
        <w:jc w:val="both"/>
        <w:rPr>
          <w:rFonts w:ascii="Times New Roman" w:hAnsi="Times New Roman" w:cs="Times New Roman"/>
          <w:color w:val="000000"/>
          <w:sz w:val="24"/>
          <w:szCs w:val="24"/>
        </w:rPr>
      </w:pPr>
    </w:p>
    <w:p w:rsidR="00E318F3" w:rsidRDefault="009E4B96" w:rsidP="009E4B96">
      <w:pPr>
        <w:spacing w:after="0" w:line="48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color w:val="000000"/>
          <w:sz w:val="24"/>
          <w:szCs w:val="24"/>
          <w:lang w:eastAsia="en-GB"/>
        </w:rPr>
        <w:t>Additionally, t</w:t>
      </w:r>
      <w:r w:rsidRPr="00DF4993">
        <w:rPr>
          <w:rFonts w:ascii="Times New Roman" w:eastAsia="Times New Roman" w:hAnsi="Times New Roman" w:cs="Times New Roman"/>
          <w:color w:val="000000"/>
          <w:sz w:val="24"/>
          <w:szCs w:val="24"/>
          <w:lang w:eastAsia="en-GB"/>
        </w:rPr>
        <w:t>he EU has implemented a series of CTF</w:t>
      </w:r>
      <w:r w:rsidR="003F7864">
        <w:rPr>
          <w:rFonts w:ascii="Times New Roman" w:eastAsia="Times New Roman" w:hAnsi="Times New Roman" w:cs="Times New Roman"/>
          <w:color w:val="000000"/>
          <w:sz w:val="24"/>
          <w:szCs w:val="24"/>
          <w:lang w:eastAsia="en-GB"/>
        </w:rPr>
        <w:t xml:space="preserve"> measures, the </w:t>
      </w:r>
      <w:r>
        <w:rPr>
          <w:rFonts w:ascii="Times New Roman" w:eastAsia="Times New Roman" w:hAnsi="Times New Roman" w:cs="Times New Roman"/>
          <w:color w:val="000000"/>
          <w:sz w:val="24"/>
          <w:szCs w:val="24"/>
          <w:lang w:eastAsia="en-GB"/>
        </w:rPr>
        <w:t xml:space="preserve">most important </w:t>
      </w:r>
      <w:r w:rsidR="003F7864">
        <w:rPr>
          <w:rFonts w:ascii="Times New Roman" w:eastAsia="Times New Roman" w:hAnsi="Times New Roman" w:cs="Times New Roman"/>
          <w:color w:val="000000"/>
          <w:sz w:val="24"/>
          <w:szCs w:val="24"/>
          <w:lang w:eastAsia="en-GB"/>
        </w:rPr>
        <w:t xml:space="preserve">of which </w:t>
      </w:r>
      <w:r>
        <w:rPr>
          <w:rFonts w:ascii="Times New Roman" w:eastAsia="Times New Roman" w:hAnsi="Times New Roman" w:cs="Times New Roman"/>
          <w:color w:val="000000"/>
          <w:sz w:val="24"/>
          <w:szCs w:val="24"/>
          <w:lang w:eastAsia="en-GB"/>
        </w:rPr>
        <w:t xml:space="preserve">was the extension of the </w:t>
      </w:r>
      <w:r>
        <w:rPr>
          <w:rFonts w:ascii="Times New Roman" w:hAnsi="Times New Roman" w:cs="Times New Roman"/>
          <w:sz w:val="24"/>
          <w:szCs w:val="24"/>
        </w:rPr>
        <w:t>t</w:t>
      </w:r>
      <w:r w:rsidRPr="00DF4993">
        <w:rPr>
          <w:rFonts w:ascii="Times New Roman" w:hAnsi="Times New Roman" w:cs="Times New Roman"/>
          <w:sz w:val="24"/>
          <w:szCs w:val="24"/>
        </w:rPr>
        <w:t xml:space="preserve">hird Money Laundering </w:t>
      </w:r>
      <w:r w:rsidRPr="00DF4993">
        <w:rPr>
          <w:rFonts w:ascii="Times New Roman" w:eastAsia="Times New Roman" w:hAnsi="Times New Roman" w:cs="Times New Roman"/>
          <w:sz w:val="24"/>
          <w:szCs w:val="24"/>
          <w:lang w:eastAsia="en-GB"/>
        </w:rPr>
        <w:t xml:space="preserve">Directive </w:t>
      </w:r>
      <w:r>
        <w:rPr>
          <w:rFonts w:ascii="Times New Roman" w:eastAsia="Times New Roman" w:hAnsi="Times New Roman" w:cs="Times New Roman"/>
          <w:sz w:val="24"/>
          <w:szCs w:val="24"/>
          <w:lang w:eastAsia="en-GB"/>
        </w:rPr>
        <w:t xml:space="preserve">to </w:t>
      </w:r>
      <w:r w:rsidRPr="00DF4993">
        <w:rPr>
          <w:rFonts w:ascii="Times New Roman" w:hAnsi="Times New Roman" w:cs="Times New Roman"/>
          <w:sz w:val="24"/>
          <w:szCs w:val="24"/>
        </w:rPr>
        <w:t>inc</w:t>
      </w:r>
      <w:r>
        <w:rPr>
          <w:rFonts w:ascii="Times New Roman" w:hAnsi="Times New Roman" w:cs="Times New Roman"/>
          <w:sz w:val="24"/>
          <w:szCs w:val="24"/>
        </w:rPr>
        <w:t>lude the financing of terrorism.</w:t>
      </w:r>
      <w:r w:rsidRPr="00DF4993">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 xml:space="preserve">Further measures included the publication of the </w:t>
      </w:r>
      <w:r w:rsidRPr="00DF4993">
        <w:rPr>
          <w:rFonts w:ascii="Times New Roman" w:eastAsia="Times New Roman" w:hAnsi="Times New Roman" w:cs="Times New Roman"/>
          <w:color w:val="000000"/>
          <w:sz w:val="24"/>
          <w:szCs w:val="24"/>
          <w:lang w:eastAsia="en-GB"/>
        </w:rPr>
        <w:t>European Council Common Position, w</w:t>
      </w:r>
      <w:r w:rsidR="003C606A">
        <w:rPr>
          <w:rFonts w:ascii="Times New Roman" w:eastAsia="Times New Roman" w:hAnsi="Times New Roman" w:cs="Times New Roman"/>
          <w:color w:val="000000"/>
          <w:sz w:val="24"/>
          <w:szCs w:val="24"/>
          <w:lang w:eastAsia="en-GB"/>
        </w:rPr>
        <w:t>hich provides that the EU will ‘</w:t>
      </w:r>
      <w:r w:rsidRPr="00DF4993">
        <w:rPr>
          <w:rFonts w:ascii="Times New Roman" w:eastAsia="Times New Roman" w:hAnsi="Times New Roman" w:cs="Times New Roman"/>
          <w:sz w:val="24"/>
          <w:szCs w:val="24"/>
          <w:lang w:eastAsia="en-GB"/>
        </w:rPr>
        <w:t xml:space="preserve">adopt financial sanctions </w:t>
      </w:r>
      <w:r>
        <w:rPr>
          <w:rFonts w:ascii="Times New Roman" w:eastAsia="Times New Roman" w:hAnsi="Times New Roman" w:cs="Times New Roman"/>
          <w:sz w:val="24"/>
          <w:szCs w:val="24"/>
          <w:lang w:eastAsia="en-GB"/>
        </w:rPr>
        <w:t xml:space="preserve">… </w:t>
      </w:r>
      <w:r w:rsidRPr="00DF4993">
        <w:rPr>
          <w:rFonts w:ascii="Times New Roman" w:eastAsia="Times New Roman" w:hAnsi="Times New Roman" w:cs="Times New Roman"/>
          <w:sz w:val="24"/>
          <w:szCs w:val="24"/>
          <w:lang w:eastAsia="en-GB"/>
        </w:rPr>
        <w:t>that will ensure that funds, financial assets, economic resources or other related services will not be made ava</w:t>
      </w:r>
      <w:r w:rsidR="003C606A">
        <w:rPr>
          <w:rFonts w:ascii="Times New Roman" w:eastAsia="Times New Roman" w:hAnsi="Times New Roman" w:cs="Times New Roman"/>
          <w:sz w:val="24"/>
          <w:szCs w:val="24"/>
          <w:lang w:eastAsia="en-GB"/>
        </w:rPr>
        <w:t>ilable to designated terrorists’</w:t>
      </w:r>
      <w:r w:rsidRPr="00DF4993">
        <w:rPr>
          <w:rFonts w:ascii="Times New Roman" w:eastAsia="Times New Roman" w:hAnsi="Times New Roman" w:cs="Times New Roman"/>
          <w:sz w:val="24"/>
          <w:szCs w:val="24"/>
          <w:lang w:eastAsia="en-GB"/>
        </w:rPr>
        <w:t>.</w:t>
      </w:r>
      <w:r w:rsidRPr="00DF4993">
        <w:rPr>
          <w:rFonts w:ascii="Times New Roman" w:eastAsia="Times New Roman" w:hAnsi="Times New Roman" w:cs="Times New Roman"/>
          <w:sz w:val="24"/>
          <w:szCs w:val="24"/>
          <w:vertAlign w:val="superscript"/>
          <w:lang w:eastAsia="en-GB"/>
        </w:rPr>
        <w:footnoteReference w:id="38"/>
      </w:r>
      <w:r w:rsidRPr="00DF499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w:t>
      </w:r>
      <w:r w:rsidRPr="00DF4993">
        <w:rPr>
          <w:rFonts w:ascii="Times New Roman" w:eastAsia="Times New Roman" w:hAnsi="Times New Roman" w:cs="Times New Roman"/>
          <w:color w:val="000000"/>
          <w:sz w:val="24"/>
          <w:szCs w:val="24"/>
          <w:lang w:eastAsia="en-GB"/>
        </w:rPr>
        <w:t>he EU</w:t>
      </w:r>
      <w:r>
        <w:rPr>
          <w:rFonts w:ascii="Times New Roman" w:eastAsia="Times New Roman" w:hAnsi="Times New Roman" w:cs="Times New Roman"/>
          <w:color w:val="000000"/>
          <w:sz w:val="24"/>
          <w:szCs w:val="24"/>
          <w:lang w:eastAsia="en-GB"/>
        </w:rPr>
        <w:t xml:space="preserve"> </w:t>
      </w:r>
      <w:r w:rsidRPr="00DF4993">
        <w:rPr>
          <w:rFonts w:ascii="Times New Roman" w:eastAsia="Times New Roman" w:hAnsi="Times New Roman" w:cs="Times New Roman"/>
          <w:color w:val="000000"/>
          <w:sz w:val="24"/>
          <w:szCs w:val="24"/>
          <w:lang w:eastAsia="en-GB"/>
        </w:rPr>
        <w:t xml:space="preserve">published a Council Regulation </w:t>
      </w:r>
      <w:r>
        <w:rPr>
          <w:rFonts w:ascii="Times New Roman" w:eastAsia="Times New Roman" w:hAnsi="Times New Roman" w:cs="Times New Roman"/>
          <w:color w:val="000000"/>
          <w:sz w:val="24"/>
          <w:szCs w:val="24"/>
          <w:lang w:eastAsia="en-GB"/>
        </w:rPr>
        <w:t xml:space="preserve">that imposed a series of </w:t>
      </w:r>
      <w:r w:rsidRPr="00DF4993">
        <w:rPr>
          <w:rFonts w:ascii="Times New Roman" w:eastAsia="Times New Roman" w:hAnsi="Times New Roman" w:cs="Times New Roman"/>
          <w:sz w:val="24"/>
          <w:szCs w:val="24"/>
          <w:lang w:eastAsia="en-GB"/>
        </w:rPr>
        <w:t xml:space="preserve">restrictive measures </w:t>
      </w:r>
      <w:r>
        <w:rPr>
          <w:rFonts w:ascii="Times New Roman" w:eastAsia="Times New Roman" w:hAnsi="Times New Roman" w:cs="Times New Roman"/>
          <w:sz w:val="24"/>
          <w:szCs w:val="24"/>
          <w:lang w:eastAsia="en-GB"/>
        </w:rPr>
        <w:t xml:space="preserve">that were </w:t>
      </w:r>
      <w:r w:rsidRPr="00DF4993">
        <w:rPr>
          <w:rFonts w:ascii="Times New Roman" w:eastAsia="Times New Roman" w:hAnsi="Times New Roman" w:cs="Times New Roman"/>
          <w:sz w:val="24"/>
          <w:szCs w:val="24"/>
          <w:lang w:eastAsia="en-GB"/>
        </w:rPr>
        <w:t>directed against certain persons and entities with a view to combating terrorism</w:t>
      </w:r>
      <w:r w:rsidRPr="00DF4993">
        <w:rPr>
          <w:rFonts w:ascii="Times New Roman" w:eastAsia="Times New Roman" w:hAnsi="Times New Roman" w:cs="Times New Roman"/>
          <w:color w:val="000000"/>
          <w:sz w:val="24"/>
          <w:szCs w:val="24"/>
          <w:lang w:eastAsia="en-GB"/>
        </w:rPr>
        <w:t>.</w:t>
      </w:r>
      <w:r w:rsidRPr="00DF4993">
        <w:rPr>
          <w:rFonts w:ascii="Times New Roman" w:eastAsia="Times New Roman" w:hAnsi="Times New Roman" w:cs="Times New Roman"/>
          <w:color w:val="000000"/>
          <w:sz w:val="24"/>
          <w:szCs w:val="24"/>
          <w:vertAlign w:val="superscript"/>
          <w:lang w:eastAsia="en-GB"/>
        </w:rPr>
        <w:footnoteReference w:id="39"/>
      </w:r>
      <w:r w:rsidRPr="00DF499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This </w:t>
      </w:r>
      <w:r w:rsidRPr="00DF4993">
        <w:rPr>
          <w:rFonts w:ascii="Times New Roman" w:eastAsia="Times New Roman" w:hAnsi="Times New Roman" w:cs="Times New Roman"/>
          <w:sz w:val="24"/>
          <w:szCs w:val="24"/>
          <w:lang w:eastAsia="en-GB"/>
        </w:rPr>
        <w:t>Coun</w:t>
      </w:r>
      <w:r>
        <w:rPr>
          <w:rFonts w:ascii="Times New Roman" w:eastAsia="Times New Roman" w:hAnsi="Times New Roman" w:cs="Times New Roman"/>
          <w:sz w:val="24"/>
          <w:szCs w:val="24"/>
          <w:lang w:eastAsia="en-GB"/>
        </w:rPr>
        <w:t>cil Regulation also contained</w:t>
      </w:r>
      <w:r w:rsidRPr="00DF4993">
        <w:rPr>
          <w:rFonts w:ascii="Times New Roman" w:eastAsia="Times New Roman" w:hAnsi="Times New Roman" w:cs="Times New Roman"/>
          <w:sz w:val="24"/>
          <w:szCs w:val="24"/>
          <w:lang w:eastAsia="en-GB"/>
        </w:rPr>
        <w:t xml:space="preserve"> a ‘black list’ </w:t>
      </w:r>
      <w:r>
        <w:rPr>
          <w:rFonts w:ascii="Times New Roman" w:eastAsia="Times New Roman" w:hAnsi="Times New Roman" w:cs="Times New Roman"/>
          <w:sz w:val="24"/>
          <w:szCs w:val="24"/>
          <w:lang w:eastAsia="en-GB"/>
        </w:rPr>
        <w:t>of terrorist sponsors that duplicated</w:t>
      </w:r>
      <w:r w:rsidRPr="00DF4993">
        <w:rPr>
          <w:rFonts w:ascii="Times New Roman" w:eastAsia="Times New Roman" w:hAnsi="Times New Roman" w:cs="Times New Roman"/>
          <w:sz w:val="24"/>
          <w:szCs w:val="24"/>
          <w:lang w:eastAsia="en-GB"/>
        </w:rPr>
        <w:t xml:space="preserve"> those designated by the UN Sanctions Committee.  </w:t>
      </w:r>
      <w:r w:rsidRPr="00DF4993">
        <w:rPr>
          <w:rFonts w:ascii="Times New Roman" w:eastAsia="Times New Roman" w:hAnsi="Times New Roman" w:cs="Times New Roman"/>
          <w:color w:val="000000"/>
          <w:sz w:val="24"/>
          <w:szCs w:val="24"/>
          <w:lang w:eastAsia="en-GB"/>
        </w:rPr>
        <w:t xml:space="preserve">Additionally, </w:t>
      </w:r>
      <w:r>
        <w:rPr>
          <w:rFonts w:ascii="Times New Roman" w:eastAsia="Times New Roman" w:hAnsi="Times New Roman" w:cs="Times New Roman"/>
          <w:color w:val="000000"/>
          <w:sz w:val="24"/>
          <w:szCs w:val="24"/>
          <w:lang w:eastAsia="en-GB"/>
        </w:rPr>
        <w:t xml:space="preserve">the European </w:t>
      </w:r>
      <w:r w:rsidRPr="00DF4993">
        <w:rPr>
          <w:rFonts w:ascii="Times New Roman" w:eastAsia="Times New Roman" w:hAnsi="Times New Roman" w:cs="Times New Roman"/>
          <w:color w:val="000000"/>
          <w:sz w:val="24"/>
          <w:szCs w:val="24"/>
          <w:lang w:eastAsia="en-GB"/>
        </w:rPr>
        <w:t xml:space="preserve">Council </w:t>
      </w:r>
      <w:r>
        <w:rPr>
          <w:rFonts w:ascii="Times New Roman" w:eastAsia="Times New Roman" w:hAnsi="Times New Roman" w:cs="Times New Roman"/>
          <w:color w:val="000000"/>
          <w:sz w:val="24"/>
          <w:szCs w:val="24"/>
          <w:lang w:eastAsia="en-GB"/>
        </w:rPr>
        <w:t>introduced an</w:t>
      </w:r>
      <w:r w:rsidR="003F7864">
        <w:rPr>
          <w:rFonts w:ascii="Times New Roman" w:eastAsia="Times New Roman" w:hAnsi="Times New Roman" w:cs="Times New Roman"/>
          <w:color w:val="000000"/>
          <w:sz w:val="24"/>
          <w:szCs w:val="24"/>
          <w:lang w:eastAsia="en-GB"/>
        </w:rPr>
        <w:t>o</w:t>
      </w:r>
      <w:r>
        <w:rPr>
          <w:rFonts w:ascii="Times New Roman" w:eastAsia="Times New Roman" w:hAnsi="Times New Roman" w:cs="Times New Roman"/>
          <w:color w:val="000000"/>
          <w:sz w:val="24"/>
          <w:szCs w:val="24"/>
          <w:lang w:eastAsia="en-GB"/>
        </w:rPr>
        <w:t xml:space="preserve">ther </w:t>
      </w:r>
      <w:r w:rsidRPr="00DF4993">
        <w:rPr>
          <w:rFonts w:ascii="Times New Roman" w:eastAsia="Times New Roman" w:hAnsi="Times New Roman" w:cs="Times New Roman"/>
          <w:color w:val="000000"/>
          <w:sz w:val="24"/>
          <w:szCs w:val="24"/>
          <w:lang w:eastAsia="en-GB"/>
        </w:rPr>
        <w:t>Common Position</w:t>
      </w:r>
      <w:r w:rsidR="00E318F3">
        <w:rPr>
          <w:rFonts w:ascii="Times New Roman" w:eastAsia="Times New Roman" w:hAnsi="Times New Roman" w:cs="Times New Roman"/>
          <w:color w:val="000000"/>
          <w:sz w:val="24"/>
          <w:szCs w:val="24"/>
          <w:lang w:eastAsia="en-GB"/>
        </w:rPr>
        <w:t xml:space="preserve"> that requires the </w:t>
      </w:r>
      <w:r w:rsidRPr="00DF4993">
        <w:rPr>
          <w:rFonts w:ascii="Times New Roman" w:eastAsia="Times New Roman" w:hAnsi="Times New Roman" w:cs="Times New Roman"/>
          <w:color w:val="000000"/>
          <w:sz w:val="24"/>
          <w:szCs w:val="24"/>
          <w:lang w:eastAsia="en-GB"/>
        </w:rPr>
        <w:t xml:space="preserve">EU </w:t>
      </w:r>
      <w:r w:rsidR="00E318F3">
        <w:rPr>
          <w:rFonts w:ascii="Times New Roman" w:eastAsia="Times New Roman" w:hAnsi="Times New Roman" w:cs="Times New Roman"/>
          <w:color w:val="000000"/>
          <w:sz w:val="24"/>
          <w:szCs w:val="24"/>
          <w:lang w:eastAsia="en-GB"/>
        </w:rPr>
        <w:t>to maintain</w:t>
      </w:r>
      <w:r w:rsidRPr="00DF4993">
        <w:rPr>
          <w:rFonts w:ascii="Times New Roman" w:eastAsia="Times New Roman" w:hAnsi="Times New Roman" w:cs="Times New Roman"/>
          <w:color w:val="000000"/>
          <w:sz w:val="24"/>
          <w:szCs w:val="24"/>
          <w:lang w:eastAsia="en-GB"/>
        </w:rPr>
        <w:t xml:space="preserve"> a </w:t>
      </w:r>
      <w:r w:rsidR="003C606A">
        <w:rPr>
          <w:rFonts w:ascii="Times New Roman" w:eastAsia="Times New Roman" w:hAnsi="Times New Roman" w:cs="Times New Roman"/>
          <w:color w:val="000000"/>
          <w:sz w:val="24"/>
          <w:szCs w:val="24"/>
          <w:lang w:eastAsia="en-GB"/>
        </w:rPr>
        <w:t>‘</w:t>
      </w:r>
      <w:r w:rsidRPr="00DF4993">
        <w:rPr>
          <w:rFonts w:ascii="Times New Roman" w:eastAsia="Times New Roman" w:hAnsi="Times New Roman" w:cs="Times New Roman"/>
          <w:color w:val="000000"/>
          <w:sz w:val="24"/>
          <w:szCs w:val="24"/>
          <w:lang w:eastAsia="en-GB"/>
        </w:rPr>
        <w:t>public list of territories and terrorist organisations</w:t>
      </w:r>
      <w:r w:rsidR="00E318F3">
        <w:rPr>
          <w:rFonts w:ascii="Times New Roman" w:eastAsia="Times New Roman" w:hAnsi="Times New Roman" w:cs="Times New Roman"/>
          <w:color w:val="000000"/>
          <w:sz w:val="24"/>
          <w:szCs w:val="24"/>
          <w:lang w:eastAsia="en-GB"/>
        </w:rPr>
        <w:t xml:space="preserve"> … </w:t>
      </w:r>
      <w:r w:rsidRPr="00DF4993">
        <w:rPr>
          <w:rFonts w:ascii="Times New Roman" w:eastAsia="Times New Roman" w:hAnsi="Times New Roman" w:cs="Times New Roman"/>
          <w:color w:val="000000"/>
          <w:sz w:val="24"/>
          <w:szCs w:val="24"/>
          <w:lang w:eastAsia="en-GB"/>
        </w:rPr>
        <w:t>against which further sanctions</w:t>
      </w:r>
      <w:r w:rsidR="00E318F3">
        <w:rPr>
          <w:rFonts w:ascii="Times New Roman" w:eastAsia="Times New Roman" w:hAnsi="Times New Roman" w:cs="Times New Roman"/>
          <w:color w:val="000000"/>
          <w:sz w:val="24"/>
          <w:szCs w:val="24"/>
          <w:lang w:eastAsia="en-GB"/>
        </w:rPr>
        <w:t xml:space="preserve"> … [can] be </w:t>
      </w:r>
      <w:r w:rsidRPr="00DF4993">
        <w:rPr>
          <w:rFonts w:ascii="Times New Roman" w:eastAsia="Times New Roman" w:hAnsi="Times New Roman" w:cs="Times New Roman"/>
          <w:color w:val="000000"/>
          <w:sz w:val="24"/>
          <w:szCs w:val="24"/>
          <w:lang w:eastAsia="en-GB"/>
        </w:rPr>
        <w:t>taken</w:t>
      </w:r>
      <w:r w:rsidR="003C606A">
        <w:rPr>
          <w:rFonts w:ascii="Times New Roman" w:eastAsia="Times New Roman" w:hAnsi="Times New Roman" w:cs="Times New Roman"/>
          <w:color w:val="000000"/>
          <w:sz w:val="24"/>
          <w:szCs w:val="24"/>
          <w:lang w:eastAsia="en-GB"/>
        </w:rPr>
        <w:t>’</w:t>
      </w:r>
      <w:r w:rsidRPr="00DF4993">
        <w:rPr>
          <w:rFonts w:ascii="Times New Roman" w:eastAsia="Times New Roman" w:hAnsi="Times New Roman" w:cs="Times New Roman"/>
          <w:color w:val="000000"/>
          <w:sz w:val="24"/>
          <w:szCs w:val="24"/>
          <w:lang w:eastAsia="en-GB"/>
        </w:rPr>
        <w:t>.</w:t>
      </w:r>
      <w:r w:rsidRPr="00DF4993">
        <w:rPr>
          <w:rFonts w:ascii="Times New Roman" w:eastAsia="Times New Roman" w:hAnsi="Times New Roman" w:cs="Times New Roman"/>
          <w:color w:val="000000"/>
          <w:sz w:val="24"/>
          <w:szCs w:val="24"/>
          <w:vertAlign w:val="superscript"/>
          <w:lang w:eastAsia="en-GB"/>
        </w:rPr>
        <w:footnoteReference w:id="40"/>
      </w:r>
      <w:r>
        <w:rPr>
          <w:rFonts w:ascii="Times New Roman" w:eastAsia="Times New Roman" w:hAnsi="Times New Roman" w:cs="Times New Roman"/>
          <w:color w:val="000000"/>
          <w:sz w:val="24"/>
          <w:szCs w:val="24"/>
          <w:lang w:eastAsia="en-GB"/>
        </w:rPr>
        <w:t xml:space="preserve">  Therefore, the EU followed the sanctions regime of UN and extended the use of </w:t>
      </w:r>
      <w:r w:rsidR="003F7864">
        <w:rPr>
          <w:rFonts w:ascii="Times New Roman" w:eastAsia="Times New Roman" w:hAnsi="Times New Roman" w:cs="Times New Roman"/>
          <w:color w:val="000000"/>
          <w:sz w:val="24"/>
          <w:szCs w:val="24"/>
          <w:lang w:eastAsia="en-GB"/>
        </w:rPr>
        <w:t xml:space="preserve">SARs </w:t>
      </w:r>
      <w:r>
        <w:rPr>
          <w:rFonts w:ascii="Times New Roman" w:eastAsia="Times New Roman" w:hAnsi="Times New Roman" w:cs="Times New Roman"/>
          <w:color w:val="000000"/>
          <w:sz w:val="24"/>
          <w:szCs w:val="24"/>
          <w:lang w:eastAsia="en-GB"/>
        </w:rPr>
        <w:t xml:space="preserve">from money laundering to the financing of terrorism.  </w:t>
      </w:r>
      <w:r w:rsidR="00E318F3">
        <w:rPr>
          <w:rFonts w:ascii="Times New Roman" w:eastAsia="Times New Roman" w:hAnsi="Times New Roman" w:cs="Times New Roman"/>
          <w:color w:val="000000"/>
          <w:sz w:val="24"/>
          <w:szCs w:val="24"/>
          <w:lang w:eastAsia="en-GB"/>
        </w:rPr>
        <w:t>Additionally, t</w:t>
      </w:r>
      <w:r w:rsidRPr="00DF4993">
        <w:rPr>
          <w:rFonts w:ascii="Times New Roman" w:eastAsia="Times New Roman" w:hAnsi="Times New Roman" w:cs="Times New Roman"/>
          <w:sz w:val="24"/>
          <w:szCs w:val="24"/>
          <w:lang w:eastAsia="en-GB"/>
        </w:rPr>
        <w:t xml:space="preserve">he FATF extended </w:t>
      </w:r>
      <w:r>
        <w:rPr>
          <w:rFonts w:ascii="Times New Roman" w:eastAsia="Times New Roman" w:hAnsi="Times New Roman" w:cs="Times New Roman"/>
          <w:sz w:val="24"/>
          <w:szCs w:val="24"/>
          <w:lang w:eastAsia="en-GB"/>
        </w:rPr>
        <w:t xml:space="preserve">its remit to </w:t>
      </w:r>
      <w:r w:rsidRPr="00DF4993">
        <w:rPr>
          <w:rFonts w:ascii="Times New Roman" w:eastAsia="Times New Roman" w:hAnsi="Times New Roman" w:cs="Times New Roman"/>
          <w:sz w:val="24"/>
          <w:szCs w:val="24"/>
          <w:lang w:eastAsia="en-GB"/>
        </w:rPr>
        <w:t xml:space="preserve">include the financing of terrorism, and </w:t>
      </w:r>
      <w:r>
        <w:rPr>
          <w:rFonts w:ascii="Times New Roman" w:eastAsia="Times New Roman" w:hAnsi="Times New Roman" w:cs="Times New Roman"/>
          <w:sz w:val="24"/>
          <w:szCs w:val="24"/>
          <w:lang w:eastAsia="en-GB"/>
        </w:rPr>
        <w:t xml:space="preserve">introduced the </w:t>
      </w:r>
      <w:r w:rsidRPr="00DF4993">
        <w:rPr>
          <w:rFonts w:ascii="Times New Roman" w:eastAsia="Times New Roman" w:hAnsi="Times New Roman" w:cs="Times New Roman"/>
          <w:sz w:val="24"/>
          <w:szCs w:val="24"/>
          <w:lang w:eastAsia="en-GB"/>
        </w:rPr>
        <w:t xml:space="preserve">‘Special </w:t>
      </w:r>
      <w:r w:rsidRPr="00DF4993">
        <w:rPr>
          <w:rFonts w:ascii="Times New Roman" w:eastAsia="Times New Roman" w:hAnsi="Times New Roman" w:cs="Times New Roman"/>
          <w:sz w:val="24"/>
          <w:szCs w:val="24"/>
          <w:lang w:eastAsia="en-GB"/>
        </w:rPr>
        <w:lastRenderedPageBreak/>
        <w:t>Recommendations’</w:t>
      </w:r>
      <w:r w:rsidR="003F7864">
        <w:rPr>
          <w:rFonts w:ascii="Times New Roman" w:eastAsia="Times New Roman" w:hAnsi="Times New Roman" w:cs="Times New Roman"/>
          <w:sz w:val="24"/>
          <w:szCs w:val="24"/>
          <w:lang w:eastAsia="en-GB"/>
        </w:rPr>
        <w:t xml:space="preserve"> in October 2001</w:t>
      </w:r>
      <w:r w:rsidRPr="00DF4993">
        <w:rPr>
          <w:rFonts w:ascii="Times New Roman" w:eastAsia="Times New Roman" w:hAnsi="Times New Roman" w:cs="Times New Roman"/>
          <w:sz w:val="24"/>
          <w:szCs w:val="24"/>
          <w:lang w:eastAsia="en-GB"/>
        </w:rPr>
        <w:t>.</w:t>
      </w:r>
      <w:r w:rsidR="00E318F3">
        <w:rPr>
          <w:rStyle w:val="FootnoteReference"/>
          <w:rFonts w:ascii="Times New Roman" w:eastAsia="Times New Roman" w:hAnsi="Times New Roman" w:cs="Times New Roman"/>
          <w:sz w:val="24"/>
          <w:szCs w:val="24"/>
          <w:lang w:eastAsia="en-GB"/>
        </w:rPr>
        <w:footnoteReference w:id="41"/>
      </w:r>
      <w:r w:rsidRPr="00DF499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color w:val="000000"/>
          <w:sz w:val="24"/>
          <w:szCs w:val="24"/>
          <w:lang w:eastAsia="en-GB"/>
        </w:rPr>
        <w:t>T</w:t>
      </w:r>
      <w:r w:rsidRPr="00DF4993">
        <w:rPr>
          <w:rFonts w:ascii="Times New Roman" w:eastAsia="Times New Roman" w:hAnsi="Times New Roman" w:cs="Times New Roman"/>
          <w:sz w:val="24"/>
          <w:szCs w:val="24"/>
          <w:lang w:eastAsia="en-GB"/>
        </w:rPr>
        <w:t xml:space="preserve">he Special Recommendations are </w:t>
      </w:r>
      <w:r>
        <w:rPr>
          <w:rFonts w:ascii="Times New Roman" w:eastAsia="Times New Roman" w:hAnsi="Times New Roman" w:cs="Times New Roman"/>
          <w:sz w:val="24"/>
          <w:szCs w:val="24"/>
          <w:lang w:eastAsia="en-GB"/>
        </w:rPr>
        <w:t xml:space="preserve">important </w:t>
      </w:r>
      <w:r w:rsidRPr="00DF4993">
        <w:rPr>
          <w:rFonts w:ascii="Times New Roman" w:eastAsia="Times New Roman" w:hAnsi="Times New Roman" w:cs="Times New Roman"/>
          <w:sz w:val="24"/>
          <w:szCs w:val="24"/>
          <w:lang w:eastAsia="en-GB"/>
        </w:rPr>
        <w:t>because prior to</w:t>
      </w:r>
      <w:r w:rsidR="003C606A">
        <w:rPr>
          <w:rFonts w:ascii="Times New Roman" w:eastAsia="Times New Roman" w:hAnsi="Times New Roman" w:cs="Times New Roman"/>
          <w:sz w:val="24"/>
          <w:szCs w:val="24"/>
          <w:lang w:eastAsia="en-GB"/>
        </w:rPr>
        <w:t xml:space="preserve"> their introduction there were ‘</w:t>
      </w:r>
      <w:r w:rsidRPr="00DF4993">
        <w:rPr>
          <w:rFonts w:ascii="Times New Roman" w:eastAsia="Times New Roman" w:hAnsi="Times New Roman" w:cs="Times New Roman"/>
          <w:sz w:val="24"/>
          <w:szCs w:val="24"/>
          <w:lang w:eastAsia="en-GB"/>
        </w:rPr>
        <w:t>no international standards on the pr</w:t>
      </w:r>
      <w:r w:rsidR="003C606A">
        <w:rPr>
          <w:rFonts w:ascii="Times New Roman" w:eastAsia="Times New Roman" w:hAnsi="Times New Roman" w:cs="Times New Roman"/>
          <w:sz w:val="24"/>
          <w:szCs w:val="24"/>
          <w:lang w:eastAsia="en-GB"/>
        </w:rPr>
        <w:t>evention of terrorist financing’</w:t>
      </w:r>
      <w:r w:rsidRPr="00DF4993">
        <w:rPr>
          <w:rFonts w:ascii="Times New Roman" w:eastAsia="Times New Roman" w:hAnsi="Times New Roman" w:cs="Times New Roman"/>
          <w:sz w:val="24"/>
          <w:szCs w:val="24"/>
          <w:lang w:eastAsia="en-GB"/>
        </w:rPr>
        <w:t>.</w:t>
      </w:r>
      <w:r w:rsidRPr="00DF4993">
        <w:rPr>
          <w:rFonts w:ascii="Times New Roman" w:eastAsia="Times New Roman" w:hAnsi="Times New Roman" w:cs="Times New Roman"/>
          <w:sz w:val="24"/>
          <w:szCs w:val="24"/>
          <w:vertAlign w:val="superscript"/>
          <w:lang w:eastAsia="en-GB"/>
        </w:rPr>
        <w:footnoteReference w:id="42"/>
      </w:r>
      <w:r w:rsidRPr="00DF4993">
        <w:rPr>
          <w:rFonts w:ascii="Times New Roman" w:eastAsia="Times New Roman" w:hAnsi="Times New Roman" w:cs="Times New Roman"/>
          <w:sz w:val="24"/>
          <w:szCs w:val="24"/>
          <w:lang w:eastAsia="en-GB"/>
        </w:rPr>
        <w:t xml:space="preserve">  </w:t>
      </w:r>
      <w:r w:rsidRPr="00DF4993">
        <w:rPr>
          <w:rFonts w:ascii="Times New Roman" w:eastAsia="Times New Roman" w:hAnsi="Times New Roman" w:cs="Times New Roman"/>
          <w:color w:val="000000"/>
          <w:sz w:val="24"/>
          <w:szCs w:val="24"/>
          <w:lang w:eastAsia="en-GB"/>
        </w:rPr>
        <w:t xml:space="preserve">In February 2012, the FATF published </w:t>
      </w:r>
      <w:r w:rsidR="00E318F3">
        <w:rPr>
          <w:rFonts w:ascii="Times New Roman" w:eastAsia="Times New Roman" w:hAnsi="Times New Roman" w:cs="Times New Roman"/>
          <w:color w:val="000000"/>
          <w:sz w:val="24"/>
          <w:szCs w:val="24"/>
          <w:lang w:eastAsia="en-GB"/>
        </w:rPr>
        <w:t xml:space="preserve">an </w:t>
      </w:r>
      <w:r w:rsidRPr="00DF4993">
        <w:rPr>
          <w:rFonts w:ascii="Times New Roman" w:eastAsia="Times New Roman" w:hAnsi="Times New Roman" w:cs="Times New Roman"/>
          <w:color w:val="000000"/>
          <w:sz w:val="24"/>
          <w:szCs w:val="24"/>
          <w:lang w:eastAsia="en-GB"/>
        </w:rPr>
        <w:t>amende</w:t>
      </w:r>
      <w:r w:rsidR="003C606A">
        <w:rPr>
          <w:rFonts w:ascii="Times New Roman" w:eastAsia="Times New Roman" w:hAnsi="Times New Roman" w:cs="Times New Roman"/>
          <w:color w:val="000000"/>
          <w:sz w:val="24"/>
          <w:szCs w:val="24"/>
          <w:lang w:eastAsia="en-GB"/>
        </w:rPr>
        <w:t>d set of Recommendations which ‘</w:t>
      </w:r>
      <w:r w:rsidRPr="00DF4993">
        <w:rPr>
          <w:rFonts w:ascii="Times New Roman" w:eastAsia="Times New Roman" w:hAnsi="Times New Roman" w:cs="Times New Roman"/>
          <w:sz w:val="24"/>
          <w:szCs w:val="24"/>
          <w:lang w:val="en" w:eastAsia="en-GB"/>
        </w:rPr>
        <w:t>fully integrate counter-terrorist financing measures with anti-money lau</w:t>
      </w:r>
      <w:r w:rsidR="003C606A">
        <w:rPr>
          <w:rFonts w:ascii="Times New Roman" w:eastAsia="Times New Roman" w:hAnsi="Times New Roman" w:cs="Times New Roman"/>
          <w:sz w:val="24"/>
          <w:szCs w:val="24"/>
          <w:lang w:val="en" w:eastAsia="en-GB"/>
        </w:rPr>
        <w:t>ndering controls’</w:t>
      </w:r>
      <w:r w:rsidRPr="00DF4993">
        <w:rPr>
          <w:rFonts w:ascii="Times New Roman" w:eastAsia="Times New Roman" w:hAnsi="Times New Roman" w:cs="Times New Roman"/>
          <w:sz w:val="24"/>
          <w:szCs w:val="24"/>
          <w:lang w:val="en" w:eastAsia="en-GB"/>
        </w:rPr>
        <w:t>.</w:t>
      </w:r>
      <w:r w:rsidRPr="00DF4993">
        <w:rPr>
          <w:rFonts w:ascii="Times New Roman" w:eastAsia="Times New Roman" w:hAnsi="Times New Roman" w:cs="Times New Roman"/>
          <w:sz w:val="24"/>
          <w:szCs w:val="24"/>
          <w:vertAlign w:val="superscript"/>
          <w:lang w:val="en" w:eastAsia="en-GB"/>
        </w:rPr>
        <w:footnoteReference w:id="43"/>
      </w:r>
      <w:r>
        <w:rPr>
          <w:rFonts w:ascii="Times New Roman" w:eastAsia="Times New Roman" w:hAnsi="Times New Roman" w:cs="Times New Roman"/>
          <w:sz w:val="24"/>
          <w:szCs w:val="24"/>
          <w:lang w:val="en" w:eastAsia="en-GB"/>
        </w:rPr>
        <w:t xml:space="preserve">  </w:t>
      </w:r>
    </w:p>
    <w:p w:rsidR="00E318F3" w:rsidRDefault="00E318F3" w:rsidP="009E4B96">
      <w:pPr>
        <w:spacing w:after="0" w:line="480" w:lineRule="auto"/>
        <w:jc w:val="both"/>
        <w:rPr>
          <w:rFonts w:ascii="Times New Roman" w:eastAsia="Times New Roman" w:hAnsi="Times New Roman" w:cs="Times New Roman"/>
          <w:sz w:val="24"/>
          <w:szCs w:val="24"/>
          <w:lang w:val="en" w:eastAsia="en-GB"/>
        </w:rPr>
      </w:pPr>
    </w:p>
    <w:p w:rsidR="009E4B96" w:rsidRPr="00E318F3" w:rsidRDefault="009E4B96" w:rsidP="009E4B96">
      <w:pPr>
        <w:spacing w:after="0" w:line="480" w:lineRule="auto"/>
        <w:jc w:val="both"/>
        <w:rPr>
          <w:rFonts w:ascii="Times New Roman" w:hAnsi="Times New Roman" w:cs="Times New Roman"/>
          <w:sz w:val="24"/>
          <w:szCs w:val="24"/>
        </w:rPr>
      </w:pPr>
      <w:r w:rsidRPr="00DF4993">
        <w:rPr>
          <w:rFonts w:ascii="Times New Roman" w:eastAsia="Times New Roman" w:hAnsi="Times New Roman" w:cs="Times New Roman"/>
          <w:color w:val="000000"/>
          <w:sz w:val="24"/>
          <w:szCs w:val="24"/>
          <w:lang w:eastAsia="en-GB"/>
        </w:rPr>
        <w:t xml:space="preserve">The terrorist attacks </w:t>
      </w:r>
      <w:r w:rsidR="00785FFE">
        <w:rPr>
          <w:rFonts w:ascii="Times New Roman" w:eastAsia="Times New Roman" w:hAnsi="Times New Roman" w:cs="Times New Roman"/>
          <w:color w:val="000000"/>
          <w:sz w:val="24"/>
          <w:szCs w:val="24"/>
          <w:lang w:eastAsia="en-GB"/>
        </w:rPr>
        <w:t xml:space="preserve">on 9/11 </w:t>
      </w:r>
      <w:r w:rsidRPr="00DF4993">
        <w:rPr>
          <w:rFonts w:ascii="Times New Roman" w:eastAsia="Times New Roman" w:hAnsi="Times New Roman" w:cs="Times New Roman"/>
          <w:color w:val="000000"/>
          <w:sz w:val="24"/>
          <w:szCs w:val="24"/>
          <w:lang w:eastAsia="en-GB"/>
        </w:rPr>
        <w:t xml:space="preserve">resulted in a </w:t>
      </w:r>
      <w:r>
        <w:rPr>
          <w:rFonts w:ascii="Times New Roman" w:eastAsia="Times New Roman" w:hAnsi="Times New Roman" w:cs="Times New Roman"/>
          <w:color w:val="000000"/>
          <w:sz w:val="24"/>
          <w:szCs w:val="24"/>
          <w:lang w:eastAsia="en-GB"/>
        </w:rPr>
        <w:t xml:space="preserve">fundamental alteration of </w:t>
      </w:r>
      <w:r w:rsidRPr="00DF4993">
        <w:rPr>
          <w:rFonts w:ascii="Times New Roman" w:eastAsia="Times New Roman" w:hAnsi="Times New Roman" w:cs="Times New Roman"/>
          <w:color w:val="000000"/>
          <w:sz w:val="24"/>
          <w:szCs w:val="24"/>
          <w:lang w:eastAsia="en-GB"/>
        </w:rPr>
        <w:t>policy</w:t>
      </w:r>
      <w:r>
        <w:rPr>
          <w:rFonts w:ascii="Times New Roman" w:eastAsia="Times New Roman" w:hAnsi="Times New Roman" w:cs="Times New Roman"/>
          <w:color w:val="000000"/>
          <w:sz w:val="24"/>
          <w:szCs w:val="24"/>
          <w:lang w:eastAsia="en-GB"/>
        </w:rPr>
        <w:t xml:space="preserve"> by the international community</w:t>
      </w:r>
      <w:r w:rsidRPr="00DF4993">
        <w:rPr>
          <w:rFonts w:ascii="Times New Roman" w:eastAsia="Times New Roman" w:hAnsi="Times New Roman" w:cs="Times New Roman"/>
          <w:color w:val="000000"/>
          <w:sz w:val="24"/>
          <w:szCs w:val="24"/>
          <w:lang w:eastAsia="en-GB"/>
        </w:rPr>
        <w:t xml:space="preserve"> towards the financing of terrorism.  </w:t>
      </w:r>
      <w:r>
        <w:rPr>
          <w:rFonts w:ascii="Times New Roman" w:eastAsia="Times New Roman" w:hAnsi="Times New Roman" w:cs="Times New Roman"/>
          <w:color w:val="000000"/>
          <w:sz w:val="24"/>
          <w:szCs w:val="24"/>
          <w:lang w:eastAsia="en-GB"/>
        </w:rPr>
        <w:t>Prior to 2001, t</w:t>
      </w:r>
      <w:r w:rsidRPr="00DF4993">
        <w:rPr>
          <w:rFonts w:ascii="Times New Roman" w:eastAsia="Times New Roman" w:hAnsi="Times New Roman" w:cs="Times New Roman"/>
          <w:color w:val="000000"/>
          <w:sz w:val="24"/>
          <w:szCs w:val="24"/>
          <w:lang w:eastAsia="en-GB"/>
        </w:rPr>
        <w:t xml:space="preserve">he international community hadn’t considered </w:t>
      </w:r>
      <w:r>
        <w:rPr>
          <w:rFonts w:ascii="Times New Roman" w:eastAsia="Times New Roman" w:hAnsi="Times New Roman" w:cs="Times New Roman"/>
          <w:color w:val="000000"/>
          <w:sz w:val="24"/>
          <w:szCs w:val="24"/>
          <w:lang w:eastAsia="en-GB"/>
        </w:rPr>
        <w:t>the financing of terrorism a</w:t>
      </w:r>
      <w:r w:rsidR="00464688">
        <w:rPr>
          <w:rFonts w:ascii="Times New Roman" w:eastAsia="Times New Roman" w:hAnsi="Times New Roman" w:cs="Times New Roman"/>
          <w:color w:val="000000"/>
          <w:sz w:val="24"/>
          <w:szCs w:val="24"/>
          <w:lang w:eastAsia="en-GB"/>
        </w:rPr>
        <w:t xml:space="preserve"> priorit</w:t>
      </w:r>
      <w:r w:rsidRPr="00DF4993">
        <w:rPr>
          <w:rFonts w:ascii="Times New Roman" w:eastAsia="Times New Roman" w:hAnsi="Times New Roman" w:cs="Times New Roman"/>
          <w:color w:val="000000"/>
          <w:sz w:val="24"/>
          <w:szCs w:val="24"/>
          <w:lang w:eastAsia="en-GB"/>
        </w:rPr>
        <w:t xml:space="preserve">y, </w:t>
      </w:r>
      <w:r w:rsidR="00464688">
        <w:rPr>
          <w:rFonts w:ascii="Times New Roman" w:eastAsia="Times New Roman" w:hAnsi="Times New Roman" w:cs="Times New Roman"/>
          <w:color w:val="000000"/>
          <w:sz w:val="24"/>
          <w:szCs w:val="24"/>
          <w:lang w:eastAsia="en-GB"/>
        </w:rPr>
        <w:t xml:space="preserve">despite the </w:t>
      </w:r>
      <w:r w:rsidR="00785FFE">
        <w:rPr>
          <w:rFonts w:ascii="Times New Roman" w:eastAsia="Times New Roman" w:hAnsi="Times New Roman" w:cs="Times New Roman"/>
          <w:color w:val="000000"/>
          <w:sz w:val="24"/>
          <w:szCs w:val="24"/>
          <w:lang w:eastAsia="en-GB"/>
        </w:rPr>
        <w:t xml:space="preserve">introduction of the </w:t>
      </w:r>
      <w:r w:rsidR="00464688">
        <w:rPr>
          <w:rFonts w:ascii="Times New Roman" w:eastAsia="Times New Roman" w:hAnsi="Times New Roman" w:cs="Times New Roman"/>
          <w:color w:val="000000"/>
          <w:sz w:val="24"/>
          <w:szCs w:val="24"/>
          <w:lang w:eastAsia="en-GB"/>
        </w:rPr>
        <w:t>International Convention</w:t>
      </w:r>
      <w:r>
        <w:rPr>
          <w:rFonts w:ascii="Times New Roman" w:eastAsia="Times New Roman" w:hAnsi="Times New Roman" w:cs="Times New Roman"/>
          <w:sz w:val="24"/>
          <w:szCs w:val="24"/>
          <w:lang w:eastAsia="en-GB"/>
        </w:rPr>
        <w:t>.  I</w:t>
      </w:r>
      <w:r w:rsidRPr="00DF4993">
        <w:rPr>
          <w:rFonts w:ascii="Times New Roman" w:eastAsia="Times New Roman" w:hAnsi="Times New Roman" w:cs="Times New Roman"/>
          <w:sz w:val="24"/>
          <w:szCs w:val="24"/>
          <w:lang w:eastAsia="en-GB"/>
        </w:rPr>
        <w:t>t was</w:t>
      </w:r>
      <w:r>
        <w:rPr>
          <w:rFonts w:ascii="Times New Roman" w:eastAsia="Times New Roman" w:hAnsi="Times New Roman" w:cs="Times New Roman"/>
          <w:sz w:val="24"/>
          <w:szCs w:val="24"/>
          <w:lang w:eastAsia="en-GB"/>
        </w:rPr>
        <w:t xml:space="preserve">n’t until </w:t>
      </w:r>
      <w:r w:rsidR="00464688">
        <w:rPr>
          <w:rFonts w:ascii="Times New Roman" w:eastAsia="Times New Roman" w:hAnsi="Times New Roman" w:cs="Times New Roman"/>
          <w:sz w:val="24"/>
          <w:szCs w:val="24"/>
          <w:lang w:eastAsia="en-GB"/>
        </w:rPr>
        <w:t xml:space="preserve">9/11 </w:t>
      </w:r>
      <w:r w:rsidRPr="00DF4993">
        <w:rPr>
          <w:rFonts w:ascii="Times New Roman" w:eastAsia="Times New Roman" w:hAnsi="Times New Roman" w:cs="Times New Roman"/>
          <w:sz w:val="24"/>
          <w:szCs w:val="24"/>
          <w:lang w:eastAsia="en-GB"/>
        </w:rPr>
        <w:t>that an overabundance of legislative measu</w:t>
      </w:r>
      <w:r w:rsidR="00785FFE">
        <w:rPr>
          <w:rFonts w:ascii="Times New Roman" w:eastAsia="Times New Roman" w:hAnsi="Times New Roman" w:cs="Times New Roman"/>
          <w:sz w:val="24"/>
          <w:szCs w:val="24"/>
          <w:lang w:eastAsia="en-GB"/>
        </w:rPr>
        <w:t xml:space="preserve">res was unanimously implemented and as a result </w:t>
      </w:r>
      <w:r w:rsidRPr="00DF4993">
        <w:rPr>
          <w:rFonts w:ascii="Times New Roman" w:eastAsia="Times New Roman" w:hAnsi="Times New Roman" w:cs="Times New Roman"/>
          <w:sz w:val="24"/>
          <w:szCs w:val="24"/>
          <w:lang w:eastAsia="en-GB"/>
        </w:rPr>
        <w:t>UN</w:t>
      </w:r>
      <w:r w:rsidR="00464688">
        <w:rPr>
          <w:rFonts w:ascii="Times New Roman" w:eastAsia="Times New Roman" w:hAnsi="Times New Roman" w:cs="Times New Roman"/>
          <w:sz w:val="24"/>
          <w:szCs w:val="24"/>
          <w:lang w:eastAsia="en-GB"/>
        </w:rPr>
        <w:t xml:space="preserve">SCR </w:t>
      </w:r>
      <w:r w:rsidR="00785FFE">
        <w:rPr>
          <w:rFonts w:ascii="Times New Roman" w:eastAsia="Times New Roman" w:hAnsi="Times New Roman" w:cs="Times New Roman"/>
          <w:sz w:val="24"/>
          <w:szCs w:val="24"/>
          <w:lang w:eastAsia="en-GB"/>
        </w:rPr>
        <w:t xml:space="preserve">1373 has become the </w:t>
      </w:r>
      <w:r w:rsidRPr="00DF4993">
        <w:rPr>
          <w:rFonts w:ascii="Times New Roman" w:eastAsia="Times New Roman" w:hAnsi="Times New Roman" w:cs="Times New Roman"/>
          <w:sz w:val="24"/>
          <w:szCs w:val="24"/>
          <w:lang w:eastAsia="en-GB"/>
        </w:rPr>
        <w:t xml:space="preserve">cornerstone of the ‘Financial War on Terrorism’.  </w:t>
      </w:r>
      <w:r w:rsidR="00785FFE">
        <w:rPr>
          <w:rFonts w:ascii="Times New Roman" w:eastAsia="Times New Roman" w:hAnsi="Times New Roman" w:cs="Times New Roman"/>
          <w:sz w:val="24"/>
          <w:szCs w:val="24"/>
          <w:lang w:eastAsia="en-GB"/>
        </w:rPr>
        <w:t>Therefore, the</w:t>
      </w:r>
      <w:r w:rsidRPr="00DF4993">
        <w:rPr>
          <w:rFonts w:ascii="Times New Roman" w:eastAsia="Times New Roman" w:hAnsi="Times New Roman" w:cs="Times New Roman"/>
          <w:sz w:val="24"/>
          <w:szCs w:val="24"/>
          <w:lang w:eastAsia="en-GB"/>
        </w:rPr>
        <w:t xml:space="preserve"> ‘Financial War on Terrorism’ can be defined as attacking, whether via criminalisation, confiscation, forfeiture, freezing, sanctioning the financial assets of known or suspected terrorists.  Furthermore, the ‘Financial War on Terrorism’ also contains the use of preventative methods that have previously been used for money laundering and the collection of financial intelligence.  </w:t>
      </w:r>
      <w:r>
        <w:rPr>
          <w:rFonts w:ascii="Times New Roman" w:eastAsia="Times New Roman" w:hAnsi="Times New Roman" w:cs="Times New Roman"/>
          <w:sz w:val="24"/>
          <w:szCs w:val="24"/>
          <w:lang w:eastAsia="en-GB"/>
        </w:rPr>
        <w:t xml:space="preserve">The next section of the </w:t>
      </w:r>
      <w:r w:rsidR="005F5A29">
        <w:rPr>
          <w:rFonts w:ascii="Times New Roman" w:eastAsia="Times New Roman" w:hAnsi="Times New Roman" w:cs="Times New Roman"/>
          <w:sz w:val="24"/>
          <w:szCs w:val="24"/>
          <w:lang w:eastAsia="en-GB"/>
        </w:rPr>
        <w:t xml:space="preserve">chapter </w:t>
      </w:r>
      <w:r w:rsidR="00785FFE">
        <w:rPr>
          <w:rFonts w:ascii="Times New Roman" w:eastAsia="Times New Roman" w:hAnsi="Times New Roman" w:cs="Times New Roman"/>
          <w:sz w:val="24"/>
          <w:szCs w:val="24"/>
          <w:lang w:eastAsia="en-GB"/>
        </w:rPr>
        <w:t>briefly outlines the UK’s CTF measures that preceded 9/11.</w:t>
      </w:r>
    </w:p>
    <w:p w:rsidR="009E4B96" w:rsidRDefault="009E4B96" w:rsidP="00C97E04">
      <w:pPr>
        <w:autoSpaceDE w:val="0"/>
        <w:autoSpaceDN w:val="0"/>
        <w:adjustRightInd w:val="0"/>
        <w:spacing w:after="0" w:line="480" w:lineRule="auto"/>
        <w:ind w:left="720" w:hanging="720"/>
        <w:jc w:val="both"/>
        <w:rPr>
          <w:rFonts w:ascii="Times New Roman" w:eastAsia="Times New Roman" w:hAnsi="Times New Roman" w:cs="Times New Roman"/>
          <w:b/>
          <w:sz w:val="24"/>
          <w:szCs w:val="24"/>
          <w:lang w:eastAsia="en-GB"/>
        </w:rPr>
      </w:pPr>
    </w:p>
    <w:p w:rsidR="00C97E04" w:rsidRPr="00C97E04" w:rsidRDefault="00C97E04" w:rsidP="00C97E04">
      <w:pPr>
        <w:autoSpaceDE w:val="0"/>
        <w:autoSpaceDN w:val="0"/>
        <w:adjustRightInd w:val="0"/>
        <w:spacing w:after="0" w:line="480" w:lineRule="auto"/>
        <w:ind w:left="720" w:hanging="720"/>
        <w:jc w:val="both"/>
        <w:rPr>
          <w:rFonts w:ascii="Times New Roman" w:eastAsia="Times New Roman" w:hAnsi="Times New Roman" w:cs="Times New Roman"/>
          <w:b/>
          <w:sz w:val="24"/>
          <w:szCs w:val="24"/>
          <w:lang w:eastAsia="en-GB"/>
        </w:rPr>
      </w:pPr>
      <w:r w:rsidRPr="00C97E04">
        <w:rPr>
          <w:rFonts w:ascii="Times New Roman" w:eastAsia="Times New Roman" w:hAnsi="Times New Roman" w:cs="Times New Roman"/>
          <w:b/>
          <w:sz w:val="24"/>
          <w:szCs w:val="24"/>
          <w:lang w:eastAsia="en-GB"/>
        </w:rPr>
        <w:t xml:space="preserve">Counter-terrorist financing before </w:t>
      </w:r>
      <w:r w:rsidR="005F5A29">
        <w:rPr>
          <w:rFonts w:ascii="Times New Roman" w:eastAsia="Times New Roman" w:hAnsi="Times New Roman" w:cs="Times New Roman"/>
          <w:b/>
          <w:sz w:val="24"/>
          <w:szCs w:val="24"/>
          <w:lang w:eastAsia="en-GB"/>
        </w:rPr>
        <w:t>9/11</w:t>
      </w:r>
    </w:p>
    <w:p w:rsidR="00C97E04" w:rsidRPr="00C97E04" w:rsidRDefault="00C97E04" w:rsidP="00C97E04">
      <w:pPr>
        <w:autoSpaceDE w:val="0"/>
        <w:autoSpaceDN w:val="0"/>
        <w:adjustRightInd w:val="0"/>
        <w:spacing w:after="0" w:line="480" w:lineRule="auto"/>
        <w:jc w:val="both"/>
        <w:rPr>
          <w:rFonts w:ascii="Times New Roman" w:eastAsia="Times New Roman" w:hAnsi="Times New Roman" w:cs="Times New Roman"/>
          <w:sz w:val="24"/>
          <w:szCs w:val="24"/>
          <w:lang w:eastAsia="en-GB"/>
        </w:rPr>
      </w:pPr>
    </w:p>
    <w:p w:rsidR="00C97E04" w:rsidRPr="00853261" w:rsidRDefault="005F5A29" w:rsidP="005F5A29">
      <w:pPr>
        <w:spacing w:after="0" w:line="480" w:lineRule="auto"/>
        <w:jc w:val="both"/>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T</w:t>
      </w:r>
      <w:r w:rsidR="00C97E04" w:rsidRPr="00C97E04">
        <w:rPr>
          <w:rFonts w:ascii="Times New Roman" w:eastAsia="SimSun" w:hAnsi="Times New Roman" w:cs="Times New Roman"/>
          <w:sz w:val="24"/>
          <w:szCs w:val="24"/>
          <w:lang w:eastAsia="zh-CN"/>
        </w:rPr>
        <w:t xml:space="preserve">he two legislative pillars of the UK’s counter-terrorist efforts </w:t>
      </w:r>
      <w:r w:rsidR="00785FFE">
        <w:rPr>
          <w:rFonts w:ascii="Times New Roman" w:eastAsia="SimSun" w:hAnsi="Times New Roman" w:cs="Times New Roman"/>
          <w:sz w:val="24"/>
          <w:szCs w:val="24"/>
          <w:lang w:eastAsia="zh-CN"/>
        </w:rPr>
        <w:t xml:space="preserve">before 9/11 </w:t>
      </w:r>
      <w:r w:rsidR="00C97E04" w:rsidRPr="00C97E04">
        <w:rPr>
          <w:rFonts w:ascii="Times New Roman" w:eastAsia="SimSun" w:hAnsi="Times New Roman" w:cs="Times New Roman"/>
          <w:sz w:val="24"/>
          <w:szCs w:val="24"/>
          <w:lang w:eastAsia="zh-CN"/>
        </w:rPr>
        <w:t xml:space="preserve">were the Northern Ireland </w:t>
      </w:r>
      <w:r w:rsidR="00785FFE">
        <w:rPr>
          <w:rFonts w:ascii="Times New Roman" w:eastAsia="SimSun" w:hAnsi="Times New Roman" w:cs="Times New Roman"/>
          <w:sz w:val="24"/>
          <w:szCs w:val="24"/>
          <w:lang w:eastAsia="zh-CN"/>
        </w:rPr>
        <w:t xml:space="preserve">(Emergency Provisions) Act 1973 </w:t>
      </w:r>
      <w:r w:rsidR="00C97E04" w:rsidRPr="00C97E04">
        <w:rPr>
          <w:rFonts w:ascii="Times New Roman" w:eastAsia="SimSun" w:hAnsi="Times New Roman" w:cs="Times New Roman"/>
          <w:sz w:val="24"/>
          <w:szCs w:val="24"/>
          <w:lang w:eastAsia="zh-CN"/>
        </w:rPr>
        <w:t xml:space="preserve">and the Prevention of Terrorism (Temporary </w:t>
      </w:r>
      <w:r w:rsidR="00C97E04" w:rsidRPr="00C97E04">
        <w:rPr>
          <w:rFonts w:ascii="Times New Roman" w:eastAsia="SimSun" w:hAnsi="Times New Roman" w:cs="Times New Roman"/>
          <w:sz w:val="24"/>
          <w:szCs w:val="24"/>
          <w:lang w:eastAsia="zh-CN"/>
        </w:rPr>
        <w:lastRenderedPageBreak/>
        <w:t>Provisions) Act 1974.  The Northern Ireland (Emergency Provisions) Act 1973 was introduced following a Commission of Inquiry, chaired by Lord Diplock, and the publication of his report.</w:t>
      </w:r>
      <w:r w:rsidR="00C97E04" w:rsidRPr="00C97E04">
        <w:rPr>
          <w:rFonts w:ascii="Times New Roman" w:eastAsia="SimSun" w:hAnsi="Times New Roman" w:cs="Times New Roman"/>
          <w:sz w:val="24"/>
          <w:szCs w:val="24"/>
          <w:vertAlign w:val="superscript"/>
          <w:lang w:eastAsia="zh-CN"/>
        </w:rPr>
        <w:footnoteReference w:id="44"/>
      </w:r>
      <w:r w:rsidR="00C97E04" w:rsidRPr="00C97E04">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Of relevance here was </w:t>
      </w:r>
      <w:r w:rsidR="005C068C">
        <w:rPr>
          <w:rFonts w:ascii="Times New Roman" w:eastAsia="Times New Roman" w:hAnsi="Times New Roman" w:cs="Times New Roman"/>
          <w:sz w:val="24"/>
          <w:szCs w:val="24"/>
          <w:lang w:eastAsia="en-GB"/>
        </w:rPr>
        <w:t>the ability of the Crown to ‘</w:t>
      </w:r>
      <w:r w:rsidR="00C97E04" w:rsidRPr="00C97E04">
        <w:rPr>
          <w:rFonts w:ascii="Times New Roman" w:eastAsia="Times New Roman" w:hAnsi="Times New Roman" w:cs="Times New Roman"/>
          <w:sz w:val="24"/>
          <w:szCs w:val="24"/>
          <w:lang w:eastAsia="en-GB"/>
        </w:rPr>
        <w:t>seize anything which he suspects of being, has been or is intended to be used in the co</w:t>
      </w:r>
      <w:r w:rsidR="005C068C">
        <w:rPr>
          <w:rFonts w:ascii="Times New Roman" w:eastAsia="Times New Roman" w:hAnsi="Times New Roman" w:cs="Times New Roman"/>
          <w:sz w:val="24"/>
          <w:szCs w:val="24"/>
          <w:lang w:eastAsia="en-GB"/>
        </w:rPr>
        <w:t>mmission of a scheduled offence’</w:t>
      </w:r>
      <w:r w:rsidR="00C97E04" w:rsidRPr="00C97E04">
        <w:rPr>
          <w:rFonts w:ascii="Times New Roman" w:eastAsia="Times New Roman" w:hAnsi="Times New Roman" w:cs="Times New Roman"/>
          <w:sz w:val="24"/>
          <w:szCs w:val="24"/>
          <w:lang w:eastAsia="en-GB"/>
        </w:rPr>
        <w:t>.</w:t>
      </w:r>
      <w:r w:rsidR="00C97E04" w:rsidRPr="00C97E04">
        <w:rPr>
          <w:rFonts w:ascii="Times New Roman" w:eastAsiaTheme="majorEastAsia" w:hAnsi="Times New Roman" w:cs="Times New Roman"/>
          <w:sz w:val="24"/>
          <w:szCs w:val="24"/>
          <w:vertAlign w:val="superscript"/>
          <w:lang w:eastAsia="en-GB"/>
        </w:rPr>
        <w:footnoteReference w:id="45"/>
      </w:r>
      <w:r w:rsidR="00C97E04" w:rsidRPr="00C97E04">
        <w:rPr>
          <w:rFonts w:ascii="Times New Roman" w:eastAsia="Times New Roman" w:hAnsi="Times New Roman" w:cs="Times New Roman"/>
          <w:sz w:val="24"/>
          <w:szCs w:val="24"/>
          <w:lang w:eastAsia="en-GB"/>
        </w:rPr>
        <w:t xml:space="preserve">  Therefore, the Crown </w:t>
      </w:r>
      <w:r>
        <w:rPr>
          <w:rFonts w:ascii="Times New Roman" w:eastAsia="Times New Roman" w:hAnsi="Times New Roman" w:cs="Times New Roman"/>
          <w:sz w:val="24"/>
          <w:szCs w:val="24"/>
          <w:lang w:eastAsia="en-GB"/>
        </w:rPr>
        <w:t xml:space="preserve">could </w:t>
      </w:r>
      <w:r w:rsidR="00C97E04" w:rsidRPr="00C97E04">
        <w:rPr>
          <w:rFonts w:ascii="Times New Roman" w:eastAsia="Times New Roman" w:hAnsi="Times New Roman" w:cs="Times New Roman"/>
          <w:sz w:val="24"/>
          <w:szCs w:val="24"/>
          <w:lang w:eastAsia="en-GB"/>
        </w:rPr>
        <w:t xml:space="preserve">seize money or assets that were intended to be used in the commission of an act of terrorism.  The </w:t>
      </w:r>
      <w:r w:rsidR="00C97E04" w:rsidRPr="00C97E04">
        <w:rPr>
          <w:rFonts w:ascii="Times New Roman" w:eastAsia="SimSun" w:hAnsi="Times New Roman" w:cs="Times New Roman"/>
          <w:sz w:val="24"/>
          <w:szCs w:val="24"/>
          <w:lang w:eastAsia="zh-CN"/>
        </w:rPr>
        <w:t xml:space="preserve">Prevention of Terrorism (Temporary Provisions) Act 1974, which was </w:t>
      </w:r>
      <w:r w:rsidR="00785FFE">
        <w:rPr>
          <w:rFonts w:ascii="Times New Roman" w:eastAsia="SimSun" w:hAnsi="Times New Roman" w:cs="Times New Roman"/>
          <w:sz w:val="24"/>
          <w:szCs w:val="24"/>
          <w:lang w:eastAsia="zh-CN"/>
        </w:rPr>
        <w:t xml:space="preserve">only </w:t>
      </w:r>
      <w:r>
        <w:rPr>
          <w:rFonts w:ascii="Times New Roman" w:eastAsia="SimSun" w:hAnsi="Times New Roman" w:cs="Times New Roman"/>
          <w:sz w:val="24"/>
          <w:szCs w:val="24"/>
          <w:lang w:eastAsia="zh-CN"/>
        </w:rPr>
        <w:t xml:space="preserve">debated for </w:t>
      </w:r>
      <w:r w:rsidR="00C97E04" w:rsidRPr="00C97E04">
        <w:rPr>
          <w:rFonts w:ascii="Times New Roman" w:eastAsia="SimSun" w:hAnsi="Times New Roman" w:cs="Times New Roman"/>
          <w:sz w:val="24"/>
          <w:szCs w:val="24"/>
          <w:lang w:eastAsia="zh-CN"/>
        </w:rPr>
        <w:t xml:space="preserve">17 hours, was introduced </w:t>
      </w:r>
      <w:r w:rsidR="00C14229">
        <w:rPr>
          <w:rFonts w:ascii="Times New Roman" w:eastAsia="SimSun" w:hAnsi="Times New Roman" w:cs="Times New Roman"/>
          <w:sz w:val="24"/>
          <w:szCs w:val="24"/>
          <w:lang w:eastAsia="zh-CN"/>
        </w:rPr>
        <w:t>with</w:t>
      </w:r>
      <w:r>
        <w:rPr>
          <w:rFonts w:ascii="Times New Roman" w:eastAsia="SimSun" w:hAnsi="Times New Roman" w:cs="Times New Roman"/>
          <w:sz w:val="24"/>
          <w:szCs w:val="24"/>
          <w:lang w:eastAsia="zh-CN"/>
        </w:rPr>
        <w:t>in</w:t>
      </w:r>
      <w:r w:rsidR="00C14229">
        <w:rPr>
          <w:rFonts w:ascii="Times New Roman" w:eastAsia="SimSun" w:hAnsi="Times New Roman" w:cs="Times New Roman"/>
          <w:sz w:val="24"/>
          <w:szCs w:val="24"/>
          <w:lang w:eastAsia="zh-CN"/>
        </w:rPr>
        <w:t xml:space="preserve"> a day of the </w:t>
      </w:r>
      <w:r w:rsidR="00C97E04" w:rsidRPr="00C97E04">
        <w:rPr>
          <w:rFonts w:ascii="Times New Roman" w:eastAsia="SimSun" w:hAnsi="Times New Roman" w:cs="Times New Roman"/>
          <w:sz w:val="24"/>
          <w:szCs w:val="24"/>
          <w:lang w:eastAsia="zh-CN"/>
        </w:rPr>
        <w:t>Birmingham pub bombings.</w:t>
      </w:r>
      <w:r w:rsidR="00C97E04" w:rsidRPr="00C97E04">
        <w:rPr>
          <w:rFonts w:ascii="Times New Roman" w:eastAsia="SimSun" w:hAnsi="Times New Roman" w:cs="Times New Roman"/>
          <w:sz w:val="24"/>
          <w:szCs w:val="24"/>
          <w:vertAlign w:val="superscript"/>
          <w:lang w:eastAsia="zh-CN"/>
        </w:rPr>
        <w:footnoteReference w:id="46"/>
      </w:r>
      <w:r w:rsidR="00C97E04" w:rsidRPr="00C97E04">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T</w:t>
      </w:r>
      <w:r w:rsidR="00C97E04" w:rsidRPr="00C97E04">
        <w:rPr>
          <w:rFonts w:ascii="Times New Roman" w:eastAsia="Times New Roman" w:hAnsi="Times New Roman" w:cs="Times New Roman"/>
          <w:sz w:val="24"/>
          <w:szCs w:val="24"/>
          <w:lang w:eastAsia="en-GB"/>
        </w:rPr>
        <w:t xml:space="preserve">he </w:t>
      </w:r>
      <w:r>
        <w:rPr>
          <w:rFonts w:ascii="Times New Roman" w:eastAsia="Times New Roman" w:hAnsi="Times New Roman" w:cs="Times New Roman"/>
          <w:sz w:val="24"/>
          <w:szCs w:val="24"/>
          <w:lang w:eastAsia="en-GB"/>
        </w:rPr>
        <w:t>1974 A</w:t>
      </w:r>
      <w:r w:rsidR="00C97E04" w:rsidRPr="00C97E04">
        <w:rPr>
          <w:rFonts w:ascii="Times New Roman" w:eastAsia="SimSun" w:hAnsi="Times New Roman" w:cs="Times New Roman"/>
          <w:sz w:val="24"/>
          <w:szCs w:val="24"/>
          <w:lang w:eastAsia="zh-CN"/>
        </w:rPr>
        <w:t xml:space="preserve">ct enabled the courts to forfeit assets which were </w:t>
      </w:r>
      <w:r w:rsidR="005C068C">
        <w:rPr>
          <w:rFonts w:ascii="Times New Roman" w:eastAsia="SimSun" w:hAnsi="Times New Roman" w:cs="Times New Roman"/>
          <w:sz w:val="24"/>
          <w:szCs w:val="24"/>
          <w:lang w:eastAsia="zh-CN"/>
        </w:rPr>
        <w:t>‘</w:t>
      </w:r>
      <w:r w:rsidR="00C97E04" w:rsidRPr="00C97E04">
        <w:rPr>
          <w:rFonts w:ascii="Times New Roman" w:eastAsia="SimSun" w:hAnsi="Times New Roman" w:cs="Times New Roman"/>
          <w:sz w:val="24"/>
          <w:szCs w:val="24"/>
          <w:lang w:eastAsia="zh-CN"/>
        </w:rPr>
        <w:t>controlled by an individual convicted of membership, where such resources were intended for use in Northern Ireland terrorism</w:t>
      </w:r>
      <w:r w:rsidR="005C068C">
        <w:rPr>
          <w:rFonts w:ascii="Times New Roman" w:eastAsia="SimSun" w:hAnsi="Times New Roman" w:cs="Times New Roman"/>
          <w:sz w:val="24"/>
          <w:szCs w:val="24"/>
          <w:lang w:eastAsia="zh-CN"/>
        </w:rPr>
        <w:t>’</w:t>
      </w:r>
      <w:r w:rsidR="00C97E04" w:rsidRPr="00C97E04">
        <w:rPr>
          <w:rFonts w:ascii="Times New Roman" w:eastAsia="SimSun" w:hAnsi="Times New Roman" w:cs="Times New Roman"/>
          <w:sz w:val="24"/>
          <w:szCs w:val="24"/>
          <w:lang w:eastAsia="zh-CN"/>
        </w:rPr>
        <w:t>.</w:t>
      </w:r>
      <w:r w:rsidR="00C97E04" w:rsidRPr="00C97E04">
        <w:rPr>
          <w:rFonts w:ascii="Times New Roman" w:eastAsia="SimSun" w:hAnsi="Times New Roman" w:cs="Times New Roman"/>
          <w:sz w:val="24"/>
          <w:szCs w:val="24"/>
          <w:vertAlign w:val="superscript"/>
          <w:lang w:eastAsia="zh-CN"/>
        </w:rPr>
        <w:footnoteReference w:id="47"/>
      </w:r>
      <w:r w:rsidR="00C97E04" w:rsidRPr="00C97E04">
        <w:rPr>
          <w:rFonts w:ascii="Times New Roman" w:eastAsia="SimSun" w:hAnsi="Times New Roman" w:cs="Times New Roman"/>
          <w:sz w:val="24"/>
          <w:szCs w:val="24"/>
          <w:lang w:eastAsia="zh-CN"/>
        </w:rPr>
        <w:t xml:space="preserve">  The next set of </w:t>
      </w:r>
      <w:r>
        <w:rPr>
          <w:rFonts w:ascii="Times New Roman" w:eastAsia="SimSun" w:hAnsi="Times New Roman" w:cs="Times New Roman"/>
          <w:sz w:val="24"/>
          <w:szCs w:val="24"/>
          <w:lang w:eastAsia="zh-CN"/>
        </w:rPr>
        <w:t xml:space="preserve">CTF </w:t>
      </w:r>
      <w:r w:rsidR="00C97E04" w:rsidRPr="00C97E04">
        <w:rPr>
          <w:rFonts w:ascii="Times New Roman" w:eastAsia="SimSun" w:hAnsi="Times New Roman" w:cs="Times New Roman"/>
          <w:sz w:val="24"/>
          <w:szCs w:val="24"/>
          <w:lang w:eastAsia="zh-CN"/>
        </w:rPr>
        <w:t xml:space="preserve">legislative measures were heavily influenced by </w:t>
      </w:r>
      <w:r w:rsidR="00C14229">
        <w:rPr>
          <w:rFonts w:ascii="Times New Roman" w:eastAsia="SimSun" w:hAnsi="Times New Roman" w:cs="Times New Roman"/>
          <w:sz w:val="24"/>
          <w:szCs w:val="24"/>
          <w:lang w:eastAsia="zh-CN"/>
        </w:rPr>
        <w:t>drug trafficking legislation</w:t>
      </w:r>
      <w:r w:rsidR="00C97E04" w:rsidRPr="00C97E04">
        <w:rPr>
          <w:rFonts w:ascii="Times New Roman" w:eastAsia="Times New Roman" w:hAnsi="Times New Roman" w:cs="Times New Roman"/>
          <w:sz w:val="24"/>
          <w:szCs w:val="24"/>
          <w:lang w:eastAsia="en-GB"/>
        </w:rPr>
        <w:t>.</w:t>
      </w:r>
      <w:r w:rsidR="00C97E04" w:rsidRPr="00C97E04">
        <w:rPr>
          <w:rFonts w:ascii="Times New Roman" w:eastAsiaTheme="majorEastAsia" w:hAnsi="Times New Roman" w:cs="Times New Roman"/>
          <w:sz w:val="24"/>
          <w:szCs w:val="24"/>
          <w:vertAlign w:val="superscript"/>
          <w:lang w:eastAsia="en-GB"/>
        </w:rPr>
        <w:footnoteReference w:id="48"/>
      </w:r>
      <w:r w:rsidR="00C97E04" w:rsidRPr="00C97E04">
        <w:rPr>
          <w:rFonts w:ascii="Times New Roman" w:eastAsia="Times New Roman" w:hAnsi="Times New Roman" w:cs="Times New Roman"/>
          <w:sz w:val="24"/>
          <w:szCs w:val="24"/>
          <w:lang w:eastAsia="en-GB"/>
        </w:rPr>
        <w:t xml:space="preserve">  For example, t</w:t>
      </w:r>
      <w:r w:rsidR="00C97E04" w:rsidRPr="00C97E04">
        <w:rPr>
          <w:rFonts w:ascii="Times New Roman" w:eastAsia="SimSun" w:hAnsi="Times New Roman" w:cs="Times New Roman"/>
          <w:sz w:val="24"/>
          <w:szCs w:val="24"/>
          <w:lang w:eastAsia="zh-CN"/>
        </w:rPr>
        <w:t>he Drug Trafficking Offences Act 1986 permitted the confiscation of the proceeds of drug trafficking offences.</w:t>
      </w:r>
      <w:r w:rsidR="00C97E04" w:rsidRPr="00C97E04">
        <w:rPr>
          <w:rFonts w:ascii="Times New Roman" w:eastAsia="SimSun" w:hAnsi="Times New Roman" w:cs="Times New Roman"/>
          <w:sz w:val="24"/>
          <w:szCs w:val="24"/>
          <w:vertAlign w:val="superscript"/>
          <w:lang w:eastAsia="zh-CN"/>
        </w:rPr>
        <w:footnoteReference w:id="49"/>
      </w:r>
      <w:r w:rsidR="00C97E04" w:rsidRPr="00C97E04">
        <w:rPr>
          <w:rFonts w:ascii="Times New Roman" w:eastAsia="SimSun" w:hAnsi="Times New Roman" w:cs="Times New Roman"/>
          <w:sz w:val="24"/>
          <w:szCs w:val="24"/>
          <w:lang w:eastAsia="zh-CN"/>
        </w:rPr>
        <w:t xml:space="preserve">  This legislation was introduced following the ‘regretful’ decision of the House of Lords in </w:t>
      </w:r>
      <w:r w:rsidR="00C97E04" w:rsidRPr="00C97E04">
        <w:rPr>
          <w:rFonts w:ascii="Times New Roman" w:eastAsia="SimSun" w:hAnsi="Times New Roman" w:cs="Times New Roman"/>
          <w:i/>
          <w:sz w:val="24"/>
          <w:szCs w:val="24"/>
          <w:lang w:eastAsia="zh-CN"/>
        </w:rPr>
        <w:t>R v Cuthberston</w:t>
      </w:r>
      <w:r w:rsidR="00C97E04" w:rsidRPr="00C97E04">
        <w:rPr>
          <w:rFonts w:ascii="Times New Roman" w:eastAsia="SimSun" w:hAnsi="Times New Roman" w:cs="Times New Roman"/>
          <w:sz w:val="24"/>
          <w:szCs w:val="24"/>
          <w:lang w:eastAsia="zh-CN"/>
        </w:rPr>
        <w:t>,</w:t>
      </w:r>
      <w:r w:rsidR="00C97E04" w:rsidRPr="00C97E04">
        <w:rPr>
          <w:rFonts w:ascii="Times New Roman" w:eastAsia="SimSun" w:hAnsi="Times New Roman" w:cs="Times New Roman"/>
          <w:sz w:val="24"/>
          <w:szCs w:val="24"/>
          <w:vertAlign w:val="superscript"/>
          <w:lang w:eastAsia="zh-CN"/>
        </w:rPr>
        <w:footnoteReference w:id="50"/>
      </w:r>
      <w:r w:rsidR="00C97E04" w:rsidRPr="00C97E04">
        <w:rPr>
          <w:rFonts w:ascii="Times New Roman" w:eastAsia="SimSun" w:hAnsi="Times New Roman" w:cs="Times New Roman"/>
          <w:sz w:val="24"/>
          <w:szCs w:val="24"/>
          <w:lang w:eastAsia="zh-CN"/>
        </w:rPr>
        <w:t xml:space="preserve"> and the subsequent recommendations of the Hodgson Committee.</w:t>
      </w:r>
      <w:r w:rsidR="00C97E04" w:rsidRPr="00C97E04">
        <w:rPr>
          <w:rFonts w:ascii="Times New Roman" w:eastAsia="SimSun" w:hAnsi="Times New Roman" w:cs="Times New Roman"/>
          <w:sz w:val="24"/>
          <w:szCs w:val="24"/>
          <w:vertAlign w:val="superscript"/>
          <w:lang w:eastAsia="zh-CN"/>
        </w:rPr>
        <w:footnoteReference w:id="51"/>
      </w:r>
      <w:r w:rsidR="00C97E04" w:rsidRPr="00C97E04">
        <w:rPr>
          <w:rFonts w:ascii="Times New Roman" w:eastAsia="SimSun" w:hAnsi="Times New Roman" w:cs="Times New Roman"/>
          <w:sz w:val="24"/>
          <w:szCs w:val="24"/>
          <w:lang w:eastAsia="zh-CN"/>
        </w:rPr>
        <w:t xml:space="preserve">  </w:t>
      </w:r>
      <w:r w:rsidR="00C97E04" w:rsidRPr="00C97E04">
        <w:rPr>
          <w:rFonts w:ascii="Times New Roman" w:hAnsi="Times New Roman" w:cs="Times New Roman"/>
          <w:sz w:val="24"/>
          <w:szCs w:val="24"/>
        </w:rPr>
        <w:t xml:space="preserve">The scope of </w:t>
      </w:r>
      <w:r>
        <w:rPr>
          <w:rFonts w:ascii="Times New Roman" w:hAnsi="Times New Roman" w:cs="Times New Roman"/>
          <w:sz w:val="24"/>
          <w:szCs w:val="24"/>
        </w:rPr>
        <w:t xml:space="preserve">confiscation regime was </w:t>
      </w:r>
      <w:r w:rsidR="00C97E04" w:rsidRPr="00C97E04">
        <w:rPr>
          <w:rFonts w:ascii="Times New Roman" w:hAnsi="Times New Roman" w:cs="Times New Roman"/>
          <w:sz w:val="24"/>
          <w:szCs w:val="24"/>
        </w:rPr>
        <w:t>extended to all ‘non-drug’ indictable offences and specific summary offences by the Criminal Justice Act 1988.</w:t>
      </w:r>
      <w:r w:rsidR="00C97E04" w:rsidRPr="00C97E04">
        <w:rPr>
          <w:rFonts w:ascii="Times New Roman" w:hAnsi="Times New Roman" w:cs="Times New Roman"/>
          <w:sz w:val="24"/>
          <w:szCs w:val="24"/>
          <w:vertAlign w:val="superscript"/>
        </w:rPr>
        <w:footnoteReference w:id="52"/>
      </w:r>
      <w:r w:rsidR="00C97E04" w:rsidRPr="00C97E04">
        <w:rPr>
          <w:rFonts w:ascii="Times New Roman" w:hAnsi="Times New Roman" w:cs="Times New Roman"/>
          <w:sz w:val="24"/>
          <w:szCs w:val="24"/>
        </w:rPr>
        <w:t xml:space="preserve"> Further amendments were introduced by the Drug Trafficking Act 1994 </w:t>
      </w:r>
      <w:r w:rsidR="00C97E04" w:rsidRPr="00C97E04">
        <w:rPr>
          <w:rFonts w:ascii="Times New Roman" w:hAnsi="Times New Roman" w:cs="Times New Roman"/>
          <w:sz w:val="24"/>
          <w:szCs w:val="24"/>
          <w:vertAlign w:val="superscript"/>
        </w:rPr>
        <w:footnoteReference w:id="53"/>
      </w:r>
      <w:r w:rsidR="00C97E04" w:rsidRPr="00C97E04">
        <w:rPr>
          <w:rFonts w:ascii="Times New Roman" w:hAnsi="Times New Roman" w:cs="Times New Roman"/>
          <w:sz w:val="24"/>
          <w:szCs w:val="24"/>
        </w:rPr>
        <w:t xml:space="preserve"> and the Proceeds of Crime Act 1995.</w:t>
      </w:r>
      <w:r w:rsidR="00C97E04" w:rsidRPr="00C97E04">
        <w:rPr>
          <w:rFonts w:ascii="Times New Roman" w:hAnsi="Times New Roman" w:cs="Times New Roman"/>
          <w:sz w:val="24"/>
          <w:szCs w:val="24"/>
          <w:vertAlign w:val="superscript"/>
        </w:rPr>
        <w:footnoteReference w:id="54"/>
      </w:r>
      <w:r>
        <w:rPr>
          <w:rFonts w:ascii="Times New Roman" w:hAnsi="Times New Roman" w:cs="Times New Roman"/>
          <w:sz w:val="24"/>
          <w:szCs w:val="24"/>
        </w:rPr>
        <w:t xml:space="preserve"> However, these were largely </w:t>
      </w:r>
      <w:r w:rsidR="00C97E04" w:rsidRPr="00C97E04">
        <w:rPr>
          <w:rFonts w:ascii="Times New Roman" w:hAnsi="Times New Roman" w:cs="Times New Roman"/>
          <w:sz w:val="24"/>
          <w:szCs w:val="24"/>
        </w:rPr>
        <w:t xml:space="preserve">ineffective and </w:t>
      </w:r>
      <w:r w:rsidR="00853261">
        <w:rPr>
          <w:rFonts w:ascii="Times New Roman" w:hAnsi="Times New Roman" w:cs="Times New Roman"/>
          <w:sz w:val="24"/>
          <w:szCs w:val="24"/>
        </w:rPr>
        <w:t xml:space="preserve">the then Labour government commissioned a </w:t>
      </w:r>
      <w:r>
        <w:rPr>
          <w:rFonts w:ascii="Times New Roman" w:hAnsi="Times New Roman" w:cs="Times New Roman"/>
          <w:sz w:val="24"/>
          <w:szCs w:val="24"/>
        </w:rPr>
        <w:t>r</w:t>
      </w:r>
      <w:r w:rsidR="00C97E04" w:rsidRPr="00C97E04">
        <w:rPr>
          <w:rFonts w:ascii="Times New Roman" w:hAnsi="Times New Roman" w:cs="Times New Roman"/>
          <w:sz w:val="24"/>
          <w:szCs w:val="24"/>
        </w:rPr>
        <w:t xml:space="preserve">eview </w:t>
      </w:r>
      <w:r w:rsidR="00853261">
        <w:rPr>
          <w:rFonts w:ascii="Times New Roman" w:hAnsi="Times New Roman" w:cs="Times New Roman"/>
          <w:sz w:val="24"/>
          <w:szCs w:val="24"/>
        </w:rPr>
        <w:t xml:space="preserve">of </w:t>
      </w:r>
      <w:r w:rsidR="00C97E04" w:rsidRPr="00C97E04">
        <w:rPr>
          <w:rFonts w:ascii="Times New Roman" w:hAnsi="Times New Roman" w:cs="Times New Roman"/>
          <w:sz w:val="24"/>
          <w:szCs w:val="24"/>
        </w:rPr>
        <w:t xml:space="preserve">the UKs </w:t>
      </w:r>
      <w:r w:rsidR="00C97E04" w:rsidRPr="00C97E04">
        <w:rPr>
          <w:rFonts w:ascii="Times New Roman" w:hAnsi="Times New Roman" w:cs="Times New Roman"/>
          <w:sz w:val="24"/>
          <w:szCs w:val="24"/>
        </w:rPr>
        <w:lastRenderedPageBreak/>
        <w:t>confiscation regime.</w:t>
      </w:r>
      <w:r w:rsidR="00C97E04" w:rsidRPr="00C97E04">
        <w:rPr>
          <w:rFonts w:ascii="Times New Roman" w:hAnsi="Times New Roman" w:cs="Times New Roman"/>
          <w:sz w:val="24"/>
          <w:szCs w:val="24"/>
          <w:vertAlign w:val="superscript"/>
        </w:rPr>
        <w:footnoteReference w:id="55"/>
      </w:r>
      <w:r w:rsidR="00C97E04" w:rsidRPr="00C97E04">
        <w:rPr>
          <w:rFonts w:ascii="Times New Roman" w:hAnsi="Times New Roman" w:cs="Times New Roman"/>
          <w:sz w:val="24"/>
          <w:szCs w:val="24"/>
        </w:rPr>
        <w:t xml:space="preserve"> The </w:t>
      </w:r>
      <w:r w:rsidR="00853261">
        <w:rPr>
          <w:rFonts w:ascii="Times New Roman" w:hAnsi="Times New Roman" w:cs="Times New Roman"/>
          <w:sz w:val="24"/>
          <w:szCs w:val="24"/>
        </w:rPr>
        <w:t xml:space="preserve">review </w:t>
      </w:r>
      <w:r w:rsidR="005C068C">
        <w:rPr>
          <w:rFonts w:ascii="Times New Roman" w:hAnsi="Times New Roman" w:cs="Times New Roman"/>
          <w:sz w:val="24"/>
          <w:szCs w:val="24"/>
        </w:rPr>
        <w:t>recommended that an Asset Confiscation Agency</w:t>
      </w:r>
      <w:r w:rsidR="00C97E04" w:rsidRPr="00C97E04">
        <w:rPr>
          <w:rFonts w:ascii="Times New Roman" w:hAnsi="Times New Roman" w:cs="Times New Roman"/>
          <w:sz w:val="24"/>
          <w:szCs w:val="24"/>
        </w:rPr>
        <w:t xml:space="preserve"> should be created and that both the money laundering and confiscation regime should be consolidated under one piece of legislation.  These recommendations were eventually enacted via the Proceeds of Crime Act 2002.  The drug related mechanisms </w:t>
      </w:r>
      <w:r w:rsidR="00853261">
        <w:rPr>
          <w:rFonts w:ascii="Times New Roman" w:hAnsi="Times New Roman" w:cs="Times New Roman"/>
          <w:sz w:val="24"/>
          <w:szCs w:val="24"/>
        </w:rPr>
        <w:t xml:space="preserve">also </w:t>
      </w:r>
      <w:r w:rsidR="00C97E04" w:rsidRPr="00C97E04">
        <w:rPr>
          <w:rFonts w:ascii="Times New Roman" w:hAnsi="Times New Roman" w:cs="Times New Roman"/>
          <w:sz w:val="24"/>
          <w:szCs w:val="24"/>
        </w:rPr>
        <w:t>influenced the P</w:t>
      </w:r>
      <w:r w:rsidR="00C14229">
        <w:rPr>
          <w:rFonts w:ascii="Times New Roman" w:hAnsi="Times New Roman" w:cs="Times New Roman"/>
          <w:sz w:val="24"/>
          <w:szCs w:val="24"/>
        </w:rPr>
        <w:t>revention of Terrorism Act 1989 which c</w:t>
      </w:r>
      <w:r w:rsidR="00C97E04" w:rsidRPr="00C97E04">
        <w:rPr>
          <w:rFonts w:ascii="Times New Roman" w:hAnsi="Times New Roman" w:cs="Times New Roman"/>
          <w:sz w:val="24"/>
          <w:szCs w:val="24"/>
        </w:rPr>
        <w:t>riminalised contributions towards acts of terrorism,</w:t>
      </w:r>
      <w:r w:rsidR="00C97E04" w:rsidRPr="00C97E04">
        <w:rPr>
          <w:rFonts w:ascii="Times New Roman" w:hAnsi="Times New Roman" w:cs="Times New Roman"/>
          <w:sz w:val="24"/>
          <w:szCs w:val="24"/>
          <w:vertAlign w:val="superscript"/>
        </w:rPr>
        <w:footnoteReference w:id="56"/>
      </w:r>
      <w:r w:rsidR="00C97E04" w:rsidRPr="00C97E04">
        <w:rPr>
          <w:rFonts w:ascii="Times New Roman" w:hAnsi="Times New Roman" w:cs="Times New Roman"/>
          <w:sz w:val="24"/>
          <w:szCs w:val="24"/>
        </w:rPr>
        <w:t xml:space="preserve"> contributions to resources of proscribed organisations,</w:t>
      </w:r>
      <w:r w:rsidR="00C97E04" w:rsidRPr="00C97E04">
        <w:rPr>
          <w:rFonts w:ascii="Times New Roman" w:hAnsi="Times New Roman" w:cs="Times New Roman"/>
          <w:sz w:val="24"/>
          <w:szCs w:val="24"/>
          <w:vertAlign w:val="superscript"/>
        </w:rPr>
        <w:footnoteReference w:id="57"/>
      </w:r>
      <w:r w:rsidR="00C97E04" w:rsidRPr="00C97E04">
        <w:rPr>
          <w:rFonts w:ascii="Times New Roman" w:hAnsi="Times New Roman" w:cs="Times New Roman"/>
          <w:sz w:val="24"/>
          <w:szCs w:val="24"/>
        </w:rPr>
        <w:t xml:space="preserve"> assisting in retention or control of terrorist funds,</w:t>
      </w:r>
      <w:r w:rsidR="00C97E04" w:rsidRPr="00C97E04">
        <w:rPr>
          <w:rFonts w:ascii="Times New Roman" w:hAnsi="Times New Roman" w:cs="Times New Roman"/>
          <w:sz w:val="24"/>
          <w:szCs w:val="24"/>
          <w:vertAlign w:val="superscript"/>
        </w:rPr>
        <w:footnoteReference w:id="58"/>
      </w:r>
      <w:r w:rsidR="00C97E04" w:rsidRPr="00C97E04">
        <w:rPr>
          <w:rFonts w:ascii="Times New Roman" w:hAnsi="Times New Roman" w:cs="Times New Roman"/>
          <w:sz w:val="24"/>
          <w:szCs w:val="24"/>
        </w:rPr>
        <w:t xml:space="preserve"> disclosure of information about terrorist funds,</w:t>
      </w:r>
      <w:r w:rsidR="00C97E04" w:rsidRPr="00C97E04">
        <w:rPr>
          <w:rFonts w:ascii="Times New Roman" w:hAnsi="Times New Roman" w:cs="Times New Roman"/>
          <w:sz w:val="24"/>
          <w:szCs w:val="24"/>
          <w:vertAlign w:val="superscript"/>
        </w:rPr>
        <w:footnoteReference w:id="59"/>
      </w:r>
      <w:r w:rsidR="00C97E04" w:rsidRPr="00C97E04">
        <w:rPr>
          <w:rFonts w:ascii="Times New Roman" w:hAnsi="Times New Roman" w:cs="Times New Roman"/>
          <w:sz w:val="24"/>
          <w:szCs w:val="24"/>
        </w:rPr>
        <w:t xml:space="preserve"> penalties and forfeiture.</w:t>
      </w:r>
      <w:r w:rsidR="00C97E04" w:rsidRPr="00C97E04">
        <w:rPr>
          <w:rFonts w:ascii="Times New Roman" w:hAnsi="Times New Roman" w:cs="Times New Roman"/>
          <w:sz w:val="24"/>
          <w:szCs w:val="24"/>
          <w:vertAlign w:val="superscript"/>
        </w:rPr>
        <w:footnoteReference w:id="60"/>
      </w:r>
      <w:r w:rsidR="00C97E04" w:rsidRPr="00C97E04">
        <w:rPr>
          <w:rFonts w:ascii="Times New Roman" w:hAnsi="Times New Roman" w:cs="Times New Roman"/>
          <w:sz w:val="24"/>
          <w:szCs w:val="24"/>
        </w:rPr>
        <w:t xml:space="preserve">  </w:t>
      </w:r>
      <w:r w:rsidR="00853261">
        <w:rPr>
          <w:rFonts w:ascii="Times New Roman" w:hAnsi="Times New Roman" w:cs="Times New Roman"/>
          <w:sz w:val="24"/>
          <w:szCs w:val="24"/>
        </w:rPr>
        <w:t>Furthermore, t</w:t>
      </w:r>
      <w:r>
        <w:rPr>
          <w:rFonts w:ascii="Times New Roman" w:hAnsi="Times New Roman" w:cs="Times New Roman"/>
          <w:sz w:val="24"/>
          <w:szCs w:val="24"/>
        </w:rPr>
        <w:t>h</w:t>
      </w:r>
      <w:r w:rsidR="005C068C">
        <w:rPr>
          <w:rFonts w:ascii="Times New Roman" w:hAnsi="Times New Roman" w:cs="Times New Roman"/>
          <w:sz w:val="24"/>
          <w:szCs w:val="24"/>
        </w:rPr>
        <w:t>e 1989 Act ‘</w:t>
      </w:r>
      <w:r w:rsidR="00C97E04" w:rsidRPr="00C97E04">
        <w:rPr>
          <w:rFonts w:ascii="Times New Roman" w:hAnsi="Times New Roman" w:cs="Times New Roman"/>
          <w:sz w:val="24"/>
          <w:szCs w:val="24"/>
        </w:rPr>
        <w:t>i</w:t>
      </w:r>
      <w:r w:rsidR="00C97E04" w:rsidRPr="00C97E04">
        <w:rPr>
          <w:rFonts w:ascii="Times New Roman" w:eastAsia="Times New Roman" w:hAnsi="Times New Roman" w:cs="Times New Roman"/>
          <w:sz w:val="24"/>
          <w:szCs w:val="24"/>
          <w:lang w:eastAsia="en-GB"/>
        </w:rPr>
        <w:t>ntroduced forfeiture orders in respect of terrorist funds</w:t>
      </w:r>
      <w:r>
        <w:rPr>
          <w:rFonts w:ascii="Times New Roman" w:eastAsia="Times New Roman" w:hAnsi="Times New Roman" w:cs="Times New Roman"/>
          <w:sz w:val="24"/>
          <w:szCs w:val="24"/>
          <w:lang w:eastAsia="en-GB"/>
        </w:rPr>
        <w:t xml:space="preserve"> … [which] </w:t>
      </w:r>
      <w:r w:rsidR="005C068C">
        <w:rPr>
          <w:rFonts w:ascii="Times New Roman" w:eastAsia="Times New Roman" w:hAnsi="Times New Roman" w:cs="Times New Roman"/>
          <w:sz w:val="24"/>
          <w:szCs w:val="24"/>
          <w:lang w:eastAsia="en-GB"/>
        </w:rPr>
        <w:t>replaced confiscation’</w:t>
      </w:r>
      <w:r w:rsidR="00C97E04" w:rsidRPr="00C97E04">
        <w:rPr>
          <w:rFonts w:ascii="Times New Roman" w:eastAsia="Times New Roman" w:hAnsi="Times New Roman" w:cs="Times New Roman"/>
          <w:sz w:val="24"/>
          <w:szCs w:val="24"/>
          <w:lang w:eastAsia="en-GB"/>
        </w:rPr>
        <w:t>.</w:t>
      </w:r>
      <w:r w:rsidR="00C97E04" w:rsidRPr="00C97E04">
        <w:rPr>
          <w:rFonts w:ascii="Times New Roman" w:eastAsiaTheme="majorEastAsia" w:hAnsi="Times New Roman" w:cs="Times New Roman"/>
          <w:sz w:val="24"/>
          <w:szCs w:val="24"/>
          <w:vertAlign w:val="superscript"/>
          <w:lang w:eastAsia="en-GB"/>
        </w:rPr>
        <w:footnoteReference w:id="61"/>
      </w:r>
      <w:r w:rsidR="00C97E04" w:rsidRPr="00C97E04">
        <w:rPr>
          <w:rFonts w:ascii="Times New Roman" w:eastAsia="Times New Roman" w:hAnsi="Times New Roman" w:cs="Times New Roman"/>
          <w:sz w:val="24"/>
          <w:szCs w:val="24"/>
          <w:lang w:eastAsia="en-GB"/>
        </w:rPr>
        <w:t xml:space="preserve">  </w:t>
      </w:r>
      <w:r w:rsidR="00853261">
        <w:rPr>
          <w:rFonts w:ascii="Times New Roman" w:eastAsia="Times New Roman" w:hAnsi="Times New Roman" w:cs="Times New Roman"/>
          <w:sz w:val="24"/>
          <w:szCs w:val="24"/>
          <w:lang w:eastAsia="en-GB"/>
        </w:rPr>
        <w:t>However, t</w:t>
      </w:r>
      <w:r w:rsidR="00F215EC">
        <w:rPr>
          <w:rFonts w:ascii="Times New Roman" w:eastAsia="Times New Roman" w:hAnsi="Times New Roman" w:cs="Times New Roman"/>
          <w:sz w:val="24"/>
          <w:szCs w:val="24"/>
          <w:lang w:eastAsia="en-GB"/>
        </w:rPr>
        <w:t xml:space="preserve">he </w:t>
      </w:r>
      <w:r w:rsidR="00C97E04" w:rsidRPr="00C97E04">
        <w:rPr>
          <w:rFonts w:ascii="Times New Roman" w:eastAsia="SimSun" w:hAnsi="Times New Roman" w:cs="Times New Roman"/>
          <w:sz w:val="24"/>
          <w:szCs w:val="24"/>
          <w:lang w:val="en" w:eastAsia="zh-CN"/>
        </w:rPr>
        <w:t xml:space="preserve">effectiveness </w:t>
      </w:r>
      <w:r w:rsidR="00F215EC">
        <w:rPr>
          <w:rFonts w:ascii="Times New Roman" w:eastAsia="SimSun" w:hAnsi="Times New Roman" w:cs="Times New Roman"/>
          <w:sz w:val="24"/>
          <w:szCs w:val="24"/>
          <w:lang w:val="en" w:eastAsia="zh-CN"/>
        </w:rPr>
        <w:t xml:space="preserve">of these provisions </w:t>
      </w:r>
      <w:r w:rsidR="00853261">
        <w:rPr>
          <w:rFonts w:ascii="Times New Roman" w:eastAsia="SimSun" w:hAnsi="Times New Roman" w:cs="Times New Roman"/>
          <w:sz w:val="24"/>
          <w:szCs w:val="24"/>
          <w:lang w:val="en" w:eastAsia="zh-CN"/>
        </w:rPr>
        <w:t>was</w:t>
      </w:r>
      <w:r w:rsidR="00C97E04" w:rsidRPr="00C97E04">
        <w:rPr>
          <w:rFonts w:ascii="Times New Roman" w:eastAsia="SimSun" w:hAnsi="Times New Roman" w:cs="Times New Roman"/>
          <w:sz w:val="24"/>
          <w:szCs w:val="24"/>
          <w:lang w:val="en" w:eastAsia="zh-CN"/>
        </w:rPr>
        <w:t xml:space="preserve"> questioned </w:t>
      </w:r>
      <w:r w:rsidR="00F215EC">
        <w:rPr>
          <w:rFonts w:ascii="Times New Roman" w:eastAsia="SimSun" w:hAnsi="Times New Roman" w:cs="Times New Roman"/>
          <w:sz w:val="24"/>
          <w:szCs w:val="24"/>
          <w:lang w:val="en" w:eastAsia="zh-CN"/>
        </w:rPr>
        <w:t xml:space="preserve">in a </w:t>
      </w:r>
      <w:r w:rsidR="00C97E04" w:rsidRPr="00C97E04">
        <w:rPr>
          <w:rFonts w:ascii="Times New Roman" w:eastAsia="SimSun" w:hAnsi="Times New Roman" w:cs="Times New Roman"/>
          <w:sz w:val="24"/>
          <w:szCs w:val="24"/>
          <w:lang w:val="en" w:eastAsia="zh-CN"/>
        </w:rPr>
        <w:t xml:space="preserve">review of the </w:t>
      </w:r>
      <w:r w:rsidR="00C97E04" w:rsidRPr="00C97E04">
        <w:rPr>
          <w:rFonts w:ascii="Times New Roman" w:eastAsia="SimSun" w:hAnsi="Times New Roman" w:cs="Times New Roman"/>
          <w:bCs/>
          <w:sz w:val="24"/>
          <w:szCs w:val="24"/>
          <w:lang w:eastAsia="zh-CN"/>
        </w:rPr>
        <w:t>UK’s terrorism strategy in 1998.</w:t>
      </w:r>
      <w:r w:rsidR="00C97E04" w:rsidRPr="00C97E04">
        <w:rPr>
          <w:rFonts w:ascii="Times New Roman" w:eastAsia="SimSun" w:hAnsi="Times New Roman" w:cs="Times New Roman"/>
          <w:sz w:val="24"/>
          <w:szCs w:val="24"/>
          <w:vertAlign w:val="superscript"/>
          <w:lang w:eastAsia="zh-CN"/>
        </w:rPr>
        <w:footnoteReference w:id="62"/>
      </w:r>
      <w:r w:rsidR="00C97E04" w:rsidRPr="00C97E04">
        <w:rPr>
          <w:rFonts w:ascii="Times New Roman" w:eastAsia="SimSun" w:hAnsi="Times New Roman" w:cs="Times New Roman"/>
          <w:bCs/>
          <w:sz w:val="24"/>
          <w:szCs w:val="24"/>
          <w:lang w:eastAsia="zh-CN"/>
        </w:rPr>
        <w:t xml:space="preserve">  The</w:t>
      </w:r>
      <w:r w:rsidR="00C97E04" w:rsidRPr="00C97E04">
        <w:rPr>
          <w:rFonts w:ascii="Times New Roman" w:eastAsia="Times New Roman" w:hAnsi="Times New Roman" w:cs="Times New Roman"/>
          <w:sz w:val="24"/>
          <w:szCs w:val="24"/>
          <w:lang w:eastAsia="en-GB"/>
        </w:rPr>
        <w:t xml:space="preserve"> Home Office </w:t>
      </w:r>
      <w:r w:rsidR="00CF31FD">
        <w:rPr>
          <w:rFonts w:ascii="Times New Roman" w:eastAsia="Times New Roman" w:hAnsi="Times New Roman" w:cs="Times New Roman"/>
          <w:sz w:val="24"/>
          <w:szCs w:val="24"/>
          <w:lang w:eastAsia="en-GB"/>
        </w:rPr>
        <w:t>co</w:t>
      </w:r>
      <w:r w:rsidR="005C068C">
        <w:rPr>
          <w:rFonts w:ascii="Times New Roman" w:eastAsia="Times New Roman" w:hAnsi="Times New Roman" w:cs="Times New Roman"/>
          <w:sz w:val="24"/>
          <w:szCs w:val="24"/>
          <w:lang w:eastAsia="en-GB"/>
        </w:rPr>
        <w:t>ncluded that it had identified ‘</w:t>
      </w:r>
      <w:r w:rsidR="00CF31FD">
        <w:rPr>
          <w:rFonts w:ascii="Times New Roman" w:eastAsia="Times New Roman" w:hAnsi="Times New Roman" w:cs="Times New Roman"/>
          <w:sz w:val="24"/>
          <w:szCs w:val="24"/>
          <w:lang w:eastAsia="en-GB"/>
        </w:rPr>
        <w:t>s</w:t>
      </w:r>
      <w:r w:rsidR="00C97E04" w:rsidRPr="00C97E04">
        <w:rPr>
          <w:rFonts w:ascii="Times New Roman" w:hAnsi="Times New Roman" w:cs="Times New Roman"/>
          <w:sz w:val="24"/>
          <w:szCs w:val="24"/>
        </w:rPr>
        <w:t xml:space="preserve">ome weaknesses in the current provisions </w:t>
      </w:r>
      <w:r w:rsidR="00CF31FD">
        <w:rPr>
          <w:rFonts w:ascii="Times New Roman" w:hAnsi="Times New Roman" w:cs="Times New Roman"/>
          <w:sz w:val="24"/>
          <w:szCs w:val="24"/>
        </w:rPr>
        <w:t xml:space="preserve">… </w:t>
      </w:r>
      <w:r w:rsidR="00C97E04" w:rsidRPr="00C97E04">
        <w:rPr>
          <w:rFonts w:ascii="Times New Roman" w:hAnsi="Times New Roman" w:cs="Times New Roman"/>
          <w:sz w:val="24"/>
          <w:szCs w:val="24"/>
        </w:rPr>
        <w:t>in relation to fund-raising by international terrorist groups and their supporters</w:t>
      </w:r>
      <w:r w:rsidR="005C068C">
        <w:rPr>
          <w:rFonts w:ascii="Times New Roman" w:hAnsi="Times New Roman" w:cs="Times New Roman"/>
          <w:sz w:val="24"/>
          <w:szCs w:val="24"/>
        </w:rPr>
        <w:t>’</w:t>
      </w:r>
      <w:r w:rsidR="00CF31FD">
        <w:rPr>
          <w:rFonts w:ascii="Times New Roman" w:hAnsi="Times New Roman" w:cs="Times New Roman"/>
          <w:sz w:val="24"/>
          <w:szCs w:val="24"/>
        </w:rPr>
        <w:t>.</w:t>
      </w:r>
      <w:r w:rsidR="00CF31FD">
        <w:rPr>
          <w:rStyle w:val="FootnoteReference"/>
          <w:rFonts w:ascii="Times New Roman" w:hAnsi="Times New Roman" w:cs="Times New Roman"/>
          <w:sz w:val="24"/>
          <w:szCs w:val="24"/>
        </w:rPr>
        <w:footnoteReference w:id="63"/>
      </w:r>
      <w:r w:rsidR="00CF31FD">
        <w:rPr>
          <w:rFonts w:ascii="Times New Roman" w:hAnsi="Times New Roman" w:cs="Times New Roman"/>
          <w:sz w:val="24"/>
          <w:szCs w:val="24"/>
        </w:rPr>
        <w:t xml:space="preserve"> Conversely, the same report also noted that authorities had been able to successfully obtain 169 convictions in Northern Ireland under the 19</w:t>
      </w:r>
      <w:r w:rsidR="005C068C">
        <w:rPr>
          <w:rFonts w:ascii="Times New Roman" w:hAnsi="Times New Roman" w:cs="Times New Roman"/>
          <w:sz w:val="24"/>
          <w:szCs w:val="24"/>
        </w:rPr>
        <w:t>89 Act and that the police had ‘</w:t>
      </w:r>
      <w:r w:rsidR="00C97E04" w:rsidRPr="00C97E04">
        <w:rPr>
          <w:rFonts w:ascii="Times New Roman" w:hAnsi="Times New Roman" w:cs="Times New Roman"/>
          <w:sz w:val="24"/>
          <w:szCs w:val="24"/>
        </w:rPr>
        <w:t xml:space="preserve">made it much more difficult for others, to raise money here and transfer it to those intent on using </w:t>
      </w:r>
      <w:r w:rsidR="005C068C">
        <w:rPr>
          <w:rFonts w:ascii="Times New Roman" w:hAnsi="Times New Roman" w:cs="Times New Roman"/>
          <w:sz w:val="24"/>
          <w:szCs w:val="24"/>
        </w:rPr>
        <w:t>it to fund terrorist activities’</w:t>
      </w:r>
      <w:r w:rsidR="00C97E04" w:rsidRPr="00C97E04">
        <w:rPr>
          <w:rFonts w:ascii="Times New Roman" w:hAnsi="Times New Roman" w:cs="Times New Roman"/>
          <w:sz w:val="24"/>
          <w:szCs w:val="24"/>
        </w:rPr>
        <w:t>.</w:t>
      </w:r>
      <w:r w:rsidR="00C97E04" w:rsidRPr="00C97E04">
        <w:rPr>
          <w:rFonts w:ascii="Times New Roman" w:hAnsi="Times New Roman" w:cs="Times New Roman"/>
          <w:sz w:val="24"/>
          <w:szCs w:val="24"/>
          <w:vertAlign w:val="superscript"/>
        </w:rPr>
        <w:footnoteReference w:id="64"/>
      </w:r>
      <w:r w:rsidR="00CF31FD">
        <w:rPr>
          <w:rFonts w:ascii="Times New Roman" w:hAnsi="Times New Roman" w:cs="Times New Roman"/>
          <w:sz w:val="24"/>
          <w:szCs w:val="24"/>
        </w:rPr>
        <w:t xml:space="preserve">  However, the impact of the </w:t>
      </w:r>
      <w:r w:rsidR="00F215EC">
        <w:rPr>
          <w:rFonts w:ascii="Times New Roman" w:hAnsi="Times New Roman" w:cs="Times New Roman"/>
          <w:sz w:val="24"/>
          <w:szCs w:val="24"/>
        </w:rPr>
        <w:t xml:space="preserve">CTF offences in the </w:t>
      </w:r>
      <w:r w:rsidR="00CF31FD" w:rsidRPr="00C97E04">
        <w:rPr>
          <w:rFonts w:ascii="Times New Roman" w:eastAsia="SimSun" w:hAnsi="Times New Roman" w:cs="Times New Roman"/>
          <w:sz w:val="24"/>
          <w:szCs w:val="24"/>
          <w:lang w:eastAsia="zh-CN"/>
        </w:rPr>
        <w:t>1989</w:t>
      </w:r>
      <w:r w:rsidR="00CF31FD">
        <w:rPr>
          <w:rFonts w:ascii="Times New Roman" w:eastAsia="SimSun" w:hAnsi="Times New Roman" w:cs="Times New Roman"/>
          <w:sz w:val="24"/>
          <w:szCs w:val="24"/>
          <w:lang w:eastAsia="zh-CN"/>
        </w:rPr>
        <w:t xml:space="preserve"> </w:t>
      </w:r>
      <w:r w:rsidR="00F215EC">
        <w:rPr>
          <w:rFonts w:ascii="Times New Roman" w:eastAsia="SimSun" w:hAnsi="Times New Roman" w:cs="Times New Roman"/>
          <w:sz w:val="24"/>
          <w:szCs w:val="24"/>
          <w:lang w:eastAsia="zh-CN"/>
        </w:rPr>
        <w:t xml:space="preserve">Act has been criticised.  For example Bell noted that </w:t>
      </w:r>
      <w:r w:rsidR="005C068C">
        <w:rPr>
          <w:rFonts w:ascii="Times New Roman" w:eastAsia="SimSun" w:hAnsi="Times New Roman" w:cs="Times New Roman"/>
          <w:sz w:val="24"/>
          <w:szCs w:val="24"/>
          <w:lang w:eastAsia="zh-CN"/>
        </w:rPr>
        <w:t>‘</w:t>
      </w:r>
      <w:r w:rsidR="00C97E04" w:rsidRPr="00C97E04">
        <w:rPr>
          <w:rFonts w:ascii="Times New Roman" w:eastAsia="SimSun" w:hAnsi="Times New Roman" w:cs="Times New Roman"/>
          <w:bCs/>
          <w:sz w:val="24"/>
          <w:szCs w:val="24"/>
          <w:lang w:eastAsia="zh-CN"/>
        </w:rPr>
        <w:t>t</w:t>
      </w:r>
      <w:r w:rsidR="00C97E04" w:rsidRPr="00C97E04">
        <w:rPr>
          <w:rFonts w:ascii="Times New Roman" w:eastAsia="SimSun" w:hAnsi="Times New Roman" w:cs="Times New Roman"/>
          <w:sz w:val="24"/>
          <w:szCs w:val="24"/>
          <w:lang w:eastAsia="zh-CN"/>
        </w:rPr>
        <w:t xml:space="preserve">here have been no successful prosecutions for terrorist funding offences in Northern Ireland over the last 30 years and the forfeiture provisions </w:t>
      </w:r>
      <w:r w:rsidR="00CF31FD">
        <w:rPr>
          <w:rFonts w:ascii="Times New Roman" w:eastAsia="SimSun" w:hAnsi="Times New Roman" w:cs="Times New Roman"/>
          <w:sz w:val="24"/>
          <w:szCs w:val="24"/>
          <w:lang w:eastAsia="zh-CN"/>
        </w:rPr>
        <w:t xml:space="preserve">… </w:t>
      </w:r>
      <w:r w:rsidR="00C97E04" w:rsidRPr="00C97E04">
        <w:rPr>
          <w:rFonts w:ascii="Times New Roman" w:eastAsia="SimSun" w:hAnsi="Times New Roman" w:cs="Times New Roman"/>
          <w:sz w:val="24"/>
          <w:szCs w:val="24"/>
          <w:lang w:eastAsia="zh-CN"/>
        </w:rPr>
        <w:t xml:space="preserve">have never </w:t>
      </w:r>
      <w:r w:rsidR="005C068C">
        <w:rPr>
          <w:rFonts w:ascii="Times New Roman" w:eastAsia="SimSun" w:hAnsi="Times New Roman" w:cs="Times New Roman"/>
          <w:sz w:val="24"/>
          <w:szCs w:val="24"/>
          <w:lang w:eastAsia="zh-CN"/>
        </w:rPr>
        <w:lastRenderedPageBreak/>
        <w:t>been utilised’</w:t>
      </w:r>
      <w:r w:rsidR="00C97E04" w:rsidRPr="00C97E04">
        <w:rPr>
          <w:rFonts w:ascii="Times New Roman" w:eastAsia="SimSun" w:hAnsi="Times New Roman" w:cs="Times New Roman"/>
          <w:sz w:val="24"/>
          <w:szCs w:val="24"/>
          <w:lang w:eastAsia="zh-CN"/>
        </w:rPr>
        <w:t>.</w:t>
      </w:r>
      <w:r w:rsidR="00C97E04" w:rsidRPr="00C97E04">
        <w:rPr>
          <w:rFonts w:ascii="Times New Roman" w:eastAsia="SimSun" w:hAnsi="Times New Roman" w:cs="Times New Roman"/>
          <w:sz w:val="24"/>
          <w:szCs w:val="24"/>
          <w:vertAlign w:val="superscript"/>
          <w:lang w:eastAsia="zh-CN"/>
        </w:rPr>
        <w:footnoteReference w:id="65"/>
      </w:r>
      <w:r w:rsidR="00C97E04" w:rsidRPr="00C97E04">
        <w:rPr>
          <w:rFonts w:ascii="Times New Roman" w:eastAsia="SimSun" w:hAnsi="Times New Roman" w:cs="Times New Roman"/>
          <w:sz w:val="24"/>
          <w:szCs w:val="24"/>
          <w:lang w:eastAsia="zh-CN"/>
        </w:rPr>
        <w:t xml:space="preserve">  </w:t>
      </w:r>
      <w:r w:rsidR="00F215EC">
        <w:rPr>
          <w:rFonts w:ascii="Times New Roman" w:eastAsia="SimSun" w:hAnsi="Times New Roman" w:cs="Times New Roman"/>
          <w:sz w:val="24"/>
          <w:szCs w:val="24"/>
          <w:lang w:eastAsia="zh-CN"/>
        </w:rPr>
        <w:t>T</w:t>
      </w:r>
      <w:r w:rsidR="00C97E04" w:rsidRPr="00C97E04">
        <w:rPr>
          <w:rFonts w:ascii="Times New Roman" w:eastAsia="SimSun" w:hAnsi="Times New Roman" w:cs="Times New Roman"/>
          <w:bCs/>
          <w:sz w:val="24"/>
          <w:szCs w:val="24"/>
          <w:lang w:eastAsia="zh-CN"/>
        </w:rPr>
        <w:t>h</w:t>
      </w:r>
      <w:r w:rsidR="00C97E04" w:rsidRPr="00C97E04">
        <w:rPr>
          <w:rFonts w:ascii="Times New Roman" w:eastAsia="SimSun" w:hAnsi="Times New Roman" w:cs="Times New Roman"/>
          <w:sz w:val="24"/>
          <w:szCs w:val="24"/>
          <w:lang w:eastAsia="zh-CN"/>
        </w:rPr>
        <w:t xml:space="preserve">e Home Office concluded that the scope of the existing terrorist financing provisions should be extended to include fund-raising for all terrorist purposes.  As a result of the review, the Terrorism Act </w:t>
      </w:r>
      <w:r w:rsidR="00DE65D5">
        <w:rPr>
          <w:rFonts w:ascii="Times New Roman" w:eastAsia="SimSun" w:hAnsi="Times New Roman" w:cs="Times New Roman"/>
          <w:sz w:val="24"/>
          <w:szCs w:val="24"/>
          <w:lang w:eastAsia="zh-CN"/>
        </w:rPr>
        <w:t>200</w:t>
      </w:r>
      <w:r w:rsidR="00F215EC">
        <w:rPr>
          <w:rFonts w:ascii="Times New Roman" w:eastAsia="SimSun" w:hAnsi="Times New Roman" w:cs="Times New Roman"/>
          <w:sz w:val="24"/>
          <w:szCs w:val="24"/>
          <w:lang w:eastAsia="zh-CN"/>
        </w:rPr>
        <w:t xml:space="preserve">0 </w:t>
      </w:r>
      <w:r w:rsidR="00DE65D5">
        <w:rPr>
          <w:rFonts w:ascii="Times New Roman" w:eastAsia="SimSun" w:hAnsi="Times New Roman" w:cs="Times New Roman"/>
          <w:sz w:val="24"/>
          <w:szCs w:val="24"/>
          <w:lang w:eastAsia="zh-CN"/>
        </w:rPr>
        <w:t xml:space="preserve">has become </w:t>
      </w:r>
      <w:r w:rsidR="00C97E04" w:rsidRPr="00C97E04">
        <w:rPr>
          <w:rFonts w:ascii="Times New Roman" w:eastAsia="SimSun" w:hAnsi="Times New Roman" w:cs="Times New Roman"/>
          <w:sz w:val="24"/>
          <w:szCs w:val="24"/>
          <w:lang w:eastAsia="zh-CN"/>
        </w:rPr>
        <w:t>an integral part of the UK’s CTF strategy</w:t>
      </w:r>
      <w:r w:rsidR="00C97E04" w:rsidRPr="00C97E04">
        <w:rPr>
          <w:rFonts w:ascii="Times New Roman" w:eastAsia="Times New Roman" w:hAnsi="Times New Roman" w:cs="Times New Roman"/>
          <w:sz w:val="24"/>
          <w:szCs w:val="24"/>
          <w:lang w:eastAsia="en-GB"/>
        </w:rPr>
        <w:t>.</w:t>
      </w:r>
      <w:r w:rsidR="00C97E04" w:rsidRPr="00C97E04">
        <w:rPr>
          <w:rFonts w:ascii="Times New Roman" w:eastAsiaTheme="majorEastAsia" w:hAnsi="Times New Roman" w:cs="Times New Roman"/>
          <w:sz w:val="24"/>
          <w:szCs w:val="24"/>
          <w:vertAlign w:val="superscript"/>
          <w:lang w:eastAsia="en-GB"/>
        </w:rPr>
        <w:footnoteReference w:id="66"/>
      </w:r>
      <w:r w:rsidR="00C97E04" w:rsidRPr="00C97E04">
        <w:rPr>
          <w:rFonts w:ascii="Times New Roman" w:eastAsia="Times New Roman" w:hAnsi="Times New Roman" w:cs="Times New Roman"/>
          <w:sz w:val="24"/>
          <w:szCs w:val="24"/>
          <w:lang w:eastAsia="en-GB"/>
        </w:rPr>
        <w:t xml:space="preserve"> </w:t>
      </w:r>
      <w:r w:rsidR="00F215EC">
        <w:rPr>
          <w:rFonts w:ascii="Times New Roman" w:eastAsia="Times New Roman" w:hAnsi="Times New Roman" w:cs="Times New Roman"/>
          <w:sz w:val="24"/>
          <w:szCs w:val="24"/>
          <w:lang w:eastAsia="en-GB"/>
        </w:rPr>
        <w:t>T</w:t>
      </w:r>
      <w:r w:rsidR="00671F7D">
        <w:rPr>
          <w:rFonts w:ascii="Times New Roman" w:eastAsia="Times New Roman" w:hAnsi="Times New Roman" w:cs="Times New Roman"/>
          <w:sz w:val="24"/>
          <w:szCs w:val="24"/>
          <w:lang w:eastAsia="en-GB"/>
        </w:rPr>
        <w:t xml:space="preserve">he </w:t>
      </w:r>
      <w:r w:rsidR="00F215EC">
        <w:rPr>
          <w:rFonts w:ascii="Times New Roman" w:eastAsia="Times New Roman" w:hAnsi="Times New Roman" w:cs="Times New Roman"/>
          <w:sz w:val="24"/>
          <w:szCs w:val="24"/>
          <w:lang w:eastAsia="en-GB"/>
        </w:rPr>
        <w:t xml:space="preserve">Terrorism Act </w:t>
      </w:r>
      <w:r w:rsidR="00C97E04" w:rsidRPr="00C97E04">
        <w:rPr>
          <w:rFonts w:ascii="Times New Roman" w:eastAsia="Times New Roman" w:hAnsi="Times New Roman" w:cs="Times New Roman"/>
          <w:sz w:val="24"/>
          <w:szCs w:val="24"/>
          <w:lang w:eastAsia="en-GB"/>
        </w:rPr>
        <w:t>defin</w:t>
      </w:r>
      <w:r w:rsidR="00F215EC">
        <w:rPr>
          <w:rFonts w:ascii="Times New Roman" w:eastAsia="Times New Roman" w:hAnsi="Times New Roman" w:cs="Times New Roman"/>
          <w:sz w:val="24"/>
          <w:szCs w:val="24"/>
          <w:lang w:eastAsia="en-GB"/>
        </w:rPr>
        <w:t>es t</w:t>
      </w:r>
      <w:r w:rsidR="00C97E04" w:rsidRPr="00C97E04">
        <w:rPr>
          <w:rFonts w:ascii="Times New Roman" w:eastAsia="Times New Roman" w:hAnsi="Times New Roman" w:cs="Times New Roman"/>
          <w:sz w:val="24"/>
          <w:szCs w:val="24"/>
          <w:lang w:eastAsia="en-GB"/>
        </w:rPr>
        <w:t>errorism,</w:t>
      </w:r>
      <w:r w:rsidR="00C97E04" w:rsidRPr="00C97E04">
        <w:rPr>
          <w:rFonts w:ascii="Times New Roman" w:eastAsiaTheme="majorEastAsia" w:hAnsi="Times New Roman" w:cs="Times New Roman"/>
          <w:sz w:val="24"/>
          <w:szCs w:val="24"/>
          <w:vertAlign w:val="superscript"/>
          <w:lang w:eastAsia="en-GB"/>
        </w:rPr>
        <w:footnoteReference w:id="67"/>
      </w:r>
      <w:r w:rsidR="00C97E04" w:rsidRPr="00C97E04">
        <w:rPr>
          <w:rFonts w:ascii="Times New Roman" w:eastAsia="Times New Roman" w:hAnsi="Times New Roman" w:cs="Times New Roman"/>
          <w:sz w:val="24"/>
          <w:szCs w:val="24"/>
          <w:lang w:eastAsia="en-GB"/>
        </w:rPr>
        <w:t xml:space="preserve"> </w:t>
      </w:r>
      <w:r w:rsidR="00F215EC">
        <w:rPr>
          <w:rFonts w:ascii="Times New Roman" w:eastAsia="Times New Roman" w:hAnsi="Times New Roman" w:cs="Times New Roman"/>
          <w:sz w:val="24"/>
          <w:szCs w:val="24"/>
          <w:lang w:eastAsia="en-GB"/>
        </w:rPr>
        <w:t>it ap</w:t>
      </w:r>
      <w:r w:rsidR="00C97E04" w:rsidRPr="00C97E04">
        <w:rPr>
          <w:rFonts w:ascii="Times New Roman" w:eastAsia="Times New Roman" w:hAnsi="Times New Roman" w:cs="Times New Roman"/>
          <w:sz w:val="24"/>
          <w:szCs w:val="24"/>
          <w:lang w:eastAsia="en-GB"/>
        </w:rPr>
        <w:t>plie</w:t>
      </w:r>
      <w:r w:rsidR="00F215EC">
        <w:rPr>
          <w:rFonts w:ascii="Times New Roman" w:eastAsia="Times New Roman" w:hAnsi="Times New Roman" w:cs="Times New Roman"/>
          <w:sz w:val="24"/>
          <w:szCs w:val="24"/>
          <w:lang w:eastAsia="en-GB"/>
        </w:rPr>
        <w:t>s t</w:t>
      </w:r>
      <w:r w:rsidR="00C97E04" w:rsidRPr="00C97E04">
        <w:rPr>
          <w:rFonts w:ascii="Times New Roman" w:eastAsia="Times New Roman" w:hAnsi="Times New Roman" w:cs="Times New Roman"/>
          <w:sz w:val="24"/>
          <w:szCs w:val="24"/>
          <w:lang w:eastAsia="en-GB"/>
        </w:rPr>
        <w:t xml:space="preserve">o </w:t>
      </w:r>
      <w:r w:rsidR="00F215EC">
        <w:rPr>
          <w:rFonts w:ascii="Times New Roman" w:eastAsia="Times New Roman" w:hAnsi="Times New Roman" w:cs="Times New Roman"/>
          <w:sz w:val="24"/>
          <w:szCs w:val="24"/>
          <w:lang w:eastAsia="en-GB"/>
        </w:rPr>
        <w:t xml:space="preserve">domestic and </w:t>
      </w:r>
      <w:r w:rsidR="00C97E04" w:rsidRPr="00C97E04">
        <w:rPr>
          <w:rFonts w:ascii="Times New Roman" w:eastAsia="Times New Roman" w:hAnsi="Times New Roman" w:cs="Times New Roman"/>
          <w:sz w:val="24"/>
          <w:szCs w:val="24"/>
          <w:lang w:eastAsia="en-GB"/>
        </w:rPr>
        <w:t>international terrorism,</w:t>
      </w:r>
      <w:r w:rsidR="00C97E04" w:rsidRPr="00C97E04">
        <w:rPr>
          <w:rFonts w:ascii="Times New Roman" w:eastAsiaTheme="majorEastAsia" w:hAnsi="Times New Roman" w:cs="Times New Roman"/>
          <w:sz w:val="24"/>
          <w:szCs w:val="24"/>
          <w:vertAlign w:val="superscript"/>
          <w:lang w:eastAsia="en-GB"/>
        </w:rPr>
        <w:footnoteReference w:id="68"/>
      </w:r>
      <w:r w:rsidR="00C97E04" w:rsidRPr="00C97E04">
        <w:rPr>
          <w:rFonts w:ascii="Times New Roman" w:eastAsia="Times New Roman" w:hAnsi="Times New Roman" w:cs="Times New Roman"/>
          <w:sz w:val="24"/>
          <w:szCs w:val="24"/>
          <w:lang w:eastAsia="en-GB"/>
        </w:rPr>
        <w:t xml:space="preserve"> it maintained the concept of proscription,</w:t>
      </w:r>
      <w:r w:rsidR="00C97E04" w:rsidRPr="00C97E04">
        <w:rPr>
          <w:rFonts w:ascii="Times New Roman" w:eastAsiaTheme="majorEastAsia" w:hAnsi="Times New Roman" w:cs="Times New Roman"/>
          <w:sz w:val="24"/>
          <w:szCs w:val="24"/>
          <w:vertAlign w:val="superscript"/>
          <w:lang w:eastAsia="en-GB"/>
        </w:rPr>
        <w:footnoteReference w:id="69"/>
      </w:r>
      <w:r w:rsidR="00C97E04" w:rsidRPr="00C97E04">
        <w:rPr>
          <w:rFonts w:ascii="Times New Roman" w:eastAsia="Times New Roman" w:hAnsi="Times New Roman" w:cs="Times New Roman"/>
          <w:sz w:val="24"/>
          <w:szCs w:val="24"/>
          <w:lang w:eastAsia="en-GB"/>
        </w:rPr>
        <w:t xml:space="preserve"> a Proscribed Organisations Appeal Commission was created,</w:t>
      </w:r>
      <w:r w:rsidR="00C97E04" w:rsidRPr="00C97E04">
        <w:rPr>
          <w:rFonts w:ascii="Times New Roman" w:eastAsiaTheme="majorEastAsia" w:hAnsi="Times New Roman" w:cs="Times New Roman"/>
          <w:sz w:val="24"/>
          <w:szCs w:val="24"/>
          <w:vertAlign w:val="superscript"/>
          <w:lang w:eastAsia="en-GB"/>
        </w:rPr>
        <w:footnoteReference w:id="70"/>
      </w:r>
      <w:r w:rsidR="00C97E04" w:rsidRPr="00C97E04">
        <w:rPr>
          <w:rFonts w:ascii="Times New Roman" w:eastAsia="Times New Roman" w:hAnsi="Times New Roman" w:cs="Times New Roman"/>
          <w:sz w:val="24"/>
          <w:szCs w:val="24"/>
          <w:lang w:eastAsia="en-GB"/>
        </w:rPr>
        <w:t xml:space="preserve"> new seizure and forfeiture powers were introduced </w:t>
      </w:r>
      <w:r w:rsidR="00C97E04" w:rsidRPr="00C97E04">
        <w:rPr>
          <w:rFonts w:ascii="Times New Roman" w:eastAsiaTheme="majorEastAsia" w:hAnsi="Times New Roman" w:cs="Times New Roman"/>
          <w:sz w:val="24"/>
          <w:szCs w:val="24"/>
          <w:vertAlign w:val="superscript"/>
          <w:lang w:eastAsia="en-GB"/>
        </w:rPr>
        <w:footnoteReference w:id="71"/>
      </w:r>
      <w:r w:rsidR="00C97E04" w:rsidRPr="00C97E04">
        <w:rPr>
          <w:rFonts w:ascii="Times New Roman" w:eastAsia="Times New Roman" w:hAnsi="Times New Roman" w:cs="Times New Roman"/>
          <w:sz w:val="24"/>
          <w:szCs w:val="24"/>
          <w:lang w:eastAsia="en-GB"/>
        </w:rPr>
        <w:t xml:space="preserve"> and financial institutions were required to detect accounts that could be relevant </w:t>
      </w:r>
      <w:r w:rsidR="00507F78" w:rsidRPr="00C97E04">
        <w:rPr>
          <w:rFonts w:ascii="Times New Roman" w:eastAsia="Times New Roman" w:hAnsi="Times New Roman" w:cs="Times New Roman"/>
          <w:sz w:val="24"/>
          <w:szCs w:val="24"/>
          <w:lang w:eastAsia="en-GB"/>
        </w:rPr>
        <w:t>to terrorist investigations</w:t>
      </w:r>
      <w:r w:rsidR="00C97E04" w:rsidRPr="00C97E04">
        <w:rPr>
          <w:rFonts w:ascii="Times New Roman" w:eastAsia="Times New Roman" w:hAnsi="Times New Roman" w:cs="Times New Roman"/>
          <w:sz w:val="24"/>
          <w:szCs w:val="24"/>
          <w:lang w:eastAsia="en-GB"/>
        </w:rPr>
        <w:t>.</w:t>
      </w:r>
      <w:r w:rsidR="00C97E04" w:rsidRPr="00C97E04">
        <w:rPr>
          <w:rFonts w:ascii="Times New Roman" w:eastAsiaTheme="majorEastAsia" w:hAnsi="Times New Roman" w:cs="Times New Roman"/>
          <w:sz w:val="24"/>
          <w:szCs w:val="24"/>
          <w:vertAlign w:val="superscript"/>
          <w:lang w:eastAsia="en-GB"/>
        </w:rPr>
        <w:footnoteReference w:id="72"/>
      </w:r>
      <w:r w:rsidR="00C97E04" w:rsidRPr="00C97E04">
        <w:rPr>
          <w:rFonts w:ascii="Times New Roman" w:eastAsia="Times New Roman" w:hAnsi="Times New Roman" w:cs="Times New Roman"/>
          <w:sz w:val="24"/>
          <w:szCs w:val="24"/>
          <w:lang w:eastAsia="en-GB"/>
        </w:rPr>
        <w:t xml:space="preserve"> </w:t>
      </w:r>
      <w:r w:rsidR="00791957" w:rsidRPr="001B4342">
        <w:rPr>
          <w:rFonts w:ascii="Times New Roman" w:eastAsia="Times New Roman" w:hAnsi="Times New Roman" w:cs="Times New Roman"/>
          <w:sz w:val="24"/>
          <w:szCs w:val="24"/>
          <w:lang w:eastAsia="en-GB"/>
        </w:rPr>
        <w:t>T</w:t>
      </w:r>
      <w:r w:rsidR="00C97E04" w:rsidRPr="001B4342">
        <w:rPr>
          <w:rFonts w:ascii="Times New Roman" w:eastAsia="SimSun" w:hAnsi="Times New Roman" w:cs="Times New Roman"/>
          <w:bCs/>
          <w:sz w:val="24"/>
          <w:szCs w:val="24"/>
          <w:lang w:eastAsia="zh-CN"/>
        </w:rPr>
        <w:t xml:space="preserve">he criminal offences </w:t>
      </w:r>
      <w:r w:rsidR="00791957" w:rsidRPr="001B4342">
        <w:rPr>
          <w:rFonts w:ascii="Times New Roman" w:eastAsia="SimSun" w:hAnsi="Times New Roman" w:cs="Times New Roman"/>
          <w:bCs/>
          <w:sz w:val="24"/>
          <w:szCs w:val="24"/>
          <w:lang w:eastAsia="zh-CN"/>
        </w:rPr>
        <w:t xml:space="preserve">created by the </w:t>
      </w:r>
      <w:r w:rsidR="00C97E04" w:rsidRPr="001B4342">
        <w:rPr>
          <w:rFonts w:ascii="Times New Roman" w:eastAsia="SimSun" w:hAnsi="Times New Roman" w:cs="Times New Roman"/>
          <w:bCs/>
          <w:sz w:val="24"/>
          <w:szCs w:val="24"/>
          <w:lang w:eastAsia="zh-CN"/>
        </w:rPr>
        <w:t>Terrorism Act 2000</w:t>
      </w:r>
      <w:r w:rsidR="00791957" w:rsidRPr="001B4342">
        <w:rPr>
          <w:rFonts w:ascii="Times New Roman" w:eastAsia="SimSun" w:hAnsi="Times New Roman" w:cs="Times New Roman"/>
          <w:bCs/>
          <w:sz w:val="24"/>
          <w:szCs w:val="24"/>
          <w:lang w:eastAsia="zh-CN"/>
        </w:rPr>
        <w:t xml:space="preserve"> </w:t>
      </w:r>
      <w:r w:rsidR="00507F78" w:rsidRPr="001B4342">
        <w:rPr>
          <w:rFonts w:ascii="Times New Roman" w:eastAsia="SimSun" w:hAnsi="Times New Roman" w:cs="Times New Roman"/>
          <w:bCs/>
          <w:sz w:val="24"/>
          <w:szCs w:val="24"/>
          <w:lang w:eastAsia="zh-CN"/>
        </w:rPr>
        <w:t>include fund raising;</w:t>
      </w:r>
      <w:r w:rsidR="00C97E04" w:rsidRPr="001B4342">
        <w:rPr>
          <w:rFonts w:ascii="Times New Roman" w:eastAsia="SimSun" w:hAnsi="Times New Roman" w:cs="Times New Roman"/>
          <w:bCs/>
          <w:sz w:val="24"/>
          <w:szCs w:val="24"/>
          <w:vertAlign w:val="superscript"/>
          <w:lang w:eastAsia="zh-CN"/>
        </w:rPr>
        <w:footnoteReference w:id="73"/>
      </w:r>
      <w:r w:rsidR="00C97E04" w:rsidRPr="001B4342">
        <w:rPr>
          <w:rFonts w:ascii="Times New Roman" w:eastAsia="SimSun" w:hAnsi="Times New Roman" w:cs="Times New Roman"/>
          <w:bCs/>
          <w:sz w:val="24"/>
          <w:szCs w:val="24"/>
          <w:lang w:eastAsia="zh-CN"/>
        </w:rPr>
        <w:t xml:space="preserve"> </w:t>
      </w:r>
      <w:r w:rsidR="00507F78" w:rsidRPr="001B4342">
        <w:rPr>
          <w:rFonts w:ascii="Times New Roman" w:eastAsia="SimSun" w:hAnsi="Times New Roman" w:cs="Times New Roman"/>
          <w:bCs/>
          <w:sz w:val="24"/>
          <w:szCs w:val="24"/>
          <w:lang w:eastAsia="zh-CN"/>
        </w:rPr>
        <w:t>use and possession</w:t>
      </w:r>
      <w:r w:rsidR="00C97E04" w:rsidRPr="001B4342">
        <w:rPr>
          <w:rFonts w:ascii="Times New Roman" w:eastAsia="SimSun" w:hAnsi="Times New Roman" w:cs="Times New Roman"/>
          <w:bCs/>
          <w:sz w:val="24"/>
          <w:szCs w:val="24"/>
          <w:lang w:eastAsia="zh-CN"/>
        </w:rPr>
        <w:t>;</w:t>
      </w:r>
      <w:r w:rsidR="00C97E04" w:rsidRPr="001B4342">
        <w:rPr>
          <w:rFonts w:ascii="Times New Roman" w:eastAsia="SimSun" w:hAnsi="Times New Roman" w:cs="Times New Roman"/>
          <w:bCs/>
          <w:sz w:val="24"/>
          <w:szCs w:val="24"/>
          <w:vertAlign w:val="superscript"/>
          <w:lang w:eastAsia="zh-CN"/>
        </w:rPr>
        <w:footnoteReference w:id="74"/>
      </w:r>
      <w:r w:rsidR="00C97E04" w:rsidRPr="001B4342">
        <w:rPr>
          <w:rFonts w:ascii="Times New Roman" w:eastAsia="SimSun" w:hAnsi="Times New Roman" w:cs="Times New Roman"/>
          <w:bCs/>
          <w:sz w:val="24"/>
          <w:szCs w:val="24"/>
          <w:lang w:eastAsia="zh-CN"/>
        </w:rPr>
        <w:t xml:space="preserve"> </w:t>
      </w:r>
      <w:r w:rsidR="00507F78" w:rsidRPr="001B4342">
        <w:rPr>
          <w:rFonts w:ascii="Times New Roman" w:eastAsia="SimSun" w:hAnsi="Times New Roman" w:cs="Times New Roman"/>
          <w:bCs/>
          <w:sz w:val="24"/>
          <w:szCs w:val="24"/>
          <w:lang w:eastAsia="zh-CN"/>
        </w:rPr>
        <w:t>funding arrangements;</w:t>
      </w:r>
      <w:r w:rsidR="00C97E04" w:rsidRPr="001B4342">
        <w:rPr>
          <w:rFonts w:ascii="Times New Roman" w:eastAsia="SimSun" w:hAnsi="Times New Roman" w:cs="Times New Roman"/>
          <w:bCs/>
          <w:sz w:val="24"/>
          <w:szCs w:val="24"/>
          <w:vertAlign w:val="superscript"/>
          <w:lang w:eastAsia="zh-CN"/>
        </w:rPr>
        <w:footnoteReference w:id="75"/>
      </w:r>
      <w:r w:rsidR="00C97E04" w:rsidRPr="001B4342">
        <w:rPr>
          <w:rFonts w:ascii="Times New Roman" w:eastAsia="SimSun" w:hAnsi="Times New Roman" w:cs="Times New Roman"/>
          <w:bCs/>
          <w:sz w:val="24"/>
          <w:szCs w:val="24"/>
          <w:lang w:eastAsia="zh-CN"/>
        </w:rPr>
        <w:t xml:space="preserve"> </w:t>
      </w:r>
      <w:r w:rsidR="00507F78" w:rsidRPr="001B4342">
        <w:rPr>
          <w:rFonts w:ascii="Times New Roman" w:eastAsia="SimSun" w:hAnsi="Times New Roman" w:cs="Times New Roman"/>
          <w:bCs/>
          <w:sz w:val="24"/>
          <w:szCs w:val="24"/>
          <w:lang w:eastAsia="zh-CN"/>
        </w:rPr>
        <w:t>i</w:t>
      </w:r>
      <w:r w:rsidR="00507F78" w:rsidRPr="001B4342">
        <w:rPr>
          <w:rFonts w:ascii="Times New Roman" w:hAnsi="Times New Roman" w:cs="Times New Roman"/>
          <w:bCs/>
          <w:sz w:val="24"/>
          <w:szCs w:val="24"/>
        </w:rPr>
        <w:t>nsurance against payments made in response to terrorist demands;</w:t>
      </w:r>
      <w:r w:rsidR="00507F78" w:rsidRPr="001B4342">
        <w:rPr>
          <w:rStyle w:val="FootnoteReference"/>
          <w:rFonts w:ascii="Times New Roman" w:hAnsi="Times New Roman" w:cs="Times New Roman"/>
          <w:bCs/>
          <w:sz w:val="24"/>
          <w:szCs w:val="24"/>
        </w:rPr>
        <w:footnoteReference w:id="76"/>
      </w:r>
      <w:r w:rsidR="001B4342" w:rsidRPr="001B4342">
        <w:rPr>
          <w:rFonts w:ascii="Times New Roman" w:hAnsi="Times New Roman" w:cs="Times New Roman"/>
          <w:bCs/>
          <w:sz w:val="24"/>
          <w:szCs w:val="24"/>
        </w:rPr>
        <w:t xml:space="preserve"> </w:t>
      </w:r>
      <w:r w:rsidR="00507F78" w:rsidRPr="001B4342">
        <w:rPr>
          <w:rFonts w:ascii="Times New Roman" w:eastAsia="SimSun" w:hAnsi="Times New Roman" w:cs="Times New Roman"/>
          <w:bCs/>
          <w:sz w:val="24"/>
          <w:szCs w:val="24"/>
          <w:lang w:eastAsia="zh-CN"/>
        </w:rPr>
        <w:t>money laundering;</w:t>
      </w:r>
      <w:r w:rsidR="00C97E04" w:rsidRPr="001B4342">
        <w:rPr>
          <w:rFonts w:ascii="Times New Roman" w:eastAsia="SimSun" w:hAnsi="Times New Roman" w:cs="Times New Roman"/>
          <w:bCs/>
          <w:sz w:val="24"/>
          <w:szCs w:val="24"/>
          <w:vertAlign w:val="superscript"/>
          <w:lang w:eastAsia="zh-CN"/>
        </w:rPr>
        <w:footnoteReference w:id="77"/>
      </w:r>
      <w:r w:rsidR="00C97E04" w:rsidRPr="001B4342">
        <w:rPr>
          <w:rFonts w:ascii="Times New Roman" w:eastAsia="SimSun" w:hAnsi="Times New Roman" w:cs="Times New Roman"/>
          <w:bCs/>
          <w:sz w:val="24"/>
          <w:szCs w:val="24"/>
          <w:lang w:eastAsia="zh-CN"/>
        </w:rPr>
        <w:t xml:space="preserve"> failing to disclose information about the occurrence of terrorist financing</w:t>
      </w:r>
      <w:r w:rsidR="00507F78" w:rsidRPr="001B4342">
        <w:rPr>
          <w:rFonts w:ascii="Times New Roman" w:eastAsia="SimSun" w:hAnsi="Times New Roman" w:cs="Times New Roman"/>
          <w:bCs/>
          <w:sz w:val="24"/>
          <w:szCs w:val="24"/>
          <w:lang w:eastAsia="zh-CN"/>
        </w:rPr>
        <w:t>;</w:t>
      </w:r>
      <w:r w:rsidR="00C97E04" w:rsidRPr="001B4342">
        <w:rPr>
          <w:rFonts w:ascii="Times New Roman" w:eastAsia="SimSun" w:hAnsi="Times New Roman" w:cs="Times New Roman"/>
          <w:bCs/>
          <w:sz w:val="24"/>
          <w:szCs w:val="24"/>
          <w:vertAlign w:val="superscript"/>
          <w:lang w:eastAsia="zh-CN"/>
        </w:rPr>
        <w:footnoteReference w:id="78"/>
      </w:r>
      <w:r w:rsidR="00C97E04" w:rsidRPr="001B4342">
        <w:rPr>
          <w:rFonts w:ascii="Times New Roman" w:eastAsia="SimSun" w:hAnsi="Times New Roman" w:cs="Times New Roman"/>
          <w:bCs/>
          <w:sz w:val="24"/>
          <w:szCs w:val="24"/>
          <w:lang w:eastAsia="zh-CN"/>
        </w:rPr>
        <w:t xml:space="preserve"> </w:t>
      </w:r>
      <w:r w:rsidR="00507F78" w:rsidRPr="001B4342">
        <w:rPr>
          <w:rFonts w:ascii="Times New Roman" w:eastAsia="SimSun" w:hAnsi="Times New Roman" w:cs="Times New Roman"/>
          <w:bCs/>
          <w:sz w:val="24"/>
          <w:szCs w:val="24"/>
          <w:lang w:eastAsia="zh-CN"/>
        </w:rPr>
        <w:t xml:space="preserve">failure to disclose for the </w:t>
      </w:r>
      <w:r w:rsidR="00C97E04" w:rsidRPr="001B4342">
        <w:rPr>
          <w:rFonts w:ascii="Times New Roman" w:eastAsia="SimSun" w:hAnsi="Times New Roman" w:cs="Times New Roman"/>
          <w:bCs/>
          <w:sz w:val="24"/>
          <w:szCs w:val="24"/>
          <w:lang w:eastAsia="zh-CN"/>
        </w:rPr>
        <w:t>regulated sector</w:t>
      </w:r>
      <w:r w:rsidR="00507F78" w:rsidRPr="001B4342">
        <w:rPr>
          <w:rFonts w:ascii="Times New Roman" w:eastAsia="SimSun" w:hAnsi="Times New Roman" w:cs="Times New Roman"/>
          <w:bCs/>
          <w:sz w:val="24"/>
          <w:szCs w:val="24"/>
          <w:lang w:eastAsia="zh-CN"/>
        </w:rPr>
        <w:t>;</w:t>
      </w:r>
      <w:r w:rsidR="00507F78" w:rsidRPr="001B4342">
        <w:rPr>
          <w:rStyle w:val="FootnoteReference"/>
          <w:rFonts w:ascii="Times New Roman" w:eastAsia="SimSun" w:hAnsi="Times New Roman" w:cs="Times New Roman"/>
          <w:bCs/>
          <w:sz w:val="24"/>
          <w:szCs w:val="24"/>
          <w:lang w:eastAsia="zh-CN"/>
        </w:rPr>
        <w:footnoteReference w:id="79"/>
      </w:r>
      <w:r w:rsidR="00C97E04" w:rsidRPr="001B4342">
        <w:rPr>
          <w:rFonts w:ascii="Times New Roman" w:eastAsia="SimSun" w:hAnsi="Times New Roman" w:cs="Times New Roman"/>
          <w:bCs/>
          <w:sz w:val="24"/>
          <w:szCs w:val="24"/>
          <w:lang w:eastAsia="zh-CN"/>
        </w:rPr>
        <w:t xml:space="preserve"> the offence of tipping off.</w:t>
      </w:r>
      <w:r w:rsidR="00C97E04" w:rsidRPr="001B4342">
        <w:rPr>
          <w:rFonts w:ascii="Times New Roman" w:eastAsia="SimSun" w:hAnsi="Times New Roman" w:cs="Times New Roman"/>
          <w:bCs/>
          <w:sz w:val="24"/>
          <w:szCs w:val="24"/>
          <w:vertAlign w:val="superscript"/>
          <w:lang w:eastAsia="zh-CN"/>
        </w:rPr>
        <w:footnoteReference w:id="80"/>
      </w:r>
      <w:r w:rsidR="00C97E04" w:rsidRPr="001B4342">
        <w:rPr>
          <w:rFonts w:ascii="Times New Roman" w:eastAsia="SimSun" w:hAnsi="Times New Roman" w:cs="Times New Roman"/>
          <w:bCs/>
          <w:sz w:val="24"/>
          <w:szCs w:val="24"/>
          <w:lang w:eastAsia="zh-CN"/>
        </w:rPr>
        <w:t xml:space="preserve"> </w:t>
      </w:r>
      <w:r w:rsidR="00C97E04" w:rsidRPr="00C97E04">
        <w:rPr>
          <w:rFonts w:ascii="Times New Roman" w:eastAsia="SimSun" w:hAnsi="Times New Roman" w:cs="Times New Roman"/>
          <w:sz w:val="24"/>
          <w:szCs w:val="24"/>
          <w:lang w:eastAsia="zh-CN"/>
        </w:rPr>
        <w:t xml:space="preserve">Therefore, the UK </w:t>
      </w:r>
      <w:r w:rsidR="00853261">
        <w:rPr>
          <w:rFonts w:ascii="Times New Roman" w:eastAsia="SimSun" w:hAnsi="Times New Roman" w:cs="Times New Roman"/>
          <w:sz w:val="24"/>
          <w:szCs w:val="24"/>
          <w:lang w:eastAsia="zh-CN"/>
        </w:rPr>
        <w:t xml:space="preserve">CTF provisions </w:t>
      </w:r>
      <w:r w:rsidR="00C97E04" w:rsidRPr="00C97E04">
        <w:rPr>
          <w:rFonts w:ascii="Times New Roman" w:eastAsia="SimSun" w:hAnsi="Times New Roman" w:cs="Times New Roman"/>
          <w:sz w:val="24"/>
          <w:szCs w:val="24"/>
          <w:lang w:eastAsia="zh-CN"/>
        </w:rPr>
        <w:t>permitted the seizure and forfeiture of terrorist assets and extended its money laundering reporting obligations to terrorism</w:t>
      </w:r>
      <w:r w:rsidR="00853261">
        <w:rPr>
          <w:rFonts w:ascii="Times New Roman" w:eastAsia="SimSun" w:hAnsi="Times New Roman" w:cs="Times New Roman"/>
          <w:sz w:val="24"/>
          <w:szCs w:val="24"/>
          <w:lang w:eastAsia="zh-CN"/>
        </w:rPr>
        <w:t xml:space="preserve"> </w:t>
      </w:r>
      <w:r w:rsidR="00853261" w:rsidRPr="007D6FAE">
        <w:rPr>
          <w:rFonts w:ascii="Times New Roman" w:eastAsia="SimSun" w:hAnsi="Times New Roman" w:cs="Times New Roman"/>
          <w:i/>
          <w:sz w:val="24"/>
          <w:szCs w:val="24"/>
          <w:lang w:eastAsia="zh-CN"/>
        </w:rPr>
        <w:t>before</w:t>
      </w:r>
      <w:r w:rsidR="00853261">
        <w:rPr>
          <w:rFonts w:ascii="Times New Roman" w:eastAsia="SimSun" w:hAnsi="Times New Roman" w:cs="Times New Roman"/>
          <w:sz w:val="24"/>
          <w:szCs w:val="24"/>
          <w:lang w:eastAsia="zh-CN"/>
        </w:rPr>
        <w:t xml:space="preserve"> 9/11</w:t>
      </w:r>
      <w:r w:rsidR="00C97E04" w:rsidRPr="00C97E04">
        <w:rPr>
          <w:rFonts w:ascii="Times New Roman" w:eastAsia="SimSun" w:hAnsi="Times New Roman" w:cs="Times New Roman"/>
          <w:sz w:val="24"/>
          <w:szCs w:val="24"/>
          <w:lang w:eastAsia="zh-CN"/>
        </w:rPr>
        <w:t xml:space="preserve">.  </w:t>
      </w:r>
      <w:r w:rsidR="00853261">
        <w:rPr>
          <w:rFonts w:ascii="Times New Roman" w:eastAsia="SimSun" w:hAnsi="Times New Roman" w:cs="Times New Roman"/>
          <w:sz w:val="24"/>
          <w:szCs w:val="24"/>
          <w:lang w:eastAsia="zh-CN"/>
        </w:rPr>
        <w:t>Therefore, t</w:t>
      </w:r>
      <w:r w:rsidR="001B4342">
        <w:rPr>
          <w:rFonts w:ascii="Times New Roman" w:eastAsia="SimSun" w:hAnsi="Times New Roman" w:cs="Times New Roman"/>
          <w:sz w:val="24"/>
          <w:szCs w:val="24"/>
          <w:lang w:eastAsia="zh-CN"/>
        </w:rPr>
        <w:t xml:space="preserve">he next part of the chapter concentrates on the impact of the ‘Financial War on Terrorism’ on these legislative provisions.  </w:t>
      </w:r>
    </w:p>
    <w:p w:rsidR="001B4342" w:rsidRPr="00C97E04" w:rsidRDefault="001B4342" w:rsidP="00C97E04">
      <w:pPr>
        <w:autoSpaceDE w:val="0"/>
        <w:autoSpaceDN w:val="0"/>
        <w:adjustRightInd w:val="0"/>
        <w:spacing w:after="0" w:line="480" w:lineRule="auto"/>
        <w:jc w:val="both"/>
        <w:rPr>
          <w:rFonts w:ascii="Times New Roman" w:eastAsia="Times New Roman" w:hAnsi="Times New Roman" w:cs="Times New Roman"/>
          <w:sz w:val="24"/>
          <w:szCs w:val="24"/>
          <w:lang w:eastAsia="en-GB"/>
        </w:rPr>
      </w:pPr>
    </w:p>
    <w:p w:rsidR="00C97E04" w:rsidRPr="00C97E04" w:rsidRDefault="00C97E04" w:rsidP="00C97E04">
      <w:pPr>
        <w:autoSpaceDE w:val="0"/>
        <w:autoSpaceDN w:val="0"/>
        <w:adjustRightInd w:val="0"/>
        <w:spacing w:after="0" w:line="480" w:lineRule="auto"/>
        <w:jc w:val="both"/>
        <w:rPr>
          <w:rFonts w:ascii="Times New Roman" w:eastAsia="Times New Roman" w:hAnsi="Times New Roman" w:cs="Times New Roman"/>
          <w:b/>
          <w:sz w:val="24"/>
          <w:szCs w:val="24"/>
          <w:lang w:eastAsia="en-GB"/>
        </w:rPr>
      </w:pPr>
      <w:r w:rsidRPr="00C97E04">
        <w:rPr>
          <w:rFonts w:ascii="Times New Roman" w:eastAsia="Times New Roman" w:hAnsi="Times New Roman" w:cs="Times New Roman"/>
          <w:b/>
          <w:sz w:val="24"/>
          <w:szCs w:val="24"/>
          <w:lang w:eastAsia="en-GB"/>
        </w:rPr>
        <w:t>Counter Terrorist Financing after September 11 2001</w:t>
      </w:r>
    </w:p>
    <w:p w:rsidR="00C97E04" w:rsidRPr="00C97E04" w:rsidRDefault="00C97E04" w:rsidP="00C97E04">
      <w:pPr>
        <w:autoSpaceDE w:val="0"/>
        <w:autoSpaceDN w:val="0"/>
        <w:adjustRightInd w:val="0"/>
        <w:spacing w:after="0" w:line="480" w:lineRule="auto"/>
        <w:jc w:val="both"/>
        <w:rPr>
          <w:rFonts w:ascii="Times New Roman" w:eastAsia="Times New Roman" w:hAnsi="Times New Roman" w:cs="Times New Roman"/>
          <w:sz w:val="24"/>
          <w:szCs w:val="24"/>
          <w:lang w:eastAsia="en-GB"/>
        </w:rPr>
      </w:pPr>
    </w:p>
    <w:p w:rsidR="0057041E" w:rsidRPr="0057041E" w:rsidRDefault="00C97E04" w:rsidP="0057041E">
      <w:pPr>
        <w:spacing w:after="0" w:line="480" w:lineRule="auto"/>
        <w:jc w:val="both"/>
        <w:rPr>
          <w:rFonts w:ascii="Times New Roman" w:eastAsia="Times New Roman" w:hAnsi="Times New Roman" w:cs="Times New Roman"/>
          <w:sz w:val="64"/>
          <w:szCs w:val="24"/>
          <w:lang w:eastAsia="en-GB"/>
        </w:rPr>
      </w:pPr>
      <w:r w:rsidRPr="00C97E04">
        <w:rPr>
          <w:rFonts w:ascii="Times New Roman" w:hAnsi="Times New Roman" w:cs="Times New Roman"/>
          <w:sz w:val="24"/>
          <w:szCs w:val="24"/>
        </w:rPr>
        <w:lastRenderedPageBreak/>
        <w:t xml:space="preserve">The UK responded to </w:t>
      </w:r>
      <w:r w:rsidR="001B4342">
        <w:rPr>
          <w:rFonts w:ascii="Times New Roman" w:hAnsi="Times New Roman" w:cs="Times New Roman"/>
          <w:sz w:val="24"/>
          <w:szCs w:val="24"/>
        </w:rPr>
        <w:t xml:space="preserve">9/11 </w:t>
      </w:r>
      <w:r w:rsidRPr="00C97E04">
        <w:rPr>
          <w:rFonts w:ascii="Times New Roman" w:hAnsi="Times New Roman" w:cs="Times New Roman"/>
          <w:sz w:val="24"/>
          <w:szCs w:val="24"/>
        </w:rPr>
        <w:t xml:space="preserve">by introducing a raft of draconian and controversial counter-terrorist legislation.  </w:t>
      </w:r>
      <w:r w:rsidR="00564FC5">
        <w:rPr>
          <w:rFonts w:ascii="Times New Roman" w:eastAsia="Times New Roman" w:hAnsi="Times New Roman" w:cs="Times New Roman"/>
          <w:sz w:val="24"/>
          <w:szCs w:val="24"/>
          <w:lang w:eastAsia="en-GB"/>
        </w:rPr>
        <w:t>For example, t</w:t>
      </w:r>
      <w:r w:rsidR="0007614C">
        <w:rPr>
          <w:rFonts w:ascii="Times New Roman" w:eastAsia="Times New Roman" w:hAnsi="Times New Roman" w:cs="Times New Roman"/>
          <w:sz w:val="24"/>
          <w:szCs w:val="24"/>
          <w:lang w:eastAsia="en-GB"/>
        </w:rPr>
        <w:t xml:space="preserve">he Anti-terrorism, Crime and Security Act 2001 </w:t>
      </w:r>
      <w:r w:rsidRPr="00C97E04">
        <w:rPr>
          <w:rFonts w:ascii="Times New Roman" w:eastAsia="Times New Roman" w:hAnsi="Times New Roman" w:cs="Times New Roman"/>
          <w:sz w:val="24"/>
          <w:szCs w:val="24"/>
          <w:lang w:eastAsia="en-GB"/>
        </w:rPr>
        <w:t xml:space="preserve">contained </w:t>
      </w:r>
      <w:r w:rsidR="00685A5B">
        <w:rPr>
          <w:rFonts w:ascii="Times New Roman" w:eastAsia="Times New Roman" w:hAnsi="Times New Roman" w:cs="Times New Roman"/>
          <w:sz w:val="24"/>
          <w:szCs w:val="24"/>
          <w:lang w:eastAsia="en-GB"/>
        </w:rPr>
        <w:t xml:space="preserve">several </w:t>
      </w:r>
      <w:r w:rsidRPr="00C97E04">
        <w:rPr>
          <w:rFonts w:ascii="Times New Roman" w:eastAsia="Times New Roman" w:hAnsi="Times New Roman" w:cs="Times New Roman"/>
          <w:sz w:val="24"/>
          <w:szCs w:val="24"/>
          <w:lang w:eastAsia="en-GB"/>
        </w:rPr>
        <w:t xml:space="preserve">CTF measures that permitted authorities and law enforcement agencies to </w:t>
      </w:r>
      <w:r w:rsidR="00CA6B5E">
        <w:rPr>
          <w:rFonts w:ascii="Times New Roman" w:eastAsia="Times New Roman" w:hAnsi="Times New Roman" w:cs="Times New Roman"/>
          <w:sz w:val="24"/>
          <w:szCs w:val="24"/>
          <w:lang w:eastAsia="en-GB"/>
        </w:rPr>
        <w:t>forfeit terrorist cash,</w:t>
      </w:r>
      <w:r w:rsidR="00CA6B5E">
        <w:rPr>
          <w:rStyle w:val="FootnoteReference"/>
          <w:rFonts w:ascii="Times New Roman" w:eastAsia="Times New Roman" w:hAnsi="Times New Roman" w:cs="Times New Roman"/>
          <w:sz w:val="24"/>
          <w:szCs w:val="24"/>
          <w:lang w:eastAsia="en-GB"/>
        </w:rPr>
        <w:footnoteReference w:id="81"/>
      </w:r>
      <w:r w:rsidR="00685A5B">
        <w:rPr>
          <w:rFonts w:ascii="Times New Roman" w:eastAsia="Times New Roman" w:hAnsi="Times New Roman" w:cs="Times New Roman"/>
          <w:sz w:val="24"/>
          <w:szCs w:val="24"/>
          <w:lang w:eastAsia="en-GB"/>
        </w:rPr>
        <w:t xml:space="preserve"> to impose freezing orders,</w:t>
      </w:r>
      <w:r w:rsidR="00685A5B">
        <w:rPr>
          <w:rStyle w:val="FootnoteReference"/>
          <w:rFonts w:ascii="Times New Roman" w:eastAsia="Times New Roman" w:hAnsi="Times New Roman" w:cs="Times New Roman"/>
          <w:sz w:val="24"/>
          <w:szCs w:val="24"/>
          <w:lang w:eastAsia="en-GB"/>
        </w:rPr>
        <w:footnoteReference w:id="82"/>
      </w:r>
      <w:r w:rsidR="00685A5B">
        <w:rPr>
          <w:rFonts w:ascii="Times New Roman" w:eastAsia="Times New Roman" w:hAnsi="Times New Roman" w:cs="Times New Roman"/>
          <w:sz w:val="24"/>
          <w:szCs w:val="24"/>
          <w:lang w:eastAsia="en-GB"/>
        </w:rPr>
        <w:t xml:space="preserve"> </w:t>
      </w:r>
      <w:r w:rsidRPr="00C97E04">
        <w:rPr>
          <w:rFonts w:ascii="Times New Roman" w:eastAsia="Times New Roman" w:hAnsi="Times New Roman" w:cs="Times New Roman"/>
          <w:sz w:val="24"/>
          <w:szCs w:val="24"/>
          <w:lang w:eastAsia="en-GB"/>
        </w:rPr>
        <w:t>seize terrorist cash anywhere in the UK,</w:t>
      </w:r>
      <w:r w:rsidRPr="00C97E04">
        <w:rPr>
          <w:rFonts w:ascii="Times New Roman" w:eastAsiaTheme="majorEastAsia" w:hAnsi="Times New Roman" w:cs="Times New Roman"/>
          <w:sz w:val="24"/>
          <w:szCs w:val="24"/>
          <w:vertAlign w:val="superscript"/>
          <w:lang w:eastAsia="en-GB"/>
        </w:rPr>
        <w:footnoteReference w:id="83"/>
      </w:r>
      <w:r w:rsidRPr="00C97E04">
        <w:rPr>
          <w:rFonts w:ascii="Times New Roman" w:eastAsia="Times New Roman" w:hAnsi="Times New Roman" w:cs="Times New Roman"/>
          <w:sz w:val="24"/>
          <w:szCs w:val="24"/>
          <w:lang w:eastAsia="en-GB"/>
        </w:rPr>
        <w:t xml:space="preserve"> to examine accounts that might be used to support acts of terrorism,</w:t>
      </w:r>
      <w:r w:rsidRPr="00C97E04">
        <w:rPr>
          <w:rFonts w:ascii="Times New Roman" w:eastAsiaTheme="majorEastAsia" w:hAnsi="Times New Roman" w:cs="Times New Roman"/>
          <w:sz w:val="24"/>
          <w:szCs w:val="24"/>
          <w:vertAlign w:val="superscript"/>
          <w:lang w:eastAsia="en-GB"/>
        </w:rPr>
        <w:footnoteReference w:id="84"/>
      </w:r>
      <w:r w:rsidRPr="00C97E04">
        <w:rPr>
          <w:rFonts w:ascii="Times New Roman" w:eastAsia="Times New Roman" w:hAnsi="Times New Roman" w:cs="Times New Roman"/>
          <w:sz w:val="24"/>
          <w:szCs w:val="24"/>
          <w:lang w:eastAsia="en-GB"/>
        </w:rPr>
        <w:t xml:space="preserve"> </w:t>
      </w:r>
      <w:r w:rsidR="00685A5B">
        <w:rPr>
          <w:rFonts w:ascii="Times New Roman" w:eastAsia="Times New Roman" w:hAnsi="Times New Roman" w:cs="Times New Roman"/>
          <w:sz w:val="24"/>
          <w:szCs w:val="24"/>
          <w:lang w:eastAsia="en-GB"/>
        </w:rPr>
        <w:t xml:space="preserve">to impose restraint orders </w:t>
      </w:r>
      <w:r w:rsidR="00685A5B">
        <w:rPr>
          <w:rStyle w:val="FootnoteReference"/>
          <w:rFonts w:ascii="Times New Roman" w:eastAsia="Times New Roman" w:hAnsi="Times New Roman" w:cs="Times New Roman"/>
          <w:sz w:val="24"/>
          <w:szCs w:val="24"/>
          <w:lang w:eastAsia="en-GB"/>
        </w:rPr>
        <w:footnoteReference w:id="85"/>
      </w:r>
      <w:r w:rsidR="00685A5B">
        <w:rPr>
          <w:rFonts w:ascii="Times New Roman" w:eastAsia="Times New Roman" w:hAnsi="Times New Roman" w:cs="Times New Roman"/>
          <w:sz w:val="24"/>
          <w:szCs w:val="24"/>
          <w:lang w:eastAsia="en-GB"/>
        </w:rPr>
        <w:t xml:space="preserve"> and require the disclosure of information.</w:t>
      </w:r>
      <w:r w:rsidR="00685A5B">
        <w:rPr>
          <w:rStyle w:val="FootnoteReference"/>
          <w:rFonts w:ascii="Times New Roman" w:eastAsia="Times New Roman" w:hAnsi="Times New Roman" w:cs="Times New Roman"/>
          <w:sz w:val="24"/>
          <w:szCs w:val="24"/>
          <w:lang w:eastAsia="en-GB"/>
        </w:rPr>
        <w:footnoteReference w:id="86"/>
      </w:r>
      <w:r w:rsidR="00685A5B">
        <w:rPr>
          <w:rFonts w:ascii="Times New Roman" w:eastAsia="Times New Roman" w:hAnsi="Times New Roman" w:cs="Times New Roman"/>
          <w:sz w:val="24"/>
          <w:szCs w:val="24"/>
          <w:lang w:eastAsia="en-GB"/>
        </w:rPr>
        <w:t xml:space="preserve">  </w:t>
      </w:r>
      <w:r w:rsidRPr="00C97E04">
        <w:rPr>
          <w:rFonts w:ascii="Times New Roman" w:eastAsia="Times New Roman" w:hAnsi="Times New Roman" w:cs="Times New Roman"/>
          <w:sz w:val="24"/>
          <w:szCs w:val="24"/>
          <w:lang w:eastAsia="en-GB"/>
        </w:rPr>
        <w:t xml:space="preserve">This legislation was followed the development </w:t>
      </w:r>
      <w:r w:rsidR="0007614C">
        <w:rPr>
          <w:rFonts w:ascii="Times New Roman" w:eastAsia="Times New Roman" w:hAnsi="Times New Roman" w:cs="Times New Roman"/>
          <w:sz w:val="24"/>
          <w:szCs w:val="24"/>
          <w:lang w:eastAsia="en-GB"/>
        </w:rPr>
        <w:t xml:space="preserve">and publication of the UKs </w:t>
      </w:r>
      <w:r w:rsidR="007D6FAE">
        <w:rPr>
          <w:rFonts w:ascii="Times New Roman" w:eastAsia="Times New Roman" w:hAnsi="Times New Roman" w:cs="Times New Roman"/>
          <w:sz w:val="24"/>
          <w:szCs w:val="24"/>
          <w:lang w:eastAsia="en-GB"/>
        </w:rPr>
        <w:t xml:space="preserve">first </w:t>
      </w:r>
      <w:r w:rsidRPr="00C97E04">
        <w:rPr>
          <w:rFonts w:ascii="Times New Roman" w:eastAsia="Times New Roman" w:hAnsi="Times New Roman" w:cs="Times New Roman"/>
          <w:sz w:val="24"/>
          <w:szCs w:val="24"/>
          <w:lang w:eastAsia="en-GB"/>
        </w:rPr>
        <w:t>CTF strategy</w:t>
      </w:r>
      <w:r w:rsidRPr="00C97E04">
        <w:rPr>
          <w:rFonts w:ascii="Times New Roman" w:eastAsia="SimSun" w:hAnsi="Times New Roman" w:cs="Times New Roman"/>
          <w:sz w:val="24"/>
          <w:szCs w:val="24"/>
          <w:lang w:eastAsia="zh-CN"/>
        </w:rPr>
        <w:t>.</w:t>
      </w:r>
      <w:r w:rsidR="008A2EE4">
        <w:rPr>
          <w:rStyle w:val="FootnoteReference"/>
          <w:rFonts w:ascii="Times New Roman" w:eastAsia="SimSun" w:hAnsi="Times New Roman" w:cs="Times New Roman"/>
          <w:sz w:val="24"/>
          <w:szCs w:val="24"/>
          <w:lang w:eastAsia="zh-CN"/>
        </w:rPr>
        <w:footnoteReference w:id="87"/>
      </w:r>
      <w:r w:rsidRPr="00C97E04">
        <w:rPr>
          <w:rFonts w:ascii="Times New Roman" w:eastAsia="SimSun" w:hAnsi="Times New Roman" w:cs="Times New Roman"/>
          <w:sz w:val="24"/>
          <w:szCs w:val="24"/>
          <w:lang w:eastAsia="zh-CN"/>
        </w:rPr>
        <w:t xml:space="preserve">  The F</w:t>
      </w:r>
      <w:r w:rsidR="008A2EE4">
        <w:rPr>
          <w:rFonts w:ascii="Times New Roman" w:eastAsia="SimSun" w:hAnsi="Times New Roman" w:cs="Times New Roman"/>
          <w:sz w:val="24"/>
          <w:szCs w:val="24"/>
          <w:lang w:eastAsia="zh-CN"/>
        </w:rPr>
        <w:t xml:space="preserve">ATF </w:t>
      </w:r>
      <w:r w:rsidRPr="00C97E04">
        <w:rPr>
          <w:rFonts w:ascii="Times New Roman" w:eastAsia="SimSun" w:hAnsi="Times New Roman" w:cs="Times New Roman"/>
          <w:sz w:val="24"/>
          <w:szCs w:val="24"/>
          <w:lang w:eastAsia="zh-CN"/>
        </w:rPr>
        <w:t xml:space="preserve">stated that the </w:t>
      </w:r>
      <w:r w:rsidR="007825C0">
        <w:rPr>
          <w:rFonts w:ascii="Times New Roman" w:eastAsia="SimSun" w:hAnsi="Times New Roman" w:cs="Times New Roman"/>
          <w:sz w:val="24"/>
          <w:szCs w:val="24"/>
          <w:lang w:eastAsia="zh-CN"/>
        </w:rPr>
        <w:t xml:space="preserve">UKs CTF strategy is to </w:t>
      </w:r>
      <w:r w:rsidR="008A2EE4">
        <w:rPr>
          <w:rFonts w:ascii="Times New Roman" w:eastAsia="SimSun" w:hAnsi="Times New Roman" w:cs="Times New Roman"/>
          <w:sz w:val="24"/>
          <w:szCs w:val="24"/>
          <w:lang w:eastAsia="zh-CN"/>
        </w:rPr>
        <w:t>deter, detect and disrupt the terrorist’s financial infrastructures</w:t>
      </w:r>
      <w:r w:rsidRPr="00C97E04">
        <w:rPr>
          <w:rFonts w:ascii="Times New Roman" w:hAnsi="Times New Roman" w:cs="Times New Roman"/>
          <w:sz w:val="24"/>
          <w:szCs w:val="24"/>
        </w:rPr>
        <w:t>.</w:t>
      </w:r>
      <w:r w:rsidRPr="00C97E04">
        <w:rPr>
          <w:rFonts w:ascii="Times New Roman" w:hAnsi="Times New Roman" w:cs="Times New Roman"/>
          <w:sz w:val="24"/>
          <w:szCs w:val="24"/>
          <w:vertAlign w:val="superscript"/>
        </w:rPr>
        <w:footnoteReference w:id="88"/>
      </w:r>
      <w:r w:rsidRPr="00C97E04">
        <w:rPr>
          <w:rFonts w:ascii="Times New Roman" w:hAnsi="Times New Roman" w:cs="Times New Roman"/>
          <w:sz w:val="24"/>
          <w:szCs w:val="24"/>
        </w:rPr>
        <w:t xml:space="preserve">  </w:t>
      </w:r>
      <w:r w:rsidR="008A2EE4">
        <w:rPr>
          <w:rFonts w:ascii="Times New Roman" w:hAnsi="Times New Roman" w:cs="Times New Roman"/>
          <w:sz w:val="24"/>
          <w:szCs w:val="24"/>
        </w:rPr>
        <w:t>Additionally, th</w:t>
      </w:r>
      <w:r w:rsidRPr="00C97E04">
        <w:rPr>
          <w:rFonts w:ascii="Times New Roman" w:hAnsi="Times New Roman" w:cs="Times New Roman"/>
          <w:sz w:val="24"/>
          <w:szCs w:val="24"/>
        </w:rPr>
        <w:t xml:space="preserve">e Home Office stated that </w:t>
      </w:r>
      <w:r w:rsidR="007825C0">
        <w:rPr>
          <w:rFonts w:ascii="Times New Roman" w:hAnsi="Times New Roman" w:cs="Times New Roman"/>
          <w:sz w:val="24"/>
          <w:szCs w:val="24"/>
        </w:rPr>
        <w:t>the p</w:t>
      </w:r>
      <w:r w:rsidR="008A2EE4">
        <w:rPr>
          <w:rFonts w:ascii="Times New Roman" w:hAnsi="Times New Roman" w:cs="Times New Roman"/>
          <w:sz w:val="24"/>
          <w:szCs w:val="24"/>
        </w:rPr>
        <w:t xml:space="preserve">olicy was aimed </w:t>
      </w:r>
      <w:r w:rsidR="007825C0">
        <w:rPr>
          <w:rFonts w:ascii="Times New Roman" w:hAnsi="Times New Roman" w:cs="Times New Roman"/>
          <w:sz w:val="24"/>
          <w:szCs w:val="24"/>
        </w:rPr>
        <w:t>at limiting the</w:t>
      </w:r>
      <w:r w:rsidR="008A2EE4">
        <w:rPr>
          <w:rFonts w:ascii="Times New Roman" w:hAnsi="Times New Roman" w:cs="Times New Roman"/>
          <w:sz w:val="24"/>
          <w:szCs w:val="24"/>
        </w:rPr>
        <w:t xml:space="preserve"> ability </w:t>
      </w:r>
      <w:r w:rsidR="007825C0">
        <w:rPr>
          <w:rFonts w:ascii="Times New Roman" w:hAnsi="Times New Roman" w:cs="Times New Roman"/>
          <w:sz w:val="24"/>
          <w:szCs w:val="24"/>
        </w:rPr>
        <w:t xml:space="preserve">of terrorists </w:t>
      </w:r>
      <w:r w:rsidR="008A2EE4">
        <w:rPr>
          <w:rFonts w:ascii="Times New Roman" w:hAnsi="Times New Roman" w:cs="Times New Roman"/>
          <w:sz w:val="24"/>
          <w:szCs w:val="24"/>
        </w:rPr>
        <w:t>to move funds to and from the UK.</w:t>
      </w:r>
      <w:r w:rsidRPr="00C97E04">
        <w:rPr>
          <w:rFonts w:ascii="Times New Roman" w:eastAsiaTheme="majorEastAsia" w:hAnsi="Times New Roman" w:cs="Times New Roman"/>
          <w:sz w:val="24"/>
          <w:szCs w:val="24"/>
          <w:vertAlign w:val="superscript"/>
          <w:lang w:val="en" w:eastAsia="en-GB"/>
        </w:rPr>
        <w:footnoteReference w:id="89"/>
      </w:r>
      <w:r w:rsidR="00F64459">
        <w:rPr>
          <w:rFonts w:ascii="Times New Roman" w:hAnsi="Times New Roman" w:cs="Times New Roman"/>
          <w:sz w:val="24"/>
          <w:szCs w:val="24"/>
        </w:rPr>
        <w:t xml:space="preserve">  In 2007, the </w:t>
      </w:r>
      <w:r w:rsidR="0007614C">
        <w:rPr>
          <w:rFonts w:ascii="Times New Roman" w:eastAsia="SimSun" w:hAnsi="Times New Roman" w:cs="Times New Roman"/>
          <w:sz w:val="24"/>
          <w:szCs w:val="24"/>
          <w:lang w:eastAsia="zh-CN"/>
        </w:rPr>
        <w:t>Labour government launched the ‘Financial Challenge to Crime and T</w:t>
      </w:r>
      <w:r w:rsidRPr="00C97E04">
        <w:rPr>
          <w:rFonts w:ascii="Times New Roman" w:eastAsia="SimSun" w:hAnsi="Times New Roman" w:cs="Times New Roman"/>
          <w:sz w:val="24"/>
          <w:szCs w:val="24"/>
          <w:lang w:eastAsia="zh-CN"/>
        </w:rPr>
        <w:t>errorism</w:t>
      </w:r>
      <w:r w:rsidR="0007614C">
        <w:rPr>
          <w:rFonts w:ascii="Times New Roman" w:eastAsia="SimSun" w:hAnsi="Times New Roman" w:cs="Times New Roman"/>
          <w:sz w:val="24"/>
          <w:szCs w:val="24"/>
          <w:lang w:eastAsia="zh-CN"/>
        </w:rPr>
        <w:t>’</w:t>
      </w:r>
      <w:r w:rsidRPr="00C97E04">
        <w:rPr>
          <w:rFonts w:ascii="Times New Roman" w:eastAsia="SimSun" w:hAnsi="Times New Roman" w:cs="Times New Roman"/>
          <w:sz w:val="24"/>
          <w:szCs w:val="24"/>
          <w:lang w:eastAsia="zh-CN"/>
        </w:rPr>
        <w:t xml:space="preserve">, which </w:t>
      </w:r>
      <w:r w:rsidR="005C068C">
        <w:rPr>
          <w:rFonts w:ascii="Times New Roman" w:eastAsia="SimSun" w:hAnsi="Times New Roman" w:cs="Times New Roman"/>
          <w:sz w:val="24"/>
          <w:szCs w:val="24"/>
          <w:lang w:eastAsia="zh-CN"/>
        </w:rPr>
        <w:t>outlined how the ‘</w:t>
      </w:r>
      <w:r w:rsidRPr="00C97E04">
        <w:rPr>
          <w:rFonts w:ascii="Times New Roman" w:eastAsia="SimSun" w:hAnsi="Times New Roman" w:cs="Times New Roman"/>
          <w:sz w:val="24"/>
          <w:szCs w:val="24"/>
          <w:lang w:eastAsia="zh-CN"/>
        </w:rPr>
        <w:t>public and private sector</w:t>
      </w:r>
      <w:r w:rsidR="00F64459">
        <w:rPr>
          <w:rFonts w:ascii="Times New Roman" w:eastAsia="SimSun" w:hAnsi="Times New Roman" w:cs="Times New Roman"/>
          <w:sz w:val="24"/>
          <w:szCs w:val="24"/>
          <w:lang w:eastAsia="zh-CN"/>
        </w:rPr>
        <w:t xml:space="preserve">s … would </w:t>
      </w:r>
      <w:r w:rsidRPr="00C97E04">
        <w:rPr>
          <w:rFonts w:ascii="Times New Roman" w:eastAsia="SimSun" w:hAnsi="Times New Roman" w:cs="Times New Roman"/>
          <w:sz w:val="24"/>
          <w:szCs w:val="24"/>
          <w:lang w:eastAsia="zh-CN"/>
        </w:rPr>
        <w:t xml:space="preserve">deter terrorists </w:t>
      </w:r>
      <w:r w:rsidR="005C068C">
        <w:rPr>
          <w:rFonts w:ascii="Times New Roman" w:eastAsia="SimSun" w:hAnsi="Times New Roman" w:cs="Times New Roman"/>
          <w:sz w:val="24"/>
          <w:szCs w:val="24"/>
          <w:lang w:eastAsia="zh-CN"/>
        </w:rPr>
        <w:t>from using the financial system’</w:t>
      </w:r>
      <w:r w:rsidRPr="00C97E04">
        <w:rPr>
          <w:rFonts w:ascii="Times New Roman" w:eastAsia="SimSun" w:hAnsi="Times New Roman" w:cs="Times New Roman"/>
          <w:sz w:val="24"/>
          <w:szCs w:val="24"/>
          <w:lang w:eastAsia="zh-CN"/>
        </w:rPr>
        <w:t>.</w:t>
      </w:r>
      <w:r w:rsidRPr="00C97E04">
        <w:rPr>
          <w:rFonts w:ascii="Times New Roman" w:eastAsia="SimSun" w:hAnsi="Times New Roman" w:cs="Times New Roman"/>
          <w:sz w:val="24"/>
          <w:szCs w:val="24"/>
          <w:vertAlign w:val="superscript"/>
          <w:lang w:eastAsia="zh-CN"/>
        </w:rPr>
        <w:footnoteReference w:id="90"/>
      </w:r>
      <w:r w:rsidRPr="00C97E04">
        <w:rPr>
          <w:rFonts w:ascii="Times New Roman" w:eastAsia="SimSun" w:hAnsi="Times New Roman" w:cs="Times New Roman"/>
          <w:sz w:val="24"/>
          <w:szCs w:val="24"/>
          <w:lang w:eastAsia="zh-CN"/>
        </w:rPr>
        <w:t xml:space="preserve">  In 2010 HM Treasury </w:t>
      </w:r>
      <w:r w:rsidR="005C068C">
        <w:rPr>
          <w:rFonts w:ascii="Times New Roman" w:eastAsia="SimSun" w:hAnsi="Times New Roman" w:cs="Times New Roman"/>
          <w:sz w:val="24"/>
          <w:szCs w:val="24"/>
          <w:lang w:eastAsia="zh-CN"/>
        </w:rPr>
        <w:t>reiterated the importance of ‘</w:t>
      </w:r>
      <w:r w:rsidRPr="00C97E04">
        <w:rPr>
          <w:rFonts w:ascii="Times New Roman" w:eastAsia="SimSun" w:hAnsi="Times New Roman" w:cs="Times New Roman"/>
          <w:sz w:val="24"/>
          <w:szCs w:val="24"/>
          <w:lang w:eastAsia="zh-CN"/>
        </w:rPr>
        <w:t>depriv</w:t>
      </w:r>
      <w:r w:rsidR="007C57E7">
        <w:rPr>
          <w:rFonts w:ascii="Times New Roman" w:eastAsia="SimSun" w:hAnsi="Times New Roman" w:cs="Times New Roman"/>
          <w:sz w:val="24"/>
          <w:szCs w:val="24"/>
          <w:lang w:eastAsia="zh-CN"/>
        </w:rPr>
        <w:t>ing t</w:t>
      </w:r>
      <w:r w:rsidRPr="00C97E04">
        <w:rPr>
          <w:rFonts w:ascii="Times New Roman" w:eastAsia="SimSun" w:hAnsi="Times New Roman" w:cs="Times New Roman"/>
          <w:sz w:val="24"/>
          <w:szCs w:val="24"/>
          <w:lang w:eastAsia="zh-CN"/>
        </w:rPr>
        <w:t>errorists and violent extremists of the financial resources and systems</w:t>
      </w:r>
      <w:r w:rsidR="005C068C">
        <w:rPr>
          <w:rFonts w:ascii="Times New Roman" w:eastAsia="SimSun" w:hAnsi="Times New Roman" w:cs="Times New Roman"/>
          <w:sz w:val="24"/>
          <w:szCs w:val="24"/>
          <w:lang w:eastAsia="zh-CN"/>
        </w:rPr>
        <w:t>’</w:t>
      </w:r>
      <w:r w:rsidR="00685A5B">
        <w:rPr>
          <w:rFonts w:ascii="Times New Roman" w:eastAsia="SimSun" w:hAnsi="Times New Roman" w:cs="Times New Roman"/>
          <w:sz w:val="24"/>
          <w:szCs w:val="24"/>
          <w:lang w:eastAsia="zh-CN"/>
        </w:rPr>
        <w:t>,</w:t>
      </w:r>
      <w:r w:rsidRPr="00C97E04">
        <w:rPr>
          <w:rFonts w:ascii="Times New Roman" w:eastAsia="SimSun" w:hAnsi="Times New Roman" w:cs="Times New Roman"/>
          <w:sz w:val="24"/>
          <w:szCs w:val="24"/>
          <w:vertAlign w:val="superscript"/>
          <w:lang w:eastAsia="zh-CN"/>
        </w:rPr>
        <w:footnoteReference w:id="91"/>
      </w:r>
      <w:r w:rsidRPr="00C97E04">
        <w:rPr>
          <w:rFonts w:ascii="Times New Roman" w:eastAsia="SimSun" w:hAnsi="Times New Roman" w:cs="Times New Roman"/>
          <w:sz w:val="24"/>
          <w:szCs w:val="24"/>
          <w:lang w:eastAsia="zh-CN"/>
        </w:rPr>
        <w:t xml:space="preserve">  </w:t>
      </w:r>
      <w:r w:rsidR="007C57E7">
        <w:rPr>
          <w:rFonts w:ascii="Times New Roman" w:eastAsia="SimSun" w:hAnsi="Times New Roman" w:cs="Times New Roman"/>
          <w:sz w:val="24"/>
          <w:szCs w:val="24"/>
          <w:lang w:eastAsia="zh-CN"/>
        </w:rPr>
        <w:t xml:space="preserve">which was </w:t>
      </w:r>
      <w:r w:rsidR="00685A5B">
        <w:rPr>
          <w:rFonts w:ascii="Times New Roman" w:eastAsia="SimSun" w:hAnsi="Times New Roman" w:cs="Times New Roman"/>
          <w:sz w:val="24"/>
          <w:szCs w:val="24"/>
          <w:lang w:eastAsia="zh-CN"/>
        </w:rPr>
        <w:t xml:space="preserve">subsequently </w:t>
      </w:r>
      <w:r w:rsidR="007C57E7">
        <w:rPr>
          <w:rFonts w:ascii="Times New Roman" w:eastAsia="SimSun" w:hAnsi="Times New Roman" w:cs="Times New Roman"/>
          <w:sz w:val="24"/>
          <w:szCs w:val="24"/>
          <w:lang w:eastAsia="zh-CN"/>
        </w:rPr>
        <w:t xml:space="preserve">supported by the </w:t>
      </w:r>
      <w:r w:rsidRPr="00C97E04">
        <w:rPr>
          <w:rFonts w:ascii="Times New Roman" w:eastAsia="Times New Roman" w:hAnsi="Times New Roman" w:cs="Times New Roman"/>
          <w:sz w:val="24"/>
          <w:szCs w:val="24"/>
          <w:lang w:eastAsia="en-GB"/>
        </w:rPr>
        <w:t xml:space="preserve">publication </w:t>
      </w:r>
      <w:r w:rsidR="007C57E7">
        <w:rPr>
          <w:rFonts w:ascii="Times New Roman" w:eastAsia="Times New Roman" w:hAnsi="Times New Roman" w:cs="Times New Roman"/>
          <w:sz w:val="24"/>
          <w:szCs w:val="24"/>
          <w:lang w:eastAsia="en-GB"/>
        </w:rPr>
        <w:t xml:space="preserve">the </w:t>
      </w:r>
      <w:r w:rsidRPr="00C97E04">
        <w:rPr>
          <w:rFonts w:ascii="Times New Roman" w:eastAsia="SimSun" w:hAnsi="Times New Roman" w:cs="Times New Roman"/>
          <w:sz w:val="24"/>
          <w:szCs w:val="24"/>
          <w:lang w:eastAsia="zh-CN"/>
        </w:rPr>
        <w:t xml:space="preserve">‘Strategy for Countering International Terrorism’ </w:t>
      </w:r>
      <w:r w:rsidRPr="00C97E04">
        <w:rPr>
          <w:rFonts w:ascii="Times New Roman" w:eastAsia="SimSun" w:hAnsi="Times New Roman" w:cs="Times New Roman"/>
          <w:sz w:val="24"/>
          <w:szCs w:val="24"/>
          <w:vertAlign w:val="superscript"/>
          <w:lang w:eastAsia="zh-CN"/>
        </w:rPr>
        <w:footnoteReference w:id="92"/>
      </w:r>
      <w:r w:rsidRPr="00C97E04">
        <w:rPr>
          <w:rFonts w:ascii="Times New Roman" w:eastAsia="SimSun" w:hAnsi="Times New Roman" w:cs="Times New Roman"/>
          <w:sz w:val="24"/>
          <w:szCs w:val="24"/>
          <w:lang w:eastAsia="zh-CN"/>
        </w:rPr>
        <w:t xml:space="preserve"> and the publication of the</w:t>
      </w:r>
      <w:r w:rsidRPr="00C97E04">
        <w:rPr>
          <w:rFonts w:ascii="Times New Roman" w:eastAsia="Times New Roman" w:hAnsi="Times New Roman" w:cs="Times New Roman"/>
          <w:sz w:val="24"/>
          <w:szCs w:val="24"/>
          <w:lang w:val="en" w:eastAsia="en-GB"/>
        </w:rPr>
        <w:t xml:space="preserve"> National Security Strategy in 2010.</w:t>
      </w:r>
      <w:r w:rsidRPr="00C97E04">
        <w:rPr>
          <w:rFonts w:ascii="Times New Roman" w:eastAsiaTheme="majorEastAsia" w:hAnsi="Times New Roman" w:cs="Times New Roman"/>
          <w:sz w:val="24"/>
          <w:szCs w:val="24"/>
          <w:vertAlign w:val="superscript"/>
          <w:lang w:val="en" w:eastAsia="en-GB"/>
        </w:rPr>
        <w:footnoteReference w:id="93"/>
      </w:r>
      <w:r w:rsidRPr="00C97E04">
        <w:rPr>
          <w:rFonts w:ascii="Times New Roman" w:eastAsia="Times New Roman" w:hAnsi="Times New Roman" w:cs="Times New Roman"/>
          <w:sz w:val="24"/>
          <w:szCs w:val="24"/>
          <w:lang w:val="en" w:eastAsia="en-GB"/>
        </w:rPr>
        <w:t xml:space="preserve">   This was accompanied by the publication of the </w:t>
      </w:r>
      <w:r w:rsidRPr="00C97E04">
        <w:rPr>
          <w:rFonts w:ascii="Times New Roman" w:hAnsi="Times New Roman" w:cs="Times New Roman"/>
          <w:sz w:val="24"/>
          <w:szCs w:val="24"/>
        </w:rPr>
        <w:t>The Strategic Defence and Security Review,</w:t>
      </w:r>
      <w:r w:rsidRPr="00C97E04">
        <w:rPr>
          <w:rFonts w:ascii="Times New Roman" w:eastAsiaTheme="majorEastAsia" w:hAnsi="Times New Roman" w:cs="Times New Roman"/>
          <w:sz w:val="24"/>
          <w:szCs w:val="24"/>
          <w:vertAlign w:val="superscript"/>
          <w:lang w:val="en" w:eastAsia="en-GB"/>
        </w:rPr>
        <w:footnoteReference w:id="94"/>
      </w:r>
      <w:r w:rsidRPr="00C97E04">
        <w:rPr>
          <w:rFonts w:ascii="Times New Roman" w:hAnsi="Times New Roman" w:cs="Times New Roman"/>
          <w:sz w:val="24"/>
          <w:szCs w:val="24"/>
        </w:rPr>
        <w:t xml:space="preserve"> and the publication of CONTEST, the UK’s new counter-terrorism </w:t>
      </w:r>
      <w:r w:rsidRPr="00C97E04">
        <w:rPr>
          <w:rFonts w:ascii="Times New Roman" w:hAnsi="Times New Roman" w:cs="Times New Roman"/>
          <w:sz w:val="24"/>
          <w:szCs w:val="24"/>
        </w:rPr>
        <w:lastRenderedPageBreak/>
        <w:t>strategy.</w:t>
      </w:r>
      <w:r w:rsidRPr="00C97E04">
        <w:rPr>
          <w:rFonts w:ascii="Times New Roman" w:hAnsi="Times New Roman" w:cs="Times New Roman"/>
          <w:sz w:val="24"/>
          <w:szCs w:val="24"/>
          <w:vertAlign w:val="superscript"/>
        </w:rPr>
        <w:footnoteReference w:id="95"/>
      </w:r>
      <w:r w:rsidRPr="00C97E04">
        <w:rPr>
          <w:rFonts w:ascii="Times New Roman" w:hAnsi="Times New Roman" w:cs="Times New Roman"/>
          <w:sz w:val="24"/>
          <w:szCs w:val="24"/>
        </w:rPr>
        <w:t xml:space="preserve">  </w:t>
      </w:r>
      <w:r w:rsidRPr="00C97E04">
        <w:rPr>
          <w:rFonts w:ascii="Times New Roman" w:eastAsia="SimSun" w:hAnsi="Times New Roman" w:cs="Times New Roman"/>
          <w:sz w:val="24"/>
          <w:szCs w:val="24"/>
          <w:lang w:eastAsia="zh-CN"/>
        </w:rPr>
        <w:t>These strategy documents were followed by the introduction of the Protection of Freedoms Act 2012, the Terrorism Prevention of Investigations Measures Act 2011, the Justice and Security Act 2013</w:t>
      </w:r>
      <w:r w:rsidR="007C57E7">
        <w:rPr>
          <w:rFonts w:ascii="Times New Roman" w:eastAsia="SimSun" w:hAnsi="Times New Roman" w:cs="Times New Roman"/>
          <w:sz w:val="24"/>
          <w:szCs w:val="24"/>
          <w:lang w:eastAsia="zh-CN"/>
        </w:rPr>
        <w:t>,</w:t>
      </w:r>
      <w:r w:rsidRPr="00C97E04">
        <w:rPr>
          <w:rFonts w:ascii="Times New Roman" w:eastAsia="SimSun" w:hAnsi="Times New Roman" w:cs="Times New Roman"/>
          <w:sz w:val="24"/>
          <w:szCs w:val="24"/>
          <w:lang w:eastAsia="zh-CN"/>
        </w:rPr>
        <w:t xml:space="preserve"> the </w:t>
      </w:r>
      <w:r w:rsidRPr="00C97E04">
        <w:rPr>
          <w:rFonts w:ascii="Times New Roman" w:eastAsia="Times New Roman" w:hAnsi="Times New Roman" w:cs="Times New Roman"/>
          <w:sz w:val="24"/>
          <w:szCs w:val="24"/>
          <w:lang w:eastAsia="en-GB"/>
        </w:rPr>
        <w:t xml:space="preserve">Data Retention and Investigatory Powers </w:t>
      </w:r>
      <w:r w:rsidR="007C57E7">
        <w:rPr>
          <w:rFonts w:ascii="Times New Roman" w:eastAsia="Times New Roman" w:hAnsi="Times New Roman" w:cs="Times New Roman"/>
          <w:bCs/>
          <w:sz w:val="24"/>
          <w:szCs w:val="24"/>
          <w:lang w:eastAsia="en-GB"/>
        </w:rPr>
        <w:t xml:space="preserve">Act 2014 and the </w:t>
      </w:r>
      <w:r w:rsidR="0057041E">
        <w:rPr>
          <w:rFonts w:ascii="Times New Roman" w:eastAsia="Times New Roman" w:hAnsi="Times New Roman" w:cs="Times New Roman"/>
          <w:bCs/>
          <w:sz w:val="24"/>
          <w:szCs w:val="24"/>
          <w:lang w:eastAsia="en-GB"/>
        </w:rPr>
        <w:t xml:space="preserve">Counter-Terrorism and Security Act 2015. </w:t>
      </w:r>
      <w:r w:rsidR="00685A5B">
        <w:rPr>
          <w:rFonts w:ascii="Times New Roman" w:eastAsia="Times New Roman" w:hAnsi="Times New Roman" w:cs="Times New Roman"/>
          <w:bCs/>
          <w:sz w:val="24"/>
          <w:szCs w:val="24"/>
          <w:lang w:eastAsia="en-GB"/>
        </w:rPr>
        <w:t xml:space="preserve">What becomes clear is that UKs CTF strategy has undergone a radical period of extension following 9/11 and the next section illustrates the growing influence of </w:t>
      </w:r>
      <w:r w:rsidR="0091493A">
        <w:rPr>
          <w:rFonts w:ascii="Times New Roman" w:eastAsia="Times New Roman" w:hAnsi="Times New Roman" w:cs="Times New Roman"/>
          <w:bCs/>
          <w:sz w:val="24"/>
          <w:szCs w:val="24"/>
          <w:lang w:eastAsia="en-GB"/>
        </w:rPr>
        <w:t xml:space="preserve">the ‘Financial War on Terrorism’.  </w:t>
      </w:r>
      <w:r w:rsidR="00685A5B">
        <w:rPr>
          <w:rFonts w:ascii="Times New Roman" w:eastAsia="Times New Roman" w:hAnsi="Times New Roman" w:cs="Times New Roman"/>
          <w:bCs/>
          <w:sz w:val="24"/>
          <w:szCs w:val="24"/>
          <w:lang w:eastAsia="en-GB"/>
        </w:rPr>
        <w:t xml:space="preserve"> </w:t>
      </w:r>
    </w:p>
    <w:p w:rsidR="00C97E04" w:rsidRPr="00C97E04" w:rsidRDefault="00C97E04" w:rsidP="00C97E04">
      <w:pPr>
        <w:autoSpaceDE w:val="0"/>
        <w:autoSpaceDN w:val="0"/>
        <w:adjustRightInd w:val="0"/>
        <w:spacing w:after="0" w:line="480" w:lineRule="auto"/>
        <w:jc w:val="both"/>
        <w:rPr>
          <w:rFonts w:ascii="Times New Roman" w:eastAsia="SimSun" w:hAnsi="Times New Roman" w:cs="Times New Roman"/>
          <w:sz w:val="24"/>
          <w:szCs w:val="24"/>
          <w:lang w:eastAsia="zh-CN"/>
        </w:rPr>
      </w:pPr>
    </w:p>
    <w:p w:rsidR="00C97E04" w:rsidRPr="00C97E04" w:rsidRDefault="00C97E04" w:rsidP="00C97E04">
      <w:pPr>
        <w:autoSpaceDE w:val="0"/>
        <w:autoSpaceDN w:val="0"/>
        <w:adjustRightInd w:val="0"/>
        <w:spacing w:after="0" w:line="480" w:lineRule="auto"/>
        <w:jc w:val="both"/>
        <w:rPr>
          <w:rFonts w:ascii="Times New Roman" w:eastAsia="SimSun" w:hAnsi="Times New Roman" w:cs="Times New Roman"/>
          <w:b/>
          <w:sz w:val="24"/>
          <w:szCs w:val="24"/>
          <w:lang w:eastAsia="zh-CN"/>
        </w:rPr>
      </w:pPr>
      <w:r w:rsidRPr="00C97E04">
        <w:rPr>
          <w:rFonts w:ascii="Times New Roman" w:eastAsia="SimSun" w:hAnsi="Times New Roman" w:cs="Times New Roman"/>
          <w:b/>
          <w:sz w:val="24"/>
          <w:szCs w:val="24"/>
          <w:lang w:eastAsia="zh-CN"/>
        </w:rPr>
        <w:t>Criminalisation</w:t>
      </w:r>
    </w:p>
    <w:p w:rsidR="00C97E04" w:rsidRPr="00C97E04" w:rsidRDefault="00C97E04" w:rsidP="00C97E04">
      <w:pPr>
        <w:autoSpaceDE w:val="0"/>
        <w:autoSpaceDN w:val="0"/>
        <w:adjustRightInd w:val="0"/>
        <w:spacing w:after="0" w:line="480" w:lineRule="auto"/>
        <w:jc w:val="both"/>
        <w:rPr>
          <w:rFonts w:ascii="Times New Roman" w:hAnsi="Times New Roman" w:cs="Times New Roman"/>
          <w:sz w:val="24"/>
          <w:szCs w:val="24"/>
        </w:rPr>
      </w:pPr>
    </w:p>
    <w:p w:rsidR="0091493A" w:rsidRPr="0091493A" w:rsidRDefault="007C2D6E" w:rsidP="007825C0">
      <w:pPr>
        <w:autoSpaceDE w:val="0"/>
        <w:autoSpaceDN w:val="0"/>
        <w:adjustRightInd w:val="0"/>
        <w:spacing w:after="0" w:line="480" w:lineRule="auto"/>
        <w:jc w:val="both"/>
        <w:rPr>
          <w:rFonts w:ascii="Times New Roman" w:eastAsia="Times New Roman" w:hAnsi="Times New Roman" w:cs="Times New Roman"/>
          <w:sz w:val="24"/>
          <w:szCs w:val="24"/>
          <w:lang w:eastAsia="en-GB"/>
        </w:rPr>
      </w:pPr>
      <w:r w:rsidRPr="001B4342">
        <w:rPr>
          <w:rFonts w:ascii="Times New Roman" w:eastAsia="Times New Roman" w:hAnsi="Times New Roman" w:cs="Times New Roman"/>
          <w:sz w:val="24"/>
          <w:szCs w:val="24"/>
          <w:lang w:eastAsia="en-GB"/>
        </w:rPr>
        <w:t>T</w:t>
      </w:r>
      <w:r w:rsidRPr="001B4342">
        <w:rPr>
          <w:rFonts w:ascii="Times New Roman" w:eastAsia="SimSun" w:hAnsi="Times New Roman" w:cs="Times New Roman"/>
          <w:bCs/>
          <w:sz w:val="24"/>
          <w:szCs w:val="24"/>
          <w:lang w:eastAsia="zh-CN"/>
        </w:rPr>
        <w:t>he criminal offences created by the Terrorism Act 2000 include fund raising;</w:t>
      </w:r>
      <w:r w:rsidRPr="001B4342">
        <w:rPr>
          <w:rFonts w:ascii="Times New Roman" w:eastAsia="SimSun" w:hAnsi="Times New Roman" w:cs="Times New Roman"/>
          <w:bCs/>
          <w:sz w:val="24"/>
          <w:szCs w:val="24"/>
          <w:vertAlign w:val="superscript"/>
          <w:lang w:eastAsia="zh-CN"/>
        </w:rPr>
        <w:footnoteReference w:id="96"/>
      </w:r>
      <w:r w:rsidRPr="001B4342">
        <w:rPr>
          <w:rFonts w:ascii="Times New Roman" w:eastAsia="SimSun" w:hAnsi="Times New Roman" w:cs="Times New Roman"/>
          <w:bCs/>
          <w:sz w:val="24"/>
          <w:szCs w:val="24"/>
          <w:lang w:eastAsia="zh-CN"/>
        </w:rPr>
        <w:t xml:space="preserve"> use and possession;</w:t>
      </w:r>
      <w:r w:rsidRPr="001B4342">
        <w:rPr>
          <w:rFonts w:ascii="Times New Roman" w:eastAsia="SimSun" w:hAnsi="Times New Roman" w:cs="Times New Roman"/>
          <w:bCs/>
          <w:sz w:val="24"/>
          <w:szCs w:val="24"/>
          <w:vertAlign w:val="superscript"/>
          <w:lang w:eastAsia="zh-CN"/>
        </w:rPr>
        <w:footnoteReference w:id="97"/>
      </w:r>
      <w:r w:rsidRPr="001B4342">
        <w:rPr>
          <w:rFonts w:ascii="Times New Roman" w:eastAsia="SimSun" w:hAnsi="Times New Roman" w:cs="Times New Roman"/>
          <w:bCs/>
          <w:sz w:val="24"/>
          <w:szCs w:val="24"/>
          <w:lang w:eastAsia="zh-CN"/>
        </w:rPr>
        <w:t xml:space="preserve"> funding arrangements;</w:t>
      </w:r>
      <w:r w:rsidRPr="001B4342">
        <w:rPr>
          <w:rFonts w:ascii="Times New Roman" w:eastAsia="SimSun" w:hAnsi="Times New Roman" w:cs="Times New Roman"/>
          <w:bCs/>
          <w:sz w:val="24"/>
          <w:szCs w:val="24"/>
          <w:vertAlign w:val="superscript"/>
          <w:lang w:eastAsia="zh-CN"/>
        </w:rPr>
        <w:footnoteReference w:id="98"/>
      </w:r>
      <w:r w:rsidRPr="001B4342">
        <w:rPr>
          <w:rFonts w:ascii="Times New Roman" w:eastAsia="SimSun" w:hAnsi="Times New Roman" w:cs="Times New Roman"/>
          <w:bCs/>
          <w:sz w:val="24"/>
          <w:szCs w:val="24"/>
          <w:lang w:eastAsia="zh-CN"/>
        </w:rPr>
        <w:t xml:space="preserve"> i</w:t>
      </w:r>
      <w:r w:rsidRPr="001B4342">
        <w:rPr>
          <w:rFonts w:ascii="Times New Roman" w:hAnsi="Times New Roman" w:cs="Times New Roman"/>
          <w:bCs/>
          <w:sz w:val="24"/>
          <w:szCs w:val="24"/>
        </w:rPr>
        <w:t>nsurance against payments made in response to terrorist demands;</w:t>
      </w:r>
      <w:r w:rsidRPr="001B4342">
        <w:rPr>
          <w:rStyle w:val="FootnoteReference"/>
          <w:rFonts w:ascii="Times New Roman" w:hAnsi="Times New Roman" w:cs="Times New Roman"/>
          <w:bCs/>
          <w:sz w:val="24"/>
          <w:szCs w:val="24"/>
        </w:rPr>
        <w:footnoteReference w:id="99"/>
      </w:r>
      <w:r w:rsidRPr="001B4342">
        <w:rPr>
          <w:rFonts w:ascii="Times New Roman" w:hAnsi="Times New Roman" w:cs="Times New Roman"/>
          <w:bCs/>
          <w:sz w:val="24"/>
          <w:szCs w:val="24"/>
        </w:rPr>
        <w:t xml:space="preserve"> </w:t>
      </w:r>
      <w:r w:rsidRPr="001B4342">
        <w:rPr>
          <w:rFonts w:ascii="Times New Roman" w:eastAsia="SimSun" w:hAnsi="Times New Roman" w:cs="Times New Roman"/>
          <w:bCs/>
          <w:sz w:val="24"/>
          <w:szCs w:val="24"/>
          <w:lang w:eastAsia="zh-CN"/>
        </w:rPr>
        <w:t>money laundering;</w:t>
      </w:r>
      <w:r w:rsidRPr="001B4342">
        <w:rPr>
          <w:rFonts w:ascii="Times New Roman" w:eastAsia="SimSun" w:hAnsi="Times New Roman" w:cs="Times New Roman"/>
          <w:bCs/>
          <w:sz w:val="24"/>
          <w:szCs w:val="24"/>
          <w:vertAlign w:val="superscript"/>
          <w:lang w:eastAsia="zh-CN"/>
        </w:rPr>
        <w:footnoteReference w:id="100"/>
      </w:r>
      <w:r w:rsidRPr="001B4342">
        <w:rPr>
          <w:rFonts w:ascii="Times New Roman" w:eastAsia="SimSun" w:hAnsi="Times New Roman" w:cs="Times New Roman"/>
          <w:bCs/>
          <w:sz w:val="24"/>
          <w:szCs w:val="24"/>
          <w:lang w:eastAsia="zh-CN"/>
        </w:rPr>
        <w:t xml:space="preserve"> failing to disclose information about the occurrence of terrorist financing;</w:t>
      </w:r>
      <w:r w:rsidRPr="001B4342">
        <w:rPr>
          <w:rFonts w:ascii="Times New Roman" w:eastAsia="SimSun" w:hAnsi="Times New Roman" w:cs="Times New Roman"/>
          <w:bCs/>
          <w:sz w:val="24"/>
          <w:szCs w:val="24"/>
          <w:vertAlign w:val="superscript"/>
          <w:lang w:eastAsia="zh-CN"/>
        </w:rPr>
        <w:footnoteReference w:id="101"/>
      </w:r>
      <w:r w:rsidRPr="001B4342">
        <w:rPr>
          <w:rFonts w:ascii="Times New Roman" w:eastAsia="SimSun" w:hAnsi="Times New Roman" w:cs="Times New Roman"/>
          <w:bCs/>
          <w:sz w:val="24"/>
          <w:szCs w:val="24"/>
          <w:lang w:eastAsia="zh-CN"/>
        </w:rPr>
        <w:t xml:space="preserve"> failure to disclose for the regulated sector;</w:t>
      </w:r>
      <w:r w:rsidRPr="001B4342">
        <w:rPr>
          <w:rStyle w:val="FootnoteReference"/>
          <w:rFonts w:ascii="Times New Roman" w:eastAsia="SimSun" w:hAnsi="Times New Roman" w:cs="Times New Roman"/>
          <w:bCs/>
          <w:sz w:val="24"/>
          <w:szCs w:val="24"/>
          <w:lang w:eastAsia="zh-CN"/>
        </w:rPr>
        <w:footnoteReference w:id="102"/>
      </w:r>
      <w:r w:rsidRPr="001B4342">
        <w:rPr>
          <w:rFonts w:ascii="Times New Roman" w:eastAsia="SimSun" w:hAnsi="Times New Roman" w:cs="Times New Roman"/>
          <w:bCs/>
          <w:sz w:val="24"/>
          <w:szCs w:val="24"/>
          <w:lang w:eastAsia="zh-CN"/>
        </w:rPr>
        <w:t xml:space="preserve"> the offence of tipping off.</w:t>
      </w:r>
      <w:r w:rsidRPr="001B4342">
        <w:rPr>
          <w:rFonts w:ascii="Times New Roman" w:eastAsia="SimSun" w:hAnsi="Times New Roman" w:cs="Times New Roman"/>
          <w:bCs/>
          <w:sz w:val="24"/>
          <w:szCs w:val="24"/>
          <w:vertAlign w:val="superscript"/>
          <w:lang w:eastAsia="zh-CN"/>
        </w:rPr>
        <w:footnoteReference w:id="103"/>
      </w:r>
      <w:r>
        <w:rPr>
          <w:rFonts w:ascii="Times New Roman" w:eastAsia="SimSun" w:hAnsi="Times New Roman" w:cs="Times New Roman"/>
          <w:bCs/>
          <w:sz w:val="24"/>
          <w:szCs w:val="24"/>
          <w:lang w:eastAsia="zh-CN"/>
        </w:rPr>
        <w:t xml:space="preserve">  </w:t>
      </w:r>
      <w:r w:rsidR="0091493A">
        <w:rPr>
          <w:rFonts w:ascii="Times New Roman" w:eastAsia="SimSun" w:hAnsi="Times New Roman" w:cs="Times New Roman"/>
          <w:bCs/>
          <w:sz w:val="24"/>
          <w:szCs w:val="24"/>
          <w:lang w:eastAsia="zh-CN"/>
        </w:rPr>
        <w:t xml:space="preserve">If a defendant is convicted of one of these offences, they are liable to a </w:t>
      </w:r>
      <w:r w:rsidR="0091493A" w:rsidRPr="0091493A">
        <w:rPr>
          <w:rFonts w:ascii="Times New Roman" w:eastAsia="Times New Roman" w:hAnsi="Times New Roman" w:cs="Times New Roman"/>
          <w:sz w:val="24"/>
          <w:szCs w:val="24"/>
          <w:lang w:eastAsia="en-GB"/>
        </w:rPr>
        <w:t>maximum term of 14 years imprisonment an</w:t>
      </w:r>
      <w:r w:rsidR="0091493A">
        <w:rPr>
          <w:rFonts w:ascii="Times New Roman" w:eastAsia="Times New Roman" w:hAnsi="Times New Roman" w:cs="Times New Roman"/>
          <w:sz w:val="24"/>
          <w:szCs w:val="24"/>
          <w:lang w:eastAsia="en-GB"/>
        </w:rPr>
        <w:t>d/or an unlimited fine.</w:t>
      </w:r>
      <w:r w:rsidR="0091493A" w:rsidRPr="0091493A">
        <w:rPr>
          <w:rFonts w:ascii="Times New Roman" w:eastAsia="Times New Roman" w:hAnsi="Times New Roman" w:cs="Times New Roman"/>
          <w:sz w:val="24"/>
          <w:szCs w:val="24"/>
          <w:vertAlign w:val="superscript"/>
          <w:lang w:eastAsia="en-GB"/>
        </w:rPr>
        <w:footnoteReference w:id="104"/>
      </w:r>
      <w:r w:rsidR="0091493A" w:rsidRPr="0091493A">
        <w:rPr>
          <w:rFonts w:ascii="Times New Roman" w:eastAsia="Times New Roman" w:hAnsi="Times New Roman" w:cs="Times New Roman"/>
          <w:sz w:val="24"/>
          <w:szCs w:val="24"/>
          <w:lang w:eastAsia="en-GB"/>
        </w:rPr>
        <w:t xml:space="preserve"> </w:t>
      </w:r>
      <w:r w:rsidR="00C97E04" w:rsidRPr="00C97E04">
        <w:rPr>
          <w:rFonts w:ascii="Times New Roman" w:eastAsia="SimSun" w:hAnsi="Times New Roman" w:cs="Times New Roman"/>
          <w:sz w:val="24"/>
          <w:szCs w:val="24"/>
          <w:lang w:eastAsia="zh-CN"/>
        </w:rPr>
        <w:t>The effectiveness of these criminal offences could be questioned because between 2000 and 2010 only 36 people have been charged with the terrorist financing offences,</w:t>
      </w:r>
      <w:r w:rsidR="00C97E04" w:rsidRPr="00C97E04">
        <w:rPr>
          <w:rFonts w:ascii="Times New Roman" w:eastAsia="SimSun" w:hAnsi="Times New Roman" w:cs="Times New Roman"/>
          <w:sz w:val="24"/>
          <w:szCs w:val="24"/>
          <w:vertAlign w:val="superscript"/>
          <w:lang w:eastAsia="zh-CN"/>
        </w:rPr>
        <w:footnoteReference w:id="105"/>
      </w:r>
      <w:r w:rsidR="00C97E04" w:rsidRPr="00C97E04">
        <w:rPr>
          <w:rFonts w:ascii="Times New Roman" w:eastAsia="SimSun" w:hAnsi="Times New Roman" w:cs="Times New Roman"/>
          <w:sz w:val="24"/>
          <w:szCs w:val="24"/>
          <w:lang w:eastAsia="zh-CN"/>
        </w:rPr>
        <w:t xml:space="preserve"> and only 11 defendants were convicted.</w:t>
      </w:r>
      <w:r w:rsidR="00C97E04" w:rsidRPr="00C97E04">
        <w:rPr>
          <w:rFonts w:ascii="Times New Roman" w:eastAsia="SimSun" w:hAnsi="Times New Roman" w:cs="Times New Roman"/>
          <w:sz w:val="24"/>
          <w:szCs w:val="24"/>
          <w:vertAlign w:val="superscript"/>
          <w:lang w:eastAsia="zh-CN"/>
        </w:rPr>
        <w:footnoteReference w:id="106"/>
      </w:r>
      <w:r w:rsidR="00C97E04" w:rsidRPr="00C97E04">
        <w:rPr>
          <w:rFonts w:ascii="Times New Roman" w:eastAsia="SimSun" w:hAnsi="Times New Roman" w:cs="Times New Roman"/>
          <w:sz w:val="24"/>
          <w:szCs w:val="24"/>
          <w:lang w:eastAsia="zh-CN"/>
        </w:rPr>
        <w:t xml:space="preserve">  </w:t>
      </w:r>
      <w:r w:rsidR="0091493A" w:rsidRPr="0091493A">
        <w:rPr>
          <w:rFonts w:ascii="Times New Roman" w:eastAsia="Times New Roman" w:hAnsi="Times New Roman" w:cs="Times New Roman"/>
          <w:sz w:val="24"/>
          <w:szCs w:val="24"/>
          <w:lang w:eastAsia="en-GB"/>
        </w:rPr>
        <w:t xml:space="preserve">Despite this penalty and the devastating effects of the crime, there have been very few UK prosecutions for terrorist financing. Between 11 September 2001 and 31 December 2007, </w:t>
      </w:r>
      <w:r w:rsidR="0091493A" w:rsidRPr="0091493A">
        <w:rPr>
          <w:rFonts w:ascii="Times New Roman" w:eastAsia="Times New Roman" w:hAnsi="Times New Roman" w:cs="Times New Roman"/>
          <w:sz w:val="24"/>
          <w:szCs w:val="24"/>
          <w:lang w:eastAsia="en-GB"/>
        </w:rPr>
        <w:lastRenderedPageBreak/>
        <w:t>only 74 CTF charges were made in Great Britain, making up only 17 per cent of all charges made under the Terrorism Act 2000.</w:t>
      </w:r>
      <w:r w:rsidR="0091493A" w:rsidRPr="0091493A">
        <w:rPr>
          <w:rFonts w:ascii="Times New Roman" w:eastAsia="Times New Roman" w:hAnsi="Times New Roman" w:cs="Times New Roman"/>
          <w:sz w:val="24"/>
          <w:szCs w:val="24"/>
          <w:vertAlign w:val="superscript"/>
          <w:lang w:eastAsia="en-GB"/>
        </w:rPr>
        <w:footnoteReference w:id="107"/>
      </w:r>
      <w:r w:rsidR="0091493A" w:rsidRPr="0091493A">
        <w:rPr>
          <w:rFonts w:ascii="Times New Roman" w:eastAsia="Times New Roman" w:hAnsi="Times New Roman" w:cs="Times New Roman"/>
          <w:sz w:val="24"/>
          <w:szCs w:val="24"/>
          <w:lang w:eastAsia="en-GB"/>
        </w:rPr>
        <w:t xml:space="preserve"> Between September 2001 and 2009, only 11 people were convicted under sections 15-19 of the Terrorism Act 2000.</w:t>
      </w:r>
      <w:r w:rsidR="0091493A" w:rsidRPr="0091493A">
        <w:rPr>
          <w:rFonts w:ascii="Times New Roman" w:eastAsia="Times New Roman" w:hAnsi="Times New Roman" w:cs="Times New Roman"/>
          <w:sz w:val="24"/>
          <w:szCs w:val="24"/>
          <w:vertAlign w:val="superscript"/>
          <w:lang w:eastAsia="en-GB"/>
        </w:rPr>
        <w:footnoteReference w:id="108"/>
      </w:r>
      <w:r w:rsidR="0091493A" w:rsidRPr="0091493A">
        <w:rPr>
          <w:rFonts w:ascii="Times New Roman" w:eastAsia="Times New Roman" w:hAnsi="Times New Roman" w:cs="Times New Roman"/>
          <w:sz w:val="24"/>
          <w:szCs w:val="24"/>
          <w:lang w:eastAsia="en-GB"/>
        </w:rPr>
        <w:t xml:space="preserve"> It is unclear why the prosecution rate has been so low, although one reason may be because in order to prove the offences under Part III of the Terrorism Act 2000 the prosecution has to prove the terrorist element. For instance for a section 17 offence, it is necessary to prove that the defendant not only became involved in a funding arrangement but that he knew or suspected that the proceeds of the arrangement were for the purposes of terrorism. Whilst the defendant may have suspected that the arrangement was illegal in some way, it is harder to prove that the suspicion was one of actual terrorism rather than drug trafficking, human trafficking or some other crime.</w:t>
      </w:r>
      <w:r w:rsidR="0091493A" w:rsidRPr="0091493A">
        <w:rPr>
          <w:rFonts w:ascii="Times New Roman" w:eastAsia="Times New Roman" w:hAnsi="Times New Roman" w:cs="Times New Roman"/>
          <w:sz w:val="24"/>
          <w:szCs w:val="24"/>
          <w:vertAlign w:val="superscript"/>
          <w:lang w:eastAsia="en-GB"/>
        </w:rPr>
        <w:footnoteReference w:id="109"/>
      </w:r>
      <w:r w:rsidR="0091493A" w:rsidRPr="0091493A">
        <w:rPr>
          <w:rFonts w:ascii="Times New Roman" w:eastAsia="Times New Roman" w:hAnsi="Times New Roman" w:cs="Times New Roman"/>
          <w:sz w:val="24"/>
          <w:szCs w:val="24"/>
          <w:lang w:eastAsia="en-GB"/>
        </w:rPr>
        <w:t xml:space="preserve"> Due to the small numbers involved, there are no sentencing guidelines for these offences and no published cases relating to sentencing practice. The only guidance, to the authors’ knowledge, is contained in section 30 of the Counter-Terrorism Act 2008, which states that if an offence has a terrorist connection, the court must treat that as an aggravating factor and sentence accordingly. </w:t>
      </w:r>
    </w:p>
    <w:p w:rsidR="0091493A" w:rsidRPr="0091493A" w:rsidRDefault="0091493A" w:rsidP="0091493A">
      <w:pPr>
        <w:spacing w:after="0" w:line="480" w:lineRule="auto"/>
        <w:jc w:val="both"/>
        <w:rPr>
          <w:rFonts w:ascii="Times New Roman" w:eastAsia="Times New Roman" w:hAnsi="Times New Roman" w:cs="Times New Roman"/>
          <w:sz w:val="24"/>
          <w:szCs w:val="24"/>
          <w:lang w:eastAsia="en-GB"/>
        </w:rPr>
      </w:pPr>
    </w:p>
    <w:p w:rsidR="0091493A" w:rsidRPr="0091493A" w:rsidRDefault="0091493A" w:rsidP="0091493A">
      <w:pPr>
        <w:spacing w:after="0" w:line="480" w:lineRule="auto"/>
        <w:jc w:val="both"/>
        <w:rPr>
          <w:rFonts w:ascii="Times New Roman" w:hAnsi="Times New Roman" w:cs="Times New Roman"/>
          <w:sz w:val="24"/>
          <w:szCs w:val="24"/>
        </w:rPr>
      </w:pPr>
      <w:r w:rsidRPr="0091493A">
        <w:rPr>
          <w:rFonts w:ascii="Times New Roman" w:eastAsia="Times New Roman" w:hAnsi="Times New Roman" w:cs="Times New Roman"/>
          <w:sz w:val="24"/>
          <w:szCs w:val="24"/>
          <w:lang w:eastAsia="en-GB"/>
        </w:rPr>
        <w:t>Examples of sentencing for section 15 offences include two Algerian men, Benmerzouga and Meziane, who were sentenced in 2003 to 11 years imprisonment for raising over £200,000 for purposes of terrorism through a credit card fraud.</w:t>
      </w:r>
      <w:r w:rsidRPr="0091493A">
        <w:rPr>
          <w:rFonts w:ascii="Times New Roman" w:eastAsia="Times New Roman" w:hAnsi="Times New Roman" w:cs="Times New Roman"/>
          <w:sz w:val="24"/>
          <w:szCs w:val="24"/>
          <w:vertAlign w:val="superscript"/>
          <w:lang w:eastAsia="en-GB"/>
        </w:rPr>
        <w:footnoteReference w:id="110"/>
      </w:r>
      <w:r w:rsidRPr="0091493A">
        <w:rPr>
          <w:rFonts w:ascii="Times New Roman" w:eastAsia="Times New Roman" w:hAnsi="Times New Roman" w:cs="Times New Roman"/>
          <w:sz w:val="24"/>
          <w:szCs w:val="24"/>
          <w:lang w:eastAsia="en-GB"/>
        </w:rPr>
        <w:t xml:space="preserve"> Similarly, in 2007, Hassan Mutegombwa received 10 years for inviting someone to provide money for the purposes of terrorism,</w:t>
      </w:r>
      <w:r w:rsidRPr="0091493A">
        <w:rPr>
          <w:rFonts w:ascii="Times New Roman" w:eastAsia="Times New Roman" w:hAnsi="Times New Roman" w:cs="Times New Roman"/>
          <w:sz w:val="24"/>
          <w:szCs w:val="24"/>
          <w:vertAlign w:val="superscript"/>
          <w:lang w:eastAsia="en-GB"/>
        </w:rPr>
        <w:footnoteReference w:id="111"/>
      </w:r>
      <w:r w:rsidRPr="0091493A">
        <w:rPr>
          <w:rFonts w:ascii="Times New Roman" w:eastAsia="Times New Roman" w:hAnsi="Times New Roman" w:cs="Times New Roman"/>
          <w:sz w:val="24"/>
          <w:szCs w:val="24"/>
          <w:lang w:eastAsia="en-GB"/>
        </w:rPr>
        <w:t xml:space="preserve"> indicating that the judges involved thought that these two offences were serious enough to </w:t>
      </w:r>
      <w:r w:rsidRPr="0091493A">
        <w:rPr>
          <w:rFonts w:ascii="Times New Roman" w:eastAsia="Times New Roman" w:hAnsi="Times New Roman" w:cs="Times New Roman"/>
          <w:sz w:val="24"/>
          <w:szCs w:val="24"/>
          <w:lang w:eastAsia="en-GB"/>
        </w:rPr>
        <w:lastRenderedPageBreak/>
        <w:t xml:space="preserve">warrant lengthy terms of incarceration. Despite these examples, more normal sentences would appear </w:t>
      </w:r>
      <w:r w:rsidR="00C7749C">
        <w:rPr>
          <w:rFonts w:ascii="Times New Roman" w:eastAsia="Times New Roman" w:hAnsi="Times New Roman" w:cs="Times New Roman"/>
          <w:sz w:val="24"/>
          <w:szCs w:val="24"/>
          <w:lang w:eastAsia="en-GB"/>
        </w:rPr>
        <w:t>to be much shorter. For example, i</w:t>
      </w:r>
      <w:r w:rsidRPr="0091493A">
        <w:rPr>
          <w:rFonts w:ascii="Times New Roman" w:eastAsia="Times New Roman" w:hAnsi="Times New Roman" w:cs="Times New Roman"/>
          <w:sz w:val="24"/>
          <w:szCs w:val="24"/>
          <w:lang w:eastAsia="en-GB"/>
        </w:rPr>
        <w:t>n March 2011, Rajib Karim was sentenced to three years imprisonment for an offence under section 15(3) of the Terrorism Act 2000.</w:t>
      </w:r>
      <w:r w:rsidRPr="0091493A">
        <w:rPr>
          <w:rFonts w:ascii="Times New Roman" w:eastAsia="Times New Roman" w:hAnsi="Times New Roman" w:cs="Times New Roman"/>
          <w:sz w:val="24"/>
          <w:szCs w:val="24"/>
          <w:vertAlign w:val="superscript"/>
          <w:lang w:eastAsia="en-GB"/>
        </w:rPr>
        <w:footnoteReference w:id="112"/>
      </w:r>
      <w:r w:rsidRPr="0091493A">
        <w:rPr>
          <w:rFonts w:ascii="Times New Roman" w:eastAsia="Times New Roman" w:hAnsi="Times New Roman" w:cs="Times New Roman"/>
          <w:sz w:val="24"/>
          <w:szCs w:val="24"/>
          <w:lang w:eastAsia="en-GB"/>
        </w:rPr>
        <w:t xml:space="preserve"> Other convictions include </w:t>
      </w:r>
      <w:r w:rsidRPr="0091493A">
        <w:rPr>
          <w:rFonts w:ascii="Times New Roman" w:hAnsi="Times New Roman" w:cs="Times New Roman"/>
          <w:sz w:val="24"/>
          <w:szCs w:val="24"/>
        </w:rPr>
        <w:t>Mujahid Hussain (four year custodial sentence), Rahin Ahmen (12 years), Amal El-Wahabi (2 years and four months), Ali Asim (1 year and nine months) and Hana Khan (21 months suspended sentence).</w:t>
      </w:r>
      <w:r w:rsidR="00DE65D5">
        <w:rPr>
          <w:rFonts w:ascii="Times New Roman" w:hAnsi="Times New Roman" w:cs="Times New Roman"/>
          <w:sz w:val="24"/>
          <w:szCs w:val="24"/>
        </w:rPr>
        <w:t xml:space="preserve">  This section of the chapter has demonstrated that terrorist financing was criminalised before the terrorist attacks in 2001 and the implementation of the ‘Financial War on Terrorism’.  However, the effectiveness of the provisions </w:t>
      </w:r>
      <w:r w:rsidR="003E4BCC">
        <w:rPr>
          <w:rFonts w:ascii="Times New Roman" w:hAnsi="Times New Roman" w:cs="Times New Roman"/>
          <w:sz w:val="24"/>
          <w:szCs w:val="24"/>
        </w:rPr>
        <w:t xml:space="preserve">before and after 9/11 has been </w:t>
      </w:r>
      <w:r w:rsidR="00DE65D5">
        <w:rPr>
          <w:rFonts w:ascii="Times New Roman" w:hAnsi="Times New Roman" w:cs="Times New Roman"/>
          <w:sz w:val="24"/>
          <w:szCs w:val="24"/>
        </w:rPr>
        <w:t xml:space="preserve">questioned </w:t>
      </w:r>
      <w:r w:rsidR="003E4BCC">
        <w:rPr>
          <w:rFonts w:ascii="Times New Roman" w:hAnsi="Times New Roman" w:cs="Times New Roman"/>
          <w:sz w:val="24"/>
          <w:szCs w:val="24"/>
        </w:rPr>
        <w:t>due to the limited number of related prosecutions.  Therefore, the influence of the ‘Financial War on Terrorism’ on these provisions in the UK is limited.</w:t>
      </w:r>
    </w:p>
    <w:p w:rsidR="0091493A" w:rsidRPr="00C97E04" w:rsidRDefault="0091493A" w:rsidP="00C97E04">
      <w:pPr>
        <w:autoSpaceDE w:val="0"/>
        <w:autoSpaceDN w:val="0"/>
        <w:adjustRightInd w:val="0"/>
        <w:spacing w:after="0" w:line="480" w:lineRule="auto"/>
        <w:jc w:val="both"/>
        <w:rPr>
          <w:rFonts w:ascii="Times New Roman" w:eastAsia="SimSun" w:hAnsi="Times New Roman" w:cs="Times New Roman"/>
          <w:sz w:val="24"/>
          <w:szCs w:val="24"/>
          <w:lang w:eastAsia="zh-CN"/>
        </w:rPr>
      </w:pPr>
    </w:p>
    <w:p w:rsidR="00C97E04" w:rsidRPr="00C97E04" w:rsidRDefault="00C97E04" w:rsidP="00C97E04">
      <w:pPr>
        <w:autoSpaceDE w:val="0"/>
        <w:autoSpaceDN w:val="0"/>
        <w:adjustRightInd w:val="0"/>
        <w:spacing w:after="0" w:line="480" w:lineRule="auto"/>
        <w:jc w:val="both"/>
        <w:rPr>
          <w:rFonts w:ascii="Times New Roman" w:eastAsia="SimSun" w:hAnsi="Times New Roman" w:cs="Times New Roman"/>
          <w:b/>
          <w:sz w:val="24"/>
          <w:szCs w:val="24"/>
          <w:lang w:eastAsia="zh-CN"/>
        </w:rPr>
      </w:pPr>
      <w:r w:rsidRPr="00C97E04">
        <w:rPr>
          <w:rFonts w:ascii="Times New Roman" w:eastAsia="SimSun" w:hAnsi="Times New Roman" w:cs="Times New Roman"/>
          <w:b/>
          <w:sz w:val="24"/>
          <w:szCs w:val="24"/>
          <w:lang w:eastAsia="zh-CN"/>
        </w:rPr>
        <w:t>Asset Freezing</w:t>
      </w:r>
    </w:p>
    <w:p w:rsidR="00C97E04" w:rsidRPr="00C97E04" w:rsidRDefault="00C97E04" w:rsidP="00C97E04">
      <w:pPr>
        <w:autoSpaceDE w:val="0"/>
        <w:autoSpaceDN w:val="0"/>
        <w:adjustRightInd w:val="0"/>
        <w:spacing w:after="0" w:line="480" w:lineRule="auto"/>
        <w:jc w:val="both"/>
        <w:rPr>
          <w:rFonts w:ascii="Times New Roman" w:hAnsi="Times New Roman" w:cs="Times New Roman"/>
          <w:b/>
          <w:bCs/>
          <w:sz w:val="24"/>
          <w:szCs w:val="24"/>
        </w:rPr>
      </w:pPr>
    </w:p>
    <w:p w:rsidR="00C97E04" w:rsidRPr="007825C0" w:rsidRDefault="00B26DEB" w:rsidP="00C97E04">
      <w:pPr>
        <w:autoSpaceDE w:val="0"/>
        <w:autoSpaceDN w:val="0"/>
        <w:adjustRightInd w:val="0"/>
        <w:spacing w:after="0" w:line="480" w:lineRule="auto"/>
        <w:jc w:val="both"/>
        <w:rPr>
          <w:rFonts w:ascii="Times New Roman" w:eastAsia="Times New Roman" w:hAnsi="Times New Roman" w:cs="Times New Roman"/>
          <w:sz w:val="24"/>
          <w:szCs w:val="24"/>
          <w:lang w:val="en" w:eastAsia="en-GB"/>
        </w:rPr>
      </w:pPr>
      <w:r w:rsidRPr="00C97E04">
        <w:rPr>
          <w:rFonts w:ascii="Times New Roman" w:hAnsi="Times New Roman" w:cs="Times New Roman"/>
          <w:sz w:val="24"/>
          <w:szCs w:val="24"/>
        </w:rPr>
        <w:t xml:space="preserve">The UK </w:t>
      </w:r>
      <w:r>
        <w:rPr>
          <w:rFonts w:ascii="Times New Roman" w:hAnsi="Times New Roman" w:cs="Times New Roman"/>
          <w:sz w:val="24"/>
          <w:szCs w:val="24"/>
        </w:rPr>
        <w:t xml:space="preserve">is </w:t>
      </w:r>
      <w:r w:rsidRPr="00C97E04">
        <w:rPr>
          <w:rFonts w:ascii="Times New Roman" w:hAnsi="Times New Roman" w:cs="Times New Roman"/>
          <w:sz w:val="24"/>
          <w:szCs w:val="24"/>
        </w:rPr>
        <w:t>obliged to freeze the assets of individuals and organisations who were suspected of financing terrorism after the introduction of the UN</w:t>
      </w:r>
      <w:r>
        <w:rPr>
          <w:rFonts w:ascii="Times New Roman" w:hAnsi="Times New Roman" w:cs="Times New Roman"/>
          <w:sz w:val="24"/>
          <w:szCs w:val="24"/>
        </w:rPr>
        <w:t xml:space="preserve">SCR </w:t>
      </w:r>
      <w:r w:rsidRPr="00C97E04">
        <w:rPr>
          <w:rFonts w:ascii="Times New Roman" w:hAnsi="Times New Roman" w:cs="Times New Roman"/>
          <w:sz w:val="24"/>
          <w:szCs w:val="24"/>
        </w:rPr>
        <w:t>1373.</w:t>
      </w:r>
      <w:r w:rsidR="00C97E04" w:rsidRPr="001E2FD4">
        <w:rPr>
          <w:rFonts w:ascii="Times New Roman" w:hAnsi="Times New Roman" w:cs="Times New Roman"/>
          <w:bCs/>
          <w:sz w:val="24"/>
          <w:szCs w:val="24"/>
        </w:rPr>
        <w:t xml:space="preserve"> </w:t>
      </w:r>
      <w:r w:rsidR="007825C0">
        <w:rPr>
          <w:rFonts w:ascii="Times New Roman" w:hAnsi="Times New Roman" w:cs="Times New Roman"/>
          <w:bCs/>
          <w:sz w:val="24"/>
          <w:szCs w:val="24"/>
        </w:rPr>
        <w:t>T</w:t>
      </w:r>
      <w:r w:rsidR="00AD4F65" w:rsidRPr="001E2FD4">
        <w:rPr>
          <w:rFonts w:ascii="Times New Roman" w:eastAsia="Times New Roman" w:hAnsi="Times New Roman" w:cs="Times New Roman"/>
          <w:sz w:val="24"/>
          <w:szCs w:val="24"/>
          <w:lang w:val="en" w:eastAsia="en-GB"/>
        </w:rPr>
        <w:t xml:space="preserve">he </w:t>
      </w:r>
      <w:r w:rsidR="007825C0">
        <w:rPr>
          <w:rFonts w:ascii="Times New Roman" w:eastAsia="Times New Roman" w:hAnsi="Times New Roman" w:cs="Times New Roman"/>
          <w:sz w:val="24"/>
          <w:szCs w:val="24"/>
          <w:lang w:val="en" w:eastAsia="en-GB"/>
        </w:rPr>
        <w:t>Anti-terrorism,</w:t>
      </w:r>
      <w:r>
        <w:rPr>
          <w:rFonts w:ascii="Times New Roman" w:eastAsia="Times New Roman" w:hAnsi="Times New Roman" w:cs="Times New Roman"/>
          <w:sz w:val="24"/>
          <w:szCs w:val="24"/>
          <w:lang w:val="en" w:eastAsia="en-GB"/>
        </w:rPr>
        <w:t xml:space="preserve"> Crime and Security </w:t>
      </w:r>
      <w:r w:rsidR="00AD4F65" w:rsidRPr="001E2FD4">
        <w:rPr>
          <w:rFonts w:ascii="Times New Roman" w:eastAsia="Times New Roman" w:hAnsi="Times New Roman" w:cs="Times New Roman"/>
          <w:sz w:val="24"/>
          <w:szCs w:val="24"/>
          <w:lang w:val="en" w:eastAsia="en-GB"/>
        </w:rPr>
        <w:t>Act</w:t>
      </w:r>
      <w:r>
        <w:rPr>
          <w:rFonts w:ascii="Times New Roman" w:eastAsia="Times New Roman" w:hAnsi="Times New Roman" w:cs="Times New Roman"/>
          <w:sz w:val="24"/>
          <w:szCs w:val="24"/>
          <w:lang w:val="en" w:eastAsia="en-GB"/>
        </w:rPr>
        <w:t xml:space="preserve"> 2001</w:t>
      </w:r>
      <w:r w:rsidR="007825C0">
        <w:rPr>
          <w:rFonts w:ascii="Times New Roman" w:eastAsia="Times New Roman" w:hAnsi="Times New Roman" w:cs="Times New Roman"/>
          <w:sz w:val="24"/>
          <w:szCs w:val="24"/>
          <w:lang w:val="en" w:eastAsia="en-GB"/>
        </w:rPr>
        <w:t xml:space="preserve"> permits the granting of a </w:t>
      </w:r>
      <w:r w:rsidR="000F5CCF" w:rsidRPr="001E2FD4">
        <w:rPr>
          <w:rFonts w:ascii="Times New Roman" w:hAnsi="Times New Roman" w:cs="Times New Roman"/>
          <w:sz w:val="24"/>
          <w:szCs w:val="24"/>
        </w:rPr>
        <w:t>freezing order if two conditions are fulfilled.  Firstly, HM Treasur</w:t>
      </w:r>
      <w:r w:rsidR="005C068C">
        <w:rPr>
          <w:rFonts w:ascii="Times New Roman" w:hAnsi="Times New Roman" w:cs="Times New Roman"/>
          <w:sz w:val="24"/>
          <w:szCs w:val="24"/>
        </w:rPr>
        <w:t>y must reasonably believe that ‘</w:t>
      </w:r>
      <w:r w:rsidR="000F5CCF" w:rsidRPr="001E2FD4">
        <w:rPr>
          <w:rFonts w:ascii="Times New Roman" w:hAnsi="Times New Roman" w:cs="Times New Roman"/>
          <w:sz w:val="24"/>
          <w:szCs w:val="24"/>
        </w:rPr>
        <w:t>a</w:t>
      </w:r>
      <w:r w:rsidR="000F5CCF" w:rsidRPr="001E2FD4">
        <w:rPr>
          <w:rFonts w:ascii="Times New Roman" w:eastAsia="Times New Roman" w:hAnsi="Times New Roman" w:cs="Times New Roman"/>
          <w:sz w:val="24"/>
          <w:szCs w:val="24"/>
          <w:lang w:eastAsia="en-GB"/>
        </w:rPr>
        <w:t>ction to the detriment of the United Kingdom's economy (or part of it) has been or is likely to be taken by a person or persons</w:t>
      </w:r>
      <w:r w:rsidR="005C068C">
        <w:rPr>
          <w:rFonts w:ascii="Times New Roman" w:eastAsia="Times New Roman" w:hAnsi="Times New Roman" w:cs="Times New Roman"/>
          <w:sz w:val="24"/>
          <w:szCs w:val="24"/>
          <w:lang w:eastAsia="en-GB"/>
        </w:rPr>
        <w:t>’</w:t>
      </w:r>
      <w:r w:rsidR="000F5CCF" w:rsidRPr="001E2FD4">
        <w:rPr>
          <w:rFonts w:ascii="Times New Roman" w:eastAsia="Times New Roman" w:hAnsi="Times New Roman" w:cs="Times New Roman"/>
          <w:sz w:val="24"/>
          <w:szCs w:val="24"/>
          <w:lang w:eastAsia="en-GB"/>
        </w:rPr>
        <w:t xml:space="preserve"> </w:t>
      </w:r>
      <w:r w:rsidR="000F5CCF" w:rsidRPr="001E2FD4">
        <w:rPr>
          <w:rStyle w:val="FootnoteReference"/>
          <w:rFonts w:ascii="Times New Roman" w:eastAsia="Times New Roman" w:hAnsi="Times New Roman" w:cs="Times New Roman"/>
          <w:sz w:val="24"/>
          <w:szCs w:val="24"/>
          <w:lang w:eastAsia="en-GB"/>
        </w:rPr>
        <w:footnoteReference w:id="113"/>
      </w:r>
      <w:r w:rsidR="005C068C">
        <w:rPr>
          <w:rFonts w:ascii="Times New Roman" w:eastAsia="Times New Roman" w:hAnsi="Times New Roman" w:cs="Times New Roman"/>
          <w:sz w:val="24"/>
          <w:szCs w:val="24"/>
          <w:lang w:eastAsia="en-GB"/>
        </w:rPr>
        <w:t xml:space="preserve"> and ‘</w:t>
      </w:r>
      <w:r w:rsidR="000F5CCF" w:rsidRPr="001E2FD4">
        <w:rPr>
          <w:rFonts w:ascii="Times New Roman" w:eastAsia="Times New Roman" w:hAnsi="Times New Roman" w:cs="Times New Roman"/>
          <w:sz w:val="24"/>
          <w:szCs w:val="24"/>
          <w:lang w:eastAsia="en-GB"/>
        </w:rPr>
        <w:t>action constituting a threat to the life or property of one or more nationals of the UK or residents of the UK has been or is likely to be taken by a person or persons</w:t>
      </w:r>
      <w:r w:rsidR="005C068C">
        <w:rPr>
          <w:rFonts w:ascii="Times New Roman" w:eastAsia="Times New Roman" w:hAnsi="Times New Roman" w:cs="Times New Roman"/>
          <w:sz w:val="24"/>
          <w:szCs w:val="24"/>
          <w:lang w:eastAsia="en-GB"/>
        </w:rPr>
        <w:t>’</w:t>
      </w:r>
      <w:r w:rsidR="000F5CCF" w:rsidRPr="001E2FD4">
        <w:rPr>
          <w:rFonts w:ascii="Times New Roman" w:eastAsia="Times New Roman" w:hAnsi="Times New Roman" w:cs="Times New Roman"/>
          <w:sz w:val="24"/>
          <w:szCs w:val="24"/>
          <w:lang w:eastAsia="en-GB"/>
        </w:rPr>
        <w:t>.</w:t>
      </w:r>
      <w:r w:rsidR="000F5CCF" w:rsidRPr="001E2FD4">
        <w:rPr>
          <w:rStyle w:val="FootnoteReference"/>
          <w:rFonts w:ascii="Times New Roman" w:eastAsia="Times New Roman" w:hAnsi="Times New Roman" w:cs="Times New Roman"/>
          <w:sz w:val="24"/>
          <w:szCs w:val="24"/>
          <w:lang w:eastAsia="en-GB"/>
        </w:rPr>
        <w:footnoteReference w:id="114"/>
      </w:r>
      <w:r w:rsidR="000F5CCF" w:rsidRPr="001E2FD4">
        <w:rPr>
          <w:rFonts w:ascii="Times New Roman" w:eastAsia="Times New Roman" w:hAnsi="Times New Roman" w:cs="Times New Roman"/>
          <w:sz w:val="24"/>
          <w:szCs w:val="24"/>
          <w:lang w:eastAsia="en-GB"/>
        </w:rPr>
        <w:t xml:space="preserve">  The</w:t>
      </w:r>
      <w:r w:rsidR="005C068C">
        <w:rPr>
          <w:rFonts w:ascii="Times New Roman" w:eastAsia="Times New Roman" w:hAnsi="Times New Roman" w:cs="Times New Roman"/>
          <w:sz w:val="24"/>
          <w:szCs w:val="24"/>
          <w:lang w:eastAsia="en-GB"/>
        </w:rPr>
        <w:t xml:space="preserve"> second condition is where ‘</w:t>
      </w:r>
      <w:r w:rsidR="000F5CCF" w:rsidRPr="001E2FD4">
        <w:rPr>
          <w:rFonts w:ascii="Times New Roman" w:eastAsia="Times New Roman" w:hAnsi="Times New Roman" w:cs="Times New Roman"/>
          <w:sz w:val="24"/>
          <w:szCs w:val="24"/>
          <w:lang w:eastAsia="en-GB"/>
        </w:rPr>
        <w:t xml:space="preserve">one person is believed to have taken or to be likely to take the action the second </w:t>
      </w:r>
      <w:r w:rsidR="001E2FD4" w:rsidRPr="001E2FD4">
        <w:rPr>
          <w:rFonts w:ascii="Times New Roman" w:eastAsia="Times New Roman" w:hAnsi="Times New Roman" w:cs="Times New Roman"/>
          <w:sz w:val="24"/>
          <w:szCs w:val="24"/>
          <w:lang w:eastAsia="en-GB"/>
        </w:rPr>
        <w:t xml:space="preserve">condition is that the person is </w:t>
      </w:r>
      <w:r w:rsidR="000F5CCF" w:rsidRPr="001E2FD4">
        <w:rPr>
          <w:rFonts w:ascii="Times New Roman" w:eastAsia="Times New Roman" w:hAnsi="Times New Roman" w:cs="Times New Roman"/>
          <w:sz w:val="24"/>
          <w:szCs w:val="24"/>
          <w:lang w:eastAsia="en-GB"/>
        </w:rPr>
        <w:t xml:space="preserve">(a) the government of a country or territory outside the </w:t>
      </w:r>
      <w:r w:rsidR="000F5CCF" w:rsidRPr="001E2FD4">
        <w:rPr>
          <w:rFonts w:ascii="Times New Roman" w:eastAsia="Times New Roman" w:hAnsi="Times New Roman" w:cs="Times New Roman"/>
          <w:sz w:val="24"/>
          <w:szCs w:val="24"/>
          <w:lang w:eastAsia="en-GB"/>
        </w:rPr>
        <w:lastRenderedPageBreak/>
        <w:t>United Kingdom, or</w:t>
      </w:r>
      <w:r w:rsidR="001E2FD4" w:rsidRPr="001E2FD4">
        <w:rPr>
          <w:rFonts w:ascii="Times New Roman" w:eastAsia="Times New Roman" w:hAnsi="Times New Roman" w:cs="Times New Roman"/>
          <w:sz w:val="24"/>
          <w:szCs w:val="24"/>
          <w:lang w:eastAsia="en-GB"/>
        </w:rPr>
        <w:t xml:space="preserve"> </w:t>
      </w:r>
      <w:r w:rsidR="000F5CCF" w:rsidRPr="001E2FD4">
        <w:rPr>
          <w:rFonts w:ascii="Times New Roman" w:eastAsia="Times New Roman" w:hAnsi="Times New Roman" w:cs="Times New Roman"/>
          <w:sz w:val="24"/>
          <w:szCs w:val="24"/>
          <w:lang w:eastAsia="en-GB"/>
        </w:rPr>
        <w:t>(b) a resident of a country or territ</w:t>
      </w:r>
      <w:r w:rsidR="005C068C">
        <w:rPr>
          <w:rFonts w:ascii="Times New Roman" w:eastAsia="Times New Roman" w:hAnsi="Times New Roman" w:cs="Times New Roman"/>
          <w:sz w:val="24"/>
          <w:szCs w:val="24"/>
          <w:lang w:eastAsia="en-GB"/>
        </w:rPr>
        <w:t>ory outside the United Kingdom’</w:t>
      </w:r>
      <w:r w:rsidR="001E2FD4" w:rsidRPr="001E2FD4">
        <w:rPr>
          <w:rFonts w:ascii="Times New Roman" w:eastAsia="Times New Roman" w:hAnsi="Times New Roman" w:cs="Times New Roman"/>
          <w:sz w:val="24"/>
          <w:szCs w:val="24"/>
          <w:lang w:eastAsia="en-GB"/>
        </w:rPr>
        <w:t>.</w:t>
      </w:r>
      <w:r w:rsidR="001E2FD4" w:rsidRPr="001E2FD4">
        <w:rPr>
          <w:rStyle w:val="FootnoteReference"/>
          <w:rFonts w:ascii="Times New Roman" w:eastAsia="Times New Roman" w:hAnsi="Times New Roman" w:cs="Times New Roman"/>
          <w:sz w:val="24"/>
          <w:szCs w:val="24"/>
          <w:lang w:eastAsia="en-GB"/>
        </w:rPr>
        <w:footnoteReference w:id="115"/>
      </w:r>
      <w:r w:rsidR="001E2FD4">
        <w:rPr>
          <w:rFonts w:ascii="Times New Roman" w:eastAsia="Times New Roman" w:hAnsi="Times New Roman" w:cs="Times New Roman"/>
          <w:sz w:val="24"/>
          <w:szCs w:val="24"/>
          <w:lang w:eastAsia="en-GB"/>
        </w:rPr>
        <w:t xml:space="preserve">  </w:t>
      </w:r>
      <w:r w:rsidR="00C97E04" w:rsidRPr="00C97E04">
        <w:rPr>
          <w:rFonts w:ascii="Times New Roman" w:hAnsi="Times New Roman" w:cs="Times New Roman"/>
          <w:sz w:val="24"/>
          <w:szCs w:val="24"/>
        </w:rPr>
        <w:t>Once a freezing order has been made it prevents all persons in the UK from making funds available to, or for the benefit of, a person or persons specified in the order.</w:t>
      </w:r>
      <w:r w:rsidR="00C97E04" w:rsidRPr="00C97E04">
        <w:rPr>
          <w:rFonts w:ascii="Times New Roman" w:hAnsi="Times New Roman" w:cs="Times New Roman"/>
          <w:sz w:val="24"/>
          <w:szCs w:val="24"/>
          <w:vertAlign w:val="superscript"/>
        </w:rPr>
        <w:footnoteReference w:id="116"/>
      </w:r>
      <w:r w:rsidR="00C97E04" w:rsidRPr="00C97E04">
        <w:rPr>
          <w:rFonts w:ascii="Times New Roman" w:hAnsi="Times New Roman" w:cs="Times New Roman"/>
          <w:sz w:val="24"/>
          <w:szCs w:val="24"/>
        </w:rPr>
        <w:t xml:space="preserve"> HM Treasury is required to keep the freezing order under review and to determine whether it should continually be enforced over a period of two years.</w:t>
      </w:r>
      <w:r w:rsidR="00C97E04" w:rsidRPr="00C97E04">
        <w:rPr>
          <w:rFonts w:ascii="Times New Roman" w:hAnsi="Times New Roman" w:cs="Times New Roman"/>
          <w:sz w:val="24"/>
          <w:szCs w:val="24"/>
          <w:vertAlign w:val="superscript"/>
        </w:rPr>
        <w:footnoteReference w:id="117"/>
      </w:r>
      <w:r w:rsidR="00C97E04" w:rsidRPr="00C97E04">
        <w:rPr>
          <w:rFonts w:ascii="Times New Roman" w:hAnsi="Times New Roman" w:cs="Times New Roman"/>
          <w:sz w:val="24"/>
          <w:szCs w:val="24"/>
        </w:rPr>
        <w:t xml:space="preserve"> The </w:t>
      </w:r>
      <w:r w:rsidR="00C97E04" w:rsidRPr="00C97E04">
        <w:rPr>
          <w:rFonts w:ascii="Times New Roman" w:hAnsi="Times New Roman" w:cs="Times New Roman"/>
          <w:color w:val="000000"/>
          <w:sz w:val="24"/>
          <w:szCs w:val="24"/>
        </w:rPr>
        <w:t>Al-Qaida and Taliban (Asset-Freezing) Regulations 2010,</w:t>
      </w:r>
      <w:r w:rsidR="00C97E04" w:rsidRPr="00C97E04">
        <w:rPr>
          <w:rFonts w:ascii="Times New Roman" w:hAnsi="Times New Roman" w:cs="Times New Roman"/>
          <w:color w:val="000000"/>
          <w:sz w:val="24"/>
          <w:szCs w:val="24"/>
          <w:vertAlign w:val="superscript"/>
        </w:rPr>
        <w:footnoteReference w:id="118"/>
      </w:r>
      <w:r w:rsidR="00C97E04" w:rsidRPr="00C97E04">
        <w:rPr>
          <w:rFonts w:ascii="Times New Roman" w:hAnsi="Times New Roman" w:cs="Times New Roman"/>
          <w:color w:val="000000"/>
          <w:sz w:val="24"/>
          <w:szCs w:val="24"/>
        </w:rPr>
        <w:t xml:space="preserve"> </w:t>
      </w:r>
      <w:r w:rsidR="001E2FD4">
        <w:rPr>
          <w:rFonts w:ascii="Times New Roman" w:hAnsi="Times New Roman" w:cs="Times New Roman"/>
          <w:color w:val="000000"/>
          <w:sz w:val="24"/>
          <w:szCs w:val="24"/>
        </w:rPr>
        <w:t xml:space="preserve">create a second </w:t>
      </w:r>
      <w:r w:rsidR="001E2FD4" w:rsidRPr="00C97E04">
        <w:rPr>
          <w:rFonts w:ascii="Times New Roman" w:hAnsi="Times New Roman" w:cs="Times New Roman"/>
          <w:sz w:val="24"/>
          <w:szCs w:val="24"/>
        </w:rPr>
        <w:t>asset fre</w:t>
      </w:r>
      <w:r w:rsidR="001E2FD4">
        <w:rPr>
          <w:rFonts w:ascii="Times New Roman" w:hAnsi="Times New Roman" w:cs="Times New Roman"/>
          <w:sz w:val="24"/>
          <w:szCs w:val="24"/>
        </w:rPr>
        <w:t>ezing regime which ap</w:t>
      </w:r>
      <w:r w:rsidR="005C068C">
        <w:rPr>
          <w:rFonts w:ascii="Times New Roman" w:hAnsi="Times New Roman" w:cs="Times New Roman"/>
          <w:sz w:val="24"/>
          <w:szCs w:val="24"/>
        </w:rPr>
        <w:t>plied to ‘</w:t>
      </w:r>
      <w:r w:rsidR="00C97E04" w:rsidRPr="00C97E04">
        <w:rPr>
          <w:rFonts w:ascii="Times New Roman" w:hAnsi="Times New Roman" w:cs="Times New Roman"/>
          <w:color w:val="000000"/>
          <w:sz w:val="24"/>
          <w:szCs w:val="24"/>
        </w:rPr>
        <w:t>breach</w:t>
      </w:r>
      <w:r w:rsidR="001E2FD4">
        <w:rPr>
          <w:rFonts w:ascii="Times New Roman" w:hAnsi="Times New Roman" w:cs="Times New Roman"/>
          <w:color w:val="000000"/>
          <w:sz w:val="24"/>
          <w:szCs w:val="24"/>
        </w:rPr>
        <w:t xml:space="preserve">es of </w:t>
      </w:r>
      <w:r w:rsidR="00C97E04" w:rsidRPr="00C97E04">
        <w:rPr>
          <w:rFonts w:ascii="Times New Roman" w:hAnsi="Times New Roman" w:cs="Times New Roman"/>
          <w:color w:val="000000"/>
          <w:sz w:val="24"/>
          <w:szCs w:val="24"/>
        </w:rPr>
        <w:t>the EU Regulation</w:t>
      </w:r>
      <w:r w:rsidR="00741856">
        <w:rPr>
          <w:rFonts w:ascii="Times New Roman" w:hAnsi="Times New Roman" w:cs="Times New Roman"/>
          <w:color w:val="000000"/>
          <w:sz w:val="24"/>
          <w:szCs w:val="24"/>
        </w:rPr>
        <w:t>s</w:t>
      </w:r>
      <w:r w:rsidR="00C97E04" w:rsidRPr="00C97E04">
        <w:rPr>
          <w:rFonts w:ascii="Times New Roman" w:hAnsi="Times New Roman" w:cs="Times New Roman"/>
          <w:color w:val="000000"/>
          <w:sz w:val="24"/>
          <w:szCs w:val="24"/>
        </w:rPr>
        <w:t xml:space="preserve"> which implements sanctions imposed by the UN Sanctions Committee</w:t>
      </w:r>
      <w:r w:rsidR="005C068C">
        <w:rPr>
          <w:rFonts w:ascii="Times New Roman" w:hAnsi="Times New Roman" w:cs="Times New Roman"/>
          <w:color w:val="000000"/>
          <w:sz w:val="24"/>
          <w:szCs w:val="24"/>
        </w:rPr>
        <w:t>’</w:t>
      </w:r>
      <w:r w:rsidR="00C97E04" w:rsidRPr="00C97E04">
        <w:rPr>
          <w:rFonts w:ascii="Times New Roman" w:hAnsi="Times New Roman" w:cs="Times New Roman"/>
          <w:color w:val="000000"/>
          <w:sz w:val="24"/>
          <w:szCs w:val="24"/>
        </w:rPr>
        <w:t>.</w:t>
      </w:r>
      <w:r w:rsidR="00C97E04" w:rsidRPr="00C97E04">
        <w:rPr>
          <w:rFonts w:ascii="Times New Roman" w:hAnsi="Times New Roman" w:cs="Times New Roman"/>
          <w:color w:val="000000"/>
          <w:sz w:val="24"/>
          <w:szCs w:val="24"/>
          <w:vertAlign w:val="superscript"/>
        </w:rPr>
        <w:footnoteReference w:id="119"/>
      </w:r>
      <w:r w:rsidR="00C97E04" w:rsidRPr="00C97E04">
        <w:rPr>
          <w:rFonts w:ascii="Times New Roman" w:hAnsi="Times New Roman" w:cs="Times New Roman"/>
          <w:color w:val="000000"/>
          <w:sz w:val="24"/>
          <w:szCs w:val="24"/>
        </w:rPr>
        <w:t xml:space="preserve">  </w:t>
      </w:r>
      <w:r w:rsidR="007825C0">
        <w:rPr>
          <w:rFonts w:ascii="Times New Roman" w:hAnsi="Times New Roman" w:cs="Times New Roman"/>
          <w:color w:val="000000"/>
          <w:sz w:val="24"/>
          <w:szCs w:val="24"/>
        </w:rPr>
        <w:t xml:space="preserve">A first regime has been created by the </w:t>
      </w:r>
      <w:r w:rsidR="00C97E04" w:rsidRPr="00C97E04">
        <w:rPr>
          <w:rFonts w:ascii="Times New Roman" w:hAnsi="Times New Roman" w:cs="Times New Roman"/>
          <w:color w:val="000000"/>
          <w:sz w:val="24"/>
          <w:szCs w:val="24"/>
        </w:rPr>
        <w:t>Terroris</w:t>
      </w:r>
      <w:r w:rsidR="00741856">
        <w:rPr>
          <w:rFonts w:ascii="Times New Roman" w:hAnsi="Times New Roman" w:cs="Times New Roman"/>
          <w:color w:val="000000"/>
          <w:sz w:val="24"/>
          <w:szCs w:val="24"/>
        </w:rPr>
        <w:t>t-Asset Freezing Etc. Act 2010</w:t>
      </w:r>
      <w:r w:rsidR="007825C0">
        <w:rPr>
          <w:rFonts w:ascii="Times New Roman" w:hAnsi="Times New Roman" w:cs="Times New Roman"/>
          <w:color w:val="000000"/>
          <w:sz w:val="24"/>
          <w:szCs w:val="24"/>
        </w:rPr>
        <w:t xml:space="preserve"> which seeks to enforce UNSCR 1373 and </w:t>
      </w:r>
      <w:r w:rsidR="00C97E04" w:rsidRPr="00C97E04">
        <w:rPr>
          <w:rFonts w:ascii="Times New Roman" w:hAnsi="Times New Roman" w:cs="Times New Roman"/>
          <w:color w:val="000000"/>
          <w:sz w:val="24"/>
          <w:szCs w:val="24"/>
        </w:rPr>
        <w:t>Council Regulation 2580/2001.</w:t>
      </w:r>
      <w:r w:rsidR="00C97E04" w:rsidRPr="00C97E04">
        <w:rPr>
          <w:rFonts w:ascii="Times New Roman" w:hAnsi="Times New Roman" w:cs="Times New Roman"/>
          <w:color w:val="000000"/>
          <w:sz w:val="24"/>
          <w:szCs w:val="24"/>
          <w:vertAlign w:val="superscript"/>
        </w:rPr>
        <w:footnoteReference w:id="120"/>
      </w:r>
      <w:r w:rsidR="00C97E04" w:rsidRPr="00C97E04">
        <w:rPr>
          <w:rFonts w:ascii="Times New Roman" w:hAnsi="Times New Roman" w:cs="Times New Roman"/>
          <w:color w:val="000000"/>
          <w:sz w:val="24"/>
          <w:szCs w:val="24"/>
        </w:rPr>
        <w:t xml:space="preserve">  </w:t>
      </w:r>
      <w:r w:rsidRPr="00C97E04">
        <w:rPr>
          <w:rFonts w:ascii="Times New Roman" w:hAnsi="Times New Roman" w:cs="Times New Roman"/>
          <w:sz w:val="24"/>
          <w:szCs w:val="24"/>
        </w:rPr>
        <w:t>The ability to freeze the assets of suspected terrorists has been criticised and these powers have been declared an inappropriate use of emergency legislation.</w:t>
      </w:r>
      <w:r w:rsidRPr="00C97E04">
        <w:rPr>
          <w:rFonts w:ascii="Times New Roman" w:hAnsi="Times New Roman" w:cs="Times New Roman"/>
          <w:sz w:val="24"/>
          <w:szCs w:val="24"/>
          <w:vertAlign w:val="superscript"/>
        </w:rPr>
        <w:footnoteReference w:id="121"/>
      </w:r>
      <w:r>
        <w:rPr>
          <w:rFonts w:ascii="Times New Roman" w:hAnsi="Times New Roman" w:cs="Times New Roman"/>
          <w:sz w:val="24"/>
          <w:szCs w:val="24"/>
        </w:rPr>
        <w:t xml:space="preserve">  </w:t>
      </w:r>
      <w:r w:rsidRPr="001E2FD4">
        <w:rPr>
          <w:rFonts w:ascii="Times New Roman" w:hAnsi="Times New Roman" w:cs="Times New Roman"/>
          <w:bCs/>
          <w:sz w:val="24"/>
          <w:szCs w:val="24"/>
        </w:rPr>
        <w:t xml:space="preserve"> </w:t>
      </w:r>
      <w:r w:rsidR="00C97E04" w:rsidRPr="00C97E04">
        <w:rPr>
          <w:rFonts w:ascii="Times New Roman" w:hAnsi="Times New Roman" w:cs="Times New Roman"/>
          <w:sz w:val="24"/>
          <w:szCs w:val="24"/>
        </w:rPr>
        <w:t>Furthermore, thes</w:t>
      </w:r>
      <w:r w:rsidR="005C068C">
        <w:rPr>
          <w:rFonts w:ascii="Times New Roman" w:hAnsi="Times New Roman" w:cs="Times New Roman"/>
          <w:sz w:val="24"/>
          <w:szCs w:val="24"/>
        </w:rPr>
        <w:t>e powers are the result of the ‘</w:t>
      </w:r>
      <w:r w:rsidR="00C97E04" w:rsidRPr="00C97E04">
        <w:rPr>
          <w:rFonts w:ascii="Times New Roman" w:hAnsi="Times New Roman" w:cs="Times New Roman"/>
          <w:sz w:val="24"/>
          <w:szCs w:val="24"/>
        </w:rPr>
        <w:t xml:space="preserve">headlong rush to drive the </w:t>
      </w:r>
      <w:r w:rsidR="00741856">
        <w:rPr>
          <w:rFonts w:ascii="Times New Roman" w:hAnsi="Times New Roman" w:cs="Times New Roman"/>
          <w:sz w:val="24"/>
          <w:szCs w:val="24"/>
        </w:rPr>
        <w:t xml:space="preserve">[2001] </w:t>
      </w:r>
      <w:r w:rsidR="00C97E04" w:rsidRPr="00C97E04">
        <w:rPr>
          <w:rFonts w:ascii="Times New Roman" w:hAnsi="Times New Roman" w:cs="Times New Roman"/>
          <w:sz w:val="24"/>
          <w:szCs w:val="24"/>
        </w:rPr>
        <w:t xml:space="preserve">Act through Parliament with little or no time to consider whether a more appropriate and effective system </w:t>
      </w:r>
      <w:r w:rsidR="00741856">
        <w:rPr>
          <w:rFonts w:ascii="Times New Roman" w:hAnsi="Times New Roman" w:cs="Times New Roman"/>
          <w:sz w:val="24"/>
          <w:szCs w:val="24"/>
        </w:rPr>
        <w:t xml:space="preserve">… </w:t>
      </w:r>
      <w:r w:rsidR="00C97E04" w:rsidRPr="00C97E04">
        <w:rPr>
          <w:rFonts w:ascii="Times New Roman" w:hAnsi="Times New Roman" w:cs="Times New Roman"/>
          <w:sz w:val="24"/>
          <w:szCs w:val="24"/>
        </w:rPr>
        <w:t>could be devised</w:t>
      </w:r>
      <w:r w:rsidR="005C068C">
        <w:rPr>
          <w:rFonts w:ascii="Times New Roman" w:hAnsi="Times New Roman" w:cs="Times New Roman"/>
          <w:sz w:val="24"/>
          <w:szCs w:val="24"/>
        </w:rPr>
        <w:t>’</w:t>
      </w:r>
      <w:r w:rsidR="00C97E04" w:rsidRPr="00C97E04">
        <w:rPr>
          <w:rFonts w:ascii="Times New Roman" w:hAnsi="Times New Roman" w:cs="Times New Roman"/>
          <w:sz w:val="24"/>
          <w:szCs w:val="24"/>
        </w:rPr>
        <w:t>.</w:t>
      </w:r>
      <w:r w:rsidR="00C97E04" w:rsidRPr="00C97E04">
        <w:rPr>
          <w:rFonts w:ascii="Times New Roman" w:hAnsi="Times New Roman" w:cs="Times New Roman"/>
          <w:sz w:val="24"/>
          <w:szCs w:val="24"/>
          <w:vertAlign w:val="superscript"/>
        </w:rPr>
        <w:footnoteReference w:id="122"/>
      </w:r>
      <w:r w:rsidR="00C97E04" w:rsidRPr="00C97E04">
        <w:rPr>
          <w:rFonts w:ascii="Times New Roman" w:hAnsi="Times New Roman" w:cs="Times New Roman"/>
          <w:sz w:val="24"/>
          <w:szCs w:val="24"/>
        </w:rPr>
        <w:t xml:space="preserve"> </w:t>
      </w:r>
      <w:r w:rsidR="007825C0">
        <w:rPr>
          <w:rFonts w:ascii="Times New Roman" w:hAnsi="Times New Roman" w:cs="Times New Roman"/>
          <w:sz w:val="24"/>
          <w:szCs w:val="24"/>
        </w:rPr>
        <w:t>Nonetheless, t</w:t>
      </w:r>
      <w:r w:rsidR="00741856">
        <w:rPr>
          <w:rFonts w:ascii="Times New Roman" w:hAnsi="Times New Roman" w:cs="Times New Roman"/>
          <w:sz w:val="24"/>
          <w:szCs w:val="24"/>
        </w:rPr>
        <w:t xml:space="preserve">he former Labour government highlighted the </w:t>
      </w:r>
      <w:r w:rsidR="00741856" w:rsidRPr="007825C0">
        <w:rPr>
          <w:rFonts w:ascii="Times New Roman" w:hAnsi="Times New Roman" w:cs="Times New Roman"/>
          <w:i/>
          <w:sz w:val="24"/>
          <w:szCs w:val="24"/>
        </w:rPr>
        <w:t>apparent</w:t>
      </w:r>
      <w:r w:rsidR="00741856">
        <w:rPr>
          <w:rFonts w:ascii="Times New Roman" w:hAnsi="Times New Roman" w:cs="Times New Roman"/>
          <w:sz w:val="24"/>
          <w:szCs w:val="24"/>
        </w:rPr>
        <w:t xml:space="preserve"> success of asset freezing and boldly stated that prior to 9/11 they have frozen the assets of over 100 entities and approximately 200 individuals totalling in excess of £100m</w:t>
      </w:r>
      <w:r w:rsidR="00C97E04" w:rsidRPr="00C97E04">
        <w:rPr>
          <w:rFonts w:ascii="Times New Roman" w:hAnsi="Times New Roman" w:cs="Times New Roman"/>
          <w:sz w:val="24"/>
          <w:szCs w:val="24"/>
        </w:rPr>
        <w:t>.</w:t>
      </w:r>
      <w:r w:rsidR="00C97E04" w:rsidRPr="00C97E04">
        <w:rPr>
          <w:rFonts w:ascii="Times New Roman" w:hAnsi="Times New Roman" w:cs="Times New Roman"/>
          <w:sz w:val="24"/>
          <w:szCs w:val="24"/>
          <w:vertAlign w:val="superscript"/>
        </w:rPr>
        <w:footnoteReference w:id="123"/>
      </w:r>
      <w:r w:rsidR="00C97E04" w:rsidRPr="00C97E04">
        <w:rPr>
          <w:rFonts w:ascii="Times New Roman" w:hAnsi="Times New Roman" w:cs="Times New Roman"/>
          <w:sz w:val="24"/>
          <w:szCs w:val="24"/>
        </w:rPr>
        <w:t xml:space="preserve">  </w:t>
      </w:r>
      <w:r w:rsidR="0023579C">
        <w:rPr>
          <w:rFonts w:ascii="Times New Roman" w:hAnsi="Times New Roman" w:cs="Times New Roman"/>
          <w:sz w:val="24"/>
          <w:szCs w:val="24"/>
        </w:rPr>
        <w:t>It has also been suggested that</w:t>
      </w:r>
      <w:r w:rsidR="005C068C">
        <w:rPr>
          <w:rFonts w:ascii="Times New Roman" w:hAnsi="Times New Roman" w:cs="Times New Roman"/>
          <w:sz w:val="24"/>
          <w:szCs w:val="24"/>
        </w:rPr>
        <w:t xml:space="preserve"> ‘</w:t>
      </w:r>
      <w:r w:rsidR="0023579C" w:rsidRPr="00C97E04">
        <w:rPr>
          <w:rFonts w:ascii="Times New Roman" w:eastAsia="Times New Roman" w:hAnsi="Times New Roman" w:cs="Times New Roman"/>
          <w:color w:val="000000"/>
          <w:sz w:val="24"/>
          <w:szCs w:val="24"/>
          <w:lang w:eastAsia="en-GB"/>
        </w:rPr>
        <w:t>asset freezes can have a deterrent and disruptive effect, and the fact that such effect is unquantifiable does not mean that it is trivial … d</w:t>
      </w:r>
      <w:r w:rsidR="0023579C" w:rsidRPr="00C97E04">
        <w:rPr>
          <w:rFonts w:ascii="Times New Roman" w:hAnsi="Times New Roman" w:cs="Times New Roman"/>
          <w:color w:val="000000"/>
          <w:sz w:val="24"/>
          <w:szCs w:val="24"/>
        </w:rPr>
        <w:t>esignation of a known terrorist organisation with a history of fundraising … may be assumed to</w:t>
      </w:r>
      <w:r w:rsidR="005C068C">
        <w:rPr>
          <w:rFonts w:ascii="Times New Roman" w:hAnsi="Times New Roman" w:cs="Times New Roman"/>
          <w:color w:val="000000"/>
          <w:sz w:val="24"/>
          <w:szCs w:val="24"/>
        </w:rPr>
        <w:t xml:space="preserve"> have useful disruptive effects’</w:t>
      </w:r>
      <w:r w:rsidR="0023579C" w:rsidRPr="00C97E04">
        <w:rPr>
          <w:rFonts w:ascii="Times New Roman" w:hAnsi="Times New Roman" w:cs="Times New Roman"/>
          <w:color w:val="000000"/>
          <w:sz w:val="24"/>
          <w:szCs w:val="24"/>
        </w:rPr>
        <w:t>.</w:t>
      </w:r>
      <w:r w:rsidR="0023579C" w:rsidRPr="00C97E04">
        <w:rPr>
          <w:rFonts w:ascii="Times New Roman" w:hAnsi="Times New Roman" w:cs="Times New Roman"/>
          <w:color w:val="000000"/>
          <w:sz w:val="24"/>
          <w:szCs w:val="24"/>
          <w:vertAlign w:val="superscript"/>
        </w:rPr>
        <w:footnoteReference w:id="124"/>
      </w:r>
      <w:r w:rsidR="0023579C" w:rsidRPr="00C97E04">
        <w:rPr>
          <w:rFonts w:ascii="Times New Roman" w:hAnsi="Times New Roman" w:cs="Times New Roman"/>
          <w:color w:val="000000"/>
          <w:sz w:val="24"/>
          <w:szCs w:val="24"/>
        </w:rPr>
        <w:t xml:space="preserve">  </w:t>
      </w:r>
      <w:r w:rsidR="0023579C" w:rsidRPr="00C97E04">
        <w:rPr>
          <w:rFonts w:ascii="Times New Roman" w:hAnsi="Times New Roman" w:cs="Times New Roman"/>
          <w:sz w:val="24"/>
          <w:szCs w:val="24"/>
        </w:rPr>
        <w:t xml:space="preserve">Conversely, it has crudely been suggested that success can be measured in the </w:t>
      </w:r>
      <w:r w:rsidR="0023579C" w:rsidRPr="00C97E04">
        <w:rPr>
          <w:rFonts w:ascii="Times New Roman" w:hAnsi="Times New Roman" w:cs="Times New Roman"/>
          <w:sz w:val="24"/>
          <w:szCs w:val="24"/>
        </w:rPr>
        <w:lastRenderedPageBreak/>
        <w:t>actual amount of mon</w:t>
      </w:r>
      <w:r w:rsidR="005C068C">
        <w:rPr>
          <w:rFonts w:ascii="Times New Roman" w:hAnsi="Times New Roman" w:cs="Times New Roman"/>
          <w:sz w:val="24"/>
          <w:szCs w:val="24"/>
        </w:rPr>
        <w:t>ey frozen ‘</w:t>
      </w:r>
      <w:r w:rsidR="0023579C" w:rsidRPr="00C97E04">
        <w:rPr>
          <w:rFonts w:ascii="Times New Roman" w:hAnsi="Times New Roman" w:cs="Times New Roman"/>
          <w:sz w:val="24"/>
          <w:szCs w:val="24"/>
        </w:rPr>
        <w:t>and though the headline figure thus generated is doubtless politically satisfying to some, it is</w:t>
      </w:r>
      <w:r w:rsidR="005C068C">
        <w:rPr>
          <w:rFonts w:ascii="Times New Roman" w:hAnsi="Times New Roman" w:cs="Times New Roman"/>
          <w:sz w:val="24"/>
          <w:szCs w:val="24"/>
        </w:rPr>
        <w:t xml:space="preserve"> not a measure of effectiveness’</w:t>
      </w:r>
      <w:r w:rsidR="0023579C" w:rsidRPr="00C97E04">
        <w:rPr>
          <w:rFonts w:ascii="Times New Roman" w:hAnsi="Times New Roman" w:cs="Times New Roman"/>
          <w:sz w:val="24"/>
          <w:szCs w:val="24"/>
        </w:rPr>
        <w:t>.</w:t>
      </w:r>
      <w:r w:rsidR="0023579C" w:rsidRPr="00C97E04">
        <w:rPr>
          <w:rFonts w:ascii="Times New Roman" w:hAnsi="Times New Roman" w:cs="Times New Roman"/>
          <w:sz w:val="24"/>
          <w:szCs w:val="24"/>
          <w:vertAlign w:val="superscript"/>
        </w:rPr>
        <w:footnoteReference w:id="125"/>
      </w:r>
      <w:r w:rsidR="0023579C" w:rsidRPr="00C97E04">
        <w:rPr>
          <w:rFonts w:ascii="Times New Roman" w:hAnsi="Times New Roman" w:cs="Times New Roman"/>
          <w:sz w:val="24"/>
          <w:szCs w:val="24"/>
        </w:rPr>
        <w:t xml:space="preserve">   </w:t>
      </w:r>
      <w:r w:rsidR="00C97E04" w:rsidRPr="00C97E04">
        <w:rPr>
          <w:rFonts w:ascii="Times New Roman" w:hAnsi="Times New Roman" w:cs="Times New Roman"/>
          <w:sz w:val="24"/>
          <w:szCs w:val="24"/>
        </w:rPr>
        <w:t xml:space="preserve">Nonetheless, despite the </w:t>
      </w:r>
      <w:r w:rsidR="00E96CDE">
        <w:rPr>
          <w:rFonts w:ascii="Times New Roman" w:hAnsi="Times New Roman" w:cs="Times New Roman"/>
          <w:sz w:val="24"/>
          <w:szCs w:val="24"/>
        </w:rPr>
        <w:t>‘media friendly’ figures flaunted</w:t>
      </w:r>
      <w:r w:rsidR="007825C0">
        <w:rPr>
          <w:rFonts w:ascii="Times New Roman" w:hAnsi="Times New Roman" w:cs="Times New Roman"/>
          <w:sz w:val="24"/>
          <w:szCs w:val="24"/>
        </w:rPr>
        <w:t xml:space="preserve"> by the government</w:t>
      </w:r>
      <w:r w:rsidR="00E96CDE">
        <w:rPr>
          <w:rFonts w:ascii="Times New Roman" w:hAnsi="Times New Roman" w:cs="Times New Roman"/>
          <w:sz w:val="24"/>
          <w:szCs w:val="24"/>
        </w:rPr>
        <w:t xml:space="preserve">, </w:t>
      </w:r>
      <w:r w:rsidR="00C97E04" w:rsidRPr="00C97E04">
        <w:rPr>
          <w:rFonts w:ascii="Times New Roman" w:hAnsi="Times New Roman" w:cs="Times New Roman"/>
          <w:sz w:val="24"/>
          <w:szCs w:val="24"/>
        </w:rPr>
        <w:t>the amount of money frozen has drastically</w:t>
      </w:r>
      <w:r w:rsidR="007825C0">
        <w:rPr>
          <w:rFonts w:ascii="Times New Roman" w:hAnsi="Times New Roman" w:cs="Times New Roman"/>
          <w:sz w:val="24"/>
          <w:szCs w:val="24"/>
        </w:rPr>
        <w:t xml:space="preserve"> fallen</w:t>
      </w:r>
      <w:r w:rsidR="00C97E04" w:rsidRPr="00C97E04">
        <w:rPr>
          <w:rFonts w:ascii="Times New Roman" w:hAnsi="Times New Roman" w:cs="Times New Roman"/>
          <w:sz w:val="24"/>
          <w:szCs w:val="24"/>
        </w:rPr>
        <w:t xml:space="preserve">.  For example, </w:t>
      </w:r>
      <w:r w:rsidR="00E96CDE">
        <w:rPr>
          <w:rFonts w:ascii="Times New Roman" w:hAnsi="Times New Roman" w:cs="Times New Roman"/>
          <w:sz w:val="24"/>
          <w:szCs w:val="24"/>
        </w:rPr>
        <w:t>it was reported in 2011 that the amount of assets frozen was £100,000,</w:t>
      </w:r>
      <w:r w:rsidR="00C97E04" w:rsidRPr="00C97E04">
        <w:rPr>
          <w:rFonts w:ascii="Times New Roman" w:hAnsi="Times New Roman" w:cs="Times New Roman"/>
          <w:color w:val="000000"/>
          <w:sz w:val="24"/>
          <w:szCs w:val="24"/>
          <w:vertAlign w:val="superscript"/>
        </w:rPr>
        <w:footnoteReference w:id="126"/>
      </w:r>
      <w:r w:rsidR="00E96CDE">
        <w:rPr>
          <w:rFonts w:ascii="Times New Roman" w:hAnsi="Times New Roman" w:cs="Times New Roman"/>
          <w:sz w:val="24"/>
          <w:szCs w:val="24"/>
        </w:rPr>
        <w:t xml:space="preserve"> £44,000 in 201</w:t>
      </w:r>
      <w:r w:rsidR="0023579C">
        <w:rPr>
          <w:rFonts w:ascii="Times New Roman" w:hAnsi="Times New Roman" w:cs="Times New Roman"/>
          <w:sz w:val="24"/>
          <w:szCs w:val="24"/>
        </w:rPr>
        <w:t>2</w:t>
      </w:r>
      <w:r w:rsidR="00E96CDE">
        <w:rPr>
          <w:rFonts w:ascii="Times New Roman" w:hAnsi="Times New Roman" w:cs="Times New Roman"/>
          <w:sz w:val="24"/>
          <w:szCs w:val="24"/>
        </w:rPr>
        <w:t>,</w:t>
      </w:r>
      <w:r w:rsidR="00E96CDE">
        <w:rPr>
          <w:rStyle w:val="FootnoteReference"/>
          <w:rFonts w:ascii="Times New Roman" w:hAnsi="Times New Roman" w:cs="Times New Roman"/>
          <w:sz w:val="24"/>
          <w:szCs w:val="24"/>
        </w:rPr>
        <w:footnoteReference w:id="127"/>
      </w:r>
      <w:r w:rsidR="0023579C">
        <w:rPr>
          <w:rFonts w:ascii="Times New Roman" w:hAnsi="Times New Roman" w:cs="Times New Roman"/>
          <w:sz w:val="24"/>
          <w:szCs w:val="24"/>
        </w:rPr>
        <w:t xml:space="preserve"> £102,000 in 2013 </w:t>
      </w:r>
      <w:r w:rsidR="0023579C">
        <w:rPr>
          <w:rStyle w:val="FootnoteReference"/>
          <w:rFonts w:ascii="Times New Roman" w:hAnsi="Times New Roman" w:cs="Times New Roman"/>
          <w:sz w:val="24"/>
          <w:szCs w:val="24"/>
        </w:rPr>
        <w:footnoteReference w:id="128"/>
      </w:r>
      <w:r w:rsidR="0023579C">
        <w:rPr>
          <w:rFonts w:ascii="Times New Roman" w:hAnsi="Times New Roman" w:cs="Times New Roman"/>
          <w:sz w:val="24"/>
          <w:szCs w:val="24"/>
        </w:rPr>
        <w:t xml:space="preserve"> and </w:t>
      </w:r>
      <w:r w:rsidR="00E96CDE">
        <w:rPr>
          <w:rFonts w:ascii="Times New Roman" w:hAnsi="Times New Roman" w:cs="Times New Roman"/>
          <w:sz w:val="24"/>
          <w:szCs w:val="24"/>
        </w:rPr>
        <w:t>£61,000 in 2014</w:t>
      </w:r>
      <w:r w:rsidR="0023579C">
        <w:rPr>
          <w:rFonts w:ascii="Times New Roman" w:hAnsi="Times New Roman" w:cs="Times New Roman"/>
          <w:sz w:val="24"/>
          <w:szCs w:val="24"/>
        </w:rPr>
        <w:t>.</w:t>
      </w:r>
      <w:r w:rsidR="00E96CDE">
        <w:rPr>
          <w:rStyle w:val="FootnoteReference"/>
          <w:rFonts w:ascii="Times New Roman" w:hAnsi="Times New Roman" w:cs="Times New Roman"/>
          <w:sz w:val="24"/>
          <w:szCs w:val="24"/>
        </w:rPr>
        <w:footnoteReference w:id="129"/>
      </w:r>
      <w:r w:rsidR="0023579C">
        <w:rPr>
          <w:rFonts w:ascii="Times New Roman" w:hAnsi="Times New Roman" w:cs="Times New Roman"/>
          <w:sz w:val="24"/>
          <w:szCs w:val="24"/>
        </w:rPr>
        <w:t xml:space="preserve">  </w:t>
      </w:r>
      <w:r w:rsidR="00A859B4" w:rsidRPr="00C97E04">
        <w:rPr>
          <w:rFonts w:ascii="Times New Roman" w:eastAsia="Times New Roman" w:hAnsi="Times New Roman" w:cs="Times New Roman"/>
          <w:sz w:val="24"/>
          <w:szCs w:val="24"/>
          <w:lang w:val="en" w:eastAsia="en-GB"/>
        </w:rPr>
        <w:t xml:space="preserve">The </w:t>
      </w:r>
      <w:r w:rsidR="00A859B4" w:rsidRPr="00C97E04">
        <w:rPr>
          <w:rFonts w:ascii="Times New Roman" w:eastAsia="Times New Roman" w:hAnsi="Times New Roman" w:cs="Times New Roman"/>
          <w:sz w:val="24"/>
          <w:szCs w:val="24"/>
          <w:lang w:eastAsia="en-GB"/>
        </w:rPr>
        <w:t>House of Lord Select Committee o</w:t>
      </w:r>
      <w:r w:rsidR="005C068C">
        <w:rPr>
          <w:rFonts w:ascii="Times New Roman" w:eastAsia="Times New Roman" w:hAnsi="Times New Roman" w:cs="Times New Roman"/>
          <w:sz w:val="24"/>
          <w:szCs w:val="24"/>
          <w:lang w:eastAsia="en-GB"/>
        </w:rPr>
        <w:t>n Economic Affairs stated that ‘</w:t>
      </w:r>
      <w:r w:rsidR="00A859B4" w:rsidRPr="00C97E04">
        <w:rPr>
          <w:rFonts w:ascii="Times New Roman" w:eastAsia="Times New Roman" w:hAnsi="Times New Roman" w:cs="Times New Roman"/>
          <w:sz w:val="24"/>
          <w:szCs w:val="24"/>
          <w:lang w:eastAsia="en-GB"/>
        </w:rPr>
        <w:t>t</w:t>
      </w:r>
      <w:r w:rsidR="00A859B4" w:rsidRPr="00C97E04">
        <w:rPr>
          <w:rFonts w:ascii="Times New Roman" w:hAnsi="Times New Roman" w:cs="Times New Roman"/>
          <w:bCs/>
          <w:sz w:val="24"/>
          <w:szCs w:val="24"/>
        </w:rPr>
        <w:t>he evidence suggests that the amounts of money frozen are so small, both in absolute terms and relative to the probable resources of the targets, that it is doubtful whether asset freezes are effective as a means of inhibiting or changing the beha</w:t>
      </w:r>
      <w:r w:rsidR="005C068C">
        <w:rPr>
          <w:rFonts w:ascii="Times New Roman" w:hAnsi="Times New Roman" w:cs="Times New Roman"/>
          <w:bCs/>
          <w:sz w:val="24"/>
          <w:szCs w:val="24"/>
        </w:rPr>
        <w:t>viour of those who are targeted’</w:t>
      </w:r>
      <w:r w:rsidR="00A859B4" w:rsidRPr="00C97E04">
        <w:rPr>
          <w:rFonts w:ascii="Times New Roman" w:hAnsi="Times New Roman" w:cs="Times New Roman"/>
          <w:bCs/>
          <w:sz w:val="24"/>
          <w:szCs w:val="24"/>
        </w:rPr>
        <w:t>.</w:t>
      </w:r>
      <w:r w:rsidR="00A859B4" w:rsidRPr="00C97E04">
        <w:rPr>
          <w:rFonts w:ascii="Times New Roman" w:hAnsi="Times New Roman" w:cs="Times New Roman"/>
          <w:sz w:val="24"/>
          <w:szCs w:val="24"/>
          <w:vertAlign w:val="superscript"/>
        </w:rPr>
        <w:footnoteReference w:id="130"/>
      </w:r>
      <w:r w:rsidR="00A859B4" w:rsidRPr="00C97E04">
        <w:rPr>
          <w:rFonts w:ascii="Times New Roman" w:hAnsi="Times New Roman" w:cs="Times New Roman"/>
          <w:bCs/>
          <w:sz w:val="24"/>
          <w:szCs w:val="24"/>
        </w:rPr>
        <w:t xml:space="preserve"> </w:t>
      </w:r>
      <w:r w:rsidR="00A859B4" w:rsidRPr="00C97E04">
        <w:rPr>
          <w:rFonts w:ascii="Times New Roman" w:eastAsia="Times New Roman" w:hAnsi="Times New Roman" w:cs="Times New Roman"/>
          <w:sz w:val="24"/>
          <w:szCs w:val="24"/>
          <w:lang w:val="en" w:eastAsia="en-GB"/>
        </w:rPr>
        <w:t>This is a view supported by B</w:t>
      </w:r>
      <w:r w:rsidR="005C068C">
        <w:rPr>
          <w:rFonts w:ascii="Times New Roman" w:eastAsia="Times New Roman" w:hAnsi="Times New Roman" w:cs="Times New Roman"/>
          <w:sz w:val="24"/>
          <w:szCs w:val="24"/>
          <w:lang w:val="en" w:eastAsia="en-GB"/>
        </w:rPr>
        <w:t>rent and Blair who stated that ‘</w:t>
      </w:r>
      <w:r w:rsidR="00A859B4" w:rsidRPr="00C97E04">
        <w:rPr>
          <w:rFonts w:ascii="Times New Roman" w:eastAsia="Times New Roman" w:hAnsi="Times New Roman" w:cs="Times New Roman"/>
          <w:sz w:val="24"/>
          <w:szCs w:val="24"/>
          <w:lang w:val="en" w:eastAsia="en-GB"/>
        </w:rPr>
        <w:t xml:space="preserve">as far as the UK is concerned, the result of the imposition of sanctions regimes against Al Qaida and the Taliban has been to freeze £466,000 with 187 frozen bank accounts … </w:t>
      </w:r>
      <w:r w:rsidR="00A859B4" w:rsidRPr="00C97E04">
        <w:rPr>
          <w:rFonts w:ascii="Times New Roman" w:eastAsia="Times New Roman" w:hAnsi="Times New Roman" w:cs="Times New Roman"/>
          <w:sz w:val="24"/>
          <w:szCs w:val="20"/>
          <w:lang w:val="en" w:eastAsia="en-GB"/>
        </w:rPr>
        <w:t>in the case of anti-terrorist sanctions, their effectiv</w:t>
      </w:r>
      <w:r w:rsidR="005C068C">
        <w:rPr>
          <w:rFonts w:ascii="Times New Roman" w:eastAsia="Times New Roman" w:hAnsi="Times New Roman" w:cs="Times New Roman"/>
          <w:sz w:val="24"/>
          <w:szCs w:val="20"/>
          <w:lang w:val="en" w:eastAsia="en-GB"/>
        </w:rPr>
        <w:t>eness … has been the subject of’</w:t>
      </w:r>
      <w:r w:rsidR="00A859B4" w:rsidRPr="00C97E04">
        <w:rPr>
          <w:rFonts w:ascii="Times New Roman" w:eastAsia="Times New Roman" w:hAnsi="Times New Roman" w:cs="Times New Roman"/>
          <w:sz w:val="24"/>
          <w:szCs w:val="20"/>
          <w:lang w:val="en" w:eastAsia="en-GB"/>
        </w:rPr>
        <w:t>.</w:t>
      </w:r>
      <w:r w:rsidR="00A859B4" w:rsidRPr="00C97E04">
        <w:rPr>
          <w:rFonts w:ascii="Times New Roman" w:eastAsiaTheme="majorEastAsia" w:hAnsi="Times New Roman" w:cs="Times New Roman"/>
          <w:sz w:val="24"/>
          <w:szCs w:val="20"/>
          <w:vertAlign w:val="superscript"/>
          <w:lang w:val="en" w:eastAsia="en-GB"/>
        </w:rPr>
        <w:footnoteReference w:id="131"/>
      </w:r>
      <w:r w:rsidR="00A859B4" w:rsidRPr="00C97E04">
        <w:rPr>
          <w:rFonts w:ascii="Times New Roman" w:eastAsia="Times New Roman" w:hAnsi="Times New Roman" w:cs="Times New Roman"/>
          <w:sz w:val="24"/>
          <w:szCs w:val="20"/>
          <w:lang w:val="en" w:eastAsia="en-GB"/>
        </w:rPr>
        <w:t xml:space="preserve">  </w:t>
      </w:r>
      <w:r w:rsidR="0023579C">
        <w:rPr>
          <w:rFonts w:ascii="Times New Roman" w:hAnsi="Times New Roman" w:cs="Times New Roman"/>
          <w:sz w:val="24"/>
          <w:szCs w:val="24"/>
        </w:rPr>
        <w:t xml:space="preserve">Therefore, it has been concluded that the </w:t>
      </w:r>
      <w:r w:rsidR="00C97E04" w:rsidRPr="00C97E04">
        <w:rPr>
          <w:rFonts w:ascii="Times New Roman" w:eastAsia="Times New Roman" w:hAnsi="Times New Roman" w:cs="Times New Roman"/>
          <w:color w:val="000000"/>
          <w:sz w:val="24"/>
          <w:szCs w:val="24"/>
          <w:lang w:eastAsia="en-GB"/>
        </w:rPr>
        <w:t xml:space="preserve">freezing asset provisions </w:t>
      </w:r>
      <w:r w:rsidR="005C068C">
        <w:rPr>
          <w:rFonts w:ascii="Times New Roman" w:eastAsia="Times New Roman" w:hAnsi="Times New Roman" w:cs="Times New Roman"/>
          <w:color w:val="000000"/>
          <w:sz w:val="24"/>
          <w:szCs w:val="24"/>
          <w:lang w:eastAsia="en-GB"/>
        </w:rPr>
        <w:t>are ‘</w:t>
      </w:r>
      <w:r w:rsidR="00C97E04" w:rsidRPr="00C97E04">
        <w:rPr>
          <w:rFonts w:ascii="Times New Roman" w:eastAsia="Times New Roman" w:hAnsi="Times New Roman" w:cs="Times New Roman"/>
          <w:color w:val="000000"/>
          <w:sz w:val="24"/>
          <w:szCs w:val="24"/>
          <w:lang w:eastAsia="en-GB"/>
        </w:rPr>
        <w:t>an ancillary rather than a central part</w:t>
      </w:r>
      <w:r w:rsidR="005C068C">
        <w:rPr>
          <w:rFonts w:ascii="Times New Roman" w:eastAsia="Times New Roman" w:hAnsi="Times New Roman" w:cs="Times New Roman"/>
          <w:color w:val="000000"/>
          <w:sz w:val="24"/>
          <w:szCs w:val="24"/>
          <w:lang w:eastAsia="en-GB"/>
        </w:rPr>
        <w:t xml:space="preserve"> of the fight against terrorism’</w:t>
      </w:r>
      <w:r w:rsidR="00C97E04" w:rsidRPr="00C97E04">
        <w:rPr>
          <w:rFonts w:ascii="Times New Roman" w:eastAsia="Times New Roman" w:hAnsi="Times New Roman" w:cs="Times New Roman"/>
          <w:color w:val="000000"/>
          <w:sz w:val="24"/>
          <w:szCs w:val="24"/>
          <w:lang w:eastAsia="en-GB"/>
        </w:rPr>
        <w:t>.</w:t>
      </w:r>
      <w:r w:rsidR="00C97E04" w:rsidRPr="00C97E04">
        <w:rPr>
          <w:rFonts w:ascii="Times New Roman" w:eastAsiaTheme="majorEastAsia" w:hAnsi="Times New Roman" w:cs="Times New Roman"/>
          <w:color w:val="000000"/>
          <w:sz w:val="24"/>
          <w:szCs w:val="24"/>
          <w:vertAlign w:val="superscript"/>
          <w:lang w:eastAsia="en-GB"/>
        </w:rPr>
        <w:footnoteReference w:id="132"/>
      </w:r>
      <w:r w:rsidR="0023579C">
        <w:rPr>
          <w:rFonts w:ascii="Times New Roman" w:eastAsia="Times New Roman" w:hAnsi="Times New Roman" w:cs="Times New Roman"/>
          <w:color w:val="000000"/>
          <w:sz w:val="24"/>
          <w:szCs w:val="24"/>
          <w:lang w:eastAsia="en-GB"/>
        </w:rPr>
        <w:t xml:space="preserve">  </w:t>
      </w:r>
    </w:p>
    <w:p w:rsidR="00C97E04" w:rsidRPr="00C97E04" w:rsidRDefault="00C97E04" w:rsidP="00C97E04">
      <w:pPr>
        <w:autoSpaceDE w:val="0"/>
        <w:autoSpaceDN w:val="0"/>
        <w:adjustRightInd w:val="0"/>
        <w:spacing w:after="0" w:line="480" w:lineRule="auto"/>
        <w:jc w:val="both"/>
        <w:rPr>
          <w:rFonts w:ascii="Times New Roman" w:hAnsi="Times New Roman" w:cs="Times New Roman"/>
          <w:sz w:val="24"/>
          <w:szCs w:val="24"/>
        </w:rPr>
      </w:pPr>
    </w:p>
    <w:p w:rsidR="007330C2" w:rsidRPr="00415F3D" w:rsidRDefault="00C97E04" w:rsidP="00C97E04">
      <w:pPr>
        <w:autoSpaceDE w:val="0"/>
        <w:autoSpaceDN w:val="0"/>
        <w:adjustRightInd w:val="0"/>
        <w:spacing w:after="0" w:line="480" w:lineRule="auto"/>
        <w:jc w:val="both"/>
        <w:rPr>
          <w:rFonts w:ascii="Times New Roman" w:eastAsia="Calibri" w:hAnsi="Times New Roman" w:cs="Times New Roman"/>
          <w:sz w:val="24"/>
          <w:szCs w:val="24"/>
          <w:lang w:eastAsia="zh-CN"/>
        </w:rPr>
      </w:pPr>
      <w:r w:rsidRPr="003A35AF">
        <w:rPr>
          <w:rFonts w:ascii="Times New Roman" w:hAnsi="Times New Roman" w:cs="Times New Roman"/>
          <w:sz w:val="24"/>
          <w:szCs w:val="24"/>
        </w:rPr>
        <w:t xml:space="preserve">Any commentary of the freezing of terrorist assets must consider its </w:t>
      </w:r>
      <w:r w:rsidR="004117C7" w:rsidRPr="003A35AF">
        <w:rPr>
          <w:rFonts w:ascii="Times New Roman" w:hAnsi="Times New Roman" w:cs="Times New Roman"/>
          <w:sz w:val="24"/>
          <w:szCs w:val="24"/>
        </w:rPr>
        <w:t xml:space="preserve">relationship with Article 1 of the First Protocol of the </w:t>
      </w:r>
      <w:r w:rsidRPr="003A35AF">
        <w:rPr>
          <w:rFonts w:ascii="Times New Roman" w:hAnsi="Times New Roman" w:cs="Times New Roman"/>
          <w:sz w:val="24"/>
          <w:szCs w:val="24"/>
        </w:rPr>
        <w:t>Euro</w:t>
      </w:r>
      <w:r w:rsidR="004117C7" w:rsidRPr="003A35AF">
        <w:rPr>
          <w:rFonts w:ascii="Times New Roman" w:hAnsi="Times New Roman" w:cs="Times New Roman"/>
          <w:sz w:val="24"/>
          <w:szCs w:val="24"/>
        </w:rPr>
        <w:t>pean Convention of Human Rights, which provides for the entitlement of peaceful enjoyments of possessions.</w:t>
      </w:r>
      <w:r w:rsidRPr="003A35AF">
        <w:rPr>
          <w:rFonts w:ascii="Times New Roman" w:hAnsi="Times New Roman" w:cs="Times New Roman"/>
          <w:sz w:val="24"/>
          <w:szCs w:val="24"/>
          <w:vertAlign w:val="superscript"/>
        </w:rPr>
        <w:footnoteReference w:id="133"/>
      </w:r>
      <w:r w:rsidRPr="003A35AF">
        <w:rPr>
          <w:rFonts w:ascii="Times New Roman" w:hAnsi="Times New Roman" w:cs="Times New Roman"/>
          <w:sz w:val="24"/>
          <w:szCs w:val="24"/>
        </w:rPr>
        <w:t xml:space="preserve"> Therefore, every person is entitled to the peaceful enjoyment of his possessions, except in the public interests and subject to the </w:t>
      </w:r>
      <w:r w:rsidRPr="003A35AF">
        <w:rPr>
          <w:rFonts w:ascii="Times New Roman" w:hAnsi="Times New Roman" w:cs="Times New Roman"/>
          <w:sz w:val="24"/>
          <w:szCs w:val="24"/>
        </w:rPr>
        <w:lastRenderedPageBreak/>
        <w:t xml:space="preserve">principles of international law. Two decisions of the European Court of First Instance </w:t>
      </w:r>
      <w:r w:rsidRPr="003A35AF">
        <w:rPr>
          <w:rFonts w:ascii="Times New Roman" w:hAnsi="Times New Roman" w:cs="Times New Roman"/>
          <w:sz w:val="24"/>
          <w:szCs w:val="24"/>
          <w:vertAlign w:val="superscript"/>
        </w:rPr>
        <w:footnoteReference w:id="134"/>
      </w:r>
      <w:r w:rsidRPr="003A35AF">
        <w:rPr>
          <w:rFonts w:ascii="Times New Roman" w:hAnsi="Times New Roman" w:cs="Times New Roman"/>
          <w:sz w:val="24"/>
          <w:szCs w:val="24"/>
        </w:rPr>
        <w:t xml:space="preserve"> offered some initial guidance as to whether the </w:t>
      </w:r>
      <w:r w:rsidR="004117C7" w:rsidRPr="003A35AF">
        <w:rPr>
          <w:rFonts w:ascii="Times New Roman" w:hAnsi="Times New Roman" w:cs="Times New Roman"/>
          <w:sz w:val="24"/>
          <w:szCs w:val="24"/>
        </w:rPr>
        <w:t>asset freezing provisions of the 2001 Act breached</w:t>
      </w:r>
      <w:r w:rsidRPr="003A35AF">
        <w:rPr>
          <w:rFonts w:ascii="Times New Roman" w:hAnsi="Times New Roman" w:cs="Times New Roman"/>
          <w:sz w:val="24"/>
          <w:szCs w:val="24"/>
        </w:rPr>
        <w:t xml:space="preserve"> the ECHR. As </w:t>
      </w:r>
      <w:r w:rsidR="004117C7" w:rsidRPr="003A35AF">
        <w:rPr>
          <w:rFonts w:ascii="Times New Roman" w:hAnsi="Times New Roman" w:cs="Times New Roman"/>
          <w:sz w:val="24"/>
          <w:szCs w:val="24"/>
        </w:rPr>
        <w:t xml:space="preserve">outlined above, </w:t>
      </w:r>
      <w:r w:rsidR="007825C0">
        <w:rPr>
          <w:rFonts w:ascii="Times New Roman" w:hAnsi="Times New Roman" w:cs="Times New Roman"/>
          <w:sz w:val="24"/>
          <w:szCs w:val="24"/>
        </w:rPr>
        <w:t>m</w:t>
      </w:r>
      <w:r w:rsidRPr="003A35AF">
        <w:rPr>
          <w:rFonts w:ascii="Times New Roman" w:hAnsi="Times New Roman" w:cs="Times New Roman"/>
          <w:sz w:val="24"/>
          <w:szCs w:val="24"/>
        </w:rPr>
        <w:t xml:space="preserve">embers of the UN were </w:t>
      </w:r>
      <w:r w:rsidR="004117C7" w:rsidRPr="003A35AF">
        <w:rPr>
          <w:rFonts w:ascii="Times New Roman" w:hAnsi="Times New Roman" w:cs="Times New Roman"/>
          <w:sz w:val="24"/>
          <w:szCs w:val="24"/>
        </w:rPr>
        <w:t xml:space="preserve">compelled </w:t>
      </w:r>
      <w:r w:rsidRPr="003A35AF">
        <w:rPr>
          <w:rFonts w:ascii="Times New Roman" w:hAnsi="Times New Roman" w:cs="Times New Roman"/>
          <w:sz w:val="24"/>
          <w:szCs w:val="24"/>
        </w:rPr>
        <w:t>to freeze the funds and other resources of suspected or known terrorist organisations as a result of UN</w:t>
      </w:r>
      <w:r w:rsidR="004117C7" w:rsidRPr="003A35AF">
        <w:rPr>
          <w:rFonts w:ascii="Times New Roman" w:hAnsi="Times New Roman" w:cs="Times New Roman"/>
          <w:sz w:val="24"/>
          <w:szCs w:val="24"/>
        </w:rPr>
        <w:t xml:space="preserve">SCR </w:t>
      </w:r>
      <w:r w:rsidRPr="003A35AF">
        <w:rPr>
          <w:rFonts w:ascii="Times New Roman" w:hAnsi="Times New Roman" w:cs="Times New Roman"/>
          <w:sz w:val="24"/>
          <w:szCs w:val="24"/>
        </w:rPr>
        <w:t>1373. These resolutions were given legal effect within the EU in 2002.</w:t>
      </w:r>
      <w:r w:rsidRPr="003A35AF">
        <w:rPr>
          <w:rFonts w:ascii="Times New Roman" w:hAnsi="Times New Roman" w:cs="Times New Roman"/>
          <w:sz w:val="24"/>
          <w:szCs w:val="24"/>
          <w:vertAlign w:val="superscript"/>
        </w:rPr>
        <w:footnoteReference w:id="135"/>
      </w:r>
      <w:r w:rsidRPr="003A35AF">
        <w:rPr>
          <w:rFonts w:ascii="Times New Roman" w:hAnsi="Times New Roman" w:cs="Times New Roman"/>
          <w:sz w:val="24"/>
          <w:szCs w:val="24"/>
        </w:rPr>
        <w:t xml:space="preserve"> </w:t>
      </w:r>
      <w:r w:rsidR="004117C7" w:rsidRPr="003A35AF">
        <w:rPr>
          <w:rFonts w:ascii="Times New Roman" w:hAnsi="Times New Roman" w:cs="Times New Roman"/>
          <w:sz w:val="24"/>
          <w:szCs w:val="24"/>
        </w:rPr>
        <w:t xml:space="preserve">The applicants in these cases </w:t>
      </w:r>
      <w:r w:rsidRPr="003A35AF">
        <w:rPr>
          <w:rFonts w:ascii="Times New Roman" w:hAnsi="Times New Roman" w:cs="Times New Roman"/>
          <w:sz w:val="24"/>
          <w:szCs w:val="24"/>
        </w:rPr>
        <w:t>requested that Council Regulation (881/20), which implemented UN</w:t>
      </w:r>
      <w:r w:rsidR="004117C7" w:rsidRPr="003A35AF">
        <w:rPr>
          <w:rFonts w:ascii="Times New Roman" w:hAnsi="Times New Roman" w:cs="Times New Roman"/>
          <w:sz w:val="24"/>
          <w:szCs w:val="24"/>
        </w:rPr>
        <w:t xml:space="preserve">SCR </w:t>
      </w:r>
      <w:r w:rsidRPr="003A35AF">
        <w:rPr>
          <w:rFonts w:ascii="Times New Roman" w:hAnsi="Times New Roman" w:cs="Times New Roman"/>
          <w:sz w:val="24"/>
          <w:szCs w:val="24"/>
        </w:rPr>
        <w:t>1373, should be annulled. The claim failed on</w:t>
      </w:r>
      <w:r w:rsidR="004117C7" w:rsidRPr="003A35AF">
        <w:rPr>
          <w:rFonts w:ascii="Times New Roman" w:hAnsi="Times New Roman" w:cs="Times New Roman"/>
          <w:sz w:val="24"/>
          <w:szCs w:val="24"/>
        </w:rPr>
        <w:t xml:space="preserve"> three grounds. Firstly, the Court of First Instance</w:t>
      </w:r>
      <w:r w:rsidRPr="003A35AF">
        <w:rPr>
          <w:rFonts w:ascii="Times New Roman" w:hAnsi="Times New Roman" w:cs="Times New Roman"/>
          <w:sz w:val="24"/>
          <w:szCs w:val="24"/>
        </w:rPr>
        <w:t xml:space="preserve"> ruled that the European Council was competent to freeze the funds of individuals in connection with the fight against international terrorism. Secondly, that the EU was legally obliged to follow any obligations from the Charter of the UN. Thirdly, the freezing of the applicant’s funds did not infringe the fundamental rights and the applicants had not been arbitrarily deprived of their right to property. Therefore, the </w:t>
      </w:r>
      <w:r w:rsidR="004117C7" w:rsidRPr="003A35AF">
        <w:rPr>
          <w:rFonts w:ascii="Times New Roman" w:hAnsi="Times New Roman" w:cs="Times New Roman"/>
          <w:sz w:val="24"/>
          <w:szCs w:val="24"/>
        </w:rPr>
        <w:t xml:space="preserve">Court concluded that there was no breach of </w:t>
      </w:r>
      <w:r w:rsidRPr="003A35AF">
        <w:rPr>
          <w:rFonts w:ascii="Times New Roman" w:hAnsi="Times New Roman" w:cs="Times New Roman"/>
          <w:sz w:val="24"/>
          <w:szCs w:val="24"/>
        </w:rPr>
        <w:t xml:space="preserve">Article 1 of the First Protocol of the ECHR.  The </w:t>
      </w:r>
      <w:r w:rsidR="004117C7" w:rsidRPr="003A35AF">
        <w:rPr>
          <w:rFonts w:ascii="Times New Roman" w:hAnsi="Times New Roman" w:cs="Times New Roman"/>
          <w:sz w:val="24"/>
          <w:szCs w:val="24"/>
        </w:rPr>
        <w:t xml:space="preserve">Court of First Instance </w:t>
      </w:r>
      <w:r w:rsidRPr="003A35AF">
        <w:rPr>
          <w:rFonts w:ascii="Times New Roman" w:hAnsi="Times New Roman" w:cs="Times New Roman"/>
          <w:sz w:val="24"/>
          <w:szCs w:val="24"/>
        </w:rPr>
        <w:t>was given an</w:t>
      </w:r>
      <w:r w:rsidR="004117C7" w:rsidRPr="003A35AF">
        <w:rPr>
          <w:rFonts w:ascii="Times New Roman" w:hAnsi="Times New Roman" w:cs="Times New Roman"/>
          <w:sz w:val="24"/>
          <w:szCs w:val="24"/>
        </w:rPr>
        <w:t xml:space="preserve">other </w:t>
      </w:r>
      <w:r w:rsidRPr="003A35AF">
        <w:rPr>
          <w:rFonts w:ascii="Times New Roman" w:hAnsi="Times New Roman" w:cs="Times New Roman"/>
          <w:sz w:val="24"/>
          <w:szCs w:val="24"/>
        </w:rPr>
        <w:t>opportunity to examine the legality of the EU’s implementation of UN Security Council Resolution 1373</w:t>
      </w:r>
      <w:r w:rsidR="007825C0">
        <w:rPr>
          <w:rFonts w:ascii="Times New Roman" w:hAnsi="Times New Roman" w:cs="Times New Roman"/>
          <w:sz w:val="24"/>
          <w:szCs w:val="24"/>
        </w:rPr>
        <w:t xml:space="preserve"> in </w:t>
      </w:r>
      <w:r w:rsidRPr="003A35AF">
        <w:rPr>
          <w:rFonts w:ascii="Times New Roman" w:eastAsia="Times New Roman" w:hAnsi="Times New Roman" w:cs="Times New Roman"/>
          <w:i/>
          <w:iCs/>
          <w:sz w:val="24"/>
          <w:szCs w:val="24"/>
          <w:lang w:eastAsia="en-GB"/>
        </w:rPr>
        <w:t>Organisation des Modjahedines du peuple d’Iran</w:t>
      </w:r>
      <w:r w:rsidRPr="003A35AF">
        <w:rPr>
          <w:rFonts w:ascii="Times New Roman" w:eastAsia="Times New Roman" w:hAnsi="Times New Roman" w:cs="Times New Roman"/>
          <w:sz w:val="24"/>
          <w:szCs w:val="24"/>
          <w:lang w:eastAsia="en-GB"/>
        </w:rPr>
        <w:t xml:space="preserve"> v.</w:t>
      </w:r>
      <w:r w:rsidRPr="003A35AF">
        <w:rPr>
          <w:rFonts w:ascii="Times New Roman" w:eastAsia="Times New Roman" w:hAnsi="Times New Roman" w:cs="Times New Roman"/>
          <w:i/>
          <w:iCs/>
          <w:sz w:val="24"/>
          <w:szCs w:val="24"/>
          <w:lang w:eastAsia="en-GB"/>
        </w:rPr>
        <w:t xml:space="preserve"> Council and UK</w:t>
      </w:r>
      <w:r w:rsidR="007825C0">
        <w:rPr>
          <w:rFonts w:ascii="Times New Roman" w:eastAsia="Times New Roman" w:hAnsi="Times New Roman" w:cs="Times New Roman"/>
          <w:iCs/>
          <w:sz w:val="24"/>
          <w:szCs w:val="24"/>
          <w:lang w:eastAsia="en-GB"/>
        </w:rPr>
        <w:t>.</w:t>
      </w:r>
      <w:r w:rsidR="007825C0">
        <w:rPr>
          <w:rStyle w:val="FootnoteReference"/>
          <w:rFonts w:ascii="Times New Roman" w:eastAsia="Times New Roman" w:hAnsi="Times New Roman" w:cs="Times New Roman"/>
          <w:iCs/>
          <w:sz w:val="24"/>
          <w:szCs w:val="24"/>
          <w:lang w:eastAsia="en-GB"/>
        </w:rPr>
        <w:footnoteReference w:id="136"/>
      </w:r>
      <w:r w:rsidR="007825C0">
        <w:rPr>
          <w:rFonts w:ascii="Times New Roman" w:eastAsia="Times New Roman" w:hAnsi="Times New Roman" w:cs="Times New Roman"/>
          <w:iCs/>
          <w:sz w:val="24"/>
          <w:szCs w:val="24"/>
          <w:lang w:eastAsia="en-GB"/>
        </w:rPr>
        <w:t xml:space="preserve">  Here, </w:t>
      </w:r>
      <w:r w:rsidR="001260D2" w:rsidRPr="003A35AF">
        <w:rPr>
          <w:rFonts w:ascii="Times New Roman" w:eastAsia="Times New Roman" w:hAnsi="Times New Roman" w:cs="Times New Roman"/>
          <w:iCs/>
          <w:sz w:val="24"/>
          <w:szCs w:val="24"/>
          <w:lang w:eastAsia="en-GB"/>
        </w:rPr>
        <w:t>the Court of First Instance determined that the European Council decision to list the applicant as an unproven terrorist breached their procedural rights.</w:t>
      </w:r>
      <w:r w:rsidRPr="003A35AF">
        <w:rPr>
          <w:rFonts w:ascii="Times New Roman" w:eastAsiaTheme="majorEastAsia" w:hAnsi="Times New Roman" w:cs="Times New Roman"/>
          <w:iCs/>
          <w:sz w:val="24"/>
          <w:szCs w:val="24"/>
          <w:vertAlign w:val="superscript"/>
          <w:lang w:eastAsia="en-GB"/>
        </w:rPr>
        <w:footnoteReference w:id="137"/>
      </w:r>
      <w:r w:rsidRPr="003A35AF">
        <w:rPr>
          <w:rFonts w:ascii="Times New Roman" w:eastAsia="Times New Roman" w:hAnsi="Times New Roman" w:cs="Times New Roman"/>
          <w:i/>
          <w:iCs/>
          <w:sz w:val="24"/>
          <w:szCs w:val="24"/>
          <w:lang w:eastAsia="en-GB"/>
        </w:rPr>
        <w:t xml:space="preserve">  </w:t>
      </w:r>
      <w:r w:rsidR="00A93E11">
        <w:rPr>
          <w:rFonts w:ascii="Times New Roman" w:eastAsia="Times New Roman" w:hAnsi="Times New Roman" w:cs="Times New Roman"/>
          <w:sz w:val="24"/>
          <w:szCs w:val="24"/>
          <w:lang w:eastAsia="en-GB"/>
        </w:rPr>
        <w:t xml:space="preserve">This </w:t>
      </w:r>
      <w:r w:rsidRPr="003A35AF">
        <w:rPr>
          <w:rFonts w:ascii="Times New Roman" w:eastAsia="Times New Roman" w:hAnsi="Times New Roman" w:cs="Times New Roman"/>
          <w:sz w:val="24"/>
          <w:szCs w:val="24"/>
          <w:lang w:eastAsia="en-GB"/>
        </w:rPr>
        <w:t xml:space="preserve">decision </w:t>
      </w:r>
      <w:r w:rsidRPr="003A35AF">
        <w:rPr>
          <w:rFonts w:ascii="Times New Roman" w:eastAsia="Times New Roman" w:hAnsi="Times New Roman" w:cs="Times New Roman"/>
          <w:iCs/>
          <w:sz w:val="24"/>
          <w:szCs w:val="24"/>
          <w:lang w:eastAsia="en-GB"/>
        </w:rPr>
        <w:t>been approved in</w:t>
      </w:r>
      <w:r w:rsidRPr="003A35AF">
        <w:rPr>
          <w:rFonts w:ascii="Times New Roman" w:eastAsia="Times New Roman" w:hAnsi="Times New Roman" w:cs="Times New Roman"/>
          <w:i/>
          <w:iCs/>
          <w:sz w:val="24"/>
          <w:szCs w:val="24"/>
          <w:lang w:eastAsia="en-GB"/>
        </w:rPr>
        <w:t xml:space="preserve"> Sison </w:t>
      </w:r>
      <w:r w:rsidRPr="003A35AF">
        <w:rPr>
          <w:rFonts w:ascii="Times New Roman" w:eastAsiaTheme="majorEastAsia" w:hAnsi="Times New Roman" w:cs="Times New Roman"/>
          <w:iCs/>
          <w:sz w:val="24"/>
          <w:szCs w:val="24"/>
          <w:vertAlign w:val="superscript"/>
          <w:lang w:eastAsia="en-GB"/>
        </w:rPr>
        <w:footnoteReference w:id="138"/>
      </w:r>
      <w:r w:rsidRPr="003A35AF">
        <w:rPr>
          <w:rFonts w:ascii="Times New Roman" w:eastAsia="Times New Roman" w:hAnsi="Times New Roman" w:cs="Times New Roman"/>
          <w:i/>
          <w:iCs/>
          <w:sz w:val="24"/>
          <w:szCs w:val="24"/>
          <w:lang w:eastAsia="en-GB"/>
        </w:rPr>
        <w:t xml:space="preserve"> </w:t>
      </w:r>
      <w:r w:rsidRPr="003A35AF">
        <w:rPr>
          <w:rFonts w:ascii="Times New Roman" w:eastAsia="Times New Roman" w:hAnsi="Times New Roman" w:cs="Times New Roman"/>
          <w:iCs/>
          <w:sz w:val="24"/>
          <w:szCs w:val="24"/>
          <w:lang w:eastAsia="en-GB"/>
        </w:rPr>
        <w:t>and</w:t>
      </w:r>
      <w:r w:rsidRPr="003A35AF">
        <w:rPr>
          <w:rFonts w:ascii="Times New Roman" w:eastAsia="Times New Roman" w:hAnsi="Times New Roman" w:cs="Times New Roman"/>
          <w:i/>
          <w:iCs/>
          <w:sz w:val="24"/>
          <w:szCs w:val="24"/>
          <w:lang w:eastAsia="en-GB"/>
        </w:rPr>
        <w:t xml:space="preserve"> al-Aqsa.</w:t>
      </w:r>
      <w:r w:rsidRPr="003A35AF">
        <w:rPr>
          <w:rFonts w:ascii="Times New Roman" w:eastAsiaTheme="majorEastAsia" w:hAnsi="Times New Roman" w:cs="Times New Roman"/>
          <w:iCs/>
          <w:sz w:val="24"/>
          <w:szCs w:val="24"/>
          <w:vertAlign w:val="superscript"/>
          <w:lang w:eastAsia="en-GB"/>
        </w:rPr>
        <w:footnoteReference w:id="139"/>
      </w:r>
      <w:r w:rsidR="00CF519A" w:rsidRPr="003A35AF">
        <w:rPr>
          <w:rFonts w:ascii="Times New Roman" w:eastAsia="Times New Roman" w:hAnsi="Times New Roman" w:cs="Times New Roman"/>
          <w:iCs/>
          <w:sz w:val="24"/>
          <w:szCs w:val="24"/>
          <w:lang w:eastAsia="en-GB"/>
        </w:rPr>
        <w:t xml:space="preserve">  </w:t>
      </w:r>
      <w:r w:rsidR="007330C2" w:rsidRPr="003A35AF">
        <w:rPr>
          <w:rFonts w:ascii="Times New Roman" w:eastAsia="Times New Roman" w:hAnsi="Times New Roman" w:cs="Times New Roman"/>
          <w:iCs/>
          <w:sz w:val="24"/>
          <w:szCs w:val="24"/>
          <w:lang w:eastAsia="en-GB"/>
        </w:rPr>
        <w:t>Within the UK, t</w:t>
      </w:r>
      <w:r w:rsidRPr="003A35AF">
        <w:rPr>
          <w:rFonts w:ascii="Times New Roman" w:hAnsi="Times New Roman" w:cs="Times New Roman"/>
          <w:sz w:val="24"/>
          <w:szCs w:val="24"/>
        </w:rPr>
        <w:t xml:space="preserve">he ability of HM Treasury to freeze the assets of terrorists </w:t>
      </w:r>
      <w:r w:rsidR="007330C2" w:rsidRPr="003A35AF">
        <w:rPr>
          <w:rFonts w:ascii="Times New Roman" w:hAnsi="Times New Roman" w:cs="Times New Roman"/>
          <w:sz w:val="24"/>
          <w:szCs w:val="24"/>
        </w:rPr>
        <w:t xml:space="preserve">was </w:t>
      </w:r>
      <w:r w:rsidRPr="003A35AF">
        <w:rPr>
          <w:rFonts w:ascii="Times New Roman" w:eastAsia="SimSun" w:hAnsi="Times New Roman" w:cs="Times New Roman"/>
          <w:sz w:val="24"/>
          <w:szCs w:val="24"/>
          <w:lang w:eastAsia="zh-CN"/>
        </w:rPr>
        <w:t xml:space="preserve">considered by the Supreme Court in </w:t>
      </w:r>
      <w:r w:rsidRPr="003A35AF">
        <w:rPr>
          <w:rFonts w:ascii="Times New Roman" w:eastAsia="SimSun" w:hAnsi="Times New Roman" w:cs="Times New Roman"/>
          <w:i/>
          <w:sz w:val="24"/>
          <w:szCs w:val="24"/>
          <w:lang w:eastAsia="zh-CN"/>
        </w:rPr>
        <w:t>A v HM Treasury</w:t>
      </w:r>
      <w:r w:rsidRPr="003A35AF">
        <w:rPr>
          <w:rFonts w:ascii="Times New Roman" w:eastAsia="SimSun" w:hAnsi="Times New Roman" w:cs="Times New Roman"/>
          <w:sz w:val="24"/>
          <w:szCs w:val="24"/>
          <w:lang w:eastAsia="zh-CN"/>
        </w:rPr>
        <w:t>.</w:t>
      </w:r>
      <w:r w:rsidRPr="003A35AF">
        <w:rPr>
          <w:rFonts w:ascii="Times New Roman" w:eastAsia="SimSun" w:hAnsi="Times New Roman" w:cs="Times New Roman"/>
          <w:sz w:val="24"/>
          <w:szCs w:val="24"/>
          <w:vertAlign w:val="superscript"/>
          <w:lang w:eastAsia="zh-CN"/>
        </w:rPr>
        <w:footnoteReference w:id="140"/>
      </w:r>
      <w:r w:rsidRPr="003A35AF">
        <w:rPr>
          <w:rFonts w:ascii="Times New Roman" w:eastAsia="SimSun" w:hAnsi="Times New Roman" w:cs="Times New Roman"/>
          <w:sz w:val="24"/>
          <w:szCs w:val="24"/>
          <w:lang w:eastAsia="zh-CN"/>
        </w:rPr>
        <w:t xml:space="preserve">  </w:t>
      </w:r>
      <w:r w:rsidR="00CF519A" w:rsidRPr="003A35AF">
        <w:rPr>
          <w:rFonts w:ascii="Times New Roman" w:eastAsia="SimSun" w:hAnsi="Times New Roman" w:cs="Times New Roman"/>
          <w:sz w:val="24"/>
          <w:szCs w:val="24"/>
          <w:lang w:eastAsia="zh-CN"/>
        </w:rPr>
        <w:t xml:space="preserve">Here, the </w:t>
      </w:r>
      <w:r w:rsidRPr="003A35AF">
        <w:rPr>
          <w:rFonts w:ascii="Times New Roman" w:eastAsia="SimSun" w:hAnsi="Times New Roman" w:cs="Times New Roman"/>
          <w:sz w:val="24"/>
          <w:szCs w:val="24"/>
          <w:lang w:eastAsia="zh-CN"/>
        </w:rPr>
        <w:t xml:space="preserve">Supreme Court </w:t>
      </w:r>
      <w:r w:rsidR="00A93E11">
        <w:rPr>
          <w:rFonts w:ascii="Times New Roman" w:eastAsia="SimSun" w:hAnsi="Times New Roman" w:cs="Times New Roman"/>
          <w:sz w:val="24"/>
          <w:szCs w:val="24"/>
          <w:lang w:eastAsia="zh-CN"/>
        </w:rPr>
        <w:t xml:space="preserve">deliberated </w:t>
      </w:r>
      <w:r w:rsidRPr="003A35AF">
        <w:rPr>
          <w:rFonts w:ascii="Times New Roman" w:eastAsia="SimSun" w:hAnsi="Times New Roman" w:cs="Times New Roman"/>
          <w:sz w:val="24"/>
          <w:szCs w:val="24"/>
          <w:lang w:eastAsia="zh-CN"/>
        </w:rPr>
        <w:t>the legitimacy of the T</w:t>
      </w:r>
      <w:r w:rsidRPr="003A35AF">
        <w:rPr>
          <w:rFonts w:ascii="Times New Roman" w:eastAsia="Calibri" w:hAnsi="Times New Roman" w:cs="Times New Roman"/>
          <w:sz w:val="24"/>
          <w:szCs w:val="24"/>
          <w:lang w:eastAsia="zh-CN"/>
        </w:rPr>
        <w:t xml:space="preserve">errorism (United Nations </w:t>
      </w:r>
      <w:r w:rsidRPr="003A35AF">
        <w:rPr>
          <w:rFonts w:ascii="Times New Roman" w:eastAsia="Calibri" w:hAnsi="Times New Roman" w:cs="Times New Roman"/>
          <w:sz w:val="24"/>
          <w:szCs w:val="24"/>
          <w:lang w:eastAsia="zh-CN"/>
        </w:rPr>
        <w:lastRenderedPageBreak/>
        <w:t xml:space="preserve">Measures) Order </w:t>
      </w:r>
      <w:r w:rsidR="007330C2" w:rsidRPr="003A35AF">
        <w:rPr>
          <w:rStyle w:val="FootnoteReference"/>
          <w:rFonts w:ascii="Times New Roman" w:eastAsia="Calibri" w:hAnsi="Times New Roman" w:cs="Times New Roman"/>
          <w:sz w:val="24"/>
          <w:szCs w:val="24"/>
          <w:lang w:eastAsia="zh-CN"/>
        </w:rPr>
        <w:footnoteReference w:id="141"/>
      </w:r>
      <w:r w:rsidR="007330C2" w:rsidRPr="003A35AF">
        <w:rPr>
          <w:rFonts w:ascii="Times New Roman" w:eastAsia="Calibri" w:hAnsi="Times New Roman" w:cs="Times New Roman"/>
          <w:sz w:val="24"/>
          <w:szCs w:val="24"/>
          <w:lang w:eastAsia="zh-CN"/>
        </w:rPr>
        <w:t xml:space="preserve"> </w:t>
      </w:r>
      <w:r w:rsidRPr="003A35AF">
        <w:rPr>
          <w:rFonts w:ascii="Times New Roman" w:eastAsia="Calibri" w:hAnsi="Times New Roman" w:cs="Times New Roman"/>
          <w:sz w:val="24"/>
          <w:szCs w:val="24"/>
          <w:lang w:eastAsia="zh-CN"/>
        </w:rPr>
        <w:t>and the Al-Qaeda and Taliban (United Nations Measures) Order 2006.</w:t>
      </w:r>
      <w:r w:rsidR="007330C2" w:rsidRPr="003A35AF">
        <w:rPr>
          <w:rStyle w:val="FootnoteReference"/>
          <w:rFonts w:ascii="Times New Roman" w:eastAsia="Calibri" w:hAnsi="Times New Roman" w:cs="Times New Roman"/>
          <w:sz w:val="24"/>
          <w:szCs w:val="24"/>
          <w:lang w:eastAsia="zh-CN"/>
        </w:rPr>
        <w:footnoteReference w:id="142"/>
      </w:r>
      <w:r w:rsidRPr="003A35AF">
        <w:rPr>
          <w:rFonts w:ascii="Times New Roman" w:eastAsia="Calibri" w:hAnsi="Times New Roman" w:cs="Times New Roman"/>
          <w:sz w:val="24"/>
          <w:szCs w:val="24"/>
          <w:lang w:eastAsia="zh-CN"/>
        </w:rPr>
        <w:t xml:space="preserve"> </w:t>
      </w:r>
      <w:bookmarkStart w:id="7" w:name="4"/>
      <w:r w:rsidR="00CF519A" w:rsidRPr="003A35AF">
        <w:rPr>
          <w:rFonts w:ascii="Times New Roman" w:eastAsia="Calibri" w:hAnsi="Times New Roman" w:cs="Times New Roman"/>
          <w:sz w:val="24"/>
          <w:szCs w:val="24"/>
          <w:lang w:eastAsia="zh-CN"/>
        </w:rPr>
        <w:t>T</w:t>
      </w:r>
      <w:r w:rsidRPr="003A35AF">
        <w:rPr>
          <w:rFonts w:ascii="Times New Roman" w:eastAsia="SimSun" w:hAnsi="Times New Roman" w:cs="Times New Roman"/>
          <w:sz w:val="24"/>
          <w:szCs w:val="24"/>
          <w:lang w:eastAsia="zh-CN"/>
        </w:rPr>
        <w:t xml:space="preserve">he Supreme Court determined that both of the Orders were </w:t>
      </w:r>
      <w:r w:rsidRPr="003A35AF">
        <w:rPr>
          <w:rFonts w:ascii="Times New Roman" w:eastAsia="SimSun" w:hAnsi="Times New Roman" w:cs="Times New Roman"/>
          <w:i/>
          <w:sz w:val="24"/>
          <w:szCs w:val="24"/>
          <w:lang w:eastAsia="zh-CN"/>
        </w:rPr>
        <w:t>ultra vires</w:t>
      </w:r>
      <w:r w:rsidRPr="003A35AF">
        <w:rPr>
          <w:rFonts w:ascii="Times New Roman" w:eastAsia="SimSun" w:hAnsi="Times New Roman" w:cs="Times New Roman"/>
          <w:sz w:val="24"/>
          <w:szCs w:val="24"/>
          <w:lang w:eastAsia="zh-CN"/>
        </w:rPr>
        <w:t xml:space="preserve"> and HM Treasury </w:t>
      </w:r>
      <w:r w:rsidR="00CF519A" w:rsidRPr="003A35AF">
        <w:rPr>
          <w:rFonts w:ascii="Times New Roman" w:eastAsia="SimSun" w:hAnsi="Times New Roman" w:cs="Times New Roman"/>
          <w:sz w:val="24"/>
          <w:szCs w:val="24"/>
          <w:lang w:eastAsia="zh-CN"/>
        </w:rPr>
        <w:t xml:space="preserve">and </w:t>
      </w:r>
      <w:r w:rsidRPr="003A35AF">
        <w:rPr>
          <w:rFonts w:ascii="Times New Roman" w:eastAsia="SimSun" w:hAnsi="Times New Roman" w:cs="Times New Roman"/>
          <w:sz w:val="24"/>
          <w:szCs w:val="24"/>
          <w:lang w:eastAsia="zh-CN"/>
        </w:rPr>
        <w:t>implement</w:t>
      </w:r>
      <w:r w:rsidR="00CF519A" w:rsidRPr="003A35AF">
        <w:rPr>
          <w:rFonts w:ascii="Times New Roman" w:eastAsia="SimSun" w:hAnsi="Times New Roman" w:cs="Times New Roman"/>
          <w:sz w:val="24"/>
          <w:szCs w:val="24"/>
          <w:lang w:eastAsia="zh-CN"/>
        </w:rPr>
        <w:t xml:space="preserve">ed </w:t>
      </w:r>
      <w:r w:rsidRPr="003A35AF">
        <w:rPr>
          <w:rFonts w:ascii="Times New Roman" w:eastAsia="SimSun" w:hAnsi="Times New Roman" w:cs="Times New Roman"/>
          <w:sz w:val="24"/>
          <w:szCs w:val="24"/>
          <w:lang w:eastAsia="zh-CN"/>
        </w:rPr>
        <w:t xml:space="preserve">the </w:t>
      </w:r>
      <w:r w:rsidRPr="003A35AF">
        <w:rPr>
          <w:rFonts w:ascii="Times New Roman" w:eastAsia="Calibri" w:hAnsi="Times New Roman" w:cs="Times New Roman"/>
          <w:sz w:val="24"/>
          <w:szCs w:val="24"/>
          <w:lang w:eastAsia="zh-CN"/>
        </w:rPr>
        <w:t>Terrorist Asset-Freezing (Temporary Provisions) Act 201</w:t>
      </w:r>
      <w:bookmarkEnd w:id="7"/>
      <w:r w:rsidR="003A35AF" w:rsidRPr="003A35AF">
        <w:rPr>
          <w:rFonts w:ascii="Times New Roman" w:eastAsia="Calibri" w:hAnsi="Times New Roman" w:cs="Times New Roman"/>
          <w:sz w:val="24"/>
          <w:szCs w:val="24"/>
          <w:lang w:eastAsia="zh-CN"/>
        </w:rPr>
        <w:t xml:space="preserve">0.  This was </w:t>
      </w:r>
      <w:r w:rsidR="007330C2" w:rsidRPr="003A35AF">
        <w:rPr>
          <w:rFonts w:ascii="Times New Roman" w:eastAsia="Calibri" w:hAnsi="Times New Roman" w:cs="Times New Roman"/>
          <w:sz w:val="24"/>
          <w:szCs w:val="24"/>
          <w:lang w:eastAsia="zh-CN"/>
        </w:rPr>
        <w:t>repealed by the Terrorist Asset Freezing etc.</w:t>
      </w:r>
      <w:r w:rsidR="003A35AF" w:rsidRPr="003A35AF">
        <w:rPr>
          <w:rFonts w:ascii="Times New Roman" w:eastAsia="Calibri" w:hAnsi="Times New Roman" w:cs="Times New Roman"/>
          <w:sz w:val="24"/>
          <w:szCs w:val="24"/>
          <w:lang w:eastAsia="zh-CN"/>
        </w:rPr>
        <w:t xml:space="preserve"> Act 2010 which imposed </w:t>
      </w:r>
      <w:r w:rsidR="007330C2" w:rsidRPr="003A35AF">
        <w:rPr>
          <w:rFonts w:ascii="Times New Roman" w:hAnsi="Times New Roman" w:cs="Times New Roman"/>
          <w:sz w:val="24"/>
          <w:szCs w:val="24"/>
          <w:lang w:val="en"/>
        </w:rPr>
        <w:t>financial restrictions on</w:t>
      </w:r>
      <w:r w:rsidR="003A35AF" w:rsidRPr="003A35AF">
        <w:rPr>
          <w:rFonts w:ascii="Times New Roman" w:hAnsi="Times New Roman" w:cs="Times New Roman"/>
          <w:sz w:val="24"/>
          <w:szCs w:val="24"/>
          <w:lang w:val="en"/>
        </w:rPr>
        <w:t xml:space="preserve"> known or suspected terrorists.</w:t>
      </w:r>
      <w:r w:rsidR="00CA4FFD">
        <w:rPr>
          <w:rFonts w:ascii="Times New Roman" w:hAnsi="Times New Roman" w:cs="Times New Roman"/>
          <w:sz w:val="24"/>
          <w:szCs w:val="24"/>
          <w:lang w:val="en"/>
        </w:rPr>
        <w:t xml:space="preserve">  </w:t>
      </w:r>
      <w:r w:rsidR="00415F3D">
        <w:rPr>
          <w:rFonts w:ascii="Times New Roman" w:hAnsi="Times New Roman" w:cs="Times New Roman"/>
          <w:sz w:val="24"/>
          <w:szCs w:val="24"/>
          <w:lang w:val="en"/>
        </w:rPr>
        <w:t xml:space="preserve">The ‘Financial War on Terrorism’ has had a significant impact on this part of the UK’s CTF policy and has resulted in numerous legal challenges to the asset freezing regime.  The decision in </w:t>
      </w:r>
      <w:r w:rsidR="00415F3D" w:rsidRPr="003A35AF">
        <w:rPr>
          <w:rFonts w:ascii="Times New Roman" w:eastAsia="SimSun" w:hAnsi="Times New Roman" w:cs="Times New Roman"/>
          <w:i/>
          <w:sz w:val="24"/>
          <w:szCs w:val="24"/>
          <w:lang w:eastAsia="zh-CN"/>
        </w:rPr>
        <w:t>A v HM Treasury</w:t>
      </w:r>
      <w:r w:rsidR="00415F3D">
        <w:rPr>
          <w:rFonts w:ascii="Times New Roman" w:eastAsia="SimSun" w:hAnsi="Times New Roman" w:cs="Times New Roman"/>
          <w:sz w:val="24"/>
          <w:szCs w:val="24"/>
          <w:lang w:eastAsia="zh-CN"/>
        </w:rPr>
        <w:t xml:space="preserve"> will restrict the ability of the UK to freeze the assets of kn</w:t>
      </w:r>
      <w:r w:rsidR="00A90828">
        <w:rPr>
          <w:rFonts w:ascii="Times New Roman" w:eastAsia="SimSun" w:hAnsi="Times New Roman" w:cs="Times New Roman"/>
          <w:sz w:val="24"/>
          <w:szCs w:val="24"/>
          <w:lang w:eastAsia="zh-CN"/>
        </w:rPr>
        <w:t xml:space="preserve">own or suspected terrorists, yet protect and respect the legal rights of the accused under the European Convention of Human Rights. </w:t>
      </w:r>
    </w:p>
    <w:p w:rsidR="007330C2" w:rsidRDefault="007330C2" w:rsidP="00C97E04">
      <w:pPr>
        <w:autoSpaceDE w:val="0"/>
        <w:autoSpaceDN w:val="0"/>
        <w:adjustRightInd w:val="0"/>
        <w:spacing w:after="0" w:line="480" w:lineRule="auto"/>
        <w:jc w:val="both"/>
        <w:rPr>
          <w:rFonts w:ascii="Times New Roman" w:eastAsia="Calibri" w:hAnsi="Times New Roman" w:cs="Times New Roman"/>
          <w:sz w:val="24"/>
          <w:szCs w:val="24"/>
          <w:lang w:eastAsia="zh-CN"/>
        </w:rPr>
      </w:pPr>
    </w:p>
    <w:p w:rsidR="00C97E04" w:rsidRPr="00C97E04" w:rsidRDefault="00C97E04" w:rsidP="00C97E04">
      <w:pPr>
        <w:autoSpaceDE w:val="0"/>
        <w:autoSpaceDN w:val="0"/>
        <w:adjustRightInd w:val="0"/>
        <w:spacing w:after="0" w:line="480" w:lineRule="auto"/>
        <w:jc w:val="both"/>
        <w:rPr>
          <w:rFonts w:ascii="Times New Roman" w:eastAsia="SimSun" w:hAnsi="Times New Roman" w:cs="Times New Roman"/>
          <w:b/>
          <w:sz w:val="24"/>
          <w:szCs w:val="24"/>
          <w:lang w:eastAsia="zh-CN"/>
        </w:rPr>
      </w:pPr>
      <w:r w:rsidRPr="00C97E04">
        <w:rPr>
          <w:rFonts w:ascii="Times New Roman" w:eastAsia="SimSun" w:hAnsi="Times New Roman" w:cs="Times New Roman"/>
          <w:b/>
          <w:sz w:val="24"/>
          <w:szCs w:val="24"/>
          <w:lang w:eastAsia="zh-CN"/>
        </w:rPr>
        <w:t>Confiscation/Forfeiture</w:t>
      </w:r>
    </w:p>
    <w:p w:rsidR="00C97E04" w:rsidRPr="00C97E04" w:rsidRDefault="00C97E04" w:rsidP="00C97E04">
      <w:pPr>
        <w:autoSpaceDE w:val="0"/>
        <w:autoSpaceDN w:val="0"/>
        <w:adjustRightInd w:val="0"/>
        <w:spacing w:after="0" w:line="480" w:lineRule="auto"/>
        <w:jc w:val="both"/>
        <w:rPr>
          <w:rFonts w:ascii="Times New Roman" w:eastAsia="SimSun" w:hAnsi="Times New Roman" w:cs="Times New Roman"/>
          <w:sz w:val="24"/>
          <w:szCs w:val="24"/>
          <w:lang w:eastAsia="zh-CN"/>
        </w:rPr>
      </w:pPr>
    </w:p>
    <w:p w:rsidR="00A90828" w:rsidRPr="00CE3A49" w:rsidRDefault="00C97E04" w:rsidP="00A90828">
      <w:pPr>
        <w:autoSpaceDE w:val="0"/>
        <w:autoSpaceDN w:val="0"/>
        <w:adjustRightInd w:val="0"/>
        <w:spacing w:after="0" w:line="480" w:lineRule="auto"/>
        <w:jc w:val="both"/>
        <w:rPr>
          <w:rFonts w:ascii="Times New Roman" w:eastAsia="SimSun" w:hAnsi="Times New Roman" w:cs="Times New Roman"/>
          <w:sz w:val="24"/>
          <w:szCs w:val="24"/>
          <w:lang w:eastAsia="zh-CN"/>
        </w:rPr>
      </w:pPr>
      <w:r w:rsidRPr="00CE3A49">
        <w:rPr>
          <w:rFonts w:ascii="Times New Roman" w:hAnsi="Times New Roman" w:cs="Times New Roman"/>
          <w:sz w:val="24"/>
          <w:szCs w:val="24"/>
        </w:rPr>
        <w:t>The ability of law enforcement agencies to confiscate the assets or profits of acts of terrorism is permitted by the Proceeds of Crime Act 2002 and the Terrorism Act 2000.  A criminal confiscation order is imposed against a convicted defendant to pay the amount of the benefit from crime. In order to grant a confiscation order, the court must consider two questions.</w:t>
      </w:r>
      <w:r w:rsidRPr="00CE3A49">
        <w:rPr>
          <w:rFonts w:ascii="Times New Roman" w:hAnsi="Times New Roman" w:cs="Times New Roman"/>
          <w:sz w:val="24"/>
          <w:szCs w:val="24"/>
          <w:vertAlign w:val="superscript"/>
        </w:rPr>
        <w:footnoteReference w:id="143"/>
      </w:r>
      <w:r w:rsidRPr="00CE3A49">
        <w:rPr>
          <w:rFonts w:ascii="Times New Roman" w:hAnsi="Times New Roman" w:cs="Times New Roman"/>
          <w:sz w:val="24"/>
          <w:szCs w:val="24"/>
        </w:rPr>
        <w:t xml:space="preserve"> Firstly, whether the defendant has a criminal lifestyle?</w:t>
      </w:r>
      <w:r w:rsidRPr="00CE3A49">
        <w:rPr>
          <w:rFonts w:ascii="Times New Roman" w:hAnsi="Times New Roman" w:cs="Times New Roman"/>
          <w:sz w:val="24"/>
          <w:szCs w:val="24"/>
          <w:vertAlign w:val="superscript"/>
        </w:rPr>
        <w:footnoteReference w:id="144"/>
      </w:r>
      <w:r w:rsidRPr="00CE3A49">
        <w:rPr>
          <w:rFonts w:ascii="Times New Roman" w:hAnsi="Times New Roman" w:cs="Times New Roman"/>
          <w:sz w:val="24"/>
          <w:szCs w:val="24"/>
        </w:rPr>
        <w:t xml:space="preserve"> Secondly, has the defendant profited from their illegal behaviour?</w:t>
      </w:r>
      <w:r w:rsidRPr="00CE3A49">
        <w:rPr>
          <w:rFonts w:ascii="Times New Roman" w:hAnsi="Times New Roman" w:cs="Times New Roman"/>
          <w:sz w:val="24"/>
          <w:szCs w:val="24"/>
          <w:vertAlign w:val="superscript"/>
        </w:rPr>
        <w:footnoteReference w:id="145"/>
      </w:r>
      <w:r w:rsidRPr="00CE3A49">
        <w:rPr>
          <w:rFonts w:ascii="Times New Roman" w:hAnsi="Times New Roman" w:cs="Times New Roman"/>
          <w:sz w:val="24"/>
          <w:szCs w:val="24"/>
        </w:rPr>
        <w:t xml:space="preserve"> A defendant is regarded to have had a ‘criminal lifestyle’ if one of the following three requirements are met, and there has to be a minimum benefit of £5,000 for the final two to be met.  Firstly, it is a ‘lifestyle offence’ as specified in the Proceeds of Crime Act 2002.</w:t>
      </w:r>
      <w:r w:rsidRPr="00CE3A49">
        <w:rPr>
          <w:rFonts w:ascii="Times New Roman" w:hAnsi="Times New Roman" w:cs="Times New Roman"/>
          <w:sz w:val="24"/>
          <w:szCs w:val="24"/>
          <w:vertAlign w:val="superscript"/>
        </w:rPr>
        <w:footnoteReference w:id="146"/>
      </w:r>
      <w:r w:rsidR="005C068C">
        <w:rPr>
          <w:rFonts w:ascii="Times New Roman" w:hAnsi="Times New Roman" w:cs="Times New Roman"/>
          <w:sz w:val="24"/>
          <w:szCs w:val="24"/>
        </w:rPr>
        <w:t xml:space="preserve">  Secondly, it is part of a ‘course of criminal conduct’</w:t>
      </w:r>
      <w:r w:rsidRPr="00CE3A49">
        <w:rPr>
          <w:rFonts w:ascii="Times New Roman" w:hAnsi="Times New Roman" w:cs="Times New Roman"/>
          <w:sz w:val="24"/>
          <w:szCs w:val="24"/>
        </w:rPr>
        <w:t>.</w:t>
      </w:r>
      <w:r w:rsidRPr="00CE3A49">
        <w:rPr>
          <w:rFonts w:ascii="Times New Roman" w:hAnsi="Times New Roman" w:cs="Times New Roman"/>
          <w:sz w:val="24"/>
          <w:szCs w:val="24"/>
          <w:vertAlign w:val="superscript"/>
        </w:rPr>
        <w:footnoteReference w:id="147"/>
      </w:r>
      <w:r w:rsidRPr="00CE3A49">
        <w:rPr>
          <w:rFonts w:ascii="Times New Roman" w:hAnsi="Times New Roman" w:cs="Times New Roman"/>
          <w:sz w:val="24"/>
          <w:szCs w:val="24"/>
        </w:rPr>
        <w:t xml:space="preserve">  Thirdly, it is an offence committed over a period of at least six months and the defendant has </w:t>
      </w:r>
      <w:r w:rsidRPr="00CE3A49">
        <w:rPr>
          <w:rFonts w:ascii="Times New Roman" w:hAnsi="Times New Roman" w:cs="Times New Roman"/>
          <w:sz w:val="24"/>
          <w:szCs w:val="24"/>
        </w:rPr>
        <w:lastRenderedPageBreak/>
        <w:t>benefited from it.</w:t>
      </w:r>
      <w:r w:rsidRPr="00CE3A49">
        <w:rPr>
          <w:rFonts w:ascii="Times New Roman" w:hAnsi="Times New Roman" w:cs="Times New Roman"/>
          <w:sz w:val="24"/>
          <w:szCs w:val="24"/>
          <w:vertAlign w:val="superscript"/>
        </w:rPr>
        <w:footnoteReference w:id="148"/>
      </w:r>
      <w:r w:rsidRPr="00CE3A49">
        <w:rPr>
          <w:rFonts w:ascii="Times New Roman" w:hAnsi="Times New Roman" w:cs="Times New Roman"/>
          <w:sz w:val="24"/>
          <w:szCs w:val="24"/>
        </w:rPr>
        <w:t xml:space="preserve">  A person is regarded as having a criminal lifestyle if he is convicted of an offence under the Proceeds of Crime Act 2002. This includes for example, drug trafficking,</w:t>
      </w:r>
      <w:r w:rsidRPr="00CE3A49">
        <w:rPr>
          <w:rFonts w:ascii="Times New Roman" w:hAnsi="Times New Roman" w:cs="Times New Roman"/>
          <w:sz w:val="24"/>
          <w:szCs w:val="24"/>
          <w:vertAlign w:val="superscript"/>
        </w:rPr>
        <w:footnoteReference w:id="149"/>
      </w:r>
      <w:r w:rsidRPr="00CE3A49">
        <w:rPr>
          <w:rFonts w:ascii="Times New Roman" w:hAnsi="Times New Roman" w:cs="Times New Roman"/>
          <w:sz w:val="24"/>
          <w:szCs w:val="24"/>
        </w:rPr>
        <w:t xml:space="preserve"> money laundering,</w:t>
      </w:r>
      <w:r w:rsidRPr="00CE3A49">
        <w:rPr>
          <w:rFonts w:ascii="Times New Roman" w:hAnsi="Times New Roman" w:cs="Times New Roman"/>
          <w:sz w:val="24"/>
          <w:szCs w:val="24"/>
          <w:vertAlign w:val="superscript"/>
        </w:rPr>
        <w:footnoteReference w:id="150"/>
      </w:r>
      <w:r w:rsidRPr="00CE3A49">
        <w:rPr>
          <w:rFonts w:ascii="Times New Roman" w:hAnsi="Times New Roman" w:cs="Times New Roman"/>
          <w:sz w:val="24"/>
          <w:szCs w:val="24"/>
        </w:rPr>
        <w:t xml:space="preserve"> directing terrorism,</w:t>
      </w:r>
      <w:r w:rsidRPr="00CE3A49">
        <w:rPr>
          <w:rFonts w:ascii="Times New Roman" w:hAnsi="Times New Roman" w:cs="Times New Roman"/>
          <w:sz w:val="24"/>
          <w:szCs w:val="24"/>
          <w:vertAlign w:val="superscript"/>
        </w:rPr>
        <w:footnoteReference w:id="151"/>
      </w:r>
      <w:r w:rsidRPr="00CE3A49">
        <w:rPr>
          <w:rFonts w:ascii="Times New Roman" w:hAnsi="Times New Roman" w:cs="Times New Roman"/>
          <w:sz w:val="24"/>
          <w:szCs w:val="24"/>
        </w:rPr>
        <w:t xml:space="preserve"> people trafficking,</w:t>
      </w:r>
      <w:r w:rsidRPr="00CE3A49">
        <w:rPr>
          <w:rFonts w:ascii="Times New Roman" w:hAnsi="Times New Roman" w:cs="Times New Roman"/>
          <w:sz w:val="24"/>
          <w:szCs w:val="24"/>
          <w:vertAlign w:val="superscript"/>
        </w:rPr>
        <w:footnoteReference w:id="152"/>
      </w:r>
      <w:r w:rsidRPr="00CE3A49">
        <w:rPr>
          <w:rFonts w:ascii="Times New Roman" w:hAnsi="Times New Roman" w:cs="Times New Roman"/>
          <w:sz w:val="24"/>
          <w:szCs w:val="24"/>
        </w:rPr>
        <w:t xml:space="preserve"> arms trafficking,</w:t>
      </w:r>
      <w:r w:rsidRPr="00CE3A49">
        <w:rPr>
          <w:rFonts w:ascii="Times New Roman" w:hAnsi="Times New Roman" w:cs="Times New Roman"/>
          <w:sz w:val="24"/>
          <w:szCs w:val="24"/>
          <w:vertAlign w:val="superscript"/>
        </w:rPr>
        <w:footnoteReference w:id="153"/>
      </w:r>
      <w:r w:rsidRPr="00CE3A49">
        <w:rPr>
          <w:rFonts w:ascii="Times New Roman" w:hAnsi="Times New Roman" w:cs="Times New Roman"/>
          <w:sz w:val="24"/>
          <w:szCs w:val="24"/>
        </w:rPr>
        <w:t xml:space="preserve"> counterfeiting </w:t>
      </w:r>
      <w:r w:rsidRPr="00CE3A49">
        <w:rPr>
          <w:rFonts w:ascii="Times New Roman" w:hAnsi="Times New Roman" w:cs="Times New Roman"/>
          <w:sz w:val="24"/>
          <w:szCs w:val="24"/>
          <w:vertAlign w:val="superscript"/>
        </w:rPr>
        <w:footnoteReference w:id="154"/>
      </w:r>
      <w:r w:rsidRPr="00CE3A49">
        <w:rPr>
          <w:rFonts w:ascii="Times New Roman" w:hAnsi="Times New Roman" w:cs="Times New Roman"/>
          <w:sz w:val="24"/>
          <w:szCs w:val="24"/>
        </w:rPr>
        <w:t xml:space="preserve"> and intellectual property offences.</w:t>
      </w:r>
      <w:r w:rsidRPr="00CE3A49">
        <w:rPr>
          <w:rFonts w:ascii="Times New Roman" w:hAnsi="Times New Roman" w:cs="Times New Roman"/>
          <w:sz w:val="24"/>
          <w:szCs w:val="24"/>
          <w:vertAlign w:val="superscript"/>
        </w:rPr>
        <w:footnoteReference w:id="155"/>
      </w:r>
      <w:r w:rsidRPr="00CE3A49">
        <w:rPr>
          <w:rFonts w:ascii="Times New Roman" w:hAnsi="Times New Roman" w:cs="Times New Roman"/>
          <w:sz w:val="24"/>
          <w:szCs w:val="24"/>
        </w:rPr>
        <w:t xml:space="preserve"> The second condition, ‘course of criminal conduct’, is a part of a criminal activity in two cases. The first case is where the defendant has benefited from the conduct and </w:t>
      </w:r>
      <w:r w:rsidR="005C068C">
        <w:rPr>
          <w:rFonts w:ascii="Times New Roman" w:hAnsi="Times New Roman" w:cs="Times New Roman"/>
          <w:sz w:val="24"/>
          <w:szCs w:val="24"/>
        </w:rPr>
        <w:t>‘</w:t>
      </w:r>
      <w:r w:rsidRPr="00CE3A49">
        <w:rPr>
          <w:rFonts w:ascii="Times New Roman" w:hAnsi="Times New Roman" w:cs="Times New Roman"/>
          <w:sz w:val="24"/>
          <w:szCs w:val="24"/>
        </w:rPr>
        <w:t>(a) in the proceedings in which he was convicted he was convicted or three or more other offences, each of the three or more of them constituting conduct which he has benefited</w:t>
      </w:r>
      <w:r w:rsidR="005C068C">
        <w:rPr>
          <w:rFonts w:ascii="Times New Roman" w:hAnsi="Times New Roman" w:cs="Times New Roman"/>
          <w:sz w:val="24"/>
          <w:szCs w:val="24"/>
        </w:rPr>
        <w:t>’</w:t>
      </w:r>
      <w:r w:rsidRPr="00CE3A49">
        <w:rPr>
          <w:rFonts w:ascii="Times New Roman" w:hAnsi="Times New Roman" w:cs="Times New Roman"/>
          <w:sz w:val="24"/>
          <w:szCs w:val="24"/>
        </w:rPr>
        <w:t>.</w:t>
      </w:r>
      <w:r w:rsidRPr="00CE3A49">
        <w:rPr>
          <w:rFonts w:ascii="Times New Roman" w:hAnsi="Times New Roman" w:cs="Times New Roman"/>
          <w:sz w:val="24"/>
          <w:szCs w:val="24"/>
          <w:vertAlign w:val="superscript"/>
        </w:rPr>
        <w:footnoteReference w:id="156"/>
      </w:r>
      <w:r w:rsidRPr="00CE3A49">
        <w:rPr>
          <w:rFonts w:ascii="Times New Roman" w:hAnsi="Times New Roman" w:cs="Times New Roman"/>
          <w:sz w:val="24"/>
          <w:szCs w:val="24"/>
        </w:rPr>
        <w:t xml:space="preserve"> The second instance is </w:t>
      </w:r>
      <w:r w:rsidR="005C068C">
        <w:rPr>
          <w:rFonts w:ascii="Times New Roman" w:hAnsi="Times New Roman" w:cs="Times New Roman"/>
          <w:sz w:val="24"/>
          <w:szCs w:val="24"/>
        </w:rPr>
        <w:t>‘</w:t>
      </w:r>
      <w:r w:rsidRPr="00CE3A49">
        <w:rPr>
          <w:rFonts w:ascii="Times New Roman" w:hAnsi="Times New Roman" w:cs="Times New Roman"/>
          <w:sz w:val="24"/>
          <w:szCs w:val="24"/>
        </w:rPr>
        <w:t>(b) in the period of six years ending with the day when those proceedings were started he was convicted on at least two separate occasions of an offence constituting conduct from which he has benefited</w:t>
      </w:r>
      <w:r w:rsidR="005C068C">
        <w:rPr>
          <w:rFonts w:ascii="Times New Roman" w:hAnsi="Times New Roman" w:cs="Times New Roman"/>
          <w:sz w:val="24"/>
          <w:szCs w:val="24"/>
        </w:rPr>
        <w:t>’</w:t>
      </w:r>
      <w:r w:rsidRPr="00CE3A49">
        <w:rPr>
          <w:rFonts w:ascii="Times New Roman" w:hAnsi="Times New Roman" w:cs="Times New Roman"/>
          <w:sz w:val="24"/>
          <w:szCs w:val="24"/>
        </w:rPr>
        <w:t>.</w:t>
      </w:r>
      <w:r w:rsidRPr="00CE3A49">
        <w:rPr>
          <w:rFonts w:ascii="Times New Roman" w:hAnsi="Times New Roman" w:cs="Times New Roman"/>
          <w:sz w:val="24"/>
          <w:szCs w:val="24"/>
          <w:vertAlign w:val="superscript"/>
        </w:rPr>
        <w:footnoteReference w:id="157"/>
      </w:r>
      <w:r w:rsidRPr="00CE3A49">
        <w:rPr>
          <w:rFonts w:ascii="Times New Roman" w:hAnsi="Times New Roman" w:cs="Times New Roman"/>
          <w:sz w:val="24"/>
          <w:szCs w:val="24"/>
        </w:rPr>
        <w:t xml:space="preserve"> Once the court feels that this criterion has been met, it will determine a ‘recoverable amount’ and grant a confiscation order that compels the defendant to pay.</w:t>
      </w:r>
      <w:r w:rsidRPr="00CE3A49">
        <w:rPr>
          <w:rFonts w:ascii="Times New Roman" w:hAnsi="Times New Roman" w:cs="Times New Roman"/>
          <w:sz w:val="24"/>
          <w:szCs w:val="24"/>
          <w:vertAlign w:val="superscript"/>
        </w:rPr>
        <w:footnoteReference w:id="158"/>
      </w:r>
      <w:r w:rsidRPr="00CE3A49">
        <w:rPr>
          <w:rFonts w:ascii="Times New Roman" w:hAnsi="Times New Roman" w:cs="Times New Roman"/>
          <w:sz w:val="24"/>
          <w:szCs w:val="24"/>
        </w:rPr>
        <w:t xml:space="preserve">  The scope of the UKs regime was extended to include the forfeiture of terrorist cash at its borders.</w:t>
      </w:r>
      <w:r w:rsidRPr="00CE3A49">
        <w:rPr>
          <w:rFonts w:ascii="Times New Roman" w:hAnsi="Times New Roman" w:cs="Times New Roman"/>
          <w:sz w:val="24"/>
          <w:szCs w:val="24"/>
          <w:vertAlign w:val="superscript"/>
        </w:rPr>
        <w:footnoteReference w:id="159"/>
      </w:r>
      <w:r w:rsidRPr="00CE3A49">
        <w:rPr>
          <w:rFonts w:ascii="Times New Roman" w:hAnsi="Times New Roman" w:cs="Times New Roman"/>
          <w:sz w:val="24"/>
          <w:szCs w:val="24"/>
        </w:rPr>
        <w:t xml:space="preserve"> The Terrorism Act 2000 permits forfeiture provided a person is convicted of </w:t>
      </w:r>
      <w:r w:rsidR="003C016C" w:rsidRPr="00CE3A49">
        <w:rPr>
          <w:rFonts w:ascii="Times New Roman" w:hAnsi="Times New Roman" w:cs="Times New Roman"/>
          <w:sz w:val="24"/>
          <w:szCs w:val="24"/>
        </w:rPr>
        <w:t xml:space="preserve">one of the </w:t>
      </w:r>
      <w:r w:rsidRPr="00CE3A49">
        <w:rPr>
          <w:rFonts w:ascii="Times New Roman" w:hAnsi="Times New Roman" w:cs="Times New Roman"/>
          <w:sz w:val="24"/>
          <w:szCs w:val="24"/>
        </w:rPr>
        <w:t>terrorist property offences</w:t>
      </w:r>
      <w:r w:rsidR="003C016C" w:rsidRPr="00CE3A49">
        <w:rPr>
          <w:rFonts w:ascii="Times New Roman" w:hAnsi="Times New Roman" w:cs="Times New Roman"/>
          <w:sz w:val="24"/>
          <w:szCs w:val="24"/>
        </w:rPr>
        <w:t xml:space="preserve"> as outlined above</w:t>
      </w:r>
      <w:r w:rsidRPr="00CE3A49">
        <w:rPr>
          <w:rFonts w:ascii="Times New Roman" w:hAnsi="Times New Roman" w:cs="Times New Roman"/>
          <w:sz w:val="24"/>
          <w:szCs w:val="24"/>
        </w:rPr>
        <w:t>.</w:t>
      </w:r>
      <w:r w:rsidR="003C016C" w:rsidRPr="00CE3A49">
        <w:rPr>
          <w:rStyle w:val="FootnoteReference"/>
          <w:rFonts w:ascii="Times New Roman" w:hAnsi="Times New Roman" w:cs="Times New Roman"/>
          <w:sz w:val="24"/>
          <w:szCs w:val="24"/>
        </w:rPr>
        <w:footnoteReference w:id="160"/>
      </w:r>
      <w:r w:rsidRPr="00CE3A49">
        <w:rPr>
          <w:rFonts w:ascii="Times New Roman" w:hAnsi="Times New Roman" w:cs="Times New Roman"/>
          <w:sz w:val="24"/>
          <w:szCs w:val="24"/>
        </w:rPr>
        <w:t xml:space="preserve">  These forfeiture provisions were extended to the seizure of terrorist cash anywhere in the UK.</w:t>
      </w:r>
      <w:r w:rsidRPr="00CE3A49">
        <w:rPr>
          <w:rFonts w:ascii="Times New Roman" w:hAnsi="Times New Roman" w:cs="Times New Roman"/>
          <w:sz w:val="24"/>
          <w:szCs w:val="24"/>
          <w:vertAlign w:val="superscript"/>
        </w:rPr>
        <w:footnoteReference w:id="161"/>
      </w:r>
      <w:r w:rsidRPr="00CE3A49">
        <w:rPr>
          <w:rFonts w:ascii="Times New Roman" w:hAnsi="Times New Roman" w:cs="Times New Roman"/>
          <w:sz w:val="24"/>
          <w:szCs w:val="24"/>
        </w:rPr>
        <w:t xml:space="preserve"> These powers have been used, but the amount of money forfeited is small when compared with other types of criminal </w:t>
      </w:r>
      <w:r w:rsidRPr="00CE3A49">
        <w:rPr>
          <w:rFonts w:ascii="Times New Roman" w:hAnsi="Times New Roman" w:cs="Times New Roman"/>
          <w:sz w:val="24"/>
          <w:szCs w:val="24"/>
        </w:rPr>
        <w:lastRenderedPageBreak/>
        <w:t>activity—only £1.452m was forfeited between 2001 and 2006.</w:t>
      </w:r>
      <w:r w:rsidRPr="00CE3A49">
        <w:rPr>
          <w:rFonts w:ascii="Times New Roman" w:hAnsi="Times New Roman" w:cs="Times New Roman"/>
          <w:sz w:val="24"/>
          <w:szCs w:val="24"/>
          <w:vertAlign w:val="superscript"/>
        </w:rPr>
        <w:footnoteReference w:id="162"/>
      </w:r>
      <w:r w:rsidRPr="00CE3A49">
        <w:rPr>
          <w:rFonts w:ascii="Times New Roman" w:hAnsi="Times New Roman" w:cs="Times New Roman"/>
          <w:sz w:val="24"/>
          <w:szCs w:val="24"/>
        </w:rPr>
        <w:t xml:space="preserve"> The Home Office reported that between 2008 and 2009 £838,539.65 was forfeited. It is important to note that there are some problems with the collection of any accurate data for the amount of terrorist cash forfeited.</w:t>
      </w:r>
      <w:r w:rsidRPr="00CE3A49">
        <w:rPr>
          <w:rFonts w:ascii="Times New Roman" w:hAnsi="Times New Roman" w:cs="Times New Roman"/>
          <w:sz w:val="24"/>
          <w:szCs w:val="24"/>
          <w:vertAlign w:val="superscript"/>
        </w:rPr>
        <w:footnoteReference w:id="163"/>
      </w:r>
      <w:r w:rsidR="00506AD4" w:rsidRPr="00CE3A49">
        <w:rPr>
          <w:rFonts w:ascii="Times New Roman" w:hAnsi="Times New Roman" w:cs="Times New Roman"/>
          <w:sz w:val="24"/>
          <w:szCs w:val="24"/>
        </w:rPr>
        <w:t xml:space="preserve">  This part of the ‘Financial War on Terrorism’ has had minimal impact on the ability of UK authorities to confiscation the proceeds of directing terrorism as these powers already existed.  However, the m</w:t>
      </w:r>
      <w:r w:rsidR="00A90828" w:rsidRPr="00CE3A49">
        <w:rPr>
          <w:rFonts w:ascii="Times New Roman" w:hAnsi="Times New Roman" w:cs="Times New Roman"/>
          <w:sz w:val="24"/>
          <w:szCs w:val="24"/>
        </w:rPr>
        <w:t xml:space="preserve">odel </w:t>
      </w:r>
      <w:r w:rsidR="00506AD4" w:rsidRPr="00CE3A49">
        <w:rPr>
          <w:rFonts w:ascii="Times New Roman" w:hAnsi="Times New Roman" w:cs="Times New Roman"/>
          <w:sz w:val="24"/>
          <w:szCs w:val="24"/>
        </w:rPr>
        <w:t xml:space="preserve">that has been </w:t>
      </w:r>
      <w:r w:rsidR="00A90828" w:rsidRPr="00CE3A49">
        <w:rPr>
          <w:rFonts w:ascii="Times New Roman" w:hAnsi="Times New Roman" w:cs="Times New Roman"/>
          <w:sz w:val="24"/>
          <w:szCs w:val="24"/>
        </w:rPr>
        <w:t xml:space="preserve">adopted </w:t>
      </w:r>
      <w:r w:rsidR="00506AD4" w:rsidRPr="00CE3A49">
        <w:rPr>
          <w:rFonts w:ascii="Times New Roman" w:hAnsi="Times New Roman" w:cs="Times New Roman"/>
          <w:sz w:val="24"/>
          <w:szCs w:val="24"/>
        </w:rPr>
        <w:t>by the ‘Financial War on Terrorism’</w:t>
      </w:r>
      <w:r w:rsidR="00FE0D97" w:rsidRPr="00CE3A49">
        <w:rPr>
          <w:rFonts w:ascii="Times New Roman" w:hAnsi="Times New Roman" w:cs="Times New Roman"/>
          <w:sz w:val="24"/>
          <w:szCs w:val="24"/>
        </w:rPr>
        <w:t xml:space="preserve"> is </w:t>
      </w:r>
      <w:r w:rsidR="00F2581E" w:rsidRPr="00CE3A49">
        <w:rPr>
          <w:rFonts w:ascii="Times New Roman" w:hAnsi="Times New Roman" w:cs="Times New Roman"/>
          <w:sz w:val="24"/>
          <w:szCs w:val="24"/>
        </w:rPr>
        <w:t>geared towards t</w:t>
      </w:r>
      <w:r w:rsidR="00A90828" w:rsidRPr="00CE3A49">
        <w:rPr>
          <w:rFonts w:ascii="Times New Roman" w:hAnsi="Times New Roman" w:cs="Times New Roman"/>
          <w:sz w:val="24"/>
          <w:szCs w:val="24"/>
        </w:rPr>
        <w:t>ackling the proceeds of crime for</w:t>
      </w:r>
      <w:r w:rsidR="00F2581E" w:rsidRPr="00CE3A49">
        <w:rPr>
          <w:rFonts w:ascii="Times New Roman" w:hAnsi="Times New Roman" w:cs="Times New Roman"/>
          <w:sz w:val="24"/>
          <w:szCs w:val="24"/>
        </w:rPr>
        <w:t xml:space="preserve"> </w:t>
      </w:r>
      <w:r w:rsidR="00A90828" w:rsidRPr="00CE3A49">
        <w:rPr>
          <w:rFonts w:ascii="Times New Roman" w:hAnsi="Times New Roman" w:cs="Times New Roman"/>
          <w:sz w:val="24"/>
          <w:szCs w:val="24"/>
        </w:rPr>
        <w:t>organised criminals, drug cartels and other criminal offences is inappropriate for</w:t>
      </w:r>
      <w:r w:rsidR="00F2581E" w:rsidRPr="00CE3A49">
        <w:rPr>
          <w:rFonts w:ascii="Times New Roman" w:hAnsi="Times New Roman" w:cs="Times New Roman"/>
          <w:sz w:val="24"/>
          <w:szCs w:val="24"/>
        </w:rPr>
        <w:t xml:space="preserve"> </w:t>
      </w:r>
      <w:r w:rsidR="00A90828" w:rsidRPr="00CE3A49">
        <w:rPr>
          <w:rFonts w:ascii="Times New Roman" w:hAnsi="Times New Roman" w:cs="Times New Roman"/>
          <w:sz w:val="24"/>
          <w:szCs w:val="24"/>
        </w:rPr>
        <w:t>terrorism. This is due to the fact that terrorists do not seek to profit from their</w:t>
      </w:r>
      <w:r w:rsidR="00F2581E" w:rsidRPr="00CE3A49">
        <w:rPr>
          <w:rFonts w:ascii="Times New Roman" w:hAnsi="Times New Roman" w:cs="Times New Roman"/>
          <w:sz w:val="24"/>
          <w:szCs w:val="24"/>
        </w:rPr>
        <w:t xml:space="preserve"> </w:t>
      </w:r>
      <w:r w:rsidR="00A90828" w:rsidRPr="00CE3A49">
        <w:rPr>
          <w:rFonts w:ascii="Times New Roman" w:hAnsi="Times New Roman" w:cs="Times New Roman"/>
          <w:sz w:val="24"/>
          <w:szCs w:val="24"/>
        </w:rPr>
        <w:t xml:space="preserve">illegal activity. An example of this approach is </w:t>
      </w:r>
      <w:r w:rsidR="005C068C">
        <w:rPr>
          <w:rFonts w:ascii="Times New Roman" w:hAnsi="Times New Roman" w:cs="Times New Roman"/>
          <w:sz w:val="24"/>
          <w:szCs w:val="24"/>
        </w:rPr>
        <w:t>‘</w:t>
      </w:r>
      <w:r w:rsidR="00A90828" w:rsidRPr="00CE3A49">
        <w:rPr>
          <w:rFonts w:ascii="Times New Roman" w:hAnsi="Times New Roman" w:cs="Times New Roman"/>
          <w:sz w:val="24"/>
          <w:szCs w:val="24"/>
        </w:rPr>
        <w:t>reverse money laundering</w:t>
      </w:r>
      <w:r w:rsidR="005C068C">
        <w:rPr>
          <w:rFonts w:ascii="Times New Roman" w:hAnsi="Times New Roman" w:cs="Times New Roman"/>
          <w:sz w:val="24"/>
          <w:szCs w:val="24"/>
        </w:rPr>
        <w:t>’</w:t>
      </w:r>
      <w:r w:rsidR="00A90828" w:rsidRPr="00CE3A49">
        <w:rPr>
          <w:rFonts w:ascii="Times New Roman" w:hAnsi="Times New Roman" w:cs="Times New Roman"/>
          <w:sz w:val="24"/>
          <w:szCs w:val="24"/>
        </w:rPr>
        <w:t>, which</w:t>
      </w:r>
      <w:r w:rsidR="00F2581E" w:rsidRPr="00CE3A49">
        <w:rPr>
          <w:rFonts w:ascii="Times New Roman" w:hAnsi="Times New Roman" w:cs="Times New Roman"/>
          <w:sz w:val="24"/>
          <w:szCs w:val="24"/>
        </w:rPr>
        <w:t xml:space="preserve"> </w:t>
      </w:r>
      <w:r w:rsidR="00A90828" w:rsidRPr="00CE3A49">
        <w:rPr>
          <w:rFonts w:ascii="Times New Roman" w:hAnsi="Times New Roman" w:cs="Times New Roman"/>
          <w:sz w:val="24"/>
          <w:szCs w:val="24"/>
        </w:rPr>
        <w:t>involves terrorists receiving clean money from misapplied charitable donations</w:t>
      </w:r>
      <w:r w:rsidR="00F2581E" w:rsidRPr="00CE3A49">
        <w:rPr>
          <w:rFonts w:ascii="Times New Roman" w:hAnsi="Times New Roman" w:cs="Times New Roman"/>
          <w:sz w:val="24"/>
          <w:szCs w:val="24"/>
        </w:rPr>
        <w:t xml:space="preserve"> </w:t>
      </w:r>
      <w:r w:rsidR="00A90828" w:rsidRPr="00CE3A49">
        <w:rPr>
          <w:rFonts w:ascii="Times New Roman" w:hAnsi="Times New Roman" w:cs="Times New Roman"/>
          <w:sz w:val="24"/>
          <w:szCs w:val="24"/>
        </w:rPr>
        <w:t>for example that then becomes illegal money when it is used for the purposes of</w:t>
      </w:r>
      <w:r w:rsidR="00F2581E" w:rsidRPr="00CE3A49">
        <w:rPr>
          <w:rFonts w:ascii="Times New Roman" w:hAnsi="Times New Roman" w:cs="Times New Roman"/>
          <w:sz w:val="24"/>
          <w:szCs w:val="24"/>
        </w:rPr>
        <w:t xml:space="preserve"> </w:t>
      </w:r>
      <w:r w:rsidR="00A90828" w:rsidRPr="00CE3A49">
        <w:rPr>
          <w:rFonts w:ascii="Times New Roman" w:hAnsi="Times New Roman" w:cs="Times New Roman"/>
          <w:sz w:val="24"/>
          <w:szCs w:val="24"/>
        </w:rPr>
        <w:t>a terrorist attack.</w:t>
      </w:r>
    </w:p>
    <w:p w:rsidR="00A90828" w:rsidRPr="00C97E04" w:rsidRDefault="00A90828" w:rsidP="00C97E04">
      <w:pPr>
        <w:autoSpaceDE w:val="0"/>
        <w:autoSpaceDN w:val="0"/>
        <w:adjustRightInd w:val="0"/>
        <w:spacing w:after="0" w:line="480" w:lineRule="auto"/>
        <w:jc w:val="both"/>
        <w:rPr>
          <w:rFonts w:ascii="Times New Roman" w:eastAsia="SimSun" w:hAnsi="Times New Roman" w:cs="Times New Roman"/>
          <w:sz w:val="24"/>
          <w:szCs w:val="24"/>
          <w:lang w:eastAsia="zh-CN"/>
        </w:rPr>
      </w:pPr>
    </w:p>
    <w:p w:rsidR="00C97E04" w:rsidRPr="00C97E04" w:rsidRDefault="00C97E04" w:rsidP="00C97E04">
      <w:pPr>
        <w:autoSpaceDE w:val="0"/>
        <w:autoSpaceDN w:val="0"/>
        <w:adjustRightInd w:val="0"/>
        <w:spacing w:after="0" w:line="480" w:lineRule="auto"/>
        <w:jc w:val="both"/>
        <w:rPr>
          <w:rFonts w:ascii="Times New Roman" w:eastAsia="SimSun" w:hAnsi="Times New Roman" w:cs="Times New Roman"/>
          <w:b/>
          <w:sz w:val="24"/>
          <w:szCs w:val="24"/>
          <w:lang w:eastAsia="zh-CN"/>
        </w:rPr>
      </w:pPr>
      <w:r w:rsidRPr="00C97E04">
        <w:rPr>
          <w:rFonts w:ascii="Times New Roman" w:eastAsia="SimSun" w:hAnsi="Times New Roman" w:cs="Times New Roman"/>
          <w:b/>
          <w:sz w:val="24"/>
          <w:szCs w:val="24"/>
          <w:lang w:eastAsia="zh-CN"/>
        </w:rPr>
        <w:t>The Sanctions Regime</w:t>
      </w:r>
    </w:p>
    <w:p w:rsidR="00A42487" w:rsidRDefault="00A42487" w:rsidP="00C97E04">
      <w:pPr>
        <w:autoSpaceDE w:val="0"/>
        <w:autoSpaceDN w:val="0"/>
        <w:adjustRightInd w:val="0"/>
        <w:spacing w:after="0" w:line="480" w:lineRule="auto"/>
        <w:jc w:val="both"/>
        <w:rPr>
          <w:rFonts w:ascii="Times New Roman" w:eastAsia="SimSun" w:hAnsi="Times New Roman" w:cs="Times New Roman"/>
          <w:sz w:val="24"/>
          <w:szCs w:val="24"/>
          <w:lang w:eastAsia="zh-CN"/>
        </w:rPr>
      </w:pPr>
    </w:p>
    <w:p w:rsidR="00C97E04" w:rsidRPr="00C97E04" w:rsidRDefault="00C97E04" w:rsidP="00C97E04">
      <w:pPr>
        <w:autoSpaceDE w:val="0"/>
        <w:autoSpaceDN w:val="0"/>
        <w:adjustRightInd w:val="0"/>
        <w:spacing w:after="0" w:line="480" w:lineRule="auto"/>
        <w:jc w:val="both"/>
        <w:rPr>
          <w:rFonts w:ascii="Times New Roman" w:eastAsia="Times New Roman" w:hAnsi="Times New Roman" w:cs="Times New Roman"/>
          <w:b/>
          <w:sz w:val="24"/>
          <w:szCs w:val="20"/>
          <w:lang w:val="en" w:eastAsia="en-GB"/>
        </w:rPr>
      </w:pPr>
      <w:r w:rsidRPr="00C97E04">
        <w:rPr>
          <w:rFonts w:ascii="Times New Roman" w:eastAsia="SimSun" w:hAnsi="Times New Roman" w:cs="Times New Roman"/>
          <w:sz w:val="24"/>
          <w:szCs w:val="24"/>
          <w:lang w:eastAsia="zh-CN"/>
        </w:rPr>
        <w:t>One of the most important and controversial parts of the ‘Financial War on Terrorism’ has been the expansion of the UNs sanctions regime</w:t>
      </w:r>
      <w:r w:rsidR="001F612C">
        <w:rPr>
          <w:rFonts w:ascii="Times New Roman" w:eastAsia="SimSun" w:hAnsi="Times New Roman" w:cs="Times New Roman"/>
          <w:sz w:val="24"/>
          <w:szCs w:val="24"/>
          <w:lang w:eastAsia="zh-CN"/>
        </w:rPr>
        <w:t>, t</w:t>
      </w:r>
      <w:r w:rsidRPr="00C97E04">
        <w:rPr>
          <w:rFonts w:ascii="Times New Roman" w:eastAsia="SimSun" w:hAnsi="Times New Roman" w:cs="Times New Roman"/>
          <w:sz w:val="24"/>
          <w:szCs w:val="24"/>
          <w:lang w:eastAsia="zh-CN"/>
        </w:rPr>
        <w:t xml:space="preserve">he legal origins of </w:t>
      </w:r>
      <w:r w:rsidR="001F612C">
        <w:rPr>
          <w:rFonts w:ascii="Times New Roman" w:eastAsia="SimSun" w:hAnsi="Times New Roman" w:cs="Times New Roman"/>
          <w:sz w:val="24"/>
          <w:szCs w:val="24"/>
          <w:lang w:eastAsia="zh-CN"/>
        </w:rPr>
        <w:t xml:space="preserve">which can be found in </w:t>
      </w:r>
      <w:r w:rsidRPr="00C97E04">
        <w:rPr>
          <w:rFonts w:ascii="Times New Roman" w:eastAsia="SimSun" w:hAnsi="Times New Roman" w:cs="Times New Roman"/>
          <w:sz w:val="24"/>
          <w:szCs w:val="24"/>
          <w:lang w:eastAsia="zh-CN"/>
        </w:rPr>
        <w:t>U</w:t>
      </w:r>
      <w:r w:rsidR="00A42487">
        <w:rPr>
          <w:rFonts w:ascii="Times New Roman" w:eastAsia="SimSun" w:hAnsi="Times New Roman" w:cs="Times New Roman"/>
          <w:sz w:val="24"/>
          <w:szCs w:val="24"/>
          <w:lang w:eastAsia="zh-CN"/>
        </w:rPr>
        <w:t>NSCR</w:t>
      </w:r>
      <w:r w:rsidR="001F612C">
        <w:rPr>
          <w:rFonts w:ascii="Times New Roman" w:eastAsia="SimSun" w:hAnsi="Times New Roman" w:cs="Times New Roman"/>
          <w:sz w:val="24"/>
          <w:szCs w:val="24"/>
          <w:lang w:eastAsia="zh-CN"/>
        </w:rPr>
        <w:t>s</w:t>
      </w:r>
      <w:r w:rsidR="00A42487">
        <w:rPr>
          <w:rFonts w:ascii="Times New Roman" w:eastAsia="SimSun" w:hAnsi="Times New Roman" w:cs="Times New Roman"/>
          <w:sz w:val="24"/>
          <w:szCs w:val="24"/>
          <w:lang w:eastAsia="zh-CN"/>
        </w:rPr>
        <w:t xml:space="preserve"> </w:t>
      </w:r>
      <w:r w:rsidRPr="00C97E04">
        <w:rPr>
          <w:rFonts w:ascii="Times New Roman" w:eastAsia="SimSun" w:hAnsi="Times New Roman" w:cs="Times New Roman"/>
          <w:sz w:val="24"/>
          <w:szCs w:val="24"/>
          <w:lang w:eastAsia="zh-CN"/>
        </w:rPr>
        <w:t xml:space="preserve">1267 and 1373.  The </w:t>
      </w:r>
      <w:r w:rsidR="001F612C">
        <w:rPr>
          <w:rFonts w:ascii="Times New Roman" w:eastAsia="SimSun" w:hAnsi="Times New Roman" w:cs="Times New Roman"/>
          <w:sz w:val="24"/>
          <w:szCs w:val="24"/>
          <w:lang w:eastAsia="zh-CN"/>
        </w:rPr>
        <w:t xml:space="preserve">domestic basis for their implementation can be found in </w:t>
      </w:r>
      <w:r w:rsidRPr="00C97E04">
        <w:rPr>
          <w:rFonts w:ascii="Times New Roman" w:eastAsia="SimSun" w:hAnsi="Times New Roman" w:cs="Times New Roman"/>
          <w:sz w:val="24"/>
          <w:szCs w:val="24"/>
          <w:lang w:eastAsia="zh-CN"/>
        </w:rPr>
        <w:t>the Terrorism (United Nations Measures) Order 2001,</w:t>
      </w:r>
      <w:r w:rsidRPr="00C97E04">
        <w:rPr>
          <w:rFonts w:ascii="Times New Roman" w:eastAsia="SimSun" w:hAnsi="Times New Roman" w:cs="Times New Roman"/>
          <w:sz w:val="24"/>
          <w:szCs w:val="24"/>
          <w:vertAlign w:val="superscript"/>
          <w:lang w:eastAsia="zh-CN"/>
        </w:rPr>
        <w:footnoteReference w:id="164"/>
      </w:r>
      <w:r w:rsidRPr="00C97E04">
        <w:rPr>
          <w:rFonts w:ascii="Times New Roman" w:eastAsia="SimSun" w:hAnsi="Times New Roman" w:cs="Times New Roman"/>
          <w:sz w:val="24"/>
          <w:szCs w:val="24"/>
          <w:lang w:eastAsia="zh-CN"/>
        </w:rPr>
        <w:t xml:space="preserve"> Terrorism (United Nations Measures) Order 2006 </w:t>
      </w:r>
      <w:r w:rsidRPr="00C97E04">
        <w:rPr>
          <w:rFonts w:ascii="Times New Roman" w:eastAsia="SimSun" w:hAnsi="Times New Roman" w:cs="Times New Roman"/>
          <w:sz w:val="24"/>
          <w:szCs w:val="24"/>
          <w:vertAlign w:val="superscript"/>
          <w:lang w:eastAsia="zh-CN"/>
        </w:rPr>
        <w:footnoteReference w:id="165"/>
      </w:r>
      <w:r w:rsidRPr="00C97E04">
        <w:rPr>
          <w:rFonts w:ascii="Times New Roman" w:eastAsia="SimSun" w:hAnsi="Times New Roman" w:cs="Times New Roman"/>
          <w:sz w:val="24"/>
          <w:szCs w:val="24"/>
          <w:lang w:eastAsia="zh-CN"/>
        </w:rPr>
        <w:t xml:space="preserve"> and the </w:t>
      </w:r>
      <w:hyperlink r:id="rId9" w:history="1">
        <w:r w:rsidRPr="00C97E04">
          <w:rPr>
            <w:rFonts w:ascii="Times New Roman" w:eastAsia="Times New Roman" w:hAnsi="Times New Roman" w:cs="Times New Roman"/>
            <w:sz w:val="24"/>
            <w:szCs w:val="24"/>
            <w:lang w:eastAsia="en-GB"/>
          </w:rPr>
          <w:t>Terrorism (United Nations Measures) Order 2009</w:t>
        </w:r>
      </w:hyperlink>
      <w:r w:rsidRPr="00C97E04">
        <w:rPr>
          <w:rFonts w:ascii="Times New Roman" w:eastAsia="Times New Roman" w:hAnsi="Times New Roman" w:cs="Times New Roman"/>
          <w:sz w:val="24"/>
          <w:szCs w:val="24"/>
          <w:lang w:eastAsia="en-GB"/>
        </w:rPr>
        <w:t>.</w:t>
      </w:r>
      <w:r w:rsidRPr="00C97E04">
        <w:rPr>
          <w:rFonts w:ascii="Times New Roman" w:eastAsiaTheme="majorEastAsia" w:hAnsi="Times New Roman" w:cs="Times New Roman"/>
          <w:sz w:val="24"/>
          <w:szCs w:val="24"/>
          <w:vertAlign w:val="superscript"/>
          <w:lang w:eastAsia="en-GB"/>
        </w:rPr>
        <w:footnoteReference w:id="166"/>
      </w:r>
      <w:r w:rsidRPr="00C97E04">
        <w:rPr>
          <w:rFonts w:ascii="Times New Roman" w:eastAsia="Times New Roman" w:hAnsi="Times New Roman" w:cs="Times New Roman"/>
          <w:sz w:val="24"/>
          <w:szCs w:val="24"/>
          <w:lang w:eastAsia="en-GB"/>
        </w:rPr>
        <w:t xml:space="preserve">  </w:t>
      </w:r>
      <w:r w:rsidRPr="00C97E04">
        <w:rPr>
          <w:rFonts w:ascii="Times New Roman" w:eastAsia="SimSun" w:hAnsi="Times New Roman" w:cs="Times New Roman"/>
          <w:sz w:val="24"/>
          <w:szCs w:val="24"/>
          <w:lang w:eastAsia="zh-CN"/>
        </w:rPr>
        <w:t xml:space="preserve"> HM Treasury manages the financial sanctions regime by virtue of the </w:t>
      </w:r>
      <w:r w:rsidRPr="00C97E04">
        <w:rPr>
          <w:rFonts w:ascii="Times New Roman" w:eastAsia="Times New Roman" w:hAnsi="Times New Roman" w:cs="Times New Roman"/>
          <w:sz w:val="24"/>
          <w:szCs w:val="24"/>
          <w:lang w:val="en" w:eastAsia="en-GB"/>
        </w:rPr>
        <w:t xml:space="preserve">Terrorist Asset-Freezing etc. Act 2010.  </w:t>
      </w:r>
      <w:r w:rsidR="00A93E11">
        <w:rPr>
          <w:rFonts w:ascii="Times New Roman" w:eastAsia="Times New Roman" w:hAnsi="Times New Roman" w:cs="Times New Roman"/>
          <w:sz w:val="24"/>
          <w:szCs w:val="24"/>
          <w:lang w:val="en" w:eastAsia="en-GB"/>
        </w:rPr>
        <w:t>The first part o</w:t>
      </w:r>
      <w:r w:rsidRPr="00C97E04">
        <w:rPr>
          <w:rFonts w:ascii="Times New Roman" w:eastAsia="Times New Roman" w:hAnsi="Times New Roman" w:cs="Times New Roman"/>
          <w:sz w:val="24"/>
          <w:szCs w:val="24"/>
          <w:lang w:val="en" w:eastAsia="en-GB"/>
        </w:rPr>
        <w:t>f the 2010 Act gives legal effect in the UK to UN</w:t>
      </w:r>
      <w:r w:rsidR="00A42487">
        <w:rPr>
          <w:rFonts w:ascii="Times New Roman" w:eastAsia="Times New Roman" w:hAnsi="Times New Roman" w:cs="Times New Roman"/>
          <w:sz w:val="24"/>
          <w:szCs w:val="24"/>
          <w:lang w:val="en" w:eastAsia="en-GB"/>
        </w:rPr>
        <w:t xml:space="preserve">SCR </w:t>
      </w:r>
      <w:r w:rsidRPr="00C97E04">
        <w:rPr>
          <w:rFonts w:ascii="Times New Roman" w:eastAsia="Times New Roman" w:hAnsi="Times New Roman" w:cs="Times New Roman"/>
          <w:sz w:val="24"/>
          <w:szCs w:val="24"/>
          <w:lang w:val="en" w:eastAsia="en-GB"/>
        </w:rPr>
        <w:t>1373 and 1452</w:t>
      </w:r>
      <w:r w:rsidR="00A93E11">
        <w:rPr>
          <w:rFonts w:ascii="Times New Roman" w:eastAsia="Times New Roman" w:hAnsi="Times New Roman" w:cs="Times New Roman"/>
          <w:sz w:val="24"/>
          <w:szCs w:val="24"/>
          <w:lang w:val="en" w:eastAsia="en-GB"/>
        </w:rPr>
        <w:t>, while the second p</w:t>
      </w:r>
      <w:r w:rsidRPr="00C97E04">
        <w:rPr>
          <w:rFonts w:ascii="Times New Roman" w:eastAsia="Times New Roman" w:hAnsi="Times New Roman" w:cs="Times New Roman"/>
          <w:sz w:val="24"/>
          <w:szCs w:val="24"/>
          <w:lang w:val="en" w:eastAsia="en-GB"/>
        </w:rPr>
        <w:t>art</w:t>
      </w:r>
      <w:r w:rsidR="00A93E11">
        <w:rPr>
          <w:rFonts w:ascii="Times New Roman" w:eastAsia="Times New Roman" w:hAnsi="Times New Roman" w:cs="Times New Roman"/>
          <w:sz w:val="24"/>
          <w:szCs w:val="24"/>
          <w:lang w:val="en" w:eastAsia="en-GB"/>
        </w:rPr>
        <w:t xml:space="preserve"> </w:t>
      </w:r>
      <w:r w:rsidRPr="00C97E04">
        <w:rPr>
          <w:rFonts w:ascii="Times New Roman" w:eastAsia="Times New Roman" w:hAnsi="Times New Roman" w:cs="Times New Roman"/>
          <w:sz w:val="24"/>
          <w:szCs w:val="24"/>
          <w:lang w:val="en" w:eastAsia="en-GB"/>
        </w:rPr>
        <w:t xml:space="preserve">amends Schedule 7 of the Counter-Terrorism Act 2008 and grants HM </w:t>
      </w:r>
      <w:r w:rsidRPr="00C97E04">
        <w:rPr>
          <w:rFonts w:ascii="Times New Roman" w:eastAsia="Times New Roman" w:hAnsi="Times New Roman" w:cs="Times New Roman"/>
          <w:sz w:val="24"/>
          <w:szCs w:val="24"/>
          <w:lang w:val="en" w:eastAsia="en-GB"/>
        </w:rPr>
        <w:lastRenderedPageBreak/>
        <w:t>Treasury additional power to imp</w:t>
      </w:r>
      <w:r w:rsidR="007629C4">
        <w:rPr>
          <w:rFonts w:ascii="Times New Roman" w:eastAsia="Times New Roman" w:hAnsi="Times New Roman" w:cs="Times New Roman"/>
          <w:sz w:val="24"/>
          <w:szCs w:val="24"/>
          <w:lang w:val="en" w:eastAsia="en-GB"/>
        </w:rPr>
        <w:t>ose financial restrictions on ‘a country of concern’</w:t>
      </w:r>
      <w:r w:rsidRPr="00C97E04">
        <w:rPr>
          <w:rFonts w:ascii="Times New Roman" w:eastAsia="Times New Roman" w:hAnsi="Times New Roman" w:cs="Times New Roman"/>
          <w:sz w:val="24"/>
          <w:szCs w:val="24"/>
          <w:lang w:val="en" w:eastAsia="en-GB"/>
        </w:rPr>
        <w:t xml:space="preserve"> in response to threats to the UK or where the FATF has advised that appropriate measures should be undertaken.  </w:t>
      </w:r>
      <w:r w:rsidRPr="00C97E04">
        <w:rPr>
          <w:rFonts w:ascii="Times New Roman" w:eastAsia="Times New Roman" w:hAnsi="Times New Roman" w:cs="Times New Roman"/>
          <w:sz w:val="24"/>
          <w:szCs w:val="20"/>
          <w:lang w:val="en" w:eastAsia="en-GB"/>
        </w:rPr>
        <w:t xml:space="preserve">The sanctions regime has attracted a </w:t>
      </w:r>
      <w:r w:rsidR="001F612C">
        <w:rPr>
          <w:rFonts w:ascii="Times New Roman" w:eastAsia="Times New Roman" w:hAnsi="Times New Roman" w:cs="Times New Roman"/>
          <w:sz w:val="24"/>
          <w:szCs w:val="20"/>
          <w:lang w:val="en" w:eastAsia="en-GB"/>
        </w:rPr>
        <w:t xml:space="preserve">great deal of </w:t>
      </w:r>
      <w:r w:rsidRPr="00C97E04">
        <w:rPr>
          <w:rFonts w:ascii="Times New Roman" w:eastAsia="Times New Roman" w:hAnsi="Times New Roman" w:cs="Times New Roman"/>
          <w:sz w:val="24"/>
          <w:szCs w:val="20"/>
          <w:lang w:val="en" w:eastAsia="en-GB"/>
        </w:rPr>
        <w:t xml:space="preserve">criticism.  For example, it has been </w:t>
      </w:r>
      <w:r w:rsidR="001F612C">
        <w:rPr>
          <w:rFonts w:ascii="Times New Roman" w:eastAsia="Times New Roman" w:hAnsi="Times New Roman" w:cs="Times New Roman"/>
          <w:sz w:val="24"/>
          <w:szCs w:val="20"/>
          <w:lang w:val="en" w:eastAsia="en-GB"/>
        </w:rPr>
        <w:t xml:space="preserve">suggested </w:t>
      </w:r>
      <w:r w:rsidRPr="00C97E04">
        <w:rPr>
          <w:rFonts w:ascii="Times New Roman" w:eastAsia="Times New Roman" w:hAnsi="Times New Roman" w:cs="Times New Roman"/>
          <w:sz w:val="24"/>
          <w:szCs w:val="20"/>
          <w:lang w:val="en" w:eastAsia="en-GB"/>
        </w:rPr>
        <w:t xml:space="preserve">that banks have been unfairly </w:t>
      </w:r>
      <w:r w:rsidR="001F612C">
        <w:rPr>
          <w:rFonts w:ascii="Times New Roman" w:eastAsia="Times New Roman" w:hAnsi="Times New Roman" w:cs="Times New Roman"/>
          <w:sz w:val="24"/>
          <w:szCs w:val="20"/>
          <w:lang w:val="en" w:eastAsia="en-GB"/>
        </w:rPr>
        <w:t>targeted b</w:t>
      </w:r>
      <w:r w:rsidRPr="00C97E04">
        <w:rPr>
          <w:rFonts w:ascii="Times New Roman" w:eastAsia="Times New Roman" w:hAnsi="Times New Roman" w:cs="Times New Roman"/>
          <w:sz w:val="24"/>
          <w:szCs w:val="20"/>
          <w:lang w:val="en" w:eastAsia="en-GB"/>
        </w:rPr>
        <w:t>y the sanctions regime due</w:t>
      </w:r>
      <w:r w:rsidR="001F612C">
        <w:rPr>
          <w:rFonts w:ascii="Times New Roman" w:eastAsia="Times New Roman" w:hAnsi="Times New Roman" w:cs="Times New Roman"/>
          <w:sz w:val="24"/>
          <w:szCs w:val="20"/>
          <w:lang w:val="en" w:eastAsia="en-GB"/>
        </w:rPr>
        <w:t xml:space="preserve"> to a significant increase in </w:t>
      </w:r>
      <w:r w:rsidRPr="00C97E04">
        <w:rPr>
          <w:rFonts w:ascii="Times New Roman" w:eastAsia="Times New Roman" w:hAnsi="Times New Roman" w:cs="Times New Roman"/>
          <w:sz w:val="24"/>
          <w:szCs w:val="20"/>
          <w:lang w:val="en" w:eastAsia="en-GB"/>
        </w:rPr>
        <w:t>compliance costs.</w:t>
      </w:r>
      <w:r w:rsidRPr="00C97E04">
        <w:rPr>
          <w:rFonts w:ascii="Times New Roman" w:eastAsiaTheme="majorEastAsia" w:hAnsi="Times New Roman" w:cs="Times New Roman"/>
          <w:sz w:val="24"/>
          <w:szCs w:val="20"/>
          <w:vertAlign w:val="superscript"/>
          <w:lang w:val="en" w:eastAsia="en-GB"/>
        </w:rPr>
        <w:footnoteReference w:id="167"/>
      </w:r>
      <w:r w:rsidRPr="00C97E04">
        <w:rPr>
          <w:rFonts w:ascii="Times New Roman" w:eastAsia="Times New Roman" w:hAnsi="Times New Roman" w:cs="Times New Roman"/>
          <w:sz w:val="24"/>
          <w:szCs w:val="20"/>
          <w:lang w:val="en" w:eastAsia="en-GB"/>
        </w:rPr>
        <w:t xml:space="preserve">  The British Bankers Association </w:t>
      </w:r>
      <w:r w:rsidRPr="00C97E04">
        <w:rPr>
          <w:rFonts w:ascii="Times New Roman" w:eastAsiaTheme="majorEastAsia" w:hAnsi="Times New Roman" w:cs="Times New Roman"/>
          <w:sz w:val="24"/>
          <w:szCs w:val="20"/>
          <w:vertAlign w:val="superscript"/>
          <w:lang w:val="en" w:eastAsia="en-GB"/>
        </w:rPr>
        <w:footnoteReference w:id="168"/>
      </w:r>
      <w:r w:rsidRPr="00C97E04">
        <w:rPr>
          <w:rFonts w:ascii="Times New Roman" w:eastAsia="Times New Roman" w:hAnsi="Times New Roman" w:cs="Times New Roman"/>
          <w:sz w:val="24"/>
          <w:szCs w:val="20"/>
          <w:lang w:val="en" w:eastAsia="en-GB"/>
        </w:rPr>
        <w:t xml:space="preserve"> questioned the appropriateness of the use of sanctions and stated:</w:t>
      </w:r>
    </w:p>
    <w:p w:rsidR="00C97E04" w:rsidRPr="00C97E04" w:rsidRDefault="00C97E04" w:rsidP="00C97E04">
      <w:pPr>
        <w:autoSpaceDE w:val="0"/>
        <w:autoSpaceDN w:val="0"/>
        <w:adjustRightInd w:val="0"/>
        <w:spacing w:after="0" w:line="480" w:lineRule="auto"/>
        <w:jc w:val="both"/>
        <w:rPr>
          <w:rFonts w:ascii="Times New Roman" w:eastAsia="Times New Roman" w:hAnsi="Times New Roman" w:cs="Times New Roman"/>
          <w:sz w:val="24"/>
          <w:szCs w:val="20"/>
          <w:lang w:val="en" w:eastAsia="en-GB"/>
        </w:rPr>
      </w:pPr>
    </w:p>
    <w:p w:rsidR="00C97E04" w:rsidRPr="00C97E04" w:rsidRDefault="005C068C" w:rsidP="00C97E04">
      <w:pPr>
        <w:autoSpaceDE w:val="0"/>
        <w:autoSpaceDN w:val="0"/>
        <w:adjustRightInd w:val="0"/>
        <w:spacing w:after="0" w:line="480" w:lineRule="auto"/>
        <w:ind w:left="284" w:right="284"/>
        <w:jc w:val="both"/>
        <w:rPr>
          <w:rFonts w:ascii="Times New Roman" w:eastAsia="Times New Roman" w:hAnsi="Times New Roman" w:cs="Times New Roman"/>
          <w:sz w:val="24"/>
          <w:szCs w:val="24"/>
          <w:lang w:val="en" w:eastAsia="en-GB"/>
        </w:rPr>
      </w:pPr>
      <w:r>
        <w:rPr>
          <w:rFonts w:ascii="Times New Roman" w:hAnsi="Times New Roman" w:cs="Times New Roman"/>
          <w:sz w:val="24"/>
          <w:szCs w:val="24"/>
        </w:rPr>
        <w:t>‘</w:t>
      </w:r>
      <w:r w:rsidR="00C97E04" w:rsidRPr="00C97E04">
        <w:rPr>
          <w:rFonts w:ascii="Times New Roman" w:hAnsi="Times New Roman" w:cs="Times New Roman"/>
          <w:sz w:val="24"/>
          <w:szCs w:val="24"/>
        </w:rPr>
        <w:t>One of the major clearers estimated its direct staff costs associated with sanctions work as nearly £300,000 in 2004 but total systems costs exceeded £8m. The time of counter staff dealing with actual/potential customers affected by sanctions was not costed. In general terms, the large retail banks will be spending £10m per institution on systems and millions per year in running/staff costs</w:t>
      </w:r>
      <w:r>
        <w:rPr>
          <w:rFonts w:ascii="Times New Roman" w:hAnsi="Times New Roman" w:cs="Times New Roman"/>
          <w:sz w:val="24"/>
          <w:szCs w:val="24"/>
        </w:rPr>
        <w:t>’</w:t>
      </w:r>
      <w:r w:rsidR="00C97E04" w:rsidRPr="00C97E04">
        <w:rPr>
          <w:rFonts w:ascii="Times New Roman" w:hAnsi="Times New Roman" w:cs="Times New Roman"/>
          <w:sz w:val="24"/>
          <w:szCs w:val="24"/>
        </w:rPr>
        <w:t>.</w:t>
      </w:r>
      <w:r w:rsidR="00C97E04" w:rsidRPr="00C97E04">
        <w:rPr>
          <w:rFonts w:ascii="Times New Roman" w:hAnsi="Times New Roman" w:cs="Times New Roman"/>
          <w:sz w:val="24"/>
          <w:szCs w:val="24"/>
          <w:vertAlign w:val="superscript"/>
        </w:rPr>
        <w:footnoteReference w:id="169"/>
      </w:r>
    </w:p>
    <w:p w:rsidR="00C97E04" w:rsidRPr="00C97E04" w:rsidRDefault="00C97E04" w:rsidP="00C97E04">
      <w:pPr>
        <w:autoSpaceDE w:val="0"/>
        <w:autoSpaceDN w:val="0"/>
        <w:adjustRightInd w:val="0"/>
        <w:spacing w:after="0" w:line="480" w:lineRule="auto"/>
        <w:jc w:val="both"/>
        <w:rPr>
          <w:rFonts w:ascii="Times New Roman" w:eastAsia="Times New Roman" w:hAnsi="Times New Roman" w:cs="Times New Roman"/>
          <w:sz w:val="24"/>
          <w:szCs w:val="20"/>
          <w:lang w:val="en" w:eastAsia="en-GB"/>
        </w:rPr>
      </w:pPr>
    </w:p>
    <w:p w:rsidR="001F612C" w:rsidRDefault="00C97E04" w:rsidP="00C97E04">
      <w:pPr>
        <w:autoSpaceDE w:val="0"/>
        <w:autoSpaceDN w:val="0"/>
        <w:adjustRightInd w:val="0"/>
        <w:spacing w:after="0" w:line="480" w:lineRule="auto"/>
        <w:jc w:val="both"/>
        <w:rPr>
          <w:rFonts w:ascii="Times New Roman" w:eastAsia="Times New Roman" w:hAnsi="Times New Roman" w:cs="Times New Roman"/>
          <w:sz w:val="24"/>
          <w:szCs w:val="24"/>
          <w:lang w:eastAsia="en-GB"/>
        </w:rPr>
      </w:pPr>
      <w:r w:rsidRPr="00C97E04">
        <w:rPr>
          <w:rFonts w:ascii="Times New Roman" w:eastAsia="Times New Roman" w:hAnsi="Times New Roman" w:cs="Times New Roman"/>
          <w:sz w:val="24"/>
          <w:szCs w:val="20"/>
          <w:lang w:val="en" w:eastAsia="en-GB"/>
        </w:rPr>
        <w:t xml:space="preserve">Additionally, Anderson stated that despite banks supporting the sanctions regime they are required to </w:t>
      </w:r>
      <w:r w:rsidR="005C068C">
        <w:rPr>
          <w:rFonts w:ascii="Times New Roman" w:hAnsi="Times New Roman" w:cs="Times New Roman"/>
          <w:color w:val="000000"/>
          <w:sz w:val="24"/>
          <w:szCs w:val="24"/>
        </w:rPr>
        <w:t>‘</w:t>
      </w:r>
      <w:r w:rsidRPr="00C97E04">
        <w:rPr>
          <w:rFonts w:ascii="Times New Roman" w:hAnsi="Times New Roman" w:cs="Times New Roman"/>
          <w:color w:val="000000"/>
          <w:sz w:val="24"/>
          <w:szCs w:val="24"/>
        </w:rPr>
        <w:t xml:space="preserve">operate highly elaborate control structures, because of what is perceived as the huge reputational and regulatory risk of being seen to assist in the financing of terrorism. As one [banker] put it to me, even an inadvertent association with the funding of an incident such as 7/7 </w:t>
      </w:r>
      <w:r w:rsidRPr="00C97E04">
        <w:rPr>
          <w:rFonts w:ascii="Times New Roman" w:hAnsi="Times New Roman" w:cs="Times New Roman"/>
          <w:iCs/>
          <w:color w:val="000000"/>
          <w:sz w:val="24"/>
          <w:szCs w:val="24"/>
        </w:rPr>
        <w:t>could bring down a whole bank</w:t>
      </w:r>
      <w:r w:rsidR="005C068C">
        <w:rPr>
          <w:rFonts w:ascii="Times New Roman" w:hAnsi="Times New Roman" w:cs="Times New Roman"/>
          <w:iCs/>
          <w:color w:val="000000"/>
          <w:sz w:val="24"/>
          <w:szCs w:val="24"/>
        </w:rPr>
        <w:t>’</w:t>
      </w:r>
      <w:r w:rsidRPr="00C97E04">
        <w:rPr>
          <w:rFonts w:ascii="Times New Roman" w:hAnsi="Times New Roman" w:cs="Times New Roman"/>
          <w:iCs/>
          <w:color w:val="000000"/>
          <w:sz w:val="24"/>
          <w:szCs w:val="24"/>
        </w:rPr>
        <w:t>.</w:t>
      </w:r>
      <w:r w:rsidRPr="00C97E04">
        <w:rPr>
          <w:rFonts w:ascii="Times New Roman" w:hAnsi="Times New Roman" w:cs="Times New Roman"/>
          <w:iCs/>
          <w:color w:val="000000"/>
          <w:sz w:val="24"/>
          <w:szCs w:val="24"/>
          <w:vertAlign w:val="superscript"/>
        </w:rPr>
        <w:footnoteReference w:id="170"/>
      </w:r>
      <w:r w:rsidRPr="00C97E04">
        <w:rPr>
          <w:rFonts w:ascii="Times New Roman" w:hAnsi="Times New Roman" w:cs="Times New Roman"/>
          <w:iCs/>
          <w:color w:val="000000"/>
          <w:sz w:val="24"/>
          <w:szCs w:val="24"/>
        </w:rPr>
        <w:t xml:space="preserve">  </w:t>
      </w:r>
      <w:r w:rsidRPr="00C97E04">
        <w:rPr>
          <w:rFonts w:ascii="Times New Roman" w:eastAsia="Times New Roman" w:hAnsi="Times New Roman" w:cs="Times New Roman"/>
          <w:sz w:val="24"/>
          <w:szCs w:val="24"/>
          <w:lang w:val="en" w:eastAsia="en-GB"/>
        </w:rPr>
        <w:t xml:space="preserve">Additionally, BBA asserted that </w:t>
      </w:r>
      <w:r w:rsidR="005C068C">
        <w:rPr>
          <w:rFonts w:ascii="Times New Roman" w:eastAsia="Times New Roman" w:hAnsi="Times New Roman" w:cs="Times New Roman"/>
          <w:sz w:val="24"/>
          <w:szCs w:val="24"/>
          <w:lang w:val="en" w:eastAsia="en-GB"/>
        </w:rPr>
        <w:t>‘</w:t>
      </w:r>
      <w:r w:rsidRPr="00C97E04">
        <w:rPr>
          <w:rFonts w:ascii="Times New Roman" w:eastAsia="Times New Roman" w:hAnsi="Times New Roman" w:cs="Times New Roman"/>
          <w:color w:val="000000"/>
          <w:sz w:val="24"/>
          <w:szCs w:val="24"/>
          <w:lang w:eastAsia="en-GB"/>
        </w:rPr>
        <w:t>many banks have to screen millions of transactions per month in order to comply with the various sanctions regimes, and drew my attention also to uncertainties and ambiguities over the systems and controls that banks are expected</w:t>
      </w:r>
      <w:r w:rsidR="005C068C">
        <w:rPr>
          <w:rFonts w:ascii="Times New Roman" w:eastAsia="Times New Roman" w:hAnsi="Times New Roman" w:cs="Times New Roman"/>
          <w:color w:val="000000"/>
          <w:sz w:val="24"/>
          <w:szCs w:val="24"/>
          <w:lang w:eastAsia="en-GB"/>
        </w:rPr>
        <w:t>’</w:t>
      </w:r>
      <w:r w:rsidRPr="00C97E04">
        <w:rPr>
          <w:rFonts w:ascii="Times New Roman" w:eastAsia="Times New Roman" w:hAnsi="Times New Roman" w:cs="Times New Roman"/>
          <w:color w:val="000000"/>
          <w:sz w:val="24"/>
          <w:szCs w:val="24"/>
          <w:lang w:eastAsia="en-GB"/>
        </w:rPr>
        <w:t>.</w:t>
      </w:r>
      <w:r w:rsidRPr="00C97E04">
        <w:rPr>
          <w:rFonts w:ascii="Times New Roman" w:eastAsiaTheme="majorEastAsia" w:hAnsi="Times New Roman" w:cs="Times New Roman"/>
          <w:color w:val="000000"/>
          <w:sz w:val="24"/>
          <w:szCs w:val="24"/>
          <w:vertAlign w:val="superscript"/>
          <w:lang w:eastAsia="en-GB"/>
        </w:rPr>
        <w:footnoteReference w:id="171"/>
      </w:r>
      <w:r w:rsidRPr="00C97E04">
        <w:rPr>
          <w:rFonts w:ascii="Times New Roman" w:eastAsia="Times New Roman" w:hAnsi="Times New Roman" w:cs="Times New Roman"/>
          <w:color w:val="000000"/>
          <w:sz w:val="24"/>
          <w:szCs w:val="24"/>
          <w:lang w:eastAsia="en-GB"/>
        </w:rPr>
        <w:t xml:space="preserve">  </w:t>
      </w:r>
      <w:r w:rsidRPr="00C97E04">
        <w:rPr>
          <w:rFonts w:ascii="Times New Roman" w:eastAsia="Times New Roman" w:hAnsi="Times New Roman" w:cs="Times New Roman"/>
          <w:sz w:val="24"/>
          <w:szCs w:val="20"/>
          <w:lang w:val="en" w:eastAsia="en-GB"/>
        </w:rPr>
        <w:t xml:space="preserve">However, this point must be treated with an element of caution as banks have a proven track record of complaining about an increase in compliance costs associated with meeting their anti-money laundering reporting obligations.  </w:t>
      </w:r>
      <w:r w:rsidRPr="00C97E04">
        <w:rPr>
          <w:rFonts w:ascii="Times New Roman" w:eastAsia="Times New Roman" w:hAnsi="Times New Roman" w:cs="Times New Roman"/>
          <w:sz w:val="24"/>
          <w:szCs w:val="20"/>
          <w:lang w:val="en" w:eastAsia="en-GB"/>
        </w:rPr>
        <w:lastRenderedPageBreak/>
        <w:t xml:space="preserve">Indeed, Haines took the view that </w:t>
      </w:r>
      <w:r w:rsidR="005C068C">
        <w:rPr>
          <w:rFonts w:ascii="Times New Roman" w:eastAsia="Times New Roman" w:hAnsi="Times New Roman" w:cs="Times New Roman"/>
          <w:sz w:val="24"/>
          <w:szCs w:val="24"/>
          <w:lang w:eastAsia="en-GB"/>
        </w:rPr>
        <w:t>‘</w:t>
      </w:r>
      <w:r w:rsidRPr="00C97E04">
        <w:rPr>
          <w:rFonts w:ascii="Times New Roman" w:eastAsia="Times New Roman" w:hAnsi="Times New Roman" w:cs="Times New Roman"/>
          <w:sz w:val="24"/>
          <w:szCs w:val="24"/>
          <w:lang w:eastAsia="en-GB"/>
        </w:rPr>
        <w:t>Banks and financial intermediaries may argue that the costs of compliance with various country sanctions lists are insignificant compared with the loss of reputation and integrity: assets to which such organisations cannot attach a price tag</w:t>
      </w:r>
      <w:r w:rsidR="005C068C">
        <w:rPr>
          <w:rFonts w:ascii="Times New Roman" w:eastAsia="Times New Roman" w:hAnsi="Times New Roman" w:cs="Times New Roman"/>
          <w:sz w:val="24"/>
          <w:szCs w:val="24"/>
          <w:lang w:eastAsia="en-GB"/>
        </w:rPr>
        <w:t>’</w:t>
      </w:r>
      <w:r w:rsidRPr="00C97E04">
        <w:rPr>
          <w:rFonts w:ascii="Times New Roman" w:eastAsia="Times New Roman" w:hAnsi="Times New Roman" w:cs="Times New Roman"/>
          <w:sz w:val="24"/>
          <w:szCs w:val="24"/>
          <w:lang w:eastAsia="en-GB"/>
        </w:rPr>
        <w:t>.</w:t>
      </w:r>
      <w:r w:rsidRPr="00C97E04">
        <w:rPr>
          <w:rFonts w:ascii="Times New Roman" w:eastAsiaTheme="majorEastAsia" w:hAnsi="Times New Roman" w:cs="Times New Roman"/>
          <w:sz w:val="24"/>
          <w:szCs w:val="24"/>
          <w:vertAlign w:val="superscript"/>
          <w:lang w:eastAsia="en-GB"/>
        </w:rPr>
        <w:footnoteReference w:id="172"/>
      </w:r>
      <w:r w:rsidRPr="00C97E04">
        <w:rPr>
          <w:rFonts w:ascii="Times New Roman" w:eastAsia="Times New Roman" w:hAnsi="Times New Roman" w:cs="Times New Roman"/>
          <w:sz w:val="24"/>
          <w:szCs w:val="24"/>
          <w:lang w:eastAsia="en-GB"/>
        </w:rPr>
        <w:t xml:space="preserve">  </w:t>
      </w:r>
    </w:p>
    <w:p w:rsidR="00C97E04" w:rsidRPr="00C97E04" w:rsidRDefault="00C97E04" w:rsidP="00C97E04">
      <w:pPr>
        <w:autoSpaceDE w:val="0"/>
        <w:autoSpaceDN w:val="0"/>
        <w:adjustRightInd w:val="0"/>
        <w:spacing w:after="0" w:line="480" w:lineRule="auto"/>
        <w:jc w:val="both"/>
        <w:rPr>
          <w:rFonts w:ascii="Times New Roman" w:eastAsia="SimSun" w:hAnsi="Times New Roman" w:cs="Times New Roman"/>
          <w:sz w:val="24"/>
          <w:szCs w:val="24"/>
          <w:lang w:eastAsia="zh-CN"/>
        </w:rPr>
      </w:pPr>
    </w:p>
    <w:p w:rsidR="00C97E04" w:rsidRPr="00C97E04" w:rsidRDefault="00C97E04" w:rsidP="00C97E04">
      <w:pPr>
        <w:autoSpaceDE w:val="0"/>
        <w:autoSpaceDN w:val="0"/>
        <w:adjustRightInd w:val="0"/>
        <w:spacing w:after="0" w:line="480" w:lineRule="auto"/>
        <w:jc w:val="both"/>
        <w:rPr>
          <w:rFonts w:ascii="Times New Roman" w:eastAsia="SimSun" w:hAnsi="Times New Roman" w:cs="Times New Roman"/>
          <w:b/>
          <w:sz w:val="24"/>
          <w:szCs w:val="24"/>
          <w:lang w:eastAsia="zh-CN"/>
        </w:rPr>
      </w:pPr>
      <w:r w:rsidRPr="00C97E04">
        <w:rPr>
          <w:rFonts w:ascii="Times New Roman" w:eastAsia="SimSun" w:hAnsi="Times New Roman" w:cs="Times New Roman"/>
          <w:b/>
          <w:sz w:val="24"/>
          <w:szCs w:val="24"/>
          <w:lang w:eastAsia="zh-CN"/>
        </w:rPr>
        <w:t>Financial Intelligence</w:t>
      </w:r>
    </w:p>
    <w:p w:rsidR="00C97E04" w:rsidRPr="00C97E04" w:rsidRDefault="00C97E04" w:rsidP="00C97E04">
      <w:pPr>
        <w:autoSpaceDE w:val="0"/>
        <w:autoSpaceDN w:val="0"/>
        <w:adjustRightInd w:val="0"/>
        <w:spacing w:after="0" w:line="480" w:lineRule="auto"/>
        <w:jc w:val="both"/>
        <w:rPr>
          <w:rFonts w:ascii="Times New Roman" w:eastAsia="SimSun" w:hAnsi="Times New Roman" w:cs="Times New Roman"/>
          <w:sz w:val="24"/>
          <w:szCs w:val="24"/>
          <w:lang w:eastAsia="zh-CN"/>
        </w:rPr>
      </w:pPr>
    </w:p>
    <w:p w:rsidR="00331CD8" w:rsidRPr="00C97E04" w:rsidRDefault="00C97E04" w:rsidP="00331CD8">
      <w:pPr>
        <w:autoSpaceDE w:val="0"/>
        <w:autoSpaceDN w:val="0"/>
        <w:adjustRightInd w:val="0"/>
        <w:spacing w:after="0" w:line="480" w:lineRule="auto"/>
        <w:jc w:val="both"/>
        <w:rPr>
          <w:rFonts w:ascii="Times New Roman" w:hAnsi="Times New Roman" w:cs="Times New Roman"/>
          <w:sz w:val="24"/>
          <w:szCs w:val="24"/>
        </w:rPr>
      </w:pPr>
      <w:r w:rsidRPr="00C97E04">
        <w:rPr>
          <w:rFonts w:ascii="Times New Roman" w:hAnsi="Times New Roman" w:cs="Times New Roman"/>
          <w:sz w:val="24"/>
          <w:szCs w:val="24"/>
        </w:rPr>
        <w:t>The UK has a long history of imposing reporting requirements on financial institutions where there is a risk of money laundering or terrorist financing.  For example, the first money laundering reporting requirements were contained in the Drug Trafficking Offences Act 1986, which was amended by the Criminal Justice Act 1993. These reporting obligations have since become mandatory and have been consolidated by the Proceeds of Crime Act 2002 and the Money Laundering Regulations 2007.</w:t>
      </w:r>
      <w:r w:rsidRPr="00C97E04">
        <w:rPr>
          <w:rFonts w:ascii="Times New Roman" w:hAnsi="Times New Roman" w:cs="Times New Roman"/>
          <w:sz w:val="24"/>
          <w:szCs w:val="24"/>
          <w:vertAlign w:val="superscript"/>
        </w:rPr>
        <w:footnoteReference w:id="173"/>
      </w:r>
      <w:r w:rsidRPr="00C97E04">
        <w:rPr>
          <w:rFonts w:ascii="Times New Roman" w:hAnsi="Times New Roman" w:cs="Times New Roman"/>
          <w:sz w:val="24"/>
          <w:szCs w:val="24"/>
        </w:rPr>
        <w:t xml:space="preserve"> The Anti-terrorism, Crime and Security Act 2001 makes it an criminal offence of failure to disclose knowledge or suspicion that another person has committed an offence under </w:t>
      </w:r>
      <w:r w:rsidR="00331CD8">
        <w:rPr>
          <w:rFonts w:ascii="Times New Roman" w:hAnsi="Times New Roman" w:cs="Times New Roman"/>
          <w:sz w:val="24"/>
          <w:szCs w:val="24"/>
        </w:rPr>
        <w:t xml:space="preserve">the </w:t>
      </w:r>
      <w:r w:rsidRPr="00C97E04">
        <w:rPr>
          <w:rFonts w:ascii="Times New Roman" w:hAnsi="Times New Roman" w:cs="Times New Roman"/>
          <w:sz w:val="24"/>
          <w:szCs w:val="24"/>
        </w:rPr>
        <w:t>Terrorism Act 2000, which covers acts of terrorism.</w:t>
      </w:r>
      <w:r w:rsidRPr="00C97E04">
        <w:rPr>
          <w:rFonts w:ascii="Times New Roman" w:hAnsi="Times New Roman" w:cs="Times New Roman"/>
          <w:sz w:val="24"/>
          <w:szCs w:val="24"/>
          <w:vertAlign w:val="superscript"/>
        </w:rPr>
        <w:footnoteReference w:id="174"/>
      </w:r>
      <w:r w:rsidRPr="00C97E04">
        <w:rPr>
          <w:rFonts w:ascii="Times New Roman" w:hAnsi="Times New Roman" w:cs="Times New Roman"/>
          <w:sz w:val="24"/>
          <w:szCs w:val="24"/>
        </w:rPr>
        <w:t xml:space="preserve"> An individual or organisation who suspects that an offence has been committed under the Terrorism Act 2000 is legally required to complete a </w:t>
      </w:r>
      <w:r w:rsidR="003F7864">
        <w:rPr>
          <w:rFonts w:ascii="Times New Roman" w:hAnsi="Times New Roman" w:cs="Times New Roman"/>
          <w:sz w:val="24"/>
          <w:szCs w:val="24"/>
        </w:rPr>
        <w:t>SAR</w:t>
      </w:r>
      <w:r w:rsidRPr="00C97E04">
        <w:rPr>
          <w:rFonts w:ascii="Times New Roman" w:hAnsi="Times New Roman" w:cs="Times New Roman"/>
          <w:sz w:val="24"/>
          <w:szCs w:val="24"/>
        </w:rPr>
        <w:t>, which is then sent via a Money Laundering Reporting Officer to the NCA for processing, who will determine whether or not to pass the information on to the po</w:t>
      </w:r>
      <w:r w:rsidR="009E18EB">
        <w:rPr>
          <w:rFonts w:ascii="Times New Roman" w:hAnsi="Times New Roman" w:cs="Times New Roman"/>
          <w:sz w:val="24"/>
          <w:szCs w:val="24"/>
        </w:rPr>
        <w:t>lice for further investigation.</w:t>
      </w:r>
      <w:r w:rsidR="00331CD8">
        <w:rPr>
          <w:rFonts w:ascii="Times New Roman" w:hAnsi="Times New Roman" w:cs="Times New Roman"/>
          <w:sz w:val="24"/>
          <w:szCs w:val="24"/>
        </w:rPr>
        <w:t xml:space="preserve">  </w:t>
      </w:r>
      <w:r w:rsidR="00331CD8" w:rsidRPr="00C97E04">
        <w:rPr>
          <w:rFonts w:ascii="Times New Roman" w:eastAsia="SimSun" w:hAnsi="Times New Roman" w:cs="Times New Roman"/>
          <w:sz w:val="24"/>
          <w:szCs w:val="24"/>
          <w:lang w:eastAsia="zh-CN"/>
        </w:rPr>
        <w:t xml:space="preserve">There are a number of other weaknesses that are associated with the reporting of suspicious transactions and the financing of terrorism.  For example, one of the most commonly referred to faults has been the unsatisfactory approach adopted by the courts toward the definition of </w:t>
      </w:r>
      <w:r w:rsidR="00331CD8" w:rsidRPr="00C97E04">
        <w:rPr>
          <w:rFonts w:ascii="Times New Roman" w:eastAsia="SimSun" w:hAnsi="Times New Roman" w:cs="Times New Roman"/>
          <w:sz w:val="24"/>
          <w:szCs w:val="24"/>
          <w:lang w:eastAsia="zh-CN"/>
        </w:rPr>
        <w:lastRenderedPageBreak/>
        <w:t>the term ‘suspicion’.</w:t>
      </w:r>
      <w:r w:rsidR="00331CD8" w:rsidRPr="00C97E04">
        <w:rPr>
          <w:rFonts w:ascii="Times New Roman" w:eastAsia="SimSun" w:hAnsi="Times New Roman" w:cs="Times New Roman"/>
          <w:sz w:val="24"/>
          <w:szCs w:val="24"/>
          <w:vertAlign w:val="superscript"/>
          <w:lang w:eastAsia="zh-CN"/>
        </w:rPr>
        <w:footnoteReference w:id="175"/>
      </w:r>
      <w:r w:rsidR="00331CD8" w:rsidRPr="00C97E04">
        <w:rPr>
          <w:rFonts w:ascii="Times New Roman" w:eastAsia="SimSun" w:hAnsi="Times New Roman" w:cs="Times New Roman"/>
          <w:sz w:val="24"/>
          <w:szCs w:val="24"/>
          <w:lang w:eastAsia="zh-CN"/>
        </w:rPr>
        <w:t xml:space="preserve">  Some guidance has been offered by the courts under the money laundering reporting obligations imposed by the Proceeds of Crime Act 2002.  For example, in the case of </w:t>
      </w:r>
      <w:r w:rsidR="00331CD8" w:rsidRPr="00C97E04">
        <w:rPr>
          <w:rFonts w:ascii="Times New Roman" w:eastAsia="SimSun" w:hAnsi="Times New Roman" w:cs="Times New Roman"/>
          <w:i/>
          <w:sz w:val="24"/>
          <w:szCs w:val="24"/>
          <w:lang w:eastAsia="zh-CN"/>
        </w:rPr>
        <w:t>R v. Da Silva</w:t>
      </w:r>
      <w:r w:rsidR="00331CD8" w:rsidRPr="00C97E04">
        <w:rPr>
          <w:rFonts w:ascii="Times New Roman" w:eastAsia="SimSun" w:hAnsi="Times New Roman" w:cs="Times New Roman"/>
          <w:sz w:val="24"/>
          <w:szCs w:val="24"/>
          <w:lang w:eastAsia="zh-CN"/>
        </w:rPr>
        <w:t xml:space="preserve">, the court stated that </w:t>
      </w:r>
      <w:r w:rsidR="005C068C">
        <w:rPr>
          <w:rFonts w:ascii="Times New Roman" w:eastAsia="SimSun" w:hAnsi="Times New Roman" w:cs="Times New Roman"/>
          <w:sz w:val="24"/>
          <w:szCs w:val="24"/>
          <w:lang w:eastAsia="zh-CN"/>
        </w:rPr>
        <w:t>‘</w:t>
      </w:r>
      <w:r w:rsidR="00331CD8" w:rsidRPr="00C97E04">
        <w:rPr>
          <w:rFonts w:ascii="Times New Roman" w:hAnsi="Times New Roman" w:cs="Times New Roman"/>
          <w:sz w:val="24"/>
          <w:szCs w:val="24"/>
        </w:rPr>
        <w:t>it seems to us that the essential element of the word suspect and its affiliates, in this context, is that the defendant must think that there is a possibility, which is more than fanciful, that the relevant facts exist. A vague feeling of unease would not suffice</w:t>
      </w:r>
      <w:r w:rsidR="005C068C">
        <w:rPr>
          <w:rFonts w:ascii="Times New Roman" w:hAnsi="Times New Roman" w:cs="Times New Roman"/>
          <w:sz w:val="24"/>
          <w:szCs w:val="24"/>
        </w:rPr>
        <w:t>’</w:t>
      </w:r>
      <w:r w:rsidR="00331CD8" w:rsidRPr="00C97E04">
        <w:rPr>
          <w:rFonts w:ascii="Times New Roman" w:hAnsi="Times New Roman" w:cs="Times New Roman"/>
          <w:sz w:val="24"/>
          <w:szCs w:val="24"/>
        </w:rPr>
        <w:t>.</w:t>
      </w:r>
      <w:r w:rsidR="00331CD8" w:rsidRPr="00C97E04">
        <w:rPr>
          <w:rFonts w:ascii="Times New Roman" w:hAnsi="Times New Roman" w:cs="Times New Roman"/>
          <w:sz w:val="24"/>
          <w:szCs w:val="24"/>
          <w:vertAlign w:val="superscript"/>
        </w:rPr>
        <w:footnoteReference w:id="176"/>
      </w:r>
      <w:r w:rsidR="00331CD8" w:rsidRPr="00C97E04">
        <w:rPr>
          <w:rFonts w:ascii="Times New Roman" w:hAnsi="Times New Roman" w:cs="Times New Roman"/>
          <w:sz w:val="24"/>
          <w:szCs w:val="24"/>
        </w:rPr>
        <w:t xml:space="preserve">  Goldby noted that the interpretation of suspicion in </w:t>
      </w:r>
      <w:r w:rsidR="00331CD8" w:rsidRPr="00C97E04">
        <w:rPr>
          <w:rFonts w:ascii="Times New Roman" w:hAnsi="Times New Roman" w:cs="Times New Roman"/>
          <w:i/>
          <w:sz w:val="24"/>
          <w:szCs w:val="24"/>
        </w:rPr>
        <w:t>Da Silva</w:t>
      </w:r>
      <w:r w:rsidR="00331CD8" w:rsidRPr="00C97E04">
        <w:rPr>
          <w:rFonts w:ascii="Times New Roman" w:hAnsi="Times New Roman" w:cs="Times New Roman"/>
          <w:sz w:val="24"/>
          <w:szCs w:val="24"/>
        </w:rPr>
        <w:t xml:space="preserve"> was followed by the Court of Appeal in </w:t>
      </w:r>
      <w:r w:rsidR="00331CD8" w:rsidRPr="00C97E04">
        <w:rPr>
          <w:rFonts w:ascii="Times New Roman" w:hAnsi="Times New Roman" w:cs="Times New Roman"/>
          <w:i/>
          <w:sz w:val="24"/>
          <w:szCs w:val="24"/>
        </w:rPr>
        <w:t>K v National Westminster Bank</w:t>
      </w:r>
      <w:r w:rsidR="00331CD8" w:rsidRPr="00C97E04">
        <w:rPr>
          <w:rFonts w:ascii="Times New Roman" w:hAnsi="Times New Roman" w:cs="Times New Roman"/>
          <w:sz w:val="24"/>
          <w:szCs w:val="24"/>
        </w:rPr>
        <w:t>.</w:t>
      </w:r>
      <w:r w:rsidR="00331CD8" w:rsidRPr="00C97E04">
        <w:rPr>
          <w:rFonts w:ascii="Times New Roman" w:hAnsi="Times New Roman" w:cs="Times New Roman"/>
          <w:sz w:val="24"/>
          <w:szCs w:val="24"/>
          <w:vertAlign w:val="superscript"/>
        </w:rPr>
        <w:footnoteReference w:id="177"/>
      </w:r>
      <w:r w:rsidR="00331CD8" w:rsidRPr="00C97E04">
        <w:rPr>
          <w:rFonts w:ascii="Times New Roman" w:hAnsi="Times New Roman" w:cs="Times New Roman"/>
          <w:sz w:val="24"/>
          <w:szCs w:val="24"/>
        </w:rPr>
        <w:t xml:space="preserve">  Further guidance on the interpretation of suspicious activity is offered by the Joint Money Laundering Steering Group who stated that:</w:t>
      </w:r>
    </w:p>
    <w:p w:rsidR="00331CD8" w:rsidRPr="00C97E04" w:rsidRDefault="00331CD8" w:rsidP="00331CD8">
      <w:pPr>
        <w:autoSpaceDE w:val="0"/>
        <w:autoSpaceDN w:val="0"/>
        <w:adjustRightInd w:val="0"/>
        <w:spacing w:after="0" w:line="480" w:lineRule="auto"/>
        <w:jc w:val="both"/>
        <w:rPr>
          <w:rFonts w:ascii="Times New Roman" w:hAnsi="Times New Roman" w:cs="Times New Roman"/>
          <w:sz w:val="24"/>
          <w:szCs w:val="24"/>
        </w:rPr>
      </w:pPr>
    </w:p>
    <w:p w:rsidR="00331CD8" w:rsidRPr="00C97E04" w:rsidRDefault="005C068C" w:rsidP="00331CD8">
      <w:pPr>
        <w:autoSpaceDE w:val="0"/>
        <w:autoSpaceDN w:val="0"/>
        <w:adjustRightInd w:val="0"/>
        <w:spacing w:after="0" w:line="480" w:lineRule="auto"/>
        <w:ind w:left="284" w:right="284"/>
        <w:jc w:val="both"/>
        <w:rPr>
          <w:rFonts w:ascii="Times New Roman" w:hAnsi="Times New Roman" w:cs="Times New Roman"/>
          <w:sz w:val="24"/>
          <w:szCs w:val="24"/>
        </w:rPr>
      </w:pPr>
      <w:r>
        <w:rPr>
          <w:rFonts w:ascii="Times New Roman" w:hAnsi="Times New Roman" w:cs="Times New Roman"/>
          <w:color w:val="000000"/>
          <w:sz w:val="24"/>
          <w:szCs w:val="24"/>
        </w:rPr>
        <w:t>‘</w:t>
      </w:r>
      <w:r w:rsidR="00331CD8" w:rsidRPr="00C97E04">
        <w:rPr>
          <w:rFonts w:ascii="Times New Roman" w:hAnsi="Times New Roman" w:cs="Times New Roman"/>
          <w:color w:val="000000"/>
          <w:sz w:val="24"/>
          <w:szCs w:val="24"/>
        </w:rPr>
        <w:t>Suspicion has been defined by the courts as being beyond mere speculation and based on some foundation, for example ‘a</w:t>
      </w:r>
      <w:r w:rsidR="00331CD8" w:rsidRPr="00C97E04">
        <w:rPr>
          <w:rFonts w:ascii="Times New Roman" w:hAnsi="Times New Roman" w:cs="Times New Roman"/>
          <w:iCs/>
          <w:color w:val="000000"/>
          <w:sz w:val="24"/>
          <w:szCs w:val="24"/>
        </w:rPr>
        <w:t xml:space="preserve"> degree of satisfaction and not necessarily amounting to belief but at least extending beyond speculation as to whether an event has occurred or not’; </w:t>
      </w:r>
      <w:r w:rsidR="00331CD8" w:rsidRPr="00C97E04">
        <w:rPr>
          <w:rFonts w:ascii="Times New Roman" w:hAnsi="Times New Roman" w:cs="Times New Roman"/>
          <w:color w:val="000000"/>
          <w:sz w:val="24"/>
          <w:szCs w:val="24"/>
        </w:rPr>
        <w:t>and ‘</w:t>
      </w:r>
      <w:r w:rsidR="00331CD8" w:rsidRPr="00C97E04">
        <w:rPr>
          <w:rFonts w:ascii="Times New Roman" w:hAnsi="Times New Roman" w:cs="Times New Roman"/>
          <w:iCs/>
          <w:color w:val="000000"/>
          <w:sz w:val="24"/>
          <w:szCs w:val="24"/>
        </w:rPr>
        <w:t>although the creation of suspicion requires a lesser factual basis than the creation of a belief, it must nonetheless be built upon some foundation</w:t>
      </w:r>
      <w:r>
        <w:rPr>
          <w:rFonts w:ascii="Times New Roman" w:hAnsi="Times New Roman" w:cs="Times New Roman"/>
          <w:iCs/>
          <w:color w:val="000000"/>
          <w:sz w:val="24"/>
          <w:szCs w:val="24"/>
        </w:rPr>
        <w:t>’</w:t>
      </w:r>
      <w:r w:rsidR="00331CD8" w:rsidRPr="00C97E04">
        <w:rPr>
          <w:rFonts w:ascii="Times New Roman" w:hAnsi="Times New Roman" w:cs="Times New Roman"/>
          <w:iCs/>
          <w:color w:val="000000"/>
          <w:sz w:val="24"/>
          <w:szCs w:val="24"/>
        </w:rPr>
        <w:t>.</w:t>
      </w:r>
      <w:r w:rsidR="00331CD8" w:rsidRPr="00C97E04">
        <w:rPr>
          <w:rFonts w:ascii="Times New Roman" w:hAnsi="Times New Roman" w:cs="Times New Roman"/>
          <w:iCs/>
          <w:color w:val="000000"/>
          <w:sz w:val="24"/>
          <w:szCs w:val="24"/>
          <w:vertAlign w:val="superscript"/>
        </w:rPr>
        <w:footnoteReference w:id="178"/>
      </w:r>
    </w:p>
    <w:p w:rsidR="00331CD8" w:rsidRPr="00C97E04" w:rsidRDefault="00331CD8" w:rsidP="00331CD8">
      <w:pPr>
        <w:autoSpaceDE w:val="0"/>
        <w:autoSpaceDN w:val="0"/>
        <w:adjustRightInd w:val="0"/>
        <w:spacing w:after="0" w:line="480" w:lineRule="auto"/>
        <w:jc w:val="both"/>
        <w:rPr>
          <w:rFonts w:ascii="Times New Roman" w:eastAsia="SimSun" w:hAnsi="Times New Roman" w:cs="Times New Roman"/>
          <w:sz w:val="24"/>
          <w:szCs w:val="24"/>
          <w:lang w:eastAsia="zh-CN"/>
        </w:rPr>
      </w:pPr>
    </w:p>
    <w:p w:rsidR="006F0B89" w:rsidRPr="006F0B89" w:rsidRDefault="00331CD8" w:rsidP="006F0B89">
      <w:pPr>
        <w:autoSpaceDE w:val="0"/>
        <w:autoSpaceDN w:val="0"/>
        <w:adjustRightInd w:val="0"/>
        <w:spacing w:after="0" w:line="480" w:lineRule="auto"/>
        <w:jc w:val="both"/>
        <w:rPr>
          <w:rFonts w:ascii="Times New Roman" w:hAnsi="Times New Roman" w:cs="Times New Roman"/>
          <w:sz w:val="24"/>
          <w:szCs w:val="24"/>
        </w:rPr>
      </w:pPr>
      <w:r w:rsidRPr="006F0B89">
        <w:rPr>
          <w:rFonts w:ascii="Times New Roman" w:eastAsia="SimSun" w:hAnsi="Times New Roman" w:cs="Times New Roman"/>
          <w:sz w:val="24"/>
          <w:szCs w:val="24"/>
          <w:lang w:eastAsia="zh-CN"/>
        </w:rPr>
        <w:t xml:space="preserve">Another frequently cited criticism of the reporting obligations is that they have created a ‘fear </w:t>
      </w:r>
      <w:r w:rsidRPr="006F0B89">
        <w:rPr>
          <w:rFonts w:ascii="Times New Roman" w:hAnsi="Times New Roman" w:cs="Times New Roman"/>
          <w:sz w:val="24"/>
          <w:szCs w:val="24"/>
        </w:rPr>
        <w:t>factor’ among the regulated sector which has seen a dramatic increase in t</w:t>
      </w:r>
      <w:r w:rsidR="00E661FE">
        <w:rPr>
          <w:rFonts w:ascii="Times New Roman" w:hAnsi="Times New Roman" w:cs="Times New Roman"/>
          <w:sz w:val="24"/>
          <w:szCs w:val="24"/>
        </w:rPr>
        <w:t>he number of SARs submitted to financial intelligence u</w:t>
      </w:r>
      <w:r w:rsidR="00F06767">
        <w:rPr>
          <w:rFonts w:ascii="Times New Roman" w:hAnsi="Times New Roman" w:cs="Times New Roman"/>
          <w:sz w:val="24"/>
          <w:szCs w:val="24"/>
        </w:rPr>
        <w:t>n</w:t>
      </w:r>
      <w:r w:rsidRPr="006F0B89">
        <w:rPr>
          <w:rFonts w:ascii="Times New Roman" w:hAnsi="Times New Roman" w:cs="Times New Roman"/>
          <w:sz w:val="24"/>
          <w:szCs w:val="24"/>
        </w:rPr>
        <w:t>its across the world.</w:t>
      </w:r>
      <w:r w:rsidRPr="006F0B89">
        <w:rPr>
          <w:rFonts w:ascii="Times New Roman" w:hAnsi="Times New Roman" w:cs="Times New Roman"/>
          <w:sz w:val="24"/>
          <w:szCs w:val="24"/>
          <w:vertAlign w:val="superscript"/>
        </w:rPr>
        <w:footnoteReference w:id="179"/>
      </w:r>
      <w:r w:rsidRPr="006F0B89">
        <w:rPr>
          <w:rFonts w:ascii="Times New Roman" w:hAnsi="Times New Roman" w:cs="Times New Roman"/>
          <w:sz w:val="24"/>
          <w:szCs w:val="24"/>
        </w:rPr>
        <w:t xml:space="preserve">  For example, it has been reported that between 1995 and 2002 the number of SARs submitted to the UK’s FIU </w:t>
      </w:r>
      <w:r w:rsidRPr="006F0B89">
        <w:rPr>
          <w:rFonts w:ascii="Times New Roman" w:hAnsi="Times New Roman" w:cs="Times New Roman"/>
          <w:sz w:val="24"/>
          <w:szCs w:val="24"/>
        </w:rPr>
        <w:lastRenderedPageBreak/>
        <w:t>increased from 5,000 to 60,000.</w:t>
      </w:r>
      <w:r w:rsidRPr="006F0B89">
        <w:rPr>
          <w:rFonts w:ascii="Times New Roman" w:hAnsi="Times New Roman" w:cs="Times New Roman"/>
          <w:sz w:val="24"/>
          <w:szCs w:val="24"/>
          <w:vertAlign w:val="superscript"/>
        </w:rPr>
        <w:footnoteReference w:id="180"/>
      </w:r>
      <w:r w:rsidRPr="006F0B89">
        <w:rPr>
          <w:rFonts w:ascii="Times New Roman" w:hAnsi="Times New Roman" w:cs="Times New Roman"/>
          <w:sz w:val="24"/>
          <w:szCs w:val="24"/>
        </w:rPr>
        <w:t xml:space="preserve">  More recently, it has been reported that the UK FIU received 210,524 SARs in 2008,</w:t>
      </w:r>
      <w:r w:rsidRPr="006F0B89">
        <w:rPr>
          <w:rFonts w:ascii="Times New Roman" w:hAnsi="Times New Roman" w:cs="Times New Roman"/>
          <w:sz w:val="24"/>
          <w:szCs w:val="24"/>
          <w:vertAlign w:val="superscript"/>
        </w:rPr>
        <w:footnoteReference w:id="181"/>
      </w:r>
      <w:r w:rsidRPr="006F0B89">
        <w:rPr>
          <w:rFonts w:ascii="Times New Roman" w:hAnsi="Times New Roman" w:cs="Times New Roman"/>
          <w:sz w:val="24"/>
          <w:szCs w:val="24"/>
        </w:rPr>
        <w:t xml:space="preserve"> in 2010 it received 240,582 SARs,</w:t>
      </w:r>
      <w:r w:rsidRPr="006F0B89">
        <w:rPr>
          <w:rFonts w:ascii="Times New Roman" w:hAnsi="Times New Roman" w:cs="Times New Roman"/>
          <w:sz w:val="24"/>
          <w:szCs w:val="24"/>
          <w:vertAlign w:val="superscript"/>
        </w:rPr>
        <w:footnoteReference w:id="182"/>
      </w:r>
      <w:r w:rsidRPr="006F0B89">
        <w:rPr>
          <w:rFonts w:ascii="Times New Roman" w:hAnsi="Times New Roman" w:cs="Times New Roman"/>
          <w:sz w:val="24"/>
          <w:szCs w:val="24"/>
        </w:rPr>
        <w:t xml:space="preserve"> in 2011 the figure increased to </w:t>
      </w:r>
      <w:r w:rsidRPr="006F0B89">
        <w:rPr>
          <w:rFonts w:ascii="Times New Roman" w:eastAsia="Times New Roman" w:hAnsi="Times New Roman" w:cs="Times New Roman"/>
          <w:sz w:val="24"/>
          <w:szCs w:val="24"/>
          <w:lang w:val="en" w:eastAsia="en-GB"/>
        </w:rPr>
        <w:t>247,601,</w:t>
      </w:r>
      <w:r w:rsidRPr="006F0B89">
        <w:rPr>
          <w:rFonts w:ascii="Times New Roman" w:eastAsiaTheme="majorEastAsia" w:hAnsi="Times New Roman" w:cs="Times New Roman"/>
          <w:sz w:val="24"/>
          <w:szCs w:val="24"/>
          <w:vertAlign w:val="superscript"/>
          <w:lang w:val="en" w:eastAsia="en-GB"/>
        </w:rPr>
        <w:footnoteReference w:id="183"/>
      </w:r>
      <w:r w:rsidRPr="006F0B89">
        <w:rPr>
          <w:rFonts w:ascii="Times New Roman" w:eastAsia="Times New Roman" w:hAnsi="Times New Roman" w:cs="Times New Roman"/>
          <w:sz w:val="24"/>
          <w:szCs w:val="24"/>
          <w:lang w:val="en" w:eastAsia="en-GB"/>
        </w:rPr>
        <w:t xml:space="preserve"> in 2012 the figure was 278,665 </w:t>
      </w:r>
      <w:r w:rsidRPr="006F0B89">
        <w:rPr>
          <w:rFonts w:ascii="Times New Roman" w:eastAsiaTheme="majorEastAsia" w:hAnsi="Times New Roman" w:cs="Times New Roman"/>
          <w:sz w:val="24"/>
          <w:szCs w:val="24"/>
          <w:vertAlign w:val="superscript"/>
          <w:lang w:val="en" w:eastAsia="en-GB"/>
        </w:rPr>
        <w:footnoteReference w:id="184"/>
      </w:r>
      <w:r w:rsidRPr="006F0B89">
        <w:rPr>
          <w:rFonts w:ascii="Times New Roman" w:eastAsia="Times New Roman" w:hAnsi="Times New Roman" w:cs="Times New Roman"/>
          <w:sz w:val="24"/>
          <w:szCs w:val="24"/>
          <w:lang w:val="en" w:eastAsia="en-GB"/>
        </w:rPr>
        <w:t xml:space="preserve"> and in 2013 the figure was </w:t>
      </w:r>
      <w:r w:rsidRPr="006F0B89">
        <w:rPr>
          <w:rFonts w:ascii="Times New Roman" w:eastAsia="Times New Roman" w:hAnsi="Times New Roman" w:cs="Times New Roman"/>
          <w:color w:val="000000"/>
          <w:sz w:val="24"/>
          <w:szCs w:val="24"/>
          <w:lang w:eastAsia="en-GB"/>
        </w:rPr>
        <w:t>316,527.</w:t>
      </w:r>
      <w:r w:rsidRPr="006F0B89">
        <w:rPr>
          <w:rFonts w:ascii="Times New Roman" w:eastAsiaTheme="majorEastAsia" w:hAnsi="Times New Roman" w:cs="Times New Roman"/>
          <w:color w:val="000000"/>
          <w:sz w:val="24"/>
          <w:szCs w:val="24"/>
          <w:vertAlign w:val="superscript"/>
          <w:lang w:eastAsia="en-GB"/>
        </w:rPr>
        <w:footnoteReference w:id="185"/>
      </w:r>
      <w:r w:rsidRPr="006F0B89">
        <w:rPr>
          <w:rFonts w:ascii="Times New Roman" w:eastAsia="Times New Roman" w:hAnsi="Times New Roman" w:cs="Times New Roman"/>
          <w:color w:val="000000"/>
          <w:sz w:val="24"/>
          <w:szCs w:val="24"/>
          <w:lang w:eastAsia="en-GB"/>
        </w:rPr>
        <w:t xml:space="preserve">  The number of suspected instances of terrorist financing in 2013 numbered 856 SARs, an increase of 23% from 2012, representing 0.27% of the total number of submitted SARs to the NCA.</w:t>
      </w:r>
      <w:r w:rsidRPr="006F0B89">
        <w:rPr>
          <w:rFonts w:ascii="Times New Roman" w:eastAsiaTheme="majorEastAsia" w:hAnsi="Times New Roman" w:cs="Times New Roman"/>
          <w:color w:val="000000"/>
          <w:sz w:val="24"/>
          <w:szCs w:val="24"/>
          <w:vertAlign w:val="superscript"/>
          <w:lang w:eastAsia="en-GB"/>
        </w:rPr>
        <w:footnoteReference w:id="186"/>
      </w:r>
      <w:r w:rsidRPr="006F0B89">
        <w:rPr>
          <w:rFonts w:ascii="Times New Roman" w:eastAsia="Times New Roman" w:hAnsi="Times New Roman" w:cs="Times New Roman"/>
          <w:color w:val="000000"/>
          <w:sz w:val="24"/>
          <w:szCs w:val="24"/>
          <w:lang w:eastAsia="en-GB"/>
        </w:rPr>
        <w:t xml:space="preserve">  In 2014, the NCA reported that it received </w:t>
      </w:r>
      <w:r w:rsidRPr="006F0B89">
        <w:rPr>
          <w:rFonts w:ascii="Times New Roman" w:hAnsi="Times New Roman" w:cs="Times New Roman"/>
          <w:sz w:val="24"/>
          <w:szCs w:val="24"/>
        </w:rPr>
        <w:t>354,186</w:t>
      </w:r>
      <w:r w:rsidR="006F0B89" w:rsidRPr="006F0B89">
        <w:rPr>
          <w:rFonts w:ascii="Times New Roman" w:hAnsi="Times New Roman" w:cs="Times New Roman"/>
          <w:sz w:val="24"/>
          <w:szCs w:val="24"/>
        </w:rPr>
        <w:t xml:space="preserve"> SARs and 1,342 were distributed to the National Terrorist Financial Investigation Unit, representing approximately a 57% increase.</w:t>
      </w:r>
      <w:r w:rsidR="006F0B89">
        <w:rPr>
          <w:rStyle w:val="FootnoteReference"/>
          <w:rFonts w:ascii="Times New Roman" w:hAnsi="Times New Roman" w:cs="Times New Roman"/>
          <w:sz w:val="24"/>
          <w:szCs w:val="24"/>
        </w:rPr>
        <w:footnoteReference w:id="187"/>
      </w:r>
    </w:p>
    <w:p w:rsidR="006F0B89" w:rsidRDefault="006F0B89" w:rsidP="00331CD8">
      <w:pPr>
        <w:autoSpaceDE w:val="0"/>
        <w:autoSpaceDN w:val="0"/>
        <w:adjustRightInd w:val="0"/>
        <w:spacing w:after="0" w:line="480" w:lineRule="auto"/>
        <w:jc w:val="both"/>
        <w:rPr>
          <w:rFonts w:ascii="TT151t00" w:hAnsi="TT151t00" w:cs="TT151t00"/>
          <w:sz w:val="20"/>
          <w:szCs w:val="20"/>
        </w:rPr>
      </w:pPr>
    </w:p>
    <w:p w:rsidR="00C97E04" w:rsidRPr="00C97E04" w:rsidRDefault="00C97E04" w:rsidP="00C97E04">
      <w:pPr>
        <w:autoSpaceDE w:val="0"/>
        <w:autoSpaceDN w:val="0"/>
        <w:adjustRightInd w:val="0"/>
        <w:spacing w:after="0" w:line="480" w:lineRule="auto"/>
        <w:jc w:val="both"/>
        <w:rPr>
          <w:rFonts w:ascii="Times New Roman" w:eastAsia="Times New Roman" w:hAnsi="Times New Roman" w:cs="Times New Roman"/>
          <w:sz w:val="24"/>
          <w:szCs w:val="24"/>
          <w:lang w:eastAsia="en-GB"/>
        </w:rPr>
      </w:pPr>
      <w:r w:rsidRPr="00C97E04">
        <w:rPr>
          <w:rFonts w:ascii="Times New Roman" w:eastAsia="SimSun" w:hAnsi="Times New Roman" w:cs="Times New Roman"/>
          <w:sz w:val="24"/>
          <w:szCs w:val="24"/>
          <w:lang w:eastAsia="zh-CN"/>
        </w:rPr>
        <w:t xml:space="preserve">In addition to the traditional means of gathering financial intelligence via the use of SARs, the Terrorism Act 2000 contained a number of statutory measures that related to financial information orders.  </w:t>
      </w:r>
      <w:r w:rsidR="009E18EB">
        <w:rPr>
          <w:rFonts w:ascii="Times New Roman" w:eastAsia="SimSun" w:hAnsi="Times New Roman" w:cs="Times New Roman"/>
          <w:sz w:val="24"/>
          <w:szCs w:val="24"/>
          <w:lang w:eastAsia="zh-CN"/>
        </w:rPr>
        <w:t xml:space="preserve">For example, </w:t>
      </w:r>
      <w:r w:rsidRPr="00C97E04">
        <w:rPr>
          <w:rFonts w:ascii="Times New Roman" w:eastAsia="Times New Roman" w:hAnsi="Times New Roman" w:cs="Times New Roman"/>
          <w:sz w:val="24"/>
          <w:szCs w:val="24"/>
          <w:lang w:eastAsia="en-GB"/>
        </w:rPr>
        <w:t xml:space="preserve">the Terrorism Act 2000 </w:t>
      </w:r>
      <w:r w:rsidR="009E18EB">
        <w:rPr>
          <w:rFonts w:ascii="Times New Roman" w:eastAsia="Times New Roman" w:hAnsi="Times New Roman" w:cs="Times New Roman"/>
          <w:sz w:val="24"/>
          <w:szCs w:val="24"/>
          <w:lang w:eastAsia="en-GB"/>
        </w:rPr>
        <w:t>permits the use of orders that require a financial institution to provide customer information if it is related to a terrorist investigation.</w:t>
      </w:r>
      <w:r w:rsidR="009E18EB">
        <w:rPr>
          <w:rStyle w:val="FootnoteReference"/>
          <w:rFonts w:ascii="Times New Roman" w:eastAsia="Times New Roman" w:hAnsi="Times New Roman" w:cs="Times New Roman"/>
          <w:sz w:val="24"/>
          <w:szCs w:val="24"/>
          <w:lang w:eastAsia="en-GB"/>
        </w:rPr>
        <w:footnoteReference w:id="188"/>
      </w:r>
      <w:r w:rsidR="009E18EB">
        <w:rPr>
          <w:rFonts w:ascii="Times New Roman" w:eastAsia="Times New Roman" w:hAnsi="Times New Roman" w:cs="Times New Roman"/>
          <w:sz w:val="24"/>
          <w:szCs w:val="24"/>
          <w:lang w:eastAsia="en-GB"/>
        </w:rPr>
        <w:t xml:space="preserve">  </w:t>
      </w:r>
      <w:r w:rsidRPr="00C97E04">
        <w:rPr>
          <w:rFonts w:ascii="Times New Roman" w:eastAsia="SimSun" w:hAnsi="Times New Roman" w:cs="Times New Roman"/>
          <w:sz w:val="24"/>
          <w:szCs w:val="24"/>
          <w:lang w:eastAsia="zh-CN"/>
        </w:rPr>
        <w:t xml:space="preserve">An application for an order can be made by a police officer that could </w:t>
      </w:r>
      <w:r w:rsidR="005C068C">
        <w:rPr>
          <w:rFonts w:ascii="Times New Roman" w:eastAsia="SimSun" w:hAnsi="Times New Roman" w:cs="Times New Roman"/>
          <w:sz w:val="24"/>
          <w:szCs w:val="24"/>
          <w:lang w:eastAsia="zh-CN"/>
        </w:rPr>
        <w:t>‘</w:t>
      </w:r>
      <w:r w:rsidRPr="00C97E04">
        <w:rPr>
          <w:rFonts w:ascii="Times New Roman" w:eastAsia="SimSun" w:hAnsi="Times New Roman" w:cs="Times New Roman"/>
          <w:sz w:val="24"/>
          <w:szCs w:val="24"/>
          <w:lang w:eastAsia="zh-CN"/>
        </w:rPr>
        <w:t>r</w:t>
      </w:r>
      <w:r w:rsidRPr="00C97E04">
        <w:rPr>
          <w:rFonts w:ascii="Times New Roman" w:eastAsia="Times New Roman" w:hAnsi="Times New Roman" w:cs="Times New Roman"/>
          <w:sz w:val="24"/>
          <w:szCs w:val="24"/>
          <w:lang w:eastAsia="en-GB"/>
        </w:rPr>
        <w:t>equire a financial institution [to which the order applies] to provide customer information for the purposes of the investigation</w:t>
      </w:r>
      <w:r w:rsidR="005C068C">
        <w:rPr>
          <w:rFonts w:ascii="Times New Roman" w:eastAsia="Times New Roman" w:hAnsi="Times New Roman" w:cs="Times New Roman"/>
          <w:sz w:val="24"/>
          <w:szCs w:val="24"/>
          <w:lang w:eastAsia="en-GB"/>
        </w:rPr>
        <w:t>’</w:t>
      </w:r>
      <w:r w:rsidRPr="00C97E04">
        <w:rPr>
          <w:rFonts w:ascii="Times New Roman" w:eastAsia="Times New Roman" w:hAnsi="Times New Roman" w:cs="Times New Roman"/>
          <w:sz w:val="24"/>
          <w:szCs w:val="24"/>
          <w:lang w:eastAsia="en-GB"/>
        </w:rPr>
        <w:t>.</w:t>
      </w:r>
      <w:r w:rsidRPr="00C97E04">
        <w:rPr>
          <w:rFonts w:ascii="Times New Roman" w:eastAsiaTheme="majorEastAsia" w:hAnsi="Times New Roman" w:cs="Times New Roman"/>
          <w:sz w:val="24"/>
          <w:szCs w:val="24"/>
          <w:vertAlign w:val="superscript"/>
          <w:lang w:eastAsia="en-GB"/>
        </w:rPr>
        <w:footnoteReference w:id="189"/>
      </w:r>
      <w:r w:rsidRPr="00C97E04">
        <w:rPr>
          <w:rFonts w:ascii="Times New Roman" w:eastAsia="Times New Roman" w:hAnsi="Times New Roman" w:cs="Times New Roman"/>
          <w:sz w:val="24"/>
          <w:szCs w:val="24"/>
          <w:lang w:eastAsia="en-GB"/>
        </w:rPr>
        <w:t xml:space="preserve">  The order could apply to </w:t>
      </w:r>
      <w:r w:rsidR="005C068C">
        <w:rPr>
          <w:rFonts w:ascii="Times New Roman" w:eastAsia="Times New Roman" w:hAnsi="Times New Roman" w:cs="Times New Roman"/>
          <w:sz w:val="24"/>
          <w:szCs w:val="24"/>
          <w:lang w:eastAsia="en-GB"/>
        </w:rPr>
        <w:t>‘</w:t>
      </w:r>
      <w:r w:rsidRPr="00C97E04">
        <w:rPr>
          <w:rFonts w:ascii="Times New Roman" w:eastAsia="Times New Roman" w:hAnsi="Times New Roman" w:cs="Times New Roman"/>
          <w:sz w:val="24"/>
          <w:szCs w:val="24"/>
          <w:lang w:eastAsia="en-GB"/>
        </w:rPr>
        <w:t>(a) all financial institutions, (b) a particular description, or particular descriptions, of financial institutions, or (c) a particular financial institution or particular financial institutions</w:t>
      </w:r>
      <w:r w:rsidR="005C068C">
        <w:rPr>
          <w:rFonts w:ascii="Times New Roman" w:eastAsia="Times New Roman" w:hAnsi="Times New Roman" w:cs="Times New Roman"/>
          <w:sz w:val="24"/>
          <w:szCs w:val="24"/>
          <w:lang w:eastAsia="en-GB"/>
        </w:rPr>
        <w:t>’</w:t>
      </w:r>
      <w:r w:rsidRPr="00C97E04">
        <w:rPr>
          <w:rFonts w:ascii="Times New Roman" w:eastAsia="Times New Roman" w:hAnsi="Times New Roman" w:cs="Times New Roman"/>
          <w:sz w:val="24"/>
          <w:szCs w:val="24"/>
          <w:lang w:eastAsia="en-GB"/>
        </w:rPr>
        <w:t>.</w:t>
      </w:r>
      <w:r w:rsidRPr="00C97E04">
        <w:rPr>
          <w:rFonts w:ascii="Times New Roman" w:eastAsiaTheme="majorEastAsia" w:hAnsi="Times New Roman" w:cs="Times New Roman"/>
          <w:sz w:val="24"/>
          <w:szCs w:val="24"/>
          <w:vertAlign w:val="superscript"/>
          <w:lang w:eastAsia="en-GB"/>
        </w:rPr>
        <w:footnoteReference w:id="190"/>
      </w:r>
      <w:r w:rsidRPr="00C97E04">
        <w:rPr>
          <w:rFonts w:ascii="Times New Roman" w:eastAsia="Times New Roman" w:hAnsi="Times New Roman" w:cs="Times New Roman"/>
          <w:sz w:val="24"/>
          <w:szCs w:val="24"/>
          <w:lang w:eastAsia="en-GB"/>
        </w:rPr>
        <w:t xml:space="preserve">  If a financial institution fails to comply with the financial information order it is guilty of a criminal </w:t>
      </w:r>
      <w:r w:rsidRPr="00C97E04">
        <w:rPr>
          <w:rFonts w:ascii="Times New Roman" w:eastAsia="Times New Roman" w:hAnsi="Times New Roman" w:cs="Times New Roman"/>
          <w:sz w:val="24"/>
          <w:szCs w:val="24"/>
          <w:lang w:eastAsia="en-GB"/>
        </w:rPr>
        <w:lastRenderedPageBreak/>
        <w:t>offence.</w:t>
      </w:r>
      <w:r w:rsidRPr="00C97E04">
        <w:rPr>
          <w:rFonts w:ascii="Times New Roman" w:eastAsiaTheme="majorEastAsia" w:hAnsi="Times New Roman" w:cs="Times New Roman"/>
          <w:sz w:val="24"/>
          <w:szCs w:val="24"/>
          <w:vertAlign w:val="superscript"/>
          <w:lang w:eastAsia="en-GB"/>
        </w:rPr>
        <w:footnoteReference w:id="191"/>
      </w:r>
      <w:r w:rsidRPr="00C97E04">
        <w:rPr>
          <w:rFonts w:ascii="Times New Roman" w:eastAsia="Times New Roman" w:hAnsi="Times New Roman" w:cs="Times New Roman"/>
          <w:sz w:val="24"/>
          <w:szCs w:val="24"/>
          <w:lang w:eastAsia="en-GB"/>
        </w:rPr>
        <w:t xml:space="preserve">  However, the financial institution does have a defence to breaching the financial information order if they can illustrate that either the </w:t>
      </w:r>
      <w:r w:rsidR="005C068C">
        <w:rPr>
          <w:rFonts w:ascii="Times New Roman" w:eastAsia="Times New Roman" w:hAnsi="Times New Roman" w:cs="Times New Roman"/>
          <w:sz w:val="24"/>
          <w:szCs w:val="24"/>
          <w:lang w:eastAsia="en-GB"/>
        </w:rPr>
        <w:t>‘</w:t>
      </w:r>
      <w:r w:rsidRPr="00C97E04">
        <w:rPr>
          <w:rFonts w:ascii="Times New Roman" w:eastAsia="Times New Roman" w:hAnsi="Times New Roman" w:cs="Times New Roman"/>
          <w:sz w:val="24"/>
          <w:szCs w:val="24"/>
          <w:lang w:eastAsia="en-GB"/>
        </w:rPr>
        <w:t>information required was not in the institution’s possession, or (b) that it was not reasonably practicable for the institution to comply with the requirement</w:t>
      </w:r>
      <w:r w:rsidR="005C068C">
        <w:rPr>
          <w:rFonts w:ascii="Times New Roman" w:eastAsia="Times New Roman" w:hAnsi="Times New Roman" w:cs="Times New Roman"/>
          <w:sz w:val="24"/>
          <w:szCs w:val="24"/>
          <w:lang w:eastAsia="en-GB"/>
        </w:rPr>
        <w:t>’</w:t>
      </w:r>
      <w:r w:rsidRPr="00C97E04">
        <w:rPr>
          <w:rFonts w:ascii="Times New Roman" w:eastAsia="Times New Roman" w:hAnsi="Times New Roman" w:cs="Times New Roman"/>
          <w:sz w:val="24"/>
          <w:szCs w:val="24"/>
          <w:lang w:eastAsia="en-GB"/>
        </w:rPr>
        <w:t>.</w:t>
      </w:r>
      <w:r w:rsidRPr="00C97E04">
        <w:rPr>
          <w:rFonts w:ascii="Times New Roman" w:eastAsiaTheme="majorEastAsia" w:hAnsi="Times New Roman" w:cs="Times New Roman"/>
          <w:sz w:val="24"/>
          <w:szCs w:val="24"/>
          <w:vertAlign w:val="superscript"/>
          <w:lang w:eastAsia="en-GB"/>
        </w:rPr>
        <w:footnoteReference w:id="192"/>
      </w:r>
      <w:r w:rsidRPr="00C97E04">
        <w:rPr>
          <w:rFonts w:ascii="Times New Roman" w:eastAsia="Times New Roman" w:hAnsi="Times New Roman" w:cs="Times New Roman"/>
          <w:sz w:val="24"/>
          <w:szCs w:val="24"/>
          <w:lang w:eastAsia="en-GB"/>
        </w:rPr>
        <w:t xml:space="preserve">  Binning noted that financial information orders are </w:t>
      </w:r>
      <w:r w:rsidR="005C068C">
        <w:rPr>
          <w:rFonts w:ascii="Times New Roman" w:eastAsia="Times New Roman" w:hAnsi="Times New Roman" w:cs="Times New Roman"/>
          <w:sz w:val="24"/>
          <w:szCs w:val="24"/>
          <w:lang w:eastAsia="en-GB"/>
        </w:rPr>
        <w:t>‘</w:t>
      </w:r>
      <w:r w:rsidRPr="00C97E04">
        <w:rPr>
          <w:rFonts w:ascii="Times New Roman" w:eastAsia="Times New Roman" w:hAnsi="Times New Roman" w:cs="Times New Roman"/>
          <w:sz w:val="24"/>
          <w:szCs w:val="24"/>
          <w:lang w:eastAsia="en-GB"/>
        </w:rPr>
        <w:t>available for general criminal money laundering and criminal benefit investigations under the Proceeds of Crime Act 2002. They are also available for use in mutual assistance requests to enable information to be passed to overseas investigators without the knowledge of the account holder</w:t>
      </w:r>
      <w:r w:rsidR="005C068C">
        <w:rPr>
          <w:rFonts w:ascii="Times New Roman" w:eastAsia="Times New Roman" w:hAnsi="Times New Roman" w:cs="Times New Roman"/>
          <w:sz w:val="24"/>
          <w:szCs w:val="24"/>
          <w:lang w:eastAsia="en-GB"/>
        </w:rPr>
        <w:t>’</w:t>
      </w:r>
      <w:r w:rsidRPr="00C97E04">
        <w:rPr>
          <w:rFonts w:ascii="Times New Roman" w:eastAsia="Times New Roman" w:hAnsi="Times New Roman" w:cs="Times New Roman"/>
          <w:sz w:val="24"/>
          <w:szCs w:val="24"/>
          <w:lang w:eastAsia="en-GB"/>
        </w:rPr>
        <w:t>.</w:t>
      </w:r>
      <w:r w:rsidRPr="00C97E04">
        <w:rPr>
          <w:rFonts w:ascii="Times New Roman" w:eastAsiaTheme="majorEastAsia" w:hAnsi="Times New Roman" w:cs="Times New Roman"/>
          <w:sz w:val="24"/>
          <w:szCs w:val="24"/>
          <w:vertAlign w:val="superscript"/>
          <w:lang w:eastAsia="en-GB"/>
        </w:rPr>
        <w:footnoteReference w:id="193"/>
      </w:r>
      <w:r w:rsidRPr="00C97E04">
        <w:rPr>
          <w:rFonts w:ascii="Times New Roman" w:eastAsia="Times New Roman" w:hAnsi="Times New Roman" w:cs="Times New Roman"/>
          <w:sz w:val="24"/>
          <w:szCs w:val="24"/>
          <w:lang w:eastAsia="en-GB"/>
        </w:rPr>
        <w:t xml:space="preserve">  </w:t>
      </w:r>
      <w:r w:rsidRPr="00C97E04">
        <w:rPr>
          <w:rFonts w:ascii="Times New Roman" w:eastAsia="SimSun" w:hAnsi="Times New Roman" w:cs="Times New Roman"/>
          <w:sz w:val="24"/>
          <w:szCs w:val="24"/>
          <w:lang w:eastAsia="zh-CN"/>
        </w:rPr>
        <w:t>Additionally, the Terrorism Act 2000 permits the use of account monitoring orders.</w:t>
      </w:r>
      <w:r w:rsidRPr="00C97E04">
        <w:rPr>
          <w:rFonts w:ascii="Times New Roman" w:eastAsia="SimSun" w:hAnsi="Times New Roman" w:cs="Times New Roman"/>
          <w:sz w:val="24"/>
          <w:szCs w:val="24"/>
          <w:vertAlign w:val="superscript"/>
          <w:lang w:eastAsia="zh-CN"/>
        </w:rPr>
        <w:footnoteReference w:id="194"/>
      </w:r>
      <w:r w:rsidRPr="00C97E04">
        <w:rPr>
          <w:rFonts w:ascii="Times New Roman" w:eastAsia="SimSun" w:hAnsi="Times New Roman" w:cs="Times New Roman"/>
          <w:sz w:val="24"/>
          <w:szCs w:val="24"/>
          <w:lang w:eastAsia="zh-CN"/>
        </w:rPr>
        <w:t xml:space="preserve"> Leong stated that an account monitoring order </w:t>
      </w:r>
      <w:r w:rsidR="005C068C">
        <w:rPr>
          <w:rFonts w:ascii="Times New Roman" w:eastAsia="SimSun" w:hAnsi="Times New Roman" w:cs="Times New Roman"/>
          <w:sz w:val="24"/>
          <w:szCs w:val="24"/>
          <w:lang w:eastAsia="zh-CN"/>
        </w:rPr>
        <w:t>‘</w:t>
      </w:r>
      <w:r w:rsidRPr="00C97E04">
        <w:rPr>
          <w:rFonts w:ascii="Times New Roman" w:eastAsia="Times New Roman" w:hAnsi="Times New Roman" w:cs="Times New Roman"/>
          <w:sz w:val="24"/>
          <w:szCs w:val="24"/>
          <w:lang w:eastAsia="en-GB"/>
        </w:rPr>
        <w:t>is an order that the financial institution specified in the application for the order must, for the period stated in the order, provide account information of the description specified in the order to an appropriate officer in the manner, and at or by the time or times, stated in the order</w:t>
      </w:r>
      <w:r w:rsidR="005C068C">
        <w:rPr>
          <w:rFonts w:ascii="Times New Roman" w:eastAsia="Times New Roman" w:hAnsi="Times New Roman" w:cs="Times New Roman"/>
          <w:sz w:val="24"/>
          <w:szCs w:val="24"/>
          <w:lang w:eastAsia="en-GB"/>
        </w:rPr>
        <w:t>’</w:t>
      </w:r>
      <w:r w:rsidRPr="00C97E04">
        <w:rPr>
          <w:rFonts w:ascii="Times New Roman" w:eastAsia="Times New Roman" w:hAnsi="Times New Roman" w:cs="Times New Roman"/>
          <w:sz w:val="24"/>
          <w:szCs w:val="24"/>
          <w:lang w:eastAsia="en-GB"/>
        </w:rPr>
        <w:t>.</w:t>
      </w:r>
      <w:r w:rsidRPr="00C97E04">
        <w:rPr>
          <w:rFonts w:ascii="Times New Roman" w:eastAsiaTheme="majorEastAsia" w:hAnsi="Times New Roman" w:cs="Times New Roman"/>
          <w:sz w:val="24"/>
          <w:szCs w:val="24"/>
          <w:vertAlign w:val="superscript"/>
          <w:lang w:eastAsia="en-GB"/>
        </w:rPr>
        <w:footnoteReference w:id="195"/>
      </w:r>
      <w:r w:rsidRPr="00C97E04">
        <w:rPr>
          <w:rFonts w:ascii="Times New Roman" w:eastAsia="Times New Roman" w:hAnsi="Times New Roman" w:cs="Times New Roman"/>
          <w:sz w:val="24"/>
          <w:szCs w:val="24"/>
          <w:lang w:eastAsia="en-GB"/>
        </w:rPr>
        <w:t xml:space="preserve">  Account monitoring orders have been described as draconian </w:t>
      </w:r>
      <w:r w:rsidRPr="00C97E04">
        <w:rPr>
          <w:rFonts w:ascii="Times New Roman" w:eastAsiaTheme="majorEastAsia" w:hAnsi="Times New Roman" w:cs="Times New Roman"/>
          <w:sz w:val="24"/>
          <w:szCs w:val="24"/>
          <w:vertAlign w:val="superscript"/>
          <w:lang w:eastAsia="en-GB"/>
        </w:rPr>
        <w:footnoteReference w:id="196"/>
      </w:r>
      <w:r w:rsidRPr="00C97E04">
        <w:rPr>
          <w:rFonts w:ascii="Times New Roman" w:eastAsia="Times New Roman" w:hAnsi="Times New Roman" w:cs="Times New Roman"/>
          <w:sz w:val="24"/>
          <w:szCs w:val="24"/>
          <w:lang w:eastAsia="en-GB"/>
        </w:rPr>
        <w:t xml:space="preserve"> and their relationship with civil liberties has been questioned on several occasions.  </w:t>
      </w:r>
      <w:r w:rsidRPr="00C97E04">
        <w:rPr>
          <w:rFonts w:ascii="Times New Roman" w:eastAsia="SimSun" w:hAnsi="Times New Roman" w:cs="Times New Roman"/>
          <w:sz w:val="24"/>
          <w:szCs w:val="24"/>
          <w:lang w:eastAsia="zh-CN"/>
        </w:rPr>
        <w:t xml:space="preserve">An account monitoring order can be granted by a judge if they are satisfied that </w:t>
      </w:r>
      <w:r w:rsidR="005C068C">
        <w:rPr>
          <w:rFonts w:ascii="Times New Roman" w:eastAsia="Times New Roman" w:hAnsi="Times New Roman" w:cs="Times New Roman"/>
          <w:sz w:val="24"/>
          <w:szCs w:val="24"/>
          <w:lang w:eastAsia="en-GB"/>
        </w:rPr>
        <w:t>‘</w:t>
      </w:r>
      <w:r w:rsidRPr="00C97E04">
        <w:rPr>
          <w:rFonts w:ascii="Times New Roman" w:eastAsia="Times New Roman" w:hAnsi="Times New Roman" w:cs="Times New Roman"/>
          <w:sz w:val="24"/>
          <w:szCs w:val="24"/>
          <w:lang w:eastAsia="en-GB"/>
        </w:rPr>
        <w:t>(a) the order is sought for the purposes of a terrorist investigation, (b) the tracing of terrorist property is desirable for the purposes of the investigation, and (c) the order will enhance the effectiveness of the investigation</w:t>
      </w:r>
      <w:r w:rsidR="005C068C">
        <w:rPr>
          <w:rFonts w:ascii="Times New Roman" w:eastAsia="Times New Roman" w:hAnsi="Times New Roman" w:cs="Times New Roman"/>
          <w:sz w:val="24"/>
          <w:szCs w:val="24"/>
          <w:lang w:eastAsia="en-GB"/>
        </w:rPr>
        <w:t>’</w:t>
      </w:r>
      <w:r w:rsidRPr="00C97E04">
        <w:rPr>
          <w:rFonts w:ascii="Times New Roman" w:eastAsia="Times New Roman" w:hAnsi="Times New Roman" w:cs="Times New Roman"/>
          <w:sz w:val="24"/>
          <w:szCs w:val="24"/>
          <w:lang w:eastAsia="en-GB"/>
        </w:rPr>
        <w:t>.</w:t>
      </w:r>
      <w:r w:rsidRPr="00C97E04">
        <w:rPr>
          <w:rFonts w:ascii="Times New Roman" w:eastAsiaTheme="majorEastAsia" w:hAnsi="Times New Roman" w:cs="Times New Roman"/>
          <w:sz w:val="24"/>
          <w:szCs w:val="24"/>
          <w:vertAlign w:val="superscript"/>
          <w:lang w:eastAsia="en-GB"/>
        </w:rPr>
        <w:footnoteReference w:id="197"/>
      </w:r>
      <w:r w:rsidRPr="00C97E04">
        <w:rPr>
          <w:rFonts w:ascii="Times New Roman" w:eastAsia="Times New Roman" w:hAnsi="Times New Roman" w:cs="Times New Roman"/>
          <w:sz w:val="24"/>
          <w:szCs w:val="24"/>
          <w:lang w:eastAsia="en-GB"/>
        </w:rPr>
        <w:t xml:space="preserve">  Where an application is made for account monitoring, the order must contain information relating to accounts of the person who is subject to the order.</w:t>
      </w:r>
      <w:r w:rsidRPr="00C97E04">
        <w:rPr>
          <w:rFonts w:ascii="Times New Roman" w:eastAsiaTheme="majorEastAsia" w:hAnsi="Times New Roman" w:cs="Times New Roman"/>
          <w:sz w:val="24"/>
          <w:szCs w:val="24"/>
          <w:vertAlign w:val="superscript"/>
          <w:lang w:eastAsia="en-GB"/>
        </w:rPr>
        <w:footnoteReference w:id="198"/>
      </w:r>
      <w:r w:rsidRPr="00C97E04">
        <w:rPr>
          <w:rFonts w:ascii="Times New Roman" w:eastAsia="Times New Roman" w:hAnsi="Times New Roman" w:cs="Times New Roman"/>
          <w:sz w:val="24"/>
          <w:szCs w:val="24"/>
          <w:lang w:eastAsia="en-GB"/>
        </w:rPr>
        <w:t xml:space="preserve">  </w:t>
      </w:r>
    </w:p>
    <w:p w:rsidR="00C97E04" w:rsidRPr="00C97E04" w:rsidRDefault="00C97E04" w:rsidP="00C97E04">
      <w:pPr>
        <w:autoSpaceDE w:val="0"/>
        <w:autoSpaceDN w:val="0"/>
        <w:adjustRightInd w:val="0"/>
        <w:spacing w:after="0" w:line="480" w:lineRule="auto"/>
        <w:jc w:val="both"/>
        <w:rPr>
          <w:rFonts w:ascii="Times New Roman" w:eastAsia="SimSun" w:hAnsi="Times New Roman" w:cs="Times New Roman"/>
          <w:sz w:val="24"/>
          <w:szCs w:val="24"/>
          <w:lang w:eastAsia="zh-CN"/>
        </w:rPr>
      </w:pPr>
    </w:p>
    <w:p w:rsidR="00C97E04" w:rsidRPr="00C97E04" w:rsidRDefault="00C97E04" w:rsidP="00C97E04">
      <w:pPr>
        <w:autoSpaceDE w:val="0"/>
        <w:autoSpaceDN w:val="0"/>
        <w:adjustRightInd w:val="0"/>
        <w:spacing w:after="0" w:line="480" w:lineRule="auto"/>
        <w:jc w:val="both"/>
        <w:rPr>
          <w:rFonts w:ascii="Times New Roman" w:eastAsia="SimSun" w:hAnsi="Times New Roman" w:cs="Times New Roman"/>
          <w:sz w:val="24"/>
          <w:szCs w:val="24"/>
          <w:lang w:eastAsia="zh-CN"/>
        </w:rPr>
      </w:pPr>
      <w:r w:rsidRPr="00C97E04">
        <w:rPr>
          <w:rFonts w:ascii="Times New Roman" w:eastAsia="SimSun" w:hAnsi="Times New Roman" w:cs="Times New Roman"/>
          <w:sz w:val="24"/>
          <w:szCs w:val="24"/>
          <w:lang w:eastAsia="zh-CN"/>
        </w:rPr>
        <w:lastRenderedPageBreak/>
        <w:t xml:space="preserve">One of the most controversial pieces of CTF legislation is the Counter-Terrorism Act 2008.  </w:t>
      </w:r>
      <w:r w:rsidR="003D723A">
        <w:rPr>
          <w:rFonts w:ascii="Times New Roman" w:eastAsia="SimSun" w:hAnsi="Times New Roman" w:cs="Times New Roman"/>
          <w:sz w:val="24"/>
          <w:szCs w:val="24"/>
          <w:lang w:eastAsia="zh-CN"/>
        </w:rPr>
        <w:t>T</w:t>
      </w:r>
      <w:r w:rsidRPr="00C97E04">
        <w:rPr>
          <w:rFonts w:ascii="Times New Roman" w:eastAsia="SimSun" w:hAnsi="Times New Roman" w:cs="Times New Roman"/>
          <w:sz w:val="24"/>
          <w:szCs w:val="24"/>
          <w:lang w:eastAsia="zh-CN"/>
        </w:rPr>
        <w:t xml:space="preserve">he Act </w:t>
      </w:r>
      <w:r w:rsidR="005C068C">
        <w:rPr>
          <w:rFonts w:ascii="Times New Roman" w:eastAsia="SimSun" w:hAnsi="Times New Roman" w:cs="Times New Roman"/>
          <w:sz w:val="24"/>
          <w:szCs w:val="24"/>
          <w:lang w:eastAsia="zh-CN"/>
        </w:rPr>
        <w:t>‘</w:t>
      </w:r>
      <w:r w:rsidRPr="00C97E04">
        <w:rPr>
          <w:rFonts w:ascii="Times New Roman" w:eastAsia="Times New Roman" w:hAnsi="Times New Roman" w:cs="Times New Roman"/>
          <w:sz w:val="24"/>
          <w:szCs w:val="24"/>
          <w:lang w:eastAsia="en-GB"/>
        </w:rPr>
        <w:t>has added to those financial provisions in significant ways. The Act implements a new regime of financial directions in Schedule 7 … the scheme is very wide-ranging in application and effect</w:t>
      </w:r>
      <w:r w:rsidR="005C068C">
        <w:rPr>
          <w:rFonts w:ascii="Times New Roman" w:eastAsia="Times New Roman" w:hAnsi="Times New Roman" w:cs="Times New Roman"/>
          <w:sz w:val="24"/>
          <w:szCs w:val="24"/>
          <w:lang w:eastAsia="en-GB"/>
        </w:rPr>
        <w:t>’</w:t>
      </w:r>
      <w:r w:rsidRPr="00C97E04">
        <w:rPr>
          <w:rFonts w:ascii="Times New Roman" w:eastAsia="Times New Roman" w:hAnsi="Times New Roman" w:cs="Times New Roman"/>
          <w:sz w:val="24"/>
          <w:szCs w:val="24"/>
          <w:lang w:eastAsia="en-GB"/>
        </w:rPr>
        <w:t>.</w:t>
      </w:r>
      <w:r w:rsidRPr="00C97E04">
        <w:rPr>
          <w:rFonts w:ascii="Times New Roman" w:eastAsiaTheme="majorEastAsia" w:hAnsi="Times New Roman" w:cs="Times New Roman"/>
          <w:sz w:val="24"/>
          <w:szCs w:val="24"/>
          <w:vertAlign w:val="superscript"/>
          <w:lang w:eastAsia="en-GB"/>
        </w:rPr>
        <w:footnoteReference w:id="199"/>
      </w:r>
      <w:r w:rsidRPr="00C97E04">
        <w:rPr>
          <w:rFonts w:ascii="Times New Roman" w:eastAsia="Times New Roman" w:hAnsi="Times New Roman" w:cs="Times New Roman"/>
          <w:sz w:val="24"/>
          <w:szCs w:val="24"/>
          <w:lang w:eastAsia="en-GB"/>
        </w:rPr>
        <w:t xml:space="preserve">  Schedule 7 of the 2008 Act provides HM Treasury with the ability to give a direction where the FATF </w:t>
      </w:r>
      <w:r w:rsidRPr="00C97E04">
        <w:rPr>
          <w:rFonts w:ascii="Times New Roman" w:eastAsia="Times New Roman" w:hAnsi="Times New Roman" w:cs="Times New Roman"/>
          <w:sz w:val="24"/>
          <w:szCs w:val="24"/>
          <w:lang w:val="en" w:eastAsia="en-GB"/>
        </w:rPr>
        <w:t>has requested actions to be pursued against a country due the risk it presents of terrorist financing or money laundering.</w:t>
      </w:r>
      <w:r w:rsidR="006F0B89">
        <w:rPr>
          <w:rStyle w:val="FootnoteReference"/>
          <w:rFonts w:ascii="Times New Roman" w:eastAsia="Times New Roman" w:hAnsi="Times New Roman" w:cs="Times New Roman"/>
          <w:sz w:val="24"/>
          <w:szCs w:val="24"/>
          <w:lang w:val="en" w:eastAsia="en-GB"/>
        </w:rPr>
        <w:footnoteReference w:id="200"/>
      </w:r>
      <w:r w:rsidRPr="00C97E04">
        <w:rPr>
          <w:rFonts w:ascii="Times New Roman" w:eastAsia="Times New Roman" w:hAnsi="Times New Roman" w:cs="Times New Roman"/>
          <w:sz w:val="24"/>
          <w:szCs w:val="24"/>
          <w:lang w:val="en" w:eastAsia="en-GB"/>
        </w:rPr>
        <w:t xml:space="preserve">  Furthermore, HM Treasury is permitted to impose an action is they reasonably believe that a country poses a significant risk to the UK’s due to terrorist financing or money laundering.  Finally, HM Treasury may impose a direction where it believes there is substantial risk to the UK due to the development, manufacturing or facilitation of nuclear, radiological, biological or chemical weapons there, or the facilitation of such development.  The second part of Schedule 7 outlines the people who can be subject to the direction and that it may be issued to people working in the financial sector.  Schedule 7 of the Counter-Terrorism Act 2008 provides for the requirements of a direction and the obligations that can be imposed. For example, the obligations can be imposed on transactions, business relationships with a person carrying on business in the country, the government of the country, or a person resident or incorporated in the country. It is very likely that once a direction has been imposed by virtue of Schedule 7 of the Counter-Terrorism Act 2008 the recipient will be required to improve their due diligence measures.  Part 5 of Schedule 7 permits the relevant enforcement agency to obtain information and part 6 permits the use of financial sanctions on those who fail to observe the directions.  </w:t>
      </w:r>
      <w:r w:rsidRPr="00C97E04">
        <w:rPr>
          <w:rFonts w:ascii="Times New Roman" w:eastAsia="SimSun" w:hAnsi="Times New Roman" w:cs="Times New Roman"/>
          <w:sz w:val="24"/>
          <w:szCs w:val="24"/>
          <w:lang w:eastAsia="zh-CN"/>
        </w:rPr>
        <w:t xml:space="preserve">The powers of HM Treasury under Schedule 7 of the Counter-Terrorism Act 2008 were challenged in </w:t>
      </w:r>
      <w:r w:rsidRPr="00C97E04">
        <w:rPr>
          <w:rFonts w:ascii="Times New Roman" w:eastAsia="SimSun" w:hAnsi="Times New Roman" w:cs="Times New Roman"/>
          <w:i/>
          <w:sz w:val="24"/>
          <w:szCs w:val="24"/>
          <w:lang w:eastAsia="zh-CN"/>
        </w:rPr>
        <w:t>Bank Mellat v HM Treasury</w:t>
      </w:r>
      <w:r w:rsidRPr="00C97E04">
        <w:rPr>
          <w:rFonts w:ascii="Times New Roman" w:eastAsia="SimSun" w:hAnsi="Times New Roman" w:cs="Times New Roman"/>
          <w:sz w:val="24"/>
          <w:szCs w:val="24"/>
          <w:lang w:eastAsia="zh-CN"/>
        </w:rPr>
        <w:t xml:space="preserve"> (No.2).</w:t>
      </w:r>
      <w:r w:rsidRPr="00C97E04">
        <w:rPr>
          <w:rFonts w:ascii="Times New Roman" w:eastAsia="SimSun" w:hAnsi="Times New Roman" w:cs="Times New Roman"/>
          <w:sz w:val="24"/>
          <w:szCs w:val="24"/>
          <w:vertAlign w:val="superscript"/>
          <w:lang w:eastAsia="zh-CN"/>
        </w:rPr>
        <w:footnoteReference w:id="201"/>
      </w:r>
      <w:r w:rsidRPr="00C97E04">
        <w:rPr>
          <w:rFonts w:ascii="Times New Roman" w:eastAsia="SimSun" w:hAnsi="Times New Roman" w:cs="Times New Roman"/>
          <w:sz w:val="24"/>
          <w:szCs w:val="24"/>
          <w:lang w:eastAsia="zh-CN"/>
        </w:rPr>
        <w:t xml:space="preserve">  Here, the Supreme Court </w:t>
      </w:r>
      <w:r w:rsidRPr="00C97E04">
        <w:rPr>
          <w:rFonts w:ascii="Times New Roman" w:eastAsia="SimSun" w:hAnsi="Times New Roman" w:cs="Times New Roman"/>
          <w:sz w:val="24"/>
          <w:szCs w:val="24"/>
          <w:lang w:eastAsia="zh-CN"/>
        </w:rPr>
        <w:lastRenderedPageBreak/>
        <w:t>determined that the directions authorised by HM Treasury under Schedule 7 breached Article 6 of the European Convention of Human Rights and the rules of natural justice.</w:t>
      </w:r>
    </w:p>
    <w:p w:rsidR="00984190" w:rsidRPr="00C97E04" w:rsidRDefault="00984190" w:rsidP="00C97E04">
      <w:pPr>
        <w:autoSpaceDE w:val="0"/>
        <w:autoSpaceDN w:val="0"/>
        <w:adjustRightInd w:val="0"/>
        <w:spacing w:after="0" w:line="480" w:lineRule="auto"/>
        <w:jc w:val="both"/>
        <w:rPr>
          <w:rFonts w:ascii="Times New Roman" w:eastAsia="Times New Roman" w:hAnsi="Times New Roman" w:cs="Times New Roman"/>
          <w:color w:val="000000"/>
          <w:sz w:val="23"/>
          <w:szCs w:val="23"/>
          <w:lang w:eastAsia="en-GB"/>
        </w:rPr>
      </w:pPr>
    </w:p>
    <w:p w:rsidR="00C97E04" w:rsidRPr="00C97E04" w:rsidRDefault="001C747C" w:rsidP="00C97E04">
      <w:pPr>
        <w:autoSpaceDE w:val="0"/>
        <w:autoSpaceDN w:val="0"/>
        <w:adjustRightInd w:val="0"/>
        <w:spacing w:after="0" w:line="48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Conclusion</w:t>
      </w:r>
    </w:p>
    <w:p w:rsidR="00C97E04" w:rsidRPr="00C97E04" w:rsidRDefault="00C97E04" w:rsidP="00C97E04">
      <w:pPr>
        <w:autoSpaceDE w:val="0"/>
        <w:autoSpaceDN w:val="0"/>
        <w:adjustRightInd w:val="0"/>
        <w:spacing w:after="0" w:line="480" w:lineRule="auto"/>
        <w:jc w:val="both"/>
        <w:rPr>
          <w:rFonts w:ascii="Times New Roman" w:eastAsia="SimSun" w:hAnsi="Times New Roman" w:cs="Times New Roman"/>
          <w:b/>
          <w:sz w:val="24"/>
          <w:szCs w:val="24"/>
          <w:lang w:eastAsia="zh-CN"/>
        </w:rPr>
      </w:pPr>
    </w:p>
    <w:p w:rsidR="00C97E04" w:rsidRPr="00C97E04" w:rsidRDefault="005C068C" w:rsidP="00C97E04">
      <w:pPr>
        <w:spacing w:after="0" w:line="480" w:lineRule="auto"/>
        <w:ind w:left="284" w:right="284"/>
        <w:jc w:val="both"/>
        <w:rPr>
          <w:rFonts w:ascii="Times New Roman" w:eastAsia="SimSun" w:hAnsi="Times New Roman" w:cs="Times New Roman"/>
          <w:sz w:val="24"/>
          <w:szCs w:val="24"/>
          <w:lang w:eastAsia="zh-CN"/>
        </w:rPr>
      </w:pPr>
      <w:r>
        <w:rPr>
          <w:rFonts w:ascii="Times New Roman" w:hAnsi="Times New Roman" w:cs="Times New Roman"/>
          <w:sz w:val="24"/>
          <w:szCs w:val="24"/>
        </w:rPr>
        <w:t>‘</w:t>
      </w:r>
      <w:r w:rsidR="00C97E04" w:rsidRPr="00C97E04">
        <w:rPr>
          <w:rFonts w:ascii="Times New Roman" w:hAnsi="Times New Roman" w:cs="Times New Roman"/>
          <w:sz w:val="24"/>
          <w:szCs w:val="24"/>
        </w:rPr>
        <w:t>There has been an increase in activity to counter the financing of terrorist activity since the events of 9/11. Despite a host of regulations having been introduced, identifying terrorist financing is still an area of limited success</w:t>
      </w:r>
      <w:r>
        <w:rPr>
          <w:rFonts w:ascii="Times New Roman" w:hAnsi="Times New Roman" w:cs="Times New Roman"/>
          <w:sz w:val="24"/>
          <w:szCs w:val="24"/>
        </w:rPr>
        <w:t>’</w:t>
      </w:r>
      <w:r w:rsidR="00C97E04" w:rsidRPr="00C97E04">
        <w:rPr>
          <w:rFonts w:ascii="Times New Roman" w:hAnsi="Times New Roman" w:cs="Times New Roman"/>
          <w:sz w:val="24"/>
          <w:szCs w:val="24"/>
        </w:rPr>
        <w:t>.</w:t>
      </w:r>
      <w:r w:rsidR="00C97E04" w:rsidRPr="00C97E04">
        <w:rPr>
          <w:rFonts w:ascii="Times New Roman" w:hAnsi="Times New Roman" w:cs="Times New Roman"/>
          <w:sz w:val="24"/>
          <w:szCs w:val="24"/>
          <w:vertAlign w:val="superscript"/>
        </w:rPr>
        <w:footnoteReference w:id="202"/>
      </w:r>
      <w:r w:rsidR="00C97E04" w:rsidRPr="00C97E04">
        <w:rPr>
          <w:rFonts w:ascii="Times New Roman" w:hAnsi="Times New Roman" w:cs="Times New Roman"/>
          <w:sz w:val="24"/>
          <w:szCs w:val="24"/>
        </w:rPr>
        <w:t xml:space="preserve">  </w:t>
      </w:r>
    </w:p>
    <w:p w:rsidR="00C97E04" w:rsidRPr="00C97E04" w:rsidRDefault="00C97E04" w:rsidP="00C97E04">
      <w:pPr>
        <w:spacing w:after="0" w:line="480" w:lineRule="auto"/>
        <w:jc w:val="both"/>
        <w:rPr>
          <w:rFonts w:ascii="Times New Roman" w:eastAsia="SimSun" w:hAnsi="Times New Roman" w:cs="Times New Roman"/>
          <w:sz w:val="24"/>
          <w:szCs w:val="24"/>
          <w:lang w:eastAsia="zh-CN"/>
        </w:rPr>
      </w:pPr>
    </w:p>
    <w:p w:rsidR="006D3C72" w:rsidRPr="006D3C72" w:rsidRDefault="00C97E04" w:rsidP="006D3C72">
      <w:pPr>
        <w:autoSpaceDE w:val="0"/>
        <w:autoSpaceDN w:val="0"/>
        <w:adjustRightInd w:val="0"/>
        <w:spacing w:after="0" w:line="480" w:lineRule="auto"/>
        <w:jc w:val="both"/>
        <w:rPr>
          <w:rFonts w:ascii="Times New Roman" w:hAnsi="Times New Roman" w:cs="Times New Roman"/>
          <w:sz w:val="24"/>
          <w:szCs w:val="24"/>
          <w:lang w:val="en-US"/>
        </w:rPr>
      </w:pPr>
      <w:r w:rsidRPr="00C97E04">
        <w:rPr>
          <w:rFonts w:ascii="Times New Roman" w:eastAsia="SimSun" w:hAnsi="Times New Roman" w:cs="Times New Roman"/>
          <w:sz w:val="24"/>
          <w:szCs w:val="24"/>
          <w:lang w:eastAsia="zh-CN"/>
        </w:rPr>
        <w:t>The UK has adopt</w:t>
      </w:r>
      <w:r w:rsidR="00CE3A49">
        <w:rPr>
          <w:rFonts w:ascii="Times New Roman" w:eastAsia="SimSun" w:hAnsi="Times New Roman" w:cs="Times New Roman"/>
          <w:sz w:val="24"/>
          <w:szCs w:val="24"/>
          <w:lang w:eastAsia="zh-CN"/>
        </w:rPr>
        <w:t xml:space="preserve">ed </w:t>
      </w:r>
      <w:r w:rsidRPr="00C97E04">
        <w:rPr>
          <w:rFonts w:ascii="Times New Roman" w:eastAsia="SimSun" w:hAnsi="Times New Roman" w:cs="Times New Roman"/>
          <w:sz w:val="24"/>
          <w:szCs w:val="24"/>
          <w:lang w:eastAsia="zh-CN"/>
        </w:rPr>
        <w:t xml:space="preserve">a very robust </w:t>
      </w:r>
      <w:r w:rsidR="00CE3A49">
        <w:rPr>
          <w:rFonts w:ascii="Times New Roman" w:eastAsia="SimSun" w:hAnsi="Times New Roman" w:cs="Times New Roman"/>
          <w:sz w:val="24"/>
          <w:szCs w:val="24"/>
          <w:lang w:eastAsia="zh-CN"/>
        </w:rPr>
        <w:t>CTF policy and has made every e</w:t>
      </w:r>
      <w:r w:rsidR="00EC427B">
        <w:rPr>
          <w:rFonts w:ascii="Times New Roman" w:eastAsia="SimSun" w:hAnsi="Times New Roman" w:cs="Times New Roman"/>
          <w:sz w:val="24"/>
          <w:szCs w:val="24"/>
          <w:lang w:eastAsia="zh-CN"/>
        </w:rPr>
        <w:t>ffort to implement</w:t>
      </w:r>
      <w:r w:rsidRPr="00C97E04">
        <w:rPr>
          <w:rFonts w:ascii="Times New Roman" w:eastAsia="SimSun" w:hAnsi="Times New Roman" w:cs="Times New Roman"/>
          <w:sz w:val="24"/>
          <w:szCs w:val="24"/>
          <w:lang w:eastAsia="zh-CN"/>
        </w:rPr>
        <w:t xml:space="preserve"> the ‘Financial War on Terrorism’.  </w:t>
      </w:r>
      <w:r w:rsidR="00EC427B">
        <w:rPr>
          <w:rFonts w:ascii="Times New Roman" w:eastAsia="SimSun" w:hAnsi="Times New Roman" w:cs="Times New Roman"/>
          <w:sz w:val="24"/>
          <w:szCs w:val="24"/>
          <w:lang w:eastAsia="zh-CN"/>
        </w:rPr>
        <w:t xml:space="preserve">Originally, the UKs CTF </w:t>
      </w:r>
      <w:r w:rsidRPr="00C97E04">
        <w:rPr>
          <w:rFonts w:ascii="Times New Roman" w:eastAsia="SimSun" w:hAnsi="Times New Roman" w:cs="Times New Roman"/>
          <w:sz w:val="24"/>
          <w:szCs w:val="24"/>
          <w:lang w:eastAsia="zh-CN"/>
        </w:rPr>
        <w:t xml:space="preserve">measures were aimed at tackling domestic and not international terrorism. These provisions permitted the seizure and forfeiture of items that had or were intended to be used for the purposes of supporting or committing acts of terrorism.  However, </w:t>
      </w:r>
      <w:r w:rsidR="00EC427B">
        <w:rPr>
          <w:rFonts w:ascii="Times New Roman" w:eastAsia="SimSun" w:hAnsi="Times New Roman" w:cs="Times New Roman"/>
          <w:sz w:val="24"/>
          <w:szCs w:val="24"/>
          <w:lang w:eastAsia="zh-CN"/>
        </w:rPr>
        <w:t xml:space="preserve">these provisions were deemed ineffective and were replaced by the </w:t>
      </w:r>
      <w:r w:rsidRPr="00C97E04">
        <w:rPr>
          <w:rFonts w:ascii="Times New Roman" w:eastAsia="SimSun" w:hAnsi="Times New Roman" w:cs="Times New Roman"/>
          <w:sz w:val="24"/>
          <w:szCs w:val="24"/>
          <w:lang w:eastAsia="zh-CN"/>
        </w:rPr>
        <w:t>Terrorism Act</w:t>
      </w:r>
      <w:r w:rsidR="002916C2">
        <w:rPr>
          <w:rFonts w:ascii="Times New Roman" w:eastAsia="SimSun" w:hAnsi="Times New Roman" w:cs="Times New Roman"/>
          <w:sz w:val="24"/>
          <w:szCs w:val="24"/>
          <w:lang w:eastAsia="zh-CN"/>
        </w:rPr>
        <w:t xml:space="preserve"> 2000</w:t>
      </w:r>
      <w:r w:rsidR="003737DA">
        <w:rPr>
          <w:rFonts w:ascii="Times New Roman" w:eastAsia="SimSun" w:hAnsi="Times New Roman" w:cs="Times New Roman"/>
          <w:sz w:val="24"/>
          <w:szCs w:val="24"/>
          <w:lang w:eastAsia="zh-CN"/>
        </w:rPr>
        <w:t xml:space="preserve"> and the </w:t>
      </w:r>
      <w:r w:rsidRPr="00C97E04">
        <w:rPr>
          <w:rFonts w:ascii="Times New Roman" w:eastAsia="SimSun" w:hAnsi="Times New Roman" w:cs="Times New Roman"/>
          <w:sz w:val="24"/>
          <w:szCs w:val="24"/>
          <w:lang w:eastAsia="zh-CN"/>
        </w:rPr>
        <w:t xml:space="preserve">Anti-terrorism, Crime and </w:t>
      </w:r>
      <w:r w:rsidR="003737DA">
        <w:rPr>
          <w:rFonts w:ascii="Times New Roman" w:eastAsia="SimSun" w:hAnsi="Times New Roman" w:cs="Times New Roman"/>
          <w:sz w:val="24"/>
          <w:szCs w:val="24"/>
          <w:lang w:eastAsia="zh-CN"/>
        </w:rPr>
        <w:t>Security Act 2001</w:t>
      </w:r>
      <w:r w:rsidR="00CE3A49">
        <w:rPr>
          <w:rFonts w:ascii="Times New Roman" w:eastAsia="SimSun" w:hAnsi="Times New Roman" w:cs="Times New Roman"/>
          <w:sz w:val="24"/>
          <w:szCs w:val="24"/>
          <w:lang w:eastAsia="zh-CN"/>
        </w:rPr>
        <w:t xml:space="preserve"> following the terrorist attacks in September 2001</w:t>
      </w:r>
      <w:r w:rsidRPr="00C97E04">
        <w:rPr>
          <w:rFonts w:ascii="Times New Roman" w:eastAsia="SimSun" w:hAnsi="Times New Roman" w:cs="Times New Roman"/>
          <w:sz w:val="24"/>
          <w:szCs w:val="24"/>
          <w:lang w:eastAsia="zh-CN"/>
        </w:rPr>
        <w:t xml:space="preserve">.  These </w:t>
      </w:r>
      <w:r w:rsidR="003737DA">
        <w:rPr>
          <w:rFonts w:ascii="Times New Roman" w:eastAsia="SimSun" w:hAnsi="Times New Roman" w:cs="Times New Roman"/>
          <w:sz w:val="24"/>
          <w:szCs w:val="24"/>
          <w:lang w:eastAsia="zh-CN"/>
        </w:rPr>
        <w:t xml:space="preserve">two </w:t>
      </w:r>
      <w:r w:rsidRPr="00C97E04">
        <w:rPr>
          <w:rFonts w:ascii="Times New Roman" w:eastAsia="SimSun" w:hAnsi="Times New Roman" w:cs="Times New Roman"/>
          <w:sz w:val="24"/>
          <w:szCs w:val="24"/>
          <w:lang w:eastAsia="zh-CN"/>
        </w:rPr>
        <w:t>legislative measures expanded the criminal</w:t>
      </w:r>
      <w:r w:rsidR="00CE3A49">
        <w:rPr>
          <w:rFonts w:ascii="Times New Roman" w:eastAsia="SimSun" w:hAnsi="Times New Roman" w:cs="Times New Roman"/>
          <w:sz w:val="24"/>
          <w:szCs w:val="24"/>
          <w:lang w:eastAsia="zh-CN"/>
        </w:rPr>
        <w:t xml:space="preserve">isation of </w:t>
      </w:r>
      <w:r w:rsidRPr="00C97E04">
        <w:rPr>
          <w:rFonts w:ascii="Times New Roman" w:eastAsia="SimSun" w:hAnsi="Times New Roman" w:cs="Times New Roman"/>
          <w:sz w:val="24"/>
          <w:szCs w:val="24"/>
          <w:lang w:eastAsia="zh-CN"/>
        </w:rPr>
        <w:t>terroris</w:t>
      </w:r>
      <w:r w:rsidR="00CE3A49">
        <w:rPr>
          <w:rFonts w:ascii="Times New Roman" w:eastAsia="SimSun" w:hAnsi="Times New Roman" w:cs="Times New Roman"/>
          <w:sz w:val="24"/>
          <w:szCs w:val="24"/>
          <w:lang w:eastAsia="zh-CN"/>
        </w:rPr>
        <w:t>t financing</w:t>
      </w:r>
      <w:r w:rsidRPr="00C97E04">
        <w:rPr>
          <w:rFonts w:ascii="Times New Roman" w:eastAsia="SimSun" w:hAnsi="Times New Roman" w:cs="Times New Roman"/>
          <w:sz w:val="24"/>
          <w:szCs w:val="24"/>
          <w:lang w:eastAsia="zh-CN"/>
        </w:rPr>
        <w:t xml:space="preserve">, required reporting entities to submit </w:t>
      </w:r>
      <w:r w:rsidR="00CE3A49">
        <w:rPr>
          <w:rFonts w:ascii="Times New Roman" w:eastAsia="SimSun" w:hAnsi="Times New Roman" w:cs="Times New Roman"/>
          <w:sz w:val="24"/>
          <w:szCs w:val="24"/>
          <w:lang w:eastAsia="zh-CN"/>
        </w:rPr>
        <w:t>SARs,</w:t>
      </w:r>
      <w:r w:rsidRPr="00C97E04">
        <w:rPr>
          <w:rFonts w:ascii="Times New Roman" w:eastAsia="SimSun" w:hAnsi="Times New Roman" w:cs="Times New Roman"/>
          <w:sz w:val="24"/>
          <w:szCs w:val="24"/>
          <w:lang w:eastAsia="zh-CN"/>
        </w:rPr>
        <w:t xml:space="preserve"> </w:t>
      </w:r>
      <w:r w:rsidR="003737DA">
        <w:rPr>
          <w:rFonts w:ascii="Times New Roman" w:eastAsia="SimSun" w:hAnsi="Times New Roman" w:cs="Times New Roman"/>
          <w:sz w:val="24"/>
          <w:szCs w:val="24"/>
          <w:lang w:eastAsia="zh-CN"/>
        </w:rPr>
        <w:t xml:space="preserve">permitted the freezing of terrorist assets and complied with the UN sanctions regime.  </w:t>
      </w:r>
      <w:r w:rsidRPr="00C97E04">
        <w:rPr>
          <w:rFonts w:ascii="Times New Roman" w:eastAsia="SimSun" w:hAnsi="Times New Roman" w:cs="Times New Roman"/>
          <w:sz w:val="24"/>
          <w:szCs w:val="24"/>
          <w:lang w:eastAsia="zh-CN"/>
        </w:rPr>
        <w:t xml:space="preserve">However, this chapter has presented evidence that questions the effectiveness of the implementation of the ‘Financial War on Terrorism’ in the UK.  </w:t>
      </w:r>
      <w:r w:rsidR="00B45BD8">
        <w:rPr>
          <w:rFonts w:ascii="Times New Roman" w:eastAsia="SimSun" w:hAnsi="Times New Roman" w:cs="Times New Roman"/>
          <w:sz w:val="24"/>
          <w:szCs w:val="24"/>
          <w:lang w:eastAsia="zh-CN"/>
        </w:rPr>
        <w:t>For example, since the introduction of the Terrorism Act 2000 and the extension of the criminalisation of terrorist financing there has not been a steady increase in the number of prosecutions or convictions.  Furthermore, t</w:t>
      </w:r>
      <w:r w:rsidRPr="00C97E04">
        <w:rPr>
          <w:rFonts w:ascii="Times New Roman" w:eastAsia="SimSun" w:hAnsi="Times New Roman" w:cs="Times New Roman"/>
          <w:sz w:val="24"/>
          <w:szCs w:val="24"/>
          <w:lang w:eastAsia="zh-CN"/>
        </w:rPr>
        <w:t xml:space="preserve">he ability of HM Treasury to freeze the assets of terrorists was dealt a </w:t>
      </w:r>
      <w:r w:rsidR="00EC427B">
        <w:rPr>
          <w:rFonts w:ascii="Times New Roman" w:eastAsia="SimSun" w:hAnsi="Times New Roman" w:cs="Times New Roman"/>
          <w:sz w:val="24"/>
          <w:szCs w:val="24"/>
          <w:lang w:eastAsia="zh-CN"/>
        </w:rPr>
        <w:t xml:space="preserve">significant </w:t>
      </w:r>
      <w:r w:rsidRPr="00C97E04">
        <w:rPr>
          <w:rFonts w:ascii="Times New Roman" w:eastAsia="SimSun" w:hAnsi="Times New Roman" w:cs="Times New Roman"/>
          <w:sz w:val="24"/>
          <w:szCs w:val="24"/>
          <w:lang w:eastAsia="zh-CN"/>
        </w:rPr>
        <w:t xml:space="preserve">blow following the decision of the Supreme Court in </w:t>
      </w:r>
      <w:r w:rsidRPr="00C97E04">
        <w:rPr>
          <w:rFonts w:ascii="Times New Roman" w:eastAsia="SimSun" w:hAnsi="Times New Roman" w:cs="Times New Roman"/>
          <w:i/>
          <w:sz w:val="24"/>
          <w:szCs w:val="24"/>
          <w:lang w:eastAsia="zh-CN"/>
        </w:rPr>
        <w:t>A</w:t>
      </w:r>
      <w:r w:rsidR="00B45BD8">
        <w:rPr>
          <w:rFonts w:ascii="Times New Roman" w:eastAsia="SimSun" w:hAnsi="Times New Roman" w:cs="Times New Roman"/>
          <w:i/>
          <w:sz w:val="24"/>
          <w:szCs w:val="24"/>
          <w:lang w:eastAsia="zh-CN"/>
        </w:rPr>
        <w:t xml:space="preserve"> v HM Treasury</w:t>
      </w:r>
      <w:r w:rsidRPr="00C97E04">
        <w:rPr>
          <w:rFonts w:ascii="Times New Roman" w:eastAsia="SimSun" w:hAnsi="Times New Roman" w:cs="Times New Roman"/>
          <w:sz w:val="24"/>
          <w:szCs w:val="24"/>
          <w:lang w:eastAsia="zh-CN"/>
        </w:rPr>
        <w:t xml:space="preserve">.  </w:t>
      </w:r>
      <w:r w:rsidRPr="00C97E04">
        <w:rPr>
          <w:rFonts w:ascii="Times New Roman" w:eastAsia="SimSun" w:hAnsi="Times New Roman" w:cs="Times New Roman"/>
          <w:sz w:val="24"/>
          <w:szCs w:val="24"/>
          <w:lang w:eastAsia="zh-CN"/>
        </w:rPr>
        <w:lastRenderedPageBreak/>
        <w:t xml:space="preserve">Furthermore, it is also noted that the amount of </w:t>
      </w:r>
      <w:r w:rsidR="00EC427B">
        <w:rPr>
          <w:rFonts w:ascii="Times New Roman" w:eastAsia="SimSun" w:hAnsi="Times New Roman" w:cs="Times New Roman"/>
          <w:sz w:val="24"/>
          <w:szCs w:val="24"/>
          <w:lang w:eastAsia="zh-CN"/>
        </w:rPr>
        <w:t xml:space="preserve">suspected terrorist </w:t>
      </w:r>
      <w:r w:rsidRPr="00C97E04">
        <w:rPr>
          <w:rFonts w:ascii="Times New Roman" w:eastAsia="SimSun" w:hAnsi="Times New Roman" w:cs="Times New Roman"/>
          <w:sz w:val="24"/>
          <w:szCs w:val="24"/>
          <w:lang w:eastAsia="zh-CN"/>
        </w:rPr>
        <w:t xml:space="preserve">money that has been frozen since 9/11 </w:t>
      </w:r>
      <w:r w:rsidR="00EC427B">
        <w:rPr>
          <w:rFonts w:ascii="Times New Roman" w:eastAsia="SimSun" w:hAnsi="Times New Roman" w:cs="Times New Roman"/>
          <w:sz w:val="24"/>
          <w:szCs w:val="24"/>
          <w:lang w:eastAsia="zh-CN"/>
        </w:rPr>
        <w:t>has significantly reduced</w:t>
      </w:r>
      <w:r w:rsidR="00B45BD8">
        <w:rPr>
          <w:rFonts w:ascii="Times New Roman" w:eastAsia="SimSun" w:hAnsi="Times New Roman" w:cs="Times New Roman"/>
          <w:sz w:val="24"/>
          <w:szCs w:val="24"/>
          <w:lang w:eastAsia="zh-CN"/>
        </w:rPr>
        <w:t xml:space="preserve"> since the initial inroads announced by the Labour government in 2000.  </w:t>
      </w:r>
      <w:r w:rsidRPr="00C97E04">
        <w:rPr>
          <w:rFonts w:ascii="Times New Roman" w:eastAsia="SimSun" w:hAnsi="Times New Roman" w:cs="Times New Roman"/>
          <w:sz w:val="24"/>
          <w:szCs w:val="24"/>
          <w:lang w:eastAsia="zh-CN"/>
        </w:rPr>
        <w:t xml:space="preserve">The effectiveness of the UKs stance toward the financing of terrorism has also been limited by political infighting within the Coalition </w:t>
      </w:r>
      <w:r w:rsidR="00B45BD8">
        <w:rPr>
          <w:rFonts w:ascii="Times New Roman" w:eastAsia="SimSun" w:hAnsi="Times New Roman" w:cs="Times New Roman"/>
          <w:sz w:val="24"/>
          <w:szCs w:val="24"/>
          <w:lang w:eastAsia="zh-CN"/>
        </w:rPr>
        <w:t xml:space="preserve">and current Conservative </w:t>
      </w:r>
      <w:r w:rsidRPr="00C97E04">
        <w:rPr>
          <w:rFonts w:ascii="Times New Roman" w:eastAsia="SimSun" w:hAnsi="Times New Roman" w:cs="Times New Roman"/>
          <w:sz w:val="24"/>
          <w:szCs w:val="24"/>
          <w:lang w:eastAsia="zh-CN"/>
        </w:rPr>
        <w:t>government over the creation of a single Economic Crime Agency.</w:t>
      </w:r>
      <w:r w:rsidR="00B45BD8">
        <w:rPr>
          <w:rStyle w:val="FootnoteReference"/>
          <w:rFonts w:ascii="Times New Roman" w:eastAsia="SimSun" w:hAnsi="Times New Roman" w:cs="Times New Roman"/>
          <w:sz w:val="24"/>
          <w:szCs w:val="24"/>
          <w:lang w:eastAsia="zh-CN"/>
        </w:rPr>
        <w:footnoteReference w:id="203"/>
      </w:r>
      <w:r w:rsidRPr="00C97E04">
        <w:rPr>
          <w:rFonts w:ascii="Times New Roman" w:eastAsia="SimSun" w:hAnsi="Times New Roman" w:cs="Times New Roman"/>
          <w:sz w:val="24"/>
          <w:szCs w:val="24"/>
          <w:lang w:eastAsia="zh-CN"/>
        </w:rPr>
        <w:t xml:space="preserve">  This was proposed by Fisher </w:t>
      </w:r>
      <w:r w:rsidR="00B45BD8">
        <w:rPr>
          <w:rFonts w:ascii="Times New Roman" w:eastAsia="SimSun" w:hAnsi="Times New Roman" w:cs="Times New Roman"/>
          <w:sz w:val="24"/>
          <w:szCs w:val="24"/>
          <w:lang w:eastAsia="zh-CN"/>
        </w:rPr>
        <w:t>an</w:t>
      </w:r>
      <w:r w:rsidRPr="00C97E04">
        <w:rPr>
          <w:rFonts w:ascii="Times New Roman" w:eastAsia="SimSun" w:hAnsi="Times New Roman" w:cs="Times New Roman"/>
          <w:sz w:val="24"/>
          <w:szCs w:val="24"/>
          <w:lang w:eastAsia="zh-CN"/>
        </w:rPr>
        <w:t>d was subsequently adopted by the Coalition government as part of their Coalition agreement.</w:t>
      </w:r>
      <w:r w:rsidRPr="00C97E04">
        <w:rPr>
          <w:rFonts w:ascii="Times New Roman" w:eastAsia="SimSun" w:hAnsi="Times New Roman" w:cs="Times New Roman"/>
          <w:sz w:val="24"/>
          <w:szCs w:val="24"/>
          <w:vertAlign w:val="superscript"/>
          <w:lang w:eastAsia="zh-CN"/>
        </w:rPr>
        <w:footnoteReference w:id="204"/>
      </w:r>
      <w:r w:rsidRPr="00C97E04">
        <w:rPr>
          <w:rFonts w:ascii="Times New Roman" w:eastAsia="SimSun" w:hAnsi="Times New Roman" w:cs="Times New Roman"/>
          <w:sz w:val="24"/>
          <w:szCs w:val="24"/>
          <w:lang w:eastAsia="zh-CN"/>
        </w:rPr>
        <w:t xml:space="preserve">  However, the idea was rejected by the Home Secretary, Teresa May MP, who opted to prioritise the creation of the NCA following the enactment of the Courts and Crime Act 2013.  The role of the NCA is divided into four ‘Commands’, one of which tackles ‘Economic Crime’.  This disjointed approach towards establishing a single ECA that exclusively deals with all aspects of financial crime has adversely affected the ability of the UK to tackle the financing of terrorism.  For example, the </w:t>
      </w:r>
      <w:r w:rsidRPr="00C97E04">
        <w:rPr>
          <w:rFonts w:ascii="Times New Roman" w:hAnsi="Times New Roman" w:cs="Times New Roman"/>
          <w:sz w:val="24"/>
          <w:szCs w:val="24"/>
        </w:rPr>
        <w:t xml:space="preserve">Home Affairs Select Committee stated that the effectiveness of the UK’s CTF strategy is also adversely affected by </w:t>
      </w:r>
      <w:r w:rsidR="005C068C">
        <w:rPr>
          <w:rFonts w:ascii="Times New Roman" w:hAnsi="Times New Roman" w:cs="Times New Roman"/>
          <w:sz w:val="24"/>
          <w:szCs w:val="24"/>
        </w:rPr>
        <w:t>‘</w:t>
      </w:r>
      <w:r w:rsidRPr="00C97E04">
        <w:rPr>
          <w:rFonts w:ascii="Times New Roman" w:hAnsi="Times New Roman" w:cs="Times New Roman"/>
          <w:sz w:val="24"/>
          <w:szCs w:val="24"/>
        </w:rPr>
        <w:t>the fact that in the UK, the responsibility for countering terrorism finance is spread across a number of departmental departments and agencies with no department in charge of overseeing the policy</w:t>
      </w:r>
      <w:r w:rsidR="005C068C">
        <w:rPr>
          <w:rFonts w:ascii="Times New Roman" w:hAnsi="Times New Roman" w:cs="Times New Roman"/>
          <w:sz w:val="24"/>
          <w:szCs w:val="24"/>
        </w:rPr>
        <w:t>’</w:t>
      </w:r>
      <w:r w:rsidRPr="00C97E04">
        <w:rPr>
          <w:rFonts w:ascii="Times New Roman" w:hAnsi="Times New Roman" w:cs="Times New Roman"/>
          <w:sz w:val="24"/>
          <w:szCs w:val="24"/>
        </w:rPr>
        <w:t>.</w:t>
      </w:r>
      <w:r w:rsidRPr="00C97E04">
        <w:rPr>
          <w:rFonts w:ascii="Times New Roman" w:hAnsi="Times New Roman" w:cs="Times New Roman"/>
          <w:sz w:val="24"/>
          <w:szCs w:val="24"/>
          <w:vertAlign w:val="superscript"/>
        </w:rPr>
        <w:footnoteReference w:id="205"/>
      </w:r>
      <w:r w:rsidRPr="00C97E04">
        <w:rPr>
          <w:rFonts w:ascii="Times New Roman" w:hAnsi="Times New Roman" w:cs="Times New Roman"/>
          <w:sz w:val="24"/>
          <w:szCs w:val="24"/>
        </w:rPr>
        <w:t xml:space="preserve">  This was supported by Anderson who noted </w:t>
      </w:r>
      <w:r w:rsidR="005C068C">
        <w:rPr>
          <w:rFonts w:ascii="Times New Roman" w:hAnsi="Times New Roman" w:cs="Times New Roman"/>
          <w:sz w:val="24"/>
          <w:szCs w:val="24"/>
        </w:rPr>
        <w:t>‘</w:t>
      </w:r>
      <w:r w:rsidRPr="00C97E04">
        <w:rPr>
          <w:rFonts w:ascii="Times New Roman" w:hAnsi="Times New Roman" w:cs="Times New Roman"/>
          <w:sz w:val="24"/>
          <w:szCs w:val="24"/>
        </w:rPr>
        <w:t>the fact that asset-freezing is administered by a different department from other counter-terrorism powers means however that extra effort may be required if asset-freezing is always to be considered as an alternative to or in conjunction with other possible disposals for those believed to be engaged in terrorism</w:t>
      </w:r>
      <w:r w:rsidR="005C068C">
        <w:rPr>
          <w:rFonts w:ascii="Times New Roman" w:hAnsi="Times New Roman" w:cs="Times New Roman"/>
          <w:sz w:val="24"/>
          <w:szCs w:val="24"/>
        </w:rPr>
        <w:t>’</w:t>
      </w:r>
      <w:r w:rsidRPr="00C97E04">
        <w:rPr>
          <w:rFonts w:ascii="Times New Roman" w:hAnsi="Times New Roman" w:cs="Times New Roman"/>
          <w:sz w:val="24"/>
          <w:szCs w:val="24"/>
        </w:rPr>
        <w:t>.</w:t>
      </w:r>
      <w:r w:rsidRPr="00C97E04">
        <w:rPr>
          <w:rFonts w:ascii="Times New Roman" w:hAnsi="Times New Roman" w:cs="Times New Roman"/>
          <w:sz w:val="24"/>
          <w:szCs w:val="24"/>
          <w:vertAlign w:val="superscript"/>
        </w:rPr>
        <w:footnoteReference w:id="206"/>
      </w:r>
      <w:r w:rsidRPr="00C97E04">
        <w:rPr>
          <w:rFonts w:ascii="Times New Roman" w:hAnsi="Times New Roman" w:cs="Times New Roman"/>
          <w:sz w:val="24"/>
          <w:szCs w:val="24"/>
        </w:rPr>
        <w:t xml:space="preserve">  </w:t>
      </w:r>
      <w:r w:rsidR="002916C2">
        <w:rPr>
          <w:rFonts w:ascii="Times New Roman" w:hAnsi="Times New Roman" w:cs="Times New Roman"/>
          <w:sz w:val="24"/>
          <w:szCs w:val="24"/>
        </w:rPr>
        <w:t>However, the largest threat to the effectiveness of the UK CTF</w:t>
      </w:r>
      <w:r w:rsidR="006D3C72">
        <w:rPr>
          <w:rFonts w:ascii="Times New Roman" w:hAnsi="Times New Roman" w:cs="Times New Roman"/>
          <w:sz w:val="24"/>
          <w:szCs w:val="24"/>
        </w:rPr>
        <w:t xml:space="preserve">s strategies and the ‘Financial War on Terrorism’ is the threat posed by </w:t>
      </w:r>
      <w:r w:rsidR="006D3C72" w:rsidRPr="002916C2">
        <w:rPr>
          <w:rFonts w:ascii="Times New Roman" w:hAnsi="Times New Roman" w:cs="Times New Roman"/>
          <w:color w:val="000000"/>
          <w:sz w:val="24"/>
          <w:szCs w:val="24"/>
        </w:rPr>
        <w:t>Islamic Sta</w:t>
      </w:r>
      <w:r w:rsidR="006D3C72">
        <w:rPr>
          <w:rFonts w:ascii="Times New Roman" w:hAnsi="Times New Roman" w:cs="Times New Roman"/>
          <w:color w:val="000000"/>
          <w:sz w:val="24"/>
          <w:szCs w:val="24"/>
        </w:rPr>
        <w:t>te of Iraq and the Levant.</w:t>
      </w:r>
      <w:r w:rsidR="006D3C72">
        <w:rPr>
          <w:rStyle w:val="FootnoteReference"/>
          <w:rFonts w:ascii="Times New Roman" w:hAnsi="Times New Roman" w:cs="Times New Roman"/>
          <w:color w:val="000000"/>
          <w:sz w:val="24"/>
          <w:szCs w:val="24"/>
        </w:rPr>
        <w:footnoteReference w:id="207"/>
      </w:r>
      <w:r w:rsidR="006D3C72">
        <w:rPr>
          <w:rFonts w:ascii="Times New Roman" w:hAnsi="Times New Roman" w:cs="Times New Roman"/>
          <w:color w:val="000000"/>
          <w:sz w:val="24"/>
          <w:szCs w:val="24"/>
        </w:rPr>
        <w:t xml:space="preserve">  </w:t>
      </w:r>
      <w:r w:rsidR="006D3C72" w:rsidRPr="006D3C72">
        <w:rPr>
          <w:rFonts w:ascii="Times New Roman" w:hAnsi="Times New Roman" w:cs="Times New Roman"/>
          <w:sz w:val="24"/>
          <w:szCs w:val="24"/>
        </w:rPr>
        <w:t xml:space="preserve">ISIL </w:t>
      </w:r>
      <w:r w:rsidR="006D3C72">
        <w:rPr>
          <w:rFonts w:ascii="Times New Roman" w:hAnsi="Times New Roman" w:cs="Times New Roman"/>
          <w:sz w:val="24"/>
          <w:szCs w:val="24"/>
        </w:rPr>
        <w:t xml:space="preserve">has evolved into a </w:t>
      </w:r>
      <w:r w:rsidR="006D3C72" w:rsidRPr="006D3C72">
        <w:rPr>
          <w:rFonts w:ascii="Times New Roman" w:hAnsi="Times New Roman" w:cs="Times New Roman"/>
          <w:sz w:val="24"/>
          <w:szCs w:val="24"/>
        </w:rPr>
        <w:t xml:space="preserve">self-sufficient non-state terrorist organisation that has thrived on the political uncertainty and insecurity in Iraq and Syria.  The impact of the </w:t>
      </w:r>
      <w:r w:rsidR="006D3C72">
        <w:rPr>
          <w:rFonts w:ascii="Times New Roman" w:hAnsi="Times New Roman" w:cs="Times New Roman"/>
          <w:sz w:val="24"/>
          <w:szCs w:val="24"/>
        </w:rPr>
        <w:t xml:space="preserve">UKs </w:t>
      </w:r>
      <w:r w:rsidR="006D3C72">
        <w:rPr>
          <w:rFonts w:ascii="Times New Roman" w:hAnsi="Times New Roman" w:cs="Times New Roman"/>
          <w:sz w:val="24"/>
          <w:szCs w:val="24"/>
        </w:rPr>
        <w:lastRenderedPageBreak/>
        <w:t xml:space="preserve">CTF </w:t>
      </w:r>
      <w:r w:rsidR="006D3C72" w:rsidRPr="006D3C72">
        <w:rPr>
          <w:rFonts w:ascii="Times New Roman" w:hAnsi="Times New Roman" w:cs="Times New Roman"/>
          <w:sz w:val="24"/>
          <w:szCs w:val="24"/>
        </w:rPr>
        <w:t xml:space="preserve">measures and the </w:t>
      </w:r>
      <w:r w:rsidR="006D3C72" w:rsidRPr="006D3C72">
        <w:rPr>
          <w:rFonts w:ascii="Times New Roman" w:eastAsia="Times New Roman" w:hAnsi="Times New Roman" w:cs="Times New Roman"/>
          <w:sz w:val="24"/>
          <w:szCs w:val="24"/>
          <w:lang w:eastAsia="en-GB"/>
        </w:rPr>
        <w:t xml:space="preserve">‘Financial War on Terrorism’ on the funding activities of ISIL will be limited.  </w:t>
      </w:r>
    </w:p>
    <w:p w:rsidR="006D3C72" w:rsidRPr="00EC427B" w:rsidRDefault="006D3C72" w:rsidP="00EC427B">
      <w:pPr>
        <w:autoSpaceDE w:val="0"/>
        <w:autoSpaceDN w:val="0"/>
        <w:adjustRightInd w:val="0"/>
        <w:spacing w:after="0" w:line="480" w:lineRule="auto"/>
        <w:jc w:val="both"/>
        <w:rPr>
          <w:rFonts w:ascii="Times New Roman" w:hAnsi="Times New Roman" w:cs="Times New Roman"/>
          <w:sz w:val="24"/>
          <w:szCs w:val="24"/>
        </w:rPr>
      </w:pPr>
    </w:p>
    <w:sectPr w:rsidR="006D3C72" w:rsidRPr="00EC427B" w:rsidSect="006F343A">
      <w:footerReference w:type="default" r:id="rId10"/>
      <w:endnotePr>
        <w:numFmt w:val="decimal"/>
      </w:endnotePr>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79A" w:rsidRDefault="00DE779A" w:rsidP="00C97E04">
      <w:pPr>
        <w:spacing w:after="0" w:line="240" w:lineRule="auto"/>
      </w:pPr>
      <w:r>
        <w:separator/>
      </w:r>
    </w:p>
  </w:endnote>
  <w:endnote w:type="continuationSeparator" w:id="0">
    <w:p w:rsidR="00DE779A" w:rsidRDefault="00DE779A" w:rsidP="00C9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
    <w:altName w:val="Minion"/>
    <w:panose1 w:val="00000000000000000000"/>
    <w:charset w:val="00"/>
    <w:family w:val="roman"/>
    <w:notTrueType/>
    <w:pitch w:val="default"/>
    <w:sig w:usb0="00000003" w:usb1="00000000" w:usb2="00000000" w:usb3="00000000" w:csb0="00000001" w:csb1="00000000"/>
  </w:font>
  <w:font w:name="ABCDE E+ Humnst 777 Lt BT">
    <w:altName w:val="Humnst 77 7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T151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898626"/>
      <w:docPartObj>
        <w:docPartGallery w:val="Page Numbers (Bottom of Page)"/>
        <w:docPartUnique/>
      </w:docPartObj>
    </w:sdtPr>
    <w:sdtEndPr>
      <w:rPr>
        <w:color w:val="808080" w:themeColor="background1" w:themeShade="80"/>
        <w:spacing w:val="60"/>
      </w:rPr>
    </w:sdtEndPr>
    <w:sdtContent>
      <w:p w:rsidR="00DE779A" w:rsidRDefault="00DE779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06767" w:rsidRPr="00F06767">
          <w:rPr>
            <w:b/>
            <w:bCs/>
            <w:noProof/>
          </w:rPr>
          <w:t>3</w:t>
        </w:r>
        <w:r>
          <w:rPr>
            <w:b/>
            <w:bCs/>
            <w:noProof/>
          </w:rPr>
          <w:fldChar w:fldCharType="end"/>
        </w:r>
        <w:r>
          <w:rPr>
            <w:b/>
            <w:bCs/>
          </w:rPr>
          <w:t xml:space="preserve"> | </w:t>
        </w:r>
        <w:r>
          <w:rPr>
            <w:color w:val="808080" w:themeColor="background1" w:themeShade="80"/>
            <w:spacing w:val="60"/>
          </w:rPr>
          <w:t>Page</w:t>
        </w:r>
      </w:p>
    </w:sdtContent>
  </w:sdt>
  <w:p w:rsidR="00DE779A" w:rsidRDefault="00DE7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79A" w:rsidRDefault="00DE779A" w:rsidP="00C97E04">
      <w:pPr>
        <w:spacing w:after="0" w:line="240" w:lineRule="auto"/>
      </w:pPr>
      <w:r>
        <w:separator/>
      </w:r>
    </w:p>
  </w:footnote>
  <w:footnote w:type="continuationSeparator" w:id="0">
    <w:p w:rsidR="00DE779A" w:rsidRDefault="00DE779A" w:rsidP="00C97E04">
      <w:pPr>
        <w:spacing w:after="0" w:line="240" w:lineRule="auto"/>
      </w:pPr>
      <w:r>
        <w:continuationSeparator/>
      </w:r>
    </w:p>
  </w:footnote>
  <w:footnote w:id="1">
    <w:p w:rsidR="00DE779A" w:rsidRPr="002916C2" w:rsidRDefault="00DE779A" w:rsidP="002916C2">
      <w:pPr>
        <w:pStyle w:val="FootnoteText"/>
        <w:jc w:val="both"/>
        <w:rPr>
          <w:color w:val="000000"/>
        </w:rPr>
      </w:pPr>
      <w:r w:rsidRPr="002916C2">
        <w:rPr>
          <w:rStyle w:val="FootnoteReference"/>
        </w:rPr>
        <w:footnoteRef/>
      </w:r>
      <w:r w:rsidRPr="002916C2">
        <w:t xml:space="preserve"> </w:t>
      </w:r>
      <w:proofErr w:type="gramStart"/>
      <w:r w:rsidRPr="002916C2">
        <w:t>HM Government</w:t>
      </w:r>
      <w:r>
        <w:t>,</w:t>
      </w:r>
      <w:r w:rsidRPr="002916C2">
        <w:t xml:space="preserve"> </w:t>
      </w:r>
      <w:r w:rsidRPr="002916C2">
        <w:rPr>
          <w:bCs/>
          <w:i/>
          <w:color w:val="000000"/>
        </w:rPr>
        <w:t>UK national risk assessment of money laundering and terrorist financing</w:t>
      </w:r>
      <w:r w:rsidRPr="002916C2">
        <w:rPr>
          <w:bCs/>
          <w:color w:val="000000"/>
        </w:rPr>
        <w:t xml:space="preserve"> (2015) at 89.</w:t>
      </w:r>
      <w:proofErr w:type="gramEnd"/>
    </w:p>
  </w:footnote>
  <w:footnote w:id="2">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Hereinafter ‘CTF’.</w:t>
      </w:r>
      <w:proofErr w:type="gramEnd"/>
    </w:p>
  </w:footnote>
  <w:footnote w:id="3">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Hereinafter ‘UK’.</w:t>
      </w:r>
      <w:proofErr w:type="gramEnd"/>
    </w:p>
  </w:footnote>
  <w:footnote w:id="4">
    <w:p w:rsidR="00DE779A" w:rsidRPr="00DC144B" w:rsidRDefault="00DE779A" w:rsidP="007825C0">
      <w:pPr>
        <w:pStyle w:val="FootnoteText"/>
        <w:jc w:val="both"/>
      </w:pPr>
      <w:r w:rsidRPr="00DC144B">
        <w:rPr>
          <w:rStyle w:val="FootnoteReference"/>
        </w:rPr>
        <w:footnoteRef/>
      </w:r>
      <w:r w:rsidRPr="00DC144B">
        <w:t xml:space="preserve"> </w:t>
      </w:r>
      <w:proofErr w:type="gramStart"/>
      <w:r w:rsidRPr="00DC144B">
        <w:t>Hereinafter ‘9/11’.</w:t>
      </w:r>
      <w:bookmarkStart w:id="0" w:name="_GoBack"/>
      <w:bookmarkEnd w:id="0"/>
      <w:proofErr w:type="gramEnd"/>
    </w:p>
  </w:footnote>
  <w:footnote w:id="5">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Hereinafter ‘International Convention’.</w:t>
      </w:r>
      <w:proofErr w:type="gramEnd"/>
    </w:p>
  </w:footnote>
  <w:footnote w:id="6">
    <w:p w:rsidR="00DE779A" w:rsidRPr="00DC144B" w:rsidRDefault="00DE779A" w:rsidP="007825C0">
      <w:pPr>
        <w:pStyle w:val="FootnoteText"/>
      </w:pPr>
      <w:r w:rsidRPr="00DC144B">
        <w:rPr>
          <w:rStyle w:val="FootnoteReference"/>
        </w:rPr>
        <w:footnoteRef/>
      </w:r>
      <w:r w:rsidRPr="00DC144B">
        <w:t xml:space="preserve"> </w:t>
      </w:r>
      <w:proofErr w:type="gramStart"/>
      <w:r w:rsidRPr="00DC144B">
        <w:t>Hereinafter ‘UN’.</w:t>
      </w:r>
      <w:proofErr w:type="gramEnd"/>
    </w:p>
  </w:footnote>
  <w:footnote w:id="7">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Hereinafter ‘NCA’.</w:t>
      </w:r>
      <w:proofErr w:type="gramEnd"/>
    </w:p>
  </w:footnote>
  <w:footnote w:id="8">
    <w:p w:rsidR="00DE779A" w:rsidRPr="00F125C1" w:rsidRDefault="00DE779A" w:rsidP="007825C0">
      <w:pPr>
        <w:pStyle w:val="FootnoteText"/>
        <w:jc w:val="both"/>
        <w:rPr>
          <w:highlight w:val="yellow"/>
        </w:rPr>
      </w:pPr>
      <w:r w:rsidRPr="003C606A">
        <w:rPr>
          <w:rStyle w:val="FootnoteReference"/>
        </w:rPr>
        <w:footnoteRef/>
      </w:r>
      <w:r w:rsidRPr="003C606A">
        <w:t xml:space="preserve"> United Nations Convention against Illicit Traffic in Narcotic Drugs and Psychotropic Substances (1988), articles 3 to 7.  </w:t>
      </w:r>
      <w:proofErr w:type="gramStart"/>
      <w:r w:rsidRPr="003C606A">
        <w:t>Hereinafter ‘Vienna Convention’.</w:t>
      </w:r>
      <w:proofErr w:type="gramEnd"/>
    </w:p>
  </w:footnote>
  <w:footnote w:id="9">
    <w:p w:rsidR="00DE779A" w:rsidRPr="00F125C1" w:rsidRDefault="00DE779A" w:rsidP="007825C0">
      <w:pPr>
        <w:pStyle w:val="FootnoteText"/>
        <w:jc w:val="both"/>
        <w:rPr>
          <w:highlight w:val="yellow"/>
        </w:rPr>
      </w:pPr>
      <w:r w:rsidRPr="003C606A">
        <w:rPr>
          <w:rStyle w:val="FootnoteReference"/>
        </w:rPr>
        <w:footnoteRef/>
      </w:r>
      <w:r w:rsidRPr="003C606A">
        <w:t xml:space="preserve"> United Nations Convention </w:t>
      </w:r>
      <w:bookmarkStart w:id="2" w:name="BestSection"/>
      <w:bookmarkStart w:id="3" w:name="SR;5736"/>
      <w:bookmarkStart w:id="4" w:name="SearchTerm"/>
      <w:bookmarkEnd w:id="2"/>
      <w:bookmarkEnd w:id="3"/>
      <w:r w:rsidRPr="003C606A">
        <w:t xml:space="preserve">against Transnational </w:t>
      </w:r>
      <w:bookmarkStart w:id="5" w:name="SR;5738"/>
      <w:bookmarkEnd w:id="5"/>
      <w:r w:rsidRPr="003C606A">
        <w:t xml:space="preserve">Organized </w:t>
      </w:r>
      <w:bookmarkStart w:id="6" w:name="SR;5740"/>
      <w:bookmarkEnd w:id="4"/>
      <w:bookmarkEnd w:id="6"/>
      <w:r w:rsidRPr="003C606A">
        <w:t xml:space="preserve">Crime, G.A. Res. 55/25, U.N. GAOR, 55th Sess., Supp. No. 49, Vol. </w:t>
      </w:r>
      <w:proofErr w:type="gramStart"/>
      <w:r w:rsidRPr="003C606A">
        <w:t>I, at 43, U.N. Doc.</w:t>
      </w:r>
      <w:proofErr w:type="gramEnd"/>
      <w:r w:rsidRPr="003C606A">
        <w:t xml:space="preserve"> </w:t>
      </w:r>
      <w:proofErr w:type="gramStart"/>
      <w:r w:rsidRPr="003C606A">
        <w:t>A/55/49.</w:t>
      </w:r>
      <w:proofErr w:type="gramEnd"/>
      <w:r w:rsidRPr="003C606A">
        <w:t xml:space="preserve">  </w:t>
      </w:r>
      <w:proofErr w:type="gramStart"/>
      <w:r w:rsidRPr="003C606A">
        <w:t>Hereinafter ‘Palermo Convention’.</w:t>
      </w:r>
      <w:proofErr w:type="gramEnd"/>
    </w:p>
  </w:footnote>
  <w:footnote w:id="10">
    <w:p w:rsidR="00DE779A" w:rsidRPr="00DC144B" w:rsidRDefault="00DE779A" w:rsidP="007825C0">
      <w:pPr>
        <w:pStyle w:val="FootnoteText"/>
        <w:jc w:val="both"/>
      </w:pPr>
      <w:r w:rsidRPr="003C606A">
        <w:rPr>
          <w:rStyle w:val="FootnoteReference"/>
        </w:rPr>
        <w:footnoteRef/>
      </w:r>
      <w:r w:rsidRPr="003C606A">
        <w:t xml:space="preserve"> It is important to note that the UN further extended the definition of money laundering to include corruption by virtue of the Corruption Convention General Assembly resolution 58/4 of 31 October 2003.</w:t>
      </w:r>
    </w:p>
  </w:footnote>
  <w:footnote w:id="11">
    <w:p w:rsidR="00DE779A" w:rsidRPr="00F125C1" w:rsidRDefault="00DE779A" w:rsidP="007825C0">
      <w:pPr>
        <w:pStyle w:val="FootnoteText"/>
        <w:jc w:val="both"/>
        <w:rPr>
          <w:bCs/>
          <w:lang w:val="en"/>
        </w:rPr>
      </w:pPr>
      <w:r w:rsidRPr="00DC144B">
        <w:rPr>
          <w:rStyle w:val="FootnoteReference"/>
        </w:rPr>
        <w:footnoteRef/>
      </w:r>
      <w:r>
        <w:t xml:space="preserve"> </w:t>
      </w:r>
      <w:r w:rsidRPr="00DC144B">
        <w:t>Council</w:t>
      </w:r>
      <w:r>
        <w:t xml:space="preserve"> Directive (EC) 2015/849 </w:t>
      </w:r>
      <w:r w:rsidRPr="00DC144B">
        <w:t xml:space="preserve">on the </w:t>
      </w:r>
      <w:r w:rsidRPr="00DC144B">
        <w:rPr>
          <w:rStyle w:val="Strong"/>
          <w:b w:val="0"/>
          <w:lang w:val="en"/>
        </w:rPr>
        <w:t xml:space="preserve">use of the financial system for the purposes of money laundering or </w:t>
      </w:r>
      <w:proofErr w:type="gramStart"/>
      <w:r w:rsidRPr="00DC144B">
        <w:rPr>
          <w:rStyle w:val="Strong"/>
          <w:b w:val="0"/>
          <w:lang w:val="en"/>
        </w:rPr>
        <w:t>terrorist financing</w:t>
      </w:r>
      <w:proofErr w:type="gramEnd"/>
      <w:r>
        <w:rPr>
          <w:rStyle w:val="Strong"/>
          <w:b w:val="0"/>
          <w:lang w:val="en"/>
        </w:rPr>
        <w:t xml:space="preserve"> [2015] OJ 141</w:t>
      </w:r>
      <w:r w:rsidRPr="00DC144B">
        <w:rPr>
          <w:rStyle w:val="Strong"/>
          <w:b w:val="0"/>
          <w:lang w:val="en"/>
        </w:rPr>
        <w:t>.</w:t>
      </w:r>
    </w:p>
  </w:footnote>
  <w:footnote w:id="12">
    <w:p w:rsidR="00DE779A" w:rsidRPr="00F125C1" w:rsidRDefault="00DE779A" w:rsidP="007825C0">
      <w:pPr>
        <w:pStyle w:val="FootnoteText"/>
        <w:jc w:val="both"/>
      </w:pPr>
      <w:r w:rsidRPr="00DC144B">
        <w:rPr>
          <w:rStyle w:val="FootnoteReference"/>
        </w:rPr>
        <w:footnoteRef/>
      </w:r>
      <w:r w:rsidRPr="00DC144B">
        <w:t xml:space="preserve"> </w:t>
      </w:r>
      <w:r>
        <w:t xml:space="preserve">Council Directive (EC) 91/308 </w:t>
      </w:r>
      <w:r w:rsidRPr="00DC144B">
        <w:t>on the prevention of the use of the financial system to launder money</w:t>
      </w:r>
      <w:r>
        <w:t xml:space="preserve"> [1993] O</w:t>
      </w:r>
      <w:r w:rsidRPr="00DC144B">
        <w:t>J</w:t>
      </w:r>
      <w:r>
        <w:t xml:space="preserve"> 166</w:t>
      </w:r>
      <w:r w:rsidRPr="00DC144B">
        <w:t>.</w:t>
      </w:r>
    </w:p>
  </w:footnote>
  <w:footnote w:id="13">
    <w:p w:rsidR="00DE779A" w:rsidRPr="00DC144B" w:rsidRDefault="00DE779A" w:rsidP="007825C0">
      <w:pPr>
        <w:pStyle w:val="FootnoteText"/>
        <w:jc w:val="both"/>
      </w:pPr>
      <w:r w:rsidRPr="00DC144B">
        <w:rPr>
          <w:rStyle w:val="FootnoteReference"/>
        </w:rPr>
        <w:footnoteRef/>
      </w:r>
      <w:r w:rsidRPr="00DC144B">
        <w:t xml:space="preserve"> Council</w:t>
      </w:r>
      <w:r>
        <w:t xml:space="preserve"> Directive (EC) 97/2001 </w:t>
      </w:r>
      <w:r w:rsidRPr="00DC144B">
        <w:t xml:space="preserve">on </w:t>
      </w:r>
      <w:r w:rsidRPr="00DC144B">
        <w:rPr>
          <w:rStyle w:val="Strong"/>
          <w:b w:val="0"/>
          <w:lang w:val="en"/>
        </w:rPr>
        <w:t>prevention of the use of the financial system for the purpose of money laundering</w:t>
      </w:r>
      <w:r>
        <w:rPr>
          <w:rStyle w:val="Strong"/>
          <w:b w:val="0"/>
          <w:lang w:val="en"/>
        </w:rPr>
        <w:t xml:space="preserve"> [</w:t>
      </w:r>
      <w:r w:rsidRPr="00DC144B">
        <w:rPr>
          <w:rStyle w:val="Strong"/>
          <w:b w:val="0"/>
          <w:lang w:val="en"/>
        </w:rPr>
        <w:t>2001</w:t>
      </w:r>
      <w:r>
        <w:rPr>
          <w:rStyle w:val="Strong"/>
          <w:b w:val="0"/>
          <w:lang w:val="en"/>
        </w:rPr>
        <w:t>] OJ 344</w:t>
      </w:r>
      <w:r w:rsidRPr="00DC144B">
        <w:t>.</w:t>
      </w:r>
      <w:r>
        <w:t xml:space="preserve">  </w:t>
      </w:r>
      <w:proofErr w:type="gramStart"/>
      <w:r>
        <w:t>Hereinafter ‘SARs’.</w:t>
      </w:r>
      <w:proofErr w:type="gramEnd"/>
    </w:p>
  </w:footnote>
  <w:footnote w:id="14">
    <w:p w:rsidR="00DE779A" w:rsidRPr="00DC144B" w:rsidRDefault="00DE779A" w:rsidP="007825C0">
      <w:pPr>
        <w:pStyle w:val="FootnoteText"/>
        <w:jc w:val="both"/>
      </w:pPr>
      <w:r w:rsidRPr="00DC144B">
        <w:rPr>
          <w:rStyle w:val="FootnoteReference"/>
        </w:rPr>
        <w:footnoteRef/>
      </w:r>
      <w:r w:rsidRPr="00DC144B">
        <w:t xml:space="preserve"> </w:t>
      </w:r>
      <w:proofErr w:type="gramStart"/>
      <w:r w:rsidRPr="00DC144B">
        <w:t>Hereinafter ‘FATF’.</w:t>
      </w:r>
      <w:proofErr w:type="gramEnd"/>
    </w:p>
  </w:footnote>
  <w:footnote w:id="15">
    <w:p w:rsidR="00DE779A" w:rsidRPr="00DC144B" w:rsidRDefault="00DE779A" w:rsidP="007825C0">
      <w:pPr>
        <w:pStyle w:val="FootnoteText"/>
        <w:jc w:val="both"/>
      </w:pPr>
      <w:r w:rsidRPr="00DC144B">
        <w:rPr>
          <w:rStyle w:val="FootnoteReference"/>
        </w:rPr>
        <w:footnoteRef/>
      </w:r>
      <w:r w:rsidRPr="00DC144B">
        <w:t xml:space="preserve"> </w:t>
      </w:r>
      <w:proofErr w:type="gramStart"/>
      <w:r w:rsidRPr="00DC144B">
        <w:t xml:space="preserve">Financial Action Task Force, </w:t>
      </w:r>
      <w:r w:rsidRPr="00F125C1">
        <w:rPr>
          <w:i/>
        </w:rPr>
        <w:t>Financial Action Task Force Recommendations</w:t>
      </w:r>
      <w:r w:rsidRPr="00DC144B">
        <w:t xml:space="preserve"> (2003).</w:t>
      </w:r>
      <w:proofErr w:type="gramEnd"/>
    </w:p>
  </w:footnote>
  <w:footnote w:id="16">
    <w:p w:rsidR="00DE779A" w:rsidRPr="00DC144B" w:rsidRDefault="00DE779A" w:rsidP="007825C0">
      <w:pPr>
        <w:pStyle w:val="FootnoteText"/>
        <w:jc w:val="both"/>
      </w:pPr>
      <w:r w:rsidRPr="00DC144B">
        <w:rPr>
          <w:rStyle w:val="FootnoteReference"/>
        </w:rPr>
        <w:footnoteRef/>
      </w:r>
      <w:r w:rsidRPr="00DC144B">
        <w:t xml:space="preserve"> J</w:t>
      </w:r>
      <w:r>
        <w:t xml:space="preserve"> Johnson, ‘</w:t>
      </w:r>
      <w:r w:rsidRPr="00DC144B">
        <w:t>Is the global fi</w:t>
      </w:r>
      <w:r>
        <w:t xml:space="preserve">nancial system AML/CTF prepared’ (2008) </w:t>
      </w:r>
      <w:r w:rsidRPr="00DC144B">
        <w:t>15(1)</w:t>
      </w:r>
      <w:r>
        <w:t xml:space="preserve"> Journal of Financial Crime</w:t>
      </w:r>
      <w:proofErr w:type="gramStart"/>
      <w:r>
        <w:t xml:space="preserve">, </w:t>
      </w:r>
      <w:r w:rsidRPr="00DC144B">
        <w:t xml:space="preserve"> (</w:t>
      </w:r>
      <w:proofErr w:type="gramEnd"/>
      <w:r w:rsidRPr="00DC144B">
        <w:t xml:space="preserve">2008), </w:t>
      </w:r>
      <w:r>
        <w:t>7, 8</w:t>
      </w:r>
      <w:r w:rsidRPr="00DC144B">
        <w:t>.</w:t>
      </w:r>
    </w:p>
  </w:footnote>
  <w:footnote w:id="17">
    <w:p w:rsidR="00DE779A" w:rsidRPr="00DC144B" w:rsidRDefault="00DE779A" w:rsidP="007825C0">
      <w:pPr>
        <w:pStyle w:val="FootnoteText"/>
        <w:jc w:val="both"/>
        <w:rPr>
          <w:bCs/>
        </w:rPr>
      </w:pPr>
      <w:r w:rsidRPr="00DC144B">
        <w:rPr>
          <w:rStyle w:val="FootnoteReference"/>
        </w:rPr>
        <w:footnoteRef/>
      </w:r>
      <w:r w:rsidRPr="00DC144B">
        <w:t xml:space="preserve"> </w:t>
      </w:r>
      <w:proofErr w:type="gramStart"/>
      <w:r w:rsidRPr="00DC144B">
        <w:t>Hereinafter ‘International Convention’.</w:t>
      </w:r>
      <w:proofErr w:type="gramEnd"/>
      <w:r w:rsidRPr="00DC144B">
        <w:t xml:space="preserve">  </w:t>
      </w:r>
      <w:proofErr w:type="gramStart"/>
      <w:r w:rsidRPr="00DC144B">
        <w:t>GA Res. 109, 9 December 1999, S. Treaty Doc. No. 106-49 (2000).</w:t>
      </w:r>
      <w:proofErr w:type="gramEnd"/>
      <w:r w:rsidRPr="00DC144B">
        <w:t xml:space="preserve">  </w:t>
      </w:r>
    </w:p>
  </w:footnote>
  <w:footnote w:id="18">
    <w:p w:rsidR="00DE779A" w:rsidRPr="00DC144B" w:rsidRDefault="00DE779A" w:rsidP="007825C0">
      <w:pPr>
        <w:pStyle w:val="FootnoteText"/>
        <w:jc w:val="both"/>
      </w:pPr>
      <w:r w:rsidRPr="00DC144B">
        <w:rPr>
          <w:rStyle w:val="FootnoteReference"/>
        </w:rPr>
        <w:footnoteRef/>
      </w:r>
      <w:r w:rsidRPr="00DC144B">
        <w:t xml:space="preserve"> </w:t>
      </w:r>
      <w:proofErr w:type="gramStart"/>
      <w:r w:rsidRPr="00DC144B">
        <w:t xml:space="preserve">Nicholas Ryder, </w:t>
      </w:r>
      <w:r w:rsidRPr="007905CB">
        <w:rPr>
          <w:i/>
        </w:rPr>
        <w:t>The Financial War on Terrorism – a review of counter-terrorist financing strategies since 2001</w:t>
      </w:r>
      <w:r w:rsidRPr="00DC144B">
        <w:t xml:space="preserve"> (Routledge, 2015)</w:t>
      </w:r>
      <w:r>
        <w:t xml:space="preserve"> </w:t>
      </w:r>
      <w:r w:rsidRPr="00DC144B">
        <w:t>31.</w:t>
      </w:r>
      <w:proofErr w:type="gramEnd"/>
      <w:r w:rsidRPr="00DC144B">
        <w:t xml:space="preserve">  </w:t>
      </w:r>
      <w:proofErr w:type="gramStart"/>
      <w:r w:rsidRPr="00DC144B">
        <w:t>Hereinafter ‘US’.</w:t>
      </w:r>
      <w:proofErr w:type="gramEnd"/>
    </w:p>
  </w:footnote>
  <w:footnote w:id="19">
    <w:p w:rsidR="00DE779A" w:rsidRDefault="00DE779A" w:rsidP="007825C0">
      <w:pPr>
        <w:pStyle w:val="FootnoteText"/>
      </w:pPr>
      <w:r>
        <w:rPr>
          <w:rStyle w:val="FootnoteReference"/>
        </w:rPr>
        <w:footnoteRef/>
      </w:r>
      <w:r>
        <w:t xml:space="preserve"> </w:t>
      </w:r>
      <w:proofErr w:type="gramStart"/>
      <w:r>
        <w:t>Hereinafter ‘SAR’.</w:t>
      </w:r>
      <w:proofErr w:type="gramEnd"/>
    </w:p>
  </w:footnote>
  <w:footnote w:id="20">
    <w:p w:rsidR="00DE779A" w:rsidRPr="007F1BA1" w:rsidRDefault="00DE779A" w:rsidP="007825C0">
      <w:pPr>
        <w:autoSpaceDE w:val="0"/>
        <w:autoSpaceDN w:val="0"/>
        <w:adjustRightInd w:val="0"/>
        <w:spacing w:after="0" w:line="240" w:lineRule="auto"/>
        <w:jc w:val="both"/>
        <w:rPr>
          <w:rFonts w:ascii="Times New Roman" w:eastAsia="Times New Roman" w:hAnsi="Times New Roman" w:cs="Times New Roman"/>
          <w:sz w:val="20"/>
          <w:szCs w:val="20"/>
          <w:lang w:eastAsia="en-GB"/>
        </w:rPr>
      </w:pPr>
      <w:r w:rsidRPr="007F1BA1">
        <w:rPr>
          <w:rStyle w:val="FootnoteReference"/>
          <w:rFonts w:ascii="Times New Roman" w:hAnsi="Times New Roman" w:cs="Times New Roman"/>
          <w:sz w:val="20"/>
          <w:szCs w:val="20"/>
        </w:rPr>
        <w:footnoteRef/>
      </w:r>
      <w:r w:rsidRPr="007F1BA1">
        <w:rPr>
          <w:rFonts w:ascii="Times New Roman" w:hAnsi="Times New Roman" w:cs="Times New Roman"/>
          <w:sz w:val="20"/>
          <w:szCs w:val="20"/>
        </w:rPr>
        <w:t xml:space="preserve"> </w:t>
      </w:r>
      <w:proofErr w:type="gramStart"/>
      <w:r w:rsidRPr="007F1BA1">
        <w:rPr>
          <w:rFonts w:ascii="Times New Roman" w:eastAsia="Times New Roman" w:hAnsi="Times New Roman" w:cs="Times New Roman"/>
          <w:sz w:val="20"/>
          <w:szCs w:val="20"/>
          <w:lang w:eastAsia="en-GB"/>
        </w:rPr>
        <w:t xml:space="preserve">Maria O’Neill, </w:t>
      </w:r>
      <w:r w:rsidRPr="007905CB">
        <w:rPr>
          <w:rFonts w:ascii="Times New Roman" w:eastAsia="Times New Roman" w:hAnsi="Times New Roman" w:cs="Times New Roman"/>
          <w:i/>
          <w:sz w:val="20"/>
          <w:szCs w:val="20"/>
          <w:lang w:eastAsia="en-GB"/>
        </w:rPr>
        <w:t>The evolving EU counter-terrorism legal framework</w:t>
      </w:r>
      <w:r w:rsidRPr="007905CB">
        <w:rPr>
          <w:rFonts w:ascii="Times New Roman" w:eastAsia="Times New Roman" w:hAnsi="Times New Roman" w:cs="Times New Roman"/>
          <w:sz w:val="20"/>
          <w:szCs w:val="20"/>
          <w:lang w:eastAsia="en-GB"/>
        </w:rPr>
        <w:t xml:space="preserve"> (Routledge</w:t>
      </w:r>
      <w:r w:rsidRPr="007F1BA1">
        <w:rPr>
          <w:rFonts w:ascii="Times New Roman" w:eastAsia="Times New Roman" w:hAnsi="Times New Roman" w:cs="Times New Roman"/>
          <w:sz w:val="20"/>
          <w:szCs w:val="20"/>
          <w:lang w:eastAsia="en-GB"/>
        </w:rPr>
        <w:t>, 2012) 31.</w:t>
      </w:r>
      <w:proofErr w:type="gramEnd"/>
    </w:p>
  </w:footnote>
  <w:footnote w:id="21">
    <w:p w:rsidR="00DE779A" w:rsidRPr="003C606A" w:rsidRDefault="00DE779A" w:rsidP="007825C0">
      <w:pPr>
        <w:autoSpaceDE w:val="0"/>
        <w:autoSpaceDN w:val="0"/>
        <w:adjustRightInd w:val="0"/>
        <w:spacing w:after="0" w:line="240" w:lineRule="auto"/>
        <w:jc w:val="both"/>
        <w:rPr>
          <w:rFonts w:ascii="Times New Roman" w:hAnsi="Times New Roman" w:cs="Times New Roman"/>
          <w:sz w:val="20"/>
          <w:szCs w:val="20"/>
        </w:rPr>
      </w:pPr>
      <w:r w:rsidRPr="003C606A">
        <w:rPr>
          <w:rStyle w:val="FootnoteReference"/>
          <w:rFonts w:ascii="Times New Roman" w:hAnsi="Times New Roman" w:cs="Times New Roman"/>
          <w:sz w:val="20"/>
          <w:szCs w:val="20"/>
        </w:rPr>
        <w:footnoteRef/>
      </w:r>
      <w:r w:rsidRPr="003C606A">
        <w:rPr>
          <w:rFonts w:ascii="Times New Roman" w:hAnsi="Times New Roman" w:cs="Times New Roman"/>
          <w:sz w:val="20"/>
          <w:szCs w:val="20"/>
        </w:rPr>
        <w:t xml:space="preserve"> </w:t>
      </w:r>
      <w:proofErr w:type="gramStart"/>
      <w:r w:rsidR="003C606A" w:rsidRPr="003C606A">
        <w:rPr>
          <w:rFonts w:ascii="Times New Roman" w:hAnsi="Times New Roman" w:cs="Times New Roman"/>
          <w:sz w:val="20"/>
          <w:szCs w:val="20"/>
        </w:rPr>
        <w:t>United Nations ‘</w:t>
      </w:r>
      <w:r w:rsidRPr="003C606A">
        <w:rPr>
          <w:rFonts w:ascii="Times New Roman" w:hAnsi="Times New Roman" w:cs="Times New Roman"/>
          <w:sz w:val="20"/>
          <w:szCs w:val="20"/>
        </w:rPr>
        <w:t>United Nations Treaty Collection – International Convention for the Suppressio</w:t>
      </w:r>
      <w:r w:rsidR="003C606A" w:rsidRPr="003C606A">
        <w:rPr>
          <w:rFonts w:ascii="Times New Roman" w:hAnsi="Times New Roman" w:cs="Times New Roman"/>
          <w:sz w:val="20"/>
          <w:szCs w:val="20"/>
        </w:rPr>
        <w:t>n of the Financing of Terrorism’</w:t>
      </w:r>
      <w:r w:rsidRPr="003C606A">
        <w:rPr>
          <w:rFonts w:ascii="Times New Roman" w:hAnsi="Times New Roman" w:cs="Times New Roman"/>
          <w:sz w:val="20"/>
          <w:szCs w:val="20"/>
        </w:rPr>
        <w:t>,</w:t>
      </w:r>
      <w:r w:rsidR="003C606A" w:rsidRPr="003C606A">
        <w:rPr>
          <w:rFonts w:ascii="Times New Roman" w:hAnsi="Times New Roman" w:cs="Times New Roman"/>
          <w:sz w:val="20"/>
          <w:szCs w:val="20"/>
        </w:rPr>
        <w:t xml:space="preserve"> (United Nations, n/d) &lt;</w:t>
      </w:r>
      <w:hyperlink r:id="rId1" w:history="1">
        <w:r w:rsidRPr="003C606A">
          <w:rPr>
            <w:rStyle w:val="Hyperlink"/>
            <w:rFonts w:ascii="Times New Roman" w:hAnsi="Times New Roman" w:cs="Times New Roman"/>
            <w:sz w:val="20"/>
            <w:szCs w:val="20"/>
          </w:rPr>
          <w:t>https://treaties.un.org/Pages/ViewDetails.aspx?src=IND&amp;mtdsg_no=XVIII-11&amp;chapter=18&amp;lang=en</w:t>
        </w:r>
      </w:hyperlink>
      <w:r w:rsidR="003C606A" w:rsidRPr="003C606A">
        <w:rPr>
          <w:rStyle w:val="Hyperlink"/>
          <w:rFonts w:ascii="Times New Roman" w:hAnsi="Times New Roman" w:cs="Times New Roman"/>
          <w:sz w:val="20"/>
          <w:szCs w:val="20"/>
        </w:rPr>
        <w:t>&gt;</w:t>
      </w:r>
      <w:r w:rsidR="003C606A" w:rsidRPr="003C606A">
        <w:rPr>
          <w:rFonts w:ascii="Times New Roman" w:hAnsi="Times New Roman" w:cs="Times New Roman"/>
          <w:sz w:val="20"/>
          <w:szCs w:val="20"/>
        </w:rPr>
        <w:t xml:space="preserve"> accessed November 11 2015</w:t>
      </w:r>
      <w:r w:rsidRPr="003C606A">
        <w:rPr>
          <w:rFonts w:ascii="Times New Roman" w:hAnsi="Times New Roman" w:cs="Times New Roman"/>
          <w:sz w:val="20"/>
          <w:szCs w:val="20"/>
        </w:rPr>
        <w:t>.</w:t>
      </w:r>
      <w:proofErr w:type="gramEnd"/>
    </w:p>
  </w:footnote>
  <w:footnote w:id="22">
    <w:p w:rsidR="00DE779A" w:rsidRPr="00DC144B" w:rsidRDefault="00DE779A" w:rsidP="007825C0">
      <w:pPr>
        <w:pStyle w:val="FootnoteText"/>
        <w:jc w:val="both"/>
      </w:pPr>
      <w:r w:rsidRPr="00DC144B">
        <w:rPr>
          <w:rStyle w:val="FootnoteReference"/>
        </w:rPr>
        <w:footnoteRef/>
      </w:r>
      <w:r w:rsidRPr="00DC144B">
        <w:t xml:space="preserve"> </w:t>
      </w:r>
      <w:proofErr w:type="gramStart"/>
      <w:r w:rsidRPr="00DC144B">
        <w:t>Hereinafter ‘UNSCR’.</w:t>
      </w:r>
      <w:proofErr w:type="gramEnd"/>
    </w:p>
  </w:footnote>
  <w:footnote w:id="23">
    <w:p w:rsidR="003C606A" w:rsidRDefault="00DE779A" w:rsidP="007825C0">
      <w:pPr>
        <w:pStyle w:val="FootnoteText"/>
        <w:jc w:val="both"/>
      </w:pPr>
      <w:r w:rsidRPr="00DC144B">
        <w:rPr>
          <w:rStyle w:val="FootnoteReference"/>
        </w:rPr>
        <w:footnoteRef/>
      </w:r>
      <w:r w:rsidRPr="00DC144B">
        <w:t xml:space="preserve"> </w:t>
      </w:r>
      <w:r w:rsidR="003C606A">
        <w:t xml:space="preserve">S.C. Res. </w:t>
      </w:r>
      <w:r w:rsidR="003C606A">
        <w:t>1267</w:t>
      </w:r>
      <w:r w:rsidR="003C606A">
        <w:t>, 56</w:t>
      </w:r>
      <w:r w:rsidR="003C606A">
        <w:rPr>
          <w:vertAlign w:val="superscript"/>
        </w:rPr>
        <w:t xml:space="preserve">th </w:t>
      </w:r>
      <w:r w:rsidR="003C606A">
        <w:t xml:space="preserve">Sess., </w:t>
      </w:r>
      <w:proofErr w:type="gramStart"/>
      <w:r w:rsidR="003C606A">
        <w:rPr>
          <w:bCs/>
        </w:rPr>
        <w:t>Art.4(</w:t>
      </w:r>
      <w:proofErr w:type="gramEnd"/>
      <w:r w:rsidR="003C606A">
        <w:rPr>
          <w:bCs/>
        </w:rPr>
        <w:t>b).</w:t>
      </w:r>
    </w:p>
    <w:p w:rsidR="003C606A" w:rsidRPr="00DC144B" w:rsidRDefault="003C606A" w:rsidP="007825C0">
      <w:pPr>
        <w:pStyle w:val="FootnoteText"/>
        <w:jc w:val="both"/>
      </w:pPr>
    </w:p>
  </w:footnote>
  <w:footnote w:id="24">
    <w:p w:rsidR="00DE779A" w:rsidRPr="00DC144B" w:rsidRDefault="00DE779A" w:rsidP="007825C0">
      <w:pPr>
        <w:pStyle w:val="FootnoteText"/>
        <w:jc w:val="both"/>
      </w:pPr>
      <w:r w:rsidRPr="003C606A">
        <w:rPr>
          <w:rStyle w:val="FootnoteReference"/>
        </w:rPr>
        <w:footnoteRef/>
      </w:r>
      <w:r w:rsidRPr="003C606A">
        <w:t xml:space="preserve"> </w:t>
      </w:r>
      <w:r w:rsidR="003C606A" w:rsidRPr="003C606A">
        <w:rPr>
          <w:color w:val="000000"/>
        </w:rPr>
        <w:t xml:space="preserve">S.C. Res, </w:t>
      </w:r>
      <w:r w:rsidR="003C606A">
        <w:rPr>
          <w:color w:val="000000"/>
        </w:rPr>
        <w:t>1269</w:t>
      </w:r>
      <w:r w:rsidR="003C606A" w:rsidRPr="003C606A">
        <w:rPr>
          <w:color w:val="000000"/>
        </w:rPr>
        <w:t xml:space="preserve">, U.N. SCOR, </w:t>
      </w:r>
      <w:r w:rsidR="003C606A">
        <w:rPr>
          <w:color w:val="000000"/>
        </w:rPr>
        <w:t>4053th Mtg. para. 4.</w:t>
      </w:r>
    </w:p>
  </w:footnote>
  <w:footnote w:id="25">
    <w:p w:rsidR="00DE779A" w:rsidRPr="00DC144B" w:rsidRDefault="00DE779A" w:rsidP="007825C0">
      <w:pPr>
        <w:pStyle w:val="FootnoteText"/>
        <w:jc w:val="both"/>
      </w:pPr>
      <w:r w:rsidRPr="00DC144B">
        <w:rPr>
          <w:rStyle w:val="FootnoteReference"/>
        </w:rPr>
        <w:footnoteRef/>
      </w:r>
      <w:r w:rsidRPr="00DC144B">
        <w:t xml:space="preserve"> </w:t>
      </w:r>
      <w:proofErr w:type="gramStart"/>
      <w:r>
        <w:t>United States Department of State, ‘P</w:t>
      </w:r>
      <w:r w:rsidRPr="00DC144B">
        <w:t>resi</w:t>
      </w:r>
      <w:r>
        <w:t>dent Freezes Terrorists' Assets’</w:t>
      </w:r>
      <w:r w:rsidRPr="00DC144B">
        <w:t xml:space="preserve">, (United States Department of State, </w:t>
      </w:r>
      <w:r>
        <w:t xml:space="preserve">24 </w:t>
      </w:r>
      <w:r w:rsidRPr="00DC144B">
        <w:t>September 2001)</w:t>
      </w:r>
      <w:r>
        <w:t xml:space="preserve"> &lt;</w:t>
      </w:r>
      <w:hyperlink r:id="rId2" w:history="1">
        <w:r w:rsidRPr="00DC144B">
          <w:rPr>
            <w:rStyle w:val="Hyperlink"/>
          </w:rPr>
          <w:t>http://2001-2009.state.gov/s/ct/rls/rm/2001/5041.htm</w:t>
        </w:r>
      </w:hyperlink>
      <w:r>
        <w:rPr>
          <w:rStyle w:val="Hyperlink"/>
          <w:color w:val="auto"/>
          <w:u w:val="none"/>
        </w:rPr>
        <w:t xml:space="preserve">&gt; </w:t>
      </w:r>
      <w:r>
        <w:t>accessed September 11 2014</w:t>
      </w:r>
      <w:r w:rsidRPr="00DC144B">
        <w:t>.</w:t>
      </w:r>
      <w:proofErr w:type="gramEnd"/>
    </w:p>
  </w:footnote>
  <w:footnote w:id="26">
    <w:p w:rsidR="00DE779A" w:rsidRPr="00DC144B" w:rsidRDefault="00DE779A" w:rsidP="007825C0">
      <w:pPr>
        <w:pStyle w:val="FootnoteText"/>
        <w:jc w:val="both"/>
      </w:pPr>
      <w:r w:rsidRPr="00DC144B">
        <w:rPr>
          <w:rStyle w:val="FootnoteReference"/>
        </w:rPr>
        <w:footnoteRef/>
      </w:r>
      <w:r w:rsidRPr="00DC144B">
        <w:t xml:space="preserve"> </w:t>
      </w:r>
      <w:proofErr w:type="gramStart"/>
      <w:r>
        <w:t>United Nations, ‘</w:t>
      </w:r>
      <w:r w:rsidRPr="00DC144B">
        <w:t>Statement of G-7 Finance Ministers and Central Bank Governors</w:t>
      </w:r>
      <w:r>
        <w:t xml:space="preserve">’, </w:t>
      </w:r>
      <w:r w:rsidRPr="00DC144B">
        <w:t xml:space="preserve">(United Nations, </w:t>
      </w:r>
      <w:r>
        <w:t xml:space="preserve">6 </w:t>
      </w:r>
      <w:r w:rsidRPr="00DC144B">
        <w:t>October 2001)</w:t>
      </w:r>
      <w:r>
        <w:t xml:space="preserve"> &lt;</w:t>
      </w:r>
      <w:hyperlink r:id="rId3" w:history="1">
        <w:r w:rsidRPr="00DC144B">
          <w:rPr>
            <w:rStyle w:val="Hyperlink"/>
          </w:rPr>
          <w:t>http://www.un.org/esa/ffd/themes/g7-10.htm</w:t>
        </w:r>
      </w:hyperlink>
      <w:r>
        <w:rPr>
          <w:rStyle w:val="Hyperlink"/>
          <w:color w:val="auto"/>
          <w:u w:val="none"/>
        </w:rPr>
        <w:t>&gt;</w:t>
      </w:r>
      <w:r w:rsidRPr="00DC144B">
        <w:t xml:space="preserve"> </w:t>
      </w:r>
      <w:r>
        <w:t>accessed October 3 2014</w:t>
      </w:r>
      <w:r w:rsidRPr="00DC144B">
        <w:t>.</w:t>
      </w:r>
      <w:proofErr w:type="gramEnd"/>
    </w:p>
  </w:footnote>
  <w:footnote w:id="27">
    <w:p w:rsidR="00DE779A" w:rsidRPr="00DC144B" w:rsidRDefault="00DE779A" w:rsidP="007825C0">
      <w:pPr>
        <w:pStyle w:val="FootnoteText"/>
        <w:jc w:val="both"/>
      </w:pPr>
      <w:r w:rsidRPr="00DC144B">
        <w:rPr>
          <w:rStyle w:val="FootnoteReference"/>
        </w:rPr>
        <w:footnoteRef/>
      </w:r>
      <w:r w:rsidRPr="00DC144B">
        <w:t xml:space="preserve"> </w:t>
      </w:r>
      <w:proofErr w:type="gramStart"/>
      <w:r w:rsidRPr="00DC144B">
        <w:t xml:space="preserve">Clive Walker, </w:t>
      </w:r>
      <w:r w:rsidRPr="007F1BA1">
        <w:rPr>
          <w:i/>
        </w:rPr>
        <w:t>Terrorism and the law</w:t>
      </w:r>
      <w:r w:rsidRPr="00DC144B">
        <w:t xml:space="preserve"> (Oxford University Press, 2011)</w:t>
      </w:r>
      <w:r>
        <w:t xml:space="preserve"> </w:t>
      </w:r>
      <w:r w:rsidRPr="00DC144B">
        <w:t>229.</w:t>
      </w:r>
      <w:proofErr w:type="gramEnd"/>
    </w:p>
  </w:footnote>
  <w:footnote w:id="28">
    <w:p w:rsidR="00DE779A" w:rsidRPr="007F1BA1" w:rsidRDefault="00DE779A" w:rsidP="007825C0">
      <w:pPr>
        <w:pStyle w:val="FootnoteText"/>
        <w:jc w:val="both"/>
        <w:rPr>
          <w:highlight w:val="yellow"/>
        </w:rPr>
      </w:pPr>
      <w:r w:rsidRPr="003C606A">
        <w:rPr>
          <w:rStyle w:val="FootnoteReference"/>
        </w:rPr>
        <w:footnoteRef/>
      </w:r>
      <w:r w:rsidRPr="003C606A">
        <w:t xml:space="preserve"> </w:t>
      </w:r>
      <w:r w:rsidR="003C606A">
        <w:t>S.C. Res. 1368, 56</w:t>
      </w:r>
      <w:r w:rsidR="003C606A">
        <w:rPr>
          <w:vertAlign w:val="superscript"/>
        </w:rPr>
        <w:t xml:space="preserve">th </w:t>
      </w:r>
      <w:r w:rsidR="003C606A">
        <w:t>Sess., 4370 Mtg</w:t>
      </w:r>
      <w:r w:rsidRPr="003C606A">
        <w:rPr>
          <w:bCs/>
        </w:rPr>
        <w:t>.</w:t>
      </w:r>
    </w:p>
  </w:footnote>
  <w:footnote w:id="29">
    <w:p w:rsidR="003C606A" w:rsidRPr="003C606A" w:rsidRDefault="00DE779A" w:rsidP="003C606A">
      <w:pPr>
        <w:pStyle w:val="FootnoteText"/>
        <w:jc w:val="both"/>
        <w:rPr>
          <w:color w:val="000000"/>
        </w:rPr>
      </w:pPr>
      <w:r w:rsidRPr="003C606A">
        <w:rPr>
          <w:rStyle w:val="FootnoteReference"/>
        </w:rPr>
        <w:footnoteRef/>
      </w:r>
      <w:r w:rsidRPr="003C606A">
        <w:t xml:space="preserve"> </w:t>
      </w:r>
      <w:r w:rsidR="003C606A" w:rsidRPr="003C606A">
        <w:rPr>
          <w:color w:val="000000"/>
        </w:rPr>
        <w:t xml:space="preserve">S.C. Res, 1373, U.N. SCOR, 56th Sess., 4385th Mtg. </w:t>
      </w:r>
      <w:proofErr w:type="gramStart"/>
      <w:r w:rsidR="003C606A" w:rsidRPr="003C606A">
        <w:rPr>
          <w:color w:val="000000"/>
        </w:rPr>
        <w:t>Art.1(</w:t>
      </w:r>
      <w:proofErr w:type="gramEnd"/>
      <w:r w:rsidR="003C606A" w:rsidRPr="003C606A">
        <w:rPr>
          <w:color w:val="000000"/>
        </w:rPr>
        <w:t>a).</w:t>
      </w:r>
    </w:p>
  </w:footnote>
  <w:footnote w:id="30">
    <w:p w:rsidR="00DE779A" w:rsidRPr="003C606A" w:rsidRDefault="00DE779A" w:rsidP="003C606A">
      <w:pPr>
        <w:pStyle w:val="FootnoteText"/>
        <w:jc w:val="both"/>
      </w:pPr>
      <w:r w:rsidRPr="003C606A">
        <w:rPr>
          <w:rStyle w:val="FootnoteReference"/>
        </w:rPr>
        <w:footnoteRef/>
      </w:r>
      <w:r w:rsidR="003C606A" w:rsidRPr="003C606A">
        <w:t xml:space="preserve"> </w:t>
      </w:r>
      <w:r w:rsidR="003C606A" w:rsidRPr="003C606A">
        <w:rPr>
          <w:color w:val="000000"/>
        </w:rPr>
        <w:t xml:space="preserve">S.C. Res, 1373, U.N. SCOR, 56th Sess., 4385th Mtg. </w:t>
      </w:r>
      <w:proofErr w:type="gramStart"/>
      <w:r w:rsidR="003C606A" w:rsidRPr="003C606A">
        <w:rPr>
          <w:color w:val="000000"/>
        </w:rPr>
        <w:t>Art.1(</w:t>
      </w:r>
      <w:proofErr w:type="gramEnd"/>
      <w:r w:rsidR="003C606A" w:rsidRPr="003C606A">
        <w:rPr>
          <w:color w:val="000000"/>
        </w:rPr>
        <w:t>b).</w:t>
      </w:r>
    </w:p>
  </w:footnote>
  <w:footnote w:id="31">
    <w:p w:rsidR="00DE779A" w:rsidRPr="003C606A" w:rsidRDefault="00DE779A" w:rsidP="003C606A">
      <w:pPr>
        <w:autoSpaceDE w:val="0"/>
        <w:autoSpaceDN w:val="0"/>
        <w:adjustRightInd w:val="0"/>
        <w:spacing w:after="0" w:line="240" w:lineRule="auto"/>
        <w:jc w:val="both"/>
        <w:rPr>
          <w:rFonts w:ascii="Times New Roman" w:hAnsi="Times New Roman" w:cs="Times New Roman"/>
          <w:color w:val="000000"/>
          <w:sz w:val="20"/>
          <w:szCs w:val="20"/>
        </w:rPr>
      </w:pPr>
      <w:r w:rsidRPr="003C606A">
        <w:rPr>
          <w:rStyle w:val="FootnoteReference"/>
          <w:rFonts w:ascii="Times New Roman" w:hAnsi="Times New Roman" w:cs="Times New Roman"/>
          <w:sz w:val="20"/>
          <w:szCs w:val="20"/>
        </w:rPr>
        <w:footnoteRef/>
      </w:r>
      <w:r w:rsidR="003C606A" w:rsidRPr="003C606A">
        <w:rPr>
          <w:rFonts w:ascii="Times New Roman" w:hAnsi="Times New Roman" w:cs="Times New Roman"/>
          <w:sz w:val="20"/>
          <w:szCs w:val="20"/>
        </w:rPr>
        <w:t xml:space="preserve"> </w:t>
      </w:r>
      <w:proofErr w:type="gramStart"/>
      <w:r w:rsidR="003C606A" w:rsidRPr="003C606A">
        <w:rPr>
          <w:rFonts w:ascii="Times New Roman" w:hAnsi="Times New Roman" w:cs="Times New Roman"/>
          <w:color w:val="000000"/>
          <w:sz w:val="20"/>
          <w:szCs w:val="20"/>
        </w:rPr>
        <w:t>S.C. Res, 1373, U.N. SCOR, 56</w:t>
      </w:r>
      <w:r w:rsidR="003C606A" w:rsidRPr="003C606A">
        <w:rPr>
          <w:rFonts w:ascii="Times New Roman" w:hAnsi="Times New Roman" w:cs="Times New Roman"/>
          <w:color w:val="000000"/>
          <w:sz w:val="20"/>
          <w:szCs w:val="20"/>
        </w:rPr>
        <w:t>th Sess., 4385th Mtg. Art.1(c).</w:t>
      </w:r>
      <w:proofErr w:type="gramEnd"/>
    </w:p>
  </w:footnote>
  <w:footnote w:id="32">
    <w:p w:rsidR="00DE779A" w:rsidRPr="00DC144B" w:rsidRDefault="00DE779A" w:rsidP="003C606A">
      <w:pPr>
        <w:pStyle w:val="FootnoteText"/>
        <w:jc w:val="both"/>
      </w:pPr>
      <w:r w:rsidRPr="003C606A">
        <w:rPr>
          <w:rStyle w:val="FootnoteReference"/>
        </w:rPr>
        <w:footnoteRef/>
      </w:r>
      <w:r w:rsidRPr="003C606A">
        <w:t xml:space="preserve"> </w:t>
      </w:r>
      <w:proofErr w:type="gramStart"/>
      <w:r w:rsidR="003C606A" w:rsidRPr="003C606A">
        <w:rPr>
          <w:color w:val="000000"/>
        </w:rPr>
        <w:t>S.C. Res, 1373, U.N. SCOR, 56th Sess., 4385thMtg.</w:t>
      </w:r>
      <w:proofErr w:type="gramEnd"/>
      <w:r w:rsidR="003C606A" w:rsidRPr="003C606A">
        <w:rPr>
          <w:color w:val="000000"/>
        </w:rPr>
        <w:t xml:space="preserve"> </w:t>
      </w:r>
      <w:proofErr w:type="gramStart"/>
      <w:r w:rsidR="003C606A" w:rsidRPr="003C606A">
        <w:rPr>
          <w:color w:val="000000"/>
        </w:rPr>
        <w:t>Art.1(</w:t>
      </w:r>
      <w:proofErr w:type="gramEnd"/>
      <w:r w:rsidR="003C606A" w:rsidRPr="003C606A">
        <w:rPr>
          <w:color w:val="000000"/>
        </w:rPr>
        <w:t>5).</w:t>
      </w:r>
    </w:p>
  </w:footnote>
  <w:footnote w:id="33">
    <w:p w:rsidR="00DE779A" w:rsidRPr="00DC144B" w:rsidRDefault="00DE779A" w:rsidP="007825C0">
      <w:pPr>
        <w:pStyle w:val="FootnoteText"/>
        <w:jc w:val="both"/>
      </w:pPr>
      <w:r w:rsidRPr="00DC144B">
        <w:rPr>
          <w:rStyle w:val="FootnoteReference"/>
        </w:rPr>
        <w:footnoteRef/>
      </w:r>
      <w:r w:rsidRPr="00DC144B">
        <w:t xml:space="preserve"> </w:t>
      </w:r>
      <w:proofErr w:type="gramStart"/>
      <w:r w:rsidRPr="00DC144B">
        <w:t>Hereinafter ‘CTC’.</w:t>
      </w:r>
      <w:proofErr w:type="gramEnd"/>
    </w:p>
  </w:footnote>
  <w:footnote w:id="34">
    <w:p w:rsidR="00DE779A" w:rsidRPr="007F1BA1" w:rsidRDefault="00DE779A" w:rsidP="007825C0">
      <w:pPr>
        <w:spacing w:after="0" w:line="240" w:lineRule="auto"/>
        <w:jc w:val="both"/>
        <w:outlineLvl w:val="2"/>
        <w:rPr>
          <w:rFonts w:cs="Minion"/>
          <w:color w:val="000000"/>
          <w:sz w:val="16"/>
          <w:szCs w:val="16"/>
        </w:rPr>
      </w:pPr>
      <w:r w:rsidRPr="00DC144B">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gramStart"/>
      <w:r>
        <w:rPr>
          <w:rFonts w:ascii="Times New Roman" w:hAnsi="Times New Roman" w:cs="Times New Roman"/>
          <w:sz w:val="20"/>
          <w:szCs w:val="20"/>
        </w:rPr>
        <w:t>C</w:t>
      </w:r>
      <w:r w:rsidRPr="00DC144B">
        <w:rPr>
          <w:rFonts w:ascii="Times New Roman" w:hAnsi="Times New Roman" w:cs="Times New Roman"/>
          <w:sz w:val="20"/>
          <w:szCs w:val="20"/>
        </w:rPr>
        <w:t xml:space="preserve"> </w:t>
      </w:r>
      <w:proofErr w:type="spellStart"/>
      <w:r w:rsidRPr="00DC144B">
        <w:rPr>
          <w:rFonts w:ascii="Times New Roman" w:hAnsi="Times New Roman" w:cs="Times New Roman"/>
          <w:sz w:val="20"/>
          <w:szCs w:val="20"/>
        </w:rPr>
        <w:t>Warbrick</w:t>
      </w:r>
      <w:proofErr w:type="spellEnd"/>
      <w:r w:rsidRPr="00DC144B">
        <w:rPr>
          <w:rFonts w:ascii="Times New Roman" w:hAnsi="Times New Roman" w:cs="Times New Roman"/>
          <w:sz w:val="20"/>
          <w:szCs w:val="20"/>
        </w:rPr>
        <w:t>, D</w:t>
      </w:r>
      <w:r>
        <w:rPr>
          <w:rFonts w:ascii="Times New Roman" w:hAnsi="Times New Roman" w:cs="Times New Roman"/>
          <w:sz w:val="20"/>
          <w:szCs w:val="20"/>
        </w:rPr>
        <w:t xml:space="preserve"> </w:t>
      </w:r>
      <w:proofErr w:type="spellStart"/>
      <w:r w:rsidRPr="00DC144B">
        <w:rPr>
          <w:rFonts w:ascii="Times New Roman" w:hAnsi="Times New Roman" w:cs="Times New Roman"/>
          <w:sz w:val="20"/>
          <w:szCs w:val="20"/>
        </w:rPr>
        <w:t>McGoldrick</w:t>
      </w:r>
      <w:proofErr w:type="spellEnd"/>
      <w:r w:rsidRPr="00DC144B">
        <w:rPr>
          <w:rFonts w:ascii="Times New Roman" w:hAnsi="Times New Roman" w:cs="Times New Roman"/>
          <w:sz w:val="20"/>
          <w:szCs w:val="20"/>
        </w:rPr>
        <w:t>, E</w:t>
      </w:r>
      <w:r>
        <w:rPr>
          <w:rFonts w:ascii="Times New Roman" w:hAnsi="Times New Roman" w:cs="Times New Roman"/>
          <w:sz w:val="20"/>
          <w:szCs w:val="20"/>
        </w:rPr>
        <w:t xml:space="preserve"> </w:t>
      </w:r>
      <w:proofErr w:type="spellStart"/>
      <w:r w:rsidRPr="00DC144B">
        <w:rPr>
          <w:rFonts w:ascii="Times New Roman" w:hAnsi="Times New Roman" w:cs="Times New Roman"/>
          <w:sz w:val="20"/>
          <w:szCs w:val="20"/>
        </w:rPr>
        <w:t>Katselli</w:t>
      </w:r>
      <w:proofErr w:type="spellEnd"/>
      <w:r w:rsidRPr="00DC144B">
        <w:rPr>
          <w:rFonts w:ascii="Times New Roman" w:hAnsi="Times New Roman" w:cs="Times New Roman"/>
          <w:sz w:val="20"/>
          <w:szCs w:val="20"/>
        </w:rPr>
        <w:t xml:space="preserve"> and S</w:t>
      </w:r>
      <w:r>
        <w:rPr>
          <w:rFonts w:ascii="Times New Roman" w:hAnsi="Times New Roman" w:cs="Times New Roman"/>
          <w:sz w:val="20"/>
          <w:szCs w:val="20"/>
        </w:rPr>
        <w:t xml:space="preserve"> Shah, ‘</w:t>
      </w:r>
      <w:r w:rsidRPr="00DC144B">
        <w:rPr>
          <w:rFonts w:ascii="Times New Roman" w:hAnsi="Times New Roman" w:cs="Times New Roman"/>
          <w:bCs/>
          <w:sz w:val="20"/>
          <w:szCs w:val="20"/>
        </w:rPr>
        <w:t>S</w:t>
      </w:r>
      <w:r>
        <w:rPr>
          <w:rFonts w:ascii="Times New Roman" w:hAnsi="Times New Roman" w:cs="Times New Roman"/>
          <w:bCs/>
          <w:sz w:val="20"/>
          <w:szCs w:val="20"/>
        </w:rPr>
        <w:t>eptember 11 and the UK response’ (2003) 52(1) ICLQ, 245, 252.</w:t>
      </w:r>
      <w:proofErr w:type="gramEnd"/>
      <w:r>
        <w:rPr>
          <w:rFonts w:ascii="Times New Roman" w:hAnsi="Times New Roman" w:cs="Times New Roman"/>
          <w:bCs/>
          <w:sz w:val="20"/>
          <w:szCs w:val="20"/>
        </w:rPr>
        <w:t xml:space="preserve">  </w:t>
      </w:r>
    </w:p>
  </w:footnote>
  <w:footnote w:id="35">
    <w:p w:rsidR="00DE779A" w:rsidRPr="00F10407" w:rsidRDefault="00DE779A" w:rsidP="007825C0">
      <w:pPr>
        <w:pStyle w:val="FootnoteText"/>
        <w:jc w:val="both"/>
        <w:rPr>
          <w:highlight w:val="yellow"/>
        </w:rPr>
      </w:pPr>
      <w:r w:rsidRPr="003C606A">
        <w:rPr>
          <w:rStyle w:val="FootnoteReference"/>
        </w:rPr>
        <w:footnoteRef/>
      </w:r>
      <w:r w:rsidRPr="003C606A">
        <w:t xml:space="preserve"> </w:t>
      </w:r>
      <w:proofErr w:type="gramStart"/>
      <w:r w:rsidR="003C606A" w:rsidRPr="003C606A">
        <w:rPr>
          <w:color w:val="000000"/>
        </w:rPr>
        <w:t xml:space="preserve">S.C. Res, </w:t>
      </w:r>
      <w:r w:rsidR="003C606A">
        <w:rPr>
          <w:color w:val="000000"/>
        </w:rPr>
        <w:t>1535</w:t>
      </w:r>
      <w:r w:rsidR="003C606A" w:rsidRPr="003C606A">
        <w:rPr>
          <w:color w:val="000000"/>
        </w:rPr>
        <w:t xml:space="preserve">, U.N. SCOR, </w:t>
      </w:r>
      <w:r w:rsidR="003C606A">
        <w:rPr>
          <w:color w:val="000000"/>
        </w:rPr>
        <w:t>SC/408, 1</w:t>
      </w:r>
      <w:r w:rsidR="003C606A" w:rsidRPr="003C606A">
        <w:rPr>
          <w:color w:val="000000"/>
        </w:rPr>
        <w:t xml:space="preserve">56th Sess., </w:t>
      </w:r>
      <w:r w:rsidR="003C606A">
        <w:rPr>
          <w:color w:val="000000"/>
        </w:rPr>
        <w:t xml:space="preserve">1936 </w:t>
      </w:r>
      <w:r w:rsidR="003C606A" w:rsidRPr="003C606A">
        <w:rPr>
          <w:color w:val="000000"/>
        </w:rPr>
        <w:t>Mtg.</w:t>
      </w:r>
      <w:proofErr w:type="gramEnd"/>
    </w:p>
  </w:footnote>
  <w:footnote w:id="36">
    <w:p w:rsidR="003C606A" w:rsidRPr="00DC144B" w:rsidRDefault="00DE779A" w:rsidP="007825C0">
      <w:pPr>
        <w:pStyle w:val="FootnoteText"/>
        <w:jc w:val="both"/>
      </w:pPr>
      <w:r w:rsidRPr="003C606A">
        <w:rPr>
          <w:rStyle w:val="FootnoteReference"/>
        </w:rPr>
        <w:footnoteRef/>
      </w:r>
      <w:r w:rsidRPr="003C606A">
        <w:t xml:space="preserve"> </w:t>
      </w:r>
      <w:proofErr w:type="gramStart"/>
      <w:r w:rsidR="003C606A">
        <w:t>S.C. Res, 1556, 5053 Mtg.</w:t>
      </w:r>
      <w:proofErr w:type="gramEnd"/>
    </w:p>
  </w:footnote>
  <w:footnote w:id="37">
    <w:p w:rsidR="00DE779A" w:rsidRPr="00F10407" w:rsidRDefault="00DE779A" w:rsidP="007825C0">
      <w:pPr>
        <w:autoSpaceDE w:val="0"/>
        <w:autoSpaceDN w:val="0"/>
        <w:adjustRightInd w:val="0"/>
        <w:spacing w:after="0" w:line="240" w:lineRule="auto"/>
        <w:jc w:val="both"/>
        <w:rPr>
          <w:rFonts w:ascii="Times New Roman" w:hAnsi="Times New Roman" w:cs="Times New Roman"/>
          <w:bCs/>
          <w:sz w:val="20"/>
          <w:szCs w:val="20"/>
        </w:rPr>
      </w:pPr>
      <w:r w:rsidRPr="00DC144B">
        <w:rPr>
          <w:rStyle w:val="FootnoteReference"/>
          <w:rFonts w:ascii="Times New Roman" w:hAnsi="Times New Roman" w:cs="Times New Roman"/>
          <w:sz w:val="20"/>
          <w:szCs w:val="20"/>
        </w:rPr>
        <w:footnoteRef/>
      </w:r>
      <w:r w:rsidRPr="00DC144B">
        <w:rPr>
          <w:rFonts w:ascii="Times New Roman" w:hAnsi="Times New Roman" w:cs="Times New Roman"/>
          <w:sz w:val="20"/>
          <w:szCs w:val="20"/>
        </w:rPr>
        <w:t xml:space="preserve"> Counci</w:t>
      </w:r>
      <w:r>
        <w:rPr>
          <w:rFonts w:ascii="Times New Roman" w:hAnsi="Times New Roman" w:cs="Times New Roman"/>
          <w:sz w:val="20"/>
          <w:szCs w:val="20"/>
        </w:rPr>
        <w:t xml:space="preserve">l </w:t>
      </w:r>
      <w:r w:rsidRPr="00DC144B">
        <w:rPr>
          <w:rFonts w:ascii="Times New Roman" w:hAnsi="Times New Roman" w:cs="Times New Roman"/>
          <w:sz w:val="20"/>
          <w:szCs w:val="20"/>
        </w:rPr>
        <w:t xml:space="preserve">Directive </w:t>
      </w:r>
      <w:r>
        <w:rPr>
          <w:rFonts w:ascii="Times New Roman" w:hAnsi="Times New Roman" w:cs="Times New Roman"/>
          <w:sz w:val="20"/>
          <w:szCs w:val="20"/>
        </w:rPr>
        <w:t xml:space="preserve">(EC) 2005/60 </w:t>
      </w:r>
      <w:r w:rsidRPr="00DC144B">
        <w:rPr>
          <w:rFonts w:ascii="Times New Roman" w:hAnsi="Times New Roman" w:cs="Times New Roman"/>
          <w:sz w:val="20"/>
          <w:szCs w:val="20"/>
        </w:rPr>
        <w:t xml:space="preserve">on </w:t>
      </w:r>
      <w:r w:rsidRPr="00DC144B">
        <w:rPr>
          <w:rFonts w:ascii="Times New Roman" w:hAnsi="Times New Roman" w:cs="Times New Roman"/>
          <w:bCs/>
          <w:sz w:val="20"/>
          <w:szCs w:val="20"/>
        </w:rPr>
        <w:t xml:space="preserve">prevention of the use of the financial system for the purpose of money laundering and </w:t>
      </w:r>
      <w:proofErr w:type="gramStart"/>
      <w:r w:rsidRPr="00DC144B">
        <w:rPr>
          <w:rFonts w:ascii="Times New Roman" w:hAnsi="Times New Roman" w:cs="Times New Roman"/>
          <w:bCs/>
          <w:sz w:val="20"/>
          <w:szCs w:val="20"/>
        </w:rPr>
        <w:t>terrorist financing</w:t>
      </w:r>
      <w:proofErr w:type="gramEnd"/>
      <w:r>
        <w:rPr>
          <w:rFonts w:ascii="Times New Roman" w:hAnsi="Times New Roman" w:cs="Times New Roman"/>
          <w:bCs/>
          <w:sz w:val="20"/>
          <w:szCs w:val="20"/>
        </w:rPr>
        <w:t xml:space="preserve"> [2005] OJ 309</w:t>
      </w:r>
      <w:r w:rsidRPr="00DC144B">
        <w:rPr>
          <w:rFonts w:ascii="Times New Roman" w:hAnsi="Times New Roman" w:cs="Times New Roman"/>
          <w:bCs/>
          <w:sz w:val="20"/>
          <w:szCs w:val="20"/>
        </w:rPr>
        <w:t>.</w:t>
      </w:r>
    </w:p>
  </w:footnote>
  <w:footnote w:id="38">
    <w:p w:rsidR="00DE779A" w:rsidRPr="00DC144B" w:rsidRDefault="00DE779A" w:rsidP="007825C0">
      <w:pPr>
        <w:spacing w:after="0" w:line="240" w:lineRule="auto"/>
        <w:jc w:val="both"/>
        <w:outlineLvl w:val="1"/>
        <w:rPr>
          <w:rFonts w:ascii="Times New Roman" w:hAnsi="Times New Roman" w:cs="Times New Roman"/>
          <w:sz w:val="20"/>
          <w:szCs w:val="20"/>
        </w:rPr>
      </w:pPr>
      <w:r w:rsidRPr="003C606A">
        <w:rPr>
          <w:rStyle w:val="FootnoteReference"/>
          <w:rFonts w:ascii="Times New Roman" w:hAnsi="Times New Roman" w:cs="Times New Roman"/>
          <w:sz w:val="20"/>
          <w:szCs w:val="20"/>
        </w:rPr>
        <w:footnoteRef/>
      </w:r>
      <w:r w:rsidRPr="003C606A">
        <w:rPr>
          <w:rFonts w:ascii="Times New Roman" w:hAnsi="Times New Roman" w:cs="Times New Roman"/>
          <w:sz w:val="20"/>
          <w:szCs w:val="20"/>
        </w:rPr>
        <w:t xml:space="preserve"> </w:t>
      </w:r>
      <w:proofErr w:type="gramStart"/>
      <w:r w:rsidRPr="003C606A">
        <w:rPr>
          <w:rFonts w:ascii="Times New Roman" w:hAnsi="Times New Roman" w:cs="Times New Roman"/>
          <w:sz w:val="20"/>
          <w:szCs w:val="20"/>
        </w:rPr>
        <w:t>[2001] OJ L344/93.</w:t>
      </w:r>
      <w:proofErr w:type="gramEnd"/>
    </w:p>
  </w:footnote>
  <w:footnote w:id="39">
    <w:p w:rsidR="003C606A" w:rsidRPr="003C606A" w:rsidRDefault="00DE779A" w:rsidP="007825C0">
      <w:pPr>
        <w:pStyle w:val="FootnoteText"/>
        <w:jc w:val="both"/>
        <w:rPr>
          <w:rFonts w:eastAsiaTheme="majorEastAsia"/>
          <w:color w:val="000000"/>
        </w:rPr>
      </w:pPr>
      <w:r w:rsidRPr="003C606A">
        <w:rPr>
          <w:rStyle w:val="FootnoteReference"/>
        </w:rPr>
        <w:footnoteRef/>
      </w:r>
      <w:r w:rsidR="003C606A" w:rsidRPr="003C606A">
        <w:t xml:space="preserve"> </w:t>
      </w:r>
      <w:r w:rsidR="003C606A" w:rsidRPr="003C606A">
        <w:rPr>
          <w:rStyle w:val="A9"/>
          <w:rFonts w:eastAsiaTheme="majorEastAsia" w:cs="Times New Roman"/>
          <w:sz w:val="20"/>
          <w:szCs w:val="20"/>
        </w:rPr>
        <w:t xml:space="preserve">Council Regulation (EC) </w:t>
      </w:r>
      <w:r w:rsidR="003C606A" w:rsidRPr="003C606A">
        <w:rPr>
          <w:rStyle w:val="A9"/>
          <w:rFonts w:eastAsiaTheme="majorEastAsia" w:cs="Times New Roman"/>
          <w:sz w:val="20"/>
          <w:szCs w:val="20"/>
        </w:rPr>
        <w:t xml:space="preserve">2580/2001 </w:t>
      </w:r>
      <w:r w:rsidR="003C606A" w:rsidRPr="003C606A">
        <w:rPr>
          <w:bCs/>
        </w:rPr>
        <w:t>on specific restrictive measures directed against certain persons and entities with a view to</w:t>
      </w:r>
      <w:r w:rsidR="003C606A" w:rsidRPr="003C606A">
        <w:rPr>
          <w:bCs/>
        </w:rPr>
        <w:t xml:space="preserve"> </w:t>
      </w:r>
      <w:r w:rsidR="003C606A" w:rsidRPr="003C606A">
        <w:rPr>
          <w:bCs/>
        </w:rPr>
        <w:t>combating terrorism</w:t>
      </w:r>
      <w:r w:rsidR="003C606A" w:rsidRPr="003C606A">
        <w:rPr>
          <w:bCs/>
        </w:rPr>
        <w:t xml:space="preserve"> [2001] OJ L344/70</w:t>
      </w:r>
    </w:p>
  </w:footnote>
  <w:footnote w:id="40">
    <w:p w:rsidR="00DE779A" w:rsidRPr="00DC144B" w:rsidRDefault="00DE779A" w:rsidP="007825C0">
      <w:pPr>
        <w:pStyle w:val="FootnoteText"/>
        <w:jc w:val="both"/>
      </w:pPr>
      <w:r w:rsidRPr="003C606A">
        <w:rPr>
          <w:rStyle w:val="FootnoteReference"/>
        </w:rPr>
        <w:footnoteRef/>
      </w:r>
      <w:r w:rsidRPr="003C606A">
        <w:t xml:space="preserve"> </w:t>
      </w:r>
      <w:proofErr w:type="gramStart"/>
      <w:r w:rsidRPr="003C606A">
        <w:t>2001/931/CFSP.</w:t>
      </w:r>
      <w:proofErr w:type="gramEnd"/>
    </w:p>
  </w:footnote>
  <w:footnote w:id="41">
    <w:p w:rsidR="00DE779A" w:rsidRPr="00DC144B" w:rsidRDefault="00DE779A" w:rsidP="007825C0">
      <w:pPr>
        <w:pStyle w:val="FootnoteText"/>
        <w:jc w:val="both"/>
      </w:pPr>
      <w:r w:rsidRPr="00DC144B">
        <w:rPr>
          <w:rStyle w:val="FootnoteReference"/>
        </w:rPr>
        <w:footnoteRef/>
      </w:r>
      <w:r w:rsidRPr="00DC144B">
        <w:t xml:space="preserve"> </w:t>
      </w:r>
      <w:proofErr w:type="gramStart"/>
      <w:r w:rsidRPr="00DC144B">
        <w:t xml:space="preserve">Financial Action Task Force, </w:t>
      </w:r>
      <w:r w:rsidRPr="00F10407">
        <w:rPr>
          <w:i/>
        </w:rPr>
        <w:t>FATF IX Special Recommendations</w:t>
      </w:r>
      <w:r w:rsidRPr="00DC144B">
        <w:t xml:space="preserve"> (2001).</w:t>
      </w:r>
      <w:proofErr w:type="gramEnd"/>
    </w:p>
  </w:footnote>
  <w:footnote w:id="42">
    <w:p w:rsidR="00DE779A" w:rsidRPr="00DC144B" w:rsidRDefault="00DE779A" w:rsidP="007825C0">
      <w:pPr>
        <w:pStyle w:val="FootnoteText"/>
        <w:jc w:val="both"/>
      </w:pPr>
      <w:r w:rsidRPr="00DC144B">
        <w:rPr>
          <w:rStyle w:val="FootnoteReference"/>
        </w:rPr>
        <w:footnoteRef/>
      </w:r>
      <w:r w:rsidRPr="00DC144B">
        <w:t xml:space="preserve"> </w:t>
      </w:r>
      <w:r>
        <w:t xml:space="preserve">Jimmy </w:t>
      </w:r>
      <w:r w:rsidRPr="00DC144B">
        <w:t xml:space="preserve">Gurule, </w:t>
      </w:r>
      <w:proofErr w:type="spellStart"/>
      <w:r w:rsidRPr="00F10407">
        <w:rPr>
          <w:i/>
        </w:rPr>
        <w:t>Unfunding</w:t>
      </w:r>
      <w:proofErr w:type="spellEnd"/>
      <w:r w:rsidRPr="00F10407">
        <w:rPr>
          <w:i/>
        </w:rPr>
        <w:t xml:space="preserve"> terror: the legal response to the financing of global terrorism</w:t>
      </w:r>
      <w:r>
        <w:t xml:space="preserve"> (Edward Elgar 2008) </w:t>
      </w:r>
      <w:r w:rsidRPr="00DC144B">
        <w:t>4.</w:t>
      </w:r>
    </w:p>
  </w:footnote>
  <w:footnote w:id="43">
    <w:p w:rsidR="00DE779A" w:rsidRPr="00F10407" w:rsidRDefault="00DE779A" w:rsidP="007825C0">
      <w:pPr>
        <w:pStyle w:val="FootnoteText"/>
        <w:jc w:val="both"/>
        <w:rPr>
          <w:lang w:val="en"/>
        </w:rPr>
      </w:pPr>
      <w:r w:rsidRPr="00DC144B">
        <w:rPr>
          <w:rStyle w:val="FootnoteReference"/>
        </w:rPr>
        <w:footnoteRef/>
      </w:r>
      <w:r w:rsidRPr="00DC144B">
        <w:t xml:space="preserve"> </w:t>
      </w:r>
      <w:r>
        <w:t>Financial Action Task Force, ‘</w:t>
      </w:r>
      <w:r w:rsidRPr="00DC144B">
        <w:rPr>
          <w:lang w:val="en"/>
        </w:rPr>
        <w:t>FATF steps up the fight against money laundering and terrorist financing</w:t>
      </w:r>
      <w:r>
        <w:rPr>
          <w:lang w:val="en"/>
        </w:rPr>
        <w:t>’</w:t>
      </w:r>
      <w:proofErr w:type="gramStart"/>
      <w:r>
        <w:rPr>
          <w:lang w:val="en"/>
        </w:rPr>
        <w:t>,  (</w:t>
      </w:r>
      <w:proofErr w:type="gramEnd"/>
      <w:r>
        <w:rPr>
          <w:lang w:val="en"/>
        </w:rPr>
        <w:t xml:space="preserve">Financial Action Task Force, 16 </w:t>
      </w:r>
      <w:r w:rsidRPr="00DC144B">
        <w:rPr>
          <w:lang w:val="en"/>
        </w:rPr>
        <w:t xml:space="preserve">February </w:t>
      </w:r>
      <w:r>
        <w:rPr>
          <w:lang w:val="en"/>
        </w:rPr>
        <w:t>2</w:t>
      </w:r>
      <w:r w:rsidRPr="00DC144B">
        <w:rPr>
          <w:lang w:val="en"/>
        </w:rPr>
        <w:t>012)</w:t>
      </w:r>
      <w:r>
        <w:rPr>
          <w:lang w:val="en"/>
        </w:rPr>
        <w:t xml:space="preserve"> &lt;</w:t>
      </w:r>
      <w:hyperlink r:id="rId4" w:history="1">
        <w:r w:rsidRPr="00DC144B">
          <w:rPr>
            <w:rStyle w:val="Hyperlink"/>
            <w:lang w:val="en"/>
          </w:rPr>
          <w:t>http://www.fatf-gafi.org/topics/fatfrecommendations/documents/fatfstepsupthefightagainstmoneylaunderingandterroristfinancing.html</w:t>
        </w:r>
      </w:hyperlink>
      <w:r w:rsidRPr="00F10407">
        <w:rPr>
          <w:rStyle w:val="Hyperlink"/>
          <w:color w:val="auto"/>
          <w:u w:val="none"/>
          <w:lang w:val="en"/>
        </w:rPr>
        <w:t>&gt;</w:t>
      </w:r>
      <w:r>
        <w:rPr>
          <w:rStyle w:val="Hyperlink"/>
          <w:color w:val="auto"/>
          <w:u w:val="none"/>
          <w:lang w:val="en"/>
        </w:rPr>
        <w:t xml:space="preserve"> </w:t>
      </w:r>
      <w:r>
        <w:rPr>
          <w:lang w:val="en"/>
        </w:rPr>
        <w:t>accessed September 19 2014</w:t>
      </w:r>
      <w:r w:rsidRPr="00DC144B">
        <w:rPr>
          <w:lang w:val="en"/>
        </w:rPr>
        <w:t xml:space="preserve">.  </w:t>
      </w:r>
    </w:p>
  </w:footnote>
  <w:footnote w:id="44">
    <w:p w:rsidR="00DE779A" w:rsidRPr="00DC144B" w:rsidRDefault="00DE779A" w:rsidP="007825C0">
      <w:pPr>
        <w:pStyle w:val="FootnoteText"/>
        <w:jc w:val="both"/>
      </w:pPr>
      <w:r w:rsidRPr="00DC144B">
        <w:rPr>
          <w:rStyle w:val="FootnoteReference"/>
          <w:rFonts w:eastAsiaTheme="majorEastAsia"/>
        </w:rPr>
        <w:footnoteRef/>
      </w:r>
      <w:r w:rsidRPr="00DC144B">
        <w:t xml:space="preserve"> HM Government</w:t>
      </w:r>
      <w:r>
        <w:t>,</w:t>
      </w:r>
      <w:r w:rsidRPr="00DC144B">
        <w:t xml:space="preserve"> </w:t>
      </w:r>
      <w:r w:rsidRPr="00F10407">
        <w:rPr>
          <w:rStyle w:val="Emphasis"/>
        </w:rPr>
        <w:t>Report of the Commission to consider legal procedures to deal with terrorist activities in Northern Ireland</w:t>
      </w:r>
      <w:r w:rsidRPr="00DC144B">
        <w:rPr>
          <w:rStyle w:val="Emphasis"/>
          <w:i w:val="0"/>
        </w:rPr>
        <w:t xml:space="preserve"> (London, 1972)</w:t>
      </w:r>
      <w:r w:rsidRPr="00DC144B">
        <w:t xml:space="preserve">.  </w:t>
      </w:r>
    </w:p>
  </w:footnote>
  <w:footnote w:id="45">
    <w:p w:rsidR="00DE779A" w:rsidRPr="00F10407" w:rsidRDefault="00DE779A" w:rsidP="00F10407">
      <w:pPr>
        <w:spacing w:after="0" w:line="240" w:lineRule="auto"/>
        <w:jc w:val="both"/>
        <w:rPr>
          <w:rFonts w:ascii="Times New Roman" w:eastAsia="Times New Roman" w:hAnsi="Times New Roman" w:cs="Times New Roman"/>
          <w:sz w:val="20"/>
          <w:szCs w:val="20"/>
          <w:lang w:eastAsia="en-GB"/>
        </w:rPr>
      </w:pPr>
      <w:r w:rsidRPr="00F10407">
        <w:rPr>
          <w:rStyle w:val="FootnoteReference"/>
          <w:rFonts w:ascii="Times New Roman" w:eastAsiaTheme="majorEastAsia" w:hAnsi="Times New Roman" w:cs="Times New Roman"/>
          <w:sz w:val="20"/>
          <w:szCs w:val="20"/>
        </w:rPr>
        <w:footnoteRef/>
      </w:r>
      <w:r w:rsidRPr="00F10407">
        <w:rPr>
          <w:rFonts w:ascii="Times New Roman" w:hAnsi="Times New Roman" w:cs="Times New Roman"/>
          <w:sz w:val="20"/>
          <w:szCs w:val="20"/>
        </w:rPr>
        <w:t xml:space="preserve"> Laura </w:t>
      </w:r>
      <w:r w:rsidRPr="00F10407">
        <w:rPr>
          <w:rFonts w:ascii="Times New Roman" w:eastAsia="Times New Roman" w:hAnsi="Times New Roman" w:cs="Times New Roman"/>
          <w:sz w:val="20"/>
          <w:szCs w:val="20"/>
          <w:lang w:eastAsia="en-GB"/>
        </w:rPr>
        <w:t xml:space="preserve">Donohue, L. </w:t>
      </w:r>
      <w:r w:rsidRPr="00F10407">
        <w:rPr>
          <w:rFonts w:ascii="Times New Roman" w:eastAsia="Times New Roman" w:hAnsi="Times New Roman" w:cs="Times New Roman"/>
          <w:i/>
          <w:sz w:val="20"/>
          <w:szCs w:val="20"/>
          <w:lang w:eastAsia="en-GB"/>
        </w:rPr>
        <w:t xml:space="preserve">The cost of counterterrorism – power, politics and liberty </w:t>
      </w:r>
      <w:r w:rsidRPr="00F10407">
        <w:rPr>
          <w:rFonts w:ascii="Times New Roman" w:eastAsia="Times New Roman" w:hAnsi="Times New Roman" w:cs="Times New Roman"/>
          <w:sz w:val="20"/>
          <w:szCs w:val="20"/>
          <w:lang w:eastAsia="en-GB"/>
        </w:rPr>
        <w:t>(Cambridge University Press: 2008) 130.</w:t>
      </w:r>
      <w:r>
        <w:rPr>
          <w:rFonts w:ascii="Times New Roman" w:eastAsia="Times New Roman" w:hAnsi="Times New Roman" w:cs="Times New Roman"/>
          <w:sz w:val="20"/>
          <w:szCs w:val="20"/>
          <w:lang w:eastAsia="en-GB"/>
        </w:rPr>
        <w:t xml:space="preserve">  </w:t>
      </w:r>
      <w:r w:rsidRPr="00F10407">
        <w:rPr>
          <w:rFonts w:ascii="Times New Roman" w:hAnsi="Times New Roman" w:cs="Times New Roman"/>
          <w:sz w:val="20"/>
          <w:szCs w:val="20"/>
        </w:rPr>
        <w:t xml:space="preserve">See </w:t>
      </w:r>
      <w:r w:rsidRPr="00F10407">
        <w:rPr>
          <w:rFonts w:ascii="Times New Roman" w:eastAsia="SimSun" w:hAnsi="Times New Roman" w:cs="Times New Roman"/>
          <w:sz w:val="20"/>
          <w:szCs w:val="20"/>
          <w:lang w:eastAsia="zh-CN"/>
        </w:rPr>
        <w:t>Northern Ireland (Em</w:t>
      </w:r>
      <w:r>
        <w:rPr>
          <w:rFonts w:ascii="Times New Roman" w:eastAsia="SimSun" w:hAnsi="Times New Roman" w:cs="Times New Roman"/>
          <w:sz w:val="20"/>
          <w:szCs w:val="20"/>
          <w:lang w:eastAsia="zh-CN"/>
        </w:rPr>
        <w:t xml:space="preserve">ergency Provisions) Act 1973, s </w:t>
      </w:r>
      <w:r w:rsidRPr="00F10407">
        <w:rPr>
          <w:rFonts w:ascii="Times New Roman" w:eastAsia="SimSun" w:hAnsi="Times New Roman" w:cs="Times New Roman"/>
          <w:sz w:val="20"/>
          <w:szCs w:val="20"/>
          <w:lang w:eastAsia="zh-CN"/>
        </w:rPr>
        <w:t>11.</w:t>
      </w:r>
    </w:p>
  </w:footnote>
  <w:footnote w:id="46">
    <w:p w:rsidR="00DE779A" w:rsidRPr="00F10407" w:rsidRDefault="00DE779A" w:rsidP="007825C0">
      <w:pPr>
        <w:pStyle w:val="FootnoteText"/>
        <w:jc w:val="both"/>
        <w:rPr>
          <w:bCs/>
        </w:rPr>
      </w:pPr>
      <w:r w:rsidRPr="00F10407">
        <w:rPr>
          <w:rStyle w:val="FootnoteReference"/>
          <w:rFonts w:eastAsiaTheme="majorEastAsia"/>
        </w:rPr>
        <w:footnoteRef/>
      </w:r>
      <w:r w:rsidRPr="00F10407">
        <w:t xml:space="preserve"> </w:t>
      </w:r>
      <w:proofErr w:type="gramStart"/>
      <w:r w:rsidRPr="00F10407">
        <w:rPr>
          <w:rFonts w:eastAsia="SimSun"/>
          <w:lang w:eastAsia="zh-CN"/>
        </w:rPr>
        <w:t>B Dickson, ‘</w:t>
      </w:r>
      <w:r w:rsidRPr="00F10407">
        <w:rPr>
          <w:bCs/>
        </w:rPr>
        <w:t>Northern Ireland emergency legislation - the wrong medicine?’</w:t>
      </w:r>
      <w:proofErr w:type="gramEnd"/>
      <w:r w:rsidRPr="00F10407">
        <w:rPr>
          <w:bCs/>
        </w:rPr>
        <w:t xml:space="preserve"> </w:t>
      </w:r>
      <w:proofErr w:type="gramStart"/>
      <w:r w:rsidRPr="00F10407">
        <w:rPr>
          <w:bCs/>
        </w:rPr>
        <w:t>(1992) PL 592, 597.</w:t>
      </w:r>
      <w:proofErr w:type="gramEnd"/>
      <w:r w:rsidRPr="00F10407">
        <w:rPr>
          <w:bCs/>
        </w:rPr>
        <w:t xml:space="preserve"> </w:t>
      </w:r>
    </w:p>
  </w:footnote>
  <w:footnote w:id="47">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rPr>
          <w:rFonts w:eastAsia="SimSun"/>
          <w:lang w:eastAsia="zh-CN"/>
        </w:rPr>
        <w:t>Prevention of Terrorism (Te</w:t>
      </w:r>
      <w:r>
        <w:rPr>
          <w:rFonts w:eastAsia="SimSun"/>
          <w:lang w:eastAsia="zh-CN"/>
        </w:rPr>
        <w:t>mporary Provisions) Act 1974, s</w:t>
      </w:r>
      <w:r w:rsidRPr="00DC144B">
        <w:rPr>
          <w:rFonts w:eastAsia="SimSun"/>
          <w:lang w:eastAsia="zh-CN"/>
        </w:rPr>
        <w:t xml:space="preserve"> 1</w:t>
      </w:r>
      <w:r>
        <w:rPr>
          <w:rFonts w:eastAsia="SimSun"/>
          <w:lang w:eastAsia="zh-CN"/>
        </w:rPr>
        <w:t xml:space="preserve"> </w:t>
      </w:r>
      <w:r w:rsidRPr="00DC144B">
        <w:rPr>
          <w:rFonts w:eastAsia="SimSun"/>
          <w:lang w:eastAsia="zh-CN"/>
        </w:rPr>
        <w:t>(7).</w:t>
      </w:r>
      <w:proofErr w:type="gramEnd"/>
      <w:r w:rsidRPr="00DC144B">
        <w:rPr>
          <w:rFonts w:eastAsia="SimSun"/>
          <w:lang w:eastAsia="zh-CN"/>
        </w:rPr>
        <w:t xml:space="preserve">  </w:t>
      </w:r>
    </w:p>
  </w:footnote>
  <w:footnote w:id="48">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 xml:space="preserve">Donohue </w:t>
      </w:r>
      <w:r>
        <w:t xml:space="preserve">(n 45) </w:t>
      </w:r>
      <w:r w:rsidRPr="00DC144B">
        <w:t>123.</w:t>
      </w:r>
      <w:proofErr w:type="gramEnd"/>
    </w:p>
  </w:footnote>
  <w:footnote w:id="49">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rPr>
          <w:rFonts w:eastAsia="SimSun"/>
          <w:lang w:eastAsia="zh-CN"/>
        </w:rPr>
        <w:t>Drug Traff</w:t>
      </w:r>
      <w:r>
        <w:rPr>
          <w:rFonts w:eastAsia="SimSun"/>
          <w:lang w:eastAsia="zh-CN"/>
        </w:rPr>
        <w:t>icking Act 1986, s</w:t>
      </w:r>
      <w:r w:rsidRPr="00DC144B">
        <w:rPr>
          <w:rFonts w:eastAsia="SimSun"/>
          <w:lang w:eastAsia="zh-CN"/>
        </w:rPr>
        <w:t xml:space="preserve"> 1.</w:t>
      </w:r>
      <w:proofErr w:type="gramEnd"/>
      <w:r w:rsidRPr="00DC144B">
        <w:rPr>
          <w:rFonts w:eastAsia="SimSun"/>
          <w:lang w:eastAsia="zh-CN"/>
        </w:rPr>
        <w:t xml:space="preserve"> </w:t>
      </w:r>
    </w:p>
  </w:footnote>
  <w:footnote w:id="50">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rPr>
          <w:rFonts w:eastAsiaTheme="minorHAnsi"/>
          <w:lang w:eastAsia="en-US"/>
        </w:rPr>
        <w:t>[1981] A.C. 470 HL.</w:t>
      </w:r>
      <w:proofErr w:type="gramEnd"/>
    </w:p>
  </w:footnote>
  <w:footnote w:id="51">
    <w:p w:rsidR="00DE779A" w:rsidRPr="00DC144B" w:rsidRDefault="00DE779A" w:rsidP="007825C0">
      <w:pPr>
        <w:autoSpaceDE w:val="0"/>
        <w:autoSpaceDN w:val="0"/>
        <w:adjustRightInd w:val="0"/>
        <w:spacing w:after="0" w:line="240" w:lineRule="auto"/>
        <w:jc w:val="both"/>
        <w:rPr>
          <w:rFonts w:ascii="Times New Roman" w:hAnsi="Times New Roman" w:cs="Times New Roman"/>
          <w:sz w:val="20"/>
          <w:szCs w:val="20"/>
        </w:rPr>
      </w:pPr>
      <w:r w:rsidRPr="00DC144B">
        <w:rPr>
          <w:rStyle w:val="FootnoteReference"/>
          <w:rFonts w:ascii="Times New Roman" w:hAnsi="Times New Roman" w:cs="Times New Roman"/>
          <w:sz w:val="20"/>
          <w:szCs w:val="20"/>
        </w:rPr>
        <w:footnoteRef/>
      </w:r>
      <w:r w:rsidRPr="00DC144B">
        <w:rPr>
          <w:rFonts w:ascii="Times New Roman" w:hAnsi="Times New Roman" w:cs="Times New Roman"/>
          <w:sz w:val="20"/>
          <w:szCs w:val="20"/>
        </w:rPr>
        <w:t xml:space="preserve"> </w:t>
      </w:r>
      <w:r>
        <w:rPr>
          <w:rFonts w:ascii="Times New Roman" w:hAnsi="Times New Roman" w:cs="Times New Roman"/>
          <w:sz w:val="20"/>
          <w:szCs w:val="20"/>
        </w:rPr>
        <w:t xml:space="preserve">Derek </w:t>
      </w:r>
      <w:r w:rsidRPr="00DC144B">
        <w:rPr>
          <w:rFonts w:ascii="Times New Roman" w:hAnsi="Times New Roman" w:cs="Times New Roman"/>
          <w:sz w:val="20"/>
          <w:szCs w:val="20"/>
        </w:rPr>
        <w:t xml:space="preserve">Hodgson, </w:t>
      </w:r>
      <w:r w:rsidRPr="00F10407">
        <w:rPr>
          <w:rFonts w:ascii="Times New Roman" w:eastAsia="TimesNewRomanPS-ItalicMT" w:hAnsi="Times New Roman" w:cs="Times New Roman"/>
          <w:i/>
          <w:iCs/>
          <w:sz w:val="20"/>
          <w:szCs w:val="20"/>
        </w:rPr>
        <w:t>Profits of Crime and their Recovery: the report of a Committee Chaired by Sir Derek Hodgson</w:t>
      </w:r>
      <w:r w:rsidRPr="00DC144B">
        <w:rPr>
          <w:rFonts w:ascii="Times New Roman" w:eastAsia="TimesNewRomanPS-ItalicMT" w:hAnsi="Times New Roman" w:cs="Times New Roman"/>
          <w:iCs/>
          <w:sz w:val="20"/>
          <w:szCs w:val="20"/>
        </w:rPr>
        <w:t xml:space="preserve"> </w:t>
      </w:r>
      <w:r w:rsidRPr="00DC144B">
        <w:rPr>
          <w:rFonts w:ascii="Times New Roman" w:hAnsi="Times New Roman" w:cs="Times New Roman"/>
          <w:sz w:val="20"/>
          <w:szCs w:val="20"/>
        </w:rPr>
        <w:t>(London</w:t>
      </w:r>
      <w:r>
        <w:rPr>
          <w:rFonts w:ascii="Times New Roman" w:hAnsi="Times New Roman" w:cs="Times New Roman"/>
          <w:sz w:val="20"/>
          <w:szCs w:val="20"/>
        </w:rPr>
        <w:t xml:space="preserve"> 1984).</w:t>
      </w:r>
    </w:p>
  </w:footnote>
  <w:footnote w:id="52">
    <w:p w:rsidR="00DE779A" w:rsidRPr="00DC144B" w:rsidRDefault="00DE779A" w:rsidP="007825C0">
      <w:pPr>
        <w:autoSpaceDE w:val="0"/>
        <w:autoSpaceDN w:val="0"/>
        <w:adjustRightInd w:val="0"/>
        <w:spacing w:after="0" w:line="240" w:lineRule="auto"/>
        <w:jc w:val="both"/>
        <w:rPr>
          <w:rFonts w:ascii="Times New Roman" w:hAnsi="Times New Roman" w:cs="Times New Roman"/>
          <w:sz w:val="20"/>
          <w:szCs w:val="20"/>
        </w:rPr>
      </w:pPr>
      <w:r w:rsidRPr="00DC144B">
        <w:rPr>
          <w:rStyle w:val="FootnoteReference"/>
          <w:rFonts w:ascii="Times New Roman" w:hAnsi="Times New Roman" w:cs="Times New Roman"/>
          <w:sz w:val="20"/>
          <w:szCs w:val="20"/>
        </w:rPr>
        <w:footnoteRef/>
      </w:r>
      <w:r w:rsidRPr="00DC144B">
        <w:rPr>
          <w:rFonts w:ascii="Times New Roman" w:hAnsi="Times New Roman" w:cs="Times New Roman"/>
          <w:sz w:val="20"/>
          <w:szCs w:val="20"/>
        </w:rPr>
        <w:t xml:space="preserve"> Criminal Justice Act 1988</w:t>
      </w:r>
      <w:r>
        <w:rPr>
          <w:rFonts w:ascii="Times New Roman" w:hAnsi="Times New Roman" w:cs="Times New Roman"/>
          <w:sz w:val="20"/>
          <w:szCs w:val="20"/>
        </w:rPr>
        <w:t xml:space="preserve">, s </w:t>
      </w:r>
      <w:r w:rsidRPr="00DC144B">
        <w:rPr>
          <w:rFonts w:ascii="Times New Roman" w:hAnsi="Times New Roman" w:cs="Times New Roman"/>
          <w:sz w:val="20"/>
          <w:szCs w:val="20"/>
        </w:rPr>
        <w:t xml:space="preserve">71–89.  </w:t>
      </w:r>
    </w:p>
  </w:footnote>
  <w:footnote w:id="53">
    <w:p w:rsidR="00DE779A" w:rsidRPr="00DC144B" w:rsidRDefault="00DE779A" w:rsidP="007825C0">
      <w:pPr>
        <w:autoSpaceDE w:val="0"/>
        <w:autoSpaceDN w:val="0"/>
        <w:adjustRightInd w:val="0"/>
        <w:spacing w:after="0" w:line="240" w:lineRule="auto"/>
        <w:jc w:val="both"/>
        <w:rPr>
          <w:rFonts w:ascii="Times New Roman" w:hAnsi="Times New Roman" w:cs="Times New Roman"/>
          <w:sz w:val="20"/>
          <w:szCs w:val="20"/>
        </w:rPr>
      </w:pPr>
      <w:r w:rsidRPr="00DC144B">
        <w:rPr>
          <w:rStyle w:val="FootnoteReference"/>
          <w:rFonts w:ascii="Times New Roman" w:hAnsi="Times New Roman" w:cs="Times New Roman"/>
          <w:sz w:val="20"/>
          <w:szCs w:val="20"/>
        </w:rPr>
        <w:footnoteRef/>
      </w:r>
      <w:r w:rsidRPr="00DC144B">
        <w:rPr>
          <w:rFonts w:ascii="Times New Roman" w:hAnsi="Times New Roman" w:cs="Times New Roman"/>
          <w:sz w:val="20"/>
          <w:szCs w:val="20"/>
        </w:rPr>
        <w:t xml:space="preserve"> Drug Trafficking Act 1994</w:t>
      </w:r>
      <w:r>
        <w:rPr>
          <w:rFonts w:ascii="Times New Roman" w:hAnsi="Times New Roman" w:cs="Times New Roman"/>
          <w:sz w:val="20"/>
          <w:szCs w:val="20"/>
        </w:rPr>
        <w:t xml:space="preserve">, s </w:t>
      </w:r>
      <w:r w:rsidRPr="00DC144B">
        <w:rPr>
          <w:rFonts w:ascii="Times New Roman" w:hAnsi="Times New Roman" w:cs="Times New Roman"/>
          <w:sz w:val="20"/>
          <w:szCs w:val="20"/>
        </w:rPr>
        <w:t xml:space="preserve">1–41.  </w:t>
      </w:r>
    </w:p>
  </w:footnote>
  <w:footnote w:id="54">
    <w:p w:rsidR="00DE779A" w:rsidRPr="00DC144B" w:rsidRDefault="00DE779A" w:rsidP="007825C0">
      <w:pPr>
        <w:autoSpaceDE w:val="0"/>
        <w:autoSpaceDN w:val="0"/>
        <w:adjustRightInd w:val="0"/>
        <w:spacing w:after="0" w:line="240" w:lineRule="auto"/>
        <w:jc w:val="both"/>
        <w:rPr>
          <w:rFonts w:ascii="Times New Roman" w:hAnsi="Times New Roman" w:cs="Times New Roman"/>
          <w:sz w:val="20"/>
          <w:szCs w:val="20"/>
        </w:rPr>
      </w:pPr>
      <w:r w:rsidRPr="00DC144B">
        <w:rPr>
          <w:rStyle w:val="FootnoteReference"/>
          <w:rFonts w:ascii="Times New Roman" w:hAnsi="Times New Roman" w:cs="Times New Roman"/>
          <w:sz w:val="20"/>
          <w:szCs w:val="20"/>
        </w:rPr>
        <w:footnoteRef/>
      </w:r>
      <w:r w:rsidRPr="00DC144B">
        <w:rPr>
          <w:rFonts w:ascii="Times New Roman" w:hAnsi="Times New Roman" w:cs="Times New Roman"/>
          <w:sz w:val="20"/>
          <w:szCs w:val="20"/>
        </w:rPr>
        <w:t xml:space="preserve"> Proceeds of Crime Act 1995</w:t>
      </w:r>
      <w:r w:rsidR="003C606A">
        <w:rPr>
          <w:rFonts w:ascii="Times New Roman" w:hAnsi="Times New Roman" w:cs="Times New Roman"/>
          <w:sz w:val="20"/>
          <w:szCs w:val="20"/>
        </w:rPr>
        <w:t xml:space="preserve">, </w:t>
      </w:r>
      <w:r>
        <w:rPr>
          <w:rFonts w:ascii="Times New Roman" w:hAnsi="Times New Roman" w:cs="Times New Roman"/>
          <w:sz w:val="20"/>
          <w:szCs w:val="20"/>
        </w:rPr>
        <w:t xml:space="preserve">s </w:t>
      </w:r>
      <w:r w:rsidRPr="00DC144B">
        <w:rPr>
          <w:rFonts w:ascii="Times New Roman" w:hAnsi="Times New Roman" w:cs="Times New Roman"/>
          <w:sz w:val="20"/>
          <w:szCs w:val="20"/>
        </w:rPr>
        <w:t xml:space="preserve">1–2.  </w:t>
      </w:r>
    </w:p>
  </w:footnote>
  <w:footnote w:id="55">
    <w:p w:rsidR="00DE779A" w:rsidRPr="00DC144B" w:rsidRDefault="00DE779A" w:rsidP="007825C0">
      <w:pPr>
        <w:autoSpaceDE w:val="0"/>
        <w:autoSpaceDN w:val="0"/>
        <w:adjustRightInd w:val="0"/>
        <w:spacing w:after="0" w:line="240" w:lineRule="auto"/>
        <w:jc w:val="both"/>
        <w:rPr>
          <w:rFonts w:ascii="Times New Roman" w:hAnsi="Times New Roman" w:cs="Times New Roman"/>
          <w:sz w:val="20"/>
          <w:szCs w:val="20"/>
        </w:rPr>
      </w:pPr>
      <w:r w:rsidRPr="00DC144B">
        <w:rPr>
          <w:rStyle w:val="FootnoteReference"/>
          <w:rFonts w:ascii="Times New Roman" w:hAnsi="Times New Roman" w:cs="Times New Roman"/>
          <w:sz w:val="20"/>
          <w:szCs w:val="20"/>
        </w:rPr>
        <w:footnoteRef/>
      </w:r>
      <w:r w:rsidRPr="00DC144B">
        <w:rPr>
          <w:rFonts w:ascii="Times New Roman" w:hAnsi="Times New Roman" w:cs="Times New Roman"/>
          <w:sz w:val="20"/>
          <w:szCs w:val="20"/>
        </w:rPr>
        <w:t xml:space="preserve"> Cabinet Office </w:t>
      </w:r>
      <w:r w:rsidRPr="00DE779A">
        <w:rPr>
          <w:rFonts w:ascii="Times New Roman" w:eastAsia="TimesNewRomanPS-ItalicMT" w:hAnsi="Times New Roman" w:cs="Times New Roman"/>
          <w:i/>
          <w:iCs/>
          <w:sz w:val="20"/>
          <w:szCs w:val="20"/>
        </w:rPr>
        <w:t>Recovering the Proceeds of Crime—A Performance and Innovation Unit Report</w:t>
      </w:r>
      <w:r w:rsidRPr="00DC144B">
        <w:rPr>
          <w:rFonts w:ascii="Times New Roman" w:eastAsia="TimesNewRomanPS-ItalicMT" w:hAnsi="Times New Roman" w:cs="Times New Roman"/>
          <w:iCs/>
          <w:sz w:val="20"/>
          <w:szCs w:val="20"/>
        </w:rPr>
        <w:t xml:space="preserve"> </w:t>
      </w:r>
      <w:r w:rsidRPr="00DC144B">
        <w:rPr>
          <w:rFonts w:ascii="Times New Roman" w:hAnsi="Times New Roman" w:cs="Times New Roman"/>
          <w:sz w:val="20"/>
          <w:szCs w:val="20"/>
        </w:rPr>
        <w:t>(2000) 118-120.</w:t>
      </w:r>
    </w:p>
  </w:footnote>
  <w:footnote w:id="56">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Prevention of Terrorism (Te</w:t>
      </w:r>
      <w:r>
        <w:t>mporary Provisions) Act 1989, s</w:t>
      </w:r>
      <w:r w:rsidRPr="00DC144B">
        <w:t xml:space="preserve"> 9.</w:t>
      </w:r>
      <w:proofErr w:type="gramEnd"/>
    </w:p>
  </w:footnote>
  <w:footnote w:id="57">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Prevention of Terrorism (Te</w:t>
      </w:r>
      <w:r>
        <w:t>mporary Provisions) Act 1989, s</w:t>
      </w:r>
      <w:r w:rsidRPr="00DC144B">
        <w:t xml:space="preserve"> 10.</w:t>
      </w:r>
      <w:proofErr w:type="gramEnd"/>
    </w:p>
  </w:footnote>
  <w:footnote w:id="58">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Prevention of Terrorism (Tem</w:t>
      </w:r>
      <w:r>
        <w:t xml:space="preserve">porary Provisions) Act 1989, s </w:t>
      </w:r>
      <w:r w:rsidRPr="00DC144B">
        <w:t>11.</w:t>
      </w:r>
      <w:proofErr w:type="gramEnd"/>
    </w:p>
  </w:footnote>
  <w:footnote w:id="59">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 xml:space="preserve">Prevention of Terrorism (Temporary </w:t>
      </w:r>
      <w:r>
        <w:t xml:space="preserve">Provisions) Act 1989, s </w:t>
      </w:r>
      <w:r w:rsidRPr="00DC144B">
        <w:t>12.</w:t>
      </w:r>
      <w:proofErr w:type="gramEnd"/>
    </w:p>
  </w:footnote>
  <w:footnote w:id="60">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Prevention of Terrorism (Te</w:t>
      </w:r>
      <w:r>
        <w:t>mporary Provisions) Act 1989, s</w:t>
      </w:r>
      <w:r w:rsidRPr="00DC144B">
        <w:t xml:space="preserve"> 13.</w:t>
      </w:r>
      <w:proofErr w:type="gramEnd"/>
      <w:r w:rsidRPr="00DC144B">
        <w:t xml:space="preserve">  </w:t>
      </w:r>
    </w:p>
  </w:footnote>
  <w:footnote w:id="61">
    <w:p w:rsidR="00DE779A" w:rsidRPr="00DE779A" w:rsidRDefault="00DE779A" w:rsidP="00DE779A">
      <w:pPr>
        <w:pStyle w:val="Heading2"/>
        <w:shd w:val="clear" w:color="auto" w:fill="FFFFFF"/>
        <w:spacing w:before="0"/>
        <w:jc w:val="both"/>
        <w:rPr>
          <w:rFonts w:ascii="Times New Roman" w:eastAsia="Times New Roman" w:hAnsi="Times New Roman" w:cs="Times New Roman"/>
          <w:b w:val="0"/>
          <w:color w:val="auto"/>
          <w:sz w:val="20"/>
          <w:szCs w:val="20"/>
        </w:rPr>
      </w:pPr>
      <w:r w:rsidRPr="00DC144B">
        <w:rPr>
          <w:rStyle w:val="FootnoteReference"/>
          <w:rFonts w:ascii="Times New Roman" w:hAnsi="Times New Roman" w:cs="Times New Roman"/>
          <w:b w:val="0"/>
          <w:color w:val="auto"/>
          <w:sz w:val="20"/>
          <w:szCs w:val="20"/>
        </w:rPr>
        <w:footnoteRef/>
      </w:r>
      <w:r w:rsidRPr="00DC144B">
        <w:rPr>
          <w:rFonts w:ascii="Times New Roman" w:hAnsi="Times New Roman" w:cs="Times New Roman"/>
          <w:b w:val="0"/>
          <w:color w:val="auto"/>
          <w:sz w:val="20"/>
          <w:szCs w:val="20"/>
        </w:rPr>
        <w:t xml:space="preserve"> </w:t>
      </w:r>
      <w:proofErr w:type="gramStart"/>
      <w:r>
        <w:rPr>
          <w:rFonts w:ascii="Times New Roman" w:hAnsi="Times New Roman" w:cs="Times New Roman"/>
          <w:b w:val="0"/>
          <w:color w:val="auto"/>
          <w:sz w:val="20"/>
          <w:szCs w:val="20"/>
        </w:rPr>
        <w:t xml:space="preserve">D </w:t>
      </w:r>
      <w:r w:rsidRPr="00DC144B">
        <w:rPr>
          <w:rFonts w:ascii="Times New Roman" w:hAnsi="Times New Roman" w:cs="Times New Roman"/>
          <w:b w:val="0"/>
          <w:color w:val="auto"/>
          <w:sz w:val="20"/>
          <w:szCs w:val="20"/>
        </w:rPr>
        <w:t>Feldman, ‘</w:t>
      </w:r>
      <w:r w:rsidRPr="00DC144B">
        <w:rPr>
          <w:rFonts w:ascii="Times New Roman" w:eastAsia="Times New Roman" w:hAnsi="Times New Roman" w:cs="Times New Roman"/>
          <w:b w:val="0"/>
          <w:color w:val="auto"/>
          <w:sz w:val="20"/>
          <w:szCs w:val="20"/>
        </w:rPr>
        <w:t>Conveyancers and the proceeds of crime’ (1989) Conveyancer and Property Lawyer, 389</w:t>
      </w:r>
      <w:r>
        <w:rPr>
          <w:rFonts w:ascii="Times New Roman" w:eastAsia="Times New Roman" w:hAnsi="Times New Roman" w:cs="Times New Roman"/>
          <w:b w:val="0"/>
          <w:color w:val="auto"/>
          <w:sz w:val="20"/>
          <w:szCs w:val="20"/>
        </w:rPr>
        <w:t>, 390-391</w:t>
      </w:r>
      <w:r w:rsidRPr="00DC144B">
        <w:rPr>
          <w:rFonts w:ascii="Times New Roman" w:eastAsia="Times New Roman" w:hAnsi="Times New Roman" w:cs="Times New Roman"/>
          <w:b w:val="0"/>
          <w:color w:val="auto"/>
          <w:sz w:val="20"/>
          <w:szCs w:val="20"/>
        </w:rPr>
        <w:t>.</w:t>
      </w:r>
      <w:proofErr w:type="gramEnd"/>
    </w:p>
  </w:footnote>
  <w:footnote w:id="62">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222DE9">
        <w:t xml:space="preserve">Home Office </w:t>
      </w:r>
      <w:r w:rsidRPr="00222DE9">
        <w:rPr>
          <w:rFonts w:eastAsiaTheme="minorHAnsi"/>
          <w:i/>
          <w:lang w:eastAsia="en-US"/>
        </w:rPr>
        <w:t>Legislation against Terrorism – A consultation paper</w:t>
      </w:r>
      <w:r w:rsidRPr="00222DE9">
        <w:rPr>
          <w:rFonts w:eastAsiaTheme="minorHAnsi"/>
          <w:lang w:eastAsia="en-US"/>
        </w:rPr>
        <w:t xml:space="preserve"> (1998) </w:t>
      </w:r>
      <w:r w:rsidRPr="00DC144B">
        <w:rPr>
          <w:rFonts w:eastAsiaTheme="minorHAnsi"/>
          <w:lang w:eastAsia="en-US"/>
        </w:rPr>
        <w:t>para 6.14.</w:t>
      </w:r>
      <w:proofErr w:type="gramEnd"/>
    </w:p>
  </w:footnote>
  <w:footnote w:id="63">
    <w:p w:rsidR="00DE779A" w:rsidRPr="00DC144B" w:rsidRDefault="00DE779A" w:rsidP="007825C0">
      <w:pPr>
        <w:pStyle w:val="FootnoteText"/>
        <w:jc w:val="both"/>
      </w:pPr>
      <w:r w:rsidRPr="00DC144B">
        <w:rPr>
          <w:rStyle w:val="FootnoteReference"/>
        </w:rPr>
        <w:footnoteRef/>
      </w:r>
      <w:r w:rsidRPr="00DC144B">
        <w:t xml:space="preserve"> </w:t>
      </w:r>
      <w:r>
        <w:t xml:space="preserve">Lord Lloyd of </w:t>
      </w:r>
      <w:r w:rsidRPr="00DC144B">
        <w:t xml:space="preserve">Berwick, </w:t>
      </w:r>
      <w:r w:rsidRPr="00DE779A">
        <w:rPr>
          <w:i/>
        </w:rPr>
        <w:t>Inquiry into legislation against terrorism</w:t>
      </w:r>
      <w:r w:rsidRPr="00DC144B">
        <w:t xml:space="preserve"> (1996</w:t>
      </w:r>
      <w:r w:rsidR="003C606A">
        <w:t>)</w:t>
      </w:r>
      <w:r w:rsidRPr="00DC144B">
        <w:rPr>
          <w:rFonts w:eastAsiaTheme="minorHAnsi"/>
          <w:lang w:eastAsia="en-US"/>
        </w:rPr>
        <w:t>.</w:t>
      </w:r>
    </w:p>
  </w:footnote>
  <w:footnote w:id="64">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r w:rsidRPr="00DE779A">
        <w:rPr>
          <w:i/>
        </w:rPr>
        <w:t>Ibid</w:t>
      </w:r>
      <w:r w:rsidRPr="00DC144B">
        <w:rPr>
          <w:rFonts w:eastAsiaTheme="minorHAnsi"/>
          <w:lang w:eastAsia="en-US"/>
        </w:rPr>
        <w:t>.</w:t>
      </w:r>
    </w:p>
  </w:footnote>
  <w:footnote w:id="65">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t xml:space="preserve">R </w:t>
      </w:r>
      <w:r w:rsidRPr="00DC144B">
        <w:t>Bell, ‘The confiscation, forfeiture and di</w:t>
      </w:r>
      <w:r w:rsidR="00FC62E7">
        <w:t>sruption of terrorist finances’</w:t>
      </w:r>
      <w:r w:rsidRPr="00DC144B">
        <w:t xml:space="preserve"> (2003) </w:t>
      </w:r>
      <w:r>
        <w:t xml:space="preserve">7(2) </w:t>
      </w:r>
      <w:r w:rsidRPr="00DC144B">
        <w:rPr>
          <w:bCs/>
          <w:kern w:val="36"/>
        </w:rPr>
        <w:t>Journal of Money Laundering Control</w:t>
      </w:r>
      <w:r>
        <w:rPr>
          <w:bCs/>
          <w:kern w:val="36"/>
        </w:rPr>
        <w:t xml:space="preserve"> 1</w:t>
      </w:r>
      <w:r w:rsidRPr="00DC144B">
        <w:t>05</w:t>
      </w:r>
      <w:r>
        <w:t xml:space="preserve">, </w:t>
      </w:r>
      <w:r w:rsidRPr="00DC144B">
        <w:t>113.</w:t>
      </w:r>
      <w:proofErr w:type="gramEnd"/>
    </w:p>
  </w:footnote>
  <w:footnote w:id="66">
    <w:p w:rsidR="00FC62E7" w:rsidRPr="00DC144B" w:rsidRDefault="00DE779A" w:rsidP="007825C0">
      <w:pPr>
        <w:autoSpaceDE w:val="0"/>
        <w:autoSpaceDN w:val="0"/>
        <w:adjustRightInd w:val="0"/>
        <w:spacing w:after="0" w:line="240" w:lineRule="auto"/>
        <w:jc w:val="both"/>
        <w:rPr>
          <w:rFonts w:ascii="Times New Roman" w:hAnsi="Times New Roman" w:cs="Times New Roman"/>
          <w:sz w:val="20"/>
          <w:szCs w:val="20"/>
        </w:rPr>
      </w:pPr>
      <w:r w:rsidRPr="00DC144B">
        <w:rPr>
          <w:rStyle w:val="FootnoteReference"/>
          <w:rFonts w:ascii="Times New Roman" w:hAnsi="Times New Roman" w:cs="Times New Roman"/>
          <w:sz w:val="20"/>
          <w:szCs w:val="20"/>
        </w:rPr>
        <w:footnoteRef/>
      </w:r>
      <w:r w:rsidRPr="00DC144B">
        <w:rPr>
          <w:rFonts w:ascii="Times New Roman" w:hAnsi="Times New Roman" w:cs="Times New Roman"/>
          <w:sz w:val="20"/>
          <w:szCs w:val="20"/>
        </w:rPr>
        <w:t xml:space="preserve"> </w:t>
      </w:r>
      <w:proofErr w:type="gramStart"/>
      <w:r w:rsidRPr="00DC144B">
        <w:rPr>
          <w:rFonts w:ascii="Times New Roman" w:hAnsi="Times New Roman" w:cs="Times New Roman"/>
          <w:sz w:val="20"/>
          <w:szCs w:val="20"/>
        </w:rPr>
        <w:t xml:space="preserve">Home Office </w:t>
      </w:r>
      <w:r w:rsidR="00FC62E7">
        <w:rPr>
          <w:rFonts w:ascii="Times New Roman" w:hAnsi="Times New Roman" w:cs="Times New Roman"/>
          <w:sz w:val="20"/>
          <w:szCs w:val="20"/>
        </w:rPr>
        <w:t>(n 62)</w:t>
      </w:r>
      <w:r w:rsidRPr="00DC144B">
        <w:rPr>
          <w:rFonts w:ascii="Times New Roman" w:hAnsi="Times New Roman" w:cs="Times New Roman"/>
          <w:sz w:val="20"/>
          <w:szCs w:val="20"/>
        </w:rPr>
        <w:t>.</w:t>
      </w:r>
      <w:proofErr w:type="gramEnd"/>
      <w:r w:rsidRPr="00DC144B">
        <w:rPr>
          <w:rFonts w:ascii="Times New Roman" w:hAnsi="Times New Roman" w:cs="Times New Roman"/>
          <w:sz w:val="20"/>
          <w:szCs w:val="20"/>
        </w:rPr>
        <w:t xml:space="preserve"> </w:t>
      </w:r>
    </w:p>
  </w:footnote>
  <w:footnote w:id="67">
    <w:p w:rsidR="00DE779A" w:rsidRPr="00DC144B" w:rsidRDefault="00DE779A" w:rsidP="007825C0">
      <w:pPr>
        <w:pStyle w:val="FootnoteText"/>
        <w:jc w:val="both"/>
        <w:rPr>
          <w:rFonts w:eastAsiaTheme="minorHAnsi"/>
          <w:lang w:eastAsia="en-US"/>
        </w:rPr>
      </w:pPr>
      <w:r w:rsidRPr="00DC144B">
        <w:rPr>
          <w:rStyle w:val="FootnoteReference"/>
          <w:rFonts w:eastAsiaTheme="majorEastAsia"/>
        </w:rPr>
        <w:footnoteRef/>
      </w:r>
      <w:r>
        <w:t xml:space="preserve"> </w:t>
      </w:r>
      <w:proofErr w:type="gramStart"/>
      <w:r>
        <w:t>Terrorism Act 2000, s</w:t>
      </w:r>
      <w:r w:rsidRPr="00DC144B">
        <w:t xml:space="preserve"> 1.</w:t>
      </w:r>
      <w:proofErr w:type="gramEnd"/>
      <w:r w:rsidRPr="00DC144B">
        <w:t xml:space="preserve"> </w:t>
      </w:r>
    </w:p>
  </w:footnote>
  <w:footnote w:id="68">
    <w:p w:rsidR="00FC62E7" w:rsidRPr="00DC144B" w:rsidRDefault="00DE779A" w:rsidP="007825C0">
      <w:pPr>
        <w:pStyle w:val="FootnoteText"/>
        <w:jc w:val="both"/>
      </w:pPr>
      <w:r w:rsidRPr="00DC144B">
        <w:rPr>
          <w:rStyle w:val="FootnoteReference"/>
          <w:rFonts w:eastAsiaTheme="majorEastAsia"/>
        </w:rPr>
        <w:footnoteRef/>
      </w:r>
      <w:r w:rsidR="00FC62E7">
        <w:t xml:space="preserve"> J </w:t>
      </w:r>
      <w:r w:rsidR="00FC62E7" w:rsidRPr="00222DE9">
        <w:t xml:space="preserve">Rowe, </w:t>
      </w:r>
      <w:r w:rsidR="00FC62E7">
        <w:t>‘</w:t>
      </w:r>
      <w:r w:rsidR="00FC62E7" w:rsidRPr="00366235">
        <w:t>The Terrorism Act</w:t>
      </w:r>
      <w:r w:rsidR="00FC62E7" w:rsidRPr="00222DE9">
        <w:rPr>
          <w:i/>
        </w:rPr>
        <w:t xml:space="preserve"> </w:t>
      </w:r>
      <w:r w:rsidR="00FC62E7" w:rsidRPr="00366235">
        <w:t>2000</w:t>
      </w:r>
      <w:r w:rsidR="00FC62E7">
        <w:t>’</w:t>
      </w:r>
      <w:r w:rsidR="00FC62E7">
        <w:t xml:space="preserve"> </w:t>
      </w:r>
      <w:r w:rsidR="00FC62E7" w:rsidRPr="00222DE9">
        <w:t xml:space="preserve">(2001) Criminal Law Review, </w:t>
      </w:r>
      <w:r w:rsidR="00FC62E7">
        <w:t>527</w:t>
      </w:r>
      <w:r w:rsidR="00FC62E7" w:rsidRPr="00222DE9">
        <w:t>.</w:t>
      </w:r>
    </w:p>
  </w:footnote>
  <w:footnote w:id="69">
    <w:p w:rsidR="00DE779A" w:rsidRPr="00DC144B" w:rsidRDefault="00DE779A" w:rsidP="007825C0">
      <w:pPr>
        <w:pStyle w:val="FootnoteText"/>
        <w:jc w:val="both"/>
      </w:pPr>
      <w:r w:rsidRPr="00DC144B">
        <w:rPr>
          <w:rStyle w:val="FootnoteReference"/>
          <w:rFonts w:eastAsiaTheme="majorEastAsia"/>
        </w:rPr>
        <w:footnoteRef/>
      </w:r>
      <w:r>
        <w:t xml:space="preserve"> Terrorism Act 2000, s</w:t>
      </w:r>
      <w:r w:rsidRPr="00DC144B">
        <w:t xml:space="preserve"> 3-13.</w:t>
      </w:r>
    </w:p>
  </w:footnote>
  <w:footnote w:id="70">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Terrorism Act 2000, Schedule 3.</w:t>
      </w:r>
      <w:proofErr w:type="gramEnd"/>
      <w:r w:rsidRPr="00DC144B">
        <w:t xml:space="preserve">  </w:t>
      </w:r>
    </w:p>
  </w:footnote>
  <w:footnote w:id="71">
    <w:p w:rsidR="00DE779A" w:rsidRPr="00DC144B" w:rsidRDefault="00DE779A" w:rsidP="007825C0">
      <w:pPr>
        <w:pStyle w:val="FootnoteText"/>
        <w:jc w:val="both"/>
      </w:pPr>
      <w:r w:rsidRPr="00DC144B">
        <w:rPr>
          <w:rStyle w:val="FootnoteReference"/>
          <w:rFonts w:eastAsiaTheme="majorEastAsia"/>
        </w:rPr>
        <w:footnoteRef/>
      </w:r>
      <w:r>
        <w:t xml:space="preserve"> </w:t>
      </w:r>
      <w:proofErr w:type="gramStart"/>
      <w:r>
        <w:t>Terrorism Act 2000, s</w:t>
      </w:r>
      <w:r w:rsidRPr="00DC144B">
        <w:t xml:space="preserve"> 23, 23A and 23B.</w:t>
      </w:r>
      <w:proofErr w:type="gramEnd"/>
    </w:p>
  </w:footnote>
  <w:footnote w:id="72">
    <w:p w:rsidR="00DE779A" w:rsidRPr="00DC144B" w:rsidRDefault="00DE779A" w:rsidP="007825C0">
      <w:pPr>
        <w:pStyle w:val="FootnoteText"/>
        <w:jc w:val="both"/>
      </w:pPr>
      <w:r w:rsidRPr="00DC144B">
        <w:rPr>
          <w:rStyle w:val="FootnoteReference"/>
          <w:rFonts w:eastAsiaTheme="majorEastAsia"/>
        </w:rPr>
        <w:footnoteRef/>
      </w:r>
      <w:r>
        <w:t xml:space="preserve"> </w:t>
      </w:r>
      <w:proofErr w:type="gramStart"/>
      <w:r>
        <w:t>Terrorism Act 2000, s</w:t>
      </w:r>
      <w:r w:rsidRPr="00DC144B">
        <w:t xml:space="preserve"> 19.</w:t>
      </w:r>
      <w:proofErr w:type="gramEnd"/>
      <w:r w:rsidRPr="00DC144B">
        <w:t xml:space="preserve">  </w:t>
      </w:r>
    </w:p>
  </w:footnote>
  <w:footnote w:id="73">
    <w:p w:rsidR="00DE779A" w:rsidRPr="00DC144B" w:rsidRDefault="00DE779A" w:rsidP="007825C0">
      <w:pPr>
        <w:pStyle w:val="FootnoteText"/>
        <w:jc w:val="both"/>
      </w:pPr>
      <w:r w:rsidRPr="00DC144B">
        <w:rPr>
          <w:rStyle w:val="FootnoteReference"/>
          <w:rFonts w:eastAsiaTheme="majorEastAsia"/>
        </w:rPr>
        <w:footnoteRef/>
      </w:r>
      <w:r>
        <w:t xml:space="preserve"> </w:t>
      </w:r>
      <w:proofErr w:type="gramStart"/>
      <w:r>
        <w:t>Terrorism Act 2000, s</w:t>
      </w:r>
      <w:r w:rsidRPr="00DC144B">
        <w:t xml:space="preserve"> 15.</w:t>
      </w:r>
      <w:proofErr w:type="gramEnd"/>
      <w:r w:rsidRPr="00DC144B">
        <w:t xml:space="preserve"> </w:t>
      </w:r>
    </w:p>
  </w:footnote>
  <w:footnote w:id="74">
    <w:p w:rsidR="00DE779A" w:rsidRPr="00DC144B" w:rsidRDefault="00DE779A" w:rsidP="007825C0">
      <w:pPr>
        <w:pStyle w:val="FootnoteText"/>
        <w:jc w:val="both"/>
      </w:pPr>
      <w:r w:rsidRPr="00DC144B">
        <w:rPr>
          <w:rStyle w:val="FootnoteReference"/>
          <w:rFonts w:eastAsiaTheme="majorEastAsia"/>
        </w:rPr>
        <w:footnoteRef/>
      </w:r>
      <w:r>
        <w:t xml:space="preserve"> </w:t>
      </w:r>
      <w:proofErr w:type="gramStart"/>
      <w:r>
        <w:t>Terrorism Act 2000, s</w:t>
      </w:r>
      <w:r w:rsidRPr="00DC144B">
        <w:t xml:space="preserve"> 16.</w:t>
      </w:r>
      <w:proofErr w:type="gramEnd"/>
      <w:r w:rsidRPr="00DC144B">
        <w:t xml:space="preserve"> </w:t>
      </w:r>
    </w:p>
  </w:footnote>
  <w:footnote w:id="75">
    <w:p w:rsidR="00DE779A" w:rsidRPr="00DC144B" w:rsidRDefault="00DE779A" w:rsidP="007825C0">
      <w:pPr>
        <w:pStyle w:val="FootnoteText"/>
        <w:jc w:val="both"/>
      </w:pPr>
      <w:r w:rsidRPr="00DC144B">
        <w:rPr>
          <w:rStyle w:val="FootnoteReference"/>
          <w:rFonts w:eastAsiaTheme="majorEastAsia"/>
        </w:rPr>
        <w:footnoteRef/>
      </w:r>
      <w:r>
        <w:t xml:space="preserve"> </w:t>
      </w:r>
      <w:proofErr w:type="gramStart"/>
      <w:r>
        <w:t>Terrorism Act 2000, s</w:t>
      </w:r>
      <w:r w:rsidRPr="00DC144B">
        <w:t xml:space="preserve"> 17.</w:t>
      </w:r>
      <w:proofErr w:type="gramEnd"/>
      <w:r w:rsidRPr="00DC144B">
        <w:t xml:space="preserve"> </w:t>
      </w:r>
    </w:p>
  </w:footnote>
  <w:footnote w:id="76">
    <w:p w:rsidR="00DE779A" w:rsidRPr="00DC144B" w:rsidRDefault="00DE779A" w:rsidP="007825C0">
      <w:pPr>
        <w:pStyle w:val="FootnoteText"/>
        <w:jc w:val="both"/>
      </w:pPr>
      <w:r w:rsidRPr="00DC144B">
        <w:rPr>
          <w:rStyle w:val="FootnoteReference"/>
        </w:rPr>
        <w:footnoteRef/>
      </w:r>
      <w:r>
        <w:t xml:space="preserve"> </w:t>
      </w:r>
      <w:proofErr w:type="gramStart"/>
      <w:r>
        <w:t>Terrorism Act 2000, s</w:t>
      </w:r>
      <w:r w:rsidRPr="00DC144B">
        <w:t xml:space="preserve"> 17A.</w:t>
      </w:r>
      <w:proofErr w:type="gramEnd"/>
    </w:p>
  </w:footnote>
  <w:footnote w:id="77">
    <w:p w:rsidR="00DE779A" w:rsidRPr="00DC144B" w:rsidRDefault="00DE779A" w:rsidP="007825C0">
      <w:pPr>
        <w:pStyle w:val="FootnoteText"/>
        <w:jc w:val="both"/>
      </w:pPr>
      <w:r w:rsidRPr="00DC144B">
        <w:rPr>
          <w:rStyle w:val="FootnoteReference"/>
          <w:rFonts w:eastAsiaTheme="majorEastAsia"/>
        </w:rPr>
        <w:footnoteRef/>
      </w:r>
      <w:r>
        <w:t xml:space="preserve"> </w:t>
      </w:r>
      <w:proofErr w:type="gramStart"/>
      <w:r>
        <w:t>Terrorism Act 2000, s</w:t>
      </w:r>
      <w:r w:rsidRPr="00DC144B">
        <w:t xml:space="preserve"> 18.</w:t>
      </w:r>
      <w:proofErr w:type="gramEnd"/>
      <w:r w:rsidRPr="00DC144B">
        <w:t xml:space="preserve"> </w:t>
      </w:r>
    </w:p>
  </w:footnote>
  <w:footnote w:id="78">
    <w:p w:rsidR="00DE779A" w:rsidRPr="00DC144B" w:rsidRDefault="00DE779A" w:rsidP="007825C0">
      <w:pPr>
        <w:pStyle w:val="FootnoteText"/>
        <w:jc w:val="both"/>
      </w:pPr>
      <w:r w:rsidRPr="00DC144B">
        <w:rPr>
          <w:rStyle w:val="FootnoteReference"/>
          <w:rFonts w:eastAsiaTheme="majorEastAsia"/>
        </w:rPr>
        <w:footnoteRef/>
      </w:r>
      <w:r>
        <w:t xml:space="preserve"> </w:t>
      </w:r>
      <w:proofErr w:type="gramStart"/>
      <w:r>
        <w:t>Terrorism Act 2000, s</w:t>
      </w:r>
      <w:r w:rsidRPr="00DC144B">
        <w:t xml:space="preserve"> 19.</w:t>
      </w:r>
      <w:proofErr w:type="gramEnd"/>
    </w:p>
  </w:footnote>
  <w:footnote w:id="79">
    <w:p w:rsidR="00DE779A" w:rsidRPr="00DC144B" w:rsidRDefault="00DE779A" w:rsidP="007825C0">
      <w:pPr>
        <w:pStyle w:val="FootnoteText"/>
        <w:jc w:val="both"/>
      </w:pPr>
      <w:r w:rsidRPr="00DC144B">
        <w:rPr>
          <w:rStyle w:val="FootnoteReference"/>
        </w:rPr>
        <w:footnoteRef/>
      </w:r>
      <w:r>
        <w:t xml:space="preserve"> </w:t>
      </w:r>
      <w:proofErr w:type="gramStart"/>
      <w:r>
        <w:t xml:space="preserve">Terrorism Act 2000, s </w:t>
      </w:r>
      <w:r w:rsidRPr="00DC144B">
        <w:t>21A.</w:t>
      </w:r>
      <w:proofErr w:type="gramEnd"/>
    </w:p>
  </w:footnote>
  <w:footnote w:id="80">
    <w:p w:rsidR="00DE779A" w:rsidRPr="00DC144B" w:rsidRDefault="00DE779A" w:rsidP="007825C0">
      <w:pPr>
        <w:pStyle w:val="FootnoteText"/>
        <w:jc w:val="both"/>
      </w:pPr>
      <w:r w:rsidRPr="00DC144B">
        <w:rPr>
          <w:rStyle w:val="FootnoteReference"/>
          <w:rFonts w:eastAsiaTheme="majorEastAsia"/>
        </w:rPr>
        <w:footnoteRef/>
      </w:r>
      <w:r>
        <w:t xml:space="preserve"> </w:t>
      </w:r>
      <w:proofErr w:type="gramStart"/>
      <w:r>
        <w:t>Terrorism Act 2000, s</w:t>
      </w:r>
      <w:r w:rsidRPr="00DC144B">
        <w:t xml:space="preserve"> 21D.</w:t>
      </w:r>
      <w:proofErr w:type="gramEnd"/>
      <w:r w:rsidRPr="00DC144B">
        <w:t xml:space="preserve">  </w:t>
      </w:r>
    </w:p>
  </w:footnote>
  <w:footnote w:id="81">
    <w:p w:rsidR="00DE779A" w:rsidRDefault="00DE779A" w:rsidP="007825C0">
      <w:pPr>
        <w:pStyle w:val="FootnoteText"/>
      </w:pPr>
      <w:r>
        <w:rPr>
          <w:rStyle w:val="FootnoteReference"/>
        </w:rPr>
        <w:footnoteRef/>
      </w:r>
      <w:r>
        <w:t xml:space="preserve"> </w:t>
      </w:r>
      <w:proofErr w:type="gramStart"/>
      <w:r>
        <w:t>Anti-terrorism,</w:t>
      </w:r>
      <w:r w:rsidR="00564FC5">
        <w:t xml:space="preserve"> Crime and Security Act 2001, s</w:t>
      </w:r>
      <w:r>
        <w:t xml:space="preserve"> 1.</w:t>
      </w:r>
      <w:proofErr w:type="gramEnd"/>
    </w:p>
  </w:footnote>
  <w:footnote w:id="82">
    <w:p w:rsidR="00DE779A" w:rsidRDefault="00DE779A" w:rsidP="007825C0">
      <w:pPr>
        <w:pStyle w:val="FootnoteText"/>
      </w:pPr>
      <w:r>
        <w:rPr>
          <w:rStyle w:val="FootnoteReference"/>
        </w:rPr>
        <w:footnoteRef/>
      </w:r>
      <w:r>
        <w:t xml:space="preserve"> </w:t>
      </w:r>
      <w:proofErr w:type="gramStart"/>
      <w:r>
        <w:t>Anti-terrorism,</w:t>
      </w:r>
      <w:r w:rsidR="00564FC5">
        <w:t xml:space="preserve"> Crime and Security Act 2001, s</w:t>
      </w:r>
      <w:r>
        <w:t xml:space="preserve"> 4.</w:t>
      </w:r>
      <w:proofErr w:type="gramEnd"/>
    </w:p>
  </w:footnote>
  <w:footnote w:id="83">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Anti-terrorism, Crime and Security Act 2001, Schedule 1, part 2, para 2.</w:t>
      </w:r>
      <w:proofErr w:type="gramEnd"/>
    </w:p>
  </w:footnote>
  <w:footnote w:id="84">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 xml:space="preserve">Anti-terrorism, Crime and </w:t>
      </w:r>
      <w:r>
        <w:t>Security Act 2001, Schedule 2, p</w:t>
      </w:r>
      <w:r w:rsidRPr="00DC144B">
        <w:t>art 1, para 1.</w:t>
      </w:r>
      <w:proofErr w:type="gramEnd"/>
    </w:p>
  </w:footnote>
  <w:footnote w:id="85">
    <w:p w:rsidR="00DE779A" w:rsidRDefault="00DE779A" w:rsidP="007825C0">
      <w:pPr>
        <w:pStyle w:val="FootnoteText"/>
      </w:pPr>
      <w:r>
        <w:rPr>
          <w:rStyle w:val="FootnoteReference"/>
        </w:rPr>
        <w:footnoteRef/>
      </w:r>
      <w:r>
        <w:t xml:space="preserve"> </w:t>
      </w:r>
      <w:proofErr w:type="gramStart"/>
      <w:r w:rsidRPr="00DC144B">
        <w:t xml:space="preserve">Anti-terrorism, Crime and Security Act </w:t>
      </w:r>
      <w:r>
        <w:t>2001, Schedule 2, part 1, para 2</w:t>
      </w:r>
      <w:r w:rsidRPr="00DC144B">
        <w:t>.</w:t>
      </w:r>
      <w:proofErr w:type="gramEnd"/>
    </w:p>
  </w:footnote>
  <w:footnote w:id="86">
    <w:p w:rsidR="00DE779A" w:rsidRDefault="00DE779A" w:rsidP="007825C0">
      <w:pPr>
        <w:pStyle w:val="FootnoteText"/>
      </w:pPr>
      <w:r>
        <w:rPr>
          <w:rStyle w:val="FootnoteReference"/>
        </w:rPr>
        <w:footnoteRef/>
      </w:r>
      <w:r>
        <w:t xml:space="preserve"> </w:t>
      </w:r>
      <w:r w:rsidRPr="00DC144B">
        <w:t xml:space="preserve">Anti-terrorism, Crime and Security Act </w:t>
      </w:r>
      <w:r>
        <w:t>2001, Schedule 2, part 3.</w:t>
      </w:r>
    </w:p>
  </w:footnote>
  <w:footnote w:id="87">
    <w:p w:rsidR="00DE779A" w:rsidRPr="00564FC5" w:rsidRDefault="00DE779A" w:rsidP="007825C0">
      <w:pPr>
        <w:spacing w:after="0" w:line="240" w:lineRule="auto"/>
        <w:jc w:val="both"/>
        <w:rPr>
          <w:rFonts w:ascii="Times New Roman" w:eastAsia="Times New Roman" w:hAnsi="Times New Roman" w:cs="Times New Roman"/>
          <w:sz w:val="20"/>
          <w:szCs w:val="20"/>
          <w:lang w:eastAsia="en-GB"/>
        </w:rPr>
      </w:pPr>
      <w:r w:rsidRPr="00564FC5">
        <w:rPr>
          <w:rStyle w:val="FootnoteReference"/>
          <w:rFonts w:ascii="Times New Roman" w:hAnsi="Times New Roman" w:cs="Times New Roman"/>
          <w:sz w:val="20"/>
          <w:szCs w:val="20"/>
        </w:rPr>
        <w:footnoteRef/>
      </w:r>
      <w:r w:rsidRPr="00564FC5">
        <w:rPr>
          <w:rFonts w:ascii="Times New Roman" w:hAnsi="Times New Roman" w:cs="Times New Roman"/>
          <w:sz w:val="20"/>
          <w:szCs w:val="20"/>
        </w:rPr>
        <w:t xml:space="preserve"> </w:t>
      </w:r>
      <w:r w:rsidRPr="00564FC5">
        <w:rPr>
          <w:rFonts w:ascii="Times New Roman" w:eastAsia="Times New Roman" w:hAnsi="Times New Roman" w:cs="Times New Roman"/>
          <w:sz w:val="20"/>
          <w:szCs w:val="20"/>
          <w:lang w:eastAsia="en-GB"/>
        </w:rPr>
        <w:t xml:space="preserve">HM Treasury </w:t>
      </w:r>
      <w:proofErr w:type="gramStart"/>
      <w:r w:rsidRPr="00564FC5">
        <w:rPr>
          <w:rFonts w:ascii="Times New Roman" w:eastAsia="Times New Roman" w:hAnsi="Times New Roman" w:cs="Times New Roman"/>
          <w:i/>
          <w:sz w:val="20"/>
          <w:szCs w:val="20"/>
          <w:lang w:eastAsia="en-GB"/>
        </w:rPr>
        <w:t>Combating</w:t>
      </w:r>
      <w:proofErr w:type="gramEnd"/>
      <w:r w:rsidRPr="00564FC5">
        <w:rPr>
          <w:rFonts w:ascii="Times New Roman" w:eastAsia="Times New Roman" w:hAnsi="Times New Roman" w:cs="Times New Roman"/>
          <w:i/>
          <w:sz w:val="20"/>
          <w:szCs w:val="20"/>
          <w:lang w:eastAsia="en-GB"/>
        </w:rPr>
        <w:t xml:space="preserve"> the financing of terrorism. </w:t>
      </w:r>
      <w:proofErr w:type="gramStart"/>
      <w:r w:rsidRPr="00564FC5">
        <w:rPr>
          <w:rFonts w:ascii="Times New Roman" w:eastAsia="Times New Roman" w:hAnsi="Times New Roman" w:cs="Times New Roman"/>
          <w:i/>
          <w:sz w:val="20"/>
          <w:szCs w:val="20"/>
          <w:lang w:eastAsia="en-GB"/>
        </w:rPr>
        <w:t xml:space="preserve">A report on UK action </w:t>
      </w:r>
      <w:r w:rsidRPr="00564FC5">
        <w:rPr>
          <w:rFonts w:ascii="Times New Roman" w:eastAsia="Times New Roman" w:hAnsi="Times New Roman" w:cs="Times New Roman"/>
          <w:sz w:val="20"/>
          <w:szCs w:val="20"/>
          <w:lang w:eastAsia="en-GB"/>
        </w:rPr>
        <w:t>(2002).</w:t>
      </w:r>
      <w:proofErr w:type="gramEnd"/>
    </w:p>
  </w:footnote>
  <w:footnote w:id="88">
    <w:p w:rsidR="00564FC5" w:rsidRPr="00DC144B" w:rsidRDefault="00DE779A" w:rsidP="007825C0">
      <w:pPr>
        <w:pStyle w:val="FootnoteText"/>
        <w:jc w:val="both"/>
      </w:pPr>
      <w:r w:rsidRPr="00DC144B">
        <w:rPr>
          <w:rStyle w:val="FootnoteReference"/>
          <w:rFonts w:eastAsiaTheme="majorEastAsia"/>
        </w:rPr>
        <w:footnoteRef/>
      </w:r>
      <w:r w:rsidRPr="00DC144B">
        <w:t xml:space="preserve"> </w:t>
      </w:r>
      <w:r w:rsidR="00564FC5" w:rsidRPr="00222DE9">
        <w:t xml:space="preserve">Financial Action Task Force </w:t>
      </w:r>
      <w:r w:rsidR="00564FC5" w:rsidRPr="00222DE9">
        <w:rPr>
          <w:i/>
        </w:rPr>
        <w:t>Third mutual evaluation report anti-money laundering and combating the financing of terrorism – The United Kingdom of Great Britain and Northern Ireland</w:t>
      </w:r>
      <w:r w:rsidR="00564FC5" w:rsidRPr="00222DE9">
        <w:t xml:space="preserve"> (2007) </w:t>
      </w:r>
      <w:r w:rsidR="00564FC5">
        <w:t>23</w:t>
      </w:r>
      <w:r w:rsidR="00564FC5" w:rsidRPr="00222DE9">
        <w:t>.</w:t>
      </w:r>
    </w:p>
  </w:footnote>
  <w:footnote w:id="89">
    <w:p w:rsidR="00564FC5" w:rsidRPr="00564FC5" w:rsidRDefault="00DE779A" w:rsidP="007825C0">
      <w:pPr>
        <w:pStyle w:val="FootnoteText"/>
        <w:jc w:val="both"/>
        <w:rPr>
          <w:lang w:val="en"/>
        </w:rPr>
      </w:pPr>
      <w:r w:rsidRPr="00DC144B">
        <w:rPr>
          <w:rStyle w:val="FootnoteReference"/>
          <w:rFonts w:eastAsiaTheme="majorEastAsia"/>
        </w:rPr>
        <w:footnoteRef/>
      </w:r>
      <w:r w:rsidRPr="00DC144B">
        <w:t xml:space="preserve"> Home Office</w:t>
      </w:r>
      <w:r w:rsidR="00564FC5">
        <w:t>,</w:t>
      </w:r>
      <w:r w:rsidRPr="00DC144B">
        <w:t xml:space="preserve"> ‘</w:t>
      </w:r>
      <w:r w:rsidRPr="00DC144B">
        <w:rPr>
          <w:lang w:val="en"/>
        </w:rPr>
        <w:t>Counter terrorist finance strategy’</w:t>
      </w:r>
      <w:r w:rsidR="00564FC5">
        <w:rPr>
          <w:lang w:val="en"/>
        </w:rPr>
        <w:t xml:space="preserve"> (Home Office, 5 J</w:t>
      </w:r>
      <w:r w:rsidRPr="00DC144B">
        <w:rPr>
          <w:lang w:val="en"/>
        </w:rPr>
        <w:t xml:space="preserve">une </w:t>
      </w:r>
      <w:r w:rsidR="00564FC5">
        <w:rPr>
          <w:lang w:val="en"/>
        </w:rPr>
        <w:t>2</w:t>
      </w:r>
      <w:r w:rsidRPr="00DC144B">
        <w:rPr>
          <w:lang w:val="en"/>
        </w:rPr>
        <w:t>013</w:t>
      </w:r>
      <w:r w:rsidR="00564FC5">
        <w:rPr>
          <w:lang w:val="en"/>
        </w:rPr>
        <w:t>) &lt;</w:t>
      </w:r>
      <w:hyperlink r:id="rId5" w:history="1">
        <w:r w:rsidRPr="00DC144B">
          <w:rPr>
            <w:rStyle w:val="Hyperlink"/>
            <w:lang w:val="en"/>
          </w:rPr>
          <w:t>https://www.gov.uk/government/publications/counter-terrorist-finance-strategy</w:t>
        </w:r>
      </w:hyperlink>
      <w:r w:rsidR="00564FC5">
        <w:rPr>
          <w:rStyle w:val="Hyperlink"/>
          <w:color w:val="auto"/>
          <w:u w:val="none"/>
          <w:lang w:val="en"/>
        </w:rPr>
        <w:t xml:space="preserve">&gt; </w:t>
      </w:r>
      <w:r w:rsidRPr="00DC144B">
        <w:rPr>
          <w:lang w:val="en"/>
        </w:rPr>
        <w:t>accessed 15 July 2014.</w:t>
      </w:r>
    </w:p>
  </w:footnote>
  <w:footnote w:id="90">
    <w:p w:rsidR="00DE779A" w:rsidRPr="00DC144B" w:rsidRDefault="00DE779A" w:rsidP="007825C0">
      <w:pPr>
        <w:pStyle w:val="FootnoteText"/>
        <w:jc w:val="both"/>
        <w:rPr>
          <w:highlight w:val="yellow"/>
        </w:rPr>
      </w:pPr>
      <w:r w:rsidRPr="00DC144B">
        <w:rPr>
          <w:rStyle w:val="FootnoteReference"/>
          <w:rFonts w:eastAsiaTheme="majorEastAsia"/>
        </w:rPr>
        <w:footnoteRef/>
      </w:r>
      <w:r w:rsidRPr="00DC144B">
        <w:t xml:space="preserve"> HM Treasury </w:t>
      </w:r>
      <w:r w:rsidRPr="00564FC5">
        <w:rPr>
          <w:i/>
        </w:rPr>
        <w:t>The financial challenge to crime and terrorism</w:t>
      </w:r>
      <w:r w:rsidRPr="00DC144B">
        <w:t xml:space="preserve"> (2007). </w:t>
      </w:r>
    </w:p>
  </w:footnote>
  <w:footnote w:id="91">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564FC5">
        <w:rPr>
          <w:i/>
        </w:rPr>
        <w:t>Ibid</w:t>
      </w:r>
      <w:r w:rsidRPr="00DC144B">
        <w:t>.,</w:t>
      </w:r>
      <w:proofErr w:type="gramEnd"/>
      <w:r w:rsidRPr="00DC144B">
        <w:t xml:space="preserve"> at 5.</w:t>
      </w:r>
    </w:p>
  </w:footnote>
  <w:footnote w:id="92">
    <w:p w:rsidR="00DE779A" w:rsidRPr="00DC144B" w:rsidRDefault="00DE779A" w:rsidP="007825C0">
      <w:pPr>
        <w:pStyle w:val="FootnoteText"/>
        <w:jc w:val="both"/>
      </w:pPr>
      <w:r w:rsidRPr="00DC144B">
        <w:rPr>
          <w:rStyle w:val="FootnoteReference"/>
          <w:rFonts w:eastAsiaTheme="majorEastAsia"/>
        </w:rPr>
        <w:footnoteRef/>
      </w:r>
      <w:r w:rsidRPr="00DC144B">
        <w:t xml:space="preserve"> HM Government </w:t>
      </w:r>
      <w:proofErr w:type="gramStart"/>
      <w:r w:rsidRPr="00564FC5">
        <w:rPr>
          <w:i/>
        </w:rPr>
        <w:t>The</w:t>
      </w:r>
      <w:proofErr w:type="gramEnd"/>
      <w:r w:rsidRPr="00564FC5">
        <w:rPr>
          <w:i/>
        </w:rPr>
        <w:t xml:space="preserve"> United Kingdom’s Strategy for Countering International Terrorism</w:t>
      </w:r>
      <w:r w:rsidRPr="00DC144B">
        <w:t xml:space="preserve"> (2009).</w:t>
      </w:r>
    </w:p>
  </w:footnote>
  <w:footnote w:id="93">
    <w:p w:rsidR="00DE779A" w:rsidRPr="00DC144B" w:rsidRDefault="00DE779A" w:rsidP="007825C0">
      <w:pPr>
        <w:pStyle w:val="Default"/>
        <w:jc w:val="both"/>
        <w:rPr>
          <w:sz w:val="20"/>
          <w:szCs w:val="20"/>
        </w:rPr>
      </w:pPr>
      <w:r w:rsidRPr="00DC144B">
        <w:rPr>
          <w:rStyle w:val="FootnoteReference"/>
          <w:sz w:val="20"/>
          <w:szCs w:val="20"/>
        </w:rPr>
        <w:footnoteRef/>
      </w:r>
      <w:r w:rsidRPr="00DC144B">
        <w:rPr>
          <w:sz w:val="20"/>
          <w:szCs w:val="20"/>
        </w:rPr>
        <w:t xml:space="preserve"> HM Government </w:t>
      </w:r>
      <w:proofErr w:type="gramStart"/>
      <w:r w:rsidRPr="00564FC5">
        <w:rPr>
          <w:i/>
          <w:sz w:val="20"/>
          <w:szCs w:val="20"/>
        </w:rPr>
        <w:t>A</w:t>
      </w:r>
      <w:proofErr w:type="gramEnd"/>
      <w:r w:rsidRPr="00564FC5">
        <w:rPr>
          <w:i/>
          <w:sz w:val="20"/>
          <w:szCs w:val="20"/>
        </w:rPr>
        <w:t xml:space="preserve"> Strong Britain in an Age of Uncertainty: The National Security Strategy</w:t>
      </w:r>
      <w:r w:rsidR="00564FC5">
        <w:rPr>
          <w:sz w:val="20"/>
          <w:szCs w:val="20"/>
        </w:rPr>
        <w:t xml:space="preserve"> (</w:t>
      </w:r>
      <w:r w:rsidRPr="00DC144B">
        <w:rPr>
          <w:sz w:val="20"/>
          <w:szCs w:val="20"/>
        </w:rPr>
        <w:t xml:space="preserve">2010).  </w:t>
      </w:r>
    </w:p>
  </w:footnote>
  <w:footnote w:id="94">
    <w:p w:rsidR="00DE779A" w:rsidRPr="00DC144B" w:rsidRDefault="00DE779A" w:rsidP="007825C0">
      <w:pPr>
        <w:pStyle w:val="Default"/>
        <w:jc w:val="both"/>
        <w:rPr>
          <w:sz w:val="20"/>
          <w:szCs w:val="20"/>
        </w:rPr>
      </w:pPr>
      <w:r w:rsidRPr="00DC144B">
        <w:rPr>
          <w:rStyle w:val="FootnoteReference"/>
          <w:sz w:val="20"/>
          <w:szCs w:val="20"/>
        </w:rPr>
        <w:footnoteRef/>
      </w:r>
      <w:r w:rsidRPr="00DC144B">
        <w:rPr>
          <w:sz w:val="20"/>
          <w:szCs w:val="20"/>
        </w:rPr>
        <w:t xml:space="preserve"> HM Government </w:t>
      </w:r>
      <w:r w:rsidRPr="00564FC5">
        <w:rPr>
          <w:i/>
          <w:sz w:val="20"/>
          <w:szCs w:val="20"/>
        </w:rPr>
        <w:t>Securing Britain in an Age of Uncertainty: The Strategic Defence and Security Review</w:t>
      </w:r>
      <w:r w:rsidR="00564FC5">
        <w:rPr>
          <w:sz w:val="20"/>
          <w:szCs w:val="20"/>
        </w:rPr>
        <w:t xml:space="preserve"> (</w:t>
      </w:r>
      <w:r w:rsidRPr="00DC144B">
        <w:rPr>
          <w:sz w:val="20"/>
          <w:szCs w:val="20"/>
        </w:rPr>
        <w:t>2010).</w:t>
      </w:r>
    </w:p>
  </w:footnote>
  <w:footnote w:id="95">
    <w:p w:rsidR="00DE779A" w:rsidRPr="00DC144B" w:rsidRDefault="00DE779A" w:rsidP="007825C0">
      <w:pPr>
        <w:autoSpaceDE w:val="0"/>
        <w:autoSpaceDN w:val="0"/>
        <w:adjustRightInd w:val="0"/>
        <w:spacing w:after="0" w:line="240" w:lineRule="auto"/>
        <w:jc w:val="both"/>
        <w:rPr>
          <w:rFonts w:ascii="Times New Roman" w:hAnsi="Times New Roman" w:cs="Times New Roman"/>
          <w:sz w:val="20"/>
          <w:szCs w:val="20"/>
        </w:rPr>
      </w:pPr>
      <w:r w:rsidRPr="00DC144B">
        <w:rPr>
          <w:rStyle w:val="FootnoteReference"/>
          <w:rFonts w:ascii="Times New Roman" w:hAnsi="Times New Roman" w:cs="Times New Roman"/>
          <w:sz w:val="20"/>
          <w:szCs w:val="20"/>
        </w:rPr>
        <w:footnoteRef/>
      </w:r>
      <w:r w:rsidRPr="00DC144B">
        <w:rPr>
          <w:rFonts w:ascii="Times New Roman" w:hAnsi="Times New Roman" w:cs="Times New Roman"/>
          <w:sz w:val="20"/>
          <w:szCs w:val="20"/>
        </w:rPr>
        <w:t xml:space="preserve"> HM Government </w:t>
      </w:r>
      <w:r w:rsidRPr="00564FC5">
        <w:rPr>
          <w:rFonts w:ascii="Times New Roman" w:hAnsi="Times New Roman" w:cs="Times New Roman"/>
          <w:i/>
          <w:sz w:val="20"/>
          <w:szCs w:val="20"/>
        </w:rPr>
        <w:t>CONTEST – The United Kingdom’s Strategy for Countering Terrorism</w:t>
      </w:r>
      <w:r w:rsidRPr="00DC144B">
        <w:rPr>
          <w:rFonts w:ascii="Times New Roman" w:hAnsi="Times New Roman" w:cs="Times New Roman"/>
          <w:sz w:val="20"/>
          <w:szCs w:val="20"/>
        </w:rPr>
        <w:t xml:space="preserve"> (2011).</w:t>
      </w:r>
    </w:p>
  </w:footnote>
  <w:footnote w:id="96">
    <w:p w:rsidR="00DE779A" w:rsidRPr="00DC144B" w:rsidRDefault="00DE779A" w:rsidP="007825C0">
      <w:pPr>
        <w:pStyle w:val="FootnoteText"/>
        <w:jc w:val="both"/>
      </w:pPr>
      <w:r w:rsidRPr="00DC144B">
        <w:rPr>
          <w:rStyle w:val="FootnoteReference"/>
          <w:rFonts w:eastAsiaTheme="majorEastAsia"/>
        </w:rPr>
        <w:footnoteRef/>
      </w:r>
      <w:r>
        <w:t xml:space="preserve"> </w:t>
      </w:r>
      <w:proofErr w:type="gramStart"/>
      <w:r>
        <w:t>Terrorism Act 2000, s</w:t>
      </w:r>
      <w:r w:rsidRPr="00DC144B">
        <w:t xml:space="preserve"> 15.</w:t>
      </w:r>
      <w:proofErr w:type="gramEnd"/>
      <w:r w:rsidRPr="00DC144B">
        <w:t xml:space="preserve"> </w:t>
      </w:r>
    </w:p>
  </w:footnote>
  <w:footnote w:id="97">
    <w:p w:rsidR="00DE779A" w:rsidRPr="00DC144B" w:rsidRDefault="00DE779A" w:rsidP="007825C0">
      <w:pPr>
        <w:pStyle w:val="FootnoteText"/>
        <w:jc w:val="both"/>
      </w:pPr>
      <w:r w:rsidRPr="00DC144B">
        <w:rPr>
          <w:rStyle w:val="FootnoteReference"/>
          <w:rFonts w:eastAsiaTheme="majorEastAsia"/>
        </w:rPr>
        <w:footnoteRef/>
      </w:r>
      <w:r>
        <w:t xml:space="preserve"> </w:t>
      </w:r>
      <w:proofErr w:type="gramStart"/>
      <w:r>
        <w:t>Terrorism Act 2000, s</w:t>
      </w:r>
      <w:r w:rsidRPr="00DC144B">
        <w:t xml:space="preserve"> 16.</w:t>
      </w:r>
      <w:proofErr w:type="gramEnd"/>
      <w:r w:rsidRPr="00DC144B">
        <w:t xml:space="preserve"> </w:t>
      </w:r>
    </w:p>
  </w:footnote>
  <w:footnote w:id="98">
    <w:p w:rsidR="00DE779A" w:rsidRPr="00DC144B" w:rsidRDefault="00DE779A" w:rsidP="007825C0">
      <w:pPr>
        <w:pStyle w:val="FootnoteText"/>
        <w:jc w:val="both"/>
      </w:pPr>
      <w:r w:rsidRPr="00DC144B">
        <w:rPr>
          <w:rStyle w:val="FootnoteReference"/>
          <w:rFonts w:eastAsiaTheme="majorEastAsia"/>
        </w:rPr>
        <w:footnoteRef/>
      </w:r>
      <w:r>
        <w:t xml:space="preserve"> </w:t>
      </w:r>
      <w:proofErr w:type="gramStart"/>
      <w:r>
        <w:t>Terrorism Act 2000, s</w:t>
      </w:r>
      <w:r w:rsidRPr="00DC144B">
        <w:t xml:space="preserve"> 17.</w:t>
      </w:r>
      <w:proofErr w:type="gramEnd"/>
      <w:r w:rsidRPr="00DC144B">
        <w:t xml:space="preserve"> </w:t>
      </w:r>
    </w:p>
  </w:footnote>
  <w:footnote w:id="99">
    <w:p w:rsidR="00DE779A" w:rsidRPr="00DC144B" w:rsidRDefault="00DE779A" w:rsidP="007825C0">
      <w:pPr>
        <w:pStyle w:val="FootnoteText"/>
        <w:jc w:val="both"/>
      </w:pPr>
      <w:r w:rsidRPr="00DC144B">
        <w:rPr>
          <w:rStyle w:val="FootnoteReference"/>
        </w:rPr>
        <w:footnoteRef/>
      </w:r>
      <w:r>
        <w:t xml:space="preserve"> </w:t>
      </w:r>
      <w:proofErr w:type="gramStart"/>
      <w:r>
        <w:t>Terrorism Act 2000, s</w:t>
      </w:r>
      <w:r w:rsidRPr="00DC144B">
        <w:t xml:space="preserve"> 17A.</w:t>
      </w:r>
      <w:proofErr w:type="gramEnd"/>
    </w:p>
  </w:footnote>
  <w:footnote w:id="100">
    <w:p w:rsidR="00DE779A" w:rsidRPr="00DC144B" w:rsidRDefault="00DE779A" w:rsidP="007825C0">
      <w:pPr>
        <w:pStyle w:val="FootnoteText"/>
        <w:jc w:val="both"/>
      </w:pPr>
      <w:r w:rsidRPr="00DC144B">
        <w:rPr>
          <w:rStyle w:val="FootnoteReference"/>
          <w:rFonts w:eastAsiaTheme="majorEastAsia"/>
        </w:rPr>
        <w:footnoteRef/>
      </w:r>
      <w:r>
        <w:t xml:space="preserve"> </w:t>
      </w:r>
      <w:proofErr w:type="gramStart"/>
      <w:r>
        <w:t>Terrorism Act 2000, s</w:t>
      </w:r>
      <w:r w:rsidRPr="00DC144B">
        <w:t xml:space="preserve"> 18.</w:t>
      </w:r>
      <w:proofErr w:type="gramEnd"/>
      <w:r w:rsidRPr="00DC144B">
        <w:t xml:space="preserve"> </w:t>
      </w:r>
    </w:p>
  </w:footnote>
  <w:footnote w:id="101">
    <w:p w:rsidR="00DE779A" w:rsidRPr="00DC144B" w:rsidRDefault="00DE779A" w:rsidP="007825C0">
      <w:pPr>
        <w:pStyle w:val="FootnoteText"/>
        <w:jc w:val="both"/>
      </w:pPr>
      <w:r w:rsidRPr="00DC144B">
        <w:rPr>
          <w:rStyle w:val="FootnoteReference"/>
          <w:rFonts w:eastAsiaTheme="majorEastAsia"/>
        </w:rPr>
        <w:footnoteRef/>
      </w:r>
      <w:r>
        <w:t xml:space="preserve"> </w:t>
      </w:r>
      <w:proofErr w:type="gramStart"/>
      <w:r>
        <w:t>Terrorism Act 2000, s</w:t>
      </w:r>
      <w:r w:rsidRPr="00DC144B">
        <w:t xml:space="preserve"> 19.</w:t>
      </w:r>
      <w:proofErr w:type="gramEnd"/>
    </w:p>
  </w:footnote>
  <w:footnote w:id="102">
    <w:p w:rsidR="00DE779A" w:rsidRPr="00DC144B" w:rsidRDefault="00DE779A" w:rsidP="007825C0">
      <w:pPr>
        <w:pStyle w:val="FootnoteText"/>
        <w:jc w:val="both"/>
      </w:pPr>
      <w:r w:rsidRPr="00DC144B">
        <w:rPr>
          <w:rStyle w:val="FootnoteReference"/>
        </w:rPr>
        <w:footnoteRef/>
      </w:r>
      <w:r>
        <w:t xml:space="preserve"> Terrorism Act 2000, </w:t>
      </w:r>
      <w:proofErr w:type="gramStart"/>
      <w:r>
        <w:t>s</w:t>
      </w:r>
      <w:r w:rsidRPr="00DC144B">
        <w:t xml:space="preserve">  21A</w:t>
      </w:r>
      <w:proofErr w:type="gramEnd"/>
      <w:r w:rsidRPr="00DC144B">
        <w:t>.</w:t>
      </w:r>
    </w:p>
  </w:footnote>
  <w:footnote w:id="103">
    <w:p w:rsidR="00DE779A" w:rsidRPr="00DC144B" w:rsidRDefault="00DE779A" w:rsidP="007825C0">
      <w:pPr>
        <w:pStyle w:val="FootnoteText"/>
        <w:jc w:val="both"/>
      </w:pPr>
      <w:r w:rsidRPr="00DC144B">
        <w:rPr>
          <w:rStyle w:val="FootnoteReference"/>
          <w:rFonts w:eastAsiaTheme="majorEastAsia"/>
        </w:rPr>
        <w:footnoteRef/>
      </w:r>
      <w:r>
        <w:t xml:space="preserve"> </w:t>
      </w:r>
      <w:proofErr w:type="gramStart"/>
      <w:r>
        <w:t>Terrorism Act 2000, s</w:t>
      </w:r>
      <w:r w:rsidRPr="00DC144B">
        <w:t xml:space="preserve"> 21D.</w:t>
      </w:r>
      <w:proofErr w:type="gramEnd"/>
      <w:r w:rsidRPr="00DC144B">
        <w:t xml:space="preserve">  </w:t>
      </w:r>
    </w:p>
  </w:footnote>
  <w:footnote w:id="104">
    <w:p w:rsidR="00DE779A" w:rsidRPr="00500BD6" w:rsidRDefault="00DE779A" w:rsidP="007825C0">
      <w:pPr>
        <w:pStyle w:val="FootnoteText"/>
        <w:jc w:val="both"/>
      </w:pPr>
      <w:r w:rsidRPr="00500BD6">
        <w:rPr>
          <w:rStyle w:val="FootnoteReference"/>
        </w:rPr>
        <w:footnoteRef/>
      </w:r>
      <w:r w:rsidRPr="00500BD6">
        <w:t xml:space="preserve"> </w:t>
      </w:r>
      <w:proofErr w:type="gramStart"/>
      <w:r w:rsidRPr="00500BD6">
        <w:t>Terrorism Act</w:t>
      </w:r>
      <w:r>
        <w:t xml:space="preserve"> 2000, s</w:t>
      </w:r>
      <w:r w:rsidRPr="00500BD6">
        <w:t xml:space="preserve"> 22.</w:t>
      </w:r>
      <w:proofErr w:type="gramEnd"/>
      <w:r w:rsidRPr="00500BD6">
        <w:t xml:space="preserve"> </w:t>
      </w:r>
    </w:p>
  </w:footnote>
  <w:footnote w:id="105">
    <w:p w:rsidR="00DE779A" w:rsidRPr="00DC144B" w:rsidRDefault="00DE779A" w:rsidP="007825C0">
      <w:pPr>
        <w:autoSpaceDE w:val="0"/>
        <w:autoSpaceDN w:val="0"/>
        <w:adjustRightInd w:val="0"/>
        <w:spacing w:after="0" w:line="240" w:lineRule="auto"/>
        <w:jc w:val="both"/>
        <w:rPr>
          <w:rFonts w:ascii="Times New Roman" w:hAnsi="Times New Roman" w:cs="Times New Roman"/>
          <w:sz w:val="20"/>
          <w:szCs w:val="20"/>
        </w:rPr>
      </w:pPr>
      <w:r w:rsidRPr="00DC144B">
        <w:rPr>
          <w:rStyle w:val="FootnoteReference"/>
          <w:rFonts w:ascii="Times New Roman" w:hAnsi="Times New Roman" w:cs="Times New Roman"/>
          <w:sz w:val="20"/>
          <w:szCs w:val="20"/>
        </w:rPr>
        <w:footnoteRef/>
      </w:r>
      <w:r w:rsidRPr="00DC144B">
        <w:rPr>
          <w:rFonts w:ascii="Times New Roman" w:hAnsi="Times New Roman" w:cs="Times New Roman"/>
          <w:sz w:val="20"/>
          <w:szCs w:val="20"/>
        </w:rPr>
        <w:t xml:space="preserve"> Home Office</w:t>
      </w:r>
      <w:r w:rsidRPr="00DC144B">
        <w:rPr>
          <w:rFonts w:ascii="Times New Roman" w:hAnsi="Times New Roman" w:cs="Times New Roman"/>
          <w:bCs/>
          <w:sz w:val="20"/>
          <w:szCs w:val="20"/>
        </w:rPr>
        <w:t xml:space="preserve"> </w:t>
      </w:r>
      <w:r w:rsidRPr="00564FC5">
        <w:rPr>
          <w:rFonts w:ascii="Times New Roman" w:hAnsi="Times New Roman" w:cs="Times New Roman"/>
          <w:bCs/>
          <w:i/>
          <w:sz w:val="20"/>
          <w:szCs w:val="20"/>
        </w:rPr>
        <w:t>Operation of police powers under the Terrorism Act 2000 and subsequent legislation: Arrests, outcomes and stops &amp; searches Great Britain 2009/10</w:t>
      </w:r>
      <w:r w:rsidRPr="00DC144B">
        <w:rPr>
          <w:rFonts w:ascii="Times New Roman" w:hAnsi="Times New Roman" w:cs="Times New Roman"/>
          <w:bCs/>
          <w:sz w:val="20"/>
          <w:szCs w:val="20"/>
        </w:rPr>
        <w:t xml:space="preserve"> (2010) 16.</w:t>
      </w:r>
    </w:p>
  </w:footnote>
  <w:footnote w:id="106">
    <w:p w:rsidR="00DE779A" w:rsidRPr="00DC144B" w:rsidRDefault="00DE779A" w:rsidP="007825C0">
      <w:pPr>
        <w:autoSpaceDE w:val="0"/>
        <w:autoSpaceDN w:val="0"/>
        <w:adjustRightInd w:val="0"/>
        <w:spacing w:after="0" w:line="240" w:lineRule="auto"/>
        <w:jc w:val="both"/>
        <w:rPr>
          <w:rFonts w:ascii="Times New Roman" w:hAnsi="Times New Roman" w:cs="Times New Roman"/>
          <w:sz w:val="20"/>
          <w:szCs w:val="20"/>
        </w:rPr>
      </w:pPr>
      <w:r w:rsidRPr="00DC144B">
        <w:rPr>
          <w:rStyle w:val="FootnoteReference"/>
          <w:rFonts w:ascii="Times New Roman" w:hAnsi="Times New Roman" w:cs="Times New Roman"/>
          <w:sz w:val="20"/>
          <w:szCs w:val="20"/>
        </w:rPr>
        <w:footnoteRef/>
      </w:r>
      <w:r w:rsidR="00564FC5">
        <w:rPr>
          <w:rFonts w:ascii="Times New Roman" w:hAnsi="Times New Roman" w:cs="Times New Roman"/>
          <w:sz w:val="20"/>
          <w:szCs w:val="20"/>
        </w:rPr>
        <w:t xml:space="preserve"> Home Office </w:t>
      </w:r>
      <w:r w:rsidRPr="00564FC5">
        <w:rPr>
          <w:rFonts w:ascii="Times New Roman" w:hAnsi="Times New Roman" w:cs="Times New Roman"/>
          <w:i/>
          <w:sz w:val="20"/>
          <w:szCs w:val="20"/>
        </w:rPr>
        <w:t>Operation of Police Powers under the Terrorism Act 2000 and Subsequent Legislation: Arrests, Outcomes and Stops &amp; Searches, Great Britain 2008/09</w:t>
      </w:r>
      <w:r w:rsidR="00564FC5">
        <w:rPr>
          <w:rFonts w:ascii="Times New Roman" w:hAnsi="Times New Roman" w:cs="Times New Roman"/>
          <w:sz w:val="20"/>
          <w:szCs w:val="20"/>
        </w:rPr>
        <w:t xml:space="preserve"> (2009) </w:t>
      </w:r>
      <w:r w:rsidRPr="00DC144B">
        <w:rPr>
          <w:rFonts w:ascii="Times New Roman" w:hAnsi="Times New Roman" w:cs="Times New Roman"/>
          <w:sz w:val="20"/>
          <w:szCs w:val="20"/>
        </w:rPr>
        <w:t>26.</w:t>
      </w:r>
    </w:p>
  </w:footnote>
  <w:footnote w:id="107">
    <w:p w:rsidR="00DE779A" w:rsidRPr="00500BD6" w:rsidRDefault="00DE779A" w:rsidP="007825C0">
      <w:pPr>
        <w:pStyle w:val="FootnoteText"/>
        <w:jc w:val="both"/>
      </w:pPr>
      <w:r w:rsidRPr="00500BD6">
        <w:rPr>
          <w:rStyle w:val="FootnoteReference"/>
        </w:rPr>
        <w:footnoteRef/>
      </w:r>
      <w:r w:rsidRPr="00500BD6">
        <w:t xml:space="preserve"> </w:t>
      </w:r>
      <w:r>
        <w:t xml:space="preserve">P. </w:t>
      </w:r>
      <w:proofErr w:type="spellStart"/>
      <w:r w:rsidRPr="00500BD6">
        <w:t>Sproat</w:t>
      </w:r>
      <w:proofErr w:type="spellEnd"/>
      <w:r w:rsidRPr="00500BD6">
        <w:t xml:space="preserve">, ‘Counter-terrorist finance in the UK: a quantitative and qualitative commentary </w:t>
      </w:r>
      <w:r w:rsidR="00564FC5">
        <w:t>based on open-source materials’</w:t>
      </w:r>
      <w:r w:rsidRPr="00500BD6">
        <w:t xml:space="preserve"> (2010) </w:t>
      </w:r>
      <w:r w:rsidR="00564FC5">
        <w:t xml:space="preserve">13(4) </w:t>
      </w:r>
      <w:r w:rsidRPr="007A56DC">
        <w:t>Journal of Money Laundering Control</w:t>
      </w:r>
      <w:r>
        <w:t>, 315</w:t>
      </w:r>
      <w:r w:rsidR="00564FC5">
        <w:t>, 318</w:t>
      </w:r>
      <w:r w:rsidRPr="00500BD6">
        <w:t>.</w:t>
      </w:r>
    </w:p>
  </w:footnote>
  <w:footnote w:id="108">
    <w:p w:rsidR="00DE779A" w:rsidRPr="00500BD6" w:rsidRDefault="00DE779A" w:rsidP="007825C0">
      <w:pPr>
        <w:pStyle w:val="FootnoteText"/>
        <w:jc w:val="both"/>
      </w:pPr>
      <w:r w:rsidRPr="00500BD6">
        <w:rPr>
          <w:rStyle w:val="FootnoteReference"/>
        </w:rPr>
        <w:footnoteRef/>
      </w:r>
      <w:r w:rsidRPr="00500BD6">
        <w:t xml:space="preserve"> </w:t>
      </w:r>
      <w:proofErr w:type="gramStart"/>
      <w:r w:rsidRPr="00500BD6">
        <w:t>HC Deb, 5 February 2010, c586w.</w:t>
      </w:r>
      <w:proofErr w:type="gramEnd"/>
      <w:r w:rsidRPr="00500BD6">
        <w:t xml:space="preserve"> </w:t>
      </w:r>
    </w:p>
  </w:footnote>
  <w:footnote w:id="109">
    <w:p w:rsidR="00DE779A" w:rsidRPr="00500BD6" w:rsidRDefault="00DE779A" w:rsidP="007825C0">
      <w:pPr>
        <w:pStyle w:val="FootnoteText"/>
        <w:jc w:val="both"/>
      </w:pPr>
      <w:r w:rsidRPr="00500BD6">
        <w:rPr>
          <w:rStyle w:val="FootnoteReference"/>
        </w:rPr>
        <w:footnoteRef/>
      </w:r>
      <w:r w:rsidRPr="00500BD6">
        <w:t xml:space="preserve"> </w:t>
      </w:r>
      <w:r>
        <w:t xml:space="preserve">R. </w:t>
      </w:r>
      <w:r w:rsidRPr="00500BD6">
        <w:t>Alexander, ‘Money Laundering and terrorist financin</w:t>
      </w:r>
      <w:r w:rsidR="00C7749C">
        <w:t>g: time for a combined offence’</w:t>
      </w:r>
      <w:r w:rsidRPr="00500BD6">
        <w:t xml:space="preserve"> </w:t>
      </w:r>
      <w:r>
        <w:t xml:space="preserve">(2009) </w:t>
      </w:r>
      <w:r w:rsidR="00C7749C">
        <w:t xml:space="preserve">30(7) </w:t>
      </w:r>
      <w:r w:rsidRPr="007A56DC">
        <w:t>Company Lawyer</w:t>
      </w:r>
      <w:r w:rsidR="00C7749C">
        <w:t xml:space="preserve"> </w:t>
      </w:r>
      <w:r>
        <w:t>200</w:t>
      </w:r>
      <w:r w:rsidR="00C7749C">
        <w:t>, 202</w:t>
      </w:r>
      <w:r w:rsidRPr="00500BD6">
        <w:t>.</w:t>
      </w:r>
    </w:p>
  </w:footnote>
  <w:footnote w:id="110">
    <w:p w:rsidR="00DE779A" w:rsidRPr="00500BD6" w:rsidRDefault="00DE779A" w:rsidP="007825C0">
      <w:pPr>
        <w:pStyle w:val="FootnoteText"/>
        <w:jc w:val="both"/>
      </w:pPr>
      <w:r w:rsidRPr="00500BD6">
        <w:rPr>
          <w:rStyle w:val="FootnoteReference"/>
        </w:rPr>
        <w:footnoteRef/>
      </w:r>
      <w:r w:rsidRPr="00500BD6">
        <w:t xml:space="preserve"> </w:t>
      </w:r>
      <w:proofErr w:type="gramStart"/>
      <w:r w:rsidRPr="00500BD6">
        <w:t xml:space="preserve">The </w:t>
      </w:r>
      <w:r w:rsidR="00C7749C">
        <w:t>Guardian ‘</w:t>
      </w:r>
      <w:r w:rsidR="00C7749C">
        <w:t>Al-Qaida terrorists jailed for 11 years</w:t>
      </w:r>
      <w:r w:rsidR="00C7749C">
        <w:t xml:space="preserve">’, (The Guardian 1 April 2003) </w:t>
      </w:r>
      <w:hyperlink r:id="rId6" w:history="1">
        <w:r w:rsidR="00C7749C" w:rsidRPr="000215A8">
          <w:rPr>
            <w:rStyle w:val="Hyperlink"/>
          </w:rPr>
          <w:t>http://www.theguardian.com/uk/2003/apr/01/terrorism.alqaida</w:t>
        </w:r>
      </w:hyperlink>
      <w:r w:rsidR="00C7749C">
        <w:t xml:space="preserve"> accessed 1 February 2016.</w:t>
      </w:r>
      <w:proofErr w:type="gramEnd"/>
      <w:r w:rsidRPr="00500BD6">
        <w:t xml:space="preserve"> </w:t>
      </w:r>
    </w:p>
  </w:footnote>
  <w:footnote w:id="111">
    <w:p w:rsidR="00DE779A" w:rsidRPr="00500BD6" w:rsidRDefault="00DE779A" w:rsidP="007825C0">
      <w:pPr>
        <w:pStyle w:val="FootnoteText"/>
        <w:jc w:val="both"/>
      </w:pPr>
      <w:r w:rsidRPr="00500BD6">
        <w:rPr>
          <w:rStyle w:val="FootnoteReference"/>
        </w:rPr>
        <w:footnoteRef/>
      </w:r>
      <w:r w:rsidRPr="00500BD6">
        <w:t xml:space="preserve"> </w:t>
      </w:r>
      <w:proofErr w:type="gramStart"/>
      <w:r w:rsidR="00C7749C" w:rsidRPr="00C7749C">
        <w:t>BBC News ‘</w:t>
      </w:r>
      <w:r w:rsidR="00C7749C" w:rsidRPr="00C7749C">
        <w:rPr>
          <w:bCs/>
          <w:color w:val="000000"/>
        </w:rPr>
        <w:t>Top extremist recruiter is jailed’, (BBC News, 26 February 2008) &lt;</w:t>
      </w:r>
      <w:hyperlink r:id="rId7" w:history="1">
        <w:r w:rsidR="00C7749C" w:rsidRPr="00C7749C">
          <w:rPr>
            <w:rStyle w:val="Hyperlink"/>
            <w:bCs/>
          </w:rPr>
          <w:t>http://news.bbc.co.uk/1/hi/uk/7265704.stm</w:t>
        </w:r>
      </w:hyperlink>
      <w:r w:rsidR="00C7749C" w:rsidRPr="00C7749C">
        <w:rPr>
          <w:bCs/>
          <w:color w:val="000000"/>
        </w:rPr>
        <w:t>&gt; accessed 1 February 2016.</w:t>
      </w:r>
      <w:proofErr w:type="gramEnd"/>
    </w:p>
  </w:footnote>
  <w:footnote w:id="112">
    <w:p w:rsidR="00DE779A" w:rsidRPr="00500BD6" w:rsidRDefault="00DE779A" w:rsidP="007825C0">
      <w:pPr>
        <w:pStyle w:val="FootnoteText"/>
        <w:jc w:val="both"/>
      </w:pPr>
      <w:r w:rsidRPr="00500BD6">
        <w:rPr>
          <w:rStyle w:val="FootnoteReference"/>
        </w:rPr>
        <w:footnoteRef/>
      </w:r>
      <w:r w:rsidRPr="00500BD6">
        <w:t xml:space="preserve"> Metropolitan Police ‘Man jailed for 30 years for terrorism offences’, </w:t>
      </w:r>
      <w:r>
        <w:t>(</w:t>
      </w:r>
      <w:r w:rsidRPr="007A56DC">
        <w:t>Metropolitan Police</w:t>
      </w:r>
      <w:r w:rsidR="00C7749C">
        <w:t xml:space="preserve"> 18 March 2011) </w:t>
      </w:r>
      <w:r>
        <w:t>&lt;</w:t>
      </w:r>
      <w:hyperlink r:id="rId8" w:history="1">
        <w:r w:rsidRPr="00500BD6">
          <w:rPr>
            <w:rStyle w:val="Hyperlink"/>
          </w:rPr>
          <w:t>http://c</w:t>
        </w:r>
        <w:r w:rsidRPr="00500BD6">
          <w:rPr>
            <w:rStyle w:val="Hyperlink"/>
          </w:rPr>
          <w:t>o</w:t>
        </w:r>
        <w:r w:rsidRPr="00500BD6">
          <w:rPr>
            <w:rStyle w:val="Hyperlink"/>
          </w:rPr>
          <w:t>ntent.met.police.uk/News/Man-jailed-for-30-years-for-terrorism-offences/1260268719101/1257246745756</w:t>
        </w:r>
      </w:hyperlink>
      <w:r>
        <w:t>&gt;</w:t>
      </w:r>
      <w:r w:rsidRPr="00500BD6">
        <w:t xml:space="preserve"> accessed </w:t>
      </w:r>
      <w:r w:rsidR="00C7749C">
        <w:t>1 February 2016.</w:t>
      </w:r>
      <w:r w:rsidRPr="00500BD6">
        <w:t xml:space="preserve"> </w:t>
      </w:r>
    </w:p>
  </w:footnote>
  <w:footnote w:id="113">
    <w:p w:rsidR="00DE779A" w:rsidRDefault="00DE779A" w:rsidP="007825C0">
      <w:pPr>
        <w:pStyle w:val="FootnoteText"/>
      </w:pPr>
      <w:r>
        <w:rPr>
          <w:rStyle w:val="FootnoteReference"/>
        </w:rPr>
        <w:footnoteRef/>
      </w:r>
      <w:r>
        <w:t xml:space="preserve"> </w:t>
      </w:r>
      <w:proofErr w:type="gramStart"/>
      <w:r>
        <w:t>Anti-terrorism, Crime and Security Act 2001, s 4 (2)</w:t>
      </w:r>
      <w:r w:rsidR="00C7749C">
        <w:t xml:space="preserve"> </w:t>
      </w:r>
      <w:r>
        <w:t>(a).</w:t>
      </w:r>
      <w:proofErr w:type="gramEnd"/>
    </w:p>
  </w:footnote>
  <w:footnote w:id="114">
    <w:p w:rsidR="00DE779A" w:rsidRDefault="00DE779A" w:rsidP="007825C0">
      <w:pPr>
        <w:pStyle w:val="FootnoteText"/>
      </w:pPr>
      <w:r>
        <w:rPr>
          <w:rStyle w:val="FootnoteReference"/>
        </w:rPr>
        <w:footnoteRef/>
      </w:r>
      <w:r>
        <w:t xml:space="preserve"> </w:t>
      </w:r>
      <w:proofErr w:type="gramStart"/>
      <w:r>
        <w:t xml:space="preserve">Anti-terrorism, Crime and Security Act 2001, s 4 </w:t>
      </w:r>
      <w:r w:rsidR="00C7749C">
        <w:t>(</w:t>
      </w:r>
      <w:r>
        <w:t>2)</w:t>
      </w:r>
      <w:r w:rsidR="00C7749C">
        <w:t xml:space="preserve"> </w:t>
      </w:r>
      <w:r>
        <w:t>(b).</w:t>
      </w:r>
      <w:proofErr w:type="gramEnd"/>
    </w:p>
  </w:footnote>
  <w:footnote w:id="115">
    <w:p w:rsidR="00DE779A" w:rsidRDefault="00DE779A" w:rsidP="007825C0">
      <w:pPr>
        <w:pStyle w:val="FootnoteText"/>
      </w:pPr>
      <w:r>
        <w:rPr>
          <w:rStyle w:val="FootnoteReference"/>
        </w:rPr>
        <w:footnoteRef/>
      </w:r>
      <w:r>
        <w:t xml:space="preserve"> </w:t>
      </w:r>
      <w:proofErr w:type="gramStart"/>
      <w:r>
        <w:t>Anti-terrorism, Crime and Security Act 2001, s 4 (3).</w:t>
      </w:r>
      <w:proofErr w:type="gramEnd"/>
    </w:p>
  </w:footnote>
  <w:footnote w:id="116">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Pr>
          <w:rFonts w:eastAsiaTheme="minorHAnsi"/>
          <w:lang w:eastAsia="en-US"/>
        </w:rPr>
        <w:t xml:space="preserve">Terrorism Act 2000, s </w:t>
      </w:r>
      <w:r w:rsidRPr="00DC144B">
        <w:rPr>
          <w:rFonts w:eastAsiaTheme="minorHAnsi"/>
          <w:lang w:eastAsia="en-US"/>
        </w:rPr>
        <w:t>5.</w:t>
      </w:r>
      <w:proofErr w:type="gramEnd"/>
    </w:p>
  </w:footnote>
  <w:footnote w:id="117">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r>
        <w:rPr>
          <w:rFonts w:eastAsiaTheme="minorHAnsi"/>
          <w:lang w:eastAsia="en-US"/>
        </w:rPr>
        <w:t xml:space="preserve">Terrorism Act 2000, s </w:t>
      </w:r>
      <w:r w:rsidRPr="00DC144B">
        <w:rPr>
          <w:rFonts w:eastAsiaTheme="minorHAnsi"/>
          <w:lang w:eastAsia="en-US"/>
        </w:rPr>
        <w:t>7 and 9</w:t>
      </w:r>
    </w:p>
  </w:footnote>
  <w:footnote w:id="118">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S.I. 2010/1977.</w:t>
      </w:r>
      <w:proofErr w:type="gramEnd"/>
    </w:p>
  </w:footnote>
  <w:footnote w:id="119">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00C7749C">
        <w:t xml:space="preserve">David </w:t>
      </w:r>
      <w:r w:rsidRPr="00DC144B">
        <w:t xml:space="preserve">Anderson, </w:t>
      </w:r>
      <w:r w:rsidRPr="00C7749C">
        <w:rPr>
          <w:i/>
        </w:rPr>
        <w:t>First report on the operation of the Terrorist Asset-Freezing Etc. Act 2010</w:t>
      </w:r>
      <w:r w:rsidRPr="00DC144B">
        <w:t xml:space="preserve"> (2011) 10.</w:t>
      </w:r>
      <w:proofErr w:type="gramEnd"/>
    </w:p>
  </w:footnote>
  <w:footnote w:id="120">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r w:rsidRPr="00C7749C">
        <w:rPr>
          <w:i/>
        </w:rPr>
        <w:t>Ibid</w:t>
      </w:r>
      <w:r w:rsidRPr="00DC144B">
        <w:t>.</w:t>
      </w:r>
    </w:p>
  </w:footnote>
  <w:footnote w:id="121">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rPr>
          <w:rFonts w:eastAsiaTheme="minorHAnsi"/>
          <w:iCs/>
          <w:lang w:eastAsia="en-US"/>
        </w:rPr>
        <w:t xml:space="preserve">Hansard, </w:t>
      </w:r>
      <w:r w:rsidRPr="00DC144B">
        <w:rPr>
          <w:rFonts w:eastAsiaTheme="minorHAnsi"/>
          <w:lang w:eastAsia="en-US"/>
        </w:rPr>
        <w:t>HL col.357 (November 28, 2001).</w:t>
      </w:r>
      <w:proofErr w:type="gramEnd"/>
    </w:p>
  </w:footnote>
  <w:footnote w:id="122">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r w:rsidR="00C7749C">
        <w:t xml:space="preserve">P </w:t>
      </w:r>
      <w:r w:rsidRPr="00DC144B">
        <w:t xml:space="preserve">Binning, </w:t>
      </w:r>
      <w:r w:rsidR="00C7749C">
        <w:t>‘</w:t>
      </w:r>
      <w:r w:rsidRPr="00DC144B">
        <w:rPr>
          <w:bCs/>
        </w:rPr>
        <w:t xml:space="preserve">In safe hands? Striking the balance between privacy and security - anti-terrorist finance measures’ (2002) </w:t>
      </w:r>
      <w:r w:rsidR="00C7749C">
        <w:rPr>
          <w:bCs/>
        </w:rPr>
        <w:t xml:space="preserve">6 </w:t>
      </w:r>
      <w:r w:rsidRPr="00DC144B">
        <w:rPr>
          <w:bCs/>
          <w:kern w:val="36"/>
        </w:rPr>
        <w:t>European Human Rights Law Review</w:t>
      </w:r>
      <w:r w:rsidR="00C7749C">
        <w:rPr>
          <w:bCs/>
          <w:kern w:val="36"/>
        </w:rPr>
        <w:t xml:space="preserve"> 737, 747</w:t>
      </w:r>
      <w:r w:rsidRPr="00DC144B">
        <w:t>.</w:t>
      </w:r>
    </w:p>
  </w:footnote>
  <w:footnote w:id="123">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rPr>
          <w:rFonts w:eastAsiaTheme="minorHAnsi"/>
          <w:lang w:eastAsia="en-US"/>
        </w:rPr>
        <w:t>HM Treasury</w:t>
      </w:r>
      <w:r w:rsidR="00C95EA8">
        <w:rPr>
          <w:rFonts w:eastAsiaTheme="minorHAnsi"/>
          <w:lang w:eastAsia="en-US"/>
        </w:rPr>
        <w:t xml:space="preserve"> (87) 9</w:t>
      </w:r>
      <w:r w:rsidRPr="00DC144B">
        <w:t>.</w:t>
      </w:r>
      <w:proofErr w:type="gramEnd"/>
    </w:p>
  </w:footnote>
  <w:footnote w:id="124">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 xml:space="preserve">Anderson </w:t>
      </w:r>
      <w:r w:rsidR="00C7749C">
        <w:t xml:space="preserve">(119) </w:t>
      </w:r>
      <w:r w:rsidRPr="00DC144B">
        <w:t>15.</w:t>
      </w:r>
      <w:proofErr w:type="gramEnd"/>
    </w:p>
  </w:footnote>
  <w:footnote w:id="125">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00C95EA8">
        <w:rPr>
          <w:rFonts w:eastAsiaTheme="minorHAnsi"/>
          <w:lang w:eastAsia="en-US"/>
        </w:rPr>
        <w:t>Anon, ‘</w:t>
      </w:r>
      <w:r w:rsidRPr="00DC144B">
        <w:rPr>
          <w:rFonts w:eastAsiaTheme="minorHAnsi"/>
          <w:lang w:eastAsia="en-US"/>
        </w:rPr>
        <w:t>Investigation and Enforcement</w:t>
      </w:r>
      <w:r w:rsidR="00C95EA8">
        <w:rPr>
          <w:rFonts w:eastAsiaTheme="minorHAnsi"/>
          <w:lang w:eastAsia="en-US"/>
        </w:rPr>
        <w:t>’</w:t>
      </w:r>
      <w:r w:rsidRPr="00DC144B">
        <w:rPr>
          <w:rFonts w:eastAsiaTheme="minorHAnsi"/>
          <w:lang w:eastAsia="en-US"/>
        </w:rPr>
        <w:t xml:space="preserve"> (2003) 6(3) </w:t>
      </w:r>
      <w:r w:rsidRPr="00DC144B">
        <w:rPr>
          <w:rFonts w:eastAsiaTheme="minorHAnsi"/>
          <w:iCs/>
          <w:lang w:eastAsia="en-US"/>
        </w:rPr>
        <w:t xml:space="preserve">Journal of Money Laundering Control </w:t>
      </w:r>
      <w:r w:rsidRPr="00DC144B">
        <w:rPr>
          <w:rFonts w:eastAsiaTheme="minorHAnsi"/>
          <w:lang w:eastAsia="en-US"/>
        </w:rPr>
        <w:t>275.</w:t>
      </w:r>
      <w:proofErr w:type="gramEnd"/>
    </w:p>
  </w:footnote>
  <w:footnote w:id="126">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00C95EA8" w:rsidRPr="00DC144B">
        <w:t xml:space="preserve">Anderson </w:t>
      </w:r>
      <w:r w:rsidR="00C95EA8">
        <w:t xml:space="preserve">(119) </w:t>
      </w:r>
      <w:r w:rsidR="00C95EA8">
        <w:t>10</w:t>
      </w:r>
      <w:r w:rsidR="00C95EA8" w:rsidRPr="00DC144B">
        <w:t>.</w:t>
      </w:r>
      <w:proofErr w:type="gramEnd"/>
    </w:p>
  </w:footnote>
  <w:footnote w:id="127">
    <w:p w:rsidR="00DE779A" w:rsidRPr="00DC144B" w:rsidRDefault="00DE779A" w:rsidP="007825C0">
      <w:pPr>
        <w:pStyle w:val="FootnoteText"/>
        <w:jc w:val="both"/>
      </w:pPr>
      <w:r w:rsidRPr="00DC144B">
        <w:rPr>
          <w:rStyle w:val="FootnoteReference"/>
        </w:rPr>
        <w:footnoteRef/>
      </w:r>
      <w:r w:rsidR="00C95EA8">
        <w:t xml:space="preserve"> </w:t>
      </w:r>
      <w:proofErr w:type="gramStart"/>
      <w:r w:rsidR="00C95EA8">
        <w:t xml:space="preserve">David </w:t>
      </w:r>
      <w:r w:rsidRPr="00DC144B">
        <w:t xml:space="preserve">Anderson, </w:t>
      </w:r>
      <w:r w:rsidRPr="00DC144B">
        <w:rPr>
          <w:i/>
        </w:rPr>
        <w:t>Second report on the operation of the Terrorist-Asset Freezing Etc. Act 2010</w:t>
      </w:r>
      <w:r w:rsidRPr="00DC144B">
        <w:t xml:space="preserve"> 2012) 11.</w:t>
      </w:r>
      <w:proofErr w:type="gramEnd"/>
    </w:p>
  </w:footnote>
  <w:footnote w:id="128">
    <w:p w:rsidR="00DE779A" w:rsidRPr="00DC144B" w:rsidRDefault="00DE779A" w:rsidP="007825C0">
      <w:pPr>
        <w:pStyle w:val="FootnoteText"/>
        <w:jc w:val="both"/>
      </w:pPr>
      <w:r w:rsidRPr="00DC144B">
        <w:rPr>
          <w:rStyle w:val="FootnoteReference"/>
        </w:rPr>
        <w:footnoteRef/>
      </w:r>
      <w:r w:rsidRPr="00DC144B">
        <w:t xml:space="preserve"> </w:t>
      </w:r>
      <w:proofErr w:type="gramStart"/>
      <w:r w:rsidR="00C95EA8">
        <w:t xml:space="preserve">David Anderson, </w:t>
      </w:r>
      <w:r w:rsidRPr="00DC144B">
        <w:rPr>
          <w:i/>
        </w:rPr>
        <w:t>Third report on the operation of the Terrorist-Asset Freezing Etc. Act 2010</w:t>
      </w:r>
      <w:r w:rsidRPr="00DC144B">
        <w:t xml:space="preserve"> (</w:t>
      </w:r>
      <w:r w:rsidR="00C95EA8">
        <w:t xml:space="preserve">2013) </w:t>
      </w:r>
      <w:r w:rsidRPr="00DC144B">
        <w:t>11.</w:t>
      </w:r>
      <w:proofErr w:type="gramEnd"/>
    </w:p>
  </w:footnote>
  <w:footnote w:id="129">
    <w:p w:rsidR="00DE779A" w:rsidRPr="00DC144B" w:rsidRDefault="00DE779A" w:rsidP="007825C0">
      <w:pPr>
        <w:pStyle w:val="FootnoteText"/>
        <w:jc w:val="both"/>
      </w:pPr>
      <w:r w:rsidRPr="00DC144B">
        <w:rPr>
          <w:rStyle w:val="FootnoteReference"/>
        </w:rPr>
        <w:footnoteRef/>
      </w:r>
      <w:r w:rsidR="00C95EA8">
        <w:t xml:space="preserve"> David </w:t>
      </w:r>
      <w:r w:rsidRPr="00DC144B">
        <w:t xml:space="preserve">Anderson, </w:t>
      </w:r>
      <w:r w:rsidRPr="00DC144B">
        <w:rPr>
          <w:i/>
        </w:rPr>
        <w:t>Fourth report on the operation of the Terrorist-Asset Freezing Etc. Act 2010</w:t>
      </w:r>
      <w:r w:rsidRPr="00DC144B">
        <w:t xml:space="preserve"> (</w:t>
      </w:r>
      <w:r w:rsidR="00C95EA8">
        <w:t>0</w:t>
      </w:r>
      <w:r w:rsidRPr="00DC144B">
        <w:t>014) at 11.</w:t>
      </w:r>
    </w:p>
  </w:footnote>
  <w:footnote w:id="130">
    <w:p w:rsidR="00C95EA8" w:rsidRPr="00C95EA8" w:rsidRDefault="00DE779A" w:rsidP="00A859B4">
      <w:pPr>
        <w:pStyle w:val="FootnoteText"/>
        <w:jc w:val="both"/>
        <w:rPr>
          <w:rFonts w:eastAsiaTheme="minorHAnsi"/>
          <w:bCs/>
          <w:lang w:eastAsia="en-US"/>
        </w:rPr>
      </w:pPr>
      <w:r w:rsidRPr="00DC144B">
        <w:rPr>
          <w:rStyle w:val="FootnoteReference"/>
          <w:rFonts w:eastAsiaTheme="majorEastAsia"/>
        </w:rPr>
        <w:footnoteRef/>
      </w:r>
      <w:r w:rsidRPr="00DC144B">
        <w:t xml:space="preserve"> </w:t>
      </w:r>
      <w:r w:rsidR="00C95EA8">
        <w:t xml:space="preserve">House of Lords Select Committee, </w:t>
      </w:r>
      <w:r w:rsidRPr="00C95EA8">
        <w:rPr>
          <w:rFonts w:eastAsiaTheme="minorHAnsi"/>
          <w:bCs/>
          <w:i/>
          <w:lang w:eastAsia="en-US"/>
        </w:rPr>
        <w:t>The impact of Economic Sanctions</w:t>
      </w:r>
      <w:r w:rsidRPr="00DC144B">
        <w:rPr>
          <w:rFonts w:eastAsiaTheme="minorHAnsi"/>
          <w:bCs/>
          <w:lang w:eastAsia="en-US"/>
        </w:rPr>
        <w:t xml:space="preserve"> </w:t>
      </w:r>
      <w:r w:rsidR="00C95EA8">
        <w:rPr>
          <w:rFonts w:eastAsiaTheme="minorHAnsi"/>
          <w:bCs/>
          <w:lang w:eastAsia="en-US"/>
        </w:rPr>
        <w:t>(HL 2006-2007, 96-1) 26</w:t>
      </w:r>
    </w:p>
  </w:footnote>
  <w:footnote w:id="131">
    <w:p w:rsidR="00C95EA8" w:rsidRPr="004E216D" w:rsidRDefault="00DE779A" w:rsidP="00A859B4">
      <w:pPr>
        <w:pStyle w:val="FootnoteText"/>
        <w:jc w:val="both"/>
      </w:pPr>
      <w:r w:rsidRPr="00DC144B">
        <w:rPr>
          <w:rStyle w:val="FootnoteReference"/>
          <w:rFonts w:eastAsiaTheme="majorEastAsia"/>
        </w:rPr>
        <w:footnoteRef/>
      </w:r>
      <w:r w:rsidRPr="00DC144B">
        <w:t xml:space="preserve"> </w:t>
      </w:r>
      <w:r w:rsidR="00C95EA8">
        <w:t xml:space="preserve">Richard </w:t>
      </w:r>
      <w:r w:rsidRPr="00DC144B">
        <w:t xml:space="preserve">Brent and </w:t>
      </w:r>
      <w:r w:rsidR="00C95EA8">
        <w:t>William</w:t>
      </w:r>
      <w:r w:rsidR="004E216D">
        <w:t xml:space="preserve"> Blair</w:t>
      </w:r>
      <w:r w:rsidR="00C95EA8">
        <w:t xml:space="preserve"> </w:t>
      </w:r>
      <w:r w:rsidR="004E216D">
        <w:t>‘</w:t>
      </w:r>
      <w:r w:rsidR="00C95EA8" w:rsidRPr="004E216D">
        <w:t>UK Sanctions</w:t>
      </w:r>
      <w:r w:rsidR="004E216D">
        <w:t xml:space="preserve"> Regimes’ in </w:t>
      </w:r>
      <w:r w:rsidR="004E216D">
        <w:t xml:space="preserve">Richard </w:t>
      </w:r>
      <w:r w:rsidR="004E216D" w:rsidRPr="00DC144B">
        <w:t xml:space="preserve">Brent and </w:t>
      </w:r>
      <w:r w:rsidR="004E216D">
        <w:t>William Blair</w:t>
      </w:r>
      <w:r w:rsidR="004E216D">
        <w:t xml:space="preserve"> </w:t>
      </w:r>
      <w:r w:rsidR="00C95EA8" w:rsidRPr="00222DE9">
        <w:t>(</w:t>
      </w:r>
      <w:proofErr w:type="spellStart"/>
      <w:r w:rsidR="00C95EA8" w:rsidRPr="00222DE9">
        <w:t>eds</w:t>
      </w:r>
      <w:proofErr w:type="spellEnd"/>
      <w:r w:rsidR="00C95EA8" w:rsidRPr="00222DE9">
        <w:t xml:space="preserve">) </w:t>
      </w:r>
      <w:r w:rsidR="004E216D" w:rsidRPr="004E216D">
        <w:rPr>
          <w:i/>
        </w:rPr>
        <w:t>Banks and Financial Crime – The International Law of Tainted Money</w:t>
      </w:r>
      <w:r w:rsidR="004E216D">
        <w:t xml:space="preserve"> (OUP 2008) 232-233.</w:t>
      </w:r>
    </w:p>
  </w:footnote>
  <w:footnote w:id="132">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r w:rsidRPr="004E216D">
        <w:rPr>
          <w:i/>
        </w:rPr>
        <w:t>Ibid</w:t>
      </w:r>
      <w:r w:rsidRPr="00DC144B">
        <w:t>.</w:t>
      </w:r>
    </w:p>
  </w:footnote>
  <w:footnote w:id="133">
    <w:p w:rsidR="00DE779A" w:rsidRPr="00DC144B" w:rsidRDefault="00DE779A" w:rsidP="007825C0">
      <w:pPr>
        <w:spacing w:after="0" w:line="240" w:lineRule="auto"/>
        <w:jc w:val="both"/>
        <w:rPr>
          <w:rFonts w:ascii="Times New Roman" w:hAnsi="Times New Roman" w:cs="Times New Roman"/>
          <w:sz w:val="20"/>
          <w:szCs w:val="20"/>
        </w:rPr>
      </w:pPr>
      <w:r w:rsidRPr="00DC144B">
        <w:rPr>
          <w:rStyle w:val="FootnoteReference"/>
          <w:rFonts w:ascii="Times New Roman" w:hAnsi="Times New Roman" w:cs="Times New Roman"/>
          <w:sz w:val="20"/>
          <w:szCs w:val="20"/>
        </w:rPr>
        <w:footnoteRef/>
      </w:r>
      <w:r w:rsidRPr="00DC144B">
        <w:rPr>
          <w:rFonts w:ascii="Times New Roman" w:hAnsi="Times New Roman" w:cs="Times New Roman"/>
          <w:sz w:val="20"/>
          <w:szCs w:val="20"/>
        </w:rPr>
        <w:t xml:space="preserve"> </w:t>
      </w:r>
      <w:proofErr w:type="gramStart"/>
      <w:r w:rsidRPr="00DC144B">
        <w:rPr>
          <w:rFonts w:ascii="Times New Roman" w:hAnsi="Times New Roman" w:cs="Times New Roman"/>
          <w:sz w:val="20"/>
          <w:szCs w:val="20"/>
        </w:rPr>
        <w:t>Hereinafter ‘ECHR’.</w:t>
      </w:r>
      <w:proofErr w:type="gramEnd"/>
      <w:r w:rsidRPr="00DC144B">
        <w:rPr>
          <w:rFonts w:ascii="Times New Roman" w:hAnsi="Times New Roman" w:cs="Times New Roman"/>
          <w:sz w:val="20"/>
          <w:szCs w:val="20"/>
        </w:rPr>
        <w:t xml:space="preserve">  </w:t>
      </w:r>
    </w:p>
  </w:footnote>
  <w:footnote w:id="134">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 xml:space="preserve">Case T-306/01 </w:t>
      </w:r>
      <w:r w:rsidRPr="004E216D">
        <w:rPr>
          <w:i/>
          <w:iCs/>
        </w:rPr>
        <w:t xml:space="preserve">Ahmed Ali Yusuf and Al </w:t>
      </w:r>
      <w:proofErr w:type="spellStart"/>
      <w:r w:rsidRPr="004E216D">
        <w:rPr>
          <w:i/>
          <w:iCs/>
        </w:rPr>
        <w:t>Barakaat</w:t>
      </w:r>
      <w:proofErr w:type="spellEnd"/>
      <w:r w:rsidRPr="004E216D">
        <w:rPr>
          <w:i/>
          <w:iCs/>
        </w:rPr>
        <w:t xml:space="preserve"> International Foundation v Commission</w:t>
      </w:r>
      <w:r w:rsidRPr="00DC144B">
        <w:rPr>
          <w:iCs/>
        </w:rPr>
        <w:t xml:space="preserve"> </w:t>
      </w:r>
      <w:r w:rsidRPr="00DC144B">
        <w:t xml:space="preserve">and Case T-315/01 </w:t>
      </w:r>
      <w:r w:rsidRPr="004E216D">
        <w:rPr>
          <w:i/>
          <w:iCs/>
        </w:rPr>
        <w:t xml:space="preserve">Yassin </w:t>
      </w:r>
      <w:proofErr w:type="spellStart"/>
      <w:r w:rsidRPr="004E216D">
        <w:rPr>
          <w:i/>
          <w:iCs/>
        </w:rPr>
        <w:t>Adbullah</w:t>
      </w:r>
      <w:proofErr w:type="spellEnd"/>
      <w:r w:rsidRPr="004E216D">
        <w:rPr>
          <w:i/>
          <w:iCs/>
        </w:rPr>
        <w:t xml:space="preserve"> </w:t>
      </w:r>
      <w:proofErr w:type="spellStart"/>
      <w:r w:rsidRPr="004E216D">
        <w:rPr>
          <w:i/>
          <w:iCs/>
        </w:rPr>
        <w:t>Kodi</w:t>
      </w:r>
      <w:proofErr w:type="spellEnd"/>
      <w:r w:rsidRPr="004E216D">
        <w:rPr>
          <w:i/>
          <w:iCs/>
        </w:rPr>
        <w:t xml:space="preserve"> v Council and Commission</w:t>
      </w:r>
      <w:r w:rsidRPr="00DC144B">
        <w:rPr>
          <w:iCs/>
        </w:rPr>
        <w:t>.</w:t>
      </w:r>
      <w:proofErr w:type="gramEnd"/>
    </w:p>
  </w:footnote>
  <w:footnote w:id="135">
    <w:p w:rsidR="00DE779A" w:rsidRPr="00DC144B" w:rsidRDefault="00DE779A" w:rsidP="007825C0">
      <w:pPr>
        <w:pStyle w:val="FootnoteText"/>
        <w:jc w:val="both"/>
      </w:pPr>
      <w:r w:rsidRPr="004E216D">
        <w:rPr>
          <w:rStyle w:val="FootnoteReference"/>
          <w:rFonts w:eastAsiaTheme="majorEastAsia"/>
          <w:highlight w:val="yellow"/>
        </w:rPr>
        <w:footnoteRef/>
      </w:r>
      <w:r w:rsidRPr="004E216D">
        <w:rPr>
          <w:highlight w:val="yellow"/>
        </w:rPr>
        <w:t xml:space="preserve"> </w:t>
      </w:r>
      <w:r w:rsidRPr="004E216D">
        <w:rPr>
          <w:rFonts w:eastAsiaTheme="minorHAnsi"/>
          <w:highlight w:val="yellow"/>
          <w:lang w:eastAsia="en-US"/>
        </w:rPr>
        <w:t>See Council Regulation (EC) N0 881/2002, 27 May 2002, Official Journal of the European Communities, L139/9</w:t>
      </w:r>
      <w:r w:rsidRPr="00DC144B">
        <w:rPr>
          <w:rFonts w:eastAsiaTheme="minorHAnsi"/>
          <w:lang w:eastAsia="en-US"/>
        </w:rPr>
        <w:t>.</w:t>
      </w:r>
    </w:p>
  </w:footnote>
  <w:footnote w:id="136">
    <w:p w:rsidR="00DE779A" w:rsidRDefault="00DE779A">
      <w:pPr>
        <w:pStyle w:val="FootnoteText"/>
      </w:pPr>
      <w:r>
        <w:rPr>
          <w:rStyle w:val="FootnoteReference"/>
        </w:rPr>
        <w:footnoteRef/>
      </w:r>
      <w:r>
        <w:t xml:space="preserve"> </w:t>
      </w:r>
      <w:proofErr w:type="gramStart"/>
      <w:r w:rsidRPr="00DC144B">
        <w:t>CFI 12 Dec. 2006, Case T-228/02.</w:t>
      </w:r>
      <w:proofErr w:type="gramEnd"/>
      <w:r w:rsidRPr="00DC144B">
        <w:t xml:space="preserve">  </w:t>
      </w:r>
    </w:p>
  </w:footnote>
  <w:footnote w:id="137">
    <w:p w:rsidR="00DE779A" w:rsidRPr="00DC144B" w:rsidRDefault="00DE779A" w:rsidP="007825C0">
      <w:pPr>
        <w:spacing w:after="0" w:line="240" w:lineRule="auto"/>
        <w:jc w:val="both"/>
        <w:outlineLvl w:val="1"/>
        <w:rPr>
          <w:rFonts w:ascii="Times New Roman" w:hAnsi="Times New Roman" w:cs="Times New Roman"/>
          <w:bCs/>
          <w:kern w:val="36"/>
          <w:sz w:val="20"/>
          <w:szCs w:val="20"/>
        </w:rPr>
      </w:pPr>
      <w:r w:rsidRPr="00DC144B">
        <w:rPr>
          <w:rStyle w:val="FootnoteReference"/>
          <w:rFonts w:ascii="Times New Roman" w:hAnsi="Times New Roman" w:cs="Times New Roman"/>
          <w:sz w:val="20"/>
          <w:szCs w:val="20"/>
        </w:rPr>
        <w:footnoteRef/>
      </w:r>
      <w:r w:rsidRPr="00DC144B">
        <w:rPr>
          <w:rFonts w:ascii="Times New Roman" w:hAnsi="Times New Roman" w:cs="Times New Roman"/>
          <w:sz w:val="20"/>
          <w:szCs w:val="20"/>
        </w:rPr>
        <w:t xml:space="preserve"> </w:t>
      </w:r>
      <w:proofErr w:type="gramStart"/>
      <w:r w:rsidRPr="00DC144B">
        <w:rPr>
          <w:rFonts w:ascii="Times New Roman" w:hAnsi="Times New Roman" w:cs="Times New Roman"/>
          <w:sz w:val="20"/>
          <w:szCs w:val="20"/>
        </w:rPr>
        <w:t>CFI 12 Dec. 2006, Case T-228/02.</w:t>
      </w:r>
      <w:proofErr w:type="gramEnd"/>
      <w:r w:rsidRPr="00DC144B">
        <w:rPr>
          <w:rFonts w:ascii="Times New Roman" w:hAnsi="Times New Roman" w:cs="Times New Roman"/>
          <w:sz w:val="20"/>
          <w:szCs w:val="20"/>
        </w:rPr>
        <w:t xml:space="preserve">  </w:t>
      </w:r>
    </w:p>
  </w:footnote>
  <w:footnote w:id="138">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 xml:space="preserve">CFI 11 July 2007, Case T-47/03, </w:t>
      </w:r>
      <w:proofErr w:type="spellStart"/>
      <w:r w:rsidRPr="004E216D">
        <w:rPr>
          <w:i/>
          <w:iCs/>
        </w:rPr>
        <w:t>Sison</w:t>
      </w:r>
      <w:proofErr w:type="spellEnd"/>
      <w:r w:rsidRPr="004E216D">
        <w:rPr>
          <w:i/>
        </w:rPr>
        <w:t xml:space="preserve"> v. </w:t>
      </w:r>
      <w:r w:rsidRPr="004E216D">
        <w:rPr>
          <w:i/>
          <w:iCs/>
        </w:rPr>
        <w:t>Council</w:t>
      </w:r>
      <w:r w:rsidRPr="00DC144B">
        <w:rPr>
          <w:iCs/>
        </w:rPr>
        <w:t>.</w:t>
      </w:r>
      <w:proofErr w:type="gramEnd"/>
      <w:r w:rsidRPr="00DC144B">
        <w:rPr>
          <w:iCs/>
        </w:rPr>
        <w:t xml:space="preserve"> </w:t>
      </w:r>
    </w:p>
  </w:footnote>
  <w:footnote w:id="139">
    <w:p w:rsidR="00DE779A" w:rsidRPr="00DC144B" w:rsidRDefault="00DE779A" w:rsidP="007825C0">
      <w:pPr>
        <w:pStyle w:val="Heading2"/>
        <w:shd w:val="clear" w:color="auto" w:fill="FFFFFF"/>
        <w:spacing w:before="0"/>
        <w:jc w:val="both"/>
        <w:rPr>
          <w:rFonts w:ascii="Times New Roman" w:hAnsi="Times New Roman" w:cs="Times New Roman"/>
          <w:b w:val="0"/>
          <w:iCs/>
          <w:color w:val="auto"/>
          <w:sz w:val="20"/>
          <w:szCs w:val="20"/>
        </w:rPr>
      </w:pPr>
      <w:r w:rsidRPr="00DC144B">
        <w:rPr>
          <w:rStyle w:val="FootnoteReference"/>
          <w:rFonts w:ascii="Times New Roman" w:hAnsi="Times New Roman" w:cs="Times New Roman"/>
          <w:b w:val="0"/>
          <w:color w:val="auto"/>
          <w:sz w:val="20"/>
          <w:szCs w:val="20"/>
        </w:rPr>
        <w:footnoteRef/>
      </w:r>
      <w:r w:rsidRPr="00DC144B">
        <w:rPr>
          <w:rFonts w:ascii="Times New Roman" w:hAnsi="Times New Roman" w:cs="Times New Roman"/>
          <w:b w:val="0"/>
          <w:color w:val="auto"/>
          <w:sz w:val="20"/>
          <w:szCs w:val="20"/>
        </w:rPr>
        <w:t xml:space="preserve"> </w:t>
      </w:r>
      <w:proofErr w:type="gramStart"/>
      <w:r w:rsidRPr="00DC144B">
        <w:rPr>
          <w:rFonts w:ascii="Times New Roman" w:hAnsi="Times New Roman" w:cs="Times New Roman"/>
          <w:b w:val="0"/>
          <w:color w:val="auto"/>
          <w:sz w:val="20"/>
          <w:szCs w:val="20"/>
        </w:rPr>
        <w:t xml:space="preserve">CFI 11 July 2007, Case T-327/03, </w:t>
      </w:r>
      <w:r w:rsidRPr="004E216D">
        <w:rPr>
          <w:rStyle w:val="Emphasis"/>
          <w:rFonts w:ascii="Times New Roman" w:hAnsi="Times New Roman" w:cs="Times New Roman"/>
          <w:b w:val="0"/>
          <w:color w:val="auto"/>
          <w:sz w:val="20"/>
          <w:szCs w:val="20"/>
        </w:rPr>
        <w:t>al-Aqsa</w:t>
      </w:r>
      <w:r w:rsidRPr="004E216D">
        <w:rPr>
          <w:rFonts w:ascii="Times New Roman" w:hAnsi="Times New Roman" w:cs="Times New Roman"/>
          <w:b w:val="0"/>
          <w:color w:val="auto"/>
          <w:sz w:val="20"/>
          <w:szCs w:val="20"/>
        </w:rPr>
        <w:t xml:space="preserve"> v. </w:t>
      </w:r>
      <w:r w:rsidRPr="004E216D">
        <w:rPr>
          <w:rStyle w:val="Emphasis"/>
          <w:rFonts w:ascii="Times New Roman" w:hAnsi="Times New Roman" w:cs="Times New Roman"/>
          <w:b w:val="0"/>
          <w:color w:val="auto"/>
          <w:sz w:val="20"/>
          <w:szCs w:val="20"/>
        </w:rPr>
        <w:t>Council</w:t>
      </w:r>
      <w:r w:rsidRPr="00DC144B">
        <w:rPr>
          <w:rStyle w:val="Emphasis"/>
          <w:rFonts w:ascii="Times New Roman" w:hAnsi="Times New Roman" w:cs="Times New Roman"/>
          <w:b w:val="0"/>
          <w:i w:val="0"/>
          <w:color w:val="auto"/>
          <w:sz w:val="20"/>
          <w:szCs w:val="20"/>
        </w:rPr>
        <w:t>.</w:t>
      </w:r>
      <w:proofErr w:type="gramEnd"/>
      <w:r w:rsidRPr="00DC144B">
        <w:rPr>
          <w:rStyle w:val="Emphasis"/>
          <w:rFonts w:ascii="Times New Roman" w:hAnsi="Times New Roman" w:cs="Times New Roman"/>
          <w:b w:val="0"/>
          <w:i w:val="0"/>
          <w:color w:val="auto"/>
          <w:sz w:val="20"/>
          <w:szCs w:val="20"/>
        </w:rPr>
        <w:t xml:space="preserve">  </w:t>
      </w:r>
    </w:p>
  </w:footnote>
  <w:footnote w:id="140">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[2008] EWHC 869.</w:t>
      </w:r>
      <w:proofErr w:type="gramEnd"/>
    </w:p>
  </w:footnote>
  <w:footnote w:id="141">
    <w:p w:rsidR="00DE779A" w:rsidRDefault="00DE779A" w:rsidP="007825C0">
      <w:pPr>
        <w:pStyle w:val="FootnoteText"/>
      </w:pPr>
      <w:r>
        <w:rPr>
          <w:rStyle w:val="FootnoteReference"/>
        </w:rPr>
        <w:footnoteRef/>
      </w:r>
      <w:r>
        <w:t xml:space="preserve"> </w:t>
      </w:r>
      <w:proofErr w:type="gramStart"/>
      <w:r>
        <w:t>S.I. 2006/2657.</w:t>
      </w:r>
      <w:proofErr w:type="gramEnd"/>
    </w:p>
  </w:footnote>
  <w:footnote w:id="142">
    <w:p w:rsidR="00DE779A" w:rsidRDefault="00DE779A" w:rsidP="007825C0">
      <w:pPr>
        <w:pStyle w:val="FootnoteText"/>
      </w:pPr>
      <w:r>
        <w:rPr>
          <w:rStyle w:val="FootnoteReference"/>
        </w:rPr>
        <w:footnoteRef/>
      </w:r>
      <w:r>
        <w:t xml:space="preserve"> </w:t>
      </w:r>
      <w:proofErr w:type="gramStart"/>
      <w:r>
        <w:t>S.I. 2006/2952.</w:t>
      </w:r>
      <w:proofErr w:type="gramEnd"/>
    </w:p>
  </w:footnote>
  <w:footnote w:id="143">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Pr>
          <w:rFonts w:eastAsiaTheme="minorHAnsi"/>
          <w:lang w:eastAsia="en-US"/>
        </w:rPr>
        <w:t xml:space="preserve">Proceeds of Crime Act 2002, s </w:t>
      </w:r>
      <w:r w:rsidRPr="00DC144B">
        <w:rPr>
          <w:rFonts w:eastAsiaTheme="minorHAnsi"/>
          <w:lang w:eastAsia="en-US"/>
        </w:rPr>
        <w:t>6.</w:t>
      </w:r>
      <w:proofErr w:type="gramEnd"/>
    </w:p>
  </w:footnote>
  <w:footnote w:id="144">
    <w:p w:rsidR="00DE779A" w:rsidRPr="00DC144B" w:rsidRDefault="00DE779A" w:rsidP="007825C0">
      <w:pPr>
        <w:autoSpaceDE w:val="0"/>
        <w:autoSpaceDN w:val="0"/>
        <w:adjustRightInd w:val="0"/>
        <w:spacing w:after="0" w:line="240" w:lineRule="auto"/>
        <w:jc w:val="both"/>
        <w:rPr>
          <w:rFonts w:ascii="Times New Roman" w:hAnsi="Times New Roman" w:cs="Times New Roman"/>
          <w:sz w:val="20"/>
          <w:szCs w:val="20"/>
        </w:rPr>
      </w:pPr>
      <w:r w:rsidRPr="00DC144B">
        <w:rPr>
          <w:rStyle w:val="FootnoteReference"/>
          <w:rFonts w:ascii="Times New Roman" w:hAnsi="Times New Roman" w:cs="Times New Roman"/>
          <w:sz w:val="20"/>
          <w:szCs w:val="20"/>
        </w:rPr>
        <w:footnoteRef/>
      </w:r>
      <w:r w:rsidRPr="00DC144B">
        <w:rPr>
          <w:rFonts w:ascii="Times New Roman" w:hAnsi="Times New Roman" w:cs="Times New Roman"/>
          <w:sz w:val="20"/>
          <w:szCs w:val="20"/>
        </w:rPr>
        <w:t xml:space="preserve"> </w:t>
      </w:r>
      <w:proofErr w:type="gramStart"/>
      <w:r w:rsidRPr="00DC144B">
        <w:rPr>
          <w:rFonts w:ascii="Times New Roman" w:hAnsi="Times New Roman" w:cs="Times New Roman"/>
          <w:sz w:val="20"/>
          <w:szCs w:val="20"/>
        </w:rPr>
        <w:t xml:space="preserve">Proceeds </w:t>
      </w:r>
      <w:r>
        <w:rPr>
          <w:rFonts w:ascii="Times New Roman" w:hAnsi="Times New Roman" w:cs="Times New Roman"/>
          <w:sz w:val="20"/>
          <w:szCs w:val="20"/>
        </w:rPr>
        <w:t xml:space="preserve">of Crime Act 2002, s </w:t>
      </w:r>
      <w:r w:rsidRPr="00DC144B">
        <w:rPr>
          <w:rFonts w:ascii="Times New Roman" w:hAnsi="Times New Roman" w:cs="Times New Roman"/>
          <w:sz w:val="20"/>
          <w:szCs w:val="20"/>
        </w:rPr>
        <w:t>10 and 75.</w:t>
      </w:r>
      <w:proofErr w:type="gramEnd"/>
      <w:r w:rsidRPr="00DC144B">
        <w:rPr>
          <w:rFonts w:ascii="Times New Roman" w:hAnsi="Times New Roman" w:cs="Times New Roman"/>
          <w:sz w:val="20"/>
          <w:szCs w:val="20"/>
        </w:rPr>
        <w:t xml:space="preserve">  </w:t>
      </w:r>
    </w:p>
  </w:footnote>
  <w:footnote w:id="145">
    <w:p w:rsidR="00DE779A" w:rsidRPr="00DC144B" w:rsidRDefault="00DE779A" w:rsidP="007825C0">
      <w:pPr>
        <w:pStyle w:val="FootnoteText"/>
        <w:jc w:val="both"/>
        <w:rPr>
          <w:rFonts w:eastAsiaTheme="minorHAnsi"/>
          <w:lang w:eastAsia="en-US"/>
        </w:rPr>
      </w:pPr>
      <w:r w:rsidRPr="00DC144B">
        <w:rPr>
          <w:rStyle w:val="FootnoteReference"/>
          <w:rFonts w:eastAsiaTheme="majorEastAsia"/>
        </w:rPr>
        <w:footnoteRef/>
      </w:r>
      <w:r w:rsidRPr="00DC144B">
        <w:t xml:space="preserve"> </w:t>
      </w:r>
      <w:proofErr w:type="gramStart"/>
      <w:r>
        <w:rPr>
          <w:rFonts w:eastAsiaTheme="minorHAnsi"/>
          <w:lang w:eastAsia="en-US"/>
        </w:rPr>
        <w:t xml:space="preserve">Proceeds of Crime Act 2002, s </w:t>
      </w:r>
      <w:r w:rsidRPr="00DC144B">
        <w:rPr>
          <w:rFonts w:eastAsiaTheme="minorHAnsi"/>
          <w:lang w:eastAsia="en-US"/>
        </w:rPr>
        <w:t>307.</w:t>
      </w:r>
      <w:proofErr w:type="gramEnd"/>
      <w:r w:rsidRPr="00DC144B">
        <w:rPr>
          <w:rFonts w:eastAsiaTheme="minorHAnsi"/>
          <w:lang w:eastAsia="en-US"/>
        </w:rPr>
        <w:t xml:space="preserve">  </w:t>
      </w:r>
    </w:p>
  </w:footnote>
  <w:footnote w:id="146">
    <w:p w:rsidR="00DE779A" w:rsidRPr="00DC144B" w:rsidRDefault="00DE779A" w:rsidP="007825C0">
      <w:pPr>
        <w:autoSpaceDE w:val="0"/>
        <w:autoSpaceDN w:val="0"/>
        <w:adjustRightInd w:val="0"/>
        <w:spacing w:after="0" w:line="240" w:lineRule="auto"/>
        <w:jc w:val="both"/>
        <w:rPr>
          <w:rFonts w:ascii="Times New Roman" w:hAnsi="Times New Roman" w:cs="Times New Roman"/>
          <w:sz w:val="20"/>
          <w:szCs w:val="20"/>
        </w:rPr>
      </w:pPr>
      <w:r w:rsidRPr="00DC144B">
        <w:rPr>
          <w:rStyle w:val="FootnoteReference"/>
          <w:rFonts w:ascii="Times New Roman" w:hAnsi="Times New Roman" w:cs="Times New Roman"/>
          <w:sz w:val="20"/>
          <w:szCs w:val="20"/>
        </w:rPr>
        <w:footnoteRef/>
      </w:r>
      <w:r w:rsidRPr="00DC144B">
        <w:rPr>
          <w:rFonts w:ascii="Times New Roman" w:hAnsi="Times New Roman" w:cs="Times New Roman"/>
          <w:sz w:val="20"/>
          <w:szCs w:val="20"/>
        </w:rPr>
        <w:t xml:space="preserve"> Proceeds of Crime Act 2002, Schedule 2.</w:t>
      </w:r>
    </w:p>
  </w:footnote>
  <w:footnote w:id="147">
    <w:p w:rsidR="00DE779A" w:rsidRPr="00DC144B" w:rsidRDefault="00DE779A" w:rsidP="007825C0">
      <w:pPr>
        <w:pStyle w:val="FootnoteText"/>
        <w:jc w:val="both"/>
        <w:rPr>
          <w:rFonts w:eastAsiaTheme="minorHAnsi"/>
          <w:lang w:eastAsia="en-US"/>
        </w:rPr>
      </w:pPr>
      <w:r w:rsidRPr="00DC144B">
        <w:rPr>
          <w:rStyle w:val="FootnoteReference"/>
          <w:rFonts w:eastAsiaTheme="majorEastAsia"/>
        </w:rPr>
        <w:footnoteRef/>
      </w:r>
      <w:r w:rsidRPr="00DC144B">
        <w:t xml:space="preserve"> </w:t>
      </w:r>
      <w:proofErr w:type="gramStart"/>
      <w:r w:rsidRPr="00DC144B">
        <w:rPr>
          <w:rFonts w:eastAsiaTheme="minorHAnsi"/>
          <w:lang w:eastAsia="en-US"/>
        </w:rPr>
        <w:t>Proceeds of Crime Act 2002</w:t>
      </w:r>
      <w:r w:rsidR="004E216D">
        <w:rPr>
          <w:rFonts w:eastAsiaTheme="minorHAnsi"/>
          <w:lang w:eastAsia="en-US"/>
        </w:rPr>
        <w:t xml:space="preserve">, </w:t>
      </w:r>
      <w:r>
        <w:rPr>
          <w:rFonts w:eastAsiaTheme="minorHAnsi"/>
          <w:lang w:eastAsia="en-US"/>
        </w:rPr>
        <w:t xml:space="preserve">s </w:t>
      </w:r>
      <w:r w:rsidRPr="00DC144B">
        <w:rPr>
          <w:rFonts w:eastAsiaTheme="minorHAnsi"/>
          <w:lang w:eastAsia="en-US"/>
        </w:rPr>
        <w:t>75</w:t>
      </w:r>
      <w:r w:rsidR="004E216D">
        <w:rPr>
          <w:rFonts w:eastAsiaTheme="minorHAnsi"/>
          <w:lang w:eastAsia="en-US"/>
        </w:rPr>
        <w:t xml:space="preserve"> </w:t>
      </w:r>
      <w:r w:rsidRPr="00DC144B">
        <w:rPr>
          <w:rFonts w:eastAsiaTheme="minorHAnsi"/>
          <w:lang w:eastAsia="en-US"/>
        </w:rPr>
        <w:t>(2)</w:t>
      </w:r>
      <w:r w:rsidR="004E216D">
        <w:rPr>
          <w:rFonts w:eastAsiaTheme="minorHAnsi"/>
          <w:lang w:eastAsia="en-US"/>
        </w:rPr>
        <w:t xml:space="preserve"> </w:t>
      </w:r>
      <w:r w:rsidRPr="00DC144B">
        <w:rPr>
          <w:rFonts w:eastAsiaTheme="minorHAnsi"/>
          <w:lang w:eastAsia="en-US"/>
        </w:rPr>
        <w:t>(b).</w:t>
      </w:r>
      <w:proofErr w:type="gramEnd"/>
      <w:r w:rsidRPr="00DC144B">
        <w:rPr>
          <w:rFonts w:eastAsiaTheme="minorHAnsi"/>
          <w:lang w:eastAsia="en-US"/>
        </w:rPr>
        <w:t xml:space="preserve">  </w:t>
      </w:r>
    </w:p>
  </w:footnote>
  <w:footnote w:id="148">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Pr>
          <w:rFonts w:eastAsiaTheme="minorHAnsi"/>
          <w:lang w:eastAsia="en-US"/>
        </w:rPr>
        <w:t xml:space="preserve">Proceeds of Crime Act 2002, s </w:t>
      </w:r>
      <w:r w:rsidRPr="00DC144B">
        <w:rPr>
          <w:rFonts w:eastAsiaTheme="minorHAnsi"/>
          <w:lang w:eastAsia="en-US"/>
        </w:rPr>
        <w:t>75.</w:t>
      </w:r>
      <w:proofErr w:type="gramEnd"/>
    </w:p>
  </w:footnote>
  <w:footnote w:id="149">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r w:rsidRPr="00DC144B">
        <w:rPr>
          <w:rFonts w:eastAsiaTheme="minorHAnsi"/>
          <w:lang w:eastAsia="en-US"/>
        </w:rPr>
        <w:t>See certain offences under the Misuse of Drugs Act 1971.</w:t>
      </w:r>
    </w:p>
  </w:footnote>
  <w:footnote w:id="150">
    <w:p w:rsidR="00DE779A" w:rsidRPr="00DC144B" w:rsidRDefault="00DE779A" w:rsidP="007825C0">
      <w:pPr>
        <w:pStyle w:val="FootnoteText"/>
        <w:jc w:val="both"/>
        <w:rPr>
          <w:rFonts w:eastAsiaTheme="minorHAnsi"/>
          <w:lang w:eastAsia="en-US"/>
        </w:rPr>
      </w:pPr>
      <w:r w:rsidRPr="00DC144B">
        <w:rPr>
          <w:rStyle w:val="FootnoteReference"/>
          <w:rFonts w:eastAsiaTheme="majorEastAsia"/>
        </w:rPr>
        <w:footnoteRef/>
      </w:r>
      <w:r w:rsidRPr="00DC144B">
        <w:t xml:space="preserve"> </w:t>
      </w:r>
      <w:r w:rsidRPr="00DC144B">
        <w:rPr>
          <w:rFonts w:eastAsiaTheme="minorHAnsi"/>
          <w:lang w:eastAsia="en-US"/>
        </w:rPr>
        <w:t>This would include Proceeds of Crime Act 2002</w:t>
      </w:r>
      <w:r>
        <w:rPr>
          <w:rFonts w:eastAsiaTheme="minorHAnsi"/>
          <w:lang w:eastAsia="en-US"/>
        </w:rPr>
        <w:t xml:space="preserve">, s </w:t>
      </w:r>
      <w:r w:rsidRPr="00DC144B">
        <w:rPr>
          <w:rFonts w:eastAsiaTheme="minorHAnsi"/>
          <w:lang w:eastAsia="en-US"/>
        </w:rPr>
        <w:t xml:space="preserve">327 and 328. </w:t>
      </w:r>
    </w:p>
  </w:footnote>
  <w:footnote w:id="151">
    <w:p w:rsidR="00DE779A" w:rsidRPr="00DC144B" w:rsidRDefault="00DE779A" w:rsidP="007825C0">
      <w:pPr>
        <w:pStyle w:val="FootnoteText"/>
        <w:jc w:val="both"/>
        <w:rPr>
          <w:rFonts w:eastAsiaTheme="minorHAnsi"/>
          <w:lang w:eastAsia="en-US"/>
        </w:rPr>
      </w:pPr>
      <w:r w:rsidRPr="00DC144B">
        <w:rPr>
          <w:rStyle w:val="FootnoteReference"/>
          <w:rFonts w:eastAsiaTheme="majorEastAsia"/>
        </w:rPr>
        <w:footnoteRef/>
      </w:r>
      <w:r w:rsidRPr="00DC144B">
        <w:t xml:space="preserve"> </w:t>
      </w:r>
      <w:r>
        <w:rPr>
          <w:rFonts w:eastAsiaTheme="minorHAnsi"/>
          <w:lang w:eastAsia="en-US"/>
        </w:rPr>
        <w:t>See Terrorism Act 2000, s</w:t>
      </w:r>
      <w:r w:rsidRPr="00DC144B">
        <w:rPr>
          <w:rFonts w:eastAsiaTheme="minorHAnsi"/>
          <w:lang w:eastAsia="en-US"/>
        </w:rPr>
        <w:t xml:space="preserve"> 56.  </w:t>
      </w:r>
    </w:p>
  </w:footnote>
  <w:footnote w:id="152">
    <w:p w:rsidR="00DE779A" w:rsidRPr="00DC144B" w:rsidRDefault="00DE779A" w:rsidP="007825C0">
      <w:pPr>
        <w:pStyle w:val="FootnoteText"/>
        <w:jc w:val="both"/>
        <w:rPr>
          <w:rFonts w:eastAsiaTheme="minorHAnsi"/>
          <w:lang w:eastAsia="en-US"/>
        </w:rPr>
      </w:pPr>
      <w:r w:rsidRPr="00DC144B">
        <w:rPr>
          <w:rStyle w:val="FootnoteReference"/>
          <w:rFonts w:eastAsiaTheme="majorEastAsia"/>
        </w:rPr>
        <w:footnoteRef/>
      </w:r>
      <w:r w:rsidRPr="00DC144B">
        <w:t xml:space="preserve"> </w:t>
      </w:r>
      <w:r w:rsidRPr="00DC144B">
        <w:rPr>
          <w:rFonts w:eastAsiaTheme="minorHAnsi"/>
          <w:lang w:eastAsia="en-US"/>
        </w:rPr>
        <w:t>This would include for example breaches</w:t>
      </w:r>
      <w:r>
        <w:rPr>
          <w:rFonts w:eastAsiaTheme="minorHAnsi"/>
          <w:lang w:eastAsia="en-US"/>
        </w:rPr>
        <w:t xml:space="preserve"> of the Immigration Act 1971, s</w:t>
      </w:r>
      <w:r w:rsidRPr="00DC144B">
        <w:rPr>
          <w:rFonts w:eastAsiaTheme="minorHAnsi"/>
          <w:lang w:eastAsia="en-US"/>
        </w:rPr>
        <w:t xml:space="preserve"> 25, 25A or 25B.</w:t>
      </w:r>
    </w:p>
  </w:footnote>
  <w:footnote w:id="153">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rPr>
          <w:rFonts w:eastAsiaTheme="minorHAnsi"/>
          <w:lang w:eastAsia="en-US"/>
        </w:rPr>
        <w:t>See Customs an</w:t>
      </w:r>
      <w:r>
        <w:rPr>
          <w:rFonts w:eastAsiaTheme="minorHAnsi"/>
          <w:lang w:eastAsia="en-US"/>
        </w:rPr>
        <w:t>d Excise Management Act 1979, s</w:t>
      </w:r>
      <w:r w:rsidRPr="00DC144B">
        <w:rPr>
          <w:rFonts w:eastAsiaTheme="minorHAnsi"/>
          <w:lang w:eastAsia="en-US"/>
        </w:rPr>
        <w:t xml:space="preserve"> 68</w:t>
      </w:r>
      <w:r w:rsidR="004E216D">
        <w:rPr>
          <w:rFonts w:eastAsiaTheme="minorHAnsi"/>
          <w:lang w:eastAsia="en-US"/>
        </w:rPr>
        <w:t xml:space="preserve"> </w:t>
      </w:r>
      <w:r w:rsidRPr="00DC144B">
        <w:rPr>
          <w:rFonts w:eastAsiaTheme="minorHAnsi"/>
          <w:lang w:eastAsia="en-US"/>
        </w:rPr>
        <w:t>(2) and 170.</w:t>
      </w:r>
      <w:proofErr w:type="gramEnd"/>
      <w:r w:rsidRPr="00DC144B">
        <w:rPr>
          <w:rFonts w:eastAsiaTheme="minorHAnsi"/>
          <w:lang w:eastAsia="en-US"/>
        </w:rPr>
        <w:t xml:space="preserve">  Als</w:t>
      </w:r>
      <w:r>
        <w:rPr>
          <w:rFonts w:eastAsiaTheme="minorHAnsi"/>
          <w:lang w:eastAsia="en-US"/>
        </w:rPr>
        <w:t>o see Firearms Act 1968, s</w:t>
      </w:r>
      <w:r w:rsidRPr="00DC144B">
        <w:rPr>
          <w:rFonts w:eastAsiaTheme="minorHAnsi"/>
          <w:lang w:eastAsia="en-US"/>
        </w:rPr>
        <w:t xml:space="preserve"> 3</w:t>
      </w:r>
      <w:r w:rsidR="004E216D">
        <w:rPr>
          <w:rFonts w:eastAsiaTheme="minorHAnsi"/>
          <w:lang w:eastAsia="en-US"/>
        </w:rPr>
        <w:t xml:space="preserve"> </w:t>
      </w:r>
      <w:r w:rsidRPr="00DC144B">
        <w:rPr>
          <w:rFonts w:eastAsiaTheme="minorHAnsi"/>
          <w:lang w:eastAsia="en-US"/>
        </w:rPr>
        <w:t>(1).</w:t>
      </w:r>
    </w:p>
  </w:footnote>
  <w:footnote w:id="154">
    <w:p w:rsidR="00DE779A" w:rsidRPr="00DC144B" w:rsidRDefault="00DE779A" w:rsidP="007825C0">
      <w:pPr>
        <w:pStyle w:val="FootnoteText"/>
        <w:jc w:val="both"/>
        <w:rPr>
          <w:bCs/>
        </w:rPr>
      </w:pPr>
      <w:r w:rsidRPr="00DC144B">
        <w:rPr>
          <w:rStyle w:val="FootnoteReference"/>
          <w:rFonts w:eastAsiaTheme="majorEastAsia"/>
        </w:rPr>
        <w:footnoteRef/>
      </w:r>
      <w:r w:rsidRPr="00DC144B">
        <w:t xml:space="preserve"> </w:t>
      </w:r>
      <w:proofErr w:type="gramStart"/>
      <w:r w:rsidRPr="00DC144B">
        <w:rPr>
          <w:rFonts w:eastAsiaTheme="minorHAnsi"/>
          <w:lang w:eastAsia="en-US"/>
        </w:rPr>
        <w:t xml:space="preserve">Forgery </w:t>
      </w:r>
      <w:r>
        <w:rPr>
          <w:rFonts w:eastAsiaTheme="minorHAnsi"/>
          <w:lang w:eastAsia="en-US"/>
        </w:rPr>
        <w:t>and Counterfeiting Act 1981, s</w:t>
      </w:r>
      <w:r w:rsidRPr="00DC144B">
        <w:rPr>
          <w:rFonts w:eastAsiaTheme="minorHAnsi"/>
          <w:lang w:eastAsia="en-US"/>
        </w:rPr>
        <w:t xml:space="preserve"> 14–17.</w:t>
      </w:r>
      <w:proofErr w:type="gramEnd"/>
      <w:r w:rsidRPr="00DC144B">
        <w:rPr>
          <w:rFonts w:eastAsiaTheme="minorHAnsi"/>
          <w:lang w:eastAsia="en-US"/>
        </w:rPr>
        <w:t xml:space="preserve">  </w:t>
      </w:r>
    </w:p>
  </w:footnote>
  <w:footnote w:id="155">
    <w:p w:rsidR="00DE779A" w:rsidRPr="00DC144B" w:rsidRDefault="00DE779A" w:rsidP="007825C0">
      <w:pPr>
        <w:pStyle w:val="FootnoteText"/>
        <w:jc w:val="both"/>
        <w:rPr>
          <w:rFonts w:eastAsiaTheme="minorHAnsi"/>
          <w:lang w:eastAsia="en-US"/>
        </w:rPr>
      </w:pPr>
      <w:r w:rsidRPr="00DC144B">
        <w:rPr>
          <w:rStyle w:val="FootnoteReference"/>
          <w:rFonts w:eastAsiaTheme="majorEastAsia"/>
        </w:rPr>
        <w:footnoteRef/>
      </w:r>
      <w:r w:rsidRPr="00DC144B">
        <w:t xml:space="preserve"> </w:t>
      </w:r>
      <w:r w:rsidRPr="00DC144B">
        <w:rPr>
          <w:rFonts w:eastAsiaTheme="minorHAnsi"/>
          <w:lang w:eastAsia="en-US"/>
        </w:rPr>
        <w:t>Copyright, D</w:t>
      </w:r>
      <w:r>
        <w:rPr>
          <w:rFonts w:eastAsiaTheme="minorHAnsi"/>
          <w:lang w:eastAsia="en-US"/>
        </w:rPr>
        <w:t>esigns and Patents Act 1988, s</w:t>
      </w:r>
      <w:r w:rsidRPr="00DC144B">
        <w:rPr>
          <w:rFonts w:eastAsiaTheme="minorHAnsi"/>
          <w:lang w:eastAsia="en-US"/>
        </w:rPr>
        <w:t xml:space="preserve"> 107</w:t>
      </w:r>
      <w:r w:rsidR="004E216D">
        <w:rPr>
          <w:rFonts w:eastAsiaTheme="minorHAnsi"/>
          <w:lang w:eastAsia="en-US"/>
        </w:rPr>
        <w:t xml:space="preserve"> </w:t>
      </w:r>
      <w:r w:rsidRPr="00DC144B">
        <w:rPr>
          <w:rFonts w:eastAsiaTheme="minorHAnsi"/>
          <w:lang w:eastAsia="en-US"/>
        </w:rPr>
        <w:t>(1), 107</w:t>
      </w:r>
      <w:r w:rsidR="004E216D">
        <w:rPr>
          <w:rFonts w:eastAsiaTheme="minorHAnsi"/>
          <w:lang w:eastAsia="en-US"/>
        </w:rPr>
        <w:t xml:space="preserve"> </w:t>
      </w:r>
      <w:r w:rsidRPr="00DC144B">
        <w:rPr>
          <w:rFonts w:eastAsiaTheme="minorHAnsi"/>
          <w:lang w:eastAsia="en-US"/>
        </w:rPr>
        <w:t>(2), 198</w:t>
      </w:r>
      <w:r w:rsidR="004E216D">
        <w:rPr>
          <w:rFonts w:eastAsiaTheme="minorHAnsi"/>
          <w:lang w:eastAsia="en-US"/>
        </w:rPr>
        <w:t xml:space="preserve"> </w:t>
      </w:r>
      <w:r w:rsidRPr="00DC144B">
        <w:rPr>
          <w:rFonts w:eastAsiaTheme="minorHAnsi"/>
          <w:lang w:eastAsia="en-US"/>
        </w:rPr>
        <w:t>(1) and 297</w:t>
      </w:r>
      <w:r w:rsidR="004E216D">
        <w:rPr>
          <w:rFonts w:eastAsiaTheme="minorHAnsi"/>
          <w:lang w:eastAsia="en-US"/>
        </w:rPr>
        <w:t xml:space="preserve"> </w:t>
      </w:r>
      <w:r w:rsidRPr="00DC144B">
        <w:rPr>
          <w:rFonts w:eastAsiaTheme="minorHAnsi"/>
          <w:lang w:eastAsia="en-US"/>
        </w:rPr>
        <w:t>(A).  A</w:t>
      </w:r>
      <w:r>
        <w:rPr>
          <w:rFonts w:eastAsiaTheme="minorHAnsi"/>
          <w:lang w:eastAsia="en-US"/>
        </w:rPr>
        <w:t>lso see Trade Marks Act 1994, s</w:t>
      </w:r>
      <w:r w:rsidRPr="00DC144B">
        <w:rPr>
          <w:rFonts w:eastAsiaTheme="minorHAnsi"/>
          <w:lang w:eastAsia="en-US"/>
        </w:rPr>
        <w:t xml:space="preserve"> 92</w:t>
      </w:r>
      <w:r w:rsidR="004E216D">
        <w:rPr>
          <w:rFonts w:eastAsiaTheme="minorHAnsi"/>
          <w:lang w:eastAsia="en-US"/>
        </w:rPr>
        <w:t xml:space="preserve"> </w:t>
      </w:r>
      <w:r w:rsidRPr="00DC144B">
        <w:rPr>
          <w:rFonts w:eastAsiaTheme="minorHAnsi"/>
          <w:lang w:eastAsia="en-US"/>
        </w:rPr>
        <w:t>(1)-(3).</w:t>
      </w:r>
    </w:p>
  </w:footnote>
  <w:footnote w:id="156">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Pr>
          <w:rFonts w:eastAsiaTheme="minorHAnsi"/>
          <w:lang w:eastAsia="en-US"/>
        </w:rPr>
        <w:t xml:space="preserve">Proceeds of Crime Act 2002, s </w:t>
      </w:r>
      <w:r w:rsidRPr="00DC144B">
        <w:rPr>
          <w:rFonts w:eastAsiaTheme="minorHAnsi"/>
          <w:lang w:eastAsia="en-US"/>
        </w:rPr>
        <w:t>75</w:t>
      </w:r>
      <w:r w:rsidR="004E216D">
        <w:rPr>
          <w:rFonts w:eastAsiaTheme="minorHAnsi"/>
          <w:lang w:eastAsia="en-US"/>
        </w:rPr>
        <w:t xml:space="preserve"> </w:t>
      </w:r>
      <w:r w:rsidRPr="00DC144B">
        <w:rPr>
          <w:rFonts w:eastAsiaTheme="minorHAnsi"/>
          <w:lang w:eastAsia="en-US"/>
        </w:rPr>
        <w:t>(3)</w:t>
      </w:r>
      <w:r w:rsidR="004E216D">
        <w:rPr>
          <w:rFonts w:eastAsiaTheme="minorHAnsi"/>
          <w:lang w:eastAsia="en-US"/>
        </w:rPr>
        <w:t xml:space="preserve"> </w:t>
      </w:r>
      <w:r w:rsidRPr="00DC144B">
        <w:rPr>
          <w:rFonts w:eastAsiaTheme="minorHAnsi"/>
          <w:lang w:eastAsia="en-US"/>
        </w:rPr>
        <w:t>(a).</w:t>
      </w:r>
      <w:proofErr w:type="gramEnd"/>
    </w:p>
  </w:footnote>
  <w:footnote w:id="157">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rPr>
          <w:rFonts w:eastAsiaTheme="minorHAnsi"/>
          <w:lang w:eastAsia="en-US"/>
        </w:rPr>
        <w:t>Proceeds of Crime Act 2002, s</w:t>
      </w:r>
      <w:r>
        <w:rPr>
          <w:rFonts w:eastAsiaTheme="minorHAnsi"/>
          <w:lang w:eastAsia="en-US"/>
        </w:rPr>
        <w:t xml:space="preserve"> </w:t>
      </w:r>
      <w:r w:rsidRPr="00DC144B">
        <w:rPr>
          <w:rFonts w:eastAsiaTheme="minorHAnsi"/>
          <w:lang w:eastAsia="en-US"/>
        </w:rPr>
        <w:t>75</w:t>
      </w:r>
      <w:r w:rsidR="004E216D">
        <w:rPr>
          <w:rFonts w:eastAsiaTheme="minorHAnsi"/>
          <w:lang w:eastAsia="en-US"/>
        </w:rPr>
        <w:t xml:space="preserve"> </w:t>
      </w:r>
      <w:r w:rsidRPr="00DC144B">
        <w:rPr>
          <w:rFonts w:eastAsiaTheme="minorHAnsi"/>
          <w:lang w:eastAsia="en-US"/>
        </w:rPr>
        <w:t>(3)</w:t>
      </w:r>
      <w:r w:rsidR="004E216D">
        <w:rPr>
          <w:rFonts w:eastAsiaTheme="minorHAnsi"/>
          <w:lang w:eastAsia="en-US"/>
        </w:rPr>
        <w:t xml:space="preserve"> </w:t>
      </w:r>
      <w:r w:rsidRPr="00DC144B">
        <w:rPr>
          <w:rFonts w:eastAsiaTheme="minorHAnsi"/>
          <w:lang w:eastAsia="en-US"/>
        </w:rPr>
        <w:t>(b).</w:t>
      </w:r>
      <w:proofErr w:type="gramEnd"/>
    </w:p>
  </w:footnote>
  <w:footnote w:id="158">
    <w:p w:rsidR="00DE779A" w:rsidRPr="00DC144B" w:rsidRDefault="00DE779A" w:rsidP="007825C0">
      <w:pPr>
        <w:pStyle w:val="FootnoteText"/>
        <w:jc w:val="both"/>
        <w:rPr>
          <w:rFonts w:eastAsiaTheme="minorHAnsi"/>
          <w:lang w:eastAsia="en-US"/>
        </w:rPr>
      </w:pPr>
      <w:r w:rsidRPr="00DC144B">
        <w:rPr>
          <w:rStyle w:val="FootnoteReference"/>
          <w:rFonts w:eastAsiaTheme="majorEastAsia"/>
        </w:rPr>
        <w:footnoteRef/>
      </w:r>
      <w:r w:rsidRPr="00DC144B">
        <w:t xml:space="preserve"> </w:t>
      </w:r>
      <w:proofErr w:type="gramStart"/>
      <w:r w:rsidRPr="00DC144B">
        <w:rPr>
          <w:rFonts w:eastAsiaTheme="minorHAnsi"/>
          <w:lang w:eastAsia="en-US"/>
        </w:rPr>
        <w:t>Proceeds of Crime Act 2002, s</w:t>
      </w:r>
      <w:r>
        <w:rPr>
          <w:rFonts w:eastAsiaTheme="minorHAnsi"/>
          <w:lang w:eastAsia="en-US"/>
        </w:rPr>
        <w:t xml:space="preserve"> </w:t>
      </w:r>
      <w:r w:rsidRPr="00DC144B">
        <w:rPr>
          <w:rFonts w:eastAsiaTheme="minorHAnsi"/>
          <w:lang w:eastAsia="en-US"/>
        </w:rPr>
        <w:t>7.</w:t>
      </w:r>
      <w:proofErr w:type="gramEnd"/>
      <w:r w:rsidRPr="00DC144B">
        <w:rPr>
          <w:rFonts w:eastAsiaTheme="minorHAnsi"/>
          <w:lang w:eastAsia="en-US"/>
        </w:rPr>
        <w:t xml:space="preserve">  </w:t>
      </w:r>
    </w:p>
  </w:footnote>
  <w:footnote w:id="159">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r w:rsidRPr="00DC144B">
        <w:rPr>
          <w:rFonts w:eastAsiaTheme="minorHAnsi"/>
          <w:lang w:eastAsia="en-US"/>
        </w:rPr>
        <w:t>For a definition of terrorist cash see Anti-terrorism, Crime and Security Act 2001 Schedule 1, paragraph 1(a) and (b).</w:t>
      </w:r>
    </w:p>
  </w:footnote>
  <w:footnote w:id="160">
    <w:p w:rsidR="00DE779A" w:rsidRDefault="00DE779A" w:rsidP="007825C0">
      <w:pPr>
        <w:pStyle w:val="FootnoteText"/>
      </w:pPr>
      <w:r>
        <w:rPr>
          <w:rStyle w:val="FootnoteReference"/>
        </w:rPr>
        <w:footnoteRef/>
      </w:r>
      <w:r>
        <w:t xml:space="preserve"> </w:t>
      </w:r>
      <w:proofErr w:type="gramStart"/>
      <w:r>
        <w:t>Terrorism Act 2000, s 23.</w:t>
      </w:r>
      <w:proofErr w:type="gramEnd"/>
    </w:p>
  </w:footnote>
  <w:footnote w:id="161">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r w:rsidRPr="00DC144B">
        <w:rPr>
          <w:rFonts w:eastAsiaTheme="minorHAnsi"/>
          <w:lang w:eastAsia="en-US"/>
        </w:rPr>
        <w:t>Anti-terrorism, Crime and Security Act 2001, Schedule 1.</w:t>
      </w:r>
    </w:p>
  </w:footnote>
  <w:footnote w:id="162">
    <w:p w:rsidR="00DE779A" w:rsidRPr="00DC144B" w:rsidRDefault="00DE779A" w:rsidP="007825C0">
      <w:pPr>
        <w:autoSpaceDE w:val="0"/>
        <w:autoSpaceDN w:val="0"/>
        <w:adjustRightInd w:val="0"/>
        <w:spacing w:after="0" w:line="240" w:lineRule="auto"/>
        <w:jc w:val="both"/>
        <w:rPr>
          <w:rFonts w:ascii="Times New Roman" w:eastAsia="TimesNewRomanPS-ItalicMT" w:hAnsi="Times New Roman" w:cs="Times New Roman"/>
          <w:iCs/>
          <w:sz w:val="20"/>
          <w:szCs w:val="20"/>
        </w:rPr>
      </w:pPr>
      <w:r w:rsidRPr="00DC144B">
        <w:rPr>
          <w:rStyle w:val="FootnoteReference"/>
          <w:rFonts w:ascii="Times New Roman" w:hAnsi="Times New Roman" w:cs="Times New Roman"/>
          <w:sz w:val="20"/>
          <w:szCs w:val="20"/>
        </w:rPr>
        <w:footnoteRef/>
      </w:r>
      <w:r w:rsidRPr="00DC144B">
        <w:rPr>
          <w:rFonts w:ascii="Times New Roman" w:hAnsi="Times New Roman" w:cs="Times New Roman"/>
          <w:sz w:val="20"/>
          <w:szCs w:val="20"/>
        </w:rPr>
        <w:t xml:space="preserve"> </w:t>
      </w:r>
      <w:proofErr w:type="gramStart"/>
      <w:r w:rsidRPr="00DC144B">
        <w:rPr>
          <w:rFonts w:ascii="Times New Roman" w:hAnsi="Times New Roman" w:cs="Times New Roman"/>
          <w:sz w:val="20"/>
          <w:szCs w:val="20"/>
        </w:rPr>
        <w:t xml:space="preserve">HM Government </w:t>
      </w:r>
      <w:r w:rsidR="004E216D">
        <w:rPr>
          <w:rFonts w:ascii="Times New Roman" w:hAnsi="Times New Roman" w:cs="Times New Roman"/>
          <w:sz w:val="20"/>
          <w:szCs w:val="20"/>
        </w:rPr>
        <w:t>(92)</w:t>
      </w:r>
      <w:r w:rsidRPr="00DC144B">
        <w:rPr>
          <w:rFonts w:ascii="Times New Roman" w:hAnsi="Times New Roman" w:cs="Times New Roman"/>
          <w:sz w:val="20"/>
          <w:szCs w:val="20"/>
        </w:rPr>
        <w:t>.</w:t>
      </w:r>
      <w:proofErr w:type="gramEnd"/>
    </w:p>
  </w:footnote>
  <w:footnote w:id="163">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rPr>
          <w:rFonts w:eastAsiaTheme="minorHAnsi"/>
          <w:lang w:eastAsia="en-US"/>
        </w:rPr>
        <w:t xml:space="preserve">Home Office </w:t>
      </w:r>
      <w:r w:rsidRPr="004E216D">
        <w:rPr>
          <w:rFonts w:eastAsia="TimesNewRomanPS-ItalicMT"/>
          <w:i/>
          <w:iCs/>
          <w:lang w:eastAsia="en-US"/>
        </w:rPr>
        <w:t>Report on the operation in 2009 of the Terrorism Act 2000</w:t>
      </w:r>
      <w:r w:rsidRPr="00DC144B">
        <w:rPr>
          <w:rFonts w:eastAsia="TimesNewRomanPS-ItalicMT"/>
          <w:iCs/>
          <w:lang w:eastAsia="en-US"/>
        </w:rPr>
        <w:t xml:space="preserve"> </w:t>
      </w:r>
      <w:r w:rsidRPr="00DC144B">
        <w:rPr>
          <w:rFonts w:eastAsiaTheme="minorHAnsi"/>
          <w:lang w:eastAsia="en-US"/>
        </w:rPr>
        <w:t>(2010) 21.</w:t>
      </w:r>
      <w:proofErr w:type="gramEnd"/>
      <w:r>
        <w:rPr>
          <w:rFonts w:eastAsiaTheme="minorHAnsi"/>
          <w:lang w:eastAsia="en-US"/>
        </w:rPr>
        <w:t xml:space="preserve"> </w:t>
      </w:r>
    </w:p>
  </w:footnote>
  <w:footnote w:id="164">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S.I. 2001/3365.</w:t>
      </w:r>
      <w:proofErr w:type="gramEnd"/>
    </w:p>
  </w:footnote>
  <w:footnote w:id="165">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S.I. 2006/2657.</w:t>
      </w:r>
      <w:proofErr w:type="gramEnd"/>
    </w:p>
  </w:footnote>
  <w:footnote w:id="166">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S.I. 2009/1747.</w:t>
      </w:r>
      <w:proofErr w:type="gramEnd"/>
      <w:r w:rsidRPr="00DC144B">
        <w:t xml:space="preserve">  </w:t>
      </w:r>
    </w:p>
  </w:footnote>
  <w:footnote w:id="167">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 xml:space="preserve">Brent and Blair </w:t>
      </w:r>
      <w:r w:rsidR="004E216D">
        <w:t>(131)</w:t>
      </w:r>
      <w:r w:rsidRPr="00DC144B">
        <w:t>.</w:t>
      </w:r>
      <w:proofErr w:type="gramEnd"/>
    </w:p>
  </w:footnote>
  <w:footnote w:id="168">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Hereinafter ‘BBA’.</w:t>
      </w:r>
      <w:proofErr w:type="gramEnd"/>
    </w:p>
  </w:footnote>
  <w:footnote w:id="169">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r w:rsidR="004467E3">
        <w:t>House of Lords Select Committee</w:t>
      </w:r>
      <w:r w:rsidR="004467E3">
        <w:t xml:space="preserve"> (130) 116.</w:t>
      </w:r>
    </w:p>
  </w:footnote>
  <w:footnote w:id="170">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004467E3" w:rsidRPr="00DC144B">
        <w:t xml:space="preserve">Anderson </w:t>
      </w:r>
      <w:r w:rsidR="004467E3">
        <w:t xml:space="preserve">(119) </w:t>
      </w:r>
      <w:r w:rsidR="004467E3">
        <w:t>61</w:t>
      </w:r>
      <w:r w:rsidR="004467E3" w:rsidRPr="00DC144B">
        <w:t>.</w:t>
      </w:r>
      <w:proofErr w:type="gramEnd"/>
    </w:p>
  </w:footnote>
  <w:footnote w:id="171">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r w:rsidRPr="004467E3">
        <w:rPr>
          <w:i/>
        </w:rPr>
        <w:t>Ibid</w:t>
      </w:r>
      <w:r w:rsidRPr="00DC144B">
        <w:t>.</w:t>
      </w:r>
    </w:p>
  </w:footnote>
  <w:footnote w:id="172">
    <w:p w:rsidR="00DE779A" w:rsidRPr="00DC144B" w:rsidRDefault="00DE779A" w:rsidP="007825C0">
      <w:pPr>
        <w:pStyle w:val="Heading2"/>
        <w:shd w:val="clear" w:color="auto" w:fill="FFFFFF"/>
        <w:spacing w:before="0"/>
        <w:jc w:val="both"/>
        <w:rPr>
          <w:rFonts w:ascii="Times New Roman" w:hAnsi="Times New Roman" w:cs="Times New Roman"/>
          <w:b w:val="0"/>
          <w:color w:val="auto"/>
          <w:sz w:val="20"/>
          <w:szCs w:val="20"/>
        </w:rPr>
      </w:pPr>
      <w:r w:rsidRPr="00DC144B">
        <w:rPr>
          <w:rStyle w:val="FootnoteReference"/>
          <w:rFonts w:ascii="Times New Roman" w:hAnsi="Times New Roman" w:cs="Times New Roman"/>
          <w:b w:val="0"/>
          <w:color w:val="auto"/>
          <w:sz w:val="20"/>
          <w:szCs w:val="20"/>
        </w:rPr>
        <w:footnoteRef/>
      </w:r>
      <w:r w:rsidRPr="00DC144B">
        <w:rPr>
          <w:rFonts w:ascii="Times New Roman" w:hAnsi="Times New Roman" w:cs="Times New Roman"/>
          <w:b w:val="0"/>
          <w:color w:val="auto"/>
          <w:sz w:val="20"/>
          <w:szCs w:val="20"/>
        </w:rPr>
        <w:t xml:space="preserve"> </w:t>
      </w:r>
      <w:r w:rsidR="004467E3">
        <w:rPr>
          <w:rFonts w:ascii="Times New Roman" w:hAnsi="Times New Roman" w:cs="Times New Roman"/>
          <w:b w:val="0"/>
          <w:color w:val="auto"/>
          <w:sz w:val="20"/>
          <w:szCs w:val="20"/>
        </w:rPr>
        <w:t xml:space="preserve">J </w:t>
      </w:r>
      <w:r w:rsidRPr="00DC144B">
        <w:rPr>
          <w:rFonts w:ascii="Times New Roman" w:hAnsi="Times New Roman" w:cs="Times New Roman"/>
          <w:b w:val="0"/>
          <w:color w:val="auto"/>
          <w:sz w:val="20"/>
          <w:szCs w:val="20"/>
        </w:rPr>
        <w:t>Haines, ‘</w:t>
      </w:r>
      <w:r w:rsidRPr="00DC144B">
        <w:rPr>
          <w:rFonts w:ascii="Times New Roman" w:eastAsia="Times New Roman" w:hAnsi="Times New Roman" w:cs="Times New Roman"/>
          <w:b w:val="0"/>
          <w:color w:val="auto"/>
          <w:sz w:val="20"/>
          <w:szCs w:val="20"/>
        </w:rPr>
        <w:t xml:space="preserve">Embargoes and economic sanctions: does the hand fit the glove?’ </w:t>
      </w:r>
      <w:proofErr w:type="gramStart"/>
      <w:r w:rsidR="004467E3">
        <w:rPr>
          <w:rFonts w:ascii="Times New Roman" w:eastAsia="Times New Roman" w:hAnsi="Times New Roman" w:cs="Times New Roman"/>
          <w:b w:val="0"/>
          <w:color w:val="auto"/>
          <w:sz w:val="20"/>
          <w:szCs w:val="20"/>
        </w:rPr>
        <w:t>(</w:t>
      </w:r>
      <w:r w:rsidR="00E661FE">
        <w:rPr>
          <w:rFonts w:ascii="Times New Roman" w:eastAsia="Times New Roman" w:hAnsi="Times New Roman" w:cs="Times New Roman"/>
          <w:b w:val="0"/>
          <w:color w:val="auto"/>
          <w:sz w:val="20"/>
          <w:szCs w:val="20"/>
        </w:rPr>
        <w:t xml:space="preserve">2006) 27(10) </w:t>
      </w:r>
      <w:r w:rsidRPr="00DC144B">
        <w:rPr>
          <w:rFonts w:ascii="Times New Roman" w:eastAsia="Times New Roman" w:hAnsi="Times New Roman" w:cs="Times New Roman"/>
          <w:b w:val="0"/>
          <w:color w:val="auto"/>
          <w:sz w:val="20"/>
          <w:szCs w:val="20"/>
        </w:rPr>
        <w:t>Company Lawyer</w:t>
      </w:r>
      <w:r w:rsidR="00E661FE">
        <w:rPr>
          <w:rFonts w:ascii="Times New Roman" w:eastAsia="Times New Roman" w:hAnsi="Times New Roman" w:cs="Times New Roman"/>
          <w:b w:val="0"/>
          <w:color w:val="auto"/>
          <w:sz w:val="20"/>
          <w:szCs w:val="20"/>
        </w:rPr>
        <w:t xml:space="preserve"> </w:t>
      </w:r>
      <w:r w:rsidRPr="00DC144B">
        <w:rPr>
          <w:rFonts w:ascii="Times New Roman" w:eastAsia="Times New Roman" w:hAnsi="Times New Roman" w:cs="Times New Roman"/>
          <w:b w:val="0"/>
          <w:color w:val="auto"/>
          <w:sz w:val="20"/>
          <w:szCs w:val="20"/>
        </w:rPr>
        <w:t>289</w:t>
      </w:r>
      <w:r w:rsidR="00E661FE">
        <w:rPr>
          <w:rFonts w:ascii="Times New Roman" w:eastAsia="Times New Roman" w:hAnsi="Times New Roman" w:cs="Times New Roman"/>
          <w:b w:val="0"/>
          <w:color w:val="auto"/>
          <w:sz w:val="20"/>
          <w:szCs w:val="20"/>
        </w:rPr>
        <w:t xml:space="preserve">, </w:t>
      </w:r>
      <w:r w:rsidRPr="00DC144B">
        <w:rPr>
          <w:rFonts w:ascii="Times New Roman" w:eastAsia="Times New Roman" w:hAnsi="Times New Roman" w:cs="Times New Roman"/>
          <w:b w:val="0"/>
          <w:color w:val="auto"/>
          <w:sz w:val="20"/>
          <w:szCs w:val="20"/>
        </w:rPr>
        <w:t>290.</w:t>
      </w:r>
      <w:proofErr w:type="gramEnd"/>
    </w:p>
  </w:footnote>
  <w:footnote w:id="173">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S.I. 2007/2517.</w:t>
      </w:r>
      <w:proofErr w:type="gramEnd"/>
    </w:p>
  </w:footnote>
  <w:footnote w:id="174">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 xml:space="preserve">Anti-terrorism, Crime and Security Act 2001, </w:t>
      </w:r>
      <w:r w:rsidRPr="00DC144B">
        <w:rPr>
          <w:rFonts w:eastAsiaTheme="minorHAnsi"/>
          <w:lang w:eastAsia="en-US"/>
        </w:rPr>
        <w:t>Schedule 2 Pt III.</w:t>
      </w:r>
      <w:proofErr w:type="gramEnd"/>
    </w:p>
  </w:footnote>
  <w:footnote w:id="175">
    <w:p w:rsidR="00DE779A" w:rsidRPr="00DC144B" w:rsidRDefault="00DE779A" w:rsidP="00331CD8">
      <w:pPr>
        <w:pStyle w:val="FootnoteText"/>
        <w:jc w:val="both"/>
      </w:pPr>
      <w:r w:rsidRPr="00DC144B">
        <w:rPr>
          <w:rStyle w:val="FootnoteReference"/>
          <w:rFonts w:eastAsiaTheme="majorEastAsia"/>
        </w:rPr>
        <w:footnoteRef/>
      </w:r>
      <w:r w:rsidRPr="00DC144B">
        <w:t xml:space="preserve"> </w:t>
      </w:r>
      <w:proofErr w:type="gramStart"/>
      <w:r w:rsidRPr="00DC144B">
        <w:t>Terrorism Act 2000, s 19</w:t>
      </w:r>
      <w:r w:rsidR="003C606A">
        <w:t xml:space="preserve"> </w:t>
      </w:r>
      <w:r w:rsidRPr="00DC144B">
        <w:t>(1)</w:t>
      </w:r>
      <w:r w:rsidR="003C606A">
        <w:t xml:space="preserve"> </w:t>
      </w:r>
      <w:r w:rsidRPr="00DC144B">
        <w:t>(b).</w:t>
      </w:r>
      <w:proofErr w:type="gramEnd"/>
    </w:p>
  </w:footnote>
  <w:footnote w:id="176">
    <w:p w:rsidR="00DE779A" w:rsidRPr="00DC144B" w:rsidRDefault="00DE779A" w:rsidP="00331CD8">
      <w:pPr>
        <w:pStyle w:val="FootnoteText"/>
        <w:jc w:val="both"/>
        <w:rPr>
          <w:rFonts w:eastAsiaTheme="minorHAnsi"/>
          <w:lang w:eastAsia="en-US"/>
        </w:rPr>
      </w:pPr>
      <w:r w:rsidRPr="00DC144B">
        <w:rPr>
          <w:rStyle w:val="FootnoteReference"/>
          <w:rFonts w:eastAsiaTheme="majorEastAsia"/>
        </w:rPr>
        <w:footnoteRef/>
      </w:r>
      <w:r w:rsidRPr="00DC144B">
        <w:t xml:space="preserve"> </w:t>
      </w:r>
      <w:r w:rsidRPr="00DC144B">
        <w:rPr>
          <w:rFonts w:eastAsiaTheme="minorHAnsi"/>
          <w:lang w:eastAsia="en-US"/>
        </w:rPr>
        <w:t xml:space="preserve">[2006] EWCA </w:t>
      </w:r>
      <w:proofErr w:type="spellStart"/>
      <w:proofErr w:type="gramStart"/>
      <w:r w:rsidRPr="00DC144B">
        <w:rPr>
          <w:rFonts w:eastAsiaTheme="minorHAnsi"/>
          <w:lang w:eastAsia="en-US"/>
        </w:rPr>
        <w:t>Cro</w:t>
      </w:r>
      <w:proofErr w:type="spellEnd"/>
      <w:r w:rsidRPr="00DC144B">
        <w:rPr>
          <w:rFonts w:eastAsiaTheme="minorHAnsi"/>
          <w:lang w:eastAsia="en-US"/>
        </w:rPr>
        <w:t>.,</w:t>
      </w:r>
      <w:proofErr w:type="gramEnd"/>
      <w:r w:rsidRPr="00DC144B">
        <w:rPr>
          <w:rFonts w:eastAsiaTheme="minorHAnsi"/>
          <w:lang w:eastAsia="en-US"/>
        </w:rPr>
        <w:t xml:space="preserve"> 1654.  Also see </w:t>
      </w:r>
      <w:r w:rsidRPr="00E661FE">
        <w:rPr>
          <w:rFonts w:eastAsiaTheme="minorHAnsi"/>
          <w:i/>
          <w:iCs/>
          <w:lang w:eastAsia="en-US"/>
        </w:rPr>
        <w:t xml:space="preserve">K </w:t>
      </w:r>
      <w:r w:rsidRPr="00E661FE">
        <w:rPr>
          <w:rFonts w:eastAsiaTheme="minorHAnsi"/>
          <w:i/>
          <w:lang w:eastAsia="en-US"/>
        </w:rPr>
        <w:t xml:space="preserve">v. </w:t>
      </w:r>
      <w:r w:rsidRPr="00E661FE">
        <w:rPr>
          <w:rFonts w:eastAsiaTheme="minorHAnsi"/>
          <w:i/>
          <w:iCs/>
          <w:lang w:eastAsia="en-US"/>
        </w:rPr>
        <w:t>National Westminster Bank, HMRC, SOCA</w:t>
      </w:r>
      <w:r w:rsidRPr="00DC144B">
        <w:rPr>
          <w:rFonts w:eastAsiaTheme="minorHAnsi"/>
          <w:iCs/>
          <w:lang w:eastAsia="en-US"/>
        </w:rPr>
        <w:t xml:space="preserve"> </w:t>
      </w:r>
      <w:r w:rsidRPr="00DC144B">
        <w:rPr>
          <w:rFonts w:eastAsiaTheme="minorHAnsi"/>
          <w:lang w:eastAsia="en-US"/>
        </w:rPr>
        <w:t xml:space="preserve">[2006] EWCA </w:t>
      </w:r>
      <w:proofErr w:type="spellStart"/>
      <w:r w:rsidRPr="00DC144B">
        <w:rPr>
          <w:rFonts w:eastAsiaTheme="minorHAnsi"/>
          <w:lang w:eastAsia="en-US"/>
        </w:rPr>
        <w:t>Civ</w:t>
      </w:r>
      <w:proofErr w:type="spellEnd"/>
      <w:r w:rsidRPr="00DC144B">
        <w:rPr>
          <w:rFonts w:eastAsiaTheme="minorHAnsi"/>
          <w:lang w:eastAsia="en-US"/>
        </w:rPr>
        <w:t xml:space="preserve"> 1039 and </w:t>
      </w:r>
      <w:r w:rsidRPr="00E661FE">
        <w:rPr>
          <w:rFonts w:eastAsiaTheme="minorHAnsi"/>
          <w:i/>
          <w:lang w:eastAsia="en-US"/>
        </w:rPr>
        <w:t>Shah v HSBC</w:t>
      </w:r>
      <w:r w:rsidRPr="00DC144B">
        <w:rPr>
          <w:rFonts w:eastAsiaTheme="minorHAnsi"/>
          <w:lang w:eastAsia="en-US"/>
        </w:rPr>
        <w:t xml:space="preserve"> [2010] 3 All E.R. 477.</w:t>
      </w:r>
    </w:p>
  </w:footnote>
  <w:footnote w:id="177">
    <w:p w:rsidR="00DE779A" w:rsidRPr="00DC144B" w:rsidRDefault="00DE779A" w:rsidP="00331CD8">
      <w:pPr>
        <w:spacing w:after="0" w:line="240" w:lineRule="auto"/>
        <w:jc w:val="both"/>
        <w:outlineLvl w:val="2"/>
        <w:rPr>
          <w:rFonts w:ascii="Times New Roman" w:hAnsi="Times New Roman" w:cs="Times New Roman"/>
          <w:sz w:val="20"/>
          <w:szCs w:val="20"/>
        </w:rPr>
      </w:pPr>
      <w:r w:rsidRPr="00DC144B">
        <w:rPr>
          <w:rStyle w:val="FootnoteReference"/>
          <w:rFonts w:ascii="Times New Roman" w:hAnsi="Times New Roman" w:cs="Times New Roman"/>
          <w:sz w:val="20"/>
          <w:szCs w:val="20"/>
        </w:rPr>
        <w:footnoteRef/>
      </w:r>
      <w:r w:rsidRPr="00DC144B">
        <w:rPr>
          <w:rFonts w:ascii="Times New Roman" w:hAnsi="Times New Roman" w:cs="Times New Roman"/>
          <w:sz w:val="20"/>
          <w:szCs w:val="20"/>
        </w:rPr>
        <w:t xml:space="preserve"> [2007] 1 W.L.R. 311 CA (Crim </w:t>
      </w:r>
      <w:proofErr w:type="spellStart"/>
      <w:r w:rsidRPr="00DC144B">
        <w:rPr>
          <w:rFonts w:ascii="Times New Roman" w:hAnsi="Times New Roman" w:cs="Times New Roman"/>
          <w:sz w:val="20"/>
          <w:szCs w:val="20"/>
        </w:rPr>
        <w:t>Div</w:t>
      </w:r>
      <w:proofErr w:type="spellEnd"/>
      <w:r w:rsidRPr="00DC144B">
        <w:rPr>
          <w:rFonts w:ascii="Times New Roman" w:hAnsi="Times New Roman" w:cs="Times New Roman"/>
          <w:sz w:val="20"/>
          <w:szCs w:val="20"/>
        </w:rPr>
        <w:t xml:space="preserve">) at 16 as cited in </w:t>
      </w:r>
      <w:r w:rsidR="00E661FE">
        <w:rPr>
          <w:rFonts w:ascii="Times New Roman" w:hAnsi="Times New Roman" w:cs="Times New Roman"/>
          <w:sz w:val="20"/>
          <w:szCs w:val="20"/>
        </w:rPr>
        <w:t xml:space="preserve">M </w:t>
      </w:r>
      <w:proofErr w:type="spellStart"/>
      <w:r w:rsidRPr="00DC144B">
        <w:rPr>
          <w:rFonts w:ascii="Times New Roman" w:hAnsi="Times New Roman" w:cs="Times New Roman"/>
          <w:sz w:val="20"/>
          <w:szCs w:val="20"/>
        </w:rPr>
        <w:t>Goldby</w:t>
      </w:r>
      <w:proofErr w:type="spellEnd"/>
      <w:r w:rsidRPr="00DC144B">
        <w:rPr>
          <w:rFonts w:ascii="Times New Roman" w:hAnsi="Times New Roman" w:cs="Times New Roman"/>
          <w:sz w:val="20"/>
          <w:szCs w:val="20"/>
        </w:rPr>
        <w:t xml:space="preserve">, </w:t>
      </w:r>
      <w:r w:rsidR="00E661FE">
        <w:rPr>
          <w:rFonts w:ascii="Times New Roman" w:hAnsi="Times New Roman" w:cs="Times New Roman"/>
          <w:sz w:val="20"/>
          <w:szCs w:val="20"/>
        </w:rPr>
        <w:t>‘</w:t>
      </w:r>
      <w:r w:rsidRPr="00DC144B">
        <w:rPr>
          <w:rFonts w:ascii="Times New Roman" w:hAnsi="Times New Roman" w:cs="Times New Roman"/>
          <w:bCs/>
          <w:sz w:val="20"/>
          <w:szCs w:val="20"/>
        </w:rPr>
        <w:t xml:space="preserve">Anti-money laundering reporting requirements imposed by English law: measuring effectiveness and gauging the need for reform’ (2013) </w:t>
      </w:r>
      <w:r w:rsidR="00E661FE">
        <w:rPr>
          <w:rFonts w:ascii="Times New Roman" w:hAnsi="Times New Roman" w:cs="Times New Roman"/>
          <w:bCs/>
          <w:sz w:val="20"/>
          <w:szCs w:val="20"/>
        </w:rPr>
        <w:t xml:space="preserve">4 </w:t>
      </w:r>
      <w:r w:rsidRPr="00DC144B">
        <w:rPr>
          <w:rFonts w:ascii="Times New Roman" w:hAnsi="Times New Roman" w:cs="Times New Roman"/>
          <w:bCs/>
          <w:sz w:val="20"/>
          <w:szCs w:val="20"/>
        </w:rPr>
        <w:t>Journal of Business Law</w:t>
      </w:r>
      <w:r w:rsidR="00E661FE">
        <w:rPr>
          <w:rFonts w:ascii="Times New Roman" w:hAnsi="Times New Roman" w:cs="Times New Roman"/>
          <w:bCs/>
          <w:sz w:val="20"/>
          <w:szCs w:val="20"/>
        </w:rPr>
        <w:t xml:space="preserve"> </w:t>
      </w:r>
      <w:r w:rsidRPr="00DC144B">
        <w:rPr>
          <w:rFonts w:ascii="Times New Roman" w:hAnsi="Times New Roman" w:cs="Times New Roman"/>
          <w:sz w:val="20"/>
          <w:szCs w:val="20"/>
        </w:rPr>
        <w:t>367</w:t>
      </w:r>
      <w:r w:rsidR="00E661FE">
        <w:rPr>
          <w:rFonts w:ascii="Times New Roman" w:hAnsi="Times New Roman" w:cs="Times New Roman"/>
          <w:sz w:val="20"/>
          <w:szCs w:val="20"/>
        </w:rPr>
        <w:t>, 370.</w:t>
      </w:r>
    </w:p>
  </w:footnote>
  <w:footnote w:id="178">
    <w:p w:rsidR="00DE779A" w:rsidRPr="00DC144B" w:rsidRDefault="00DE779A" w:rsidP="00331CD8">
      <w:pPr>
        <w:pStyle w:val="FootnoteText"/>
        <w:jc w:val="both"/>
        <w:rPr>
          <w:rFonts w:eastAsiaTheme="minorHAnsi"/>
          <w:color w:val="000000"/>
          <w:lang w:eastAsia="en-US"/>
        </w:rPr>
      </w:pPr>
      <w:r w:rsidRPr="00DC144B">
        <w:rPr>
          <w:rStyle w:val="FootnoteReference"/>
          <w:rFonts w:eastAsiaTheme="majorEastAsia"/>
        </w:rPr>
        <w:footnoteRef/>
      </w:r>
      <w:r w:rsidRPr="00DC144B">
        <w:t xml:space="preserve"> Joint Money Laundering Steering Group </w:t>
      </w:r>
      <w:r w:rsidRPr="00DC144B">
        <w:rPr>
          <w:rFonts w:eastAsiaTheme="minorHAnsi"/>
          <w:color w:val="000000"/>
          <w:lang w:eastAsia="en-US"/>
        </w:rPr>
        <w:t xml:space="preserve"> </w:t>
      </w:r>
      <w:r w:rsidRPr="00E661FE">
        <w:rPr>
          <w:rFonts w:eastAsiaTheme="minorHAnsi"/>
          <w:i/>
          <w:color w:val="000000"/>
          <w:lang w:eastAsia="en-US"/>
        </w:rPr>
        <w:t>Prevention of money laundering/combating terrorist financing 2011 Review Version Guidance for the UK Financial Sector Part 1</w:t>
      </w:r>
      <w:r w:rsidRPr="00DC144B">
        <w:rPr>
          <w:rFonts w:eastAsiaTheme="minorHAnsi"/>
          <w:color w:val="000000"/>
          <w:lang w:eastAsia="en-US"/>
        </w:rPr>
        <w:t xml:space="preserve"> (2011) 132.</w:t>
      </w:r>
    </w:p>
  </w:footnote>
  <w:footnote w:id="179">
    <w:p w:rsidR="00DE779A" w:rsidRPr="00DC144B" w:rsidRDefault="00DE779A" w:rsidP="00331CD8">
      <w:pPr>
        <w:pStyle w:val="FootnoteText"/>
        <w:jc w:val="both"/>
      </w:pPr>
      <w:r w:rsidRPr="00DC144B">
        <w:rPr>
          <w:rStyle w:val="FootnoteReference"/>
          <w:rFonts w:eastAsiaTheme="majorEastAsia"/>
        </w:rPr>
        <w:footnoteRef/>
      </w:r>
      <w:r w:rsidRPr="00DC144B">
        <w:t xml:space="preserve"> </w:t>
      </w:r>
      <w:proofErr w:type="gramStart"/>
      <w:r w:rsidRPr="00DC144B">
        <w:t>Hereinafter ‘FIU’.</w:t>
      </w:r>
      <w:proofErr w:type="gramEnd"/>
    </w:p>
  </w:footnote>
  <w:footnote w:id="180">
    <w:p w:rsidR="00DE779A" w:rsidRPr="00DC144B" w:rsidRDefault="00DE779A" w:rsidP="00331CD8">
      <w:pPr>
        <w:pStyle w:val="FootnoteText"/>
        <w:jc w:val="both"/>
      </w:pPr>
      <w:r w:rsidRPr="00DC144B">
        <w:rPr>
          <w:rStyle w:val="FootnoteReference"/>
          <w:rFonts w:eastAsiaTheme="majorEastAsia"/>
        </w:rPr>
        <w:footnoteRef/>
      </w:r>
      <w:r w:rsidRPr="00DC144B">
        <w:t xml:space="preserve"> </w:t>
      </w:r>
      <w:r w:rsidRPr="00DC144B">
        <w:rPr>
          <w:rFonts w:eastAsiaTheme="minorHAnsi"/>
          <w:lang w:eastAsia="en-US"/>
        </w:rPr>
        <w:t xml:space="preserve">KPMG </w:t>
      </w:r>
      <w:r w:rsidRPr="00E661FE">
        <w:rPr>
          <w:rFonts w:eastAsiaTheme="minorHAnsi"/>
          <w:i/>
          <w:iCs/>
          <w:lang w:eastAsia="en-US"/>
        </w:rPr>
        <w:t>Money Laundering: Review of the Reporting System</w:t>
      </w:r>
      <w:r w:rsidRPr="00DC144B">
        <w:rPr>
          <w:rFonts w:eastAsiaTheme="minorHAnsi"/>
          <w:lang w:eastAsia="en-US"/>
        </w:rPr>
        <w:t xml:space="preserve"> (2003)  14</w:t>
      </w:r>
    </w:p>
  </w:footnote>
  <w:footnote w:id="181">
    <w:p w:rsidR="00DE779A" w:rsidRPr="00DC144B" w:rsidRDefault="00DE779A" w:rsidP="00331CD8">
      <w:pPr>
        <w:autoSpaceDE w:val="0"/>
        <w:autoSpaceDN w:val="0"/>
        <w:adjustRightInd w:val="0"/>
        <w:spacing w:after="0" w:line="240" w:lineRule="auto"/>
        <w:jc w:val="both"/>
        <w:rPr>
          <w:rFonts w:ascii="Times New Roman" w:hAnsi="Times New Roman" w:cs="Times New Roman"/>
          <w:sz w:val="20"/>
          <w:szCs w:val="20"/>
        </w:rPr>
      </w:pPr>
      <w:r w:rsidRPr="00DC144B">
        <w:rPr>
          <w:rStyle w:val="FootnoteReference"/>
          <w:rFonts w:ascii="Times New Roman" w:hAnsi="Times New Roman" w:cs="Times New Roman"/>
          <w:sz w:val="20"/>
          <w:szCs w:val="20"/>
        </w:rPr>
        <w:footnoteRef/>
      </w:r>
      <w:r w:rsidRPr="00DC144B">
        <w:rPr>
          <w:rFonts w:ascii="Times New Roman" w:hAnsi="Times New Roman" w:cs="Times New Roman"/>
          <w:sz w:val="20"/>
          <w:szCs w:val="20"/>
        </w:rPr>
        <w:t xml:space="preserve"> Serious Organised Crime Agency, </w:t>
      </w:r>
      <w:proofErr w:type="gramStart"/>
      <w:r w:rsidRPr="00E661FE">
        <w:rPr>
          <w:rFonts w:ascii="Times New Roman" w:hAnsi="Times New Roman" w:cs="Times New Roman"/>
          <w:i/>
          <w:iCs/>
          <w:sz w:val="20"/>
          <w:szCs w:val="20"/>
        </w:rPr>
        <w:t>The</w:t>
      </w:r>
      <w:proofErr w:type="gramEnd"/>
      <w:r w:rsidRPr="00E661FE">
        <w:rPr>
          <w:rFonts w:ascii="Times New Roman" w:hAnsi="Times New Roman" w:cs="Times New Roman"/>
          <w:i/>
          <w:iCs/>
          <w:sz w:val="20"/>
          <w:szCs w:val="20"/>
        </w:rPr>
        <w:t xml:space="preserve"> Suspicious Activity Reports Regime Annual Report 2008</w:t>
      </w:r>
      <w:r w:rsidRPr="00DC144B">
        <w:rPr>
          <w:rFonts w:ascii="Times New Roman" w:hAnsi="Times New Roman" w:cs="Times New Roman"/>
          <w:sz w:val="20"/>
          <w:szCs w:val="20"/>
        </w:rPr>
        <w:t xml:space="preserve"> (2008) 15.</w:t>
      </w:r>
    </w:p>
  </w:footnote>
  <w:footnote w:id="182">
    <w:p w:rsidR="00DE779A" w:rsidRPr="00DC144B" w:rsidRDefault="00DE779A" w:rsidP="00331CD8">
      <w:pPr>
        <w:autoSpaceDE w:val="0"/>
        <w:autoSpaceDN w:val="0"/>
        <w:adjustRightInd w:val="0"/>
        <w:spacing w:after="0" w:line="240" w:lineRule="auto"/>
        <w:jc w:val="both"/>
        <w:rPr>
          <w:rFonts w:ascii="Times New Roman" w:hAnsi="Times New Roman" w:cs="Times New Roman"/>
          <w:sz w:val="20"/>
          <w:szCs w:val="20"/>
        </w:rPr>
      </w:pPr>
      <w:r w:rsidRPr="00DC144B">
        <w:rPr>
          <w:rStyle w:val="FootnoteReference"/>
          <w:rFonts w:ascii="Times New Roman" w:hAnsi="Times New Roman" w:cs="Times New Roman"/>
          <w:sz w:val="20"/>
          <w:szCs w:val="20"/>
        </w:rPr>
        <w:footnoteRef/>
      </w:r>
      <w:r w:rsidRPr="00DC144B">
        <w:rPr>
          <w:rFonts w:ascii="Times New Roman" w:hAnsi="Times New Roman" w:cs="Times New Roman"/>
          <w:sz w:val="20"/>
          <w:szCs w:val="20"/>
        </w:rPr>
        <w:t xml:space="preserve"> Serious Organised Crime Agency </w:t>
      </w:r>
      <w:proofErr w:type="gramStart"/>
      <w:r w:rsidRPr="00E661FE">
        <w:rPr>
          <w:rFonts w:ascii="Times New Roman" w:hAnsi="Times New Roman" w:cs="Times New Roman"/>
          <w:i/>
          <w:iCs/>
          <w:sz w:val="20"/>
          <w:szCs w:val="20"/>
        </w:rPr>
        <w:t>The</w:t>
      </w:r>
      <w:proofErr w:type="gramEnd"/>
      <w:r w:rsidRPr="00E661FE">
        <w:rPr>
          <w:rFonts w:ascii="Times New Roman" w:hAnsi="Times New Roman" w:cs="Times New Roman"/>
          <w:i/>
          <w:iCs/>
          <w:sz w:val="20"/>
          <w:szCs w:val="20"/>
        </w:rPr>
        <w:t xml:space="preserve"> Suspicious Activity Reports Regime Annual Report 2010</w:t>
      </w:r>
      <w:r w:rsidRPr="00DC144B">
        <w:rPr>
          <w:rFonts w:ascii="Times New Roman" w:hAnsi="Times New Roman" w:cs="Times New Roman"/>
          <w:sz w:val="20"/>
          <w:szCs w:val="20"/>
        </w:rPr>
        <w:t xml:space="preserve"> (2011) 4.</w:t>
      </w:r>
    </w:p>
  </w:footnote>
  <w:footnote w:id="183">
    <w:p w:rsidR="00DE779A" w:rsidRPr="00DC144B" w:rsidRDefault="00DE779A" w:rsidP="00331CD8">
      <w:pPr>
        <w:pStyle w:val="FootnoteText"/>
        <w:jc w:val="both"/>
      </w:pPr>
      <w:r w:rsidRPr="00DC144B">
        <w:rPr>
          <w:rStyle w:val="FootnoteReference"/>
          <w:rFonts w:eastAsiaTheme="majorEastAsia"/>
        </w:rPr>
        <w:footnoteRef/>
      </w:r>
      <w:r w:rsidRPr="00DC144B">
        <w:t xml:space="preserve"> </w:t>
      </w:r>
      <w:r w:rsidRPr="00DC144B">
        <w:rPr>
          <w:rFonts w:eastAsiaTheme="minorHAnsi"/>
          <w:lang w:eastAsia="en-US"/>
        </w:rPr>
        <w:t xml:space="preserve">Serious Organised Crime Agency </w:t>
      </w:r>
      <w:r w:rsidRPr="00E661FE">
        <w:rPr>
          <w:rFonts w:eastAsiaTheme="minorHAnsi"/>
          <w:i/>
          <w:iCs/>
          <w:lang w:eastAsia="en-US"/>
        </w:rPr>
        <w:t>The Suspicious Activity Reports Regime Annual Report 2011</w:t>
      </w:r>
      <w:r w:rsidRPr="00DC144B">
        <w:rPr>
          <w:rFonts w:eastAsiaTheme="minorHAnsi"/>
          <w:lang w:eastAsia="en-US"/>
        </w:rPr>
        <w:t xml:space="preserve"> (2012).</w:t>
      </w:r>
    </w:p>
  </w:footnote>
  <w:footnote w:id="184">
    <w:p w:rsidR="00DE779A" w:rsidRPr="00DC144B" w:rsidRDefault="00DE779A" w:rsidP="00331CD8">
      <w:pPr>
        <w:pStyle w:val="FootnoteText"/>
        <w:jc w:val="both"/>
      </w:pPr>
      <w:r w:rsidRPr="00DC144B">
        <w:rPr>
          <w:rStyle w:val="FootnoteReference"/>
          <w:rFonts w:eastAsiaTheme="majorEastAsia"/>
        </w:rPr>
        <w:footnoteRef/>
      </w:r>
      <w:r w:rsidRPr="00DC144B">
        <w:t xml:space="preserve"> </w:t>
      </w:r>
      <w:r w:rsidRPr="00DC144B">
        <w:rPr>
          <w:rFonts w:eastAsiaTheme="minorHAnsi"/>
          <w:lang w:eastAsia="en-US"/>
        </w:rPr>
        <w:t xml:space="preserve">Serious Organised Crime Agency </w:t>
      </w:r>
      <w:r w:rsidRPr="00E661FE">
        <w:rPr>
          <w:rFonts w:eastAsiaTheme="minorHAnsi"/>
          <w:i/>
          <w:iCs/>
          <w:lang w:eastAsia="en-US"/>
        </w:rPr>
        <w:t>The Suspicious Activity R</w:t>
      </w:r>
      <w:r w:rsidR="00E661FE" w:rsidRPr="00E661FE">
        <w:rPr>
          <w:rFonts w:eastAsiaTheme="minorHAnsi"/>
          <w:i/>
          <w:iCs/>
          <w:lang w:eastAsia="en-US"/>
        </w:rPr>
        <w:t>eports Regime Annual Report 2012</w:t>
      </w:r>
      <w:r w:rsidRPr="00DC144B">
        <w:rPr>
          <w:rFonts w:eastAsiaTheme="minorHAnsi"/>
          <w:lang w:eastAsia="en-US"/>
        </w:rPr>
        <w:t xml:space="preserve"> (2013).</w:t>
      </w:r>
    </w:p>
  </w:footnote>
  <w:footnote w:id="185">
    <w:p w:rsidR="00DE779A" w:rsidRPr="00DC144B" w:rsidRDefault="00DE779A" w:rsidP="00331CD8">
      <w:pPr>
        <w:pStyle w:val="Default"/>
        <w:jc w:val="both"/>
        <w:rPr>
          <w:bCs/>
          <w:sz w:val="20"/>
          <w:szCs w:val="20"/>
        </w:rPr>
      </w:pPr>
      <w:r w:rsidRPr="00DC144B">
        <w:rPr>
          <w:rStyle w:val="FootnoteReference"/>
          <w:sz w:val="20"/>
          <w:szCs w:val="20"/>
        </w:rPr>
        <w:footnoteRef/>
      </w:r>
      <w:r w:rsidRPr="00DC144B">
        <w:rPr>
          <w:sz w:val="20"/>
          <w:szCs w:val="20"/>
        </w:rPr>
        <w:t xml:space="preserve"> National Crime Agency </w:t>
      </w:r>
      <w:r w:rsidRPr="00E661FE">
        <w:rPr>
          <w:bCs/>
          <w:i/>
          <w:sz w:val="20"/>
          <w:szCs w:val="20"/>
        </w:rPr>
        <w:t>Suspicious Activity Reports (SARs) Annual Report 2013</w:t>
      </w:r>
      <w:r w:rsidRPr="00DC144B">
        <w:rPr>
          <w:bCs/>
          <w:sz w:val="20"/>
          <w:szCs w:val="20"/>
        </w:rPr>
        <w:t xml:space="preserve"> (2014) 5.</w:t>
      </w:r>
    </w:p>
  </w:footnote>
  <w:footnote w:id="186">
    <w:p w:rsidR="00DE779A" w:rsidRPr="00DC144B" w:rsidRDefault="00DE779A" w:rsidP="00331CD8">
      <w:pPr>
        <w:pStyle w:val="FootnoteText"/>
        <w:jc w:val="both"/>
      </w:pPr>
      <w:r w:rsidRPr="00DC144B">
        <w:rPr>
          <w:rStyle w:val="FootnoteReference"/>
          <w:rFonts w:eastAsiaTheme="majorEastAsia"/>
        </w:rPr>
        <w:footnoteRef/>
      </w:r>
      <w:r w:rsidRPr="00DC144B">
        <w:t xml:space="preserve"> </w:t>
      </w:r>
      <w:proofErr w:type="gramStart"/>
      <w:r w:rsidRPr="00E661FE">
        <w:rPr>
          <w:i/>
        </w:rPr>
        <w:t>Ibid</w:t>
      </w:r>
      <w:r w:rsidRPr="00DC144B">
        <w:t>.,</w:t>
      </w:r>
      <w:proofErr w:type="gramEnd"/>
      <w:r w:rsidRPr="00DC144B">
        <w:t xml:space="preserve"> at 27</w:t>
      </w:r>
      <w:r w:rsidRPr="00DC144B">
        <w:rPr>
          <w:bCs/>
        </w:rPr>
        <w:t>.</w:t>
      </w:r>
    </w:p>
  </w:footnote>
  <w:footnote w:id="187">
    <w:p w:rsidR="00DE779A" w:rsidRDefault="00DE779A">
      <w:pPr>
        <w:pStyle w:val="FootnoteText"/>
      </w:pPr>
      <w:r>
        <w:rPr>
          <w:rStyle w:val="FootnoteReference"/>
        </w:rPr>
        <w:footnoteRef/>
      </w:r>
      <w:r>
        <w:t xml:space="preserve"> </w:t>
      </w:r>
      <w:r w:rsidRPr="00DC144B">
        <w:t xml:space="preserve">National Crime Agency </w:t>
      </w:r>
      <w:r w:rsidRPr="00E661FE">
        <w:rPr>
          <w:bCs/>
          <w:i/>
        </w:rPr>
        <w:t>Suspicious Activity Reports (SARs) Annual Report 2014</w:t>
      </w:r>
      <w:r w:rsidRPr="00DC144B">
        <w:rPr>
          <w:bCs/>
        </w:rPr>
        <w:t xml:space="preserve"> (</w:t>
      </w:r>
      <w:r>
        <w:rPr>
          <w:bCs/>
        </w:rPr>
        <w:t>2015) 37</w:t>
      </w:r>
      <w:r w:rsidRPr="00DC144B">
        <w:rPr>
          <w:bCs/>
        </w:rPr>
        <w:t>.</w:t>
      </w:r>
    </w:p>
  </w:footnote>
  <w:footnote w:id="188">
    <w:p w:rsidR="00DE779A" w:rsidRPr="00DC144B" w:rsidRDefault="00DE779A" w:rsidP="007825C0">
      <w:pPr>
        <w:pStyle w:val="FootnoteText"/>
        <w:jc w:val="both"/>
      </w:pPr>
      <w:r w:rsidRPr="00DC144B">
        <w:rPr>
          <w:rStyle w:val="FootnoteReference"/>
        </w:rPr>
        <w:footnoteRef/>
      </w:r>
      <w:r w:rsidRPr="00DC144B">
        <w:t xml:space="preserve"> </w:t>
      </w:r>
      <w:proofErr w:type="gramStart"/>
      <w:r w:rsidRPr="00DC144B">
        <w:t>Terrorism Act, schedule 4.</w:t>
      </w:r>
      <w:proofErr w:type="gramEnd"/>
    </w:p>
  </w:footnote>
  <w:footnote w:id="189">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Terrorism Act 2000, Schedule 6, 1(1).</w:t>
      </w:r>
      <w:proofErr w:type="gramEnd"/>
    </w:p>
  </w:footnote>
  <w:footnote w:id="190">
    <w:p w:rsidR="00DE779A" w:rsidRPr="00DC144B" w:rsidRDefault="00DE779A" w:rsidP="007825C0">
      <w:pPr>
        <w:pStyle w:val="FootnoteText"/>
        <w:jc w:val="both"/>
      </w:pPr>
      <w:r w:rsidRPr="00DC144B">
        <w:rPr>
          <w:rStyle w:val="FootnoteReference"/>
          <w:rFonts w:eastAsiaTheme="majorEastAsia"/>
        </w:rPr>
        <w:footnoteRef/>
      </w:r>
      <w:r w:rsidRPr="00DC144B">
        <w:t xml:space="preserve"> Terrorism Act 2000, Schedule 6, 1(1</w:t>
      </w:r>
      <w:proofErr w:type="gramStart"/>
      <w:r w:rsidRPr="00DC144B">
        <w:t>)(</w:t>
      </w:r>
      <w:proofErr w:type="gramEnd"/>
      <w:r w:rsidRPr="00DC144B">
        <w:t>a).</w:t>
      </w:r>
    </w:p>
  </w:footnote>
  <w:footnote w:id="191">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Terrorism Act 2000, Schedule 6, 1(3).</w:t>
      </w:r>
      <w:proofErr w:type="gramEnd"/>
    </w:p>
  </w:footnote>
  <w:footnote w:id="192">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Terrorism Act 2000, Schedule 6, 1(3).</w:t>
      </w:r>
      <w:proofErr w:type="gramEnd"/>
    </w:p>
  </w:footnote>
  <w:footnote w:id="193">
    <w:p w:rsidR="00C7749C" w:rsidRPr="00C95EA8" w:rsidRDefault="00DE779A" w:rsidP="007825C0">
      <w:pPr>
        <w:spacing w:after="0" w:line="240" w:lineRule="auto"/>
        <w:jc w:val="both"/>
        <w:outlineLvl w:val="1"/>
        <w:rPr>
          <w:rFonts w:ascii="Times New Roman" w:hAnsi="Times New Roman" w:cs="Times New Roman"/>
          <w:sz w:val="20"/>
          <w:szCs w:val="20"/>
        </w:rPr>
      </w:pPr>
      <w:r w:rsidRPr="00DC144B">
        <w:rPr>
          <w:rStyle w:val="FootnoteReference"/>
          <w:rFonts w:ascii="Times New Roman" w:hAnsi="Times New Roman" w:cs="Times New Roman"/>
          <w:sz w:val="20"/>
          <w:szCs w:val="20"/>
        </w:rPr>
        <w:footnoteRef/>
      </w:r>
      <w:r w:rsidRPr="00DC144B">
        <w:rPr>
          <w:rFonts w:ascii="Times New Roman" w:hAnsi="Times New Roman" w:cs="Times New Roman"/>
          <w:sz w:val="20"/>
          <w:szCs w:val="20"/>
        </w:rPr>
        <w:t xml:space="preserve"> Binning </w:t>
      </w:r>
      <w:r w:rsidR="00C7749C">
        <w:rPr>
          <w:rFonts w:ascii="Times New Roman" w:hAnsi="Times New Roman" w:cs="Times New Roman"/>
          <w:sz w:val="20"/>
          <w:szCs w:val="20"/>
        </w:rPr>
        <w:t xml:space="preserve">(122) </w:t>
      </w:r>
      <w:r w:rsidRPr="00DC144B">
        <w:rPr>
          <w:rFonts w:ascii="Times New Roman" w:hAnsi="Times New Roman" w:cs="Times New Roman"/>
          <w:sz w:val="20"/>
          <w:szCs w:val="20"/>
        </w:rPr>
        <w:t>747.</w:t>
      </w:r>
    </w:p>
  </w:footnote>
  <w:footnote w:id="194">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Terrorism Act 2000, Schedule 6A.</w:t>
      </w:r>
      <w:proofErr w:type="gramEnd"/>
    </w:p>
  </w:footnote>
  <w:footnote w:id="195">
    <w:p w:rsidR="00DE779A" w:rsidRPr="00DC144B" w:rsidRDefault="00DE779A" w:rsidP="007825C0">
      <w:pPr>
        <w:pStyle w:val="FootnoteText"/>
        <w:jc w:val="both"/>
        <w:rPr>
          <w:bCs/>
        </w:rPr>
      </w:pPr>
      <w:r w:rsidRPr="00DC144B">
        <w:rPr>
          <w:rStyle w:val="FootnoteReference"/>
          <w:rFonts w:eastAsiaTheme="majorEastAsia"/>
        </w:rPr>
        <w:footnoteRef/>
      </w:r>
      <w:r w:rsidRPr="00DC144B">
        <w:t xml:space="preserve"> </w:t>
      </w:r>
      <w:r w:rsidR="00E661FE">
        <w:t xml:space="preserve">A. </w:t>
      </w:r>
      <w:r w:rsidRPr="00DC144B">
        <w:t>Leong</w:t>
      </w:r>
      <w:r w:rsidR="00E661FE">
        <w:t xml:space="preserve"> </w:t>
      </w:r>
      <w:r w:rsidRPr="00DC144B">
        <w:t>‘</w:t>
      </w:r>
      <w:r w:rsidRPr="00DC144B">
        <w:rPr>
          <w:bCs/>
        </w:rPr>
        <w:t xml:space="preserve">Financial investigation: a key element in the fight against organised crime’ (2006) </w:t>
      </w:r>
      <w:r w:rsidR="00E661FE">
        <w:rPr>
          <w:bCs/>
        </w:rPr>
        <w:t xml:space="preserve">27(7) </w:t>
      </w:r>
      <w:r w:rsidRPr="00DC144B">
        <w:rPr>
          <w:bCs/>
        </w:rPr>
        <w:t>Company Lawyer</w:t>
      </w:r>
      <w:r w:rsidR="00E661FE">
        <w:rPr>
          <w:bCs/>
        </w:rPr>
        <w:t xml:space="preserve"> </w:t>
      </w:r>
      <w:r w:rsidRPr="00DC144B">
        <w:rPr>
          <w:bCs/>
        </w:rPr>
        <w:t>218</w:t>
      </w:r>
      <w:r w:rsidR="00E661FE">
        <w:rPr>
          <w:bCs/>
        </w:rPr>
        <w:t>, 219</w:t>
      </w:r>
      <w:r w:rsidRPr="00DC144B">
        <w:rPr>
          <w:bCs/>
        </w:rPr>
        <w:t>.</w:t>
      </w:r>
    </w:p>
  </w:footnote>
  <w:footnote w:id="196">
    <w:p w:rsidR="00DE779A" w:rsidRPr="00DC144B" w:rsidRDefault="00DE779A" w:rsidP="007825C0">
      <w:pPr>
        <w:spacing w:after="0" w:line="240" w:lineRule="auto"/>
        <w:jc w:val="both"/>
        <w:outlineLvl w:val="2"/>
        <w:rPr>
          <w:rFonts w:ascii="Times New Roman" w:hAnsi="Times New Roman" w:cs="Times New Roman"/>
          <w:bCs/>
          <w:sz w:val="20"/>
          <w:szCs w:val="20"/>
        </w:rPr>
      </w:pPr>
      <w:r w:rsidRPr="00DC144B">
        <w:rPr>
          <w:rStyle w:val="FootnoteReference"/>
          <w:rFonts w:ascii="Times New Roman" w:hAnsi="Times New Roman" w:cs="Times New Roman"/>
          <w:sz w:val="20"/>
          <w:szCs w:val="20"/>
        </w:rPr>
        <w:footnoteRef/>
      </w:r>
      <w:r w:rsidRPr="00DC144B">
        <w:rPr>
          <w:rFonts w:ascii="Times New Roman" w:hAnsi="Times New Roman" w:cs="Times New Roman"/>
          <w:sz w:val="20"/>
          <w:szCs w:val="20"/>
        </w:rPr>
        <w:t xml:space="preserve"> </w:t>
      </w:r>
      <w:r w:rsidR="00E661FE">
        <w:rPr>
          <w:rFonts w:ascii="Times New Roman" w:hAnsi="Times New Roman" w:cs="Times New Roman"/>
          <w:sz w:val="20"/>
          <w:szCs w:val="20"/>
        </w:rPr>
        <w:t xml:space="preserve">S </w:t>
      </w:r>
      <w:r w:rsidRPr="00DC144B">
        <w:rPr>
          <w:rFonts w:ascii="Times New Roman" w:hAnsi="Times New Roman" w:cs="Times New Roman"/>
          <w:sz w:val="20"/>
          <w:szCs w:val="20"/>
        </w:rPr>
        <w:t>Gentle, ‘</w:t>
      </w:r>
      <w:r w:rsidRPr="00DC144B">
        <w:rPr>
          <w:rFonts w:ascii="Times New Roman" w:hAnsi="Times New Roman" w:cs="Times New Roman"/>
          <w:bCs/>
          <w:sz w:val="20"/>
          <w:szCs w:val="20"/>
        </w:rPr>
        <w:t xml:space="preserve">Proceeds of Crime Act 2002: update’ (2008) </w:t>
      </w:r>
      <w:r w:rsidR="00E661FE">
        <w:rPr>
          <w:rFonts w:ascii="Times New Roman" w:hAnsi="Times New Roman" w:cs="Times New Roman"/>
          <w:bCs/>
          <w:sz w:val="20"/>
          <w:szCs w:val="20"/>
        </w:rPr>
        <w:t xml:space="preserve">56 </w:t>
      </w:r>
      <w:r w:rsidRPr="00DC144B">
        <w:rPr>
          <w:rFonts w:ascii="Times New Roman" w:hAnsi="Times New Roman" w:cs="Times New Roman"/>
          <w:bCs/>
          <w:sz w:val="20"/>
          <w:szCs w:val="20"/>
        </w:rPr>
        <w:t xml:space="preserve">Compliance Officer Bulleting, </w:t>
      </w:r>
      <w:r w:rsidR="00E661FE">
        <w:rPr>
          <w:rFonts w:ascii="Times New Roman" w:hAnsi="Times New Roman" w:cs="Times New Roman"/>
          <w:bCs/>
          <w:sz w:val="20"/>
          <w:szCs w:val="20"/>
        </w:rPr>
        <w:t xml:space="preserve">1, </w:t>
      </w:r>
      <w:r w:rsidRPr="00DC144B">
        <w:rPr>
          <w:rFonts w:ascii="Times New Roman" w:hAnsi="Times New Roman" w:cs="Times New Roman"/>
          <w:bCs/>
          <w:sz w:val="20"/>
          <w:szCs w:val="20"/>
        </w:rPr>
        <w:t xml:space="preserve">31.  </w:t>
      </w:r>
    </w:p>
  </w:footnote>
  <w:footnote w:id="197">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Terrorism Act 2000, Schedule 6, 2A.</w:t>
      </w:r>
      <w:proofErr w:type="gramEnd"/>
    </w:p>
  </w:footnote>
  <w:footnote w:id="198">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Terrorism Act 2000, Schedule 6, 2A.</w:t>
      </w:r>
      <w:proofErr w:type="gramEnd"/>
    </w:p>
  </w:footnote>
  <w:footnote w:id="199">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r w:rsidR="00E661FE">
        <w:t xml:space="preserve">G </w:t>
      </w:r>
      <w:r w:rsidRPr="00DC144B">
        <w:t>Rees</w:t>
      </w:r>
      <w:r w:rsidR="00E661FE">
        <w:t xml:space="preserve"> </w:t>
      </w:r>
      <w:r w:rsidRPr="00DC144B">
        <w:t xml:space="preserve">and </w:t>
      </w:r>
      <w:r w:rsidR="00E661FE">
        <w:t xml:space="preserve">T </w:t>
      </w:r>
      <w:proofErr w:type="spellStart"/>
      <w:r w:rsidRPr="00DC144B">
        <w:t>Moloney</w:t>
      </w:r>
      <w:proofErr w:type="spellEnd"/>
      <w:r w:rsidR="00E661FE">
        <w:t xml:space="preserve"> </w:t>
      </w:r>
      <w:r w:rsidRPr="00DC144B">
        <w:t>‘</w:t>
      </w:r>
      <w:proofErr w:type="gramStart"/>
      <w:r w:rsidRPr="00DC144B">
        <w:rPr>
          <w:bCs/>
        </w:rPr>
        <w:t>The</w:t>
      </w:r>
      <w:proofErr w:type="gramEnd"/>
      <w:r w:rsidRPr="00DC144B">
        <w:rPr>
          <w:bCs/>
        </w:rPr>
        <w:t xml:space="preserve"> latest efforts to interrupt terrorist supply lines: Schedule 7 to the Counter-Terrorism Act 2008’ (2010) Criminal Law Review, 127.</w:t>
      </w:r>
    </w:p>
  </w:footnote>
  <w:footnote w:id="200">
    <w:p w:rsidR="00DE779A" w:rsidRDefault="00DE779A">
      <w:pPr>
        <w:pStyle w:val="FootnoteText"/>
      </w:pPr>
      <w:r>
        <w:rPr>
          <w:rStyle w:val="FootnoteReference"/>
        </w:rPr>
        <w:footnoteRef/>
      </w:r>
      <w:r>
        <w:t xml:space="preserve"> Counter-Terrorism Act 2008, schedule 7, part 1, paragraphs 1-4.</w:t>
      </w:r>
    </w:p>
  </w:footnote>
  <w:footnote w:id="201">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[2013] UKSC 38 and 39; [2013] 3 W.L.R. 179.</w:t>
      </w:r>
      <w:proofErr w:type="gramEnd"/>
    </w:p>
  </w:footnote>
  <w:footnote w:id="202">
    <w:p w:rsidR="00E661FE" w:rsidRPr="00E661FE" w:rsidRDefault="00DE779A" w:rsidP="007825C0">
      <w:pPr>
        <w:autoSpaceDE w:val="0"/>
        <w:autoSpaceDN w:val="0"/>
        <w:adjustRightInd w:val="0"/>
        <w:spacing w:after="0" w:line="240" w:lineRule="auto"/>
        <w:jc w:val="both"/>
        <w:rPr>
          <w:rFonts w:ascii="Times New Roman" w:hAnsi="Times New Roman" w:cs="Times New Roman"/>
          <w:bCs/>
          <w:sz w:val="20"/>
          <w:szCs w:val="20"/>
        </w:rPr>
      </w:pPr>
      <w:r w:rsidRPr="00DC144B">
        <w:rPr>
          <w:rStyle w:val="FootnoteReference"/>
          <w:rFonts w:ascii="Times New Roman" w:hAnsi="Times New Roman" w:cs="Times New Roman"/>
          <w:sz w:val="20"/>
          <w:szCs w:val="20"/>
        </w:rPr>
        <w:footnoteRef/>
      </w:r>
      <w:r w:rsidRPr="00DC144B">
        <w:rPr>
          <w:rFonts w:ascii="Times New Roman" w:hAnsi="Times New Roman" w:cs="Times New Roman"/>
          <w:sz w:val="20"/>
          <w:szCs w:val="20"/>
        </w:rPr>
        <w:t xml:space="preserve"> Home Affairs Select Committee </w:t>
      </w:r>
      <w:r w:rsidRPr="00E661FE">
        <w:rPr>
          <w:rFonts w:ascii="Times New Roman" w:hAnsi="Times New Roman" w:cs="Times New Roman"/>
          <w:bCs/>
          <w:i/>
          <w:sz w:val="20"/>
          <w:szCs w:val="20"/>
        </w:rPr>
        <w:t xml:space="preserve">Counter-terrorism </w:t>
      </w:r>
      <w:r w:rsidRPr="00DC144B">
        <w:rPr>
          <w:rFonts w:ascii="Times New Roman" w:hAnsi="Times New Roman" w:cs="Times New Roman"/>
          <w:bCs/>
          <w:sz w:val="20"/>
          <w:szCs w:val="20"/>
        </w:rPr>
        <w:t>(</w:t>
      </w:r>
      <w:r w:rsidR="00E661FE">
        <w:rPr>
          <w:rFonts w:ascii="Times New Roman" w:hAnsi="Times New Roman" w:cs="Times New Roman"/>
          <w:bCs/>
          <w:sz w:val="20"/>
          <w:szCs w:val="20"/>
        </w:rPr>
        <w:t xml:space="preserve">HC 2013-14, HC 231) </w:t>
      </w:r>
      <w:r w:rsidRPr="00DC144B">
        <w:rPr>
          <w:rFonts w:ascii="Times New Roman" w:hAnsi="Times New Roman" w:cs="Times New Roman"/>
          <w:bCs/>
          <w:sz w:val="20"/>
          <w:szCs w:val="20"/>
        </w:rPr>
        <w:t>9.</w:t>
      </w:r>
    </w:p>
  </w:footnote>
  <w:footnote w:id="203">
    <w:p w:rsidR="00DE779A" w:rsidRDefault="00DE779A">
      <w:pPr>
        <w:pStyle w:val="FootnoteText"/>
      </w:pPr>
      <w:r>
        <w:rPr>
          <w:rStyle w:val="FootnoteReference"/>
        </w:rPr>
        <w:footnoteRef/>
      </w:r>
      <w:r>
        <w:t xml:space="preserve"> </w:t>
      </w:r>
      <w:proofErr w:type="gramStart"/>
      <w:r>
        <w:t>Hereinafter ‘ECA’.</w:t>
      </w:r>
      <w:proofErr w:type="gramEnd"/>
    </w:p>
  </w:footnote>
  <w:footnote w:id="204">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Pr="00DC144B">
        <w:t xml:space="preserve">Policy Exchange </w:t>
      </w:r>
      <w:r w:rsidRPr="00E661FE">
        <w:rPr>
          <w:i/>
        </w:rPr>
        <w:t>Fighting Fraud and Financial Crime</w:t>
      </w:r>
      <w:r w:rsidRPr="00DC144B">
        <w:t xml:space="preserve"> (2010)</w:t>
      </w:r>
      <w:r w:rsidR="00E661FE">
        <w:t>.</w:t>
      </w:r>
      <w:proofErr w:type="gramEnd"/>
    </w:p>
  </w:footnote>
  <w:footnote w:id="205">
    <w:p w:rsidR="00DE779A" w:rsidRPr="00DC144B" w:rsidRDefault="00DE779A" w:rsidP="007825C0">
      <w:pPr>
        <w:pStyle w:val="FootnoteText"/>
        <w:jc w:val="both"/>
      </w:pPr>
      <w:r w:rsidRPr="00DC144B">
        <w:rPr>
          <w:rStyle w:val="FootnoteReference"/>
          <w:rFonts w:eastAsiaTheme="majorEastAsia"/>
        </w:rPr>
        <w:footnoteRef/>
      </w:r>
      <w:r w:rsidRPr="00DC144B">
        <w:t xml:space="preserve"> </w:t>
      </w:r>
      <w:r w:rsidR="00E661FE" w:rsidRPr="00DC144B">
        <w:t>Home Affairs Select Committee</w:t>
      </w:r>
      <w:r w:rsidR="00E661FE">
        <w:t xml:space="preserve"> (202) 49</w:t>
      </w:r>
      <w:r w:rsidRPr="00DC144B">
        <w:rPr>
          <w:rFonts w:eastAsiaTheme="minorHAnsi"/>
          <w:bCs/>
          <w:lang w:eastAsia="en-US"/>
        </w:rPr>
        <w:t>.</w:t>
      </w:r>
    </w:p>
  </w:footnote>
  <w:footnote w:id="206">
    <w:p w:rsidR="00E661FE" w:rsidRPr="00DC144B" w:rsidRDefault="00DE779A" w:rsidP="007825C0">
      <w:pPr>
        <w:pStyle w:val="FootnoteText"/>
        <w:jc w:val="both"/>
      </w:pPr>
      <w:r w:rsidRPr="00DC144B">
        <w:rPr>
          <w:rStyle w:val="FootnoteReference"/>
          <w:rFonts w:eastAsiaTheme="majorEastAsia"/>
        </w:rPr>
        <w:footnoteRef/>
      </w:r>
      <w:r w:rsidRPr="00DC144B">
        <w:t xml:space="preserve"> </w:t>
      </w:r>
      <w:proofErr w:type="gramStart"/>
      <w:r w:rsidR="00E661FE" w:rsidRPr="00DC144B">
        <w:t xml:space="preserve">Anderson </w:t>
      </w:r>
      <w:r w:rsidR="00E661FE">
        <w:t>(128</w:t>
      </w:r>
      <w:r w:rsidR="00E661FE">
        <w:t xml:space="preserve">) </w:t>
      </w:r>
      <w:r w:rsidR="00E661FE">
        <w:t>29</w:t>
      </w:r>
      <w:r w:rsidR="00E661FE" w:rsidRPr="00DC144B">
        <w:t>.</w:t>
      </w:r>
      <w:proofErr w:type="gramEnd"/>
    </w:p>
  </w:footnote>
  <w:footnote w:id="207">
    <w:p w:rsidR="00DE779A" w:rsidRDefault="00DE779A">
      <w:pPr>
        <w:pStyle w:val="FootnoteText"/>
      </w:pPr>
      <w:r>
        <w:rPr>
          <w:rStyle w:val="FootnoteReference"/>
        </w:rPr>
        <w:footnoteRef/>
      </w:r>
      <w:r>
        <w:t xml:space="preserve"> </w:t>
      </w:r>
      <w:proofErr w:type="gramStart"/>
      <w:r>
        <w:t>Hereinafter ‘ISIL’.</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230C"/>
    <w:multiLevelType w:val="multilevel"/>
    <w:tmpl w:val="59DCB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1D5E12"/>
    <w:multiLevelType w:val="multilevel"/>
    <w:tmpl w:val="69AE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F7032"/>
    <w:multiLevelType w:val="multilevel"/>
    <w:tmpl w:val="1B3E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0924C0"/>
    <w:multiLevelType w:val="hybridMultilevel"/>
    <w:tmpl w:val="E1A65E70"/>
    <w:lvl w:ilvl="0" w:tplc="534AADD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2F2F97"/>
    <w:multiLevelType w:val="multilevel"/>
    <w:tmpl w:val="EC82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58785C"/>
    <w:multiLevelType w:val="hybridMultilevel"/>
    <w:tmpl w:val="C6BE0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A314D0"/>
    <w:multiLevelType w:val="multilevel"/>
    <w:tmpl w:val="6924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A30CC4"/>
    <w:multiLevelType w:val="multilevel"/>
    <w:tmpl w:val="B6EE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1B556A"/>
    <w:multiLevelType w:val="hybridMultilevel"/>
    <w:tmpl w:val="01CAF38C"/>
    <w:lvl w:ilvl="0" w:tplc="EB6C4DDC">
      <w:start w:val="1"/>
      <w:numFmt w:val="bullet"/>
      <w:lvlText w:val="–"/>
      <w:lvlJc w:val="left"/>
      <w:pPr>
        <w:tabs>
          <w:tab w:val="num" w:pos="720"/>
        </w:tabs>
        <w:ind w:left="720" w:hanging="360"/>
      </w:pPr>
      <w:rPr>
        <w:rFonts w:ascii="Arial" w:hAnsi="Arial" w:hint="default"/>
      </w:rPr>
    </w:lvl>
    <w:lvl w:ilvl="1" w:tplc="66AE7C90">
      <w:start w:val="1"/>
      <w:numFmt w:val="bullet"/>
      <w:lvlText w:val="–"/>
      <w:lvlJc w:val="left"/>
      <w:pPr>
        <w:tabs>
          <w:tab w:val="num" w:pos="1440"/>
        </w:tabs>
        <w:ind w:left="1440" w:hanging="360"/>
      </w:pPr>
      <w:rPr>
        <w:rFonts w:ascii="Arial" w:hAnsi="Arial" w:hint="default"/>
      </w:rPr>
    </w:lvl>
    <w:lvl w:ilvl="2" w:tplc="18C6CFAE" w:tentative="1">
      <w:start w:val="1"/>
      <w:numFmt w:val="bullet"/>
      <w:lvlText w:val="–"/>
      <w:lvlJc w:val="left"/>
      <w:pPr>
        <w:tabs>
          <w:tab w:val="num" w:pos="2160"/>
        </w:tabs>
        <w:ind w:left="2160" w:hanging="360"/>
      </w:pPr>
      <w:rPr>
        <w:rFonts w:ascii="Arial" w:hAnsi="Arial" w:hint="default"/>
      </w:rPr>
    </w:lvl>
    <w:lvl w:ilvl="3" w:tplc="CCFEC344" w:tentative="1">
      <w:start w:val="1"/>
      <w:numFmt w:val="bullet"/>
      <w:lvlText w:val="–"/>
      <w:lvlJc w:val="left"/>
      <w:pPr>
        <w:tabs>
          <w:tab w:val="num" w:pos="2880"/>
        </w:tabs>
        <w:ind w:left="2880" w:hanging="360"/>
      </w:pPr>
      <w:rPr>
        <w:rFonts w:ascii="Arial" w:hAnsi="Arial" w:hint="default"/>
      </w:rPr>
    </w:lvl>
    <w:lvl w:ilvl="4" w:tplc="90A0ACC8" w:tentative="1">
      <w:start w:val="1"/>
      <w:numFmt w:val="bullet"/>
      <w:lvlText w:val="–"/>
      <w:lvlJc w:val="left"/>
      <w:pPr>
        <w:tabs>
          <w:tab w:val="num" w:pos="3600"/>
        </w:tabs>
        <w:ind w:left="3600" w:hanging="360"/>
      </w:pPr>
      <w:rPr>
        <w:rFonts w:ascii="Arial" w:hAnsi="Arial" w:hint="default"/>
      </w:rPr>
    </w:lvl>
    <w:lvl w:ilvl="5" w:tplc="FDEC044A" w:tentative="1">
      <w:start w:val="1"/>
      <w:numFmt w:val="bullet"/>
      <w:lvlText w:val="–"/>
      <w:lvlJc w:val="left"/>
      <w:pPr>
        <w:tabs>
          <w:tab w:val="num" w:pos="4320"/>
        </w:tabs>
        <w:ind w:left="4320" w:hanging="360"/>
      </w:pPr>
      <w:rPr>
        <w:rFonts w:ascii="Arial" w:hAnsi="Arial" w:hint="default"/>
      </w:rPr>
    </w:lvl>
    <w:lvl w:ilvl="6" w:tplc="01DA88E4" w:tentative="1">
      <w:start w:val="1"/>
      <w:numFmt w:val="bullet"/>
      <w:lvlText w:val="–"/>
      <w:lvlJc w:val="left"/>
      <w:pPr>
        <w:tabs>
          <w:tab w:val="num" w:pos="5040"/>
        </w:tabs>
        <w:ind w:left="5040" w:hanging="360"/>
      </w:pPr>
      <w:rPr>
        <w:rFonts w:ascii="Arial" w:hAnsi="Arial" w:hint="default"/>
      </w:rPr>
    </w:lvl>
    <w:lvl w:ilvl="7" w:tplc="15501202" w:tentative="1">
      <w:start w:val="1"/>
      <w:numFmt w:val="bullet"/>
      <w:lvlText w:val="–"/>
      <w:lvlJc w:val="left"/>
      <w:pPr>
        <w:tabs>
          <w:tab w:val="num" w:pos="5760"/>
        </w:tabs>
        <w:ind w:left="5760" w:hanging="360"/>
      </w:pPr>
      <w:rPr>
        <w:rFonts w:ascii="Arial" w:hAnsi="Arial" w:hint="default"/>
      </w:rPr>
    </w:lvl>
    <w:lvl w:ilvl="8" w:tplc="2510307E" w:tentative="1">
      <w:start w:val="1"/>
      <w:numFmt w:val="bullet"/>
      <w:lvlText w:val="–"/>
      <w:lvlJc w:val="left"/>
      <w:pPr>
        <w:tabs>
          <w:tab w:val="num" w:pos="6480"/>
        </w:tabs>
        <w:ind w:left="6480" w:hanging="360"/>
      </w:pPr>
      <w:rPr>
        <w:rFonts w:ascii="Arial" w:hAnsi="Arial" w:hint="default"/>
      </w:rPr>
    </w:lvl>
  </w:abstractNum>
  <w:abstractNum w:abstractNumId="9">
    <w:nsid w:val="60E86DF2"/>
    <w:multiLevelType w:val="multilevel"/>
    <w:tmpl w:val="4198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5F0B89"/>
    <w:multiLevelType w:val="hybridMultilevel"/>
    <w:tmpl w:val="9673B44C"/>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2A765D0"/>
    <w:multiLevelType w:val="multilevel"/>
    <w:tmpl w:val="54384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B96B54"/>
    <w:multiLevelType w:val="hybridMultilevel"/>
    <w:tmpl w:val="8660A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75D30A8"/>
    <w:multiLevelType w:val="hybridMultilevel"/>
    <w:tmpl w:val="90EA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360FF9"/>
    <w:multiLevelType w:val="multilevel"/>
    <w:tmpl w:val="0BD44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2"/>
  </w:num>
  <w:num w:numId="4">
    <w:abstractNumId w:val="3"/>
  </w:num>
  <w:num w:numId="5">
    <w:abstractNumId w:val="1"/>
  </w:num>
  <w:num w:numId="6">
    <w:abstractNumId w:val="12"/>
  </w:num>
  <w:num w:numId="7">
    <w:abstractNumId w:val="7"/>
  </w:num>
  <w:num w:numId="8">
    <w:abstractNumId w:val="9"/>
  </w:num>
  <w:num w:numId="9">
    <w:abstractNumId w:val="6"/>
  </w:num>
  <w:num w:numId="10">
    <w:abstractNumId w:val="4"/>
  </w:num>
  <w:num w:numId="11">
    <w:abstractNumId w:val="13"/>
  </w:num>
  <w:num w:numId="12">
    <w:abstractNumId w:val="10"/>
  </w:num>
  <w:num w:numId="13">
    <w:abstractNumId w:val="14"/>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04"/>
    <w:rsid w:val="0007614C"/>
    <w:rsid w:val="000A197B"/>
    <w:rsid w:val="000A261B"/>
    <w:rsid w:val="000B519E"/>
    <w:rsid w:val="000D4E92"/>
    <w:rsid w:val="000F44A2"/>
    <w:rsid w:val="000F5CCF"/>
    <w:rsid w:val="001260D2"/>
    <w:rsid w:val="00141856"/>
    <w:rsid w:val="001B4342"/>
    <w:rsid w:val="001C747C"/>
    <w:rsid w:val="001E2FD4"/>
    <w:rsid w:val="001F612C"/>
    <w:rsid w:val="0023579C"/>
    <w:rsid w:val="002916C2"/>
    <w:rsid w:val="002B4450"/>
    <w:rsid w:val="002D693C"/>
    <w:rsid w:val="0031554C"/>
    <w:rsid w:val="00331CD8"/>
    <w:rsid w:val="003737DA"/>
    <w:rsid w:val="003775E2"/>
    <w:rsid w:val="003A35AF"/>
    <w:rsid w:val="003B2006"/>
    <w:rsid w:val="003C016C"/>
    <w:rsid w:val="003C606A"/>
    <w:rsid w:val="003D723A"/>
    <w:rsid w:val="003E4BCC"/>
    <w:rsid w:val="003F7864"/>
    <w:rsid w:val="004117C7"/>
    <w:rsid w:val="00415F3D"/>
    <w:rsid w:val="00442C68"/>
    <w:rsid w:val="004467E3"/>
    <w:rsid w:val="00455E48"/>
    <w:rsid w:val="00464688"/>
    <w:rsid w:val="004E216D"/>
    <w:rsid w:val="00506AD4"/>
    <w:rsid w:val="00507F78"/>
    <w:rsid w:val="00564FC5"/>
    <w:rsid w:val="0057041E"/>
    <w:rsid w:val="005C068C"/>
    <w:rsid w:val="005F5A29"/>
    <w:rsid w:val="006048BA"/>
    <w:rsid w:val="00615EDE"/>
    <w:rsid w:val="00671F7D"/>
    <w:rsid w:val="00685A5B"/>
    <w:rsid w:val="00691F00"/>
    <w:rsid w:val="006D3C72"/>
    <w:rsid w:val="006F0B89"/>
    <w:rsid w:val="006F343A"/>
    <w:rsid w:val="007330C2"/>
    <w:rsid w:val="00741856"/>
    <w:rsid w:val="007629C4"/>
    <w:rsid w:val="007813B2"/>
    <w:rsid w:val="007825C0"/>
    <w:rsid w:val="00785FFE"/>
    <w:rsid w:val="007905CB"/>
    <w:rsid w:val="00791957"/>
    <w:rsid w:val="007B367D"/>
    <w:rsid w:val="007C2D6E"/>
    <w:rsid w:val="007C57E7"/>
    <w:rsid w:val="007D6FAE"/>
    <w:rsid w:val="007F1BA1"/>
    <w:rsid w:val="008358EA"/>
    <w:rsid w:val="00853261"/>
    <w:rsid w:val="0087594B"/>
    <w:rsid w:val="008A2EE4"/>
    <w:rsid w:val="008E2468"/>
    <w:rsid w:val="008E3D95"/>
    <w:rsid w:val="00902B2B"/>
    <w:rsid w:val="0091493A"/>
    <w:rsid w:val="00984190"/>
    <w:rsid w:val="009E18EB"/>
    <w:rsid w:val="009E4B96"/>
    <w:rsid w:val="00A42487"/>
    <w:rsid w:val="00A859B4"/>
    <w:rsid w:val="00A90828"/>
    <w:rsid w:val="00A93E11"/>
    <w:rsid w:val="00AD4F65"/>
    <w:rsid w:val="00B11406"/>
    <w:rsid w:val="00B26DEB"/>
    <w:rsid w:val="00B45BD8"/>
    <w:rsid w:val="00C14229"/>
    <w:rsid w:val="00C64B5C"/>
    <w:rsid w:val="00C7749C"/>
    <w:rsid w:val="00C95EA8"/>
    <w:rsid w:val="00C97E04"/>
    <w:rsid w:val="00CA4FFD"/>
    <w:rsid w:val="00CA6B5E"/>
    <w:rsid w:val="00CD1CDB"/>
    <w:rsid w:val="00CE3A49"/>
    <w:rsid w:val="00CF31FD"/>
    <w:rsid w:val="00CF519A"/>
    <w:rsid w:val="00DC144B"/>
    <w:rsid w:val="00DE65D5"/>
    <w:rsid w:val="00DE779A"/>
    <w:rsid w:val="00E25E01"/>
    <w:rsid w:val="00E318F3"/>
    <w:rsid w:val="00E661FE"/>
    <w:rsid w:val="00E96CDE"/>
    <w:rsid w:val="00EA4301"/>
    <w:rsid w:val="00EC427B"/>
    <w:rsid w:val="00ED1200"/>
    <w:rsid w:val="00ED4648"/>
    <w:rsid w:val="00F06767"/>
    <w:rsid w:val="00F10407"/>
    <w:rsid w:val="00F125C1"/>
    <w:rsid w:val="00F14077"/>
    <w:rsid w:val="00F215EC"/>
    <w:rsid w:val="00F2581E"/>
    <w:rsid w:val="00F64459"/>
    <w:rsid w:val="00F84655"/>
    <w:rsid w:val="00FC62E7"/>
    <w:rsid w:val="00FE0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7E0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unhideWhenUsed/>
    <w:qFormat/>
    <w:rsid w:val="00C97E0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semiHidden/>
    <w:unhideWhenUsed/>
    <w:qFormat/>
    <w:rsid w:val="00C97E04"/>
    <w:pPr>
      <w:keepNext/>
      <w:keepLines/>
      <w:spacing w:before="200" w:after="0" w:line="240" w:lineRule="auto"/>
      <w:outlineLvl w:val="2"/>
    </w:pPr>
    <w:rPr>
      <w:rFonts w:asciiTheme="majorHAnsi" w:eastAsiaTheme="majorEastAsia" w:hAnsiTheme="majorHAnsi" w:cstheme="majorBidi"/>
      <w:b/>
      <w:bCs/>
      <w:color w:val="4F81BD" w:themeColor="accent1"/>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E04"/>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C97E04"/>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C97E04"/>
    <w:rPr>
      <w:rFonts w:asciiTheme="majorHAnsi" w:eastAsiaTheme="majorEastAsia" w:hAnsiTheme="majorHAnsi" w:cstheme="majorBidi"/>
      <w:b/>
      <w:bCs/>
      <w:color w:val="4F81BD" w:themeColor="accent1"/>
      <w:sz w:val="24"/>
      <w:szCs w:val="20"/>
      <w:lang w:eastAsia="en-GB"/>
    </w:rPr>
  </w:style>
  <w:style w:type="numbering" w:customStyle="1" w:styleId="NoList1">
    <w:name w:val="No List1"/>
    <w:next w:val="NoList"/>
    <w:uiPriority w:val="99"/>
    <w:semiHidden/>
    <w:unhideWhenUsed/>
    <w:rsid w:val="00C97E04"/>
  </w:style>
  <w:style w:type="paragraph" w:styleId="FootnoteText">
    <w:name w:val="footnote text"/>
    <w:basedOn w:val="Normal"/>
    <w:link w:val="FootnoteTextChar"/>
    <w:uiPriority w:val="99"/>
    <w:unhideWhenUsed/>
    <w:rsid w:val="00C97E0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C97E04"/>
    <w:rPr>
      <w:rFonts w:ascii="Times New Roman" w:eastAsia="Times New Roman" w:hAnsi="Times New Roman" w:cs="Times New Roman"/>
      <w:sz w:val="20"/>
      <w:szCs w:val="20"/>
      <w:lang w:eastAsia="en-GB"/>
    </w:rPr>
  </w:style>
  <w:style w:type="character" w:styleId="FootnoteReference">
    <w:name w:val="footnote reference"/>
    <w:aliases w:val="Standard + Block,Erste Zeile:  1 cm"/>
    <w:basedOn w:val="DefaultParagraphFont"/>
    <w:uiPriority w:val="99"/>
    <w:unhideWhenUsed/>
    <w:rsid w:val="00C97E04"/>
    <w:rPr>
      <w:vertAlign w:val="superscript"/>
    </w:rPr>
  </w:style>
  <w:style w:type="paragraph" w:styleId="HTMLPreformatted">
    <w:name w:val="HTML Preformatted"/>
    <w:basedOn w:val="Normal"/>
    <w:link w:val="HTMLPreformattedChar"/>
    <w:uiPriority w:val="99"/>
    <w:semiHidden/>
    <w:unhideWhenUsed/>
    <w:rsid w:val="00C97E04"/>
    <w:pPr>
      <w:spacing w:after="0" w:line="240" w:lineRule="auto"/>
    </w:pPr>
    <w:rPr>
      <w:rFonts w:ascii="Consolas" w:eastAsia="Times New Roman" w:hAnsi="Consolas" w:cs="Consolas"/>
      <w:sz w:val="20"/>
      <w:szCs w:val="20"/>
      <w:lang w:eastAsia="en-GB"/>
    </w:rPr>
  </w:style>
  <w:style w:type="character" w:customStyle="1" w:styleId="HTMLPreformattedChar">
    <w:name w:val="HTML Preformatted Char"/>
    <w:basedOn w:val="DefaultParagraphFont"/>
    <w:link w:val="HTMLPreformatted"/>
    <w:uiPriority w:val="99"/>
    <w:semiHidden/>
    <w:rsid w:val="00C97E04"/>
    <w:rPr>
      <w:rFonts w:ascii="Consolas" w:eastAsia="Times New Roman" w:hAnsi="Consolas" w:cs="Consolas"/>
      <w:sz w:val="20"/>
      <w:szCs w:val="20"/>
      <w:lang w:eastAsia="en-GB"/>
    </w:rPr>
  </w:style>
  <w:style w:type="paragraph" w:styleId="Header">
    <w:name w:val="header"/>
    <w:basedOn w:val="Normal"/>
    <w:link w:val="HeaderChar"/>
    <w:uiPriority w:val="99"/>
    <w:unhideWhenUsed/>
    <w:rsid w:val="00C97E04"/>
    <w:pPr>
      <w:tabs>
        <w:tab w:val="center" w:pos="4513"/>
        <w:tab w:val="right" w:pos="902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C97E04"/>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C97E04"/>
    <w:pPr>
      <w:tabs>
        <w:tab w:val="center" w:pos="4513"/>
        <w:tab w:val="right" w:pos="902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C97E04"/>
    <w:rPr>
      <w:rFonts w:ascii="Times New Roman" w:eastAsia="Times New Roman" w:hAnsi="Times New Roman" w:cs="Times New Roman"/>
      <w:sz w:val="24"/>
      <w:szCs w:val="20"/>
      <w:lang w:eastAsia="en-GB"/>
    </w:rPr>
  </w:style>
  <w:style w:type="character" w:styleId="Emphasis">
    <w:name w:val="Emphasis"/>
    <w:basedOn w:val="DefaultParagraphFont"/>
    <w:uiPriority w:val="20"/>
    <w:qFormat/>
    <w:rsid w:val="00C97E04"/>
    <w:rPr>
      <w:i/>
      <w:iCs/>
    </w:rPr>
  </w:style>
  <w:style w:type="character" w:customStyle="1" w:styleId="starpage1">
    <w:name w:val="starpage1"/>
    <w:basedOn w:val="DefaultParagraphFont"/>
    <w:rsid w:val="00C97E04"/>
    <w:rPr>
      <w:b/>
      <w:bCs/>
      <w:i/>
      <w:iCs/>
      <w:color w:val="663366"/>
    </w:rPr>
  </w:style>
  <w:style w:type="character" w:styleId="CommentReference">
    <w:name w:val="annotation reference"/>
    <w:basedOn w:val="DefaultParagraphFont"/>
    <w:uiPriority w:val="99"/>
    <w:semiHidden/>
    <w:unhideWhenUsed/>
    <w:rsid w:val="00C97E04"/>
    <w:rPr>
      <w:sz w:val="16"/>
      <w:szCs w:val="16"/>
    </w:rPr>
  </w:style>
  <w:style w:type="paragraph" w:styleId="CommentText">
    <w:name w:val="annotation text"/>
    <w:basedOn w:val="Normal"/>
    <w:link w:val="CommentTextChar"/>
    <w:uiPriority w:val="99"/>
    <w:semiHidden/>
    <w:unhideWhenUsed/>
    <w:rsid w:val="00C97E0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C97E0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97E04"/>
    <w:rPr>
      <w:b/>
      <w:bCs/>
    </w:rPr>
  </w:style>
  <w:style w:type="character" w:customStyle="1" w:styleId="CommentSubjectChar">
    <w:name w:val="Comment Subject Char"/>
    <w:basedOn w:val="CommentTextChar"/>
    <w:link w:val="CommentSubject"/>
    <w:uiPriority w:val="99"/>
    <w:semiHidden/>
    <w:rsid w:val="00C97E04"/>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97E04"/>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97E04"/>
    <w:rPr>
      <w:rFonts w:ascii="Tahoma" w:eastAsia="Times New Roman" w:hAnsi="Tahoma" w:cs="Tahoma"/>
      <w:sz w:val="16"/>
      <w:szCs w:val="16"/>
      <w:lang w:eastAsia="en-GB"/>
    </w:rPr>
  </w:style>
  <w:style w:type="character" w:customStyle="1" w:styleId="api-publication-authors">
    <w:name w:val="api-publication-authors"/>
    <w:basedOn w:val="DefaultParagraphFont"/>
    <w:rsid w:val="00C97E04"/>
  </w:style>
  <w:style w:type="character" w:customStyle="1" w:styleId="api-publication-title">
    <w:name w:val="api-publication-title"/>
    <w:basedOn w:val="DefaultParagraphFont"/>
    <w:rsid w:val="00C97E04"/>
  </w:style>
  <w:style w:type="paragraph" w:customStyle="1" w:styleId="legcontentsitem1">
    <w:name w:val="legcontentsitem1"/>
    <w:basedOn w:val="Normal"/>
    <w:rsid w:val="00C97E0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C97E04"/>
    <w:rPr>
      <w:vanish w:val="0"/>
      <w:webHidden w:val="0"/>
      <w:specVanish w:val="0"/>
    </w:rPr>
  </w:style>
  <w:style w:type="character" w:styleId="Hyperlink">
    <w:name w:val="Hyperlink"/>
    <w:basedOn w:val="DefaultParagraphFont"/>
    <w:uiPriority w:val="99"/>
    <w:unhideWhenUsed/>
    <w:rsid w:val="00C97E04"/>
    <w:rPr>
      <w:color w:val="0000FF" w:themeColor="hyperlink"/>
      <w:u w:val="single"/>
    </w:rPr>
  </w:style>
  <w:style w:type="paragraph" w:customStyle="1" w:styleId="Default">
    <w:name w:val="Default"/>
    <w:rsid w:val="00C97E0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97E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7E04"/>
    <w:rPr>
      <w:b/>
      <w:bCs/>
    </w:rPr>
  </w:style>
  <w:style w:type="paragraph" w:styleId="ListParagraph">
    <w:name w:val="List Paragraph"/>
    <w:basedOn w:val="Normal"/>
    <w:uiPriority w:val="34"/>
    <w:qFormat/>
    <w:rsid w:val="00C97E04"/>
    <w:pPr>
      <w:spacing w:after="0" w:line="240" w:lineRule="auto"/>
      <w:ind w:left="720"/>
      <w:contextualSpacing/>
    </w:pPr>
    <w:rPr>
      <w:rFonts w:ascii="Times New Roman" w:eastAsia="Times New Roman" w:hAnsi="Times New Roman" w:cs="Times New Roman"/>
      <w:sz w:val="24"/>
      <w:szCs w:val="20"/>
      <w:lang w:eastAsia="en-GB"/>
    </w:rPr>
  </w:style>
  <w:style w:type="character" w:customStyle="1" w:styleId="highlight">
    <w:name w:val="highlight"/>
    <w:basedOn w:val="DefaultParagraphFont"/>
    <w:rsid w:val="00C97E04"/>
    <w:rPr>
      <w:b/>
      <w:bCs/>
    </w:rPr>
  </w:style>
  <w:style w:type="character" w:customStyle="1" w:styleId="searchterm1">
    <w:name w:val="searchterm1"/>
    <w:basedOn w:val="DefaultParagraphFont"/>
    <w:rsid w:val="00C97E04"/>
    <w:rPr>
      <w:b/>
      <w:bCs/>
      <w:shd w:val="clear" w:color="auto" w:fill="FFFF00"/>
    </w:rPr>
  </w:style>
  <w:style w:type="paragraph" w:customStyle="1" w:styleId="CM1">
    <w:name w:val="CM1"/>
    <w:basedOn w:val="Default"/>
    <w:next w:val="Default"/>
    <w:uiPriority w:val="99"/>
    <w:rsid w:val="00C97E04"/>
    <w:rPr>
      <w:rFonts w:ascii="Arial" w:hAnsi="Arial" w:cs="Arial"/>
      <w:color w:val="auto"/>
    </w:rPr>
  </w:style>
  <w:style w:type="character" w:styleId="HTMLAcronym">
    <w:name w:val="HTML Acronym"/>
    <w:basedOn w:val="DefaultParagraphFont"/>
    <w:uiPriority w:val="99"/>
    <w:semiHidden/>
    <w:unhideWhenUsed/>
    <w:rsid w:val="00C97E04"/>
  </w:style>
  <w:style w:type="paragraph" w:customStyle="1" w:styleId="ennumparacontainer1">
    <w:name w:val="ennumparacontainer1"/>
    <w:basedOn w:val="Normal"/>
    <w:rsid w:val="00C97E0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ends2">
    <w:name w:val="ends2"/>
    <w:basedOn w:val="DefaultParagraphFont"/>
    <w:rsid w:val="00C97E04"/>
    <w:rPr>
      <w:vanish w:val="0"/>
      <w:webHidden w:val="0"/>
      <w:specVanish w:val="0"/>
    </w:rPr>
  </w:style>
  <w:style w:type="paragraph" w:styleId="EndnoteText">
    <w:name w:val="endnote text"/>
    <w:basedOn w:val="Normal"/>
    <w:link w:val="EndnoteTextChar"/>
    <w:uiPriority w:val="99"/>
    <w:unhideWhenUsed/>
    <w:rsid w:val="009E4B96"/>
    <w:pPr>
      <w:spacing w:after="0" w:line="240" w:lineRule="auto"/>
    </w:pPr>
    <w:rPr>
      <w:sz w:val="20"/>
      <w:szCs w:val="20"/>
    </w:rPr>
  </w:style>
  <w:style w:type="character" w:customStyle="1" w:styleId="EndnoteTextChar">
    <w:name w:val="Endnote Text Char"/>
    <w:basedOn w:val="DefaultParagraphFont"/>
    <w:link w:val="EndnoteText"/>
    <w:uiPriority w:val="99"/>
    <w:rsid w:val="009E4B96"/>
    <w:rPr>
      <w:sz w:val="20"/>
      <w:szCs w:val="20"/>
    </w:rPr>
  </w:style>
  <w:style w:type="character" w:styleId="EndnoteReference">
    <w:name w:val="endnote reference"/>
    <w:basedOn w:val="DefaultParagraphFont"/>
    <w:uiPriority w:val="99"/>
    <w:semiHidden/>
    <w:unhideWhenUsed/>
    <w:rsid w:val="009E4B96"/>
    <w:rPr>
      <w:vertAlign w:val="superscript"/>
    </w:rPr>
  </w:style>
  <w:style w:type="table" w:styleId="TableGrid">
    <w:name w:val="Table Grid"/>
    <w:basedOn w:val="TableNormal"/>
    <w:uiPriority w:val="39"/>
    <w:rsid w:val="0091493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7905CB"/>
    <w:rPr>
      <w:rFonts w:cs="Minion"/>
      <w:color w:val="000000"/>
      <w:sz w:val="16"/>
      <w:szCs w:val="16"/>
    </w:rPr>
  </w:style>
  <w:style w:type="character" w:styleId="FollowedHyperlink">
    <w:name w:val="FollowedHyperlink"/>
    <w:basedOn w:val="DefaultParagraphFont"/>
    <w:uiPriority w:val="99"/>
    <w:semiHidden/>
    <w:unhideWhenUsed/>
    <w:rsid w:val="00C774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7E0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unhideWhenUsed/>
    <w:qFormat/>
    <w:rsid w:val="00C97E0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semiHidden/>
    <w:unhideWhenUsed/>
    <w:qFormat/>
    <w:rsid w:val="00C97E04"/>
    <w:pPr>
      <w:keepNext/>
      <w:keepLines/>
      <w:spacing w:before="200" w:after="0" w:line="240" w:lineRule="auto"/>
      <w:outlineLvl w:val="2"/>
    </w:pPr>
    <w:rPr>
      <w:rFonts w:asciiTheme="majorHAnsi" w:eastAsiaTheme="majorEastAsia" w:hAnsiTheme="majorHAnsi" w:cstheme="majorBidi"/>
      <w:b/>
      <w:bCs/>
      <w:color w:val="4F81BD" w:themeColor="accent1"/>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E04"/>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C97E04"/>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C97E04"/>
    <w:rPr>
      <w:rFonts w:asciiTheme="majorHAnsi" w:eastAsiaTheme="majorEastAsia" w:hAnsiTheme="majorHAnsi" w:cstheme="majorBidi"/>
      <w:b/>
      <w:bCs/>
      <w:color w:val="4F81BD" w:themeColor="accent1"/>
      <w:sz w:val="24"/>
      <w:szCs w:val="20"/>
      <w:lang w:eastAsia="en-GB"/>
    </w:rPr>
  </w:style>
  <w:style w:type="numbering" w:customStyle="1" w:styleId="NoList1">
    <w:name w:val="No List1"/>
    <w:next w:val="NoList"/>
    <w:uiPriority w:val="99"/>
    <w:semiHidden/>
    <w:unhideWhenUsed/>
    <w:rsid w:val="00C97E04"/>
  </w:style>
  <w:style w:type="paragraph" w:styleId="FootnoteText">
    <w:name w:val="footnote text"/>
    <w:basedOn w:val="Normal"/>
    <w:link w:val="FootnoteTextChar"/>
    <w:uiPriority w:val="99"/>
    <w:unhideWhenUsed/>
    <w:rsid w:val="00C97E0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C97E04"/>
    <w:rPr>
      <w:rFonts w:ascii="Times New Roman" w:eastAsia="Times New Roman" w:hAnsi="Times New Roman" w:cs="Times New Roman"/>
      <w:sz w:val="20"/>
      <w:szCs w:val="20"/>
      <w:lang w:eastAsia="en-GB"/>
    </w:rPr>
  </w:style>
  <w:style w:type="character" w:styleId="FootnoteReference">
    <w:name w:val="footnote reference"/>
    <w:aliases w:val="Standard + Block,Erste Zeile:  1 cm"/>
    <w:basedOn w:val="DefaultParagraphFont"/>
    <w:uiPriority w:val="99"/>
    <w:unhideWhenUsed/>
    <w:rsid w:val="00C97E04"/>
    <w:rPr>
      <w:vertAlign w:val="superscript"/>
    </w:rPr>
  </w:style>
  <w:style w:type="paragraph" w:styleId="HTMLPreformatted">
    <w:name w:val="HTML Preformatted"/>
    <w:basedOn w:val="Normal"/>
    <w:link w:val="HTMLPreformattedChar"/>
    <w:uiPriority w:val="99"/>
    <w:semiHidden/>
    <w:unhideWhenUsed/>
    <w:rsid w:val="00C97E04"/>
    <w:pPr>
      <w:spacing w:after="0" w:line="240" w:lineRule="auto"/>
    </w:pPr>
    <w:rPr>
      <w:rFonts w:ascii="Consolas" w:eastAsia="Times New Roman" w:hAnsi="Consolas" w:cs="Consolas"/>
      <w:sz w:val="20"/>
      <w:szCs w:val="20"/>
      <w:lang w:eastAsia="en-GB"/>
    </w:rPr>
  </w:style>
  <w:style w:type="character" w:customStyle="1" w:styleId="HTMLPreformattedChar">
    <w:name w:val="HTML Preformatted Char"/>
    <w:basedOn w:val="DefaultParagraphFont"/>
    <w:link w:val="HTMLPreformatted"/>
    <w:uiPriority w:val="99"/>
    <w:semiHidden/>
    <w:rsid w:val="00C97E04"/>
    <w:rPr>
      <w:rFonts w:ascii="Consolas" w:eastAsia="Times New Roman" w:hAnsi="Consolas" w:cs="Consolas"/>
      <w:sz w:val="20"/>
      <w:szCs w:val="20"/>
      <w:lang w:eastAsia="en-GB"/>
    </w:rPr>
  </w:style>
  <w:style w:type="paragraph" w:styleId="Header">
    <w:name w:val="header"/>
    <w:basedOn w:val="Normal"/>
    <w:link w:val="HeaderChar"/>
    <w:uiPriority w:val="99"/>
    <w:unhideWhenUsed/>
    <w:rsid w:val="00C97E04"/>
    <w:pPr>
      <w:tabs>
        <w:tab w:val="center" w:pos="4513"/>
        <w:tab w:val="right" w:pos="902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C97E04"/>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C97E04"/>
    <w:pPr>
      <w:tabs>
        <w:tab w:val="center" w:pos="4513"/>
        <w:tab w:val="right" w:pos="902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C97E04"/>
    <w:rPr>
      <w:rFonts w:ascii="Times New Roman" w:eastAsia="Times New Roman" w:hAnsi="Times New Roman" w:cs="Times New Roman"/>
      <w:sz w:val="24"/>
      <w:szCs w:val="20"/>
      <w:lang w:eastAsia="en-GB"/>
    </w:rPr>
  </w:style>
  <w:style w:type="character" w:styleId="Emphasis">
    <w:name w:val="Emphasis"/>
    <w:basedOn w:val="DefaultParagraphFont"/>
    <w:uiPriority w:val="20"/>
    <w:qFormat/>
    <w:rsid w:val="00C97E04"/>
    <w:rPr>
      <w:i/>
      <w:iCs/>
    </w:rPr>
  </w:style>
  <w:style w:type="character" w:customStyle="1" w:styleId="starpage1">
    <w:name w:val="starpage1"/>
    <w:basedOn w:val="DefaultParagraphFont"/>
    <w:rsid w:val="00C97E04"/>
    <w:rPr>
      <w:b/>
      <w:bCs/>
      <w:i/>
      <w:iCs/>
      <w:color w:val="663366"/>
    </w:rPr>
  </w:style>
  <w:style w:type="character" w:styleId="CommentReference">
    <w:name w:val="annotation reference"/>
    <w:basedOn w:val="DefaultParagraphFont"/>
    <w:uiPriority w:val="99"/>
    <w:semiHidden/>
    <w:unhideWhenUsed/>
    <w:rsid w:val="00C97E04"/>
    <w:rPr>
      <w:sz w:val="16"/>
      <w:szCs w:val="16"/>
    </w:rPr>
  </w:style>
  <w:style w:type="paragraph" w:styleId="CommentText">
    <w:name w:val="annotation text"/>
    <w:basedOn w:val="Normal"/>
    <w:link w:val="CommentTextChar"/>
    <w:uiPriority w:val="99"/>
    <w:semiHidden/>
    <w:unhideWhenUsed/>
    <w:rsid w:val="00C97E0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C97E0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97E04"/>
    <w:rPr>
      <w:b/>
      <w:bCs/>
    </w:rPr>
  </w:style>
  <w:style w:type="character" w:customStyle="1" w:styleId="CommentSubjectChar">
    <w:name w:val="Comment Subject Char"/>
    <w:basedOn w:val="CommentTextChar"/>
    <w:link w:val="CommentSubject"/>
    <w:uiPriority w:val="99"/>
    <w:semiHidden/>
    <w:rsid w:val="00C97E04"/>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97E04"/>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97E04"/>
    <w:rPr>
      <w:rFonts w:ascii="Tahoma" w:eastAsia="Times New Roman" w:hAnsi="Tahoma" w:cs="Tahoma"/>
      <w:sz w:val="16"/>
      <w:szCs w:val="16"/>
      <w:lang w:eastAsia="en-GB"/>
    </w:rPr>
  </w:style>
  <w:style w:type="character" w:customStyle="1" w:styleId="api-publication-authors">
    <w:name w:val="api-publication-authors"/>
    <w:basedOn w:val="DefaultParagraphFont"/>
    <w:rsid w:val="00C97E04"/>
  </w:style>
  <w:style w:type="character" w:customStyle="1" w:styleId="api-publication-title">
    <w:name w:val="api-publication-title"/>
    <w:basedOn w:val="DefaultParagraphFont"/>
    <w:rsid w:val="00C97E04"/>
  </w:style>
  <w:style w:type="paragraph" w:customStyle="1" w:styleId="legcontentsitem1">
    <w:name w:val="legcontentsitem1"/>
    <w:basedOn w:val="Normal"/>
    <w:rsid w:val="00C97E0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C97E04"/>
    <w:rPr>
      <w:vanish w:val="0"/>
      <w:webHidden w:val="0"/>
      <w:specVanish w:val="0"/>
    </w:rPr>
  </w:style>
  <w:style w:type="character" w:styleId="Hyperlink">
    <w:name w:val="Hyperlink"/>
    <w:basedOn w:val="DefaultParagraphFont"/>
    <w:uiPriority w:val="99"/>
    <w:unhideWhenUsed/>
    <w:rsid w:val="00C97E04"/>
    <w:rPr>
      <w:color w:val="0000FF" w:themeColor="hyperlink"/>
      <w:u w:val="single"/>
    </w:rPr>
  </w:style>
  <w:style w:type="paragraph" w:customStyle="1" w:styleId="Default">
    <w:name w:val="Default"/>
    <w:rsid w:val="00C97E0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97E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7E04"/>
    <w:rPr>
      <w:b/>
      <w:bCs/>
    </w:rPr>
  </w:style>
  <w:style w:type="paragraph" w:styleId="ListParagraph">
    <w:name w:val="List Paragraph"/>
    <w:basedOn w:val="Normal"/>
    <w:uiPriority w:val="34"/>
    <w:qFormat/>
    <w:rsid w:val="00C97E04"/>
    <w:pPr>
      <w:spacing w:after="0" w:line="240" w:lineRule="auto"/>
      <w:ind w:left="720"/>
      <w:contextualSpacing/>
    </w:pPr>
    <w:rPr>
      <w:rFonts w:ascii="Times New Roman" w:eastAsia="Times New Roman" w:hAnsi="Times New Roman" w:cs="Times New Roman"/>
      <w:sz w:val="24"/>
      <w:szCs w:val="20"/>
      <w:lang w:eastAsia="en-GB"/>
    </w:rPr>
  </w:style>
  <w:style w:type="character" w:customStyle="1" w:styleId="highlight">
    <w:name w:val="highlight"/>
    <w:basedOn w:val="DefaultParagraphFont"/>
    <w:rsid w:val="00C97E04"/>
    <w:rPr>
      <w:b/>
      <w:bCs/>
    </w:rPr>
  </w:style>
  <w:style w:type="character" w:customStyle="1" w:styleId="searchterm1">
    <w:name w:val="searchterm1"/>
    <w:basedOn w:val="DefaultParagraphFont"/>
    <w:rsid w:val="00C97E04"/>
    <w:rPr>
      <w:b/>
      <w:bCs/>
      <w:shd w:val="clear" w:color="auto" w:fill="FFFF00"/>
    </w:rPr>
  </w:style>
  <w:style w:type="paragraph" w:customStyle="1" w:styleId="CM1">
    <w:name w:val="CM1"/>
    <w:basedOn w:val="Default"/>
    <w:next w:val="Default"/>
    <w:uiPriority w:val="99"/>
    <w:rsid w:val="00C97E04"/>
    <w:rPr>
      <w:rFonts w:ascii="Arial" w:hAnsi="Arial" w:cs="Arial"/>
      <w:color w:val="auto"/>
    </w:rPr>
  </w:style>
  <w:style w:type="character" w:styleId="HTMLAcronym">
    <w:name w:val="HTML Acronym"/>
    <w:basedOn w:val="DefaultParagraphFont"/>
    <w:uiPriority w:val="99"/>
    <w:semiHidden/>
    <w:unhideWhenUsed/>
    <w:rsid w:val="00C97E04"/>
  </w:style>
  <w:style w:type="paragraph" w:customStyle="1" w:styleId="ennumparacontainer1">
    <w:name w:val="ennumparacontainer1"/>
    <w:basedOn w:val="Normal"/>
    <w:rsid w:val="00C97E0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ends2">
    <w:name w:val="ends2"/>
    <w:basedOn w:val="DefaultParagraphFont"/>
    <w:rsid w:val="00C97E04"/>
    <w:rPr>
      <w:vanish w:val="0"/>
      <w:webHidden w:val="0"/>
      <w:specVanish w:val="0"/>
    </w:rPr>
  </w:style>
  <w:style w:type="paragraph" w:styleId="EndnoteText">
    <w:name w:val="endnote text"/>
    <w:basedOn w:val="Normal"/>
    <w:link w:val="EndnoteTextChar"/>
    <w:uiPriority w:val="99"/>
    <w:unhideWhenUsed/>
    <w:rsid w:val="009E4B96"/>
    <w:pPr>
      <w:spacing w:after="0" w:line="240" w:lineRule="auto"/>
    </w:pPr>
    <w:rPr>
      <w:sz w:val="20"/>
      <w:szCs w:val="20"/>
    </w:rPr>
  </w:style>
  <w:style w:type="character" w:customStyle="1" w:styleId="EndnoteTextChar">
    <w:name w:val="Endnote Text Char"/>
    <w:basedOn w:val="DefaultParagraphFont"/>
    <w:link w:val="EndnoteText"/>
    <w:uiPriority w:val="99"/>
    <w:rsid w:val="009E4B96"/>
    <w:rPr>
      <w:sz w:val="20"/>
      <w:szCs w:val="20"/>
    </w:rPr>
  </w:style>
  <w:style w:type="character" w:styleId="EndnoteReference">
    <w:name w:val="endnote reference"/>
    <w:basedOn w:val="DefaultParagraphFont"/>
    <w:uiPriority w:val="99"/>
    <w:semiHidden/>
    <w:unhideWhenUsed/>
    <w:rsid w:val="009E4B96"/>
    <w:rPr>
      <w:vertAlign w:val="superscript"/>
    </w:rPr>
  </w:style>
  <w:style w:type="table" w:styleId="TableGrid">
    <w:name w:val="Table Grid"/>
    <w:basedOn w:val="TableNormal"/>
    <w:uiPriority w:val="39"/>
    <w:rsid w:val="0091493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7905CB"/>
    <w:rPr>
      <w:rFonts w:cs="Minion"/>
      <w:color w:val="000000"/>
      <w:sz w:val="16"/>
      <w:szCs w:val="16"/>
    </w:rPr>
  </w:style>
  <w:style w:type="character" w:styleId="FollowedHyperlink">
    <w:name w:val="FollowedHyperlink"/>
    <w:basedOn w:val="DefaultParagraphFont"/>
    <w:uiPriority w:val="99"/>
    <w:semiHidden/>
    <w:unhideWhenUsed/>
    <w:rsid w:val="00C774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0014">
      <w:bodyDiv w:val="1"/>
      <w:marLeft w:val="375"/>
      <w:marRight w:val="375"/>
      <w:marTop w:val="75"/>
      <w:marBottom w:val="75"/>
      <w:divBdr>
        <w:top w:val="none" w:sz="0" w:space="0" w:color="auto"/>
        <w:left w:val="none" w:sz="0" w:space="0" w:color="auto"/>
        <w:bottom w:val="none" w:sz="0" w:space="0" w:color="auto"/>
        <w:right w:val="none" w:sz="0" w:space="0" w:color="auto"/>
      </w:divBdr>
      <w:divsChild>
        <w:div w:id="1452699766">
          <w:marLeft w:val="0"/>
          <w:marRight w:val="0"/>
          <w:marTop w:val="0"/>
          <w:marBottom w:val="0"/>
          <w:divBdr>
            <w:top w:val="none" w:sz="0" w:space="0" w:color="auto"/>
            <w:left w:val="none" w:sz="0" w:space="0" w:color="auto"/>
            <w:bottom w:val="none" w:sz="0" w:space="0" w:color="auto"/>
            <w:right w:val="none" w:sz="0" w:space="0" w:color="auto"/>
          </w:divBdr>
          <w:divsChild>
            <w:div w:id="1236740321">
              <w:marLeft w:val="0"/>
              <w:marRight w:val="0"/>
              <w:marTop w:val="0"/>
              <w:marBottom w:val="0"/>
              <w:divBdr>
                <w:top w:val="none" w:sz="0" w:space="0" w:color="auto"/>
                <w:left w:val="none" w:sz="0" w:space="0" w:color="auto"/>
                <w:bottom w:val="none" w:sz="0" w:space="0" w:color="auto"/>
                <w:right w:val="none" w:sz="0" w:space="0" w:color="auto"/>
              </w:divBdr>
              <w:divsChild>
                <w:div w:id="977107311">
                  <w:marLeft w:val="0"/>
                  <w:marRight w:val="0"/>
                  <w:marTop w:val="0"/>
                  <w:marBottom w:val="0"/>
                  <w:divBdr>
                    <w:top w:val="none" w:sz="0" w:space="0" w:color="auto"/>
                    <w:left w:val="none" w:sz="0" w:space="0" w:color="auto"/>
                    <w:bottom w:val="none" w:sz="0" w:space="0" w:color="auto"/>
                    <w:right w:val="none" w:sz="0" w:space="0" w:color="auto"/>
                  </w:divBdr>
                  <w:divsChild>
                    <w:div w:id="1716201848">
                      <w:marLeft w:val="0"/>
                      <w:marRight w:val="0"/>
                      <w:marTop w:val="0"/>
                      <w:marBottom w:val="0"/>
                      <w:divBdr>
                        <w:top w:val="none" w:sz="0" w:space="0" w:color="auto"/>
                        <w:left w:val="none" w:sz="0" w:space="0" w:color="auto"/>
                        <w:bottom w:val="none" w:sz="0" w:space="0" w:color="auto"/>
                        <w:right w:val="none" w:sz="0" w:space="0" w:color="auto"/>
                      </w:divBdr>
                    </w:div>
                    <w:div w:id="139008666">
                      <w:marLeft w:val="0"/>
                      <w:marRight w:val="0"/>
                      <w:marTop w:val="0"/>
                      <w:marBottom w:val="0"/>
                      <w:divBdr>
                        <w:top w:val="none" w:sz="0" w:space="0" w:color="auto"/>
                        <w:left w:val="none" w:sz="0" w:space="0" w:color="auto"/>
                        <w:bottom w:val="none" w:sz="0" w:space="0" w:color="auto"/>
                        <w:right w:val="none" w:sz="0" w:space="0" w:color="auto"/>
                      </w:divBdr>
                      <w:divsChild>
                        <w:div w:id="1649745529">
                          <w:marLeft w:val="0"/>
                          <w:marRight w:val="0"/>
                          <w:marTop w:val="0"/>
                          <w:marBottom w:val="0"/>
                          <w:divBdr>
                            <w:top w:val="none" w:sz="0" w:space="0" w:color="auto"/>
                            <w:left w:val="none" w:sz="0" w:space="0" w:color="auto"/>
                            <w:bottom w:val="none" w:sz="0" w:space="0" w:color="auto"/>
                            <w:right w:val="none" w:sz="0" w:space="0" w:color="auto"/>
                          </w:divBdr>
                        </w:div>
                        <w:div w:id="464083941">
                          <w:marLeft w:val="0"/>
                          <w:marRight w:val="0"/>
                          <w:marTop w:val="0"/>
                          <w:marBottom w:val="0"/>
                          <w:divBdr>
                            <w:top w:val="none" w:sz="0" w:space="0" w:color="auto"/>
                            <w:left w:val="none" w:sz="0" w:space="0" w:color="auto"/>
                            <w:bottom w:val="none" w:sz="0" w:space="0" w:color="auto"/>
                            <w:right w:val="none" w:sz="0" w:space="0" w:color="auto"/>
                          </w:divBdr>
                        </w:div>
                      </w:divsChild>
                    </w:div>
                    <w:div w:id="1890611050">
                      <w:marLeft w:val="0"/>
                      <w:marRight w:val="0"/>
                      <w:marTop w:val="0"/>
                      <w:marBottom w:val="0"/>
                      <w:divBdr>
                        <w:top w:val="none" w:sz="0" w:space="0" w:color="auto"/>
                        <w:left w:val="none" w:sz="0" w:space="0" w:color="auto"/>
                        <w:bottom w:val="none" w:sz="0" w:space="0" w:color="auto"/>
                        <w:right w:val="none" w:sz="0" w:space="0" w:color="auto"/>
                      </w:divBdr>
                      <w:divsChild>
                        <w:div w:id="559050348">
                          <w:marLeft w:val="0"/>
                          <w:marRight w:val="0"/>
                          <w:marTop w:val="0"/>
                          <w:marBottom w:val="0"/>
                          <w:divBdr>
                            <w:top w:val="none" w:sz="0" w:space="0" w:color="auto"/>
                            <w:left w:val="none" w:sz="0" w:space="0" w:color="auto"/>
                            <w:bottom w:val="none" w:sz="0" w:space="0" w:color="auto"/>
                            <w:right w:val="none" w:sz="0" w:space="0" w:color="auto"/>
                          </w:divBdr>
                        </w:div>
                        <w:div w:id="1586305462">
                          <w:marLeft w:val="0"/>
                          <w:marRight w:val="0"/>
                          <w:marTop w:val="0"/>
                          <w:marBottom w:val="0"/>
                          <w:divBdr>
                            <w:top w:val="none" w:sz="0" w:space="0" w:color="auto"/>
                            <w:left w:val="none" w:sz="0" w:space="0" w:color="auto"/>
                            <w:bottom w:val="none" w:sz="0" w:space="0" w:color="auto"/>
                            <w:right w:val="none" w:sz="0" w:space="0" w:color="auto"/>
                          </w:divBdr>
                        </w:div>
                      </w:divsChild>
                    </w:div>
                    <w:div w:id="13391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07179">
      <w:bodyDiv w:val="1"/>
      <w:marLeft w:val="0"/>
      <w:marRight w:val="0"/>
      <w:marTop w:val="0"/>
      <w:marBottom w:val="0"/>
      <w:divBdr>
        <w:top w:val="none" w:sz="0" w:space="0" w:color="auto"/>
        <w:left w:val="none" w:sz="0" w:space="0" w:color="auto"/>
        <w:bottom w:val="none" w:sz="0" w:space="0" w:color="auto"/>
        <w:right w:val="none" w:sz="0" w:space="0" w:color="auto"/>
      </w:divBdr>
      <w:divsChild>
        <w:div w:id="2124223711">
          <w:marLeft w:val="0"/>
          <w:marRight w:val="0"/>
          <w:marTop w:val="0"/>
          <w:marBottom w:val="0"/>
          <w:divBdr>
            <w:top w:val="none" w:sz="0" w:space="0" w:color="auto"/>
            <w:left w:val="none" w:sz="0" w:space="0" w:color="auto"/>
            <w:bottom w:val="none" w:sz="0" w:space="0" w:color="auto"/>
            <w:right w:val="none" w:sz="0" w:space="0" w:color="auto"/>
          </w:divBdr>
          <w:divsChild>
            <w:div w:id="2107265250">
              <w:marLeft w:val="0"/>
              <w:marRight w:val="0"/>
              <w:marTop w:val="0"/>
              <w:marBottom w:val="0"/>
              <w:divBdr>
                <w:top w:val="single" w:sz="2" w:space="0" w:color="FFFFFF"/>
                <w:left w:val="single" w:sz="6" w:space="0" w:color="FFFFFF"/>
                <w:bottom w:val="single" w:sz="6" w:space="0" w:color="FFFFFF"/>
                <w:right w:val="single" w:sz="6" w:space="0" w:color="FFFFFF"/>
              </w:divBdr>
              <w:divsChild>
                <w:div w:id="274749346">
                  <w:marLeft w:val="0"/>
                  <w:marRight w:val="0"/>
                  <w:marTop w:val="0"/>
                  <w:marBottom w:val="0"/>
                  <w:divBdr>
                    <w:top w:val="single" w:sz="6" w:space="1" w:color="D3D3D3"/>
                    <w:left w:val="none" w:sz="0" w:space="0" w:color="auto"/>
                    <w:bottom w:val="none" w:sz="0" w:space="0" w:color="auto"/>
                    <w:right w:val="none" w:sz="0" w:space="0" w:color="auto"/>
                  </w:divBdr>
                  <w:divsChild>
                    <w:div w:id="1903326477">
                      <w:marLeft w:val="0"/>
                      <w:marRight w:val="0"/>
                      <w:marTop w:val="0"/>
                      <w:marBottom w:val="0"/>
                      <w:divBdr>
                        <w:top w:val="none" w:sz="0" w:space="0" w:color="auto"/>
                        <w:left w:val="none" w:sz="0" w:space="0" w:color="auto"/>
                        <w:bottom w:val="none" w:sz="0" w:space="0" w:color="auto"/>
                        <w:right w:val="none" w:sz="0" w:space="0" w:color="auto"/>
                      </w:divBdr>
                      <w:divsChild>
                        <w:div w:id="692341892">
                          <w:marLeft w:val="0"/>
                          <w:marRight w:val="0"/>
                          <w:marTop w:val="0"/>
                          <w:marBottom w:val="0"/>
                          <w:divBdr>
                            <w:top w:val="none" w:sz="0" w:space="0" w:color="auto"/>
                            <w:left w:val="none" w:sz="0" w:space="0" w:color="auto"/>
                            <w:bottom w:val="none" w:sz="0" w:space="0" w:color="auto"/>
                            <w:right w:val="none" w:sz="0" w:space="0" w:color="auto"/>
                          </w:divBdr>
                          <w:divsChild>
                            <w:div w:id="122706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851443">
      <w:bodyDiv w:val="1"/>
      <w:marLeft w:val="0"/>
      <w:marRight w:val="0"/>
      <w:marTop w:val="0"/>
      <w:marBottom w:val="0"/>
      <w:divBdr>
        <w:top w:val="none" w:sz="0" w:space="0" w:color="auto"/>
        <w:left w:val="none" w:sz="0" w:space="0" w:color="auto"/>
        <w:bottom w:val="none" w:sz="0" w:space="0" w:color="auto"/>
        <w:right w:val="none" w:sz="0" w:space="0" w:color="auto"/>
      </w:divBdr>
      <w:divsChild>
        <w:div w:id="2124111353">
          <w:marLeft w:val="1166"/>
          <w:marRight w:val="0"/>
          <w:marTop w:val="154"/>
          <w:marBottom w:val="0"/>
          <w:divBdr>
            <w:top w:val="none" w:sz="0" w:space="0" w:color="auto"/>
            <w:left w:val="none" w:sz="0" w:space="0" w:color="auto"/>
            <w:bottom w:val="none" w:sz="0" w:space="0" w:color="auto"/>
            <w:right w:val="none" w:sz="0" w:space="0" w:color="auto"/>
          </w:divBdr>
        </w:div>
      </w:divsChild>
    </w:div>
    <w:div w:id="2008316905">
      <w:bodyDiv w:val="1"/>
      <w:marLeft w:val="375"/>
      <w:marRight w:val="375"/>
      <w:marTop w:val="75"/>
      <w:marBottom w:val="75"/>
      <w:divBdr>
        <w:top w:val="none" w:sz="0" w:space="0" w:color="auto"/>
        <w:left w:val="none" w:sz="0" w:space="0" w:color="auto"/>
        <w:bottom w:val="none" w:sz="0" w:space="0" w:color="auto"/>
        <w:right w:val="none" w:sz="0" w:space="0" w:color="auto"/>
      </w:divBdr>
      <w:divsChild>
        <w:div w:id="505704252">
          <w:marLeft w:val="0"/>
          <w:marRight w:val="0"/>
          <w:marTop w:val="0"/>
          <w:marBottom w:val="0"/>
          <w:divBdr>
            <w:top w:val="none" w:sz="0" w:space="0" w:color="auto"/>
            <w:left w:val="none" w:sz="0" w:space="0" w:color="auto"/>
            <w:bottom w:val="none" w:sz="0" w:space="0" w:color="auto"/>
            <w:right w:val="none" w:sz="0" w:space="0" w:color="auto"/>
          </w:divBdr>
          <w:divsChild>
            <w:div w:id="970473721">
              <w:marLeft w:val="0"/>
              <w:marRight w:val="0"/>
              <w:marTop w:val="0"/>
              <w:marBottom w:val="0"/>
              <w:divBdr>
                <w:top w:val="none" w:sz="0" w:space="0" w:color="auto"/>
                <w:left w:val="none" w:sz="0" w:space="0" w:color="auto"/>
                <w:bottom w:val="none" w:sz="0" w:space="0" w:color="auto"/>
                <w:right w:val="none" w:sz="0" w:space="0" w:color="auto"/>
              </w:divBdr>
              <w:divsChild>
                <w:div w:id="1336155440">
                  <w:marLeft w:val="0"/>
                  <w:marRight w:val="0"/>
                  <w:marTop w:val="0"/>
                  <w:marBottom w:val="0"/>
                  <w:divBdr>
                    <w:top w:val="none" w:sz="0" w:space="0" w:color="auto"/>
                    <w:left w:val="none" w:sz="0" w:space="0" w:color="auto"/>
                    <w:bottom w:val="none" w:sz="0" w:space="0" w:color="auto"/>
                    <w:right w:val="none" w:sz="0" w:space="0" w:color="auto"/>
                  </w:divBdr>
                  <w:divsChild>
                    <w:div w:id="1529564658">
                      <w:marLeft w:val="0"/>
                      <w:marRight w:val="0"/>
                      <w:marTop w:val="0"/>
                      <w:marBottom w:val="0"/>
                      <w:divBdr>
                        <w:top w:val="none" w:sz="0" w:space="0" w:color="auto"/>
                        <w:left w:val="none" w:sz="0" w:space="0" w:color="auto"/>
                        <w:bottom w:val="none" w:sz="0" w:space="0" w:color="auto"/>
                        <w:right w:val="none" w:sz="0" w:space="0" w:color="auto"/>
                      </w:divBdr>
                      <w:divsChild>
                        <w:div w:id="754135047">
                          <w:marLeft w:val="0"/>
                          <w:marRight w:val="0"/>
                          <w:marTop w:val="0"/>
                          <w:marBottom w:val="0"/>
                          <w:divBdr>
                            <w:top w:val="none" w:sz="0" w:space="0" w:color="auto"/>
                            <w:left w:val="none" w:sz="0" w:space="0" w:color="auto"/>
                            <w:bottom w:val="none" w:sz="0" w:space="0" w:color="auto"/>
                            <w:right w:val="none" w:sz="0" w:space="0" w:color="auto"/>
                          </w:divBdr>
                        </w:div>
                        <w:div w:id="3032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650306">
      <w:bodyDiv w:val="1"/>
      <w:marLeft w:val="0"/>
      <w:marRight w:val="0"/>
      <w:marTop w:val="0"/>
      <w:marBottom w:val="0"/>
      <w:divBdr>
        <w:top w:val="none" w:sz="0" w:space="0" w:color="auto"/>
        <w:left w:val="none" w:sz="0" w:space="0" w:color="auto"/>
        <w:bottom w:val="none" w:sz="0" w:space="0" w:color="auto"/>
        <w:right w:val="none" w:sz="0" w:space="0" w:color="auto"/>
      </w:divBdr>
      <w:divsChild>
        <w:div w:id="292829078">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westlaw.co.uk/maf/wluk/app/document?src=doc&amp;linktype=ref&amp;context=29&amp;crumb-action=replace&amp;docguid=I94F96832734E11DEBE95E3840287A71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content.met.police.uk/News/Man-jailed-for-30-years-for-terrorism-offences/1260268719101/1257246745756" TargetMode="External"/><Relationship Id="rId3" Type="http://schemas.openxmlformats.org/officeDocument/2006/relationships/hyperlink" Target="http://www.un.org/esa/ffd/themes/g7-10.htm" TargetMode="External"/><Relationship Id="rId7" Type="http://schemas.openxmlformats.org/officeDocument/2006/relationships/hyperlink" Target="http://news.bbc.co.uk/1/hi/uk/7265704.stm" TargetMode="External"/><Relationship Id="rId2" Type="http://schemas.openxmlformats.org/officeDocument/2006/relationships/hyperlink" Target="http://2001-2009.state.gov/s/ct/rls/rm/2001/5041.htm" TargetMode="External"/><Relationship Id="rId1" Type="http://schemas.openxmlformats.org/officeDocument/2006/relationships/hyperlink" Target="https://treaties.un.org/Pages/ViewDetails.aspx?src=IND&amp;mtdsg_no=XVIII-11&amp;chapter=18&amp;lang=en" TargetMode="External"/><Relationship Id="rId6" Type="http://schemas.openxmlformats.org/officeDocument/2006/relationships/hyperlink" Target="http://www.theguardian.com/uk/2003/apr/01/terrorism.alqaida" TargetMode="External"/><Relationship Id="rId5" Type="http://schemas.openxmlformats.org/officeDocument/2006/relationships/hyperlink" Target="https://www.gov.uk/government/publications/counter-terrorist-finance-strategy" TargetMode="External"/><Relationship Id="rId4" Type="http://schemas.openxmlformats.org/officeDocument/2006/relationships/hyperlink" Target="http://www.fatf-gafi.org/topics/fatfrecommendations/documents/fatfstepsupthefightagainstmoneylaunderingandterroristfinanc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2D5CB-0CFC-4703-B4E1-82F6F8D5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TotalTime>
  <Pages>29</Pages>
  <Words>6799</Words>
  <Characters>38758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Ryder</dc:creator>
  <cp:lastModifiedBy>Nicholas Ryder</cp:lastModifiedBy>
  <cp:revision>37</cp:revision>
  <dcterms:created xsi:type="dcterms:W3CDTF">2015-11-05T11:22:00Z</dcterms:created>
  <dcterms:modified xsi:type="dcterms:W3CDTF">2016-02-01T14:01:00Z</dcterms:modified>
</cp:coreProperties>
</file>