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5DDF" w14:textId="77777777" w:rsidR="0014545B" w:rsidRPr="006A408E" w:rsidRDefault="00F52C58" w:rsidP="006A408E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Responsible lending and high-cost credit - does</w:t>
      </w:r>
      <w:r w:rsidR="006A408E" w:rsidRPr="006A408E">
        <w:rPr>
          <w:u w:val="single"/>
        </w:rPr>
        <w:t xml:space="preserve"> the cost-cap on payday loans really protect consumers?</w:t>
      </w:r>
    </w:p>
    <w:p w14:paraId="2CBD1472" w14:textId="77777777" w:rsidR="006A408E" w:rsidRDefault="006A408E"/>
    <w:p w14:paraId="6CC62A7C" w14:textId="6837656E" w:rsidR="006A408E" w:rsidRPr="00E635A4" w:rsidRDefault="006A408E" w:rsidP="006A408E">
      <w:pPr>
        <w:jc w:val="center"/>
      </w:pPr>
      <w:r>
        <w:rPr>
          <w:i/>
        </w:rPr>
        <w:t>Daniel Jasinsk</w:t>
      </w:r>
      <w:r w:rsidRPr="00E635A4">
        <w:rPr>
          <w:i/>
        </w:rPr>
        <w:t>i</w:t>
      </w:r>
      <w:r w:rsidR="00E635A4" w:rsidRPr="00E635A4">
        <w:rPr>
          <w:rStyle w:val="FootnoteReference"/>
        </w:rPr>
        <w:footnoteReference w:id="1"/>
      </w:r>
    </w:p>
    <w:p w14:paraId="0958C56B" w14:textId="77777777" w:rsidR="00D83833" w:rsidRDefault="00D83833" w:rsidP="00981464">
      <w:pPr>
        <w:spacing w:line="480" w:lineRule="auto"/>
        <w:rPr>
          <w:i/>
        </w:rPr>
      </w:pPr>
    </w:p>
    <w:p w14:paraId="2D9A62C7" w14:textId="32A5710B" w:rsidR="00210DAF" w:rsidRDefault="006A408E" w:rsidP="00981464">
      <w:pPr>
        <w:spacing w:line="480" w:lineRule="auto"/>
      </w:pPr>
      <w:r>
        <w:t>In 2015 the Financial Conduct Authority</w:t>
      </w:r>
      <w:r w:rsidR="005F3092">
        <w:t xml:space="preserve"> (FCA)</w:t>
      </w:r>
      <w:r>
        <w:t xml:space="preserve"> introduced a </w:t>
      </w:r>
      <w:r w:rsidR="00D83833">
        <w:t>price</w:t>
      </w:r>
      <w:r>
        <w:t xml:space="preserve"> cap on payday loans.</w:t>
      </w:r>
      <w:r w:rsidR="00F52C58">
        <w:rPr>
          <w:rStyle w:val="FootnoteReference"/>
        </w:rPr>
        <w:footnoteReference w:id="2"/>
      </w:r>
      <w:r>
        <w:t xml:space="preserve"> The success of </w:t>
      </w:r>
      <w:r w:rsidR="00D83833">
        <w:t>the cap</w:t>
      </w:r>
      <w:r w:rsidR="00AC3CDF">
        <w:t xml:space="preserve"> has been heralded</w:t>
      </w:r>
      <w:r>
        <w:t xml:space="preserve"> in t</w:t>
      </w:r>
      <w:r w:rsidR="00AF6FBF">
        <w:t xml:space="preserve">he sense that the number payday loan customers who </w:t>
      </w:r>
      <w:r w:rsidR="00760ABE">
        <w:t xml:space="preserve">have </w:t>
      </w:r>
      <w:r w:rsidR="00AF6FBF">
        <w:t>experience</w:t>
      </w:r>
      <w:r w:rsidR="00760ABE">
        <w:t>d</w:t>
      </w:r>
      <w:r w:rsidR="00AF6FBF">
        <w:t xml:space="preserve"> difficulty </w:t>
      </w:r>
      <w:r>
        <w:t>appear to have</w:t>
      </w:r>
      <w:r w:rsidR="005F3092">
        <w:t xml:space="preserve"> reduced substantially</w:t>
      </w:r>
      <w:r w:rsidR="00760ABE">
        <w:t>.  C</w:t>
      </w:r>
      <w:r w:rsidR="009D504A">
        <w:t xml:space="preserve">ommentators </w:t>
      </w:r>
      <w:r w:rsidR="00760ABE">
        <w:t xml:space="preserve">have </w:t>
      </w:r>
      <w:r w:rsidR="009D504A">
        <w:t>suggest</w:t>
      </w:r>
      <w:r w:rsidR="00760ABE">
        <w:t>ed</w:t>
      </w:r>
      <w:r w:rsidR="009D504A">
        <w:t xml:space="preserve"> that the har</w:t>
      </w:r>
      <w:r w:rsidR="0061185E">
        <w:t>d-</w:t>
      </w:r>
      <w:r w:rsidR="009D504A">
        <w:t xml:space="preserve">line taken by the </w:t>
      </w:r>
      <w:r w:rsidR="00760ABE">
        <w:t xml:space="preserve">FCA </w:t>
      </w:r>
      <w:r w:rsidR="009D504A">
        <w:t>has i</w:t>
      </w:r>
      <w:r w:rsidR="0061185E">
        <w:t>mproved consumer protection</w:t>
      </w:r>
      <w:r w:rsidR="005F3092">
        <w:t>, in addition to</w:t>
      </w:r>
      <w:r w:rsidR="0061185E">
        <w:t xml:space="preserve"> significantly</w:t>
      </w:r>
      <w:r>
        <w:t xml:space="preserve"> </w:t>
      </w:r>
      <w:r w:rsidR="005F3092">
        <w:t>curtailing</w:t>
      </w:r>
      <w:r w:rsidR="0061185E">
        <w:t xml:space="preserve"> the ability of unscrupulous lenders to lend money to the financially vulnerable.</w:t>
      </w:r>
      <w:r w:rsidR="0061185E">
        <w:rPr>
          <w:rStyle w:val="FootnoteReference"/>
        </w:rPr>
        <w:footnoteReference w:id="3"/>
      </w:r>
      <w:r w:rsidR="00FA71C7">
        <w:t xml:space="preserve"> Indeed Arora notes, albeit more </w:t>
      </w:r>
      <w:r w:rsidR="00CF28DD">
        <w:t>generally</w:t>
      </w:r>
      <w:r w:rsidR="00FA71C7">
        <w:t xml:space="preserve">, that ‘[t]he FCA’s approach to the regulation and supervision of </w:t>
      </w:r>
      <w:r w:rsidR="00D83833">
        <w:t>[payday lenders]</w:t>
      </w:r>
      <w:r w:rsidR="0014545B">
        <w:t xml:space="preserve"> has</w:t>
      </w:r>
      <w:r w:rsidR="00FA71C7">
        <w:t xml:space="preserve"> created better</w:t>
      </w:r>
      <w:r w:rsidR="00CA7D0F">
        <w:t xml:space="preserve"> borrowing conditions and terms for protecting the payday customer'</w:t>
      </w:r>
      <w:r w:rsidR="00210DAF">
        <w:t>.</w:t>
      </w:r>
      <w:r w:rsidR="00CA7D0F">
        <w:rPr>
          <w:rStyle w:val="FootnoteReference"/>
        </w:rPr>
        <w:footnoteReference w:id="4"/>
      </w:r>
      <w:r w:rsidR="0072507E">
        <w:t xml:space="preserve"> Moreover, the Citizens' Advice </w:t>
      </w:r>
      <w:r w:rsidR="00760ABE">
        <w:t>Bureau</w:t>
      </w:r>
      <w:r w:rsidR="0072507E">
        <w:t xml:space="preserve"> </w:t>
      </w:r>
      <w:r w:rsidR="005F3092">
        <w:t>note</w:t>
      </w:r>
      <w:r w:rsidR="00760ABE">
        <w:t>d</w:t>
      </w:r>
      <w:r w:rsidR="0072507E">
        <w:t xml:space="preserve"> that</w:t>
      </w:r>
      <w:r w:rsidR="00A67802">
        <w:t xml:space="preserve"> 38% of firms that existed in the market in 2013, had exited by March 2016, a fact which it argues, may have reduced irresponsible lending practices. </w:t>
      </w:r>
      <w:r w:rsidR="00210DAF">
        <w:t>Th</w:t>
      </w:r>
      <w:r w:rsidR="00760ABE">
        <w:t>e</w:t>
      </w:r>
      <w:r w:rsidR="00210DAF">
        <w:t xml:space="preserve"> article examine</w:t>
      </w:r>
      <w:r w:rsidR="00760ABE">
        <w:t>s</w:t>
      </w:r>
      <w:r w:rsidR="00210DAF">
        <w:t xml:space="preserve"> whether the </w:t>
      </w:r>
      <w:r w:rsidR="00D83833">
        <w:lastRenderedPageBreak/>
        <w:t>price</w:t>
      </w:r>
      <w:r w:rsidR="00210DAF">
        <w:t xml:space="preserve"> cap goes far enough </w:t>
      </w:r>
      <w:r w:rsidR="00CF28DD">
        <w:t xml:space="preserve">to </w:t>
      </w:r>
      <w:r w:rsidR="00210DAF">
        <w:t xml:space="preserve">ensure that </w:t>
      </w:r>
      <w:r w:rsidR="00CF28DD">
        <w:t>payday lend</w:t>
      </w:r>
      <w:r w:rsidR="00D83833">
        <w:t>ers are lending</w:t>
      </w:r>
      <w:r w:rsidR="00CF28DD">
        <w:t xml:space="preserve"> responsi</w:t>
      </w:r>
      <w:r w:rsidR="00D83833">
        <w:t xml:space="preserve">bly, in addition to impact of the price cap on the </w:t>
      </w:r>
      <w:r w:rsidR="00CF28DD">
        <w:t>consumer protection environment</w:t>
      </w:r>
      <w:r w:rsidR="006D7F90">
        <w:t xml:space="preserve"> of the consumer credit market</w:t>
      </w:r>
      <w:r w:rsidR="00D83833">
        <w:t xml:space="preserve">.  </w:t>
      </w:r>
    </w:p>
    <w:p w14:paraId="16CC3C05" w14:textId="77F8A02D" w:rsidR="00A67802" w:rsidRDefault="00A67802" w:rsidP="00981464">
      <w:pPr>
        <w:spacing w:line="480" w:lineRule="auto"/>
        <w:rPr>
          <w:u w:val="single"/>
        </w:rPr>
      </w:pPr>
    </w:p>
    <w:p w14:paraId="1825C96C" w14:textId="7CACFD70" w:rsidR="005F3092" w:rsidRDefault="005F3092" w:rsidP="00981464">
      <w:pPr>
        <w:spacing w:line="480" w:lineRule="auto"/>
        <w:rPr>
          <w:u w:val="single"/>
        </w:rPr>
      </w:pPr>
    </w:p>
    <w:p w14:paraId="13839D4A" w14:textId="3B35CD11" w:rsidR="005F3092" w:rsidRDefault="005F3092" w:rsidP="00981464">
      <w:pPr>
        <w:spacing w:line="480" w:lineRule="auto"/>
        <w:rPr>
          <w:u w:val="single"/>
        </w:rPr>
      </w:pPr>
    </w:p>
    <w:p w14:paraId="1A08CCF6" w14:textId="77777777" w:rsidR="005F3092" w:rsidRDefault="005F3092" w:rsidP="00981464">
      <w:pPr>
        <w:spacing w:line="480" w:lineRule="auto"/>
        <w:rPr>
          <w:u w:val="single"/>
        </w:rPr>
      </w:pPr>
    </w:p>
    <w:p w14:paraId="3427497C" w14:textId="77777777" w:rsidR="00D83833" w:rsidRDefault="00110442" w:rsidP="00981464">
      <w:pPr>
        <w:spacing w:line="480" w:lineRule="auto"/>
        <w:rPr>
          <w:u w:val="single"/>
        </w:rPr>
      </w:pPr>
      <w:r>
        <w:rPr>
          <w:u w:val="single"/>
        </w:rPr>
        <w:t>Payday Loans - the cost cap</w:t>
      </w:r>
    </w:p>
    <w:p w14:paraId="0D91FBE4" w14:textId="07E6AA98" w:rsidR="00C36E91" w:rsidRPr="005F3092" w:rsidRDefault="00210DAF" w:rsidP="00981464">
      <w:pPr>
        <w:spacing w:line="480" w:lineRule="auto"/>
        <w:rPr>
          <w:u w:val="single"/>
        </w:rPr>
      </w:pPr>
      <w:r>
        <w:t xml:space="preserve">A payday loan </w:t>
      </w:r>
      <w:r w:rsidR="00760ABE">
        <w:t xml:space="preserve">is a </w:t>
      </w:r>
      <w:r w:rsidR="00AF4A12">
        <w:t>convenient</w:t>
      </w:r>
      <w:r w:rsidR="00760ABE">
        <w:t xml:space="preserve"> loan</w:t>
      </w:r>
      <w:r w:rsidR="00AF4A12">
        <w:t xml:space="preserve">, </w:t>
      </w:r>
      <w:r w:rsidR="00AF6FBF">
        <w:t>short-term credit product, which can be used to meet the emergency funding requirements of a consumer</w:t>
      </w:r>
      <w:r w:rsidR="00AF4A12">
        <w:t>.</w:t>
      </w:r>
      <w:r w:rsidR="00AF6FBF">
        <w:t xml:space="preserve"> </w:t>
      </w:r>
      <w:r w:rsidR="00B7472A">
        <w:t xml:space="preserve"> </w:t>
      </w:r>
      <w:r w:rsidR="007D7BF2">
        <w:t xml:space="preserve">However, it </w:t>
      </w:r>
      <w:r w:rsidR="00AC3CDF">
        <w:t xml:space="preserve">soon </w:t>
      </w:r>
      <w:r w:rsidR="007D7BF2">
        <w:t>became</w:t>
      </w:r>
      <w:r w:rsidR="00B7472A">
        <w:t xml:space="preserve"> clear that payday loan</w:t>
      </w:r>
      <w:r w:rsidR="00AC3CDF">
        <w:t>s</w:t>
      </w:r>
      <w:r w:rsidR="00B7472A">
        <w:t xml:space="preserve"> became a source of funding that was used to mee</w:t>
      </w:r>
      <w:r w:rsidR="00CB1A7F">
        <w:t>t the everyday living costs of</w:t>
      </w:r>
      <w:r w:rsidR="00B7472A">
        <w:t xml:space="preserve"> low-income</w:t>
      </w:r>
      <w:r w:rsidR="00760ABE">
        <w:t xml:space="preserve"> and </w:t>
      </w:r>
      <w:r w:rsidR="00B7472A">
        <w:t>high-risk consumer</w:t>
      </w:r>
      <w:r w:rsidR="00CB1A7F">
        <w:t>s</w:t>
      </w:r>
      <w:r w:rsidR="00760ABE">
        <w:t xml:space="preserve">.  These loans </w:t>
      </w:r>
      <w:r w:rsidR="007D7BF2">
        <w:t>were provided to con</w:t>
      </w:r>
      <w:r w:rsidR="007D7BF2">
        <w:lastRenderedPageBreak/>
        <w:t>sumer</w:t>
      </w:r>
      <w:r w:rsidR="00730B23">
        <w:t>s who could not afford to meet the redemption requirements at the end of their loan term; leading to late repayment penalties, rollover charges and a dramatic increase in the interest payable on a loan.</w:t>
      </w:r>
      <w:r w:rsidR="0047703F">
        <w:rPr>
          <w:rStyle w:val="FootnoteReference"/>
        </w:rPr>
        <w:footnoteReference w:id="5"/>
      </w:r>
      <w:r w:rsidR="00CB1A7F">
        <w:t xml:space="preserve"> The regulation of payday lending was entrusted to the FCA on 1st April 2014</w:t>
      </w:r>
      <w:r w:rsidR="00732633">
        <w:t>.</w:t>
      </w:r>
      <w:r w:rsidR="00CB1A7F">
        <w:rPr>
          <w:rStyle w:val="FootnoteReference"/>
        </w:rPr>
        <w:footnoteReference w:id="6"/>
      </w:r>
      <w:r w:rsidR="00214452">
        <w:t xml:space="preserve"> </w:t>
      </w:r>
      <w:r w:rsidR="00732633">
        <w:t>The</w:t>
      </w:r>
      <w:r w:rsidR="00214452">
        <w:t xml:space="preserve"> FCA immediately</w:t>
      </w:r>
      <w:r w:rsidR="00CB1A7F">
        <w:t xml:space="preserve"> placed a great</w:t>
      </w:r>
      <w:r w:rsidR="00760ABE">
        <w:t>er</w:t>
      </w:r>
      <w:r w:rsidR="00CB1A7F">
        <w:t xml:space="preserve"> emphasis on the cost of loans being </w:t>
      </w:r>
      <w:r w:rsidR="00732633">
        <w:t>causative</w:t>
      </w:r>
      <w:r w:rsidR="00CB1A7F">
        <w:t xml:space="preserve"> of issue</w:t>
      </w:r>
      <w:r w:rsidR="00214452">
        <w:t>s faced by consumers of the market</w:t>
      </w:r>
      <w:r w:rsidR="00CB1A7F">
        <w:t>, focussing on the high compound interest rates and default charges that were prominent in the payday lending market</w:t>
      </w:r>
      <w:r w:rsidR="00A67802">
        <w:t xml:space="preserve">, a matter </w:t>
      </w:r>
      <w:r w:rsidR="00732633">
        <w:t>evidenced by the fact that the first non-firm specific regulatory action specific to the payday lending market</w:t>
      </w:r>
      <w:r w:rsidR="00A67802">
        <w:t xml:space="preserve"> by the FCA, </w:t>
      </w:r>
      <w:r w:rsidR="00732633">
        <w:t>being the introduction of a product price cap.</w:t>
      </w:r>
    </w:p>
    <w:p w14:paraId="7E7A2CC9" w14:textId="7E513CAF" w:rsidR="00210DAF" w:rsidRDefault="00110442" w:rsidP="00981464">
      <w:pPr>
        <w:spacing w:line="480" w:lineRule="auto"/>
      </w:pPr>
      <w:r>
        <w:t xml:space="preserve">The </w:t>
      </w:r>
      <w:r w:rsidR="00732633">
        <w:t xml:space="preserve">cap </w:t>
      </w:r>
      <w:r>
        <w:t>i</w:t>
      </w:r>
      <w:r w:rsidR="00732633">
        <w:t xml:space="preserve">mposed by the FCA consists of three key component parts: </w:t>
      </w:r>
    </w:p>
    <w:p w14:paraId="30151B73" w14:textId="77777777" w:rsidR="00110442" w:rsidRDefault="00110442" w:rsidP="00110442">
      <w:pPr>
        <w:spacing w:line="480" w:lineRule="auto"/>
        <w:ind w:left="720"/>
      </w:pPr>
      <w:r>
        <w:t xml:space="preserve">(a) </w:t>
      </w:r>
      <w:r w:rsidR="00CE1458">
        <w:t>The total amount a borrower could be required to repay in respect of interest and charges/fees shall not exceed or be capable of exceeding the amount borrowed;</w:t>
      </w:r>
      <w:r w:rsidR="00CE1458">
        <w:rPr>
          <w:rStyle w:val="FootnoteReference"/>
        </w:rPr>
        <w:footnoteReference w:id="7"/>
      </w:r>
      <w:r w:rsidR="00CE1458">
        <w:t xml:space="preserve"> </w:t>
      </w:r>
    </w:p>
    <w:p w14:paraId="34CACB24" w14:textId="77777777" w:rsidR="00110442" w:rsidRDefault="00110442" w:rsidP="00110442">
      <w:pPr>
        <w:spacing w:line="480" w:lineRule="auto"/>
        <w:ind w:left="720"/>
      </w:pPr>
      <w:r>
        <w:t xml:space="preserve">(b) </w:t>
      </w:r>
      <w:r w:rsidR="00CE1458">
        <w:t>The daily interest charged on a payday loan should not be more than 0.8% of the amount borrowed;</w:t>
      </w:r>
      <w:r w:rsidR="00CE1458">
        <w:rPr>
          <w:rStyle w:val="FootnoteReference"/>
        </w:rPr>
        <w:footnoteReference w:id="8"/>
      </w:r>
      <w:r>
        <w:t>and</w:t>
      </w:r>
    </w:p>
    <w:p w14:paraId="62DFFF0A" w14:textId="77777777" w:rsidR="00110442" w:rsidRDefault="00110442" w:rsidP="00110442">
      <w:pPr>
        <w:spacing w:line="480" w:lineRule="auto"/>
        <w:ind w:left="720"/>
      </w:pPr>
      <w:r>
        <w:lastRenderedPageBreak/>
        <w:t>(c) default fees should not exceed £15.</w:t>
      </w:r>
      <w:r>
        <w:rPr>
          <w:rStyle w:val="FootnoteReference"/>
        </w:rPr>
        <w:footnoteReference w:id="9"/>
      </w:r>
    </w:p>
    <w:p w14:paraId="02E5CD8B" w14:textId="30FCA430" w:rsidR="00C36E91" w:rsidRPr="005F3092" w:rsidRDefault="00110442" w:rsidP="00110442">
      <w:pPr>
        <w:spacing w:line="480" w:lineRule="auto"/>
      </w:pPr>
      <w:r>
        <w:t>It is of no doubt that</w:t>
      </w:r>
      <w:r w:rsidR="00416A83">
        <w:t xml:space="preserve"> some</w:t>
      </w:r>
      <w:r>
        <w:t xml:space="preserve"> </w:t>
      </w:r>
      <w:r w:rsidR="007B49CE">
        <w:t xml:space="preserve">consumers who continue to avail themselves of the payday loan offering will be noticeably better protected, not least due the fact that the risk of their exposure to </w:t>
      </w:r>
      <w:r w:rsidR="00A67802">
        <w:t>a</w:t>
      </w:r>
      <w:r w:rsidR="007B49CE">
        <w:t xml:space="preserve"> debt</w:t>
      </w:r>
      <w:r w:rsidR="00A67802">
        <w:t xml:space="preserve"> product with the potential to spiral </w:t>
      </w:r>
      <w:r w:rsidR="007B49CE">
        <w:t xml:space="preserve">of control </w:t>
      </w:r>
      <w:r w:rsidR="00A67802">
        <w:t>being</w:t>
      </w:r>
      <w:r w:rsidR="007B49CE">
        <w:t xml:space="preserve"> reduced.</w:t>
      </w:r>
      <w:r w:rsidR="00CF28DD">
        <w:t xml:space="preserve"> </w:t>
      </w:r>
      <w:r w:rsidR="00C53E3E">
        <w:t xml:space="preserve"> That said </w:t>
      </w:r>
      <w:r w:rsidR="00D83833">
        <w:t>it is clear that</w:t>
      </w:r>
      <w:r w:rsidR="00416A83">
        <w:t>,</w:t>
      </w:r>
      <w:r w:rsidR="00C53E3E">
        <w:t xml:space="preserve"> in the context of affordability,</w:t>
      </w:r>
      <w:r w:rsidR="00D83833">
        <w:t xml:space="preserve"> capping the cost of payday loan simply provides an objective line in the sand</w:t>
      </w:r>
      <w:r w:rsidR="00C53E3E">
        <w:t>,</w:t>
      </w:r>
      <w:r w:rsidR="00D83833">
        <w:t xml:space="preserve"> as </w:t>
      </w:r>
      <w:r w:rsidR="00C53E3E">
        <w:t>opposed to a mechanism for ensuring that money is responsi</w:t>
      </w:r>
      <w:r w:rsidR="00F06D50">
        <w:t>bly lent to vulnerable consumer in an affordable manner</w:t>
      </w:r>
      <w:r w:rsidR="00C53E3E">
        <w:t>. Therefore, this</w:t>
      </w:r>
      <w:r w:rsidR="00416A83">
        <w:t xml:space="preserve"> article will now consider responsible lending in the context o</w:t>
      </w:r>
      <w:r w:rsidR="00C36E91">
        <w:t>f the price cap on payday loans.</w:t>
      </w:r>
    </w:p>
    <w:p w14:paraId="25FB1D59" w14:textId="45F92AA5" w:rsidR="00C36E91" w:rsidRDefault="00C53E3E" w:rsidP="00110442">
      <w:pPr>
        <w:spacing w:line="480" w:lineRule="auto"/>
        <w:rPr>
          <w:u w:val="single"/>
        </w:rPr>
      </w:pPr>
      <w:r>
        <w:rPr>
          <w:u w:val="single"/>
        </w:rPr>
        <w:t>Payday loans and responsible lending - a paradoxical proposition?</w:t>
      </w:r>
    </w:p>
    <w:p w14:paraId="41167C3B" w14:textId="0F545AE5" w:rsidR="0072507E" w:rsidRPr="00C36E91" w:rsidRDefault="001342A9" w:rsidP="00110442">
      <w:pPr>
        <w:spacing w:line="480" w:lineRule="auto"/>
        <w:rPr>
          <w:u w:val="single"/>
        </w:rPr>
      </w:pPr>
      <w:r>
        <w:t>Whilst the Office of Fair Trading</w:t>
      </w:r>
      <w:r w:rsidR="005F3092">
        <w:t xml:space="preserve"> (OFT)</w:t>
      </w:r>
      <w:r>
        <w:t xml:space="preserve"> has been heavily criticised for the effectiveness of its regulation of the consumer credit market,</w:t>
      </w:r>
      <w:r>
        <w:rPr>
          <w:rStyle w:val="FootnoteReference"/>
        </w:rPr>
        <w:footnoteReference w:id="10"/>
      </w:r>
      <w:r>
        <w:t xml:space="preserve"> </w:t>
      </w:r>
      <w:r w:rsidR="00E72F64">
        <w:t xml:space="preserve">credit should be afforded to its recognition of the systemic failure of payday loan providers to </w:t>
      </w:r>
      <w:r w:rsidR="00E72F64">
        <w:lastRenderedPageBreak/>
        <w:t>adhere to responsible lending practices.</w:t>
      </w:r>
      <w:r w:rsidR="00E72F64">
        <w:rPr>
          <w:rStyle w:val="FootnoteReference"/>
        </w:rPr>
        <w:footnoteReference w:id="11"/>
      </w:r>
      <w:r w:rsidR="00E72F64">
        <w:t xml:space="preserve">  Indeed, a</w:t>
      </w:r>
      <w:r w:rsidR="00C53E3E">
        <w:t>s noted above, a key characteristic of payday lending is convenience - the ability to obtain funds q</w:t>
      </w:r>
      <w:r w:rsidR="00AB0F17">
        <w:t>uickly and easily i</w:t>
      </w:r>
      <w:r w:rsidR="00C53E3E">
        <w:t>n</w:t>
      </w:r>
      <w:r w:rsidR="00AC3CDF">
        <w:t xml:space="preserve"> order to deal with emergencies. Thus,</w:t>
      </w:r>
      <w:r w:rsidR="00416A83">
        <w:t xml:space="preserve"> it is often the case that</w:t>
      </w:r>
      <w:r w:rsidR="00AC3CDF">
        <w:t xml:space="preserve"> only limited information is requested from borrowers in order to ascertain the affordability of a payday loan.</w:t>
      </w:r>
      <w:r w:rsidR="00C53E3E">
        <w:t xml:space="preserve"> </w:t>
      </w:r>
      <w:r w:rsidR="00AC3CDF">
        <w:t xml:space="preserve">As a result, the price cap </w:t>
      </w:r>
      <w:r w:rsidR="008303CE">
        <w:t>do</w:t>
      </w:r>
      <w:r w:rsidR="00F06D50">
        <w:t>es</w:t>
      </w:r>
      <w:r w:rsidR="008303CE">
        <w:t xml:space="preserve"> little to prevent payday loans being granted to consumers who cannot afford to repay them</w:t>
      </w:r>
      <w:r w:rsidR="00F06D50">
        <w:t>, even where this affordability gap is clear at the application stage</w:t>
      </w:r>
      <w:r w:rsidR="008303CE">
        <w:t>. Indeed, the Financial Ombudsman Service cites a case whereby the amount</w:t>
      </w:r>
      <w:r w:rsidR="00416A83">
        <w:t xml:space="preserve"> advanced to a borrower exceeded their monthly earnings</w:t>
      </w:r>
      <w:r w:rsidR="002E2CF2">
        <w:t>,</w:t>
      </w:r>
      <w:r w:rsidR="008303CE">
        <w:rPr>
          <w:rStyle w:val="FootnoteReference"/>
        </w:rPr>
        <w:footnoteReference w:id="12"/>
      </w:r>
      <w:r w:rsidR="002E2CF2">
        <w:t xml:space="preserve"> a matter which arguably undermines the very nature of a payday loan.</w:t>
      </w:r>
      <w:r w:rsidR="008303CE">
        <w:t xml:space="preserve"> </w:t>
      </w:r>
      <w:r w:rsidR="002E2CF2">
        <w:t xml:space="preserve"> Moreover, in the aforementioned</w:t>
      </w:r>
      <w:r w:rsidR="00E72F64">
        <w:t xml:space="preserve"> case, the creditor presented the debtor </w:t>
      </w:r>
      <w:r w:rsidR="002E2CF2">
        <w:t>with the opportunity to declare their monthly earnings, and the debtor did so accurately - yet the creditor still proceeded to lend the debtor more than their monthly earnings.</w:t>
      </w:r>
      <w:r w:rsidR="002E2CF2">
        <w:rPr>
          <w:rStyle w:val="FootnoteReference"/>
        </w:rPr>
        <w:footnoteReference w:id="13"/>
      </w:r>
      <w:r w:rsidR="002E2CF2">
        <w:t xml:space="preserve">  </w:t>
      </w:r>
    </w:p>
    <w:p w14:paraId="162CDD8A" w14:textId="77777777" w:rsidR="00002B43" w:rsidRDefault="00002B43" w:rsidP="00110442">
      <w:pPr>
        <w:spacing w:line="480" w:lineRule="auto"/>
      </w:pPr>
    </w:p>
    <w:p w14:paraId="16A8C717" w14:textId="69FE611F" w:rsidR="00D83833" w:rsidRDefault="002E2CF2" w:rsidP="00110442">
      <w:pPr>
        <w:spacing w:line="480" w:lineRule="auto"/>
      </w:pPr>
      <w:r>
        <w:t>This is clear evidence that, even in an environment where a credit product is heavily regulated, the absence of a stringent responsible lending regime based on thorough affordability assessments</w:t>
      </w:r>
      <w:r w:rsidR="00F06D50">
        <w:t>,</w:t>
      </w:r>
      <w:r>
        <w:t xml:space="preserve"> </w:t>
      </w:r>
      <w:r w:rsidR="00647969">
        <w:t xml:space="preserve">will not prevent unaffordable loans </w:t>
      </w:r>
      <w:r w:rsidR="00647969">
        <w:lastRenderedPageBreak/>
        <w:t xml:space="preserve">being granted. In fact, it is noteworthy that the OFT identified that proper consideration of a borrowers </w:t>
      </w:r>
      <w:r w:rsidR="00AB0F17">
        <w:t>financial circumstances would impede a creditors ability to compete in the fact-paced, convenience focussed payday loans market.</w:t>
      </w:r>
      <w:r w:rsidR="00AB0F17">
        <w:rPr>
          <w:rStyle w:val="FootnoteReference"/>
        </w:rPr>
        <w:footnoteReference w:id="14"/>
      </w:r>
      <w:r w:rsidR="00AB0F17">
        <w:t xml:space="preserve"> This highlights that the existence of a payday lending market gives rise to a need for </w:t>
      </w:r>
      <w:r w:rsidR="00251687">
        <w:t xml:space="preserve">the Regulator to acquiesce to the fact that some aspects of the market will be lacking in the context of responsible lending. That </w:t>
      </w:r>
      <w:r w:rsidR="00F06D50">
        <w:t xml:space="preserve">being </w:t>
      </w:r>
      <w:r w:rsidR="00251687">
        <w:t>said, the FCA will shortly issue a Policy Statement on assessing creditworthiness in consumer credit, which may have a significant impact on the futu</w:t>
      </w:r>
      <w:r w:rsidR="0072507E">
        <w:t>re of the payday lending market and access to credit for the quintessential payday loan borrower. Therefore, the impact of the cost cap and the reduced</w:t>
      </w:r>
      <w:r w:rsidR="00306816">
        <w:t xml:space="preserve"> availability</w:t>
      </w:r>
      <w:r w:rsidR="0072507E">
        <w:t xml:space="preserve"> of payday loans will now be considered in the context of access to credit.   </w:t>
      </w:r>
      <w:r w:rsidR="00251687">
        <w:t xml:space="preserve">   </w:t>
      </w:r>
    </w:p>
    <w:p w14:paraId="63EA8728" w14:textId="2E5473A7" w:rsidR="0072507E" w:rsidRPr="0072507E" w:rsidRDefault="0072507E" w:rsidP="00110442">
      <w:pPr>
        <w:spacing w:line="480" w:lineRule="auto"/>
        <w:rPr>
          <w:u w:val="single"/>
        </w:rPr>
      </w:pPr>
      <w:r>
        <w:rPr>
          <w:u w:val="single"/>
        </w:rPr>
        <w:t>Sub-prime borrowing and payday loans - the lesser evil</w:t>
      </w:r>
      <w:r w:rsidR="00F06D50">
        <w:rPr>
          <w:u w:val="single"/>
        </w:rPr>
        <w:t>?</w:t>
      </w:r>
    </w:p>
    <w:p w14:paraId="6A2DC775" w14:textId="28B7F9B8" w:rsidR="00C36E91" w:rsidRDefault="00F06D50" w:rsidP="00110442">
      <w:pPr>
        <w:spacing w:line="480" w:lineRule="auto"/>
      </w:pPr>
      <w:r>
        <w:t>A noted above, the payday loans market provides low-income, high-risk consumers with access to credit in situations of emergency</w:t>
      </w:r>
      <w:r w:rsidR="00A027FD">
        <w:t>, or indeed to meet the needs of their necessary spending</w:t>
      </w:r>
      <w:r>
        <w:t xml:space="preserve">.  </w:t>
      </w:r>
      <w:r w:rsidR="00760ABE">
        <w:t xml:space="preserve">Therefore, </w:t>
      </w:r>
      <w:r>
        <w:t xml:space="preserve">payday loans are aimed at borrowers </w:t>
      </w:r>
      <w:r w:rsidR="00930554">
        <w:t>characteristically</w:t>
      </w:r>
      <w:r>
        <w:t xml:space="preserve"> defined as 'sub-prime'.</w:t>
      </w:r>
      <w:r w:rsidR="00306816">
        <w:t xml:space="preserve"> As noted above, t</w:t>
      </w:r>
      <w:r w:rsidR="00A027FD">
        <w:t>he FCA's price cap has seemingly reduced the num</w:t>
      </w:r>
      <w:r w:rsidR="00A027FD">
        <w:lastRenderedPageBreak/>
        <w:t>ber of active payday lenders</w:t>
      </w:r>
      <w:r w:rsidR="00F11B2C">
        <w:t>. Furthermore, there is clear evidence that the number of payday loans granted to consumers has reduced</w:t>
      </w:r>
      <w:r w:rsidR="00306816">
        <w:t xml:space="preserve">. Indeed, according to the Consumer Finance </w:t>
      </w:r>
      <w:r w:rsidR="00760ABE">
        <w:t>Association</w:t>
      </w:r>
      <w:r w:rsidR="00FE57E2">
        <w:t xml:space="preserve"> (CFA)</w:t>
      </w:r>
      <w:r w:rsidR="00760ABE">
        <w:t>, the</w:t>
      </w:r>
      <w:r w:rsidR="00F11B2C">
        <w:t xml:space="preserve"> number of loans shrinking by 42% in the period January to April 2016, when compared to January to April 2013.</w:t>
      </w:r>
      <w:r w:rsidR="00563282">
        <w:t xml:space="preserve"> </w:t>
      </w:r>
      <w:r w:rsidR="00760ABE">
        <w:t>T</w:t>
      </w:r>
      <w:r w:rsidR="00306816">
        <w:t xml:space="preserve">he CFA </w:t>
      </w:r>
      <w:r w:rsidR="00760ABE">
        <w:t xml:space="preserve">also </w:t>
      </w:r>
      <w:r w:rsidR="00306816">
        <w:t>suggest</w:t>
      </w:r>
      <w:r w:rsidR="00760ABE">
        <w:t>ed</w:t>
      </w:r>
      <w:r w:rsidR="00563282">
        <w:t xml:space="preserve"> that the cost cap may have acted as a barrier to the market for those on lower incomes, who would typically borrow smaller amounts.</w:t>
      </w:r>
      <w:r w:rsidR="00563282">
        <w:rPr>
          <w:rStyle w:val="FootnoteReference"/>
        </w:rPr>
        <w:footnoteReference w:id="15"/>
      </w:r>
      <w:r w:rsidR="00563282">
        <w:t xml:space="preserve"> Mindful of the fact that these borrowers would be con</w:t>
      </w:r>
      <w:r w:rsidR="00120954">
        <w:t>sidered sub-prime, the question remains as to where these sub-prime borrowers</w:t>
      </w:r>
      <w:r w:rsidR="00563282">
        <w:t xml:space="preserve"> were now obtaining funds to deal with emergencies and purchase the necessities for which the once relied on payday loans?</w:t>
      </w:r>
    </w:p>
    <w:p w14:paraId="1512B851" w14:textId="2DD304CE" w:rsidR="00563282" w:rsidRDefault="00265CD8" w:rsidP="00110442">
      <w:pPr>
        <w:spacing w:line="480" w:lineRule="auto"/>
      </w:pPr>
      <w:r>
        <w:t>Overdrafts</w:t>
      </w:r>
      <w:r w:rsidR="00120954">
        <w:t xml:space="preserve"> have been recognised as alternatives to payday loans, which could</w:t>
      </w:r>
      <w:r w:rsidR="00B849AE">
        <w:t xml:space="preserve"> arguably</w:t>
      </w:r>
      <w:r w:rsidR="00120954">
        <w:t xml:space="preserve"> be used deal with emergencies or </w:t>
      </w:r>
      <w:r w:rsidR="00B849AE">
        <w:t>finance everyday necessities</w:t>
      </w:r>
      <w:r w:rsidR="00930554">
        <w:t xml:space="preserve">. </w:t>
      </w:r>
      <w:r>
        <w:t xml:space="preserve"> However, they </w:t>
      </w:r>
      <w:r w:rsidR="00930554">
        <w:t>can be considerably more expensive than payday loans</w:t>
      </w:r>
      <w:r w:rsidR="00120954">
        <w:t>, particularly where the overdraft facility is unplanned</w:t>
      </w:r>
      <w:r w:rsidR="00930554">
        <w:t>.</w:t>
      </w:r>
      <w:r w:rsidR="00B849AE">
        <w:t xml:space="preserve"> Further, considering that payday loans have been specifically marketed as a way of dealing with broken household appliances, it is arguable that the hire-purchase providers may be</w:t>
      </w:r>
      <w:r>
        <w:t xml:space="preserve"> a viable alternative in order to finance the purchase of new goods, rather than repairing existing appliances. Both </w:t>
      </w:r>
      <w:r w:rsidR="006E6CCA">
        <w:t xml:space="preserve">forms of credit are notoriously expensive and can lead to borrowers finding themselves in dire financial situations, </w:t>
      </w:r>
      <w:r w:rsidR="006E6CCA">
        <w:lastRenderedPageBreak/>
        <w:t xml:space="preserve">although </w:t>
      </w:r>
      <w:r w:rsidR="00C55A59">
        <w:t>notably, hire-purchase agreements</w:t>
      </w:r>
      <w:r w:rsidR="006E6CCA">
        <w:t xml:space="preserve"> are not subject to price regulation.</w:t>
      </w:r>
      <w:r w:rsidR="0042144A">
        <w:t xml:space="preserve"> </w:t>
      </w:r>
      <w:r w:rsidR="006E6CCA">
        <w:t xml:space="preserve">Furthermore </w:t>
      </w:r>
      <w:r w:rsidR="00563282">
        <w:t xml:space="preserve">Brown has expressed concern that the absence of a payday loan may lead to </w:t>
      </w:r>
      <w:r w:rsidR="006E6CCA">
        <w:t>borrowers seeking funds from illegal sources of credit</w:t>
      </w:r>
      <w:r w:rsidR="00FE7FA3">
        <w:t>,</w:t>
      </w:r>
      <w:r w:rsidR="006E6CCA">
        <w:rPr>
          <w:rStyle w:val="FootnoteReference"/>
        </w:rPr>
        <w:footnoteReference w:id="16"/>
      </w:r>
      <w:r w:rsidR="00FE7FA3">
        <w:t xml:space="preserve"> where lenders use</w:t>
      </w:r>
      <w:r w:rsidR="0042144A">
        <w:t xml:space="preserve"> 'strong arm' tactics to secure </w:t>
      </w:r>
      <w:r w:rsidR="00FE7FA3">
        <w:t>repayment of debt.</w:t>
      </w:r>
      <w:r w:rsidR="00FE7FA3">
        <w:rPr>
          <w:rStyle w:val="FootnoteReference"/>
        </w:rPr>
        <w:footnoteReference w:id="17"/>
      </w:r>
      <w:r w:rsidR="00C55A59">
        <w:t xml:space="preserve"> </w:t>
      </w:r>
      <w:r w:rsidR="006E6CCA">
        <w:t>Indeed, the FCA may inadvertently and unintentionally</w:t>
      </w:r>
      <w:r w:rsidR="00FE7FA3">
        <w:t xml:space="preserve"> subprime consumers more harm through the imposition of a cost cap, a risk the Regulator was swift to assert as being</w:t>
      </w:r>
      <w:r w:rsidR="00002B43">
        <w:t xml:space="preserve"> </w:t>
      </w:r>
      <w:r w:rsidR="00FE7FA3">
        <w:t>minimal,</w:t>
      </w:r>
      <w:r w:rsidR="00306816">
        <w:t xml:space="preserve"> although the FCA does recognise the</w:t>
      </w:r>
      <w:r w:rsidR="00FE7FA3">
        <w:t xml:space="preserve"> potential issues linked to ascertaining the true scale of consumers using </w:t>
      </w:r>
      <w:r w:rsidR="00F52C58">
        <w:t xml:space="preserve">illegal </w:t>
      </w:r>
      <w:r w:rsidR="00306816">
        <w:t>moneylenders</w:t>
      </w:r>
      <w:r w:rsidR="00F52C58">
        <w:t>.</w:t>
      </w:r>
    </w:p>
    <w:p w14:paraId="2B7BF75C" w14:textId="151FE21B" w:rsidR="0042144A" w:rsidRDefault="00760ABE" w:rsidP="00110442">
      <w:pPr>
        <w:spacing w:line="480" w:lineRule="auto"/>
      </w:pPr>
      <w:r>
        <w:t>T</w:t>
      </w:r>
      <w:r w:rsidR="005D68C6">
        <w:t xml:space="preserve">herefore, whilst alternatives are available, the fact that low-income, vulnerable consumers have </w:t>
      </w:r>
      <w:r w:rsidR="00306816">
        <w:t xml:space="preserve">arguably </w:t>
      </w:r>
      <w:r w:rsidR="005D68C6">
        <w:t xml:space="preserve">been priced out of the payday loans market by virtue of the price cap, </w:t>
      </w:r>
      <w:r>
        <w:t xml:space="preserve">it could </w:t>
      </w:r>
      <w:r w:rsidR="005D68C6">
        <w:t xml:space="preserve">lead to them using more expensive, less-regulated and, at worst, illegal sources of credit. </w:t>
      </w:r>
    </w:p>
    <w:p w14:paraId="2FC5B727" w14:textId="77777777" w:rsidR="005D68C6" w:rsidRDefault="005D68C6" w:rsidP="00110442">
      <w:pPr>
        <w:spacing w:line="480" w:lineRule="auto"/>
      </w:pPr>
    </w:p>
    <w:p w14:paraId="0A9B71FD" w14:textId="77777777" w:rsidR="00FE57E2" w:rsidRDefault="00FE57E2" w:rsidP="00110442">
      <w:pPr>
        <w:spacing w:line="480" w:lineRule="auto"/>
        <w:rPr>
          <w:u w:val="single"/>
        </w:rPr>
      </w:pPr>
    </w:p>
    <w:p w14:paraId="4F1011F5" w14:textId="53840407" w:rsidR="005D68C6" w:rsidRDefault="0056463F" w:rsidP="00110442">
      <w:pPr>
        <w:spacing w:line="480" w:lineRule="auto"/>
        <w:rPr>
          <w:u w:val="single"/>
        </w:rPr>
      </w:pPr>
      <w:r>
        <w:rPr>
          <w:u w:val="single"/>
        </w:rPr>
        <w:lastRenderedPageBreak/>
        <w:t>Conclusion</w:t>
      </w:r>
    </w:p>
    <w:p w14:paraId="61067F92" w14:textId="4B1DDBBF" w:rsidR="005D68C6" w:rsidRPr="005D68C6" w:rsidRDefault="005D68C6" w:rsidP="00110442">
      <w:pPr>
        <w:spacing w:line="480" w:lineRule="auto"/>
      </w:pPr>
      <w:r>
        <w:t xml:space="preserve">This article </w:t>
      </w:r>
      <w:r w:rsidR="00760ABE">
        <w:t xml:space="preserve">has </w:t>
      </w:r>
      <w:r>
        <w:t xml:space="preserve">set out the key aspects of the price cap on payday loans, and to </w:t>
      </w:r>
      <w:r w:rsidR="002711FA">
        <w:t>ascertain</w:t>
      </w:r>
      <w:r>
        <w:t xml:space="preserve"> whether consumers are better protected following its introduction. </w:t>
      </w:r>
      <w:r w:rsidR="00760ABE">
        <w:t>A</w:t>
      </w:r>
      <w:r>
        <w:t xml:space="preserve"> price cap can only go some way towards ensuring that payday lenders provide high</w:t>
      </w:r>
      <w:r w:rsidR="00E635A4">
        <w:t xml:space="preserve">-cost credit, </w:t>
      </w:r>
      <w:r w:rsidR="002711FA">
        <w:t xml:space="preserve">only </w:t>
      </w:r>
      <w:r w:rsidR="00E635A4">
        <w:t xml:space="preserve">to </w:t>
      </w:r>
      <w:r w:rsidR="002711FA">
        <w:t xml:space="preserve">those who can afford to repay their loans. It is noteworthy that the prevalence of convenience over affordability does well to undermine the function of a cost cap in protecting consumers of the payday loans market. </w:t>
      </w:r>
      <w:r w:rsidR="00760ABE">
        <w:t>T</w:t>
      </w:r>
      <w:r w:rsidR="002711FA">
        <w:t>he number of borrowers obtaining payday loans has greatly reduced. Further, the potential impact of the FCA's imminent review of creditworthiness assessments in the context of consumer credit</w:t>
      </w:r>
      <w:r w:rsidR="00C36E91">
        <w:t>,</w:t>
      </w:r>
      <w:r w:rsidR="002711FA">
        <w:t xml:space="preserve"> cannot be underestimated. Indeed, the cost cap, in conjunction with more stringent affordability assessments may exacerbate the decline of the payday </w:t>
      </w:r>
      <w:r w:rsidR="0056463F">
        <w:t xml:space="preserve">loans </w:t>
      </w:r>
      <w:r w:rsidR="002711FA">
        <w:t xml:space="preserve">market, causing consumers to turn to more expensive or </w:t>
      </w:r>
      <w:r w:rsidR="00911D74">
        <w:t xml:space="preserve">even illegal sources of credit, thus generally undermining the protection of consumers in the wider market. </w:t>
      </w:r>
    </w:p>
    <w:p w14:paraId="0A35CB14" w14:textId="77777777" w:rsidR="00210DAF" w:rsidRDefault="00210DAF" w:rsidP="006A408E"/>
    <w:p w14:paraId="4CBC74F6" w14:textId="77777777" w:rsidR="006A408E" w:rsidRPr="006A408E" w:rsidRDefault="00FA71C7" w:rsidP="006A408E">
      <w:r>
        <w:t xml:space="preserve">  </w:t>
      </w:r>
    </w:p>
    <w:sectPr w:rsidR="006A408E" w:rsidRPr="006A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894A" w14:textId="77777777" w:rsidR="00530834" w:rsidRDefault="00530834" w:rsidP="006A408E">
      <w:pPr>
        <w:spacing w:after="0" w:line="240" w:lineRule="auto"/>
      </w:pPr>
      <w:r>
        <w:separator/>
      </w:r>
    </w:p>
  </w:endnote>
  <w:endnote w:type="continuationSeparator" w:id="0">
    <w:p w14:paraId="23EAB578" w14:textId="77777777" w:rsidR="00530834" w:rsidRDefault="00530834" w:rsidP="006A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9012" w14:textId="77777777" w:rsidR="00530834" w:rsidRDefault="00530834" w:rsidP="006A408E">
      <w:pPr>
        <w:spacing w:after="0" w:line="240" w:lineRule="auto"/>
      </w:pPr>
      <w:r>
        <w:separator/>
      </w:r>
    </w:p>
  </w:footnote>
  <w:footnote w:type="continuationSeparator" w:id="0">
    <w:p w14:paraId="501440E4" w14:textId="77777777" w:rsidR="00530834" w:rsidRDefault="00530834" w:rsidP="006A408E">
      <w:pPr>
        <w:spacing w:after="0" w:line="240" w:lineRule="auto"/>
      </w:pPr>
      <w:r>
        <w:continuationSeparator/>
      </w:r>
    </w:p>
  </w:footnote>
  <w:footnote w:id="1">
    <w:p w14:paraId="303B20CD" w14:textId="352EAC97" w:rsidR="00E635A4" w:rsidRDefault="00E635A4">
      <w:pPr>
        <w:pStyle w:val="FootnoteText"/>
      </w:pPr>
      <w:r>
        <w:rPr>
          <w:rStyle w:val="FootnoteReference"/>
        </w:rPr>
        <w:footnoteRef/>
      </w:r>
      <w:r>
        <w:t xml:space="preserve"> Lecturer in Law, University of the West of England – Dan.Jasinski@uwe.ac.uk</w:t>
      </w:r>
    </w:p>
  </w:footnote>
  <w:footnote w:id="2">
    <w:p w14:paraId="107B3A71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 xml:space="preserve">See generally: </w:t>
      </w:r>
      <w:r w:rsidRPr="00B02002">
        <w:rPr>
          <w:rFonts w:cs="Times New Roman"/>
        </w:rPr>
        <w:t xml:space="preserve">Financial Conduct Authority </w:t>
      </w:r>
      <w:r w:rsidRPr="00B02002">
        <w:rPr>
          <w:rFonts w:cs="Times New Roman"/>
          <w:i/>
        </w:rPr>
        <w:t>FCA Handbook</w:t>
      </w:r>
      <w:r w:rsidRPr="00B02002">
        <w:rPr>
          <w:rFonts w:cs="Times New Roman"/>
        </w:rPr>
        <w:t xml:space="preserve"> (Financia</w:t>
      </w:r>
      <w:r>
        <w:rPr>
          <w:rFonts w:cs="Times New Roman"/>
        </w:rPr>
        <w:t>l Conduct Authority: London 2013</w:t>
      </w:r>
      <w:r w:rsidRPr="00B02002">
        <w:rPr>
          <w:rFonts w:cs="Times New Roman"/>
        </w:rPr>
        <w:t>) CONC 5A.</w:t>
      </w:r>
    </w:p>
  </w:footnote>
  <w:footnote w:id="3">
    <w:p w14:paraId="0DED74EA" w14:textId="242C4A06" w:rsidR="002711FA" w:rsidRPr="00B02002" w:rsidRDefault="002711FA">
      <w:pPr>
        <w:pStyle w:val="FootnoteText"/>
      </w:pPr>
      <w:r w:rsidRPr="00B02002">
        <w:rPr>
          <w:rStyle w:val="FootnoteReference"/>
        </w:rPr>
        <w:footnoteRef/>
      </w:r>
      <w:r w:rsidRPr="00B02002">
        <w:t xml:space="preserve"> For example see Gillian Guy ‘Payday loans are capped. Now let’s tackle other high-cost credit’ </w:t>
      </w:r>
      <w:r w:rsidRPr="00B02002">
        <w:rPr>
          <w:i/>
        </w:rPr>
        <w:t xml:space="preserve">The Guardian </w:t>
      </w:r>
      <w:r w:rsidR="005F3092">
        <w:t>(London, 2 January 2017)</w:t>
      </w:r>
    </w:p>
  </w:footnote>
  <w:footnote w:id="4">
    <w:p w14:paraId="69AAE45C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>Anu Arora 'Payday loans: filling the gaps in the short-term loan market' (2017) 38(6) Company Lawyer 172,179.</w:t>
      </w:r>
    </w:p>
  </w:footnote>
  <w:footnote w:id="5">
    <w:p w14:paraId="015F33DD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 xml:space="preserve">The issues surrounding this are well documented. See for example: Office of Fair Trading, </w:t>
      </w:r>
      <w:r w:rsidRPr="00B02002">
        <w:rPr>
          <w:i/>
          <w:lang w:val="en-US"/>
        </w:rPr>
        <w:t>Payday Lending Compliance Review - Final Report</w:t>
      </w:r>
      <w:r w:rsidRPr="00B02002">
        <w:rPr>
          <w:lang w:val="en-US"/>
        </w:rPr>
        <w:t xml:space="preserve"> (OFT 1481, March 2013), 13- 16. </w:t>
      </w:r>
    </w:p>
  </w:footnote>
  <w:footnote w:id="6">
    <w:p w14:paraId="3C555CCF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 xml:space="preserve">Financial Services and Markets Act 2000 s137C, as inserted by Financial Services and Markets Act 2012 s24. </w:t>
      </w:r>
    </w:p>
  </w:footnote>
  <w:footnote w:id="7">
    <w:p w14:paraId="02B6968B" w14:textId="77777777" w:rsidR="002711FA" w:rsidRPr="00CE1458" w:rsidRDefault="002711FA" w:rsidP="00CE145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02002">
        <w:rPr>
          <w:rFonts w:cs="Times New Roman"/>
        </w:rPr>
        <w:t xml:space="preserve">Financial Conduct Authority </w:t>
      </w:r>
      <w:r w:rsidRPr="00B02002">
        <w:rPr>
          <w:rFonts w:cs="Times New Roman"/>
          <w:i/>
        </w:rPr>
        <w:t>FCA Handbook</w:t>
      </w:r>
      <w:r w:rsidRPr="00B02002">
        <w:rPr>
          <w:rFonts w:cs="Times New Roman"/>
        </w:rPr>
        <w:t xml:space="preserve"> (Financia</w:t>
      </w:r>
      <w:r>
        <w:rPr>
          <w:rFonts w:cs="Times New Roman"/>
        </w:rPr>
        <w:t>l Conduct Authority: London 2013) CONC 5A.2.2</w:t>
      </w:r>
    </w:p>
  </w:footnote>
  <w:footnote w:id="8">
    <w:p w14:paraId="31BA0693" w14:textId="20A3BE75" w:rsidR="002711FA" w:rsidRPr="00B02002" w:rsidRDefault="002711FA" w:rsidP="00CE145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</w:rPr>
        <w:t>CONC 5A.2.3.</w:t>
      </w:r>
    </w:p>
  </w:footnote>
  <w:footnote w:id="9">
    <w:p w14:paraId="489AF219" w14:textId="44CE6319" w:rsidR="002711FA" w:rsidRDefault="002711FA">
      <w:pPr>
        <w:pStyle w:val="FootnoteText"/>
        <w:rPr>
          <w:rFonts w:cs="Times New Roman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>
        <w:rPr>
          <w:rFonts w:cs="Times New Roman"/>
        </w:rPr>
        <w:t xml:space="preserve">CONC 5A.2.14(1) </w:t>
      </w:r>
    </w:p>
    <w:p w14:paraId="7B467881" w14:textId="1DB70EF3" w:rsidR="002711FA" w:rsidRPr="00B02002" w:rsidRDefault="002711FA">
      <w:pPr>
        <w:pStyle w:val="FootnoteText"/>
        <w:rPr>
          <w:lang w:val="en-US"/>
        </w:rPr>
      </w:pPr>
    </w:p>
  </w:footnote>
  <w:footnote w:id="10">
    <w:p w14:paraId="02ED7DE6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 xml:space="preserve">For an overview see Daniel Jasinski 'The FCA: protecting consumers of the consumer credit market in the wake of the global financial crisis' in Nicholas Ryder, Jon Tucker and Umut Turksen (eds) </w:t>
      </w:r>
      <w:r w:rsidRPr="00B02002">
        <w:rPr>
          <w:i/>
          <w:lang w:val="en-US"/>
        </w:rPr>
        <w:t xml:space="preserve">The Financial Crisis and White Collar Crime - Legislative and Policy Responses </w:t>
      </w:r>
      <w:r w:rsidRPr="00B02002">
        <w:rPr>
          <w:lang w:val="en-US"/>
        </w:rPr>
        <w:t>(Routledge 2017), 147 - 154.</w:t>
      </w:r>
    </w:p>
  </w:footnote>
  <w:footnote w:id="11">
    <w:p w14:paraId="6C039EF8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rPr>
          <w:lang w:val="en-US"/>
        </w:rPr>
        <w:t xml:space="preserve">Office of Fair Trading, </w:t>
      </w:r>
      <w:r w:rsidRPr="00B02002">
        <w:rPr>
          <w:i/>
          <w:lang w:val="en-US"/>
        </w:rPr>
        <w:t>Payday Lending Compliance Review - Final Report</w:t>
      </w:r>
      <w:r w:rsidRPr="00B02002">
        <w:rPr>
          <w:lang w:val="en-US"/>
        </w:rPr>
        <w:t xml:space="preserve"> (OFT 1481, March 2013), 3.</w:t>
      </w:r>
    </w:p>
  </w:footnote>
  <w:footnote w:id="12">
    <w:p w14:paraId="470E2A45" w14:textId="42579A28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See Case Comment 119/10 - </w:t>
      </w:r>
      <w:r w:rsidRPr="00B02002">
        <w:rPr>
          <w:lang w:val="en-US"/>
        </w:rPr>
        <w:t>Financial Ombudsman Service 'Ombudsman News -</w:t>
      </w:r>
      <w:r w:rsidR="005F3092">
        <w:rPr>
          <w:lang w:val="en-US"/>
        </w:rPr>
        <w:t xml:space="preserve"> Issue 119 - Short Term Credit'.</w:t>
      </w:r>
    </w:p>
  </w:footnote>
  <w:footnote w:id="13">
    <w:p w14:paraId="05787588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 xml:space="preserve">Ibid. </w:t>
      </w:r>
    </w:p>
  </w:footnote>
  <w:footnote w:id="14">
    <w:p w14:paraId="79419B6C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 xml:space="preserve">Office of Fair Trading, </w:t>
      </w:r>
      <w:r w:rsidRPr="00B02002">
        <w:rPr>
          <w:i/>
          <w:lang w:val="en-US"/>
        </w:rPr>
        <w:t>Payday Lending Compliance Review - Final Report</w:t>
      </w:r>
      <w:r w:rsidRPr="00B02002">
        <w:rPr>
          <w:lang w:val="en-US"/>
        </w:rPr>
        <w:t xml:space="preserve"> (OFT 1481, March 2013), 3.</w:t>
      </w:r>
    </w:p>
  </w:footnote>
  <w:footnote w:id="15">
    <w:p w14:paraId="7851064E" w14:textId="2A6CB725" w:rsidR="002711FA" w:rsidRPr="00B02002" w:rsidRDefault="002711FA">
      <w:pPr>
        <w:pStyle w:val="FootnoteText"/>
        <w:rPr>
          <w:lang w:val="en-US"/>
        </w:rPr>
      </w:pPr>
    </w:p>
  </w:footnote>
  <w:footnote w:id="16">
    <w:p w14:paraId="6C87FBDC" w14:textId="14DA7D73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Dr Sarah Brown at the symposium on Consumer Credit and Consumer Protection at the University of the W</w:t>
      </w:r>
      <w:r w:rsidR="00C36E91">
        <w:t>est of England, 28 March 201</w:t>
      </w:r>
      <w:r w:rsidR="00306816">
        <w:t>2</w:t>
      </w:r>
      <w:r w:rsidR="00C36E91">
        <w:t>; a</w:t>
      </w:r>
      <w:r w:rsidRPr="00B02002">
        <w:t xml:space="preserve">s cited by </w:t>
      </w:r>
      <w:r w:rsidRPr="00B02002">
        <w:rPr>
          <w:lang w:val="en-US"/>
        </w:rPr>
        <w:t xml:space="preserve">Daniel Jasinski 'The FCA: protecting consumers of the consumer credit market in the wake of the global financial crisis' in Nicholas Ryder, Jon Tucker and Umut Turksen (eds) </w:t>
      </w:r>
      <w:r w:rsidRPr="00B02002">
        <w:rPr>
          <w:i/>
          <w:lang w:val="en-US"/>
        </w:rPr>
        <w:t xml:space="preserve">The Financial Crisis and White Collar Crime - Legislative and Policy Responses </w:t>
      </w:r>
      <w:r w:rsidRPr="00B02002">
        <w:rPr>
          <w:lang w:val="en-US"/>
        </w:rPr>
        <w:t>(Routledge 2017), 164.</w:t>
      </w:r>
    </w:p>
  </w:footnote>
  <w:footnote w:id="17">
    <w:p w14:paraId="37D61691" w14:textId="77777777" w:rsidR="002711FA" w:rsidRPr="00B02002" w:rsidRDefault="002711FA">
      <w:pPr>
        <w:pStyle w:val="FootnoteText"/>
        <w:rPr>
          <w:lang w:val="en-US"/>
        </w:rPr>
      </w:pPr>
      <w:r w:rsidRPr="00B02002">
        <w:rPr>
          <w:rStyle w:val="FootnoteReference"/>
        </w:rPr>
        <w:footnoteRef/>
      </w:r>
      <w:r w:rsidRPr="00B02002">
        <w:t xml:space="preserve"> </w:t>
      </w:r>
      <w:r w:rsidRPr="00B02002">
        <w:rPr>
          <w:lang w:val="en-US"/>
        </w:rPr>
        <w:t>A term used by Gordon Borrie 'The credit society: its benefits and burdens' [1986] May, Journal of Business Law 181, 189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8E"/>
    <w:rsid w:val="00002B43"/>
    <w:rsid w:val="00110442"/>
    <w:rsid w:val="00120954"/>
    <w:rsid w:val="001342A9"/>
    <w:rsid w:val="0014545B"/>
    <w:rsid w:val="0019527D"/>
    <w:rsid w:val="00210DAF"/>
    <w:rsid w:val="002132C4"/>
    <w:rsid w:val="00214452"/>
    <w:rsid w:val="002151B8"/>
    <w:rsid w:val="00251687"/>
    <w:rsid w:val="00256120"/>
    <w:rsid w:val="00265CD8"/>
    <w:rsid w:val="002711FA"/>
    <w:rsid w:val="002E2CF2"/>
    <w:rsid w:val="00306816"/>
    <w:rsid w:val="00416A83"/>
    <w:rsid w:val="0042144A"/>
    <w:rsid w:val="0047703F"/>
    <w:rsid w:val="004B2F2E"/>
    <w:rsid w:val="00530834"/>
    <w:rsid w:val="00563282"/>
    <w:rsid w:val="0056463F"/>
    <w:rsid w:val="005D68C6"/>
    <w:rsid w:val="005F3092"/>
    <w:rsid w:val="0061185E"/>
    <w:rsid w:val="00647969"/>
    <w:rsid w:val="006675E7"/>
    <w:rsid w:val="006A408E"/>
    <w:rsid w:val="006D7EEF"/>
    <w:rsid w:val="006D7F90"/>
    <w:rsid w:val="006E6CCA"/>
    <w:rsid w:val="006F7DDB"/>
    <w:rsid w:val="0072507E"/>
    <w:rsid w:val="00730B23"/>
    <w:rsid w:val="00732633"/>
    <w:rsid w:val="00760ABE"/>
    <w:rsid w:val="007B49CE"/>
    <w:rsid w:val="007D7BF2"/>
    <w:rsid w:val="008303CE"/>
    <w:rsid w:val="00911D74"/>
    <w:rsid w:val="00930554"/>
    <w:rsid w:val="00981464"/>
    <w:rsid w:val="0099336F"/>
    <w:rsid w:val="009D504A"/>
    <w:rsid w:val="009F5BBC"/>
    <w:rsid w:val="00A027FD"/>
    <w:rsid w:val="00A61187"/>
    <w:rsid w:val="00A67802"/>
    <w:rsid w:val="00A94BC7"/>
    <w:rsid w:val="00AB0F17"/>
    <w:rsid w:val="00AC3CDF"/>
    <w:rsid w:val="00AF4A12"/>
    <w:rsid w:val="00AF6FBF"/>
    <w:rsid w:val="00B02002"/>
    <w:rsid w:val="00B7472A"/>
    <w:rsid w:val="00B849AE"/>
    <w:rsid w:val="00C36E91"/>
    <w:rsid w:val="00C36F7B"/>
    <w:rsid w:val="00C53E3E"/>
    <w:rsid w:val="00C55A59"/>
    <w:rsid w:val="00C61526"/>
    <w:rsid w:val="00CA7D0F"/>
    <w:rsid w:val="00CB1A7F"/>
    <w:rsid w:val="00CB6893"/>
    <w:rsid w:val="00CE1458"/>
    <w:rsid w:val="00CF28DD"/>
    <w:rsid w:val="00D83833"/>
    <w:rsid w:val="00E635A4"/>
    <w:rsid w:val="00E72F64"/>
    <w:rsid w:val="00E95DCF"/>
    <w:rsid w:val="00F06D50"/>
    <w:rsid w:val="00F11B2C"/>
    <w:rsid w:val="00F52C58"/>
    <w:rsid w:val="00FA71C7"/>
    <w:rsid w:val="00FE57E2"/>
    <w:rsid w:val="00FE6DE0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57B55"/>
  <w15:docId w15:val="{3DB79A46-8E86-4732-BE95-A09E9AF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A4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40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A40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8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D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D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D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D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D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2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FD"/>
  </w:style>
  <w:style w:type="paragraph" w:styleId="Footer">
    <w:name w:val="footer"/>
    <w:basedOn w:val="Normal"/>
    <w:link w:val="FooterChar"/>
    <w:uiPriority w:val="99"/>
    <w:unhideWhenUsed/>
    <w:rsid w:val="00A02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074C-6A7B-4737-A2FC-CA25F59A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Jasinski</dc:creator>
  <cp:keywords/>
  <dc:description/>
  <cp:lastModifiedBy>Lisa Hacker</cp:lastModifiedBy>
  <cp:revision>2</cp:revision>
  <dcterms:created xsi:type="dcterms:W3CDTF">2019-04-15T10:59:00Z</dcterms:created>
  <dcterms:modified xsi:type="dcterms:W3CDTF">2019-04-15T10:59:00Z</dcterms:modified>
</cp:coreProperties>
</file>