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CFF97" w14:textId="1C6A67A5" w:rsidR="008318DD" w:rsidRPr="0048229C" w:rsidRDefault="0038735F" w:rsidP="008318DD">
      <w:pPr>
        <w:jc w:val="center"/>
        <w:rPr>
          <w:b/>
        </w:rPr>
      </w:pPr>
      <w:r>
        <w:rPr>
          <w:b/>
        </w:rPr>
        <w:t>Psychology Health &amp; Medicine – Methodological issue</w:t>
      </w:r>
    </w:p>
    <w:p w14:paraId="241610CF" w14:textId="77777777" w:rsidR="008318DD" w:rsidRPr="0048229C" w:rsidRDefault="008318DD" w:rsidP="008318DD">
      <w:pPr>
        <w:jc w:val="center"/>
        <w:rPr>
          <w:b/>
        </w:rPr>
      </w:pPr>
    </w:p>
    <w:p w14:paraId="7D8F9D94" w14:textId="77777777" w:rsidR="008318DD" w:rsidRPr="0048229C" w:rsidRDefault="008318DD" w:rsidP="008318DD">
      <w:pPr>
        <w:jc w:val="center"/>
        <w:rPr>
          <w:b/>
        </w:rPr>
      </w:pPr>
      <w:r w:rsidRPr="0048229C">
        <w:rPr>
          <w:b/>
        </w:rPr>
        <w:t>Title page</w:t>
      </w:r>
    </w:p>
    <w:p w14:paraId="099D2271" w14:textId="77777777" w:rsidR="008318DD" w:rsidRPr="0048229C" w:rsidRDefault="008318DD" w:rsidP="008318DD">
      <w:pPr>
        <w:jc w:val="center"/>
        <w:rPr>
          <w:b/>
        </w:rPr>
      </w:pPr>
    </w:p>
    <w:p w14:paraId="4787576C" w14:textId="5C5E0A51" w:rsidR="008318DD" w:rsidRPr="00697F15" w:rsidRDefault="008318DD" w:rsidP="008318DD">
      <w:pPr>
        <w:rPr>
          <w:b/>
          <w:bCs/>
        </w:rPr>
      </w:pPr>
      <w:r w:rsidRPr="0048229C">
        <w:rPr>
          <w:i/>
          <w:u w:val="single"/>
        </w:rPr>
        <w:t>Title</w:t>
      </w:r>
      <w:r w:rsidRPr="0048229C">
        <w:rPr>
          <w:i/>
        </w:rPr>
        <w:t xml:space="preserve">: </w:t>
      </w:r>
      <w:r w:rsidRPr="00697F15">
        <w:rPr>
          <w:b/>
          <w:bCs/>
        </w:rPr>
        <w:t xml:space="preserve">Establishing the usefulness of the </w:t>
      </w:r>
      <w:r w:rsidR="00C948D2">
        <w:rPr>
          <w:b/>
          <w:bCs/>
        </w:rPr>
        <w:t>GO-QOL</w:t>
      </w:r>
      <w:r w:rsidRPr="00697F15">
        <w:rPr>
          <w:b/>
          <w:bCs/>
        </w:rPr>
        <w:t xml:space="preserve"> in a UK </w:t>
      </w:r>
      <w:r w:rsidR="00697F15">
        <w:rPr>
          <w:b/>
          <w:bCs/>
        </w:rPr>
        <w:t xml:space="preserve">hospital-treated </w:t>
      </w:r>
      <w:r w:rsidRPr="00697F15">
        <w:rPr>
          <w:b/>
          <w:bCs/>
        </w:rPr>
        <w:t>population</w:t>
      </w:r>
      <w:r w:rsidR="00697F15">
        <w:rPr>
          <w:b/>
          <w:bCs/>
        </w:rPr>
        <w:t xml:space="preserve"> with thyroid eye disease</w:t>
      </w:r>
      <w:r w:rsidRPr="00697F15">
        <w:rPr>
          <w:b/>
          <w:bCs/>
        </w:rPr>
        <w:t xml:space="preserve"> in the CIRTED trial</w:t>
      </w:r>
    </w:p>
    <w:p w14:paraId="2E31A0C7" w14:textId="77777777" w:rsidR="008318DD" w:rsidRPr="0048229C" w:rsidRDefault="008318DD" w:rsidP="008318DD"/>
    <w:p w14:paraId="40F1C444" w14:textId="77777777" w:rsidR="008318DD" w:rsidRPr="0048229C" w:rsidRDefault="008318DD" w:rsidP="008318DD">
      <w:pPr>
        <w:rPr>
          <w:i/>
        </w:rPr>
      </w:pPr>
      <w:r w:rsidRPr="0048229C">
        <w:rPr>
          <w:i/>
          <w:u w:val="single"/>
        </w:rPr>
        <w:t>Corresponding author details</w:t>
      </w:r>
      <w:r w:rsidRPr="0048229C">
        <w:rPr>
          <w:i/>
        </w:rPr>
        <w:t>:</w:t>
      </w:r>
    </w:p>
    <w:p w14:paraId="1603339B" w14:textId="669FC788" w:rsidR="008318DD" w:rsidRPr="0048229C" w:rsidRDefault="005026A9" w:rsidP="008318DD">
      <w:r>
        <w:t xml:space="preserve">Dr </w:t>
      </w:r>
      <w:r w:rsidR="001E3273">
        <w:t>Sue Jackson</w:t>
      </w:r>
      <w:r w:rsidR="00871015">
        <w:t>, Centre for Appearance Research,</w:t>
      </w:r>
    </w:p>
    <w:p w14:paraId="025CD3F5" w14:textId="77777777" w:rsidR="00871015" w:rsidRDefault="008318DD" w:rsidP="008318DD">
      <w:r w:rsidRPr="0048229C">
        <w:t>Department of Psychol</w:t>
      </w:r>
      <w:r w:rsidR="0048229C">
        <w:t>o</w:t>
      </w:r>
      <w:r w:rsidRPr="0048229C">
        <w:t>gy</w:t>
      </w:r>
      <w:r w:rsidR="00871015">
        <w:t xml:space="preserve">, </w:t>
      </w:r>
      <w:r w:rsidRPr="0048229C">
        <w:t>University of the West of England</w:t>
      </w:r>
      <w:r w:rsidR="00871015">
        <w:t xml:space="preserve">, </w:t>
      </w:r>
      <w:proofErr w:type="spellStart"/>
      <w:r w:rsidRPr="0048229C">
        <w:t>Frenchay</w:t>
      </w:r>
      <w:proofErr w:type="spellEnd"/>
      <w:r w:rsidRPr="0048229C">
        <w:t xml:space="preserve"> Campus</w:t>
      </w:r>
      <w:r w:rsidR="00871015">
        <w:t xml:space="preserve">, </w:t>
      </w:r>
      <w:proofErr w:type="spellStart"/>
      <w:r w:rsidRPr="0048229C">
        <w:t>Coldharbour</w:t>
      </w:r>
      <w:proofErr w:type="spellEnd"/>
      <w:r w:rsidRPr="0048229C">
        <w:t xml:space="preserve"> Lane</w:t>
      </w:r>
      <w:r w:rsidR="00871015">
        <w:t xml:space="preserve">, </w:t>
      </w:r>
      <w:proofErr w:type="spellStart"/>
      <w:r w:rsidRPr="0048229C">
        <w:t>Frenchay</w:t>
      </w:r>
      <w:proofErr w:type="spellEnd"/>
      <w:r w:rsidR="00871015">
        <w:t xml:space="preserve">, </w:t>
      </w:r>
      <w:r w:rsidRPr="0048229C">
        <w:t>Bristol</w:t>
      </w:r>
      <w:r w:rsidR="00871015">
        <w:t xml:space="preserve"> </w:t>
      </w:r>
      <w:r w:rsidRPr="0048229C">
        <w:t>BS16 1QY</w:t>
      </w:r>
      <w:r w:rsidR="00871015">
        <w:t xml:space="preserve"> </w:t>
      </w:r>
    </w:p>
    <w:p w14:paraId="21047288" w14:textId="77777777" w:rsidR="00871015" w:rsidRDefault="008318DD" w:rsidP="008318DD">
      <w:r w:rsidRPr="0048229C">
        <w:t>Tel: 01454 250482</w:t>
      </w:r>
      <w:r w:rsidR="00871015">
        <w:t xml:space="preserve"> </w:t>
      </w:r>
      <w:r w:rsidRPr="0048229C">
        <w:t xml:space="preserve">Email: </w:t>
      </w:r>
      <w:hyperlink r:id="rId5" w:history="1">
        <w:r w:rsidR="00871015" w:rsidRPr="007B6229">
          <w:rPr>
            <w:rStyle w:val="Hyperlink"/>
          </w:rPr>
          <w:t>hellosue@suejackson.me.uk</w:t>
        </w:r>
      </w:hyperlink>
      <w:r w:rsidR="00871015">
        <w:t xml:space="preserve"> </w:t>
      </w:r>
    </w:p>
    <w:p w14:paraId="0CBFA878" w14:textId="3AD1F4BD" w:rsidR="008318DD" w:rsidRPr="0048229C" w:rsidRDefault="00871015" w:rsidP="008318DD">
      <w:r>
        <w:t>ORCID:</w:t>
      </w:r>
      <w:r>
        <w:rPr>
          <w:rFonts w:ascii="Arial" w:eastAsia="Times New Roman" w:hAnsi="Arial" w:cs="Arial"/>
          <w:color w:val="666666"/>
          <w:sz w:val="23"/>
          <w:szCs w:val="23"/>
        </w:rPr>
        <w:t xml:space="preserve"> </w:t>
      </w:r>
      <w:hyperlink r:id="rId6" w:tgtFrame="_blank" w:history="1">
        <w:r>
          <w:rPr>
            <w:rStyle w:val="Hyperlink"/>
            <w:rFonts w:cs="Arial"/>
            <w:sz w:val="23"/>
            <w:szCs w:val="23"/>
          </w:rPr>
          <w:t>0000-0002-1684-2224</w:t>
        </w:r>
      </w:hyperlink>
    </w:p>
    <w:p w14:paraId="2FAEBDAA" w14:textId="77777777" w:rsidR="008318DD" w:rsidRPr="0048229C" w:rsidRDefault="008318DD" w:rsidP="008318DD"/>
    <w:p w14:paraId="5DAEF3D4" w14:textId="77777777" w:rsidR="008318DD" w:rsidRPr="0048229C" w:rsidRDefault="00357B89" w:rsidP="008318DD">
      <w:r>
        <w:rPr>
          <w:i/>
          <w:u w:val="single"/>
        </w:rPr>
        <w:t>A</w:t>
      </w:r>
      <w:r w:rsidR="008318DD" w:rsidRPr="0048229C">
        <w:rPr>
          <w:i/>
          <w:u w:val="single"/>
        </w:rPr>
        <w:t>uthor details</w:t>
      </w:r>
      <w:r w:rsidR="008318DD" w:rsidRPr="0048229C">
        <w:t>:</w:t>
      </w:r>
    </w:p>
    <w:p w14:paraId="50AE4E80" w14:textId="77777777" w:rsidR="003A0BC0" w:rsidRPr="004D17D7" w:rsidRDefault="00E41051" w:rsidP="00E41051">
      <w:r w:rsidRPr="004D17D7">
        <w:t xml:space="preserve">Alina Dietrich, Cardiff University School of Medicine, </w:t>
      </w:r>
    </w:p>
    <w:p w14:paraId="200C69BE" w14:textId="734EBEFA" w:rsidR="00E41051" w:rsidRDefault="003A0BC0" w:rsidP="00E41051">
      <w:r w:rsidRPr="004D17D7">
        <w:t>UHW Main Building, Heath Park, Cardiff, CF14 4XN</w:t>
      </w:r>
      <w:r w:rsidR="00E41051" w:rsidRPr="004D17D7">
        <w:t>, UK</w:t>
      </w:r>
    </w:p>
    <w:p w14:paraId="2F01730F" w14:textId="35FED4FC" w:rsidR="003A0BC0" w:rsidRPr="003A0BC0" w:rsidRDefault="004D17D7" w:rsidP="00E41051">
      <w:r>
        <w:t xml:space="preserve">Tel: </w:t>
      </w:r>
      <w:r w:rsidRPr="004D17D7">
        <w:rPr>
          <w:rFonts w:eastAsia="Times New Roman" w:cs="Calibri"/>
          <w:color w:val="212121"/>
          <w:sz w:val="22"/>
          <w:szCs w:val="22"/>
        </w:rPr>
        <w:t>+44 (0) 75813</w:t>
      </w:r>
      <w:r w:rsidRPr="004D17D7">
        <w:rPr>
          <w:rFonts w:eastAsia="Times New Roman" w:cs="Calibri"/>
          <w:color w:val="212121"/>
          <w:sz w:val="22"/>
          <w:szCs w:val="22"/>
        </w:rPr>
        <w:t xml:space="preserve"> </w:t>
      </w:r>
      <w:r w:rsidRPr="004D17D7">
        <w:rPr>
          <w:rFonts w:eastAsia="Times New Roman" w:cs="Calibri"/>
          <w:color w:val="212121"/>
          <w:sz w:val="22"/>
          <w:szCs w:val="22"/>
        </w:rPr>
        <w:t>29499</w:t>
      </w:r>
      <w:r>
        <w:rPr>
          <w:rFonts w:ascii="Calibri" w:eastAsia="Times New Roman" w:hAnsi="Calibri" w:cs="Calibri"/>
          <w:color w:val="212121"/>
          <w:sz w:val="22"/>
          <w:szCs w:val="22"/>
        </w:rPr>
        <w:t xml:space="preserve"> </w:t>
      </w:r>
      <w:r w:rsidR="003A0BC0">
        <w:t xml:space="preserve">Email: </w:t>
      </w:r>
      <w:hyperlink r:id="rId7" w:history="1">
        <w:r w:rsidR="003A0BC0" w:rsidRPr="003A0BC0">
          <w:rPr>
            <w:rStyle w:val="Hyperlink"/>
            <w:rFonts w:cs="Calibri"/>
            <w:color w:val="auto"/>
            <w:lang w:val="en-US"/>
          </w:rPr>
          <w:t>DietrichAM@cardiff.ac.uk</w:t>
        </w:r>
      </w:hyperlink>
    </w:p>
    <w:p w14:paraId="59D17EAF" w14:textId="77777777" w:rsidR="00871015" w:rsidRPr="003A0BC0" w:rsidRDefault="00871015" w:rsidP="00E41051"/>
    <w:p w14:paraId="14DB8F02" w14:textId="77777777" w:rsidR="00000929" w:rsidRDefault="00E41051" w:rsidP="00000929">
      <w:pPr>
        <w:rPr>
          <w:lang w:val="en-US"/>
        </w:rPr>
      </w:pPr>
      <w:r>
        <w:t xml:space="preserve">Peter Taylor, </w:t>
      </w:r>
      <w:r w:rsidR="00000929">
        <w:rPr>
          <w:lang w:val="en-US"/>
        </w:rPr>
        <w:t>Thyroid Research Group, Systems Immunity Research Institute, Cardiff University School of Medicine, Cardiff, UK</w:t>
      </w:r>
    </w:p>
    <w:p w14:paraId="3DCF7F7F" w14:textId="77777777" w:rsidR="00000929" w:rsidRPr="00DB126B" w:rsidRDefault="00000929" w:rsidP="00000929">
      <w:pPr>
        <w:pStyle w:val="NormalWeb"/>
        <w:spacing w:before="2" w:after="2"/>
        <w:rPr>
          <w:rFonts w:asciiTheme="minorHAnsi" w:hAnsiTheme="minorHAnsi"/>
          <w:sz w:val="24"/>
          <w:szCs w:val="24"/>
        </w:rPr>
      </w:pPr>
      <w:r w:rsidRPr="00DB126B">
        <w:rPr>
          <w:rFonts w:asciiTheme="minorHAnsi" w:hAnsiTheme="minorHAnsi"/>
          <w:sz w:val="24"/>
          <w:szCs w:val="24"/>
        </w:rPr>
        <w:t>C2 Link corridor, Cardiff University, Heath Park, Cardiff CF14 4XN</w:t>
      </w:r>
    </w:p>
    <w:p w14:paraId="1DA92BC0" w14:textId="64F8CDB7" w:rsidR="00000929" w:rsidRDefault="00000929" w:rsidP="00000929">
      <w:r>
        <w:t xml:space="preserve">Tel: 07590 520741 Email: </w:t>
      </w:r>
      <w:hyperlink r:id="rId8" w:history="1">
        <w:r>
          <w:rPr>
            <w:rStyle w:val="Hyperlink"/>
          </w:rPr>
          <w:t>taylorpn@cardiff.ac.uk</w:t>
        </w:r>
      </w:hyperlink>
    </w:p>
    <w:p w14:paraId="7E001659" w14:textId="5D40996A" w:rsidR="00000929" w:rsidRDefault="00000929" w:rsidP="00000929">
      <w:r>
        <w:t>ORCID: 0000-0002-3436-422X</w:t>
      </w:r>
    </w:p>
    <w:p w14:paraId="057392B3" w14:textId="77777777" w:rsidR="00000929" w:rsidRDefault="00000929" w:rsidP="00000929">
      <w:pPr>
        <w:rPr>
          <w:lang w:val="en-US"/>
        </w:rPr>
      </w:pPr>
    </w:p>
    <w:p w14:paraId="47842A70" w14:textId="7FB52414" w:rsidR="00DB126B" w:rsidRDefault="00E41051" w:rsidP="00E41051">
      <w:r>
        <w:t>Paul White, Un</w:t>
      </w:r>
      <w:r w:rsidR="00DB126B">
        <w:t>iversity of the West of England</w:t>
      </w:r>
      <w:r>
        <w:t xml:space="preserve"> </w:t>
      </w:r>
    </w:p>
    <w:p w14:paraId="5B811E1F" w14:textId="43173A7C" w:rsidR="00DB126B" w:rsidRPr="00DB126B" w:rsidRDefault="00DB126B" w:rsidP="00DB126B">
      <w:pPr>
        <w:rPr>
          <w:rFonts w:cs="Calibri"/>
        </w:rPr>
      </w:pPr>
      <w:r w:rsidRPr="00DB126B">
        <w:rPr>
          <w:rFonts w:cs="Calibri"/>
        </w:rPr>
        <w:t xml:space="preserve">Associate Professor (Applied Statistics), Director Applied Statistics Group, </w:t>
      </w:r>
      <w:r w:rsidRPr="00DB126B">
        <w:t xml:space="preserve">University of the West of England, </w:t>
      </w:r>
      <w:proofErr w:type="spellStart"/>
      <w:r w:rsidRPr="00DB126B">
        <w:t>Frenchay</w:t>
      </w:r>
      <w:proofErr w:type="spellEnd"/>
      <w:r w:rsidRPr="00DB126B">
        <w:t xml:space="preserve"> Campus, </w:t>
      </w:r>
      <w:proofErr w:type="spellStart"/>
      <w:r w:rsidRPr="00DB126B">
        <w:t>Coldharbour</w:t>
      </w:r>
      <w:proofErr w:type="spellEnd"/>
      <w:r w:rsidRPr="00DB126B">
        <w:t xml:space="preserve"> Lane, </w:t>
      </w:r>
      <w:proofErr w:type="spellStart"/>
      <w:r w:rsidRPr="00DB126B">
        <w:t>Frenchay</w:t>
      </w:r>
      <w:proofErr w:type="spellEnd"/>
      <w:r w:rsidRPr="00DB126B">
        <w:t>, Bristol BS16 1QY</w:t>
      </w:r>
    </w:p>
    <w:p w14:paraId="22EFC3F6" w14:textId="185F297C" w:rsidR="00DB126B" w:rsidRPr="00DB126B" w:rsidRDefault="00DB126B" w:rsidP="00DB126B">
      <w:pPr>
        <w:rPr>
          <w:rFonts w:cs="Calibri"/>
        </w:rPr>
      </w:pPr>
      <w:r w:rsidRPr="00DB126B">
        <w:rPr>
          <w:rFonts w:cs="Calibri"/>
        </w:rPr>
        <w:t xml:space="preserve">Tel: +44 117 32 83777 Email: </w:t>
      </w:r>
      <w:hyperlink r:id="rId9" w:history="1">
        <w:r w:rsidRPr="00DB126B">
          <w:rPr>
            <w:rStyle w:val="Hyperlink"/>
            <w:rFonts w:cs="Calibri"/>
            <w:color w:val="auto"/>
          </w:rPr>
          <w:t>Paul.White@uwe.ac.uk</w:t>
        </w:r>
      </w:hyperlink>
    </w:p>
    <w:p w14:paraId="33BBB366" w14:textId="77777777" w:rsidR="00DB126B" w:rsidRPr="00DB126B" w:rsidRDefault="00DB126B" w:rsidP="00DB126B">
      <w:pPr>
        <w:rPr>
          <w:rFonts w:cs="Arial"/>
          <w:shd w:val="clear" w:color="auto" w:fill="FFFFFF"/>
        </w:rPr>
      </w:pPr>
      <w:r w:rsidRPr="00DB126B">
        <w:rPr>
          <w:rFonts w:cs="Calibri"/>
        </w:rPr>
        <w:t xml:space="preserve">ORCID: </w:t>
      </w:r>
      <w:r w:rsidRPr="00DB126B">
        <w:rPr>
          <w:rFonts w:cs="Arial"/>
          <w:shd w:val="clear" w:color="auto" w:fill="FFFFFF"/>
        </w:rPr>
        <w:t>0000-0002-7503-9896</w:t>
      </w:r>
    </w:p>
    <w:p w14:paraId="7965B4D4" w14:textId="77777777" w:rsidR="00871015" w:rsidRDefault="00871015" w:rsidP="00E41051">
      <w:pPr>
        <w:widowControl w:val="0"/>
        <w:autoSpaceDE w:val="0"/>
        <w:autoSpaceDN w:val="0"/>
        <w:adjustRightInd w:val="0"/>
        <w:rPr>
          <w:rFonts w:ascii="Baskerville" w:hAnsi="Baskerville" w:cs="Arial"/>
        </w:rPr>
      </w:pPr>
    </w:p>
    <w:p w14:paraId="6CD81B45" w14:textId="33E61B7D" w:rsidR="003A0BC0" w:rsidRPr="003A0BC0" w:rsidRDefault="00E41051" w:rsidP="00E41051">
      <w:pPr>
        <w:widowControl w:val="0"/>
        <w:autoSpaceDE w:val="0"/>
        <w:autoSpaceDN w:val="0"/>
        <w:adjustRightInd w:val="0"/>
        <w:rPr>
          <w:rFonts w:ascii="Baskerville" w:hAnsi="Baskerville" w:cs="Arial"/>
        </w:rPr>
      </w:pPr>
      <w:r w:rsidRPr="003A0BC0">
        <w:rPr>
          <w:rFonts w:ascii="Baskerville" w:hAnsi="Baskerville" w:cs="Arial"/>
        </w:rPr>
        <w:t xml:space="preserve">Victoria Wilson, </w:t>
      </w:r>
      <w:r w:rsidR="004D17D7">
        <w:rPr>
          <w:rFonts w:ascii="Baskerville" w:hAnsi="Baskerville" w:cs="Arial"/>
        </w:rPr>
        <w:t xml:space="preserve">Bristol Eye Hospital, </w:t>
      </w:r>
      <w:bookmarkStart w:id="0" w:name="_GoBack"/>
      <w:bookmarkEnd w:id="0"/>
      <w:r w:rsidR="003A0BC0" w:rsidRPr="003A0BC0">
        <w:rPr>
          <w:rFonts w:ascii="Baskerville" w:hAnsi="Baskerville" w:cs="Arial"/>
        </w:rPr>
        <w:t>University of Bristol</w:t>
      </w:r>
    </w:p>
    <w:p w14:paraId="42626AD8" w14:textId="399B0D65" w:rsidR="00E41051" w:rsidRDefault="00E41051" w:rsidP="00E41051">
      <w:pPr>
        <w:widowControl w:val="0"/>
        <w:autoSpaceDE w:val="0"/>
        <w:autoSpaceDN w:val="0"/>
        <w:adjustRightInd w:val="0"/>
        <w:rPr>
          <w:rFonts w:ascii="Baskerville" w:hAnsi="Baskerville" w:cs="Arial"/>
        </w:rPr>
      </w:pPr>
      <w:r w:rsidRPr="003A0BC0">
        <w:t xml:space="preserve">Faculty of Health Sciences, </w:t>
      </w:r>
      <w:r w:rsidRPr="003A0BC0">
        <w:rPr>
          <w:rFonts w:ascii="Baskerville" w:hAnsi="Baskerville" w:cs="Arial"/>
        </w:rPr>
        <w:t>University of Bristol, Tyndall Avenue, Bristol BS8 1TH, UK</w:t>
      </w:r>
    </w:p>
    <w:p w14:paraId="1A484986" w14:textId="0342C758" w:rsidR="003A0BC0" w:rsidRDefault="004D17D7" w:rsidP="00E41051">
      <w:pPr>
        <w:widowControl w:val="0"/>
        <w:autoSpaceDE w:val="0"/>
        <w:autoSpaceDN w:val="0"/>
        <w:adjustRightInd w:val="0"/>
        <w:rPr>
          <w:rFonts w:ascii="Baskerville" w:hAnsi="Baskerville" w:cs="Arial"/>
        </w:rPr>
      </w:pPr>
      <w:r>
        <w:rPr>
          <w:rFonts w:ascii="Baskerville" w:hAnsi="Baskerville" w:cs="Arial"/>
        </w:rPr>
        <w:t>Tel: 0117 331 4555</w:t>
      </w:r>
      <w:r w:rsidR="003A0BC0">
        <w:rPr>
          <w:rFonts w:ascii="Baskerville" w:hAnsi="Baskerville" w:cs="Arial"/>
        </w:rPr>
        <w:t xml:space="preserve"> Email: victoria.wilson@bristol.ac.uk</w:t>
      </w:r>
    </w:p>
    <w:p w14:paraId="4DD7106B" w14:textId="77777777" w:rsidR="00871015" w:rsidRDefault="00871015" w:rsidP="00E41051">
      <w:pPr>
        <w:widowControl w:val="0"/>
        <w:autoSpaceDE w:val="0"/>
        <w:autoSpaceDN w:val="0"/>
        <w:adjustRightInd w:val="0"/>
        <w:rPr>
          <w:rFonts w:ascii="Baskerville" w:hAnsi="Baskerville" w:cs="Arial"/>
        </w:rPr>
      </w:pPr>
    </w:p>
    <w:p w14:paraId="130D2730" w14:textId="77777777" w:rsidR="003A0BC0" w:rsidRPr="003A0BC0" w:rsidRDefault="00E41051" w:rsidP="00E41051">
      <w:pPr>
        <w:widowControl w:val="0"/>
        <w:autoSpaceDE w:val="0"/>
        <w:autoSpaceDN w:val="0"/>
        <w:adjustRightInd w:val="0"/>
      </w:pPr>
      <w:r w:rsidRPr="003A0BC0">
        <w:rPr>
          <w:rFonts w:ascii="Baskerville" w:hAnsi="Baskerville" w:cs="Arial"/>
        </w:rPr>
        <w:t xml:space="preserve">Jimmy Uddin, </w:t>
      </w:r>
      <w:r w:rsidRPr="003A0BC0">
        <w:t xml:space="preserve">Moorfields Eye Hospital, </w:t>
      </w:r>
    </w:p>
    <w:p w14:paraId="54A9BEF4" w14:textId="79E2910A" w:rsidR="00E41051" w:rsidRDefault="003A0BC0" w:rsidP="00E41051">
      <w:pPr>
        <w:widowControl w:val="0"/>
        <w:autoSpaceDE w:val="0"/>
        <w:autoSpaceDN w:val="0"/>
        <w:adjustRightInd w:val="0"/>
      </w:pPr>
      <w:r w:rsidRPr="003A0BC0">
        <w:t xml:space="preserve">Moorfields Eye Hospital, </w:t>
      </w:r>
      <w:r w:rsidR="00E41051" w:rsidRPr="003A0BC0">
        <w:t>City Road, London, EC1V 2PD, UK</w:t>
      </w:r>
    </w:p>
    <w:p w14:paraId="03E33754" w14:textId="1D08920F" w:rsidR="003A0BC0" w:rsidRDefault="003A0BC0" w:rsidP="00E41051">
      <w:pPr>
        <w:widowControl w:val="0"/>
        <w:autoSpaceDE w:val="0"/>
        <w:autoSpaceDN w:val="0"/>
        <w:adjustRightInd w:val="0"/>
        <w:rPr>
          <w:rFonts w:ascii="Baskerville" w:hAnsi="Baskerville" w:cs="Arial"/>
        </w:rPr>
      </w:pPr>
      <w:r>
        <w:t>Tel: 020 7253 3411 Email: jimmy.uddin@moorfields.nhs.uk</w:t>
      </w:r>
    </w:p>
    <w:p w14:paraId="6EB98917" w14:textId="77777777" w:rsidR="00871015" w:rsidRDefault="00871015" w:rsidP="00E41051">
      <w:pPr>
        <w:widowControl w:val="0"/>
        <w:autoSpaceDE w:val="0"/>
        <w:autoSpaceDN w:val="0"/>
        <w:adjustRightInd w:val="0"/>
      </w:pPr>
    </w:p>
    <w:p w14:paraId="64350BBC" w14:textId="4412B3D2" w:rsidR="00871015" w:rsidRPr="00871015" w:rsidRDefault="00E41051" w:rsidP="00E41051">
      <w:pPr>
        <w:widowControl w:val="0"/>
        <w:autoSpaceDE w:val="0"/>
        <w:autoSpaceDN w:val="0"/>
        <w:adjustRightInd w:val="0"/>
      </w:pPr>
      <w:r w:rsidRPr="00871015">
        <w:t>Richard W</w:t>
      </w:r>
      <w:r w:rsidR="00871015" w:rsidRPr="00871015">
        <w:t>illiam</w:t>
      </w:r>
      <w:r w:rsidRPr="00871015">
        <w:t xml:space="preserve"> J</w:t>
      </w:r>
      <w:r w:rsidR="00871015" w:rsidRPr="00871015">
        <w:t>ohn</w:t>
      </w:r>
      <w:r w:rsidRPr="00871015">
        <w:t xml:space="preserve"> Lee, </w:t>
      </w:r>
      <w:r w:rsidR="00871015" w:rsidRPr="00871015">
        <w:rPr>
          <w:rFonts w:eastAsia="Times New Roman" w:cs="Calibri"/>
          <w:color w:val="212121"/>
        </w:rPr>
        <w:t>University of Bristol and NIHR Moorfields Biomedical Research Centre</w:t>
      </w:r>
    </w:p>
    <w:p w14:paraId="0F0F725B" w14:textId="62100D60" w:rsidR="00E41051" w:rsidRPr="00871015" w:rsidRDefault="00E41051" w:rsidP="00E41051">
      <w:pPr>
        <w:widowControl w:val="0"/>
        <w:autoSpaceDE w:val="0"/>
        <w:autoSpaceDN w:val="0"/>
        <w:adjustRightInd w:val="0"/>
        <w:rPr>
          <w:rFonts w:cs="Arial"/>
        </w:rPr>
      </w:pPr>
      <w:r w:rsidRPr="00871015">
        <w:t xml:space="preserve">Faculty of Health Sciences, </w:t>
      </w:r>
      <w:r w:rsidRPr="00871015">
        <w:rPr>
          <w:rFonts w:cs="Arial"/>
        </w:rPr>
        <w:t>University of Bristol, Tyndall Avenue, Bristol BS8 1TH, UK</w:t>
      </w:r>
    </w:p>
    <w:p w14:paraId="1C894533" w14:textId="55B617CD" w:rsidR="00871015" w:rsidRDefault="00DB126B" w:rsidP="00871015">
      <w:pPr>
        <w:rPr>
          <w:rFonts w:ascii="Baskerville" w:hAnsi="Baskerville" w:cs="Arial"/>
        </w:rPr>
      </w:pPr>
      <w:r>
        <w:rPr>
          <w:rFonts w:eastAsia="Times New Roman" w:cs="Calibri"/>
          <w:color w:val="212121"/>
        </w:rPr>
        <w:t>Tel</w:t>
      </w:r>
      <w:r w:rsidR="00871015" w:rsidRPr="00871015">
        <w:rPr>
          <w:rFonts w:eastAsia="Times New Roman" w:cs="Calibri"/>
          <w:color w:val="212121"/>
        </w:rPr>
        <w:t xml:space="preserve">: +44 (0)117 331 1479 Email: </w:t>
      </w:r>
      <w:hyperlink r:id="rId10" w:history="1">
        <w:r w:rsidR="00871015" w:rsidRPr="00871015">
          <w:rPr>
            <w:rStyle w:val="Hyperlink"/>
            <w:rFonts w:cs="Calibri"/>
          </w:rPr>
          <w:t>richard.lee@bristol.ac.uk</w:t>
        </w:r>
      </w:hyperlink>
    </w:p>
    <w:p w14:paraId="5ECD39F4" w14:textId="77777777" w:rsidR="00871015" w:rsidRDefault="00871015" w:rsidP="00E41051"/>
    <w:p w14:paraId="514F6803" w14:textId="77777777" w:rsidR="00DB126B" w:rsidRDefault="00E41051" w:rsidP="00E41051">
      <w:r w:rsidRPr="0048229C">
        <w:t>Colin Dayan, Cardiff University School of Medicine</w:t>
      </w:r>
    </w:p>
    <w:p w14:paraId="66E58268" w14:textId="38F03E1A" w:rsidR="00DB126B" w:rsidRPr="00DB126B" w:rsidRDefault="00DB126B" w:rsidP="00DB126B">
      <w:pPr>
        <w:pStyle w:val="NormalWeb"/>
        <w:spacing w:before="2" w:after="2"/>
        <w:rPr>
          <w:rFonts w:asciiTheme="minorHAnsi" w:hAnsiTheme="minorHAnsi"/>
          <w:sz w:val="24"/>
          <w:szCs w:val="24"/>
        </w:rPr>
      </w:pPr>
      <w:r w:rsidRPr="003A0BC0">
        <w:rPr>
          <w:rStyle w:val="Strong"/>
          <w:rFonts w:asciiTheme="minorHAnsi" w:hAnsiTheme="minorHAnsi"/>
          <w:b w:val="0"/>
          <w:sz w:val="24"/>
          <w:szCs w:val="24"/>
        </w:rPr>
        <w:t>Professor of Clinical Diabetes and Metabolism</w:t>
      </w:r>
      <w:r w:rsidRPr="00DB126B">
        <w:rPr>
          <w:rStyle w:val="Strong"/>
          <w:rFonts w:asciiTheme="minorHAnsi" w:hAnsiTheme="minorHAnsi"/>
          <w:sz w:val="24"/>
          <w:szCs w:val="24"/>
        </w:rPr>
        <w:t xml:space="preserve">, </w:t>
      </w:r>
      <w:r w:rsidRPr="00DB126B">
        <w:rPr>
          <w:rFonts w:asciiTheme="minorHAnsi" w:hAnsiTheme="minorHAnsi"/>
          <w:sz w:val="24"/>
          <w:szCs w:val="24"/>
        </w:rPr>
        <w:t>C2 Link corridor, Cardiff University, Heath Park, Cardiff CF14 4XN</w:t>
      </w:r>
    </w:p>
    <w:p w14:paraId="2E1D6993" w14:textId="77777777" w:rsidR="00DB126B" w:rsidRPr="00DB126B" w:rsidRDefault="00DB126B" w:rsidP="00DB126B">
      <w:pPr>
        <w:pStyle w:val="NormalWeb"/>
        <w:spacing w:before="2" w:after="2"/>
        <w:rPr>
          <w:rFonts w:asciiTheme="minorHAnsi" w:hAnsiTheme="minorHAnsi"/>
          <w:sz w:val="24"/>
          <w:szCs w:val="24"/>
        </w:rPr>
      </w:pPr>
      <w:r w:rsidRPr="00DB126B">
        <w:rPr>
          <w:rFonts w:asciiTheme="minorHAnsi" w:hAnsiTheme="minorHAnsi"/>
          <w:sz w:val="24"/>
          <w:szCs w:val="24"/>
        </w:rPr>
        <w:t xml:space="preserve">Tel: +44 (0)29 2074 2182 Email: Email: </w:t>
      </w:r>
      <w:hyperlink r:id="rId11" w:history="1">
        <w:r w:rsidRPr="00DB126B">
          <w:rPr>
            <w:rStyle w:val="Hyperlink"/>
            <w:rFonts w:asciiTheme="minorHAnsi" w:hAnsiTheme="minorHAnsi"/>
            <w:sz w:val="24"/>
            <w:szCs w:val="24"/>
          </w:rPr>
          <w:t>DayanCM@cardiff.ac.uk</w:t>
        </w:r>
      </w:hyperlink>
    </w:p>
    <w:p w14:paraId="02353690" w14:textId="77777777" w:rsidR="00871015" w:rsidRDefault="00871015" w:rsidP="00E41051"/>
    <w:p w14:paraId="3D6FB50C" w14:textId="77777777" w:rsidR="00871015" w:rsidRDefault="00871015" w:rsidP="00E41051">
      <w:r>
        <w:lastRenderedPageBreak/>
        <w:t xml:space="preserve">Dr </w:t>
      </w:r>
      <w:r w:rsidR="00E41051">
        <w:t xml:space="preserve">Sue Jackson, Centre for Appearance Research, </w:t>
      </w:r>
    </w:p>
    <w:p w14:paraId="564E3942" w14:textId="5F6FFAC5" w:rsidR="00871015" w:rsidRDefault="00871015" w:rsidP="00871015">
      <w:r w:rsidRPr="0048229C">
        <w:t>Department of Psychol</w:t>
      </w:r>
      <w:r>
        <w:t>o</w:t>
      </w:r>
      <w:r w:rsidRPr="0048229C">
        <w:t>gy</w:t>
      </w:r>
      <w:r>
        <w:t xml:space="preserve">, </w:t>
      </w:r>
      <w:r w:rsidRPr="0048229C">
        <w:t>University of the West of England</w:t>
      </w:r>
      <w:r>
        <w:t xml:space="preserve">, </w:t>
      </w:r>
      <w:proofErr w:type="spellStart"/>
      <w:r w:rsidRPr="0048229C">
        <w:t>Frenchay</w:t>
      </w:r>
      <w:proofErr w:type="spellEnd"/>
      <w:r w:rsidRPr="0048229C">
        <w:t xml:space="preserve"> Campus</w:t>
      </w:r>
      <w:r>
        <w:t xml:space="preserve">, </w:t>
      </w:r>
      <w:proofErr w:type="spellStart"/>
      <w:r w:rsidRPr="0048229C">
        <w:t>Coldharbour</w:t>
      </w:r>
      <w:proofErr w:type="spellEnd"/>
      <w:r w:rsidRPr="0048229C">
        <w:t xml:space="preserve"> Lane</w:t>
      </w:r>
      <w:r>
        <w:t xml:space="preserve">, </w:t>
      </w:r>
      <w:proofErr w:type="spellStart"/>
      <w:r w:rsidRPr="0048229C">
        <w:t>Frenchay</w:t>
      </w:r>
      <w:proofErr w:type="spellEnd"/>
      <w:r>
        <w:t xml:space="preserve">, </w:t>
      </w:r>
      <w:r w:rsidRPr="0048229C">
        <w:t>Bristol</w:t>
      </w:r>
      <w:r>
        <w:t xml:space="preserve"> </w:t>
      </w:r>
      <w:r w:rsidRPr="0048229C">
        <w:t>BS16 1QY</w:t>
      </w:r>
      <w:r>
        <w:t xml:space="preserve"> </w:t>
      </w:r>
    </w:p>
    <w:p w14:paraId="1F43E9F7" w14:textId="0FE7F692" w:rsidR="00871015" w:rsidRDefault="00871015" w:rsidP="00871015">
      <w:r w:rsidRPr="0048229C">
        <w:t>Tel: 01454 250482</w:t>
      </w:r>
      <w:r>
        <w:t xml:space="preserve"> </w:t>
      </w:r>
      <w:r w:rsidRPr="0048229C">
        <w:t xml:space="preserve">Email: </w:t>
      </w:r>
      <w:hyperlink r:id="rId12" w:history="1">
        <w:r w:rsidRPr="007B6229">
          <w:rPr>
            <w:rStyle w:val="Hyperlink"/>
          </w:rPr>
          <w:t>hellosue@suejackson.me.uk</w:t>
        </w:r>
      </w:hyperlink>
    </w:p>
    <w:p w14:paraId="50EAFD4E" w14:textId="77777777" w:rsidR="00871015" w:rsidRPr="0048229C" w:rsidRDefault="00871015" w:rsidP="00871015">
      <w:r>
        <w:t>ORCID:</w:t>
      </w:r>
      <w:r>
        <w:rPr>
          <w:rFonts w:ascii="Arial" w:eastAsia="Times New Roman" w:hAnsi="Arial" w:cs="Arial"/>
          <w:color w:val="666666"/>
          <w:sz w:val="23"/>
          <w:szCs w:val="23"/>
        </w:rPr>
        <w:t xml:space="preserve"> </w:t>
      </w:r>
      <w:hyperlink r:id="rId13" w:tgtFrame="_blank" w:history="1">
        <w:r>
          <w:rPr>
            <w:rStyle w:val="Hyperlink"/>
            <w:rFonts w:cs="Arial"/>
            <w:sz w:val="23"/>
            <w:szCs w:val="23"/>
          </w:rPr>
          <w:t>0000-0002-1684-2224</w:t>
        </w:r>
      </w:hyperlink>
    </w:p>
    <w:p w14:paraId="4E7ADB86" w14:textId="77777777" w:rsidR="00871015" w:rsidRDefault="00871015" w:rsidP="00E41051"/>
    <w:p w14:paraId="7D2F5B11" w14:textId="77777777" w:rsidR="00E41051" w:rsidRPr="0048229C" w:rsidRDefault="00E41051" w:rsidP="00E41051">
      <w:r w:rsidRPr="0048229C">
        <w:t xml:space="preserve">On behalf of </w:t>
      </w:r>
      <w:r>
        <w:t xml:space="preserve">the </w:t>
      </w:r>
      <w:r w:rsidRPr="0048229C">
        <w:t>CIRTED investigators</w:t>
      </w:r>
    </w:p>
    <w:p w14:paraId="3DD9B658" w14:textId="77777777" w:rsidR="008318DD" w:rsidRPr="0048229C" w:rsidRDefault="008318DD" w:rsidP="008318DD"/>
    <w:p w14:paraId="643525EF" w14:textId="67C13468" w:rsidR="008318DD" w:rsidRPr="0048229C" w:rsidRDefault="008318DD" w:rsidP="008318DD">
      <w:r w:rsidRPr="0048229C">
        <w:rPr>
          <w:i/>
          <w:u w:val="single"/>
        </w:rPr>
        <w:t>Word Count</w:t>
      </w:r>
      <w:r w:rsidRPr="0048229C">
        <w:t xml:space="preserve">: </w:t>
      </w:r>
      <w:r w:rsidR="00B23C46">
        <w:t>3,158</w:t>
      </w:r>
      <w:r w:rsidRPr="0048229C">
        <w:tab/>
      </w:r>
      <w:r w:rsidRPr="0048229C">
        <w:tab/>
      </w:r>
      <w:r w:rsidRPr="0048229C">
        <w:tab/>
      </w:r>
      <w:r w:rsidRPr="0048229C">
        <w:tab/>
      </w:r>
      <w:r w:rsidRPr="0048229C">
        <w:tab/>
      </w:r>
      <w:r w:rsidRPr="0048229C">
        <w:tab/>
      </w:r>
    </w:p>
    <w:p w14:paraId="65FD251A" w14:textId="393ED310" w:rsidR="008318DD" w:rsidRPr="0048229C" w:rsidRDefault="008318DD" w:rsidP="008318DD">
      <w:r w:rsidRPr="0048229C">
        <w:rPr>
          <w:u w:val="single"/>
        </w:rPr>
        <w:t>Word Limit:</w:t>
      </w:r>
      <w:r w:rsidRPr="0048229C">
        <w:t xml:space="preserve"> </w:t>
      </w:r>
      <w:r w:rsidR="0038735F">
        <w:t>4</w:t>
      </w:r>
      <w:r w:rsidRPr="0048229C">
        <w:t>,000 (excluding abstract, tables</w:t>
      </w:r>
      <w:r w:rsidR="0038735F">
        <w:t>,</w:t>
      </w:r>
      <w:r w:rsidRPr="0048229C">
        <w:t xml:space="preserve"> figures</w:t>
      </w:r>
      <w:r w:rsidR="0038735F">
        <w:t xml:space="preserve"> &amp; references</w:t>
      </w:r>
      <w:r w:rsidRPr="0048229C">
        <w:t>)</w:t>
      </w:r>
    </w:p>
    <w:p w14:paraId="3B854A23" w14:textId="77777777" w:rsidR="008318DD" w:rsidRPr="0048229C" w:rsidRDefault="008318DD" w:rsidP="008318DD"/>
    <w:p w14:paraId="0379E594" w14:textId="77777777" w:rsidR="007F5E59" w:rsidRPr="0048229C" w:rsidRDefault="008318DD" w:rsidP="008318DD">
      <w:r w:rsidRPr="0048229C">
        <w:br w:type="page"/>
      </w:r>
    </w:p>
    <w:p w14:paraId="76690F77" w14:textId="21151FB5" w:rsidR="0048229C" w:rsidRPr="00697F15" w:rsidRDefault="00E37184" w:rsidP="0048229C">
      <w:pPr>
        <w:spacing w:line="360" w:lineRule="auto"/>
        <w:rPr>
          <w:b/>
        </w:rPr>
      </w:pPr>
      <w:r>
        <w:rPr>
          <w:b/>
        </w:rPr>
        <w:lastRenderedPageBreak/>
        <w:t>Abstract</w:t>
      </w:r>
    </w:p>
    <w:p w14:paraId="5116622F" w14:textId="128EDE44" w:rsidR="00697F15" w:rsidRPr="0048229C" w:rsidRDefault="00697F15" w:rsidP="00697F15">
      <w:pPr>
        <w:widowControl w:val="0"/>
        <w:autoSpaceDE w:val="0"/>
        <w:autoSpaceDN w:val="0"/>
        <w:adjustRightInd w:val="0"/>
        <w:spacing w:line="360" w:lineRule="auto"/>
        <w:rPr>
          <w:rFonts w:cs="Times New Roman"/>
          <w:lang w:val="en-US"/>
        </w:rPr>
      </w:pPr>
      <w:r>
        <w:rPr>
          <w:rFonts w:cs="Times New Roman"/>
          <w:lang w:val="en-US"/>
        </w:rPr>
        <w:t xml:space="preserve">Thyroid eye disease (TED) </w:t>
      </w:r>
      <w:r w:rsidRPr="0048229C">
        <w:rPr>
          <w:rFonts w:cs="Times New Roman"/>
          <w:lang w:val="en-US"/>
        </w:rPr>
        <w:t>is a potentially sight-threatening and cosmetically disfiguring condition arising in 25-50% of patient</w:t>
      </w:r>
      <w:r>
        <w:rPr>
          <w:rFonts w:cs="Times New Roman"/>
          <w:lang w:val="en-US"/>
        </w:rPr>
        <w:t xml:space="preserve">s with Graves' hyperthyroidism. </w:t>
      </w:r>
      <w:r w:rsidRPr="0048229C">
        <w:t>CIRTED is the first study to evaluate the long-term role of radiotherapy and prolonged immunosuppression with azathioprine</w:t>
      </w:r>
      <w:r>
        <w:t xml:space="preserve"> in treating T</w:t>
      </w:r>
      <w:r w:rsidRPr="0048229C">
        <w:t>ED</w:t>
      </w:r>
      <w:r>
        <w:t>, one aim of which was to v</w:t>
      </w:r>
      <w:r w:rsidRPr="00837436">
        <w:t xml:space="preserve">alidate the use of the English version of </w:t>
      </w:r>
      <w:r w:rsidR="00C948D2">
        <w:t>GO-QOL</w:t>
      </w:r>
      <w:r w:rsidRPr="00837436">
        <w:t xml:space="preserve"> in an UK population with TED</w:t>
      </w:r>
      <w:r>
        <w:t>. In a three stage design</w:t>
      </w:r>
      <w:r w:rsidR="00C053F0">
        <w:t xml:space="preserve"> over a 48 week period</w:t>
      </w:r>
      <w:r>
        <w:t xml:space="preserve">, the </w:t>
      </w:r>
      <w:r w:rsidR="00C948D2">
        <w:t>GO-QOL</w:t>
      </w:r>
      <w:r>
        <w:t xml:space="preserve"> was tested and compared to a general measure of quality of life (</w:t>
      </w:r>
      <w:r w:rsidR="00C948D2">
        <w:t>WHOQOL</w:t>
      </w:r>
      <w:r>
        <w:t>-</w:t>
      </w:r>
      <w:proofErr w:type="spellStart"/>
      <w:r>
        <w:t>Bref</w:t>
      </w:r>
      <w:proofErr w:type="spellEnd"/>
      <w:r>
        <w:t xml:space="preserve">). </w:t>
      </w:r>
      <w:r w:rsidR="00C053F0">
        <w:t xml:space="preserve">In </w:t>
      </w:r>
      <w:r w:rsidR="002F7372">
        <w:t xml:space="preserve">stage 1 utilising </w:t>
      </w:r>
      <w:r w:rsidR="00C053F0">
        <w:t xml:space="preserve">a </w:t>
      </w:r>
      <w:r w:rsidR="002F7372">
        <w:t xml:space="preserve">standard 14 day </w:t>
      </w:r>
      <w:r w:rsidR="00C053F0">
        <w:t xml:space="preserve">test-retest design both </w:t>
      </w:r>
      <w:r w:rsidR="00C948D2">
        <w:t>GO-QOL</w:t>
      </w:r>
      <w:r w:rsidR="00C053F0">
        <w:t xml:space="preserve"> subscales</w:t>
      </w:r>
      <w:r>
        <w:rPr>
          <w:lang w:val="en-US"/>
        </w:rPr>
        <w:t xml:space="preserve"> </w:t>
      </w:r>
      <w:r w:rsidR="002F7372">
        <w:rPr>
          <w:lang w:val="en-US"/>
        </w:rPr>
        <w:t>achieved</w:t>
      </w:r>
      <w:r w:rsidR="00C053F0">
        <w:rPr>
          <w:lang w:val="en-US"/>
        </w:rPr>
        <w:t xml:space="preserve"> Cronbach’s alphas demonstrating excellent</w:t>
      </w:r>
      <w:r>
        <w:rPr>
          <w:lang w:val="en-US"/>
        </w:rPr>
        <w:t xml:space="preserve"> </w:t>
      </w:r>
      <w:r w:rsidRPr="0048229C">
        <w:rPr>
          <w:lang w:val="en-US"/>
        </w:rPr>
        <w:t xml:space="preserve">validity and </w:t>
      </w:r>
      <w:r w:rsidR="00C053F0">
        <w:rPr>
          <w:lang w:val="en-US"/>
        </w:rPr>
        <w:t xml:space="preserve">internal </w:t>
      </w:r>
      <w:r w:rsidRPr="0048229C">
        <w:rPr>
          <w:lang w:val="en-US"/>
        </w:rPr>
        <w:t>reliability</w:t>
      </w:r>
      <w:r w:rsidR="00C053F0">
        <w:rPr>
          <w:lang w:val="en-US"/>
        </w:rPr>
        <w:t xml:space="preserve"> (Visual Function 0.929 and 0.931; Appearance 0.888 and 0.906)</w:t>
      </w:r>
      <w:r w:rsidRPr="0048229C">
        <w:rPr>
          <w:lang w:val="en-US"/>
        </w:rPr>
        <w:t xml:space="preserve">. </w:t>
      </w:r>
      <w:r w:rsidR="002F7372">
        <w:rPr>
          <w:lang w:val="en-US"/>
        </w:rPr>
        <w:t xml:space="preserve">In stage 2, </w:t>
      </w:r>
      <w:r w:rsidR="00C053F0">
        <w:rPr>
          <w:lang w:val="en-US"/>
        </w:rPr>
        <w:t>Repeated Measures ANOVA demonstrated l</w:t>
      </w:r>
      <w:r w:rsidRPr="0048229C">
        <w:rPr>
          <w:lang w:val="en-US"/>
        </w:rPr>
        <w:t>ongitudinal validity</w:t>
      </w:r>
      <w:r w:rsidR="00C053F0">
        <w:rPr>
          <w:lang w:val="en-US"/>
        </w:rPr>
        <w:t xml:space="preserve">, with both subscales of the </w:t>
      </w:r>
      <w:r w:rsidR="00C948D2">
        <w:rPr>
          <w:lang w:val="en-US"/>
        </w:rPr>
        <w:t>GO-QOL</w:t>
      </w:r>
      <w:r w:rsidR="00C053F0">
        <w:rPr>
          <w:lang w:val="en-US"/>
        </w:rPr>
        <w:t xml:space="preserve"> showing significant change over time (Visual Function, </w:t>
      </w:r>
      <w:r w:rsidR="005D7252" w:rsidRPr="0048229C">
        <w:t>η</w:t>
      </w:r>
      <w:r w:rsidR="005D7252" w:rsidRPr="004B2900">
        <w:rPr>
          <w:vertAlign w:val="superscript"/>
        </w:rPr>
        <w:t>2</w:t>
      </w:r>
      <w:r w:rsidR="00B56C13" w:rsidRPr="0048229C">
        <w:t>=0.114</w:t>
      </w:r>
      <w:r w:rsidR="00B56C13">
        <w:t xml:space="preserve">, </w:t>
      </w:r>
      <w:r w:rsidR="00C053F0">
        <w:rPr>
          <w:lang w:val="en-US"/>
        </w:rPr>
        <w:t xml:space="preserve">p&lt;.001; Appearance, </w:t>
      </w:r>
      <w:r w:rsidR="005D7252" w:rsidRPr="0048229C">
        <w:t>η</w:t>
      </w:r>
      <w:r w:rsidR="005D7252" w:rsidRPr="004B2900">
        <w:rPr>
          <w:vertAlign w:val="superscript"/>
        </w:rPr>
        <w:t>2</w:t>
      </w:r>
      <w:r w:rsidR="00B56C13" w:rsidRPr="0048229C">
        <w:t>=</w:t>
      </w:r>
      <w:r w:rsidR="00B56C13" w:rsidRPr="0048229C">
        <w:rPr>
          <w:bCs/>
        </w:rPr>
        <w:t>0.069</w:t>
      </w:r>
      <w:r w:rsidR="00B56C13">
        <w:rPr>
          <w:bCs/>
        </w:rPr>
        <w:t xml:space="preserve">, </w:t>
      </w:r>
      <w:r w:rsidR="00C053F0">
        <w:rPr>
          <w:lang w:val="en-US"/>
        </w:rPr>
        <w:t xml:space="preserve">p&lt;.002). </w:t>
      </w:r>
      <w:r w:rsidR="002F7372">
        <w:rPr>
          <w:lang w:val="en-US"/>
        </w:rPr>
        <w:t>In stage 3 t</w:t>
      </w:r>
      <w:r w:rsidR="00C053F0">
        <w:rPr>
          <w:rFonts w:cs="Times New Roman"/>
          <w:lang w:val="en-US"/>
        </w:rPr>
        <w:t xml:space="preserve">he </w:t>
      </w:r>
      <w:r w:rsidR="00C948D2">
        <w:rPr>
          <w:rFonts w:cs="Times New Roman"/>
          <w:lang w:val="en-US"/>
        </w:rPr>
        <w:t>GO-QOL</w:t>
      </w:r>
      <w:r w:rsidR="00C053F0">
        <w:rPr>
          <w:rFonts w:cs="Times New Roman"/>
          <w:lang w:val="en-US"/>
        </w:rPr>
        <w:t xml:space="preserve"> </w:t>
      </w:r>
      <w:r w:rsidR="002F7372">
        <w:rPr>
          <w:rFonts w:cs="Times New Roman"/>
          <w:lang w:val="en-US"/>
        </w:rPr>
        <w:t>showed</w:t>
      </w:r>
      <w:r w:rsidR="00C053F0">
        <w:rPr>
          <w:rFonts w:cs="Times New Roman"/>
          <w:lang w:val="en-US"/>
        </w:rPr>
        <w:t xml:space="preserve"> </w:t>
      </w:r>
      <w:r>
        <w:rPr>
          <w:rFonts w:cs="Times New Roman"/>
          <w:lang w:val="en-US"/>
        </w:rPr>
        <w:t>discriminant validity</w:t>
      </w:r>
      <w:r w:rsidR="002F7372">
        <w:rPr>
          <w:rFonts w:cs="Times New Roman"/>
          <w:lang w:val="en-US"/>
        </w:rPr>
        <w:t xml:space="preserve"> at the week 48 time point</w:t>
      </w:r>
      <w:r>
        <w:rPr>
          <w:rFonts w:cs="Times New Roman"/>
          <w:lang w:val="en-US"/>
        </w:rPr>
        <w:t xml:space="preserve">, with the visual function subscale being able to detect changes in groups identified by clinicians (using BCCOM ratings of improvement or deterioration), while both subscales could detect group differences when based on participants’ </w:t>
      </w:r>
      <w:r w:rsidR="002F7372">
        <w:rPr>
          <w:rFonts w:cs="Times New Roman"/>
          <w:lang w:val="en-US"/>
        </w:rPr>
        <w:t xml:space="preserve">subjective </w:t>
      </w:r>
      <w:r>
        <w:rPr>
          <w:rFonts w:cs="Times New Roman"/>
          <w:lang w:val="en-US"/>
        </w:rPr>
        <w:t>ratings of TED noticeability and severity.</w:t>
      </w:r>
      <w:r w:rsidR="002F7372">
        <w:rPr>
          <w:rFonts w:cs="Times New Roman"/>
          <w:lang w:val="en-US"/>
        </w:rPr>
        <w:t xml:space="preserve"> </w:t>
      </w:r>
      <w:r w:rsidR="002F7372" w:rsidRPr="0048229C">
        <w:rPr>
          <w:lang w:val="en-US"/>
        </w:rPr>
        <w:t>The resu</w:t>
      </w:r>
      <w:r w:rsidR="002F7372">
        <w:rPr>
          <w:lang w:val="en-US"/>
        </w:rPr>
        <w:t xml:space="preserve">lts of this project provide support for the </w:t>
      </w:r>
      <w:r w:rsidR="002F7372" w:rsidRPr="0048229C">
        <w:rPr>
          <w:lang w:val="en-US"/>
        </w:rPr>
        <w:t xml:space="preserve">English translation of the </w:t>
      </w:r>
      <w:r w:rsidR="00C948D2">
        <w:rPr>
          <w:lang w:val="en-US"/>
        </w:rPr>
        <w:t>GO-QOL</w:t>
      </w:r>
      <w:r w:rsidR="002F7372" w:rsidRPr="0048229C">
        <w:rPr>
          <w:lang w:val="en-US"/>
        </w:rPr>
        <w:t xml:space="preserve"> as an outcome measure for patients with </w:t>
      </w:r>
      <w:r w:rsidR="002F7372">
        <w:rPr>
          <w:lang w:val="en-US"/>
        </w:rPr>
        <w:t>moderately</w:t>
      </w:r>
      <w:r w:rsidR="004E665D">
        <w:rPr>
          <w:lang w:val="en-US"/>
        </w:rPr>
        <w:t xml:space="preserve"> severe</w:t>
      </w:r>
      <w:r w:rsidR="002F7372">
        <w:rPr>
          <w:lang w:val="en-US"/>
        </w:rPr>
        <w:t xml:space="preserve"> active </w:t>
      </w:r>
      <w:r w:rsidR="002F7372" w:rsidRPr="0048229C">
        <w:rPr>
          <w:lang w:val="en-US"/>
        </w:rPr>
        <w:t xml:space="preserve">Graves' </w:t>
      </w:r>
      <w:proofErr w:type="spellStart"/>
      <w:r w:rsidR="002F7372" w:rsidRPr="0048229C">
        <w:rPr>
          <w:lang w:val="en-US"/>
        </w:rPr>
        <w:t>orbitopathy</w:t>
      </w:r>
      <w:proofErr w:type="spellEnd"/>
      <w:r w:rsidR="002F7372">
        <w:rPr>
          <w:lang w:val="en-US"/>
        </w:rPr>
        <w:t>/TED</w:t>
      </w:r>
      <w:r w:rsidR="002F7372" w:rsidRPr="0048229C">
        <w:rPr>
          <w:lang w:val="en-US"/>
        </w:rPr>
        <w:t>.</w:t>
      </w:r>
    </w:p>
    <w:p w14:paraId="42E057AD" w14:textId="7AF346E0" w:rsidR="007C6CAD" w:rsidRPr="00697F15" w:rsidRDefault="007C6CAD" w:rsidP="007C6CAD"/>
    <w:p w14:paraId="390AEB08" w14:textId="47CFBF67" w:rsidR="0038735F" w:rsidRPr="0048229C" w:rsidRDefault="0038735F" w:rsidP="0038735F">
      <w:r w:rsidRPr="0048229C">
        <w:rPr>
          <w:i/>
          <w:u w:val="single"/>
        </w:rPr>
        <w:t>Word Count</w:t>
      </w:r>
      <w:r w:rsidRPr="0048229C">
        <w:t xml:space="preserve">: </w:t>
      </w:r>
      <w:r w:rsidR="002F7372">
        <w:t>22</w:t>
      </w:r>
      <w:r w:rsidR="00B56C13">
        <w:t>4</w:t>
      </w:r>
      <w:r w:rsidRPr="0048229C">
        <w:tab/>
      </w:r>
      <w:r w:rsidRPr="0048229C">
        <w:tab/>
      </w:r>
      <w:r w:rsidRPr="0048229C">
        <w:tab/>
      </w:r>
      <w:r w:rsidRPr="0048229C">
        <w:tab/>
      </w:r>
      <w:r w:rsidRPr="0048229C">
        <w:tab/>
      </w:r>
      <w:r w:rsidRPr="0048229C">
        <w:tab/>
      </w:r>
    </w:p>
    <w:p w14:paraId="14E53ABC" w14:textId="70C18401" w:rsidR="0038735F" w:rsidRPr="0048229C" w:rsidRDefault="0038735F" w:rsidP="0038735F">
      <w:pPr>
        <w:spacing w:line="360" w:lineRule="auto"/>
      </w:pPr>
      <w:r w:rsidRPr="0048229C">
        <w:rPr>
          <w:u w:val="single"/>
        </w:rPr>
        <w:t>Word Limit:</w:t>
      </w:r>
      <w:r w:rsidRPr="0048229C">
        <w:t xml:space="preserve"> </w:t>
      </w:r>
      <w:r>
        <w:t>300 words</w:t>
      </w:r>
    </w:p>
    <w:p w14:paraId="253D3FE2" w14:textId="77777777" w:rsidR="0038735F" w:rsidRDefault="0038735F" w:rsidP="0048229C">
      <w:pPr>
        <w:spacing w:line="360" w:lineRule="auto"/>
        <w:rPr>
          <w:b/>
        </w:rPr>
      </w:pPr>
    </w:p>
    <w:p w14:paraId="611965F0" w14:textId="0B6DABD0" w:rsidR="0048229C" w:rsidRPr="0048229C" w:rsidRDefault="00E37184" w:rsidP="0048229C">
      <w:pPr>
        <w:spacing w:line="360" w:lineRule="auto"/>
        <w:rPr>
          <w:b/>
          <w:bCs/>
        </w:rPr>
      </w:pPr>
      <w:r>
        <w:rPr>
          <w:b/>
        </w:rPr>
        <w:t>Keywords</w:t>
      </w:r>
      <w:r w:rsidR="007C6CAD">
        <w:t>:</w:t>
      </w:r>
      <w:r w:rsidR="0048229C" w:rsidRPr="0048229C">
        <w:t xml:space="preserve"> th</w:t>
      </w:r>
      <w:r w:rsidR="0038735F">
        <w:t>yroid eye disease</w:t>
      </w:r>
      <w:r w:rsidR="00BA6AE5">
        <w:t xml:space="preserve"> (TED)</w:t>
      </w:r>
      <w:r w:rsidR="0038735F">
        <w:t xml:space="preserve">, </w:t>
      </w:r>
      <w:r w:rsidR="0038735F" w:rsidRPr="0048229C">
        <w:rPr>
          <w:rFonts w:cs="Times New Roman"/>
          <w:lang w:val="en-US"/>
        </w:rPr>
        <w:t xml:space="preserve">Graves’ </w:t>
      </w:r>
      <w:proofErr w:type="spellStart"/>
      <w:r w:rsidR="0038735F" w:rsidRPr="0048229C">
        <w:rPr>
          <w:rFonts w:cs="Times New Roman"/>
          <w:lang w:val="en-US"/>
        </w:rPr>
        <w:t>ophthalmopathy</w:t>
      </w:r>
      <w:proofErr w:type="spellEnd"/>
      <w:r w:rsidR="00BA6AE5">
        <w:rPr>
          <w:rFonts w:cs="Times New Roman"/>
          <w:lang w:val="en-US"/>
        </w:rPr>
        <w:t xml:space="preserve"> (GO)</w:t>
      </w:r>
      <w:r w:rsidR="0038735F">
        <w:rPr>
          <w:rFonts w:cs="Times New Roman"/>
          <w:lang w:val="en-US"/>
        </w:rPr>
        <w:t>,</w:t>
      </w:r>
      <w:r w:rsidR="0048229C" w:rsidRPr="0048229C">
        <w:t xml:space="preserve"> </w:t>
      </w:r>
      <w:r w:rsidR="00C948D2">
        <w:t>GO-QOL</w:t>
      </w:r>
      <w:r w:rsidR="00BA6AE5">
        <w:t xml:space="preserve">, </w:t>
      </w:r>
      <w:r w:rsidR="0048229C" w:rsidRPr="0048229C">
        <w:t>adults</w:t>
      </w:r>
      <w:r w:rsidR="0038735F">
        <w:t xml:space="preserve">, psychometrics, </w:t>
      </w:r>
      <w:r w:rsidR="00BA6AE5">
        <w:t>reliability, validity</w:t>
      </w:r>
    </w:p>
    <w:p w14:paraId="26688E64" w14:textId="77777777" w:rsidR="00901F19" w:rsidRPr="0048229C" w:rsidRDefault="00901F19" w:rsidP="0048229C">
      <w:pPr>
        <w:spacing w:line="360" w:lineRule="auto"/>
      </w:pPr>
    </w:p>
    <w:p w14:paraId="142B62E1" w14:textId="7E29AE87" w:rsidR="00901F19" w:rsidRPr="0048229C" w:rsidRDefault="00E37184" w:rsidP="0048229C">
      <w:pPr>
        <w:spacing w:line="360" w:lineRule="auto"/>
        <w:rPr>
          <w:b/>
        </w:rPr>
      </w:pPr>
      <w:r>
        <w:rPr>
          <w:b/>
        </w:rPr>
        <w:t>Introduction</w:t>
      </w:r>
    </w:p>
    <w:p w14:paraId="5F7D0F54" w14:textId="664BD37F" w:rsidR="00B6755E" w:rsidRPr="0048229C" w:rsidRDefault="00B6755E" w:rsidP="0048229C">
      <w:pPr>
        <w:widowControl w:val="0"/>
        <w:autoSpaceDE w:val="0"/>
        <w:autoSpaceDN w:val="0"/>
        <w:adjustRightInd w:val="0"/>
        <w:spacing w:line="360" w:lineRule="auto"/>
        <w:rPr>
          <w:rFonts w:cs="Times New Roman"/>
          <w:lang w:val="en-US"/>
        </w:rPr>
      </w:pPr>
      <w:r w:rsidRPr="0048229C">
        <w:rPr>
          <w:rFonts w:cs="Times New Roman"/>
          <w:lang w:val="en-US"/>
        </w:rPr>
        <w:t xml:space="preserve">Graves’ </w:t>
      </w:r>
      <w:proofErr w:type="spellStart"/>
      <w:r w:rsidRPr="0048229C">
        <w:rPr>
          <w:rFonts w:cs="Times New Roman"/>
          <w:lang w:val="en-US"/>
        </w:rPr>
        <w:t>ophthalmopathy</w:t>
      </w:r>
      <w:proofErr w:type="spellEnd"/>
      <w:r w:rsidR="00EC6880" w:rsidRPr="0048229C">
        <w:rPr>
          <w:rFonts w:cs="Times New Roman"/>
          <w:lang w:val="en-US"/>
        </w:rPr>
        <w:t xml:space="preserve"> or </w:t>
      </w:r>
      <w:proofErr w:type="spellStart"/>
      <w:r w:rsidR="00EC6880" w:rsidRPr="0048229C">
        <w:rPr>
          <w:rFonts w:cs="Times New Roman"/>
          <w:lang w:val="en-US"/>
        </w:rPr>
        <w:t>orbitopathy</w:t>
      </w:r>
      <w:proofErr w:type="spellEnd"/>
      <w:r w:rsidRPr="0048229C">
        <w:rPr>
          <w:rFonts w:cs="Times New Roman"/>
          <w:lang w:val="en-US"/>
        </w:rPr>
        <w:t xml:space="preserve"> (GO) </w:t>
      </w:r>
      <w:r w:rsidR="00A52A0D">
        <w:rPr>
          <w:rFonts w:cs="Times New Roman"/>
          <w:lang w:val="en-US"/>
        </w:rPr>
        <w:t xml:space="preserve">also known as thyroid eye disease (TED) </w:t>
      </w:r>
      <w:r w:rsidRPr="0048229C">
        <w:rPr>
          <w:rFonts w:cs="Times New Roman"/>
          <w:lang w:val="en-US"/>
        </w:rPr>
        <w:t xml:space="preserve">is a potentially sight-threatening and </w:t>
      </w:r>
      <w:r w:rsidR="000A1F30" w:rsidRPr="0048229C">
        <w:rPr>
          <w:rFonts w:cs="Times New Roman"/>
          <w:lang w:val="en-US"/>
        </w:rPr>
        <w:t xml:space="preserve">cosmetically </w:t>
      </w:r>
      <w:r w:rsidRPr="0048229C">
        <w:rPr>
          <w:rFonts w:cs="Times New Roman"/>
          <w:lang w:val="en-US"/>
        </w:rPr>
        <w:t xml:space="preserve">disfiguring </w:t>
      </w:r>
      <w:r w:rsidR="000A1F30" w:rsidRPr="0048229C">
        <w:rPr>
          <w:rFonts w:cs="Times New Roman"/>
          <w:lang w:val="en-US"/>
        </w:rPr>
        <w:t>condition</w:t>
      </w:r>
      <w:r w:rsidR="00EC6880" w:rsidRPr="0048229C">
        <w:rPr>
          <w:rFonts w:cs="Times New Roman"/>
          <w:lang w:val="en-US"/>
        </w:rPr>
        <w:t xml:space="preserve"> </w:t>
      </w:r>
      <w:r w:rsidR="000A1F30" w:rsidRPr="0048229C">
        <w:rPr>
          <w:rFonts w:cs="Times New Roman"/>
          <w:lang w:val="en-US"/>
        </w:rPr>
        <w:t>arising</w:t>
      </w:r>
      <w:r w:rsidR="00C069E3" w:rsidRPr="0048229C">
        <w:rPr>
          <w:rFonts w:cs="Times New Roman"/>
          <w:lang w:val="en-US"/>
        </w:rPr>
        <w:t xml:space="preserve"> in 25-50% of patient</w:t>
      </w:r>
      <w:r w:rsidR="000252CB">
        <w:rPr>
          <w:rFonts w:cs="Times New Roman"/>
          <w:lang w:val="en-US"/>
        </w:rPr>
        <w:t>s with Graves' hyperthyroidism (</w:t>
      </w:r>
      <w:proofErr w:type="spellStart"/>
      <w:r w:rsidR="000252CB">
        <w:rPr>
          <w:rFonts w:cs="Times New Roman"/>
          <w:lang w:val="en-US"/>
        </w:rPr>
        <w:t>Bahn</w:t>
      </w:r>
      <w:proofErr w:type="spellEnd"/>
      <w:r w:rsidR="000252CB">
        <w:rPr>
          <w:rFonts w:cs="Times New Roman"/>
          <w:lang w:val="en-US"/>
        </w:rPr>
        <w:t xml:space="preserve"> &amp; </w:t>
      </w:r>
      <w:proofErr w:type="spellStart"/>
      <w:r w:rsidR="000252CB">
        <w:rPr>
          <w:rFonts w:cs="Times New Roman"/>
          <w:lang w:val="en-US"/>
        </w:rPr>
        <w:t>Heufelder</w:t>
      </w:r>
      <w:proofErr w:type="spellEnd"/>
      <w:r w:rsidR="000252CB">
        <w:rPr>
          <w:rFonts w:cs="Times New Roman"/>
          <w:lang w:val="en-US"/>
        </w:rPr>
        <w:t>, 1993)</w:t>
      </w:r>
      <w:r w:rsidRPr="0048229C">
        <w:rPr>
          <w:rFonts w:cs="Times New Roman"/>
          <w:lang w:val="en-US"/>
        </w:rPr>
        <w:t>.</w:t>
      </w:r>
      <w:r w:rsidR="00B65D22" w:rsidRPr="0048229C">
        <w:rPr>
          <w:rFonts w:cs="Times New Roman"/>
          <w:lang w:val="en-US"/>
        </w:rPr>
        <w:t xml:space="preserve"> The condition is rare and</w:t>
      </w:r>
      <w:r w:rsidR="000A1F30" w:rsidRPr="0048229C">
        <w:rPr>
          <w:rFonts w:cs="Times New Roman"/>
          <w:lang w:val="en-US"/>
        </w:rPr>
        <w:t xml:space="preserve"> causes redness and grittiness of the eye and </w:t>
      </w:r>
      <w:r w:rsidR="00C069E3" w:rsidRPr="0048229C">
        <w:rPr>
          <w:rFonts w:cs="Times New Roman"/>
          <w:lang w:val="en-US"/>
        </w:rPr>
        <w:t xml:space="preserve">can lead to </w:t>
      </w:r>
      <w:r w:rsidR="000A1F30" w:rsidRPr="0048229C">
        <w:rPr>
          <w:rFonts w:cs="Times New Roman"/>
          <w:lang w:val="en-US"/>
        </w:rPr>
        <w:t xml:space="preserve">disfiguring swelling of the eyelids, </w:t>
      </w:r>
      <w:r w:rsidR="000C3276" w:rsidRPr="0048229C">
        <w:rPr>
          <w:rFonts w:cs="Times New Roman"/>
          <w:lang w:val="en-US"/>
        </w:rPr>
        <w:t>proptosis</w:t>
      </w:r>
      <w:r w:rsidR="00DE6A56">
        <w:rPr>
          <w:rFonts w:cs="Times New Roman"/>
          <w:lang w:val="en-US"/>
        </w:rPr>
        <w:t xml:space="preserve"> (abnormal protrusion or displacement of the eye)</w:t>
      </w:r>
      <w:r w:rsidR="000C3276" w:rsidRPr="0048229C">
        <w:rPr>
          <w:rFonts w:cs="Times New Roman"/>
          <w:lang w:val="en-US"/>
        </w:rPr>
        <w:t xml:space="preserve"> and even blindness </w:t>
      </w:r>
      <w:r w:rsidR="000252CB">
        <w:rPr>
          <w:rFonts w:cs="Times New Roman"/>
          <w:lang w:val="en-US"/>
        </w:rPr>
        <w:t>(</w:t>
      </w:r>
      <w:proofErr w:type="spellStart"/>
      <w:r w:rsidR="000252CB">
        <w:rPr>
          <w:rFonts w:cs="Times New Roman"/>
          <w:lang w:val="en-US"/>
        </w:rPr>
        <w:t>Weetman</w:t>
      </w:r>
      <w:proofErr w:type="spellEnd"/>
      <w:r w:rsidR="000252CB">
        <w:rPr>
          <w:rFonts w:cs="Times New Roman"/>
          <w:lang w:val="en-US"/>
        </w:rPr>
        <w:t>, 1991)</w:t>
      </w:r>
      <w:r w:rsidR="00C069E3" w:rsidRPr="0048229C">
        <w:rPr>
          <w:rFonts w:cs="Times New Roman"/>
          <w:lang w:val="en-US"/>
        </w:rPr>
        <w:t xml:space="preserve">. </w:t>
      </w:r>
      <w:r w:rsidR="00DE6A56">
        <w:rPr>
          <w:rFonts w:cs="Times New Roman"/>
          <w:lang w:val="en-US"/>
        </w:rPr>
        <w:t xml:space="preserve">GO </w:t>
      </w:r>
      <w:r w:rsidR="00EC6880" w:rsidRPr="0048229C">
        <w:rPr>
          <w:rFonts w:cs="Times New Roman"/>
          <w:lang w:val="en-US"/>
        </w:rPr>
        <w:t xml:space="preserve">is an autoimmune disorder, linked to thyroid </w:t>
      </w:r>
      <w:r w:rsidR="00EC6880" w:rsidRPr="0048229C">
        <w:rPr>
          <w:rFonts w:cs="Times New Roman"/>
          <w:lang w:val="en-US"/>
        </w:rPr>
        <w:lastRenderedPageBreak/>
        <w:t xml:space="preserve">autoimmunity by autoantigens shared </w:t>
      </w:r>
      <w:r w:rsidR="00C069E3" w:rsidRPr="0048229C">
        <w:rPr>
          <w:rFonts w:cs="Times New Roman"/>
          <w:lang w:val="en-US"/>
        </w:rPr>
        <w:t>bet</w:t>
      </w:r>
      <w:r w:rsidR="000C3276" w:rsidRPr="0048229C">
        <w:rPr>
          <w:rFonts w:cs="Times New Roman"/>
          <w:lang w:val="en-US"/>
        </w:rPr>
        <w:t>ween the thyroid and the orbit</w:t>
      </w:r>
      <w:r w:rsidR="00DE6A56">
        <w:rPr>
          <w:rFonts w:cs="Times New Roman"/>
          <w:lang w:val="en-US"/>
        </w:rPr>
        <w:t xml:space="preserve"> of the eye</w:t>
      </w:r>
      <w:r w:rsidR="000252CB">
        <w:rPr>
          <w:rFonts w:cs="Times New Roman"/>
          <w:lang w:val="en-US"/>
        </w:rPr>
        <w:t xml:space="preserve"> (</w:t>
      </w:r>
      <w:proofErr w:type="spellStart"/>
      <w:r w:rsidR="000252CB">
        <w:rPr>
          <w:rFonts w:cs="Times New Roman"/>
          <w:lang w:val="en-US"/>
        </w:rPr>
        <w:t>Perros</w:t>
      </w:r>
      <w:proofErr w:type="spellEnd"/>
      <w:r w:rsidR="000252CB">
        <w:rPr>
          <w:rFonts w:cs="Times New Roman"/>
          <w:lang w:val="en-US"/>
        </w:rPr>
        <w:t>, Crombie &amp; Kendall-Taylor, 1995)</w:t>
      </w:r>
      <w:r w:rsidR="00C069E3" w:rsidRPr="0048229C">
        <w:rPr>
          <w:rFonts w:cs="Times New Roman"/>
          <w:lang w:val="en-US"/>
        </w:rPr>
        <w:t xml:space="preserve">. </w:t>
      </w:r>
      <w:r w:rsidR="00EC6880" w:rsidRPr="0048229C">
        <w:rPr>
          <w:rFonts w:cs="Times New Roman"/>
          <w:lang w:val="en-US"/>
        </w:rPr>
        <w:t xml:space="preserve"> </w:t>
      </w:r>
      <w:r w:rsidR="00E05B98" w:rsidRPr="0048229C">
        <w:rPr>
          <w:rFonts w:cs="Times New Roman"/>
          <w:lang w:val="en-US"/>
        </w:rPr>
        <w:t>Inflammatory processes are activated and f</w:t>
      </w:r>
      <w:r w:rsidR="00182182" w:rsidRPr="0048229C">
        <w:rPr>
          <w:rFonts w:cs="Times New Roman"/>
          <w:lang w:val="en-US"/>
        </w:rPr>
        <w:t xml:space="preserve">ibroblasts in the </w:t>
      </w:r>
      <w:r w:rsidR="00DE6A56">
        <w:rPr>
          <w:rFonts w:cs="Times New Roman"/>
          <w:lang w:val="en-US"/>
        </w:rPr>
        <w:t xml:space="preserve">eyes’ </w:t>
      </w:r>
      <w:r w:rsidR="00182182" w:rsidRPr="0048229C">
        <w:rPr>
          <w:rFonts w:cs="Times New Roman"/>
          <w:lang w:val="en-US"/>
        </w:rPr>
        <w:t xml:space="preserve">orbital </w:t>
      </w:r>
      <w:r w:rsidR="00E05B98" w:rsidRPr="0048229C">
        <w:rPr>
          <w:rFonts w:cs="Times New Roman"/>
          <w:lang w:val="en-US"/>
        </w:rPr>
        <w:t xml:space="preserve">tissue become stimulated </w:t>
      </w:r>
      <w:r w:rsidR="00DE6A56">
        <w:rPr>
          <w:rFonts w:cs="Times New Roman"/>
          <w:lang w:val="en-US"/>
        </w:rPr>
        <w:t>l</w:t>
      </w:r>
      <w:r w:rsidR="00E05B98" w:rsidRPr="0048229C">
        <w:rPr>
          <w:rFonts w:cs="Times New Roman"/>
          <w:lang w:val="en-US"/>
        </w:rPr>
        <w:t xml:space="preserve">eading to orbital tissue swelling, </w:t>
      </w:r>
      <w:proofErr w:type="spellStart"/>
      <w:r w:rsidR="00E05B98" w:rsidRPr="0048229C">
        <w:rPr>
          <w:rFonts w:cs="Times New Roman"/>
          <w:lang w:val="en-US"/>
        </w:rPr>
        <w:t>hyaluronan</w:t>
      </w:r>
      <w:proofErr w:type="spellEnd"/>
      <w:r w:rsidR="00E05B98" w:rsidRPr="0048229C">
        <w:rPr>
          <w:rFonts w:cs="Times New Roman"/>
          <w:lang w:val="en-US"/>
        </w:rPr>
        <w:t xml:space="preserve"> production</w:t>
      </w:r>
      <w:r w:rsidR="00DE6A56">
        <w:rPr>
          <w:rFonts w:cs="Times New Roman"/>
          <w:lang w:val="en-US"/>
        </w:rPr>
        <w:t>,</w:t>
      </w:r>
      <w:r w:rsidR="00E05B98" w:rsidRPr="0048229C">
        <w:rPr>
          <w:rFonts w:cs="Times New Roman"/>
          <w:lang w:val="en-US"/>
        </w:rPr>
        <w:t xml:space="preserve"> and </w:t>
      </w:r>
      <w:r w:rsidR="00DE6A56">
        <w:rPr>
          <w:rFonts w:cs="Times New Roman"/>
          <w:lang w:val="en-US"/>
        </w:rPr>
        <w:t xml:space="preserve">expansion of the </w:t>
      </w:r>
      <w:r w:rsidR="00E05B98" w:rsidRPr="0048229C">
        <w:rPr>
          <w:rFonts w:cs="Times New Roman"/>
          <w:lang w:val="en-US"/>
        </w:rPr>
        <w:t>extraocular muscles, retro-orbital fat a</w:t>
      </w:r>
      <w:r w:rsidR="00DE6A56">
        <w:rPr>
          <w:rFonts w:cs="Times New Roman"/>
          <w:lang w:val="en-US"/>
        </w:rPr>
        <w:t>nd connective tissues</w:t>
      </w:r>
      <w:r w:rsidR="000C3276" w:rsidRPr="0048229C">
        <w:rPr>
          <w:rFonts w:cs="Times New Roman"/>
          <w:lang w:val="en-US"/>
        </w:rPr>
        <w:t xml:space="preserve"> </w:t>
      </w:r>
      <w:r w:rsidR="000252CB">
        <w:rPr>
          <w:rFonts w:cs="Times New Roman"/>
          <w:lang w:val="en-US"/>
        </w:rPr>
        <w:t>(</w:t>
      </w:r>
      <w:proofErr w:type="spellStart"/>
      <w:r w:rsidR="000252CB">
        <w:rPr>
          <w:rFonts w:cs="Times New Roman"/>
          <w:lang w:val="en-US"/>
        </w:rPr>
        <w:t>Khoo</w:t>
      </w:r>
      <w:proofErr w:type="spellEnd"/>
      <w:r w:rsidR="000252CB">
        <w:rPr>
          <w:rFonts w:cs="Times New Roman"/>
          <w:lang w:val="en-US"/>
        </w:rPr>
        <w:t xml:space="preserve"> &amp; </w:t>
      </w:r>
      <w:proofErr w:type="spellStart"/>
      <w:r w:rsidR="000252CB">
        <w:rPr>
          <w:rFonts w:cs="Times New Roman"/>
          <w:lang w:val="en-US"/>
        </w:rPr>
        <w:t>Bahn</w:t>
      </w:r>
      <w:proofErr w:type="spellEnd"/>
      <w:r w:rsidR="000252CB">
        <w:rPr>
          <w:rFonts w:cs="Times New Roman"/>
          <w:lang w:val="en-US"/>
        </w:rPr>
        <w:t>, 2007)</w:t>
      </w:r>
      <w:r w:rsidR="00E05B98" w:rsidRPr="0048229C">
        <w:rPr>
          <w:rFonts w:cs="Times New Roman"/>
          <w:lang w:val="en-US"/>
        </w:rPr>
        <w:t>.</w:t>
      </w:r>
    </w:p>
    <w:p w14:paraId="5BC1EF31" w14:textId="77777777" w:rsidR="00F91882" w:rsidRPr="0048229C" w:rsidRDefault="00F91882" w:rsidP="0048229C">
      <w:pPr>
        <w:tabs>
          <w:tab w:val="left" w:pos="5840"/>
        </w:tabs>
        <w:spacing w:line="360" w:lineRule="auto"/>
        <w:rPr>
          <w:b/>
        </w:rPr>
      </w:pPr>
      <w:r w:rsidRPr="0048229C">
        <w:rPr>
          <w:b/>
        </w:rPr>
        <w:tab/>
      </w:r>
    </w:p>
    <w:p w14:paraId="3A02174C" w14:textId="00B4C063" w:rsidR="00B65D22" w:rsidRPr="0048229C" w:rsidRDefault="004A4041" w:rsidP="0048229C">
      <w:pPr>
        <w:widowControl w:val="0"/>
        <w:autoSpaceDE w:val="0"/>
        <w:autoSpaceDN w:val="0"/>
        <w:adjustRightInd w:val="0"/>
        <w:spacing w:line="360" w:lineRule="auto"/>
        <w:rPr>
          <w:rFonts w:cs="Times New Roman"/>
          <w:lang w:val="en-US"/>
        </w:rPr>
      </w:pPr>
      <w:r w:rsidRPr="0048229C">
        <w:t>Currently the management of GO</w:t>
      </w:r>
      <w:r w:rsidR="00A52A0D">
        <w:t>/TED</w:t>
      </w:r>
      <w:r w:rsidRPr="0048229C">
        <w:t xml:space="preserve"> is </w:t>
      </w:r>
      <w:r w:rsidR="00DE6A56">
        <w:t xml:space="preserve">considered </w:t>
      </w:r>
      <w:r w:rsidRPr="0048229C">
        <w:t>suboptimal</w:t>
      </w:r>
      <w:r w:rsidR="00DE6A56">
        <w:t>,</w:t>
      </w:r>
      <w:r w:rsidRPr="0048229C">
        <w:t xml:space="preserve"> </w:t>
      </w:r>
      <w:r w:rsidR="000A1F30" w:rsidRPr="0048229C">
        <w:t>and</w:t>
      </w:r>
      <w:r w:rsidRPr="0048229C">
        <w:t xml:space="preserve"> available treatments do not </w:t>
      </w:r>
      <w:r w:rsidR="000A1F30" w:rsidRPr="0048229C">
        <w:t>specifically target the underlying pathogenic</w:t>
      </w:r>
      <w:r w:rsidRPr="0048229C">
        <w:t xml:space="preserve"> </w:t>
      </w:r>
      <w:r w:rsidR="000A1F30" w:rsidRPr="0048229C">
        <w:t>process</w:t>
      </w:r>
      <w:r w:rsidR="0010487A">
        <w:t xml:space="preserve"> (</w:t>
      </w:r>
      <w:proofErr w:type="spellStart"/>
      <w:r w:rsidR="0010487A">
        <w:t>Bartalena</w:t>
      </w:r>
      <w:proofErr w:type="spellEnd"/>
      <w:r w:rsidR="0010487A">
        <w:t xml:space="preserve"> et al, 2016)</w:t>
      </w:r>
      <w:r w:rsidR="000A1F30" w:rsidRPr="0048229C">
        <w:t xml:space="preserve">. </w:t>
      </w:r>
      <w:r w:rsidR="00F91882" w:rsidRPr="0048229C">
        <w:t xml:space="preserve">The Combined </w:t>
      </w:r>
      <w:r w:rsidRPr="0048229C">
        <w:t>Immunosuppression</w:t>
      </w:r>
      <w:r w:rsidR="00F91882" w:rsidRPr="0048229C">
        <w:t xml:space="preserve"> and Radiotherapy in Thyroid Eye Disease (CIRTED) trial was designed to assess the effect of using radiot</w:t>
      </w:r>
      <w:r w:rsidRPr="0048229C">
        <w:t>herapy and the immunosuppressive drug</w:t>
      </w:r>
      <w:r w:rsidR="00F91882" w:rsidRPr="0048229C">
        <w:t xml:space="preserve"> azathioprine in combination </w:t>
      </w:r>
      <w:r w:rsidR="00DE6A56">
        <w:t xml:space="preserve">with </w:t>
      </w:r>
      <w:r w:rsidRPr="0048229C">
        <w:t>stan</w:t>
      </w:r>
      <w:r w:rsidR="00B65D22" w:rsidRPr="0048229C">
        <w:t xml:space="preserve">dard prednisolone treatment </w:t>
      </w:r>
      <w:r w:rsidR="00A0395A">
        <w:t>(</w:t>
      </w:r>
      <w:proofErr w:type="spellStart"/>
      <w:r w:rsidR="00A0395A">
        <w:t>Rajendram</w:t>
      </w:r>
      <w:proofErr w:type="spellEnd"/>
      <w:r w:rsidR="00A0395A">
        <w:t xml:space="preserve"> et al, 2008)</w:t>
      </w:r>
      <w:r w:rsidRPr="0048229C">
        <w:t xml:space="preserve">. </w:t>
      </w:r>
      <w:r w:rsidR="00A301DA" w:rsidRPr="0048229C">
        <w:t>CIRTED is the first study to evaluate the long-term role of radiotherapy and prolonged immunosuppression with azathioprine</w:t>
      </w:r>
      <w:r w:rsidR="00A52A0D">
        <w:t xml:space="preserve"> in treating GO/</w:t>
      </w:r>
      <w:r w:rsidR="00A301DA" w:rsidRPr="0048229C">
        <w:t xml:space="preserve">TED. </w:t>
      </w:r>
    </w:p>
    <w:p w14:paraId="7D44990B" w14:textId="77777777" w:rsidR="00F6267F" w:rsidRPr="0048229C" w:rsidRDefault="00F6267F" w:rsidP="0048229C">
      <w:pPr>
        <w:widowControl w:val="0"/>
        <w:autoSpaceDE w:val="0"/>
        <w:autoSpaceDN w:val="0"/>
        <w:adjustRightInd w:val="0"/>
        <w:spacing w:line="360" w:lineRule="auto"/>
        <w:rPr>
          <w:rFonts w:cs="Times New Roman"/>
          <w:lang w:val="en-US"/>
        </w:rPr>
      </w:pPr>
    </w:p>
    <w:p w14:paraId="4BB0446A" w14:textId="7B6D6219" w:rsidR="00F6267F" w:rsidRDefault="008210BB" w:rsidP="0048229C">
      <w:pPr>
        <w:widowControl w:val="0"/>
        <w:autoSpaceDE w:val="0"/>
        <w:autoSpaceDN w:val="0"/>
        <w:adjustRightInd w:val="0"/>
        <w:spacing w:line="360" w:lineRule="auto"/>
        <w:rPr>
          <w:rFonts w:cs="Times New Roman"/>
          <w:lang w:val="en-US"/>
        </w:rPr>
      </w:pPr>
      <w:r w:rsidRPr="0048229C">
        <w:rPr>
          <w:rFonts w:cs="Times New Roman"/>
          <w:lang w:val="en-US"/>
        </w:rPr>
        <w:t xml:space="preserve">It is well established that TED can have a major impact on quality of life, in particular disfiguring changes to the eyes and face </w:t>
      </w:r>
      <w:r w:rsidR="004E665D">
        <w:rPr>
          <w:rFonts w:cs="Times New Roman"/>
          <w:lang w:val="en-US"/>
        </w:rPr>
        <w:t xml:space="preserve">which </w:t>
      </w:r>
      <w:r w:rsidRPr="0048229C">
        <w:rPr>
          <w:rFonts w:cs="Times New Roman"/>
          <w:lang w:val="en-US"/>
        </w:rPr>
        <w:t>can have a direct impact on ps</w:t>
      </w:r>
      <w:r w:rsidR="00651816">
        <w:rPr>
          <w:rFonts w:cs="Times New Roman"/>
          <w:lang w:val="en-US"/>
        </w:rPr>
        <w:t>ychological health (Coulter</w:t>
      </w:r>
      <w:r w:rsidR="00392566">
        <w:rPr>
          <w:rFonts w:cs="Times New Roman"/>
          <w:lang w:val="en-US"/>
        </w:rPr>
        <w:t xml:space="preserve">, </w:t>
      </w:r>
      <w:r w:rsidR="00392566">
        <w:t xml:space="preserve">Frewin, </w:t>
      </w:r>
      <w:proofErr w:type="spellStart"/>
      <w:r w:rsidR="00392566">
        <w:t>Krassas</w:t>
      </w:r>
      <w:proofErr w:type="spellEnd"/>
      <w:r w:rsidR="00392566">
        <w:t xml:space="preserve"> &amp; </w:t>
      </w:r>
      <w:proofErr w:type="spellStart"/>
      <w:r w:rsidR="00392566">
        <w:t>Perros</w:t>
      </w:r>
      <w:proofErr w:type="spellEnd"/>
      <w:r w:rsidR="00651816">
        <w:rPr>
          <w:rFonts w:cs="Times New Roman"/>
          <w:lang w:val="en-US"/>
        </w:rPr>
        <w:t>, 2007)</w:t>
      </w:r>
      <w:r w:rsidRPr="0048229C">
        <w:rPr>
          <w:rFonts w:cs="Times New Roman"/>
          <w:lang w:val="en-US"/>
        </w:rPr>
        <w:t xml:space="preserve">. </w:t>
      </w:r>
      <w:r w:rsidR="00014D13" w:rsidRPr="0048229C">
        <w:t>As t</w:t>
      </w:r>
      <w:r w:rsidR="00F6267F" w:rsidRPr="0048229C">
        <w:t xml:space="preserve">he aim of treating </w:t>
      </w:r>
      <w:r w:rsidR="00DE6A56">
        <w:t>GO</w:t>
      </w:r>
      <w:r w:rsidR="00A52A0D">
        <w:t>/TED</w:t>
      </w:r>
      <w:r w:rsidR="00DE6A56">
        <w:t xml:space="preserve"> </w:t>
      </w:r>
      <w:r w:rsidR="00F6267F" w:rsidRPr="0048229C">
        <w:t xml:space="preserve">is to </w:t>
      </w:r>
      <w:r w:rsidR="00F6267F" w:rsidRPr="0048229C">
        <w:rPr>
          <w:rFonts w:cs="Times New Roman"/>
          <w:lang w:val="en-US"/>
        </w:rPr>
        <w:t xml:space="preserve">improve </w:t>
      </w:r>
      <w:r w:rsidR="00392566">
        <w:rPr>
          <w:rFonts w:cs="Times New Roman"/>
          <w:lang w:val="en-US"/>
        </w:rPr>
        <w:t xml:space="preserve">patients’ </w:t>
      </w:r>
      <w:r w:rsidR="00F6267F" w:rsidRPr="0048229C">
        <w:rPr>
          <w:rFonts w:cs="Times New Roman"/>
          <w:lang w:val="en-US"/>
        </w:rPr>
        <w:t>visual function</w:t>
      </w:r>
      <w:r w:rsidR="00DE6A56">
        <w:rPr>
          <w:rFonts w:cs="Times New Roman"/>
          <w:lang w:val="en-US"/>
        </w:rPr>
        <w:t xml:space="preserve"> </w:t>
      </w:r>
      <w:r w:rsidR="00392566">
        <w:rPr>
          <w:rFonts w:cs="Times New Roman"/>
          <w:lang w:val="en-US"/>
        </w:rPr>
        <w:t xml:space="preserve">as well as making them </w:t>
      </w:r>
      <w:r w:rsidR="00F6267F" w:rsidRPr="0048229C">
        <w:rPr>
          <w:rFonts w:cs="Times New Roman"/>
          <w:lang w:val="en-US"/>
        </w:rPr>
        <w:t>look and feel better, it is important to assess the patients</w:t>
      </w:r>
      <w:r w:rsidR="00A52A0D">
        <w:rPr>
          <w:rFonts w:cs="Times New Roman"/>
          <w:lang w:val="en-US"/>
        </w:rPr>
        <w:t>’</w:t>
      </w:r>
      <w:r w:rsidR="00F6267F" w:rsidRPr="0048229C">
        <w:rPr>
          <w:rFonts w:cs="Times New Roman"/>
          <w:lang w:val="en-US"/>
        </w:rPr>
        <w:t xml:space="preserve"> perception of these markers as part of a clinical trial. </w:t>
      </w:r>
      <w:r w:rsidR="00014D13" w:rsidRPr="0048229C">
        <w:t xml:space="preserve">The </w:t>
      </w:r>
      <w:r w:rsidR="00C948D2">
        <w:t>GO-QOL</w:t>
      </w:r>
      <w:r w:rsidR="00014D13" w:rsidRPr="0048229C">
        <w:t xml:space="preserve"> </w:t>
      </w:r>
      <w:r w:rsidR="00392566">
        <w:t xml:space="preserve">questionnaire </w:t>
      </w:r>
      <w:r w:rsidR="00014D13" w:rsidRPr="0048229C">
        <w:t xml:space="preserve">was developed by </w:t>
      </w:r>
      <w:proofErr w:type="spellStart"/>
      <w:r w:rsidR="00014D13" w:rsidRPr="0048229C">
        <w:t>Terwee</w:t>
      </w:r>
      <w:proofErr w:type="spellEnd"/>
      <w:r w:rsidR="00392566">
        <w:t>,</w:t>
      </w:r>
      <w:r w:rsidR="00014D13" w:rsidRPr="0048229C">
        <w:t xml:space="preserve"> </w:t>
      </w:r>
      <w:proofErr w:type="spellStart"/>
      <w:r w:rsidR="00392566">
        <w:t>Gerding</w:t>
      </w:r>
      <w:proofErr w:type="spellEnd"/>
      <w:r w:rsidR="00392566">
        <w:t xml:space="preserve">, </w:t>
      </w:r>
      <w:proofErr w:type="gramStart"/>
      <w:r w:rsidR="00392566">
        <w:t>Dekker</w:t>
      </w:r>
      <w:proofErr w:type="gramEnd"/>
      <w:r w:rsidR="00392566">
        <w:t xml:space="preserve">, </w:t>
      </w:r>
      <w:proofErr w:type="spellStart"/>
      <w:r w:rsidR="00392566">
        <w:t>Prummel</w:t>
      </w:r>
      <w:proofErr w:type="spellEnd"/>
      <w:r w:rsidR="00392566">
        <w:t xml:space="preserve"> &amp; </w:t>
      </w:r>
      <w:proofErr w:type="spellStart"/>
      <w:r w:rsidR="00392566">
        <w:t>Wiersinga</w:t>
      </w:r>
      <w:proofErr w:type="spellEnd"/>
      <w:r w:rsidR="00014D13" w:rsidRPr="0048229C">
        <w:t xml:space="preserve"> </w:t>
      </w:r>
      <w:r w:rsidR="00392566">
        <w:t>(</w:t>
      </w:r>
      <w:r w:rsidR="00D830BD" w:rsidRPr="0048229C">
        <w:t>1998</w:t>
      </w:r>
      <w:r w:rsidR="00392566">
        <w:t>)</w:t>
      </w:r>
      <w:r w:rsidR="00D830BD" w:rsidRPr="0048229C">
        <w:t xml:space="preserve"> </w:t>
      </w:r>
      <w:r w:rsidR="00014D13" w:rsidRPr="0048229C">
        <w:rPr>
          <w:rFonts w:cs="Times New Roman"/>
          <w:lang w:val="en-US"/>
        </w:rPr>
        <w:t>as</w:t>
      </w:r>
      <w:r w:rsidR="00F904AF" w:rsidRPr="0048229C">
        <w:rPr>
          <w:rFonts w:cs="Times New Roman"/>
          <w:lang w:val="en-US"/>
        </w:rPr>
        <w:t xml:space="preserve"> a TED specific quality of life questionnaire that can be used as an outcome measure for studies and</w:t>
      </w:r>
      <w:r w:rsidR="00F6267F" w:rsidRPr="0048229C">
        <w:rPr>
          <w:rFonts w:cs="Times New Roman"/>
          <w:lang w:val="en-US"/>
        </w:rPr>
        <w:t xml:space="preserve"> may also be </w:t>
      </w:r>
      <w:r w:rsidR="00F904AF" w:rsidRPr="0048229C">
        <w:rPr>
          <w:rFonts w:cs="Times New Roman"/>
          <w:lang w:val="en-US"/>
        </w:rPr>
        <w:t>of use</w:t>
      </w:r>
      <w:r w:rsidR="00F6267F" w:rsidRPr="0048229C">
        <w:rPr>
          <w:rFonts w:cs="Times New Roman"/>
          <w:lang w:val="en-US"/>
        </w:rPr>
        <w:t xml:space="preserve"> in clinical practice. </w:t>
      </w:r>
      <w:proofErr w:type="spellStart"/>
      <w:r w:rsidR="00D830BD" w:rsidRPr="0048229C">
        <w:t>Marcocci</w:t>
      </w:r>
      <w:proofErr w:type="spellEnd"/>
      <w:r w:rsidR="00D830BD" w:rsidRPr="0048229C">
        <w:rPr>
          <w:rFonts w:cs="Times New Roman"/>
          <w:i/>
          <w:lang w:val="en-US"/>
        </w:rPr>
        <w:t xml:space="preserve"> </w:t>
      </w:r>
      <w:r w:rsidR="00014D13" w:rsidRPr="000B4AEA">
        <w:rPr>
          <w:rFonts w:cs="Times New Roman"/>
          <w:lang w:val="en-US"/>
        </w:rPr>
        <w:t>et al</w:t>
      </w:r>
      <w:r w:rsidR="00014D13" w:rsidRPr="0048229C">
        <w:rPr>
          <w:rFonts w:cs="Times New Roman"/>
          <w:lang w:val="en-US"/>
        </w:rPr>
        <w:t xml:space="preserve"> </w:t>
      </w:r>
      <w:r w:rsidR="000B4AEA">
        <w:rPr>
          <w:rFonts w:cs="Times New Roman"/>
          <w:lang w:val="en-US"/>
        </w:rPr>
        <w:t>(</w:t>
      </w:r>
      <w:r w:rsidR="00D830BD" w:rsidRPr="0048229C">
        <w:rPr>
          <w:rFonts w:cs="Times New Roman"/>
          <w:lang w:val="en-US"/>
        </w:rPr>
        <w:t>2011</w:t>
      </w:r>
      <w:r w:rsidR="000B4AEA">
        <w:rPr>
          <w:rFonts w:cs="Times New Roman"/>
          <w:lang w:val="en-US"/>
        </w:rPr>
        <w:t>)</w:t>
      </w:r>
      <w:r w:rsidR="00D830BD" w:rsidRPr="0048229C">
        <w:rPr>
          <w:rFonts w:cs="Times New Roman"/>
          <w:lang w:val="en-US"/>
        </w:rPr>
        <w:t xml:space="preserve"> </w:t>
      </w:r>
      <w:r w:rsidR="00B65D22" w:rsidRPr="0048229C">
        <w:rPr>
          <w:rFonts w:cs="Times New Roman"/>
          <w:lang w:val="en-US"/>
        </w:rPr>
        <w:t xml:space="preserve">tested the use of selenium in mild GO and </w:t>
      </w:r>
      <w:r w:rsidR="00014D13" w:rsidRPr="0048229C">
        <w:rPr>
          <w:rFonts w:cs="Times New Roman"/>
          <w:lang w:val="en-US"/>
        </w:rPr>
        <w:t xml:space="preserve">used the </w:t>
      </w:r>
      <w:r w:rsidR="00C948D2">
        <w:rPr>
          <w:rFonts w:cs="Times New Roman"/>
          <w:lang w:val="en-US"/>
        </w:rPr>
        <w:t>GO-QOL</w:t>
      </w:r>
      <w:r w:rsidR="00014D13" w:rsidRPr="0048229C">
        <w:rPr>
          <w:rFonts w:cs="Times New Roman"/>
          <w:lang w:val="en-US"/>
        </w:rPr>
        <w:t xml:space="preserve"> to evaluate quality of life </w:t>
      </w:r>
      <w:r w:rsidR="00945A1C" w:rsidRPr="0048229C">
        <w:rPr>
          <w:rFonts w:cs="Times New Roman"/>
          <w:lang w:val="en-US"/>
        </w:rPr>
        <w:t>outcomes. They</w:t>
      </w:r>
      <w:r w:rsidR="00014D13" w:rsidRPr="0048229C">
        <w:rPr>
          <w:rFonts w:cs="Times New Roman"/>
          <w:lang w:val="en-US"/>
        </w:rPr>
        <w:t xml:space="preserve"> </w:t>
      </w:r>
      <w:r w:rsidR="00A52A0D">
        <w:rPr>
          <w:rFonts w:cs="Times New Roman"/>
          <w:lang w:val="en-US"/>
        </w:rPr>
        <w:t xml:space="preserve">showed </w:t>
      </w:r>
      <w:r w:rsidR="00945A1C" w:rsidRPr="0048229C">
        <w:rPr>
          <w:rFonts w:cs="Times New Roman"/>
          <w:lang w:val="en-US"/>
        </w:rPr>
        <w:t xml:space="preserve">a correlation </w:t>
      </w:r>
      <w:r w:rsidR="00A52A0D">
        <w:rPr>
          <w:rFonts w:cs="Times New Roman"/>
          <w:lang w:val="en-US"/>
        </w:rPr>
        <w:t xml:space="preserve">that indicated that as </w:t>
      </w:r>
      <w:r w:rsidR="00945A1C" w:rsidRPr="0048229C">
        <w:rPr>
          <w:rFonts w:cs="Times New Roman"/>
          <w:lang w:val="en-US"/>
        </w:rPr>
        <w:t>participants</w:t>
      </w:r>
      <w:r w:rsidR="00A52A0D">
        <w:rPr>
          <w:rFonts w:cs="Times New Roman"/>
          <w:lang w:val="en-US"/>
        </w:rPr>
        <w:t>’</w:t>
      </w:r>
      <w:r w:rsidR="00945A1C" w:rsidRPr="0048229C">
        <w:rPr>
          <w:rFonts w:cs="Times New Roman"/>
          <w:lang w:val="en-US"/>
        </w:rPr>
        <w:t xml:space="preserve"> improv</w:t>
      </w:r>
      <w:r w:rsidR="00A52A0D">
        <w:rPr>
          <w:rFonts w:cs="Times New Roman"/>
          <w:lang w:val="en-US"/>
        </w:rPr>
        <w:t>ed</w:t>
      </w:r>
      <w:r w:rsidR="00945A1C" w:rsidRPr="0048229C">
        <w:rPr>
          <w:rFonts w:cs="Times New Roman"/>
          <w:lang w:val="en-US"/>
        </w:rPr>
        <w:t xml:space="preserve"> with selenium</w:t>
      </w:r>
      <w:r w:rsidR="00A52A0D">
        <w:rPr>
          <w:rFonts w:cs="Times New Roman"/>
          <w:lang w:val="en-US"/>
        </w:rPr>
        <w:t xml:space="preserve"> treatment their quality of life also improved, as measured by the </w:t>
      </w:r>
      <w:r w:rsidR="00C948D2">
        <w:rPr>
          <w:rFonts w:cs="Times New Roman"/>
          <w:lang w:val="en-US"/>
        </w:rPr>
        <w:t>GO-QOL</w:t>
      </w:r>
      <w:r w:rsidR="00014D13" w:rsidRPr="0048229C">
        <w:rPr>
          <w:rFonts w:cs="Times New Roman"/>
          <w:lang w:val="en-US"/>
        </w:rPr>
        <w:t>.</w:t>
      </w:r>
      <w:r w:rsidR="00A52A0D">
        <w:rPr>
          <w:rFonts w:cs="Times New Roman"/>
          <w:lang w:val="en-US"/>
        </w:rPr>
        <w:t xml:space="preserve"> </w:t>
      </w:r>
    </w:p>
    <w:p w14:paraId="443D7571" w14:textId="77777777" w:rsidR="00A52A0D" w:rsidRPr="0048229C" w:rsidRDefault="00A52A0D" w:rsidP="0048229C">
      <w:pPr>
        <w:widowControl w:val="0"/>
        <w:autoSpaceDE w:val="0"/>
        <w:autoSpaceDN w:val="0"/>
        <w:adjustRightInd w:val="0"/>
        <w:spacing w:line="360" w:lineRule="auto"/>
        <w:rPr>
          <w:rFonts w:cs="Times New Roman"/>
          <w:lang w:val="en-US"/>
        </w:rPr>
      </w:pPr>
    </w:p>
    <w:p w14:paraId="04CF4F37" w14:textId="7942B3B7" w:rsidR="000515D5" w:rsidRPr="00837436" w:rsidRDefault="007C240A" w:rsidP="002A3717">
      <w:pPr>
        <w:spacing w:line="360" w:lineRule="auto"/>
        <w:rPr>
          <w:rFonts w:cs="Arial"/>
        </w:rPr>
      </w:pPr>
      <w:r w:rsidRPr="00837436">
        <w:t xml:space="preserve">The aim of this </w:t>
      </w:r>
      <w:r w:rsidR="008210BB">
        <w:t xml:space="preserve">three stage </w:t>
      </w:r>
      <w:r w:rsidRPr="00837436">
        <w:t xml:space="preserve">project </w:t>
      </w:r>
      <w:r w:rsidR="00A52A0D" w:rsidRPr="00837436">
        <w:t>wa</w:t>
      </w:r>
      <w:r w:rsidRPr="00837436">
        <w:t xml:space="preserve">s to validate the use of the English version of </w:t>
      </w:r>
      <w:r w:rsidR="00C948D2">
        <w:t>GO-QOL</w:t>
      </w:r>
      <w:r w:rsidRPr="00837436">
        <w:t xml:space="preserve"> in an UK population with </w:t>
      </w:r>
      <w:r w:rsidR="00CD2922" w:rsidRPr="00837436">
        <w:t xml:space="preserve">TED. The </w:t>
      </w:r>
      <w:r w:rsidR="00C948D2">
        <w:t>GO-QOL</w:t>
      </w:r>
      <w:r w:rsidR="00A52A0D" w:rsidRPr="00837436">
        <w:t xml:space="preserve"> </w:t>
      </w:r>
      <w:r w:rsidR="00231E7D">
        <w:t>is available in both English and Dutch</w:t>
      </w:r>
      <w:r w:rsidR="00A52A0D" w:rsidRPr="00837436">
        <w:t xml:space="preserve">; </w:t>
      </w:r>
      <w:r w:rsidR="00CD2922" w:rsidRPr="00837436">
        <w:t>the Dutch version ha</w:t>
      </w:r>
      <w:r w:rsidR="002A3717">
        <w:t>ving</w:t>
      </w:r>
      <w:r w:rsidR="00CD2922" w:rsidRPr="00837436">
        <w:t xml:space="preserve"> previously bee</w:t>
      </w:r>
      <w:r w:rsidR="000B4AEA">
        <w:t>n validated in the Netherlands (</w:t>
      </w:r>
      <w:proofErr w:type="spellStart"/>
      <w:r w:rsidR="000B4AEA">
        <w:t>Terwee</w:t>
      </w:r>
      <w:proofErr w:type="spellEnd"/>
      <w:r w:rsidR="000B4AEA">
        <w:t xml:space="preserve"> et al, 1999)</w:t>
      </w:r>
      <w:r w:rsidR="00CD2922" w:rsidRPr="00837436">
        <w:t>.</w:t>
      </w:r>
      <w:r w:rsidRPr="00837436">
        <w:t xml:space="preserve"> </w:t>
      </w:r>
      <w:r w:rsidR="008210BB">
        <w:t>In t</w:t>
      </w:r>
      <w:r w:rsidR="000515D5" w:rsidRPr="00837436">
        <w:t xml:space="preserve">he first stage of the work, the </w:t>
      </w:r>
      <w:r w:rsidR="004C4B85">
        <w:t xml:space="preserve">internal validity and </w:t>
      </w:r>
      <w:r w:rsidR="000515D5" w:rsidRPr="00837436">
        <w:t xml:space="preserve">test-retest study, the objective was to assess </w:t>
      </w:r>
      <w:r w:rsidR="000515D5" w:rsidRPr="00837436">
        <w:rPr>
          <w:rFonts w:cs="Arial"/>
        </w:rPr>
        <w:t xml:space="preserve">the consistency of the </w:t>
      </w:r>
      <w:r w:rsidR="00C948D2">
        <w:rPr>
          <w:rFonts w:cs="Arial"/>
        </w:rPr>
        <w:t>GO-QOL</w:t>
      </w:r>
      <w:r w:rsidR="000515D5" w:rsidRPr="00837436">
        <w:rPr>
          <w:rFonts w:cs="Arial"/>
        </w:rPr>
        <w:t xml:space="preserve"> in measuring functional and </w:t>
      </w:r>
      <w:r w:rsidR="000515D5" w:rsidRPr="00837436">
        <w:rPr>
          <w:rFonts w:cs="Arial"/>
        </w:rPr>
        <w:lastRenderedPageBreak/>
        <w:t xml:space="preserve">appearance-related issues resulting from TED over </w:t>
      </w:r>
      <w:r w:rsidR="00290700">
        <w:rPr>
          <w:rFonts w:cs="Arial"/>
        </w:rPr>
        <w:t xml:space="preserve">a 14 day period </w:t>
      </w:r>
      <w:r w:rsidR="000515D5" w:rsidRPr="00837436">
        <w:rPr>
          <w:rFonts w:cs="Arial"/>
        </w:rPr>
        <w:t xml:space="preserve">where the </w:t>
      </w:r>
      <w:r w:rsidR="00290700">
        <w:rPr>
          <w:rFonts w:cs="Arial"/>
        </w:rPr>
        <w:t xml:space="preserve">expectation </w:t>
      </w:r>
      <w:r w:rsidR="000515D5" w:rsidRPr="00837436">
        <w:rPr>
          <w:rFonts w:cs="Arial"/>
        </w:rPr>
        <w:t xml:space="preserve">is that scores on both administrations should be correlated. </w:t>
      </w:r>
    </w:p>
    <w:p w14:paraId="201E9852" w14:textId="77777777" w:rsidR="000515D5" w:rsidRPr="00837436" w:rsidRDefault="000515D5" w:rsidP="00A65A92">
      <w:pPr>
        <w:spacing w:line="360" w:lineRule="auto"/>
        <w:jc w:val="both"/>
        <w:rPr>
          <w:rFonts w:cs="Arial"/>
        </w:rPr>
      </w:pPr>
    </w:p>
    <w:p w14:paraId="50C64320" w14:textId="62FBB6CF" w:rsidR="000515D5" w:rsidRPr="00837436" w:rsidRDefault="008210BB" w:rsidP="00A65A92">
      <w:pPr>
        <w:spacing w:line="360" w:lineRule="auto"/>
        <w:jc w:val="both"/>
        <w:rPr>
          <w:rFonts w:cs="Arial"/>
        </w:rPr>
      </w:pPr>
      <w:r>
        <w:rPr>
          <w:rFonts w:cs="Arial"/>
        </w:rPr>
        <w:t>In the second stage, w</w:t>
      </w:r>
      <w:r w:rsidR="000515D5" w:rsidRPr="00837436">
        <w:rPr>
          <w:rFonts w:cs="Arial"/>
        </w:rPr>
        <w:t>e measure</w:t>
      </w:r>
      <w:r w:rsidR="00837436" w:rsidRPr="00837436">
        <w:rPr>
          <w:rFonts w:cs="Arial"/>
        </w:rPr>
        <w:t xml:space="preserve">d longitudinal validity i.e. </w:t>
      </w:r>
      <w:r w:rsidR="000515D5" w:rsidRPr="00837436">
        <w:rPr>
          <w:rFonts w:cs="Arial"/>
        </w:rPr>
        <w:t xml:space="preserve">the responsiveness of the </w:t>
      </w:r>
      <w:r w:rsidR="00C948D2">
        <w:rPr>
          <w:rFonts w:cs="Arial"/>
        </w:rPr>
        <w:t>GO-QOL</w:t>
      </w:r>
      <w:r w:rsidR="000515D5" w:rsidRPr="00837436">
        <w:rPr>
          <w:rFonts w:cs="Arial"/>
        </w:rPr>
        <w:t xml:space="preserve"> to changes in TED post-treatment </w:t>
      </w:r>
      <w:r w:rsidR="000515D5" w:rsidRPr="00837436">
        <w:rPr>
          <w:rFonts w:cs="Times New Roman"/>
          <w:lang w:val="en-US"/>
        </w:rPr>
        <w:t xml:space="preserve">against a more general measure of quality of life (in this case, the </w:t>
      </w:r>
      <w:r w:rsidR="00C948D2">
        <w:rPr>
          <w:rFonts w:cs="Times New Roman"/>
          <w:lang w:val="en-US"/>
        </w:rPr>
        <w:t>WHOQOL</w:t>
      </w:r>
      <w:r w:rsidR="000515D5" w:rsidRPr="00837436">
        <w:rPr>
          <w:rFonts w:cs="Times New Roman"/>
          <w:lang w:val="en-US"/>
        </w:rPr>
        <w:t>-</w:t>
      </w:r>
      <w:proofErr w:type="spellStart"/>
      <w:r w:rsidR="000515D5" w:rsidRPr="00837436">
        <w:rPr>
          <w:rFonts w:cs="Times New Roman"/>
          <w:lang w:val="en-US"/>
        </w:rPr>
        <w:t>Bref</w:t>
      </w:r>
      <w:proofErr w:type="spellEnd"/>
      <w:r w:rsidR="00290700">
        <w:rPr>
          <w:rFonts w:cs="Times New Roman"/>
          <w:lang w:val="en-US"/>
        </w:rPr>
        <w:t xml:space="preserve">; </w:t>
      </w:r>
      <w:r w:rsidR="00290700">
        <w:t xml:space="preserve">The </w:t>
      </w:r>
      <w:r w:rsidR="00C948D2">
        <w:t>WHOQOL</w:t>
      </w:r>
      <w:r w:rsidR="00290700">
        <w:t xml:space="preserve"> Group, 1998</w:t>
      </w:r>
      <w:r w:rsidR="000515D5" w:rsidRPr="00837436">
        <w:rPr>
          <w:rFonts w:cs="Times New Roman"/>
          <w:lang w:val="en-US"/>
        </w:rPr>
        <w:t>).</w:t>
      </w:r>
      <w:r w:rsidR="000515D5" w:rsidRPr="00837436">
        <w:rPr>
          <w:rFonts w:cs="Arial"/>
        </w:rPr>
        <w:t xml:space="preserve"> This </w:t>
      </w:r>
      <w:r>
        <w:rPr>
          <w:rFonts w:cs="Arial"/>
        </w:rPr>
        <w:t xml:space="preserve">work </w:t>
      </w:r>
      <w:r w:rsidR="000515D5" w:rsidRPr="00837436">
        <w:rPr>
          <w:rFonts w:cs="Arial"/>
        </w:rPr>
        <w:t>had two aspects:</w:t>
      </w:r>
    </w:p>
    <w:p w14:paraId="610A0B73" w14:textId="77777777" w:rsidR="000515D5" w:rsidRPr="00837436" w:rsidRDefault="000515D5" w:rsidP="00A65A92">
      <w:pPr>
        <w:spacing w:line="360" w:lineRule="auto"/>
        <w:jc w:val="both"/>
        <w:rPr>
          <w:rFonts w:cs="Arial"/>
        </w:rPr>
      </w:pPr>
    </w:p>
    <w:p w14:paraId="59661909" w14:textId="591760C1" w:rsidR="000515D5" w:rsidRPr="00837436" w:rsidRDefault="000515D5" w:rsidP="00A65A92">
      <w:pPr>
        <w:numPr>
          <w:ilvl w:val="0"/>
          <w:numId w:val="21"/>
        </w:numPr>
        <w:tabs>
          <w:tab w:val="clear" w:pos="825"/>
          <w:tab w:val="num" w:pos="240"/>
        </w:tabs>
        <w:spacing w:line="360" w:lineRule="auto"/>
        <w:ind w:left="240" w:hanging="240"/>
        <w:jc w:val="both"/>
        <w:rPr>
          <w:rFonts w:cs="Arial"/>
        </w:rPr>
      </w:pPr>
      <w:r w:rsidRPr="00837436">
        <w:rPr>
          <w:rFonts w:cs="Arial"/>
        </w:rPr>
        <w:t xml:space="preserve">If the </w:t>
      </w:r>
      <w:r w:rsidR="00C948D2">
        <w:rPr>
          <w:rFonts w:cs="Arial"/>
        </w:rPr>
        <w:t>GO-QOL</w:t>
      </w:r>
      <w:r w:rsidRPr="00837436">
        <w:rPr>
          <w:rFonts w:cs="Arial"/>
        </w:rPr>
        <w:t xml:space="preserve"> is valid (i</w:t>
      </w:r>
      <w:r w:rsidR="000965B2">
        <w:rPr>
          <w:rFonts w:cs="Arial"/>
        </w:rPr>
        <w:t>.</w:t>
      </w:r>
      <w:r w:rsidRPr="00837436">
        <w:rPr>
          <w:rFonts w:cs="Arial"/>
        </w:rPr>
        <w:t>e</w:t>
      </w:r>
      <w:r w:rsidR="000965B2">
        <w:rPr>
          <w:rFonts w:cs="Arial"/>
        </w:rPr>
        <w:t>.</w:t>
      </w:r>
      <w:r w:rsidRPr="00837436">
        <w:rPr>
          <w:rFonts w:cs="Arial"/>
        </w:rPr>
        <w:t xml:space="preserve"> sensitive to changes in visual functioning and appearance as a result of TED) we would expect larger effect sizes for the </w:t>
      </w:r>
      <w:r w:rsidR="00C948D2">
        <w:rPr>
          <w:rFonts w:cs="Arial"/>
        </w:rPr>
        <w:t>GO-QOL</w:t>
      </w:r>
      <w:r w:rsidRPr="00837436">
        <w:rPr>
          <w:rFonts w:cs="Arial"/>
        </w:rPr>
        <w:t xml:space="preserve"> than for the general </w:t>
      </w:r>
      <w:r w:rsidR="000965B2">
        <w:rPr>
          <w:rFonts w:cs="Arial"/>
        </w:rPr>
        <w:t xml:space="preserve">quality of life </w:t>
      </w:r>
      <w:r w:rsidRPr="00837436">
        <w:rPr>
          <w:rFonts w:cs="Arial"/>
        </w:rPr>
        <w:t>measure (</w:t>
      </w:r>
      <w:r w:rsidR="00C948D2">
        <w:rPr>
          <w:rFonts w:cs="Arial"/>
        </w:rPr>
        <w:t>WHOQOL</w:t>
      </w:r>
      <w:r w:rsidRPr="00837436">
        <w:rPr>
          <w:rFonts w:cs="Arial"/>
        </w:rPr>
        <w:t>-</w:t>
      </w:r>
      <w:proofErr w:type="spellStart"/>
      <w:r w:rsidRPr="00837436">
        <w:rPr>
          <w:rFonts w:cs="Arial"/>
        </w:rPr>
        <w:t>Bref</w:t>
      </w:r>
      <w:proofErr w:type="spellEnd"/>
      <w:r w:rsidRPr="00837436">
        <w:rPr>
          <w:rFonts w:cs="Arial"/>
        </w:rPr>
        <w:t xml:space="preserve">).  </w:t>
      </w:r>
    </w:p>
    <w:p w14:paraId="3CDB5B71" w14:textId="77777777" w:rsidR="000515D5" w:rsidRPr="00837436" w:rsidRDefault="000515D5" w:rsidP="00A65A92">
      <w:pPr>
        <w:tabs>
          <w:tab w:val="num" w:pos="240"/>
        </w:tabs>
        <w:spacing w:line="360" w:lineRule="auto"/>
        <w:ind w:left="240" w:hanging="240"/>
        <w:jc w:val="both"/>
        <w:rPr>
          <w:rFonts w:cs="Arial"/>
        </w:rPr>
      </w:pPr>
    </w:p>
    <w:p w14:paraId="464FCA7A" w14:textId="02EA46E7" w:rsidR="004D0BB0" w:rsidRPr="00837436" w:rsidRDefault="000515D5" w:rsidP="00A65A92">
      <w:pPr>
        <w:numPr>
          <w:ilvl w:val="0"/>
          <w:numId w:val="21"/>
        </w:numPr>
        <w:tabs>
          <w:tab w:val="clear" w:pos="825"/>
          <w:tab w:val="num" w:pos="240"/>
        </w:tabs>
        <w:spacing w:line="360" w:lineRule="auto"/>
        <w:ind w:left="240" w:hanging="240"/>
        <w:jc w:val="both"/>
        <w:rPr>
          <w:rFonts w:cs="Arial"/>
        </w:rPr>
      </w:pPr>
      <w:r w:rsidRPr="00837436">
        <w:rPr>
          <w:rFonts w:cs="Arial"/>
        </w:rPr>
        <w:t xml:space="preserve">Furthermore, changes in clinical characteristics relating to visual functioning and appearance, as indicated by transitional variables, should be more closely associated with changes in scores on the relevant subscales of the </w:t>
      </w:r>
      <w:r w:rsidR="00C948D2">
        <w:rPr>
          <w:rFonts w:cs="Arial"/>
        </w:rPr>
        <w:t>GO-QOL</w:t>
      </w:r>
      <w:r w:rsidRPr="00837436">
        <w:rPr>
          <w:rFonts w:cs="Arial"/>
        </w:rPr>
        <w:t xml:space="preserve"> than with the </w:t>
      </w:r>
      <w:r w:rsidR="00C948D2">
        <w:rPr>
          <w:rFonts w:cs="Arial"/>
        </w:rPr>
        <w:t>WHOQOL</w:t>
      </w:r>
      <w:r w:rsidRPr="00837436">
        <w:rPr>
          <w:rFonts w:cs="Arial"/>
        </w:rPr>
        <w:t>-</w:t>
      </w:r>
      <w:proofErr w:type="spellStart"/>
      <w:r w:rsidRPr="00837436">
        <w:rPr>
          <w:rFonts w:cs="Arial"/>
        </w:rPr>
        <w:t>Bref</w:t>
      </w:r>
      <w:proofErr w:type="spellEnd"/>
      <w:r w:rsidRPr="00837436">
        <w:rPr>
          <w:rFonts w:cs="Arial"/>
        </w:rPr>
        <w:t>.</w:t>
      </w:r>
    </w:p>
    <w:p w14:paraId="7E178EA5" w14:textId="77777777" w:rsidR="000515D5" w:rsidRPr="00837436" w:rsidRDefault="000515D5" w:rsidP="00A65A92">
      <w:pPr>
        <w:widowControl w:val="0"/>
        <w:autoSpaceDE w:val="0"/>
        <w:autoSpaceDN w:val="0"/>
        <w:adjustRightInd w:val="0"/>
        <w:spacing w:line="360" w:lineRule="auto"/>
        <w:rPr>
          <w:rFonts w:cs="Times New Roman"/>
          <w:lang w:val="en-US"/>
        </w:rPr>
      </w:pPr>
    </w:p>
    <w:p w14:paraId="68C85875" w14:textId="7ED0D1AC" w:rsidR="00F6267F" w:rsidRPr="00837436" w:rsidRDefault="008210BB" w:rsidP="00A65A92">
      <w:pPr>
        <w:widowControl w:val="0"/>
        <w:autoSpaceDE w:val="0"/>
        <w:autoSpaceDN w:val="0"/>
        <w:adjustRightInd w:val="0"/>
        <w:spacing w:line="360" w:lineRule="auto"/>
      </w:pPr>
      <w:r>
        <w:rPr>
          <w:rFonts w:cs="Times New Roman"/>
          <w:lang w:val="en-US"/>
        </w:rPr>
        <w:t xml:space="preserve">The third and final stage </w:t>
      </w:r>
      <w:r w:rsidRPr="00837436">
        <w:rPr>
          <w:rFonts w:cs="Times New Roman"/>
          <w:lang w:val="en-US"/>
        </w:rPr>
        <w:t xml:space="preserve">was to </w:t>
      </w:r>
      <w:r w:rsidRPr="00837436">
        <w:t xml:space="preserve">explore </w:t>
      </w:r>
      <w:r w:rsidR="0053180A">
        <w:t xml:space="preserve">the extent to which the </w:t>
      </w:r>
      <w:r w:rsidR="00C948D2">
        <w:t>GO-QOL</w:t>
      </w:r>
      <w:r w:rsidR="0053180A">
        <w:t xml:space="preserve"> can demonstrate discriminant validity. That is, whether the </w:t>
      </w:r>
      <w:r w:rsidR="00C948D2">
        <w:t>GO-QOL</w:t>
      </w:r>
      <w:r w:rsidR="0053180A">
        <w:t xml:space="preserve"> can distinguish between patient populations based on either clinician ratings of improvement or participants’ </w:t>
      </w:r>
      <w:r w:rsidRPr="00837436">
        <w:t>subjective</w:t>
      </w:r>
      <w:r w:rsidR="0053180A">
        <w:t xml:space="preserve"> measures.</w:t>
      </w:r>
      <w:r w:rsidRPr="00837436">
        <w:rPr>
          <w:rFonts w:cs="Times New Roman"/>
          <w:lang w:val="en-US"/>
        </w:rPr>
        <w:t xml:space="preserve"> </w:t>
      </w:r>
      <w:r w:rsidR="0053180A">
        <w:rPr>
          <w:rFonts w:cs="Times New Roman"/>
          <w:lang w:val="en-US"/>
        </w:rPr>
        <w:t>Although it should be noted that s</w:t>
      </w:r>
      <w:r w:rsidR="000515D5" w:rsidRPr="00837436">
        <w:rPr>
          <w:rFonts w:cs="Times New Roman"/>
          <w:lang w:val="en-US"/>
        </w:rPr>
        <w:t>ubjective severity does not always correlate well with objective measures of disease and physician</w:t>
      </w:r>
      <w:r>
        <w:rPr>
          <w:rFonts w:cs="Times New Roman"/>
          <w:lang w:val="en-US"/>
        </w:rPr>
        <w:t xml:space="preserve">s’ assessments </w:t>
      </w:r>
      <w:r w:rsidR="00233ACC">
        <w:rPr>
          <w:rFonts w:cs="Times New Roman"/>
          <w:lang w:val="en-US"/>
        </w:rPr>
        <w:t>(</w:t>
      </w:r>
      <w:proofErr w:type="spellStart"/>
      <w:r w:rsidR="00233ACC">
        <w:rPr>
          <w:rFonts w:cs="Times New Roman"/>
          <w:lang w:val="en-US"/>
        </w:rPr>
        <w:t>Bessell</w:t>
      </w:r>
      <w:proofErr w:type="spellEnd"/>
      <w:r w:rsidR="00233ACC">
        <w:rPr>
          <w:rFonts w:cs="Times New Roman"/>
          <w:lang w:val="en-US"/>
        </w:rPr>
        <w:t xml:space="preserve">, </w:t>
      </w:r>
      <w:proofErr w:type="spellStart"/>
      <w:r w:rsidR="00233ACC" w:rsidRPr="000965B2">
        <w:rPr>
          <w:spacing w:val="-2"/>
        </w:rPr>
        <w:t>Dures</w:t>
      </w:r>
      <w:proofErr w:type="spellEnd"/>
      <w:r w:rsidR="00233ACC">
        <w:rPr>
          <w:spacing w:val="-2"/>
        </w:rPr>
        <w:t>,</w:t>
      </w:r>
      <w:r w:rsidR="00233ACC" w:rsidRPr="000965B2">
        <w:rPr>
          <w:spacing w:val="-2"/>
        </w:rPr>
        <w:t xml:space="preserve"> </w:t>
      </w:r>
      <w:proofErr w:type="spellStart"/>
      <w:r w:rsidR="00233ACC" w:rsidRPr="000965B2">
        <w:rPr>
          <w:spacing w:val="-2"/>
        </w:rPr>
        <w:t>Semple</w:t>
      </w:r>
      <w:proofErr w:type="spellEnd"/>
      <w:r w:rsidR="00233ACC" w:rsidRPr="000965B2">
        <w:rPr>
          <w:spacing w:val="-2"/>
        </w:rPr>
        <w:t xml:space="preserve"> &amp; Jackson</w:t>
      </w:r>
      <w:r w:rsidR="00233ACC">
        <w:rPr>
          <w:spacing w:val="-2"/>
        </w:rPr>
        <w:t>, 2012)</w:t>
      </w:r>
      <w:r w:rsidR="0053180A">
        <w:rPr>
          <w:rFonts w:cs="Times New Roman"/>
          <w:lang w:val="en-US"/>
        </w:rPr>
        <w:t>.</w:t>
      </w:r>
    </w:p>
    <w:p w14:paraId="68F67EE8" w14:textId="77777777" w:rsidR="00A52A0D" w:rsidRDefault="00A52A0D" w:rsidP="0048229C">
      <w:pPr>
        <w:spacing w:line="360" w:lineRule="auto"/>
        <w:rPr>
          <w:b/>
        </w:rPr>
      </w:pPr>
    </w:p>
    <w:p w14:paraId="536F7487" w14:textId="01B7BFB7" w:rsidR="005D7421" w:rsidRPr="0048229C" w:rsidRDefault="00E37184" w:rsidP="0048229C">
      <w:pPr>
        <w:spacing w:line="360" w:lineRule="auto"/>
        <w:rPr>
          <w:b/>
        </w:rPr>
      </w:pPr>
      <w:r>
        <w:rPr>
          <w:b/>
        </w:rPr>
        <w:t>Methods</w:t>
      </w:r>
    </w:p>
    <w:p w14:paraId="75D64E9C" w14:textId="77777777" w:rsidR="00B65D22" w:rsidRPr="0048229C" w:rsidRDefault="00AA7F4D" w:rsidP="0048229C">
      <w:pPr>
        <w:spacing w:line="360" w:lineRule="auto"/>
        <w:rPr>
          <w:b/>
          <w:i/>
        </w:rPr>
      </w:pPr>
      <w:r>
        <w:rPr>
          <w:b/>
          <w:i/>
        </w:rPr>
        <w:t>Design</w:t>
      </w:r>
    </w:p>
    <w:p w14:paraId="3992A245" w14:textId="34A23B25" w:rsidR="00B65D22" w:rsidRDefault="00A9174B" w:rsidP="0048229C">
      <w:pPr>
        <w:widowControl w:val="0"/>
        <w:autoSpaceDE w:val="0"/>
        <w:autoSpaceDN w:val="0"/>
        <w:adjustRightInd w:val="0"/>
        <w:spacing w:line="360" w:lineRule="auto"/>
        <w:rPr>
          <w:rFonts w:cs="Times New Roman"/>
          <w:lang w:val="en-US"/>
        </w:rPr>
      </w:pPr>
      <w:r w:rsidRPr="000C7210">
        <w:rPr>
          <w:rFonts w:ascii="Baskerville" w:hAnsi="Baskerville"/>
        </w:rPr>
        <w:t>The study protocol has been described in detail previously</w:t>
      </w:r>
      <w:r w:rsidRPr="0048229C">
        <w:rPr>
          <w:rFonts w:cs="Times New Roman"/>
          <w:lang w:val="en-US"/>
        </w:rPr>
        <w:t xml:space="preserve"> </w:t>
      </w:r>
      <w:r>
        <w:rPr>
          <w:rFonts w:cs="Times New Roman"/>
          <w:lang w:val="en-US"/>
        </w:rPr>
        <w:t>(</w:t>
      </w:r>
      <w:proofErr w:type="spellStart"/>
      <w:r>
        <w:rPr>
          <w:rFonts w:cs="Times New Roman"/>
          <w:lang w:val="en-US"/>
        </w:rPr>
        <w:t>Rajendram</w:t>
      </w:r>
      <w:proofErr w:type="spellEnd"/>
      <w:r>
        <w:rPr>
          <w:rFonts w:cs="Times New Roman"/>
          <w:lang w:val="en-US"/>
        </w:rPr>
        <w:t xml:space="preserve"> et al</w:t>
      </w:r>
      <w:r w:rsidR="00B56C13">
        <w:rPr>
          <w:rFonts w:cs="Times New Roman"/>
          <w:lang w:val="en-US"/>
        </w:rPr>
        <w:t>,</w:t>
      </w:r>
      <w:r>
        <w:rPr>
          <w:rFonts w:cs="Times New Roman"/>
          <w:lang w:val="en-US"/>
        </w:rPr>
        <w:t xml:space="preserve"> 2008). In brief, </w:t>
      </w:r>
      <w:r w:rsidR="00B65D22" w:rsidRPr="0048229C">
        <w:rPr>
          <w:rFonts w:cs="Times New Roman"/>
          <w:lang w:val="en-US"/>
        </w:rPr>
        <w:t>CIRTED is a</w:t>
      </w:r>
      <w:r w:rsidR="009410C3">
        <w:rPr>
          <w:rFonts w:cs="Times New Roman"/>
          <w:lang w:val="en-US"/>
        </w:rPr>
        <w:t xml:space="preserve"> 2x2 </w:t>
      </w:r>
      <w:r w:rsidR="00B65D22" w:rsidRPr="0048229C">
        <w:rPr>
          <w:rFonts w:cs="Times New Roman"/>
          <w:lang w:val="en-US"/>
        </w:rPr>
        <w:t xml:space="preserve">factorial design, double-masked, </w:t>
      </w:r>
      <w:r w:rsidR="00A52A0D">
        <w:rPr>
          <w:rFonts w:cs="Times New Roman"/>
          <w:lang w:val="en-US"/>
        </w:rPr>
        <w:t>multi-</w:t>
      </w:r>
      <w:proofErr w:type="spellStart"/>
      <w:r w:rsidR="00A52A0D">
        <w:rPr>
          <w:rFonts w:cs="Times New Roman"/>
          <w:lang w:val="en-US"/>
        </w:rPr>
        <w:t>centre</w:t>
      </w:r>
      <w:proofErr w:type="spellEnd"/>
      <w:r w:rsidR="00A52A0D">
        <w:rPr>
          <w:rFonts w:cs="Times New Roman"/>
          <w:lang w:val="en-US"/>
        </w:rPr>
        <w:t xml:space="preserve">, </w:t>
      </w:r>
      <w:r w:rsidR="00B65D22" w:rsidRPr="0048229C">
        <w:rPr>
          <w:rFonts w:cs="Times New Roman"/>
          <w:lang w:val="en-US"/>
        </w:rPr>
        <w:t>randomi</w:t>
      </w:r>
      <w:r w:rsidR="00BE2A5E">
        <w:rPr>
          <w:rFonts w:cs="Times New Roman"/>
          <w:lang w:val="en-US"/>
        </w:rPr>
        <w:t>z</w:t>
      </w:r>
      <w:r w:rsidR="00B65D22" w:rsidRPr="0048229C">
        <w:rPr>
          <w:rFonts w:cs="Times New Roman"/>
          <w:lang w:val="en-US"/>
        </w:rPr>
        <w:t>ed controlled trial</w:t>
      </w:r>
      <w:r>
        <w:rPr>
          <w:rFonts w:cs="Times New Roman"/>
          <w:lang w:val="en-US"/>
        </w:rPr>
        <w:t xml:space="preserve"> (see F</w:t>
      </w:r>
      <w:proofErr w:type="spellStart"/>
      <w:r w:rsidR="00AA7F4D">
        <w:t>igure</w:t>
      </w:r>
      <w:proofErr w:type="spellEnd"/>
      <w:r w:rsidR="00AA7F4D">
        <w:t xml:space="preserve"> 1</w:t>
      </w:r>
      <w:r>
        <w:t xml:space="preserve"> for a diagram of the trial design)</w:t>
      </w:r>
      <w:r w:rsidR="00B65D22" w:rsidRPr="0048229C">
        <w:rPr>
          <w:rFonts w:cs="Times New Roman"/>
          <w:lang w:val="en-US"/>
        </w:rPr>
        <w:t xml:space="preserve">. </w:t>
      </w:r>
    </w:p>
    <w:p w14:paraId="13213170" w14:textId="77777777" w:rsidR="009410C3" w:rsidRDefault="009410C3" w:rsidP="0048229C">
      <w:pPr>
        <w:widowControl w:val="0"/>
        <w:autoSpaceDE w:val="0"/>
        <w:autoSpaceDN w:val="0"/>
        <w:adjustRightInd w:val="0"/>
        <w:spacing w:line="360" w:lineRule="auto"/>
        <w:rPr>
          <w:rFonts w:cs="Times New Roman"/>
          <w:lang w:val="en-US"/>
        </w:rPr>
      </w:pPr>
    </w:p>
    <w:p w14:paraId="11578DF3" w14:textId="42043420" w:rsidR="009410C3" w:rsidRPr="009410C3" w:rsidRDefault="009410C3" w:rsidP="009410C3">
      <w:pPr>
        <w:spacing w:line="360" w:lineRule="auto"/>
        <w:rPr>
          <w:rFonts w:ascii="Times" w:hAnsi="Times"/>
          <w:b/>
          <w:i/>
        </w:rPr>
      </w:pPr>
      <w:r w:rsidRPr="009410C3">
        <w:rPr>
          <w:rFonts w:ascii="Times" w:hAnsi="Times"/>
          <w:b/>
          <w:i/>
        </w:rPr>
        <w:t>Ethical approval</w:t>
      </w:r>
    </w:p>
    <w:p w14:paraId="66ED704D" w14:textId="6D46A726" w:rsidR="009410C3" w:rsidRDefault="009410C3" w:rsidP="009410C3">
      <w:pPr>
        <w:spacing w:line="360" w:lineRule="auto"/>
        <w:jc w:val="both"/>
        <w:rPr>
          <w:rFonts w:ascii="Times New Roman" w:hAnsi="Times New Roman"/>
        </w:rPr>
      </w:pPr>
      <w:r>
        <w:rPr>
          <w:rFonts w:ascii="Times New Roman" w:hAnsi="Times New Roman"/>
        </w:rPr>
        <w:t xml:space="preserve">Ethical approval was from </w:t>
      </w:r>
      <w:r w:rsidRPr="0058604B">
        <w:rPr>
          <w:rFonts w:ascii="Times New Roman" w:hAnsi="Times New Roman"/>
        </w:rPr>
        <w:t xml:space="preserve">the UK’s National Health Service South West Central Bristol Research Ethics Committee (REC reference: 05/Q2006/62). Clinical Trial Authorisation was given by the Medicines and Healthcare products Regulatory Agency (MHRA, reference: </w:t>
      </w:r>
      <w:r w:rsidRPr="0058604B">
        <w:rPr>
          <w:rFonts w:ascii="Times New Roman" w:hAnsi="Times New Roman"/>
        </w:rPr>
        <w:lastRenderedPageBreak/>
        <w:t xml:space="preserve">03299/0003/001-0001; ISRCTN22471573) with the University of Bristol acting as the legal sponsor. Research governance and local Research and Development approvals were obtained across all sites prior to the start of recruitment. All participants gave written informed consent. </w:t>
      </w:r>
    </w:p>
    <w:p w14:paraId="1B824386" w14:textId="77777777" w:rsidR="0072571C" w:rsidRDefault="0072571C" w:rsidP="009410C3">
      <w:pPr>
        <w:spacing w:line="360" w:lineRule="auto"/>
        <w:jc w:val="both"/>
        <w:rPr>
          <w:rFonts w:ascii="Times New Roman" w:hAnsi="Times New Roman"/>
        </w:rPr>
      </w:pPr>
    </w:p>
    <w:p w14:paraId="61363C8B" w14:textId="78BD7C5B" w:rsidR="0072571C" w:rsidRPr="0058604B" w:rsidRDefault="0072571C" w:rsidP="009410C3">
      <w:pPr>
        <w:spacing w:line="360" w:lineRule="auto"/>
        <w:jc w:val="both"/>
        <w:rPr>
          <w:rFonts w:ascii="Times New Roman" w:hAnsi="Times New Roman"/>
        </w:rPr>
      </w:pPr>
      <w:r>
        <w:rPr>
          <w:rFonts w:ascii="Times New Roman" w:hAnsi="Times New Roman"/>
        </w:rPr>
        <w:t>[Figure 1 near here]</w:t>
      </w:r>
    </w:p>
    <w:p w14:paraId="55E86119" w14:textId="77777777" w:rsidR="007D4159" w:rsidRPr="0048229C" w:rsidRDefault="007D4159" w:rsidP="0048229C">
      <w:pPr>
        <w:widowControl w:val="0"/>
        <w:autoSpaceDE w:val="0"/>
        <w:autoSpaceDN w:val="0"/>
        <w:adjustRightInd w:val="0"/>
        <w:spacing w:line="360" w:lineRule="auto"/>
        <w:rPr>
          <w:rFonts w:cs="Times New Roman"/>
          <w:lang w:val="en-US"/>
        </w:rPr>
      </w:pPr>
    </w:p>
    <w:p w14:paraId="4EE1E31C" w14:textId="5F8C51AA" w:rsidR="007D4159" w:rsidRPr="0048229C" w:rsidRDefault="007D4159" w:rsidP="0048229C">
      <w:pPr>
        <w:widowControl w:val="0"/>
        <w:autoSpaceDE w:val="0"/>
        <w:autoSpaceDN w:val="0"/>
        <w:adjustRightInd w:val="0"/>
        <w:spacing w:line="360" w:lineRule="auto"/>
        <w:rPr>
          <w:rFonts w:cs="Times New Roman"/>
          <w:b/>
          <w:i/>
          <w:lang w:val="en-US"/>
        </w:rPr>
      </w:pPr>
      <w:r w:rsidRPr="0048229C">
        <w:rPr>
          <w:rFonts w:cs="Times New Roman"/>
          <w:b/>
          <w:i/>
          <w:lang w:val="en-US"/>
        </w:rPr>
        <w:t>Materials</w:t>
      </w:r>
      <w:r w:rsidR="00AA7F4D">
        <w:rPr>
          <w:rFonts w:cs="Times New Roman"/>
          <w:b/>
          <w:i/>
          <w:lang w:val="en-US"/>
        </w:rPr>
        <w:t xml:space="preserve"> </w:t>
      </w:r>
      <w:r w:rsidR="00AA7F4D" w:rsidRPr="001E3273">
        <w:rPr>
          <w:rFonts w:cs="Times New Roman"/>
          <w:lang w:val="en-US"/>
        </w:rPr>
        <w:t xml:space="preserve">(see </w:t>
      </w:r>
      <w:r w:rsidR="00A9174B">
        <w:rPr>
          <w:rFonts w:cs="Times New Roman"/>
          <w:lang w:val="en-US"/>
        </w:rPr>
        <w:t xml:space="preserve">also </w:t>
      </w:r>
      <w:r w:rsidR="006E29F3">
        <w:rPr>
          <w:rFonts w:cs="Times New Roman"/>
          <w:lang w:val="en-US"/>
        </w:rPr>
        <w:t>Table 1</w:t>
      </w:r>
      <w:r w:rsidR="00AA7F4D" w:rsidRPr="001E3273">
        <w:rPr>
          <w:rFonts w:cs="Times New Roman"/>
          <w:lang w:val="en-US"/>
        </w:rPr>
        <w:t>)</w:t>
      </w:r>
    </w:p>
    <w:p w14:paraId="4AD279A5" w14:textId="64891C9E" w:rsidR="00522D6B" w:rsidRDefault="007D4159" w:rsidP="0048229C">
      <w:pPr>
        <w:widowControl w:val="0"/>
        <w:autoSpaceDE w:val="0"/>
        <w:autoSpaceDN w:val="0"/>
        <w:adjustRightInd w:val="0"/>
        <w:spacing w:line="360" w:lineRule="auto"/>
      </w:pPr>
      <w:r w:rsidRPr="0048229C">
        <w:t xml:space="preserve">The Graves' </w:t>
      </w:r>
      <w:proofErr w:type="spellStart"/>
      <w:r w:rsidRPr="0048229C">
        <w:t>ophthalmopathy</w:t>
      </w:r>
      <w:proofErr w:type="spellEnd"/>
      <w:r w:rsidRPr="0048229C">
        <w:t xml:space="preserve"> quality of life assessment (</w:t>
      </w:r>
      <w:r w:rsidR="00C948D2">
        <w:t>GO-QOL</w:t>
      </w:r>
      <w:r w:rsidRPr="0048229C">
        <w:t>) questionnaire</w:t>
      </w:r>
      <w:r w:rsidR="00CD2922" w:rsidRPr="0048229C">
        <w:t xml:space="preserve"> </w:t>
      </w:r>
      <w:r w:rsidRPr="0048229C">
        <w:t>consist</w:t>
      </w:r>
      <w:r w:rsidR="002618D4">
        <w:t>s</w:t>
      </w:r>
      <w:r w:rsidRPr="0048229C">
        <w:t xml:space="preserve"> of two subscales, </w:t>
      </w:r>
      <w:r w:rsidR="002618D4">
        <w:t xml:space="preserve">each comprising </w:t>
      </w:r>
      <w:r w:rsidRPr="0048229C">
        <w:t xml:space="preserve">eight questions, on visual function and the psychological impact of changed appearance </w:t>
      </w:r>
      <w:r w:rsidR="00A9174B">
        <w:t>(</w:t>
      </w:r>
      <w:proofErr w:type="spellStart"/>
      <w:r w:rsidR="00A9174B">
        <w:t>Terwee</w:t>
      </w:r>
      <w:proofErr w:type="spellEnd"/>
      <w:r w:rsidR="00A9174B">
        <w:t xml:space="preserve"> et al, 1998)</w:t>
      </w:r>
      <w:r w:rsidRPr="0048229C">
        <w:t xml:space="preserve">. </w:t>
      </w:r>
    </w:p>
    <w:p w14:paraId="07918BEE" w14:textId="77777777" w:rsidR="00AA7F4D" w:rsidRPr="0048229C" w:rsidRDefault="00AA7F4D" w:rsidP="0048229C">
      <w:pPr>
        <w:widowControl w:val="0"/>
        <w:autoSpaceDE w:val="0"/>
        <w:autoSpaceDN w:val="0"/>
        <w:adjustRightInd w:val="0"/>
        <w:spacing w:line="360" w:lineRule="auto"/>
      </w:pPr>
    </w:p>
    <w:p w14:paraId="75B1ECE5" w14:textId="43EE3D24" w:rsidR="00522D6B" w:rsidRPr="0048229C" w:rsidRDefault="00522D6B" w:rsidP="00C712B8">
      <w:pPr>
        <w:spacing w:line="360" w:lineRule="auto"/>
      </w:pPr>
      <w:r w:rsidRPr="00265F23">
        <w:t xml:space="preserve">The </w:t>
      </w:r>
      <w:r w:rsidR="00C948D2">
        <w:t>WHOQOL</w:t>
      </w:r>
      <w:r w:rsidRPr="00265F23">
        <w:t>-</w:t>
      </w:r>
      <w:proofErr w:type="spellStart"/>
      <w:r w:rsidRPr="00265F23">
        <w:t>Bref</w:t>
      </w:r>
      <w:proofErr w:type="spellEnd"/>
      <w:r w:rsidRPr="00265F23">
        <w:t xml:space="preserve"> is a widely used and previously validated measure of quality of life </w:t>
      </w:r>
      <w:r w:rsidR="00265F23" w:rsidRPr="00265F23">
        <w:rPr>
          <w:rFonts w:cs="Arial"/>
        </w:rPr>
        <w:t>consisting of 28 items which cover subjective overall quality of life and subjective overall health, plus items relating to domains of physical, psychological, social relationships and environment</w:t>
      </w:r>
      <w:r w:rsidR="00A65A92">
        <w:rPr>
          <w:rFonts w:cs="Arial"/>
        </w:rPr>
        <w:t xml:space="preserve"> </w:t>
      </w:r>
      <w:r w:rsidR="00A9174B">
        <w:rPr>
          <w:rFonts w:cs="Arial"/>
        </w:rPr>
        <w:t>(</w:t>
      </w:r>
      <w:r w:rsidR="00A9174B">
        <w:t xml:space="preserve">The </w:t>
      </w:r>
      <w:r w:rsidR="00C948D2">
        <w:t>WHOQOL</w:t>
      </w:r>
      <w:r w:rsidR="00A9174B">
        <w:t xml:space="preserve"> Group, 1998)</w:t>
      </w:r>
      <w:r w:rsidR="00265F23" w:rsidRPr="00265F23">
        <w:rPr>
          <w:rFonts w:cs="Arial"/>
        </w:rPr>
        <w:t>.</w:t>
      </w:r>
      <w:r w:rsidR="00265F23" w:rsidRPr="00265F23">
        <w:t xml:space="preserve"> </w:t>
      </w:r>
      <w:r w:rsidR="00265F23" w:rsidRPr="00265F23">
        <w:rPr>
          <w:rFonts w:cs="Arial"/>
        </w:rPr>
        <w:t xml:space="preserve">The </w:t>
      </w:r>
      <w:r w:rsidR="00C948D2">
        <w:rPr>
          <w:rFonts w:cs="Arial"/>
        </w:rPr>
        <w:t>WHOQOL</w:t>
      </w:r>
      <w:r w:rsidR="00265F23" w:rsidRPr="00265F23">
        <w:rPr>
          <w:rFonts w:cs="Arial"/>
        </w:rPr>
        <w:t>-</w:t>
      </w:r>
      <w:proofErr w:type="spellStart"/>
      <w:r w:rsidR="00265F23" w:rsidRPr="00265F23">
        <w:rPr>
          <w:rFonts w:cs="Arial"/>
        </w:rPr>
        <w:t>B</w:t>
      </w:r>
      <w:r w:rsidR="00C712B8">
        <w:rPr>
          <w:rFonts w:cs="Arial"/>
        </w:rPr>
        <w:t>ref</w:t>
      </w:r>
      <w:proofErr w:type="spellEnd"/>
      <w:r w:rsidR="00265F23" w:rsidRPr="00265F23">
        <w:rPr>
          <w:rFonts w:cs="Arial"/>
        </w:rPr>
        <w:t xml:space="preserve"> has been widely used with a range of populations and is reported to have good psychometric properties </w:t>
      </w:r>
      <w:r w:rsidR="002F0360" w:rsidRPr="002F0360">
        <w:rPr>
          <w:rFonts w:cs="Arial"/>
        </w:rPr>
        <w:t xml:space="preserve">(Skevington, </w:t>
      </w:r>
      <w:proofErr w:type="spellStart"/>
      <w:r w:rsidR="002F0360" w:rsidRPr="002F0360">
        <w:rPr>
          <w:rFonts w:cs="Arial"/>
        </w:rPr>
        <w:t>Lotfy</w:t>
      </w:r>
      <w:proofErr w:type="spellEnd"/>
      <w:r w:rsidR="002F0360" w:rsidRPr="002F0360">
        <w:rPr>
          <w:rFonts w:cs="Arial"/>
        </w:rPr>
        <w:t xml:space="preserve"> &amp; O’</w:t>
      </w:r>
      <w:r w:rsidR="002F0360">
        <w:rPr>
          <w:rFonts w:cs="Arial"/>
        </w:rPr>
        <w:t>Connell, 2004)</w:t>
      </w:r>
      <w:r w:rsidR="00265F23" w:rsidRPr="00265F23">
        <w:rPr>
          <w:rFonts w:cs="Arial"/>
        </w:rPr>
        <w:t>.</w:t>
      </w:r>
    </w:p>
    <w:p w14:paraId="45D9F950" w14:textId="77777777" w:rsidR="00482388" w:rsidRDefault="00482388" w:rsidP="00DB685C">
      <w:pPr>
        <w:widowControl w:val="0"/>
        <w:autoSpaceDE w:val="0"/>
        <w:autoSpaceDN w:val="0"/>
        <w:adjustRightInd w:val="0"/>
        <w:spacing w:line="360" w:lineRule="auto"/>
        <w:rPr>
          <w:rFonts w:cs="Arial"/>
        </w:rPr>
      </w:pPr>
    </w:p>
    <w:p w14:paraId="563E5019" w14:textId="12A054CB" w:rsidR="00A65A92" w:rsidRPr="00A65A92" w:rsidRDefault="00DB685C" w:rsidP="007B192B">
      <w:pPr>
        <w:widowControl w:val="0"/>
        <w:autoSpaceDE w:val="0"/>
        <w:autoSpaceDN w:val="0"/>
        <w:adjustRightInd w:val="0"/>
        <w:spacing w:line="360" w:lineRule="auto"/>
        <w:rPr>
          <w:rFonts w:cs="Arial"/>
        </w:rPr>
      </w:pPr>
      <w:r>
        <w:rPr>
          <w:rFonts w:cs="Arial"/>
        </w:rPr>
        <w:t>Two t</w:t>
      </w:r>
      <w:r w:rsidR="00265F23" w:rsidRPr="00A65A92">
        <w:rPr>
          <w:rFonts w:cs="Arial"/>
        </w:rPr>
        <w:t xml:space="preserve">ransitional variables relating closely to the subscales of the </w:t>
      </w:r>
      <w:r w:rsidR="00C948D2">
        <w:rPr>
          <w:rFonts w:cs="Arial"/>
        </w:rPr>
        <w:t>GO-QOL</w:t>
      </w:r>
      <w:r w:rsidR="00265F23" w:rsidRPr="00A65A92">
        <w:rPr>
          <w:rFonts w:cs="Arial"/>
        </w:rPr>
        <w:t xml:space="preserve"> were included at follow up as an external standard to identify changes post-treatment</w:t>
      </w:r>
      <w:r>
        <w:rPr>
          <w:rFonts w:cs="Arial"/>
        </w:rPr>
        <w:t xml:space="preserve"> (labelled “T1” and “T2”)</w:t>
      </w:r>
      <w:r w:rsidR="00265F23" w:rsidRPr="00A65A92">
        <w:rPr>
          <w:rFonts w:cs="Arial"/>
        </w:rPr>
        <w:t>.</w:t>
      </w:r>
      <w:r w:rsidR="004D0BB0" w:rsidRPr="00A65A92">
        <w:rPr>
          <w:rFonts w:cs="Arial"/>
        </w:rPr>
        <w:t xml:space="preserve"> </w:t>
      </w:r>
      <w:r w:rsidR="00A65A92" w:rsidRPr="00A65A92">
        <w:rPr>
          <w:rFonts w:cs="Arial"/>
        </w:rPr>
        <w:t xml:space="preserve">These variables were agreed with the </w:t>
      </w:r>
      <w:r w:rsidR="00C712B8">
        <w:rPr>
          <w:rFonts w:cs="Arial"/>
        </w:rPr>
        <w:t xml:space="preserve">authors of the </w:t>
      </w:r>
      <w:r w:rsidR="00C948D2">
        <w:rPr>
          <w:rFonts w:cs="Arial"/>
        </w:rPr>
        <w:t>GO-QOL</w:t>
      </w:r>
      <w:r w:rsidR="00A65A92" w:rsidRPr="00A65A92">
        <w:rPr>
          <w:rFonts w:cs="Arial"/>
        </w:rPr>
        <w:t xml:space="preserve"> </w:t>
      </w:r>
      <w:r>
        <w:rPr>
          <w:rFonts w:cs="Arial"/>
        </w:rPr>
        <w:t>as being suitable</w:t>
      </w:r>
      <w:r w:rsidR="00A9174B">
        <w:rPr>
          <w:rFonts w:cs="Arial"/>
        </w:rPr>
        <w:t xml:space="preserve"> for this purpose</w:t>
      </w:r>
      <w:r>
        <w:rPr>
          <w:rFonts w:cs="Arial"/>
        </w:rPr>
        <w:t xml:space="preserve">. </w:t>
      </w:r>
      <w:r w:rsidR="00F32601">
        <w:t>In order to explore the impact of TED and its treatment on psychological adjustment and daily functioning more broadly, Visual Analogue Scales (VAS) were also included in the study. VAS scales are easy for respondents to complete and are often used in clinical assessments (</w:t>
      </w:r>
      <w:proofErr w:type="spellStart"/>
      <w:r w:rsidR="00F32601">
        <w:t>Carr</w:t>
      </w:r>
      <w:proofErr w:type="spellEnd"/>
      <w:r w:rsidR="00F32601">
        <w:t>, 1997).</w:t>
      </w:r>
    </w:p>
    <w:p w14:paraId="2F93A759" w14:textId="77777777" w:rsidR="002618D4" w:rsidRPr="0048229C" w:rsidRDefault="002618D4" w:rsidP="0048229C">
      <w:pPr>
        <w:widowControl w:val="0"/>
        <w:autoSpaceDE w:val="0"/>
        <w:autoSpaceDN w:val="0"/>
        <w:adjustRightInd w:val="0"/>
        <w:spacing w:line="360" w:lineRule="auto"/>
        <w:rPr>
          <w:rFonts w:cs="Times New Roman"/>
          <w:lang w:val="en-US"/>
        </w:rPr>
      </w:pPr>
    </w:p>
    <w:p w14:paraId="7365A7D1" w14:textId="10A0B225" w:rsidR="007B192B" w:rsidRDefault="007B192B" w:rsidP="00495601">
      <w:pPr>
        <w:widowControl w:val="0"/>
        <w:autoSpaceDE w:val="0"/>
        <w:autoSpaceDN w:val="0"/>
        <w:adjustRightInd w:val="0"/>
        <w:spacing w:line="360" w:lineRule="auto"/>
      </w:pPr>
      <w:r>
        <w:rPr>
          <w:rFonts w:cs="Times New Roman"/>
          <w:lang w:val="en-US"/>
        </w:rPr>
        <w:t xml:space="preserve">Clinician ratings of disease severity and activity </w:t>
      </w:r>
      <w:r w:rsidR="00A65E4E">
        <w:rPr>
          <w:rFonts w:cs="Times New Roman"/>
          <w:lang w:val="en-US"/>
        </w:rPr>
        <w:t>were also</w:t>
      </w:r>
      <w:r>
        <w:rPr>
          <w:rFonts w:cs="Times New Roman"/>
          <w:lang w:val="en-US"/>
        </w:rPr>
        <w:t xml:space="preserve"> included. </w:t>
      </w:r>
      <w:r w:rsidR="00184ECF">
        <w:rPr>
          <w:rFonts w:cs="Arial"/>
        </w:rPr>
        <w:t xml:space="preserve">The Binary Composite </w:t>
      </w:r>
      <w:r w:rsidR="00BE2A5E">
        <w:rPr>
          <w:rFonts w:cs="Arial"/>
        </w:rPr>
        <w:t xml:space="preserve">Clinical </w:t>
      </w:r>
      <w:r w:rsidR="00184ECF">
        <w:rPr>
          <w:rFonts w:cs="Arial"/>
        </w:rPr>
        <w:t xml:space="preserve">Outcome </w:t>
      </w:r>
      <w:r w:rsidR="00BE2A5E">
        <w:rPr>
          <w:rFonts w:cs="Arial"/>
        </w:rPr>
        <w:t xml:space="preserve">Measure </w:t>
      </w:r>
      <w:r w:rsidR="00184ECF">
        <w:rPr>
          <w:rFonts w:cs="Arial"/>
        </w:rPr>
        <w:t xml:space="preserve">(BCCOM) </w:t>
      </w:r>
      <w:r w:rsidR="00195E8A" w:rsidRPr="003063E5">
        <w:rPr>
          <w:rFonts w:ascii="Baskerville" w:hAnsi="Baskerville" w:cs="Times New Roman"/>
        </w:rPr>
        <w:t xml:space="preserve">a system of major and minor criteria </w:t>
      </w:r>
      <w:r w:rsidR="00195E8A">
        <w:rPr>
          <w:rFonts w:ascii="Baskerville" w:hAnsi="Baskerville" w:cs="Times New Roman"/>
        </w:rPr>
        <w:t>used in</w:t>
      </w:r>
      <w:r w:rsidR="00195E8A" w:rsidRPr="003063E5">
        <w:rPr>
          <w:rFonts w:ascii="Baskerville" w:hAnsi="Baskerville" w:cs="Times New Roman"/>
        </w:rPr>
        <w:t xml:space="preserve"> </w:t>
      </w:r>
      <w:r w:rsidR="00195E8A">
        <w:rPr>
          <w:rFonts w:ascii="Baskerville" w:hAnsi="Baskerville" w:cs="Times New Roman"/>
        </w:rPr>
        <w:t>previous TED trials (</w:t>
      </w:r>
      <w:proofErr w:type="spellStart"/>
      <w:r w:rsidR="00354327">
        <w:rPr>
          <w:rFonts w:ascii="Baskerville" w:hAnsi="Baskerville" w:cs="Times New Roman"/>
        </w:rPr>
        <w:t>Prummel</w:t>
      </w:r>
      <w:proofErr w:type="spellEnd"/>
      <w:r w:rsidR="00354327">
        <w:rPr>
          <w:rFonts w:ascii="Baskerville" w:hAnsi="Baskerville" w:cs="Times New Roman"/>
        </w:rPr>
        <w:t xml:space="preserve"> et al, 2004; </w:t>
      </w:r>
      <w:proofErr w:type="spellStart"/>
      <w:r w:rsidR="00354327">
        <w:rPr>
          <w:rFonts w:ascii="Baskerville" w:hAnsi="Baskerville" w:cs="Times New Roman"/>
        </w:rPr>
        <w:t>Marcocci</w:t>
      </w:r>
      <w:proofErr w:type="spellEnd"/>
      <w:r w:rsidR="00354327">
        <w:rPr>
          <w:rFonts w:ascii="Baskerville" w:hAnsi="Baskerville" w:cs="Times New Roman"/>
        </w:rPr>
        <w:t xml:space="preserve"> et al, 2001; </w:t>
      </w:r>
      <w:proofErr w:type="spellStart"/>
      <w:r w:rsidR="00354327">
        <w:rPr>
          <w:rFonts w:ascii="Baskerville" w:hAnsi="Baskerville" w:cs="Times New Roman"/>
        </w:rPr>
        <w:t>Mourits</w:t>
      </w:r>
      <w:proofErr w:type="spellEnd"/>
      <w:r w:rsidR="00354327">
        <w:rPr>
          <w:rFonts w:ascii="Baskerville" w:hAnsi="Baskerville" w:cs="Times New Roman"/>
        </w:rPr>
        <w:t xml:space="preserve"> et al, 2000</w:t>
      </w:r>
      <w:r w:rsidR="00195E8A">
        <w:rPr>
          <w:rFonts w:ascii="Baskerville" w:hAnsi="Baskerville" w:cs="Times New Roman"/>
        </w:rPr>
        <w:t>).</w:t>
      </w:r>
      <w:r w:rsidR="00195E8A">
        <w:rPr>
          <w:rFonts w:cs="Arial"/>
        </w:rPr>
        <w:t xml:space="preserve"> It </w:t>
      </w:r>
      <w:r w:rsidR="00184ECF">
        <w:rPr>
          <w:rFonts w:cs="Arial"/>
        </w:rPr>
        <w:t>is a clinician rating of improvement in the CIRTED trial used at 1 year post treatment to classify study participants’ treatment as being successful or not</w:t>
      </w:r>
      <w:r w:rsidR="00B56C13">
        <w:rPr>
          <w:rFonts w:cs="Arial"/>
        </w:rPr>
        <w:t xml:space="preserve"> (see Appendix 1 for information on its derivation)</w:t>
      </w:r>
      <w:r w:rsidR="00184ECF">
        <w:rPr>
          <w:rFonts w:cs="Arial"/>
        </w:rPr>
        <w:t xml:space="preserve">. </w:t>
      </w:r>
    </w:p>
    <w:p w14:paraId="2C5BF173" w14:textId="77777777" w:rsidR="0072571C" w:rsidRDefault="0072571C" w:rsidP="0048229C">
      <w:pPr>
        <w:widowControl w:val="0"/>
        <w:autoSpaceDE w:val="0"/>
        <w:autoSpaceDN w:val="0"/>
        <w:adjustRightInd w:val="0"/>
        <w:spacing w:line="360" w:lineRule="auto"/>
        <w:rPr>
          <w:rFonts w:cs="Times New Roman"/>
          <w:lang w:val="en-US"/>
        </w:rPr>
      </w:pPr>
    </w:p>
    <w:p w14:paraId="4CC7BA77" w14:textId="59FD31F9" w:rsidR="00482388" w:rsidRPr="0048229C" w:rsidRDefault="0072571C" w:rsidP="0048229C">
      <w:pPr>
        <w:widowControl w:val="0"/>
        <w:autoSpaceDE w:val="0"/>
        <w:autoSpaceDN w:val="0"/>
        <w:adjustRightInd w:val="0"/>
        <w:spacing w:line="360" w:lineRule="auto"/>
        <w:rPr>
          <w:rFonts w:cs="Times New Roman"/>
          <w:lang w:val="en-US"/>
        </w:rPr>
      </w:pPr>
      <w:r>
        <w:rPr>
          <w:rFonts w:cs="Times New Roman"/>
          <w:lang w:val="en-US"/>
        </w:rPr>
        <w:lastRenderedPageBreak/>
        <w:t>[Table 1 near here]</w:t>
      </w:r>
    </w:p>
    <w:p w14:paraId="5E4A8B16" w14:textId="77777777" w:rsidR="0072571C" w:rsidRDefault="0072571C" w:rsidP="0072571C">
      <w:pPr>
        <w:pStyle w:val="Caption"/>
      </w:pPr>
    </w:p>
    <w:p w14:paraId="6B9569F0" w14:textId="74D1532D" w:rsidR="00C607C1" w:rsidRPr="00526F8F" w:rsidRDefault="00AA7F4D" w:rsidP="0072571C">
      <w:pPr>
        <w:pStyle w:val="Caption"/>
      </w:pPr>
      <w:r w:rsidRPr="00526F8F">
        <w:t>Protocol</w:t>
      </w:r>
      <w:r w:rsidR="0040342E" w:rsidRPr="00526F8F">
        <w:t xml:space="preserve"> &amp; Participants</w:t>
      </w:r>
    </w:p>
    <w:p w14:paraId="5E0DFCC5" w14:textId="1032EFEB" w:rsidR="00AA7F4D" w:rsidRPr="0048229C" w:rsidRDefault="00AA7F4D" w:rsidP="00AA7F4D">
      <w:pPr>
        <w:widowControl w:val="0"/>
        <w:autoSpaceDE w:val="0"/>
        <w:autoSpaceDN w:val="0"/>
        <w:adjustRightInd w:val="0"/>
        <w:spacing w:line="360" w:lineRule="auto"/>
        <w:rPr>
          <w:rFonts w:cs="Times New Roman"/>
          <w:lang w:val="en-US"/>
        </w:rPr>
      </w:pPr>
      <w:r w:rsidRPr="0048229C">
        <w:t xml:space="preserve">All participants referred to a trial centre during the duration of the study were considered for inclusion. </w:t>
      </w:r>
      <w:r w:rsidRPr="0048229C">
        <w:rPr>
          <w:rFonts w:cs="Times New Roman"/>
          <w:lang w:val="en-US"/>
        </w:rPr>
        <w:t xml:space="preserve">Participants were prescribed a high dose of tapering prednisolone at </w:t>
      </w:r>
      <w:r>
        <w:rPr>
          <w:rFonts w:cs="Times New Roman"/>
          <w:lang w:val="en-US"/>
        </w:rPr>
        <w:t>their</w:t>
      </w:r>
      <w:r w:rsidRPr="0048229C">
        <w:rPr>
          <w:rFonts w:cs="Times New Roman"/>
          <w:lang w:val="en-US"/>
        </w:rPr>
        <w:t xml:space="preserve"> initial enrolment visit. If they were eligible, responded to steroids and not excluded, participants were randomized</w:t>
      </w:r>
      <w:r w:rsidR="00A65A92">
        <w:rPr>
          <w:rFonts w:cs="Times New Roman"/>
          <w:lang w:val="en-US"/>
        </w:rPr>
        <w:t xml:space="preserve"> into one of four trial arms</w:t>
      </w:r>
      <w:r w:rsidR="007B192B">
        <w:rPr>
          <w:rFonts w:cs="Times New Roman"/>
          <w:lang w:val="en-US"/>
        </w:rPr>
        <w:t xml:space="preserve"> (s</w:t>
      </w:r>
      <w:r w:rsidRPr="0048229C">
        <w:rPr>
          <w:rFonts w:cs="Times New Roman"/>
          <w:lang w:val="en-US"/>
        </w:rPr>
        <w:t xml:space="preserve">ee </w:t>
      </w:r>
      <w:r w:rsidR="007B192B">
        <w:rPr>
          <w:rFonts w:cs="Times New Roman"/>
          <w:lang w:val="en-US"/>
        </w:rPr>
        <w:t xml:space="preserve">Figure 1, </w:t>
      </w:r>
      <w:r w:rsidR="00A65A92">
        <w:rPr>
          <w:rFonts w:cs="Times New Roman"/>
          <w:lang w:val="en-US"/>
        </w:rPr>
        <w:t xml:space="preserve">Table </w:t>
      </w:r>
      <w:r w:rsidR="006E29F3">
        <w:rPr>
          <w:rFonts w:cs="Times New Roman"/>
          <w:lang w:val="en-US"/>
        </w:rPr>
        <w:t>2</w:t>
      </w:r>
      <w:r w:rsidR="00FF64CA">
        <w:rPr>
          <w:rFonts w:cs="Times New Roman"/>
          <w:lang w:val="en-US"/>
        </w:rPr>
        <w:t>,</w:t>
      </w:r>
      <w:r w:rsidRPr="0048229C">
        <w:rPr>
          <w:rFonts w:cs="Times New Roman"/>
          <w:lang w:val="en-US"/>
        </w:rPr>
        <w:t xml:space="preserve"> and CIRTED study protocol</w:t>
      </w:r>
      <w:r w:rsidR="00FF64CA">
        <w:rPr>
          <w:rFonts w:cs="Times New Roman"/>
          <w:lang w:val="en-US"/>
        </w:rPr>
        <w:t xml:space="preserve"> – </w:t>
      </w:r>
      <w:proofErr w:type="spellStart"/>
      <w:r w:rsidR="00FF64CA">
        <w:rPr>
          <w:rFonts w:cs="Times New Roman"/>
          <w:lang w:val="en-US"/>
        </w:rPr>
        <w:t>Rajendram</w:t>
      </w:r>
      <w:proofErr w:type="spellEnd"/>
      <w:r w:rsidR="00FF64CA">
        <w:rPr>
          <w:rFonts w:cs="Times New Roman"/>
          <w:lang w:val="en-US"/>
        </w:rPr>
        <w:t xml:space="preserve"> et al, 2008</w:t>
      </w:r>
      <w:r w:rsidR="007B192B">
        <w:t>)</w:t>
      </w:r>
      <w:r w:rsidRPr="0048229C">
        <w:t>.</w:t>
      </w:r>
      <w:r w:rsidRPr="0048229C">
        <w:rPr>
          <w:rFonts w:cs="Times New Roman"/>
          <w:lang w:val="en-US"/>
        </w:rPr>
        <w:t xml:space="preserve"> </w:t>
      </w:r>
    </w:p>
    <w:p w14:paraId="59A6F0A6" w14:textId="77777777" w:rsidR="00AA7F4D" w:rsidRDefault="00AA7F4D" w:rsidP="00AA7F4D"/>
    <w:p w14:paraId="746AFD66" w14:textId="7D07E926" w:rsidR="00A65A92" w:rsidRPr="0048229C" w:rsidRDefault="00FF64CA" w:rsidP="00A65A92">
      <w:pPr>
        <w:widowControl w:val="0"/>
        <w:autoSpaceDE w:val="0"/>
        <w:autoSpaceDN w:val="0"/>
        <w:adjustRightInd w:val="0"/>
        <w:spacing w:line="360" w:lineRule="auto"/>
        <w:rPr>
          <w:rFonts w:cs="Times New Roman"/>
          <w:lang w:val="en-US"/>
        </w:rPr>
      </w:pPr>
      <w:r>
        <w:rPr>
          <w:rFonts w:cs="Times New Roman"/>
          <w:lang w:val="en-US"/>
        </w:rPr>
        <w:t>For</w:t>
      </w:r>
      <w:r w:rsidR="00A65A92" w:rsidRPr="0048229C">
        <w:rPr>
          <w:rFonts w:cs="Times New Roman"/>
          <w:lang w:val="en-US"/>
        </w:rPr>
        <w:t xml:space="preserve"> validating test-retest reliability, participants completed the </w:t>
      </w:r>
      <w:r w:rsidR="00C948D2">
        <w:rPr>
          <w:rFonts w:cs="Times New Roman"/>
          <w:lang w:val="en-US"/>
        </w:rPr>
        <w:t>GO-QOL</w:t>
      </w:r>
      <w:r w:rsidR="00A65A92" w:rsidRPr="0048229C">
        <w:rPr>
          <w:rFonts w:cs="Times New Roman"/>
          <w:lang w:val="en-US"/>
        </w:rPr>
        <w:t xml:space="preserve"> twice at a two-week interval, time point 1 </w:t>
      </w:r>
      <w:r w:rsidR="00A65A92">
        <w:rPr>
          <w:rFonts w:cs="Times New Roman"/>
          <w:lang w:val="en-US"/>
        </w:rPr>
        <w:t xml:space="preserve">(-2 weeks, </w:t>
      </w:r>
      <w:r w:rsidR="007B192B">
        <w:rPr>
          <w:rFonts w:cs="Times New Roman"/>
          <w:lang w:val="en-US"/>
        </w:rPr>
        <w:t xml:space="preserve">i.e. </w:t>
      </w:r>
      <w:r w:rsidR="00A65A92">
        <w:rPr>
          <w:rFonts w:cs="Times New Roman"/>
          <w:lang w:val="en-US"/>
        </w:rPr>
        <w:t xml:space="preserve">enrolment into the study) </w:t>
      </w:r>
      <w:r w:rsidR="00A65A92" w:rsidRPr="0048229C">
        <w:rPr>
          <w:rFonts w:cs="Times New Roman"/>
          <w:lang w:val="en-US"/>
        </w:rPr>
        <w:t xml:space="preserve">and </w:t>
      </w:r>
      <w:r>
        <w:rPr>
          <w:rFonts w:cs="Times New Roman"/>
          <w:lang w:val="en-US"/>
        </w:rPr>
        <w:t xml:space="preserve">time point </w:t>
      </w:r>
      <w:r w:rsidR="00A65A92" w:rsidRPr="0048229C">
        <w:rPr>
          <w:rFonts w:cs="Times New Roman"/>
          <w:lang w:val="en-US"/>
        </w:rPr>
        <w:t xml:space="preserve">2 </w:t>
      </w:r>
      <w:r w:rsidR="00A65A92">
        <w:rPr>
          <w:rFonts w:cs="Times New Roman"/>
          <w:lang w:val="en-US"/>
        </w:rPr>
        <w:t xml:space="preserve">(0 weeks, </w:t>
      </w:r>
      <w:r w:rsidR="007B192B">
        <w:rPr>
          <w:rFonts w:cs="Times New Roman"/>
          <w:lang w:val="en-US"/>
        </w:rPr>
        <w:t xml:space="preserve">i.e. </w:t>
      </w:r>
      <w:r w:rsidR="00A65A92">
        <w:rPr>
          <w:rFonts w:cs="Times New Roman"/>
          <w:lang w:val="en-US"/>
        </w:rPr>
        <w:t xml:space="preserve">randomization </w:t>
      </w:r>
      <w:r w:rsidR="00837436">
        <w:rPr>
          <w:rFonts w:cs="Times New Roman"/>
          <w:lang w:val="en-US"/>
        </w:rPr>
        <w:t>into the study)</w:t>
      </w:r>
      <w:r w:rsidR="00A65A92" w:rsidRPr="0048229C">
        <w:rPr>
          <w:rFonts w:cs="Times New Roman"/>
          <w:lang w:val="en-US"/>
        </w:rPr>
        <w:t xml:space="preserve">. Two weeks have previously been used by </w:t>
      </w:r>
      <w:proofErr w:type="spellStart"/>
      <w:r w:rsidR="00A65A92" w:rsidRPr="0048229C">
        <w:rPr>
          <w:rFonts w:cs="Times New Roman"/>
          <w:lang w:val="en-US"/>
        </w:rPr>
        <w:t>Terwee</w:t>
      </w:r>
      <w:proofErr w:type="spellEnd"/>
      <w:r w:rsidR="00A65A92" w:rsidRPr="0048229C">
        <w:rPr>
          <w:rFonts w:cs="Times New Roman"/>
          <w:lang w:val="en-US"/>
        </w:rPr>
        <w:t xml:space="preserve"> </w:t>
      </w:r>
      <w:r w:rsidR="00A65A92" w:rsidRPr="00FF64CA">
        <w:rPr>
          <w:rFonts w:cs="Times New Roman"/>
          <w:lang w:val="en-US"/>
        </w:rPr>
        <w:t>et al</w:t>
      </w:r>
      <w:r w:rsidR="00A65A92" w:rsidRPr="0048229C">
        <w:rPr>
          <w:rFonts w:cs="Times New Roman"/>
          <w:lang w:val="en-US"/>
        </w:rPr>
        <w:t xml:space="preserve"> </w:t>
      </w:r>
      <w:r>
        <w:rPr>
          <w:rFonts w:cs="Times New Roman"/>
          <w:lang w:val="en-US"/>
        </w:rPr>
        <w:t>(</w:t>
      </w:r>
      <w:r w:rsidR="00A65A92" w:rsidRPr="0048229C">
        <w:rPr>
          <w:rFonts w:cs="Times New Roman"/>
          <w:lang w:val="en-US"/>
        </w:rPr>
        <w:t>1999</w:t>
      </w:r>
      <w:r>
        <w:rPr>
          <w:rFonts w:cs="Times New Roman"/>
          <w:lang w:val="en-US"/>
        </w:rPr>
        <w:t>)</w:t>
      </w:r>
      <w:r w:rsidR="00A65A92" w:rsidRPr="0048229C">
        <w:rPr>
          <w:rFonts w:cs="Times New Roman"/>
          <w:lang w:val="en-US"/>
        </w:rPr>
        <w:t xml:space="preserve"> for assessing test-retest reliability, as it is long enough to avoid recall bias and short enough </w:t>
      </w:r>
      <w:r w:rsidR="007B192B">
        <w:rPr>
          <w:rFonts w:cs="Times New Roman"/>
          <w:lang w:val="en-US"/>
        </w:rPr>
        <w:t xml:space="preserve">for patients </w:t>
      </w:r>
      <w:r w:rsidR="00A65A92" w:rsidRPr="0048229C">
        <w:rPr>
          <w:rFonts w:cs="Times New Roman"/>
          <w:lang w:val="en-US"/>
        </w:rPr>
        <w:t xml:space="preserve">not </w:t>
      </w:r>
      <w:r w:rsidR="007B192B">
        <w:rPr>
          <w:rFonts w:cs="Times New Roman"/>
          <w:lang w:val="en-US"/>
        </w:rPr>
        <w:t xml:space="preserve">to experience </w:t>
      </w:r>
      <w:r w:rsidR="00A65A92" w:rsidRPr="0048229C">
        <w:rPr>
          <w:rFonts w:cs="Times New Roman"/>
          <w:lang w:val="en-US"/>
        </w:rPr>
        <w:t>clinical</w:t>
      </w:r>
      <w:r w:rsidR="007B192B">
        <w:rPr>
          <w:rFonts w:cs="Times New Roman"/>
          <w:lang w:val="en-US"/>
        </w:rPr>
        <w:t>ly</w:t>
      </w:r>
      <w:r w:rsidR="00A65A92" w:rsidRPr="0048229C">
        <w:rPr>
          <w:rFonts w:cs="Times New Roman"/>
          <w:lang w:val="en-US"/>
        </w:rPr>
        <w:t xml:space="preserve"> important changes in the</w:t>
      </w:r>
      <w:r w:rsidR="007B192B">
        <w:rPr>
          <w:rFonts w:cs="Times New Roman"/>
          <w:lang w:val="en-US"/>
        </w:rPr>
        <w:t>ir</w:t>
      </w:r>
      <w:r w:rsidR="00A65A92" w:rsidRPr="0048229C">
        <w:rPr>
          <w:rFonts w:cs="Times New Roman"/>
          <w:lang w:val="en-US"/>
        </w:rPr>
        <w:t xml:space="preserve"> condition. </w:t>
      </w:r>
      <w:r w:rsidR="00837436">
        <w:rPr>
          <w:rFonts w:cs="Times New Roman"/>
          <w:lang w:val="en-US"/>
        </w:rPr>
        <w:t>Data from participants for the longitudinal validity testing was collected a</w:t>
      </w:r>
      <w:r w:rsidR="005E3CBA">
        <w:rPr>
          <w:rFonts w:cs="Times New Roman"/>
          <w:lang w:val="en-US"/>
        </w:rPr>
        <w:t>t all four time points</w:t>
      </w:r>
      <w:r w:rsidR="00837436">
        <w:rPr>
          <w:rFonts w:cs="Times New Roman"/>
          <w:lang w:val="en-US"/>
        </w:rPr>
        <w:t>.</w:t>
      </w:r>
    </w:p>
    <w:p w14:paraId="47881DE0" w14:textId="77777777" w:rsidR="00A65A92" w:rsidRPr="00AA7F4D" w:rsidRDefault="00A65A92" w:rsidP="00AA7F4D"/>
    <w:p w14:paraId="4BEF02E6" w14:textId="4FD42837" w:rsidR="002618D4" w:rsidRPr="002618D4" w:rsidRDefault="0072571C" w:rsidP="002618D4">
      <w:r>
        <w:t>[Table 2 near here]</w:t>
      </w:r>
    </w:p>
    <w:p w14:paraId="39311BD4" w14:textId="77777777" w:rsidR="008467D1" w:rsidRDefault="008467D1" w:rsidP="0048229C">
      <w:pPr>
        <w:spacing w:line="360" w:lineRule="auto"/>
        <w:rPr>
          <w:b/>
        </w:rPr>
      </w:pPr>
    </w:p>
    <w:p w14:paraId="2C05561B" w14:textId="6F7BA49E" w:rsidR="007604CC" w:rsidRDefault="00E37184" w:rsidP="0048229C">
      <w:pPr>
        <w:spacing w:line="360" w:lineRule="auto"/>
        <w:rPr>
          <w:b/>
        </w:rPr>
      </w:pPr>
      <w:r>
        <w:rPr>
          <w:b/>
        </w:rPr>
        <w:t>Results</w:t>
      </w:r>
    </w:p>
    <w:p w14:paraId="3ED539EE" w14:textId="195D8DB5" w:rsidR="00B63722" w:rsidRPr="005E3CBA" w:rsidRDefault="00B63722" w:rsidP="0048229C">
      <w:pPr>
        <w:spacing w:line="360" w:lineRule="auto"/>
        <w:rPr>
          <w:b/>
        </w:rPr>
      </w:pPr>
      <w:r w:rsidRPr="00FF64CA">
        <w:t>T</w:t>
      </w:r>
      <w:r w:rsidRPr="005E3CBA">
        <w:t>he results are reported in the three stages that the work was undertaken.</w:t>
      </w:r>
      <w:r w:rsidR="00FF64CA">
        <w:t xml:space="preserve"> All analyses were </w:t>
      </w:r>
      <w:r w:rsidR="00024CE7">
        <w:t>undertaken using SPSS version 23</w:t>
      </w:r>
      <w:r w:rsidR="00FF64CA">
        <w:t>.</w:t>
      </w:r>
    </w:p>
    <w:p w14:paraId="22C71FEA" w14:textId="77777777" w:rsidR="00B63722" w:rsidRPr="0048229C" w:rsidRDefault="00B63722" w:rsidP="0048229C">
      <w:pPr>
        <w:spacing w:line="360" w:lineRule="auto"/>
        <w:rPr>
          <w:b/>
        </w:rPr>
      </w:pPr>
    </w:p>
    <w:p w14:paraId="63C5053A" w14:textId="38AF3975" w:rsidR="008467D1" w:rsidRPr="0048229C" w:rsidRDefault="004C4B85" w:rsidP="008467D1">
      <w:pPr>
        <w:widowControl w:val="0"/>
        <w:autoSpaceDE w:val="0"/>
        <w:autoSpaceDN w:val="0"/>
        <w:adjustRightInd w:val="0"/>
        <w:spacing w:line="360" w:lineRule="auto"/>
        <w:rPr>
          <w:rFonts w:cs="Times New Roman"/>
          <w:b/>
          <w:i/>
          <w:lang w:val="en-US"/>
        </w:rPr>
      </w:pPr>
      <w:r>
        <w:rPr>
          <w:rFonts w:cs="Times New Roman"/>
          <w:b/>
          <w:i/>
          <w:lang w:val="en-US"/>
        </w:rPr>
        <w:t xml:space="preserve">Stage 1 </w:t>
      </w:r>
      <w:r w:rsidR="00C948D2">
        <w:rPr>
          <w:rFonts w:cs="Times New Roman"/>
          <w:b/>
          <w:i/>
          <w:lang w:val="en-US"/>
        </w:rPr>
        <w:t>GO-QOL</w:t>
      </w:r>
      <w:r w:rsidR="00FC0DA4" w:rsidRPr="0048229C">
        <w:rPr>
          <w:rFonts w:cs="Times New Roman"/>
          <w:b/>
          <w:i/>
          <w:lang w:val="en-US"/>
        </w:rPr>
        <w:t xml:space="preserve"> </w:t>
      </w:r>
      <w:r w:rsidR="00330187">
        <w:rPr>
          <w:rFonts w:cs="Times New Roman"/>
          <w:b/>
          <w:i/>
          <w:lang w:val="en-US"/>
        </w:rPr>
        <w:t>v</w:t>
      </w:r>
      <w:r w:rsidR="00FC0DA4" w:rsidRPr="0048229C">
        <w:rPr>
          <w:rFonts w:cs="Times New Roman"/>
          <w:b/>
          <w:i/>
          <w:lang w:val="en-US"/>
        </w:rPr>
        <w:t>alidation</w:t>
      </w:r>
      <w:r w:rsidR="008467D1">
        <w:rPr>
          <w:rFonts w:cs="Times New Roman"/>
          <w:b/>
          <w:i/>
          <w:lang w:val="en-US"/>
        </w:rPr>
        <w:t xml:space="preserve">: </w:t>
      </w:r>
      <w:r w:rsidR="00EC4B77">
        <w:rPr>
          <w:rFonts w:cs="Times New Roman"/>
          <w:b/>
          <w:i/>
          <w:lang w:val="en-US"/>
        </w:rPr>
        <w:t>i</w:t>
      </w:r>
      <w:r w:rsidR="008467D1" w:rsidRPr="0048229C">
        <w:rPr>
          <w:rFonts w:cs="Times New Roman"/>
          <w:b/>
          <w:i/>
          <w:lang w:val="en-US"/>
        </w:rPr>
        <w:t>n</w:t>
      </w:r>
      <w:r w:rsidR="008467D1">
        <w:rPr>
          <w:rFonts w:cs="Times New Roman"/>
          <w:b/>
          <w:i/>
          <w:lang w:val="en-US"/>
        </w:rPr>
        <w:t>ternal validity</w:t>
      </w:r>
      <w:r w:rsidR="00B63722">
        <w:rPr>
          <w:rFonts w:cs="Times New Roman"/>
          <w:b/>
          <w:i/>
          <w:lang w:val="en-US"/>
        </w:rPr>
        <w:t xml:space="preserve"> and test re-test</w:t>
      </w:r>
    </w:p>
    <w:p w14:paraId="18665D7C" w14:textId="2664B860" w:rsidR="008467D1" w:rsidRDefault="00B63722" w:rsidP="00521489">
      <w:pPr>
        <w:widowControl w:val="0"/>
        <w:autoSpaceDE w:val="0"/>
        <w:autoSpaceDN w:val="0"/>
        <w:adjustRightInd w:val="0"/>
        <w:spacing w:line="360" w:lineRule="auto"/>
        <w:rPr>
          <w:rFonts w:cs="Times New Roman"/>
          <w:lang w:val="en-US"/>
        </w:rPr>
      </w:pPr>
      <w:r>
        <w:rPr>
          <w:rFonts w:cs="Times New Roman"/>
          <w:lang w:val="en-US"/>
        </w:rPr>
        <w:t>1</w:t>
      </w:r>
      <w:r w:rsidR="0080008A">
        <w:rPr>
          <w:rFonts w:cs="Times New Roman"/>
          <w:lang w:val="en-US"/>
        </w:rPr>
        <w:t>6</w:t>
      </w:r>
      <w:r>
        <w:rPr>
          <w:rFonts w:cs="Times New Roman"/>
          <w:lang w:val="en-US"/>
        </w:rPr>
        <w:t>7 participants attended</w:t>
      </w:r>
      <w:r w:rsidR="00621165">
        <w:rPr>
          <w:rFonts w:cs="Times New Roman"/>
          <w:lang w:val="en-US"/>
        </w:rPr>
        <w:t xml:space="preserve"> </w:t>
      </w:r>
      <w:r w:rsidR="0040342E">
        <w:rPr>
          <w:rFonts w:cs="Times New Roman"/>
          <w:lang w:val="en-US"/>
        </w:rPr>
        <w:t xml:space="preserve">for study </w:t>
      </w:r>
      <w:r>
        <w:rPr>
          <w:rFonts w:cs="Times New Roman"/>
          <w:lang w:val="en-US"/>
        </w:rPr>
        <w:t>enrolment</w:t>
      </w:r>
      <w:r w:rsidR="0040342E">
        <w:rPr>
          <w:rFonts w:cs="Times New Roman"/>
          <w:lang w:val="en-US"/>
        </w:rPr>
        <w:t>, while 133 attended the</w:t>
      </w:r>
      <w:r>
        <w:rPr>
          <w:rFonts w:cs="Times New Roman"/>
          <w:lang w:val="en-US"/>
        </w:rPr>
        <w:t xml:space="preserve"> randomization appointment</w:t>
      </w:r>
      <w:r w:rsidR="0040342E">
        <w:rPr>
          <w:rFonts w:cs="Times New Roman"/>
          <w:lang w:val="en-US"/>
        </w:rPr>
        <w:t xml:space="preserve">. </w:t>
      </w:r>
      <w:r w:rsidR="00F74616">
        <w:rPr>
          <w:rFonts w:cs="Times New Roman"/>
          <w:lang w:val="en-US"/>
        </w:rPr>
        <w:t xml:space="preserve">Of these, </w:t>
      </w:r>
      <w:r w:rsidR="0040342E">
        <w:rPr>
          <w:rFonts w:cs="Times New Roman"/>
          <w:lang w:val="en-US"/>
        </w:rPr>
        <w:t>1</w:t>
      </w:r>
      <w:r w:rsidR="00DC7697">
        <w:rPr>
          <w:rFonts w:cs="Times New Roman"/>
          <w:lang w:val="en-US"/>
        </w:rPr>
        <w:t>42</w:t>
      </w:r>
      <w:r w:rsidR="0040342E">
        <w:rPr>
          <w:rFonts w:cs="Times New Roman"/>
          <w:lang w:val="en-US"/>
        </w:rPr>
        <w:t xml:space="preserve"> participants </w:t>
      </w:r>
      <w:r>
        <w:rPr>
          <w:rFonts w:cs="Times New Roman"/>
          <w:lang w:val="en-US"/>
        </w:rPr>
        <w:t xml:space="preserve">completed the </w:t>
      </w:r>
      <w:r w:rsidR="00C948D2">
        <w:rPr>
          <w:rFonts w:cs="Times New Roman"/>
          <w:lang w:val="en-US"/>
        </w:rPr>
        <w:t>GO-QOL</w:t>
      </w:r>
      <w:r>
        <w:rPr>
          <w:rFonts w:cs="Times New Roman"/>
          <w:lang w:val="en-US"/>
        </w:rPr>
        <w:t xml:space="preserve"> </w:t>
      </w:r>
      <w:r w:rsidR="0040342E">
        <w:rPr>
          <w:rFonts w:cs="Times New Roman"/>
          <w:lang w:val="en-US"/>
        </w:rPr>
        <w:t xml:space="preserve">at study enrolment, </w:t>
      </w:r>
      <w:r w:rsidR="00F74616">
        <w:rPr>
          <w:rFonts w:cs="Times New Roman"/>
          <w:lang w:val="en-US"/>
        </w:rPr>
        <w:t>and</w:t>
      </w:r>
      <w:r w:rsidR="0040342E">
        <w:rPr>
          <w:rFonts w:cs="Times New Roman"/>
          <w:lang w:val="en-US"/>
        </w:rPr>
        <w:t xml:space="preserve"> 12</w:t>
      </w:r>
      <w:r w:rsidR="00DC7697">
        <w:rPr>
          <w:rFonts w:cs="Times New Roman"/>
          <w:lang w:val="en-US"/>
        </w:rPr>
        <w:t>6</w:t>
      </w:r>
      <w:r w:rsidR="0040342E">
        <w:rPr>
          <w:rFonts w:cs="Times New Roman"/>
          <w:lang w:val="en-US"/>
        </w:rPr>
        <w:t xml:space="preserve"> complet</w:t>
      </w:r>
      <w:r w:rsidR="00F74616">
        <w:rPr>
          <w:rFonts w:cs="Times New Roman"/>
          <w:lang w:val="en-US"/>
        </w:rPr>
        <w:t>ed</w:t>
      </w:r>
      <w:r w:rsidR="0040342E">
        <w:rPr>
          <w:rFonts w:cs="Times New Roman"/>
          <w:lang w:val="en-US"/>
        </w:rPr>
        <w:t xml:space="preserve"> the </w:t>
      </w:r>
      <w:r w:rsidR="00C948D2">
        <w:rPr>
          <w:rFonts w:cs="Times New Roman"/>
          <w:lang w:val="en-US"/>
        </w:rPr>
        <w:t>GO-QOL</w:t>
      </w:r>
      <w:r w:rsidR="0040342E">
        <w:rPr>
          <w:rFonts w:cs="Times New Roman"/>
          <w:lang w:val="en-US"/>
        </w:rPr>
        <w:t xml:space="preserve"> at randomization </w:t>
      </w:r>
      <w:r w:rsidR="006055A1">
        <w:rPr>
          <w:rFonts w:cs="Times New Roman"/>
          <w:lang w:val="en-US"/>
        </w:rPr>
        <w:t>(</w:t>
      </w:r>
      <w:r>
        <w:rPr>
          <w:rFonts w:cs="Times New Roman"/>
          <w:lang w:val="en-US"/>
        </w:rPr>
        <w:t xml:space="preserve">see Table </w:t>
      </w:r>
      <w:r w:rsidR="006E29F3">
        <w:rPr>
          <w:rFonts w:cs="Times New Roman"/>
          <w:lang w:val="en-US"/>
        </w:rPr>
        <w:t>3</w:t>
      </w:r>
      <w:r w:rsidR="006055A1">
        <w:rPr>
          <w:rFonts w:cs="Times New Roman"/>
          <w:lang w:val="en-US"/>
        </w:rPr>
        <w:t>)</w:t>
      </w:r>
      <w:r>
        <w:rPr>
          <w:rFonts w:cs="Times New Roman"/>
          <w:lang w:val="en-US"/>
        </w:rPr>
        <w:t xml:space="preserve">. </w:t>
      </w:r>
    </w:p>
    <w:p w14:paraId="32AEC693" w14:textId="77777777" w:rsidR="0072571C" w:rsidRDefault="0072571C" w:rsidP="00521489">
      <w:pPr>
        <w:widowControl w:val="0"/>
        <w:autoSpaceDE w:val="0"/>
        <w:autoSpaceDN w:val="0"/>
        <w:adjustRightInd w:val="0"/>
        <w:spacing w:line="360" w:lineRule="auto"/>
        <w:rPr>
          <w:rFonts w:cs="Times New Roman"/>
          <w:lang w:val="en-US"/>
        </w:rPr>
      </w:pPr>
    </w:p>
    <w:p w14:paraId="46DA30ED" w14:textId="3B93DDBF" w:rsidR="0072571C" w:rsidRPr="0072571C" w:rsidRDefault="0072571C" w:rsidP="006130EC">
      <w:pPr>
        <w:widowControl w:val="0"/>
        <w:autoSpaceDE w:val="0"/>
        <w:autoSpaceDN w:val="0"/>
        <w:adjustRightInd w:val="0"/>
        <w:spacing w:line="360" w:lineRule="auto"/>
      </w:pPr>
      <w:r w:rsidRPr="0072571C">
        <w:t>[Table 3 near here]</w:t>
      </w:r>
    </w:p>
    <w:p w14:paraId="5C5207DD" w14:textId="77777777" w:rsidR="00016A2D" w:rsidRDefault="00016A2D" w:rsidP="00016A2D">
      <w:pPr>
        <w:spacing w:line="360" w:lineRule="auto"/>
      </w:pPr>
    </w:p>
    <w:p w14:paraId="3296C00A" w14:textId="1CE7893F" w:rsidR="00016A2D" w:rsidRPr="0048229C" w:rsidRDefault="00016A2D" w:rsidP="00016A2D">
      <w:pPr>
        <w:spacing w:line="360" w:lineRule="auto"/>
      </w:pPr>
      <w:r w:rsidRPr="0048229C">
        <w:t xml:space="preserve">Item response tables for time points 1 </w:t>
      </w:r>
      <w:r>
        <w:t xml:space="preserve">(-2 weeks, enrolment) </w:t>
      </w:r>
      <w:r w:rsidRPr="0048229C">
        <w:t xml:space="preserve">and 2 </w:t>
      </w:r>
      <w:r>
        <w:t xml:space="preserve">(0 weeks, randomisation) </w:t>
      </w:r>
      <w:r w:rsidRPr="0048229C">
        <w:t xml:space="preserve">were generated to identify patterns of responses </w:t>
      </w:r>
      <w:r>
        <w:t xml:space="preserve">and are shown in </w:t>
      </w:r>
      <w:r w:rsidRPr="0048229C">
        <w:t>Table</w:t>
      </w:r>
      <w:r>
        <w:t>s</w:t>
      </w:r>
      <w:r w:rsidRPr="0048229C">
        <w:t xml:space="preserve"> </w:t>
      </w:r>
      <w:r w:rsidR="00330187">
        <w:t>4</w:t>
      </w:r>
      <w:r>
        <w:t xml:space="preserve"> </w:t>
      </w:r>
      <w:r w:rsidRPr="0048229C">
        <w:t>&amp;</w:t>
      </w:r>
      <w:r>
        <w:t xml:space="preserve"> </w:t>
      </w:r>
      <w:r w:rsidR="00330187">
        <w:t>5</w:t>
      </w:r>
      <w:r w:rsidRPr="0048229C">
        <w:t>.</w:t>
      </w:r>
      <w:r w:rsidR="006130EC">
        <w:t xml:space="preserve"> </w:t>
      </w:r>
    </w:p>
    <w:p w14:paraId="1FE1C030" w14:textId="77777777" w:rsidR="00016A2D" w:rsidRDefault="00016A2D" w:rsidP="00016A2D">
      <w:pPr>
        <w:spacing w:line="360" w:lineRule="auto"/>
        <w:rPr>
          <w:b/>
        </w:rPr>
      </w:pPr>
    </w:p>
    <w:p w14:paraId="5203FFF9" w14:textId="641E3C9B" w:rsidR="00016A2D" w:rsidRDefault="0072571C" w:rsidP="00016A2D">
      <w:pPr>
        <w:spacing w:line="360" w:lineRule="auto"/>
      </w:pPr>
      <w:r>
        <w:lastRenderedPageBreak/>
        <w:t>[Tables 4 &amp; 5 near here]</w:t>
      </w:r>
    </w:p>
    <w:p w14:paraId="16FF8857" w14:textId="77777777" w:rsidR="0072571C" w:rsidRPr="0048229C" w:rsidRDefault="0072571C" w:rsidP="00016A2D">
      <w:pPr>
        <w:spacing w:line="360" w:lineRule="auto"/>
      </w:pPr>
    </w:p>
    <w:p w14:paraId="7E7FE5B8" w14:textId="515B583B" w:rsidR="00016A2D" w:rsidRDefault="006130EC" w:rsidP="00016A2D">
      <w:pPr>
        <w:widowControl w:val="0"/>
        <w:autoSpaceDE w:val="0"/>
        <w:autoSpaceDN w:val="0"/>
        <w:adjustRightInd w:val="0"/>
        <w:spacing w:line="360" w:lineRule="auto"/>
      </w:pPr>
      <w:r>
        <w:t>Not all participants cycled or drove, hence t</w:t>
      </w:r>
      <w:r w:rsidR="00016A2D">
        <w:t>he</w:t>
      </w:r>
      <w:r w:rsidR="00016A2D" w:rsidRPr="0048229C">
        <w:t xml:space="preserve"> </w:t>
      </w:r>
      <w:r>
        <w:t xml:space="preserve">lower </w:t>
      </w:r>
      <w:r w:rsidR="00016A2D" w:rsidRPr="0048229C">
        <w:t xml:space="preserve">number of </w:t>
      </w:r>
      <w:r>
        <w:t xml:space="preserve">responses to </w:t>
      </w:r>
      <w:r w:rsidR="00016A2D" w:rsidRPr="0048229C">
        <w:t xml:space="preserve">questions 1 and 2 </w:t>
      </w:r>
      <w:r>
        <w:t xml:space="preserve">on the Visual Function subscale </w:t>
      </w:r>
      <w:r w:rsidR="00016A2D">
        <w:t>at both time points</w:t>
      </w:r>
      <w:r w:rsidR="00016A2D" w:rsidRPr="0048229C">
        <w:t xml:space="preserve">. As per </w:t>
      </w:r>
      <w:r w:rsidR="00016A2D">
        <w:t xml:space="preserve">the questionnaire </w:t>
      </w:r>
      <w:r w:rsidR="00016A2D" w:rsidRPr="0048229C">
        <w:t>authors</w:t>
      </w:r>
      <w:r w:rsidR="00016A2D">
        <w:t>’</w:t>
      </w:r>
      <w:r w:rsidR="00016A2D" w:rsidRPr="0048229C">
        <w:t xml:space="preserve"> instructions </w:t>
      </w:r>
      <w:r w:rsidR="00016A2D">
        <w:t>(</w:t>
      </w:r>
      <w:proofErr w:type="spellStart"/>
      <w:r w:rsidR="00895FA6">
        <w:t>Terwee</w:t>
      </w:r>
      <w:proofErr w:type="spellEnd"/>
      <w:r w:rsidR="00895FA6">
        <w:t xml:space="preserve"> et al, 1998)</w:t>
      </w:r>
      <w:r w:rsidR="00016A2D" w:rsidRPr="0048229C">
        <w:t xml:space="preserve">, adjustments for missing data were made when </w:t>
      </w:r>
      <w:r>
        <w:t xml:space="preserve">totalling </w:t>
      </w:r>
      <w:r w:rsidR="00016A2D" w:rsidRPr="0048229C">
        <w:t xml:space="preserve">the </w:t>
      </w:r>
      <w:r>
        <w:t xml:space="preserve">raw </w:t>
      </w:r>
      <w:r w:rsidR="00016A2D" w:rsidRPr="0048229C">
        <w:t xml:space="preserve">scores for each subscale </w:t>
      </w:r>
      <w:r>
        <w:t xml:space="preserve">prior to </w:t>
      </w:r>
      <w:r w:rsidR="00016A2D" w:rsidRPr="0048229C">
        <w:t>transforming them</w:t>
      </w:r>
      <w:r w:rsidR="00330187">
        <w:t xml:space="preserve"> into a total score out of 100 for subsequent analyses.</w:t>
      </w:r>
    </w:p>
    <w:p w14:paraId="6DF04E37" w14:textId="50A96CE7" w:rsidR="00F74616" w:rsidRDefault="002C3EB6" w:rsidP="001613BD">
      <w:pPr>
        <w:widowControl w:val="0"/>
        <w:autoSpaceDE w:val="0"/>
        <w:autoSpaceDN w:val="0"/>
        <w:adjustRightInd w:val="0"/>
        <w:spacing w:before="240" w:line="360" w:lineRule="auto"/>
        <w:rPr>
          <w:rFonts w:cs="Times New Roman"/>
          <w:lang w:val="en-US"/>
        </w:rPr>
      </w:pPr>
      <w:r>
        <w:rPr>
          <w:rFonts w:cs="Times New Roman"/>
          <w:lang w:val="en-US"/>
        </w:rPr>
        <w:t xml:space="preserve">Internal validity was assessed using </w:t>
      </w:r>
      <w:r w:rsidR="00F74616" w:rsidRPr="0048229C">
        <w:rPr>
          <w:rFonts w:cs="Times New Roman"/>
          <w:lang w:val="en-US"/>
        </w:rPr>
        <w:t>Cronbach’s alpha</w:t>
      </w:r>
      <w:r>
        <w:rPr>
          <w:rFonts w:cs="Times New Roman"/>
          <w:lang w:val="en-US"/>
        </w:rPr>
        <w:t xml:space="preserve"> calculations; at time 1 (-2 weeks, enrolment) t</w:t>
      </w:r>
      <w:r w:rsidR="00F74616">
        <w:rPr>
          <w:rFonts w:cs="Times New Roman"/>
          <w:lang w:val="en-US"/>
        </w:rPr>
        <w:t xml:space="preserve">he </w:t>
      </w:r>
      <w:r w:rsidR="00F74616" w:rsidRPr="0048229C">
        <w:rPr>
          <w:rFonts w:cs="Times New Roman"/>
          <w:lang w:val="en-US"/>
        </w:rPr>
        <w:t>visual function</w:t>
      </w:r>
      <w:r w:rsidR="00F74616">
        <w:rPr>
          <w:rFonts w:cs="Times New Roman"/>
          <w:lang w:val="en-US"/>
        </w:rPr>
        <w:t xml:space="preserve"> subscale</w:t>
      </w:r>
      <w:r w:rsidR="00F74616" w:rsidRPr="0048229C">
        <w:rPr>
          <w:rFonts w:cs="Times New Roman"/>
          <w:lang w:val="en-US"/>
        </w:rPr>
        <w:t xml:space="preserve"> </w:t>
      </w:r>
      <w:r>
        <w:rPr>
          <w:rFonts w:cs="Times New Roman"/>
          <w:lang w:val="en-US"/>
        </w:rPr>
        <w:t>achieved a</w:t>
      </w:r>
      <w:r w:rsidR="00C10808">
        <w:rPr>
          <w:rFonts w:cs="Times New Roman"/>
          <w:lang w:val="en-US"/>
        </w:rPr>
        <w:t xml:space="preserve"> Cronbach’s alpha score of 0.929</w:t>
      </w:r>
      <w:r w:rsidR="0096452E">
        <w:rPr>
          <w:rFonts w:cs="Times New Roman"/>
          <w:lang w:val="en-US"/>
        </w:rPr>
        <w:t xml:space="preserve"> </w:t>
      </w:r>
      <w:r w:rsidR="00C10808">
        <w:rPr>
          <w:rFonts w:cs="Times New Roman"/>
          <w:lang w:val="en-US"/>
        </w:rPr>
        <w:t>(CI 0.909 – 0.944</w:t>
      </w:r>
      <w:r w:rsidR="001613BD">
        <w:rPr>
          <w:rFonts w:cs="Times New Roman"/>
          <w:lang w:val="en-US"/>
        </w:rPr>
        <w:t xml:space="preserve">) </w:t>
      </w:r>
      <w:r w:rsidR="0096452E">
        <w:rPr>
          <w:rFonts w:cs="Times New Roman"/>
          <w:lang w:val="en-US"/>
        </w:rPr>
        <w:t>while the ap</w:t>
      </w:r>
      <w:r w:rsidR="00C10808">
        <w:rPr>
          <w:rFonts w:cs="Times New Roman"/>
          <w:lang w:val="en-US"/>
        </w:rPr>
        <w:t>pearance subscale recorded 0.888 (CI 0.857 – 0.912</w:t>
      </w:r>
      <w:r w:rsidR="001613BD">
        <w:rPr>
          <w:rFonts w:cs="Times New Roman"/>
          <w:lang w:val="en-US"/>
        </w:rPr>
        <w:t>)</w:t>
      </w:r>
      <w:r>
        <w:rPr>
          <w:rFonts w:cs="Times New Roman"/>
          <w:lang w:val="en-US"/>
        </w:rPr>
        <w:t xml:space="preserve">. </w:t>
      </w:r>
      <w:r w:rsidRPr="0096452E">
        <w:rPr>
          <w:rFonts w:cs="Times New Roman"/>
          <w:lang w:val="en-US"/>
        </w:rPr>
        <w:t>At time 2 (week 0, randomization)</w:t>
      </w:r>
      <w:r w:rsidR="0096452E" w:rsidRPr="0096452E">
        <w:rPr>
          <w:rFonts w:cs="Times New Roman"/>
          <w:lang w:val="en-US"/>
        </w:rPr>
        <w:t xml:space="preserve">, the alpha results for visual function remained </w:t>
      </w:r>
      <w:r w:rsidR="00C10808">
        <w:rPr>
          <w:rFonts w:cs="Times New Roman"/>
          <w:lang w:val="en-US"/>
        </w:rPr>
        <w:t xml:space="preserve">virtually </w:t>
      </w:r>
      <w:r w:rsidR="0096452E" w:rsidRPr="0096452E">
        <w:rPr>
          <w:rFonts w:cs="Times New Roman"/>
          <w:lang w:val="en-US"/>
        </w:rPr>
        <w:t>unchanged</w:t>
      </w:r>
      <w:r w:rsidR="00C10808">
        <w:rPr>
          <w:rFonts w:cs="Times New Roman"/>
          <w:lang w:val="en-US"/>
        </w:rPr>
        <w:t xml:space="preserve"> at 0.931</w:t>
      </w:r>
      <w:r w:rsidR="001613BD">
        <w:rPr>
          <w:rFonts w:cs="Times New Roman"/>
          <w:lang w:val="en-US"/>
        </w:rPr>
        <w:t xml:space="preserve"> (CI 0.9</w:t>
      </w:r>
      <w:r w:rsidR="00C10808">
        <w:rPr>
          <w:rFonts w:cs="Times New Roman"/>
          <w:lang w:val="en-US"/>
        </w:rPr>
        <w:t>12</w:t>
      </w:r>
      <w:r w:rsidR="001613BD">
        <w:rPr>
          <w:rFonts w:cs="Times New Roman"/>
          <w:lang w:val="en-US"/>
        </w:rPr>
        <w:t xml:space="preserve"> – 0.94</w:t>
      </w:r>
      <w:r w:rsidR="00C10808">
        <w:rPr>
          <w:rFonts w:cs="Times New Roman"/>
          <w:lang w:val="en-US"/>
        </w:rPr>
        <w:t>6</w:t>
      </w:r>
      <w:r w:rsidR="001613BD">
        <w:rPr>
          <w:rFonts w:cs="Times New Roman"/>
          <w:lang w:val="en-US"/>
        </w:rPr>
        <w:t>)</w:t>
      </w:r>
      <w:r w:rsidR="0096452E" w:rsidRPr="0096452E">
        <w:rPr>
          <w:rFonts w:cs="Times New Roman"/>
          <w:lang w:val="en-US"/>
        </w:rPr>
        <w:t>, while the appearance subscale improved slightly to 0.906</w:t>
      </w:r>
      <w:r w:rsidR="00C10808">
        <w:rPr>
          <w:rFonts w:cs="Times New Roman"/>
          <w:lang w:val="en-US"/>
        </w:rPr>
        <w:t xml:space="preserve"> (CI 0.8</w:t>
      </w:r>
      <w:r w:rsidR="001613BD">
        <w:rPr>
          <w:rFonts w:cs="Times New Roman"/>
          <w:lang w:val="en-US"/>
        </w:rPr>
        <w:t>8</w:t>
      </w:r>
      <w:r w:rsidR="00C10808">
        <w:rPr>
          <w:rFonts w:cs="Times New Roman"/>
          <w:lang w:val="en-US"/>
        </w:rPr>
        <w:t>0</w:t>
      </w:r>
      <w:r w:rsidR="001613BD">
        <w:rPr>
          <w:rFonts w:cs="Times New Roman"/>
          <w:lang w:val="en-US"/>
        </w:rPr>
        <w:t xml:space="preserve"> – 0.92</w:t>
      </w:r>
      <w:r w:rsidR="00C10808">
        <w:rPr>
          <w:rFonts w:cs="Times New Roman"/>
          <w:lang w:val="en-US"/>
        </w:rPr>
        <w:t>6</w:t>
      </w:r>
      <w:r w:rsidR="001613BD">
        <w:rPr>
          <w:rFonts w:cs="Times New Roman"/>
          <w:lang w:val="en-US"/>
        </w:rPr>
        <w:t>)</w:t>
      </w:r>
      <w:r w:rsidR="0096452E" w:rsidRPr="0096452E">
        <w:rPr>
          <w:rFonts w:cs="Times New Roman"/>
          <w:lang w:val="en-US"/>
        </w:rPr>
        <w:t>.</w:t>
      </w:r>
      <w:r w:rsidRPr="0096452E">
        <w:rPr>
          <w:rFonts w:cs="Times New Roman"/>
          <w:lang w:val="en-US"/>
        </w:rPr>
        <w:t xml:space="preserve"> </w:t>
      </w:r>
      <w:r w:rsidR="00F74616" w:rsidRPr="0048229C">
        <w:rPr>
          <w:rFonts w:cs="Times New Roman"/>
          <w:lang w:val="en-US"/>
        </w:rPr>
        <w:t>This indicates good internal validity of the subscales</w:t>
      </w:r>
      <w:r w:rsidR="0096452E">
        <w:rPr>
          <w:rFonts w:cs="Times New Roman"/>
          <w:lang w:val="en-US"/>
        </w:rPr>
        <w:t xml:space="preserve"> at both time points</w:t>
      </w:r>
      <w:r w:rsidR="00F74616" w:rsidRPr="0048229C">
        <w:rPr>
          <w:rFonts w:cs="Times New Roman"/>
          <w:lang w:val="en-US"/>
        </w:rPr>
        <w:t>, with values over 0.7 generally acceptable for psychometric questionnaires</w:t>
      </w:r>
      <w:r w:rsidR="004F045F">
        <w:rPr>
          <w:rFonts w:cs="Times New Roman"/>
          <w:lang w:val="en-US"/>
        </w:rPr>
        <w:t xml:space="preserve"> (BPS, 1992</w:t>
      </w:r>
      <w:r w:rsidR="00BE2A5E">
        <w:rPr>
          <w:rFonts w:cs="Times New Roman"/>
          <w:lang w:val="en-US"/>
        </w:rPr>
        <w:t>)</w:t>
      </w:r>
      <w:r w:rsidR="001613BD">
        <w:rPr>
          <w:rFonts w:cs="Times New Roman"/>
          <w:lang w:val="en-US"/>
        </w:rPr>
        <w:t>.</w:t>
      </w:r>
      <w:r w:rsidR="00F74616" w:rsidRPr="0048229C">
        <w:rPr>
          <w:rFonts w:cs="Times New Roman"/>
          <w:lang w:val="en-US"/>
        </w:rPr>
        <w:t xml:space="preserve"> </w:t>
      </w:r>
    </w:p>
    <w:p w14:paraId="36F57C22" w14:textId="77777777" w:rsidR="00F74616" w:rsidRDefault="00F74616" w:rsidP="00EC4B77">
      <w:pPr>
        <w:widowControl w:val="0"/>
        <w:autoSpaceDE w:val="0"/>
        <w:autoSpaceDN w:val="0"/>
        <w:adjustRightInd w:val="0"/>
        <w:spacing w:line="360" w:lineRule="auto"/>
      </w:pPr>
    </w:p>
    <w:p w14:paraId="3A48A369" w14:textId="30401F06" w:rsidR="00EC4B77" w:rsidRDefault="00851862" w:rsidP="00EC4B77">
      <w:pPr>
        <w:widowControl w:val="0"/>
        <w:autoSpaceDE w:val="0"/>
        <w:autoSpaceDN w:val="0"/>
        <w:adjustRightInd w:val="0"/>
        <w:spacing w:line="360" w:lineRule="auto"/>
      </w:pPr>
      <w:r>
        <w:t>Pearson correlation</w:t>
      </w:r>
      <w:r w:rsidR="00EC4B77" w:rsidRPr="0048229C">
        <w:t xml:space="preserve"> coefficients for both subscales were found to be highly significant (</w:t>
      </w:r>
      <w:r w:rsidR="00EC4B77">
        <w:t xml:space="preserve">visual function, </w:t>
      </w:r>
      <w:r w:rsidR="00EC4B77" w:rsidRPr="0048229C">
        <w:rPr>
          <w:rFonts w:cs="Times New Roman"/>
          <w:bCs/>
        </w:rPr>
        <w:t>r=0.774</w:t>
      </w:r>
      <w:r w:rsidR="00EC4B77">
        <w:rPr>
          <w:rFonts w:cs="Times New Roman"/>
          <w:bCs/>
        </w:rPr>
        <w:t xml:space="preserve">, p&lt;.001; appearance, </w:t>
      </w:r>
      <w:r w:rsidR="00D11B14">
        <w:rPr>
          <w:rFonts w:cs="Times New Roman"/>
          <w:bCs/>
        </w:rPr>
        <w:t>r=0.862</w:t>
      </w:r>
      <w:r w:rsidR="00EC4B77">
        <w:rPr>
          <w:rFonts w:cs="Times New Roman"/>
          <w:bCs/>
        </w:rPr>
        <w:t>, p&lt;.001</w:t>
      </w:r>
      <w:r w:rsidR="00EC4B77" w:rsidRPr="0048229C">
        <w:rPr>
          <w:rFonts w:cs="Times New Roman"/>
          <w:bCs/>
        </w:rPr>
        <w:t>)</w:t>
      </w:r>
      <w:r w:rsidR="00EC4B77" w:rsidRPr="0048229C">
        <w:t xml:space="preserve">, indicating </w:t>
      </w:r>
      <w:r w:rsidR="00895FA6">
        <w:t xml:space="preserve">the </w:t>
      </w:r>
      <w:r w:rsidR="00EC4B77" w:rsidRPr="0048229C">
        <w:t xml:space="preserve">robust test-retest reliability of the </w:t>
      </w:r>
      <w:r w:rsidR="00C948D2">
        <w:t>GO-QOL</w:t>
      </w:r>
      <w:r w:rsidR="00EC4B77" w:rsidRPr="0048229C">
        <w:t xml:space="preserve"> subscales.</w:t>
      </w:r>
      <w:r>
        <w:t xml:space="preserve"> </w:t>
      </w:r>
    </w:p>
    <w:p w14:paraId="0FB1C1AC" w14:textId="77777777" w:rsidR="00EC4B77" w:rsidRDefault="00EC4B77" w:rsidP="0048229C">
      <w:pPr>
        <w:spacing w:line="360" w:lineRule="auto"/>
      </w:pPr>
    </w:p>
    <w:p w14:paraId="7B812130" w14:textId="547420BA" w:rsidR="008317FC" w:rsidRPr="0048229C" w:rsidRDefault="00B63722" w:rsidP="0048229C">
      <w:pPr>
        <w:widowControl w:val="0"/>
        <w:autoSpaceDE w:val="0"/>
        <w:autoSpaceDN w:val="0"/>
        <w:adjustRightInd w:val="0"/>
        <w:spacing w:line="360" w:lineRule="auto"/>
        <w:rPr>
          <w:rFonts w:cs="Times New Roman"/>
          <w:b/>
          <w:i/>
          <w:lang w:val="en-US"/>
        </w:rPr>
      </w:pPr>
      <w:r>
        <w:rPr>
          <w:b/>
          <w:i/>
        </w:rPr>
        <w:t xml:space="preserve">Stage 2: </w:t>
      </w:r>
      <w:r w:rsidR="00D01025" w:rsidRPr="0048229C">
        <w:rPr>
          <w:b/>
          <w:i/>
        </w:rPr>
        <w:t xml:space="preserve">Longitudinal </w:t>
      </w:r>
      <w:r w:rsidR="001D5C7E" w:rsidRPr="0048229C">
        <w:rPr>
          <w:b/>
          <w:i/>
        </w:rPr>
        <w:t>validation of</w:t>
      </w:r>
      <w:r w:rsidR="007604CC" w:rsidRPr="0048229C">
        <w:rPr>
          <w:b/>
          <w:i/>
        </w:rPr>
        <w:t xml:space="preserve"> </w:t>
      </w:r>
      <w:r w:rsidR="00C948D2">
        <w:rPr>
          <w:rFonts w:cs="Times New Roman"/>
          <w:b/>
          <w:i/>
          <w:lang w:val="en-US"/>
        </w:rPr>
        <w:t>GO-QOL</w:t>
      </w:r>
      <w:r w:rsidR="001D5C7E" w:rsidRPr="0048229C">
        <w:rPr>
          <w:rFonts w:cs="Times New Roman"/>
          <w:b/>
          <w:i/>
          <w:lang w:val="en-US"/>
        </w:rPr>
        <w:t xml:space="preserve"> </w:t>
      </w:r>
    </w:p>
    <w:p w14:paraId="23E33157" w14:textId="499F7491" w:rsidR="00837436" w:rsidRDefault="00C55DB7" w:rsidP="0048229C">
      <w:pPr>
        <w:widowControl w:val="0"/>
        <w:autoSpaceDE w:val="0"/>
        <w:autoSpaceDN w:val="0"/>
        <w:adjustRightInd w:val="0"/>
        <w:spacing w:line="360" w:lineRule="auto"/>
      </w:pPr>
      <w:r w:rsidRPr="0048229C">
        <w:t xml:space="preserve">Longitudinal validation was performed using </w:t>
      </w:r>
      <w:r w:rsidR="00B63722">
        <w:t xml:space="preserve">data from </w:t>
      </w:r>
      <w:r w:rsidR="00426877" w:rsidRPr="0048229C">
        <w:t>the 12</w:t>
      </w:r>
      <w:r w:rsidR="00BE2A5E">
        <w:t>6</w:t>
      </w:r>
      <w:r w:rsidR="00426877" w:rsidRPr="0048229C">
        <w:t xml:space="preserve"> participants that </w:t>
      </w:r>
      <w:r w:rsidR="00B63722">
        <w:t xml:space="preserve">were randomised into the trial </w:t>
      </w:r>
      <w:r w:rsidR="006055A1">
        <w:t>(</w:t>
      </w:r>
      <w:r w:rsidR="00B63722">
        <w:t xml:space="preserve">Table </w:t>
      </w:r>
      <w:r w:rsidR="00330187">
        <w:t>6</w:t>
      </w:r>
      <w:r w:rsidR="006055A1">
        <w:t>)</w:t>
      </w:r>
      <w:r w:rsidR="00B63722">
        <w:t>.</w:t>
      </w:r>
      <w:r w:rsidR="008F5675">
        <w:t xml:space="preserve"> </w:t>
      </w:r>
    </w:p>
    <w:p w14:paraId="41B06043" w14:textId="77777777" w:rsidR="0072571C" w:rsidRDefault="0072571C" w:rsidP="0048229C">
      <w:pPr>
        <w:widowControl w:val="0"/>
        <w:autoSpaceDE w:val="0"/>
        <w:autoSpaceDN w:val="0"/>
        <w:adjustRightInd w:val="0"/>
        <w:spacing w:line="360" w:lineRule="auto"/>
      </w:pPr>
    </w:p>
    <w:p w14:paraId="06F0D07B" w14:textId="622BB44A" w:rsidR="00330187" w:rsidRDefault="0072571C" w:rsidP="0072571C">
      <w:pPr>
        <w:pStyle w:val="Caption"/>
      </w:pPr>
      <w:r w:rsidRPr="0072571C">
        <w:t>[Table 6 near here]</w:t>
      </w:r>
    </w:p>
    <w:p w14:paraId="2669BAF7" w14:textId="77777777" w:rsidR="0072571C" w:rsidRPr="0072571C" w:rsidRDefault="0072571C" w:rsidP="0072571C"/>
    <w:p w14:paraId="4DD59FD9" w14:textId="749D2C1F" w:rsidR="006055A1" w:rsidRDefault="006055A1" w:rsidP="007A31D3">
      <w:pPr>
        <w:spacing w:line="360" w:lineRule="auto"/>
        <w:rPr>
          <w:rFonts w:cs="Arial"/>
        </w:rPr>
      </w:pPr>
      <w:r>
        <w:rPr>
          <w:rFonts w:cs="Arial"/>
        </w:rPr>
        <w:t>In this second stage, w</w:t>
      </w:r>
      <w:r w:rsidRPr="00837436">
        <w:rPr>
          <w:rFonts w:cs="Arial"/>
        </w:rPr>
        <w:t xml:space="preserve">e measured the responsiveness of the </w:t>
      </w:r>
      <w:r w:rsidR="00C948D2">
        <w:rPr>
          <w:rFonts w:cs="Arial"/>
        </w:rPr>
        <w:t>GO-QOL</w:t>
      </w:r>
      <w:r w:rsidRPr="00837436">
        <w:rPr>
          <w:rFonts w:cs="Arial"/>
        </w:rPr>
        <w:t xml:space="preserve"> to changes in TED post-treatment </w:t>
      </w:r>
      <w:r w:rsidRPr="00837436">
        <w:rPr>
          <w:rFonts w:cs="Times New Roman"/>
          <w:lang w:val="en-US"/>
        </w:rPr>
        <w:t xml:space="preserve">against </w:t>
      </w:r>
      <w:r w:rsidR="00895FA6">
        <w:rPr>
          <w:rFonts w:cs="Times New Roman"/>
          <w:lang w:val="en-US"/>
        </w:rPr>
        <w:t>the</w:t>
      </w:r>
      <w:r w:rsidRPr="00837436">
        <w:rPr>
          <w:rFonts w:cs="Times New Roman"/>
          <w:lang w:val="en-US"/>
        </w:rPr>
        <w:t xml:space="preserve"> </w:t>
      </w:r>
      <w:r w:rsidR="00C948D2">
        <w:rPr>
          <w:rFonts w:cs="Times New Roman"/>
          <w:lang w:val="en-US"/>
        </w:rPr>
        <w:t>WHOQOL</w:t>
      </w:r>
      <w:r w:rsidR="00895FA6" w:rsidRPr="00837436">
        <w:rPr>
          <w:rFonts w:cs="Times New Roman"/>
          <w:lang w:val="en-US"/>
        </w:rPr>
        <w:t>-</w:t>
      </w:r>
      <w:proofErr w:type="spellStart"/>
      <w:r w:rsidR="00895FA6" w:rsidRPr="00837436">
        <w:rPr>
          <w:rFonts w:cs="Times New Roman"/>
          <w:lang w:val="en-US"/>
        </w:rPr>
        <w:t>Bref</w:t>
      </w:r>
      <w:proofErr w:type="spellEnd"/>
      <w:r w:rsidR="00895FA6">
        <w:rPr>
          <w:rFonts w:cs="Times New Roman"/>
          <w:lang w:val="en-US"/>
        </w:rPr>
        <w:t xml:space="preserve"> (a </w:t>
      </w:r>
      <w:r w:rsidRPr="00837436">
        <w:rPr>
          <w:rFonts w:cs="Times New Roman"/>
          <w:lang w:val="en-US"/>
        </w:rPr>
        <w:t>more gene</w:t>
      </w:r>
      <w:r w:rsidR="00895FA6">
        <w:rPr>
          <w:rFonts w:cs="Times New Roman"/>
          <w:lang w:val="en-US"/>
        </w:rPr>
        <w:t>ral measure of quality of life)</w:t>
      </w:r>
      <w:r w:rsidRPr="00837436">
        <w:rPr>
          <w:rFonts w:cs="Times New Roman"/>
          <w:lang w:val="en-US"/>
        </w:rPr>
        <w:t>.</w:t>
      </w:r>
      <w:r>
        <w:rPr>
          <w:rFonts w:cs="Times New Roman"/>
          <w:lang w:val="en-US"/>
        </w:rPr>
        <w:t xml:space="preserve"> We hypothesized that, </w:t>
      </w:r>
      <w:proofErr w:type="spellStart"/>
      <w:r>
        <w:rPr>
          <w:rFonts w:cs="Times New Roman"/>
          <w:lang w:val="en-US"/>
        </w:rPr>
        <w:t>i</w:t>
      </w:r>
      <w:r w:rsidRPr="00837436">
        <w:rPr>
          <w:rFonts w:cs="Arial"/>
        </w:rPr>
        <w:t>f</w:t>
      </w:r>
      <w:proofErr w:type="spellEnd"/>
      <w:r w:rsidRPr="00837436">
        <w:rPr>
          <w:rFonts w:cs="Arial"/>
        </w:rPr>
        <w:t xml:space="preserve"> the </w:t>
      </w:r>
      <w:r w:rsidR="00C948D2">
        <w:rPr>
          <w:rFonts w:cs="Arial"/>
        </w:rPr>
        <w:t>GO-QOL</w:t>
      </w:r>
      <w:r w:rsidRPr="00837436">
        <w:rPr>
          <w:rFonts w:cs="Arial"/>
        </w:rPr>
        <w:t xml:space="preserve"> is sensitive to changes in visual functioning and appearance as a result of TED we would expect larger effect sizes for the </w:t>
      </w:r>
      <w:r w:rsidR="00C948D2">
        <w:rPr>
          <w:rFonts w:cs="Arial"/>
        </w:rPr>
        <w:t>GO-QOL</w:t>
      </w:r>
      <w:r w:rsidRPr="00837436">
        <w:rPr>
          <w:rFonts w:cs="Arial"/>
        </w:rPr>
        <w:t xml:space="preserve"> than for the general measure </w:t>
      </w:r>
      <w:r w:rsidR="00C432C7">
        <w:rPr>
          <w:rFonts w:cs="Arial"/>
        </w:rPr>
        <w:t>(</w:t>
      </w:r>
      <w:r w:rsidR="00C948D2">
        <w:rPr>
          <w:rFonts w:cs="Arial"/>
        </w:rPr>
        <w:t>WHOQOL</w:t>
      </w:r>
      <w:r w:rsidR="00C432C7">
        <w:rPr>
          <w:rFonts w:cs="Arial"/>
        </w:rPr>
        <w:t>-</w:t>
      </w:r>
      <w:proofErr w:type="spellStart"/>
      <w:r w:rsidR="00C432C7">
        <w:rPr>
          <w:rFonts w:cs="Arial"/>
        </w:rPr>
        <w:t>Bref</w:t>
      </w:r>
      <w:proofErr w:type="spellEnd"/>
      <w:r w:rsidR="00C432C7">
        <w:rPr>
          <w:rFonts w:cs="Arial"/>
        </w:rPr>
        <w:t>).</w:t>
      </w:r>
      <w:r w:rsidR="00C20B59">
        <w:rPr>
          <w:rFonts w:cs="Arial"/>
        </w:rPr>
        <w:t xml:space="preserve"> </w:t>
      </w:r>
      <w:r w:rsidR="00065B34">
        <w:rPr>
          <w:rFonts w:cs="Arial"/>
        </w:rPr>
        <w:t xml:space="preserve">Effect size was quantified using partial eta squared where the following thresholds can be used to determine effect size interpretation: </w:t>
      </w:r>
      <w:proofErr w:type="gramStart"/>
      <w:r w:rsidR="005D7252" w:rsidRPr="0048229C">
        <w:t>η</w:t>
      </w:r>
      <w:r w:rsidR="005D7252" w:rsidRPr="004B2900">
        <w:rPr>
          <w:vertAlign w:val="superscript"/>
        </w:rPr>
        <w:t>2</w:t>
      </w:r>
      <w:r w:rsidR="005D7252">
        <w:rPr>
          <w:vertAlign w:val="superscript"/>
        </w:rPr>
        <w:t xml:space="preserve">  </w:t>
      </w:r>
      <w:r w:rsidR="005D7252" w:rsidRPr="005D7252">
        <w:t>of</w:t>
      </w:r>
      <w:proofErr w:type="gramEnd"/>
      <w:r w:rsidR="005D7252" w:rsidRPr="005D7252">
        <w:t xml:space="preserve"> less than </w:t>
      </w:r>
      <w:r w:rsidR="00085C31">
        <w:t>0</w:t>
      </w:r>
      <w:r w:rsidR="00065B34">
        <w:rPr>
          <w:rFonts w:cs="Arial"/>
        </w:rPr>
        <w:t xml:space="preserve">.01 indicates </w:t>
      </w:r>
      <w:r w:rsidR="005D7252">
        <w:rPr>
          <w:rFonts w:cs="Arial"/>
        </w:rPr>
        <w:t xml:space="preserve">an </w:t>
      </w:r>
      <w:r w:rsidR="00065B34">
        <w:t xml:space="preserve">inconsequential effect, </w:t>
      </w:r>
      <w:r w:rsidR="005D7252" w:rsidRPr="0048229C">
        <w:t>η</w:t>
      </w:r>
      <w:r w:rsidR="005D7252" w:rsidRPr="004B2900">
        <w:rPr>
          <w:vertAlign w:val="superscript"/>
        </w:rPr>
        <w:t>2</w:t>
      </w:r>
      <w:r w:rsidR="005D7252">
        <w:rPr>
          <w:vertAlign w:val="superscript"/>
        </w:rPr>
        <w:t xml:space="preserve"> </w:t>
      </w:r>
      <w:r w:rsidR="00065B34">
        <w:t xml:space="preserve"> </w:t>
      </w:r>
      <w:r w:rsidR="005D7252">
        <w:t xml:space="preserve">between </w:t>
      </w:r>
      <w:r w:rsidR="00085C31">
        <w:t>0</w:t>
      </w:r>
      <w:r w:rsidR="005D7252">
        <w:t xml:space="preserve">.01 </w:t>
      </w:r>
      <w:r w:rsidR="005D7252">
        <w:lastRenderedPageBreak/>
        <w:t xml:space="preserve">and </w:t>
      </w:r>
      <w:r w:rsidR="00085C31">
        <w:t>0</w:t>
      </w:r>
      <w:r w:rsidR="005D7252">
        <w:t xml:space="preserve">.09 a small effect, </w:t>
      </w:r>
      <w:r w:rsidR="005D7252" w:rsidRPr="0048229C">
        <w:t>η</w:t>
      </w:r>
      <w:r w:rsidR="005D7252" w:rsidRPr="004B2900">
        <w:rPr>
          <w:vertAlign w:val="superscript"/>
        </w:rPr>
        <w:t>2</w:t>
      </w:r>
      <w:r w:rsidR="005D7252">
        <w:rPr>
          <w:vertAlign w:val="superscript"/>
        </w:rPr>
        <w:t xml:space="preserve"> </w:t>
      </w:r>
      <w:r w:rsidR="005D7252" w:rsidRPr="005D7252">
        <w:t xml:space="preserve">between </w:t>
      </w:r>
      <w:r w:rsidR="00085C31">
        <w:t>0</w:t>
      </w:r>
      <w:r w:rsidR="005D7252">
        <w:t xml:space="preserve">.09 to </w:t>
      </w:r>
      <w:r w:rsidR="00085C31">
        <w:t>0</w:t>
      </w:r>
      <w:r w:rsidR="005D7252">
        <w:t>.25 a m</w:t>
      </w:r>
      <w:r w:rsidR="00065B34">
        <w:t xml:space="preserve">edium effect, </w:t>
      </w:r>
      <w:r w:rsidR="005D7252" w:rsidRPr="0048229C">
        <w:t>η</w:t>
      </w:r>
      <w:r w:rsidR="005D7252" w:rsidRPr="004B2900">
        <w:rPr>
          <w:vertAlign w:val="superscript"/>
        </w:rPr>
        <w:t>2</w:t>
      </w:r>
      <w:r w:rsidR="005D7252">
        <w:rPr>
          <w:vertAlign w:val="superscript"/>
        </w:rPr>
        <w:t xml:space="preserve"> </w:t>
      </w:r>
      <w:r w:rsidR="005D7252">
        <w:t xml:space="preserve">from </w:t>
      </w:r>
      <w:r w:rsidR="00085C31">
        <w:t>0</w:t>
      </w:r>
      <w:r w:rsidR="005D7252">
        <w:t xml:space="preserve">.25 to </w:t>
      </w:r>
      <w:r w:rsidR="00085C31">
        <w:t>0</w:t>
      </w:r>
      <w:r w:rsidR="005D7252">
        <w:t xml:space="preserve">.50 a </w:t>
      </w:r>
      <w:r w:rsidR="00065B34">
        <w:t xml:space="preserve">large effect, </w:t>
      </w:r>
      <w:r w:rsidR="005D7252">
        <w:t xml:space="preserve">and </w:t>
      </w:r>
      <w:r w:rsidR="005D7252" w:rsidRPr="0048229C">
        <w:t>η</w:t>
      </w:r>
      <w:r w:rsidR="005D7252" w:rsidRPr="004B2900">
        <w:rPr>
          <w:vertAlign w:val="superscript"/>
        </w:rPr>
        <w:t>2</w:t>
      </w:r>
      <w:r w:rsidR="005D7252">
        <w:rPr>
          <w:vertAlign w:val="superscript"/>
        </w:rPr>
        <w:t xml:space="preserve"> </w:t>
      </w:r>
      <w:r w:rsidR="005D7252">
        <w:t xml:space="preserve">over </w:t>
      </w:r>
      <w:r w:rsidR="00085C31">
        <w:t>0</w:t>
      </w:r>
      <w:r w:rsidR="005D7252">
        <w:t xml:space="preserve">.50 a </w:t>
      </w:r>
      <w:r w:rsidR="00065B34">
        <w:t>very large effect (Cohen, 1988).</w:t>
      </w:r>
    </w:p>
    <w:p w14:paraId="21619C9D" w14:textId="77777777" w:rsidR="00065B34" w:rsidRDefault="00065B34" w:rsidP="00065B34">
      <w:pPr>
        <w:pStyle w:val="CommentText"/>
      </w:pPr>
    </w:p>
    <w:p w14:paraId="4457D5A5" w14:textId="68C9401D" w:rsidR="00C432C7" w:rsidRDefault="00C432C7" w:rsidP="007A31D3">
      <w:pPr>
        <w:spacing w:line="360" w:lineRule="auto"/>
        <w:rPr>
          <w:rFonts w:cs="Times New Roman"/>
          <w:lang w:val="en-US"/>
        </w:rPr>
      </w:pPr>
      <w:r>
        <w:rPr>
          <w:rFonts w:cs="Times New Roman"/>
          <w:lang w:val="en-US"/>
        </w:rPr>
        <w:t>Of the 12</w:t>
      </w:r>
      <w:r w:rsidR="00C20B59">
        <w:rPr>
          <w:rFonts w:cs="Times New Roman"/>
          <w:lang w:val="en-US"/>
        </w:rPr>
        <w:t>6</w:t>
      </w:r>
      <w:r>
        <w:rPr>
          <w:rFonts w:cs="Times New Roman"/>
          <w:lang w:val="en-US"/>
        </w:rPr>
        <w:t xml:space="preserve"> randomized participants, </w:t>
      </w:r>
      <w:r w:rsidR="00D2148B">
        <w:rPr>
          <w:rFonts w:cs="Times New Roman"/>
          <w:lang w:val="en-US"/>
        </w:rPr>
        <w:t xml:space="preserve">108 participants provided enough completed questionnaire data at the 12 week trial appointment, while </w:t>
      </w:r>
      <w:r>
        <w:rPr>
          <w:rFonts w:cs="Times New Roman"/>
          <w:lang w:val="en-US"/>
        </w:rPr>
        <w:t>10</w:t>
      </w:r>
      <w:r w:rsidR="00D2148B">
        <w:rPr>
          <w:rFonts w:cs="Times New Roman"/>
          <w:lang w:val="en-US"/>
        </w:rPr>
        <w:t>0 of those participants who</w:t>
      </w:r>
      <w:r>
        <w:rPr>
          <w:rFonts w:cs="Times New Roman"/>
          <w:lang w:val="en-US"/>
        </w:rPr>
        <w:t xml:space="preserve"> attended the 48 week appointment</w:t>
      </w:r>
      <w:r w:rsidR="00D2148B">
        <w:rPr>
          <w:rFonts w:cs="Times New Roman"/>
          <w:lang w:val="en-US"/>
        </w:rPr>
        <w:t xml:space="preserve"> </w:t>
      </w:r>
      <w:r w:rsidR="00895FA6">
        <w:rPr>
          <w:rFonts w:cs="Times New Roman"/>
          <w:lang w:val="en-US"/>
        </w:rPr>
        <w:t xml:space="preserve">completed </w:t>
      </w:r>
      <w:r>
        <w:rPr>
          <w:rFonts w:cs="Times New Roman"/>
          <w:lang w:val="en-US"/>
        </w:rPr>
        <w:t xml:space="preserve">the study measures (see Table </w:t>
      </w:r>
      <w:r w:rsidR="00330187">
        <w:rPr>
          <w:rFonts w:cs="Times New Roman"/>
          <w:lang w:val="en-US"/>
        </w:rPr>
        <w:t>7</w:t>
      </w:r>
      <w:r>
        <w:rPr>
          <w:rFonts w:cs="Times New Roman"/>
          <w:lang w:val="en-US"/>
        </w:rPr>
        <w:t>).</w:t>
      </w:r>
    </w:p>
    <w:p w14:paraId="32ACA77F" w14:textId="77777777" w:rsidR="0072571C" w:rsidRPr="00837436" w:rsidRDefault="0072571C" w:rsidP="007A31D3">
      <w:pPr>
        <w:spacing w:line="360" w:lineRule="auto"/>
        <w:rPr>
          <w:rFonts w:cs="Arial"/>
        </w:rPr>
      </w:pPr>
    </w:p>
    <w:p w14:paraId="1E04AED4" w14:textId="6B9E4AE8" w:rsidR="00FE3751" w:rsidRDefault="0072571C" w:rsidP="00FE3751">
      <w:pPr>
        <w:widowControl w:val="0"/>
        <w:autoSpaceDE w:val="0"/>
        <w:autoSpaceDN w:val="0"/>
        <w:adjustRightInd w:val="0"/>
        <w:spacing w:line="360" w:lineRule="auto"/>
      </w:pPr>
      <w:r w:rsidRPr="0072571C">
        <w:t>[Table 7 near here]</w:t>
      </w:r>
    </w:p>
    <w:p w14:paraId="0F7C0845" w14:textId="4DD3CE4B" w:rsidR="00EC3ACA" w:rsidRDefault="00EC3ACA" w:rsidP="00EC3ACA">
      <w:pPr>
        <w:widowControl w:val="0"/>
        <w:autoSpaceDE w:val="0"/>
        <w:autoSpaceDN w:val="0"/>
        <w:adjustRightInd w:val="0"/>
        <w:spacing w:before="240" w:line="360" w:lineRule="auto"/>
        <w:rPr>
          <w:rFonts w:cs="Times New Roman"/>
          <w:lang w:val="en-US"/>
        </w:rPr>
      </w:pPr>
      <w:r>
        <w:rPr>
          <w:rFonts w:cs="Times New Roman"/>
          <w:lang w:val="en-US"/>
        </w:rPr>
        <w:t xml:space="preserve">For the sake of completeness, internal validity was assessed again using </w:t>
      </w:r>
      <w:r w:rsidRPr="0048229C">
        <w:rPr>
          <w:rFonts w:cs="Times New Roman"/>
          <w:lang w:val="en-US"/>
        </w:rPr>
        <w:t>Cronbach’s alpha</w:t>
      </w:r>
      <w:r>
        <w:rPr>
          <w:rFonts w:cs="Times New Roman"/>
          <w:lang w:val="en-US"/>
        </w:rPr>
        <w:t xml:space="preserve"> calculations; at both time 3 (short term 12 week trial appointment) and time 4 (long term 48 week appointment). At time 3 the </w:t>
      </w:r>
      <w:r w:rsidRPr="0048229C">
        <w:rPr>
          <w:rFonts w:cs="Times New Roman"/>
          <w:lang w:val="en-US"/>
        </w:rPr>
        <w:t>visual function</w:t>
      </w:r>
      <w:r>
        <w:rPr>
          <w:rFonts w:cs="Times New Roman"/>
          <w:lang w:val="en-US"/>
        </w:rPr>
        <w:t xml:space="preserve"> subscale</w:t>
      </w:r>
      <w:r w:rsidRPr="0048229C">
        <w:rPr>
          <w:rFonts w:cs="Times New Roman"/>
          <w:lang w:val="en-US"/>
        </w:rPr>
        <w:t xml:space="preserve"> </w:t>
      </w:r>
      <w:r>
        <w:rPr>
          <w:rFonts w:cs="Times New Roman"/>
          <w:lang w:val="en-US"/>
        </w:rPr>
        <w:t>achieved a</w:t>
      </w:r>
      <w:r w:rsidR="00914A26">
        <w:rPr>
          <w:rFonts w:cs="Times New Roman"/>
          <w:lang w:val="en-US"/>
        </w:rPr>
        <w:t xml:space="preserve"> Cronbach’s alpha score of 0.904</w:t>
      </w:r>
      <w:r>
        <w:rPr>
          <w:rFonts w:cs="Times New Roman"/>
          <w:lang w:val="en-US"/>
        </w:rPr>
        <w:t xml:space="preserve"> </w:t>
      </w:r>
      <w:r w:rsidR="00914A26">
        <w:rPr>
          <w:rFonts w:cs="Times New Roman"/>
          <w:lang w:val="en-US"/>
        </w:rPr>
        <w:t>(CI 0.854 – 0.937</w:t>
      </w:r>
      <w:r>
        <w:rPr>
          <w:rFonts w:cs="Times New Roman"/>
          <w:lang w:val="en-US"/>
        </w:rPr>
        <w:t>) while the ap</w:t>
      </w:r>
      <w:r w:rsidR="00914A26">
        <w:rPr>
          <w:rFonts w:cs="Times New Roman"/>
          <w:lang w:val="en-US"/>
        </w:rPr>
        <w:t>pearance subscale recorded 0.918 (CI 0.891 – 0.938</w:t>
      </w:r>
      <w:r>
        <w:rPr>
          <w:rFonts w:cs="Times New Roman"/>
          <w:lang w:val="en-US"/>
        </w:rPr>
        <w:t xml:space="preserve">). </w:t>
      </w:r>
      <w:r w:rsidRPr="0096452E">
        <w:rPr>
          <w:rFonts w:cs="Times New Roman"/>
          <w:lang w:val="en-US"/>
        </w:rPr>
        <w:t xml:space="preserve">At time </w:t>
      </w:r>
      <w:r w:rsidR="00914A26">
        <w:rPr>
          <w:rFonts w:cs="Times New Roman"/>
          <w:lang w:val="en-US"/>
        </w:rPr>
        <w:t>4</w:t>
      </w:r>
      <w:r w:rsidRPr="0096452E">
        <w:rPr>
          <w:rFonts w:cs="Times New Roman"/>
          <w:lang w:val="en-US"/>
        </w:rPr>
        <w:t xml:space="preserve"> the alpha result for visual function </w:t>
      </w:r>
      <w:r w:rsidR="00914A26">
        <w:rPr>
          <w:rFonts w:cs="Times New Roman"/>
          <w:lang w:val="en-US"/>
        </w:rPr>
        <w:t xml:space="preserve">had reduced slightly to </w:t>
      </w:r>
      <w:r>
        <w:rPr>
          <w:rFonts w:cs="Times New Roman"/>
          <w:lang w:val="en-US"/>
        </w:rPr>
        <w:t>0.</w:t>
      </w:r>
      <w:r w:rsidR="00914A26">
        <w:rPr>
          <w:rFonts w:cs="Times New Roman"/>
          <w:lang w:val="en-US"/>
        </w:rPr>
        <w:t>887 (CI 0.8</w:t>
      </w:r>
      <w:r>
        <w:rPr>
          <w:rFonts w:cs="Times New Roman"/>
          <w:lang w:val="en-US"/>
        </w:rPr>
        <w:t>2</w:t>
      </w:r>
      <w:r w:rsidR="00914A26">
        <w:rPr>
          <w:rFonts w:cs="Times New Roman"/>
          <w:lang w:val="en-US"/>
        </w:rPr>
        <w:t>3</w:t>
      </w:r>
      <w:r>
        <w:rPr>
          <w:rFonts w:cs="Times New Roman"/>
          <w:lang w:val="en-US"/>
        </w:rPr>
        <w:t xml:space="preserve"> – 0.9</w:t>
      </w:r>
      <w:r w:rsidR="00914A26">
        <w:rPr>
          <w:rFonts w:cs="Times New Roman"/>
          <w:lang w:val="en-US"/>
        </w:rPr>
        <w:t>28</w:t>
      </w:r>
      <w:r>
        <w:rPr>
          <w:rFonts w:cs="Times New Roman"/>
          <w:lang w:val="en-US"/>
        </w:rPr>
        <w:t>)</w:t>
      </w:r>
      <w:r w:rsidRPr="0096452E">
        <w:rPr>
          <w:rFonts w:cs="Times New Roman"/>
          <w:lang w:val="en-US"/>
        </w:rPr>
        <w:t xml:space="preserve">, while the appearance subscale </w:t>
      </w:r>
      <w:r w:rsidR="00914A26">
        <w:rPr>
          <w:rFonts w:cs="Times New Roman"/>
          <w:lang w:val="en-US"/>
        </w:rPr>
        <w:t xml:space="preserve">remained largely unchanged at </w:t>
      </w:r>
      <w:r w:rsidRPr="0096452E">
        <w:rPr>
          <w:rFonts w:cs="Times New Roman"/>
          <w:lang w:val="en-US"/>
        </w:rPr>
        <w:t>0.9</w:t>
      </w:r>
      <w:r w:rsidR="00914A26">
        <w:rPr>
          <w:rFonts w:cs="Times New Roman"/>
          <w:lang w:val="en-US"/>
        </w:rPr>
        <w:t>15</w:t>
      </w:r>
      <w:r>
        <w:rPr>
          <w:rFonts w:cs="Times New Roman"/>
          <w:lang w:val="en-US"/>
        </w:rPr>
        <w:t xml:space="preserve"> (CI 0.88</w:t>
      </w:r>
      <w:r w:rsidR="00914A26">
        <w:rPr>
          <w:rFonts w:cs="Times New Roman"/>
          <w:lang w:val="en-US"/>
        </w:rPr>
        <w:t>6</w:t>
      </w:r>
      <w:r>
        <w:rPr>
          <w:rFonts w:cs="Times New Roman"/>
          <w:lang w:val="en-US"/>
        </w:rPr>
        <w:t xml:space="preserve"> – 0.9</w:t>
      </w:r>
      <w:r w:rsidR="00914A26">
        <w:rPr>
          <w:rFonts w:cs="Times New Roman"/>
          <w:lang w:val="en-US"/>
        </w:rPr>
        <w:t>37</w:t>
      </w:r>
      <w:r>
        <w:rPr>
          <w:rFonts w:cs="Times New Roman"/>
          <w:lang w:val="en-US"/>
        </w:rPr>
        <w:t>)</w:t>
      </w:r>
      <w:r w:rsidRPr="0096452E">
        <w:rPr>
          <w:rFonts w:cs="Times New Roman"/>
          <w:lang w:val="en-US"/>
        </w:rPr>
        <w:t xml:space="preserve">. </w:t>
      </w:r>
      <w:r w:rsidR="00914A26">
        <w:rPr>
          <w:rFonts w:cs="Times New Roman"/>
          <w:lang w:val="en-US"/>
        </w:rPr>
        <w:t xml:space="preserve">As before, </w:t>
      </w:r>
      <w:r w:rsidR="00C20B59">
        <w:rPr>
          <w:rFonts w:cs="Times New Roman"/>
          <w:lang w:val="en-US"/>
        </w:rPr>
        <w:t xml:space="preserve">with all values over 0.7 </w:t>
      </w:r>
      <w:r w:rsidR="00914A26">
        <w:rPr>
          <w:rFonts w:cs="Times New Roman"/>
          <w:lang w:val="en-US"/>
        </w:rPr>
        <w:t>t</w:t>
      </w:r>
      <w:r w:rsidRPr="0048229C">
        <w:rPr>
          <w:rFonts w:cs="Times New Roman"/>
          <w:lang w:val="en-US"/>
        </w:rPr>
        <w:t>his indicates good internal validity of the subscales</w:t>
      </w:r>
      <w:r>
        <w:rPr>
          <w:rFonts w:cs="Times New Roman"/>
          <w:lang w:val="en-US"/>
        </w:rPr>
        <w:t xml:space="preserve"> at both time points.</w:t>
      </w:r>
      <w:r w:rsidRPr="0048229C">
        <w:rPr>
          <w:rFonts w:cs="Times New Roman"/>
          <w:lang w:val="en-US"/>
        </w:rPr>
        <w:t xml:space="preserve"> </w:t>
      </w:r>
    </w:p>
    <w:p w14:paraId="4CA68356" w14:textId="77777777" w:rsidR="00FE3751" w:rsidRDefault="00FE3751" w:rsidP="006055A1">
      <w:pPr>
        <w:spacing w:line="360" w:lineRule="auto"/>
        <w:rPr>
          <w:rFonts w:cs="Times New Roman"/>
          <w:lang w:val="en-US"/>
        </w:rPr>
      </w:pPr>
    </w:p>
    <w:p w14:paraId="77CE5030" w14:textId="4A2EE54A" w:rsidR="00FE7BA6" w:rsidRPr="00024CE7" w:rsidRDefault="00126BD6" w:rsidP="0048229C">
      <w:pPr>
        <w:widowControl w:val="0"/>
        <w:autoSpaceDE w:val="0"/>
        <w:autoSpaceDN w:val="0"/>
        <w:adjustRightInd w:val="0"/>
        <w:spacing w:line="360" w:lineRule="auto"/>
        <w:rPr>
          <w:rFonts w:cs="Times New Roman"/>
          <w:lang w:val="en-US"/>
        </w:rPr>
      </w:pPr>
      <w:r>
        <w:rPr>
          <w:rFonts w:cs="Times New Roman"/>
          <w:lang w:val="en-US"/>
        </w:rPr>
        <w:t>R</w:t>
      </w:r>
      <w:r w:rsidR="00B82FDB" w:rsidRPr="0048229C">
        <w:rPr>
          <w:rFonts w:cs="Times New Roman"/>
          <w:lang w:val="en-US"/>
        </w:rPr>
        <w:t xml:space="preserve">epeated measures ANOVA </w:t>
      </w:r>
      <w:r w:rsidR="00A207EB">
        <w:rPr>
          <w:rFonts w:cs="Times New Roman"/>
          <w:lang w:val="en-US"/>
        </w:rPr>
        <w:t xml:space="preserve">(with time as 3 level factor, i.e. </w:t>
      </w:r>
      <w:r w:rsidR="00895FA6">
        <w:rPr>
          <w:rFonts w:cs="Times New Roman"/>
          <w:lang w:val="en-US"/>
        </w:rPr>
        <w:t>-2</w:t>
      </w:r>
      <w:r w:rsidR="00A207EB">
        <w:rPr>
          <w:rFonts w:cs="Times New Roman"/>
          <w:lang w:val="en-US"/>
        </w:rPr>
        <w:t xml:space="preserve">, 12, and 48 weeks) </w:t>
      </w:r>
      <w:r w:rsidR="00B82FDB" w:rsidRPr="0048229C">
        <w:rPr>
          <w:rFonts w:cs="Times New Roman"/>
          <w:lang w:val="en-US"/>
        </w:rPr>
        <w:t>revealed significant change</w:t>
      </w:r>
      <w:r w:rsidR="009A02B1">
        <w:rPr>
          <w:rFonts w:cs="Times New Roman"/>
          <w:lang w:val="en-US"/>
        </w:rPr>
        <w:t>s</w:t>
      </w:r>
      <w:r w:rsidR="00B82FDB" w:rsidRPr="0048229C">
        <w:rPr>
          <w:rFonts w:cs="Times New Roman"/>
          <w:lang w:val="en-US"/>
        </w:rPr>
        <w:t xml:space="preserve"> </w:t>
      </w:r>
      <w:r w:rsidR="00065B34">
        <w:rPr>
          <w:rFonts w:cs="Times New Roman"/>
          <w:lang w:val="en-US"/>
        </w:rPr>
        <w:t xml:space="preserve">over time </w:t>
      </w:r>
      <w:r w:rsidR="00B82FDB" w:rsidRPr="0048229C">
        <w:rPr>
          <w:rFonts w:cs="Times New Roman"/>
          <w:lang w:val="en-US"/>
        </w:rPr>
        <w:t xml:space="preserve">for both </w:t>
      </w:r>
      <w:r w:rsidR="00C948D2">
        <w:rPr>
          <w:rFonts w:cs="Times New Roman"/>
          <w:lang w:val="en-US"/>
        </w:rPr>
        <w:t>GO-QOL</w:t>
      </w:r>
      <w:r w:rsidR="00B82FDB" w:rsidRPr="0048229C">
        <w:rPr>
          <w:rFonts w:cs="Times New Roman"/>
          <w:lang w:val="en-US"/>
        </w:rPr>
        <w:t xml:space="preserve"> subsca</w:t>
      </w:r>
      <w:r w:rsidR="00051EE8" w:rsidRPr="0048229C">
        <w:rPr>
          <w:rFonts w:cs="Times New Roman"/>
          <w:lang w:val="en-US"/>
        </w:rPr>
        <w:t>les</w:t>
      </w:r>
      <w:r w:rsidR="001D5C7E" w:rsidRPr="0048229C">
        <w:rPr>
          <w:rFonts w:cs="Times New Roman"/>
          <w:lang w:val="en-US"/>
        </w:rPr>
        <w:t xml:space="preserve"> </w:t>
      </w:r>
      <w:r w:rsidR="00051EE8" w:rsidRPr="0048229C">
        <w:rPr>
          <w:rFonts w:cs="Times New Roman"/>
          <w:lang w:val="en-US"/>
        </w:rPr>
        <w:t>(</w:t>
      </w:r>
      <w:r w:rsidR="00895FA6">
        <w:rPr>
          <w:rFonts w:cs="Times New Roman"/>
          <w:lang w:val="en-US"/>
        </w:rPr>
        <w:t>Visual Function,</w:t>
      </w:r>
      <w:r w:rsidR="00051EE8" w:rsidRPr="0048229C">
        <w:rPr>
          <w:rFonts w:cs="Times New Roman"/>
          <w:lang w:val="en-US"/>
        </w:rPr>
        <w:t xml:space="preserve"> </w:t>
      </w:r>
      <w:r w:rsidR="00051EE8" w:rsidRPr="0048229C">
        <w:rPr>
          <w:rFonts w:cs="Times New Roman"/>
          <w:i/>
          <w:lang w:val="en-US"/>
        </w:rPr>
        <w:t>p</w:t>
      </w:r>
      <w:r w:rsidR="00051EE8" w:rsidRPr="0048229C">
        <w:rPr>
          <w:rFonts w:cs="Times New Roman"/>
          <w:lang w:val="en-US"/>
        </w:rPr>
        <w:t xml:space="preserve">=0.001, </w:t>
      </w:r>
      <w:r w:rsidR="00895FA6">
        <w:rPr>
          <w:rFonts w:cs="Times New Roman"/>
          <w:lang w:val="en-US"/>
        </w:rPr>
        <w:t>A</w:t>
      </w:r>
      <w:r w:rsidR="00051EE8" w:rsidRPr="0048229C">
        <w:rPr>
          <w:rFonts w:cs="Times New Roman"/>
          <w:lang w:val="en-US"/>
        </w:rPr>
        <w:t>pp</w:t>
      </w:r>
      <w:r w:rsidR="00895FA6">
        <w:rPr>
          <w:rFonts w:cs="Times New Roman"/>
          <w:lang w:val="en-US"/>
        </w:rPr>
        <w:t>earance,</w:t>
      </w:r>
      <w:r w:rsidR="00051EE8" w:rsidRPr="0048229C">
        <w:rPr>
          <w:rFonts w:cs="Times New Roman"/>
          <w:lang w:val="en-US"/>
        </w:rPr>
        <w:t xml:space="preserve"> </w:t>
      </w:r>
      <w:r w:rsidR="00051EE8" w:rsidRPr="0048229C">
        <w:rPr>
          <w:rFonts w:cs="Times New Roman"/>
          <w:i/>
          <w:lang w:val="en-US"/>
        </w:rPr>
        <w:t>p</w:t>
      </w:r>
      <w:r w:rsidR="00051EE8" w:rsidRPr="0048229C">
        <w:rPr>
          <w:rFonts w:cs="Times New Roman"/>
          <w:lang w:val="en-US"/>
        </w:rPr>
        <w:t>=0.002)</w:t>
      </w:r>
      <w:r w:rsidR="00024CE7">
        <w:rPr>
          <w:rFonts w:cs="Times New Roman"/>
          <w:lang w:val="en-US"/>
        </w:rPr>
        <w:t xml:space="preserve">, and for the psychological domain of the </w:t>
      </w:r>
      <w:r w:rsidR="00C948D2">
        <w:rPr>
          <w:rFonts w:cs="Times New Roman"/>
          <w:lang w:val="en-US"/>
        </w:rPr>
        <w:t>WHOQOL</w:t>
      </w:r>
      <w:r w:rsidR="00636B49">
        <w:rPr>
          <w:rFonts w:cs="Times New Roman"/>
          <w:lang w:val="en-US"/>
        </w:rPr>
        <w:t xml:space="preserve"> (p=0.002)</w:t>
      </w:r>
      <w:r w:rsidR="00085C31">
        <w:rPr>
          <w:rFonts w:cs="Times New Roman"/>
          <w:lang w:val="en-US"/>
        </w:rPr>
        <w:t xml:space="preserve">. Effect sizes varied between the subscales </w:t>
      </w:r>
      <w:r w:rsidR="00024CE7">
        <w:rPr>
          <w:rFonts w:cs="Times New Roman"/>
          <w:lang w:val="en-US"/>
        </w:rPr>
        <w:t xml:space="preserve">for the </w:t>
      </w:r>
      <w:r w:rsidR="00C948D2">
        <w:rPr>
          <w:rFonts w:cs="Times New Roman"/>
          <w:lang w:val="en-US"/>
        </w:rPr>
        <w:t>GO-QOL</w:t>
      </w:r>
      <w:r w:rsidR="00024CE7">
        <w:rPr>
          <w:rFonts w:cs="Times New Roman"/>
          <w:lang w:val="en-US"/>
        </w:rPr>
        <w:t xml:space="preserve"> </w:t>
      </w:r>
      <w:r w:rsidR="00085C31">
        <w:rPr>
          <w:rFonts w:cs="Times New Roman"/>
          <w:lang w:val="en-US"/>
        </w:rPr>
        <w:t xml:space="preserve">with </w:t>
      </w:r>
      <w:r w:rsidR="00024CE7">
        <w:rPr>
          <w:rFonts w:cs="Times New Roman"/>
          <w:lang w:val="en-US"/>
        </w:rPr>
        <w:t xml:space="preserve">only </w:t>
      </w:r>
      <w:r w:rsidR="00085C31">
        <w:rPr>
          <w:rFonts w:cs="Times New Roman"/>
          <w:lang w:val="en-US"/>
        </w:rPr>
        <w:t xml:space="preserve">Visual Function recording a </w:t>
      </w:r>
      <w:r w:rsidR="00B82FDB" w:rsidRPr="0048229C">
        <w:rPr>
          <w:rFonts w:cs="Times New Roman"/>
          <w:lang w:val="en-US"/>
        </w:rPr>
        <w:t>medium effect size (</w:t>
      </w:r>
      <w:r w:rsidR="009B43B6" w:rsidRPr="0048229C">
        <w:t>η</w:t>
      </w:r>
      <w:r w:rsidR="009B43B6" w:rsidRPr="005D7252">
        <w:rPr>
          <w:vertAlign w:val="superscript"/>
        </w:rPr>
        <w:t>2</w:t>
      </w:r>
      <w:r w:rsidR="009B43B6" w:rsidRPr="0048229C">
        <w:t>=</w:t>
      </w:r>
      <w:r w:rsidR="00B82FDB" w:rsidRPr="0048229C">
        <w:t>0.114</w:t>
      </w:r>
      <w:r w:rsidR="00085C31">
        <w:t>)</w:t>
      </w:r>
      <w:r w:rsidR="00024CE7">
        <w:t>;</w:t>
      </w:r>
      <w:r w:rsidR="00895FA6">
        <w:t xml:space="preserve"> </w:t>
      </w:r>
      <w:r w:rsidR="00024CE7">
        <w:t>t</w:t>
      </w:r>
      <w:r w:rsidR="00085C31">
        <w:t>he Appearance subscale showed a small effect size (</w:t>
      </w:r>
      <w:r w:rsidR="00065B34" w:rsidRPr="0048229C">
        <w:t>η</w:t>
      </w:r>
      <w:r w:rsidR="00065B34" w:rsidRPr="004B2900">
        <w:rPr>
          <w:vertAlign w:val="superscript"/>
        </w:rPr>
        <w:t>2</w:t>
      </w:r>
      <w:r w:rsidR="009B43B6" w:rsidRPr="0048229C">
        <w:t>=</w:t>
      </w:r>
      <w:r w:rsidR="00B82FDB" w:rsidRPr="0048229C">
        <w:rPr>
          <w:bCs/>
        </w:rPr>
        <w:t>0.069). Effect size</w:t>
      </w:r>
      <w:r w:rsidR="00051EE8" w:rsidRPr="0048229C">
        <w:rPr>
          <w:bCs/>
        </w:rPr>
        <w:t>s</w:t>
      </w:r>
      <w:r w:rsidR="00B82FDB" w:rsidRPr="0048229C">
        <w:rPr>
          <w:bCs/>
        </w:rPr>
        <w:t xml:space="preserve"> for the </w:t>
      </w:r>
      <w:r w:rsidR="00C948D2">
        <w:rPr>
          <w:bCs/>
        </w:rPr>
        <w:t>WHOQOL</w:t>
      </w:r>
      <w:r w:rsidR="00B82FDB" w:rsidRPr="0048229C">
        <w:rPr>
          <w:bCs/>
        </w:rPr>
        <w:t xml:space="preserve"> subscales </w:t>
      </w:r>
      <w:r w:rsidR="00051EE8" w:rsidRPr="0048229C">
        <w:rPr>
          <w:bCs/>
        </w:rPr>
        <w:t>were</w:t>
      </w:r>
      <w:r w:rsidR="00B82FDB" w:rsidRPr="0048229C">
        <w:rPr>
          <w:bCs/>
        </w:rPr>
        <w:t xml:space="preserve"> </w:t>
      </w:r>
      <w:r w:rsidR="00085C31">
        <w:rPr>
          <w:bCs/>
        </w:rPr>
        <w:t xml:space="preserve">all </w:t>
      </w:r>
      <w:r w:rsidR="00B82FDB" w:rsidRPr="0048229C">
        <w:rPr>
          <w:bCs/>
        </w:rPr>
        <w:t xml:space="preserve">small </w:t>
      </w:r>
      <w:r w:rsidR="009B43B6" w:rsidRPr="0048229C">
        <w:rPr>
          <w:bCs/>
        </w:rPr>
        <w:t>(psych</w:t>
      </w:r>
      <w:r w:rsidR="00895FA6">
        <w:rPr>
          <w:bCs/>
        </w:rPr>
        <w:t>ological,</w:t>
      </w:r>
      <w:r w:rsidR="009B43B6" w:rsidRPr="0048229C">
        <w:rPr>
          <w:bCs/>
        </w:rPr>
        <w:t xml:space="preserve"> </w:t>
      </w:r>
      <w:r w:rsidR="00065B34" w:rsidRPr="0048229C">
        <w:t>η</w:t>
      </w:r>
      <w:r w:rsidR="00065B34" w:rsidRPr="004B2900">
        <w:rPr>
          <w:vertAlign w:val="superscript"/>
        </w:rPr>
        <w:t>2</w:t>
      </w:r>
      <w:r w:rsidR="009B43B6" w:rsidRPr="0048229C">
        <w:t>=0.064</w:t>
      </w:r>
      <w:r w:rsidR="00895FA6">
        <w:t>;</w:t>
      </w:r>
      <w:r w:rsidR="009B43B6" w:rsidRPr="0048229C">
        <w:t xml:space="preserve"> phys</w:t>
      </w:r>
      <w:r w:rsidR="00895FA6">
        <w:t>ical,</w:t>
      </w:r>
      <w:r w:rsidR="009B43B6" w:rsidRPr="0048229C">
        <w:t xml:space="preserve"> </w:t>
      </w:r>
      <w:r w:rsidR="00065B34" w:rsidRPr="0048229C">
        <w:t>η</w:t>
      </w:r>
      <w:r w:rsidR="00065B34" w:rsidRPr="004B2900">
        <w:rPr>
          <w:vertAlign w:val="superscript"/>
        </w:rPr>
        <w:t>2</w:t>
      </w:r>
      <w:r w:rsidR="009B43B6" w:rsidRPr="0048229C">
        <w:t>=0.037</w:t>
      </w:r>
      <w:r w:rsidR="00895FA6">
        <w:t>;</w:t>
      </w:r>
      <w:r w:rsidR="009B43B6" w:rsidRPr="0048229C">
        <w:t xml:space="preserve"> </w:t>
      </w:r>
      <w:r w:rsidR="00895FA6">
        <w:t>s</w:t>
      </w:r>
      <w:r w:rsidR="009B43B6" w:rsidRPr="0048229C">
        <w:t>ocial</w:t>
      </w:r>
      <w:r w:rsidR="00895FA6">
        <w:t>,</w:t>
      </w:r>
      <w:r w:rsidR="009B43B6" w:rsidRPr="0048229C">
        <w:t xml:space="preserve"> </w:t>
      </w:r>
      <w:r w:rsidR="00065B34" w:rsidRPr="0048229C">
        <w:t>η</w:t>
      </w:r>
      <w:r w:rsidR="00065B34" w:rsidRPr="004B2900">
        <w:rPr>
          <w:vertAlign w:val="superscript"/>
        </w:rPr>
        <w:t>2</w:t>
      </w:r>
      <w:r w:rsidR="009B43B6" w:rsidRPr="0048229C">
        <w:t>=0.041</w:t>
      </w:r>
      <w:r w:rsidR="00895FA6">
        <w:t>;</w:t>
      </w:r>
      <w:r w:rsidR="009B43B6" w:rsidRPr="0048229C">
        <w:t xml:space="preserve"> env</w:t>
      </w:r>
      <w:r w:rsidR="00895FA6">
        <w:t>ironment,</w:t>
      </w:r>
      <w:r w:rsidR="009B43B6" w:rsidRPr="0048229C">
        <w:t xml:space="preserve"> </w:t>
      </w:r>
      <w:r w:rsidR="00065B34" w:rsidRPr="0048229C">
        <w:t>η</w:t>
      </w:r>
      <w:r w:rsidR="00065B34" w:rsidRPr="004B2900">
        <w:rPr>
          <w:vertAlign w:val="superscript"/>
        </w:rPr>
        <w:t>2</w:t>
      </w:r>
      <w:r w:rsidR="009B43B6" w:rsidRPr="0048229C">
        <w:t>=0.043)</w:t>
      </w:r>
      <w:r w:rsidR="005844AE">
        <w:t xml:space="preserve"> </w:t>
      </w:r>
      <w:r w:rsidR="00A207EB">
        <w:t xml:space="preserve">(Table </w:t>
      </w:r>
      <w:r w:rsidR="00330187">
        <w:t>8</w:t>
      </w:r>
      <w:r w:rsidR="00A207EB">
        <w:t>)</w:t>
      </w:r>
      <w:r w:rsidR="00FE7BA6" w:rsidRPr="0048229C">
        <w:t>.</w:t>
      </w:r>
      <w:r w:rsidR="00C20B59">
        <w:t xml:space="preserve"> </w:t>
      </w:r>
    </w:p>
    <w:p w14:paraId="02D5DC41" w14:textId="77777777" w:rsidR="0072571C" w:rsidRDefault="0072571C" w:rsidP="0048229C">
      <w:pPr>
        <w:widowControl w:val="0"/>
        <w:autoSpaceDE w:val="0"/>
        <w:autoSpaceDN w:val="0"/>
        <w:adjustRightInd w:val="0"/>
        <w:spacing w:line="360" w:lineRule="auto"/>
      </w:pPr>
    </w:p>
    <w:p w14:paraId="4AA6D984" w14:textId="7DF388D9" w:rsidR="0072571C" w:rsidRPr="0048229C" w:rsidRDefault="0072571C" w:rsidP="0048229C">
      <w:pPr>
        <w:widowControl w:val="0"/>
        <w:autoSpaceDE w:val="0"/>
        <w:autoSpaceDN w:val="0"/>
        <w:adjustRightInd w:val="0"/>
        <w:spacing w:line="360" w:lineRule="auto"/>
      </w:pPr>
      <w:r>
        <w:t>[Table 8 near here]</w:t>
      </w:r>
    </w:p>
    <w:p w14:paraId="0144341F" w14:textId="77777777" w:rsidR="00FE7BA6" w:rsidRPr="0048229C" w:rsidRDefault="00FE7BA6" w:rsidP="0048229C">
      <w:pPr>
        <w:widowControl w:val="0"/>
        <w:autoSpaceDE w:val="0"/>
        <w:autoSpaceDN w:val="0"/>
        <w:adjustRightInd w:val="0"/>
        <w:spacing w:line="360" w:lineRule="auto"/>
      </w:pPr>
    </w:p>
    <w:p w14:paraId="67862BE7" w14:textId="2BD3C05E" w:rsidR="008F5675" w:rsidRDefault="003F179A" w:rsidP="003F179A">
      <w:pPr>
        <w:spacing w:line="360" w:lineRule="auto"/>
      </w:pPr>
      <w:r>
        <w:rPr>
          <w:rFonts w:cs="Arial"/>
        </w:rPr>
        <w:t>W</w:t>
      </w:r>
      <w:r w:rsidR="007A31D3">
        <w:rPr>
          <w:rFonts w:cs="Arial"/>
        </w:rPr>
        <w:t>e also hypothesized that</w:t>
      </w:r>
      <w:r w:rsidR="007A31D3" w:rsidRPr="00837436">
        <w:rPr>
          <w:rFonts w:cs="Arial"/>
        </w:rPr>
        <w:t xml:space="preserve"> changes in clinical characteristics relating to visual functioning and appearance, as indicated by </w:t>
      </w:r>
      <w:r>
        <w:rPr>
          <w:rFonts w:cs="Arial"/>
        </w:rPr>
        <w:t xml:space="preserve">the </w:t>
      </w:r>
      <w:r w:rsidR="007A31D3" w:rsidRPr="00837436">
        <w:rPr>
          <w:rFonts w:cs="Arial"/>
        </w:rPr>
        <w:t xml:space="preserve">transitional variables, should be more closely associated with changes in scores on the relevant subscales of the </w:t>
      </w:r>
      <w:r w:rsidR="00C948D2">
        <w:rPr>
          <w:rFonts w:cs="Arial"/>
        </w:rPr>
        <w:t>GO-QOL</w:t>
      </w:r>
      <w:r w:rsidR="007A31D3" w:rsidRPr="00837436">
        <w:rPr>
          <w:rFonts w:cs="Arial"/>
        </w:rPr>
        <w:t xml:space="preserve"> than with the </w:t>
      </w:r>
      <w:r w:rsidR="00C948D2">
        <w:rPr>
          <w:rFonts w:cs="Arial"/>
        </w:rPr>
        <w:t>WHOQOL</w:t>
      </w:r>
      <w:r w:rsidR="007A31D3" w:rsidRPr="00837436">
        <w:rPr>
          <w:rFonts w:cs="Arial"/>
        </w:rPr>
        <w:t>-</w:t>
      </w:r>
      <w:proofErr w:type="spellStart"/>
      <w:r w:rsidR="007A31D3" w:rsidRPr="00837436">
        <w:rPr>
          <w:rFonts w:cs="Arial"/>
        </w:rPr>
        <w:t>Bref</w:t>
      </w:r>
      <w:proofErr w:type="spellEnd"/>
      <w:r w:rsidR="007A31D3" w:rsidRPr="00837436">
        <w:rPr>
          <w:rFonts w:cs="Arial"/>
        </w:rPr>
        <w:t>.</w:t>
      </w:r>
      <w:r>
        <w:rPr>
          <w:rFonts w:cs="Arial"/>
        </w:rPr>
        <w:t xml:space="preserve"> </w:t>
      </w:r>
      <w:r w:rsidR="00EF7736" w:rsidRPr="003F179A">
        <w:t>As expected s</w:t>
      </w:r>
      <w:r>
        <w:t>ince</w:t>
      </w:r>
      <w:r w:rsidR="00EF7736" w:rsidRPr="003F179A">
        <w:t xml:space="preserve"> all study participants were taking steroid treatment, c</w:t>
      </w:r>
      <w:r w:rsidR="008F5675" w:rsidRPr="003F179A">
        <w:t xml:space="preserve">orrelation calculations showed </w:t>
      </w:r>
      <w:r w:rsidR="00EF7736" w:rsidRPr="003F179A">
        <w:t>positive</w:t>
      </w:r>
      <w:r w:rsidR="008F5675" w:rsidRPr="003F179A">
        <w:t xml:space="preserve"> correlation</w:t>
      </w:r>
      <w:r w:rsidR="00EF7736" w:rsidRPr="003F179A">
        <w:t>s</w:t>
      </w:r>
      <w:r w:rsidR="008F5675" w:rsidRPr="003F179A">
        <w:t xml:space="preserve"> between </w:t>
      </w:r>
      <w:r w:rsidR="00EF7736" w:rsidRPr="003F179A">
        <w:t xml:space="preserve">both the </w:t>
      </w:r>
      <w:r w:rsidR="008F5675" w:rsidRPr="003F179A">
        <w:lastRenderedPageBreak/>
        <w:t xml:space="preserve">transitional </w:t>
      </w:r>
      <w:r w:rsidR="00EF7736" w:rsidRPr="003F179A">
        <w:t xml:space="preserve">variables </w:t>
      </w:r>
      <w:r>
        <w:t>(</w:t>
      </w:r>
      <w:r w:rsidR="00EF7736" w:rsidRPr="003F179A">
        <w:t>T1 and T2</w:t>
      </w:r>
      <w:r>
        <w:t>)</w:t>
      </w:r>
      <w:r w:rsidR="00EF7736" w:rsidRPr="003F179A">
        <w:t xml:space="preserve"> </w:t>
      </w:r>
      <w:r w:rsidR="008F5675" w:rsidRPr="003F179A">
        <w:t xml:space="preserve">and the </w:t>
      </w:r>
      <w:r w:rsidR="00C948D2">
        <w:t>GO-QOL</w:t>
      </w:r>
      <w:r w:rsidR="00EF7736" w:rsidRPr="003F179A">
        <w:t xml:space="preserve"> a</w:t>
      </w:r>
      <w:r w:rsidR="008F5675" w:rsidRPr="003F179A">
        <w:t>ppearance sub</w:t>
      </w:r>
      <w:r w:rsidR="008A003E">
        <w:t xml:space="preserve">scale at the 12-week time point, while the Visual Function subscale only correlated with T1 (Table </w:t>
      </w:r>
      <w:r w:rsidR="00330187">
        <w:t>9</w:t>
      </w:r>
      <w:r w:rsidR="008A003E">
        <w:t>)</w:t>
      </w:r>
      <w:r w:rsidR="008F5675" w:rsidRPr="003F179A">
        <w:t xml:space="preserve">. </w:t>
      </w:r>
      <w:r w:rsidR="008A003E">
        <w:t xml:space="preserve">Similarly, three of the </w:t>
      </w:r>
      <w:r w:rsidR="00C948D2">
        <w:t>WHOQOL</w:t>
      </w:r>
      <w:r w:rsidR="008A003E">
        <w:t>-</w:t>
      </w:r>
      <w:proofErr w:type="spellStart"/>
      <w:r w:rsidR="008A003E">
        <w:t>Bref</w:t>
      </w:r>
      <w:proofErr w:type="spellEnd"/>
      <w:r w:rsidR="008A003E">
        <w:t xml:space="preserve"> subscales significantly correlated with T1</w:t>
      </w:r>
      <w:r w:rsidR="00A83058">
        <w:t xml:space="preserve">, while all four subscales significantly correlated with </w:t>
      </w:r>
      <w:r w:rsidR="008A003E">
        <w:t xml:space="preserve">T2. </w:t>
      </w:r>
      <w:r w:rsidR="008F5675" w:rsidRPr="003F179A">
        <w:t xml:space="preserve">At 48-weeks </w:t>
      </w:r>
      <w:r w:rsidR="00EF7736" w:rsidRPr="003F179A">
        <w:t xml:space="preserve">significant correlations were </w:t>
      </w:r>
      <w:r w:rsidR="008F5675" w:rsidRPr="003F179A">
        <w:t xml:space="preserve">observed </w:t>
      </w:r>
      <w:r w:rsidR="00020F48">
        <w:t xml:space="preserve">only </w:t>
      </w:r>
      <w:r w:rsidR="008F5675" w:rsidRPr="003F179A">
        <w:t>for the appearance subscale</w:t>
      </w:r>
      <w:r w:rsidR="008A003E">
        <w:t xml:space="preserve"> </w:t>
      </w:r>
      <w:r w:rsidR="008946E1">
        <w:t xml:space="preserve">of the </w:t>
      </w:r>
      <w:r w:rsidR="00C948D2">
        <w:t>GO-QOL</w:t>
      </w:r>
      <w:r w:rsidR="008946E1">
        <w:t xml:space="preserve"> </w:t>
      </w:r>
      <w:r w:rsidR="008A003E">
        <w:t>with the transitional variables</w:t>
      </w:r>
      <w:r w:rsidR="00020F48">
        <w:t>.</w:t>
      </w:r>
    </w:p>
    <w:p w14:paraId="23C1E17C" w14:textId="77777777" w:rsidR="00020F48" w:rsidRDefault="00020F48" w:rsidP="003F179A">
      <w:pPr>
        <w:spacing w:line="360" w:lineRule="auto"/>
      </w:pPr>
    </w:p>
    <w:p w14:paraId="5FF427FD" w14:textId="70047F43" w:rsidR="00020F48" w:rsidRDefault="00020F48" w:rsidP="003F179A">
      <w:pPr>
        <w:spacing w:line="360" w:lineRule="auto"/>
      </w:pPr>
      <w:r>
        <w:t xml:space="preserve">We included two Visual Analogue Scales to explore the impact of treatment for TED on psychological adjustment and daily functioning more broadly. At 12 weeks significant correlations were observed between both VAS scales and the appearance subscale of the </w:t>
      </w:r>
      <w:r w:rsidR="00C948D2">
        <w:t>GO-QOL</w:t>
      </w:r>
      <w:r>
        <w:t xml:space="preserve">. Three of the four domains of the </w:t>
      </w:r>
      <w:r w:rsidR="00C948D2">
        <w:t>WHOQOL</w:t>
      </w:r>
      <w:r>
        <w:t>-</w:t>
      </w:r>
      <w:proofErr w:type="spellStart"/>
      <w:r>
        <w:t>Bref</w:t>
      </w:r>
      <w:proofErr w:type="spellEnd"/>
      <w:r>
        <w:t xml:space="preserve"> significantly correlated with the VAS for participant perceived noticeability of TED (psychological, physical and environment), while a different trio of domains significantly correlated with the VAS for participant ratings of severity of TED (physical, social and environment). At 48 weeks, the only significant correlations observed were between both VAS scales and the appearance</w:t>
      </w:r>
      <w:r w:rsidR="00A83058">
        <w:t xml:space="preserve"> subscale of the </w:t>
      </w:r>
      <w:r w:rsidR="00C948D2">
        <w:t>GO-QOL</w:t>
      </w:r>
      <w:r>
        <w:t>.</w:t>
      </w:r>
    </w:p>
    <w:p w14:paraId="6D3DD426" w14:textId="77777777" w:rsidR="0072571C" w:rsidRPr="003F179A" w:rsidRDefault="0072571C" w:rsidP="003F179A">
      <w:pPr>
        <w:spacing w:line="360" w:lineRule="auto"/>
      </w:pPr>
    </w:p>
    <w:p w14:paraId="214F2751" w14:textId="7EED3602" w:rsidR="008F5675" w:rsidRPr="0072571C" w:rsidRDefault="0072571C" w:rsidP="008F5675">
      <w:pPr>
        <w:spacing w:line="360" w:lineRule="auto"/>
        <w:rPr>
          <w:bCs/>
        </w:rPr>
      </w:pPr>
      <w:r w:rsidRPr="0072571C">
        <w:rPr>
          <w:bCs/>
        </w:rPr>
        <w:t>[Table 9 near here]</w:t>
      </w:r>
    </w:p>
    <w:p w14:paraId="7F4383AA" w14:textId="77777777" w:rsidR="008F5675" w:rsidRDefault="008F5675" w:rsidP="008F5675">
      <w:pPr>
        <w:spacing w:line="360" w:lineRule="auto"/>
        <w:rPr>
          <w:bCs/>
        </w:rPr>
      </w:pPr>
    </w:p>
    <w:p w14:paraId="5CAC5D51" w14:textId="749DD32C" w:rsidR="000C67F5" w:rsidRDefault="000C67F5" w:rsidP="000C67F5">
      <w:pPr>
        <w:spacing w:line="360" w:lineRule="auto"/>
        <w:rPr>
          <w:b/>
          <w:i/>
        </w:rPr>
      </w:pPr>
      <w:r w:rsidRPr="008F5675">
        <w:rPr>
          <w:b/>
          <w:i/>
        </w:rPr>
        <w:t>Stage 3</w:t>
      </w:r>
      <w:r>
        <w:rPr>
          <w:b/>
          <w:i/>
        </w:rPr>
        <w:t xml:space="preserve"> Exploring </w:t>
      </w:r>
      <w:r w:rsidR="00330187">
        <w:rPr>
          <w:b/>
          <w:i/>
        </w:rPr>
        <w:t>discriminant validity and the relationships</w:t>
      </w:r>
      <w:r>
        <w:rPr>
          <w:b/>
          <w:i/>
        </w:rPr>
        <w:t xml:space="preserve"> between subjective and objective measures of disease severity</w:t>
      </w:r>
    </w:p>
    <w:p w14:paraId="132688CE" w14:textId="03C54592" w:rsidR="000C67F5" w:rsidRPr="00837436" w:rsidRDefault="000C67F5" w:rsidP="000C67F5">
      <w:pPr>
        <w:widowControl w:val="0"/>
        <w:autoSpaceDE w:val="0"/>
        <w:autoSpaceDN w:val="0"/>
        <w:adjustRightInd w:val="0"/>
        <w:spacing w:line="360" w:lineRule="auto"/>
      </w:pPr>
      <w:r>
        <w:rPr>
          <w:rFonts w:cs="Times New Roman"/>
          <w:lang w:val="en-US"/>
        </w:rPr>
        <w:t xml:space="preserve">The third and final stage </w:t>
      </w:r>
      <w:r w:rsidRPr="00837436">
        <w:rPr>
          <w:rFonts w:cs="Times New Roman"/>
          <w:lang w:val="en-US"/>
        </w:rPr>
        <w:t xml:space="preserve">was to </w:t>
      </w:r>
      <w:r w:rsidRPr="00837436">
        <w:t xml:space="preserve">explore </w:t>
      </w:r>
      <w:r w:rsidR="00330187">
        <w:t xml:space="preserve">the discriminant validity of the </w:t>
      </w:r>
      <w:r w:rsidR="00C948D2">
        <w:t>GO-QOL</w:t>
      </w:r>
      <w:r w:rsidR="00330187">
        <w:t xml:space="preserve"> as well as the relationships </w:t>
      </w:r>
      <w:r w:rsidRPr="00837436">
        <w:t xml:space="preserve">between </w:t>
      </w:r>
      <w:r w:rsidR="00330187">
        <w:t xml:space="preserve">the </w:t>
      </w:r>
      <w:r w:rsidRPr="00837436">
        <w:t>subjective and objective clinical measures for TED</w:t>
      </w:r>
      <w:r w:rsidRPr="00837436">
        <w:rPr>
          <w:rFonts w:cs="Times New Roman"/>
          <w:lang w:val="en-US"/>
        </w:rPr>
        <w:t xml:space="preserve"> </w:t>
      </w:r>
      <w:r w:rsidR="00330187">
        <w:rPr>
          <w:rFonts w:cs="Times New Roman"/>
          <w:lang w:val="en-US"/>
        </w:rPr>
        <w:t>used in this study</w:t>
      </w:r>
      <w:r w:rsidR="00A83058">
        <w:rPr>
          <w:rFonts w:cs="Times New Roman"/>
          <w:lang w:val="en-US"/>
        </w:rPr>
        <w:t>.</w:t>
      </w:r>
    </w:p>
    <w:p w14:paraId="1F60B92B" w14:textId="77777777" w:rsidR="000C67F5" w:rsidRPr="0048229C" w:rsidRDefault="000C67F5" w:rsidP="008F5675">
      <w:pPr>
        <w:spacing w:line="360" w:lineRule="auto"/>
        <w:rPr>
          <w:bCs/>
        </w:rPr>
      </w:pPr>
    </w:p>
    <w:p w14:paraId="1CD2BBCF" w14:textId="234F106E" w:rsidR="00EF7736" w:rsidRDefault="00EF7736" w:rsidP="008F5675">
      <w:pPr>
        <w:spacing w:line="360" w:lineRule="auto"/>
        <w:rPr>
          <w:rFonts w:cs="Arial"/>
        </w:rPr>
      </w:pPr>
      <w:r>
        <w:rPr>
          <w:rFonts w:cs="Arial"/>
        </w:rPr>
        <w:t xml:space="preserve">Clinician ratings on </w:t>
      </w:r>
      <w:r w:rsidRPr="001E3273">
        <w:rPr>
          <w:rFonts w:cs="Times New Roman"/>
          <w:lang w:val="en-US"/>
        </w:rPr>
        <w:t>BCCOM at the 48 week time point were used to split participants into two groups</w:t>
      </w:r>
      <w:r w:rsidR="004E6861">
        <w:rPr>
          <w:rFonts w:cs="Times New Roman"/>
          <w:lang w:val="en-US"/>
        </w:rPr>
        <w:t>:</w:t>
      </w:r>
      <w:r w:rsidRPr="001E3273">
        <w:rPr>
          <w:rFonts w:cs="Times New Roman"/>
          <w:lang w:val="en-US"/>
        </w:rPr>
        <w:t xml:space="preserve"> condition has deteriorated (-1</w:t>
      </w:r>
      <w:r w:rsidR="007874D0">
        <w:rPr>
          <w:rFonts w:cs="Times New Roman"/>
          <w:lang w:val="en-US"/>
        </w:rPr>
        <w:t>, N=58</w:t>
      </w:r>
      <w:r w:rsidRPr="001E3273">
        <w:rPr>
          <w:rFonts w:cs="Times New Roman"/>
          <w:lang w:val="en-US"/>
        </w:rPr>
        <w:t>)</w:t>
      </w:r>
      <w:r w:rsidR="004E6861">
        <w:rPr>
          <w:rFonts w:cs="Times New Roman"/>
          <w:lang w:val="en-US"/>
        </w:rPr>
        <w:t>,</w:t>
      </w:r>
      <w:r w:rsidRPr="001E3273">
        <w:rPr>
          <w:rFonts w:cs="Times New Roman"/>
          <w:lang w:val="en-US"/>
        </w:rPr>
        <w:t xml:space="preserve"> or improved (</w:t>
      </w:r>
      <w:r w:rsidR="000C67F5">
        <w:rPr>
          <w:rFonts w:cs="Times New Roman"/>
          <w:lang w:val="en-US"/>
        </w:rPr>
        <w:t>+</w:t>
      </w:r>
      <w:r w:rsidRPr="001E3273">
        <w:rPr>
          <w:rFonts w:cs="Times New Roman"/>
          <w:lang w:val="en-US"/>
        </w:rPr>
        <w:t>1</w:t>
      </w:r>
      <w:r>
        <w:rPr>
          <w:rFonts w:cs="Times New Roman"/>
          <w:lang w:val="en-US"/>
        </w:rPr>
        <w:t>, N=36</w:t>
      </w:r>
      <w:r w:rsidR="000C67F5">
        <w:rPr>
          <w:rFonts w:cs="Times New Roman"/>
          <w:lang w:val="en-US"/>
        </w:rPr>
        <w:t>; Table 1</w:t>
      </w:r>
      <w:r w:rsidR="00330187">
        <w:rPr>
          <w:rFonts w:cs="Times New Roman"/>
          <w:lang w:val="en-US"/>
        </w:rPr>
        <w:t>0</w:t>
      </w:r>
      <w:r>
        <w:rPr>
          <w:rFonts w:cs="Times New Roman"/>
          <w:lang w:val="en-US"/>
        </w:rPr>
        <w:t>)</w:t>
      </w:r>
      <w:r w:rsidRPr="001E3273">
        <w:rPr>
          <w:rFonts w:cs="Times New Roman"/>
          <w:lang w:val="en-US"/>
        </w:rPr>
        <w:t xml:space="preserve">. </w:t>
      </w:r>
      <w:r w:rsidR="000C67F5">
        <w:rPr>
          <w:rFonts w:cs="Times New Roman"/>
          <w:lang w:val="en-US"/>
        </w:rPr>
        <w:t xml:space="preserve">Analyses were then undertaken to determine </w:t>
      </w:r>
      <w:r w:rsidRPr="001E3273">
        <w:rPr>
          <w:rFonts w:cs="Times New Roman"/>
          <w:lang w:val="en-US"/>
        </w:rPr>
        <w:t>a</w:t>
      </w:r>
      <w:r w:rsidR="000C67F5">
        <w:rPr>
          <w:rFonts w:cs="Times New Roman"/>
          <w:lang w:val="en-US"/>
        </w:rPr>
        <w:t>ny</w:t>
      </w:r>
      <w:r w:rsidRPr="001E3273">
        <w:rPr>
          <w:rFonts w:cs="Times New Roman"/>
          <w:lang w:val="en-US"/>
        </w:rPr>
        <w:t xml:space="preserve"> difference</w:t>
      </w:r>
      <w:r w:rsidR="000C67F5">
        <w:rPr>
          <w:rFonts w:cs="Times New Roman"/>
          <w:lang w:val="en-US"/>
        </w:rPr>
        <w:t>s</w:t>
      </w:r>
      <w:r w:rsidRPr="001E3273">
        <w:rPr>
          <w:rFonts w:cs="Times New Roman"/>
          <w:lang w:val="en-US"/>
        </w:rPr>
        <w:t xml:space="preserve"> in mean </w:t>
      </w:r>
      <w:r w:rsidR="00C948D2">
        <w:rPr>
          <w:rFonts w:cs="Times New Roman"/>
          <w:lang w:val="en-US"/>
        </w:rPr>
        <w:t>GO-QOL</w:t>
      </w:r>
      <w:r w:rsidRPr="001E3273">
        <w:rPr>
          <w:rFonts w:cs="Times New Roman"/>
          <w:lang w:val="en-US"/>
        </w:rPr>
        <w:t xml:space="preserve"> scores between these groups.</w:t>
      </w:r>
      <w:r>
        <w:rPr>
          <w:rFonts w:cs="Times New Roman"/>
          <w:lang w:val="en-US"/>
        </w:rPr>
        <w:t xml:space="preserve"> It might be expected that there would be </w:t>
      </w:r>
      <w:r w:rsidRPr="00A65A92">
        <w:rPr>
          <w:rFonts w:cs="Arial"/>
        </w:rPr>
        <w:t xml:space="preserve">differences between the mean changes (pre/post-treatment) in </w:t>
      </w:r>
      <w:r w:rsidR="00C948D2">
        <w:rPr>
          <w:rFonts w:cs="Arial"/>
        </w:rPr>
        <w:t>GO-QOL</w:t>
      </w:r>
      <w:r w:rsidRPr="00A65A92">
        <w:rPr>
          <w:rFonts w:cs="Arial"/>
        </w:rPr>
        <w:t xml:space="preserve"> scores depending on whether </w:t>
      </w:r>
      <w:r>
        <w:rPr>
          <w:rFonts w:cs="Arial"/>
        </w:rPr>
        <w:t>clinicians</w:t>
      </w:r>
      <w:r w:rsidRPr="00A65A92">
        <w:rPr>
          <w:rFonts w:cs="Arial"/>
        </w:rPr>
        <w:t xml:space="preserve"> reported visual functioning/appearance </w:t>
      </w:r>
      <w:r>
        <w:rPr>
          <w:rFonts w:cs="Arial"/>
        </w:rPr>
        <w:t xml:space="preserve">having either deteriorated or improved; </w:t>
      </w:r>
      <w:r w:rsidRPr="00A65A92">
        <w:rPr>
          <w:rFonts w:cs="Arial"/>
        </w:rPr>
        <w:t xml:space="preserve">i.e. we would expect larger increases in scores </w:t>
      </w:r>
      <w:r>
        <w:rPr>
          <w:rFonts w:cs="Arial"/>
        </w:rPr>
        <w:t xml:space="preserve">on the </w:t>
      </w:r>
      <w:r w:rsidR="00C948D2">
        <w:rPr>
          <w:rFonts w:cs="Arial"/>
        </w:rPr>
        <w:t>GO-QOL</w:t>
      </w:r>
      <w:r>
        <w:rPr>
          <w:rFonts w:cs="Arial"/>
        </w:rPr>
        <w:t xml:space="preserve"> </w:t>
      </w:r>
      <w:r w:rsidRPr="00A65A92">
        <w:rPr>
          <w:rFonts w:cs="Arial"/>
        </w:rPr>
        <w:t xml:space="preserve">for </w:t>
      </w:r>
      <w:r w:rsidR="004E6861">
        <w:rPr>
          <w:rFonts w:cs="Arial"/>
        </w:rPr>
        <w:t xml:space="preserve">those </w:t>
      </w:r>
      <w:r>
        <w:rPr>
          <w:rFonts w:cs="Arial"/>
        </w:rPr>
        <w:lastRenderedPageBreak/>
        <w:t>participants</w:t>
      </w:r>
      <w:r w:rsidRPr="00A65A92">
        <w:rPr>
          <w:rFonts w:cs="Arial"/>
        </w:rPr>
        <w:t xml:space="preserve"> wh</w:t>
      </w:r>
      <w:r w:rsidR="004E6861">
        <w:rPr>
          <w:rFonts w:cs="Arial"/>
        </w:rPr>
        <w:t>ere clinician’s</w:t>
      </w:r>
      <w:r w:rsidRPr="00A65A92">
        <w:rPr>
          <w:rFonts w:cs="Arial"/>
        </w:rPr>
        <w:t xml:space="preserve"> reported a</w:t>
      </w:r>
      <w:r>
        <w:rPr>
          <w:rFonts w:cs="Arial"/>
        </w:rPr>
        <w:t>n</w:t>
      </w:r>
      <w:r w:rsidRPr="00A65A92">
        <w:rPr>
          <w:rFonts w:cs="Arial"/>
        </w:rPr>
        <w:t xml:space="preserve"> improvement compared to </w:t>
      </w:r>
      <w:r>
        <w:rPr>
          <w:rFonts w:cs="Arial"/>
        </w:rPr>
        <w:t>those</w:t>
      </w:r>
      <w:r w:rsidR="004E6861">
        <w:rPr>
          <w:rFonts w:cs="Arial"/>
        </w:rPr>
        <w:t xml:space="preserve"> for</w:t>
      </w:r>
      <w:r>
        <w:rPr>
          <w:rFonts w:cs="Arial"/>
        </w:rPr>
        <w:t xml:space="preserve"> who</w:t>
      </w:r>
      <w:r w:rsidR="004E6861">
        <w:rPr>
          <w:rFonts w:cs="Arial"/>
        </w:rPr>
        <w:t>m they</w:t>
      </w:r>
      <w:r>
        <w:rPr>
          <w:rFonts w:cs="Arial"/>
        </w:rPr>
        <w:t xml:space="preserve"> did not.</w:t>
      </w:r>
    </w:p>
    <w:p w14:paraId="1D5195F5" w14:textId="77777777" w:rsidR="000C67F5" w:rsidRDefault="000C67F5" w:rsidP="008F5675">
      <w:pPr>
        <w:spacing w:line="360" w:lineRule="auto"/>
        <w:rPr>
          <w:rFonts w:cs="Arial"/>
        </w:rPr>
      </w:pPr>
    </w:p>
    <w:p w14:paraId="12A0278D" w14:textId="251A0159" w:rsidR="0072571C" w:rsidRDefault="0072571C" w:rsidP="008F5675">
      <w:pPr>
        <w:spacing w:line="360" w:lineRule="auto"/>
        <w:rPr>
          <w:rFonts w:cs="Arial"/>
        </w:rPr>
      </w:pPr>
      <w:r>
        <w:rPr>
          <w:rFonts w:cs="Arial"/>
        </w:rPr>
        <w:t>[Table 10 near here]</w:t>
      </w:r>
    </w:p>
    <w:p w14:paraId="3B3266C2" w14:textId="77777777" w:rsidR="00EF7736" w:rsidRDefault="00EF7736" w:rsidP="008F5675">
      <w:pPr>
        <w:spacing w:line="360" w:lineRule="auto"/>
        <w:rPr>
          <w:bCs/>
        </w:rPr>
      </w:pPr>
    </w:p>
    <w:p w14:paraId="3B5EF623" w14:textId="54F75655" w:rsidR="005C20E5" w:rsidRDefault="00565E3D" w:rsidP="00565E3D">
      <w:pPr>
        <w:spacing w:line="360" w:lineRule="auto"/>
        <w:rPr>
          <w:rFonts w:cs="Arial"/>
          <w:lang w:eastAsia="en-GB"/>
        </w:rPr>
      </w:pPr>
      <w:r>
        <w:rPr>
          <w:bCs/>
        </w:rPr>
        <w:t xml:space="preserve">Independent samples t-tests were undertaken to determine differences between the groups on both the </w:t>
      </w:r>
      <w:r w:rsidR="00C948D2">
        <w:rPr>
          <w:bCs/>
        </w:rPr>
        <w:t>GO-QOL</w:t>
      </w:r>
      <w:r>
        <w:rPr>
          <w:bCs/>
        </w:rPr>
        <w:t xml:space="preserve"> and </w:t>
      </w:r>
      <w:r w:rsidR="00C948D2">
        <w:rPr>
          <w:bCs/>
        </w:rPr>
        <w:t>WHOQOL</w:t>
      </w:r>
      <w:r>
        <w:rPr>
          <w:bCs/>
        </w:rPr>
        <w:t xml:space="preserve"> measures while effect sizes were calculated using Cohen’s </w:t>
      </w:r>
      <w:r w:rsidRPr="005C20E5">
        <w:rPr>
          <w:bCs/>
          <w:i/>
        </w:rPr>
        <w:t>d</w:t>
      </w:r>
      <w:r w:rsidR="005C20E5">
        <w:rPr>
          <w:bCs/>
        </w:rPr>
        <w:t xml:space="preserve"> (Cohen, 1988)</w:t>
      </w:r>
      <w:r w:rsidR="00C1186A">
        <w:rPr>
          <w:bCs/>
        </w:rPr>
        <w:t xml:space="preserve">. For broad interpretation purposes </w:t>
      </w:r>
      <w:r w:rsidRPr="00FD5946">
        <w:rPr>
          <w:rFonts w:cs="Arial"/>
          <w:sz w:val="22"/>
        </w:rPr>
        <w:t xml:space="preserve">threshold values for </w:t>
      </w:r>
      <w:r w:rsidR="00C1186A">
        <w:rPr>
          <w:rFonts w:cs="Arial"/>
          <w:sz w:val="22"/>
        </w:rPr>
        <w:t xml:space="preserve">statistically significant effects for </w:t>
      </w:r>
      <w:r w:rsidRPr="00FD5946">
        <w:rPr>
          <w:rFonts w:cs="Arial"/>
          <w:sz w:val="22"/>
        </w:rPr>
        <w:t xml:space="preserve">the statistic, </w:t>
      </w:r>
      <w:r w:rsidRPr="00FD5946">
        <w:rPr>
          <w:rFonts w:cs="Arial"/>
          <w:i/>
          <w:sz w:val="22"/>
        </w:rPr>
        <w:t>d</w:t>
      </w:r>
      <w:r w:rsidR="005C20E5">
        <w:rPr>
          <w:rFonts w:cs="Arial"/>
          <w:lang w:eastAsia="en-GB"/>
        </w:rPr>
        <w:t xml:space="preserve"> are: </w:t>
      </w:r>
      <w:r w:rsidRPr="00A87D33">
        <w:rPr>
          <w:rFonts w:cs="Arial"/>
          <w:lang w:eastAsia="en-GB"/>
        </w:rPr>
        <w:t xml:space="preserve">0 &lt; </w:t>
      </w:r>
      <w:r w:rsidRPr="00A87D33">
        <w:rPr>
          <w:rFonts w:cs="Arial"/>
          <w:i/>
          <w:lang w:eastAsia="en-GB"/>
        </w:rPr>
        <w:t>d</w:t>
      </w:r>
      <w:r>
        <w:rPr>
          <w:rFonts w:cs="Arial"/>
          <w:lang w:eastAsia="en-GB"/>
        </w:rPr>
        <w:t xml:space="preserve"> &lt; 0.1</w:t>
      </w:r>
      <w:r w:rsidR="005C20E5">
        <w:rPr>
          <w:rFonts w:cs="Arial"/>
          <w:lang w:eastAsia="en-GB"/>
        </w:rPr>
        <w:t xml:space="preserve"> </w:t>
      </w:r>
      <w:r w:rsidRPr="00A87D33">
        <w:rPr>
          <w:rFonts w:cs="Arial"/>
          <w:lang w:eastAsia="en-GB"/>
        </w:rPr>
        <w:t>a trivial effect</w:t>
      </w:r>
      <w:r w:rsidR="005C20E5">
        <w:rPr>
          <w:rFonts w:cs="Arial"/>
          <w:lang w:eastAsia="en-GB"/>
        </w:rPr>
        <w:t>;</w:t>
      </w:r>
      <w:r w:rsidRPr="00A87D33">
        <w:rPr>
          <w:rFonts w:cs="Arial"/>
          <w:lang w:eastAsia="en-GB"/>
        </w:rPr>
        <w:t xml:space="preserve"> 0.1 &lt; </w:t>
      </w:r>
      <w:r w:rsidRPr="00A87D33">
        <w:rPr>
          <w:rFonts w:cs="Arial"/>
          <w:i/>
          <w:lang w:eastAsia="en-GB"/>
        </w:rPr>
        <w:t>d</w:t>
      </w:r>
      <w:r>
        <w:rPr>
          <w:rFonts w:cs="Arial"/>
          <w:lang w:eastAsia="en-GB"/>
        </w:rPr>
        <w:t xml:space="preserve"> &lt; 0.2</w:t>
      </w:r>
      <w:r w:rsidRPr="00A87D33">
        <w:rPr>
          <w:rFonts w:cs="Arial"/>
          <w:lang w:eastAsia="en-GB"/>
        </w:rPr>
        <w:t xml:space="preserve"> a</w:t>
      </w:r>
      <w:r>
        <w:rPr>
          <w:rFonts w:cs="Arial"/>
          <w:lang w:eastAsia="en-GB"/>
        </w:rPr>
        <w:t xml:space="preserve"> small </w:t>
      </w:r>
      <w:r w:rsidRPr="00A87D33">
        <w:rPr>
          <w:rFonts w:cs="Arial"/>
          <w:lang w:eastAsia="en-GB"/>
        </w:rPr>
        <w:t>effect</w:t>
      </w:r>
      <w:r w:rsidR="005C20E5">
        <w:rPr>
          <w:rFonts w:cs="Arial"/>
          <w:lang w:eastAsia="en-GB"/>
        </w:rPr>
        <w:t>;</w:t>
      </w:r>
      <w:r w:rsidRPr="00A87D33">
        <w:rPr>
          <w:rFonts w:cs="Arial"/>
          <w:lang w:eastAsia="en-GB"/>
        </w:rPr>
        <w:t xml:space="preserve"> </w:t>
      </w:r>
      <w:r>
        <w:rPr>
          <w:rFonts w:cs="Arial"/>
          <w:lang w:eastAsia="en-GB"/>
        </w:rPr>
        <w:t xml:space="preserve">0.2 &lt; </w:t>
      </w:r>
      <w:r w:rsidRPr="00A87D33">
        <w:rPr>
          <w:rFonts w:cs="Arial"/>
          <w:i/>
          <w:lang w:eastAsia="en-GB"/>
        </w:rPr>
        <w:t>d</w:t>
      </w:r>
      <w:r>
        <w:rPr>
          <w:rFonts w:cs="Arial"/>
          <w:lang w:eastAsia="en-GB"/>
        </w:rPr>
        <w:t xml:space="preserve"> &lt; 0.5 a moderate effect</w:t>
      </w:r>
      <w:r w:rsidR="005C20E5">
        <w:rPr>
          <w:rFonts w:cs="Arial"/>
          <w:lang w:eastAsia="en-GB"/>
        </w:rPr>
        <w:t>;</w:t>
      </w:r>
      <w:r>
        <w:rPr>
          <w:rFonts w:cs="Arial"/>
          <w:lang w:eastAsia="en-GB"/>
        </w:rPr>
        <w:t xml:space="preserve"> </w:t>
      </w:r>
      <w:r w:rsidRPr="00A87D33">
        <w:rPr>
          <w:rFonts w:cs="Arial"/>
          <w:lang w:eastAsia="en-GB"/>
        </w:rPr>
        <w:t xml:space="preserve">0.5 &lt; </w:t>
      </w:r>
      <w:r w:rsidRPr="00A87D33">
        <w:rPr>
          <w:rFonts w:cs="Arial"/>
          <w:i/>
          <w:lang w:eastAsia="en-GB"/>
        </w:rPr>
        <w:t>d</w:t>
      </w:r>
      <w:r w:rsidRPr="00A87D33">
        <w:rPr>
          <w:rFonts w:cs="Arial"/>
          <w:lang w:eastAsia="en-GB"/>
        </w:rPr>
        <w:t xml:space="preserve"> &lt; 0.8 a medium size effect</w:t>
      </w:r>
      <w:r w:rsidR="005C20E5">
        <w:rPr>
          <w:rFonts w:cs="Arial"/>
          <w:lang w:eastAsia="en-GB"/>
        </w:rPr>
        <w:t>;</w:t>
      </w:r>
      <w:r w:rsidRPr="00A87D33">
        <w:rPr>
          <w:rFonts w:cs="Arial"/>
          <w:lang w:eastAsia="en-GB"/>
        </w:rPr>
        <w:t xml:space="preserve"> 0.8 &lt; </w:t>
      </w:r>
      <w:r w:rsidRPr="00A87D33">
        <w:rPr>
          <w:rFonts w:cs="Arial"/>
          <w:i/>
          <w:lang w:eastAsia="en-GB"/>
        </w:rPr>
        <w:t>d</w:t>
      </w:r>
      <w:r w:rsidRPr="00A87D33">
        <w:rPr>
          <w:rFonts w:cs="Arial"/>
          <w:lang w:eastAsia="en-GB"/>
        </w:rPr>
        <w:t xml:space="preserve"> &lt; 1.3</w:t>
      </w:r>
      <w:r w:rsidR="005C20E5">
        <w:rPr>
          <w:rFonts w:cs="Arial"/>
          <w:lang w:eastAsia="en-GB"/>
        </w:rPr>
        <w:t xml:space="preserve"> </w:t>
      </w:r>
      <w:r w:rsidRPr="00A87D33">
        <w:rPr>
          <w:rFonts w:cs="Arial"/>
          <w:lang w:eastAsia="en-GB"/>
        </w:rPr>
        <w:t>a large effect</w:t>
      </w:r>
      <w:r w:rsidR="005C20E5">
        <w:rPr>
          <w:rFonts w:cs="Arial"/>
          <w:lang w:eastAsia="en-GB"/>
        </w:rPr>
        <w:t>;</w:t>
      </w:r>
      <w:r w:rsidRPr="00A87D33">
        <w:rPr>
          <w:rFonts w:cs="Arial"/>
          <w:lang w:eastAsia="en-GB"/>
        </w:rPr>
        <w:t xml:space="preserve"> 1.3 </w:t>
      </w:r>
      <w:r>
        <w:rPr>
          <w:rFonts w:cs="Arial"/>
          <w:lang w:eastAsia="en-GB"/>
        </w:rPr>
        <w:t>&lt; d &lt; 2.0</w:t>
      </w:r>
      <w:r w:rsidR="005C20E5">
        <w:rPr>
          <w:rFonts w:cs="Arial"/>
          <w:lang w:eastAsia="en-GB"/>
        </w:rPr>
        <w:t xml:space="preserve"> </w:t>
      </w:r>
      <w:r>
        <w:rPr>
          <w:rFonts w:cs="Arial"/>
          <w:lang w:eastAsia="en-GB"/>
        </w:rPr>
        <w:t xml:space="preserve">a very </w:t>
      </w:r>
      <w:r w:rsidR="005C20E5">
        <w:rPr>
          <w:rFonts w:cs="Arial"/>
          <w:lang w:eastAsia="en-GB"/>
        </w:rPr>
        <w:t xml:space="preserve">large effect; while </w:t>
      </w:r>
      <w:r w:rsidRPr="004863BF">
        <w:rPr>
          <w:rFonts w:cs="Arial"/>
          <w:i/>
          <w:lang w:eastAsia="en-GB"/>
        </w:rPr>
        <w:t>d</w:t>
      </w:r>
      <w:r w:rsidR="005C20E5">
        <w:rPr>
          <w:rFonts w:cs="Arial"/>
          <w:lang w:eastAsia="en-GB"/>
        </w:rPr>
        <w:t xml:space="preserve"> &gt; 2.0 is a huge effect. </w:t>
      </w:r>
      <w:r>
        <w:rPr>
          <w:rFonts w:cs="Arial"/>
          <w:lang w:eastAsia="en-GB"/>
        </w:rPr>
        <w:t>However, the</w:t>
      </w:r>
      <w:r w:rsidR="005C20E5">
        <w:rPr>
          <w:rFonts w:cs="Arial"/>
          <w:lang w:eastAsia="en-GB"/>
        </w:rPr>
        <w:t>se</w:t>
      </w:r>
      <w:r>
        <w:rPr>
          <w:rFonts w:cs="Arial"/>
          <w:lang w:eastAsia="en-GB"/>
        </w:rPr>
        <w:t xml:space="preserve"> are, at best, guidelines and the value of </w:t>
      </w:r>
      <w:r w:rsidRPr="004863BF">
        <w:rPr>
          <w:rFonts w:cs="Arial"/>
          <w:i/>
          <w:lang w:eastAsia="en-GB"/>
        </w:rPr>
        <w:t xml:space="preserve">d </w:t>
      </w:r>
      <w:r>
        <w:rPr>
          <w:rFonts w:cs="Arial"/>
          <w:lang w:eastAsia="en-GB"/>
        </w:rPr>
        <w:t xml:space="preserve">is very much context dependent. </w:t>
      </w:r>
    </w:p>
    <w:p w14:paraId="61F68854" w14:textId="77777777" w:rsidR="005C20E5" w:rsidRDefault="005C20E5" w:rsidP="00565E3D">
      <w:pPr>
        <w:spacing w:line="360" w:lineRule="auto"/>
        <w:rPr>
          <w:rFonts w:cs="Arial"/>
          <w:lang w:eastAsia="en-GB"/>
        </w:rPr>
      </w:pPr>
    </w:p>
    <w:p w14:paraId="5C1F1814" w14:textId="3C1A74FD" w:rsidR="008F5675" w:rsidRPr="0048229C" w:rsidRDefault="00565E3D" w:rsidP="00565E3D">
      <w:pPr>
        <w:spacing w:line="360" w:lineRule="auto"/>
        <w:rPr>
          <w:bCs/>
        </w:rPr>
      </w:pPr>
      <w:r>
        <w:rPr>
          <w:bCs/>
        </w:rPr>
        <w:t xml:space="preserve">The </w:t>
      </w:r>
      <w:r w:rsidR="005C20E5">
        <w:rPr>
          <w:bCs/>
        </w:rPr>
        <w:t xml:space="preserve">independent samples </w:t>
      </w:r>
      <w:r w:rsidR="00A433B1">
        <w:rPr>
          <w:bCs/>
        </w:rPr>
        <w:t>t-test</w:t>
      </w:r>
      <w:r w:rsidR="005C20E5">
        <w:rPr>
          <w:bCs/>
        </w:rPr>
        <w:t>s</w:t>
      </w:r>
      <w:r>
        <w:rPr>
          <w:bCs/>
        </w:rPr>
        <w:t xml:space="preserve"> showed</w:t>
      </w:r>
      <w:r w:rsidR="00B15493">
        <w:rPr>
          <w:bCs/>
        </w:rPr>
        <w:t xml:space="preserve"> a</w:t>
      </w:r>
      <w:r w:rsidR="008F5675" w:rsidRPr="0048229C">
        <w:rPr>
          <w:bCs/>
        </w:rPr>
        <w:t xml:space="preserve"> significant difference </w:t>
      </w:r>
      <w:r w:rsidR="00B15493">
        <w:rPr>
          <w:bCs/>
        </w:rPr>
        <w:t xml:space="preserve">for the Visual Function subscale at 48-weeks </w:t>
      </w:r>
      <w:r w:rsidR="008F5675" w:rsidRPr="0048229C">
        <w:rPr>
          <w:bCs/>
        </w:rPr>
        <w:t>(</w:t>
      </w:r>
      <w:r w:rsidR="008F5675" w:rsidRPr="0048229C">
        <w:rPr>
          <w:bCs/>
          <w:i/>
        </w:rPr>
        <w:t>p</w:t>
      </w:r>
      <w:r w:rsidR="00B15493">
        <w:rPr>
          <w:bCs/>
        </w:rPr>
        <w:t>=0.00</w:t>
      </w:r>
      <w:r w:rsidR="008D2596">
        <w:rPr>
          <w:bCs/>
        </w:rPr>
        <w:t>6</w:t>
      </w:r>
      <w:r w:rsidR="00B15493">
        <w:rPr>
          <w:bCs/>
        </w:rPr>
        <w:t>)</w:t>
      </w:r>
      <w:r w:rsidR="00C948D2">
        <w:rPr>
          <w:bCs/>
        </w:rPr>
        <w:t xml:space="preserve"> with a medium effect size (d=0.6</w:t>
      </w:r>
      <w:r w:rsidR="00034228">
        <w:rPr>
          <w:bCs/>
        </w:rPr>
        <w:t>; Table 11).</w:t>
      </w:r>
      <w:r w:rsidR="002976DC">
        <w:rPr>
          <w:bCs/>
        </w:rPr>
        <w:t xml:space="preserve"> </w:t>
      </w:r>
      <w:r w:rsidR="00034228">
        <w:rPr>
          <w:bCs/>
        </w:rPr>
        <w:t>A</w:t>
      </w:r>
      <w:r w:rsidR="002976DC">
        <w:rPr>
          <w:bCs/>
        </w:rPr>
        <w:t>lthough no similar statistically significant difference was seen for the Appearance subscale at the same time point</w:t>
      </w:r>
      <w:r w:rsidR="00034228">
        <w:rPr>
          <w:bCs/>
        </w:rPr>
        <w:t xml:space="preserve"> a moderate effect size was recorded (d=0.3)</w:t>
      </w:r>
      <w:r w:rsidR="00B15493">
        <w:rPr>
          <w:bCs/>
        </w:rPr>
        <w:t xml:space="preserve">. </w:t>
      </w:r>
      <w:r w:rsidR="002976DC">
        <w:rPr>
          <w:bCs/>
        </w:rPr>
        <w:t>Similarly, n</w:t>
      </w:r>
      <w:r w:rsidR="008F5675" w:rsidRPr="0048229C">
        <w:rPr>
          <w:bCs/>
        </w:rPr>
        <w:t>o statistically significant difference</w:t>
      </w:r>
      <w:r w:rsidR="007874D0">
        <w:rPr>
          <w:bCs/>
        </w:rPr>
        <w:t>s</w:t>
      </w:r>
      <w:r w:rsidR="008F5675" w:rsidRPr="0048229C">
        <w:rPr>
          <w:bCs/>
        </w:rPr>
        <w:t xml:space="preserve"> between </w:t>
      </w:r>
      <w:r w:rsidR="00C948D2">
        <w:rPr>
          <w:bCs/>
        </w:rPr>
        <w:t>WHOQOL</w:t>
      </w:r>
      <w:r w:rsidR="008F5675" w:rsidRPr="0048229C">
        <w:rPr>
          <w:bCs/>
        </w:rPr>
        <w:t xml:space="preserve"> </w:t>
      </w:r>
      <w:r w:rsidR="007874D0">
        <w:rPr>
          <w:bCs/>
        </w:rPr>
        <w:t xml:space="preserve">domain </w:t>
      </w:r>
      <w:r w:rsidR="00034228">
        <w:rPr>
          <w:bCs/>
        </w:rPr>
        <w:t>scores were</w:t>
      </w:r>
      <w:r w:rsidR="008F5675" w:rsidRPr="0048229C">
        <w:rPr>
          <w:bCs/>
        </w:rPr>
        <w:t xml:space="preserve"> observed </w:t>
      </w:r>
      <w:r w:rsidR="007874D0">
        <w:rPr>
          <w:bCs/>
        </w:rPr>
        <w:t>for</w:t>
      </w:r>
      <w:r w:rsidR="008F5675" w:rsidRPr="0048229C">
        <w:rPr>
          <w:bCs/>
        </w:rPr>
        <w:t xml:space="preserve"> the BCCOM groups</w:t>
      </w:r>
      <w:r w:rsidR="00A433B1">
        <w:rPr>
          <w:bCs/>
        </w:rPr>
        <w:t xml:space="preserve"> at </w:t>
      </w:r>
      <w:r w:rsidR="007874D0">
        <w:rPr>
          <w:bCs/>
        </w:rPr>
        <w:t xml:space="preserve">the same </w:t>
      </w:r>
      <w:r w:rsidR="00A433B1">
        <w:rPr>
          <w:bCs/>
        </w:rPr>
        <w:t>time point</w:t>
      </w:r>
      <w:r w:rsidR="00034228">
        <w:rPr>
          <w:bCs/>
        </w:rPr>
        <w:t>, and effect sizes ranged from small (d=0.2 for the physical and environment domains) to moderate and medium (d=0.4 and 0.5 for the psychological and social domains, respectively).</w:t>
      </w:r>
    </w:p>
    <w:p w14:paraId="2FEB92E7" w14:textId="77777777" w:rsidR="008F5675" w:rsidRDefault="008F5675" w:rsidP="008F5675">
      <w:pPr>
        <w:spacing w:line="360" w:lineRule="auto"/>
        <w:rPr>
          <w:bCs/>
        </w:rPr>
      </w:pPr>
    </w:p>
    <w:p w14:paraId="452B763A" w14:textId="2F637067" w:rsidR="0072571C" w:rsidRPr="0048229C" w:rsidRDefault="0072571C" w:rsidP="008F5675">
      <w:pPr>
        <w:spacing w:line="360" w:lineRule="auto"/>
        <w:rPr>
          <w:bCs/>
        </w:rPr>
      </w:pPr>
      <w:r>
        <w:rPr>
          <w:bCs/>
        </w:rPr>
        <w:t>[Table 11 near here]</w:t>
      </w:r>
    </w:p>
    <w:p w14:paraId="129F13C9" w14:textId="77777777" w:rsidR="008F5675" w:rsidRDefault="008F5675" w:rsidP="008F5675">
      <w:pPr>
        <w:spacing w:line="360" w:lineRule="auto"/>
        <w:rPr>
          <w:bCs/>
        </w:rPr>
      </w:pPr>
    </w:p>
    <w:p w14:paraId="4BCDB3A5" w14:textId="489F71D0" w:rsidR="004056ED" w:rsidRDefault="004056ED" w:rsidP="008F5675">
      <w:pPr>
        <w:spacing w:line="360" w:lineRule="auto"/>
        <w:rPr>
          <w:bCs/>
        </w:rPr>
      </w:pPr>
      <w:r>
        <w:rPr>
          <w:bCs/>
        </w:rPr>
        <w:t>The cohort was also split in relation to the scores achieved on the two Visual Analogue Scales, where 5.1 was used as the cut off to identify those</w:t>
      </w:r>
      <w:r w:rsidR="005D4553">
        <w:rPr>
          <w:bCs/>
        </w:rPr>
        <w:t xml:space="preserve"> of the </w:t>
      </w:r>
      <w:r w:rsidR="00FD3C28">
        <w:rPr>
          <w:bCs/>
        </w:rPr>
        <w:t>100</w:t>
      </w:r>
      <w:r w:rsidR="005D4553">
        <w:rPr>
          <w:bCs/>
        </w:rPr>
        <w:t xml:space="preserve"> (where we had these data at week 48)</w:t>
      </w:r>
      <w:r>
        <w:rPr>
          <w:bCs/>
        </w:rPr>
        <w:t xml:space="preserve"> who rated themselves as still having TED that was either noticeable or severe.</w:t>
      </w:r>
      <w:r w:rsidR="005D4553">
        <w:rPr>
          <w:bCs/>
        </w:rPr>
        <w:t xml:space="preserve"> When analysed according to these groupings, the subscale domains of the </w:t>
      </w:r>
      <w:r w:rsidR="00C948D2">
        <w:rPr>
          <w:bCs/>
        </w:rPr>
        <w:t>WHOQOL</w:t>
      </w:r>
      <w:r w:rsidR="005D4553">
        <w:rPr>
          <w:bCs/>
        </w:rPr>
        <w:t xml:space="preserve"> still showed no significant differences, but in relation to </w:t>
      </w:r>
      <w:r w:rsidR="00662C56">
        <w:rPr>
          <w:bCs/>
        </w:rPr>
        <w:t xml:space="preserve">perceived </w:t>
      </w:r>
      <w:r w:rsidR="005D4553">
        <w:rPr>
          <w:bCs/>
        </w:rPr>
        <w:t xml:space="preserve">noticeability of TED both subscales of the </w:t>
      </w:r>
      <w:r w:rsidR="00C948D2">
        <w:rPr>
          <w:bCs/>
        </w:rPr>
        <w:t>GO-QOL</w:t>
      </w:r>
      <w:r w:rsidR="005D4553">
        <w:rPr>
          <w:bCs/>
        </w:rPr>
        <w:t xml:space="preserve"> showed statistical significantly differences (p&lt;.001)</w:t>
      </w:r>
      <w:r w:rsidR="00662C56">
        <w:rPr>
          <w:bCs/>
        </w:rPr>
        <w:t xml:space="preserve"> with a medium effect size for the Visual Function subscale (d=0.8) and a very large effect size for the Appearance subscale (d=1.6; Table 12)</w:t>
      </w:r>
      <w:r w:rsidR="005D4553">
        <w:rPr>
          <w:bCs/>
        </w:rPr>
        <w:t xml:space="preserve">. </w:t>
      </w:r>
      <w:r w:rsidR="00662C56">
        <w:rPr>
          <w:bCs/>
        </w:rPr>
        <w:t xml:space="preserve">In relation to groupings based on perceived </w:t>
      </w:r>
      <w:r w:rsidR="005D4553">
        <w:rPr>
          <w:bCs/>
        </w:rPr>
        <w:t>sever</w:t>
      </w:r>
      <w:r w:rsidR="00662C56">
        <w:rPr>
          <w:bCs/>
        </w:rPr>
        <w:t>ity of</w:t>
      </w:r>
      <w:r w:rsidR="005D4553">
        <w:rPr>
          <w:bCs/>
        </w:rPr>
        <w:t xml:space="preserve"> TED both subscales of the </w:t>
      </w:r>
      <w:r w:rsidR="00C948D2">
        <w:rPr>
          <w:bCs/>
        </w:rPr>
        <w:lastRenderedPageBreak/>
        <w:t>GO-QOL</w:t>
      </w:r>
      <w:r w:rsidR="005D4553">
        <w:rPr>
          <w:bCs/>
        </w:rPr>
        <w:t xml:space="preserve"> showed statistical significantly differences (p&lt;.001)</w:t>
      </w:r>
      <w:r w:rsidR="00662C56">
        <w:rPr>
          <w:bCs/>
        </w:rPr>
        <w:t>, and again a medium effect size for the Visual Function subscale (d=0.8) and a very large effect size for the Appearance subscale (d=1.2; Table 12).</w:t>
      </w:r>
    </w:p>
    <w:p w14:paraId="7D9AEC23" w14:textId="77777777" w:rsidR="00F10815" w:rsidRDefault="00F10815" w:rsidP="008F5675">
      <w:pPr>
        <w:spacing w:line="360" w:lineRule="auto"/>
        <w:rPr>
          <w:bCs/>
        </w:rPr>
      </w:pPr>
    </w:p>
    <w:p w14:paraId="7EAB6839" w14:textId="10CA444D" w:rsidR="0072571C" w:rsidRPr="0048229C" w:rsidRDefault="0072571C" w:rsidP="008F5675">
      <w:pPr>
        <w:spacing w:line="360" w:lineRule="auto"/>
        <w:rPr>
          <w:bCs/>
        </w:rPr>
      </w:pPr>
      <w:r>
        <w:rPr>
          <w:bCs/>
        </w:rPr>
        <w:t>[Table 12 near here]</w:t>
      </w:r>
    </w:p>
    <w:p w14:paraId="6C13E9EF" w14:textId="77777777" w:rsidR="0072571C" w:rsidRDefault="0072571C" w:rsidP="00C5124A">
      <w:pPr>
        <w:spacing w:line="360" w:lineRule="auto"/>
        <w:rPr>
          <w:bCs/>
        </w:rPr>
      </w:pPr>
    </w:p>
    <w:p w14:paraId="5A79C425" w14:textId="1B431C17" w:rsidR="00C5124A" w:rsidRPr="0048229C" w:rsidRDefault="00C5124A" w:rsidP="00C5124A">
      <w:pPr>
        <w:spacing w:line="360" w:lineRule="auto"/>
        <w:rPr>
          <w:bCs/>
        </w:rPr>
      </w:pPr>
      <w:r>
        <w:rPr>
          <w:bCs/>
        </w:rPr>
        <w:t xml:space="preserve">So it would seem that the </w:t>
      </w:r>
      <w:r w:rsidR="00C948D2">
        <w:rPr>
          <w:bCs/>
        </w:rPr>
        <w:t>GO-QOL</w:t>
      </w:r>
      <w:r>
        <w:rPr>
          <w:bCs/>
        </w:rPr>
        <w:t xml:space="preserve"> does indeed demonstrate discriminant validity, although there is some suggestion in these data, that it may be dependent on the grouping variable utilised. The clinician ratings (BCCOM) and participant subjective ratings (VAS scales) were broadly similar in their results for the Visual Function component of the </w:t>
      </w:r>
      <w:r w:rsidR="00C948D2">
        <w:rPr>
          <w:bCs/>
        </w:rPr>
        <w:t>GO-QOL</w:t>
      </w:r>
      <w:r>
        <w:rPr>
          <w:bCs/>
        </w:rPr>
        <w:t xml:space="preserve">, but to distinguish in relation to appearance issues, it would </w:t>
      </w:r>
      <w:r w:rsidR="00662C56">
        <w:rPr>
          <w:bCs/>
        </w:rPr>
        <w:t xml:space="preserve">seem </w:t>
      </w:r>
      <w:r>
        <w:rPr>
          <w:bCs/>
        </w:rPr>
        <w:t>that using participant ratings results in stronger, statistically significant differences.</w:t>
      </w:r>
    </w:p>
    <w:p w14:paraId="1369BCB9" w14:textId="77777777" w:rsidR="00C5124A" w:rsidRPr="0048229C" w:rsidRDefault="00C5124A" w:rsidP="0048229C">
      <w:pPr>
        <w:spacing w:line="360" w:lineRule="auto"/>
        <w:rPr>
          <w:b/>
          <w:lang w:val="en-US"/>
        </w:rPr>
      </w:pPr>
    </w:p>
    <w:p w14:paraId="77974461" w14:textId="10B1BE2D" w:rsidR="00C607C1" w:rsidRPr="0048229C" w:rsidRDefault="00E37184" w:rsidP="0048229C">
      <w:pPr>
        <w:spacing w:line="360" w:lineRule="auto"/>
        <w:rPr>
          <w:b/>
          <w:lang w:val="en-US"/>
        </w:rPr>
      </w:pPr>
      <w:r>
        <w:rPr>
          <w:b/>
          <w:lang w:val="en-US"/>
        </w:rPr>
        <w:t>Discussion</w:t>
      </w:r>
    </w:p>
    <w:p w14:paraId="6FB7A5A2" w14:textId="0C247A39" w:rsidR="004C540A" w:rsidRDefault="00593A17" w:rsidP="0048229C">
      <w:pPr>
        <w:spacing w:line="360" w:lineRule="auto"/>
        <w:rPr>
          <w:lang w:val="en-US"/>
        </w:rPr>
      </w:pPr>
      <w:r w:rsidRPr="0048229C">
        <w:rPr>
          <w:lang w:val="en-US"/>
        </w:rPr>
        <w:t>The resu</w:t>
      </w:r>
      <w:r w:rsidR="00A83058">
        <w:rPr>
          <w:lang w:val="en-US"/>
        </w:rPr>
        <w:t xml:space="preserve">lts of this project support both the internal </w:t>
      </w:r>
      <w:r w:rsidRPr="0048229C">
        <w:rPr>
          <w:lang w:val="en-US"/>
        </w:rPr>
        <w:t xml:space="preserve">validity and reliability of the English translation of the </w:t>
      </w:r>
      <w:r w:rsidR="00C948D2">
        <w:rPr>
          <w:lang w:val="en-US"/>
        </w:rPr>
        <w:t>GO-QOL</w:t>
      </w:r>
      <w:r w:rsidRPr="0048229C">
        <w:rPr>
          <w:lang w:val="en-US"/>
        </w:rPr>
        <w:t xml:space="preserve"> as an outcome measure for patients with </w:t>
      </w:r>
      <w:r w:rsidR="00A83058">
        <w:rPr>
          <w:lang w:val="en-US"/>
        </w:rPr>
        <w:t xml:space="preserve">moderately active </w:t>
      </w:r>
      <w:r w:rsidRPr="0048229C">
        <w:rPr>
          <w:lang w:val="en-US"/>
        </w:rPr>
        <w:t xml:space="preserve">Graves' </w:t>
      </w:r>
      <w:proofErr w:type="spellStart"/>
      <w:r w:rsidRPr="0048229C">
        <w:rPr>
          <w:lang w:val="en-US"/>
        </w:rPr>
        <w:t>orbitopathy</w:t>
      </w:r>
      <w:proofErr w:type="spellEnd"/>
      <w:r w:rsidRPr="0048229C">
        <w:rPr>
          <w:lang w:val="en-US"/>
        </w:rPr>
        <w:t xml:space="preserve">. </w:t>
      </w:r>
      <w:r w:rsidR="004C540A" w:rsidRPr="0048229C">
        <w:rPr>
          <w:lang w:val="en-US"/>
        </w:rPr>
        <w:t xml:space="preserve">Longitudinal </w:t>
      </w:r>
      <w:r w:rsidR="00FE7BA6" w:rsidRPr="0048229C">
        <w:rPr>
          <w:lang w:val="en-US"/>
        </w:rPr>
        <w:t>validity</w:t>
      </w:r>
      <w:r w:rsidR="004C540A" w:rsidRPr="0048229C">
        <w:rPr>
          <w:lang w:val="en-US"/>
        </w:rPr>
        <w:t xml:space="preserve"> has also been </w:t>
      </w:r>
      <w:r w:rsidR="008B55AA" w:rsidRPr="0048229C">
        <w:rPr>
          <w:lang w:val="en-US"/>
        </w:rPr>
        <w:t>confirmed,</w:t>
      </w:r>
      <w:r w:rsidR="004C540A" w:rsidRPr="0048229C">
        <w:rPr>
          <w:lang w:val="en-US"/>
        </w:rPr>
        <w:t xml:space="preserve"> with the </w:t>
      </w:r>
      <w:r w:rsidR="00C948D2">
        <w:rPr>
          <w:lang w:val="en-US"/>
        </w:rPr>
        <w:t>GO-QOL</w:t>
      </w:r>
      <w:r w:rsidR="004C540A" w:rsidRPr="0048229C">
        <w:rPr>
          <w:lang w:val="en-US"/>
        </w:rPr>
        <w:t xml:space="preserve"> being more sensitive to changes in TED</w:t>
      </w:r>
      <w:r w:rsidR="00A83058">
        <w:rPr>
          <w:lang w:val="en-US"/>
        </w:rPr>
        <w:t xml:space="preserve"> over time</w:t>
      </w:r>
      <w:r w:rsidR="004C540A" w:rsidRPr="0048229C">
        <w:rPr>
          <w:lang w:val="en-US"/>
        </w:rPr>
        <w:t xml:space="preserve"> than the more general </w:t>
      </w:r>
      <w:r w:rsidR="00C948D2">
        <w:rPr>
          <w:lang w:val="en-US"/>
        </w:rPr>
        <w:t>WHOQOL</w:t>
      </w:r>
      <w:r w:rsidR="004C540A" w:rsidRPr="0048229C">
        <w:rPr>
          <w:lang w:val="en-US"/>
        </w:rPr>
        <w:t>-</w:t>
      </w:r>
      <w:proofErr w:type="spellStart"/>
      <w:r w:rsidR="004C540A" w:rsidRPr="0048229C">
        <w:rPr>
          <w:lang w:val="en-US"/>
        </w:rPr>
        <w:t>Bref</w:t>
      </w:r>
      <w:proofErr w:type="spellEnd"/>
      <w:r w:rsidR="00360CC8" w:rsidRPr="0048229C">
        <w:rPr>
          <w:lang w:val="en-US"/>
        </w:rPr>
        <w:t>.</w:t>
      </w:r>
      <w:r w:rsidR="004C540A" w:rsidRPr="0048229C">
        <w:rPr>
          <w:lang w:val="en-US"/>
        </w:rPr>
        <w:t xml:space="preserve">, </w:t>
      </w:r>
      <w:r w:rsidR="00A83058">
        <w:rPr>
          <w:lang w:val="en-US"/>
        </w:rPr>
        <w:t xml:space="preserve">whilst also being associated with generally </w:t>
      </w:r>
      <w:r w:rsidR="004C540A" w:rsidRPr="0048229C">
        <w:rPr>
          <w:lang w:val="en-US"/>
        </w:rPr>
        <w:t>larger effect size</w:t>
      </w:r>
      <w:r w:rsidR="00A83058">
        <w:rPr>
          <w:lang w:val="en-US"/>
        </w:rPr>
        <w:t xml:space="preserve">s, </w:t>
      </w:r>
      <w:r w:rsidR="004725F1">
        <w:rPr>
          <w:lang w:val="en-US"/>
        </w:rPr>
        <w:t>wit</w:t>
      </w:r>
      <w:r w:rsidR="00A83058">
        <w:rPr>
          <w:lang w:val="en-US"/>
        </w:rPr>
        <w:t>h both measures show an improving trend for the study participants over time</w:t>
      </w:r>
      <w:r w:rsidR="004C540A" w:rsidRPr="0048229C">
        <w:rPr>
          <w:lang w:val="en-US"/>
        </w:rPr>
        <w:t xml:space="preserve">. </w:t>
      </w:r>
      <w:r w:rsidR="00B64B95">
        <w:rPr>
          <w:lang w:val="en-US"/>
        </w:rPr>
        <w:t xml:space="preserve">This longitudinal pattern of change for the subscales of the </w:t>
      </w:r>
      <w:r w:rsidR="00C948D2">
        <w:rPr>
          <w:lang w:val="en-US"/>
        </w:rPr>
        <w:t>GO-QOL</w:t>
      </w:r>
      <w:r w:rsidR="00B64B95">
        <w:rPr>
          <w:lang w:val="en-US"/>
        </w:rPr>
        <w:t xml:space="preserve"> has also been shown over a 24 week period in a </w:t>
      </w:r>
      <w:r w:rsidR="002B6409">
        <w:rPr>
          <w:lang w:val="en-US"/>
        </w:rPr>
        <w:t xml:space="preserve">recent </w:t>
      </w:r>
      <w:r w:rsidR="00B64B95">
        <w:rPr>
          <w:lang w:val="en-US"/>
        </w:rPr>
        <w:t xml:space="preserve">study testing </w:t>
      </w:r>
      <w:proofErr w:type="spellStart"/>
      <w:r w:rsidR="00B64B95">
        <w:rPr>
          <w:lang w:val="en-US"/>
        </w:rPr>
        <w:t>Teprotumumab</w:t>
      </w:r>
      <w:proofErr w:type="spellEnd"/>
      <w:r w:rsidR="00B64B95">
        <w:rPr>
          <w:lang w:val="en-US"/>
        </w:rPr>
        <w:t xml:space="preserve"> for thyroid-associated ophthalmology</w:t>
      </w:r>
      <w:r w:rsidR="002B6409">
        <w:rPr>
          <w:lang w:val="en-US"/>
        </w:rPr>
        <w:t xml:space="preserve"> (Smith et al, 2017). While both subscales of the </w:t>
      </w:r>
      <w:r w:rsidR="00C948D2">
        <w:rPr>
          <w:lang w:val="en-US"/>
        </w:rPr>
        <w:t>GO-QOL</w:t>
      </w:r>
      <w:r w:rsidR="002B6409">
        <w:rPr>
          <w:lang w:val="en-US"/>
        </w:rPr>
        <w:t xml:space="preserve"> showed significant change over time in Smith et </w:t>
      </w:r>
      <w:proofErr w:type="spellStart"/>
      <w:r w:rsidR="002B6409">
        <w:rPr>
          <w:lang w:val="en-US"/>
        </w:rPr>
        <w:t>al’s</w:t>
      </w:r>
      <w:proofErr w:type="spellEnd"/>
      <w:r w:rsidR="002B6409">
        <w:rPr>
          <w:lang w:val="en-US"/>
        </w:rPr>
        <w:t xml:space="preserve"> study, the Visual Function subscale was the one with the greatest change over time, as also suggested in our data.</w:t>
      </w:r>
    </w:p>
    <w:p w14:paraId="385333D9" w14:textId="77777777" w:rsidR="008946E1" w:rsidRDefault="008946E1" w:rsidP="0048229C">
      <w:pPr>
        <w:spacing w:line="360" w:lineRule="auto"/>
        <w:rPr>
          <w:lang w:val="en-US"/>
        </w:rPr>
      </w:pPr>
    </w:p>
    <w:p w14:paraId="3F3F0D49" w14:textId="565CD84C" w:rsidR="00C21E9B" w:rsidRDefault="008946E1" w:rsidP="00C21E9B">
      <w:pPr>
        <w:spacing w:line="360" w:lineRule="auto"/>
        <w:rPr>
          <w:lang w:val="en-US"/>
        </w:rPr>
      </w:pPr>
      <w:r>
        <w:rPr>
          <w:lang w:val="en-US"/>
        </w:rPr>
        <w:t xml:space="preserve">The analysis with the transitional variables is more equivocal. The hypothesized changes in clinical characteristics were generally associated with significant correlations for both quality of life measures with the transitional variables at the 12 week time point. By the 48 week time point only the </w:t>
      </w:r>
      <w:r w:rsidR="00C948D2">
        <w:rPr>
          <w:lang w:val="en-US"/>
        </w:rPr>
        <w:t>GO-QOL</w:t>
      </w:r>
      <w:r>
        <w:rPr>
          <w:lang w:val="en-US"/>
        </w:rPr>
        <w:t xml:space="preserve"> appearance subscale recorded significant correlations with the T1 (my eye condition causes me pain and discomfort) and T2 (my eye condition limits my ability to do the things I want to do). </w:t>
      </w:r>
      <w:r>
        <w:rPr>
          <w:lang w:val="en-US"/>
        </w:rPr>
        <w:lastRenderedPageBreak/>
        <w:t xml:space="preserve">Given the focus of the T1 and T2 variables on what might be considered to be issues more associated with visual function, it is curious that the observed correlations are with the appearance subscale. The Visual Analogue Scales in the study are more focused on what might be considered appearance issues – the perceived noticeability and severity of the TED. It is probably no surprise that these were significantly correlated with the appearance subscale of the </w:t>
      </w:r>
      <w:r w:rsidR="00C948D2">
        <w:rPr>
          <w:lang w:val="en-US"/>
        </w:rPr>
        <w:t>GO-QOL</w:t>
      </w:r>
      <w:r>
        <w:rPr>
          <w:lang w:val="en-US"/>
        </w:rPr>
        <w:t xml:space="preserve"> at </w:t>
      </w:r>
      <w:r w:rsidR="00C21E9B">
        <w:rPr>
          <w:lang w:val="en-US"/>
        </w:rPr>
        <w:t xml:space="preserve">both the 12 week and 48 week study time points. </w:t>
      </w:r>
    </w:p>
    <w:p w14:paraId="60B30AAA" w14:textId="77777777" w:rsidR="00C21E9B" w:rsidRDefault="00C21E9B" w:rsidP="00C21E9B">
      <w:pPr>
        <w:spacing w:line="360" w:lineRule="auto"/>
        <w:rPr>
          <w:lang w:val="en-US"/>
        </w:rPr>
      </w:pPr>
    </w:p>
    <w:p w14:paraId="068A6807" w14:textId="10C1D2A6" w:rsidR="00C21E9B" w:rsidRDefault="00C21E9B" w:rsidP="00C21E9B">
      <w:pPr>
        <w:spacing w:line="360" w:lineRule="auto"/>
        <w:rPr>
          <w:rFonts w:ascii="Times" w:hAnsi="Times"/>
        </w:rPr>
      </w:pPr>
      <w:r>
        <w:rPr>
          <w:rFonts w:cs="Times New Roman"/>
          <w:lang w:val="en-US"/>
        </w:rPr>
        <w:t xml:space="preserve">The </w:t>
      </w:r>
      <w:r w:rsidR="00C948D2">
        <w:rPr>
          <w:rFonts w:cs="Times New Roman"/>
          <w:lang w:val="en-US"/>
        </w:rPr>
        <w:t>GO-QOL</w:t>
      </w:r>
      <w:r>
        <w:rPr>
          <w:rFonts w:cs="Times New Roman"/>
          <w:lang w:val="en-US"/>
        </w:rPr>
        <w:t xml:space="preserve"> has also demonstrated discriminant validity, with the visual function subscale being able to detect changes in groups identified by clinicians (using BCCOM ratings of improvement or deterioration), while both subscales could detect group differences when based on participants’ ratings of TED noticeability and severity. </w:t>
      </w:r>
      <w:r w:rsidR="00C1186A">
        <w:rPr>
          <w:rFonts w:cs="Times New Roman"/>
          <w:lang w:val="en-US"/>
        </w:rPr>
        <w:t xml:space="preserve">It is worth noting that BCCOM is constructed to include factors such as diplopia which would correlate much better with function than with appearance (Appendix 1). </w:t>
      </w:r>
      <w:r>
        <w:rPr>
          <w:rFonts w:cs="Times New Roman"/>
          <w:lang w:val="en-US"/>
        </w:rPr>
        <w:t xml:space="preserve">It has been suggested that </w:t>
      </w:r>
      <w:r>
        <w:rPr>
          <w:rFonts w:ascii="Times" w:hAnsi="Times"/>
        </w:rPr>
        <w:t>patients with TED overrated the extent to which their appearance was affected, while endocrinologists underrated it (</w:t>
      </w:r>
      <w:proofErr w:type="spellStart"/>
      <w:r>
        <w:rPr>
          <w:rFonts w:ascii="Times" w:hAnsi="Times"/>
        </w:rPr>
        <w:t>Terwee</w:t>
      </w:r>
      <w:proofErr w:type="spellEnd"/>
      <w:r>
        <w:rPr>
          <w:rFonts w:ascii="Times" w:hAnsi="Times"/>
        </w:rPr>
        <w:t xml:space="preserve"> et al, 2003). Of course, the measures employed do not necessarily take into account the reference point, i.e. patients are possibly comparing themselves prior to TED, or with other people who do not have the disease at all, whereas clinicians could be comparing across individuals who have TED. Without interviewing the participants and clinicians concerned it is impossible to know.</w:t>
      </w:r>
    </w:p>
    <w:p w14:paraId="2143E940" w14:textId="77777777" w:rsidR="00C21E9B" w:rsidRPr="0048229C" w:rsidRDefault="00C21E9B" w:rsidP="0048229C">
      <w:pPr>
        <w:widowControl w:val="0"/>
        <w:autoSpaceDE w:val="0"/>
        <w:autoSpaceDN w:val="0"/>
        <w:adjustRightInd w:val="0"/>
        <w:spacing w:line="360" w:lineRule="auto"/>
        <w:rPr>
          <w:rFonts w:cs="Times New Roman"/>
          <w:lang w:val="en-US"/>
        </w:rPr>
      </w:pPr>
    </w:p>
    <w:p w14:paraId="097A80A9" w14:textId="71E051FE" w:rsidR="007A5E02" w:rsidRDefault="004C540A" w:rsidP="0048229C">
      <w:pPr>
        <w:spacing w:line="360" w:lineRule="auto"/>
        <w:rPr>
          <w:lang w:val="en-US"/>
        </w:rPr>
      </w:pPr>
      <w:r w:rsidRPr="0048229C">
        <w:rPr>
          <w:lang w:val="en-US"/>
        </w:rPr>
        <w:t>Historically health care professionals have found it d</w:t>
      </w:r>
      <w:r w:rsidR="00F172F2">
        <w:rPr>
          <w:lang w:val="en-US"/>
        </w:rPr>
        <w:t>ifficult to engage with patient</w:t>
      </w:r>
      <w:r w:rsidRPr="0048229C">
        <w:rPr>
          <w:lang w:val="en-US"/>
        </w:rPr>
        <w:t>s</w:t>
      </w:r>
      <w:r w:rsidR="00F172F2">
        <w:rPr>
          <w:lang w:val="en-US"/>
        </w:rPr>
        <w:t>’</w:t>
      </w:r>
      <w:r w:rsidRPr="0048229C">
        <w:rPr>
          <w:lang w:val="en-US"/>
        </w:rPr>
        <w:t xml:space="preserve"> concerns regard</w:t>
      </w:r>
      <w:r w:rsidR="00C75DE2">
        <w:rPr>
          <w:lang w:val="en-US"/>
        </w:rPr>
        <w:t>ing their looks and body image (</w:t>
      </w:r>
      <w:proofErr w:type="spellStart"/>
      <w:r w:rsidR="00C75DE2">
        <w:rPr>
          <w:lang w:val="en-US"/>
        </w:rPr>
        <w:t>Bessell</w:t>
      </w:r>
      <w:proofErr w:type="spellEnd"/>
      <w:r w:rsidR="00C75DE2">
        <w:rPr>
          <w:lang w:val="en-US"/>
        </w:rPr>
        <w:t xml:space="preserve"> et al, 2012)</w:t>
      </w:r>
      <w:r w:rsidRPr="0048229C">
        <w:rPr>
          <w:lang w:val="en-US"/>
        </w:rPr>
        <w:t xml:space="preserve">, quantifying these concerns with a measure like </w:t>
      </w:r>
      <w:r w:rsidR="00C21E9B">
        <w:rPr>
          <w:lang w:val="en-US"/>
        </w:rPr>
        <w:t xml:space="preserve">the </w:t>
      </w:r>
      <w:r w:rsidR="00C948D2">
        <w:rPr>
          <w:lang w:val="en-US"/>
        </w:rPr>
        <w:t>GO-QOL</w:t>
      </w:r>
      <w:r w:rsidRPr="0048229C">
        <w:rPr>
          <w:lang w:val="en-US"/>
        </w:rPr>
        <w:t xml:space="preserve"> may </w:t>
      </w:r>
      <w:r w:rsidR="00692EDA" w:rsidRPr="0048229C">
        <w:rPr>
          <w:lang w:val="en-US"/>
        </w:rPr>
        <w:t>help</w:t>
      </w:r>
      <w:r w:rsidR="00F172F2">
        <w:rPr>
          <w:lang w:val="en-US"/>
        </w:rPr>
        <w:t xml:space="preserve"> doctor</w:t>
      </w:r>
      <w:r w:rsidRPr="0048229C">
        <w:rPr>
          <w:lang w:val="en-US"/>
        </w:rPr>
        <w:t>s</w:t>
      </w:r>
      <w:r w:rsidR="00F172F2">
        <w:rPr>
          <w:lang w:val="en-US"/>
        </w:rPr>
        <w:t>’</w:t>
      </w:r>
      <w:r w:rsidRPr="0048229C">
        <w:rPr>
          <w:lang w:val="en-US"/>
        </w:rPr>
        <w:t xml:space="preserve"> engageme</w:t>
      </w:r>
      <w:r w:rsidR="00692EDA" w:rsidRPr="0048229C">
        <w:rPr>
          <w:lang w:val="en-US"/>
        </w:rPr>
        <w:t>nt with their patients concerns and target therapy accordingly.</w:t>
      </w:r>
    </w:p>
    <w:p w14:paraId="3BA6969B" w14:textId="77777777" w:rsidR="0048229C" w:rsidRDefault="0048229C" w:rsidP="0048229C">
      <w:pPr>
        <w:spacing w:line="360" w:lineRule="auto"/>
        <w:rPr>
          <w:lang w:val="en-US"/>
        </w:rPr>
      </w:pPr>
    </w:p>
    <w:p w14:paraId="76DCDABE" w14:textId="77777777" w:rsidR="008210BB" w:rsidRDefault="008210BB" w:rsidP="008210BB">
      <w:pPr>
        <w:rPr>
          <w:b/>
        </w:rPr>
      </w:pPr>
    </w:p>
    <w:p w14:paraId="11C0B412" w14:textId="77777777" w:rsidR="008210BB" w:rsidRDefault="008210BB" w:rsidP="008210BB">
      <w:r w:rsidRPr="00B30009">
        <w:rPr>
          <w:b/>
        </w:rPr>
        <w:t>Competing interest statement:</w:t>
      </w:r>
      <w:r>
        <w:rPr>
          <w:b/>
        </w:rPr>
        <w:t xml:space="preserve"> </w:t>
      </w:r>
      <w:r>
        <w:t>The authors of this study have no competing interests to declare.</w:t>
      </w:r>
    </w:p>
    <w:p w14:paraId="28C8D28F" w14:textId="77777777" w:rsidR="008210BB" w:rsidRDefault="008210BB" w:rsidP="008210BB"/>
    <w:p w14:paraId="6940811F" w14:textId="77777777" w:rsidR="00E41051" w:rsidRPr="00B30009" w:rsidRDefault="00E41051" w:rsidP="00E41051">
      <w:pPr>
        <w:rPr>
          <w:b/>
        </w:rPr>
      </w:pPr>
      <w:r w:rsidRPr="00B30009">
        <w:rPr>
          <w:b/>
        </w:rPr>
        <w:t>Acknowledgements:</w:t>
      </w:r>
    </w:p>
    <w:p w14:paraId="6AA68190" w14:textId="77777777" w:rsidR="00E41051" w:rsidRDefault="00E41051" w:rsidP="00E41051">
      <w:r>
        <w:t xml:space="preserve">The authors would like to thank the staff at all the CIRTED trial </w:t>
      </w:r>
      <w:r w:rsidRPr="00E41051">
        <w:t>sites</w:t>
      </w:r>
      <w:r>
        <w:t xml:space="preserve"> for their assistance in this project.</w:t>
      </w:r>
    </w:p>
    <w:p w14:paraId="10C56275" w14:textId="77777777" w:rsidR="00E41051" w:rsidRDefault="00E41051" w:rsidP="00E41051"/>
    <w:p w14:paraId="7F5EE09E" w14:textId="77777777" w:rsidR="00E41051" w:rsidRDefault="00E41051" w:rsidP="00E41051">
      <w:r>
        <w:lastRenderedPageBreak/>
        <w:t>The authors would like to thank the staff at the University of the West of England who have contributed to the study design, data collection and data management; in particular, Jane Murray, Nicky Rumsey, Emma Williams &amp; Laura Kingston.</w:t>
      </w:r>
    </w:p>
    <w:p w14:paraId="75DBFD7D" w14:textId="77777777" w:rsidR="00E41051" w:rsidRDefault="00E41051" w:rsidP="00E41051"/>
    <w:p w14:paraId="13989A6D" w14:textId="7AB35F2F" w:rsidR="00E41051" w:rsidRDefault="00E41051" w:rsidP="00E41051">
      <w:r>
        <w:t xml:space="preserve">The material in this publication is the result of use of the </w:t>
      </w:r>
      <w:r w:rsidR="00C948D2">
        <w:t>WHOQOL</w:t>
      </w:r>
      <w:r>
        <w:t>-UK and the assistance of the University of Bath and the World Health Organisation is acknowledged.</w:t>
      </w:r>
    </w:p>
    <w:p w14:paraId="6068FE5E" w14:textId="77777777" w:rsidR="00E41051" w:rsidRDefault="00E41051" w:rsidP="00E41051"/>
    <w:p w14:paraId="36F353E2" w14:textId="77777777" w:rsidR="00E41051" w:rsidRDefault="00E41051" w:rsidP="00E41051">
      <w:r>
        <w:t>RL received</w:t>
      </w:r>
      <w:r w:rsidRPr="00ED1F2C">
        <w:t xml:space="preserve"> support from the National Institute for Health Research (NIHR) Biomedical Research</w:t>
      </w:r>
      <w:r>
        <w:t xml:space="preserve"> </w:t>
      </w:r>
      <w:r w:rsidRPr="00ED1F2C">
        <w:t>Centre based at Moorfields Eye Hospital NHS Foundation Trust and</w:t>
      </w:r>
      <w:r>
        <w:t xml:space="preserve"> </w:t>
      </w:r>
      <w:r w:rsidRPr="00ED1F2C">
        <w:t>University College London Institute of Ophthalmology. The views</w:t>
      </w:r>
      <w:r>
        <w:t xml:space="preserve"> </w:t>
      </w:r>
      <w:r w:rsidRPr="00ED1F2C">
        <w:t>expressed are those of the authors and not necessarily those of the</w:t>
      </w:r>
      <w:r>
        <w:t xml:space="preserve"> </w:t>
      </w:r>
      <w:r w:rsidRPr="00ED1F2C">
        <w:t>National Health Service, the NIHR or the Department of Health</w:t>
      </w:r>
    </w:p>
    <w:p w14:paraId="2FE5E8FB" w14:textId="77777777" w:rsidR="00E41051" w:rsidRDefault="00E41051" w:rsidP="00E41051"/>
    <w:p w14:paraId="2227C3E5" w14:textId="77777777" w:rsidR="00E41051" w:rsidRPr="007C1902" w:rsidRDefault="00E41051" w:rsidP="00E41051">
      <w:pPr>
        <w:rPr>
          <w:b/>
        </w:rPr>
      </w:pPr>
      <w:r w:rsidRPr="007C1902">
        <w:rPr>
          <w:b/>
        </w:rPr>
        <w:t>List of CIRTED Trial Investigators:</w:t>
      </w:r>
    </w:p>
    <w:p w14:paraId="6A92F271" w14:textId="77777777" w:rsidR="00E41051" w:rsidRDefault="00E41051" w:rsidP="00E41051">
      <w:r>
        <w:t xml:space="preserve">Moorfields Eye Hospital NHS Foundation Trust, London, UK: </w:t>
      </w:r>
      <w:proofErr w:type="spellStart"/>
      <w:r>
        <w:t>Rathie</w:t>
      </w:r>
      <w:proofErr w:type="spellEnd"/>
      <w:r>
        <w:t xml:space="preserve"> </w:t>
      </w:r>
      <w:proofErr w:type="spellStart"/>
      <w:r>
        <w:t>Rajendram</w:t>
      </w:r>
      <w:proofErr w:type="spellEnd"/>
      <w:r>
        <w:t xml:space="preserve">, </w:t>
      </w:r>
      <w:r w:rsidRPr="00AB0C76">
        <w:t>Nicola Harris, Olivia C Morris</w:t>
      </w:r>
      <w:r>
        <w:t xml:space="preserve">, </w:t>
      </w:r>
      <w:proofErr w:type="spellStart"/>
      <w:r>
        <w:t>Catey</w:t>
      </w:r>
      <w:proofErr w:type="spellEnd"/>
      <w:r>
        <w:t xml:space="preserve"> Bunce, Daniel Ezra, Geoff Rose</w:t>
      </w:r>
    </w:p>
    <w:p w14:paraId="226BD97B" w14:textId="77777777" w:rsidR="00E41051" w:rsidRDefault="00E41051" w:rsidP="00E41051">
      <w:r>
        <w:t>Bristol Eye Hospital, University Hospitals Bristol NHS Foundation Trust:</w:t>
      </w:r>
      <w:r w:rsidRPr="00AB0C76">
        <w:t xml:space="preserve"> Marjorie Tomlinson, Sue Yarrow</w:t>
      </w:r>
      <w:r>
        <w:t xml:space="preserve">, Helen </w:t>
      </w:r>
      <w:proofErr w:type="spellStart"/>
      <w:r>
        <w:t>Garrott</w:t>
      </w:r>
      <w:proofErr w:type="spellEnd"/>
      <w:r w:rsidRPr="00AB0C76">
        <w:t>, Helen Herbert</w:t>
      </w:r>
      <w:r>
        <w:t xml:space="preserve">, Andrew </w:t>
      </w:r>
      <w:r w:rsidRPr="00AB0C76">
        <w:t>Dick</w:t>
      </w:r>
      <w:r>
        <w:t>, Mike Potts</w:t>
      </w:r>
    </w:p>
    <w:p w14:paraId="1E8303E6" w14:textId="77777777" w:rsidR="00E41051" w:rsidRDefault="00E41051" w:rsidP="00E41051">
      <w:r>
        <w:t>Manchester Royal Eye Hospital, Central Manchester NHS Foundation Trust: Anne Cook</w:t>
      </w:r>
    </w:p>
    <w:p w14:paraId="23395B95" w14:textId="77777777" w:rsidR="00E41051" w:rsidRDefault="00E41051" w:rsidP="00E41051">
      <w:r w:rsidRPr="00EE1E4E">
        <w:t>Wade Ce</w:t>
      </w:r>
      <w:r>
        <w:t xml:space="preserve">ntre for Radiotherapy Research, </w:t>
      </w:r>
      <w:proofErr w:type="gramStart"/>
      <w:r w:rsidRPr="00EE1E4E">
        <w:t>The</w:t>
      </w:r>
      <w:proofErr w:type="gramEnd"/>
      <w:r w:rsidRPr="00EE1E4E">
        <w:t xml:space="preserve"> Christie NHS Foundation Trust</w:t>
      </w:r>
      <w:r>
        <w:t>:</w:t>
      </w:r>
      <w:r w:rsidRPr="00AB0C76">
        <w:t xml:space="preserve"> Rao </w:t>
      </w:r>
      <w:proofErr w:type="spellStart"/>
      <w:r w:rsidRPr="00AB0C76">
        <w:t>Gattamaneni</w:t>
      </w:r>
      <w:proofErr w:type="spellEnd"/>
    </w:p>
    <w:p w14:paraId="6A7B327A" w14:textId="77777777" w:rsidR="00E41051" w:rsidRDefault="00E41051" w:rsidP="00E41051">
      <w:r w:rsidRPr="00EE1E4E">
        <w:t>Western Eye Hospital, Imperial College NHS Healthcare Trust</w:t>
      </w:r>
      <w:r>
        <w:t xml:space="preserve">: </w:t>
      </w:r>
      <w:proofErr w:type="spellStart"/>
      <w:r w:rsidRPr="00AB0C76">
        <w:t>Rajni</w:t>
      </w:r>
      <w:proofErr w:type="spellEnd"/>
      <w:r w:rsidRPr="00AB0C76">
        <w:t xml:space="preserve"> Jain</w:t>
      </w:r>
      <w:r>
        <w:t>,</w:t>
      </w:r>
      <w:r w:rsidRPr="00AB0C76">
        <w:t xml:space="preserve"> Jane </w:t>
      </w:r>
      <w:proofErr w:type="spellStart"/>
      <w:r w:rsidRPr="00AB0C76">
        <w:t>Olver</w:t>
      </w:r>
      <w:proofErr w:type="spellEnd"/>
    </w:p>
    <w:p w14:paraId="134C59E0" w14:textId="77777777" w:rsidR="00E41051" w:rsidRDefault="00E41051" w:rsidP="00E41051">
      <w:r>
        <w:t xml:space="preserve">University College London Hospitals NHS Foundation Trust: Steven </w:t>
      </w:r>
      <w:proofErr w:type="spellStart"/>
      <w:r>
        <w:t>Hurel</w:t>
      </w:r>
      <w:proofErr w:type="spellEnd"/>
      <w:r w:rsidRPr="00AB0C76">
        <w:t xml:space="preserve">, </w:t>
      </w:r>
      <w:proofErr w:type="spellStart"/>
      <w:r w:rsidRPr="00AB0C76">
        <w:t>Fion</w:t>
      </w:r>
      <w:proofErr w:type="spellEnd"/>
      <w:r w:rsidRPr="00AB0C76">
        <w:t xml:space="preserve"> </w:t>
      </w:r>
      <w:proofErr w:type="spellStart"/>
      <w:r w:rsidRPr="00AB0C76">
        <w:t>B</w:t>
      </w:r>
      <w:r>
        <w:t>remner</w:t>
      </w:r>
      <w:proofErr w:type="spellEnd"/>
    </w:p>
    <w:p w14:paraId="73209AE6" w14:textId="77777777" w:rsidR="00E41051" w:rsidRDefault="00E41051" w:rsidP="00E41051">
      <w:r w:rsidRPr="00EE1E4E">
        <w:t xml:space="preserve">Tennent Institute of Ophthalmology, </w:t>
      </w:r>
      <w:proofErr w:type="spellStart"/>
      <w:r w:rsidRPr="00EE1E4E">
        <w:t>Gartnavel</w:t>
      </w:r>
      <w:proofErr w:type="spellEnd"/>
      <w:r w:rsidRPr="00EE1E4E">
        <w:t xml:space="preserve"> General Hospital, NHS Greater Glasgow and Clyde</w:t>
      </w:r>
      <w:r>
        <w:t xml:space="preserve">: </w:t>
      </w:r>
      <w:proofErr w:type="spellStart"/>
      <w:r>
        <w:t>Suzannah</w:t>
      </w:r>
      <w:proofErr w:type="spellEnd"/>
      <w:r>
        <w:t xml:space="preserve"> R Drummond</w:t>
      </w:r>
      <w:r w:rsidRPr="00AB0C76">
        <w:t>, Ewan</w:t>
      </w:r>
      <w:r>
        <w:t xml:space="preserve"> Kemp</w:t>
      </w:r>
    </w:p>
    <w:p w14:paraId="44E3500E" w14:textId="77777777" w:rsidR="00E41051" w:rsidRDefault="00E41051" w:rsidP="00E41051">
      <w:proofErr w:type="spellStart"/>
      <w:r w:rsidRPr="00EE1E4E">
        <w:t>Beatson</w:t>
      </w:r>
      <w:proofErr w:type="spellEnd"/>
      <w:r w:rsidRPr="00EE1E4E">
        <w:t xml:space="preserve"> West of Scotland Cancer Centre</w:t>
      </w:r>
      <w:r>
        <w:t>:</w:t>
      </w:r>
      <w:r w:rsidRPr="00AB0C76">
        <w:t xml:space="preserve"> Dian</w:t>
      </w:r>
      <w:r>
        <w:t>a Ritchie</w:t>
      </w:r>
    </w:p>
    <w:p w14:paraId="5F831581" w14:textId="77777777" w:rsidR="00E41051" w:rsidRDefault="00E41051" w:rsidP="00E41051">
      <w:r>
        <w:t>U</w:t>
      </w:r>
      <w:r w:rsidRPr="00EE1E4E">
        <w:t>niversity Hospital of Wales</w:t>
      </w:r>
      <w:r>
        <w:t>:</w:t>
      </w:r>
      <w:r w:rsidRPr="00EE1E4E">
        <w:t xml:space="preserve"> </w:t>
      </w:r>
      <w:r w:rsidRPr="00AB0C76">
        <w:t>Daniel Mor</w:t>
      </w:r>
      <w:r>
        <w:t>ris, Carol Lane</w:t>
      </w:r>
    </w:p>
    <w:p w14:paraId="42DCEFB2" w14:textId="77777777" w:rsidR="00E41051" w:rsidRDefault="00E41051" w:rsidP="00E41051">
      <w:r>
        <w:t xml:space="preserve">Thyroid Research Group, Cardiff University School of Medicine, </w:t>
      </w:r>
      <w:proofErr w:type="spellStart"/>
      <w:r>
        <w:t>Chunhei</w:t>
      </w:r>
      <w:proofErr w:type="spellEnd"/>
      <w:r>
        <w:t xml:space="preserve"> Li, Julie Pell, Robert Hills</w:t>
      </w:r>
    </w:p>
    <w:p w14:paraId="30E466D7" w14:textId="77777777" w:rsidR="00E41051" w:rsidRDefault="00E41051" w:rsidP="00E41051">
      <w:proofErr w:type="spellStart"/>
      <w:r w:rsidRPr="00EE1E4E">
        <w:t>Velindre</w:t>
      </w:r>
      <w:proofErr w:type="spellEnd"/>
      <w:r w:rsidRPr="00EE1E4E">
        <w:t xml:space="preserve"> NHS Trust, </w:t>
      </w:r>
      <w:proofErr w:type="spellStart"/>
      <w:r w:rsidRPr="00EE1E4E">
        <w:t>Velindre</w:t>
      </w:r>
      <w:proofErr w:type="spellEnd"/>
      <w:r w:rsidRPr="00EE1E4E">
        <w:t xml:space="preserve"> Cancer Centre</w:t>
      </w:r>
      <w:r>
        <w:t xml:space="preserve">: </w:t>
      </w:r>
      <w:proofErr w:type="spellStart"/>
      <w:r w:rsidRPr="00EE1E4E">
        <w:t>Nachi</w:t>
      </w:r>
      <w:proofErr w:type="spellEnd"/>
      <w:r w:rsidRPr="00EE1E4E">
        <w:t xml:space="preserve"> </w:t>
      </w:r>
      <w:proofErr w:type="spellStart"/>
      <w:r w:rsidRPr="00EE1E4E">
        <w:t>Palaniappan</w:t>
      </w:r>
      <w:proofErr w:type="spellEnd"/>
    </w:p>
    <w:p w14:paraId="454A2484" w14:textId="77777777" w:rsidR="00E41051" w:rsidRDefault="00E41051" w:rsidP="00E41051"/>
    <w:p w14:paraId="4867B0B2" w14:textId="77777777" w:rsidR="00E41051" w:rsidRPr="007F62D3" w:rsidRDefault="00E41051" w:rsidP="00E41051">
      <w:pPr>
        <w:rPr>
          <w:b/>
        </w:rPr>
      </w:pPr>
      <w:r w:rsidRPr="007F62D3">
        <w:rPr>
          <w:b/>
        </w:rPr>
        <w:t>Funders:</w:t>
      </w:r>
    </w:p>
    <w:p w14:paraId="4CF28736" w14:textId="77777777" w:rsidR="00E41051" w:rsidRDefault="00E41051" w:rsidP="00E41051">
      <w:r>
        <w:t>Above and Beyond Charities, National Eye Research Centre, Moorfields Eye Hospital Special Trustees.</w:t>
      </w:r>
    </w:p>
    <w:p w14:paraId="0F3A07B3" w14:textId="77777777" w:rsidR="00E41051" w:rsidRDefault="00E41051" w:rsidP="00E41051"/>
    <w:p w14:paraId="404612C7" w14:textId="77777777" w:rsidR="00E41051" w:rsidRPr="007F62D3" w:rsidRDefault="00E41051" w:rsidP="00E41051">
      <w:pPr>
        <w:rPr>
          <w:b/>
        </w:rPr>
      </w:pPr>
      <w:r w:rsidRPr="007F62D3">
        <w:rPr>
          <w:b/>
        </w:rPr>
        <w:t xml:space="preserve">Sponsor: </w:t>
      </w:r>
    </w:p>
    <w:p w14:paraId="5B4B3156" w14:textId="77777777" w:rsidR="00E41051" w:rsidRDefault="00E41051" w:rsidP="00E41051">
      <w:r>
        <w:t>University of Bristol</w:t>
      </w:r>
    </w:p>
    <w:p w14:paraId="57FE47A1" w14:textId="77777777" w:rsidR="008210BB" w:rsidRPr="0048229C" w:rsidRDefault="008210BB" w:rsidP="00FA5990">
      <w:pPr>
        <w:rPr>
          <w:lang w:val="en-US"/>
        </w:rPr>
      </w:pPr>
    </w:p>
    <w:p w14:paraId="510EDE5A" w14:textId="2CD35B4F" w:rsidR="00B6755E" w:rsidRPr="0048229C" w:rsidRDefault="00E37184" w:rsidP="00FA5990">
      <w:pPr>
        <w:rPr>
          <w:lang w:val="en-US"/>
        </w:rPr>
      </w:pPr>
      <w:r>
        <w:rPr>
          <w:b/>
          <w:lang w:val="en-US"/>
        </w:rPr>
        <w:t>References</w:t>
      </w:r>
    </w:p>
    <w:p w14:paraId="42750DFE" w14:textId="77777777" w:rsidR="00C069E3" w:rsidRPr="0048229C" w:rsidRDefault="00C069E3" w:rsidP="00B6755E">
      <w:pPr>
        <w:pStyle w:val="NormalWeb"/>
        <w:spacing w:before="2" w:after="2"/>
        <w:ind w:left="480" w:hanging="480"/>
        <w:rPr>
          <w:rFonts w:asciiTheme="minorHAnsi" w:hAnsiTheme="minorHAnsi"/>
          <w:sz w:val="24"/>
          <w:szCs w:val="24"/>
        </w:rPr>
      </w:pPr>
    </w:p>
    <w:p w14:paraId="1EBAA372" w14:textId="77777777" w:rsidR="00D2324D" w:rsidRDefault="00C069E3" w:rsidP="00D2324D">
      <w:pPr>
        <w:pStyle w:val="NormalWeb"/>
        <w:spacing w:before="2" w:after="2"/>
        <w:ind w:left="480" w:hanging="480"/>
        <w:rPr>
          <w:rFonts w:asciiTheme="minorHAnsi" w:hAnsiTheme="minorHAnsi"/>
          <w:sz w:val="24"/>
          <w:szCs w:val="24"/>
        </w:rPr>
      </w:pPr>
      <w:proofErr w:type="spellStart"/>
      <w:r w:rsidRPr="0048229C">
        <w:rPr>
          <w:rFonts w:asciiTheme="minorHAnsi" w:hAnsiTheme="minorHAnsi"/>
          <w:sz w:val="24"/>
          <w:szCs w:val="24"/>
        </w:rPr>
        <w:t>Bahn</w:t>
      </w:r>
      <w:proofErr w:type="spellEnd"/>
      <w:r w:rsidR="009677C1">
        <w:rPr>
          <w:rFonts w:asciiTheme="minorHAnsi" w:hAnsiTheme="minorHAnsi"/>
          <w:sz w:val="24"/>
          <w:szCs w:val="24"/>
        </w:rPr>
        <w:t>,</w:t>
      </w:r>
      <w:r w:rsidRPr="0048229C">
        <w:rPr>
          <w:rFonts w:asciiTheme="minorHAnsi" w:hAnsiTheme="minorHAnsi"/>
          <w:sz w:val="24"/>
          <w:szCs w:val="24"/>
        </w:rPr>
        <w:t xml:space="preserve"> R.</w:t>
      </w:r>
      <w:r w:rsidR="0010487A">
        <w:rPr>
          <w:rFonts w:asciiTheme="minorHAnsi" w:hAnsiTheme="minorHAnsi"/>
          <w:sz w:val="24"/>
          <w:szCs w:val="24"/>
        </w:rPr>
        <w:t xml:space="preserve"> </w:t>
      </w:r>
      <w:r w:rsidRPr="0048229C">
        <w:rPr>
          <w:rFonts w:asciiTheme="minorHAnsi" w:hAnsiTheme="minorHAnsi"/>
          <w:sz w:val="24"/>
          <w:szCs w:val="24"/>
        </w:rPr>
        <w:t>S.</w:t>
      </w:r>
      <w:r w:rsidR="009677C1">
        <w:rPr>
          <w:rFonts w:asciiTheme="minorHAnsi" w:hAnsiTheme="minorHAnsi"/>
          <w:sz w:val="24"/>
          <w:szCs w:val="24"/>
        </w:rPr>
        <w:t>,</w:t>
      </w:r>
      <w:r w:rsidRPr="0048229C">
        <w:rPr>
          <w:rFonts w:asciiTheme="minorHAnsi" w:hAnsiTheme="minorHAnsi"/>
          <w:sz w:val="24"/>
          <w:szCs w:val="24"/>
        </w:rPr>
        <w:t xml:space="preserve"> &amp; </w:t>
      </w:r>
      <w:proofErr w:type="spellStart"/>
      <w:r w:rsidRPr="0048229C">
        <w:rPr>
          <w:rFonts w:asciiTheme="minorHAnsi" w:hAnsiTheme="minorHAnsi"/>
          <w:sz w:val="24"/>
          <w:szCs w:val="24"/>
        </w:rPr>
        <w:t>Heufelder</w:t>
      </w:r>
      <w:proofErr w:type="spellEnd"/>
      <w:r w:rsidR="009677C1">
        <w:rPr>
          <w:rFonts w:asciiTheme="minorHAnsi" w:hAnsiTheme="minorHAnsi"/>
          <w:sz w:val="24"/>
          <w:szCs w:val="24"/>
        </w:rPr>
        <w:t>,</w:t>
      </w:r>
      <w:r w:rsidRPr="0048229C">
        <w:rPr>
          <w:rFonts w:asciiTheme="minorHAnsi" w:hAnsiTheme="minorHAnsi"/>
          <w:sz w:val="24"/>
          <w:szCs w:val="24"/>
        </w:rPr>
        <w:t xml:space="preserve"> M.</w:t>
      </w:r>
      <w:r w:rsidR="009677C1">
        <w:rPr>
          <w:rFonts w:asciiTheme="minorHAnsi" w:hAnsiTheme="minorHAnsi"/>
          <w:sz w:val="24"/>
          <w:szCs w:val="24"/>
        </w:rPr>
        <w:t xml:space="preserve"> </w:t>
      </w:r>
      <w:r w:rsidRPr="0048229C">
        <w:rPr>
          <w:rFonts w:asciiTheme="minorHAnsi" w:hAnsiTheme="minorHAnsi"/>
          <w:sz w:val="24"/>
          <w:szCs w:val="24"/>
        </w:rPr>
        <w:t xml:space="preserve">D. </w:t>
      </w:r>
      <w:r w:rsidR="009677C1">
        <w:rPr>
          <w:rFonts w:asciiTheme="minorHAnsi" w:hAnsiTheme="minorHAnsi"/>
          <w:sz w:val="24"/>
          <w:szCs w:val="24"/>
        </w:rPr>
        <w:t>(</w:t>
      </w:r>
      <w:r w:rsidRPr="0048229C">
        <w:rPr>
          <w:rFonts w:asciiTheme="minorHAnsi" w:hAnsiTheme="minorHAnsi"/>
          <w:sz w:val="24"/>
          <w:szCs w:val="24"/>
        </w:rPr>
        <w:t>1993</w:t>
      </w:r>
      <w:r w:rsidR="009677C1">
        <w:rPr>
          <w:rFonts w:asciiTheme="minorHAnsi" w:hAnsiTheme="minorHAnsi"/>
          <w:sz w:val="24"/>
          <w:szCs w:val="24"/>
        </w:rPr>
        <w:t>)</w:t>
      </w:r>
      <w:r w:rsidRPr="0048229C">
        <w:rPr>
          <w:rFonts w:asciiTheme="minorHAnsi" w:hAnsiTheme="minorHAnsi"/>
          <w:sz w:val="24"/>
          <w:szCs w:val="24"/>
        </w:rPr>
        <w:t xml:space="preserve">. Pathogenesis of Graves' </w:t>
      </w:r>
      <w:proofErr w:type="spellStart"/>
      <w:r w:rsidRPr="0048229C">
        <w:rPr>
          <w:rFonts w:asciiTheme="minorHAnsi" w:hAnsiTheme="minorHAnsi"/>
          <w:sz w:val="24"/>
          <w:szCs w:val="24"/>
        </w:rPr>
        <w:t>Ophthalmopathy</w:t>
      </w:r>
      <w:proofErr w:type="spellEnd"/>
      <w:r w:rsidRPr="0048229C">
        <w:rPr>
          <w:rFonts w:asciiTheme="minorHAnsi" w:hAnsiTheme="minorHAnsi"/>
          <w:sz w:val="24"/>
          <w:szCs w:val="24"/>
        </w:rPr>
        <w:t xml:space="preserve">. </w:t>
      </w:r>
      <w:r w:rsidRPr="0048229C">
        <w:rPr>
          <w:rFonts w:asciiTheme="minorHAnsi" w:hAnsiTheme="minorHAnsi"/>
          <w:i/>
          <w:sz w:val="24"/>
          <w:szCs w:val="24"/>
        </w:rPr>
        <w:t xml:space="preserve">N </w:t>
      </w:r>
      <w:proofErr w:type="spellStart"/>
      <w:r w:rsidRPr="0048229C">
        <w:rPr>
          <w:rFonts w:asciiTheme="minorHAnsi" w:hAnsiTheme="minorHAnsi"/>
          <w:i/>
          <w:sz w:val="24"/>
          <w:szCs w:val="24"/>
        </w:rPr>
        <w:t>Engl</w:t>
      </w:r>
      <w:proofErr w:type="spellEnd"/>
      <w:r w:rsidRPr="0048229C">
        <w:rPr>
          <w:rFonts w:asciiTheme="minorHAnsi" w:hAnsiTheme="minorHAnsi"/>
          <w:i/>
          <w:sz w:val="24"/>
          <w:szCs w:val="24"/>
        </w:rPr>
        <w:t xml:space="preserve"> J Med</w:t>
      </w:r>
      <w:r w:rsidR="000F0F3C" w:rsidRPr="0048229C">
        <w:rPr>
          <w:rFonts w:asciiTheme="minorHAnsi" w:hAnsiTheme="minorHAnsi"/>
          <w:sz w:val="24"/>
          <w:szCs w:val="24"/>
        </w:rPr>
        <w:t xml:space="preserve">, </w:t>
      </w:r>
      <w:r w:rsidRPr="0048229C">
        <w:rPr>
          <w:rFonts w:asciiTheme="minorHAnsi" w:hAnsiTheme="minorHAnsi"/>
          <w:sz w:val="24"/>
          <w:szCs w:val="24"/>
        </w:rPr>
        <w:t>329(20)</w:t>
      </w:r>
      <w:r w:rsidR="000F0F3C" w:rsidRPr="0048229C">
        <w:rPr>
          <w:rFonts w:asciiTheme="minorHAnsi" w:hAnsiTheme="minorHAnsi"/>
          <w:sz w:val="24"/>
          <w:szCs w:val="24"/>
        </w:rPr>
        <w:t>,</w:t>
      </w:r>
      <w:r w:rsidR="000252CB">
        <w:rPr>
          <w:rFonts w:asciiTheme="minorHAnsi" w:hAnsiTheme="minorHAnsi"/>
          <w:sz w:val="24"/>
          <w:szCs w:val="24"/>
        </w:rPr>
        <w:t xml:space="preserve"> </w:t>
      </w:r>
      <w:r w:rsidR="003618C9" w:rsidRPr="0048229C">
        <w:rPr>
          <w:rFonts w:asciiTheme="minorHAnsi" w:hAnsiTheme="minorHAnsi"/>
          <w:sz w:val="24"/>
          <w:szCs w:val="24"/>
        </w:rPr>
        <w:t>1448-75</w:t>
      </w:r>
      <w:r w:rsidR="009677C1">
        <w:rPr>
          <w:rFonts w:asciiTheme="minorHAnsi" w:hAnsiTheme="minorHAnsi"/>
          <w:sz w:val="24"/>
          <w:szCs w:val="24"/>
        </w:rPr>
        <w:t>.</w:t>
      </w:r>
    </w:p>
    <w:p w14:paraId="6A634A8C" w14:textId="77777777" w:rsidR="00D2324D" w:rsidRDefault="00D2324D" w:rsidP="00D2324D">
      <w:pPr>
        <w:pStyle w:val="NormalWeb"/>
        <w:spacing w:before="2" w:after="2"/>
        <w:ind w:left="480" w:hanging="480"/>
        <w:rPr>
          <w:rFonts w:asciiTheme="minorHAnsi" w:hAnsiTheme="minorHAnsi"/>
          <w:sz w:val="24"/>
          <w:szCs w:val="24"/>
        </w:rPr>
      </w:pPr>
    </w:p>
    <w:p w14:paraId="3AC8C8C3" w14:textId="791D0C06" w:rsidR="00D2324D" w:rsidRPr="009677C1" w:rsidRDefault="00D2324D" w:rsidP="00D2324D">
      <w:pPr>
        <w:pStyle w:val="NormalWeb"/>
        <w:spacing w:before="2" w:after="2"/>
        <w:ind w:left="480" w:hanging="480"/>
        <w:rPr>
          <w:rFonts w:asciiTheme="minorHAnsi" w:hAnsiTheme="minorHAnsi"/>
          <w:sz w:val="24"/>
          <w:szCs w:val="24"/>
        </w:rPr>
      </w:pPr>
      <w:proofErr w:type="spellStart"/>
      <w:r>
        <w:rPr>
          <w:rFonts w:asciiTheme="minorHAnsi" w:hAnsiTheme="minorHAnsi"/>
          <w:sz w:val="24"/>
          <w:szCs w:val="24"/>
        </w:rPr>
        <w:t>Bahn</w:t>
      </w:r>
      <w:proofErr w:type="spellEnd"/>
      <w:r>
        <w:rPr>
          <w:rFonts w:asciiTheme="minorHAnsi" w:hAnsiTheme="minorHAnsi"/>
          <w:sz w:val="24"/>
          <w:szCs w:val="24"/>
        </w:rPr>
        <w:t xml:space="preserve">, R. S., &amp; </w:t>
      </w:r>
      <w:r w:rsidRPr="009677C1">
        <w:rPr>
          <w:rFonts w:asciiTheme="minorHAnsi" w:hAnsiTheme="minorHAnsi"/>
          <w:sz w:val="24"/>
          <w:szCs w:val="24"/>
        </w:rPr>
        <w:t>Gorman,</w:t>
      </w:r>
      <w:r>
        <w:rPr>
          <w:rFonts w:asciiTheme="minorHAnsi" w:hAnsiTheme="minorHAnsi"/>
          <w:sz w:val="24"/>
          <w:szCs w:val="24"/>
        </w:rPr>
        <w:t xml:space="preserve"> C.</w:t>
      </w:r>
      <w:r w:rsidRPr="009677C1">
        <w:rPr>
          <w:rFonts w:asciiTheme="minorHAnsi" w:hAnsiTheme="minorHAnsi"/>
          <w:sz w:val="24"/>
          <w:szCs w:val="24"/>
        </w:rPr>
        <w:t xml:space="preserve"> A</w:t>
      </w:r>
      <w:r>
        <w:rPr>
          <w:rFonts w:asciiTheme="minorHAnsi" w:hAnsiTheme="minorHAnsi"/>
          <w:sz w:val="24"/>
          <w:szCs w:val="24"/>
        </w:rPr>
        <w:t>. (1987).</w:t>
      </w:r>
      <w:r w:rsidRPr="009677C1">
        <w:rPr>
          <w:rFonts w:asciiTheme="minorHAnsi" w:hAnsiTheme="minorHAnsi"/>
          <w:sz w:val="24"/>
          <w:szCs w:val="24"/>
        </w:rPr>
        <w:t xml:space="preserve"> Choice of therapy and criteria for assessing treatment outcome in thyroid-associated </w:t>
      </w:r>
      <w:proofErr w:type="spellStart"/>
      <w:r w:rsidRPr="009677C1">
        <w:rPr>
          <w:rFonts w:asciiTheme="minorHAnsi" w:hAnsiTheme="minorHAnsi"/>
          <w:sz w:val="24"/>
          <w:szCs w:val="24"/>
        </w:rPr>
        <w:t>ophthalmopathy</w:t>
      </w:r>
      <w:proofErr w:type="spellEnd"/>
      <w:r w:rsidRPr="009677C1">
        <w:rPr>
          <w:rFonts w:asciiTheme="minorHAnsi" w:hAnsiTheme="minorHAnsi"/>
          <w:sz w:val="24"/>
          <w:szCs w:val="24"/>
        </w:rPr>
        <w:t xml:space="preserve">· </w:t>
      </w:r>
      <w:r w:rsidRPr="009677C1">
        <w:rPr>
          <w:rFonts w:asciiTheme="minorHAnsi" w:hAnsiTheme="minorHAnsi"/>
          <w:i/>
          <w:iCs/>
          <w:sz w:val="24"/>
          <w:szCs w:val="24"/>
        </w:rPr>
        <w:t>Endocrinology and metabolism clinics of North America</w:t>
      </w:r>
      <w:r>
        <w:rPr>
          <w:rFonts w:asciiTheme="minorHAnsi" w:hAnsiTheme="minorHAnsi"/>
          <w:i/>
          <w:iCs/>
          <w:sz w:val="24"/>
          <w:szCs w:val="24"/>
        </w:rPr>
        <w:t>,</w:t>
      </w:r>
      <w:r w:rsidRPr="009677C1">
        <w:rPr>
          <w:rFonts w:asciiTheme="minorHAnsi" w:hAnsiTheme="minorHAnsi"/>
          <w:i/>
          <w:iCs/>
          <w:sz w:val="24"/>
          <w:szCs w:val="24"/>
        </w:rPr>
        <w:t xml:space="preserve"> </w:t>
      </w:r>
      <w:r w:rsidRPr="009677C1">
        <w:rPr>
          <w:rFonts w:asciiTheme="minorHAnsi" w:hAnsiTheme="minorHAnsi"/>
          <w:sz w:val="24"/>
          <w:szCs w:val="24"/>
        </w:rPr>
        <w:t>16(2)</w:t>
      </w:r>
      <w:r>
        <w:rPr>
          <w:rFonts w:asciiTheme="minorHAnsi" w:hAnsiTheme="minorHAnsi"/>
          <w:sz w:val="24"/>
          <w:szCs w:val="24"/>
        </w:rPr>
        <w:t>, 391-407.</w:t>
      </w:r>
    </w:p>
    <w:p w14:paraId="40A89B97" w14:textId="77777777" w:rsidR="009677C1" w:rsidRDefault="009677C1" w:rsidP="00B6755E">
      <w:pPr>
        <w:pStyle w:val="NormalWeb"/>
        <w:spacing w:before="2" w:after="2"/>
        <w:ind w:left="480" w:hanging="480"/>
        <w:rPr>
          <w:rFonts w:asciiTheme="minorHAnsi" w:hAnsiTheme="minorHAnsi"/>
          <w:sz w:val="24"/>
          <w:szCs w:val="24"/>
        </w:rPr>
      </w:pPr>
    </w:p>
    <w:p w14:paraId="1F7BBD64" w14:textId="77777777" w:rsidR="009677C1" w:rsidRDefault="009677C1" w:rsidP="009677C1">
      <w:pPr>
        <w:pStyle w:val="NormalWeb"/>
        <w:spacing w:before="2" w:after="2"/>
        <w:ind w:left="480" w:hanging="480"/>
        <w:rPr>
          <w:rFonts w:asciiTheme="minorHAnsi" w:hAnsiTheme="minorHAnsi" w:cs="Helvetica"/>
          <w:sz w:val="24"/>
          <w:szCs w:val="24"/>
          <w:lang w:val="en"/>
        </w:rPr>
      </w:pPr>
      <w:proofErr w:type="spellStart"/>
      <w:r w:rsidRPr="0048229C">
        <w:rPr>
          <w:rFonts w:asciiTheme="minorHAnsi" w:hAnsiTheme="minorHAnsi"/>
          <w:sz w:val="24"/>
          <w:szCs w:val="24"/>
        </w:rPr>
        <w:lastRenderedPageBreak/>
        <w:t>Bartalena</w:t>
      </w:r>
      <w:proofErr w:type="spellEnd"/>
      <w:r w:rsidRPr="0048229C">
        <w:rPr>
          <w:rFonts w:asciiTheme="minorHAnsi" w:hAnsiTheme="minorHAnsi"/>
          <w:sz w:val="24"/>
          <w:szCs w:val="24"/>
        </w:rPr>
        <w:t>, L.</w:t>
      </w:r>
      <w:r>
        <w:rPr>
          <w:rFonts w:asciiTheme="minorHAnsi" w:hAnsiTheme="minorHAnsi"/>
          <w:sz w:val="24"/>
          <w:szCs w:val="24"/>
        </w:rPr>
        <w:t>,</w:t>
      </w:r>
      <w:r w:rsidRPr="0048229C">
        <w:rPr>
          <w:rFonts w:asciiTheme="minorHAnsi" w:hAnsiTheme="minorHAnsi"/>
          <w:sz w:val="24"/>
          <w:szCs w:val="24"/>
        </w:rPr>
        <w:t xml:space="preserve"> </w:t>
      </w:r>
      <w:proofErr w:type="spellStart"/>
      <w:r>
        <w:rPr>
          <w:rFonts w:asciiTheme="minorHAnsi" w:hAnsiTheme="minorHAnsi"/>
          <w:sz w:val="24"/>
          <w:szCs w:val="24"/>
        </w:rPr>
        <w:t>Baldeshi</w:t>
      </w:r>
      <w:proofErr w:type="spellEnd"/>
      <w:r>
        <w:rPr>
          <w:rFonts w:asciiTheme="minorHAnsi" w:hAnsiTheme="minorHAnsi"/>
          <w:sz w:val="24"/>
          <w:szCs w:val="24"/>
        </w:rPr>
        <w:t xml:space="preserve">, L., </w:t>
      </w:r>
      <w:proofErr w:type="spellStart"/>
      <w:r>
        <w:rPr>
          <w:rFonts w:asciiTheme="minorHAnsi" w:hAnsiTheme="minorHAnsi"/>
          <w:sz w:val="24"/>
          <w:szCs w:val="24"/>
        </w:rPr>
        <w:t>Boboridis</w:t>
      </w:r>
      <w:proofErr w:type="spellEnd"/>
      <w:r>
        <w:rPr>
          <w:rFonts w:asciiTheme="minorHAnsi" w:hAnsiTheme="minorHAnsi"/>
          <w:sz w:val="24"/>
          <w:szCs w:val="24"/>
        </w:rPr>
        <w:t xml:space="preserve">, K., Eckstein, A., </w:t>
      </w:r>
      <w:proofErr w:type="spellStart"/>
      <w:r>
        <w:rPr>
          <w:rFonts w:asciiTheme="minorHAnsi" w:hAnsiTheme="minorHAnsi"/>
          <w:sz w:val="24"/>
          <w:szCs w:val="24"/>
        </w:rPr>
        <w:t>Kahaly</w:t>
      </w:r>
      <w:proofErr w:type="spellEnd"/>
      <w:r>
        <w:rPr>
          <w:rFonts w:asciiTheme="minorHAnsi" w:hAnsiTheme="minorHAnsi"/>
          <w:sz w:val="24"/>
          <w:szCs w:val="24"/>
        </w:rPr>
        <w:t xml:space="preserve">, G. J., </w:t>
      </w:r>
      <w:proofErr w:type="spellStart"/>
      <w:r>
        <w:rPr>
          <w:rFonts w:asciiTheme="minorHAnsi" w:hAnsiTheme="minorHAnsi"/>
          <w:sz w:val="24"/>
          <w:szCs w:val="24"/>
        </w:rPr>
        <w:t>Marcocci</w:t>
      </w:r>
      <w:proofErr w:type="spellEnd"/>
      <w:r>
        <w:rPr>
          <w:rFonts w:asciiTheme="minorHAnsi" w:hAnsiTheme="minorHAnsi"/>
          <w:sz w:val="24"/>
          <w:szCs w:val="24"/>
        </w:rPr>
        <w:t>, C</w:t>
      </w:r>
      <w:proofErr w:type="gramStart"/>
      <w:r>
        <w:rPr>
          <w:rFonts w:asciiTheme="minorHAnsi" w:hAnsiTheme="minorHAnsi"/>
          <w:sz w:val="24"/>
          <w:szCs w:val="24"/>
        </w:rPr>
        <w:t>.</w:t>
      </w:r>
      <w:r w:rsidRPr="0048229C">
        <w:rPr>
          <w:rFonts w:asciiTheme="minorHAnsi" w:hAnsiTheme="minorHAnsi"/>
          <w:sz w:val="24"/>
          <w:szCs w:val="24"/>
        </w:rPr>
        <w:t xml:space="preserve">, </w:t>
      </w:r>
      <w:r>
        <w:rPr>
          <w:rFonts w:asciiTheme="minorHAnsi" w:hAnsiTheme="minorHAnsi"/>
          <w:sz w:val="24"/>
          <w:szCs w:val="24"/>
        </w:rPr>
        <w:t>…</w:t>
      </w:r>
      <w:proofErr w:type="gramEnd"/>
      <w:r>
        <w:rPr>
          <w:rFonts w:asciiTheme="minorHAnsi" w:hAnsiTheme="minorHAnsi"/>
          <w:sz w:val="24"/>
          <w:szCs w:val="24"/>
        </w:rPr>
        <w:t xml:space="preserve"> </w:t>
      </w:r>
      <w:proofErr w:type="spellStart"/>
      <w:r>
        <w:rPr>
          <w:rFonts w:asciiTheme="minorHAnsi" w:hAnsiTheme="minorHAnsi"/>
          <w:sz w:val="24"/>
          <w:szCs w:val="24"/>
        </w:rPr>
        <w:t>Wiersinga</w:t>
      </w:r>
      <w:proofErr w:type="spellEnd"/>
      <w:r>
        <w:rPr>
          <w:rFonts w:asciiTheme="minorHAnsi" w:hAnsiTheme="minorHAnsi"/>
          <w:sz w:val="24"/>
          <w:szCs w:val="24"/>
        </w:rPr>
        <w:t>, W. M. (</w:t>
      </w:r>
      <w:r w:rsidRPr="0048229C">
        <w:rPr>
          <w:rFonts w:asciiTheme="minorHAnsi" w:hAnsiTheme="minorHAnsi"/>
          <w:sz w:val="24"/>
          <w:szCs w:val="24"/>
        </w:rPr>
        <w:t>2016</w:t>
      </w:r>
      <w:r>
        <w:rPr>
          <w:rFonts w:asciiTheme="minorHAnsi" w:hAnsiTheme="minorHAnsi"/>
          <w:sz w:val="24"/>
          <w:szCs w:val="24"/>
        </w:rPr>
        <w:t>)</w:t>
      </w:r>
      <w:r w:rsidRPr="0048229C">
        <w:rPr>
          <w:rFonts w:asciiTheme="minorHAnsi" w:hAnsiTheme="minorHAnsi"/>
          <w:sz w:val="24"/>
          <w:szCs w:val="24"/>
        </w:rPr>
        <w:t xml:space="preserve">. The 2016 European Thyroid Association / European Group on </w:t>
      </w:r>
      <w:proofErr w:type="gramStart"/>
      <w:r w:rsidRPr="0048229C">
        <w:rPr>
          <w:rFonts w:asciiTheme="minorHAnsi" w:hAnsiTheme="minorHAnsi"/>
          <w:sz w:val="24"/>
          <w:szCs w:val="24"/>
        </w:rPr>
        <w:t>Graves ’</w:t>
      </w:r>
      <w:proofErr w:type="gramEnd"/>
      <w:r w:rsidRPr="0048229C">
        <w:rPr>
          <w:rFonts w:asciiTheme="minorHAnsi" w:hAnsiTheme="minorHAnsi"/>
          <w:sz w:val="24"/>
          <w:szCs w:val="24"/>
        </w:rPr>
        <w:t xml:space="preserve"> </w:t>
      </w:r>
      <w:proofErr w:type="spellStart"/>
      <w:r w:rsidRPr="0048229C">
        <w:rPr>
          <w:rFonts w:asciiTheme="minorHAnsi" w:hAnsiTheme="minorHAnsi"/>
          <w:sz w:val="24"/>
          <w:szCs w:val="24"/>
        </w:rPr>
        <w:t>Orbitopathy</w:t>
      </w:r>
      <w:proofErr w:type="spellEnd"/>
      <w:r w:rsidRPr="0048229C">
        <w:rPr>
          <w:rFonts w:asciiTheme="minorHAnsi" w:hAnsiTheme="minorHAnsi"/>
          <w:sz w:val="24"/>
          <w:szCs w:val="24"/>
        </w:rPr>
        <w:t xml:space="preserve"> Guidelines for the Management of Graves ’ </w:t>
      </w:r>
      <w:proofErr w:type="spellStart"/>
      <w:r w:rsidRPr="0048229C">
        <w:rPr>
          <w:rFonts w:asciiTheme="minorHAnsi" w:hAnsiTheme="minorHAnsi"/>
          <w:sz w:val="24"/>
          <w:szCs w:val="24"/>
        </w:rPr>
        <w:t>Orbitopathy</w:t>
      </w:r>
      <w:proofErr w:type="spellEnd"/>
      <w:r w:rsidRPr="0048229C">
        <w:rPr>
          <w:rFonts w:asciiTheme="minorHAnsi" w:hAnsiTheme="minorHAnsi"/>
          <w:sz w:val="24"/>
          <w:szCs w:val="24"/>
        </w:rPr>
        <w:t xml:space="preserve">. </w:t>
      </w:r>
      <w:r w:rsidRPr="0048229C">
        <w:rPr>
          <w:rFonts w:asciiTheme="minorHAnsi" w:hAnsiTheme="minorHAnsi"/>
          <w:i/>
          <w:color w:val="231F20"/>
          <w:sz w:val="24"/>
          <w:szCs w:val="24"/>
          <w:lang w:val="en-US"/>
        </w:rPr>
        <w:t>Eur</w:t>
      </w:r>
      <w:r>
        <w:rPr>
          <w:rFonts w:asciiTheme="minorHAnsi" w:hAnsiTheme="minorHAnsi"/>
          <w:i/>
          <w:color w:val="231F20"/>
          <w:sz w:val="24"/>
          <w:szCs w:val="24"/>
          <w:lang w:val="en-US"/>
        </w:rPr>
        <w:t>opean</w:t>
      </w:r>
      <w:r w:rsidRPr="0048229C">
        <w:rPr>
          <w:rFonts w:asciiTheme="minorHAnsi" w:hAnsiTheme="minorHAnsi"/>
          <w:i/>
          <w:color w:val="231F20"/>
          <w:sz w:val="24"/>
          <w:szCs w:val="24"/>
          <w:lang w:val="en-US"/>
        </w:rPr>
        <w:t xml:space="preserve"> Thyroid J</w:t>
      </w:r>
      <w:r>
        <w:rPr>
          <w:rFonts w:asciiTheme="minorHAnsi" w:hAnsiTheme="minorHAnsi"/>
          <w:i/>
          <w:color w:val="231F20"/>
          <w:sz w:val="24"/>
          <w:szCs w:val="24"/>
          <w:lang w:val="en-US"/>
        </w:rPr>
        <w:t>ournal</w:t>
      </w:r>
      <w:r w:rsidRPr="0048229C">
        <w:rPr>
          <w:rFonts w:asciiTheme="minorHAnsi" w:hAnsiTheme="minorHAnsi"/>
          <w:color w:val="231F20"/>
          <w:sz w:val="24"/>
          <w:szCs w:val="24"/>
          <w:lang w:val="en-US"/>
        </w:rPr>
        <w:t>,</w:t>
      </w:r>
      <w:r>
        <w:rPr>
          <w:rFonts w:asciiTheme="minorHAnsi" w:hAnsiTheme="minorHAnsi"/>
          <w:color w:val="231F20"/>
          <w:sz w:val="24"/>
          <w:szCs w:val="24"/>
          <w:lang w:val="en-US"/>
        </w:rPr>
        <w:t xml:space="preserve"> </w:t>
      </w:r>
      <w:r w:rsidRPr="0048229C">
        <w:rPr>
          <w:rFonts w:asciiTheme="minorHAnsi" w:hAnsiTheme="minorHAnsi"/>
          <w:color w:val="231F20"/>
          <w:sz w:val="24"/>
          <w:szCs w:val="24"/>
          <w:lang w:val="en-US"/>
        </w:rPr>
        <w:t xml:space="preserve">5, </w:t>
      </w:r>
      <w:r w:rsidRPr="0048229C">
        <w:rPr>
          <w:rFonts w:asciiTheme="minorHAnsi" w:hAnsiTheme="minorHAnsi"/>
          <w:sz w:val="24"/>
          <w:szCs w:val="24"/>
        </w:rPr>
        <w:t>9–26.</w:t>
      </w:r>
      <w:r>
        <w:rPr>
          <w:rFonts w:asciiTheme="minorHAnsi" w:hAnsiTheme="minorHAnsi"/>
          <w:sz w:val="24"/>
          <w:szCs w:val="24"/>
        </w:rPr>
        <w:t xml:space="preserve"> </w:t>
      </w:r>
      <w:proofErr w:type="spellStart"/>
      <w:proofErr w:type="gramStart"/>
      <w:r>
        <w:rPr>
          <w:rFonts w:asciiTheme="minorHAnsi" w:hAnsiTheme="minorHAnsi"/>
          <w:sz w:val="24"/>
          <w:szCs w:val="24"/>
        </w:rPr>
        <w:t>doi</w:t>
      </w:r>
      <w:proofErr w:type="spellEnd"/>
      <w:proofErr w:type="gramEnd"/>
      <w:r>
        <w:rPr>
          <w:rFonts w:asciiTheme="minorHAnsi" w:hAnsiTheme="minorHAnsi"/>
          <w:sz w:val="24"/>
          <w:szCs w:val="24"/>
        </w:rPr>
        <w:t xml:space="preserve">: </w:t>
      </w:r>
      <w:hyperlink r:id="rId14" w:history="1">
        <w:r w:rsidRPr="0010487A">
          <w:rPr>
            <w:rFonts w:asciiTheme="minorHAnsi" w:hAnsiTheme="minorHAnsi" w:cs="Helvetica"/>
            <w:sz w:val="24"/>
            <w:szCs w:val="24"/>
            <w:lang w:val="en"/>
          </w:rPr>
          <w:t>https://doi.org/10.1159/000443828</w:t>
        </w:r>
      </w:hyperlink>
    </w:p>
    <w:p w14:paraId="317E7F8E" w14:textId="77777777" w:rsidR="00EB626F" w:rsidRPr="0048229C" w:rsidRDefault="00EB626F" w:rsidP="009677C1">
      <w:pPr>
        <w:pStyle w:val="NormalWeb"/>
        <w:spacing w:before="2" w:after="2"/>
        <w:ind w:left="480" w:hanging="480"/>
        <w:rPr>
          <w:rFonts w:asciiTheme="minorHAnsi" w:hAnsiTheme="minorHAnsi"/>
          <w:sz w:val="24"/>
          <w:szCs w:val="24"/>
        </w:rPr>
      </w:pPr>
    </w:p>
    <w:p w14:paraId="367EDCF7" w14:textId="21562631" w:rsidR="009677C1" w:rsidRDefault="009677C1" w:rsidP="009677C1">
      <w:pPr>
        <w:pStyle w:val="NormalWeb"/>
        <w:spacing w:before="2" w:after="2"/>
        <w:ind w:left="480" w:hanging="480"/>
        <w:rPr>
          <w:rFonts w:asciiTheme="minorHAnsi" w:hAnsiTheme="minorHAnsi"/>
          <w:sz w:val="24"/>
          <w:szCs w:val="24"/>
        </w:rPr>
      </w:pPr>
      <w:proofErr w:type="spellStart"/>
      <w:r w:rsidRPr="0048229C">
        <w:rPr>
          <w:rFonts w:asciiTheme="minorHAnsi" w:hAnsiTheme="minorHAnsi"/>
          <w:sz w:val="24"/>
          <w:szCs w:val="24"/>
        </w:rPr>
        <w:t>Bessell</w:t>
      </w:r>
      <w:proofErr w:type="spellEnd"/>
      <w:r w:rsidRPr="0048229C">
        <w:rPr>
          <w:rFonts w:asciiTheme="minorHAnsi" w:hAnsiTheme="minorHAnsi"/>
          <w:sz w:val="24"/>
          <w:szCs w:val="24"/>
        </w:rPr>
        <w:t>, A.</w:t>
      </w:r>
      <w:r>
        <w:rPr>
          <w:rFonts w:asciiTheme="minorHAnsi" w:hAnsiTheme="minorHAnsi"/>
          <w:sz w:val="24"/>
          <w:szCs w:val="24"/>
        </w:rPr>
        <w:t>,</w:t>
      </w:r>
      <w:r w:rsidRPr="0048229C">
        <w:rPr>
          <w:rFonts w:asciiTheme="minorHAnsi" w:hAnsiTheme="minorHAnsi"/>
          <w:sz w:val="24"/>
          <w:szCs w:val="24"/>
        </w:rPr>
        <w:t xml:space="preserve"> </w:t>
      </w:r>
      <w:proofErr w:type="spellStart"/>
      <w:r w:rsidRPr="000965B2">
        <w:rPr>
          <w:rFonts w:asciiTheme="minorHAnsi" w:hAnsiTheme="minorHAnsi"/>
          <w:spacing w:val="-2"/>
          <w:sz w:val="24"/>
          <w:szCs w:val="24"/>
        </w:rPr>
        <w:t>Dures</w:t>
      </w:r>
      <w:proofErr w:type="spellEnd"/>
      <w:r>
        <w:rPr>
          <w:rFonts w:asciiTheme="minorHAnsi" w:hAnsiTheme="minorHAnsi"/>
          <w:spacing w:val="-2"/>
          <w:sz w:val="24"/>
          <w:szCs w:val="24"/>
        </w:rPr>
        <w:t>,</w:t>
      </w:r>
      <w:r w:rsidRPr="000965B2">
        <w:rPr>
          <w:rFonts w:asciiTheme="minorHAnsi" w:hAnsiTheme="minorHAnsi"/>
          <w:spacing w:val="-2"/>
          <w:sz w:val="24"/>
          <w:szCs w:val="24"/>
        </w:rPr>
        <w:t xml:space="preserve"> E</w:t>
      </w:r>
      <w:r>
        <w:rPr>
          <w:rFonts w:asciiTheme="minorHAnsi" w:hAnsiTheme="minorHAnsi"/>
          <w:spacing w:val="-2"/>
          <w:sz w:val="24"/>
          <w:szCs w:val="24"/>
        </w:rPr>
        <w:t>.</w:t>
      </w:r>
      <w:r w:rsidRPr="000965B2">
        <w:rPr>
          <w:rFonts w:asciiTheme="minorHAnsi" w:hAnsiTheme="minorHAnsi"/>
          <w:spacing w:val="-2"/>
          <w:sz w:val="24"/>
          <w:szCs w:val="24"/>
        </w:rPr>
        <w:t xml:space="preserve">, </w:t>
      </w:r>
      <w:proofErr w:type="spellStart"/>
      <w:r w:rsidRPr="000965B2">
        <w:rPr>
          <w:rFonts w:asciiTheme="minorHAnsi" w:hAnsiTheme="minorHAnsi"/>
          <w:spacing w:val="-2"/>
          <w:sz w:val="24"/>
          <w:szCs w:val="24"/>
        </w:rPr>
        <w:t>Semple</w:t>
      </w:r>
      <w:proofErr w:type="spellEnd"/>
      <w:r>
        <w:rPr>
          <w:rFonts w:asciiTheme="minorHAnsi" w:hAnsiTheme="minorHAnsi"/>
          <w:spacing w:val="-2"/>
          <w:sz w:val="24"/>
          <w:szCs w:val="24"/>
        </w:rPr>
        <w:t>,</w:t>
      </w:r>
      <w:r w:rsidRPr="000965B2">
        <w:rPr>
          <w:rFonts w:asciiTheme="minorHAnsi" w:hAnsiTheme="minorHAnsi"/>
          <w:spacing w:val="-2"/>
          <w:sz w:val="24"/>
          <w:szCs w:val="24"/>
        </w:rPr>
        <w:t xml:space="preserve"> C</w:t>
      </w:r>
      <w:r>
        <w:rPr>
          <w:rFonts w:asciiTheme="minorHAnsi" w:hAnsiTheme="minorHAnsi"/>
          <w:spacing w:val="-2"/>
          <w:sz w:val="24"/>
          <w:szCs w:val="24"/>
        </w:rPr>
        <w:t>.,</w:t>
      </w:r>
      <w:r w:rsidRPr="000965B2">
        <w:rPr>
          <w:rFonts w:asciiTheme="minorHAnsi" w:hAnsiTheme="minorHAnsi"/>
          <w:spacing w:val="-2"/>
          <w:sz w:val="24"/>
          <w:szCs w:val="24"/>
        </w:rPr>
        <w:t xml:space="preserve"> &amp; Jackson</w:t>
      </w:r>
      <w:r>
        <w:rPr>
          <w:rFonts w:asciiTheme="minorHAnsi" w:hAnsiTheme="minorHAnsi"/>
          <w:spacing w:val="-2"/>
          <w:sz w:val="24"/>
          <w:szCs w:val="24"/>
        </w:rPr>
        <w:t>,</w:t>
      </w:r>
      <w:r w:rsidRPr="000965B2">
        <w:rPr>
          <w:rFonts w:asciiTheme="minorHAnsi" w:hAnsiTheme="minorHAnsi"/>
          <w:spacing w:val="-2"/>
          <w:sz w:val="24"/>
          <w:szCs w:val="24"/>
        </w:rPr>
        <w:t xml:space="preserve"> S</w:t>
      </w:r>
      <w:r>
        <w:rPr>
          <w:rFonts w:asciiTheme="minorHAnsi" w:hAnsiTheme="minorHAnsi"/>
          <w:spacing w:val="-2"/>
          <w:sz w:val="24"/>
          <w:szCs w:val="24"/>
        </w:rPr>
        <w:t>.</w:t>
      </w:r>
      <w:r>
        <w:rPr>
          <w:spacing w:val="-2"/>
        </w:rPr>
        <w:t xml:space="preserve"> (</w:t>
      </w:r>
      <w:r w:rsidRPr="0048229C">
        <w:rPr>
          <w:rFonts w:asciiTheme="minorHAnsi" w:hAnsiTheme="minorHAnsi"/>
          <w:sz w:val="24"/>
          <w:szCs w:val="24"/>
        </w:rPr>
        <w:t>2012</w:t>
      </w:r>
      <w:r>
        <w:rPr>
          <w:rFonts w:asciiTheme="minorHAnsi" w:hAnsiTheme="minorHAnsi"/>
          <w:sz w:val="24"/>
          <w:szCs w:val="24"/>
        </w:rPr>
        <w:t>)</w:t>
      </w:r>
      <w:r w:rsidRPr="0048229C">
        <w:rPr>
          <w:rFonts w:asciiTheme="minorHAnsi" w:hAnsiTheme="minorHAnsi"/>
          <w:sz w:val="24"/>
          <w:szCs w:val="24"/>
        </w:rPr>
        <w:t xml:space="preserve">. Addressing appearance related distress across clinical conditions. </w:t>
      </w:r>
      <w:r w:rsidRPr="0048229C">
        <w:rPr>
          <w:rFonts w:asciiTheme="minorHAnsi" w:hAnsiTheme="minorHAnsi"/>
          <w:i/>
          <w:sz w:val="24"/>
          <w:szCs w:val="24"/>
        </w:rPr>
        <w:t>Br</w:t>
      </w:r>
      <w:r>
        <w:rPr>
          <w:rFonts w:asciiTheme="minorHAnsi" w:hAnsiTheme="minorHAnsi"/>
          <w:i/>
          <w:sz w:val="24"/>
          <w:szCs w:val="24"/>
        </w:rPr>
        <w:t>itish</w:t>
      </w:r>
      <w:r w:rsidRPr="0048229C">
        <w:rPr>
          <w:rFonts w:asciiTheme="minorHAnsi" w:hAnsiTheme="minorHAnsi"/>
          <w:i/>
          <w:sz w:val="24"/>
          <w:szCs w:val="24"/>
        </w:rPr>
        <w:t xml:space="preserve"> J</w:t>
      </w:r>
      <w:r>
        <w:rPr>
          <w:rFonts w:asciiTheme="minorHAnsi" w:hAnsiTheme="minorHAnsi"/>
          <w:i/>
          <w:sz w:val="24"/>
          <w:szCs w:val="24"/>
        </w:rPr>
        <w:t>ournal of</w:t>
      </w:r>
      <w:r w:rsidRPr="0048229C">
        <w:rPr>
          <w:rFonts w:asciiTheme="minorHAnsi" w:hAnsiTheme="minorHAnsi"/>
          <w:i/>
          <w:sz w:val="24"/>
          <w:szCs w:val="24"/>
        </w:rPr>
        <w:t xml:space="preserve"> Nurs</w:t>
      </w:r>
      <w:r>
        <w:rPr>
          <w:rFonts w:asciiTheme="minorHAnsi" w:hAnsiTheme="minorHAnsi"/>
          <w:i/>
          <w:sz w:val="24"/>
          <w:szCs w:val="24"/>
        </w:rPr>
        <w:t>ing</w:t>
      </w:r>
      <w:r w:rsidRPr="0048229C">
        <w:rPr>
          <w:rFonts w:asciiTheme="minorHAnsi" w:hAnsiTheme="minorHAnsi"/>
          <w:sz w:val="24"/>
          <w:szCs w:val="24"/>
        </w:rPr>
        <w:t>, 21</w:t>
      </w:r>
      <w:r>
        <w:rPr>
          <w:rFonts w:asciiTheme="minorHAnsi" w:hAnsiTheme="minorHAnsi"/>
          <w:sz w:val="24"/>
          <w:szCs w:val="24"/>
        </w:rPr>
        <w:t>(</w:t>
      </w:r>
      <w:r w:rsidRPr="0048229C">
        <w:rPr>
          <w:rFonts w:asciiTheme="minorHAnsi" w:hAnsiTheme="minorHAnsi"/>
          <w:sz w:val="24"/>
          <w:szCs w:val="24"/>
        </w:rPr>
        <w:t>19</w:t>
      </w:r>
      <w:r>
        <w:rPr>
          <w:rFonts w:asciiTheme="minorHAnsi" w:hAnsiTheme="minorHAnsi"/>
          <w:sz w:val="24"/>
          <w:szCs w:val="24"/>
        </w:rPr>
        <w:t>)</w:t>
      </w:r>
      <w:r w:rsidRPr="0048229C">
        <w:rPr>
          <w:rFonts w:asciiTheme="minorHAnsi" w:hAnsiTheme="minorHAnsi"/>
          <w:sz w:val="24"/>
          <w:szCs w:val="24"/>
        </w:rPr>
        <w:t>, 1138–1144.</w:t>
      </w:r>
    </w:p>
    <w:p w14:paraId="7D3F5005" w14:textId="77777777" w:rsidR="009677C1" w:rsidRDefault="009677C1" w:rsidP="009677C1">
      <w:pPr>
        <w:pStyle w:val="NormalWeb"/>
        <w:spacing w:before="2" w:after="2"/>
        <w:ind w:left="480" w:hanging="480"/>
        <w:rPr>
          <w:rFonts w:asciiTheme="minorHAnsi" w:hAnsiTheme="minorHAnsi"/>
          <w:sz w:val="24"/>
          <w:szCs w:val="24"/>
        </w:rPr>
      </w:pPr>
    </w:p>
    <w:p w14:paraId="3E3B2299" w14:textId="3238FEC4" w:rsidR="009677C1" w:rsidRDefault="009677C1" w:rsidP="009677C1">
      <w:pPr>
        <w:pStyle w:val="NormalWeb"/>
        <w:spacing w:before="2" w:after="2"/>
        <w:ind w:left="480" w:hanging="480"/>
        <w:rPr>
          <w:rFonts w:asciiTheme="minorHAnsi" w:hAnsiTheme="minorHAnsi"/>
          <w:sz w:val="24"/>
          <w:szCs w:val="24"/>
        </w:rPr>
      </w:pPr>
      <w:r w:rsidRPr="0048229C">
        <w:rPr>
          <w:rFonts w:asciiTheme="minorHAnsi" w:hAnsiTheme="minorHAnsi"/>
          <w:sz w:val="24"/>
          <w:szCs w:val="24"/>
        </w:rPr>
        <w:t>British Psychological Society Steering Committee on Test Standards</w:t>
      </w:r>
      <w:r>
        <w:rPr>
          <w:rFonts w:asciiTheme="minorHAnsi" w:hAnsiTheme="minorHAnsi"/>
          <w:sz w:val="24"/>
          <w:szCs w:val="24"/>
        </w:rPr>
        <w:t>.</w:t>
      </w:r>
      <w:r w:rsidRPr="0048229C">
        <w:rPr>
          <w:rFonts w:asciiTheme="minorHAnsi" w:hAnsiTheme="minorHAnsi"/>
          <w:sz w:val="24"/>
          <w:szCs w:val="24"/>
        </w:rPr>
        <w:t xml:space="preserve"> </w:t>
      </w:r>
      <w:r>
        <w:rPr>
          <w:rFonts w:asciiTheme="minorHAnsi" w:hAnsiTheme="minorHAnsi"/>
          <w:sz w:val="24"/>
          <w:szCs w:val="24"/>
        </w:rPr>
        <w:t>(</w:t>
      </w:r>
      <w:r w:rsidRPr="0048229C">
        <w:rPr>
          <w:rFonts w:asciiTheme="minorHAnsi" w:hAnsiTheme="minorHAnsi"/>
          <w:sz w:val="24"/>
          <w:szCs w:val="24"/>
        </w:rPr>
        <w:t>1992</w:t>
      </w:r>
      <w:r>
        <w:rPr>
          <w:rFonts w:asciiTheme="minorHAnsi" w:hAnsiTheme="minorHAnsi"/>
          <w:sz w:val="24"/>
          <w:szCs w:val="24"/>
        </w:rPr>
        <w:t>)</w:t>
      </w:r>
      <w:r w:rsidRPr="0048229C">
        <w:rPr>
          <w:rFonts w:asciiTheme="minorHAnsi" w:hAnsiTheme="minorHAnsi"/>
          <w:sz w:val="24"/>
          <w:szCs w:val="24"/>
        </w:rPr>
        <w:t xml:space="preserve">. </w:t>
      </w:r>
      <w:r w:rsidRPr="0048229C">
        <w:rPr>
          <w:rFonts w:asciiTheme="minorHAnsi" w:hAnsiTheme="minorHAnsi"/>
          <w:i/>
          <w:sz w:val="24"/>
          <w:szCs w:val="24"/>
        </w:rPr>
        <w:t xml:space="preserve">Psychological testing: a guide. </w:t>
      </w:r>
      <w:r w:rsidRPr="0048229C">
        <w:rPr>
          <w:rFonts w:asciiTheme="minorHAnsi" w:hAnsiTheme="minorHAnsi"/>
          <w:sz w:val="24"/>
          <w:szCs w:val="24"/>
        </w:rPr>
        <w:t>Leicester: British Psychological Society</w:t>
      </w:r>
      <w:r>
        <w:rPr>
          <w:rFonts w:asciiTheme="minorHAnsi" w:hAnsiTheme="minorHAnsi"/>
          <w:sz w:val="24"/>
          <w:szCs w:val="24"/>
        </w:rPr>
        <w:t>.</w:t>
      </w:r>
    </w:p>
    <w:p w14:paraId="6FDB0F38" w14:textId="77777777" w:rsidR="00B42C53" w:rsidRDefault="00B42C53" w:rsidP="009677C1">
      <w:pPr>
        <w:pStyle w:val="NormalWeb"/>
        <w:spacing w:before="2" w:after="2"/>
        <w:ind w:left="480" w:hanging="480"/>
        <w:rPr>
          <w:rFonts w:asciiTheme="minorHAnsi" w:hAnsiTheme="minorHAnsi"/>
          <w:sz w:val="24"/>
          <w:szCs w:val="24"/>
        </w:rPr>
      </w:pPr>
    </w:p>
    <w:p w14:paraId="5AFF3C8E" w14:textId="2ECAF72E" w:rsidR="00B42C53" w:rsidRDefault="00B42C53" w:rsidP="00B42C53">
      <w:pPr>
        <w:pStyle w:val="NormalWeb"/>
        <w:spacing w:before="2" w:after="2"/>
        <w:ind w:left="480" w:hanging="480"/>
        <w:rPr>
          <w:rFonts w:asciiTheme="minorHAnsi" w:hAnsiTheme="minorHAnsi"/>
          <w:sz w:val="24"/>
          <w:szCs w:val="24"/>
        </w:rPr>
      </w:pPr>
      <w:proofErr w:type="spellStart"/>
      <w:r w:rsidRPr="00950495">
        <w:rPr>
          <w:rFonts w:asciiTheme="minorHAnsi" w:hAnsiTheme="minorHAnsi"/>
          <w:sz w:val="24"/>
          <w:szCs w:val="24"/>
        </w:rPr>
        <w:t>Carr</w:t>
      </w:r>
      <w:proofErr w:type="spellEnd"/>
      <w:r>
        <w:rPr>
          <w:rFonts w:asciiTheme="minorHAnsi" w:hAnsiTheme="minorHAnsi"/>
          <w:sz w:val="24"/>
          <w:szCs w:val="24"/>
        </w:rPr>
        <w:t>,</w:t>
      </w:r>
      <w:r w:rsidRPr="00950495">
        <w:rPr>
          <w:rFonts w:asciiTheme="minorHAnsi" w:hAnsiTheme="minorHAnsi"/>
          <w:sz w:val="24"/>
          <w:szCs w:val="24"/>
        </w:rPr>
        <w:t xml:space="preserve"> T</w:t>
      </w:r>
      <w:r>
        <w:rPr>
          <w:rFonts w:asciiTheme="minorHAnsi" w:hAnsiTheme="minorHAnsi"/>
          <w:sz w:val="24"/>
          <w:szCs w:val="24"/>
        </w:rPr>
        <w:t>.</w:t>
      </w:r>
      <w:r w:rsidRPr="00950495">
        <w:rPr>
          <w:rFonts w:asciiTheme="minorHAnsi" w:hAnsiTheme="minorHAnsi"/>
          <w:sz w:val="24"/>
          <w:szCs w:val="24"/>
        </w:rPr>
        <w:t xml:space="preserve"> (1997)</w:t>
      </w:r>
      <w:r>
        <w:rPr>
          <w:rFonts w:asciiTheme="minorHAnsi" w:hAnsiTheme="minorHAnsi"/>
          <w:sz w:val="24"/>
          <w:szCs w:val="24"/>
        </w:rPr>
        <w:t>.</w:t>
      </w:r>
      <w:r w:rsidRPr="00950495">
        <w:rPr>
          <w:rFonts w:asciiTheme="minorHAnsi" w:hAnsiTheme="minorHAnsi"/>
          <w:sz w:val="24"/>
          <w:szCs w:val="24"/>
        </w:rPr>
        <w:t xml:space="preserve"> Assessment and measurement in clinical practice</w:t>
      </w:r>
      <w:r>
        <w:rPr>
          <w:rFonts w:asciiTheme="minorHAnsi" w:hAnsiTheme="minorHAnsi"/>
          <w:sz w:val="24"/>
          <w:szCs w:val="24"/>
        </w:rPr>
        <w:t>.</w:t>
      </w:r>
      <w:r w:rsidRPr="00950495">
        <w:rPr>
          <w:rFonts w:asciiTheme="minorHAnsi" w:hAnsiTheme="minorHAnsi"/>
          <w:sz w:val="24"/>
          <w:szCs w:val="24"/>
        </w:rPr>
        <w:t xml:space="preserve"> </w:t>
      </w:r>
      <w:r>
        <w:rPr>
          <w:rFonts w:asciiTheme="minorHAnsi" w:hAnsiTheme="minorHAnsi"/>
          <w:sz w:val="24"/>
          <w:szCs w:val="24"/>
        </w:rPr>
        <w:t xml:space="preserve">R. </w:t>
      </w:r>
      <w:r w:rsidRPr="00950495">
        <w:rPr>
          <w:rFonts w:asciiTheme="minorHAnsi" w:hAnsiTheme="minorHAnsi"/>
          <w:sz w:val="24"/>
          <w:szCs w:val="24"/>
        </w:rPr>
        <w:t xml:space="preserve">Lansdown, </w:t>
      </w:r>
      <w:r>
        <w:rPr>
          <w:rFonts w:asciiTheme="minorHAnsi" w:hAnsiTheme="minorHAnsi"/>
          <w:sz w:val="24"/>
          <w:szCs w:val="24"/>
        </w:rPr>
        <w:t xml:space="preserve">N. </w:t>
      </w:r>
      <w:r w:rsidRPr="00950495">
        <w:rPr>
          <w:rFonts w:asciiTheme="minorHAnsi" w:hAnsiTheme="minorHAnsi"/>
          <w:sz w:val="24"/>
          <w:szCs w:val="24"/>
        </w:rPr>
        <w:t xml:space="preserve">Rumsey, </w:t>
      </w:r>
      <w:r>
        <w:rPr>
          <w:rFonts w:asciiTheme="minorHAnsi" w:hAnsiTheme="minorHAnsi"/>
          <w:sz w:val="24"/>
          <w:szCs w:val="24"/>
        </w:rPr>
        <w:t xml:space="preserve">E. </w:t>
      </w:r>
      <w:r w:rsidRPr="00950495">
        <w:rPr>
          <w:rFonts w:asciiTheme="minorHAnsi" w:hAnsiTheme="minorHAnsi"/>
          <w:sz w:val="24"/>
          <w:szCs w:val="24"/>
        </w:rPr>
        <w:t xml:space="preserve">Bradbury, </w:t>
      </w:r>
      <w:r>
        <w:rPr>
          <w:rFonts w:asciiTheme="minorHAnsi" w:hAnsiTheme="minorHAnsi"/>
          <w:sz w:val="24"/>
          <w:szCs w:val="24"/>
        </w:rPr>
        <w:t xml:space="preserve">T. </w:t>
      </w:r>
      <w:proofErr w:type="spellStart"/>
      <w:r w:rsidRPr="00950495">
        <w:rPr>
          <w:rFonts w:asciiTheme="minorHAnsi" w:hAnsiTheme="minorHAnsi"/>
          <w:sz w:val="24"/>
          <w:szCs w:val="24"/>
        </w:rPr>
        <w:t>Carr</w:t>
      </w:r>
      <w:proofErr w:type="spellEnd"/>
      <w:r>
        <w:rPr>
          <w:rFonts w:asciiTheme="minorHAnsi" w:hAnsiTheme="minorHAnsi"/>
          <w:sz w:val="24"/>
          <w:szCs w:val="24"/>
        </w:rPr>
        <w:t>,</w:t>
      </w:r>
      <w:r w:rsidRPr="00950495">
        <w:rPr>
          <w:rFonts w:asciiTheme="minorHAnsi" w:hAnsiTheme="minorHAnsi"/>
          <w:sz w:val="24"/>
          <w:szCs w:val="24"/>
        </w:rPr>
        <w:t xml:space="preserve"> &amp; </w:t>
      </w:r>
      <w:r>
        <w:rPr>
          <w:rFonts w:asciiTheme="minorHAnsi" w:hAnsiTheme="minorHAnsi"/>
          <w:sz w:val="24"/>
          <w:szCs w:val="24"/>
        </w:rPr>
        <w:t xml:space="preserve">J. </w:t>
      </w:r>
      <w:r w:rsidRPr="00950495">
        <w:rPr>
          <w:rFonts w:asciiTheme="minorHAnsi" w:hAnsiTheme="minorHAnsi"/>
          <w:sz w:val="24"/>
          <w:szCs w:val="24"/>
        </w:rPr>
        <w:t>Partridge (Eds</w:t>
      </w:r>
      <w:r>
        <w:rPr>
          <w:rFonts w:asciiTheme="minorHAnsi" w:hAnsiTheme="minorHAnsi"/>
          <w:sz w:val="24"/>
          <w:szCs w:val="24"/>
        </w:rPr>
        <w:t>.</w:t>
      </w:r>
      <w:r w:rsidRPr="00950495">
        <w:rPr>
          <w:rFonts w:asciiTheme="minorHAnsi" w:hAnsiTheme="minorHAnsi"/>
          <w:sz w:val="24"/>
          <w:szCs w:val="24"/>
        </w:rPr>
        <w:t>)</w:t>
      </w:r>
      <w:r>
        <w:rPr>
          <w:rFonts w:asciiTheme="minorHAnsi" w:hAnsiTheme="minorHAnsi"/>
          <w:sz w:val="24"/>
          <w:szCs w:val="24"/>
        </w:rPr>
        <w:t>,</w:t>
      </w:r>
      <w:r w:rsidRPr="00950495">
        <w:rPr>
          <w:rFonts w:asciiTheme="minorHAnsi" w:hAnsiTheme="minorHAnsi"/>
          <w:sz w:val="24"/>
          <w:szCs w:val="24"/>
        </w:rPr>
        <w:t xml:space="preserve"> </w:t>
      </w:r>
      <w:r w:rsidRPr="00950495">
        <w:rPr>
          <w:rFonts w:asciiTheme="minorHAnsi" w:hAnsiTheme="minorHAnsi"/>
          <w:i/>
          <w:sz w:val="24"/>
          <w:szCs w:val="24"/>
        </w:rPr>
        <w:t xml:space="preserve">Visibly Different. </w:t>
      </w:r>
      <w:r w:rsidRPr="00950495">
        <w:rPr>
          <w:rFonts w:asciiTheme="minorHAnsi" w:hAnsiTheme="minorHAnsi"/>
          <w:sz w:val="24"/>
          <w:szCs w:val="24"/>
        </w:rPr>
        <w:t>Oxford: Butterworth-Heinemann</w:t>
      </w:r>
      <w:r>
        <w:rPr>
          <w:rFonts w:asciiTheme="minorHAnsi" w:hAnsiTheme="minorHAnsi"/>
          <w:sz w:val="24"/>
          <w:szCs w:val="24"/>
        </w:rPr>
        <w:t>.</w:t>
      </w:r>
    </w:p>
    <w:p w14:paraId="7F363749" w14:textId="77777777" w:rsidR="00B42C53" w:rsidRDefault="00B42C53" w:rsidP="00B42C53">
      <w:pPr>
        <w:pStyle w:val="NormalWeb"/>
        <w:spacing w:before="2" w:after="2"/>
        <w:ind w:left="480" w:hanging="480"/>
        <w:rPr>
          <w:rFonts w:asciiTheme="minorHAnsi" w:hAnsiTheme="minorHAnsi" w:cs="Georgia"/>
          <w:sz w:val="24"/>
          <w:szCs w:val="24"/>
        </w:rPr>
      </w:pPr>
    </w:p>
    <w:p w14:paraId="3A58E42C" w14:textId="19B54480" w:rsidR="00B42C53" w:rsidRPr="00C21E9B" w:rsidRDefault="00B42C53" w:rsidP="00B42C53">
      <w:pPr>
        <w:pStyle w:val="NormalWeb"/>
        <w:spacing w:before="2" w:after="2"/>
        <w:ind w:left="480" w:hanging="480"/>
        <w:rPr>
          <w:rFonts w:asciiTheme="minorHAnsi" w:hAnsiTheme="minorHAnsi" w:cs="Times"/>
          <w:sz w:val="24"/>
          <w:szCs w:val="24"/>
        </w:rPr>
      </w:pPr>
      <w:r>
        <w:rPr>
          <w:rFonts w:asciiTheme="minorHAnsi" w:hAnsiTheme="minorHAnsi" w:cs="Georgia"/>
          <w:sz w:val="24"/>
          <w:szCs w:val="24"/>
        </w:rPr>
        <w:t xml:space="preserve">Cohen, J. (1988). </w:t>
      </w:r>
      <w:r w:rsidRPr="007D2432">
        <w:rPr>
          <w:rFonts w:asciiTheme="minorHAnsi" w:hAnsiTheme="minorHAnsi" w:cs="Georgia"/>
          <w:i/>
          <w:sz w:val="24"/>
          <w:szCs w:val="24"/>
        </w:rPr>
        <w:t>Statistical Power Analysis for the Behavioural Sciences.</w:t>
      </w:r>
      <w:r w:rsidR="00D2324D">
        <w:rPr>
          <w:rFonts w:asciiTheme="minorHAnsi" w:hAnsiTheme="minorHAnsi" w:cs="Georgia"/>
          <w:sz w:val="24"/>
          <w:szCs w:val="24"/>
        </w:rPr>
        <w:t xml:space="preserve"> USA: Lawrence Erlbaum Associates</w:t>
      </w:r>
      <w:r>
        <w:rPr>
          <w:rFonts w:asciiTheme="minorHAnsi" w:hAnsiTheme="minorHAnsi" w:cs="Georgia"/>
          <w:sz w:val="24"/>
          <w:szCs w:val="24"/>
        </w:rPr>
        <w:t>.</w:t>
      </w:r>
    </w:p>
    <w:p w14:paraId="0F794501" w14:textId="77777777" w:rsidR="00B42C53" w:rsidRDefault="00B42C53" w:rsidP="009677C1">
      <w:pPr>
        <w:pStyle w:val="NormalWeb"/>
        <w:spacing w:before="2" w:after="2"/>
        <w:ind w:left="480" w:hanging="480"/>
        <w:rPr>
          <w:rFonts w:asciiTheme="minorHAnsi" w:hAnsiTheme="minorHAnsi"/>
          <w:sz w:val="24"/>
          <w:szCs w:val="24"/>
        </w:rPr>
      </w:pPr>
    </w:p>
    <w:p w14:paraId="737B9DE2" w14:textId="77777777" w:rsidR="00D2324D" w:rsidRDefault="009677C1" w:rsidP="00D2324D">
      <w:pPr>
        <w:pStyle w:val="NormalWeb"/>
        <w:spacing w:before="2" w:after="2"/>
        <w:ind w:left="480" w:hanging="480"/>
        <w:rPr>
          <w:rFonts w:asciiTheme="minorHAnsi" w:hAnsiTheme="minorHAnsi" w:cs="AdvPS6EC0"/>
          <w:sz w:val="24"/>
          <w:szCs w:val="24"/>
        </w:rPr>
      </w:pPr>
      <w:r w:rsidRPr="0048229C">
        <w:rPr>
          <w:rFonts w:asciiTheme="minorHAnsi" w:hAnsiTheme="minorHAnsi"/>
          <w:sz w:val="24"/>
          <w:szCs w:val="24"/>
        </w:rPr>
        <w:t>Coulter, I.</w:t>
      </w:r>
      <w:r>
        <w:rPr>
          <w:rFonts w:asciiTheme="minorHAnsi" w:hAnsiTheme="minorHAnsi"/>
          <w:sz w:val="24"/>
          <w:szCs w:val="24"/>
        </w:rPr>
        <w:t>,</w:t>
      </w:r>
      <w:r w:rsidRPr="0048229C">
        <w:rPr>
          <w:rFonts w:asciiTheme="minorHAnsi" w:hAnsiTheme="minorHAnsi"/>
          <w:sz w:val="24"/>
          <w:szCs w:val="24"/>
        </w:rPr>
        <w:t xml:space="preserve"> </w:t>
      </w:r>
      <w:r>
        <w:rPr>
          <w:rFonts w:asciiTheme="minorHAnsi" w:hAnsiTheme="minorHAnsi"/>
          <w:sz w:val="24"/>
          <w:szCs w:val="24"/>
        </w:rPr>
        <w:t>Frewin, S</w:t>
      </w:r>
      <w:r w:rsidRPr="0048229C">
        <w:rPr>
          <w:rFonts w:asciiTheme="minorHAnsi" w:hAnsiTheme="minorHAnsi"/>
          <w:sz w:val="24"/>
          <w:szCs w:val="24"/>
        </w:rPr>
        <w:t xml:space="preserve">., </w:t>
      </w:r>
      <w:proofErr w:type="spellStart"/>
      <w:r>
        <w:rPr>
          <w:rFonts w:asciiTheme="minorHAnsi" w:hAnsiTheme="minorHAnsi"/>
          <w:sz w:val="24"/>
          <w:szCs w:val="24"/>
        </w:rPr>
        <w:t>Krassas</w:t>
      </w:r>
      <w:proofErr w:type="spellEnd"/>
      <w:r>
        <w:rPr>
          <w:rFonts w:asciiTheme="minorHAnsi" w:hAnsiTheme="minorHAnsi"/>
          <w:sz w:val="24"/>
          <w:szCs w:val="24"/>
        </w:rPr>
        <w:t xml:space="preserve">, G. E., &amp; </w:t>
      </w:r>
      <w:proofErr w:type="spellStart"/>
      <w:r>
        <w:rPr>
          <w:rFonts w:asciiTheme="minorHAnsi" w:hAnsiTheme="minorHAnsi"/>
          <w:sz w:val="24"/>
          <w:szCs w:val="24"/>
        </w:rPr>
        <w:t>Perros</w:t>
      </w:r>
      <w:proofErr w:type="spellEnd"/>
      <w:r>
        <w:rPr>
          <w:rFonts w:asciiTheme="minorHAnsi" w:hAnsiTheme="minorHAnsi"/>
          <w:sz w:val="24"/>
          <w:szCs w:val="24"/>
        </w:rPr>
        <w:t>, P. (</w:t>
      </w:r>
      <w:r w:rsidRPr="0048229C">
        <w:rPr>
          <w:rFonts w:asciiTheme="minorHAnsi" w:hAnsiTheme="minorHAnsi"/>
          <w:sz w:val="24"/>
          <w:szCs w:val="24"/>
        </w:rPr>
        <w:t>2007</w:t>
      </w:r>
      <w:r>
        <w:rPr>
          <w:rFonts w:asciiTheme="minorHAnsi" w:hAnsiTheme="minorHAnsi"/>
          <w:sz w:val="24"/>
          <w:szCs w:val="24"/>
        </w:rPr>
        <w:t>)</w:t>
      </w:r>
      <w:r w:rsidRPr="0048229C">
        <w:rPr>
          <w:rFonts w:asciiTheme="minorHAnsi" w:hAnsiTheme="minorHAnsi"/>
          <w:sz w:val="24"/>
          <w:szCs w:val="24"/>
        </w:rPr>
        <w:t xml:space="preserve">. Psychological implications of Graves’ </w:t>
      </w:r>
      <w:proofErr w:type="spellStart"/>
      <w:r w:rsidRPr="0048229C">
        <w:rPr>
          <w:rFonts w:asciiTheme="minorHAnsi" w:hAnsiTheme="minorHAnsi"/>
          <w:sz w:val="24"/>
          <w:szCs w:val="24"/>
        </w:rPr>
        <w:t>orbitopathy</w:t>
      </w:r>
      <w:proofErr w:type="spellEnd"/>
      <w:r w:rsidRPr="0048229C">
        <w:rPr>
          <w:rFonts w:asciiTheme="minorHAnsi" w:hAnsiTheme="minorHAnsi"/>
          <w:sz w:val="24"/>
          <w:szCs w:val="24"/>
        </w:rPr>
        <w:t xml:space="preserve">. </w:t>
      </w:r>
      <w:r w:rsidRPr="0048229C">
        <w:rPr>
          <w:rFonts w:asciiTheme="minorHAnsi" w:hAnsiTheme="minorHAnsi"/>
          <w:i/>
          <w:sz w:val="24"/>
          <w:szCs w:val="24"/>
        </w:rPr>
        <w:t>Eur</w:t>
      </w:r>
      <w:r>
        <w:rPr>
          <w:rFonts w:asciiTheme="minorHAnsi" w:hAnsiTheme="minorHAnsi"/>
          <w:i/>
          <w:sz w:val="24"/>
          <w:szCs w:val="24"/>
        </w:rPr>
        <w:t>opean</w:t>
      </w:r>
      <w:r w:rsidRPr="0048229C">
        <w:rPr>
          <w:rFonts w:asciiTheme="minorHAnsi" w:hAnsiTheme="minorHAnsi"/>
          <w:i/>
          <w:sz w:val="24"/>
          <w:szCs w:val="24"/>
        </w:rPr>
        <w:t xml:space="preserve"> J</w:t>
      </w:r>
      <w:r>
        <w:rPr>
          <w:rFonts w:asciiTheme="minorHAnsi" w:hAnsiTheme="minorHAnsi"/>
          <w:i/>
          <w:sz w:val="24"/>
          <w:szCs w:val="24"/>
        </w:rPr>
        <w:t>ournal of</w:t>
      </w:r>
      <w:r w:rsidRPr="0048229C">
        <w:rPr>
          <w:rFonts w:asciiTheme="minorHAnsi" w:hAnsiTheme="minorHAnsi"/>
          <w:i/>
          <w:sz w:val="24"/>
          <w:szCs w:val="24"/>
        </w:rPr>
        <w:t xml:space="preserve"> Endocrinol</w:t>
      </w:r>
      <w:r>
        <w:rPr>
          <w:rFonts w:asciiTheme="minorHAnsi" w:hAnsiTheme="minorHAnsi"/>
          <w:i/>
          <w:sz w:val="24"/>
          <w:szCs w:val="24"/>
        </w:rPr>
        <w:t>ogy</w:t>
      </w:r>
      <w:r w:rsidRPr="0048229C">
        <w:rPr>
          <w:rFonts w:asciiTheme="minorHAnsi" w:hAnsiTheme="minorHAnsi"/>
          <w:sz w:val="24"/>
          <w:szCs w:val="24"/>
        </w:rPr>
        <w:t>, 157</w:t>
      </w:r>
      <w:r>
        <w:rPr>
          <w:rFonts w:asciiTheme="minorHAnsi" w:hAnsiTheme="minorHAnsi"/>
          <w:sz w:val="24"/>
          <w:szCs w:val="24"/>
        </w:rPr>
        <w:t>(</w:t>
      </w:r>
      <w:r w:rsidRPr="0048229C">
        <w:rPr>
          <w:rFonts w:asciiTheme="minorHAnsi" w:hAnsiTheme="minorHAnsi"/>
          <w:sz w:val="24"/>
          <w:szCs w:val="24"/>
        </w:rPr>
        <w:t>2</w:t>
      </w:r>
      <w:r>
        <w:rPr>
          <w:rFonts w:asciiTheme="minorHAnsi" w:hAnsiTheme="minorHAnsi"/>
          <w:sz w:val="24"/>
          <w:szCs w:val="24"/>
        </w:rPr>
        <w:t>)</w:t>
      </w:r>
      <w:r w:rsidRPr="0048229C">
        <w:rPr>
          <w:rFonts w:asciiTheme="minorHAnsi" w:hAnsiTheme="minorHAnsi"/>
          <w:sz w:val="24"/>
          <w:szCs w:val="24"/>
        </w:rPr>
        <w:t>, 127–131.</w:t>
      </w:r>
      <w:r>
        <w:rPr>
          <w:rFonts w:asciiTheme="minorHAnsi" w:hAnsiTheme="minorHAnsi"/>
          <w:sz w:val="24"/>
          <w:szCs w:val="24"/>
        </w:rPr>
        <w:t xml:space="preserve"> </w:t>
      </w:r>
      <w:proofErr w:type="spellStart"/>
      <w:proofErr w:type="gramStart"/>
      <w:r>
        <w:rPr>
          <w:rFonts w:asciiTheme="minorHAnsi" w:hAnsiTheme="minorHAnsi"/>
          <w:sz w:val="24"/>
          <w:szCs w:val="24"/>
        </w:rPr>
        <w:t>doi</w:t>
      </w:r>
      <w:proofErr w:type="spellEnd"/>
      <w:proofErr w:type="gramEnd"/>
      <w:r>
        <w:rPr>
          <w:rFonts w:asciiTheme="minorHAnsi" w:hAnsiTheme="minorHAnsi"/>
          <w:sz w:val="24"/>
          <w:szCs w:val="24"/>
        </w:rPr>
        <w:t xml:space="preserve">: </w:t>
      </w:r>
      <w:r w:rsidRPr="00392566">
        <w:rPr>
          <w:rFonts w:asciiTheme="minorHAnsi" w:hAnsiTheme="minorHAnsi" w:cs="AdvPS6EC0"/>
          <w:sz w:val="24"/>
          <w:szCs w:val="24"/>
        </w:rPr>
        <w:t>10.1530/EJE-07-0205</w:t>
      </w:r>
    </w:p>
    <w:p w14:paraId="02102CD4" w14:textId="77777777" w:rsidR="00D2324D" w:rsidRDefault="00D2324D" w:rsidP="00D2324D">
      <w:pPr>
        <w:pStyle w:val="NormalWeb"/>
        <w:spacing w:before="2" w:after="2"/>
        <w:ind w:left="480" w:hanging="480"/>
        <w:rPr>
          <w:rFonts w:asciiTheme="minorHAnsi" w:hAnsiTheme="minorHAnsi" w:cs="AdvPS6EC0"/>
          <w:sz w:val="24"/>
          <w:szCs w:val="24"/>
        </w:rPr>
      </w:pPr>
    </w:p>
    <w:p w14:paraId="7F740388" w14:textId="6864E774" w:rsidR="00D2324D" w:rsidRPr="009677C1" w:rsidRDefault="00D2324D" w:rsidP="00D2324D">
      <w:pPr>
        <w:pStyle w:val="NormalWeb"/>
        <w:spacing w:before="2" w:after="2"/>
        <w:ind w:left="480" w:hanging="480"/>
        <w:rPr>
          <w:rFonts w:asciiTheme="minorHAnsi" w:hAnsiTheme="minorHAnsi"/>
          <w:sz w:val="24"/>
          <w:szCs w:val="24"/>
        </w:rPr>
      </w:pPr>
      <w:r w:rsidRPr="009677C1">
        <w:rPr>
          <w:rFonts w:asciiTheme="minorHAnsi" w:hAnsiTheme="minorHAnsi"/>
          <w:sz w:val="24"/>
          <w:szCs w:val="24"/>
        </w:rPr>
        <w:t>Dickinson</w:t>
      </w:r>
      <w:r>
        <w:rPr>
          <w:rFonts w:asciiTheme="minorHAnsi" w:hAnsiTheme="minorHAnsi"/>
          <w:sz w:val="24"/>
          <w:szCs w:val="24"/>
        </w:rPr>
        <w:t>,</w:t>
      </w:r>
      <w:r w:rsidRPr="009677C1">
        <w:rPr>
          <w:rFonts w:asciiTheme="minorHAnsi" w:hAnsiTheme="minorHAnsi"/>
          <w:sz w:val="24"/>
          <w:szCs w:val="24"/>
        </w:rPr>
        <w:t xml:space="preserve"> A</w:t>
      </w:r>
      <w:r>
        <w:rPr>
          <w:rFonts w:asciiTheme="minorHAnsi" w:hAnsiTheme="minorHAnsi"/>
          <w:sz w:val="24"/>
          <w:szCs w:val="24"/>
        </w:rPr>
        <w:t xml:space="preserve">. </w:t>
      </w:r>
      <w:r w:rsidRPr="009677C1">
        <w:rPr>
          <w:rFonts w:asciiTheme="minorHAnsi" w:hAnsiTheme="minorHAnsi"/>
          <w:sz w:val="24"/>
          <w:szCs w:val="24"/>
        </w:rPr>
        <w:t>J</w:t>
      </w:r>
      <w:r>
        <w:rPr>
          <w:rFonts w:asciiTheme="minorHAnsi" w:hAnsiTheme="minorHAnsi"/>
          <w:sz w:val="24"/>
          <w:szCs w:val="24"/>
        </w:rPr>
        <w:t>.</w:t>
      </w:r>
      <w:r w:rsidRPr="009677C1">
        <w:rPr>
          <w:rFonts w:asciiTheme="minorHAnsi" w:hAnsiTheme="minorHAnsi"/>
          <w:sz w:val="24"/>
          <w:szCs w:val="24"/>
        </w:rPr>
        <w:t xml:space="preserve">, </w:t>
      </w:r>
      <w:r>
        <w:rPr>
          <w:rFonts w:asciiTheme="minorHAnsi" w:hAnsiTheme="minorHAnsi"/>
          <w:sz w:val="24"/>
          <w:szCs w:val="24"/>
        </w:rPr>
        <w:t xml:space="preserve">&amp; </w:t>
      </w:r>
      <w:proofErr w:type="spellStart"/>
      <w:r w:rsidRPr="009677C1">
        <w:rPr>
          <w:rFonts w:asciiTheme="minorHAnsi" w:hAnsiTheme="minorHAnsi"/>
          <w:sz w:val="24"/>
          <w:szCs w:val="24"/>
        </w:rPr>
        <w:t>Perros</w:t>
      </w:r>
      <w:proofErr w:type="spellEnd"/>
      <w:r>
        <w:rPr>
          <w:rFonts w:asciiTheme="minorHAnsi" w:hAnsiTheme="minorHAnsi"/>
          <w:sz w:val="24"/>
          <w:szCs w:val="24"/>
        </w:rPr>
        <w:t>,</w:t>
      </w:r>
      <w:r w:rsidRPr="009677C1">
        <w:rPr>
          <w:rFonts w:asciiTheme="minorHAnsi" w:hAnsiTheme="minorHAnsi"/>
          <w:sz w:val="24"/>
          <w:szCs w:val="24"/>
        </w:rPr>
        <w:t xml:space="preserve"> P</w:t>
      </w:r>
      <w:r>
        <w:rPr>
          <w:rFonts w:asciiTheme="minorHAnsi" w:hAnsiTheme="minorHAnsi"/>
          <w:sz w:val="24"/>
          <w:szCs w:val="24"/>
        </w:rPr>
        <w:t>.</w:t>
      </w:r>
      <w:r w:rsidRPr="009677C1">
        <w:rPr>
          <w:rFonts w:asciiTheme="minorHAnsi" w:hAnsiTheme="minorHAnsi"/>
          <w:sz w:val="24"/>
          <w:szCs w:val="24"/>
        </w:rPr>
        <w:t xml:space="preserve"> </w:t>
      </w:r>
      <w:r>
        <w:rPr>
          <w:rFonts w:asciiTheme="minorHAnsi" w:hAnsiTheme="minorHAnsi"/>
          <w:sz w:val="24"/>
          <w:szCs w:val="24"/>
        </w:rPr>
        <w:t xml:space="preserve">(2001). </w:t>
      </w:r>
      <w:r w:rsidRPr="009677C1">
        <w:rPr>
          <w:rFonts w:asciiTheme="minorHAnsi" w:hAnsiTheme="minorHAnsi"/>
          <w:sz w:val="24"/>
          <w:szCs w:val="24"/>
        </w:rPr>
        <w:t xml:space="preserve">Controversies in the clinical evaluation of active thyroid-associated </w:t>
      </w:r>
      <w:proofErr w:type="spellStart"/>
      <w:r w:rsidRPr="009677C1">
        <w:rPr>
          <w:rFonts w:asciiTheme="minorHAnsi" w:hAnsiTheme="minorHAnsi"/>
          <w:sz w:val="24"/>
          <w:szCs w:val="24"/>
        </w:rPr>
        <w:t>orbitopathy</w:t>
      </w:r>
      <w:proofErr w:type="spellEnd"/>
      <w:r w:rsidRPr="009677C1">
        <w:rPr>
          <w:rFonts w:asciiTheme="minorHAnsi" w:hAnsiTheme="minorHAnsi"/>
          <w:sz w:val="24"/>
          <w:szCs w:val="24"/>
        </w:rPr>
        <w:t xml:space="preserve">: use of a detailed protocol with comparative photographs for objective assessment· </w:t>
      </w:r>
      <w:proofErr w:type="spellStart"/>
      <w:r w:rsidRPr="009677C1">
        <w:rPr>
          <w:rFonts w:asciiTheme="minorHAnsi" w:hAnsiTheme="minorHAnsi"/>
          <w:i/>
          <w:iCs/>
          <w:sz w:val="24"/>
          <w:szCs w:val="24"/>
        </w:rPr>
        <w:t>Clin</w:t>
      </w:r>
      <w:proofErr w:type="spellEnd"/>
      <w:r w:rsidRPr="009677C1">
        <w:rPr>
          <w:rFonts w:asciiTheme="minorHAnsi" w:hAnsiTheme="minorHAnsi"/>
          <w:i/>
          <w:iCs/>
          <w:sz w:val="24"/>
          <w:szCs w:val="24"/>
        </w:rPr>
        <w:t xml:space="preserve"> </w:t>
      </w:r>
      <w:proofErr w:type="spellStart"/>
      <w:r w:rsidRPr="009677C1">
        <w:rPr>
          <w:rFonts w:asciiTheme="minorHAnsi" w:hAnsiTheme="minorHAnsi"/>
          <w:i/>
          <w:iCs/>
          <w:sz w:val="24"/>
          <w:szCs w:val="24"/>
        </w:rPr>
        <w:t>Endocrinol</w:t>
      </w:r>
      <w:proofErr w:type="spellEnd"/>
      <w:r>
        <w:rPr>
          <w:rFonts w:asciiTheme="minorHAnsi" w:hAnsiTheme="minorHAnsi"/>
          <w:i/>
          <w:iCs/>
          <w:sz w:val="24"/>
          <w:szCs w:val="24"/>
        </w:rPr>
        <w:t>,</w:t>
      </w:r>
      <w:r w:rsidRPr="009677C1">
        <w:rPr>
          <w:rFonts w:asciiTheme="minorHAnsi" w:hAnsiTheme="minorHAnsi"/>
          <w:i/>
          <w:iCs/>
          <w:sz w:val="24"/>
          <w:szCs w:val="24"/>
        </w:rPr>
        <w:t xml:space="preserve"> </w:t>
      </w:r>
      <w:r w:rsidRPr="009677C1">
        <w:rPr>
          <w:rFonts w:asciiTheme="minorHAnsi" w:hAnsiTheme="minorHAnsi"/>
          <w:sz w:val="24"/>
          <w:szCs w:val="24"/>
        </w:rPr>
        <w:t>55(3)</w:t>
      </w:r>
      <w:r>
        <w:rPr>
          <w:rFonts w:asciiTheme="minorHAnsi" w:hAnsiTheme="minorHAnsi"/>
          <w:sz w:val="24"/>
          <w:szCs w:val="24"/>
        </w:rPr>
        <w:t>, 283-303.</w:t>
      </w:r>
    </w:p>
    <w:p w14:paraId="17B5D8F7" w14:textId="77777777" w:rsidR="00D2324D" w:rsidRDefault="00D2324D" w:rsidP="00D2324D">
      <w:pPr>
        <w:pStyle w:val="NormalWeb"/>
        <w:spacing w:before="2" w:after="2"/>
        <w:ind w:left="480" w:hanging="480"/>
        <w:rPr>
          <w:rFonts w:asciiTheme="minorHAnsi" w:hAnsiTheme="minorHAnsi" w:cs="AdvPS6EC0"/>
          <w:sz w:val="24"/>
          <w:szCs w:val="24"/>
        </w:rPr>
      </w:pPr>
    </w:p>
    <w:p w14:paraId="6AD461AA" w14:textId="7D416E22" w:rsidR="00D2324D" w:rsidRPr="009677C1" w:rsidRDefault="00D2324D" w:rsidP="00D2324D">
      <w:pPr>
        <w:pStyle w:val="NormalWeb"/>
        <w:spacing w:before="2" w:after="2"/>
        <w:ind w:left="480" w:hanging="480"/>
        <w:rPr>
          <w:rStyle w:val="apple-converted-space"/>
          <w:rFonts w:asciiTheme="minorHAnsi" w:hAnsiTheme="minorHAnsi"/>
          <w:sz w:val="24"/>
          <w:szCs w:val="24"/>
        </w:rPr>
      </w:pPr>
      <w:r>
        <w:rPr>
          <w:rFonts w:asciiTheme="minorHAnsi" w:hAnsiTheme="minorHAnsi"/>
          <w:sz w:val="24"/>
          <w:szCs w:val="24"/>
        </w:rPr>
        <w:t>H</w:t>
      </w:r>
      <w:r w:rsidRPr="009677C1">
        <w:rPr>
          <w:rFonts w:asciiTheme="minorHAnsi" w:hAnsiTheme="minorHAnsi"/>
          <w:sz w:val="24"/>
          <w:szCs w:val="24"/>
        </w:rPr>
        <w:t>aggerty</w:t>
      </w:r>
      <w:r>
        <w:rPr>
          <w:rFonts w:asciiTheme="minorHAnsi" w:hAnsiTheme="minorHAnsi"/>
          <w:sz w:val="24"/>
          <w:szCs w:val="24"/>
        </w:rPr>
        <w:t>,</w:t>
      </w:r>
      <w:r w:rsidRPr="009677C1">
        <w:rPr>
          <w:rFonts w:asciiTheme="minorHAnsi" w:hAnsiTheme="minorHAnsi"/>
          <w:sz w:val="24"/>
          <w:szCs w:val="24"/>
        </w:rPr>
        <w:t xml:space="preserve"> H</w:t>
      </w:r>
      <w:r>
        <w:rPr>
          <w:rFonts w:asciiTheme="minorHAnsi" w:hAnsiTheme="minorHAnsi"/>
          <w:sz w:val="24"/>
          <w:szCs w:val="24"/>
        </w:rPr>
        <w:t>.</w:t>
      </w:r>
      <w:r w:rsidRPr="009677C1">
        <w:rPr>
          <w:rFonts w:asciiTheme="minorHAnsi" w:hAnsiTheme="minorHAnsi"/>
          <w:sz w:val="24"/>
          <w:szCs w:val="24"/>
        </w:rPr>
        <w:t xml:space="preserve">, </w:t>
      </w:r>
      <w:r>
        <w:rPr>
          <w:rFonts w:asciiTheme="minorHAnsi" w:hAnsiTheme="minorHAnsi"/>
          <w:sz w:val="24"/>
          <w:szCs w:val="24"/>
        </w:rPr>
        <w:t>R</w:t>
      </w:r>
      <w:r w:rsidRPr="009677C1">
        <w:rPr>
          <w:rFonts w:asciiTheme="minorHAnsi" w:hAnsiTheme="minorHAnsi"/>
          <w:sz w:val="24"/>
          <w:szCs w:val="24"/>
        </w:rPr>
        <w:t>ichardson,</w:t>
      </w:r>
      <w:r>
        <w:rPr>
          <w:rFonts w:asciiTheme="minorHAnsi" w:hAnsiTheme="minorHAnsi"/>
          <w:sz w:val="24"/>
          <w:szCs w:val="24"/>
        </w:rPr>
        <w:t xml:space="preserve"> </w:t>
      </w:r>
      <w:r w:rsidRPr="009677C1">
        <w:rPr>
          <w:rFonts w:asciiTheme="minorHAnsi" w:hAnsiTheme="minorHAnsi"/>
          <w:sz w:val="24"/>
          <w:szCs w:val="24"/>
        </w:rPr>
        <w:t>S</w:t>
      </w:r>
      <w:r>
        <w:rPr>
          <w:rFonts w:asciiTheme="minorHAnsi" w:hAnsiTheme="minorHAnsi"/>
          <w:sz w:val="24"/>
          <w:szCs w:val="24"/>
        </w:rPr>
        <w:t>.</w:t>
      </w:r>
      <w:r w:rsidRPr="009677C1">
        <w:rPr>
          <w:rFonts w:asciiTheme="minorHAnsi" w:hAnsiTheme="minorHAnsi"/>
          <w:sz w:val="24"/>
          <w:szCs w:val="24"/>
        </w:rPr>
        <w:t>,</w:t>
      </w:r>
      <w:r>
        <w:rPr>
          <w:rFonts w:asciiTheme="minorHAnsi" w:hAnsiTheme="minorHAnsi"/>
          <w:sz w:val="24"/>
          <w:szCs w:val="24"/>
        </w:rPr>
        <w:t xml:space="preserve"> </w:t>
      </w:r>
      <w:r w:rsidRPr="009677C1">
        <w:rPr>
          <w:rFonts w:asciiTheme="minorHAnsi" w:hAnsiTheme="minorHAnsi"/>
          <w:sz w:val="24"/>
          <w:szCs w:val="24"/>
        </w:rPr>
        <w:t>Mitchell,</w:t>
      </w:r>
      <w:r>
        <w:rPr>
          <w:rFonts w:asciiTheme="minorHAnsi" w:hAnsiTheme="minorHAnsi"/>
          <w:sz w:val="24"/>
          <w:szCs w:val="24"/>
        </w:rPr>
        <w:t xml:space="preserve"> </w:t>
      </w:r>
      <w:r w:rsidRPr="009677C1">
        <w:rPr>
          <w:rFonts w:asciiTheme="minorHAnsi" w:hAnsiTheme="minorHAnsi"/>
          <w:sz w:val="24"/>
          <w:szCs w:val="24"/>
        </w:rPr>
        <w:t>K</w:t>
      </w:r>
      <w:r>
        <w:rPr>
          <w:rFonts w:asciiTheme="minorHAnsi" w:hAnsiTheme="minorHAnsi"/>
          <w:sz w:val="24"/>
          <w:szCs w:val="24"/>
        </w:rPr>
        <w:t xml:space="preserve">. </w:t>
      </w:r>
      <w:r w:rsidRPr="009677C1">
        <w:rPr>
          <w:rFonts w:asciiTheme="minorHAnsi" w:hAnsiTheme="minorHAnsi"/>
          <w:sz w:val="24"/>
          <w:szCs w:val="24"/>
        </w:rPr>
        <w:t>W</w:t>
      </w:r>
      <w:r>
        <w:rPr>
          <w:rFonts w:asciiTheme="minorHAnsi" w:hAnsiTheme="minorHAnsi"/>
          <w:sz w:val="24"/>
          <w:szCs w:val="24"/>
        </w:rPr>
        <w:t xml:space="preserve">. </w:t>
      </w:r>
      <w:r w:rsidRPr="009677C1">
        <w:rPr>
          <w:rFonts w:asciiTheme="minorHAnsi" w:hAnsiTheme="minorHAnsi"/>
          <w:sz w:val="24"/>
          <w:szCs w:val="24"/>
        </w:rPr>
        <w:t>Dickinson,</w:t>
      </w:r>
      <w:r>
        <w:rPr>
          <w:rFonts w:asciiTheme="minorHAnsi" w:hAnsiTheme="minorHAnsi"/>
          <w:sz w:val="24"/>
          <w:szCs w:val="24"/>
        </w:rPr>
        <w:t xml:space="preserve"> </w:t>
      </w:r>
      <w:r w:rsidRPr="009677C1">
        <w:rPr>
          <w:rFonts w:asciiTheme="minorHAnsi" w:hAnsiTheme="minorHAnsi"/>
          <w:sz w:val="24"/>
          <w:szCs w:val="24"/>
        </w:rPr>
        <w:t>A</w:t>
      </w:r>
      <w:r>
        <w:rPr>
          <w:rFonts w:asciiTheme="minorHAnsi" w:hAnsiTheme="minorHAnsi"/>
          <w:sz w:val="24"/>
          <w:szCs w:val="24"/>
        </w:rPr>
        <w:t xml:space="preserve">. </w:t>
      </w:r>
      <w:r w:rsidRPr="009677C1">
        <w:rPr>
          <w:rFonts w:asciiTheme="minorHAnsi" w:hAnsiTheme="minorHAnsi"/>
          <w:sz w:val="24"/>
          <w:szCs w:val="24"/>
        </w:rPr>
        <w:t>J</w:t>
      </w:r>
      <w:r>
        <w:rPr>
          <w:rFonts w:asciiTheme="minorHAnsi" w:hAnsiTheme="minorHAnsi"/>
          <w:sz w:val="24"/>
          <w:szCs w:val="24"/>
        </w:rPr>
        <w:t>. (2005).</w:t>
      </w:r>
      <w:r w:rsidRPr="009677C1">
        <w:rPr>
          <w:rFonts w:asciiTheme="minorHAnsi" w:hAnsiTheme="minorHAnsi"/>
          <w:sz w:val="24"/>
          <w:szCs w:val="24"/>
        </w:rPr>
        <w:t xml:space="preserve"> A modified method for measuring </w:t>
      </w:r>
      <w:proofErr w:type="spellStart"/>
      <w:r w:rsidRPr="009677C1">
        <w:rPr>
          <w:rFonts w:asciiTheme="minorHAnsi" w:hAnsiTheme="minorHAnsi"/>
          <w:sz w:val="24"/>
          <w:szCs w:val="24"/>
        </w:rPr>
        <w:t>uniocular</w:t>
      </w:r>
      <w:proofErr w:type="spellEnd"/>
      <w:r w:rsidRPr="009677C1">
        <w:rPr>
          <w:rFonts w:asciiTheme="minorHAnsi" w:hAnsiTheme="minorHAnsi"/>
          <w:sz w:val="24"/>
          <w:szCs w:val="24"/>
        </w:rPr>
        <w:t xml:space="preserve"> fields of fixation: reliability in healthy subjects and in patients with Graves </w:t>
      </w:r>
      <w:proofErr w:type="spellStart"/>
      <w:r w:rsidRPr="009677C1">
        <w:rPr>
          <w:rFonts w:asciiTheme="minorHAnsi" w:hAnsiTheme="minorHAnsi"/>
          <w:sz w:val="24"/>
          <w:szCs w:val="24"/>
        </w:rPr>
        <w:t>orbitopathy</w:t>
      </w:r>
      <w:proofErr w:type="spellEnd"/>
      <w:r w:rsidRPr="009677C1">
        <w:rPr>
          <w:rFonts w:asciiTheme="minorHAnsi" w:hAnsiTheme="minorHAnsi"/>
          <w:sz w:val="24"/>
          <w:szCs w:val="24"/>
        </w:rPr>
        <w:t xml:space="preserve">· </w:t>
      </w:r>
      <w:r>
        <w:rPr>
          <w:rFonts w:asciiTheme="minorHAnsi" w:hAnsiTheme="minorHAnsi"/>
          <w:i/>
          <w:iCs/>
          <w:sz w:val="24"/>
          <w:szCs w:val="24"/>
        </w:rPr>
        <w:t xml:space="preserve">Archives of ophthalmology, </w:t>
      </w:r>
      <w:r w:rsidRPr="009677C1">
        <w:rPr>
          <w:rFonts w:asciiTheme="minorHAnsi" w:hAnsiTheme="minorHAnsi"/>
          <w:sz w:val="24"/>
          <w:szCs w:val="24"/>
        </w:rPr>
        <w:t>123(3)</w:t>
      </w:r>
      <w:r>
        <w:rPr>
          <w:rFonts w:asciiTheme="minorHAnsi" w:hAnsiTheme="minorHAnsi"/>
          <w:sz w:val="24"/>
          <w:szCs w:val="24"/>
        </w:rPr>
        <w:t>, 356-62.</w:t>
      </w:r>
    </w:p>
    <w:p w14:paraId="0BF3ED3A" w14:textId="77777777" w:rsidR="009677C1" w:rsidRDefault="009677C1" w:rsidP="009677C1">
      <w:pPr>
        <w:pStyle w:val="NormalWeb"/>
        <w:spacing w:before="2" w:after="2"/>
        <w:ind w:left="480" w:hanging="480"/>
        <w:rPr>
          <w:rFonts w:asciiTheme="minorHAnsi" w:hAnsiTheme="minorHAnsi"/>
          <w:sz w:val="24"/>
          <w:szCs w:val="24"/>
        </w:rPr>
      </w:pPr>
    </w:p>
    <w:p w14:paraId="6053DA8B" w14:textId="7E06AF9B" w:rsidR="009677C1" w:rsidRDefault="009677C1" w:rsidP="009677C1">
      <w:pPr>
        <w:pStyle w:val="NormalWeb"/>
        <w:spacing w:before="2" w:after="2"/>
        <w:ind w:left="480" w:hanging="480"/>
        <w:rPr>
          <w:rFonts w:asciiTheme="minorHAnsi" w:hAnsiTheme="minorHAnsi"/>
          <w:sz w:val="24"/>
          <w:szCs w:val="24"/>
        </w:rPr>
      </w:pPr>
      <w:proofErr w:type="spellStart"/>
      <w:r w:rsidRPr="0048229C">
        <w:rPr>
          <w:rFonts w:asciiTheme="minorHAnsi" w:hAnsiTheme="minorHAnsi"/>
          <w:sz w:val="24"/>
          <w:szCs w:val="24"/>
        </w:rPr>
        <w:t>Khoo</w:t>
      </w:r>
      <w:proofErr w:type="spellEnd"/>
      <w:r>
        <w:rPr>
          <w:rFonts w:asciiTheme="minorHAnsi" w:hAnsiTheme="minorHAnsi"/>
          <w:sz w:val="24"/>
          <w:szCs w:val="24"/>
        </w:rPr>
        <w:t>,</w:t>
      </w:r>
      <w:r w:rsidRPr="0048229C">
        <w:rPr>
          <w:rFonts w:asciiTheme="minorHAnsi" w:hAnsiTheme="minorHAnsi"/>
          <w:sz w:val="24"/>
          <w:szCs w:val="24"/>
        </w:rPr>
        <w:t xml:space="preserve"> T.</w:t>
      </w:r>
      <w:r>
        <w:rPr>
          <w:rFonts w:asciiTheme="minorHAnsi" w:hAnsiTheme="minorHAnsi"/>
          <w:sz w:val="24"/>
          <w:szCs w:val="24"/>
        </w:rPr>
        <w:t xml:space="preserve"> </w:t>
      </w:r>
      <w:r w:rsidRPr="0048229C">
        <w:rPr>
          <w:rFonts w:asciiTheme="minorHAnsi" w:hAnsiTheme="minorHAnsi"/>
          <w:sz w:val="24"/>
          <w:szCs w:val="24"/>
        </w:rPr>
        <w:t>K.</w:t>
      </w:r>
      <w:r>
        <w:rPr>
          <w:rFonts w:asciiTheme="minorHAnsi" w:hAnsiTheme="minorHAnsi"/>
          <w:sz w:val="24"/>
          <w:szCs w:val="24"/>
        </w:rPr>
        <w:t>,</w:t>
      </w:r>
      <w:r w:rsidRPr="0048229C">
        <w:rPr>
          <w:rFonts w:asciiTheme="minorHAnsi" w:hAnsiTheme="minorHAnsi"/>
          <w:sz w:val="24"/>
          <w:szCs w:val="24"/>
        </w:rPr>
        <w:t xml:space="preserve"> &amp; </w:t>
      </w:r>
      <w:proofErr w:type="spellStart"/>
      <w:r w:rsidRPr="0048229C">
        <w:rPr>
          <w:rFonts w:asciiTheme="minorHAnsi" w:hAnsiTheme="minorHAnsi"/>
          <w:sz w:val="24"/>
          <w:szCs w:val="24"/>
        </w:rPr>
        <w:t>Bahn</w:t>
      </w:r>
      <w:proofErr w:type="spellEnd"/>
      <w:r>
        <w:rPr>
          <w:rFonts w:asciiTheme="minorHAnsi" w:hAnsiTheme="minorHAnsi"/>
          <w:sz w:val="24"/>
          <w:szCs w:val="24"/>
        </w:rPr>
        <w:t>,</w:t>
      </w:r>
      <w:r w:rsidRPr="0048229C">
        <w:rPr>
          <w:rFonts w:asciiTheme="minorHAnsi" w:hAnsiTheme="minorHAnsi"/>
          <w:sz w:val="24"/>
          <w:szCs w:val="24"/>
        </w:rPr>
        <w:t xml:space="preserve"> R.</w:t>
      </w:r>
      <w:r>
        <w:rPr>
          <w:rFonts w:asciiTheme="minorHAnsi" w:hAnsiTheme="minorHAnsi"/>
          <w:sz w:val="24"/>
          <w:szCs w:val="24"/>
        </w:rPr>
        <w:t xml:space="preserve"> </w:t>
      </w:r>
      <w:r w:rsidRPr="0048229C">
        <w:rPr>
          <w:rFonts w:asciiTheme="minorHAnsi" w:hAnsiTheme="minorHAnsi"/>
          <w:sz w:val="24"/>
          <w:szCs w:val="24"/>
        </w:rPr>
        <w:t xml:space="preserve">S. </w:t>
      </w:r>
      <w:r>
        <w:rPr>
          <w:rFonts w:asciiTheme="minorHAnsi" w:hAnsiTheme="minorHAnsi"/>
          <w:sz w:val="24"/>
          <w:szCs w:val="24"/>
        </w:rPr>
        <w:t>(</w:t>
      </w:r>
      <w:r w:rsidRPr="0048229C">
        <w:rPr>
          <w:rFonts w:asciiTheme="minorHAnsi" w:hAnsiTheme="minorHAnsi"/>
          <w:sz w:val="24"/>
          <w:szCs w:val="24"/>
        </w:rPr>
        <w:t>2007</w:t>
      </w:r>
      <w:r>
        <w:rPr>
          <w:rFonts w:asciiTheme="minorHAnsi" w:hAnsiTheme="minorHAnsi"/>
          <w:sz w:val="24"/>
          <w:szCs w:val="24"/>
        </w:rPr>
        <w:t>)</w:t>
      </w:r>
      <w:r w:rsidRPr="0048229C">
        <w:rPr>
          <w:rFonts w:asciiTheme="minorHAnsi" w:hAnsiTheme="minorHAnsi"/>
          <w:sz w:val="24"/>
          <w:szCs w:val="24"/>
        </w:rPr>
        <w:t xml:space="preserve">. Pathogenesis of Graves' </w:t>
      </w:r>
      <w:proofErr w:type="spellStart"/>
      <w:r w:rsidRPr="0048229C">
        <w:rPr>
          <w:rFonts w:asciiTheme="minorHAnsi" w:hAnsiTheme="minorHAnsi"/>
          <w:sz w:val="24"/>
          <w:szCs w:val="24"/>
        </w:rPr>
        <w:t>ophthalmopathy</w:t>
      </w:r>
      <w:proofErr w:type="spellEnd"/>
      <w:r w:rsidRPr="0048229C">
        <w:rPr>
          <w:rFonts w:asciiTheme="minorHAnsi" w:hAnsiTheme="minorHAnsi"/>
          <w:sz w:val="24"/>
          <w:szCs w:val="24"/>
        </w:rPr>
        <w:t xml:space="preserve">: the role of autoantibodies. </w:t>
      </w:r>
      <w:r w:rsidRPr="0048229C">
        <w:rPr>
          <w:rFonts w:asciiTheme="minorHAnsi" w:hAnsiTheme="minorHAnsi"/>
          <w:i/>
          <w:sz w:val="24"/>
          <w:szCs w:val="24"/>
        </w:rPr>
        <w:t>Thyroid,</w:t>
      </w:r>
      <w:r>
        <w:rPr>
          <w:rFonts w:asciiTheme="minorHAnsi" w:hAnsiTheme="minorHAnsi"/>
          <w:i/>
          <w:sz w:val="24"/>
          <w:szCs w:val="24"/>
        </w:rPr>
        <w:t xml:space="preserve"> </w:t>
      </w:r>
      <w:r w:rsidRPr="0048229C">
        <w:rPr>
          <w:rFonts w:asciiTheme="minorHAnsi" w:hAnsiTheme="minorHAnsi"/>
          <w:sz w:val="24"/>
          <w:szCs w:val="24"/>
        </w:rPr>
        <w:t>17(10), 1013-8.</w:t>
      </w:r>
    </w:p>
    <w:p w14:paraId="1D2D27EA" w14:textId="77777777" w:rsidR="009677C1" w:rsidRDefault="009677C1" w:rsidP="009677C1">
      <w:pPr>
        <w:pStyle w:val="NormalWeb"/>
        <w:spacing w:before="2" w:after="2"/>
        <w:ind w:left="480" w:hanging="480"/>
        <w:rPr>
          <w:rFonts w:asciiTheme="minorHAnsi" w:hAnsiTheme="minorHAnsi"/>
          <w:sz w:val="24"/>
          <w:szCs w:val="24"/>
        </w:rPr>
      </w:pPr>
    </w:p>
    <w:p w14:paraId="14C6BC43" w14:textId="50BBF0AB" w:rsidR="00B42C53" w:rsidRDefault="00B42C53" w:rsidP="00B42C53">
      <w:pPr>
        <w:pStyle w:val="NormalWeb"/>
        <w:spacing w:before="2" w:after="2"/>
        <w:ind w:left="480" w:hanging="480"/>
        <w:rPr>
          <w:rStyle w:val="Hyperlink"/>
          <w:rFonts w:asciiTheme="minorHAnsi" w:hAnsiTheme="minorHAnsi" w:cs="Helvetica"/>
          <w:color w:val="auto"/>
          <w:sz w:val="24"/>
          <w:szCs w:val="24"/>
          <w:lang w:val="en"/>
        </w:rPr>
      </w:pPr>
      <w:r w:rsidRPr="00195E8A">
        <w:rPr>
          <w:rFonts w:asciiTheme="minorHAnsi" w:hAnsiTheme="minorHAnsi"/>
          <w:noProof/>
          <w:sz w:val="24"/>
          <w:szCs w:val="24"/>
        </w:rPr>
        <w:t>Marcocci</w:t>
      </w:r>
      <w:r>
        <w:rPr>
          <w:rFonts w:asciiTheme="minorHAnsi" w:hAnsiTheme="minorHAnsi"/>
          <w:noProof/>
          <w:sz w:val="24"/>
          <w:szCs w:val="24"/>
        </w:rPr>
        <w:t>,</w:t>
      </w:r>
      <w:r w:rsidRPr="00195E8A">
        <w:rPr>
          <w:rFonts w:asciiTheme="minorHAnsi" w:hAnsiTheme="minorHAnsi"/>
          <w:noProof/>
          <w:sz w:val="24"/>
          <w:szCs w:val="24"/>
        </w:rPr>
        <w:t xml:space="preserve"> C</w:t>
      </w:r>
      <w:r>
        <w:rPr>
          <w:rFonts w:asciiTheme="minorHAnsi" w:hAnsiTheme="minorHAnsi"/>
          <w:noProof/>
          <w:sz w:val="24"/>
          <w:szCs w:val="24"/>
        </w:rPr>
        <w:t>.</w:t>
      </w:r>
      <w:r w:rsidRPr="00195E8A">
        <w:rPr>
          <w:rFonts w:asciiTheme="minorHAnsi" w:hAnsiTheme="minorHAnsi"/>
          <w:noProof/>
          <w:sz w:val="24"/>
          <w:szCs w:val="24"/>
        </w:rPr>
        <w:t>, Bartalena</w:t>
      </w:r>
      <w:r>
        <w:rPr>
          <w:rFonts w:asciiTheme="minorHAnsi" w:hAnsiTheme="minorHAnsi"/>
          <w:noProof/>
          <w:sz w:val="24"/>
          <w:szCs w:val="24"/>
        </w:rPr>
        <w:t>,</w:t>
      </w:r>
      <w:r w:rsidRPr="00195E8A">
        <w:rPr>
          <w:rFonts w:asciiTheme="minorHAnsi" w:hAnsiTheme="minorHAnsi"/>
          <w:noProof/>
          <w:sz w:val="24"/>
          <w:szCs w:val="24"/>
        </w:rPr>
        <w:t xml:space="preserve"> L</w:t>
      </w:r>
      <w:r>
        <w:rPr>
          <w:rFonts w:asciiTheme="minorHAnsi" w:hAnsiTheme="minorHAnsi"/>
          <w:noProof/>
          <w:sz w:val="24"/>
          <w:szCs w:val="24"/>
        </w:rPr>
        <w:t>.</w:t>
      </w:r>
      <w:r w:rsidRPr="00195E8A">
        <w:rPr>
          <w:rFonts w:asciiTheme="minorHAnsi" w:hAnsiTheme="minorHAnsi"/>
          <w:noProof/>
          <w:sz w:val="24"/>
          <w:szCs w:val="24"/>
        </w:rPr>
        <w:t>, Tanda</w:t>
      </w:r>
      <w:r>
        <w:rPr>
          <w:rFonts w:asciiTheme="minorHAnsi" w:hAnsiTheme="minorHAnsi"/>
          <w:noProof/>
          <w:sz w:val="24"/>
          <w:szCs w:val="24"/>
        </w:rPr>
        <w:t>,</w:t>
      </w:r>
      <w:r w:rsidRPr="00195E8A">
        <w:rPr>
          <w:rFonts w:asciiTheme="minorHAnsi" w:hAnsiTheme="minorHAnsi"/>
          <w:noProof/>
          <w:sz w:val="24"/>
          <w:szCs w:val="24"/>
        </w:rPr>
        <w:t xml:space="preserve"> M</w:t>
      </w:r>
      <w:r>
        <w:rPr>
          <w:rFonts w:asciiTheme="minorHAnsi" w:hAnsiTheme="minorHAnsi"/>
          <w:noProof/>
          <w:sz w:val="24"/>
          <w:szCs w:val="24"/>
        </w:rPr>
        <w:t xml:space="preserve">. </w:t>
      </w:r>
      <w:r w:rsidRPr="00195E8A">
        <w:rPr>
          <w:rFonts w:asciiTheme="minorHAnsi" w:hAnsiTheme="minorHAnsi"/>
          <w:noProof/>
          <w:sz w:val="24"/>
          <w:szCs w:val="24"/>
        </w:rPr>
        <w:t>L</w:t>
      </w:r>
      <w:r>
        <w:rPr>
          <w:rFonts w:asciiTheme="minorHAnsi" w:hAnsiTheme="minorHAnsi"/>
          <w:noProof/>
          <w:sz w:val="24"/>
          <w:szCs w:val="24"/>
        </w:rPr>
        <w:t>.</w:t>
      </w:r>
      <w:r w:rsidRPr="00195E8A">
        <w:rPr>
          <w:rFonts w:asciiTheme="minorHAnsi" w:hAnsiTheme="minorHAnsi"/>
          <w:noProof/>
          <w:sz w:val="24"/>
          <w:szCs w:val="24"/>
        </w:rPr>
        <w:t xml:space="preserve">, </w:t>
      </w:r>
      <w:r>
        <w:rPr>
          <w:rFonts w:asciiTheme="minorHAnsi" w:hAnsiTheme="minorHAnsi"/>
          <w:noProof/>
          <w:sz w:val="24"/>
          <w:szCs w:val="24"/>
        </w:rPr>
        <w:t>Manetti, L., Dell-Unto, E., Rocchi, R., … Pinchera, A.</w:t>
      </w:r>
      <w:r w:rsidRPr="00195E8A">
        <w:rPr>
          <w:rFonts w:asciiTheme="minorHAnsi" w:hAnsiTheme="minorHAnsi"/>
          <w:noProof/>
          <w:sz w:val="24"/>
          <w:szCs w:val="24"/>
        </w:rPr>
        <w:t xml:space="preserve"> (2001). Comparison of the effectiveness and tolerability of intravenous or oral glucocorticoids associated with orbital radiotherapy in the management of severe Graves' ophthalmopathy: results of a prospective, single-blind, randomized study. </w:t>
      </w:r>
      <w:r w:rsidRPr="00195E8A">
        <w:rPr>
          <w:rFonts w:asciiTheme="minorHAnsi" w:hAnsiTheme="minorHAnsi"/>
          <w:i/>
          <w:noProof/>
          <w:sz w:val="24"/>
          <w:szCs w:val="24"/>
        </w:rPr>
        <w:t>J</w:t>
      </w:r>
      <w:r>
        <w:rPr>
          <w:rFonts w:asciiTheme="minorHAnsi" w:hAnsiTheme="minorHAnsi"/>
          <w:i/>
          <w:noProof/>
          <w:sz w:val="24"/>
          <w:szCs w:val="24"/>
        </w:rPr>
        <w:t>ournal</w:t>
      </w:r>
      <w:r w:rsidRPr="00195E8A">
        <w:rPr>
          <w:rFonts w:asciiTheme="minorHAnsi" w:hAnsiTheme="minorHAnsi"/>
          <w:i/>
          <w:noProof/>
          <w:sz w:val="24"/>
          <w:szCs w:val="24"/>
        </w:rPr>
        <w:t xml:space="preserve"> </w:t>
      </w:r>
      <w:r>
        <w:rPr>
          <w:rFonts w:asciiTheme="minorHAnsi" w:hAnsiTheme="minorHAnsi"/>
          <w:i/>
          <w:noProof/>
          <w:sz w:val="24"/>
          <w:szCs w:val="24"/>
        </w:rPr>
        <w:t xml:space="preserve">of </w:t>
      </w:r>
      <w:r w:rsidRPr="00195E8A">
        <w:rPr>
          <w:rFonts w:asciiTheme="minorHAnsi" w:hAnsiTheme="minorHAnsi"/>
          <w:i/>
          <w:noProof/>
          <w:sz w:val="24"/>
          <w:szCs w:val="24"/>
        </w:rPr>
        <w:t>Clin</w:t>
      </w:r>
      <w:r>
        <w:rPr>
          <w:rFonts w:asciiTheme="minorHAnsi" w:hAnsiTheme="minorHAnsi"/>
          <w:i/>
          <w:noProof/>
          <w:sz w:val="24"/>
          <w:szCs w:val="24"/>
        </w:rPr>
        <w:t>inical</w:t>
      </w:r>
      <w:r w:rsidRPr="00195E8A">
        <w:rPr>
          <w:rFonts w:asciiTheme="minorHAnsi" w:hAnsiTheme="minorHAnsi"/>
          <w:i/>
          <w:noProof/>
          <w:sz w:val="24"/>
          <w:szCs w:val="24"/>
        </w:rPr>
        <w:t xml:space="preserve"> Endocrinol</w:t>
      </w:r>
      <w:r>
        <w:rPr>
          <w:rFonts w:asciiTheme="minorHAnsi" w:hAnsiTheme="minorHAnsi"/>
          <w:i/>
          <w:noProof/>
          <w:sz w:val="24"/>
          <w:szCs w:val="24"/>
        </w:rPr>
        <w:t>ogy &amp;</w:t>
      </w:r>
      <w:r w:rsidRPr="00195E8A">
        <w:rPr>
          <w:rFonts w:asciiTheme="minorHAnsi" w:hAnsiTheme="minorHAnsi"/>
          <w:i/>
          <w:noProof/>
          <w:sz w:val="24"/>
          <w:szCs w:val="24"/>
        </w:rPr>
        <w:t xml:space="preserve"> Metab</w:t>
      </w:r>
      <w:r>
        <w:rPr>
          <w:rFonts w:asciiTheme="minorHAnsi" w:hAnsiTheme="minorHAnsi"/>
          <w:i/>
          <w:noProof/>
          <w:sz w:val="24"/>
          <w:szCs w:val="24"/>
        </w:rPr>
        <w:t>olism,</w:t>
      </w:r>
      <w:r w:rsidRPr="00195E8A">
        <w:rPr>
          <w:rFonts w:asciiTheme="minorHAnsi" w:hAnsiTheme="minorHAnsi"/>
          <w:noProof/>
          <w:sz w:val="24"/>
          <w:szCs w:val="24"/>
        </w:rPr>
        <w:t xml:space="preserve"> </w:t>
      </w:r>
      <w:r w:rsidRPr="00B42C53">
        <w:rPr>
          <w:rFonts w:asciiTheme="minorHAnsi" w:hAnsiTheme="minorHAnsi"/>
          <w:noProof/>
          <w:sz w:val="24"/>
          <w:szCs w:val="24"/>
        </w:rPr>
        <w:t>86</w:t>
      </w:r>
      <w:r>
        <w:rPr>
          <w:rFonts w:asciiTheme="minorHAnsi" w:hAnsiTheme="minorHAnsi"/>
          <w:noProof/>
          <w:sz w:val="24"/>
          <w:szCs w:val="24"/>
        </w:rPr>
        <w:t>(</w:t>
      </w:r>
      <w:r w:rsidRPr="00195E8A">
        <w:rPr>
          <w:rFonts w:asciiTheme="minorHAnsi" w:hAnsiTheme="minorHAnsi"/>
          <w:noProof/>
          <w:sz w:val="24"/>
          <w:szCs w:val="24"/>
        </w:rPr>
        <w:t>8</w:t>
      </w:r>
      <w:r>
        <w:rPr>
          <w:rFonts w:asciiTheme="minorHAnsi" w:hAnsiTheme="minorHAnsi"/>
          <w:noProof/>
          <w:sz w:val="24"/>
          <w:szCs w:val="24"/>
        </w:rPr>
        <w:t>),</w:t>
      </w:r>
      <w:r w:rsidRPr="00195E8A">
        <w:rPr>
          <w:rFonts w:asciiTheme="minorHAnsi" w:hAnsiTheme="minorHAnsi"/>
          <w:noProof/>
          <w:sz w:val="24"/>
          <w:szCs w:val="24"/>
        </w:rPr>
        <w:t xml:space="preserve"> 3562-7.</w:t>
      </w:r>
      <w:r>
        <w:rPr>
          <w:rFonts w:asciiTheme="minorHAnsi" w:hAnsiTheme="minorHAnsi"/>
          <w:noProof/>
          <w:sz w:val="24"/>
          <w:szCs w:val="24"/>
        </w:rPr>
        <w:t xml:space="preserve"> doi</w:t>
      </w:r>
      <w:r w:rsidRPr="00195E8A">
        <w:rPr>
          <w:rFonts w:asciiTheme="minorHAnsi" w:hAnsiTheme="minorHAnsi" w:cs="Helvetica"/>
          <w:sz w:val="24"/>
          <w:szCs w:val="24"/>
          <w:lang w:val="en"/>
        </w:rPr>
        <w:t xml:space="preserve">: </w:t>
      </w:r>
      <w:hyperlink r:id="rId15" w:history="1">
        <w:r w:rsidRPr="00195E8A">
          <w:rPr>
            <w:rStyle w:val="Hyperlink"/>
            <w:rFonts w:asciiTheme="minorHAnsi" w:hAnsiTheme="minorHAnsi" w:cs="Helvetica"/>
            <w:color w:val="auto"/>
            <w:sz w:val="24"/>
            <w:szCs w:val="24"/>
            <w:lang w:val="en"/>
          </w:rPr>
          <w:t>http://dx.doi.org/10.1210/jcem.86.8.7737</w:t>
        </w:r>
      </w:hyperlink>
    </w:p>
    <w:p w14:paraId="65139D52" w14:textId="77777777" w:rsidR="00D2324D" w:rsidRDefault="00D2324D" w:rsidP="00B42C53">
      <w:pPr>
        <w:pStyle w:val="NormalWeb"/>
        <w:spacing w:before="2" w:after="2"/>
        <w:ind w:left="480" w:hanging="480"/>
        <w:rPr>
          <w:rStyle w:val="Hyperlink"/>
          <w:rFonts w:asciiTheme="minorHAnsi" w:hAnsiTheme="minorHAnsi" w:cs="Helvetica"/>
          <w:color w:val="auto"/>
          <w:sz w:val="24"/>
          <w:szCs w:val="24"/>
          <w:lang w:val="en"/>
        </w:rPr>
      </w:pPr>
    </w:p>
    <w:p w14:paraId="3A6ECB08" w14:textId="77777777" w:rsidR="009677C1" w:rsidRDefault="009677C1" w:rsidP="009677C1">
      <w:pPr>
        <w:pStyle w:val="NormalWeb"/>
        <w:spacing w:before="2" w:after="2"/>
        <w:ind w:left="480" w:hanging="480"/>
        <w:rPr>
          <w:rStyle w:val="doi1"/>
          <w:rFonts w:asciiTheme="minorHAnsi" w:hAnsiTheme="minorHAnsi" w:cs="Arial"/>
          <w:color w:val="auto"/>
          <w:sz w:val="24"/>
          <w:szCs w:val="24"/>
        </w:rPr>
      </w:pPr>
      <w:proofErr w:type="spellStart"/>
      <w:r w:rsidRPr="0048229C">
        <w:rPr>
          <w:rFonts w:asciiTheme="minorHAnsi" w:hAnsiTheme="minorHAnsi"/>
          <w:sz w:val="24"/>
          <w:szCs w:val="24"/>
        </w:rPr>
        <w:t>Marcocci</w:t>
      </w:r>
      <w:proofErr w:type="spellEnd"/>
      <w:r w:rsidRPr="0048229C">
        <w:rPr>
          <w:rFonts w:asciiTheme="minorHAnsi" w:hAnsiTheme="minorHAnsi"/>
          <w:sz w:val="24"/>
          <w:szCs w:val="24"/>
        </w:rPr>
        <w:t>, C</w:t>
      </w:r>
      <w:r>
        <w:rPr>
          <w:rFonts w:asciiTheme="minorHAnsi" w:hAnsiTheme="minorHAnsi"/>
          <w:sz w:val="24"/>
          <w:szCs w:val="24"/>
        </w:rPr>
        <w:t>.,</w:t>
      </w:r>
      <w:r w:rsidRPr="0048229C">
        <w:rPr>
          <w:rFonts w:asciiTheme="minorHAnsi" w:hAnsiTheme="minorHAnsi"/>
          <w:sz w:val="24"/>
          <w:szCs w:val="24"/>
        </w:rPr>
        <w:t xml:space="preserve"> </w:t>
      </w:r>
      <w:proofErr w:type="spellStart"/>
      <w:r>
        <w:rPr>
          <w:rFonts w:asciiTheme="minorHAnsi" w:hAnsiTheme="minorHAnsi"/>
          <w:sz w:val="24"/>
          <w:szCs w:val="24"/>
        </w:rPr>
        <w:t>Kahaly</w:t>
      </w:r>
      <w:proofErr w:type="spellEnd"/>
      <w:r>
        <w:rPr>
          <w:rFonts w:asciiTheme="minorHAnsi" w:hAnsiTheme="minorHAnsi"/>
          <w:sz w:val="24"/>
          <w:szCs w:val="24"/>
        </w:rPr>
        <w:t xml:space="preserve">, G. J., </w:t>
      </w:r>
      <w:proofErr w:type="spellStart"/>
      <w:r>
        <w:rPr>
          <w:rFonts w:asciiTheme="minorHAnsi" w:hAnsiTheme="minorHAnsi"/>
          <w:sz w:val="24"/>
          <w:szCs w:val="24"/>
        </w:rPr>
        <w:t>Krassas</w:t>
      </w:r>
      <w:proofErr w:type="spellEnd"/>
      <w:r>
        <w:rPr>
          <w:rFonts w:asciiTheme="minorHAnsi" w:hAnsiTheme="minorHAnsi"/>
          <w:sz w:val="24"/>
          <w:szCs w:val="24"/>
        </w:rPr>
        <w:t>, G. E</w:t>
      </w:r>
      <w:r w:rsidRPr="0048229C">
        <w:rPr>
          <w:rFonts w:asciiTheme="minorHAnsi" w:hAnsiTheme="minorHAnsi"/>
          <w:sz w:val="24"/>
          <w:szCs w:val="24"/>
        </w:rPr>
        <w:t xml:space="preserve">., </w:t>
      </w:r>
      <w:proofErr w:type="spellStart"/>
      <w:r w:rsidRPr="0048229C">
        <w:rPr>
          <w:rFonts w:asciiTheme="minorHAnsi" w:hAnsiTheme="minorHAnsi"/>
          <w:sz w:val="24"/>
          <w:szCs w:val="24"/>
        </w:rPr>
        <w:t>Bartalena</w:t>
      </w:r>
      <w:proofErr w:type="spellEnd"/>
      <w:r w:rsidRPr="0048229C">
        <w:rPr>
          <w:rFonts w:asciiTheme="minorHAnsi" w:hAnsiTheme="minorHAnsi"/>
          <w:sz w:val="24"/>
          <w:szCs w:val="24"/>
        </w:rPr>
        <w:t>, L.</w:t>
      </w:r>
      <w:r>
        <w:rPr>
          <w:rFonts w:asciiTheme="minorHAnsi" w:hAnsiTheme="minorHAnsi"/>
          <w:sz w:val="24"/>
          <w:szCs w:val="24"/>
        </w:rPr>
        <w:t xml:space="preserve">, </w:t>
      </w:r>
      <w:proofErr w:type="spellStart"/>
      <w:r>
        <w:rPr>
          <w:rFonts w:asciiTheme="minorHAnsi" w:hAnsiTheme="minorHAnsi"/>
          <w:sz w:val="24"/>
          <w:szCs w:val="24"/>
        </w:rPr>
        <w:t>Prummel</w:t>
      </w:r>
      <w:proofErr w:type="spellEnd"/>
      <w:r>
        <w:rPr>
          <w:rFonts w:asciiTheme="minorHAnsi" w:hAnsiTheme="minorHAnsi"/>
          <w:sz w:val="24"/>
          <w:szCs w:val="24"/>
        </w:rPr>
        <w:t xml:space="preserve">, M., Stahl, M., </w:t>
      </w:r>
      <w:proofErr w:type="gramStart"/>
      <w:r>
        <w:rPr>
          <w:rFonts w:asciiTheme="minorHAnsi" w:hAnsiTheme="minorHAnsi"/>
          <w:sz w:val="24"/>
          <w:szCs w:val="24"/>
        </w:rPr>
        <w:t xml:space="preserve">… </w:t>
      </w:r>
      <w:r w:rsidRPr="0048229C">
        <w:rPr>
          <w:rFonts w:asciiTheme="minorHAnsi" w:hAnsiTheme="minorHAnsi"/>
          <w:sz w:val="24"/>
          <w:szCs w:val="24"/>
        </w:rPr>
        <w:t xml:space="preserve"> </w:t>
      </w:r>
      <w:proofErr w:type="spellStart"/>
      <w:r>
        <w:rPr>
          <w:rFonts w:asciiTheme="minorHAnsi" w:hAnsiTheme="minorHAnsi"/>
          <w:sz w:val="24"/>
          <w:szCs w:val="24"/>
        </w:rPr>
        <w:t>Wiersinga</w:t>
      </w:r>
      <w:proofErr w:type="spellEnd"/>
      <w:proofErr w:type="gramEnd"/>
      <w:r>
        <w:rPr>
          <w:rFonts w:asciiTheme="minorHAnsi" w:hAnsiTheme="minorHAnsi"/>
          <w:sz w:val="24"/>
          <w:szCs w:val="24"/>
        </w:rPr>
        <w:t>, W. M. (</w:t>
      </w:r>
      <w:r w:rsidRPr="0048229C">
        <w:rPr>
          <w:rFonts w:asciiTheme="minorHAnsi" w:hAnsiTheme="minorHAnsi"/>
          <w:sz w:val="24"/>
          <w:szCs w:val="24"/>
        </w:rPr>
        <w:t>2011</w:t>
      </w:r>
      <w:r>
        <w:rPr>
          <w:rFonts w:asciiTheme="minorHAnsi" w:hAnsiTheme="minorHAnsi"/>
          <w:sz w:val="24"/>
          <w:szCs w:val="24"/>
        </w:rPr>
        <w:t>)</w:t>
      </w:r>
      <w:r w:rsidRPr="0048229C">
        <w:rPr>
          <w:rFonts w:asciiTheme="minorHAnsi" w:hAnsiTheme="minorHAnsi"/>
          <w:sz w:val="24"/>
          <w:szCs w:val="24"/>
        </w:rPr>
        <w:t xml:space="preserve">. Selenium and the course of mild Graves’ </w:t>
      </w:r>
      <w:proofErr w:type="spellStart"/>
      <w:r w:rsidRPr="0048229C">
        <w:rPr>
          <w:rFonts w:asciiTheme="minorHAnsi" w:hAnsiTheme="minorHAnsi"/>
          <w:sz w:val="24"/>
          <w:szCs w:val="24"/>
        </w:rPr>
        <w:t>orbitopathy</w:t>
      </w:r>
      <w:proofErr w:type="spellEnd"/>
      <w:r w:rsidRPr="0048229C">
        <w:rPr>
          <w:rFonts w:asciiTheme="minorHAnsi" w:hAnsiTheme="minorHAnsi"/>
          <w:sz w:val="24"/>
          <w:szCs w:val="24"/>
        </w:rPr>
        <w:t xml:space="preserve">. </w:t>
      </w:r>
      <w:r w:rsidRPr="0048229C">
        <w:rPr>
          <w:rFonts w:asciiTheme="minorHAnsi" w:hAnsiTheme="minorHAnsi"/>
          <w:i/>
          <w:sz w:val="24"/>
          <w:szCs w:val="24"/>
        </w:rPr>
        <w:t>N</w:t>
      </w:r>
      <w:r>
        <w:rPr>
          <w:rFonts w:asciiTheme="minorHAnsi" w:hAnsiTheme="minorHAnsi"/>
          <w:i/>
          <w:sz w:val="24"/>
          <w:szCs w:val="24"/>
        </w:rPr>
        <w:t>ew</w:t>
      </w:r>
      <w:r w:rsidRPr="0048229C">
        <w:rPr>
          <w:rFonts w:asciiTheme="minorHAnsi" w:hAnsiTheme="minorHAnsi"/>
          <w:i/>
          <w:sz w:val="24"/>
          <w:szCs w:val="24"/>
        </w:rPr>
        <w:t xml:space="preserve"> Engl</w:t>
      </w:r>
      <w:r>
        <w:rPr>
          <w:rFonts w:asciiTheme="minorHAnsi" w:hAnsiTheme="minorHAnsi"/>
          <w:i/>
          <w:sz w:val="24"/>
          <w:szCs w:val="24"/>
        </w:rPr>
        <w:t>and</w:t>
      </w:r>
      <w:r w:rsidRPr="0048229C">
        <w:rPr>
          <w:rFonts w:asciiTheme="minorHAnsi" w:hAnsiTheme="minorHAnsi"/>
          <w:i/>
          <w:sz w:val="24"/>
          <w:szCs w:val="24"/>
        </w:rPr>
        <w:t xml:space="preserve"> J</w:t>
      </w:r>
      <w:r>
        <w:rPr>
          <w:rFonts w:asciiTheme="minorHAnsi" w:hAnsiTheme="minorHAnsi"/>
          <w:i/>
          <w:sz w:val="24"/>
          <w:szCs w:val="24"/>
        </w:rPr>
        <w:t>ournal of</w:t>
      </w:r>
      <w:r w:rsidRPr="0048229C">
        <w:rPr>
          <w:rFonts w:asciiTheme="minorHAnsi" w:hAnsiTheme="minorHAnsi"/>
          <w:i/>
          <w:sz w:val="24"/>
          <w:szCs w:val="24"/>
        </w:rPr>
        <w:t xml:space="preserve"> Med</w:t>
      </w:r>
      <w:r>
        <w:rPr>
          <w:rFonts w:asciiTheme="minorHAnsi" w:hAnsiTheme="minorHAnsi"/>
          <w:i/>
          <w:sz w:val="24"/>
          <w:szCs w:val="24"/>
        </w:rPr>
        <w:t>icine</w:t>
      </w:r>
      <w:r w:rsidRPr="0048229C">
        <w:rPr>
          <w:rFonts w:asciiTheme="minorHAnsi" w:hAnsiTheme="minorHAnsi"/>
          <w:sz w:val="24"/>
          <w:szCs w:val="24"/>
        </w:rPr>
        <w:t>, 364</w:t>
      </w:r>
      <w:r>
        <w:rPr>
          <w:rFonts w:asciiTheme="minorHAnsi" w:hAnsiTheme="minorHAnsi"/>
          <w:sz w:val="24"/>
          <w:szCs w:val="24"/>
        </w:rPr>
        <w:t xml:space="preserve">, </w:t>
      </w:r>
      <w:r w:rsidRPr="0048229C">
        <w:rPr>
          <w:rFonts w:asciiTheme="minorHAnsi" w:hAnsiTheme="minorHAnsi"/>
          <w:sz w:val="24"/>
          <w:szCs w:val="24"/>
        </w:rPr>
        <w:t xml:space="preserve">20, </w:t>
      </w:r>
      <w:r>
        <w:rPr>
          <w:rFonts w:asciiTheme="minorHAnsi" w:hAnsiTheme="minorHAnsi"/>
          <w:sz w:val="24"/>
          <w:szCs w:val="24"/>
        </w:rPr>
        <w:t>1</w:t>
      </w:r>
      <w:r w:rsidRPr="0048229C">
        <w:rPr>
          <w:rFonts w:asciiTheme="minorHAnsi" w:hAnsiTheme="minorHAnsi"/>
          <w:sz w:val="24"/>
          <w:szCs w:val="24"/>
        </w:rPr>
        <w:t>920–1931.</w:t>
      </w:r>
      <w:r>
        <w:rPr>
          <w:rFonts w:asciiTheme="minorHAnsi" w:hAnsiTheme="minorHAnsi"/>
          <w:sz w:val="24"/>
          <w:szCs w:val="24"/>
        </w:rPr>
        <w:t xml:space="preserve"> </w:t>
      </w:r>
      <w:proofErr w:type="spellStart"/>
      <w:proofErr w:type="gramStart"/>
      <w:r>
        <w:rPr>
          <w:rFonts w:asciiTheme="minorHAnsi" w:hAnsiTheme="minorHAnsi"/>
          <w:sz w:val="24"/>
          <w:szCs w:val="24"/>
        </w:rPr>
        <w:t>doi</w:t>
      </w:r>
      <w:proofErr w:type="spellEnd"/>
      <w:proofErr w:type="gramEnd"/>
      <w:r>
        <w:rPr>
          <w:rFonts w:asciiTheme="minorHAnsi" w:hAnsiTheme="minorHAnsi"/>
          <w:sz w:val="24"/>
          <w:szCs w:val="24"/>
        </w:rPr>
        <w:t xml:space="preserve">: </w:t>
      </w:r>
      <w:r w:rsidRPr="000B4AEA">
        <w:rPr>
          <w:rStyle w:val="doi1"/>
          <w:rFonts w:asciiTheme="minorHAnsi" w:hAnsiTheme="minorHAnsi" w:cs="Arial"/>
          <w:color w:val="auto"/>
          <w:sz w:val="24"/>
          <w:szCs w:val="24"/>
        </w:rPr>
        <w:t>10.1056/NEJMoa1012985</w:t>
      </w:r>
    </w:p>
    <w:p w14:paraId="091B8A63" w14:textId="77777777" w:rsidR="00B42C53" w:rsidRDefault="00B42C53" w:rsidP="009677C1">
      <w:pPr>
        <w:pStyle w:val="NormalWeb"/>
        <w:spacing w:before="2" w:after="2"/>
        <w:ind w:left="480" w:hanging="480"/>
        <w:rPr>
          <w:rStyle w:val="doi1"/>
          <w:rFonts w:asciiTheme="minorHAnsi" w:hAnsiTheme="minorHAnsi" w:cs="Arial"/>
          <w:color w:val="auto"/>
          <w:sz w:val="24"/>
          <w:szCs w:val="24"/>
        </w:rPr>
      </w:pPr>
    </w:p>
    <w:p w14:paraId="025F3A54" w14:textId="2882FE77" w:rsidR="00B42C53" w:rsidRDefault="00B42C53" w:rsidP="00B42C53">
      <w:pPr>
        <w:pStyle w:val="NormalWeb"/>
        <w:spacing w:before="2" w:after="2"/>
        <w:ind w:left="480" w:hanging="480"/>
        <w:rPr>
          <w:rFonts w:asciiTheme="minorHAnsi" w:hAnsiTheme="minorHAnsi"/>
          <w:noProof/>
          <w:sz w:val="24"/>
          <w:szCs w:val="24"/>
        </w:rPr>
      </w:pPr>
      <w:r w:rsidRPr="00A65E4E">
        <w:rPr>
          <w:rFonts w:asciiTheme="minorHAnsi" w:hAnsiTheme="minorHAnsi"/>
          <w:noProof/>
          <w:sz w:val="24"/>
          <w:szCs w:val="24"/>
        </w:rPr>
        <w:t>Mourits</w:t>
      </w:r>
      <w:r>
        <w:rPr>
          <w:rFonts w:asciiTheme="minorHAnsi" w:hAnsiTheme="minorHAnsi"/>
          <w:noProof/>
          <w:sz w:val="24"/>
          <w:szCs w:val="24"/>
        </w:rPr>
        <w:t>,</w:t>
      </w:r>
      <w:r w:rsidRPr="00A65E4E">
        <w:rPr>
          <w:rFonts w:asciiTheme="minorHAnsi" w:hAnsiTheme="minorHAnsi"/>
          <w:noProof/>
          <w:sz w:val="24"/>
          <w:szCs w:val="24"/>
        </w:rPr>
        <w:t xml:space="preserve"> M</w:t>
      </w:r>
      <w:r>
        <w:rPr>
          <w:rFonts w:asciiTheme="minorHAnsi" w:hAnsiTheme="minorHAnsi"/>
          <w:noProof/>
          <w:sz w:val="24"/>
          <w:szCs w:val="24"/>
        </w:rPr>
        <w:t xml:space="preserve">. </w:t>
      </w:r>
      <w:r w:rsidRPr="00A65E4E">
        <w:rPr>
          <w:rFonts w:asciiTheme="minorHAnsi" w:hAnsiTheme="minorHAnsi"/>
          <w:noProof/>
          <w:sz w:val="24"/>
          <w:szCs w:val="24"/>
        </w:rPr>
        <w:t>P</w:t>
      </w:r>
      <w:r>
        <w:rPr>
          <w:rFonts w:asciiTheme="minorHAnsi" w:hAnsiTheme="minorHAnsi"/>
          <w:noProof/>
          <w:sz w:val="24"/>
          <w:szCs w:val="24"/>
        </w:rPr>
        <w:t>.</w:t>
      </w:r>
      <w:r w:rsidRPr="00A65E4E">
        <w:rPr>
          <w:rFonts w:asciiTheme="minorHAnsi" w:hAnsiTheme="minorHAnsi"/>
          <w:noProof/>
          <w:sz w:val="24"/>
          <w:szCs w:val="24"/>
        </w:rPr>
        <w:t>, Prummel</w:t>
      </w:r>
      <w:r>
        <w:rPr>
          <w:rFonts w:asciiTheme="minorHAnsi" w:hAnsiTheme="minorHAnsi"/>
          <w:noProof/>
          <w:sz w:val="24"/>
          <w:szCs w:val="24"/>
        </w:rPr>
        <w:t>,</w:t>
      </w:r>
      <w:r w:rsidRPr="00A65E4E">
        <w:rPr>
          <w:rFonts w:asciiTheme="minorHAnsi" w:hAnsiTheme="minorHAnsi"/>
          <w:noProof/>
          <w:sz w:val="24"/>
          <w:szCs w:val="24"/>
        </w:rPr>
        <w:t xml:space="preserve"> M</w:t>
      </w:r>
      <w:r>
        <w:rPr>
          <w:rFonts w:asciiTheme="minorHAnsi" w:hAnsiTheme="minorHAnsi"/>
          <w:noProof/>
          <w:sz w:val="24"/>
          <w:szCs w:val="24"/>
        </w:rPr>
        <w:t xml:space="preserve">. </w:t>
      </w:r>
      <w:r w:rsidRPr="00A65E4E">
        <w:rPr>
          <w:rFonts w:asciiTheme="minorHAnsi" w:hAnsiTheme="minorHAnsi"/>
          <w:noProof/>
          <w:sz w:val="24"/>
          <w:szCs w:val="24"/>
        </w:rPr>
        <w:t>F</w:t>
      </w:r>
      <w:r>
        <w:rPr>
          <w:rFonts w:asciiTheme="minorHAnsi" w:hAnsiTheme="minorHAnsi"/>
          <w:noProof/>
          <w:sz w:val="24"/>
          <w:szCs w:val="24"/>
        </w:rPr>
        <w:t>.</w:t>
      </w:r>
      <w:r w:rsidRPr="00A65E4E">
        <w:rPr>
          <w:rFonts w:asciiTheme="minorHAnsi" w:hAnsiTheme="minorHAnsi"/>
          <w:noProof/>
          <w:sz w:val="24"/>
          <w:szCs w:val="24"/>
        </w:rPr>
        <w:t>, Wiersinga</w:t>
      </w:r>
      <w:r>
        <w:rPr>
          <w:rFonts w:asciiTheme="minorHAnsi" w:hAnsiTheme="minorHAnsi"/>
          <w:noProof/>
          <w:sz w:val="24"/>
          <w:szCs w:val="24"/>
        </w:rPr>
        <w:t>,</w:t>
      </w:r>
      <w:r w:rsidRPr="00A65E4E">
        <w:rPr>
          <w:rFonts w:asciiTheme="minorHAnsi" w:hAnsiTheme="minorHAnsi"/>
          <w:noProof/>
          <w:sz w:val="24"/>
          <w:szCs w:val="24"/>
        </w:rPr>
        <w:t xml:space="preserve"> W</w:t>
      </w:r>
      <w:r>
        <w:rPr>
          <w:rFonts w:asciiTheme="minorHAnsi" w:hAnsiTheme="minorHAnsi"/>
          <w:noProof/>
          <w:sz w:val="24"/>
          <w:szCs w:val="24"/>
        </w:rPr>
        <w:t xml:space="preserve">. </w:t>
      </w:r>
      <w:r w:rsidRPr="00A65E4E">
        <w:rPr>
          <w:rFonts w:asciiTheme="minorHAnsi" w:hAnsiTheme="minorHAnsi"/>
          <w:noProof/>
          <w:sz w:val="24"/>
          <w:szCs w:val="24"/>
        </w:rPr>
        <w:t>M</w:t>
      </w:r>
      <w:r>
        <w:rPr>
          <w:rFonts w:asciiTheme="minorHAnsi" w:hAnsiTheme="minorHAnsi"/>
          <w:noProof/>
          <w:sz w:val="24"/>
          <w:szCs w:val="24"/>
        </w:rPr>
        <w:t>.</w:t>
      </w:r>
      <w:r w:rsidRPr="00A65E4E">
        <w:rPr>
          <w:rFonts w:asciiTheme="minorHAnsi" w:hAnsiTheme="minorHAnsi"/>
          <w:noProof/>
          <w:sz w:val="24"/>
          <w:szCs w:val="24"/>
        </w:rPr>
        <w:t>,</w:t>
      </w:r>
      <w:r>
        <w:rPr>
          <w:rFonts w:asciiTheme="minorHAnsi" w:hAnsiTheme="minorHAnsi"/>
          <w:noProof/>
          <w:sz w:val="24"/>
          <w:szCs w:val="24"/>
        </w:rPr>
        <w:t xml:space="preserve"> &amp;</w:t>
      </w:r>
      <w:r w:rsidRPr="00A65E4E">
        <w:rPr>
          <w:rFonts w:asciiTheme="minorHAnsi" w:hAnsiTheme="minorHAnsi"/>
          <w:noProof/>
          <w:sz w:val="24"/>
          <w:szCs w:val="24"/>
        </w:rPr>
        <w:t xml:space="preserve"> Koornneef</w:t>
      </w:r>
      <w:r>
        <w:rPr>
          <w:rFonts w:asciiTheme="minorHAnsi" w:hAnsiTheme="minorHAnsi"/>
          <w:noProof/>
          <w:sz w:val="24"/>
          <w:szCs w:val="24"/>
        </w:rPr>
        <w:t>,</w:t>
      </w:r>
      <w:r w:rsidRPr="00A65E4E">
        <w:rPr>
          <w:rFonts w:asciiTheme="minorHAnsi" w:hAnsiTheme="minorHAnsi"/>
          <w:noProof/>
          <w:sz w:val="24"/>
          <w:szCs w:val="24"/>
        </w:rPr>
        <w:t xml:space="preserve"> L. </w:t>
      </w:r>
      <w:r>
        <w:rPr>
          <w:rFonts w:asciiTheme="minorHAnsi" w:hAnsiTheme="minorHAnsi"/>
          <w:noProof/>
          <w:sz w:val="24"/>
          <w:szCs w:val="24"/>
        </w:rPr>
        <w:t xml:space="preserve">(1997). </w:t>
      </w:r>
      <w:r w:rsidRPr="00A65E4E">
        <w:rPr>
          <w:rFonts w:asciiTheme="minorHAnsi" w:hAnsiTheme="minorHAnsi"/>
          <w:noProof/>
          <w:sz w:val="24"/>
          <w:szCs w:val="24"/>
        </w:rPr>
        <w:t xml:space="preserve">Clinical activity score as a guide in the management of patients with Graves' ophthalmopathy. </w:t>
      </w:r>
      <w:r w:rsidRPr="00A65E4E">
        <w:rPr>
          <w:rFonts w:asciiTheme="minorHAnsi" w:hAnsiTheme="minorHAnsi"/>
          <w:i/>
          <w:noProof/>
          <w:sz w:val="24"/>
          <w:szCs w:val="24"/>
        </w:rPr>
        <w:t>Clin Endocrinol (Oxf)</w:t>
      </w:r>
      <w:r w:rsidRPr="00A65E4E">
        <w:rPr>
          <w:rFonts w:asciiTheme="minorHAnsi" w:hAnsiTheme="minorHAnsi"/>
          <w:noProof/>
          <w:sz w:val="24"/>
          <w:szCs w:val="24"/>
        </w:rPr>
        <w:t xml:space="preserve"> 1997; </w:t>
      </w:r>
      <w:r w:rsidRPr="00B42C53">
        <w:rPr>
          <w:rFonts w:asciiTheme="minorHAnsi" w:hAnsiTheme="minorHAnsi"/>
          <w:noProof/>
          <w:sz w:val="24"/>
          <w:szCs w:val="24"/>
        </w:rPr>
        <w:t>47</w:t>
      </w:r>
      <w:r w:rsidRPr="00A65E4E">
        <w:rPr>
          <w:rFonts w:asciiTheme="minorHAnsi" w:hAnsiTheme="minorHAnsi"/>
          <w:noProof/>
          <w:sz w:val="24"/>
          <w:szCs w:val="24"/>
        </w:rPr>
        <w:t>(1): 9-14.</w:t>
      </w:r>
    </w:p>
    <w:p w14:paraId="60F27EC5" w14:textId="77777777" w:rsidR="00B42C53" w:rsidRDefault="00B42C53" w:rsidP="00B42C53">
      <w:pPr>
        <w:pStyle w:val="NormalWeb"/>
        <w:spacing w:before="2" w:after="2"/>
        <w:ind w:left="480" w:hanging="480"/>
        <w:rPr>
          <w:rFonts w:asciiTheme="minorHAnsi" w:hAnsiTheme="minorHAnsi"/>
          <w:noProof/>
          <w:sz w:val="24"/>
          <w:szCs w:val="24"/>
        </w:rPr>
      </w:pPr>
    </w:p>
    <w:p w14:paraId="7038BC93" w14:textId="77777777" w:rsidR="00B42C53" w:rsidRDefault="00B42C53" w:rsidP="00B42C53">
      <w:pPr>
        <w:pStyle w:val="NormalWeb"/>
        <w:spacing w:before="2" w:after="2"/>
        <w:ind w:left="480" w:hanging="480"/>
        <w:rPr>
          <w:rFonts w:asciiTheme="minorHAnsi" w:hAnsiTheme="minorHAnsi"/>
          <w:noProof/>
          <w:sz w:val="24"/>
          <w:szCs w:val="24"/>
        </w:rPr>
      </w:pPr>
      <w:r w:rsidRPr="00195E8A">
        <w:rPr>
          <w:rFonts w:asciiTheme="minorHAnsi" w:hAnsiTheme="minorHAnsi"/>
          <w:noProof/>
          <w:sz w:val="24"/>
          <w:szCs w:val="24"/>
        </w:rPr>
        <w:lastRenderedPageBreak/>
        <w:t>Mourits</w:t>
      </w:r>
      <w:r>
        <w:rPr>
          <w:rFonts w:asciiTheme="minorHAnsi" w:hAnsiTheme="minorHAnsi"/>
          <w:noProof/>
          <w:sz w:val="24"/>
          <w:szCs w:val="24"/>
        </w:rPr>
        <w:t>,</w:t>
      </w:r>
      <w:r w:rsidRPr="00195E8A">
        <w:rPr>
          <w:rFonts w:asciiTheme="minorHAnsi" w:hAnsiTheme="minorHAnsi"/>
          <w:noProof/>
          <w:sz w:val="24"/>
          <w:szCs w:val="24"/>
        </w:rPr>
        <w:t xml:space="preserve"> M</w:t>
      </w:r>
      <w:r>
        <w:rPr>
          <w:rFonts w:asciiTheme="minorHAnsi" w:hAnsiTheme="minorHAnsi"/>
          <w:noProof/>
          <w:sz w:val="24"/>
          <w:szCs w:val="24"/>
        </w:rPr>
        <w:t xml:space="preserve">. </w:t>
      </w:r>
      <w:r w:rsidRPr="00195E8A">
        <w:rPr>
          <w:rFonts w:asciiTheme="minorHAnsi" w:hAnsiTheme="minorHAnsi"/>
          <w:noProof/>
          <w:sz w:val="24"/>
          <w:szCs w:val="24"/>
        </w:rPr>
        <w:t>P</w:t>
      </w:r>
      <w:r>
        <w:rPr>
          <w:rFonts w:asciiTheme="minorHAnsi" w:hAnsiTheme="minorHAnsi"/>
          <w:noProof/>
          <w:sz w:val="24"/>
          <w:szCs w:val="24"/>
        </w:rPr>
        <w:t>.</w:t>
      </w:r>
      <w:r w:rsidRPr="00195E8A">
        <w:rPr>
          <w:rFonts w:asciiTheme="minorHAnsi" w:hAnsiTheme="minorHAnsi"/>
          <w:noProof/>
          <w:sz w:val="24"/>
          <w:szCs w:val="24"/>
        </w:rPr>
        <w:t>, van Kempen-Harteveld</w:t>
      </w:r>
      <w:r>
        <w:rPr>
          <w:rFonts w:asciiTheme="minorHAnsi" w:hAnsiTheme="minorHAnsi"/>
          <w:noProof/>
          <w:sz w:val="24"/>
          <w:szCs w:val="24"/>
        </w:rPr>
        <w:t>,</w:t>
      </w:r>
      <w:r w:rsidRPr="00195E8A">
        <w:rPr>
          <w:rFonts w:asciiTheme="minorHAnsi" w:hAnsiTheme="minorHAnsi"/>
          <w:noProof/>
          <w:sz w:val="24"/>
          <w:szCs w:val="24"/>
        </w:rPr>
        <w:t xml:space="preserve"> M</w:t>
      </w:r>
      <w:r>
        <w:rPr>
          <w:rFonts w:asciiTheme="minorHAnsi" w:hAnsiTheme="minorHAnsi"/>
          <w:noProof/>
          <w:sz w:val="24"/>
          <w:szCs w:val="24"/>
        </w:rPr>
        <w:t xml:space="preserve">. </w:t>
      </w:r>
      <w:r w:rsidRPr="00195E8A">
        <w:rPr>
          <w:rFonts w:asciiTheme="minorHAnsi" w:hAnsiTheme="minorHAnsi"/>
          <w:noProof/>
          <w:sz w:val="24"/>
          <w:szCs w:val="24"/>
        </w:rPr>
        <w:t>L</w:t>
      </w:r>
      <w:r>
        <w:rPr>
          <w:rFonts w:asciiTheme="minorHAnsi" w:hAnsiTheme="minorHAnsi"/>
          <w:noProof/>
          <w:sz w:val="24"/>
          <w:szCs w:val="24"/>
        </w:rPr>
        <w:t>.</w:t>
      </w:r>
      <w:r w:rsidRPr="00195E8A">
        <w:rPr>
          <w:rFonts w:asciiTheme="minorHAnsi" w:hAnsiTheme="minorHAnsi"/>
          <w:noProof/>
          <w:sz w:val="24"/>
          <w:szCs w:val="24"/>
        </w:rPr>
        <w:t>, Garcia</w:t>
      </w:r>
      <w:r>
        <w:rPr>
          <w:rFonts w:asciiTheme="minorHAnsi" w:hAnsiTheme="minorHAnsi"/>
          <w:noProof/>
          <w:sz w:val="24"/>
          <w:szCs w:val="24"/>
        </w:rPr>
        <w:t>,</w:t>
      </w:r>
      <w:r w:rsidRPr="00195E8A">
        <w:rPr>
          <w:rFonts w:asciiTheme="minorHAnsi" w:hAnsiTheme="minorHAnsi"/>
          <w:noProof/>
          <w:sz w:val="24"/>
          <w:szCs w:val="24"/>
        </w:rPr>
        <w:t xml:space="preserve"> M</w:t>
      </w:r>
      <w:r>
        <w:rPr>
          <w:rFonts w:asciiTheme="minorHAnsi" w:hAnsiTheme="minorHAnsi"/>
          <w:noProof/>
          <w:sz w:val="24"/>
          <w:szCs w:val="24"/>
        </w:rPr>
        <w:t xml:space="preserve">. </w:t>
      </w:r>
      <w:r w:rsidRPr="00195E8A">
        <w:rPr>
          <w:rFonts w:asciiTheme="minorHAnsi" w:hAnsiTheme="minorHAnsi"/>
          <w:noProof/>
          <w:sz w:val="24"/>
          <w:szCs w:val="24"/>
        </w:rPr>
        <w:t>B</w:t>
      </w:r>
      <w:r>
        <w:rPr>
          <w:rFonts w:asciiTheme="minorHAnsi" w:hAnsiTheme="minorHAnsi"/>
          <w:noProof/>
          <w:sz w:val="24"/>
          <w:szCs w:val="24"/>
        </w:rPr>
        <w:t>.</w:t>
      </w:r>
      <w:r w:rsidRPr="00195E8A">
        <w:rPr>
          <w:rFonts w:asciiTheme="minorHAnsi" w:hAnsiTheme="minorHAnsi"/>
          <w:noProof/>
          <w:sz w:val="24"/>
          <w:szCs w:val="24"/>
        </w:rPr>
        <w:t>, Koppeschaar</w:t>
      </w:r>
      <w:r>
        <w:rPr>
          <w:rFonts w:asciiTheme="minorHAnsi" w:hAnsiTheme="minorHAnsi"/>
          <w:noProof/>
          <w:sz w:val="24"/>
          <w:szCs w:val="24"/>
        </w:rPr>
        <w:t>,</w:t>
      </w:r>
      <w:r w:rsidRPr="00195E8A">
        <w:rPr>
          <w:rFonts w:asciiTheme="minorHAnsi" w:hAnsiTheme="minorHAnsi"/>
          <w:noProof/>
          <w:sz w:val="24"/>
          <w:szCs w:val="24"/>
        </w:rPr>
        <w:t xml:space="preserve"> H</w:t>
      </w:r>
      <w:r>
        <w:rPr>
          <w:rFonts w:asciiTheme="minorHAnsi" w:hAnsiTheme="minorHAnsi"/>
          <w:noProof/>
          <w:sz w:val="24"/>
          <w:szCs w:val="24"/>
        </w:rPr>
        <w:t xml:space="preserve">. </w:t>
      </w:r>
      <w:r w:rsidRPr="00195E8A">
        <w:rPr>
          <w:rFonts w:asciiTheme="minorHAnsi" w:hAnsiTheme="minorHAnsi"/>
          <w:noProof/>
          <w:sz w:val="24"/>
          <w:szCs w:val="24"/>
        </w:rPr>
        <w:t>P</w:t>
      </w:r>
      <w:r>
        <w:rPr>
          <w:rFonts w:asciiTheme="minorHAnsi" w:hAnsiTheme="minorHAnsi"/>
          <w:noProof/>
          <w:sz w:val="24"/>
          <w:szCs w:val="24"/>
        </w:rPr>
        <w:t>.</w:t>
      </w:r>
      <w:r w:rsidRPr="00195E8A">
        <w:rPr>
          <w:rFonts w:asciiTheme="minorHAnsi" w:hAnsiTheme="minorHAnsi"/>
          <w:noProof/>
          <w:sz w:val="24"/>
          <w:szCs w:val="24"/>
        </w:rPr>
        <w:t>, Tick</w:t>
      </w:r>
      <w:r>
        <w:rPr>
          <w:rFonts w:asciiTheme="minorHAnsi" w:hAnsiTheme="minorHAnsi"/>
          <w:noProof/>
          <w:sz w:val="24"/>
          <w:szCs w:val="24"/>
        </w:rPr>
        <w:t>,</w:t>
      </w:r>
      <w:r w:rsidRPr="00195E8A">
        <w:rPr>
          <w:rFonts w:asciiTheme="minorHAnsi" w:hAnsiTheme="minorHAnsi"/>
          <w:noProof/>
          <w:sz w:val="24"/>
          <w:szCs w:val="24"/>
        </w:rPr>
        <w:t xml:space="preserve"> L</w:t>
      </w:r>
      <w:r>
        <w:rPr>
          <w:rFonts w:asciiTheme="minorHAnsi" w:hAnsiTheme="minorHAnsi"/>
          <w:noProof/>
          <w:sz w:val="24"/>
          <w:szCs w:val="24"/>
        </w:rPr>
        <w:t>.</w:t>
      </w:r>
      <w:r w:rsidRPr="00195E8A">
        <w:rPr>
          <w:rFonts w:asciiTheme="minorHAnsi" w:hAnsiTheme="minorHAnsi"/>
          <w:noProof/>
          <w:sz w:val="24"/>
          <w:szCs w:val="24"/>
        </w:rPr>
        <w:t>, &amp; Terwee</w:t>
      </w:r>
      <w:r>
        <w:rPr>
          <w:rFonts w:asciiTheme="minorHAnsi" w:hAnsiTheme="minorHAnsi"/>
          <w:noProof/>
          <w:sz w:val="24"/>
          <w:szCs w:val="24"/>
        </w:rPr>
        <w:t>,</w:t>
      </w:r>
      <w:r w:rsidRPr="00195E8A">
        <w:rPr>
          <w:rFonts w:asciiTheme="minorHAnsi" w:hAnsiTheme="minorHAnsi"/>
          <w:noProof/>
          <w:sz w:val="24"/>
          <w:szCs w:val="24"/>
        </w:rPr>
        <w:t xml:space="preserve"> C</w:t>
      </w:r>
      <w:r>
        <w:rPr>
          <w:rFonts w:asciiTheme="minorHAnsi" w:hAnsiTheme="minorHAnsi"/>
          <w:noProof/>
          <w:sz w:val="24"/>
          <w:szCs w:val="24"/>
        </w:rPr>
        <w:t xml:space="preserve">. </w:t>
      </w:r>
      <w:r w:rsidRPr="00195E8A">
        <w:rPr>
          <w:rFonts w:asciiTheme="minorHAnsi" w:hAnsiTheme="minorHAnsi"/>
          <w:noProof/>
          <w:sz w:val="24"/>
          <w:szCs w:val="24"/>
        </w:rPr>
        <w:t xml:space="preserve">B. (2000). Radiotherapy for Graves' orbitopathy: randomised placebo-controlled study. </w:t>
      </w:r>
      <w:r w:rsidRPr="00195E8A">
        <w:rPr>
          <w:rFonts w:asciiTheme="minorHAnsi" w:hAnsiTheme="minorHAnsi"/>
          <w:i/>
          <w:noProof/>
          <w:sz w:val="24"/>
          <w:szCs w:val="24"/>
        </w:rPr>
        <w:t>Lancet</w:t>
      </w:r>
      <w:r w:rsidRPr="00195E8A">
        <w:rPr>
          <w:rFonts w:asciiTheme="minorHAnsi" w:hAnsiTheme="minorHAnsi"/>
          <w:noProof/>
          <w:sz w:val="24"/>
          <w:szCs w:val="24"/>
        </w:rPr>
        <w:t xml:space="preserve"> 2000; </w:t>
      </w:r>
      <w:r w:rsidRPr="00B42C53">
        <w:rPr>
          <w:rFonts w:asciiTheme="minorHAnsi" w:hAnsiTheme="minorHAnsi"/>
          <w:noProof/>
          <w:sz w:val="24"/>
          <w:szCs w:val="24"/>
        </w:rPr>
        <w:t>355</w:t>
      </w:r>
      <w:r w:rsidRPr="00195E8A">
        <w:rPr>
          <w:rFonts w:asciiTheme="minorHAnsi" w:hAnsiTheme="minorHAnsi"/>
          <w:noProof/>
          <w:sz w:val="24"/>
          <w:szCs w:val="24"/>
        </w:rPr>
        <w:t>(9214): 1505-9.</w:t>
      </w:r>
    </w:p>
    <w:p w14:paraId="3F747973" w14:textId="77777777" w:rsidR="009677C1" w:rsidRDefault="009677C1" w:rsidP="009677C1">
      <w:pPr>
        <w:pStyle w:val="NormalWeb"/>
        <w:spacing w:before="2" w:after="2"/>
        <w:ind w:left="480" w:hanging="480"/>
        <w:rPr>
          <w:rStyle w:val="doi1"/>
          <w:rFonts w:asciiTheme="minorHAnsi" w:hAnsiTheme="minorHAnsi" w:cs="Arial"/>
          <w:color w:val="auto"/>
          <w:sz w:val="24"/>
          <w:szCs w:val="24"/>
        </w:rPr>
      </w:pPr>
    </w:p>
    <w:p w14:paraId="65E5EC74" w14:textId="77777777" w:rsidR="009677C1" w:rsidRDefault="009677C1" w:rsidP="009677C1">
      <w:pPr>
        <w:pStyle w:val="NormalWeb"/>
        <w:spacing w:before="2" w:after="2"/>
        <w:ind w:left="480" w:hanging="480"/>
        <w:rPr>
          <w:rFonts w:asciiTheme="minorHAnsi" w:hAnsiTheme="minorHAnsi"/>
          <w:sz w:val="24"/>
          <w:szCs w:val="24"/>
        </w:rPr>
      </w:pPr>
      <w:proofErr w:type="spellStart"/>
      <w:r w:rsidRPr="0048229C">
        <w:rPr>
          <w:rFonts w:asciiTheme="minorHAnsi" w:hAnsiTheme="minorHAnsi"/>
          <w:sz w:val="24"/>
          <w:szCs w:val="24"/>
        </w:rPr>
        <w:t>Perros</w:t>
      </w:r>
      <w:proofErr w:type="spellEnd"/>
      <w:r w:rsidRPr="0048229C">
        <w:rPr>
          <w:rFonts w:asciiTheme="minorHAnsi" w:hAnsiTheme="minorHAnsi"/>
          <w:sz w:val="24"/>
          <w:szCs w:val="24"/>
        </w:rPr>
        <w:t>, P., Cromb</w:t>
      </w:r>
      <w:r>
        <w:rPr>
          <w:rFonts w:asciiTheme="minorHAnsi" w:hAnsiTheme="minorHAnsi"/>
          <w:sz w:val="24"/>
          <w:szCs w:val="24"/>
        </w:rPr>
        <w:t>i</w:t>
      </w:r>
      <w:r w:rsidRPr="0048229C">
        <w:rPr>
          <w:rFonts w:asciiTheme="minorHAnsi" w:hAnsiTheme="minorHAnsi"/>
          <w:sz w:val="24"/>
          <w:szCs w:val="24"/>
        </w:rPr>
        <w:t>e, A.</w:t>
      </w:r>
      <w:r>
        <w:rPr>
          <w:rFonts w:asciiTheme="minorHAnsi" w:hAnsiTheme="minorHAnsi"/>
          <w:sz w:val="24"/>
          <w:szCs w:val="24"/>
        </w:rPr>
        <w:t xml:space="preserve"> </w:t>
      </w:r>
      <w:r w:rsidRPr="0048229C">
        <w:rPr>
          <w:rFonts w:asciiTheme="minorHAnsi" w:hAnsiTheme="minorHAnsi"/>
          <w:sz w:val="24"/>
          <w:szCs w:val="24"/>
        </w:rPr>
        <w:t>L.</w:t>
      </w:r>
      <w:r>
        <w:rPr>
          <w:rFonts w:asciiTheme="minorHAnsi" w:hAnsiTheme="minorHAnsi"/>
          <w:sz w:val="24"/>
          <w:szCs w:val="24"/>
        </w:rPr>
        <w:t>,</w:t>
      </w:r>
      <w:r w:rsidRPr="0048229C">
        <w:rPr>
          <w:rFonts w:asciiTheme="minorHAnsi" w:hAnsiTheme="minorHAnsi"/>
          <w:sz w:val="24"/>
          <w:szCs w:val="24"/>
        </w:rPr>
        <w:t xml:space="preserve"> &amp; Kendall-Taylor, P. </w:t>
      </w:r>
      <w:r>
        <w:rPr>
          <w:rFonts w:asciiTheme="minorHAnsi" w:hAnsiTheme="minorHAnsi"/>
          <w:sz w:val="24"/>
          <w:szCs w:val="24"/>
        </w:rPr>
        <w:t>(</w:t>
      </w:r>
      <w:r w:rsidRPr="0048229C">
        <w:rPr>
          <w:rFonts w:asciiTheme="minorHAnsi" w:hAnsiTheme="minorHAnsi"/>
          <w:sz w:val="24"/>
          <w:szCs w:val="24"/>
        </w:rPr>
        <w:t>1995</w:t>
      </w:r>
      <w:r>
        <w:rPr>
          <w:rFonts w:asciiTheme="minorHAnsi" w:hAnsiTheme="minorHAnsi"/>
          <w:sz w:val="24"/>
          <w:szCs w:val="24"/>
        </w:rPr>
        <w:t>)</w:t>
      </w:r>
      <w:r w:rsidRPr="0048229C">
        <w:rPr>
          <w:rFonts w:asciiTheme="minorHAnsi" w:hAnsiTheme="minorHAnsi"/>
          <w:sz w:val="24"/>
          <w:szCs w:val="24"/>
        </w:rPr>
        <w:t xml:space="preserve">. Natural history of thyroid associated </w:t>
      </w:r>
      <w:proofErr w:type="spellStart"/>
      <w:r w:rsidRPr="0048229C">
        <w:rPr>
          <w:rFonts w:asciiTheme="minorHAnsi" w:hAnsiTheme="minorHAnsi"/>
          <w:sz w:val="24"/>
          <w:szCs w:val="24"/>
        </w:rPr>
        <w:t>ophthalmopathy</w:t>
      </w:r>
      <w:proofErr w:type="spellEnd"/>
      <w:r w:rsidRPr="0048229C">
        <w:rPr>
          <w:rFonts w:asciiTheme="minorHAnsi" w:hAnsiTheme="minorHAnsi"/>
          <w:sz w:val="24"/>
          <w:szCs w:val="24"/>
        </w:rPr>
        <w:t xml:space="preserve">. </w:t>
      </w:r>
      <w:r w:rsidRPr="0048229C">
        <w:rPr>
          <w:rFonts w:asciiTheme="minorHAnsi" w:hAnsiTheme="minorHAnsi"/>
          <w:i/>
          <w:sz w:val="24"/>
          <w:szCs w:val="24"/>
        </w:rPr>
        <w:t>Clinical Endocrinology</w:t>
      </w:r>
      <w:r w:rsidRPr="0048229C">
        <w:rPr>
          <w:rFonts w:asciiTheme="minorHAnsi" w:hAnsiTheme="minorHAnsi"/>
          <w:sz w:val="24"/>
          <w:szCs w:val="24"/>
        </w:rPr>
        <w:t xml:space="preserve">, 42(1), 45–50. </w:t>
      </w:r>
    </w:p>
    <w:p w14:paraId="3A7BB2F6" w14:textId="77777777" w:rsidR="00B42C53" w:rsidRDefault="00B42C53" w:rsidP="009677C1">
      <w:pPr>
        <w:pStyle w:val="NormalWeb"/>
        <w:spacing w:before="2" w:after="2"/>
        <w:ind w:left="480" w:hanging="480"/>
        <w:rPr>
          <w:rFonts w:asciiTheme="minorHAnsi" w:hAnsiTheme="minorHAnsi"/>
          <w:sz w:val="24"/>
          <w:szCs w:val="24"/>
        </w:rPr>
      </w:pPr>
    </w:p>
    <w:p w14:paraId="67756FD5" w14:textId="0723B66B" w:rsidR="00B42C53" w:rsidRDefault="00B42C53" w:rsidP="00B42C53">
      <w:pPr>
        <w:pStyle w:val="NormalWeb"/>
        <w:spacing w:before="2" w:after="2"/>
        <w:ind w:left="480" w:hanging="480"/>
        <w:rPr>
          <w:rFonts w:asciiTheme="minorHAnsi" w:hAnsiTheme="minorHAnsi"/>
          <w:noProof/>
          <w:sz w:val="24"/>
          <w:szCs w:val="24"/>
        </w:rPr>
      </w:pPr>
      <w:r w:rsidRPr="00A65E4E">
        <w:rPr>
          <w:rFonts w:asciiTheme="minorHAnsi" w:hAnsiTheme="minorHAnsi"/>
          <w:noProof/>
          <w:sz w:val="24"/>
          <w:szCs w:val="24"/>
        </w:rPr>
        <w:t>Perros</w:t>
      </w:r>
      <w:r>
        <w:rPr>
          <w:rFonts w:asciiTheme="minorHAnsi" w:hAnsiTheme="minorHAnsi"/>
          <w:noProof/>
          <w:sz w:val="24"/>
          <w:szCs w:val="24"/>
        </w:rPr>
        <w:t>,</w:t>
      </w:r>
      <w:r w:rsidRPr="00A65E4E">
        <w:rPr>
          <w:rFonts w:asciiTheme="minorHAnsi" w:hAnsiTheme="minorHAnsi"/>
          <w:noProof/>
          <w:sz w:val="24"/>
          <w:szCs w:val="24"/>
        </w:rPr>
        <w:t xml:space="preserve"> P</w:t>
      </w:r>
      <w:r>
        <w:rPr>
          <w:rFonts w:asciiTheme="minorHAnsi" w:hAnsiTheme="minorHAnsi"/>
          <w:noProof/>
          <w:sz w:val="24"/>
          <w:szCs w:val="24"/>
        </w:rPr>
        <w:t>.</w:t>
      </w:r>
      <w:r w:rsidRPr="00A65E4E">
        <w:rPr>
          <w:rFonts w:asciiTheme="minorHAnsi" w:hAnsiTheme="minorHAnsi"/>
          <w:noProof/>
          <w:sz w:val="24"/>
          <w:szCs w:val="24"/>
        </w:rPr>
        <w:t>, Crombie</w:t>
      </w:r>
      <w:r>
        <w:rPr>
          <w:rFonts w:asciiTheme="minorHAnsi" w:hAnsiTheme="minorHAnsi"/>
          <w:noProof/>
          <w:sz w:val="24"/>
          <w:szCs w:val="24"/>
        </w:rPr>
        <w:t>,</w:t>
      </w:r>
      <w:r w:rsidRPr="00A65E4E">
        <w:rPr>
          <w:rFonts w:asciiTheme="minorHAnsi" w:hAnsiTheme="minorHAnsi"/>
          <w:noProof/>
          <w:sz w:val="24"/>
          <w:szCs w:val="24"/>
        </w:rPr>
        <w:t xml:space="preserve"> A</w:t>
      </w:r>
      <w:r>
        <w:rPr>
          <w:rFonts w:asciiTheme="minorHAnsi" w:hAnsiTheme="minorHAnsi"/>
          <w:noProof/>
          <w:sz w:val="24"/>
          <w:szCs w:val="24"/>
        </w:rPr>
        <w:t xml:space="preserve">. </w:t>
      </w:r>
      <w:r w:rsidRPr="00A65E4E">
        <w:rPr>
          <w:rFonts w:asciiTheme="minorHAnsi" w:hAnsiTheme="minorHAnsi"/>
          <w:noProof/>
          <w:sz w:val="24"/>
          <w:szCs w:val="24"/>
        </w:rPr>
        <w:t>L</w:t>
      </w:r>
      <w:r>
        <w:rPr>
          <w:rFonts w:asciiTheme="minorHAnsi" w:hAnsiTheme="minorHAnsi"/>
          <w:noProof/>
          <w:sz w:val="24"/>
          <w:szCs w:val="24"/>
        </w:rPr>
        <w:t>.</w:t>
      </w:r>
      <w:r w:rsidRPr="00A65E4E">
        <w:rPr>
          <w:rFonts w:asciiTheme="minorHAnsi" w:hAnsiTheme="minorHAnsi"/>
          <w:noProof/>
          <w:sz w:val="24"/>
          <w:szCs w:val="24"/>
        </w:rPr>
        <w:t>, Matthews</w:t>
      </w:r>
      <w:r>
        <w:rPr>
          <w:rFonts w:asciiTheme="minorHAnsi" w:hAnsiTheme="minorHAnsi"/>
          <w:noProof/>
          <w:sz w:val="24"/>
          <w:szCs w:val="24"/>
        </w:rPr>
        <w:t>,</w:t>
      </w:r>
      <w:r w:rsidRPr="00A65E4E">
        <w:rPr>
          <w:rFonts w:asciiTheme="minorHAnsi" w:hAnsiTheme="minorHAnsi"/>
          <w:noProof/>
          <w:sz w:val="24"/>
          <w:szCs w:val="24"/>
        </w:rPr>
        <w:t xml:space="preserve"> J</w:t>
      </w:r>
      <w:r>
        <w:rPr>
          <w:rFonts w:asciiTheme="minorHAnsi" w:hAnsiTheme="minorHAnsi"/>
          <w:noProof/>
          <w:sz w:val="24"/>
          <w:szCs w:val="24"/>
        </w:rPr>
        <w:t xml:space="preserve">. </w:t>
      </w:r>
      <w:r w:rsidRPr="00A65E4E">
        <w:rPr>
          <w:rFonts w:asciiTheme="minorHAnsi" w:hAnsiTheme="minorHAnsi"/>
          <w:noProof/>
          <w:sz w:val="24"/>
          <w:szCs w:val="24"/>
        </w:rPr>
        <w:t>N</w:t>
      </w:r>
      <w:r>
        <w:rPr>
          <w:rFonts w:asciiTheme="minorHAnsi" w:hAnsiTheme="minorHAnsi"/>
          <w:noProof/>
          <w:sz w:val="24"/>
          <w:szCs w:val="24"/>
        </w:rPr>
        <w:t>.</w:t>
      </w:r>
      <w:r w:rsidRPr="00A65E4E">
        <w:rPr>
          <w:rFonts w:asciiTheme="minorHAnsi" w:hAnsiTheme="minorHAnsi"/>
          <w:noProof/>
          <w:sz w:val="24"/>
          <w:szCs w:val="24"/>
        </w:rPr>
        <w:t xml:space="preserve">, </w:t>
      </w:r>
      <w:r>
        <w:rPr>
          <w:rFonts w:asciiTheme="minorHAnsi" w:hAnsiTheme="minorHAnsi"/>
          <w:noProof/>
          <w:sz w:val="24"/>
          <w:szCs w:val="24"/>
        </w:rPr>
        <w:t xml:space="preserve">&amp; </w:t>
      </w:r>
      <w:r w:rsidRPr="00A65E4E">
        <w:rPr>
          <w:rFonts w:asciiTheme="minorHAnsi" w:hAnsiTheme="minorHAnsi"/>
          <w:noProof/>
          <w:sz w:val="24"/>
          <w:szCs w:val="24"/>
        </w:rPr>
        <w:t>Kendall-Taylor</w:t>
      </w:r>
      <w:r>
        <w:rPr>
          <w:rFonts w:asciiTheme="minorHAnsi" w:hAnsiTheme="minorHAnsi"/>
          <w:noProof/>
          <w:sz w:val="24"/>
          <w:szCs w:val="24"/>
        </w:rPr>
        <w:t>,</w:t>
      </w:r>
      <w:r w:rsidRPr="00A65E4E">
        <w:rPr>
          <w:rFonts w:asciiTheme="minorHAnsi" w:hAnsiTheme="minorHAnsi"/>
          <w:noProof/>
          <w:sz w:val="24"/>
          <w:szCs w:val="24"/>
        </w:rPr>
        <w:t xml:space="preserve"> P. </w:t>
      </w:r>
      <w:r>
        <w:rPr>
          <w:rFonts w:asciiTheme="minorHAnsi" w:hAnsiTheme="minorHAnsi"/>
          <w:noProof/>
          <w:sz w:val="24"/>
          <w:szCs w:val="24"/>
        </w:rPr>
        <w:t xml:space="preserve">(1993). </w:t>
      </w:r>
      <w:r w:rsidRPr="00A65E4E">
        <w:rPr>
          <w:rFonts w:asciiTheme="minorHAnsi" w:hAnsiTheme="minorHAnsi"/>
          <w:noProof/>
          <w:sz w:val="24"/>
          <w:szCs w:val="24"/>
        </w:rPr>
        <w:t xml:space="preserve">Age and gender influence the severity of thyroid-associated ophthalmopathy: a study of 101 patients attending a combined thyroid-eye clinic. </w:t>
      </w:r>
      <w:r w:rsidRPr="00A65E4E">
        <w:rPr>
          <w:rFonts w:asciiTheme="minorHAnsi" w:hAnsiTheme="minorHAnsi"/>
          <w:i/>
          <w:noProof/>
          <w:sz w:val="24"/>
          <w:szCs w:val="24"/>
        </w:rPr>
        <w:t>Clin Endocrinol (Oxf)</w:t>
      </w:r>
      <w:r>
        <w:rPr>
          <w:rFonts w:asciiTheme="minorHAnsi" w:hAnsiTheme="minorHAnsi"/>
          <w:i/>
          <w:noProof/>
          <w:sz w:val="24"/>
          <w:szCs w:val="24"/>
        </w:rPr>
        <w:t>,</w:t>
      </w:r>
      <w:r w:rsidRPr="00A65E4E">
        <w:rPr>
          <w:rFonts w:asciiTheme="minorHAnsi" w:hAnsiTheme="minorHAnsi"/>
          <w:noProof/>
          <w:sz w:val="24"/>
          <w:szCs w:val="24"/>
        </w:rPr>
        <w:t xml:space="preserve"> </w:t>
      </w:r>
      <w:r w:rsidRPr="00A65E4E">
        <w:rPr>
          <w:rFonts w:asciiTheme="minorHAnsi" w:hAnsiTheme="minorHAnsi"/>
          <w:b/>
          <w:noProof/>
          <w:sz w:val="24"/>
          <w:szCs w:val="24"/>
        </w:rPr>
        <w:t>38</w:t>
      </w:r>
      <w:r w:rsidRPr="00A65E4E">
        <w:rPr>
          <w:rFonts w:asciiTheme="minorHAnsi" w:hAnsiTheme="minorHAnsi"/>
          <w:noProof/>
          <w:sz w:val="24"/>
          <w:szCs w:val="24"/>
        </w:rPr>
        <w:t>(4): 367-72.</w:t>
      </w:r>
    </w:p>
    <w:p w14:paraId="68F24483" w14:textId="77777777" w:rsidR="00B42C53" w:rsidRDefault="00B42C53" w:rsidP="00B42C53">
      <w:pPr>
        <w:pStyle w:val="NormalWeb"/>
        <w:spacing w:before="2" w:after="2"/>
        <w:ind w:left="480" w:hanging="480"/>
        <w:rPr>
          <w:rFonts w:asciiTheme="minorHAnsi" w:hAnsiTheme="minorHAnsi"/>
          <w:noProof/>
          <w:sz w:val="24"/>
          <w:szCs w:val="24"/>
        </w:rPr>
      </w:pPr>
    </w:p>
    <w:p w14:paraId="4757F7F8" w14:textId="05832893" w:rsidR="00B42C53" w:rsidRDefault="00B42C53" w:rsidP="00B42C53">
      <w:pPr>
        <w:pStyle w:val="NormalWeb"/>
        <w:spacing w:before="2" w:after="2"/>
        <w:ind w:left="480" w:hanging="480"/>
        <w:rPr>
          <w:rFonts w:asciiTheme="minorHAnsi" w:hAnsiTheme="minorHAnsi"/>
          <w:color w:val="2A2A2A"/>
          <w:sz w:val="24"/>
          <w:szCs w:val="24"/>
          <w:lang w:val="en"/>
        </w:rPr>
      </w:pPr>
      <w:r w:rsidRPr="00195E8A">
        <w:rPr>
          <w:rFonts w:asciiTheme="minorHAnsi" w:hAnsiTheme="minorHAnsi"/>
          <w:noProof/>
          <w:sz w:val="24"/>
          <w:szCs w:val="24"/>
        </w:rPr>
        <w:t>Prummel</w:t>
      </w:r>
      <w:r>
        <w:rPr>
          <w:rFonts w:asciiTheme="minorHAnsi" w:hAnsiTheme="minorHAnsi"/>
          <w:noProof/>
          <w:sz w:val="24"/>
          <w:szCs w:val="24"/>
        </w:rPr>
        <w:t>,</w:t>
      </w:r>
      <w:r w:rsidRPr="00195E8A">
        <w:rPr>
          <w:rFonts w:asciiTheme="minorHAnsi" w:hAnsiTheme="minorHAnsi"/>
          <w:noProof/>
          <w:sz w:val="24"/>
          <w:szCs w:val="24"/>
        </w:rPr>
        <w:t xml:space="preserve"> M</w:t>
      </w:r>
      <w:r>
        <w:rPr>
          <w:rFonts w:asciiTheme="minorHAnsi" w:hAnsiTheme="minorHAnsi"/>
          <w:noProof/>
          <w:sz w:val="24"/>
          <w:szCs w:val="24"/>
        </w:rPr>
        <w:t xml:space="preserve">. </w:t>
      </w:r>
      <w:r w:rsidRPr="00195E8A">
        <w:rPr>
          <w:rFonts w:asciiTheme="minorHAnsi" w:hAnsiTheme="minorHAnsi"/>
          <w:noProof/>
          <w:sz w:val="24"/>
          <w:szCs w:val="24"/>
        </w:rPr>
        <w:t>F</w:t>
      </w:r>
      <w:r>
        <w:rPr>
          <w:rFonts w:asciiTheme="minorHAnsi" w:hAnsiTheme="minorHAnsi"/>
          <w:noProof/>
          <w:sz w:val="24"/>
          <w:szCs w:val="24"/>
        </w:rPr>
        <w:t>.</w:t>
      </w:r>
      <w:r w:rsidRPr="00195E8A">
        <w:rPr>
          <w:rFonts w:asciiTheme="minorHAnsi" w:hAnsiTheme="minorHAnsi"/>
          <w:noProof/>
          <w:sz w:val="24"/>
          <w:szCs w:val="24"/>
        </w:rPr>
        <w:t>, Terwee</w:t>
      </w:r>
      <w:r>
        <w:rPr>
          <w:rFonts w:asciiTheme="minorHAnsi" w:hAnsiTheme="minorHAnsi"/>
          <w:noProof/>
          <w:sz w:val="24"/>
          <w:szCs w:val="24"/>
        </w:rPr>
        <w:t>,</w:t>
      </w:r>
      <w:r w:rsidRPr="00195E8A">
        <w:rPr>
          <w:rFonts w:asciiTheme="minorHAnsi" w:hAnsiTheme="minorHAnsi"/>
          <w:noProof/>
          <w:sz w:val="24"/>
          <w:szCs w:val="24"/>
        </w:rPr>
        <w:t xml:space="preserve"> C</w:t>
      </w:r>
      <w:r>
        <w:rPr>
          <w:rFonts w:asciiTheme="minorHAnsi" w:hAnsiTheme="minorHAnsi"/>
          <w:noProof/>
          <w:sz w:val="24"/>
          <w:szCs w:val="24"/>
        </w:rPr>
        <w:t xml:space="preserve">. </w:t>
      </w:r>
      <w:r w:rsidRPr="00195E8A">
        <w:rPr>
          <w:rFonts w:asciiTheme="minorHAnsi" w:hAnsiTheme="minorHAnsi"/>
          <w:noProof/>
          <w:sz w:val="24"/>
          <w:szCs w:val="24"/>
        </w:rPr>
        <w:t>B</w:t>
      </w:r>
      <w:r>
        <w:rPr>
          <w:rFonts w:asciiTheme="minorHAnsi" w:hAnsiTheme="minorHAnsi"/>
          <w:noProof/>
          <w:sz w:val="24"/>
          <w:szCs w:val="24"/>
        </w:rPr>
        <w:t>.</w:t>
      </w:r>
      <w:r w:rsidRPr="00195E8A">
        <w:rPr>
          <w:rFonts w:asciiTheme="minorHAnsi" w:hAnsiTheme="minorHAnsi"/>
          <w:noProof/>
          <w:sz w:val="24"/>
          <w:szCs w:val="24"/>
        </w:rPr>
        <w:t>, Gerding</w:t>
      </w:r>
      <w:r>
        <w:rPr>
          <w:rFonts w:asciiTheme="minorHAnsi" w:hAnsiTheme="minorHAnsi"/>
          <w:noProof/>
          <w:sz w:val="24"/>
          <w:szCs w:val="24"/>
        </w:rPr>
        <w:t>,</w:t>
      </w:r>
      <w:r w:rsidRPr="00195E8A">
        <w:rPr>
          <w:rFonts w:asciiTheme="minorHAnsi" w:hAnsiTheme="minorHAnsi"/>
          <w:noProof/>
          <w:sz w:val="24"/>
          <w:szCs w:val="24"/>
        </w:rPr>
        <w:t xml:space="preserve"> M</w:t>
      </w:r>
      <w:r>
        <w:rPr>
          <w:rFonts w:asciiTheme="minorHAnsi" w:hAnsiTheme="minorHAnsi"/>
          <w:noProof/>
          <w:sz w:val="24"/>
          <w:szCs w:val="24"/>
        </w:rPr>
        <w:t>.</w:t>
      </w:r>
      <w:r w:rsidRPr="00195E8A">
        <w:rPr>
          <w:rFonts w:asciiTheme="minorHAnsi" w:hAnsiTheme="minorHAnsi"/>
          <w:noProof/>
          <w:sz w:val="24"/>
          <w:szCs w:val="24"/>
        </w:rPr>
        <w:t>N</w:t>
      </w:r>
      <w:r>
        <w:rPr>
          <w:rFonts w:asciiTheme="minorHAnsi" w:hAnsiTheme="minorHAnsi"/>
          <w:noProof/>
          <w:sz w:val="24"/>
          <w:szCs w:val="24"/>
        </w:rPr>
        <w:t>.</w:t>
      </w:r>
      <w:r w:rsidRPr="00195E8A">
        <w:rPr>
          <w:rFonts w:asciiTheme="minorHAnsi" w:hAnsiTheme="minorHAnsi"/>
          <w:noProof/>
          <w:sz w:val="24"/>
          <w:szCs w:val="24"/>
        </w:rPr>
        <w:t xml:space="preserve">, </w:t>
      </w:r>
      <w:r>
        <w:rPr>
          <w:rFonts w:asciiTheme="minorHAnsi" w:hAnsiTheme="minorHAnsi"/>
          <w:noProof/>
          <w:sz w:val="24"/>
          <w:szCs w:val="24"/>
        </w:rPr>
        <w:t xml:space="preserve">Baldeschi, L., </w:t>
      </w:r>
      <w:r w:rsidRPr="00195E8A">
        <w:rPr>
          <w:rFonts w:asciiTheme="minorHAnsi" w:hAnsiTheme="minorHAnsi"/>
          <w:noProof/>
          <w:sz w:val="24"/>
          <w:szCs w:val="24"/>
        </w:rPr>
        <w:t>Mourits</w:t>
      </w:r>
      <w:r>
        <w:rPr>
          <w:rFonts w:asciiTheme="minorHAnsi" w:hAnsiTheme="minorHAnsi"/>
          <w:noProof/>
          <w:sz w:val="24"/>
          <w:szCs w:val="24"/>
        </w:rPr>
        <w:t>,</w:t>
      </w:r>
      <w:r w:rsidRPr="00195E8A">
        <w:rPr>
          <w:rFonts w:asciiTheme="minorHAnsi" w:hAnsiTheme="minorHAnsi"/>
          <w:noProof/>
          <w:sz w:val="24"/>
          <w:szCs w:val="24"/>
        </w:rPr>
        <w:t xml:space="preserve"> M</w:t>
      </w:r>
      <w:r>
        <w:rPr>
          <w:rFonts w:asciiTheme="minorHAnsi" w:hAnsiTheme="minorHAnsi"/>
          <w:noProof/>
          <w:sz w:val="24"/>
          <w:szCs w:val="24"/>
        </w:rPr>
        <w:t xml:space="preserve">. </w:t>
      </w:r>
      <w:r w:rsidRPr="00195E8A">
        <w:rPr>
          <w:rFonts w:asciiTheme="minorHAnsi" w:hAnsiTheme="minorHAnsi"/>
          <w:noProof/>
          <w:sz w:val="24"/>
          <w:szCs w:val="24"/>
        </w:rPr>
        <w:t>P</w:t>
      </w:r>
      <w:r>
        <w:rPr>
          <w:rFonts w:asciiTheme="minorHAnsi" w:hAnsiTheme="minorHAnsi"/>
          <w:noProof/>
          <w:sz w:val="24"/>
          <w:szCs w:val="24"/>
        </w:rPr>
        <w:t>.</w:t>
      </w:r>
      <w:r w:rsidRPr="00195E8A">
        <w:rPr>
          <w:rFonts w:asciiTheme="minorHAnsi" w:hAnsiTheme="minorHAnsi"/>
          <w:noProof/>
          <w:sz w:val="24"/>
          <w:szCs w:val="24"/>
        </w:rPr>
        <w:t xml:space="preserve">, </w:t>
      </w:r>
      <w:r>
        <w:rPr>
          <w:rFonts w:asciiTheme="minorHAnsi" w:hAnsiTheme="minorHAnsi"/>
          <w:noProof/>
          <w:sz w:val="24"/>
          <w:szCs w:val="24"/>
        </w:rPr>
        <w:t xml:space="preserve">Blank, L., … </w:t>
      </w:r>
      <w:proofErr w:type="spellStart"/>
      <w:r>
        <w:rPr>
          <w:rFonts w:asciiTheme="minorHAnsi" w:hAnsiTheme="minorHAnsi"/>
          <w:sz w:val="24"/>
          <w:szCs w:val="24"/>
        </w:rPr>
        <w:t>Wiersinga</w:t>
      </w:r>
      <w:proofErr w:type="spellEnd"/>
      <w:r>
        <w:rPr>
          <w:rFonts w:asciiTheme="minorHAnsi" w:hAnsiTheme="minorHAnsi"/>
          <w:sz w:val="24"/>
          <w:szCs w:val="24"/>
        </w:rPr>
        <w:t xml:space="preserve">, W. M. </w:t>
      </w:r>
      <w:r w:rsidRPr="00195E8A">
        <w:rPr>
          <w:rFonts w:asciiTheme="minorHAnsi" w:hAnsiTheme="minorHAnsi"/>
          <w:noProof/>
          <w:sz w:val="24"/>
          <w:szCs w:val="24"/>
        </w:rPr>
        <w:t>(2004). A randomized controlled trial of orbital radiotherapy versus sham irradiation in patients with mild Graves' ophthalmopathy.</w:t>
      </w:r>
      <w:r>
        <w:rPr>
          <w:rFonts w:asciiTheme="minorHAnsi" w:hAnsiTheme="minorHAnsi"/>
          <w:noProof/>
          <w:sz w:val="24"/>
          <w:szCs w:val="24"/>
        </w:rPr>
        <w:t xml:space="preserve"> </w:t>
      </w:r>
      <w:r w:rsidRPr="00195E8A">
        <w:rPr>
          <w:rFonts w:asciiTheme="minorHAnsi" w:hAnsiTheme="minorHAnsi"/>
          <w:i/>
          <w:noProof/>
          <w:sz w:val="24"/>
          <w:szCs w:val="24"/>
        </w:rPr>
        <w:t>J</w:t>
      </w:r>
      <w:r>
        <w:rPr>
          <w:rFonts w:asciiTheme="minorHAnsi" w:hAnsiTheme="minorHAnsi"/>
          <w:i/>
          <w:noProof/>
          <w:sz w:val="24"/>
          <w:szCs w:val="24"/>
        </w:rPr>
        <w:t>ournal</w:t>
      </w:r>
      <w:r w:rsidRPr="00195E8A">
        <w:rPr>
          <w:rFonts w:asciiTheme="minorHAnsi" w:hAnsiTheme="minorHAnsi"/>
          <w:i/>
          <w:noProof/>
          <w:sz w:val="24"/>
          <w:szCs w:val="24"/>
        </w:rPr>
        <w:t xml:space="preserve"> </w:t>
      </w:r>
      <w:r>
        <w:rPr>
          <w:rFonts w:asciiTheme="minorHAnsi" w:hAnsiTheme="minorHAnsi"/>
          <w:i/>
          <w:noProof/>
          <w:sz w:val="24"/>
          <w:szCs w:val="24"/>
        </w:rPr>
        <w:t xml:space="preserve">of </w:t>
      </w:r>
      <w:r w:rsidRPr="00195E8A">
        <w:rPr>
          <w:rFonts w:asciiTheme="minorHAnsi" w:hAnsiTheme="minorHAnsi"/>
          <w:i/>
          <w:noProof/>
          <w:sz w:val="24"/>
          <w:szCs w:val="24"/>
        </w:rPr>
        <w:t>Clin</w:t>
      </w:r>
      <w:r>
        <w:rPr>
          <w:rFonts w:asciiTheme="minorHAnsi" w:hAnsiTheme="minorHAnsi"/>
          <w:i/>
          <w:noProof/>
          <w:sz w:val="24"/>
          <w:szCs w:val="24"/>
        </w:rPr>
        <w:t>inical</w:t>
      </w:r>
      <w:r w:rsidRPr="00195E8A">
        <w:rPr>
          <w:rFonts w:asciiTheme="minorHAnsi" w:hAnsiTheme="minorHAnsi"/>
          <w:i/>
          <w:noProof/>
          <w:sz w:val="24"/>
          <w:szCs w:val="24"/>
        </w:rPr>
        <w:t xml:space="preserve"> Endocrinol</w:t>
      </w:r>
      <w:r>
        <w:rPr>
          <w:rFonts w:asciiTheme="minorHAnsi" w:hAnsiTheme="minorHAnsi"/>
          <w:i/>
          <w:noProof/>
          <w:sz w:val="24"/>
          <w:szCs w:val="24"/>
        </w:rPr>
        <w:t>ogy &amp;</w:t>
      </w:r>
      <w:r w:rsidRPr="00195E8A">
        <w:rPr>
          <w:rFonts w:asciiTheme="minorHAnsi" w:hAnsiTheme="minorHAnsi"/>
          <w:i/>
          <w:noProof/>
          <w:sz w:val="24"/>
          <w:szCs w:val="24"/>
        </w:rPr>
        <w:t xml:space="preserve"> Metab</w:t>
      </w:r>
      <w:r>
        <w:rPr>
          <w:rFonts w:asciiTheme="minorHAnsi" w:hAnsiTheme="minorHAnsi"/>
          <w:i/>
          <w:noProof/>
          <w:sz w:val="24"/>
          <w:szCs w:val="24"/>
        </w:rPr>
        <w:t xml:space="preserve">olism, </w:t>
      </w:r>
      <w:r w:rsidRPr="00B42C53">
        <w:rPr>
          <w:rFonts w:asciiTheme="minorHAnsi" w:hAnsiTheme="minorHAnsi"/>
          <w:noProof/>
          <w:sz w:val="24"/>
          <w:szCs w:val="24"/>
        </w:rPr>
        <w:t>89</w:t>
      </w:r>
      <w:r>
        <w:rPr>
          <w:rFonts w:asciiTheme="minorHAnsi" w:hAnsiTheme="minorHAnsi"/>
          <w:noProof/>
          <w:sz w:val="24"/>
          <w:szCs w:val="24"/>
        </w:rPr>
        <w:t>(</w:t>
      </w:r>
      <w:r w:rsidRPr="00195E8A">
        <w:rPr>
          <w:rFonts w:asciiTheme="minorHAnsi" w:hAnsiTheme="minorHAnsi"/>
          <w:noProof/>
          <w:sz w:val="24"/>
          <w:szCs w:val="24"/>
        </w:rPr>
        <w:t>1</w:t>
      </w:r>
      <w:r>
        <w:rPr>
          <w:rFonts w:asciiTheme="minorHAnsi" w:hAnsiTheme="minorHAnsi"/>
          <w:noProof/>
          <w:sz w:val="24"/>
          <w:szCs w:val="24"/>
        </w:rPr>
        <w:t>),</w:t>
      </w:r>
      <w:r w:rsidRPr="00195E8A">
        <w:rPr>
          <w:rFonts w:asciiTheme="minorHAnsi" w:hAnsiTheme="minorHAnsi"/>
          <w:noProof/>
          <w:sz w:val="24"/>
          <w:szCs w:val="24"/>
        </w:rPr>
        <w:t xml:space="preserve"> 15-20.</w:t>
      </w:r>
      <w:r>
        <w:rPr>
          <w:rFonts w:asciiTheme="minorHAnsi" w:hAnsiTheme="minorHAnsi"/>
          <w:noProof/>
          <w:sz w:val="24"/>
          <w:szCs w:val="24"/>
        </w:rPr>
        <w:t xml:space="preserve"> doi</w:t>
      </w:r>
      <w:r w:rsidRPr="00354327">
        <w:rPr>
          <w:rFonts w:asciiTheme="minorHAnsi" w:hAnsiTheme="minorHAnsi"/>
          <w:noProof/>
          <w:sz w:val="24"/>
          <w:szCs w:val="24"/>
        </w:rPr>
        <w:t xml:space="preserve">: </w:t>
      </w:r>
      <w:hyperlink r:id="rId16" w:history="1">
        <w:r w:rsidRPr="00C21E9B">
          <w:rPr>
            <w:rStyle w:val="Hyperlink"/>
            <w:rFonts w:asciiTheme="minorHAnsi" w:hAnsiTheme="minorHAnsi"/>
            <w:color w:val="auto"/>
            <w:sz w:val="24"/>
            <w:szCs w:val="24"/>
            <w:lang w:val="en"/>
          </w:rPr>
          <w:t>https://doi.org/10.1210/jc.2003-030809</w:t>
        </w:r>
      </w:hyperlink>
      <w:r w:rsidRPr="00C21E9B">
        <w:rPr>
          <w:rFonts w:asciiTheme="minorHAnsi" w:hAnsiTheme="minorHAnsi"/>
          <w:color w:val="2A2A2A"/>
          <w:sz w:val="24"/>
          <w:szCs w:val="24"/>
          <w:lang w:val="en"/>
        </w:rPr>
        <w:t xml:space="preserve"> </w:t>
      </w:r>
    </w:p>
    <w:p w14:paraId="7A126C7D" w14:textId="77777777" w:rsidR="009677C1" w:rsidRDefault="009677C1" w:rsidP="009677C1">
      <w:pPr>
        <w:pStyle w:val="NormalWeb"/>
        <w:spacing w:before="2" w:after="2"/>
        <w:ind w:left="480" w:hanging="480"/>
        <w:rPr>
          <w:rFonts w:asciiTheme="minorHAnsi" w:hAnsiTheme="minorHAnsi"/>
          <w:sz w:val="24"/>
          <w:szCs w:val="24"/>
        </w:rPr>
      </w:pPr>
    </w:p>
    <w:p w14:paraId="26BB49FE" w14:textId="77777777" w:rsidR="009677C1" w:rsidRDefault="009677C1" w:rsidP="009677C1">
      <w:pPr>
        <w:pStyle w:val="NormalWeb"/>
        <w:spacing w:before="2" w:after="2"/>
        <w:ind w:left="480" w:hanging="480"/>
        <w:rPr>
          <w:rFonts w:asciiTheme="minorHAnsi" w:hAnsiTheme="minorHAnsi"/>
          <w:sz w:val="24"/>
          <w:szCs w:val="24"/>
        </w:rPr>
      </w:pPr>
      <w:proofErr w:type="spellStart"/>
      <w:r>
        <w:rPr>
          <w:rFonts w:asciiTheme="minorHAnsi" w:hAnsiTheme="minorHAnsi"/>
          <w:sz w:val="24"/>
          <w:szCs w:val="24"/>
        </w:rPr>
        <w:t>Rajendram</w:t>
      </w:r>
      <w:proofErr w:type="spellEnd"/>
      <w:r>
        <w:rPr>
          <w:rFonts w:asciiTheme="minorHAnsi" w:hAnsiTheme="minorHAnsi"/>
          <w:sz w:val="24"/>
          <w:szCs w:val="24"/>
        </w:rPr>
        <w:t>, R.</w:t>
      </w:r>
      <w:r w:rsidRPr="0048229C">
        <w:rPr>
          <w:rFonts w:asciiTheme="minorHAnsi" w:hAnsiTheme="minorHAnsi"/>
          <w:sz w:val="24"/>
          <w:szCs w:val="24"/>
        </w:rPr>
        <w:t xml:space="preserve">, </w:t>
      </w:r>
      <w:r>
        <w:rPr>
          <w:rFonts w:asciiTheme="minorHAnsi" w:hAnsiTheme="minorHAnsi"/>
          <w:sz w:val="24"/>
          <w:szCs w:val="24"/>
        </w:rPr>
        <w:t xml:space="preserve">Lee, R. W. J., Potts, M. J., Rose, G. E., Jain, R., </w:t>
      </w:r>
      <w:proofErr w:type="spellStart"/>
      <w:r>
        <w:rPr>
          <w:rFonts w:asciiTheme="minorHAnsi" w:hAnsiTheme="minorHAnsi"/>
          <w:sz w:val="24"/>
          <w:szCs w:val="24"/>
        </w:rPr>
        <w:t>Olver</w:t>
      </w:r>
      <w:proofErr w:type="spellEnd"/>
      <w:r>
        <w:rPr>
          <w:rFonts w:asciiTheme="minorHAnsi" w:hAnsiTheme="minorHAnsi"/>
          <w:sz w:val="24"/>
          <w:szCs w:val="24"/>
        </w:rPr>
        <w:t>, J. M., … Uddin, J. (</w:t>
      </w:r>
      <w:r w:rsidRPr="0048229C">
        <w:rPr>
          <w:rFonts w:asciiTheme="minorHAnsi" w:hAnsiTheme="minorHAnsi"/>
          <w:sz w:val="24"/>
          <w:szCs w:val="24"/>
        </w:rPr>
        <w:t>2008</w:t>
      </w:r>
      <w:r>
        <w:rPr>
          <w:rFonts w:asciiTheme="minorHAnsi" w:hAnsiTheme="minorHAnsi"/>
          <w:sz w:val="24"/>
          <w:szCs w:val="24"/>
        </w:rPr>
        <w:t>)</w:t>
      </w:r>
      <w:r w:rsidRPr="0048229C">
        <w:rPr>
          <w:rFonts w:asciiTheme="minorHAnsi" w:hAnsiTheme="minorHAnsi"/>
          <w:sz w:val="24"/>
          <w:szCs w:val="24"/>
        </w:rPr>
        <w:t xml:space="preserve">. </w:t>
      </w:r>
      <w:r w:rsidRPr="0048229C">
        <w:rPr>
          <w:rFonts w:asciiTheme="minorHAnsi" w:hAnsiTheme="minorHAnsi"/>
          <w:sz w:val="24"/>
          <w:szCs w:val="24"/>
          <w:lang w:val="en-US"/>
        </w:rPr>
        <w:t xml:space="preserve">Protocol for the combined immunosuppression </w:t>
      </w:r>
      <w:r>
        <w:rPr>
          <w:rFonts w:asciiTheme="minorHAnsi" w:hAnsiTheme="minorHAnsi"/>
          <w:sz w:val="24"/>
          <w:szCs w:val="24"/>
          <w:lang w:val="en-US"/>
        </w:rPr>
        <w:t>and</w:t>
      </w:r>
      <w:r w:rsidRPr="0048229C">
        <w:rPr>
          <w:rFonts w:asciiTheme="minorHAnsi" w:hAnsiTheme="minorHAnsi"/>
          <w:sz w:val="24"/>
          <w:szCs w:val="24"/>
          <w:lang w:val="en-US"/>
        </w:rPr>
        <w:t xml:space="preserve"> radiotherapy in thyroid eye disease (CIRTED) trial: A multi-</w:t>
      </w:r>
      <w:proofErr w:type="spellStart"/>
      <w:r w:rsidRPr="0048229C">
        <w:rPr>
          <w:rFonts w:asciiTheme="minorHAnsi" w:hAnsiTheme="minorHAnsi"/>
          <w:sz w:val="24"/>
          <w:szCs w:val="24"/>
          <w:lang w:val="en-US"/>
        </w:rPr>
        <w:t>centre</w:t>
      </w:r>
      <w:proofErr w:type="spellEnd"/>
      <w:r w:rsidRPr="0048229C">
        <w:rPr>
          <w:rFonts w:asciiTheme="minorHAnsi" w:hAnsiTheme="minorHAnsi"/>
          <w:sz w:val="24"/>
          <w:szCs w:val="24"/>
          <w:lang w:val="en-US"/>
        </w:rPr>
        <w:t xml:space="preserve">, double-masked, factorial </w:t>
      </w:r>
      <w:proofErr w:type="spellStart"/>
      <w:r w:rsidRPr="0048229C">
        <w:rPr>
          <w:rFonts w:asciiTheme="minorHAnsi" w:hAnsiTheme="minorHAnsi"/>
          <w:sz w:val="24"/>
          <w:szCs w:val="24"/>
          <w:lang w:val="en-US"/>
        </w:rPr>
        <w:t>randomised</w:t>
      </w:r>
      <w:proofErr w:type="spellEnd"/>
      <w:r w:rsidRPr="0048229C">
        <w:rPr>
          <w:rFonts w:asciiTheme="minorHAnsi" w:hAnsiTheme="minorHAnsi"/>
          <w:sz w:val="24"/>
          <w:szCs w:val="24"/>
          <w:lang w:val="en-US"/>
        </w:rPr>
        <w:t xml:space="preserve"> controlled trial</w:t>
      </w:r>
      <w:r w:rsidRPr="0048229C">
        <w:rPr>
          <w:rFonts w:asciiTheme="minorHAnsi" w:hAnsiTheme="minorHAnsi"/>
          <w:sz w:val="24"/>
          <w:szCs w:val="24"/>
        </w:rPr>
        <w:t xml:space="preserve">. </w:t>
      </w:r>
      <w:r w:rsidRPr="00A0395A">
        <w:rPr>
          <w:rFonts w:asciiTheme="minorHAnsi" w:hAnsiTheme="minorHAnsi"/>
          <w:i/>
          <w:sz w:val="24"/>
          <w:szCs w:val="24"/>
          <w:lang w:val="en-US"/>
        </w:rPr>
        <w:t>Trials</w:t>
      </w:r>
      <w:r w:rsidRPr="0048229C">
        <w:rPr>
          <w:rFonts w:asciiTheme="minorHAnsi" w:hAnsiTheme="minorHAnsi"/>
          <w:sz w:val="24"/>
          <w:szCs w:val="24"/>
          <w:lang w:val="en-US"/>
        </w:rPr>
        <w:t>, 9(6)</w:t>
      </w:r>
      <w:r w:rsidRPr="0048229C">
        <w:rPr>
          <w:rFonts w:asciiTheme="minorHAnsi" w:hAnsiTheme="minorHAnsi"/>
          <w:sz w:val="24"/>
          <w:szCs w:val="24"/>
        </w:rPr>
        <w:t>,</w:t>
      </w:r>
      <w:r>
        <w:rPr>
          <w:rFonts w:asciiTheme="minorHAnsi" w:hAnsiTheme="minorHAnsi"/>
          <w:sz w:val="24"/>
          <w:szCs w:val="24"/>
        </w:rPr>
        <w:t xml:space="preserve"> </w:t>
      </w:r>
      <w:r w:rsidRPr="0048229C">
        <w:rPr>
          <w:rFonts w:asciiTheme="minorHAnsi" w:hAnsiTheme="minorHAnsi"/>
          <w:sz w:val="24"/>
          <w:szCs w:val="24"/>
        </w:rPr>
        <w:t>1–17.</w:t>
      </w:r>
    </w:p>
    <w:p w14:paraId="00B82F25" w14:textId="77777777" w:rsidR="00B42C53" w:rsidRDefault="00B42C53" w:rsidP="009677C1">
      <w:pPr>
        <w:pStyle w:val="NormalWeb"/>
        <w:spacing w:before="2" w:after="2"/>
        <w:ind w:left="480" w:hanging="480"/>
        <w:rPr>
          <w:rFonts w:asciiTheme="minorHAnsi" w:hAnsiTheme="minorHAnsi"/>
          <w:sz w:val="24"/>
          <w:szCs w:val="24"/>
        </w:rPr>
      </w:pPr>
    </w:p>
    <w:p w14:paraId="78802EB9" w14:textId="62D2E5CB" w:rsidR="00B42C53" w:rsidRDefault="00B42C53" w:rsidP="00B42C53">
      <w:pPr>
        <w:pStyle w:val="NormalWeb"/>
        <w:spacing w:before="2" w:after="2"/>
        <w:ind w:left="480" w:hanging="480"/>
        <w:rPr>
          <w:rFonts w:asciiTheme="minorHAnsi" w:hAnsiTheme="minorHAnsi"/>
          <w:sz w:val="24"/>
          <w:szCs w:val="24"/>
        </w:rPr>
      </w:pPr>
      <w:r>
        <w:rPr>
          <w:rFonts w:asciiTheme="minorHAnsi" w:hAnsiTheme="minorHAnsi"/>
          <w:sz w:val="24"/>
          <w:szCs w:val="24"/>
        </w:rPr>
        <w:t xml:space="preserve">Skevington, S. M., </w:t>
      </w:r>
      <w:proofErr w:type="spellStart"/>
      <w:r>
        <w:rPr>
          <w:rFonts w:asciiTheme="minorHAnsi" w:hAnsiTheme="minorHAnsi"/>
          <w:sz w:val="24"/>
          <w:szCs w:val="24"/>
        </w:rPr>
        <w:t>Lotfy</w:t>
      </w:r>
      <w:proofErr w:type="spellEnd"/>
      <w:r>
        <w:rPr>
          <w:rFonts w:asciiTheme="minorHAnsi" w:hAnsiTheme="minorHAnsi"/>
          <w:sz w:val="24"/>
          <w:szCs w:val="24"/>
        </w:rPr>
        <w:t xml:space="preserve">, M., &amp; O’Connell, K. A. (2004). The World Health </w:t>
      </w:r>
      <w:proofErr w:type="spellStart"/>
      <w:r>
        <w:rPr>
          <w:rFonts w:asciiTheme="minorHAnsi" w:hAnsiTheme="minorHAnsi"/>
          <w:sz w:val="24"/>
          <w:szCs w:val="24"/>
        </w:rPr>
        <w:t>Orgaization’s</w:t>
      </w:r>
      <w:proofErr w:type="spellEnd"/>
      <w:r>
        <w:rPr>
          <w:rFonts w:asciiTheme="minorHAnsi" w:hAnsiTheme="minorHAnsi"/>
          <w:sz w:val="24"/>
          <w:szCs w:val="24"/>
        </w:rPr>
        <w:t xml:space="preserve"> WHOQOL-</w:t>
      </w:r>
      <w:proofErr w:type="spellStart"/>
      <w:r>
        <w:rPr>
          <w:rFonts w:asciiTheme="minorHAnsi" w:hAnsiTheme="minorHAnsi"/>
          <w:sz w:val="24"/>
          <w:szCs w:val="24"/>
        </w:rPr>
        <w:t>Bref</w:t>
      </w:r>
      <w:proofErr w:type="spellEnd"/>
      <w:r>
        <w:rPr>
          <w:rFonts w:asciiTheme="minorHAnsi" w:hAnsiTheme="minorHAnsi"/>
          <w:sz w:val="24"/>
          <w:szCs w:val="24"/>
        </w:rPr>
        <w:t xml:space="preserve"> quality of life assessment: Psychometric properties and results of the international field trial. A report from the WHOQOL Group. </w:t>
      </w:r>
      <w:r w:rsidRPr="002F0360">
        <w:rPr>
          <w:rFonts w:asciiTheme="minorHAnsi" w:hAnsiTheme="minorHAnsi"/>
          <w:i/>
          <w:sz w:val="24"/>
          <w:szCs w:val="24"/>
        </w:rPr>
        <w:t>Quality of Life Research</w:t>
      </w:r>
      <w:r>
        <w:rPr>
          <w:rFonts w:asciiTheme="minorHAnsi" w:hAnsiTheme="minorHAnsi"/>
          <w:sz w:val="24"/>
          <w:szCs w:val="24"/>
        </w:rPr>
        <w:t>, 13, 299-310.</w:t>
      </w:r>
    </w:p>
    <w:p w14:paraId="21884548" w14:textId="77777777" w:rsidR="00B42C53" w:rsidRDefault="00B42C53" w:rsidP="00B42C53">
      <w:pPr>
        <w:pStyle w:val="NormalWeb"/>
        <w:spacing w:before="2" w:after="2"/>
        <w:ind w:left="480" w:hanging="480"/>
        <w:rPr>
          <w:rFonts w:asciiTheme="minorHAnsi" w:hAnsiTheme="minorHAnsi"/>
          <w:sz w:val="24"/>
          <w:szCs w:val="24"/>
        </w:rPr>
      </w:pPr>
    </w:p>
    <w:p w14:paraId="58EE513D" w14:textId="5B242F97" w:rsidR="00B42C53" w:rsidRDefault="00B42C53" w:rsidP="00B42C53">
      <w:pPr>
        <w:pStyle w:val="NormalWeb"/>
        <w:spacing w:before="2" w:after="2"/>
        <w:ind w:left="480" w:hanging="480"/>
        <w:rPr>
          <w:rFonts w:asciiTheme="minorHAnsi" w:hAnsiTheme="minorHAnsi" w:cs="OTNEJMScalaSansLF-Bold"/>
          <w:bCs/>
          <w:sz w:val="24"/>
          <w:szCs w:val="24"/>
        </w:rPr>
      </w:pPr>
      <w:r w:rsidRPr="002B6409">
        <w:rPr>
          <w:rFonts w:asciiTheme="minorHAnsi" w:hAnsiTheme="minorHAnsi" w:cs="OTNEJMScalaSansLF"/>
          <w:sz w:val="24"/>
          <w:szCs w:val="24"/>
        </w:rPr>
        <w:t xml:space="preserve">Smith, T. J., </w:t>
      </w:r>
      <w:proofErr w:type="spellStart"/>
      <w:r w:rsidRPr="002B6409">
        <w:rPr>
          <w:rFonts w:asciiTheme="minorHAnsi" w:hAnsiTheme="minorHAnsi" w:cs="OTNEJMScalaSansLF"/>
          <w:sz w:val="24"/>
          <w:szCs w:val="24"/>
        </w:rPr>
        <w:t>Kahaly</w:t>
      </w:r>
      <w:proofErr w:type="spellEnd"/>
      <w:r w:rsidRPr="002B6409">
        <w:rPr>
          <w:rFonts w:asciiTheme="minorHAnsi" w:hAnsiTheme="minorHAnsi" w:cs="OTNEJMScalaSansLF"/>
          <w:sz w:val="24"/>
          <w:szCs w:val="24"/>
        </w:rPr>
        <w:t xml:space="preserve">, G. J., Ezra, D. G., Fleming, J. C., Dailey, R. A., Tang, R. A., </w:t>
      </w:r>
      <w:r>
        <w:rPr>
          <w:rFonts w:asciiTheme="minorHAnsi" w:hAnsiTheme="minorHAnsi" w:cs="OTNEJMScalaSansLF"/>
          <w:sz w:val="24"/>
          <w:szCs w:val="24"/>
        </w:rPr>
        <w:t>…</w:t>
      </w:r>
      <w:r w:rsidRPr="002B6409">
        <w:rPr>
          <w:rFonts w:asciiTheme="minorHAnsi" w:hAnsiTheme="minorHAnsi" w:cs="OTNEJMScalaSansLF"/>
          <w:sz w:val="24"/>
          <w:szCs w:val="24"/>
        </w:rPr>
        <w:t xml:space="preserve"> Douglas, R. S. D. (2017). </w:t>
      </w:r>
      <w:proofErr w:type="spellStart"/>
      <w:r w:rsidRPr="002B6409">
        <w:rPr>
          <w:rFonts w:asciiTheme="minorHAnsi" w:hAnsiTheme="minorHAnsi" w:cs="OTNEJMQuadraat"/>
          <w:sz w:val="24"/>
          <w:szCs w:val="24"/>
        </w:rPr>
        <w:t>Teprotumumab</w:t>
      </w:r>
      <w:proofErr w:type="spellEnd"/>
      <w:r w:rsidRPr="002B6409">
        <w:rPr>
          <w:rFonts w:asciiTheme="minorHAnsi" w:hAnsiTheme="minorHAnsi" w:cs="OTNEJMQuadraat"/>
          <w:sz w:val="24"/>
          <w:szCs w:val="24"/>
        </w:rPr>
        <w:t xml:space="preserve"> for Thyroid-Associated</w:t>
      </w:r>
      <w:r w:rsidRPr="002B6409">
        <w:rPr>
          <w:rFonts w:cs="OTNEJMQuadraat"/>
        </w:rPr>
        <w:t xml:space="preserve"> </w:t>
      </w:r>
      <w:proofErr w:type="spellStart"/>
      <w:r w:rsidRPr="002B6409">
        <w:rPr>
          <w:rFonts w:asciiTheme="minorHAnsi" w:hAnsiTheme="minorHAnsi" w:cs="OTNEJMQuadraat"/>
          <w:sz w:val="24"/>
          <w:szCs w:val="24"/>
        </w:rPr>
        <w:t>Ophthalmopathy</w:t>
      </w:r>
      <w:proofErr w:type="spellEnd"/>
      <w:r w:rsidRPr="002B6409">
        <w:rPr>
          <w:rFonts w:cs="OTNEJMQuadraat"/>
        </w:rPr>
        <w:t xml:space="preserve">. </w:t>
      </w:r>
      <w:r w:rsidRPr="00B42C53">
        <w:rPr>
          <w:rFonts w:asciiTheme="minorHAnsi" w:hAnsiTheme="minorHAnsi" w:cs="OTNEJMQuadraat"/>
          <w:sz w:val="24"/>
          <w:szCs w:val="24"/>
        </w:rPr>
        <w:t>New England Journal of Medicine,</w:t>
      </w:r>
      <w:r w:rsidRPr="002B6409">
        <w:rPr>
          <w:rFonts w:cs="OTNEJMQuadraat"/>
        </w:rPr>
        <w:t xml:space="preserve"> </w:t>
      </w:r>
      <w:r w:rsidRPr="002B6409">
        <w:rPr>
          <w:rFonts w:asciiTheme="minorHAnsi" w:hAnsiTheme="minorHAnsi" w:cs="OTNEJMScalaSansLF-Bold"/>
          <w:bCs/>
          <w:sz w:val="24"/>
          <w:szCs w:val="24"/>
        </w:rPr>
        <w:t>376:1748-61.</w:t>
      </w:r>
      <w:r w:rsidRPr="002B6409">
        <w:rPr>
          <w:rFonts w:cs="OTNEJMScalaSansLF-Bold"/>
          <w:bCs/>
        </w:rPr>
        <w:t xml:space="preserve"> </w:t>
      </w:r>
      <w:proofErr w:type="spellStart"/>
      <w:proofErr w:type="gramStart"/>
      <w:r w:rsidRPr="00B42C53">
        <w:rPr>
          <w:rFonts w:asciiTheme="minorHAnsi" w:hAnsiTheme="minorHAnsi" w:cs="OTNEJMScalaSansLF-Bold"/>
          <w:bCs/>
          <w:sz w:val="24"/>
          <w:szCs w:val="24"/>
        </w:rPr>
        <w:t>doi</w:t>
      </w:r>
      <w:proofErr w:type="spellEnd"/>
      <w:proofErr w:type="gramEnd"/>
      <w:r w:rsidRPr="00B42C53">
        <w:rPr>
          <w:rFonts w:asciiTheme="minorHAnsi" w:hAnsiTheme="minorHAnsi" w:cs="OTNEJMScalaSansLF-Bold"/>
          <w:bCs/>
          <w:sz w:val="24"/>
          <w:szCs w:val="24"/>
        </w:rPr>
        <w:t>:</w:t>
      </w:r>
      <w:r w:rsidRPr="002B6409">
        <w:rPr>
          <w:rFonts w:asciiTheme="minorHAnsi" w:hAnsiTheme="minorHAnsi" w:cs="OTNEJMScalaSansLF-Bold"/>
          <w:bCs/>
          <w:sz w:val="24"/>
          <w:szCs w:val="24"/>
        </w:rPr>
        <w:t xml:space="preserve"> 10.1056/NEJMoa1614949</w:t>
      </w:r>
    </w:p>
    <w:p w14:paraId="5FCB62DD" w14:textId="77777777" w:rsidR="00B42C53" w:rsidRDefault="00B42C53" w:rsidP="00B42C53">
      <w:pPr>
        <w:pStyle w:val="NormalWeb"/>
        <w:spacing w:before="2" w:after="2"/>
        <w:ind w:left="480" w:hanging="480"/>
        <w:rPr>
          <w:rFonts w:asciiTheme="minorHAnsi" w:hAnsiTheme="minorHAnsi" w:cs="OTNEJMScalaSansLF-Bold"/>
          <w:bCs/>
          <w:sz w:val="24"/>
          <w:szCs w:val="24"/>
        </w:rPr>
      </w:pPr>
    </w:p>
    <w:p w14:paraId="2E9775DC" w14:textId="7582FF9B" w:rsidR="00B42C53" w:rsidRDefault="00B42C53" w:rsidP="00B42C53">
      <w:pPr>
        <w:pStyle w:val="NormalWeb"/>
        <w:spacing w:before="2" w:after="2"/>
        <w:ind w:left="480" w:hanging="480"/>
        <w:rPr>
          <w:rFonts w:asciiTheme="minorHAnsi" w:hAnsiTheme="minorHAnsi" w:cs="Georgia"/>
          <w:sz w:val="24"/>
          <w:szCs w:val="24"/>
        </w:rPr>
      </w:pPr>
      <w:proofErr w:type="spellStart"/>
      <w:r w:rsidRPr="00C21E9B">
        <w:rPr>
          <w:rFonts w:asciiTheme="minorHAnsi" w:hAnsiTheme="minorHAnsi" w:cs="Georgia"/>
          <w:sz w:val="24"/>
          <w:szCs w:val="24"/>
        </w:rPr>
        <w:t>Terwee</w:t>
      </w:r>
      <w:proofErr w:type="spellEnd"/>
      <w:r>
        <w:rPr>
          <w:rFonts w:asciiTheme="minorHAnsi" w:hAnsiTheme="minorHAnsi" w:cs="Georgia"/>
          <w:sz w:val="24"/>
          <w:szCs w:val="24"/>
        </w:rPr>
        <w:t>,</w:t>
      </w:r>
      <w:r w:rsidRPr="00C21E9B">
        <w:rPr>
          <w:rFonts w:asciiTheme="minorHAnsi" w:hAnsiTheme="minorHAnsi" w:cs="Georgia"/>
          <w:sz w:val="24"/>
          <w:szCs w:val="24"/>
        </w:rPr>
        <w:t xml:space="preserve"> C</w:t>
      </w:r>
      <w:r>
        <w:rPr>
          <w:rFonts w:asciiTheme="minorHAnsi" w:hAnsiTheme="minorHAnsi" w:cs="Georgia"/>
          <w:sz w:val="24"/>
          <w:szCs w:val="24"/>
        </w:rPr>
        <w:t xml:space="preserve">. </w:t>
      </w:r>
      <w:r w:rsidRPr="00C21E9B">
        <w:rPr>
          <w:rFonts w:asciiTheme="minorHAnsi" w:hAnsiTheme="minorHAnsi" w:cs="Georgia"/>
          <w:sz w:val="24"/>
          <w:szCs w:val="24"/>
        </w:rPr>
        <w:t>B</w:t>
      </w:r>
      <w:r>
        <w:rPr>
          <w:rFonts w:asciiTheme="minorHAnsi" w:hAnsiTheme="minorHAnsi" w:cs="Georgia"/>
          <w:sz w:val="24"/>
          <w:szCs w:val="24"/>
        </w:rPr>
        <w:t>.</w:t>
      </w:r>
      <w:r w:rsidRPr="00C21E9B">
        <w:rPr>
          <w:rFonts w:asciiTheme="minorHAnsi" w:hAnsiTheme="minorHAnsi" w:cs="Georgia"/>
          <w:sz w:val="24"/>
          <w:szCs w:val="24"/>
        </w:rPr>
        <w:t>, Dekker</w:t>
      </w:r>
      <w:r>
        <w:rPr>
          <w:rFonts w:asciiTheme="minorHAnsi" w:hAnsiTheme="minorHAnsi" w:cs="Georgia"/>
          <w:sz w:val="24"/>
          <w:szCs w:val="24"/>
        </w:rPr>
        <w:t>,</w:t>
      </w:r>
      <w:r w:rsidRPr="00C21E9B">
        <w:rPr>
          <w:rFonts w:asciiTheme="minorHAnsi" w:hAnsiTheme="minorHAnsi" w:cs="Georgia"/>
          <w:sz w:val="24"/>
          <w:szCs w:val="24"/>
        </w:rPr>
        <w:t xml:space="preserve"> F</w:t>
      </w:r>
      <w:r>
        <w:rPr>
          <w:rFonts w:asciiTheme="minorHAnsi" w:hAnsiTheme="minorHAnsi" w:cs="Georgia"/>
          <w:sz w:val="24"/>
          <w:szCs w:val="24"/>
        </w:rPr>
        <w:t xml:space="preserve">. </w:t>
      </w:r>
      <w:r w:rsidRPr="00C21E9B">
        <w:rPr>
          <w:rFonts w:asciiTheme="minorHAnsi" w:hAnsiTheme="minorHAnsi" w:cs="Georgia"/>
          <w:sz w:val="24"/>
          <w:szCs w:val="24"/>
        </w:rPr>
        <w:t>W</w:t>
      </w:r>
      <w:r>
        <w:rPr>
          <w:rFonts w:asciiTheme="minorHAnsi" w:hAnsiTheme="minorHAnsi" w:cs="Georgia"/>
          <w:sz w:val="24"/>
          <w:szCs w:val="24"/>
        </w:rPr>
        <w:t>.</w:t>
      </w:r>
      <w:r w:rsidRPr="00C21E9B">
        <w:rPr>
          <w:rFonts w:asciiTheme="minorHAnsi" w:hAnsiTheme="minorHAnsi" w:cs="Georgia"/>
          <w:sz w:val="24"/>
          <w:szCs w:val="24"/>
        </w:rPr>
        <w:t xml:space="preserve">, </w:t>
      </w:r>
      <w:proofErr w:type="spellStart"/>
      <w:r w:rsidRPr="00C21E9B">
        <w:rPr>
          <w:rFonts w:asciiTheme="minorHAnsi" w:hAnsiTheme="minorHAnsi" w:cs="Georgia"/>
          <w:sz w:val="24"/>
          <w:szCs w:val="24"/>
        </w:rPr>
        <w:t>Bonsel</w:t>
      </w:r>
      <w:proofErr w:type="spellEnd"/>
      <w:r>
        <w:rPr>
          <w:rFonts w:asciiTheme="minorHAnsi" w:hAnsiTheme="minorHAnsi" w:cs="Georgia"/>
          <w:sz w:val="24"/>
          <w:szCs w:val="24"/>
        </w:rPr>
        <w:t xml:space="preserve">, </w:t>
      </w:r>
      <w:r w:rsidRPr="00C21E9B">
        <w:rPr>
          <w:rFonts w:asciiTheme="minorHAnsi" w:hAnsiTheme="minorHAnsi" w:cs="Georgia"/>
          <w:sz w:val="24"/>
          <w:szCs w:val="24"/>
        </w:rPr>
        <w:t>G</w:t>
      </w:r>
      <w:r>
        <w:rPr>
          <w:rFonts w:asciiTheme="minorHAnsi" w:hAnsiTheme="minorHAnsi" w:cs="Georgia"/>
          <w:sz w:val="24"/>
          <w:szCs w:val="24"/>
        </w:rPr>
        <w:t xml:space="preserve">. </w:t>
      </w:r>
      <w:r w:rsidRPr="00C21E9B">
        <w:rPr>
          <w:rFonts w:asciiTheme="minorHAnsi" w:hAnsiTheme="minorHAnsi" w:cs="Georgia"/>
          <w:sz w:val="24"/>
          <w:szCs w:val="24"/>
        </w:rPr>
        <w:t>J</w:t>
      </w:r>
      <w:r>
        <w:rPr>
          <w:rFonts w:asciiTheme="minorHAnsi" w:hAnsiTheme="minorHAnsi" w:cs="Georgia"/>
          <w:sz w:val="24"/>
          <w:szCs w:val="24"/>
        </w:rPr>
        <w:t>.</w:t>
      </w:r>
      <w:r w:rsidRPr="00C21E9B">
        <w:rPr>
          <w:rFonts w:asciiTheme="minorHAnsi" w:hAnsiTheme="minorHAnsi" w:cs="Georgia"/>
          <w:sz w:val="24"/>
          <w:szCs w:val="24"/>
        </w:rPr>
        <w:t xml:space="preserve">, </w:t>
      </w:r>
      <w:proofErr w:type="spellStart"/>
      <w:r w:rsidRPr="00C21E9B">
        <w:rPr>
          <w:rFonts w:asciiTheme="minorHAnsi" w:hAnsiTheme="minorHAnsi" w:cs="Georgia"/>
          <w:sz w:val="24"/>
          <w:szCs w:val="24"/>
        </w:rPr>
        <w:t>Heisterkamp</w:t>
      </w:r>
      <w:proofErr w:type="spellEnd"/>
      <w:r>
        <w:rPr>
          <w:rFonts w:asciiTheme="minorHAnsi" w:hAnsiTheme="minorHAnsi" w:cs="Georgia"/>
          <w:sz w:val="24"/>
          <w:szCs w:val="24"/>
        </w:rPr>
        <w:t>,</w:t>
      </w:r>
      <w:r w:rsidRPr="00C21E9B">
        <w:rPr>
          <w:rFonts w:asciiTheme="minorHAnsi" w:hAnsiTheme="minorHAnsi" w:cs="Georgia"/>
          <w:sz w:val="24"/>
          <w:szCs w:val="24"/>
        </w:rPr>
        <w:t xml:space="preserve"> S</w:t>
      </w:r>
      <w:r>
        <w:rPr>
          <w:rFonts w:asciiTheme="minorHAnsi" w:hAnsiTheme="minorHAnsi" w:cs="Georgia"/>
          <w:sz w:val="24"/>
          <w:szCs w:val="24"/>
        </w:rPr>
        <w:t xml:space="preserve">. </w:t>
      </w:r>
      <w:r w:rsidRPr="00C21E9B">
        <w:rPr>
          <w:rFonts w:asciiTheme="minorHAnsi" w:hAnsiTheme="minorHAnsi" w:cs="Georgia"/>
          <w:sz w:val="24"/>
          <w:szCs w:val="24"/>
        </w:rPr>
        <w:t>H</w:t>
      </w:r>
      <w:r>
        <w:rPr>
          <w:rFonts w:asciiTheme="minorHAnsi" w:hAnsiTheme="minorHAnsi" w:cs="Georgia"/>
          <w:sz w:val="24"/>
          <w:szCs w:val="24"/>
        </w:rPr>
        <w:t>.</w:t>
      </w:r>
      <w:r w:rsidRPr="00C21E9B">
        <w:rPr>
          <w:rFonts w:asciiTheme="minorHAnsi" w:hAnsiTheme="minorHAnsi" w:cs="Georgia"/>
          <w:sz w:val="24"/>
          <w:szCs w:val="24"/>
        </w:rPr>
        <w:t xml:space="preserve">, </w:t>
      </w:r>
      <w:proofErr w:type="spellStart"/>
      <w:r w:rsidRPr="00C21E9B">
        <w:rPr>
          <w:rFonts w:asciiTheme="minorHAnsi" w:hAnsiTheme="minorHAnsi" w:cs="Georgia"/>
          <w:sz w:val="24"/>
          <w:szCs w:val="24"/>
        </w:rPr>
        <w:t>Prummel</w:t>
      </w:r>
      <w:proofErr w:type="spellEnd"/>
      <w:r>
        <w:rPr>
          <w:rFonts w:asciiTheme="minorHAnsi" w:hAnsiTheme="minorHAnsi" w:cs="Georgia"/>
          <w:sz w:val="24"/>
          <w:szCs w:val="24"/>
        </w:rPr>
        <w:t>,</w:t>
      </w:r>
      <w:r w:rsidRPr="00C21E9B">
        <w:rPr>
          <w:rFonts w:asciiTheme="minorHAnsi" w:hAnsiTheme="minorHAnsi" w:cs="Georgia"/>
          <w:sz w:val="24"/>
          <w:szCs w:val="24"/>
        </w:rPr>
        <w:t xml:space="preserve"> M</w:t>
      </w:r>
      <w:r>
        <w:rPr>
          <w:rFonts w:asciiTheme="minorHAnsi" w:hAnsiTheme="minorHAnsi" w:cs="Georgia"/>
          <w:sz w:val="24"/>
          <w:szCs w:val="24"/>
        </w:rPr>
        <w:t xml:space="preserve">. </w:t>
      </w:r>
      <w:r w:rsidRPr="00C21E9B">
        <w:rPr>
          <w:rFonts w:asciiTheme="minorHAnsi" w:hAnsiTheme="minorHAnsi" w:cs="Georgia"/>
          <w:sz w:val="24"/>
          <w:szCs w:val="24"/>
        </w:rPr>
        <w:t>F</w:t>
      </w:r>
      <w:r>
        <w:rPr>
          <w:rFonts w:asciiTheme="minorHAnsi" w:hAnsiTheme="minorHAnsi" w:cs="Georgia"/>
          <w:sz w:val="24"/>
          <w:szCs w:val="24"/>
        </w:rPr>
        <w:t>.</w:t>
      </w:r>
      <w:r w:rsidRPr="00C21E9B">
        <w:rPr>
          <w:rFonts w:asciiTheme="minorHAnsi" w:hAnsiTheme="minorHAnsi" w:cs="Georgia"/>
          <w:sz w:val="24"/>
          <w:szCs w:val="24"/>
        </w:rPr>
        <w:t xml:space="preserve">, </w:t>
      </w:r>
      <w:proofErr w:type="spellStart"/>
      <w:r w:rsidRPr="00C21E9B">
        <w:rPr>
          <w:rFonts w:asciiTheme="minorHAnsi" w:hAnsiTheme="minorHAnsi" w:cs="Georgia"/>
          <w:sz w:val="24"/>
          <w:szCs w:val="24"/>
        </w:rPr>
        <w:t>Baldeschi</w:t>
      </w:r>
      <w:proofErr w:type="spellEnd"/>
      <w:r>
        <w:rPr>
          <w:rFonts w:asciiTheme="minorHAnsi" w:hAnsiTheme="minorHAnsi" w:cs="Georgia"/>
          <w:sz w:val="24"/>
          <w:szCs w:val="24"/>
        </w:rPr>
        <w:t>,</w:t>
      </w:r>
      <w:r w:rsidRPr="00C21E9B">
        <w:rPr>
          <w:rFonts w:asciiTheme="minorHAnsi" w:hAnsiTheme="minorHAnsi" w:cs="Georgia"/>
          <w:sz w:val="24"/>
          <w:szCs w:val="24"/>
        </w:rPr>
        <w:t xml:space="preserve"> L</w:t>
      </w:r>
      <w:r>
        <w:rPr>
          <w:rFonts w:asciiTheme="minorHAnsi" w:hAnsiTheme="minorHAnsi" w:cs="Georgia"/>
          <w:sz w:val="24"/>
          <w:szCs w:val="24"/>
        </w:rPr>
        <w:t>.,</w:t>
      </w:r>
      <w:r w:rsidRPr="00C21E9B">
        <w:rPr>
          <w:rFonts w:asciiTheme="minorHAnsi" w:hAnsiTheme="minorHAnsi" w:cs="Georgia"/>
          <w:sz w:val="24"/>
          <w:szCs w:val="24"/>
        </w:rPr>
        <w:t xml:space="preserve"> &amp; </w:t>
      </w:r>
      <w:proofErr w:type="spellStart"/>
      <w:r w:rsidRPr="00C21E9B">
        <w:rPr>
          <w:rFonts w:asciiTheme="minorHAnsi" w:hAnsiTheme="minorHAnsi" w:cs="Georgia"/>
          <w:sz w:val="24"/>
          <w:szCs w:val="24"/>
        </w:rPr>
        <w:t>Wiersinga</w:t>
      </w:r>
      <w:proofErr w:type="spellEnd"/>
      <w:r>
        <w:rPr>
          <w:rFonts w:asciiTheme="minorHAnsi" w:hAnsiTheme="minorHAnsi" w:cs="Georgia"/>
          <w:sz w:val="24"/>
          <w:szCs w:val="24"/>
        </w:rPr>
        <w:t>,</w:t>
      </w:r>
      <w:r w:rsidRPr="00C21E9B">
        <w:rPr>
          <w:rFonts w:asciiTheme="minorHAnsi" w:hAnsiTheme="minorHAnsi" w:cs="Georgia"/>
          <w:sz w:val="24"/>
          <w:szCs w:val="24"/>
        </w:rPr>
        <w:t xml:space="preserve"> W</w:t>
      </w:r>
      <w:r>
        <w:rPr>
          <w:rFonts w:asciiTheme="minorHAnsi" w:hAnsiTheme="minorHAnsi" w:cs="Georgia"/>
          <w:sz w:val="24"/>
          <w:szCs w:val="24"/>
        </w:rPr>
        <w:t>.</w:t>
      </w:r>
      <w:r w:rsidRPr="00C21E9B">
        <w:rPr>
          <w:rFonts w:asciiTheme="minorHAnsi" w:hAnsiTheme="minorHAnsi" w:cs="Georgia"/>
          <w:sz w:val="24"/>
          <w:szCs w:val="24"/>
        </w:rPr>
        <w:t xml:space="preserve">M. </w:t>
      </w:r>
      <w:r>
        <w:rPr>
          <w:rFonts w:asciiTheme="minorHAnsi" w:hAnsiTheme="minorHAnsi" w:cs="Georgia"/>
          <w:sz w:val="24"/>
          <w:szCs w:val="24"/>
        </w:rPr>
        <w:t xml:space="preserve">(2003). </w:t>
      </w:r>
      <w:r w:rsidRPr="00C21E9B">
        <w:rPr>
          <w:rFonts w:asciiTheme="minorHAnsi" w:hAnsiTheme="minorHAnsi" w:cs="Georgia"/>
          <w:sz w:val="24"/>
          <w:szCs w:val="24"/>
        </w:rPr>
        <w:t xml:space="preserve">Facial disfigurement: is it in the eye of the beholder? A study in patients with Graves’ </w:t>
      </w:r>
      <w:proofErr w:type="spellStart"/>
      <w:r w:rsidRPr="00C21E9B">
        <w:rPr>
          <w:rFonts w:asciiTheme="minorHAnsi" w:hAnsiTheme="minorHAnsi" w:cs="Georgia"/>
          <w:sz w:val="24"/>
          <w:szCs w:val="24"/>
        </w:rPr>
        <w:t>ophthalmopathy</w:t>
      </w:r>
      <w:proofErr w:type="spellEnd"/>
      <w:r>
        <w:rPr>
          <w:rFonts w:asciiTheme="minorHAnsi" w:hAnsiTheme="minorHAnsi" w:cs="Georgia"/>
          <w:sz w:val="24"/>
          <w:szCs w:val="24"/>
        </w:rPr>
        <w:t>.</w:t>
      </w:r>
      <w:r w:rsidRPr="00C21E9B">
        <w:rPr>
          <w:rFonts w:asciiTheme="minorHAnsi" w:hAnsiTheme="minorHAnsi" w:cs="Georgia"/>
          <w:sz w:val="24"/>
          <w:szCs w:val="24"/>
        </w:rPr>
        <w:t xml:space="preserve"> </w:t>
      </w:r>
      <w:r w:rsidRPr="00C21E9B">
        <w:rPr>
          <w:rFonts w:asciiTheme="minorHAnsi" w:hAnsiTheme="minorHAnsi" w:cs="Georgia"/>
          <w:i/>
          <w:iCs/>
          <w:sz w:val="24"/>
          <w:szCs w:val="24"/>
        </w:rPr>
        <w:t>Clinical Endocrinology</w:t>
      </w:r>
      <w:r>
        <w:rPr>
          <w:rFonts w:asciiTheme="minorHAnsi" w:hAnsiTheme="minorHAnsi" w:cs="Georgia"/>
          <w:i/>
          <w:iCs/>
          <w:sz w:val="24"/>
          <w:szCs w:val="24"/>
        </w:rPr>
        <w:t>,</w:t>
      </w:r>
      <w:r w:rsidRPr="00C21E9B">
        <w:rPr>
          <w:rFonts w:asciiTheme="minorHAnsi" w:hAnsiTheme="minorHAnsi" w:cs="Georgia"/>
          <w:sz w:val="24"/>
          <w:szCs w:val="24"/>
        </w:rPr>
        <w:t xml:space="preserve"> </w:t>
      </w:r>
      <w:r w:rsidRPr="00C21E9B">
        <w:rPr>
          <w:rFonts w:asciiTheme="minorHAnsi" w:hAnsiTheme="minorHAnsi" w:cs="Georgia"/>
          <w:bCs/>
          <w:sz w:val="24"/>
          <w:szCs w:val="24"/>
        </w:rPr>
        <w:t>58</w:t>
      </w:r>
      <w:r>
        <w:rPr>
          <w:rFonts w:asciiTheme="minorHAnsi" w:hAnsiTheme="minorHAnsi" w:cs="Georgia"/>
          <w:bCs/>
          <w:sz w:val="24"/>
          <w:szCs w:val="24"/>
        </w:rPr>
        <w:t>,</w:t>
      </w:r>
      <w:r w:rsidRPr="00C21E9B">
        <w:rPr>
          <w:rFonts w:asciiTheme="minorHAnsi" w:hAnsiTheme="minorHAnsi" w:cs="Georgia"/>
          <w:sz w:val="24"/>
          <w:szCs w:val="24"/>
        </w:rPr>
        <w:t xml:space="preserve"> 192–198.</w:t>
      </w:r>
    </w:p>
    <w:p w14:paraId="1CD2F7F1" w14:textId="77777777" w:rsidR="009677C1" w:rsidRDefault="009677C1" w:rsidP="009677C1">
      <w:pPr>
        <w:pStyle w:val="NormalWeb"/>
        <w:spacing w:before="2" w:after="2"/>
        <w:ind w:left="480" w:hanging="480"/>
        <w:rPr>
          <w:rFonts w:asciiTheme="minorHAnsi" w:hAnsiTheme="minorHAnsi"/>
          <w:sz w:val="24"/>
          <w:szCs w:val="24"/>
        </w:rPr>
      </w:pPr>
    </w:p>
    <w:p w14:paraId="302441BE" w14:textId="1B14AB5E" w:rsidR="009677C1" w:rsidRPr="000B4AEA" w:rsidRDefault="009677C1" w:rsidP="009677C1">
      <w:pPr>
        <w:pStyle w:val="NormalWeb"/>
        <w:spacing w:before="2" w:after="2"/>
        <w:ind w:left="480" w:hanging="480"/>
        <w:rPr>
          <w:rFonts w:asciiTheme="minorHAnsi" w:eastAsia="Times New Roman" w:hAnsiTheme="minorHAnsi"/>
          <w:sz w:val="24"/>
          <w:szCs w:val="24"/>
          <w:lang w:eastAsia="en-GB"/>
        </w:rPr>
      </w:pPr>
      <w:proofErr w:type="spellStart"/>
      <w:r w:rsidRPr="0048229C">
        <w:rPr>
          <w:rFonts w:asciiTheme="minorHAnsi" w:hAnsiTheme="minorHAnsi"/>
          <w:sz w:val="24"/>
          <w:szCs w:val="24"/>
        </w:rPr>
        <w:t>Terwee</w:t>
      </w:r>
      <w:proofErr w:type="spellEnd"/>
      <w:r w:rsidRPr="0048229C">
        <w:rPr>
          <w:rFonts w:asciiTheme="minorHAnsi" w:hAnsiTheme="minorHAnsi"/>
          <w:sz w:val="24"/>
          <w:szCs w:val="24"/>
        </w:rPr>
        <w:t>, C.</w:t>
      </w:r>
      <w:r>
        <w:rPr>
          <w:rFonts w:asciiTheme="minorHAnsi" w:hAnsiTheme="minorHAnsi"/>
          <w:sz w:val="24"/>
          <w:szCs w:val="24"/>
        </w:rPr>
        <w:t xml:space="preserve"> </w:t>
      </w:r>
      <w:r w:rsidRPr="0048229C">
        <w:rPr>
          <w:rFonts w:asciiTheme="minorHAnsi" w:hAnsiTheme="minorHAnsi"/>
          <w:sz w:val="24"/>
          <w:szCs w:val="24"/>
        </w:rPr>
        <w:t>B.</w:t>
      </w:r>
      <w:r>
        <w:rPr>
          <w:rFonts w:asciiTheme="minorHAnsi" w:hAnsiTheme="minorHAnsi"/>
          <w:sz w:val="24"/>
          <w:szCs w:val="24"/>
        </w:rPr>
        <w:t>,</w:t>
      </w:r>
      <w:r w:rsidRPr="0048229C">
        <w:rPr>
          <w:rFonts w:asciiTheme="minorHAnsi" w:hAnsiTheme="minorHAnsi"/>
          <w:sz w:val="24"/>
          <w:szCs w:val="24"/>
        </w:rPr>
        <w:t xml:space="preserve"> </w:t>
      </w:r>
      <w:proofErr w:type="spellStart"/>
      <w:r>
        <w:rPr>
          <w:rFonts w:asciiTheme="minorHAnsi" w:hAnsiTheme="minorHAnsi"/>
          <w:sz w:val="24"/>
          <w:szCs w:val="24"/>
        </w:rPr>
        <w:t>Gerding</w:t>
      </w:r>
      <w:proofErr w:type="spellEnd"/>
      <w:r>
        <w:rPr>
          <w:rFonts w:asciiTheme="minorHAnsi" w:hAnsiTheme="minorHAnsi"/>
          <w:sz w:val="24"/>
          <w:szCs w:val="24"/>
        </w:rPr>
        <w:t>, M. N</w:t>
      </w:r>
      <w:r w:rsidRPr="0048229C">
        <w:rPr>
          <w:rFonts w:asciiTheme="minorHAnsi" w:hAnsiTheme="minorHAnsi"/>
          <w:sz w:val="24"/>
          <w:szCs w:val="24"/>
        </w:rPr>
        <w:t xml:space="preserve">., </w:t>
      </w:r>
      <w:r>
        <w:rPr>
          <w:rFonts w:asciiTheme="minorHAnsi" w:hAnsiTheme="minorHAnsi"/>
          <w:sz w:val="24"/>
          <w:szCs w:val="24"/>
        </w:rPr>
        <w:t xml:space="preserve">Dekker, F. W., </w:t>
      </w:r>
      <w:proofErr w:type="spellStart"/>
      <w:r>
        <w:rPr>
          <w:rFonts w:asciiTheme="minorHAnsi" w:hAnsiTheme="minorHAnsi"/>
          <w:sz w:val="24"/>
          <w:szCs w:val="24"/>
        </w:rPr>
        <w:t>Prummel</w:t>
      </w:r>
      <w:proofErr w:type="spellEnd"/>
      <w:r>
        <w:rPr>
          <w:rFonts w:asciiTheme="minorHAnsi" w:hAnsiTheme="minorHAnsi"/>
          <w:sz w:val="24"/>
          <w:szCs w:val="24"/>
        </w:rPr>
        <w:t xml:space="preserve">, M. F., van der Pol, J. P., &amp; </w:t>
      </w:r>
      <w:proofErr w:type="spellStart"/>
      <w:r>
        <w:rPr>
          <w:rFonts w:asciiTheme="minorHAnsi" w:hAnsiTheme="minorHAnsi"/>
          <w:sz w:val="24"/>
          <w:szCs w:val="24"/>
        </w:rPr>
        <w:t>Wiersinga</w:t>
      </w:r>
      <w:proofErr w:type="spellEnd"/>
      <w:r>
        <w:rPr>
          <w:rFonts w:asciiTheme="minorHAnsi" w:hAnsiTheme="minorHAnsi"/>
          <w:sz w:val="24"/>
          <w:szCs w:val="24"/>
        </w:rPr>
        <w:t>, W. M. (</w:t>
      </w:r>
      <w:r w:rsidRPr="0048229C">
        <w:rPr>
          <w:rFonts w:asciiTheme="minorHAnsi" w:hAnsiTheme="minorHAnsi"/>
          <w:sz w:val="24"/>
          <w:szCs w:val="24"/>
        </w:rPr>
        <w:t>1999</w:t>
      </w:r>
      <w:r>
        <w:rPr>
          <w:rFonts w:asciiTheme="minorHAnsi" w:hAnsiTheme="minorHAnsi"/>
          <w:sz w:val="24"/>
          <w:szCs w:val="24"/>
        </w:rPr>
        <w:t>)</w:t>
      </w:r>
      <w:r w:rsidRPr="0048229C">
        <w:rPr>
          <w:rFonts w:asciiTheme="minorHAnsi" w:hAnsiTheme="minorHAnsi"/>
          <w:sz w:val="24"/>
          <w:szCs w:val="24"/>
        </w:rPr>
        <w:t>. Test-</w:t>
      </w:r>
      <w:r>
        <w:rPr>
          <w:rFonts w:asciiTheme="minorHAnsi" w:hAnsiTheme="minorHAnsi"/>
          <w:sz w:val="24"/>
          <w:szCs w:val="24"/>
        </w:rPr>
        <w:t>r</w:t>
      </w:r>
      <w:r w:rsidRPr="0048229C">
        <w:rPr>
          <w:rFonts w:asciiTheme="minorHAnsi" w:hAnsiTheme="minorHAnsi"/>
          <w:sz w:val="24"/>
          <w:szCs w:val="24"/>
        </w:rPr>
        <w:t xml:space="preserve">etest </w:t>
      </w:r>
      <w:r>
        <w:rPr>
          <w:rFonts w:asciiTheme="minorHAnsi" w:hAnsiTheme="minorHAnsi"/>
          <w:sz w:val="24"/>
          <w:szCs w:val="24"/>
        </w:rPr>
        <w:t>r</w:t>
      </w:r>
      <w:r w:rsidRPr="0048229C">
        <w:rPr>
          <w:rFonts w:asciiTheme="minorHAnsi" w:hAnsiTheme="minorHAnsi"/>
          <w:sz w:val="24"/>
          <w:szCs w:val="24"/>
        </w:rPr>
        <w:t xml:space="preserve">eliability of the </w:t>
      </w:r>
      <w:r>
        <w:rPr>
          <w:rFonts w:asciiTheme="minorHAnsi" w:hAnsiTheme="minorHAnsi"/>
          <w:sz w:val="24"/>
          <w:szCs w:val="24"/>
        </w:rPr>
        <w:t>GO-QOL</w:t>
      </w:r>
      <w:r w:rsidRPr="0048229C">
        <w:rPr>
          <w:rFonts w:asciiTheme="minorHAnsi" w:hAnsiTheme="minorHAnsi"/>
          <w:sz w:val="24"/>
          <w:szCs w:val="24"/>
        </w:rPr>
        <w:t xml:space="preserve"> : A </w:t>
      </w:r>
      <w:r>
        <w:rPr>
          <w:rFonts w:asciiTheme="minorHAnsi" w:hAnsiTheme="minorHAnsi"/>
          <w:sz w:val="24"/>
          <w:szCs w:val="24"/>
        </w:rPr>
        <w:t>d</w:t>
      </w:r>
      <w:r w:rsidRPr="0048229C">
        <w:rPr>
          <w:rFonts w:asciiTheme="minorHAnsi" w:hAnsiTheme="minorHAnsi"/>
          <w:sz w:val="24"/>
          <w:szCs w:val="24"/>
        </w:rPr>
        <w:t>isease-</w:t>
      </w:r>
      <w:r>
        <w:rPr>
          <w:rFonts w:asciiTheme="minorHAnsi" w:hAnsiTheme="minorHAnsi"/>
          <w:sz w:val="24"/>
          <w:szCs w:val="24"/>
        </w:rPr>
        <w:t>s</w:t>
      </w:r>
      <w:r w:rsidRPr="0048229C">
        <w:rPr>
          <w:rFonts w:asciiTheme="minorHAnsi" w:hAnsiTheme="minorHAnsi"/>
          <w:sz w:val="24"/>
          <w:szCs w:val="24"/>
        </w:rPr>
        <w:t xml:space="preserve">pecific </w:t>
      </w:r>
      <w:r>
        <w:rPr>
          <w:rFonts w:asciiTheme="minorHAnsi" w:hAnsiTheme="minorHAnsi"/>
          <w:sz w:val="24"/>
          <w:szCs w:val="24"/>
        </w:rPr>
        <w:t>q</w:t>
      </w:r>
      <w:r w:rsidRPr="0048229C">
        <w:rPr>
          <w:rFonts w:asciiTheme="minorHAnsi" w:hAnsiTheme="minorHAnsi"/>
          <w:sz w:val="24"/>
          <w:szCs w:val="24"/>
        </w:rPr>
        <w:t xml:space="preserve">uality of </w:t>
      </w:r>
      <w:r>
        <w:rPr>
          <w:rFonts w:asciiTheme="minorHAnsi" w:hAnsiTheme="minorHAnsi"/>
          <w:sz w:val="24"/>
          <w:szCs w:val="24"/>
        </w:rPr>
        <w:t>l</w:t>
      </w:r>
      <w:r w:rsidRPr="0048229C">
        <w:rPr>
          <w:rFonts w:asciiTheme="minorHAnsi" w:hAnsiTheme="minorHAnsi"/>
          <w:sz w:val="24"/>
          <w:szCs w:val="24"/>
        </w:rPr>
        <w:t xml:space="preserve">ife </w:t>
      </w:r>
      <w:r>
        <w:rPr>
          <w:rFonts w:asciiTheme="minorHAnsi" w:hAnsiTheme="minorHAnsi"/>
          <w:sz w:val="24"/>
          <w:szCs w:val="24"/>
        </w:rPr>
        <w:t>q</w:t>
      </w:r>
      <w:r w:rsidRPr="0048229C">
        <w:rPr>
          <w:rFonts w:asciiTheme="minorHAnsi" w:hAnsiTheme="minorHAnsi"/>
          <w:sz w:val="24"/>
          <w:szCs w:val="24"/>
        </w:rPr>
        <w:t xml:space="preserve">uestionnaire for </w:t>
      </w:r>
      <w:r>
        <w:rPr>
          <w:rFonts w:asciiTheme="minorHAnsi" w:hAnsiTheme="minorHAnsi"/>
          <w:sz w:val="24"/>
          <w:szCs w:val="24"/>
        </w:rPr>
        <w:t>p</w:t>
      </w:r>
      <w:r w:rsidRPr="0048229C">
        <w:rPr>
          <w:rFonts w:asciiTheme="minorHAnsi" w:hAnsiTheme="minorHAnsi"/>
          <w:sz w:val="24"/>
          <w:szCs w:val="24"/>
        </w:rPr>
        <w:t xml:space="preserve">atients with Graves’ </w:t>
      </w:r>
      <w:proofErr w:type="spellStart"/>
      <w:r>
        <w:rPr>
          <w:rFonts w:asciiTheme="minorHAnsi" w:hAnsiTheme="minorHAnsi"/>
          <w:sz w:val="24"/>
          <w:szCs w:val="24"/>
        </w:rPr>
        <w:t>O</w:t>
      </w:r>
      <w:r w:rsidRPr="0048229C">
        <w:rPr>
          <w:rFonts w:asciiTheme="minorHAnsi" w:hAnsiTheme="minorHAnsi"/>
          <w:sz w:val="24"/>
          <w:szCs w:val="24"/>
        </w:rPr>
        <w:t>phthalmopathy</w:t>
      </w:r>
      <w:proofErr w:type="spellEnd"/>
      <w:r w:rsidRPr="0048229C">
        <w:rPr>
          <w:rFonts w:asciiTheme="minorHAnsi" w:hAnsiTheme="minorHAnsi"/>
          <w:sz w:val="24"/>
          <w:szCs w:val="24"/>
        </w:rPr>
        <w:t xml:space="preserve">. </w:t>
      </w:r>
      <w:r w:rsidRPr="0048229C">
        <w:rPr>
          <w:rFonts w:asciiTheme="minorHAnsi" w:hAnsiTheme="minorHAnsi"/>
          <w:i/>
          <w:sz w:val="24"/>
          <w:szCs w:val="24"/>
          <w:lang w:val="en-US"/>
        </w:rPr>
        <w:t>J</w:t>
      </w:r>
      <w:r>
        <w:rPr>
          <w:rFonts w:asciiTheme="minorHAnsi" w:hAnsiTheme="minorHAnsi"/>
          <w:i/>
          <w:sz w:val="24"/>
          <w:szCs w:val="24"/>
          <w:lang w:val="en-US"/>
        </w:rPr>
        <w:t>ournal of</w:t>
      </w:r>
      <w:r w:rsidRPr="0048229C">
        <w:rPr>
          <w:rFonts w:asciiTheme="minorHAnsi" w:hAnsiTheme="minorHAnsi"/>
          <w:i/>
          <w:sz w:val="24"/>
          <w:szCs w:val="24"/>
          <w:lang w:val="en-US"/>
        </w:rPr>
        <w:t xml:space="preserve"> Clin</w:t>
      </w:r>
      <w:r>
        <w:rPr>
          <w:rFonts w:asciiTheme="minorHAnsi" w:hAnsiTheme="minorHAnsi"/>
          <w:i/>
          <w:sz w:val="24"/>
          <w:szCs w:val="24"/>
          <w:lang w:val="en-US"/>
        </w:rPr>
        <w:t>ical</w:t>
      </w:r>
      <w:r w:rsidRPr="0048229C">
        <w:rPr>
          <w:rFonts w:asciiTheme="minorHAnsi" w:hAnsiTheme="minorHAnsi"/>
          <w:i/>
          <w:sz w:val="24"/>
          <w:szCs w:val="24"/>
          <w:lang w:val="en-US"/>
        </w:rPr>
        <w:t xml:space="preserve"> Epidemiol</w:t>
      </w:r>
      <w:r>
        <w:rPr>
          <w:rFonts w:asciiTheme="minorHAnsi" w:hAnsiTheme="minorHAnsi"/>
          <w:i/>
          <w:sz w:val="24"/>
          <w:szCs w:val="24"/>
          <w:lang w:val="en-US"/>
        </w:rPr>
        <w:t>ogy</w:t>
      </w:r>
      <w:r w:rsidRPr="0048229C">
        <w:rPr>
          <w:rFonts w:asciiTheme="minorHAnsi" w:hAnsiTheme="minorHAnsi"/>
          <w:sz w:val="24"/>
          <w:szCs w:val="24"/>
        </w:rPr>
        <w:t>, 52</w:t>
      </w:r>
      <w:r>
        <w:rPr>
          <w:rFonts w:asciiTheme="minorHAnsi" w:hAnsiTheme="minorHAnsi"/>
          <w:sz w:val="24"/>
          <w:szCs w:val="24"/>
        </w:rPr>
        <w:t>(</w:t>
      </w:r>
      <w:r w:rsidRPr="0048229C">
        <w:rPr>
          <w:rFonts w:asciiTheme="minorHAnsi" w:hAnsiTheme="minorHAnsi"/>
          <w:sz w:val="24"/>
          <w:szCs w:val="24"/>
        </w:rPr>
        <w:t>9</w:t>
      </w:r>
      <w:r>
        <w:rPr>
          <w:rFonts w:asciiTheme="minorHAnsi" w:hAnsiTheme="minorHAnsi"/>
          <w:sz w:val="24"/>
          <w:szCs w:val="24"/>
        </w:rPr>
        <w:t>),</w:t>
      </w:r>
      <w:r w:rsidRPr="0048229C">
        <w:rPr>
          <w:rFonts w:asciiTheme="minorHAnsi" w:hAnsiTheme="minorHAnsi"/>
          <w:sz w:val="24"/>
          <w:szCs w:val="24"/>
        </w:rPr>
        <w:t xml:space="preserve"> 875–884.</w:t>
      </w:r>
      <w:r>
        <w:rPr>
          <w:rFonts w:asciiTheme="minorHAnsi" w:hAnsiTheme="minorHAnsi"/>
          <w:sz w:val="24"/>
          <w:szCs w:val="24"/>
        </w:rPr>
        <w:t xml:space="preserve"> </w:t>
      </w:r>
      <w:proofErr w:type="spellStart"/>
      <w:proofErr w:type="gramStart"/>
      <w:r>
        <w:rPr>
          <w:rFonts w:asciiTheme="minorHAnsi" w:hAnsiTheme="minorHAnsi"/>
          <w:sz w:val="24"/>
          <w:szCs w:val="24"/>
        </w:rPr>
        <w:t>doi</w:t>
      </w:r>
      <w:proofErr w:type="spellEnd"/>
      <w:proofErr w:type="gramEnd"/>
      <w:r w:rsidRPr="000B4AEA">
        <w:rPr>
          <w:rFonts w:asciiTheme="minorHAnsi" w:hAnsiTheme="minorHAnsi"/>
          <w:sz w:val="24"/>
          <w:szCs w:val="24"/>
        </w:rPr>
        <w:t xml:space="preserve">: </w:t>
      </w:r>
      <w:hyperlink r:id="rId17" w:tgtFrame="doilink" w:history="1">
        <w:r w:rsidRPr="000B4AEA">
          <w:rPr>
            <w:rFonts w:asciiTheme="minorHAnsi" w:eastAsia="Times New Roman" w:hAnsiTheme="minorHAnsi"/>
            <w:sz w:val="24"/>
            <w:szCs w:val="24"/>
            <w:lang w:eastAsia="en-GB"/>
          </w:rPr>
          <w:t>https://doi.org/10.1016/S0895-4356(99)00069-4</w:t>
        </w:r>
      </w:hyperlink>
    </w:p>
    <w:p w14:paraId="63939767" w14:textId="77777777" w:rsidR="009677C1" w:rsidRDefault="009677C1" w:rsidP="009677C1">
      <w:pPr>
        <w:pStyle w:val="NormalWeb"/>
        <w:spacing w:before="2" w:after="2"/>
        <w:ind w:left="480" w:hanging="480"/>
        <w:rPr>
          <w:rFonts w:asciiTheme="minorHAnsi" w:hAnsiTheme="minorHAnsi"/>
          <w:sz w:val="24"/>
          <w:szCs w:val="24"/>
        </w:rPr>
      </w:pPr>
    </w:p>
    <w:p w14:paraId="6A0D4954" w14:textId="3019861F" w:rsidR="009677C1" w:rsidRPr="0048229C" w:rsidRDefault="009677C1" w:rsidP="009677C1">
      <w:pPr>
        <w:pStyle w:val="NormalWeb"/>
        <w:spacing w:before="2" w:after="2"/>
        <w:ind w:left="480" w:hanging="480"/>
        <w:rPr>
          <w:rFonts w:asciiTheme="minorHAnsi" w:hAnsiTheme="minorHAnsi"/>
          <w:sz w:val="24"/>
          <w:szCs w:val="24"/>
        </w:rPr>
      </w:pPr>
      <w:proofErr w:type="spellStart"/>
      <w:r w:rsidRPr="0048229C">
        <w:rPr>
          <w:rFonts w:asciiTheme="minorHAnsi" w:hAnsiTheme="minorHAnsi"/>
          <w:sz w:val="24"/>
          <w:szCs w:val="24"/>
        </w:rPr>
        <w:t>Terwee</w:t>
      </w:r>
      <w:proofErr w:type="spellEnd"/>
      <w:r w:rsidRPr="0048229C">
        <w:rPr>
          <w:rFonts w:asciiTheme="minorHAnsi" w:hAnsiTheme="minorHAnsi"/>
          <w:sz w:val="24"/>
          <w:szCs w:val="24"/>
        </w:rPr>
        <w:t>, C.</w:t>
      </w:r>
      <w:r>
        <w:rPr>
          <w:rFonts w:asciiTheme="minorHAnsi" w:hAnsiTheme="minorHAnsi"/>
          <w:sz w:val="24"/>
          <w:szCs w:val="24"/>
        </w:rPr>
        <w:t xml:space="preserve"> </w:t>
      </w:r>
      <w:r w:rsidRPr="0048229C">
        <w:rPr>
          <w:rFonts w:asciiTheme="minorHAnsi" w:hAnsiTheme="minorHAnsi"/>
          <w:sz w:val="24"/>
          <w:szCs w:val="24"/>
        </w:rPr>
        <w:t>B.</w:t>
      </w:r>
      <w:r>
        <w:rPr>
          <w:rFonts w:asciiTheme="minorHAnsi" w:hAnsiTheme="minorHAnsi"/>
          <w:sz w:val="24"/>
          <w:szCs w:val="24"/>
        </w:rPr>
        <w:t>,</w:t>
      </w:r>
      <w:r w:rsidRPr="0048229C">
        <w:rPr>
          <w:rFonts w:asciiTheme="minorHAnsi" w:hAnsiTheme="minorHAnsi"/>
          <w:sz w:val="24"/>
          <w:szCs w:val="24"/>
        </w:rPr>
        <w:t xml:space="preserve"> </w:t>
      </w:r>
      <w:proofErr w:type="spellStart"/>
      <w:r>
        <w:rPr>
          <w:rFonts w:asciiTheme="minorHAnsi" w:hAnsiTheme="minorHAnsi"/>
          <w:sz w:val="24"/>
          <w:szCs w:val="24"/>
        </w:rPr>
        <w:t>Gerding</w:t>
      </w:r>
      <w:proofErr w:type="spellEnd"/>
      <w:r>
        <w:rPr>
          <w:rFonts w:asciiTheme="minorHAnsi" w:hAnsiTheme="minorHAnsi"/>
          <w:sz w:val="24"/>
          <w:szCs w:val="24"/>
        </w:rPr>
        <w:t>, M.</w:t>
      </w:r>
      <w:r w:rsidRPr="0048229C">
        <w:rPr>
          <w:rFonts w:asciiTheme="minorHAnsi" w:hAnsiTheme="minorHAnsi"/>
          <w:sz w:val="24"/>
          <w:szCs w:val="24"/>
        </w:rPr>
        <w:t xml:space="preserve">, </w:t>
      </w:r>
      <w:r>
        <w:rPr>
          <w:rFonts w:asciiTheme="minorHAnsi" w:hAnsiTheme="minorHAnsi"/>
          <w:sz w:val="24"/>
          <w:szCs w:val="24"/>
        </w:rPr>
        <w:t xml:space="preserve">Dekker, F., </w:t>
      </w:r>
      <w:proofErr w:type="spellStart"/>
      <w:r>
        <w:rPr>
          <w:rFonts w:asciiTheme="minorHAnsi" w:hAnsiTheme="minorHAnsi"/>
          <w:sz w:val="24"/>
          <w:szCs w:val="24"/>
        </w:rPr>
        <w:t>Prummel</w:t>
      </w:r>
      <w:proofErr w:type="spellEnd"/>
      <w:r>
        <w:rPr>
          <w:rFonts w:asciiTheme="minorHAnsi" w:hAnsiTheme="minorHAnsi"/>
          <w:sz w:val="24"/>
          <w:szCs w:val="24"/>
        </w:rPr>
        <w:t xml:space="preserve">, M., &amp; </w:t>
      </w:r>
      <w:proofErr w:type="spellStart"/>
      <w:r>
        <w:rPr>
          <w:rFonts w:asciiTheme="minorHAnsi" w:hAnsiTheme="minorHAnsi"/>
          <w:sz w:val="24"/>
          <w:szCs w:val="24"/>
        </w:rPr>
        <w:t>Wiersinga</w:t>
      </w:r>
      <w:proofErr w:type="spellEnd"/>
      <w:r>
        <w:rPr>
          <w:rFonts w:asciiTheme="minorHAnsi" w:hAnsiTheme="minorHAnsi"/>
          <w:sz w:val="24"/>
          <w:szCs w:val="24"/>
        </w:rPr>
        <w:t>, W. M. (</w:t>
      </w:r>
      <w:r w:rsidRPr="0048229C">
        <w:rPr>
          <w:rFonts w:asciiTheme="minorHAnsi" w:hAnsiTheme="minorHAnsi"/>
          <w:sz w:val="24"/>
          <w:szCs w:val="24"/>
        </w:rPr>
        <w:t>1998</w:t>
      </w:r>
      <w:r>
        <w:rPr>
          <w:rFonts w:asciiTheme="minorHAnsi" w:hAnsiTheme="minorHAnsi"/>
          <w:sz w:val="24"/>
          <w:szCs w:val="24"/>
        </w:rPr>
        <w:t>)</w:t>
      </w:r>
      <w:r w:rsidRPr="0048229C">
        <w:rPr>
          <w:rFonts w:asciiTheme="minorHAnsi" w:hAnsiTheme="minorHAnsi"/>
          <w:sz w:val="24"/>
          <w:szCs w:val="24"/>
        </w:rPr>
        <w:t xml:space="preserve">. Development of a disease specific quality of life questionnaire for patients with Graves’ </w:t>
      </w:r>
      <w:proofErr w:type="spellStart"/>
      <w:r w:rsidRPr="0048229C">
        <w:rPr>
          <w:rFonts w:asciiTheme="minorHAnsi" w:hAnsiTheme="minorHAnsi"/>
          <w:sz w:val="24"/>
          <w:szCs w:val="24"/>
        </w:rPr>
        <w:t>ophthalmopathy</w:t>
      </w:r>
      <w:proofErr w:type="spellEnd"/>
      <w:r w:rsidRPr="0048229C">
        <w:rPr>
          <w:rFonts w:asciiTheme="minorHAnsi" w:hAnsiTheme="minorHAnsi"/>
          <w:sz w:val="24"/>
          <w:szCs w:val="24"/>
        </w:rPr>
        <w:t xml:space="preserve">: the </w:t>
      </w:r>
      <w:r>
        <w:rPr>
          <w:rFonts w:asciiTheme="minorHAnsi" w:hAnsiTheme="minorHAnsi"/>
          <w:sz w:val="24"/>
          <w:szCs w:val="24"/>
        </w:rPr>
        <w:t>GO-QOL</w:t>
      </w:r>
      <w:r w:rsidRPr="0048229C">
        <w:rPr>
          <w:rFonts w:asciiTheme="minorHAnsi" w:hAnsiTheme="minorHAnsi"/>
          <w:sz w:val="24"/>
          <w:szCs w:val="24"/>
        </w:rPr>
        <w:t xml:space="preserve">. </w:t>
      </w:r>
      <w:r w:rsidRPr="0048229C">
        <w:rPr>
          <w:rFonts w:asciiTheme="minorHAnsi" w:hAnsiTheme="minorHAnsi"/>
          <w:i/>
          <w:sz w:val="24"/>
          <w:szCs w:val="24"/>
        </w:rPr>
        <w:t>Br</w:t>
      </w:r>
      <w:r>
        <w:rPr>
          <w:rFonts w:asciiTheme="minorHAnsi" w:hAnsiTheme="minorHAnsi"/>
          <w:i/>
          <w:sz w:val="24"/>
          <w:szCs w:val="24"/>
        </w:rPr>
        <w:t>itish</w:t>
      </w:r>
      <w:r w:rsidRPr="0048229C">
        <w:rPr>
          <w:rFonts w:asciiTheme="minorHAnsi" w:hAnsiTheme="minorHAnsi"/>
          <w:i/>
          <w:sz w:val="24"/>
          <w:szCs w:val="24"/>
        </w:rPr>
        <w:t xml:space="preserve"> J</w:t>
      </w:r>
      <w:r>
        <w:rPr>
          <w:rFonts w:asciiTheme="minorHAnsi" w:hAnsiTheme="minorHAnsi"/>
          <w:i/>
          <w:sz w:val="24"/>
          <w:szCs w:val="24"/>
        </w:rPr>
        <w:t>ournal of</w:t>
      </w:r>
      <w:r w:rsidRPr="0048229C">
        <w:rPr>
          <w:rFonts w:asciiTheme="minorHAnsi" w:hAnsiTheme="minorHAnsi"/>
          <w:i/>
          <w:sz w:val="24"/>
          <w:szCs w:val="24"/>
        </w:rPr>
        <w:t xml:space="preserve"> Ophthalmol</w:t>
      </w:r>
      <w:r>
        <w:rPr>
          <w:rFonts w:asciiTheme="minorHAnsi" w:hAnsiTheme="minorHAnsi"/>
          <w:i/>
          <w:sz w:val="24"/>
          <w:szCs w:val="24"/>
        </w:rPr>
        <w:t>ogy</w:t>
      </w:r>
      <w:r w:rsidRPr="0048229C">
        <w:rPr>
          <w:rFonts w:asciiTheme="minorHAnsi" w:hAnsiTheme="minorHAnsi"/>
          <w:sz w:val="24"/>
          <w:szCs w:val="24"/>
        </w:rPr>
        <w:t>, 82</w:t>
      </w:r>
      <w:r>
        <w:rPr>
          <w:rFonts w:asciiTheme="minorHAnsi" w:hAnsiTheme="minorHAnsi"/>
          <w:sz w:val="24"/>
          <w:szCs w:val="24"/>
        </w:rPr>
        <w:t>(</w:t>
      </w:r>
      <w:r w:rsidRPr="0048229C">
        <w:rPr>
          <w:rFonts w:asciiTheme="minorHAnsi" w:hAnsiTheme="minorHAnsi"/>
          <w:sz w:val="24"/>
          <w:szCs w:val="24"/>
        </w:rPr>
        <w:t>7</w:t>
      </w:r>
      <w:r>
        <w:rPr>
          <w:rFonts w:asciiTheme="minorHAnsi" w:hAnsiTheme="minorHAnsi"/>
          <w:sz w:val="24"/>
          <w:szCs w:val="24"/>
        </w:rPr>
        <w:t>),</w:t>
      </w:r>
      <w:r w:rsidRPr="0048229C">
        <w:rPr>
          <w:rFonts w:asciiTheme="minorHAnsi" w:hAnsiTheme="minorHAnsi"/>
          <w:sz w:val="24"/>
          <w:szCs w:val="24"/>
        </w:rPr>
        <w:t xml:space="preserve"> 773–779.</w:t>
      </w:r>
    </w:p>
    <w:p w14:paraId="576D59F7" w14:textId="77777777" w:rsidR="000F0F3C" w:rsidRPr="0048229C" w:rsidRDefault="000F0F3C" w:rsidP="00B6755E">
      <w:pPr>
        <w:pStyle w:val="NormalWeb"/>
        <w:spacing w:before="2" w:after="2"/>
        <w:ind w:left="480" w:hanging="480"/>
        <w:rPr>
          <w:rFonts w:asciiTheme="minorHAnsi" w:hAnsiTheme="minorHAnsi"/>
          <w:sz w:val="24"/>
          <w:szCs w:val="24"/>
        </w:rPr>
      </w:pPr>
    </w:p>
    <w:p w14:paraId="19213186" w14:textId="009ACFE6" w:rsidR="007A5E02" w:rsidRPr="0048229C" w:rsidRDefault="007A5E02" w:rsidP="007A5E02">
      <w:pPr>
        <w:widowControl w:val="0"/>
        <w:autoSpaceDE w:val="0"/>
        <w:autoSpaceDN w:val="0"/>
        <w:adjustRightInd w:val="0"/>
        <w:rPr>
          <w:rFonts w:cs="Times New Roman"/>
          <w:lang w:val="en-US"/>
        </w:rPr>
      </w:pPr>
      <w:proofErr w:type="spellStart"/>
      <w:r w:rsidRPr="0048229C">
        <w:rPr>
          <w:rFonts w:cs="Times New Roman"/>
          <w:lang w:val="en-US"/>
        </w:rPr>
        <w:t>Weetman</w:t>
      </w:r>
      <w:proofErr w:type="spellEnd"/>
      <w:r w:rsidR="009677C1">
        <w:rPr>
          <w:rFonts w:cs="Times New Roman"/>
          <w:lang w:val="en-US"/>
        </w:rPr>
        <w:t>,</w:t>
      </w:r>
      <w:r w:rsidRPr="0048229C">
        <w:rPr>
          <w:rFonts w:cs="Times New Roman"/>
          <w:lang w:val="en-US"/>
        </w:rPr>
        <w:t xml:space="preserve"> A</w:t>
      </w:r>
      <w:r w:rsidR="009677C1">
        <w:rPr>
          <w:rFonts w:cs="Times New Roman"/>
          <w:lang w:val="en-US"/>
        </w:rPr>
        <w:t xml:space="preserve">. </w:t>
      </w:r>
      <w:r w:rsidRPr="0048229C">
        <w:rPr>
          <w:rFonts w:cs="Times New Roman"/>
          <w:lang w:val="en-US"/>
        </w:rPr>
        <w:t xml:space="preserve">P. </w:t>
      </w:r>
      <w:r w:rsidR="009677C1">
        <w:rPr>
          <w:rFonts w:cs="Times New Roman"/>
          <w:lang w:val="en-US"/>
        </w:rPr>
        <w:t>(</w:t>
      </w:r>
      <w:r w:rsidR="000252CB">
        <w:rPr>
          <w:rFonts w:cs="Times New Roman"/>
          <w:lang w:val="en-US"/>
        </w:rPr>
        <w:t>1991</w:t>
      </w:r>
      <w:r w:rsidR="009677C1">
        <w:rPr>
          <w:rFonts w:cs="Times New Roman"/>
          <w:lang w:val="en-US"/>
        </w:rPr>
        <w:t>)</w:t>
      </w:r>
      <w:r w:rsidR="000252CB">
        <w:rPr>
          <w:rFonts w:cs="Times New Roman"/>
          <w:lang w:val="en-US"/>
        </w:rPr>
        <w:t xml:space="preserve">. </w:t>
      </w:r>
      <w:r w:rsidRPr="0048229C">
        <w:rPr>
          <w:rFonts w:cs="Times New Roman"/>
          <w:lang w:val="en-US"/>
        </w:rPr>
        <w:t>Thyroid-associated eye disease: pathophysiology.</w:t>
      </w:r>
    </w:p>
    <w:p w14:paraId="29759E86" w14:textId="19EF14FF" w:rsidR="007A5E02" w:rsidRDefault="007A5E02" w:rsidP="007A5E02">
      <w:pPr>
        <w:widowControl w:val="0"/>
        <w:autoSpaceDE w:val="0"/>
        <w:autoSpaceDN w:val="0"/>
        <w:adjustRightInd w:val="0"/>
        <w:rPr>
          <w:rFonts w:cs="Times New Roman"/>
          <w:lang w:val="en-US"/>
        </w:rPr>
      </w:pPr>
      <w:r w:rsidRPr="0048229C">
        <w:rPr>
          <w:rFonts w:cs="Times New Roman"/>
          <w:lang w:val="en-US"/>
        </w:rPr>
        <w:lastRenderedPageBreak/>
        <w:tab/>
      </w:r>
      <w:r w:rsidRPr="0048229C">
        <w:rPr>
          <w:rFonts w:cs="Times New Roman"/>
          <w:i/>
          <w:lang w:val="en-US"/>
        </w:rPr>
        <w:t>Lancet</w:t>
      </w:r>
      <w:r w:rsidRPr="0048229C">
        <w:rPr>
          <w:rFonts w:cs="Times New Roman"/>
          <w:lang w:val="en-US"/>
        </w:rPr>
        <w:t>,</w:t>
      </w:r>
      <w:r w:rsidR="008210BB">
        <w:rPr>
          <w:rFonts w:cs="Times New Roman"/>
          <w:lang w:val="en-US"/>
        </w:rPr>
        <w:t xml:space="preserve"> </w:t>
      </w:r>
      <w:r w:rsidR="009677C1">
        <w:rPr>
          <w:rFonts w:cs="Times New Roman"/>
          <w:lang w:val="en-US"/>
        </w:rPr>
        <w:t>338(8758), 25–8.</w:t>
      </w:r>
    </w:p>
    <w:p w14:paraId="41C4ED59" w14:textId="77777777" w:rsidR="009677C1" w:rsidRPr="0048229C" w:rsidRDefault="009677C1" w:rsidP="007A5E02">
      <w:pPr>
        <w:widowControl w:val="0"/>
        <w:autoSpaceDE w:val="0"/>
        <w:autoSpaceDN w:val="0"/>
        <w:adjustRightInd w:val="0"/>
        <w:rPr>
          <w:rFonts w:cs="Times New Roman"/>
          <w:lang w:val="en-US"/>
        </w:rPr>
      </w:pPr>
    </w:p>
    <w:p w14:paraId="671BFDAE" w14:textId="16ED442E" w:rsidR="002F0360" w:rsidRDefault="00C948D2" w:rsidP="002F0360">
      <w:pPr>
        <w:pStyle w:val="NormalWeb"/>
        <w:spacing w:before="2" w:after="2"/>
        <w:ind w:left="480" w:hanging="480"/>
        <w:rPr>
          <w:rFonts w:asciiTheme="minorHAnsi" w:hAnsiTheme="minorHAnsi"/>
          <w:sz w:val="24"/>
          <w:szCs w:val="24"/>
        </w:rPr>
      </w:pPr>
      <w:r>
        <w:rPr>
          <w:rFonts w:asciiTheme="minorHAnsi" w:hAnsiTheme="minorHAnsi"/>
          <w:sz w:val="24"/>
          <w:szCs w:val="24"/>
        </w:rPr>
        <w:t>WHOQOL</w:t>
      </w:r>
      <w:r w:rsidR="00290700" w:rsidRPr="00290700">
        <w:rPr>
          <w:rFonts w:asciiTheme="minorHAnsi" w:hAnsiTheme="minorHAnsi"/>
          <w:sz w:val="24"/>
          <w:szCs w:val="24"/>
        </w:rPr>
        <w:t xml:space="preserve"> Group, The</w:t>
      </w:r>
      <w:r w:rsidR="00B42C53">
        <w:rPr>
          <w:rFonts w:asciiTheme="minorHAnsi" w:hAnsiTheme="minorHAnsi"/>
          <w:sz w:val="24"/>
          <w:szCs w:val="24"/>
        </w:rPr>
        <w:t>.</w:t>
      </w:r>
      <w:r w:rsidR="00290700" w:rsidRPr="00290700">
        <w:rPr>
          <w:rFonts w:asciiTheme="minorHAnsi" w:hAnsiTheme="minorHAnsi"/>
          <w:sz w:val="24"/>
          <w:szCs w:val="24"/>
        </w:rPr>
        <w:t xml:space="preserve"> (1998)</w:t>
      </w:r>
      <w:r w:rsidR="00290700">
        <w:rPr>
          <w:rFonts w:asciiTheme="minorHAnsi" w:hAnsiTheme="minorHAnsi"/>
          <w:sz w:val="24"/>
          <w:szCs w:val="24"/>
        </w:rPr>
        <w:t>.</w:t>
      </w:r>
      <w:r w:rsidR="00290700" w:rsidRPr="00290700">
        <w:rPr>
          <w:rFonts w:asciiTheme="minorHAnsi" w:hAnsiTheme="minorHAnsi"/>
          <w:sz w:val="24"/>
          <w:szCs w:val="24"/>
        </w:rPr>
        <w:t xml:space="preserve"> Development of the World Health Organisation </w:t>
      </w:r>
      <w:r>
        <w:rPr>
          <w:rFonts w:asciiTheme="minorHAnsi" w:hAnsiTheme="minorHAnsi"/>
          <w:sz w:val="24"/>
          <w:szCs w:val="24"/>
        </w:rPr>
        <w:t>WHOQOL</w:t>
      </w:r>
      <w:r w:rsidR="00290700" w:rsidRPr="00290700">
        <w:rPr>
          <w:rFonts w:asciiTheme="minorHAnsi" w:hAnsiTheme="minorHAnsi"/>
          <w:sz w:val="24"/>
          <w:szCs w:val="24"/>
        </w:rPr>
        <w:t xml:space="preserve">-BREF Quality of Life Assessment. </w:t>
      </w:r>
      <w:r w:rsidR="00290700" w:rsidRPr="00290700">
        <w:rPr>
          <w:rFonts w:asciiTheme="minorHAnsi" w:hAnsiTheme="minorHAnsi"/>
          <w:i/>
          <w:sz w:val="24"/>
          <w:szCs w:val="24"/>
        </w:rPr>
        <w:t xml:space="preserve">Psychological </w:t>
      </w:r>
      <w:r w:rsidR="00290700">
        <w:rPr>
          <w:rFonts w:asciiTheme="minorHAnsi" w:hAnsiTheme="minorHAnsi"/>
          <w:i/>
          <w:sz w:val="24"/>
          <w:szCs w:val="24"/>
        </w:rPr>
        <w:t>M</w:t>
      </w:r>
      <w:r w:rsidR="00290700" w:rsidRPr="00290700">
        <w:rPr>
          <w:rFonts w:asciiTheme="minorHAnsi" w:hAnsiTheme="minorHAnsi"/>
          <w:i/>
          <w:sz w:val="24"/>
          <w:szCs w:val="24"/>
        </w:rPr>
        <w:t xml:space="preserve">edicine, </w:t>
      </w:r>
      <w:r w:rsidR="00B42C53">
        <w:rPr>
          <w:rFonts w:asciiTheme="minorHAnsi" w:hAnsiTheme="minorHAnsi"/>
          <w:sz w:val="24"/>
          <w:szCs w:val="24"/>
        </w:rPr>
        <w:t>28</w:t>
      </w:r>
      <w:r w:rsidR="00290700" w:rsidRPr="00290700">
        <w:rPr>
          <w:rFonts w:asciiTheme="minorHAnsi" w:hAnsiTheme="minorHAnsi"/>
          <w:sz w:val="24"/>
          <w:szCs w:val="24"/>
        </w:rPr>
        <w:t xml:space="preserve"> </w:t>
      </w:r>
      <w:r w:rsidR="00B42C53">
        <w:rPr>
          <w:rFonts w:asciiTheme="minorHAnsi" w:hAnsiTheme="minorHAnsi"/>
          <w:sz w:val="24"/>
          <w:szCs w:val="24"/>
        </w:rPr>
        <w:t>(</w:t>
      </w:r>
      <w:r w:rsidR="00290700" w:rsidRPr="00290700">
        <w:rPr>
          <w:rFonts w:asciiTheme="minorHAnsi" w:hAnsiTheme="minorHAnsi"/>
          <w:sz w:val="24"/>
          <w:szCs w:val="24"/>
        </w:rPr>
        <w:t>3</w:t>
      </w:r>
      <w:r w:rsidR="00B42C53">
        <w:rPr>
          <w:rFonts w:asciiTheme="minorHAnsi" w:hAnsiTheme="minorHAnsi"/>
          <w:sz w:val="24"/>
          <w:szCs w:val="24"/>
        </w:rPr>
        <w:t>),</w:t>
      </w:r>
      <w:r w:rsidR="00290700" w:rsidRPr="00290700">
        <w:rPr>
          <w:rFonts w:asciiTheme="minorHAnsi" w:hAnsiTheme="minorHAnsi"/>
          <w:i/>
          <w:sz w:val="24"/>
          <w:szCs w:val="24"/>
        </w:rPr>
        <w:t xml:space="preserve"> </w:t>
      </w:r>
      <w:r w:rsidR="00290700" w:rsidRPr="00290700">
        <w:rPr>
          <w:rFonts w:asciiTheme="minorHAnsi" w:hAnsiTheme="minorHAnsi"/>
          <w:sz w:val="24"/>
          <w:szCs w:val="24"/>
        </w:rPr>
        <w:t>551-558</w:t>
      </w:r>
      <w:r w:rsidR="00290700">
        <w:rPr>
          <w:rFonts w:asciiTheme="minorHAnsi" w:hAnsiTheme="minorHAnsi"/>
          <w:sz w:val="24"/>
          <w:szCs w:val="24"/>
        </w:rPr>
        <w:t>.</w:t>
      </w:r>
    </w:p>
    <w:p w14:paraId="4C8FB60E" w14:textId="77777777" w:rsidR="002F0360" w:rsidRDefault="002F0360" w:rsidP="002F0360">
      <w:pPr>
        <w:pStyle w:val="NormalWeb"/>
        <w:spacing w:before="2" w:after="2"/>
        <w:ind w:left="480" w:hanging="480"/>
        <w:rPr>
          <w:rFonts w:asciiTheme="minorHAnsi" w:hAnsiTheme="minorHAnsi"/>
          <w:sz w:val="24"/>
          <w:szCs w:val="24"/>
        </w:rPr>
      </w:pPr>
    </w:p>
    <w:p w14:paraId="275D4D2A" w14:textId="77777777" w:rsidR="00B42C53" w:rsidRDefault="00B42C53" w:rsidP="002F0360">
      <w:pPr>
        <w:pStyle w:val="NormalWeb"/>
        <w:spacing w:before="2" w:after="2"/>
        <w:ind w:left="480" w:hanging="480"/>
        <w:rPr>
          <w:rFonts w:asciiTheme="minorHAnsi" w:hAnsiTheme="minorHAnsi"/>
          <w:sz w:val="24"/>
          <w:szCs w:val="24"/>
        </w:rPr>
      </w:pPr>
    </w:p>
    <w:p w14:paraId="4165FD6E" w14:textId="77777777" w:rsidR="00B42C53" w:rsidRDefault="00B42C53" w:rsidP="002F0360">
      <w:pPr>
        <w:pStyle w:val="NormalWeb"/>
        <w:spacing w:before="2" w:after="2"/>
        <w:ind w:left="480" w:hanging="480"/>
        <w:rPr>
          <w:rFonts w:asciiTheme="minorHAnsi" w:hAnsiTheme="minorHAnsi"/>
          <w:sz w:val="24"/>
          <w:szCs w:val="24"/>
        </w:rPr>
      </w:pPr>
    </w:p>
    <w:p w14:paraId="5270F4DA" w14:textId="77777777" w:rsidR="009677C1" w:rsidRPr="009677C1" w:rsidRDefault="009677C1" w:rsidP="009677C1">
      <w:pPr>
        <w:pStyle w:val="p1"/>
        <w:rPr>
          <w:rStyle w:val="apple-converted-space"/>
          <w:rFonts w:asciiTheme="minorHAnsi" w:hAnsiTheme="minorHAnsi"/>
          <w:sz w:val="24"/>
          <w:szCs w:val="24"/>
        </w:rPr>
      </w:pPr>
    </w:p>
    <w:p w14:paraId="695996B8" w14:textId="77777777" w:rsidR="009677C1" w:rsidRPr="009677C1" w:rsidRDefault="009677C1" w:rsidP="009677C1">
      <w:pPr>
        <w:pStyle w:val="p1"/>
        <w:rPr>
          <w:rFonts w:asciiTheme="minorHAnsi" w:hAnsiTheme="minorHAnsi"/>
          <w:sz w:val="24"/>
          <w:szCs w:val="24"/>
        </w:rPr>
      </w:pPr>
    </w:p>
    <w:p w14:paraId="7B156855" w14:textId="7703BA6B" w:rsidR="009677C1" w:rsidRDefault="009677C1" w:rsidP="009677C1">
      <w:pPr>
        <w:rPr>
          <w:b/>
          <w:lang w:val="en-US"/>
        </w:rPr>
      </w:pPr>
      <w:r>
        <w:rPr>
          <w:b/>
          <w:lang w:val="en-US"/>
        </w:rPr>
        <w:br w:type="page"/>
      </w:r>
    </w:p>
    <w:p w14:paraId="35F973D0" w14:textId="0FDBB758" w:rsidR="00B56C13" w:rsidRDefault="00B56C13" w:rsidP="00FA5990">
      <w:pPr>
        <w:rPr>
          <w:b/>
          <w:lang w:val="en-US"/>
        </w:rPr>
      </w:pPr>
      <w:r>
        <w:rPr>
          <w:b/>
          <w:lang w:val="en-US"/>
        </w:rPr>
        <w:lastRenderedPageBreak/>
        <w:t>APPENDI</w:t>
      </w:r>
      <w:r w:rsidRPr="0048229C">
        <w:rPr>
          <w:b/>
          <w:lang w:val="en-US"/>
        </w:rPr>
        <w:t>CES</w:t>
      </w:r>
    </w:p>
    <w:p w14:paraId="3DD6499F" w14:textId="77777777" w:rsidR="00B56C13" w:rsidRDefault="00B56C13" w:rsidP="00FA5990">
      <w:pPr>
        <w:rPr>
          <w:b/>
          <w:lang w:val="en-US"/>
        </w:rPr>
      </w:pPr>
    </w:p>
    <w:p w14:paraId="60D3203E" w14:textId="1E88CF4E" w:rsidR="00B56C13" w:rsidRDefault="00B56C13" w:rsidP="00FA5990">
      <w:pPr>
        <w:rPr>
          <w:b/>
          <w:lang w:val="en-US"/>
        </w:rPr>
      </w:pPr>
      <w:r>
        <w:rPr>
          <w:b/>
          <w:lang w:val="en-US"/>
        </w:rPr>
        <w:t>Appendix 1</w:t>
      </w:r>
    </w:p>
    <w:p w14:paraId="137B7220" w14:textId="77777777" w:rsidR="00B56C13" w:rsidRDefault="00B56C13" w:rsidP="00FA5990">
      <w:pPr>
        <w:rPr>
          <w:b/>
          <w:lang w:val="en-US"/>
        </w:rPr>
      </w:pPr>
    </w:p>
    <w:p w14:paraId="065C5C1F" w14:textId="444896EC" w:rsidR="00B56C13" w:rsidRPr="009677C1" w:rsidRDefault="00B56C13" w:rsidP="00B56C13">
      <w:pPr>
        <w:outlineLvl w:val="0"/>
        <w:rPr>
          <w:b/>
        </w:rPr>
      </w:pPr>
      <w:r w:rsidRPr="009677C1">
        <w:rPr>
          <w:b/>
        </w:rPr>
        <w:t>Binary composite clinical outcome measure (BCCOM)</w:t>
      </w:r>
    </w:p>
    <w:p w14:paraId="2046C44B" w14:textId="77777777" w:rsidR="00B56C13" w:rsidRPr="009677C1" w:rsidRDefault="00B56C13" w:rsidP="00B56C13">
      <w:pPr>
        <w:outlineLvl w:val="0"/>
      </w:pPr>
    </w:p>
    <w:p w14:paraId="55E5301A" w14:textId="48E7B10E" w:rsidR="00B56C13" w:rsidRPr="009677C1" w:rsidRDefault="00B56C13" w:rsidP="00B56C13">
      <w:pPr>
        <w:pStyle w:val="CommentText"/>
        <w:rPr>
          <w:sz w:val="24"/>
          <w:szCs w:val="24"/>
        </w:rPr>
      </w:pPr>
      <w:r w:rsidRPr="009677C1">
        <w:rPr>
          <w:sz w:val="24"/>
          <w:szCs w:val="24"/>
        </w:rPr>
        <w:t xml:space="preserve">The BCCOM is a binary outcome with a positive result with no deterioration vs no change or deterioration in any component of the score. </w:t>
      </w:r>
    </w:p>
    <w:p w14:paraId="54732F3F" w14:textId="77777777" w:rsidR="00B56C13" w:rsidRPr="009677C1" w:rsidRDefault="00B56C13" w:rsidP="00B56C13">
      <w:pPr>
        <w:outlineLvl w:val="0"/>
        <w:rPr>
          <w:b/>
        </w:rPr>
      </w:pPr>
    </w:p>
    <w:p w14:paraId="61E8654B" w14:textId="77777777" w:rsidR="00B56C13" w:rsidRPr="009677C1" w:rsidRDefault="00B56C13" w:rsidP="00B56C13"/>
    <w:p w14:paraId="2B82CD2F" w14:textId="77777777" w:rsidR="00B56C13" w:rsidRPr="009677C1" w:rsidRDefault="00B56C13" w:rsidP="00B56C13">
      <w:pPr>
        <w:pStyle w:val="p1"/>
        <w:outlineLvl w:val="0"/>
        <w:rPr>
          <w:rFonts w:asciiTheme="minorHAnsi" w:hAnsiTheme="minorHAnsi"/>
          <w:sz w:val="24"/>
          <w:szCs w:val="24"/>
        </w:rPr>
      </w:pPr>
      <w:r w:rsidRPr="009677C1">
        <w:rPr>
          <w:rFonts w:asciiTheme="minorHAnsi" w:hAnsiTheme="minorHAnsi"/>
          <w:b/>
          <w:bCs/>
          <w:i/>
          <w:iCs/>
          <w:sz w:val="24"/>
          <w:szCs w:val="24"/>
        </w:rPr>
        <w:t>Major Criteria</w:t>
      </w:r>
      <w:r w:rsidRPr="009677C1">
        <w:rPr>
          <w:rStyle w:val="apple-converted-space"/>
          <w:rFonts w:asciiTheme="minorHAnsi" w:hAnsiTheme="minorHAnsi"/>
          <w:b/>
          <w:bCs/>
          <w:i/>
          <w:iCs/>
          <w:sz w:val="24"/>
          <w:szCs w:val="24"/>
        </w:rPr>
        <w:t> </w:t>
      </w:r>
    </w:p>
    <w:p w14:paraId="54063CDE" w14:textId="77777777" w:rsidR="00B56C13" w:rsidRPr="009677C1" w:rsidRDefault="00B56C13" w:rsidP="00B56C13">
      <w:pPr>
        <w:pStyle w:val="p2"/>
        <w:rPr>
          <w:rFonts w:asciiTheme="minorHAnsi" w:hAnsiTheme="minorHAnsi"/>
          <w:sz w:val="24"/>
          <w:szCs w:val="24"/>
        </w:rPr>
      </w:pPr>
      <w:r w:rsidRPr="009677C1">
        <w:rPr>
          <w:rStyle w:val="s1"/>
          <w:rFonts w:asciiTheme="minorHAnsi" w:hAnsiTheme="minorHAnsi"/>
          <w:sz w:val="24"/>
          <w:szCs w:val="24"/>
        </w:rPr>
        <w:sym w:font="Wingdings" w:char="F0A7"/>
      </w:r>
      <w:r w:rsidRPr="009677C1">
        <w:rPr>
          <w:rStyle w:val="s1"/>
          <w:rFonts w:asciiTheme="minorHAnsi" w:hAnsiTheme="minorHAnsi"/>
          <w:sz w:val="24"/>
          <w:szCs w:val="24"/>
        </w:rPr>
        <w:t xml:space="preserve"> </w:t>
      </w:r>
      <w:r w:rsidRPr="009677C1">
        <w:rPr>
          <w:rFonts w:asciiTheme="minorHAnsi" w:hAnsiTheme="minorHAnsi"/>
          <w:sz w:val="24"/>
          <w:szCs w:val="24"/>
        </w:rPr>
        <w:t>An improvement of ≥ 1 grade in diplopia score</w:t>
      </w:r>
      <w:r w:rsidRPr="009677C1">
        <w:rPr>
          <w:rStyle w:val="apple-converted-space"/>
          <w:rFonts w:asciiTheme="minorHAnsi" w:hAnsiTheme="minorHAnsi"/>
          <w:sz w:val="24"/>
          <w:szCs w:val="24"/>
        </w:rPr>
        <w:t>*</w:t>
      </w:r>
    </w:p>
    <w:p w14:paraId="0E5A04B7" w14:textId="77777777" w:rsidR="00B56C13" w:rsidRPr="009677C1" w:rsidRDefault="00B56C13" w:rsidP="00B56C13">
      <w:pPr>
        <w:pStyle w:val="p2"/>
        <w:outlineLvl w:val="0"/>
        <w:rPr>
          <w:rFonts w:asciiTheme="minorHAnsi" w:hAnsiTheme="minorHAnsi"/>
          <w:sz w:val="24"/>
          <w:szCs w:val="24"/>
        </w:rPr>
      </w:pPr>
      <w:r w:rsidRPr="009677C1">
        <w:rPr>
          <w:rStyle w:val="s1"/>
          <w:rFonts w:asciiTheme="minorHAnsi" w:hAnsiTheme="minorHAnsi"/>
          <w:sz w:val="24"/>
          <w:szCs w:val="24"/>
        </w:rPr>
        <w:sym w:font="Wingdings" w:char="F0A7"/>
      </w:r>
      <w:r w:rsidRPr="009677C1">
        <w:rPr>
          <w:rStyle w:val="s1"/>
          <w:rFonts w:asciiTheme="minorHAnsi" w:hAnsiTheme="minorHAnsi"/>
          <w:sz w:val="24"/>
          <w:szCs w:val="24"/>
        </w:rPr>
        <w:t xml:space="preserve"> </w:t>
      </w:r>
      <w:r w:rsidRPr="009677C1">
        <w:rPr>
          <w:rFonts w:asciiTheme="minorHAnsi" w:hAnsiTheme="minorHAnsi"/>
          <w:sz w:val="24"/>
          <w:szCs w:val="24"/>
        </w:rPr>
        <w:t>An improvement of &gt;8</w:t>
      </w:r>
      <w:r w:rsidRPr="009677C1">
        <w:rPr>
          <w:rStyle w:val="s2"/>
          <w:rFonts w:asciiTheme="minorHAnsi" w:hAnsiTheme="minorHAnsi"/>
          <w:sz w:val="24"/>
          <w:szCs w:val="24"/>
        </w:rPr>
        <w:t xml:space="preserve"> degrees </w:t>
      </w:r>
      <w:r w:rsidRPr="009677C1">
        <w:rPr>
          <w:rFonts w:asciiTheme="minorHAnsi" w:hAnsiTheme="minorHAnsi"/>
          <w:sz w:val="24"/>
          <w:szCs w:val="24"/>
        </w:rPr>
        <w:t>of eye movement in any direction</w:t>
      </w:r>
      <w:r w:rsidRPr="009677C1">
        <w:rPr>
          <w:rStyle w:val="s2"/>
          <w:rFonts w:asciiTheme="minorHAnsi" w:hAnsiTheme="minorHAnsi"/>
          <w:sz w:val="24"/>
          <w:szCs w:val="24"/>
        </w:rPr>
        <w:t>#</w:t>
      </w:r>
      <w:r w:rsidRPr="009677C1">
        <w:rPr>
          <w:rStyle w:val="apple-converted-space"/>
          <w:rFonts w:asciiTheme="minorHAnsi" w:hAnsiTheme="minorHAnsi"/>
          <w:sz w:val="24"/>
          <w:szCs w:val="24"/>
        </w:rPr>
        <w:t> </w:t>
      </w:r>
    </w:p>
    <w:p w14:paraId="2E73A1D2" w14:textId="77777777" w:rsidR="00B56C13" w:rsidRPr="009677C1" w:rsidRDefault="00B56C13" w:rsidP="00B56C13">
      <w:pPr>
        <w:pStyle w:val="p1"/>
        <w:rPr>
          <w:rFonts w:asciiTheme="minorHAnsi" w:hAnsiTheme="minorHAnsi"/>
          <w:sz w:val="24"/>
          <w:szCs w:val="24"/>
        </w:rPr>
      </w:pPr>
      <w:r w:rsidRPr="009677C1">
        <w:rPr>
          <w:rStyle w:val="s1"/>
          <w:rFonts w:asciiTheme="minorHAnsi" w:hAnsiTheme="minorHAnsi"/>
          <w:sz w:val="24"/>
          <w:szCs w:val="24"/>
        </w:rPr>
        <w:sym w:font="Wingdings" w:char="F0A7"/>
      </w:r>
      <w:r w:rsidRPr="009677C1">
        <w:rPr>
          <w:rStyle w:val="s1"/>
          <w:rFonts w:asciiTheme="minorHAnsi" w:hAnsiTheme="minorHAnsi"/>
          <w:sz w:val="24"/>
          <w:szCs w:val="24"/>
        </w:rPr>
        <w:t xml:space="preserve"> </w:t>
      </w:r>
      <w:r w:rsidRPr="009677C1">
        <w:rPr>
          <w:rFonts w:asciiTheme="minorHAnsi" w:hAnsiTheme="minorHAnsi"/>
          <w:sz w:val="24"/>
          <w:szCs w:val="24"/>
        </w:rPr>
        <w:t>A reduction of ≥ 2 mm in proptosis</w:t>
      </w:r>
      <w:r w:rsidRPr="009677C1">
        <w:rPr>
          <w:rStyle w:val="apple-converted-space"/>
          <w:rFonts w:asciiTheme="minorHAnsi" w:hAnsiTheme="minorHAnsi"/>
          <w:sz w:val="24"/>
          <w:szCs w:val="24"/>
        </w:rPr>
        <w:t> </w:t>
      </w:r>
    </w:p>
    <w:p w14:paraId="2513B7C1" w14:textId="77777777" w:rsidR="00B56C13" w:rsidRPr="009677C1" w:rsidRDefault="00B56C13" w:rsidP="00B56C13">
      <w:pPr>
        <w:pStyle w:val="p3"/>
        <w:rPr>
          <w:rFonts w:asciiTheme="minorHAnsi" w:hAnsiTheme="minorHAnsi"/>
          <w:sz w:val="24"/>
          <w:szCs w:val="24"/>
        </w:rPr>
      </w:pPr>
    </w:p>
    <w:p w14:paraId="007D1F04" w14:textId="77777777" w:rsidR="00B56C13" w:rsidRPr="009677C1" w:rsidRDefault="00B56C13" w:rsidP="00B56C13">
      <w:pPr>
        <w:pStyle w:val="p1"/>
        <w:outlineLvl w:val="0"/>
        <w:rPr>
          <w:rFonts w:asciiTheme="minorHAnsi" w:hAnsiTheme="minorHAnsi"/>
          <w:sz w:val="24"/>
          <w:szCs w:val="24"/>
        </w:rPr>
      </w:pPr>
      <w:r w:rsidRPr="009677C1">
        <w:rPr>
          <w:rFonts w:asciiTheme="minorHAnsi" w:hAnsiTheme="minorHAnsi"/>
          <w:b/>
          <w:bCs/>
          <w:i/>
          <w:iCs/>
          <w:sz w:val="24"/>
          <w:szCs w:val="24"/>
        </w:rPr>
        <w:t>Minor Criteria</w:t>
      </w:r>
      <w:r w:rsidRPr="009677C1">
        <w:rPr>
          <w:rStyle w:val="apple-converted-space"/>
          <w:rFonts w:asciiTheme="minorHAnsi" w:hAnsiTheme="minorHAnsi"/>
          <w:b/>
          <w:bCs/>
          <w:i/>
          <w:iCs/>
          <w:sz w:val="24"/>
          <w:szCs w:val="24"/>
        </w:rPr>
        <w:t> </w:t>
      </w:r>
    </w:p>
    <w:p w14:paraId="5B1B7CE5" w14:textId="77777777" w:rsidR="00B56C13" w:rsidRPr="009677C1" w:rsidRDefault="00B56C13" w:rsidP="00B56C13">
      <w:pPr>
        <w:pStyle w:val="p2"/>
        <w:rPr>
          <w:rFonts w:asciiTheme="minorHAnsi" w:hAnsiTheme="minorHAnsi"/>
          <w:sz w:val="24"/>
          <w:szCs w:val="24"/>
        </w:rPr>
      </w:pPr>
      <w:r w:rsidRPr="009677C1">
        <w:rPr>
          <w:rStyle w:val="s1"/>
          <w:rFonts w:asciiTheme="minorHAnsi" w:hAnsiTheme="minorHAnsi"/>
          <w:sz w:val="24"/>
          <w:szCs w:val="24"/>
        </w:rPr>
        <w:sym w:font="Wingdings" w:char="F0A7"/>
      </w:r>
      <w:r w:rsidRPr="009677C1">
        <w:rPr>
          <w:rStyle w:val="s1"/>
          <w:rFonts w:asciiTheme="minorHAnsi" w:hAnsiTheme="minorHAnsi"/>
          <w:sz w:val="24"/>
          <w:szCs w:val="24"/>
        </w:rPr>
        <w:t xml:space="preserve"> </w:t>
      </w:r>
      <w:r w:rsidRPr="009677C1">
        <w:rPr>
          <w:rFonts w:asciiTheme="minorHAnsi" w:hAnsiTheme="minorHAnsi"/>
          <w:sz w:val="24"/>
          <w:szCs w:val="24"/>
        </w:rPr>
        <w:t>A reduction of ≥ 2 mm in lid aperture</w:t>
      </w:r>
      <w:r w:rsidRPr="009677C1">
        <w:rPr>
          <w:rStyle w:val="apple-converted-space"/>
          <w:rFonts w:asciiTheme="minorHAnsi" w:hAnsiTheme="minorHAnsi"/>
          <w:sz w:val="24"/>
          <w:szCs w:val="24"/>
        </w:rPr>
        <w:t> </w:t>
      </w:r>
    </w:p>
    <w:p w14:paraId="48934FFC" w14:textId="77777777" w:rsidR="00B56C13" w:rsidRPr="009677C1" w:rsidRDefault="00B56C13" w:rsidP="00B56C13">
      <w:pPr>
        <w:pStyle w:val="p2"/>
        <w:rPr>
          <w:rFonts w:asciiTheme="minorHAnsi" w:hAnsiTheme="minorHAnsi"/>
          <w:sz w:val="24"/>
          <w:szCs w:val="24"/>
        </w:rPr>
      </w:pPr>
      <w:r w:rsidRPr="009677C1">
        <w:rPr>
          <w:rStyle w:val="s1"/>
          <w:rFonts w:asciiTheme="minorHAnsi" w:hAnsiTheme="minorHAnsi"/>
          <w:sz w:val="24"/>
          <w:szCs w:val="24"/>
        </w:rPr>
        <w:sym w:font="Wingdings" w:char="F0A7"/>
      </w:r>
      <w:r w:rsidRPr="009677C1">
        <w:rPr>
          <w:rStyle w:val="s1"/>
          <w:rFonts w:asciiTheme="minorHAnsi" w:hAnsiTheme="minorHAnsi"/>
          <w:sz w:val="24"/>
          <w:szCs w:val="24"/>
        </w:rPr>
        <w:t xml:space="preserve"> </w:t>
      </w:r>
      <w:r w:rsidRPr="009677C1">
        <w:rPr>
          <w:rFonts w:asciiTheme="minorHAnsi" w:hAnsiTheme="minorHAnsi"/>
          <w:sz w:val="24"/>
          <w:szCs w:val="24"/>
        </w:rPr>
        <w:t>An improvement of ≥ 1 grade in soft tissue involvement</w:t>
      </w:r>
      <w:r w:rsidRPr="009677C1">
        <w:rPr>
          <w:rStyle w:val="s2"/>
          <w:rFonts w:asciiTheme="minorHAnsi" w:hAnsiTheme="minorHAnsi"/>
          <w:sz w:val="24"/>
          <w:szCs w:val="24"/>
        </w:rPr>
        <w:t>†</w:t>
      </w:r>
    </w:p>
    <w:p w14:paraId="56703FFA" w14:textId="77777777" w:rsidR="00B56C13" w:rsidRPr="009677C1" w:rsidRDefault="00B56C13" w:rsidP="00B56C13">
      <w:pPr>
        <w:pStyle w:val="p2"/>
        <w:rPr>
          <w:rFonts w:asciiTheme="minorHAnsi" w:hAnsiTheme="minorHAnsi"/>
          <w:sz w:val="24"/>
          <w:szCs w:val="24"/>
        </w:rPr>
      </w:pPr>
      <w:r w:rsidRPr="009677C1">
        <w:rPr>
          <w:rStyle w:val="s1"/>
          <w:rFonts w:asciiTheme="minorHAnsi" w:hAnsiTheme="minorHAnsi"/>
          <w:sz w:val="24"/>
          <w:szCs w:val="24"/>
        </w:rPr>
        <w:sym w:font="Wingdings" w:char="F0A7"/>
      </w:r>
      <w:r w:rsidRPr="009677C1">
        <w:rPr>
          <w:rStyle w:val="s1"/>
          <w:rFonts w:asciiTheme="minorHAnsi" w:hAnsiTheme="minorHAnsi"/>
          <w:sz w:val="24"/>
          <w:szCs w:val="24"/>
        </w:rPr>
        <w:t xml:space="preserve"> </w:t>
      </w:r>
      <w:r w:rsidRPr="009677C1">
        <w:rPr>
          <w:rFonts w:asciiTheme="minorHAnsi" w:hAnsiTheme="minorHAnsi"/>
          <w:sz w:val="24"/>
          <w:szCs w:val="24"/>
        </w:rPr>
        <w:t>An improvement in best-corrected visual acuity of ≥ 1 line on the Snellen chart·</w:t>
      </w:r>
      <w:r w:rsidRPr="009677C1">
        <w:rPr>
          <w:rStyle w:val="apple-converted-space"/>
          <w:rFonts w:asciiTheme="minorHAnsi" w:hAnsiTheme="minorHAnsi"/>
          <w:sz w:val="24"/>
          <w:szCs w:val="24"/>
        </w:rPr>
        <w:t> </w:t>
      </w:r>
    </w:p>
    <w:p w14:paraId="2B5333F6" w14:textId="77777777" w:rsidR="00B56C13" w:rsidRPr="009677C1" w:rsidRDefault="00B56C13" w:rsidP="00B56C13">
      <w:pPr>
        <w:pStyle w:val="p1"/>
        <w:rPr>
          <w:rFonts w:asciiTheme="minorHAnsi" w:hAnsiTheme="minorHAnsi"/>
          <w:sz w:val="24"/>
          <w:szCs w:val="24"/>
        </w:rPr>
      </w:pPr>
      <w:r w:rsidRPr="009677C1">
        <w:rPr>
          <w:rStyle w:val="s1"/>
          <w:rFonts w:asciiTheme="minorHAnsi" w:hAnsiTheme="minorHAnsi"/>
          <w:sz w:val="24"/>
          <w:szCs w:val="24"/>
        </w:rPr>
        <w:sym w:font="Wingdings" w:char="F0A7"/>
      </w:r>
      <w:r w:rsidRPr="009677C1">
        <w:rPr>
          <w:rStyle w:val="s1"/>
          <w:rFonts w:asciiTheme="minorHAnsi" w:hAnsiTheme="minorHAnsi"/>
          <w:sz w:val="24"/>
          <w:szCs w:val="24"/>
        </w:rPr>
        <w:t xml:space="preserve"> </w:t>
      </w:r>
      <w:r w:rsidRPr="009677C1">
        <w:rPr>
          <w:rFonts w:asciiTheme="minorHAnsi" w:hAnsiTheme="minorHAnsi"/>
          <w:sz w:val="24"/>
          <w:szCs w:val="24"/>
        </w:rPr>
        <w:t>Subjective improvement</w:t>
      </w:r>
      <w:r w:rsidRPr="009677C1">
        <w:rPr>
          <w:rStyle w:val="s2"/>
          <w:rFonts w:asciiTheme="minorHAnsi" w:hAnsiTheme="minorHAnsi"/>
          <w:sz w:val="24"/>
          <w:szCs w:val="24"/>
        </w:rPr>
        <w:t>^</w:t>
      </w:r>
    </w:p>
    <w:p w14:paraId="31FD2B8D" w14:textId="77777777" w:rsidR="00B56C13" w:rsidRPr="009677C1" w:rsidRDefault="00B56C13" w:rsidP="00B56C13">
      <w:pPr>
        <w:pStyle w:val="p4"/>
        <w:rPr>
          <w:rFonts w:asciiTheme="minorHAnsi" w:hAnsiTheme="minorHAnsi"/>
          <w:sz w:val="24"/>
          <w:szCs w:val="24"/>
        </w:rPr>
      </w:pPr>
    </w:p>
    <w:p w14:paraId="587C8920" w14:textId="77777777" w:rsidR="00B56C13" w:rsidRPr="009677C1" w:rsidRDefault="00B56C13" w:rsidP="00B56C13">
      <w:pPr>
        <w:pStyle w:val="p1"/>
        <w:outlineLvl w:val="0"/>
        <w:rPr>
          <w:rFonts w:asciiTheme="minorHAnsi" w:hAnsiTheme="minorHAnsi"/>
          <w:sz w:val="24"/>
          <w:szCs w:val="24"/>
        </w:rPr>
      </w:pPr>
      <w:r w:rsidRPr="009677C1">
        <w:rPr>
          <w:rFonts w:asciiTheme="minorHAnsi" w:hAnsiTheme="minorHAnsi"/>
          <w:b/>
          <w:bCs/>
          <w:i/>
          <w:iCs/>
          <w:sz w:val="24"/>
          <w:szCs w:val="24"/>
        </w:rPr>
        <w:t>Response to Treatment</w:t>
      </w:r>
      <w:r w:rsidRPr="009677C1">
        <w:rPr>
          <w:rStyle w:val="apple-converted-space"/>
          <w:rFonts w:asciiTheme="minorHAnsi" w:hAnsiTheme="minorHAnsi"/>
          <w:b/>
          <w:bCs/>
          <w:i/>
          <w:iCs/>
          <w:sz w:val="24"/>
          <w:szCs w:val="24"/>
        </w:rPr>
        <w:t> </w:t>
      </w:r>
    </w:p>
    <w:p w14:paraId="3CA586B6" w14:textId="77777777" w:rsidR="00B56C13" w:rsidRPr="009677C1" w:rsidRDefault="00B56C13" w:rsidP="00B56C13">
      <w:pPr>
        <w:pStyle w:val="p1"/>
        <w:outlineLvl w:val="0"/>
        <w:rPr>
          <w:rFonts w:asciiTheme="minorHAnsi" w:hAnsiTheme="minorHAnsi"/>
          <w:sz w:val="24"/>
          <w:szCs w:val="24"/>
        </w:rPr>
      </w:pPr>
      <w:r w:rsidRPr="009677C1">
        <w:rPr>
          <w:rFonts w:asciiTheme="minorHAnsi" w:hAnsiTheme="minorHAnsi"/>
          <w:i/>
          <w:iCs/>
          <w:sz w:val="24"/>
          <w:szCs w:val="24"/>
        </w:rPr>
        <w:t>Very good</w:t>
      </w:r>
      <w:r w:rsidRPr="009677C1">
        <w:rPr>
          <w:rFonts w:asciiTheme="minorHAnsi" w:hAnsiTheme="minorHAnsi"/>
          <w:sz w:val="24"/>
          <w:szCs w:val="24"/>
        </w:rPr>
        <w:t>: ≥ 2 major criteria</w:t>
      </w:r>
      <w:r w:rsidRPr="009677C1">
        <w:rPr>
          <w:rStyle w:val="apple-converted-space"/>
          <w:rFonts w:asciiTheme="minorHAnsi" w:hAnsiTheme="minorHAnsi"/>
          <w:sz w:val="24"/>
          <w:szCs w:val="24"/>
        </w:rPr>
        <w:t> </w:t>
      </w:r>
    </w:p>
    <w:p w14:paraId="352DD826" w14:textId="77777777" w:rsidR="00B56C13" w:rsidRPr="009677C1" w:rsidRDefault="00B56C13" w:rsidP="00B56C13">
      <w:pPr>
        <w:pStyle w:val="p1"/>
        <w:rPr>
          <w:rFonts w:asciiTheme="minorHAnsi" w:hAnsiTheme="minorHAnsi"/>
          <w:sz w:val="24"/>
          <w:szCs w:val="24"/>
        </w:rPr>
      </w:pPr>
      <w:r w:rsidRPr="009677C1">
        <w:rPr>
          <w:rFonts w:asciiTheme="minorHAnsi" w:hAnsiTheme="minorHAnsi"/>
          <w:i/>
          <w:iCs/>
          <w:sz w:val="24"/>
          <w:szCs w:val="24"/>
        </w:rPr>
        <w:t>Good</w:t>
      </w:r>
      <w:r w:rsidRPr="009677C1">
        <w:rPr>
          <w:rFonts w:asciiTheme="minorHAnsi" w:hAnsiTheme="minorHAnsi"/>
          <w:sz w:val="24"/>
          <w:szCs w:val="24"/>
        </w:rPr>
        <w:t>: 1 major criterion</w:t>
      </w:r>
      <w:r w:rsidRPr="009677C1">
        <w:rPr>
          <w:rStyle w:val="apple-converted-space"/>
          <w:rFonts w:asciiTheme="minorHAnsi" w:hAnsiTheme="minorHAnsi"/>
          <w:sz w:val="24"/>
          <w:szCs w:val="24"/>
        </w:rPr>
        <w:t> </w:t>
      </w:r>
    </w:p>
    <w:p w14:paraId="3AC9F017" w14:textId="77777777" w:rsidR="00B56C13" w:rsidRPr="009677C1" w:rsidRDefault="00B56C13" w:rsidP="00B56C13">
      <w:pPr>
        <w:pStyle w:val="p1"/>
        <w:rPr>
          <w:rFonts w:asciiTheme="minorHAnsi" w:hAnsiTheme="minorHAnsi"/>
          <w:sz w:val="24"/>
          <w:szCs w:val="24"/>
        </w:rPr>
      </w:pPr>
      <w:r w:rsidRPr="009677C1">
        <w:rPr>
          <w:rFonts w:asciiTheme="minorHAnsi" w:hAnsiTheme="minorHAnsi"/>
          <w:i/>
          <w:iCs/>
          <w:sz w:val="24"/>
          <w:szCs w:val="24"/>
        </w:rPr>
        <w:t>Fair</w:t>
      </w:r>
      <w:r w:rsidRPr="009677C1">
        <w:rPr>
          <w:rFonts w:asciiTheme="minorHAnsi" w:hAnsiTheme="minorHAnsi"/>
          <w:sz w:val="24"/>
          <w:szCs w:val="24"/>
        </w:rPr>
        <w:t>: ≥ 2 minor criteria</w:t>
      </w:r>
      <w:r w:rsidRPr="009677C1">
        <w:rPr>
          <w:rStyle w:val="apple-converted-space"/>
          <w:rFonts w:asciiTheme="minorHAnsi" w:hAnsiTheme="minorHAnsi"/>
          <w:sz w:val="24"/>
          <w:szCs w:val="24"/>
        </w:rPr>
        <w:t> </w:t>
      </w:r>
    </w:p>
    <w:p w14:paraId="700C645D" w14:textId="77777777" w:rsidR="00B56C13" w:rsidRPr="009677C1" w:rsidRDefault="00B56C13" w:rsidP="00B56C13">
      <w:pPr>
        <w:pStyle w:val="p1"/>
        <w:rPr>
          <w:rFonts w:asciiTheme="minorHAnsi" w:hAnsiTheme="minorHAnsi"/>
          <w:sz w:val="24"/>
          <w:szCs w:val="24"/>
        </w:rPr>
      </w:pPr>
      <w:r w:rsidRPr="009677C1">
        <w:rPr>
          <w:rFonts w:asciiTheme="minorHAnsi" w:hAnsiTheme="minorHAnsi"/>
          <w:i/>
          <w:iCs/>
          <w:sz w:val="24"/>
          <w:szCs w:val="24"/>
        </w:rPr>
        <w:t xml:space="preserve">No Change: </w:t>
      </w:r>
      <w:r w:rsidRPr="009677C1">
        <w:rPr>
          <w:rFonts w:asciiTheme="minorHAnsi" w:hAnsiTheme="minorHAnsi"/>
          <w:sz w:val="24"/>
          <w:szCs w:val="24"/>
        </w:rPr>
        <w:t>1 minor criterion</w:t>
      </w:r>
      <w:r w:rsidRPr="009677C1">
        <w:rPr>
          <w:rStyle w:val="apple-converted-space"/>
          <w:rFonts w:asciiTheme="minorHAnsi" w:hAnsiTheme="minorHAnsi"/>
          <w:sz w:val="24"/>
          <w:szCs w:val="24"/>
        </w:rPr>
        <w:t> </w:t>
      </w:r>
    </w:p>
    <w:p w14:paraId="267344F7" w14:textId="77777777" w:rsidR="00B56C13" w:rsidRPr="009677C1" w:rsidRDefault="00B56C13" w:rsidP="00B56C13">
      <w:pPr>
        <w:pStyle w:val="p1"/>
        <w:rPr>
          <w:rFonts w:asciiTheme="minorHAnsi" w:hAnsiTheme="minorHAnsi"/>
          <w:sz w:val="24"/>
          <w:szCs w:val="24"/>
        </w:rPr>
      </w:pPr>
      <w:r w:rsidRPr="009677C1">
        <w:rPr>
          <w:rFonts w:asciiTheme="minorHAnsi" w:hAnsiTheme="minorHAnsi"/>
          <w:i/>
          <w:iCs/>
          <w:sz w:val="24"/>
          <w:szCs w:val="24"/>
        </w:rPr>
        <w:t xml:space="preserve">Worse: </w:t>
      </w:r>
      <w:r w:rsidRPr="009677C1">
        <w:rPr>
          <w:rFonts w:asciiTheme="minorHAnsi" w:hAnsiTheme="minorHAnsi"/>
          <w:sz w:val="24"/>
          <w:szCs w:val="24"/>
        </w:rPr>
        <w:t>Deterioration in at least 1 major or 2 minor criteria</w:t>
      </w:r>
    </w:p>
    <w:p w14:paraId="2F2970E7" w14:textId="77777777" w:rsidR="00B56C13" w:rsidRPr="00E425A9" w:rsidRDefault="00B56C13" w:rsidP="00B56C13">
      <w:pPr>
        <w:rPr>
          <w:rFonts w:ascii="Baskerville" w:hAnsi="Baskerville"/>
        </w:rPr>
      </w:pPr>
    </w:p>
    <w:p w14:paraId="63DD1818" w14:textId="77777777" w:rsidR="00B56C13" w:rsidRDefault="00B56C13" w:rsidP="00B56C13"/>
    <w:p w14:paraId="33F24A2E" w14:textId="44136A54" w:rsidR="00B56C13" w:rsidRPr="009677C1" w:rsidRDefault="00B56C13" w:rsidP="00EB626F">
      <w:pPr>
        <w:pStyle w:val="p1"/>
        <w:rPr>
          <w:rFonts w:asciiTheme="minorHAnsi" w:hAnsiTheme="minorHAnsi"/>
          <w:sz w:val="24"/>
          <w:szCs w:val="24"/>
        </w:rPr>
      </w:pPr>
      <w:r w:rsidRPr="009677C1">
        <w:rPr>
          <w:rFonts w:asciiTheme="minorHAnsi" w:hAnsiTheme="minorHAnsi"/>
          <w:sz w:val="24"/>
          <w:szCs w:val="24"/>
          <w:lang w:val="en-GB"/>
        </w:rPr>
        <w:t xml:space="preserve">* </w:t>
      </w:r>
      <w:proofErr w:type="spellStart"/>
      <w:r w:rsidR="00EB626F">
        <w:rPr>
          <w:rFonts w:asciiTheme="minorHAnsi" w:hAnsiTheme="minorHAnsi"/>
          <w:sz w:val="24"/>
          <w:szCs w:val="24"/>
        </w:rPr>
        <w:t>Bahn</w:t>
      </w:r>
      <w:proofErr w:type="spellEnd"/>
      <w:r w:rsidR="00EB626F">
        <w:rPr>
          <w:rFonts w:asciiTheme="minorHAnsi" w:hAnsiTheme="minorHAnsi"/>
          <w:sz w:val="24"/>
          <w:szCs w:val="24"/>
        </w:rPr>
        <w:t xml:space="preserve">, R. S., &amp; </w:t>
      </w:r>
      <w:r w:rsidR="00EB626F" w:rsidRPr="009677C1">
        <w:rPr>
          <w:rFonts w:asciiTheme="minorHAnsi" w:hAnsiTheme="minorHAnsi"/>
          <w:sz w:val="24"/>
          <w:szCs w:val="24"/>
        </w:rPr>
        <w:t>Gorman,</w:t>
      </w:r>
      <w:r w:rsidR="00EB626F">
        <w:rPr>
          <w:rFonts w:asciiTheme="minorHAnsi" w:hAnsiTheme="minorHAnsi"/>
          <w:sz w:val="24"/>
          <w:szCs w:val="24"/>
        </w:rPr>
        <w:t xml:space="preserve"> C.</w:t>
      </w:r>
      <w:r w:rsidR="00EB626F" w:rsidRPr="009677C1">
        <w:rPr>
          <w:rFonts w:asciiTheme="minorHAnsi" w:hAnsiTheme="minorHAnsi"/>
          <w:sz w:val="24"/>
          <w:szCs w:val="24"/>
        </w:rPr>
        <w:t xml:space="preserve"> A</w:t>
      </w:r>
      <w:r w:rsidR="00EB626F">
        <w:rPr>
          <w:rFonts w:asciiTheme="minorHAnsi" w:hAnsiTheme="minorHAnsi"/>
          <w:sz w:val="24"/>
          <w:szCs w:val="24"/>
        </w:rPr>
        <w:t>. (1987).</w:t>
      </w:r>
      <w:r w:rsidR="00EB626F" w:rsidRPr="009677C1">
        <w:rPr>
          <w:rFonts w:asciiTheme="minorHAnsi" w:hAnsiTheme="minorHAnsi"/>
          <w:sz w:val="24"/>
          <w:szCs w:val="24"/>
        </w:rPr>
        <w:t xml:space="preserve"> Choice of therapy and criteria for assessing treatment outcome in thyroid-associated </w:t>
      </w:r>
      <w:proofErr w:type="spellStart"/>
      <w:r w:rsidR="00EB626F" w:rsidRPr="009677C1">
        <w:rPr>
          <w:rFonts w:asciiTheme="minorHAnsi" w:hAnsiTheme="minorHAnsi"/>
          <w:sz w:val="24"/>
          <w:szCs w:val="24"/>
        </w:rPr>
        <w:t>ophthalmopathy</w:t>
      </w:r>
      <w:proofErr w:type="spellEnd"/>
      <w:r w:rsidR="00EB626F" w:rsidRPr="009677C1">
        <w:rPr>
          <w:rFonts w:asciiTheme="minorHAnsi" w:hAnsiTheme="minorHAnsi"/>
          <w:sz w:val="24"/>
          <w:szCs w:val="24"/>
        </w:rPr>
        <w:t xml:space="preserve">· </w:t>
      </w:r>
      <w:r w:rsidR="00EB626F" w:rsidRPr="009677C1">
        <w:rPr>
          <w:rFonts w:asciiTheme="minorHAnsi" w:hAnsiTheme="minorHAnsi"/>
          <w:i/>
          <w:iCs/>
          <w:sz w:val="24"/>
          <w:szCs w:val="24"/>
        </w:rPr>
        <w:t>Endocrinology and metabolism clinics of North America</w:t>
      </w:r>
      <w:r w:rsidR="00EB626F">
        <w:rPr>
          <w:rFonts w:asciiTheme="minorHAnsi" w:hAnsiTheme="minorHAnsi"/>
          <w:i/>
          <w:iCs/>
          <w:sz w:val="24"/>
          <w:szCs w:val="24"/>
        </w:rPr>
        <w:t>,</w:t>
      </w:r>
      <w:r w:rsidR="00EB626F" w:rsidRPr="009677C1">
        <w:rPr>
          <w:rFonts w:asciiTheme="minorHAnsi" w:hAnsiTheme="minorHAnsi"/>
          <w:i/>
          <w:iCs/>
          <w:sz w:val="24"/>
          <w:szCs w:val="24"/>
        </w:rPr>
        <w:t xml:space="preserve"> </w:t>
      </w:r>
      <w:r w:rsidR="00EB626F" w:rsidRPr="009677C1">
        <w:rPr>
          <w:rFonts w:asciiTheme="minorHAnsi" w:hAnsiTheme="minorHAnsi"/>
          <w:sz w:val="24"/>
          <w:szCs w:val="24"/>
        </w:rPr>
        <w:t>16(2)</w:t>
      </w:r>
      <w:r w:rsidR="00EB626F">
        <w:rPr>
          <w:rFonts w:asciiTheme="minorHAnsi" w:hAnsiTheme="minorHAnsi"/>
          <w:sz w:val="24"/>
          <w:szCs w:val="24"/>
        </w:rPr>
        <w:t>, 391-407.</w:t>
      </w:r>
    </w:p>
    <w:p w14:paraId="71148B0B" w14:textId="77777777" w:rsidR="00B56C13" w:rsidRPr="009677C1" w:rsidRDefault="00B56C13" w:rsidP="00B56C13"/>
    <w:p w14:paraId="143D392B" w14:textId="68B20B58" w:rsidR="00EB626F" w:rsidRPr="009677C1" w:rsidRDefault="00B56C13" w:rsidP="00EB626F">
      <w:pPr>
        <w:pStyle w:val="NormalWeb"/>
        <w:spacing w:before="2" w:after="2"/>
        <w:rPr>
          <w:rStyle w:val="apple-converted-space"/>
          <w:rFonts w:asciiTheme="minorHAnsi" w:hAnsiTheme="minorHAnsi"/>
          <w:sz w:val="24"/>
          <w:szCs w:val="24"/>
        </w:rPr>
      </w:pPr>
      <w:r w:rsidRPr="009677C1">
        <w:rPr>
          <w:rFonts w:asciiTheme="minorHAnsi" w:hAnsiTheme="minorHAnsi"/>
          <w:sz w:val="24"/>
          <w:szCs w:val="24"/>
        </w:rPr>
        <w:t xml:space="preserve"># </w:t>
      </w:r>
      <w:r w:rsidR="00EB626F">
        <w:rPr>
          <w:rFonts w:asciiTheme="minorHAnsi" w:hAnsiTheme="minorHAnsi"/>
          <w:sz w:val="24"/>
          <w:szCs w:val="24"/>
        </w:rPr>
        <w:t>H</w:t>
      </w:r>
      <w:r w:rsidR="00EB626F" w:rsidRPr="009677C1">
        <w:rPr>
          <w:rFonts w:asciiTheme="minorHAnsi" w:hAnsiTheme="minorHAnsi"/>
          <w:sz w:val="24"/>
          <w:szCs w:val="24"/>
        </w:rPr>
        <w:t>aggerty</w:t>
      </w:r>
      <w:r w:rsidR="00EB626F">
        <w:rPr>
          <w:rFonts w:asciiTheme="minorHAnsi" w:hAnsiTheme="minorHAnsi"/>
          <w:sz w:val="24"/>
          <w:szCs w:val="24"/>
        </w:rPr>
        <w:t>,</w:t>
      </w:r>
      <w:r w:rsidR="00EB626F" w:rsidRPr="009677C1">
        <w:rPr>
          <w:rFonts w:asciiTheme="minorHAnsi" w:hAnsiTheme="minorHAnsi"/>
          <w:sz w:val="24"/>
          <w:szCs w:val="24"/>
        </w:rPr>
        <w:t xml:space="preserve"> H</w:t>
      </w:r>
      <w:r w:rsidR="00EB626F">
        <w:rPr>
          <w:rFonts w:asciiTheme="minorHAnsi" w:hAnsiTheme="minorHAnsi"/>
          <w:sz w:val="24"/>
          <w:szCs w:val="24"/>
        </w:rPr>
        <w:t>.</w:t>
      </w:r>
      <w:r w:rsidR="00EB626F" w:rsidRPr="009677C1">
        <w:rPr>
          <w:rFonts w:asciiTheme="minorHAnsi" w:hAnsiTheme="minorHAnsi"/>
          <w:sz w:val="24"/>
          <w:szCs w:val="24"/>
        </w:rPr>
        <w:t xml:space="preserve">, </w:t>
      </w:r>
      <w:r w:rsidR="00EB626F">
        <w:rPr>
          <w:rFonts w:asciiTheme="minorHAnsi" w:hAnsiTheme="minorHAnsi"/>
          <w:sz w:val="24"/>
          <w:szCs w:val="24"/>
        </w:rPr>
        <w:t>R</w:t>
      </w:r>
      <w:r w:rsidR="00EB626F" w:rsidRPr="009677C1">
        <w:rPr>
          <w:rFonts w:asciiTheme="minorHAnsi" w:hAnsiTheme="minorHAnsi"/>
          <w:sz w:val="24"/>
          <w:szCs w:val="24"/>
        </w:rPr>
        <w:t>ichardson,</w:t>
      </w:r>
      <w:r w:rsidR="00EB626F">
        <w:rPr>
          <w:rFonts w:asciiTheme="minorHAnsi" w:hAnsiTheme="minorHAnsi"/>
          <w:sz w:val="24"/>
          <w:szCs w:val="24"/>
        </w:rPr>
        <w:t xml:space="preserve"> </w:t>
      </w:r>
      <w:r w:rsidR="00EB626F" w:rsidRPr="009677C1">
        <w:rPr>
          <w:rFonts w:asciiTheme="minorHAnsi" w:hAnsiTheme="minorHAnsi"/>
          <w:sz w:val="24"/>
          <w:szCs w:val="24"/>
        </w:rPr>
        <w:t>S</w:t>
      </w:r>
      <w:r w:rsidR="00EB626F">
        <w:rPr>
          <w:rFonts w:asciiTheme="minorHAnsi" w:hAnsiTheme="minorHAnsi"/>
          <w:sz w:val="24"/>
          <w:szCs w:val="24"/>
        </w:rPr>
        <w:t>.</w:t>
      </w:r>
      <w:r w:rsidR="00EB626F" w:rsidRPr="009677C1">
        <w:rPr>
          <w:rFonts w:asciiTheme="minorHAnsi" w:hAnsiTheme="minorHAnsi"/>
          <w:sz w:val="24"/>
          <w:szCs w:val="24"/>
        </w:rPr>
        <w:t>,</w:t>
      </w:r>
      <w:r w:rsidR="00EB626F">
        <w:rPr>
          <w:rFonts w:asciiTheme="minorHAnsi" w:hAnsiTheme="minorHAnsi"/>
          <w:sz w:val="24"/>
          <w:szCs w:val="24"/>
        </w:rPr>
        <w:t xml:space="preserve"> </w:t>
      </w:r>
      <w:r w:rsidR="00EB626F" w:rsidRPr="009677C1">
        <w:rPr>
          <w:rFonts w:asciiTheme="minorHAnsi" w:hAnsiTheme="minorHAnsi"/>
          <w:sz w:val="24"/>
          <w:szCs w:val="24"/>
        </w:rPr>
        <w:t>Mitchell,</w:t>
      </w:r>
      <w:r w:rsidR="00EB626F">
        <w:rPr>
          <w:rFonts w:asciiTheme="minorHAnsi" w:hAnsiTheme="minorHAnsi"/>
          <w:sz w:val="24"/>
          <w:szCs w:val="24"/>
        </w:rPr>
        <w:t xml:space="preserve"> </w:t>
      </w:r>
      <w:r w:rsidR="00EB626F" w:rsidRPr="009677C1">
        <w:rPr>
          <w:rFonts w:asciiTheme="minorHAnsi" w:hAnsiTheme="minorHAnsi"/>
          <w:sz w:val="24"/>
          <w:szCs w:val="24"/>
        </w:rPr>
        <w:t>K</w:t>
      </w:r>
      <w:r w:rsidR="00EB626F">
        <w:rPr>
          <w:rFonts w:asciiTheme="minorHAnsi" w:hAnsiTheme="minorHAnsi"/>
          <w:sz w:val="24"/>
          <w:szCs w:val="24"/>
        </w:rPr>
        <w:t xml:space="preserve">. </w:t>
      </w:r>
      <w:r w:rsidR="00EB626F" w:rsidRPr="009677C1">
        <w:rPr>
          <w:rFonts w:asciiTheme="minorHAnsi" w:hAnsiTheme="minorHAnsi"/>
          <w:sz w:val="24"/>
          <w:szCs w:val="24"/>
        </w:rPr>
        <w:t>W</w:t>
      </w:r>
      <w:r w:rsidR="00EB626F">
        <w:rPr>
          <w:rFonts w:asciiTheme="minorHAnsi" w:hAnsiTheme="minorHAnsi"/>
          <w:sz w:val="24"/>
          <w:szCs w:val="24"/>
        </w:rPr>
        <w:t xml:space="preserve">. </w:t>
      </w:r>
      <w:r w:rsidR="00EB626F" w:rsidRPr="009677C1">
        <w:rPr>
          <w:rFonts w:asciiTheme="minorHAnsi" w:hAnsiTheme="minorHAnsi"/>
          <w:sz w:val="24"/>
          <w:szCs w:val="24"/>
        </w:rPr>
        <w:t>Dickinson,</w:t>
      </w:r>
      <w:r w:rsidR="00EB626F">
        <w:rPr>
          <w:rFonts w:asciiTheme="minorHAnsi" w:hAnsiTheme="minorHAnsi"/>
          <w:sz w:val="24"/>
          <w:szCs w:val="24"/>
        </w:rPr>
        <w:t xml:space="preserve"> </w:t>
      </w:r>
      <w:r w:rsidR="00EB626F" w:rsidRPr="009677C1">
        <w:rPr>
          <w:rFonts w:asciiTheme="minorHAnsi" w:hAnsiTheme="minorHAnsi"/>
          <w:sz w:val="24"/>
          <w:szCs w:val="24"/>
        </w:rPr>
        <w:t>A</w:t>
      </w:r>
      <w:r w:rsidR="00EB626F">
        <w:rPr>
          <w:rFonts w:asciiTheme="minorHAnsi" w:hAnsiTheme="minorHAnsi"/>
          <w:sz w:val="24"/>
          <w:szCs w:val="24"/>
        </w:rPr>
        <w:t xml:space="preserve">. </w:t>
      </w:r>
      <w:r w:rsidR="00EB626F" w:rsidRPr="009677C1">
        <w:rPr>
          <w:rFonts w:asciiTheme="minorHAnsi" w:hAnsiTheme="minorHAnsi"/>
          <w:sz w:val="24"/>
          <w:szCs w:val="24"/>
        </w:rPr>
        <w:t>J</w:t>
      </w:r>
      <w:r w:rsidR="00EB626F">
        <w:rPr>
          <w:rFonts w:asciiTheme="minorHAnsi" w:hAnsiTheme="minorHAnsi"/>
          <w:sz w:val="24"/>
          <w:szCs w:val="24"/>
        </w:rPr>
        <w:t xml:space="preserve">. (2005). A modified method </w:t>
      </w:r>
      <w:r w:rsidR="00EB626F" w:rsidRPr="009677C1">
        <w:rPr>
          <w:rFonts w:asciiTheme="minorHAnsi" w:hAnsiTheme="minorHAnsi"/>
          <w:sz w:val="24"/>
          <w:szCs w:val="24"/>
        </w:rPr>
        <w:t xml:space="preserve">for measuring </w:t>
      </w:r>
      <w:proofErr w:type="spellStart"/>
      <w:r w:rsidR="00EB626F" w:rsidRPr="009677C1">
        <w:rPr>
          <w:rFonts w:asciiTheme="minorHAnsi" w:hAnsiTheme="minorHAnsi"/>
          <w:sz w:val="24"/>
          <w:szCs w:val="24"/>
        </w:rPr>
        <w:t>uniocular</w:t>
      </w:r>
      <w:proofErr w:type="spellEnd"/>
      <w:r w:rsidR="00EB626F" w:rsidRPr="009677C1">
        <w:rPr>
          <w:rFonts w:asciiTheme="minorHAnsi" w:hAnsiTheme="minorHAnsi"/>
          <w:sz w:val="24"/>
          <w:szCs w:val="24"/>
        </w:rPr>
        <w:t xml:space="preserve"> fields of fixation: reliability in healthy subjects and in patients with Graves </w:t>
      </w:r>
      <w:proofErr w:type="spellStart"/>
      <w:r w:rsidR="00EB626F" w:rsidRPr="009677C1">
        <w:rPr>
          <w:rFonts w:asciiTheme="minorHAnsi" w:hAnsiTheme="minorHAnsi"/>
          <w:sz w:val="24"/>
          <w:szCs w:val="24"/>
        </w:rPr>
        <w:t>orbitopathy</w:t>
      </w:r>
      <w:proofErr w:type="spellEnd"/>
      <w:r w:rsidR="00EB626F" w:rsidRPr="009677C1">
        <w:rPr>
          <w:rFonts w:asciiTheme="minorHAnsi" w:hAnsiTheme="minorHAnsi"/>
          <w:sz w:val="24"/>
          <w:szCs w:val="24"/>
        </w:rPr>
        <w:t xml:space="preserve">· </w:t>
      </w:r>
      <w:r w:rsidR="00EB626F">
        <w:rPr>
          <w:rFonts w:asciiTheme="minorHAnsi" w:hAnsiTheme="minorHAnsi"/>
          <w:i/>
          <w:iCs/>
          <w:sz w:val="24"/>
          <w:szCs w:val="24"/>
        </w:rPr>
        <w:t xml:space="preserve">Archives of ophthalmology, </w:t>
      </w:r>
      <w:r w:rsidR="00EB626F" w:rsidRPr="009677C1">
        <w:rPr>
          <w:rFonts w:asciiTheme="minorHAnsi" w:hAnsiTheme="minorHAnsi"/>
          <w:sz w:val="24"/>
          <w:szCs w:val="24"/>
        </w:rPr>
        <w:t>123(3)</w:t>
      </w:r>
      <w:r w:rsidR="00EB626F">
        <w:rPr>
          <w:rFonts w:asciiTheme="minorHAnsi" w:hAnsiTheme="minorHAnsi"/>
          <w:sz w:val="24"/>
          <w:szCs w:val="24"/>
        </w:rPr>
        <w:t>, 356-62.</w:t>
      </w:r>
    </w:p>
    <w:p w14:paraId="42D0FE09" w14:textId="77777777" w:rsidR="00B56C13" w:rsidRPr="009677C1" w:rsidRDefault="00B56C13" w:rsidP="00B56C13">
      <w:pPr>
        <w:pStyle w:val="p1"/>
        <w:rPr>
          <w:rStyle w:val="apple-converted-space"/>
          <w:rFonts w:asciiTheme="minorHAnsi" w:hAnsiTheme="minorHAnsi"/>
          <w:sz w:val="24"/>
          <w:szCs w:val="24"/>
        </w:rPr>
      </w:pPr>
    </w:p>
    <w:p w14:paraId="4BD06264" w14:textId="77777777" w:rsidR="00EB626F" w:rsidRPr="009677C1" w:rsidRDefault="00B56C13" w:rsidP="00EB626F">
      <w:pPr>
        <w:pStyle w:val="NormalWeb"/>
        <w:spacing w:before="2" w:after="2"/>
        <w:rPr>
          <w:rFonts w:asciiTheme="minorHAnsi" w:hAnsiTheme="minorHAnsi"/>
          <w:sz w:val="24"/>
          <w:szCs w:val="24"/>
        </w:rPr>
      </w:pPr>
      <w:r w:rsidRPr="009677C1">
        <w:rPr>
          <w:rStyle w:val="apple-converted-space"/>
          <w:rFonts w:asciiTheme="minorHAnsi" w:hAnsiTheme="minorHAnsi"/>
          <w:sz w:val="24"/>
          <w:szCs w:val="24"/>
        </w:rPr>
        <w:t>†</w:t>
      </w:r>
      <w:r w:rsidR="00EB626F">
        <w:rPr>
          <w:rStyle w:val="apple-converted-space"/>
          <w:rFonts w:asciiTheme="minorHAnsi" w:hAnsiTheme="minorHAnsi"/>
          <w:sz w:val="24"/>
          <w:szCs w:val="24"/>
        </w:rPr>
        <w:t xml:space="preserve"> </w:t>
      </w:r>
      <w:r w:rsidR="00EB626F" w:rsidRPr="009677C1">
        <w:rPr>
          <w:rFonts w:asciiTheme="minorHAnsi" w:hAnsiTheme="minorHAnsi"/>
          <w:sz w:val="24"/>
          <w:szCs w:val="24"/>
        </w:rPr>
        <w:t>Dickinson</w:t>
      </w:r>
      <w:r w:rsidR="00EB626F">
        <w:rPr>
          <w:rFonts w:asciiTheme="minorHAnsi" w:hAnsiTheme="minorHAnsi"/>
          <w:sz w:val="24"/>
          <w:szCs w:val="24"/>
        </w:rPr>
        <w:t>,</w:t>
      </w:r>
      <w:r w:rsidR="00EB626F" w:rsidRPr="009677C1">
        <w:rPr>
          <w:rFonts w:asciiTheme="minorHAnsi" w:hAnsiTheme="minorHAnsi"/>
          <w:sz w:val="24"/>
          <w:szCs w:val="24"/>
        </w:rPr>
        <w:t xml:space="preserve"> A</w:t>
      </w:r>
      <w:r w:rsidR="00EB626F">
        <w:rPr>
          <w:rFonts w:asciiTheme="minorHAnsi" w:hAnsiTheme="minorHAnsi"/>
          <w:sz w:val="24"/>
          <w:szCs w:val="24"/>
        </w:rPr>
        <w:t xml:space="preserve">. </w:t>
      </w:r>
      <w:r w:rsidR="00EB626F" w:rsidRPr="009677C1">
        <w:rPr>
          <w:rFonts w:asciiTheme="minorHAnsi" w:hAnsiTheme="minorHAnsi"/>
          <w:sz w:val="24"/>
          <w:szCs w:val="24"/>
        </w:rPr>
        <w:t>J</w:t>
      </w:r>
      <w:r w:rsidR="00EB626F">
        <w:rPr>
          <w:rFonts w:asciiTheme="minorHAnsi" w:hAnsiTheme="minorHAnsi"/>
          <w:sz w:val="24"/>
          <w:szCs w:val="24"/>
        </w:rPr>
        <w:t>.</w:t>
      </w:r>
      <w:r w:rsidR="00EB626F" w:rsidRPr="009677C1">
        <w:rPr>
          <w:rFonts w:asciiTheme="minorHAnsi" w:hAnsiTheme="minorHAnsi"/>
          <w:sz w:val="24"/>
          <w:szCs w:val="24"/>
        </w:rPr>
        <w:t xml:space="preserve">, </w:t>
      </w:r>
      <w:r w:rsidR="00EB626F">
        <w:rPr>
          <w:rFonts w:asciiTheme="minorHAnsi" w:hAnsiTheme="minorHAnsi"/>
          <w:sz w:val="24"/>
          <w:szCs w:val="24"/>
        </w:rPr>
        <w:t xml:space="preserve">&amp; </w:t>
      </w:r>
      <w:proofErr w:type="spellStart"/>
      <w:r w:rsidR="00EB626F" w:rsidRPr="009677C1">
        <w:rPr>
          <w:rFonts w:asciiTheme="minorHAnsi" w:hAnsiTheme="minorHAnsi"/>
          <w:sz w:val="24"/>
          <w:szCs w:val="24"/>
        </w:rPr>
        <w:t>Perros</w:t>
      </w:r>
      <w:proofErr w:type="spellEnd"/>
      <w:r w:rsidR="00EB626F">
        <w:rPr>
          <w:rFonts w:asciiTheme="minorHAnsi" w:hAnsiTheme="minorHAnsi"/>
          <w:sz w:val="24"/>
          <w:szCs w:val="24"/>
        </w:rPr>
        <w:t>,</w:t>
      </w:r>
      <w:r w:rsidR="00EB626F" w:rsidRPr="009677C1">
        <w:rPr>
          <w:rFonts w:asciiTheme="minorHAnsi" w:hAnsiTheme="minorHAnsi"/>
          <w:sz w:val="24"/>
          <w:szCs w:val="24"/>
        </w:rPr>
        <w:t xml:space="preserve"> P</w:t>
      </w:r>
      <w:r w:rsidR="00EB626F">
        <w:rPr>
          <w:rFonts w:asciiTheme="minorHAnsi" w:hAnsiTheme="minorHAnsi"/>
          <w:sz w:val="24"/>
          <w:szCs w:val="24"/>
        </w:rPr>
        <w:t>.</w:t>
      </w:r>
      <w:r w:rsidR="00EB626F" w:rsidRPr="009677C1">
        <w:rPr>
          <w:rFonts w:asciiTheme="minorHAnsi" w:hAnsiTheme="minorHAnsi"/>
          <w:sz w:val="24"/>
          <w:szCs w:val="24"/>
        </w:rPr>
        <w:t xml:space="preserve"> </w:t>
      </w:r>
      <w:r w:rsidR="00EB626F">
        <w:rPr>
          <w:rFonts w:asciiTheme="minorHAnsi" w:hAnsiTheme="minorHAnsi"/>
          <w:sz w:val="24"/>
          <w:szCs w:val="24"/>
        </w:rPr>
        <w:t xml:space="preserve">(2001). </w:t>
      </w:r>
      <w:r w:rsidR="00EB626F" w:rsidRPr="009677C1">
        <w:rPr>
          <w:rFonts w:asciiTheme="minorHAnsi" w:hAnsiTheme="minorHAnsi"/>
          <w:sz w:val="24"/>
          <w:szCs w:val="24"/>
        </w:rPr>
        <w:t xml:space="preserve">Controversies in the clinical evaluation of active thyroid-associated </w:t>
      </w:r>
      <w:proofErr w:type="spellStart"/>
      <w:r w:rsidR="00EB626F" w:rsidRPr="009677C1">
        <w:rPr>
          <w:rFonts w:asciiTheme="minorHAnsi" w:hAnsiTheme="minorHAnsi"/>
          <w:sz w:val="24"/>
          <w:szCs w:val="24"/>
        </w:rPr>
        <w:t>orbitopathy</w:t>
      </w:r>
      <w:proofErr w:type="spellEnd"/>
      <w:r w:rsidR="00EB626F" w:rsidRPr="009677C1">
        <w:rPr>
          <w:rFonts w:asciiTheme="minorHAnsi" w:hAnsiTheme="minorHAnsi"/>
          <w:sz w:val="24"/>
          <w:szCs w:val="24"/>
        </w:rPr>
        <w:t xml:space="preserve">: use of a detailed protocol with comparative photographs for objective assessment· </w:t>
      </w:r>
      <w:proofErr w:type="spellStart"/>
      <w:r w:rsidR="00EB626F" w:rsidRPr="009677C1">
        <w:rPr>
          <w:rFonts w:asciiTheme="minorHAnsi" w:hAnsiTheme="minorHAnsi"/>
          <w:i/>
          <w:iCs/>
          <w:sz w:val="24"/>
          <w:szCs w:val="24"/>
        </w:rPr>
        <w:t>Clin</w:t>
      </w:r>
      <w:proofErr w:type="spellEnd"/>
      <w:r w:rsidR="00EB626F" w:rsidRPr="009677C1">
        <w:rPr>
          <w:rFonts w:asciiTheme="minorHAnsi" w:hAnsiTheme="minorHAnsi"/>
          <w:i/>
          <w:iCs/>
          <w:sz w:val="24"/>
          <w:szCs w:val="24"/>
        </w:rPr>
        <w:t xml:space="preserve"> </w:t>
      </w:r>
      <w:proofErr w:type="spellStart"/>
      <w:r w:rsidR="00EB626F" w:rsidRPr="009677C1">
        <w:rPr>
          <w:rFonts w:asciiTheme="minorHAnsi" w:hAnsiTheme="minorHAnsi"/>
          <w:i/>
          <w:iCs/>
          <w:sz w:val="24"/>
          <w:szCs w:val="24"/>
        </w:rPr>
        <w:t>Endocrinol</w:t>
      </w:r>
      <w:proofErr w:type="spellEnd"/>
      <w:r w:rsidR="00EB626F">
        <w:rPr>
          <w:rFonts w:asciiTheme="minorHAnsi" w:hAnsiTheme="minorHAnsi"/>
          <w:i/>
          <w:iCs/>
          <w:sz w:val="24"/>
          <w:szCs w:val="24"/>
        </w:rPr>
        <w:t>,</w:t>
      </w:r>
      <w:r w:rsidR="00EB626F" w:rsidRPr="009677C1">
        <w:rPr>
          <w:rFonts w:asciiTheme="minorHAnsi" w:hAnsiTheme="minorHAnsi"/>
          <w:i/>
          <w:iCs/>
          <w:sz w:val="24"/>
          <w:szCs w:val="24"/>
        </w:rPr>
        <w:t xml:space="preserve"> </w:t>
      </w:r>
      <w:r w:rsidR="00EB626F" w:rsidRPr="009677C1">
        <w:rPr>
          <w:rFonts w:asciiTheme="minorHAnsi" w:hAnsiTheme="minorHAnsi"/>
          <w:sz w:val="24"/>
          <w:szCs w:val="24"/>
        </w:rPr>
        <w:t>55(3)</w:t>
      </w:r>
      <w:r w:rsidR="00EB626F">
        <w:rPr>
          <w:rFonts w:asciiTheme="minorHAnsi" w:hAnsiTheme="minorHAnsi"/>
          <w:sz w:val="24"/>
          <w:szCs w:val="24"/>
        </w:rPr>
        <w:t>, 283-303.</w:t>
      </w:r>
    </w:p>
    <w:p w14:paraId="241B80A5" w14:textId="075E6835" w:rsidR="00EB626F" w:rsidRDefault="00B56C13" w:rsidP="00B56C13">
      <w:pPr>
        <w:pStyle w:val="p1"/>
        <w:rPr>
          <w:rStyle w:val="apple-converted-space"/>
          <w:rFonts w:asciiTheme="minorHAnsi" w:hAnsiTheme="minorHAnsi"/>
          <w:sz w:val="24"/>
          <w:szCs w:val="24"/>
        </w:rPr>
      </w:pPr>
      <w:r w:rsidRPr="009677C1">
        <w:rPr>
          <w:rStyle w:val="apple-converted-space"/>
          <w:rFonts w:asciiTheme="minorHAnsi" w:hAnsiTheme="minorHAnsi"/>
          <w:sz w:val="24"/>
          <w:szCs w:val="24"/>
        </w:rPr>
        <w:t xml:space="preserve"> </w:t>
      </w:r>
    </w:p>
    <w:p w14:paraId="47CEEDCD" w14:textId="77777777" w:rsidR="00EB626F" w:rsidRDefault="00B56C13" w:rsidP="00EB626F">
      <w:pPr>
        <w:pStyle w:val="NormalWeb"/>
        <w:spacing w:before="2" w:after="2"/>
        <w:rPr>
          <w:rStyle w:val="Hyperlink"/>
          <w:rFonts w:asciiTheme="minorHAnsi" w:hAnsiTheme="minorHAnsi" w:cs="Helvetica"/>
          <w:color w:val="auto"/>
          <w:sz w:val="24"/>
          <w:szCs w:val="24"/>
          <w:lang w:val="en"/>
        </w:rPr>
      </w:pPr>
      <w:r w:rsidRPr="009677C1">
        <w:rPr>
          <w:rFonts w:asciiTheme="minorHAnsi" w:hAnsiTheme="minorHAnsi"/>
          <w:sz w:val="24"/>
          <w:szCs w:val="24"/>
        </w:rPr>
        <w:t xml:space="preserve">^ </w:t>
      </w:r>
      <w:r w:rsidR="00EB626F" w:rsidRPr="00195E8A">
        <w:rPr>
          <w:rFonts w:asciiTheme="minorHAnsi" w:hAnsiTheme="minorHAnsi"/>
          <w:noProof/>
          <w:sz w:val="24"/>
          <w:szCs w:val="24"/>
        </w:rPr>
        <w:t>Marcocci</w:t>
      </w:r>
      <w:r w:rsidR="00EB626F">
        <w:rPr>
          <w:rFonts w:asciiTheme="minorHAnsi" w:hAnsiTheme="minorHAnsi"/>
          <w:noProof/>
          <w:sz w:val="24"/>
          <w:szCs w:val="24"/>
        </w:rPr>
        <w:t>,</w:t>
      </w:r>
      <w:r w:rsidR="00EB626F" w:rsidRPr="00195E8A">
        <w:rPr>
          <w:rFonts w:asciiTheme="minorHAnsi" w:hAnsiTheme="minorHAnsi"/>
          <w:noProof/>
          <w:sz w:val="24"/>
          <w:szCs w:val="24"/>
        </w:rPr>
        <w:t xml:space="preserve"> C</w:t>
      </w:r>
      <w:r w:rsidR="00EB626F">
        <w:rPr>
          <w:rFonts w:asciiTheme="minorHAnsi" w:hAnsiTheme="minorHAnsi"/>
          <w:noProof/>
          <w:sz w:val="24"/>
          <w:szCs w:val="24"/>
        </w:rPr>
        <w:t>.</w:t>
      </w:r>
      <w:r w:rsidR="00EB626F" w:rsidRPr="00195E8A">
        <w:rPr>
          <w:rFonts w:asciiTheme="minorHAnsi" w:hAnsiTheme="minorHAnsi"/>
          <w:noProof/>
          <w:sz w:val="24"/>
          <w:szCs w:val="24"/>
        </w:rPr>
        <w:t>, Bartalena</w:t>
      </w:r>
      <w:r w:rsidR="00EB626F">
        <w:rPr>
          <w:rFonts w:asciiTheme="minorHAnsi" w:hAnsiTheme="minorHAnsi"/>
          <w:noProof/>
          <w:sz w:val="24"/>
          <w:szCs w:val="24"/>
        </w:rPr>
        <w:t>,</w:t>
      </w:r>
      <w:r w:rsidR="00EB626F" w:rsidRPr="00195E8A">
        <w:rPr>
          <w:rFonts w:asciiTheme="minorHAnsi" w:hAnsiTheme="minorHAnsi"/>
          <w:noProof/>
          <w:sz w:val="24"/>
          <w:szCs w:val="24"/>
        </w:rPr>
        <w:t xml:space="preserve"> L</w:t>
      </w:r>
      <w:r w:rsidR="00EB626F">
        <w:rPr>
          <w:rFonts w:asciiTheme="minorHAnsi" w:hAnsiTheme="minorHAnsi"/>
          <w:noProof/>
          <w:sz w:val="24"/>
          <w:szCs w:val="24"/>
        </w:rPr>
        <w:t>.</w:t>
      </w:r>
      <w:r w:rsidR="00EB626F" w:rsidRPr="00195E8A">
        <w:rPr>
          <w:rFonts w:asciiTheme="minorHAnsi" w:hAnsiTheme="minorHAnsi"/>
          <w:noProof/>
          <w:sz w:val="24"/>
          <w:szCs w:val="24"/>
        </w:rPr>
        <w:t>, Tanda</w:t>
      </w:r>
      <w:r w:rsidR="00EB626F">
        <w:rPr>
          <w:rFonts w:asciiTheme="minorHAnsi" w:hAnsiTheme="minorHAnsi"/>
          <w:noProof/>
          <w:sz w:val="24"/>
          <w:szCs w:val="24"/>
        </w:rPr>
        <w:t>,</w:t>
      </w:r>
      <w:r w:rsidR="00EB626F" w:rsidRPr="00195E8A">
        <w:rPr>
          <w:rFonts w:asciiTheme="minorHAnsi" w:hAnsiTheme="minorHAnsi"/>
          <w:noProof/>
          <w:sz w:val="24"/>
          <w:szCs w:val="24"/>
        </w:rPr>
        <w:t xml:space="preserve"> M</w:t>
      </w:r>
      <w:r w:rsidR="00EB626F">
        <w:rPr>
          <w:rFonts w:asciiTheme="minorHAnsi" w:hAnsiTheme="minorHAnsi"/>
          <w:noProof/>
          <w:sz w:val="24"/>
          <w:szCs w:val="24"/>
        </w:rPr>
        <w:t xml:space="preserve">. </w:t>
      </w:r>
      <w:r w:rsidR="00EB626F" w:rsidRPr="00195E8A">
        <w:rPr>
          <w:rFonts w:asciiTheme="minorHAnsi" w:hAnsiTheme="minorHAnsi"/>
          <w:noProof/>
          <w:sz w:val="24"/>
          <w:szCs w:val="24"/>
        </w:rPr>
        <w:t>L</w:t>
      </w:r>
      <w:r w:rsidR="00EB626F">
        <w:rPr>
          <w:rFonts w:asciiTheme="minorHAnsi" w:hAnsiTheme="minorHAnsi"/>
          <w:noProof/>
          <w:sz w:val="24"/>
          <w:szCs w:val="24"/>
        </w:rPr>
        <w:t>.</w:t>
      </w:r>
      <w:r w:rsidR="00EB626F" w:rsidRPr="00195E8A">
        <w:rPr>
          <w:rFonts w:asciiTheme="minorHAnsi" w:hAnsiTheme="minorHAnsi"/>
          <w:noProof/>
          <w:sz w:val="24"/>
          <w:szCs w:val="24"/>
        </w:rPr>
        <w:t xml:space="preserve">, </w:t>
      </w:r>
      <w:r w:rsidR="00EB626F">
        <w:rPr>
          <w:rFonts w:asciiTheme="minorHAnsi" w:hAnsiTheme="minorHAnsi"/>
          <w:noProof/>
          <w:sz w:val="24"/>
          <w:szCs w:val="24"/>
        </w:rPr>
        <w:t>Manetti, L., Dell-Unto, E., Rocchi, R., … Pinchera, A.</w:t>
      </w:r>
      <w:r w:rsidR="00EB626F" w:rsidRPr="00195E8A">
        <w:rPr>
          <w:rFonts w:asciiTheme="minorHAnsi" w:hAnsiTheme="minorHAnsi"/>
          <w:noProof/>
          <w:sz w:val="24"/>
          <w:szCs w:val="24"/>
        </w:rPr>
        <w:t xml:space="preserve"> (2001). Comparison of the effectiveness and tolerability of intravenous or oral glucocorticoids associated with orbital radiotherapy in the management of severe Graves' ophthalmopathy: results of a prospective, single-blind, randomized study. </w:t>
      </w:r>
      <w:r w:rsidR="00EB626F" w:rsidRPr="00195E8A">
        <w:rPr>
          <w:rFonts w:asciiTheme="minorHAnsi" w:hAnsiTheme="minorHAnsi"/>
          <w:i/>
          <w:noProof/>
          <w:sz w:val="24"/>
          <w:szCs w:val="24"/>
        </w:rPr>
        <w:t>J</w:t>
      </w:r>
      <w:r w:rsidR="00EB626F">
        <w:rPr>
          <w:rFonts w:asciiTheme="minorHAnsi" w:hAnsiTheme="minorHAnsi"/>
          <w:i/>
          <w:noProof/>
          <w:sz w:val="24"/>
          <w:szCs w:val="24"/>
        </w:rPr>
        <w:t>ournal</w:t>
      </w:r>
      <w:r w:rsidR="00EB626F" w:rsidRPr="00195E8A">
        <w:rPr>
          <w:rFonts w:asciiTheme="minorHAnsi" w:hAnsiTheme="minorHAnsi"/>
          <w:i/>
          <w:noProof/>
          <w:sz w:val="24"/>
          <w:szCs w:val="24"/>
        </w:rPr>
        <w:t xml:space="preserve"> </w:t>
      </w:r>
      <w:r w:rsidR="00EB626F">
        <w:rPr>
          <w:rFonts w:asciiTheme="minorHAnsi" w:hAnsiTheme="minorHAnsi"/>
          <w:i/>
          <w:noProof/>
          <w:sz w:val="24"/>
          <w:szCs w:val="24"/>
        </w:rPr>
        <w:t xml:space="preserve">of </w:t>
      </w:r>
      <w:r w:rsidR="00EB626F" w:rsidRPr="00195E8A">
        <w:rPr>
          <w:rFonts w:asciiTheme="minorHAnsi" w:hAnsiTheme="minorHAnsi"/>
          <w:i/>
          <w:noProof/>
          <w:sz w:val="24"/>
          <w:szCs w:val="24"/>
        </w:rPr>
        <w:t>Clin</w:t>
      </w:r>
      <w:r w:rsidR="00EB626F">
        <w:rPr>
          <w:rFonts w:asciiTheme="minorHAnsi" w:hAnsiTheme="minorHAnsi"/>
          <w:i/>
          <w:noProof/>
          <w:sz w:val="24"/>
          <w:szCs w:val="24"/>
        </w:rPr>
        <w:t>inical</w:t>
      </w:r>
      <w:r w:rsidR="00EB626F" w:rsidRPr="00195E8A">
        <w:rPr>
          <w:rFonts w:asciiTheme="minorHAnsi" w:hAnsiTheme="minorHAnsi"/>
          <w:i/>
          <w:noProof/>
          <w:sz w:val="24"/>
          <w:szCs w:val="24"/>
        </w:rPr>
        <w:t xml:space="preserve"> Endocrinol</w:t>
      </w:r>
      <w:r w:rsidR="00EB626F">
        <w:rPr>
          <w:rFonts w:asciiTheme="minorHAnsi" w:hAnsiTheme="minorHAnsi"/>
          <w:i/>
          <w:noProof/>
          <w:sz w:val="24"/>
          <w:szCs w:val="24"/>
        </w:rPr>
        <w:t>ogy &amp;</w:t>
      </w:r>
      <w:r w:rsidR="00EB626F" w:rsidRPr="00195E8A">
        <w:rPr>
          <w:rFonts w:asciiTheme="minorHAnsi" w:hAnsiTheme="minorHAnsi"/>
          <w:i/>
          <w:noProof/>
          <w:sz w:val="24"/>
          <w:szCs w:val="24"/>
        </w:rPr>
        <w:t xml:space="preserve"> Metab</w:t>
      </w:r>
      <w:r w:rsidR="00EB626F">
        <w:rPr>
          <w:rFonts w:asciiTheme="minorHAnsi" w:hAnsiTheme="minorHAnsi"/>
          <w:i/>
          <w:noProof/>
          <w:sz w:val="24"/>
          <w:szCs w:val="24"/>
        </w:rPr>
        <w:t>olism,</w:t>
      </w:r>
      <w:r w:rsidR="00EB626F" w:rsidRPr="00195E8A">
        <w:rPr>
          <w:rFonts w:asciiTheme="minorHAnsi" w:hAnsiTheme="minorHAnsi"/>
          <w:noProof/>
          <w:sz w:val="24"/>
          <w:szCs w:val="24"/>
        </w:rPr>
        <w:t xml:space="preserve"> </w:t>
      </w:r>
      <w:r w:rsidR="00EB626F" w:rsidRPr="00B42C53">
        <w:rPr>
          <w:rFonts w:asciiTheme="minorHAnsi" w:hAnsiTheme="minorHAnsi"/>
          <w:noProof/>
          <w:sz w:val="24"/>
          <w:szCs w:val="24"/>
        </w:rPr>
        <w:t>86</w:t>
      </w:r>
      <w:r w:rsidR="00EB626F">
        <w:rPr>
          <w:rFonts w:asciiTheme="minorHAnsi" w:hAnsiTheme="minorHAnsi"/>
          <w:noProof/>
          <w:sz w:val="24"/>
          <w:szCs w:val="24"/>
        </w:rPr>
        <w:t>(</w:t>
      </w:r>
      <w:r w:rsidR="00EB626F" w:rsidRPr="00195E8A">
        <w:rPr>
          <w:rFonts w:asciiTheme="minorHAnsi" w:hAnsiTheme="minorHAnsi"/>
          <w:noProof/>
          <w:sz w:val="24"/>
          <w:szCs w:val="24"/>
        </w:rPr>
        <w:t>8</w:t>
      </w:r>
      <w:r w:rsidR="00EB626F">
        <w:rPr>
          <w:rFonts w:asciiTheme="minorHAnsi" w:hAnsiTheme="minorHAnsi"/>
          <w:noProof/>
          <w:sz w:val="24"/>
          <w:szCs w:val="24"/>
        </w:rPr>
        <w:t>),</w:t>
      </w:r>
      <w:r w:rsidR="00EB626F" w:rsidRPr="00195E8A">
        <w:rPr>
          <w:rFonts w:asciiTheme="minorHAnsi" w:hAnsiTheme="minorHAnsi"/>
          <w:noProof/>
          <w:sz w:val="24"/>
          <w:szCs w:val="24"/>
        </w:rPr>
        <w:t xml:space="preserve"> 3562-7.</w:t>
      </w:r>
      <w:r w:rsidR="00EB626F">
        <w:rPr>
          <w:rFonts w:asciiTheme="minorHAnsi" w:hAnsiTheme="minorHAnsi"/>
          <w:noProof/>
          <w:sz w:val="24"/>
          <w:szCs w:val="24"/>
        </w:rPr>
        <w:t xml:space="preserve"> doi</w:t>
      </w:r>
      <w:r w:rsidR="00EB626F" w:rsidRPr="00195E8A">
        <w:rPr>
          <w:rFonts w:asciiTheme="minorHAnsi" w:hAnsiTheme="minorHAnsi" w:cs="Helvetica"/>
          <w:sz w:val="24"/>
          <w:szCs w:val="24"/>
          <w:lang w:val="en"/>
        </w:rPr>
        <w:t xml:space="preserve">: </w:t>
      </w:r>
      <w:hyperlink r:id="rId18" w:history="1">
        <w:r w:rsidR="00EB626F" w:rsidRPr="00195E8A">
          <w:rPr>
            <w:rStyle w:val="Hyperlink"/>
            <w:rFonts w:asciiTheme="minorHAnsi" w:hAnsiTheme="minorHAnsi" w:cs="Helvetica"/>
            <w:color w:val="auto"/>
            <w:sz w:val="24"/>
            <w:szCs w:val="24"/>
            <w:lang w:val="en"/>
          </w:rPr>
          <w:t>http://dx.doi.org/10.1210/jcem.86.8.7737</w:t>
        </w:r>
      </w:hyperlink>
    </w:p>
    <w:p w14:paraId="7823E109" w14:textId="77777777" w:rsidR="00EB626F" w:rsidRDefault="00EB626F" w:rsidP="009677C1">
      <w:pPr>
        <w:pStyle w:val="p1"/>
        <w:rPr>
          <w:rFonts w:asciiTheme="minorHAnsi" w:hAnsiTheme="minorHAnsi"/>
          <w:sz w:val="24"/>
          <w:szCs w:val="24"/>
        </w:rPr>
      </w:pPr>
    </w:p>
    <w:p w14:paraId="742B59B1" w14:textId="77777777" w:rsidR="0072571C" w:rsidRPr="0048229C" w:rsidRDefault="0072571C" w:rsidP="0072571C">
      <w:pPr>
        <w:pStyle w:val="Caption"/>
      </w:pPr>
      <w:r w:rsidRPr="0048229C">
        <w:t xml:space="preserve">Table </w:t>
      </w:r>
      <w:r>
        <w:t>1</w:t>
      </w:r>
      <w:r w:rsidRPr="0048229C">
        <w:t xml:space="preserve">. Overview of the </w:t>
      </w:r>
      <w:r>
        <w:t>standardised questionnaires</w:t>
      </w:r>
      <w:r w:rsidRPr="0048229C">
        <w:t xml:space="preserve">. </w:t>
      </w:r>
    </w:p>
    <w:tbl>
      <w:tblPr>
        <w:tblStyle w:val="TableGrid"/>
        <w:tblpPr w:leftFromText="180" w:rightFromText="180" w:vertAnchor="text" w:horzAnchor="page" w:tblpX="1909" w:tblpY="24"/>
        <w:tblW w:w="0" w:type="auto"/>
        <w:tblLook w:val="00A0" w:firstRow="1" w:lastRow="0" w:firstColumn="1" w:lastColumn="0" w:noHBand="0" w:noVBand="0"/>
      </w:tblPr>
      <w:tblGrid>
        <w:gridCol w:w="2204"/>
        <w:gridCol w:w="6086"/>
      </w:tblGrid>
      <w:tr w:rsidR="0072571C" w:rsidRPr="0048229C" w14:paraId="30A7E3C1" w14:textId="77777777" w:rsidTr="0072571C">
        <w:tc>
          <w:tcPr>
            <w:tcW w:w="2204" w:type="dxa"/>
          </w:tcPr>
          <w:p w14:paraId="3E1CE28C" w14:textId="77777777" w:rsidR="0072571C" w:rsidRPr="0048229C" w:rsidRDefault="0072571C" w:rsidP="0072571C">
            <w:pPr>
              <w:widowControl w:val="0"/>
              <w:autoSpaceDE w:val="0"/>
              <w:autoSpaceDN w:val="0"/>
              <w:adjustRightInd w:val="0"/>
              <w:spacing w:line="360" w:lineRule="auto"/>
              <w:rPr>
                <w:rFonts w:cs="Times New Roman"/>
                <w:b/>
                <w:lang w:val="en-US"/>
              </w:rPr>
            </w:pPr>
            <w:r w:rsidRPr="0048229C">
              <w:rPr>
                <w:rFonts w:cs="Times New Roman"/>
                <w:b/>
                <w:lang w:val="en-US"/>
              </w:rPr>
              <w:t>Measure</w:t>
            </w:r>
          </w:p>
        </w:tc>
        <w:tc>
          <w:tcPr>
            <w:tcW w:w="6086" w:type="dxa"/>
          </w:tcPr>
          <w:p w14:paraId="752BE973" w14:textId="77777777" w:rsidR="0072571C" w:rsidRPr="0048229C" w:rsidRDefault="0072571C" w:rsidP="0072571C">
            <w:pPr>
              <w:widowControl w:val="0"/>
              <w:autoSpaceDE w:val="0"/>
              <w:autoSpaceDN w:val="0"/>
              <w:adjustRightInd w:val="0"/>
              <w:spacing w:line="360" w:lineRule="auto"/>
              <w:rPr>
                <w:rFonts w:cs="Times New Roman"/>
                <w:b/>
                <w:lang w:val="en-US"/>
              </w:rPr>
            </w:pPr>
            <w:r w:rsidRPr="0048229C">
              <w:rPr>
                <w:rFonts w:cs="Times New Roman"/>
                <w:b/>
                <w:lang w:val="en-US"/>
              </w:rPr>
              <w:t>Description</w:t>
            </w:r>
          </w:p>
        </w:tc>
      </w:tr>
      <w:tr w:rsidR="0072571C" w:rsidRPr="0048229C" w14:paraId="2D2FCEE7" w14:textId="77777777" w:rsidTr="0072571C">
        <w:tc>
          <w:tcPr>
            <w:tcW w:w="8290" w:type="dxa"/>
            <w:gridSpan w:val="2"/>
          </w:tcPr>
          <w:p w14:paraId="33D92A12" w14:textId="77777777" w:rsidR="0072571C" w:rsidRPr="0048229C" w:rsidRDefault="0072571C" w:rsidP="0072571C">
            <w:pPr>
              <w:widowControl w:val="0"/>
              <w:autoSpaceDE w:val="0"/>
              <w:autoSpaceDN w:val="0"/>
              <w:adjustRightInd w:val="0"/>
              <w:spacing w:line="360" w:lineRule="auto"/>
              <w:rPr>
                <w:rFonts w:cs="Times New Roman"/>
                <w:lang w:val="en-US"/>
              </w:rPr>
            </w:pPr>
            <w:proofErr w:type="spellStart"/>
            <w:r>
              <w:rPr>
                <w:rFonts w:cs="Times New Roman"/>
                <w:b/>
                <w:lang w:val="en-US"/>
              </w:rPr>
              <w:t>Standardised</w:t>
            </w:r>
            <w:proofErr w:type="spellEnd"/>
            <w:r>
              <w:rPr>
                <w:rFonts w:cs="Times New Roman"/>
                <w:b/>
                <w:lang w:val="en-US"/>
              </w:rPr>
              <w:t xml:space="preserve"> questionnaires</w:t>
            </w:r>
          </w:p>
        </w:tc>
      </w:tr>
      <w:tr w:rsidR="0072571C" w:rsidRPr="0048229C" w14:paraId="5F218761" w14:textId="77777777" w:rsidTr="0072571C">
        <w:tc>
          <w:tcPr>
            <w:tcW w:w="2204" w:type="dxa"/>
          </w:tcPr>
          <w:p w14:paraId="1E215002"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GO-QOL</w:t>
            </w:r>
          </w:p>
        </w:tc>
        <w:tc>
          <w:tcPr>
            <w:tcW w:w="6086" w:type="dxa"/>
          </w:tcPr>
          <w:p w14:paraId="7F071944"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TED specific quality of life measure</w:t>
            </w:r>
            <w:r>
              <w:rPr>
                <w:rFonts w:cs="Times New Roman"/>
                <w:lang w:val="en-US"/>
              </w:rPr>
              <w:t>, validated in the Netherlands</w:t>
            </w:r>
          </w:p>
          <w:p w14:paraId="4E613CEA"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- 2 subscales</w:t>
            </w:r>
            <w:r>
              <w:rPr>
                <w:rFonts w:cs="Times New Roman"/>
                <w:lang w:val="en-US"/>
              </w:rPr>
              <w:t>:</w:t>
            </w:r>
            <w:r w:rsidRPr="0048229C">
              <w:rPr>
                <w:rFonts w:cs="Times New Roman"/>
                <w:lang w:val="en-US"/>
              </w:rPr>
              <w:t xml:space="preserve"> </w:t>
            </w:r>
            <w:r>
              <w:rPr>
                <w:rFonts w:cs="Times New Roman"/>
                <w:lang w:val="en-US"/>
              </w:rPr>
              <w:t>‘</w:t>
            </w:r>
            <w:r w:rsidRPr="0048229C">
              <w:rPr>
                <w:rFonts w:cs="Times New Roman"/>
                <w:lang w:val="en-US"/>
              </w:rPr>
              <w:t>visual function</w:t>
            </w:r>
            <w:r>
              <w:rPr>
                <w:rFonts w:cs="Times New Roman"/>
                <w:lang w:val="en-US"/>
              </w:rPr>
              <w:t>’</w:t>
            </w:r>
            <w:r w:rsidRPr="0048229C">
              <w:rPr>
                <w:rFonts w:cs="Times New Roman"/>
                <w:lang w:val="en-US"/>
              </w:rPr>
              <w:t xml:space="preserve"> </w:t>
            </w:r>
            <w:r>
              <w:t>&amp; ‘</w:t>
            </w:r>
            <w:r w:rsidRPr="0048229C">
              <w:rPr>
                <w:rFonts w:cs="Times New Roman"/>
                <w:lang w:val="en-US"/>
              </w:rPr>
              <w:t>appearance</w:t>
            </w:r>
            <w:r>
              <w:rPr>
                <w:rFonts w:cs="Times New Roman"/>
                <w:lang w:val="en-US"/>
              </w:rPr>
              <w:t>’ comprising</w:t>
            </w:r>
            <w:r w:rsidRPr="0048229C">
              <w:rPr>
                <w:rFonts w:cs="Times New Roman"/>
                <w:lang w:val="en-US"/>
              </w:rPr>
              <w:t xml:space="preserve"> 8 questions each</w:t>
            </w:r>
          </w:p>
          <w:p w14:paraId="036AB68D"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xml:space="preserve">- </w:t>
            </w:r>
            <w:r>
              <w:rPr>
                <w:rFonts w:cs="Times New Roman"/>
                <w:lang w:val="en-US"/>
              </w:rPr>
              <w:t xml:space="preserve">each item is scored as follows: </w:t>
            </w:r>
            <w:r w:rsidRPr="0048229C">
              <w:rPr>
                <w:rFonts w:cs="Times New Roman"/>
                <w:lang w:val="en-US"/>
              </w:rPr>
              <w:t>1</w:t>
            </w:r>
            <w:r>
              <w:rPr>
                <w:rFonts w:cs="Times New Roman"/>
                <w:lang w:val="en-US"/>
              </w:rPr>
              <w:t>=</w:t>
            </w:r>
            <w:r w:rsidRPr="0048229C">
              <w:rPr>
                <w:rFonts w:cs="Times New Roman"/>
                <w:lang w:val="en-US"/>
              </w:rPr>
              <w:t xml:space="preserve"> not impaired</w:t>
            </w:r>
            <w:r>
              <w:rPr>
                <w:rFonts w:cs="Times New Roman"/>
                <w:lang w:val="en-US"/>
              </w:rPr>
              <w:t>; 2=</w:t>
            </w:r>
            <w:r w:rsidRPr="0048229C">
              <w:rPr>
                <w:rFonts w:cs="Times New Roman"/>
                <w:lang w:val="en-US"/>
              </w:rPr>
              <w:t>a little impaired</w:t>
            </w:r>
            <w:r>
              <w:rPr>
                <w:rFonts w:cs="Times New Roman"/>
                <w:lang w:val="en-US"/>
              </w:rPr>
              <w:t>; 3=</w:t>
            </w:r>
            <w:r w:rsidRPr="0048229C">
              <w:rPr>
                <w:rFonts w:cs="Times New Roman"/>
                <w:lang w:val="en-US"/>
              </w:rPr>
              <w:t>severely impaired</w:t>
            </w:r>
          </w:p>
          <w:p w14:paraId="2FE9F506" w14:textId="77777777" w:rsidR="0072571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raw score</w:t>
            </w:r>
            <w:r>
              <w:rPr>
                <w:rFonts w:cs="Times New Roman"/>
                <w:lang w:val="en-US"/>
              </w:rPr>
              <w:t>s are</w:t>
            </w:r>
            <w:r w:rsidRPr="0048229C">
              <w:rPr>
                <w:rFonts w:cs="Times New Roman"/>
                <w:lang w:val="en-US"/>
              </w:rPr>
              <w:t xml:space="preserve"> transformed to </w:t>
            </w:r>
            <w:r>
              <w:rPr>
                <w:rFonts w:cs="Times New Roman"/>
                <w:lang w:val="en-US"/>
              </w:rPr>
              <w:t xml:space="preserve">give a total </w:t>
            </w:r>
            <w:r w:rsidRPr="0048229C">
              <w:rPr>
                <w:rFonts w:cs="Times New Roman"/>
                <w:lang w:val="en-US"/>
              </w:rPr>
              <w:t>out of 100</w:t>
            </w:r>
            <w:r>
              <w:rPr>
                <w:rFonts w:cs="Times New Roman"/>
                <w:lang w:val="en-US"/>
              </w:rPr>
              <w:t xml:space="preserve"> for each subscale</w:t>
            </w:r>
          </w:p>
          <w:p w14:paraId="3D69AAB1" w14:textId="77777777" w:rsidR="0072571C" w:rsidRPr="00816201" w:rsidRDefault="0072571C" w:rsidP="0072571C">
            <w:r>
              <w:rPr>
                <w:rFonts w:cs="Times New Roman"/>
                <w:lang w:val="en-US"/>
              </w:rPr>
              <w:t xml:space="preserve">- </w:t>
            </w:r>
            <w:r w:rsidRPr="00816201">
              <w:t xml:space="preserve"> higher scores indicate greater quality of life</w:t>
            </w:r>
          </w:p>
          <w:p w14:paraId="19C61508" w14:textId="77777777" w:rsidR="0072571C" w:rsidRPr="0048229C" w:rsidRDefault="0072571C" w:rsidP="0072571C">
            <w:pPr>
              <w:widowControl w:val="0"/>
              <w:autoSpaceDE w:val="0"/>
              <w:autoSpaceDN w:val="0"/>
              <w:adjustRightInd w:val="0"/>
              <w:spacing w:line="360" w:lineRule="auto"/>
              <w:rPr>
                <w:rFonts w:cs="Times New Roman"/>
                <w:lang w:val="en-US"/>
              </w:rPr>
            </w:pPr>
          </w:p>
        </w:tc>
      </w:tr>
      <w:tr w:rsidR="0072571C" w:rsidRPr="0048229C" w14:paraId="7B7078ED" w14:textId="77777777" w:rsidTr="0072571C">
        <w:tc>
          <w:tcPr>
            <w:tcW w:w="2204" w:type="dxa"/>
          </w:tcPr>
          <w:p w14:paraId="24538C47"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WHOQOL-</w:t>
            </w:r>
            <w:proofErr w:type="spellStart"/>
            <w:r>
              <w:rPr>
                <w:rFonts w:cs="Times New Roman"/>
                <w:lang w:val="en-US"/>
              </w:rPr>
              <w:t>Bref</w:t>
            </w:r>
            <w:proofErr w:type="spellEnd"/>
          </w:p>
        </w:tc>
        <w:tc>
          <w:tcPr>
            <w:tcW w:w="6086" w:type="dxa"/>
          </w:tcPr>
          <w:p w14:paraId="343932D2"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general quality of life measure, validated</w:t>
            </w:r>
            <w:r>
              <w:rPr>
                <w:rFonts w:cs="Times New Roman"/>
                <w:lang w:val="en-US"/>
              </w:rPr>
              <w:t xml:space="preserve"> for use in the UK</w:t>
            </w:r>
          </w:p>
          <w:p w14:paraId="115F7084" w14:textId="77777777" w:rsidR="0072571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- 4 subscales</w:t>
            </w:r>
            <w:r>
              <w:rPr>
                <w:rFonts w:cs="Times New Roman"/>
                <w:lang w:val="en-US"/>
              </w:rPr>
              <w:t>:</w:t>
            </w:r>
            <w:r w:rsidRPr="0048229C">
              <w:rPr>
                <w:rFonts w:cs="Times New Roman"/>
                <w:lang w:val="en-US"/>
              </w:rPr>
              <w:t xml:space="preserve"> psycholog</w:t>
            </w:r>
            <w:r>
              <w:rPr>
                <w:rFonts w:cs="Times New Roman"/>
                <w:lang w:val="en-US"/>
              </w:rPr>
              <w:t>ical</w:t>
            </w:r>
            <w:r w:rsidRPr="0048229C">
              <w:rPr>
                <w:rFonts w:cs="Times New Roman"/>
                <w:lang w:val="en-US"/>
              </w:rPr>
              <w:t>, physical, social and environment</w:t>
            </w:r>
            <w:r>
              <w:rPr>
                <w:rFonts w:cs="Times New Roman"/>
                <w:lang w:val="en-US"/>
              </w:rPr>
              <w:t>al;</w:t>
            </w:r>
            <w:r w:rsidRPr="0048229C">
              <w:rPr>
                <w:rFonts w:cs="Times New Roman"/>
                <w:lang w:val="en-US"/>
              </w:rPr>
              <w:t xml:space="preserve"> 28 questions in total</w:t>
            </w:r>
          </w:p>
          <w:p w14:paraId="156C43B5"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 scored on a 5-point Likert scale</w:t>
            </w:r>
          </w:p>
          <w:p w14:paraId="756E42BA" w14:textId="77777777" w:rsidR="0072571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raw score</w:t>
            </w:r>
            <w:r>
              <w:rPr>
                <w:rFonts w:cs="Times New Roman"/>
                <w:lang w:val="en-US"/>
              </w:rPr>
              <w:t xml:space="preserve">s are </w:t>
            </w:r>
            <w:r w:rsidRPr="0048229C">
              <w:rPr>
                <w:rFonts w:cs="Times New Roman"/>
                <w:lang w:val="en-US"/>
              </w:rPr>
              <w:t xml:space="preserve">transformed to </w:t>
            </w:r>
            <w:r>
              <w:rPr>
                <w:rFonts w:cs="Times New Roman"/>
                <w:lang w:val="en-US"/>
              </w:rPr>
              <w:t xml:space="preserve">give a total </w:t>
            </w:r>
            <w:r w:rsidRPr="0048229C">
              <w:rPr>
                <w:rFonts w:cs="Times New Roman"/>
                <w:lang w:val="en-US"/>
              </w:rPr>
              <w:t>out of 100</w:t>
            </w:r>
            <w:r>
              <w:rPr>
                <w:rFonts w:cs="Times New Roman"/>
                <w:lang w:val="en-US"/>
              </w:rPr>
              <w:t xml:space="preserve"> for each subscale</w:t>
            </w:r>
          </w:p>
          <w:p w14:paraId="2202E0D1" w14:textId="77777777" w:rsidR="0072571C" w:rsidRPr="00816201" w:rsidRDefault="0072571C" w:rsidP="0072571C">
            <w:r>
              <w:t xml:space="preserve">- </w:t>
            </w:r>
            <w:r w:rsidRPr="00816201">
              <w:t>higher scores indicate greater satisfaction with life</w:t>
            </w:r>
          </w:p>
          <w:p w14:paraId="63778685" w14:textId="77777777" w:rsidR="0072571C" w:rsidRPr="0048229C" w:rsidRDefault="0072571C" w:rsidP="0072571C">
            <w:pPr>
              <w:widowControl w:val="0"/>
              <w:autoSpaceDE w:val="0"/>
              <w:autoSpaceDN w:val="0"/>
              <w:adjustRightInd w:val="0"/>
              <w:spacing w:line="360" w:lineRule="auto"/>
              <w:rPr>
                <w:rFonts w:cs="Times New Roman"/>
                <w:lang w:val="en-US"/>
              </w:rPr>
            </w:pPr>
          </w:p>
        </w:tc>
      </w:tr>
      <w:tr w:rsidR="0072571C" w:rsidRPr="0048229C" w14:paraId="28622850" w14:textId="77777777" w:rsidTr="0072571C">
        <w:tc>
          <w:tcPr>
            <w:tcW w:w="8290" w:type="dxa"/>
            <w:gridSpan w:val="2"/>
          </w:tcPr>
          <w:p w14:paraId="24DC096C"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b/>
                <w:lang w:val="en-US"/>
              </w:rPr>
              <w:t>Transitional variables</w:t>
            </w:r>
          </w:p>
        </w:tc>
      </w:tr>
      <w:tr w:rsidR="0072571C" w:rsidRPr="0048229C" w14:paraId="2D37AF3D" w14:textId="77777777" w:rsidTr="0072571C">
        <w:tc>
          <w:tcPr>
            <w:tcW w:w="2204" w:type="dxa"/>
          </w:tcPr>
          <w:p w14:paraId="58B141C1"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T1</w:t>
            </w:r>
          </w:p>
        </w:tc>
        <w:tc>
          <w:tcPr>
            <w:tcW w:w="6086" w:type="dxa"/>
          </w:tcPr>
          <w:p w14:paraId="233467E6" w14:textId="77777777" w:rsidR="0072571C" w:rsidRPr="0048229C" w:rsidRDefault="0072571C" w:rsidP="0072571C">
            <w:pPr>
              <w:widowControl w:val="0"/>
              <w:autoSpaceDE w:val="0"/>
              <w:autoSpaceDN w:val="0"/>
              <w:adjustRightInd w:val="0"/>
              <w:spacing w:line="360" w:lineRule="auto"/>
              <w:rPr>
                <w:rFonts w:cs="Times New Roman"/>
              </w:rPr>
            </w:pPr>
            <w:r w:rsidRPr="0048229C">
              <w:rPr>
                <w:rFonts w:cs="Times New Roman"/>
                <w:lang w:val="en-US"/>
              </w:rPr>
              <w:t>-</w:t>
            </w:r>
            <w:r w:rsidRPr="0048229C">
              <w:rPr>
                <w:rFonts w:cs="Times New Roman"/>
              </w:rPr>
              <w:t xml:space="preserve"> </w:t>
            </w:r>
            <w:r>
              <w:rPr>
                <w:rFonts w:cs="Times New Roman"/>
              </w:rPr>
              <w:t>is a single item: “</w:t>
            </w:r>
            <w:r w:rsidRPr="0048229C">
              <w:rPr>
                <w:rFonts w:cs="Times New Roman"/>
              </w:rPr>
              <w:t>My eye condition causes me physical pain/discomfort</w:t>
            </w:r>
            <w:r>
              <w:rPr>
                <w:rFonts w:cs="Times New Roman"/>
              </w:rPr>
              <w:t>”</w:t>
            </w:r>
          </w:p>
          <w:p w14:paraId="2C82B3C7"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rPr>
              <w:t xml:space="preserve">- </w:t>
            </w:r>
            <w:r>
              <w:rPr>
                <w:rFonts w:cs="Times New Roman"/>
              </w:rPr>
              <w:t>scored as follows: 1= never/almost never; 2=sometimes; 3=often; 4=almost always</w:t>
            </w:r>
          </w:p>
        </w:tc>
      </w:tr>
      <w:tr w:rsidR="0072571C" w:rsidRPr="0048229C" w14:paraId="40747C45" w14:textId="77777777" w:rsidTr="0072571C">
        <w:tc>
          <w:tcPr>
            <w:tcW w:w="2204" w:type="dxa"/>
          </w:tcPr>
          <w:p w14:paraId="4C4A77BF" w14:textId="77777777" w:rsidR="0072571C" w:rsidRDefault="0072571C" w:rsidP="0072571C">
            <w:pPr>
              <w:widowControl w:val="0"/>
              <w:autoSpaceDE w:val="0"/>
              <w:autoSpaceDN w:val="0"/>
              <w:adjustRightInd w:val="0"/>
              <w:spacing w:line="360" w:lineRule="auto"/>
              <w:rPr>
                <w:rFonts w:cs="Times New Roman"/>
                <w:lang w:val="en-US"/>
              </w:rPr>
            </w:pPr>
            <w:r>
              <w:rPr>
                <w:rFonts w:cs="Times New Roman"/>
                <w:lang w:val="en-US"/>
              </w:rPr>
              <w:t>T2</w:t>
            </w:r>
          </w:p>
        </w:tc>
        <w:tc>
          <w:tcPr>
            <w:tcW w:w="6086" w:type="dxa"/>
          </w:tcPr>
          <w:p w14:paraId="5FE0CA41" w14:textId="77777777" w:rsidR="0072571C" w:rsidRPr="0048229C" w:rsidRDefault="0072571C" w:rsidP="0072571C">
            <w:pPr>
              <w:widowControl w:val="0"/>
              <w:autoSpaceDE w:val="0"/>
              <w:autoSpaceDN w:val="0"/>
              <w:adjustRightInd w:val="0"/>
              <w:spacing w:line="360" w:lineRule="auto"/>
              <w:rPr>
                <w:rFonts w:cs="Times New Roman"/>
              </w:rPr>
            </w:pPr>
            <w:r w:rsidRPr="0048229C">
              <w:rPr>
                <w:rFonts w:cs="Times New Roman"/>
                <w:lang w:val="en-US"/>
              </w:rPr>
              <w:t>-</w:t>
            </w:r>
            <w:r w:rsidRPr="0048229C">
              <w:rPr>
                <w:rFonts w:cs="Times New Roman"/>
              </w:rPr>
              <w:t xml:space="preserve"> </w:t>
            </w:r>
            <w:r>
              <w:rPr>
                <w:rFonts w:cs="Times New Roman"/>
              </w:rPr>
              <w:t>is a single item: “</w:t>
            </w:r>
            <w:r w:rsidRPr="0048229C">
              <w:rPr>
                <w:rFonts w:cs="Times New Roman"/>
              </w:rPr>
              <w:t>My eye condition limits my physical ability to do the things I want to do</w:t>
            </w:r>
            <w:r>
              <w:rPr>
                <w:rFonts w:cs="Times New Roman"/>
              </w:rPr>
              <w:t>”</w:t>
            </w:r>
          </w:p>
          <w:p w14:paraId="4DBC00B8"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rPr>
              <w:t>- each item is scored as follows: 1= never/almost never; 2=sometimes; 3=often; 4=almost always</w:t>
            </w:r>
          </w:p>
        </w:tc>
      </w:tr>
      <w:tr w:rsidR="0072571C" w:rsidRPr="0048229C" w14:paraId="00421E8A" w14:textId="77777777" w:rsidTr="0072571C">
        <w:tc>
          <w:tcPr>
            <w:tcW w:w="8290" w:type="dxa"/>
            <w:gridSpan w:val="2"/>
          </w:tcPr>
          <w:p w14:paraId="4FD02C58" w14:textId="77777777" w:rsidR="0072571C" w:rsidRPr="00C712B8" w:rsidRDefault="0072571C" w:rsidP="0072571C">
            <w:pPr>
              <w:widowControl w:val="0"/>
              <w:autoSpaceDE w:val="0"/>
              <w:autoSpaceDN w:val="0"/>
              <w:adjustRightInd w:val="0"/>
              <w:spacing w:line="360" w:lineRule="auto"/>
              <w:rPr>
                <w:rFonts w:cs="Times New Roman"/>
                <w:b/>
                <w:lang w:val="en-US"/>
              </w:rPr>
            </w:pPr>
            <w:r>
              <w:rPr>
                <w:rFonts w:cs="Times New Roman"/>
                <w:b/>
                <w:lang w:val="en-US"/>
              </w:rPr>
              <w:t>Visual Analogue Scales</w:t>
            </w:r>
          </w:p>
        </w:tc>
      </w:tr>
      <w:tr w:rsidR="0072571C" w:rsidRPr="0048229C" w14:paraId="5A7A167F" w14:textId="77777777" w:rsidTr="0072571C">
        <w:tc>
          <w:tcPr>
            <w:tcW w:w="2204" w:type="dxa"/>
          </w:tcPr>
          <w:p w14:paraId="039A3D33"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lastRenderedPageBreak/>
              <w:t xml:space="preserve">Noticeability </w:t>
            </w:r>
          </w:p>
        </w:tc>
        <w:tc>
          <w:tcPr>
            <w:tcW w:w="6086" w:type="dxa"/>
          </w:tcPr>
          <w:p w14:paraId="4F2A6F52" w14:textId="77777777" w:rsidR="0072571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xml:space="preserve">- </w:t>
            </w:r>
            <w:r>
              <w:rPr>
                <w:rFonts w:cs="Times New Roman"/>
                <w:lang w:val="en-US"/>
              </w:rPr>
              <w:t>is a single item: “</w:t>
            </w:r>
            <w:r w:rsidRPr="0048229C">
              <w:rPr>
                <w:rFonts w:cs="Times New Roman"/>
                <w:lang w:val="en-US"/>
              </w:rPr>
              <w:t>How noticeable</w:t>
            </w:r>
            <w:r>
              <w:rPr>
                <w:rFonts w:cs="Times New Roman"/>
                <w:lang w:val="en-US"/>
              </w:rPr>
              <w:t xml:space="preserve"> do you feel your thyroid eye disease is to other people?”</w:t>
            </w:r>
          </w:p>
          <w:p w14:paraId="29FD81EE" w14:textId="77777777" w:rsidR="0072571C" w:rsidRDefault="0072571C" w:rsidP="0072571C">
            <w:pPr>
              <w:widowControl w:val="0"/>
              <w:autoSpaceDE w:val="0"/>
              <w:autoSpaceDN w:val="0"/>
              <w:adjustRightInd w:val="0"/>
              <w:spacing w:line="360" w:lineRule="auto"/>
              <w:rPr>
                <w:rFonts w:cs="Times New Roman"/>
                <w:lang w:val="en-US"/>
              </w:rPr>
            </w:pPr>
            <w:r>
              <w:rPr>
                <w:rFonts w:cs="Times New Roman"/>
                <w:lang w:val="en-US"/>
              </w:rPr>
              <w:t>- scored on a 10 cm line with the following anchors:</w:t>
            </w:r>
          </w:p>
          <w:p w14:paraId="7D6E52AF" w14:textId="77777777" w:rsidR="0072571C" w:rsidRDefault="0072571C" w:rsidP="0072571C">
            <w:pPr>
              <w:widowControl w:val="0"/>
              <w:autoSpaceDE w:val="0"/>
              <w:autoSpaceDN w:val="0"/>
              <w:adjustRightInd w:val="0"/>
              <w:spacing w:line="360" w:lineRule="auto"/>
              <w:rPr>
                <w:rFonts w:cs="Times New Roman"/>
                <w:lang w:val="en-US"/>
              </w:rPr>
            </w:pPr>
            <w:r>
              <w:rPr>
                <w:rFonts w:cs="Times New Roman"/>
                <w:lang w:val="en-US"/>
              </w:rPr>
              <w:t>Not</w:t>
            </w:r>
            <w:r w:rsidRPr="0048229C">
              <w:rPr>
                <w:rFonts w:cs="Times New Roman"/>
                <w:lang w:val="en-US"/>
              </w:rPr>
              <w:t xml:space="preserve"> </w:t>
            </w:r>
            <w:r>
              <w:rPr>
                <w:rFonts w:cs="Times New Roman"/>
                <w:lang w:val="en-US"/>
              </w:rPr>
              <w:t xml:space="preserve">at all </w:t>
            </w:r>
            <w:r w:rsidRPr="0048229C">
              <w:rPr>
                <w:rFonts w:cs="Times New Roman"/>
                <w:lang w:val="en-US"/>
              </w:rPr>
              <w:t xml:space="preserve">noticeable |..........| </w:t>
            </w:r>
            <w:r>
              <w:rPr>
                <w:rFonts w:cs="Times New Roman"/>
                <w:lang w:val="en-US"/>
              </w:rPr>
              <w:t>Very noticeable</w:t>
            </w:r>
          </w:p>
          <w:p w14:paraId="0C6711DE" w14:textId="77777777" w:rsidR="0072571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xml:space="preserve">- scored </w:t>
            </w:r>
            <w:r>
              <w:rPr>
                <w:rFonts w:cs="Times New Roman"/>
                <w:lang w:val="en-US"/>
              </w:rPr>
              <w:t>0</w:t>
            </w:r>
            <w:r w:rsidRPr="0048229C">
              <w:rPr>
                <w:rFonts w:cs="Times New Roman"/>
                <w:lang w:val="en-US"/>
              </w:rPr>
              <w:t>-10</w:t>
            </w:r>
          </w:p>
          <w:p w14:paraId="692522B9" w14:textId="77777777" w:rsidR="0072571C" w:rsidRPr="00816201" w:rsidRDefault="0072571C" w:rsidP="0072571C">
            <w:r>
              <w:t xml:space="preserve">- </w:t>
            </w:r>
            <w:r w:rsidRPr="00816201">
              <w:t>higher scores indicate greater distress</w:t>
            </w:r>
          </w:p>
          <w:p w14:paraId="50B2126F" w14:textId="77777777" w:rsidR="0072571C" w:rsidRPr="0048229C" w:rsidRDefault="0072571C" w:rsidP="0072571C">
            <w:pPr>
              <w:widowControl w:val="0"/>
              <w:autoSpaceDE w:val="0"/>
              <w:autoSpaceDN w:val="0"/>
              <w:adjustRightInd w:val="0"/>
              <w:spacing w:line="360" w:lineRule="auto"/>
              <w:rPr>
                <w:rFonts w:cs="Times New Roman"/>
                <w:lang w:val="en-US"/>
              </w:rPr>
            </w:pPr>
          </w:p>
        </w:tc>
      </w:tr>
      <w:tr w:rsidR="0072571C" w:rsidRPr="0048229C" w14:paraId="43B1C4C4" w14:textId="77777777" w:rsidTr="0072571C">
        <w:tc>
          <w:tcPr>
            <w:tcW w:w="2204" w:type="dxa"/>
          </w:tcPr>
          <w:p w14:paraId="18BDEEBD" w14:textId="77777777" w:rsidR="0072571C" w:rsidRDefault="0072571C" w:rsidP="0072571C">
            <w:pPr>
              <w:widowControl w:val="0"/>
              <w:autoSpaceDE w:val="0"/>
              <w:autoSpaceDN w:val="0"/>
              <w:adjustRightInd w:val="0"/>
              <w:spacing w:line="360" w:lineRule="auto"/>
              <w:rPr>
                <w:rFonts w:cs="Times New Roman"/>
                <w:lang w:val="en-US"/>
              </w:rPr>
            </w:pPr>
            <w:r>
              <w:rPr>
                <w:rFonts w:cs="Times New Roman"/>
                <w:lang w:val="en-US"/>
              </w:rPr>
              <w:t>Severity</w:t>
            </w:r>
          </w:p>
        </w:tc>
        <w:tc>
          <w:tcPr>
            <w:tcW w:w="6086" w:type="dxa"/>
          </w:tcPr>
          <w:p w14:paraId="497C9204" w14:textId="77777777" w:rsidR="0072571C" w:rsidRDefault="0072571C" w:rsidP="0072571C">
            <w:pPr>
              <w:widowControl w:val="0"/>
              <w:autoSpaceDE w:val="0"/>
              <w:autoSpaceDN w:val="0"/>
              <w:adjustRightInd w:val="0"/>
              <w:spacing w:line="360" w:lineRule="auto"/>
              <w:rPr>
                <w:rFonts w:cs="Times New Roman"/>
                <w:lang w:val="en-US"/>
              </w:rPr>
            </w:pPr>
            <w:proofErr w:type="gramStart"/>
            <w:r>
              <w:rPr>
                <w:rFonts w:cs="Times New Roman"/>
                <w:lang w:val="en-US"/>
              </w:rPr>
              <w:t>is</w:t>
            </w:r>
            <w:proofErr w:type="gramEnd"/>
            <w:r>
              <w:rPr>
                <w:rFonts w:cs="Times New Roman"/>
                <w:lang w:val="en-US"/>
              </w:rPr>
              <w:t xml:space="preserve"> a single item: “How severe do you feel your thyroid eye disease is?”</w:t>
            </w:r>
          </w:p>
          <w:p w14:paraId="4AFA76A0" w14:textId="77777777" w:rsidR="0072571C" w:rsidRDefault="0072571C" w:rsidP="0072571C">
            <w:pPr>
              <w:widowControl w:val="0"/>
              <w:autoSpaceDE w:val="0"/>
              <w:autoSpaceDN w:val="0"/>
              <w:adjustRightInd w:val="0"/>
              <w:spacing w:line="360" w:lineRule="auto"/>
              <w:rPr>
                <w:rFonts w:cs="Times New Roman"/>
                <w:lang w:val="en-US"/>
              </w:rPr>
            </w:pPr>
            <w:r>
              <w:rPr>
                <w:rFonts w:cs="Times New Roman"/>
                <w:lang w:val="en-US"/>
              </w:rPr>
              <w:t>- scored on a 10 cm line with the following anchors:</w:t>
            </w:r>
          </w:p>
          <w:p w14:paraId="05A5A36F" w14:textId="77777777" w:rsidR="0072571C" w:rsidRDefault="0072571C" w:rsidP="0072571C">
            <w:pPr>
              <w:widowControl w:val="0"/>
              <w:autoSpaceDE w:val="0"/>
              <w:autoSpaceDN w:val="0"/>
              <w:adjustRightInd w:val="0"/>
              <w:spacing w:line="360" w:lineRule="auto"/>
              <w:rPr>
                <w:rFonts w:cs="Times New Roman"/>
                <w:lang w:val="en-US"/>
              </w:rPr>
            </w:pPr>
            <w:r>
              <w:rPr>
                <w:rFonts w:cs="Times New Roman"/>
                <w:lang w:val="en-US"/>
              </w:rPr>
              <w:t>Not v</w:t>
            </w:r>
            <w:r w:rsidRPr="0048229C">
              <w:rPr>
                <w:rFonts w:cs="Times New Roman"/>
                <w:lang w:val="en-US"/>
              </w:rPr>
              <w:t xml:space="preserve">ery severe |..........| </w:t>
            </w:r>
            <w:r>
              <w:rPr>
                <w:rFonts w:cs="Times New Roman"/>
                <w:lang w:val="en-US"/>
              </w:rPr>
              <w:t>Extremely severe</w:t>
            </w:r>
          </w:p>
          <w:p w14:paraId="3E7B7B7E" w14:textId="77777777" w:rsidR="0072571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xml:space="preserve">- scored </w:t>
            </w:r>
            <w:r>
              <w:rPr>
                <w:rFonts w:cs="Times New Roman"/>
                <w:lang w:val="en-US"/>
              </w:rPr>
              <w:t>0</w:t>
            </w:r>
            <w:r w:rsidRPr="0048229C">
              <w:rPr>
                <w:rFonts w:cs="Times New Roman"/>
                <w:lang w:val="en-US"/>
              </w:rPr>
              <w:t>-10</w:t>
            </w:r>
          </w:p>
          <w:p w14:paraId="223D6405" w14:textId="77777777" w:rsidR="0072571C" w:rsidRPr="00816201" w:rsidRDefault="0072571C" w:rsidP="0072571C">
            <w:r>
              <w:t xml:space="preserve">- </w:t>
            </w:r>
            <w:r w:rsidRPr="00816201">
              <w:t>higher scores indicate greater distress</w:t>
            </w:r>
          </w:p>
          <w:p w14:paraId="2832E617" w14:textId="77777777" w:rsidR="0072571C" w:rsidRPr="0048229C" w:rsidRDefault="0072571C" w:rsidP="0072571C">
            <w:pPr>
              <w:widowControl w:val="0"/>
              <w:autoSpaceDE w:val="0"/>
              <w:autoSpaceDN w:val="0"/>
              <w:adjustRightInd w:val="0"/>
              <w:spacing w:line="360" w:lineRule="auto"/>
              <w:rPr>
                <w:rFonts w:cs="Times New Roman"/>
                <w:lang w:val="en-US"/>
              </w:rPr>
            </w:pPr>
          </w:p>
        </w:tc>
      </w:tr>
      <w:tr w:rsidR="0072571C" w:rsidRPr="0048229C" w14:paraId="5D337B67" w14:textId="77777777" w:rsidTr="0072571C">
        <w:tc>
          <w:tcPr>
            <w:tcW w:w="8290" w:type="dxa"/>
            <w:gridSpan w:val="2"/>
          </w:tcPr>
          <w:p w14:paraId="15D666D3"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b/>
                <w:lang w:val="en-US"/>
              </w:rPr>
              <w:t>Clinical rating</w:t>
            </w:r>
          </w:p>
        </w:tc>
      </w:tr>
      <w:tr w:rsidR="0072571C" w:rsidRPr="0048229C" w14:paraId="09595181" w14:textId="77777777" w:rsidTr="0072571C">
        <w:tc>
          <w:tcPr>
            <w:tcW w:w="2204" w:type="dxa"/>
          </w:tcPr>
          <w:p w14:paraId="1B11F497" w14:textId="77777777" w:rsidR="0072571C" w:rsidRPr="007B192B" w:rsidRDefault="0072571C" w:rsidP="0072571C">
            <w:pPr>
              <w:widowControl w:val="0"/>
              <w:autoSpaceDE w:val="0"/>
              <w:autoSpaceDN w:val="0"/>
              <w:adjustRightInd w:val="0"/>
              <w:spacing w:line="360" w:lineRule="auto"/>
              <w:rPr>
                <w:rFonts w:cs="Times New Roman"/>
                <w:lang w:val="en-US"/>
              </w:rPr>
            </w:pPr>
            <w:r>
              <w:rPr>
                <w:rFonts w:cs="Arial"/>
              </w:rPr>
              <w:t>Binary Composite Clinical Outcome Measure (</w:t>
            </w:r>
            <w:r w:rsidRPr="001E3273">
              <w:rPr>
                <w:rFonts w:cs="Times New Roman"/>
                <w:lang w:val="en-US"/>
              </w:rPr>
              <w:t>BCCOM</w:t>
            </w:r>
            <w:r>
              <w:rPr>
                <w:rFonts w:cs="Times New Roman"/>
                <w:lang w:val="en-US"/>
              </w:rPr>
              <w:t>)</w:t>
            </w:r>
          </w:p>
        </w:tc>
        <w:tc>
          <w:tcPr>
            <w:tcW w:w="6086" w:type="dxa"/>
          </w:tcPr>
          <w:p w14:paraId="1AE0F3FD" w14:textId="77777777" w:rsidR="0072571C" w:rsidRPr="001E3273" w:rsidRDefault="0072571C" w:rsidP="0072571C">
            <w:pPr>
              <w:widowControl w:val="0"/>
              <w:autoSpaceDE w:val="0"/>
              <w:autoSpaceDN w:val="0"/>
              <w:adjustRightInd w:val="0"/>
              <w:spacing w:line="360" w:lineRule="auto"/>
              <w:rPr>
                <w:rFonts w:cs="Times New Roman"/>
                <w:lang w:val="en-US"/>
              </w:rPr>
            </w:pPr>
            <w:r w:rsidRPr="001E3273">
              <w:rPr>
                <w:rFonts w:cs="Times New Roman"/>
                <w:lang w:val="en-US"/>
              </w:rPr>
              <w:t>- clinician-rating</w:t>
            </w:r>
          </w:p>
          <w:p w14:paraId="42FCEE0D" w14:textId="77777777" w:rsidR="0072571C" w:rsidRPr="001E3273" w:rsidRDefault="0072571C" w:rsidP="0072571C">
            <w:pPr>
              <w:widowControl w:val="0"/>
              <w:autoSpaceDE w:val="0"/>
              <w:autoSpaceDN w:val="0"/>
              <w:adjustRightInd w:val="0"/>
              <w:spacing w:line="360" w:lineRule="auto"/>
              <w:rPr>
                <w:rFonts w:cs="Times New Roman"/>
                <w:lang w:val="en-US"/>
              </w:rPr>
            </w:pPr>
            <w:r w:rsidRPr="001E3273">
              <w:rPr>
                <w:rFonts w:cs="Times New Roman"/>
                <w:lang w:val="en-US"/>
              </w:rPr>
              <w:t>- binary composite outcome score</w:t>
            </w:r>
            <w:r>
              <w:rPr>
                <w:rFonts w:cs="Times New Roman"/>
                <w:lang w:val="en-US"/>
              </w:rPr>
              <w:t xml:space="preserve"> </w:t>
            </w:r>
            <w:r>
              <w:rPr>
                <w:rFonts w:ascii="Baskerville" w:hAnsi="Baskerville" w:cs="Times New Roman"/>
              </w:rPr>
              <w:t>with a positive result (improvement with no concomitant deterioration) versus no change or any deterioration (see Appendix 1)</w:t>
            </w:r>
          </w:p>
          <w:p w14:paraId="7C454AF3" w14:textId="77777777" w:rsidR="0072571C" w:rsidRPr="007B192B" w:rsidRDefault="0072571C" w:rsidP="0072571C">
            <w:pPr>
              <w:widowControl w:val="0"/>
              <w:autoSpaceDE w:val="0"/>
              <w:autoSpaceDN w:val="0"/>
              <w:adjustRightInd w:val="0"/>
              <w:spacing w:line="360" w:lineRule="auto"/>
              <w:rPr>
                <w:rStyle w:val="st"/>
                <w:i/>
              </w:rPr>
            </w:pPr>
            <w:r w:rsidRPr="001E3273">
              <w:rPr>
                <w:rFonts w:cs="Times New Roman"/>
                <w:lang w:val="en-US"/>
              </w:rPr>
              <w:t>- deteriorated (-1), improved (1)</w:t>
            </w:r>
          </w:p>
        </w:tc>
      </w:tr>
    </w:tbl>
    <w:p w14:paraId="614D7917" w14:textId="4F92A35E" w:rsidR="0072571C" w:rsidRDefault="0072571C" w:rsidP="00B56C13">
      <w:pPr>
        <w:pStyle w:val="p1"/>
      </w:pPr>
    </w:p>
    <w:p w14:paraId="47923A52" w14:textId="77777777" w:rsidR="0072571C" w:rsidRDefault="0072571C">
      <w:pPr>
        <w:rPr>
          <w:rFonts w:ascii="Arial" w:hAnsi="Arial" w:cs="Arial"/>
          <w:sz w:val="17"/>
          <w:szCs w:val="17"/>
          <w:lang w:val="en-US"/>
        </w:rPr>
      </w:pPr>
      <w:r>
        <w:br w:type="page"/>
      </w:r>
    </w:p>
    <w:p w14:paraId="5790367C" w14:textId="77777777" w:rsidR="0072571C" w:rsidRPr="0048229C" w:rsidRDefault="0072571C" w:rsidP="0072571C">
      <w:pPr>
        <w:pStyle w:val="Caption"/>
      </w:pPr>
      <w:r w:rsidRPr="0048229C">
        <w:lastRenderedPageBreak/>
        <w:t xml:space="preserve">Table </w:t>
      </w:r>
      <w:r>
        <w:t>2. Data collection time points and their relation to participant trial appointments, plus study measures used at each time point, and number of potential participants attending each appointment (N)</w:t>
      </w:r>
    </w:p>
    <w:tbl>
      <w:tblPr>
        <w:tblStyle w:val="PlainTable2"/>
        <w:tblW w:w="8300" w:type="dxa"/>
        <w:tblLook w:val="00A0" w:firstRow="1" w:lastRow="0" w:firstColumn="1" w:lastColumn="0" w:noHBand="0" w:noVBand="0"/>
      </w:tblPr>
      <w:tblGrid>
        <w:gridCol w:w="1020"/>
        <w:gridCol w:w="1168"/>
        <w:gridCol w:w="1823"/>
        <w:gridCol w:w="3281"/>
        <w:gridCol w:w="1008"/>
      </w:tblGrid>
      <w:tr w:rsidR="0072571C" w:rsidRPr="0048229C" w14:paraId="0B2D4BB6" w14:textId="77777777" w:rsidTr="00725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528707A4" w14:textId="77777777" w:rsidR="0072571C" w:rsidRDefault="0072571C" w:rsidP="0072571C">
            <w:pPr>
              <w:widowControl w:val="0"/>
              <w:autoSpaceDE w:val="0"/>
              <w:autoSpaceDN w:val="0"/>
              <w:adjustRightInd w:val="0"/>
              <w:spacing w:line="360" w:lineRule="auto"/>
              <w:rPr>
                <w:rFonts w:cs="Times New Roman"/>
                <w:b w:val="0"/>
                <w:i/>
                <w:lang w:val="en-US"/>
              </w:rPr>
            </w:pPr>
          </w:p>
        </w:tc>
        <w:tc>
          <w:tcPr>
            <w:cnfStyle w:val="000010000000" w:firstRow="0" w:lastRow="0" w:firstColumn="0" w:lastColumn="0" w:oddVBand="1" w:evenVBand="0" w:oddHBand="0" w:evenHBand="0" w:firstRowFirstColumn="0" w:firstRowLastColumn="0" w:lastRowFirstColumn="0" w:lastRowLastColumn="0"/>
            <w:tcW w:w="1168" w:type="dxa"/>
          </w:tcPr>
          <w:p w14:paraId="213CFB31" w14:textId="77777777" w:rsidR="0072571C" w:rsidRPr="00B63722" w:rsidRDefault="0072571C" w:rsidP="0072571C">
            <w:pPr>
              <w:widowControl w:val="0"/>
              <w:autoSpaceDE w:val="0"/>
              <w:autoSpaceDN w:val="0"/>
              <w:adjustRightInd w:val="0"/>
              <w:spacing w:line="360" w:lineRule="auto"/>
              <w:rPr>
                <w:rFonts w:cs="Times New Roman"/>
                <w:b w:val="0"/>
                <w:i/>
                <w:lang w:val="en-US"/>
              </w:rPr>
            </w:pPr>
          </w:p>
        </w:tc>
        <w:tc>
          <w:tcPr>
            <w:cnfStyle w:val="000001000000" w:firstRow="0" w:lastRow="0" w:firstColumn="0" w:lastColumn="0" w:oddVBand="0" w:evenVBand="1" w:oddHBand="0" w:evenHBand="0" w:firstRowFirstColumn="0" w:firstRowLastColumn="0" w:lastRowFirstColumn="0" w:lastRowLastColumn="0"/>
            <w:tcW w:w="1823" w:type="dxa"/>
          </w:tcPr>
          <w:p w14:paraId="3B7D4DC2" w14:textId="77777777" w:rsidR="0072571C" w:rsidRPr="00B63722" w:rsidRDefault="0072571C" w:rsidP="0072571C">
            <w:pPr>
              <w:widowControl w:val="0"/>
              <w:autoSpaceDE w:val="0"/>
              <w:autoSpaceDN w:val="0"/>
              <w:adjustRightInd w:val="0"/>
              <w:spacing w:line="360" w:lineRule="auto"/>
              <w:rPr>
                <w:rFonts w:cs="Times New Roman"/>
                <w:b w:val="0"/>
                <w:i/>
                <w:lang w:val="en-US"/>
              </w:rPr>
            </w:pPr>
            <w:r>
              <w:rPr>
                <w:rFonts w:cs="Times New Roman"/>
                <w:b w:val="0"/>
                <w:lang w:val="en-US"/>
              </w:rPr>
              <w:t xml:space="preserve">Trial </w:t>
            </w:r>
            <w:r w:rsidRPr="00B63722">
              <w:rPr>
                <w:rFonts w:cs="Times New Roman"/>
                <w:b w:val="0"/>
                <w:lang w:val="en-US"/>
              </w:rPr>
              <w:t>Appointment</w:t>
            </w:r>
          </w:p>
        </w:tc>
        <w:tc>
          <w:tcPr>
            <w:cnfStyle w:val="000010000000" w:firstRow="0" w:lastRow="0" w:firstColumn="0" w:lastColumn="0" w:oddVBand="1" w:evenVBand="0" w:oddHBand="0" w:evenHBand="0" w:firstRowFirstColumn="0" w:firstRowLastColumn="0" w:lastRowFirstColumn="0" w:lastRowLastColumn="0"/>
            <w:tcW w:w="3281" w:type="dxa"/>
          </w:tcPr>
          <w:p w14:paraId="511CE5D7" w14:textId="77777777" w:rsidR="0072571C" w:rsidRPr="00B63722" w:rsidRDefault="0072571C" w:rsidP="0072571C">
            <w:pPr>
              <w:widowControl w:val="0"/>
              <w:autoSpaceDE w:val="0"/>
              <w:autoSpaceDN w:val="0"/>
              <w:adjustRightInd w:val="0"/>
              <w:spacing w:line="360" w:lineRule="auto"/>
              <w:rPr>
                <w:rFonts w:cs="Times New Roman"/>
                <w:b w:val="0"/>
                <w:i/>
                <w:lang w:val="en-US"/>
              </w:rPr>
            </w:pPr>
            <w:r>
              <w:rPr>
                <w:rFonts w:cs="Times New Roman"/>
                <w:b w:val="0"/>
                <w:lang w:val="en-US"/>
              </w:rPr>
              <w:t>S</w:t>
            </w:r>
            <w:r w:rsidRPr="00B63722">
              <w:rPr>
                <w:rFonts w:cs="Times New Roman"/>
                <w:b w:val="0"/>
                <w:lang w:val="en-US"/>
              </w:rPr>
              <w:t>tudy measures</w:t>
            </w:r>
          </w:p>
        </w:tc>
        <w:tc>
          <w:tcPr>
            <w:cnfStyle w:val="000001000000" w:firstRow="0" w:lastRow="0" w:firstColumn="0" w:lastColumn="0" w:oddVBand="0" w:evenVBand="1" w:oddHBand="0" w:evenHBand="0" w:firstRowFirstColumn="0" w:firstRowLastColumn="0" w:lastRowFirstColumn="0" w:lastRowLastColumn="0"/>
            <w:tcW w:w="1008" w:type="dxa"/>
          </w:tcPr>
          <w:p w14:paraId="5CAA4531" w14:textId="77777777" w:rsidR="0072571C" w:rsidRPr="00B63722" w:rsidRDefault="0072571C" w:rsidP="0072571C">
            <w:pPr>
              <w:widowControl w:val="0"/>
              <w:autoSpaceDE w:val="0"/>
              <w:autoSpaceDN w:val="0"/>
              <w:adjustRightInd w:val="0"/>
              <w:spacing w:line="360" w:lineRule="auto"/>
              <w:rPr>
                <w:rFonts w:cs="Times New Roman"/>
                <w:b w:val="0"/>
                <w:i/>
                <w:lang w:val="en-US"/>
              </w:rPr>
            </w:pPr>
            <w:r>
              <w:rPr>
                <w:rFonts w:cs="Times New Roman"/>
                <w:b w:val="0"/>
                <w:lang w:val="en-US"/>
              </w:rPr>
              <w:t>N</w:t>
            </w:r>
          </w:p>
        </w:tc>
      </w:tr>
      <w:tr w:rsidR="0072571C" w:rsidRPr="0048229C" w14:paraId="05669CF4" w14:textId="77777777" w:rsidTr="00725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vMerge w:val="restart"/>
            <w:textDirection w:val="btLr"/>
          </w:tcPr>
          <w:p w14:paraId="63BE2F9A" w14:textId="77777777" w:rsidR="0072571C" w:rsidRPr="005E3CBA" w:rsidRDefault="0072571C" w:rsidP="0072571C">
            <w:pPr>
              <w:widowControl w:val="0"/>
              <w:autoSpaceDE w:val="0"/>
              <w:autoSpaceDN w:val="0"/>
              <w:adjustRightInd w:val="0"/>
              <w:spacing w:line="360" w:lineRule="auto"/>
              <w:ind w:left="113" w:right="113"/>
              <w:jc w:val="center"/>
              <w:rPr>
                <w:rFonts w:cs="Times New Roman"/>
                <w:b w:val="0"/>
                <w:i/>
                <w:lang w:val="en-US"/>
              </w:rPr>
            </w:pPr>
            <w:r w:rsidRPr="005E3CBA">
              <w:rPr>
                <w:rFonts w:cs="Times New Roman"/>
                <w:b w:val="0"/>
                <w:lang w:val="en-US"/>
              </w:rPr>
              <w:t>Study time points</w:t>
            </w:r>
          </w:p>
        </w:tc>
        <w:tc>
          <w:tcPr>
            <w:cnfStyle w:val="000010000000" w:firstRow="0" w:lastRow="0" w:firstColumn="0" w:lastColumn="0" w:oddVBand="1" w:evenVBand="0" w:oddHBand="0" w:evenHBand="0" w:firstRowFirstColumn="0" w:firstRowLastColumn="0" w:lastRowFirstColumn="0" w:lastRowLastColumn="0"/>
            <w:tcW w:w="1168" w:type="dxa"/>
          </w:tcPr>
          <w:p w14:paraId="1235006A" w14:textId="77777777" w:rsidR="0072571C" w:rsidRPr="0048229C" w:rsidRDefault="0072571C" w:rsidP="0072571C">
            <w:pPr>
              <w:widowControl w:val="0"/>
              <w:autoSpaceDE w:val="0"/>
              <w:autoSpaceDN w:val="0"/>
              <w:adjustRightInd w:val="0"/>
              <w:spacing w:line="360" w:lineRule="auto"/>
              <w:rPr>
                <w:rFonts w:cs="Times New Roman"/>
                <w:b/>
                <w:lang w:val="en-US"/>
              </w:rPr>
            </w:pPr>
            <w:r w:rsidRPr="0048229C">
              <w:rPr>
                <w:rFonts w:cs="Times New Roman"/>
                <w:b/>
                <w:lang w:val="en-US"/>
              </w:rPr>
              <w:t>1</w:t>
            </w:r>
          </w:p>
        </w:tc>
        <w:tc>
          <w:tcPr>
            <w:cnfStyle w:val="000001000000" w:firstRow="0" w:lastRow="0" w:firstColumn="0" w:lastColumn="0" w:oddVBand="0" w:evenVBand="1" w:oddHBand="0" w:evenHBand="0" w:firstRowFirstColumn="0" w:firstRowLastColumn="0" w:lastRowFirstColumn="0" w:lastRowLastColumn="0"/>
            <w:tcW w:w="1823" w:type="dxa"/>
          </w:tcPr>
          <w:p w14:paraId="165D9157"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 xml:space="preserve">-2 weeks Enrolment </w:t>
            </w:r>
          </w:p>
        </w:tc>
        <w:tc>
          <w:tcPr>
            <w:cnfStyle w:val="000010000000" w:firstRow="0" w:lastRow="0" w:firstColumn="0" w:lastColumn="0" w:oddVBand="1" w:evenVBand="0" w:oddHBand="0" w:evenHBand="0" w:firstRowFirstColumn="0" w:firstRowLastColumn="0" w:lastRowFirstColumn="0" w:lastRowLastColumn="0"/>
            <w:tcW w:w="3281" w:type="dxa"/>
          </w:tcPr>
          <w:p w14:paraId="1E9D7E3D"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GO-QOL</w:t>
            </w:r>
            <w:r w:rsidRPr="0048229C">
              <w:rPr>
                <w:rFonts w:cs="Times New Roman"/>
                <w:lang w:val="en-US"/>
              </w:rPr>
              <w:t xml:space="preserve">, </w:t>
            </w:r>
            <w:r>
              <w:rPr>
                <w:rFonts w:cs="Times New Roman"/>
                <w:lang w:val="en-US"/>
              </w:rPr>
              <w:t>WHOQOL</w:t>
            </w:r>
            <w:r w:rsidRPr="0048229C">
              <w:rPr>
                <w:rFonts w:cs="Times New Roman"/>
                <w:lang w:val="en-US"/>
              </w:rPr>
              <w:t xml:space="preserve">, </w:t>
            </w:r>
            <w:r>
              <w:rPr>
                <w:rFonts w:cs="Times New Roman"/>
                <w:lang w:val="en-US"/>
              </w:rPr>
              <w:t>V</w:t>
            </w:r>
            <w:r w:rsidRPr="0048229C">
              <w:rPr>
                <w:rFonts w:cs="Times New Roman"/>
                <w:lang w:val="en-US"/>
              </w:rPr>
              <w:t>AS,  demographic data</w:t>
            </w:r>
          </w:p>
        </w:tc>
        <w:tc>
          <w:tcPr>
            <w:cnfStyle w:val="000001000000" w:firstRow="0" w:lastRow="0" w:firstColumn="0" w:lastColumn="0" w:oddVBand="0" w:evenVBand="1" w:oddHBand="0" w:evenHBand="0" w:firstRowFirstColumn="0" w:firstRowLastColumn="0" w:lastRowFirstColumn="0" w:lastRowLastColumn="0"/>
            <w:tcW w:w="1008" w:type="dxa"/>
          </w:tcPr>
          <w:p w14:paraId="1B00B684" w14:textId="77777777" w:rsidR="0072571C" w:rsidRPr="0040342E" w:rsidRDefault="0072571C" w:rsidP="0072571C">
            <w:pPr>
              <w:widowControl w:val="0"/>
              <w:autoSpaceDE w:val="0"/>
              <w:autoSpaceDN w:val="0"/>
              <w:adjustRightInd w:val="0"/>
              <w:spacing w:line="360" w:lineRule="auto"/>
              <w:rPr>
                <w:rFonts w:cs="Times New Roman"/>
                <w:lang w:val="en-US"/>
              </w:rPr>
            </w:pPr>
            <w:r w:rsidRPr="0040342E">
              <w:rPr>
                <w:rFonts w:cs="Times New Roman"/>
                <w:lang w:val="en-US"/>
              </w:rPr>
              <w:t>1</w:t>
            </w:r>
            <w:r>
              <w:rPr>
                <w:rFonts w:cs="Times New Roman"/>
                <w:lang w:val="en-US"/>
              </w:rPr>
              <w:t>6</w:t>
            </w:r>
            <w:r w:rsidRPr="0040342E">
              <w:rPr>
                <w:rFonts w:cs="Times New Roman"/>
                <w:lang w:val="en-US"/>
              </w:rPr>
              <w:t>7</w:t>
            </w:r>
          </w:p>
        </w:tc>
      </w:tr>
      <w:tr w:rsidR="0072571C" w:rsidRPr="0048229C" w14:paraId="0676AB40" w14:textId="77777777" w:rsidTr="0072571C">
        <w:tc>
          <w:tcPr>
            <w:cnfStyle w:val="001000000000" w:firstRow="0" w:lastRow="0" w:firstColumn="1" w:lastColumn="0" w:oddVBand="0" w:evenVBand="0" w:oddHBand="0" w:evenHBand="0" w:firstRowFirstColumn="0" w:firstRowLastColumn="0" w:lastRowFirstColumn="0" w:lastRowLastColumn="0"/>
            <w:tcW w:w="1020" w:type="dxa"/>
            <w:vMerge/>
          </w:tcPr>
          <w:p w14:paraId="4C9FFC8E" w14:textId="77777777" w:rsidR="0072571C" w:rsidRPr="0048229C" w:rsidRDefault="0072571C" w:rsidP="0072571C">
            <w:pPr>
              <w:widowControl w:val="0"/>
              <w:autoSpaceDE w:val="0"/>
              <w:autoSpaceDN w:val="0"/>
              <w:adjustRightInd w:val="0"/>
              <w:spacing w:line="360" w:lineRule="auto"/>
              <w:rPr>
                <w:rFonts w:cs="Times New Roman"/>
                <w:b w:val="0"/>
                <w:lang w:val="en-US"/>
              </w:rPr>
            </w:pPr>
          </w:p>
        </w:tc>
        <w:tc>
          <w:tcPr>
            <w:cnfStyle w:val="000010000000" w:firstRow="0" w:lastRow="0" w:firstColumn="0" w:lastColumn="0" w:oddVBand="1" w:evenVBand="0" w:oddHBand="0" w:evenHBand="0" w:firstRowFirstColumn="0" w:firstRowLastColumn="0" w:lastRowFirstColumn="0" w:lastRowLastColumn="0"/>
            <w:tcW w:w="1168" w:type="dxa"/>
          </w:tcPr>
          <w:p w14:paraId="30A8AB1A" w14:textId="77777777" w:rsidR="0072571C" w:rsidRPr="0048229C" w:rsidRDefault="0072571C" w:rsidP="0072571C">
            <w:pPr>
              <w:widowControl w:val="0"/>
              <w:autoSpaceDE w:val="0"/>
              <w:autoSpaceDN w:val="0"/>
              <w:adjustRightInd w:val="0"/>
              <w:spacing w:line="360" w:lineRule="auto"/>
              <w:rPr>
                <w:rFonts w:cs="Times New Roman"/>
                <w:b/>
                <w:lang w:val="en-US"/>
              </w:rPr>
            </w:pPr>
            <w:r w:rsidRPr="0048229C">
              <w:rPr>
                <w:rFonts w:cs="Times New Roman"/>
                <w:b/>
                <w:lang w:val="en-US"/>
              </w:rPr>
              <w:t>2</w:t>
            </w:r>
          </w:p>
        </w:tc>
        <w:tc>
          <w:tcPr>
            <w:cnfStyle w:val="000001000000" w:firstRow="0" w:lastRow="0" w:firstColumn="0" w:lastColumn="0" w:oddVBand="0" w:evenVBand="1" w:oddHBand="0" w:evenHBand="0" w:firstRowFirstColumn="0" w:firstRowLastColumn="0" w:lastRowFirstColumn="0" w:lastRowLastColumn="0"/>
            <w:tcW w:w="1823" w:type="dxa"/>
          </w:tcPr>
          <w:p w14:paraId="51B8E447"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0 weeks Randomiz</w:t>
            </w:r>
            <w:r w:rsidRPr="0048229C">
              <w:rPr>
                <w:rFonts w:cs="Times New Roman"/>
                <w:lang w:val="en-US"/>
              </w:rPr>
              <w:t xml:space="preserve">ation </w:t>
            </w:r>
          </w:p>
        </w:tc>
        <w:tc>
          <w:tcPr>
            <w:cnfStyle w:val="000010000000" w:firstRow="0" w:lastRow="0" w:firstColumn="0" w:lastColumn="0" w:oddVBand="1" w:evenVBand="0" w:oddHBand="0" w:evenHBand="0" w:firstRowFirstColumn="0" w:firstRowLastColumn="0" w:lastRowFirstColumn="0" w:lastRowLastColumn="0"/>
            <w:tcW w:w="3281" w:type="dxa"/>
          </w:tcPr>
          <w:p w14:paraId="3D1A5DD9"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GO-QOL</w:t>
            </w:r>
          </w:p>
        </w:tc>
        <w:tc>
          <w:tcPr>
            <w:cnfStyle w:val="000001000000" w:firstRow="0" w:lastRow="0" w:firstColumn="0" w:lastColumn="0" w:oddVBand="0" w:evenVBand="1" w:oddHBand="0" w:evenHBand="0" w:firstRowFirstColumn="0" w:firstRowLastColumn="0" w:lastRowFirstColumn="0" w:lastRowLastColumn="0"/>
            <w:tcW w:w="1008" w:type="dxa"/>
          </w:tcPr>
          <w:p w14:paraId="378F1072" w14:textId="77777777" w:rsidR="0072571C" w:rsidRPr="0040342E" w:rsidRDefault="0072571C" w:rsidP="0072571C">
            <w:pPr>
              <w:widowControl w:val="0"/>
              <w:autoSpaceDE w:val="0"/>
              <w:autoSpaceDN w:val="0"/>
              <w:adjustRightInd w:val="0"/>
              <w:spacing w:line="360" w:lineRule="auto"/>
              <w:rPr>
                <w:rFonts w:cs="Times New Roman"/>
                <w:lang w:val="en-US"/>
              </w:rPr>
            </w:pPr>
            <w:r w:rsidRPr="0040342E">
              <w:rPr>
                <w:rFonts w:cs="Times New Roman"/>
                <w:lang w:val="en-US"/>
              </w:rPr>
              <w:t>133</w:t>
            </w:r>
          </w:p>
        </w:tc>
      </w:tr>
      <w:tr w:rsidR="0072571C" w:rsidRPr="0048229C" w14:paraId="46D99245" w14:textId="77777777" w:rsidTr="00725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vMerge/>
          </w:tcPr>
          <w:p w14:paraId="119474D1" w14:textId="77777777" w:rsidR="0072571C" w:rsidRPr="0048229C" w:rsidRDefault="0072571C" w:rsidP="0072571C">
            <w:pPr>
              <w:widowControl w:val="0"/>
              <w:autoSpaceDE w:val="0"/>
              <w:autoSpaceDN w:val="0"/>
              <w:adjustRightInd w:val="0"/>
              <w:spacing w:line="360" w:lineRule="auto"/>
              <w:rPr>
                <w:rFonts w:cs="Times New Roman"/>
                <w:b w:val="0"/>
                <w:lang w:val="en-US"/>
              </w:rPr>
            </w:pPr>
          </w:p>
        </w:tc>
        <w:tc>
          <w:tcPr>
            <w:cnfStyle w:val="000010000000" w:firstRow="0" w:lastRow="0" w:firstColumn="0" w:lastColumn="0" w:oddVBand="1" w:evenVBand="0" w:oddHBand="0" w:evenHBand="0" w:firstRowFirstColumn="0" w:firstRowLastColumn="0" w:lastRowFirstColumn="0" w:lastRowLastColumn="0"/>
            <w:tcW w:w="1168" w:type="dxa"/>
          </w:tcPr>
          <w:p w14:paraId="0752431B" w14:textId="77777777" w:rsidR="0072571C" w:rsidRPr="0048229C" w:rsidRDefault="0072571C" w:rsidP="0072571C">
            <w:pPr>
              <w:widowControl w:val="0"/>
              <w:autoSpaceDE w:val="0"/>
              <w:autoSpaceDN w:val="0"/>
              <w:adjustRightInd w:val="0"/>
              <w:spacing w:line="360" w:lineRule="auto"/>
              <w:rPr>
                <w:rFonts w:cs="Times New Roman"/>
                <w:b/>
                <w:lang w:val="en-US"/>
              </w:rPr>
            </w:pPr>
            <w:r w:rsidRPr="0048229C">
              <w:rPr>
                <w:rFonts w:cs="Times New Roman"/>
                <w:b/>
                <w:lang w:val="en-US"/>
              </w:rPr>
              <w:t>3</w:t>
            </w:r>
          </w:p>
        </w:tc>
        <w:tc>
          <w:tcPr>
            <w:cnfStyle w:val="000001000000" w:firstRow="0" w:lastRow="0" w:firstColumn="0" w:lastColumn="0" w:oddVBand="0" w:evenVBand="1" w:oddHBand="0" w:evenHBand="0" w:firstRowFirstColumn="0" w:firstRowLastColumn="0" w:lastRowFirstColumn="0" w:lastRowLastColumn="0"/>
            <w:tcW w:w="1823" w:type="dxa"/>
          </w:tcPr>
          <w:p w14:paraId="79E519BA" w14:textId="77777777" w:rsidR="0072571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12 weeks</w:t>
            </w:r>
          </w:p>
          <w:p w14:paraId="6518FA3E"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Short term</w:t>
            </w:r>
          </w:p>
        </w:tc>
        <w:tc>
          <w:tcPr>
            <w:cnfStyle w:val="000010000000" w:firstRow="0" w:lastRow="0" w:firstColumn="0" w:lastColumn="0" w:oddVBand="1" w:evenVBand="0" w:oddHBand="0" w:evenHBand="0" w:firstRowFirstColumn="0" w:firstRowLastColumn="0" w:lastRowFirstColumn="0" w:lastRowLastColumn="0"/>
            <w:tcW w:w="3281" w:type="dxa"/>
          </w:tcPr>
          <w:p w14:paraId="0A44F82A"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GO-QOL</w:t>
            </w:r>
            <w:r w:rsidRPr="0048229C">
              <w:rPr>
                <w:rFonts w:cs="Times New Roman"/>
                <w:lang w:val="en-US"/>
              </w:rPr>
              <w:t xml:space="preserve">, </w:t>
            </w:r>
            <w:r>
              <w:rPr>
                <w:rFonts w:cs="Times New Roman"/>
                <w:lang w:val="en-US"/>
              </w:rPr>
              <w:t>WHOQOL</w:t>
            </w:r>
            <w:r w:rsidRPr="0048229C">
              <w:rPr>
                <w:rFonts w:cs="Times New Roman"/>
                <w:lang w:val="en-US"/>
              </w:rPr>
              <w:t xml:space="preserve">, </w:t>
            </w:r>
            <w:r>
              <w:rPr>
                <w:rFonts w:cs="Times New Roman"/>
                <w:lang w:val="en-US"/>
              </w:rPr>
              <w:t>transition variables</w:t>
            </w:r>
            <w:r w:rsidRPr="0048229C">
              <w:rPr>
                <w:rFonts w:cs="Times New Roman"/>
                <w:lang w:val="en-US"/>
              </w:rPr>
              <w:t xml:space="preserve">, </w:t>
            </w:r>
            <w:r>
              <w:rPr>
                <w:rFonts w:cs="Times New Roman"/>
                <w:lang w:val="en-US"/>
              </w:rPr>
              <w:t>VAS</w:t>
            </w:r>
          </w:p>
        </w:tc>
        <w:tc>
          <w:tcPr>
            <w:cnfStyle w:val="000001000000" w:firstRow="0" w:lastRow="0" w:firstColumn="0" w:lastColumn="0" w:oddVBand="0" w:evenVBand="1" w:oddHBand="0" w:evenHBand="0" w:firstRowFirstColumn="0" w:firstRowLastColumn="0" w:lastRowFirstColumn="0" w:lastRowLastColumn="0"/>
            <w:tcW w:w="1008" w:type="dxa"/>
          </w:tcPr>
          <w:p w14:paraId="12F11C5B" w14:textId="77777777" w:rsidR="0072571C" w:rsidRPr="005E3CBA" w:rsidRDefault="0072571C" w:rsidP="0072571C">
            <w:pPr>
              <w:widowControl w:val="0"/>
              <w:autoSpaceDE w:val="0"/>
              <w:autoSpaceDN w:val="0"/>
              <w:adjustRightInd w:val="0"/>
              <w:spacing w:line="360" w:lineRule="auto"/>
              <w:rPr>
                <w:rFonts w:cs="Times New Roman"/>
                <w:highlight w:val="yellow"/>
                <w:lang w:val="en-US"/>
              </w:rPr>
            </w:pPr>
            <w:r w:rsidRPr="00462060">
              <w:rPr>
                <w:rFonts w:cs="Times New Roman"/>
                <w:lang w:val="en-US"/>
              </w:rPr>
              <w:t>108</w:t>
            </w:r>
          </w:p>
        </w:tc>
      </w:tr>
      <w:tr w:rsidR="0072571C" w:rsidRPr="0048229C" w14:paraId="116C0380" w14:textId="77777777" w:rsidTr="0072571C">
        <w:tc>
          <w:tcPr>
            <w:cnfStyle w:val="001000000000" w:firstRow="0" w:lastRow="0" w:firstColumn="1" w:lastColumn="0" w:oddVBand="0" w:evenVBand="0" w:oddHBand="0" w:evenHBand="0" w:firstRowFirstColumn="0" w:firstRowLastColumn="0" w:lastRowFirstColumn="0" w:lastRowLastColumn="0"/>
            <w:tcW w:w="1020" w:type="dxa"/>
            <w:vMerge/>
          </w:tcPr>
          <w:p w14:paraId="23CD3849" w14:textId="77777777" w:rsidR="0072571C" w:rsidRPr="0048229C" w:rsidRDefault="0072571C" w:rsidP="0072571C">
            <w:pPr>
              <w:widowControl w:val="0"/>
              <w:autoSpaceDE w:val="0"/>
              <w:autoSpaceDN w:val="0"/>
              <w:adjustRightInd w:val="0"/>
              <w:spacing w:line="360" w:lineRule="auto"/>
              <w:rPr>
                <w:rFonts w:cs="Times New Roman"/>
                <w:b w:val="0"/>
                <w:lang w:val="en-US"/>
              </w:rPr>
            </w:pPr>
          </w:p>
        </w:tc>
        <w:tc>
          <w:tcPr>
            <w:cnfStyle w:val="000010000000" w:firstRow="0" w:lastRow="0" w:firstColumn="0" w:lastColumn="0" w:oddVBand="1" w:evenVBand="0" w:oddHBand="0" w:evenHBand="0" w:firstRowFirstColumn="0" w:firstRowLastColumn="0" w:lastRowFirstColumn="0" w:lastRowLastColumn="0"/>
            <w:tcW w:w="1168" w:type="dxa"/>
          </w:tcPr>
          <w:p w14:paraId="12F50C7C" w14:textId="77777777" w:rsidR="0072571C" w:rsidRPr="0048229C" w:rsidRDefault="0072571C" w:rsidP="0072571C">
            <w:pPr>
              <w:widowControl w:val="0"/>
              <w:autoSpaceDE w:val="0"/>
              <w:autoSpaceDN w:val="0"/>
              <w:adjustRightInd w:val="0"/>
              <w:spacing w:line="360" w:lineRule="auto"/>
              <w:rPr>
                <w:rFonts w:cs="Times New Roman"/>
                <w:b/>
                <w:lang w:val="en-US"/>
              </w:rPr>
            </w:pPr>
            <w:r w:rsidRPr="0048229C">
              <w:rPr>
                <w:rFonts w:cs="Times New Roman"/>
                <w:b/>
                <w:lang w:val="en-US"/>
              </w:rPr>
              <w:t>4</w:t>
            </w:r>
          </w:p>
        </w:tc>
        <w:tc>
          <w:tcPr>
            <w:cnfStyle w:val="000001000000" w:firstRow="0" w:lastRow="0" w:firstColumn="0" w:lastColumn="0" w:oddVBand="0" w:evenVBand="1" w:oddHBand="0" w:evenHBand="0" w:firstRowFirstColumn="0" w:firstRowLastColumn="0" w:lastRowFirstColumn="0" w:lastRowLastColumn="0"/>
            <w:tcW w:w="1823" w:type="dxa"/>
          </w:tcPr>
          <w:p w14:paraId="5DEC9ADB" w14:textId="77777777" w:rsidR="0072571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48 weeks</w:t>
            </w:r>
          </w:p>
          <w:p w14:paraId="58FDAB09"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Long term</w:t>
            </w:r>
          </w:p>
        </w:tc>
        <w:tc>
          <w:tcPr>
            <w:cnfStyle w:val="000010000000" w:firstRow="0" w:lastRow="0" w:firstColumn="0" w:lastColumn="0" w:oddVBand="1" w:evenVBand="0" w:oddHBand="0" w:evenHBand="0" w:firstRowFirstColumn="0" w:firstRowLastColumn="0" w:lastRowFirstColumn="0" w:lastRowLastColumn="0"/>
            <w:tcW w:w="3281" w:type="dxa"/>
          </w:tcPr>
          <w:p w14:paraId="16974C31" w14:textId="77777777" w:rsidR="0072571C" w:rsidRPr="0048229C" w:rsidRDefault="0072571C" w:rsidP="0072571C">
            <w:pPr>
              <w:widowControl w:val="0"/>
              <w:autoSpaceDE w:val="0"/>
              <w:autoSpaceDN w:val="0"/>
              <w:adjustRightInd w:val="0"/>
              <w:spacing w:line="360" w:lineRule="auto"/>
              <w:rPr>
                <w:rFonts w:cs="Times New Roman"/>
                <w:lang w:val="en-US"/>
              </w:rPr>
            </w:pPr>
            <w:r>
              <w:rPr>
                <w:rFonts w:cs="Times New Roman"/>
                <w:lang w:val="en-US"/>
              </w:rPr>
              <w:t>GO-QOL</w:t>
            </w:r>
            <w:r w:rsidRPr="0048229C">
              <w:rPr>
                <w:rFonts w:cs="Times New Roman"/>
                <w:lang w:val="en-US"/>
              </w:rPr>
              <w:t xml:space="preserve">, </w:t>
            </w:r>
            <w:r>
              <w:rPr>
                <w:rFonts w:cs="Times New Roman"/>
                <w:lang w:val="en-US"/>
              </w:rPr>
              <w:t>WHOQOL</w:t>
            </w:r>
            <w:r w:rsidRPr="0048229C">
              <w:rPr>
                <w:rFonts w:cs="Times New Roman"/>
                <w:lang w:val="en-US"/>
              </w:rPr>
              <w:t xml:space="preserve">, </w:t>
            </w:r>
            <w:r>
              <w:rPr>
                <w:rFonts w:cs="Times New Roman"/>
                <w:lang w:val="en-US"/>
              </w:rPr>
              <w:t>transition variables</w:t>
            </w:r>
            <w:r w:rsidRPr="0048229C">
              <w:rPr>
                <w:rFonts w:cs="Times New Roman"/>
                <w:lang w:val="en-US"/>
              </w:rPr>
              <w:t xml:space="preserve">, </w:t>
            </w:r>
            <w:r>
              <w:rPr>
                <w:rFonts w:cs="Times New Roman"/>
                <w:lang w:val="en-US"/>
              </w:rPr>
              <w:t>VAS, BCCOM</w:t>
            </w:r>
          </w:p>
        </w:tc>
        <w:tc>
          <w:tcPr>
            <w:cnfStyle w:val="000001000000" w:firstRow="0" w:lastRow="0" w:firstColumn="0" w:lastColumn="0" w:oddVBand="0" w:evenVBand="1" w:oddHBand="0" w:evenHBand="0" w:firstRowFirstColumn="0" w:firstRowLastColumn="0" w:lastRowFirstColumn="0" w:lastRowLastColumn="0"/>
            <w:tcW w:w="1008" w:type="dxa"/>
          </w:tcPr>
          <w:p w14:paraId="4552B80F" w14:textId="77777777" w:rsidR="0072571C" w:rsidRPr="0048229C" w:rsidRDefault="0072571C" w:rsidP="0072571C">
            <w:pPr>
              <w:widowControl w:val="0"/>
              <w:autoSpaceDE w:val="0"/>
              <w:autoSpaceDN w:val="0"/>
              <w:adjustRightInd w:val="0"/>
              <w:spacing w:line="360" w:lineRule="auto"/>
              <w:rPr>
                <w:rFonts w:cs="Times New Roman"/>
                <w:lang w:val="en-US"/>
              </w:rPr>
            </w:pPr>
            <w:r w:rsidRPr="00A9726A">
              <w:rPr>
                <w:rFonts w:cs="Times New Roman"/>
                <w:lang w:val="en-US"/>
              </w:rPr>
              <w:t>102</w:t>
            </w:r>
          </w:p>
        </w:tc>
      </w:tr>
    </w:tbl>
    <w:p w14:paraId="6DA0DEDD" w14:textId="7B38E350" w:rsidR="0072571C" w:rsidRDefault="0072571C" w:rsidP="00B56C13">
      <w:pPr>
        <w:pStyle w:val="p1"/>
      </w:pPr>
    </w:p>
    <w:p w14:paraId="507580C7" w14:textId="77777777" w:rsidR="0072571C" w:rsidRDefault="0072571C">
      <w:pPr>
        <w:rPr>
          <w:rFonts w:ascii="Arial" w:hAnsi="Arial" w:cs="Arial"/>
          <w:sz w:val="17"/>
          <w:szCs w:val="17"/>
          <w:lang w:val="en-US"/>
        </w:rPr>
      </w:pPr>
      <w:r>
        <w:br w:type="page"/>
      </w:r>
    </w:p>
    <w:p w14:paraId="0FA54FDA" w14:textId="77777777" w:rsidR="0072571C" w:rsidRPr="000F4938" w:rsidRDefault="0072571C" w:rsidP="0072571C">
      <w:pPr>
        <w:widowControl w:val="0"/>
        <w:autoSpaceDE w:val="0"/>
        <w:autoSpaceDN w:val="0"/>
        <w:adjustRightInd w:val="0"/>
        <w:spacing w:line="360" w:lineRule="auto"/>
      </w:pPr>
      <w:r w:rsidRPr="000F4938">
        <w:rPr>
          <w:b/>
          <w:i/>
        </w:rPr>
        <w:lastRenderedPageBreak/>
        <w:t xml:space="preserve">Table 3. Participant </w:t>
      </w:r>
      <w:r w:rsidRPr="000F4938">
        <w:rPr>
          <w:rFonts w:cs="Times New Roman"/>
          <w:b/>
          <w:i/>
        </w:rPr>
        <w:t>characteristics for</w:t>
      </w:r>
      <w:r w:rsidRPr="000F4938">
        <w:rPr>
          <w:rFonts w:cs="Times New Roman"/>
          <w:b/>
          <w:i/>
          <w:lang w:val="en-US"/>
        </w:rPr>
        <w:t xml:space="preserve"> Stage 1 </w:t>
      </w:r>
      <w:r>
        <w:rPr>
          <w:rFonts w:cs="Times New Roman"/>
          <w:b/>
          <w:i/>
          <w:lang w:val="en-US"/>
        </w:rPr>
        <w:t>GO-QOL</w:t>
      </w:r>
      <w:r w:rsidRPr="000F4938">
        <w:rPr>
          <w:rFonts w:cs="Times New Roman"/>
          <w:b/>
          <w:i/>
          <w:lang w:val="en-US"/>
        </w:rPr>
        <w:t xml:space="preserve"> Validation: internal validity and test re-test</w:t>
      </w:r>
    </w:p>
    <w:tbl>
      <w:tblPr>
        <w:tblW w:w="8222" w:type="dxa"/>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2268"/>
        <w:gridCol w:w="2977"/>
        <w:gridCol w:w="2977"/>
      </w:tblGrid>
      <w:tr w:rsidR="0072571C" w:rsidRPr="000F4938" w14:paraId="22F2EC68" w14:textId="77777777" w:rsidTr="0072571C">
        <w:trPr>
          <w:trHeight w:val="292"/>
        </w:trPr>
        <w:tc>
          <w:tcPr>
            <w:tcW w:w="2268" w:type="dxa"/>
            <w:tcBorders>
              <w:top w:val="single" w:sz="6" w:space="0" w:color="808080"/>
            </w:tcBorders>
            <w:shd w:val="clear" w:color="auto" w:fill="auto"/>
            <w:tcMar>
              <w:top w:w="20" w:type="dxa"/>
              <w:left w:w="20" w:type="dxa"/>
              <w:bottom w:w="0" w:type="dxa"/>
              <w:right w:w="20" w:type="dxa"/>
            </w:tcMar>
            <w:vAlign w:val="bottom"/>
          </w:tcPr>
          <w:p w14:paraId="53F51365" w14:textId="77777777" w:rsidR="0072571C" w:rsidRPr="000F4938" w:rsidRDefault="0072571C" w:rsidP="0072571C">
            <w:pPr>
              <w:widowControl w:val="0"/>
              <w:autoSpaceDE w:val="0"/>
              <w:autoSpaceDN w:val="0"/>
              <w:adjustRightInd w:val="0"/>
              <w:spacing w:line="360" w:lineRule="auto"/>
              <w:rPr>
                <w:rFonts w:cs="Times New Roman"/>
                <w:b/>
              </w:rPr>
            </w:pPr>
          </w:p>
        </w:tc>
        <w:tc>
          <w:tcPr>
            <w:tcW w:w="5954" w:type="dxa"/>
            <w:gridSpan w:val="2"/>
            <w:tcBorders>
              <w:top w:val="single" w:sz="6" w:space="0" w:color="808080"/>
            </w:tcBorders>
            <w:shd w:val="clear" w:color="auto" w:fill="auto"/>
            <w:tcMar>
              <w:top w:w="20" w:type="dxa"/>
              <w:left w:w="20" w:type="dxa"/>
              <w:bottom w:w="0" w:type="dxa"/>
              <w:right w:w="20" w:type="dxa"/>
            </w:tcMar>
            <w:vAlign w:val="center"/>
          </w:tcPr>
          <w:p w14:paraId="7BF5E22E" w14:textId="77777777" w:rsidR="0072571C" w:rsidRPr="000F4938" w:rsidRDefault="0072571C" w:rsidP="0072571C">
            <w:pPr>
              <w:widowControl w:val="0"/>
              <w:autoSpaceDE w:val="0"/>
              <w:autoSpaceDN w:val="0"/>
              <w:adjustRightInd w:val="0"/>
              <w:spacing w:line="360" w:lineRule="auto"/>
              <w:jc w:val="center"/>
              <w:rPr>
                <w:rFonts w:cs="Times New Roman"/>
                <w:b/>
              </w:rPr>
            </w:pPr>
            <w:r w:rsidRPr="000F4938">
              <w:rPr>
                <w:rFonts w:cs="Times New Roman"/>
                <w:b/>
              </w:rPr>
              <w:t>Study time point</w:t>
            </w:r>
          </w:p>
        </w:tc>
      </w:tr>
      <w:tr w:rsidR="0072571C" w:rsidRPr="000F4938" w14:paraId="4A56C598" w14:textId="77777777" w:rsidTr="0072571C">
        <w:trPr>
          <w:trHeight w:val="292"/>
        </w:trPr>
        <w:tc>
          <w:tcPr>
            <w:tcW w:w="2268" w:type="dxa"/>
            <w:shd w:val="clear" w:color="auto" w:fill="auto"/>
            <w:tcMar>
              <w:top w:w="20" w:type="dxa"/>
              <w:left w:w="20" w:type="dxa"/>
              <w:bottom w:w="0" w:type="dxa"/>
              <w:right w:w="20" w:type="dxa"/>
            </w:tcMar>
            <w:vAlign w:val="bottom"/>
          </w:tcPr>
          <w:p w14:paraId="5C64289F" w14:textId="77777777" w:rsidR="0072571C" w:rsidRPr="000F4938" w:rsidRDefault="0072571C" w:rsidP="0072571C">
            <w:pPr>
              <w:widowControl w:val="0"/>
              <w:autoSpaceDE w:val="0"/>
              <w:autoSpaceDN w:val="0"/>
              <w:adjustRightInd w:val="0"/>
              <w:spacing w:line="360" w:lineRule="auto"/>
              <w:rPr>
                <w:rFonts w:cs="Times New Roman"/>
              </w:rPr>
            </w:pPr>
            <w:r w:rsidRPr="000F4938">
              <w:rPr>
                <w:rFonts w:cs="Times New Roman"/>
                <w:b/>
              </w:rPr>
              <w:t>Variable</w:t>
            </w:r>
          </w:p>
        </w:tc>
        <w:tc>
          <w:tcPr>
            <w:tcW w:w="2977" w:type="dxa"/>
            <w:shd w:val="clear" w:color="auto" w:fill="auto"/>
            <w:tcMar>
              <w:top w:w="20" w:type="dxa"/>
              <w:left w:w="20" w:type="dxa"/>
              <w:bottom w:w="0" w:type="dxa"/>
              <w:right w:w="20" w:type="dxa"/>
            </w:tcMar>
            <w:vAlign w:val="bottom"/>
          </w:tcPr>
          <w:p w14:paraId="0977499C" w14:textId="77777777" w:rsidR="0072571C" w:rsidRPr="000F4938" w:rsidRDefault="0072571C" w:rsidP="0072571C">
            <w:pPr>
              <w:widowControl w:val="0"/>
              <w:autoSpaceDE w:val="0"/>
              <w:autoSpaceDN w:val="0"/>
              <w:adjustRightInd w:val="0"/>
              <w:spacing w:line="360" w:lineRule="auto"/>
              <w:rPr>
                <w:rFonts w:cs="Times New Roman"/>
                <w:b/>
              </w:rPr>
            </w:pPr>
            <w:r w:rsidRPr="000F4938">
              <w:rPr>
                <w:rFonts w:cs="Times New Roman"/>
                <w:b/>
              </w:rPr>
              <w:t>Enrolment (-2 weeks)</w:t>
            </w:r>
          </w:p>
        </w:tc>
        <w:tc>
          <w:tcPr>
            <w:tcW w:w="2977" w:type="dxa"/>
          </w:tcPr>
          <w:p w14:paraId="404FA416" w14:textId="77777777" w:rsidR="0072571C" w:rsidRPr="000F4938" w:rsidRDefault="0072571C" w:rsidP="0072571C">
            <w:pPr>
              <w:widowControl w:val="0"/>
              <w:autoSpaceDE w:val="0"/>
              <w:autoSpaceDN w:val="0"/>
              <w:adjustRightInd w:val="0"/>
              <w:spacing w:line="360" w:lineRule="auto"/>
              <w:rPr>
                <w:rFonts w:cs="Times New Roman"/>
                <w:b/>
              </w:rPr>
            </w:pPr>
            <w:r w:rsidRPr="000F4938">
              <w:rPr>
                <w:rFonts w:cs="Times New Roman"/>
                <w:b/>
              </w:rPr>
              <w:t>Randomization (week 0)</w:t>
            </w:r>
          </w:p>
        </w:tc>
      </w:tr>
      <w:tr w:rsidR="0072571C" w:rsidRPr="000F4938" w14:paraId="63B08D44" w14:textId="77777777" w:rsidTr="0072571C">
        <w:trPr>
          <w:trHeight w:val="292"/>
        </w:trPr>
        <w:tc>
          <w:tcPr>
            <w:tcW w:w="2268" w:type="dxa"/>
            <w:shd w:val="clear" w:color="auto" w:fill="auto"/>
            <w:tcMar>
              <w:top w:w="20" w:type="dxa"/>
              <w:left w:w="20" w:type="dxa"/>
              <w:bottom w:w="0" w:type="dxa"/>
              <w:right w:w="20" w:type="dxa"/>
            </w:tcMar>
            <w:vAlign w:val="bottom"/>
          </w:tcPr>
          <w:p w14:paraId="7DE73DBE" w14:textId="77777777" w:rsidR="0072571C" w:rsidRPr="000F4938" w:rsidRDefault="0072571C" w:rsidP="0072571C">
            <w:pPr>
              <w:widowControl w:val="0"/>
              <w:autoSpaceDE w:val="0"/>
              <w:autoSpaceDN w:val="0"/>
              <w:adjustRightInd w:val="0"/>
              <w:spacing w:line="360" w:lineRule="auto"/>
              <w:rPr>
                <w:rFonts w:cs="Times New Roman"/>
                <w:b/>
              </w:rPr>
            </w:pPr>
            <w:r w:rsidRPr="000F4938">
              <w:rPr>
                <w:rFonts w:cs="Times New Roman"/>
                <w:b/>
              </w:rPr>
              <w:t>Sample size</w:t>
            </w:r>
          </w:p>
        </w:tc>
        <w:tc>
          <w:tcPr>
            <w:tcW w:w="2977" w:type="dxa"/>
            <w:shd w:val="clear" w:color="auto" w:fill="auto"/>
            <w:tcMar>
              <w:top w:w="20" w:type="dxa"/>
              <w:left w:w="20" w:type="dxa"/>
              <w:bottom w:w="0" w:type="dxa"/>
              <w:right w:w="20" w:type="dxa"/>
            </w:tcMar>
            <w:vAlign w:val="bottom"/>
          </w:tcPr>
          <w:p w14:paraId="2B38A6F3" w14:textId="77777777" w:rsidR="0072571C" w:rsidRPr="000F4938" w:rsidRDefault="0072571C" w:rsidP="0072571C">
            <w:pPr>
              <w:widowControl w:val="0"/>
              <w:autoSpaceDE w:val="0"/>
              <w:autoSpaceDN w:val="0"/>
              <w:adjustRightInd w:val="0"/>
              <w:spacing w:line="360" w:lineRule="auto"/>
              <w:rPr>
                <w:rFonts w:cs="Times New Roman"/>
              </w:rPr>
            </w:pPr>
            <w:r>
              <w:rPr>
                <w:rFonts w:cs="Times New Roman"/>
              </w:rPr>
              <w:t>142</w:t>
            </w:r>
          </w:p>
        </w:tc>
        <w:tc>
          <w:tcPr>
            <w:tcW w:w="2977" w:type="dxa"/>
          </w:tcPr>
          <w:p w14:paraId="376974BF" w14:textId="77777777" w:rsidR="0072571C" w:rsidRPr="000F4938" w:rsidRDefault="0072571C" w:rsidP="0072571C">
            <w:pPr>
              <w:widowControl w:val="0"/>
              <w:autoSpaceDE w:val="0"/>
              <w:autoSpaceDN w:val="0"/>
              <w:adjustRightInd w:val="0"/>
              <w:spacing w:line="360" w:lineRule="auto"/>
              <w:rPr>
                <w:rFonts w:cs="Times New Roman"/>
              </w:rPr>
            </w:pPr>
            <w:r>
              <w:rPr>
                <w:rFonts w:cs="Times New Roman"/>
              </w:rPr>
              <w:t>1</w:t>
            </w:r>
            <w:r w:rsidRPr="000F4938">
              <w:rPr>
                <w:rFonts w:cs="Times New Roman"/>
              </w:rPr>
              <w:t>2</w:t>
            </w:r>
            <w:r>
              <w:rPr>
                <w:rFonts w:cs="Times New Roman"/>
              </w:rPr>
              <w:t>6</w:t>
            </w:r>
          </w:p>
        </w:tc>
      </w:tr>
      <w:tr w:rsidR="0072571C" w:rsidRPr="000F4938" w14:paraId="4333CF74" w14:textId="77777777" w:rsidTr="0072571C">
        <w:trPr>
          <w:trHeight w:val="292"/>
        </w:trPr>
        <w:tc>
          <w:tcPr>
            <w:tcW w:w="2268" w:type="dxa"/>
            <w:shd w:val="clear" w:color="auto" w:fill="auto"/>
            <w:tcMar>
              <w:top w:w="20" w:type="dxa"/>
              <w:left w:w="20" w:type="dxa"/>
              <w:bottom w:w="0" w:type="dxa"/>
              <w:right w:w="20" w:type="dxa"/>
            </w:tcMar>
            <w:vAlign w:val="bottom"/>
          </w:tcPr>
          <w:p w14:paraId="0728474B" w14:textId="77777777" w:rsidR="0072571C" w:rsidRPr="000F4938" w:rsidRDefault="0072571C" w:rsidP="0072571C">
            <w:pPr>
              <w:widowControl w:val="0"/>
              <w:autoSpaceDE w:val="0"/>
              <w:autoSpaceDN w:val="0"/>
              <w:adjustRightInd w:val="0"/>
              <w:spacing w:line="360" w:lineRule="auto"/>
              <w:rPr>
                <w:rFonts w:cs="Times New Roman"/>
                <w:b/>
              </w:rPr>
            </w:pPr>
            <w:r w:rsidRPr="000F4938">
              <w:rPr>
                <w:rFonts w:cs="Times New Roman"/>
                <w:b/>
              </w:rPr>
              <w:t>Age</w:t>
            </w:r>
          </w:p>
        </w:tc>
        <w:tc>
          <w:tcPr>
            <w:tcW w:w="2977" w:type="dxa"/>
            <w:shd w:val="clear" w:color="auto" w:fill="auto"/>
            <w:tcMar>
              <w:top w:w="20" w:type="dxa"/>
              <w:left w:w="20" w:type="dxa"/>
              <w:bottom w:w="0" w:type="dxa"/>
              <w:right w:w="20" w:type="dxa"/>
            </w:tcMar>
            <w:vAlign w:val="bottom"/>
          </w:tcPr>
          <w:p w14:paraId="2F43B6B4" w14:textId="77777777" w:rsidR="0072571C" w:rsidRPr="000F4938" w:rsidRDefault="0072571C" w:rsidP="0072571C">
            <w:pPr>
              <w:widowControl w:val="0"/>
              <w:autoSpaceDE w:val="0"/>
              <w:autoSpaceDN w:val="0"/>
              <w:adjustRightInd w:val="0"/>
              <w:spacing w:line="360" w:lineRule="auto"/>
              <w:rPr>
                <w:rFonts w:cs="Times New Roman"/>
              </w:rPr>
            </w:pPr>
            <w:r w:rsidRPr="000F4938">
              <w:rPr>
                <w:rFonts w:cs="Times New Roman"/>
              </w:rPr>
              <w:t>48</w:t>
            </w:r>
            <w:r>
              <w:rPr>
                <w:rFonts w:cs="Times New Roman"/>
              </w:rPr>
              <w:t>.02</w:t>
            </w:r>
            <w:r w:rsidRPr="000F4938">
              <w:rPr>
                <w:rFonts w:cs="Times New Roman"/>
              </w:rPr>
              <w:t>±11.</w:t>
            </w:r>
            <w:r>
              <w:rPr>
                <w:rFonts w:cs="Times New Roman"/>
              </w:rPr>
              <w:t>44</w:t>
            </w:r>
          </w:p>
        </w:tc>
        <w:tc>
          <w:tcPr>
            <w:tcW w:w="2977" w:type="dxa"/>
          </w:tcPr>
          <w:p w14:paraId="53C4E28B" w14:textId="77777777" w:rsidR="0072571C" w:rsidRPr="000F4938" w:rsidRDefault="0072571C" w:rsidP="0072571C">
            <w:pPr>
              <w:widowControl w:val="0"/>
              <w:autoSpaceDE w:val="0"/>
              <w:autoSpaceDN w:val="0"/>
              <w:adjustRightInd w:val="0"/>
              <w:spacing w:line="360" w:lineRule="auto"/>
            </w:pPr>
            <w:r w:rsidRPr="000F4938">
              <w:t>4</w:t>
            </w:r>
            <w:r>
              <w:t>8.27</w:t>
            </w:r>
            <w:r w:rsidRPr="000F4938">
              <w:t>±11.4</w:t>
            </w:r>
            <w:r>
              <w:t>0</w:t>
            </w:r>
          </w:p>
        </w:tc>
      </w:tr>
      <w:tr w:rsidR="0072571C" w:rsidRPr="000F4938" w14:paraId="180E8710" w14:textId="77777777" w:rsidTr="0072571C">
        <w:trPr>
          <w:trHeight w:val="292"/>
        </w:trPr>
        <w:tc>
          <w:tcPr>
            <w:tcW w:w="2268" w:type="dxa"/>
            <w:shd w:val="clear" w:color="auto" w:fill="auto"/>
            <w:tcMar>
              <w:top w:w="20" w:type="dxa"/>
              <w:left w:w="20" w:type="dxa"/>
              <w:bottom w:w="0" w:type="dxa"/>
              <w:right w:w="20" w:type="dxa"/>
            </w:tcMar>
            <w:vAlign w:val="bottom"/>
          </w:tcPr>
          <w:p w14:paraId="35AA70A1" w14:textId="77777777" w:rsidR="0072571C" w:rsidRPr="000F4938" w:rsidRDefault="0072571C" w:rsidP="0072571C">
            <w:pPr>
              <w:widowControl w:val="0"/>
              <w:autoSpaceDE w:val="0"/>
              <w:autoSpaceDN w:val="0"/>
              <w:adjustRightInd w:val="0"/>
              <w:spacing w:line="360" w:lineRule="auto"/>
              <w:rPr>
                <w:rFonts w:cs="Times New Roman"/>
              </w:rPr>
            </w:pPr>
            <w:r w:rsidRPr="000F4938">
              <w:rPr>
                <w:rFonts w:cs="Times New Roman"/>
                <w:b/>
              </w:rPr>
              <w:t xml:space="preserve">Sex </w:t>
            </w:r>
            <w:r>
              <w:rPr>
                <w:rFonts w:cs="Times New Roman"/>
              </w:rPr>
              <w:t>(male/female</w:t>
            </w:r>
            <w:r w:rsidRPr="000F4938">
              <w:rPr>
                <w:rFonts w:cs="Times New Roman"/>
              </w:rPr>
              <w:t>)</w:t>
            </w:r>
          </w:p>
        </w:tc>
        <w:tc>
          <w:tcPr>
            <w:tcW w:w="2977" w:type="dxa"/>
            <w:shd w:val="clear" w:color="auto" w:fill="auto"/>
            <w:tcMar>
              <w:top w:w="20" w:type="dxa"/>
              <w:left w:w="20" w:type="dxa"/>
              <w:bottom w:w="0" w:type="dxa"/>
              <w:right w:w="20" w:type="dxa"/>
            </w:tcMar>
            <w:vAlign w:val="bottom"/>
          </w:tcPr>
          <w:p w14:paraId="66AFA202" w14:textId="77777777" w:rsidR="0072571C" w:rsidRPr="000F4938" w:rsidRDefault="0072571C" w:rsidP="0072571C">
            <w:pPr>
              <w:widowControl w:val="0"/>
              <w:autoSpaceDE w:val="0"/>
              <w:autoSpaceDN w:val="0"/>
              <w:adjustRightInd w:val="0"/>
              <w:spacing w:line="360" w:lineRule="auto"/>
              <w:rPr>
                <w:rFonts w:cs="Times New Roman"/>
              </w:rPr>
            </w:pPr>
            <w:r>
              <w:rPr>
                <w:rFonts w:cs="Times New Roman"/>
              </w:rPr>
              <w:t>41/101</w:t>
            </w:r>
          </w:p>
        </w:tc>
        <w:tc>
          <w:tcPr>
            <w:tcW w:w="2977" w:type="dxa"/>
          </w:tcPr>
          <w:p w14:paraId="7AE7188A" w14:textId="77777777" w:rsidR="0072571C" w:rsidRPr="000F4938" w:rsidRDefault="0072571C" w:rsidP="0072571C">
            <w:pPr>
              <w:widowControl w:val="0"/>
              <w:autoSpaceDE w:val="0"/>
              <w:autoSpaceDN w:val="0"/>
              <w:adjustRightInd w:val="0"/>
              <w:spacing w:line="360" w:lineRule="auto"/>
            </w:pPr>
          </w:p>
          <w:p w14:paraId="0EA562F7" w14:textId="77777777" w:rsidR="0072571C" w:rsidRPr="000F4938" w:rsidRDefault="0072571C" w:rsidP="0072571C">
            <w:pPr>
              <w:widowControl w:val="0"/>
              <w:autoSpaceDE w:val="0"/>
              <w:autoSpaceDN w:val="0"/>
              <w:adjustRightInd w:val="0"/>
              <w:spacing w:line="360" w:lineRule="auto"/>
            </w:pPr>
          </w:p>
          <w:p w14:paraId="79D268E1" w14:textId="77777777" w:rsidR="0072571C" w:rsidRPr="000F4938" w:rsidRDefault="0072571C" w:rsidP="0072571C">
            <w:pPr>
              <w:widowControl w:val="0"/>
              <w:autoSpaceDE w:val="0"/>
              <w:autoSpaceDN w:val="0"/>
              <w:adjustRightInd w:val="0"/>
              <w:spacing w:line="360" w:lineRule="auto"/>
            </w:pPr>
            <w:r>
              <w:t>34/92</w:t>
            </w:r>
          </w:p>
        </w:tc>
      </w:tr>
      <w:tr w:rsidR="0072571C" w:rsidRPr="000F4938" w14:paraId="248D5449" w14:textId="77777777" w:rsidTr="0072571C">
        <w:trPr>
          <w:trHeight w:val="292"/>
        </w:trPr>
        <w:tc>
          <w:tcPr>
            <w:tcW w:w="2268" w:type="dxa"/>
            <w:shd w:val="clear" w:color="auto" w:fill="auto"/>
            <w:tcMar>
              <w:top w:w="20" w:type="dxa"/>
              <w:left w:w="20" w:type="dxa"/>
              <w:bottom w:w="0" w:type="dxa"/>
              <w:right w:w="20" w:type="dxa"/>
            </w:tcMar>
            <w:vAlign w:val="bottom"/>
          </w:tcPr>
          <w:p w14:paraId="00602617" w14:textId="77777777" w:rsidR="0072571C" w:rsidRPr="000F4938" w:rsidRDefault="0072571C" w:rsidP="0072571C">
            <w:pPr>
              <w:widowControl w:val="0"/>
              <w:autoSpaceDE w:val="0"/>
              <w:autoSpaceDN w:val="0"/>
              <w:adjustRightInd w:val="0"/>
              <w:spacing w:line="360" w:lineRule="auto"/>
              <w:rPr>
                <w:rFonts w:cs="Times New Roman"/>
                <w:b/>
              </w:rPr>
            </w:pPr>
            <w:r w:rsidRPr="000F4938">
              <w:rPr>
                <w:rFonts w:cs="Times New Roman"/>
                <w:b/>
              </w:rPr>
              <w:t>Ethnicity</w:t>
            </w:r>
          </w:p>
        </w:tc>
        <w:tc>
          <w:tcPr>
            <w:tcW w:w="2977" w:type="dxa"/>
            <w:shd w:val="clear" w:color="auto" w:fill="auto"/>
            <w:tcMar>
              <w:top w:w="20" w:type="dxa"/>
              <w:left w:w="20" w:type="dxa"/>
              <w:bottom w:w="0" w:type="dxa"/>
              <w:right w:w="20" w:type="dxa"/>
            </w:tcMar>
            <w:vAlign w:val="bottom"/>
          </w:tcPr>
          <w:p w14:paraId="03A1F974" w14:textId="77777777" w:rsidR="0072571C" w:rsidRPr="000F4938" w:rsidRDefault="0072571C" w:rsidP="0072571C">
            <w:pPr>
              <w:widowControl w:val="0"/>
              <w:autoSpaceDE w:val="0"/>
              <w:autoSpaceDN w:val="0"/>
              <w:adjustRightInd w:val="0"/>
              <w:spacing w:line="360" w:lineRule="auto"/>
              <w:rPr>
                <w:rFonts w:cs="Times New Roman"/>
              </w:rPr>
            </w:pPr>
          </w:p>
        </w:tc>
        <w:tc>
          <w:tcPr>
            <w:tcW w:w="2977" w:type="dxa"/>
          </w:tcPr>
          <w:p w14:paraId="77EB9A5A" w14:textId="77777777" w:rsidR="0072571C" w:rsidRPr="000F4938" w:rsidRDefault="0072571C" w:rsidP="0072571C">
            <w:pPr>
              <w:widowControl w:val="0"/>
              <w:autoSpaceDE w:val="0"/>
              <w:autoSpaceDN w:val="0"/>
              <w:adjustRightInd w:val="0"/>
              <w:spacing w:line="360" w:lineRule="auto"/>
              <w:rPr>
                <w:rFonts w:cs="Times New Roman"/>
              </w:rPr>
            </w:pPr>
          </w:p>
        </w:tc>
      </w:tr>
      <w:tr w:rsidR="0072571C" w:rsidRPr="000F4938" w14:paraId="599F4563" w14:textId="77777777" w:rsidTr="0072571C">
        <w:trPr>
          <w:trHeight w:val="292"/>
        </w:trPr>
        <w:tc>
          <w:tcPr>
            <w:tcW w:w="2268" w:type="dxa"/>
            <w:shd w:val="clear" w:color="auto" w:fill="auto"/>
            <w:tcMar>
              <w:top w:w="20" w:type="dxa"/>
              <w:left w:w="20" w:type="dxa"/>
              <w:bottom w:w="0" w:type="dxa"/>
              <w:right w:w="20" w:type="dxa"/>
            </w:tcMar>
            <w:vAlign w:val="bottom"/>
          </w:tcPr>
          <w:p w14:paraId="5CE74345" w14:textId="77777777" w:rsidR="0072571C" w:rsidRPr="000F4938" w:rsidRDefault="0072571C" w:rsidP="0072571C">
            <w:pPr>
              <w:widowControl w:val="0"/>
              <w:autoSpaceDE w:val="0"/>
              <w:autoSpaceDN w:val="0"/>
              <w:adjustRightInd w:val="0"/>
              <w:spacing w:line="360" w:lineRule="auto"/>
              <w:rPr>
                <w:rFonts w:cs="Times New Roman"/>
              </w:rPr>
            </w:pPr>
            <w:r w:rsidRPr="000F4938">
              <w:rPr>
                <w:rFonts w:cs="Times New Roman"/>
              </w:rPr>
              <w:t>Caucasian/Black</w:t>
            </w:r>
          </w:p>
        </w:tc>
        <w:tc>
          <w:tcPr>
            <w:tcW w:w="2977" w:type="dxa"/>
            <w:shd w:val="clear" w:color="auto" w:fill="auto"/>
            <w:tcMar>
              <w:top w:w="20" w:type="dxa"/>
              <w:left w:w="20" w:type="dxa"/>
              <w:bottom w:w="0" w:type="dxa"/>
              <w:right w:w="20" w:type="dxa"/>
            </w:tcMar>
            <w:vAlign w:val="bottom"/>
          </w:tcPr>
          <w:p w14:paraId="2F0C843C" w14:textId="77777777" w:rsidR="0072571C" w:rsidRPr="000F4938" w:rsidRDefault="0072571C" w:rsidP="0072571C">
            <w:pPr>
              <w:widowControl w:val="0"/>
              <w:autoSpaceDE w:val="0"/>
              <w:autoSpaceDN w:val="0"/>
              <w:adjustRightInd w:val="0"/>
              <w:spacing w:line="360" w:lineRule="auto"/>
              <w:rPr>
                <w:rFonts w:cs="Times New Roman"/>
              </w:rPr>
            </w:pPr>
            <w:r>
              <w:rPr>
                <w:rFonts w:cs="Times New Roman"/>
              </w:rPr>
              <w:t>99/16</w:t>
            </w:r>
          </w:p>
        </w:tc>
        <w:tc>
          <w:tcPr>
            <w:tcW w:w="2977" w:type="dxa"/>
          </w:tcPr>
          <w:p w14:paraId="0E39C74B" w14:textId="77777777" w:rsidR="0072571C" w:rsidRPr="000F4938" w:rsidRDefault="0072571C" w:rsidP="0072571C">
            <w:pPr>
              <w:widowControl w:val="0"/>
              <w:autoSpaceDE w:val="0"/>
              <w:autoSpaceDN w:val="0"/>
              <w:adjustRightInd w:val="0"/>
              <w:spacing w:line="360" w:lineRule="auto"/>
              <w:rPr>
                <w:rFonts w:cs="Times New Roman"/>
              </w:rPr>
            </w:pPr>
            <w:r>
              <w:rPr>
                <w:rFonts w:cs="Times New Roman"/>
              </w:rPr>
              <w:t>87</w:t>
            </w:r>
            <w:r w:rsidRPr="000F4938">
              <w:rPr>
                <w:rFonts w:cs="Times New Roman"/>
              </w:rPr>
              <w:t>/1</w:t>
            </w:r>
            <w:r>
              <w:rPr>
                <w:rFonts w:cs="Times New Roman"/>
              </w:rPr>
              <w:t>4</w:t>
            </w:r>
          </w:p>
        </w:tc>
      </w:tr>
      <w:tr w:rsidR="0072571C" w:rsidRPr="000F4938" w14:paraId="5F080655" w14:textId="77777777" w:rsidTr="0072571C">
        <w:trPr>
          <w:trHeight w:val="292"/>
        </w:trPr>
        <w:tc>
          <w:tcPr>
            <w:tcW w:w="2268" w:type="dxa"/>
            <w:shd w:val="clear" w:color="auto" w:fill="auto"/>
            <w:tcMar>
              <w:top w:w="20" w:type="dxa"/>
              <w:left w:w="20" w:type="dxa"/>
              <w:bottom w:w="0" w:type="dxa"/>
              <w:right w:w="20" w:type="dxa"/>
            </w:tcMar>
            <w:vAlign w:val="bottom"/>
          </w:tcPr>
          <w:p w14:paraId="4E35C932" w14:textId="77777777" w:rsidR="0072571C" w:rsidRPr="000F4938" w:rsidRDefault="0072571C" w:rsidP="0072571C">
            <w:pPr>
              <w:widowControl w:val="0"/>
              <w:autoSpaceDE w:val="0"/>
              <w:autoSpaceDN w:val="0"/>
              <w:adjustRightInd w:val="0"/>
              <w:spacing w:line="360" w:lineRule="auto"/>
              <w:rPr>
                <w:rFonts w:cs="Times New Roman"/>
              </w:rPr>
            </w:pPr>
            <w:r w:rsidRPr="000F4938">
              <w:rPr>
                <w:rFonts w:cs="Times New Roman"/>
              </w:rPr>
              <w:t>Asian/Oriental</w:t>
            </w:r>
          </w:p>
        </w:tc>
        <w:tc>
          <w:tcPr>
            <w:tcW w:w="2977" w:type="dxa"/>
            <w:shd w:val="clear" w:color="auto" w:fill="auto"/>
            <w:tcMar>
              <w:top w:w="20" w:type="dxa"/>
              <w:left w:w="20" w:type="dxa"/>
              <w:bottom w:w="0" w:type="dxa"/>
              <w:right w:w="20" w:type="dxa"/>
            </w:tcMar>
            <w:vAlign w:val="bottom"/>
          </w:tcPr>
          <w:p w14:paraId="00746207" w14:textId="77777777" w:rsidR="0072571C" w:rsidRPr="000F4938" w:rsidRDefault="0072571C" w:rsidP="0072571C">
            <w:pPr>
              <w:widowControl w:val="0"/>
              <w:autoSpaceDE w:val="0"/>
              <w:autoSpaceDN w:val="0"/>
              <w:adjustRightInd w:val="0"/>
              <w:spacing w:line="360" w:lineRule="auto"/>
              <w:rPr>
                <w:rFonts w:cs="Times New Roman"/>
              </w:rPr>
            </w:pPr>
            <w:r w:rsidRPr="000F4938">
              <w:rPr>
                <w:rFonts w:cs="Times New Roman"/>
              </w:rPr>
              <w:t>11/4</w:t>
            </w:r>
          </w:p>
        </w:tc>
        <w:tc>
          <w:tcPr>
            <w:tcW w:w="2977" w:type="dxa"/>
          </w:tcPr>
          <w:p w14:paraId="0BE15860" w14:textId="77777777" w:rsidR="0072571C" w:rsidRPr="000F4938" w:rsidRDefault="0072571C" w:rsidP="0072571C">
            <w:pPr>
              <w:widowControl w:val="0"/>
              <w:autoSpaceDE w:val="0"/>
              <w:autoSpaceDN w:val="0"/>
              <w:adjustRightInd w:val="0"/>
              <w:spacing w:line="360" w:lineRule="auto"/>
              <w:rPr>
                <w:rFonts w:cs="Times New Roman"/>
              </w:rPr>
            </w:pPr>
            <w:r w:rsidRPr="000F4938">
              <w:rPr>
                <w:rFonts w:cs="Times New Roman"/>
              </w:rPr>
              <w:t>10/4</w:t>
            </w:r>
          </w:p>
        </w:tc>
      </w:tr>
      <w:tr w:rsidR="0072571C" w:rsidRPr="0048229C" w14:paraId="081983C4" w14:textId="77777777" w:rsidTr="0072571C">
        <w:trPr>
          <w:trHeight w:val="292"/>
        </w:trPr>
        <w:tc>
          <w:tcPr>
            <w:tcW w:w="2268" w:type="dxa"/>
            <w:shd w:val="clear" w:color="auto" w:fill="auto"/>
            <w:tcMar>
              <w:top w:w="20" w:type="dxa"/>
              <w:left w:w="20" w:type="dxa"/>
              <w:bottom w:w="0" w:type="dxa"/>
              <w:right w:w="20" w:type="dxa"/>
            </w:tcMar>
            <w:vAlign w:val="bottom"/>
          </w:tcPr>
          <w:p w14:paraId="51E7DDB5" w14:textId="77777777" w:rsidR="0072571C" w:rsidRPr="000F4938" w:rsidRDefault="0072571C" w:rsidP="0072571C">
            <w:pPr>
              <w:widowControl w:val="0"/>
              <w:autoSpaceDE w:val="0"/>
              <w:autoSpaceDN w:val="0"/>
              <w:adjustRightInd w:val="0"/>
              <w:spacing w:line="360" w:lineRule="auto"/>
              <w:rPr>
                <w:rFonts w:cs="Times New Roman"/>
              </w:rPr>
            </w:pPr>
            <w:r>
              <w:rPr>
                <w:rFonts w:cs="Times New Roman"/>
              </w:rPr>
              <w:t>Other (or not stated)</w:t>
            </w:r>
          </w:p>
        </w:tc>
        <w:tc>
          <w:tcPr>
            <w:tcW w:w="2977" w:type="dxa"/>
            <w:shd w:val="clear" w:color="auto" w:fill="auto"/>
            <w:tcMar>
              <w:top w:w="20" w:type="dxa"/>
              <w:left w:w="20" w:type="dxa"/>
              <w:bottom w:w="0" w:type="dxa"/>
              <w:right w:w="20" w:type="dxa"/>
            </w:tcMar>
            <w:vAlign w:val="bottom"/>
          </w:tcPr>
          <w:p w14:paraId="47313D6C" w14:textId="77777777" w:rsidR="0072571C" w:rsidRPr="000F4938" w:rsidRDefault="0072571C" w:rsidP="0072571C">
            <w:pPr>
              <w:widowControl w:val="0"/>
              <w:autoSpaceDE w:val="0"/>
              <w:autoSpaceDN w:val="0"/>
              <w:adjustRightInd w:val="0"/>
              <w:spacing w:line="360" w:lineRule="auto"/>
              <w:rPr>
                <w:rFonts w:cs="Times New Roman"/>
              </w:rPr>
            </w:pPr>
            <w:r>
              <w:rPr>
                <w:rFonts w:cs="Times New Roman"/>
              </w:rPr>
              <w:t>12</w:t>
            </w:r>
          </w:p>
        </w:tc>
        <w:tc>
          <w:tcPr>
            <w:tcW w:w="2977" w:type="dxa"/>
          </w:tcPr>
          <w:p w14:paraId="470E3BD0" w14:textId="77777777" w:rsidR="0072571C" w:rsidRPr="0048229C" w:rsidRDefault="0072571C" w:rsidP="0072571C">
            <w:pPr>
              <w:widowControl w:val="0"/>
              <w:autoSpaceDE w:val="0"/>
              <w:autoSpaceDN w:val="0"/>
              <w:adjustRightInd w:val="0"/>
              <w:spacing w:line="360" w:lineRule="auto"/>
              <w:rPr>
                <w:rFonts w:cs="Times New Roman"/>
              </w:rPr>
            </w:pPr>
            <w:r>
              <w:rPr>
                <w:rFonts w:cs="Times New Roman"/>
              </w:rPr>
              <w:t>11</w:t>
            </w:r>
          </w:p>
        </w:tc>
      </w:tr>
    </w:tbl>
    <w:p w14:paraId="59C52568" w14:textId="4A9E332E" w:rsidR="0072571C" w:rsidRDefault="0072571C" w:rsidP="00B56C13">
      <w:pPr>
        <w:pStyle w:val="p1"/>
      </w:pPr>
    </w:p>
    <w:p w14:paraId="321E3E6F" w14:textId="77777777" w:rsidR="0072571C" w:rsidRDefault="0072571C">
      <w:pPr>
        <w:rPr>
          <w:rFonts w:ascii="Arial" w:hAnsi="Arial" w:cs="Arial"/>
          <w:sz w:val="17"/>
          <w:szCs w:val="17"/>
          <w:lang w:val="en-US"/>
        </w:rPr>
      </w:pPr>
      <w:r>
        <w:br w:type="page"/>
      </w:r>
    </w:p>
    <w:p w14:paraId="72EA3C13" w14:textId="77777777" w:rsidR="0072571C" w:rsidRPr="006130EC" w:rsidRDefault="0072571C" w:rsidP="0072571C">
      <w:pPr>
        <w:spacing w:line="360" w:lineRule="auto"/>
        <w:rPr>
          <w:b/>
          <w:i/>
        </w:rPr>
      </w:pPr>
      <w:r w:rsidRPr="00330187">
        <w:rPr>
          <w:b/>
          <w:i/>
        </w:rPr>
        <w:lastRenderedPageBreak/>
        <w:t>Table 4.</w:t>
      </w:r>
      <w:r w:rsidRPr="0048229C">
        <w:rPr>
          <w:i/>
        </w:rPr>
        <w:t xml:space="preserve"> </w:t>
      </w:r>
      <w:r w:rsidRPr="006130EC">
        <w:rPr>
          <w:b/>
          <w:i/>
        </w:rPr>
        <w:t xml:space="preserve">Item response table for </w:t>
      </w:r>
      <w:r>
        <w:rPr>
          <w:b/>
          <w:i/>
        </w:rPr>
        <w:t>GO-QOL</w:t>
      </w:r>
      <w:r w:rsidRPr="006130EC">
        <w:rPr>
          <w:b/>
          <w:i/>
        </w:rPr>
        <w:t xml:space="preserve"> at time point 1 (-2 weeks, enrolment).</w:t>
      </w:r>
    </w:p>
    <w:tbl>
      <w:tblPr>
        <w:tblW w:w="8668" w:type="dxa"/>
        <w:tblInd w:w="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2"/>
        <w:gridCol w:w="819"/>
        <w:gridCol w:w="820"/>
        <w:gridCol w:w="819"/>
        <w:gridCol w:w="954"/>
        <w:gridCol w:w="994"/>
      </w:tblGrid>
      <w:tr w:rsidR="0072571C" w:rsidRPr="0048229C" w14:paraId="792C4AD3" w14:textId="77777777" w:rsidTr="0072571C">
        <w:trPr>
          <w:trHeight w:val="264"/>
        </w:trPr>
        <w:tc>
          <w:tcPr>
            <w:tcW w:w="4262" w:type="dxa"/>
            <w:tcBorders>
              <w:top w:val="single" w:sz="4" w:space="0" w:color="auto"/>
              <w:bottom w:val="single" w:sz="4" w:space="0" w:color="auto"/>
              <w:right w:val="single" w:sz="4" w:space="0" w:color="auto"/>
            </w:tcBorders>
          </w:tcPr>
          <w:p w14:paraId="1F0F9F1D" w14:textId="77777777" w:rsidR="0072571C" w:rsidRPr="0048229C" w:rsidRDefault="0072571C" w:rsidP="0072571C">
            <w:pPr>
              <w:widowControl w:val="0"/>
              <w:autoSpaceDE w:val="0"/>
              <w:autoSpaceDN w:val="0"/>
              <w:adjustRightInd w:val="0"/>
              <w:spacing w:line="360" w:lineRule="auto"/>
              <w:rPr>
                <w:rFonts w:cs="Verdana"/>
                <w:b/>
                <w:bCs/>
                <w:color w:val="000000"/>
                <w:lang w:val="en-US"/>
              </w:rPr>
            </w:pPr>
          </w:p>
        </w:tc>
        <w:tc>
          <w:tcPr>
            <w:tcW w:w="819" w:type="dxa"/>
            <w:tcBorders>
              <w:top w:val="single" w:sz="4" w:space="0" w:color="auto"/>
              <w:left w:val="single" w:sz="4" w:space="0" w:color="auto"/>
              <w:bottom w:val="single" w:sz="4" w:space="0" w:color="auto"/>
              <w:right w:val="single" w:sz="4" w:space="0" w:color="auto"/>
            </w:tcBorders>
            <w:vAlign w:val="center"/>
          </w:tcPr>
          <w:p w14:paraId="3557D8E7"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N</w:t>
            </w:r>
          </w:p>
        </w:tc>
        <w:tc>
          <w:tcPr>
            <w:tcW w:w="820" w:type="dxa"/>
            <w:tcBorders>
              <w:top w:val="single" w:sz="4" w:space="0" w:color="auto"/>
              <w:left w:val="single" w:sz="4" w:space="0" w:color="auto"/>
              <w:bottom w:val="single" w:sz="4" w:space="0" w:color="auto"/>
              <w:right w:val="single" w:sz="4" w:space="0" w:color="auto"/>
            </w:tcBorders>
            <w:vAlign w:val="center"/>
          </w:tcPr>
          <w:p w14:paraId="0628E6B2" w14:textId="77777777" w:rsidR="0072571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Min</w:t>
            </w:r>
          </w:p>
          <w:p w14:paraId="6A26E6CB"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Pr>
                <w:rFonts w:cs="Verdana"/>
                <w:b/>
                <w:bCs/>
                <w:color w:val="000000"/>
                <w:lang w:val="en-US"/>
              </w:rPr>
              <w:t>score</w:t>
            </w:r>
          </w:p>
        </w:tc>
        <w:tc>
          <w:tcPr>
            <w:tcW w:w="819" w:type="dxa"/>
            <w:tcBorders>
              <w:top w:val="single" w:sz="4" w:space="0" w:color="auto"/>
              <w:left w:val="single" w:sz="4" w:space="0" w:color="auto"/>
              <w:bottom w:val="single" w:sz="4" w:space="0" w:color="auto"/>
              <w:right w:val="single" w:sz="4" w:space="0" w:color="auto"/>
            </w:tcBorders>
            <w:vAlign w:val="center"/>
          </w:tcPr>
          <w:p w14:paraId="7170F96C" w14:textId="77777777" w:rsidR="0072571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Max</w:t>
            </w:r>
          </w:p>
          <w:p w14:paraId="161D91DB"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Pr>
                <w:rFonts w:cs="Verdana"/>
                <w:b/>
                <w:bCs/>
                <w:color w:val="000000"/>
                <w:lang w:val="en-US"/>
              </w:rPr>
              <w:t>score</w:t>
            </w:r>
          </w:p>
        </w:tc>
        <w:tc>
          <w:tcPr>
            <w:tcW w:w="954" w:type="dxa"/>
            <w:tcBorders>
              <w:top w:val="single" w:sz="4" w:space="0" w:color="auto"/>
              <w:left w:val="single" w:sz="4" w:space="0" w:color="auto"/>
              <w:bottom w:val="single" w:sz="4" w:space="0" w:color="auto"/>
              <w:right w:val="single" w:sz="4" w:space="0" w:color="auto"/>
            </w:tcBorders>
            <w:vAlign w:val="center"/>
          </w:tcPr>
          <w:p w14:paraId="07714E83" w14:textId="77777777" w:rsidR="0072571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Mean</w:t>
            </w:r>
          </w:p>
          <w:p w14:paraId="20DDA3CD"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Pr>
                <w:rFonts w:cs="Verdana"/>
                <w:b/>
                <w:bCs/>
                <w:color w:val="000000"/>
                <w:lang w:val="en-US"/>
              </w:rPr>
              <w:t>score</w:t>
            </w:r>
          </w:p>
        </w:tc>
        <w:tc>
          <w:tcPr>
            <w:tcW w:w="994" w:type="dxa"/>
            <w:tcBorders>
              <w:top w:val="single" w:sz="4" w:space="0" w:color="auto"/>
              <w:left w:val="single" w:sz="4" w:space="0" w:color="auto"/>
              <w:bottom w:val="single" w:sz="4" w:space="0" w:color="auto"/>
            </w:tcBorders>
            <w:vAlign w:val="center"/>
          </w:tcPr>
          <w:p w14:paraId="71E1A964"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SD</w:t>
            </w:r>
          </w:p>
        </w:tc>
      </w:tr>
      <w:tr w:rsidR="0072571C" w:rsidRPr="0048229C" w14:paraId="24CF33DC" w14:textId="77777777" w:rsidTr="0072571C">
        <w:trPr>
          <w:trHeight w:val="264"/>
        </w:trPr>
        <w:tc>
          <w:tcPr>
            <w:tcW w:w="8668" w:type="dxa"/>
            <w:gridSpan w:val="6"/>
            <w:tcBorders>
              <w:top w:val="single" w:sz="4" w:space="0" w:color="auto"/>
              <w:bottom w:val="single" w:sz="4" w:space="0" w:color="auto"/>
            </w:tcBorders>
          </w:tcPr>
          <w:p w14:paraId="333F7744"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b/>
                <w:color w:val="000000"/>
                <w:lang w:val="en-US"/>
              </w:rPr>
              <w:t>Visual Function</w:t>
            </w:r>
            <w:r>
              <w:rPr>
                <w:rFonts w:cs="Verdana"/>
                <w:b/>
                <w:color w:val="000000"/>
                <w:lang w:val="en-US"/>
              </w:rPr>
              <w:t xml:space="preserve"> subscale</w:t>
            </w:r>
          </w:p>
        </w:tc>
      </w:tr>
      <w:tr w:rsidR="0072571C" w:rsidRPr="0048229C" w14:paraId="2B791CC6" w14:textId="77777777" w:rsidTr="0072571C">
        <w:trPr>
          <w:trHeight w:val="264"/>
        </w:trPr>
        <w:tc>
          <w:tcPr>
            <w:tcW w:w="4262" w:type="dxa"/>
            <w:tcBorders>
              <w:top w:val="single" w:sz="4" w:space="0" w:color="auto"/>
            </w:tcBorders>
          </w:tcPr>
          <w:p w14:paraId="3C0555B0"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VF1 Cycling</w:t>
            </w:r>
          </w:p>
        </w:tc>
        <w:tc>
          <w:tcPr>
            <w:tcW w:w="819" w:type="dxa"/>
            <w:tcBorders>
              <w:top w:val="single" w:sz="4" w:space="0" w:color="auto"/>
            </w:tcBorders>
            <w:vAlign w:val="center"/>
          </w:tcPr>
          <w:p w14:paraId="33B527D1"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87</w:t>
            </w:r>
          </w:p>
        </w:tc>
        <w:tc>
          <w:tcPr>
            <w:tcW w:w="820" w:type="dxa"/>
            <w:tcBorders>
              <w:top w:val="single" w:sz="4" w:space="0" w:color="auto"/>
            </w:tcBorders>
            <w:vAlign w:val="center"/>
          </w:tcPr>
          <w:p w14:paraId="47C53F7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tcBorders>
              <w:top w:val="single" w:sz="4" w:space="0" w:color="auto"/>
            </w:tcBorders>
            <w:vAlign w:val="center"/>
          </w:tcPr>
          <w:p w14:paraId="75207718"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tcBorders>
              <w:top w:val="single" w:sz="4" w:space="0" w:color="auto"/>
            </w:tcBorders>
            <w:vAlign w:val="center"/>
          </w:tcPr>
          <w:p w14:paraId="7985BCC4"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2.43</w:t>
            </w:r>
          </w:p>
        </w:tc>
        <w:tc>
          <w:tcPr>
            <w:tcW w:w="994" w:type="dxa"/>
            <w:tcBorders>
              <w:top w:val="single" w:sz="4" w:space="0" w:color="auto"/>
            </w:tcBorders>
            <w:vAlign w:val="center"/>
          </w:tcPr>
          <w:p w14:paraId="1AA79E8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0.80</w:t>
            </w:r>
          </w:p>
        </w:tc>
      </w:tr>
      <w:tr w:rsidR="0072571C" w:rsidRPr="0048229C" w14:paraId="45F05845" w14:textId="77777777" w:rsidTr="0072571C">
        <w:trPr>
          <w:trHeight w:val="264"/>
        </w:trPr>
        <w:tc>
          <w:tcPr>
            <w:tcW w:w="4262" w:type="dxa"/>
          </w:tcPr>
          <w:p w14:paraId="6051A434"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VF2 Driving</w:t>
            </w:r>
          </w:p>
        </w:tc>
        <w:tc>
          <w:tcPr>
            <w:tcW w:w="819" w:type="dxa"/>
            <w:vAlign w:val="center"/>
          </w:tcPr>
          <w:p w14:paraId="37155BA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w:t>
            </w:r>
            <w:r w:rsidRPr="0048229C">
              <w:rPr>
                <w:rFonts w:cs="Verdana"/>
                <w:color w:val="000000"/>
                <w:lang w:val="en-US"/>
              </w:rPr>
              <w:t>0</w:t>
            </w:r>
            <w:r>
              <w:rPr>
                <w:rFonts w:cs="Verdana"/>
                <w:color w:val="000000"/>
                <w:lang w:val="en-US"/>
              </w:rPr>
              <w:t>3</w:t>
            </w:r>
          </w:p>
        </w:tc>
        <w:tc>
          <w:tcPr>
            <w:tcW w:w="820" w:type="dxa"/>
            <w:vAlign w:val="center"/>
          </w:tcPr>
          <w:p w14:paraId="4969B35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7711E7BE"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04F46DB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2.19</w:t>
            </w:r>
          </w:p>
        </w:tc>
        <w:tc>
          <w:tcPr>
            <w:tcW w:w="994" w:type="dxa"/>
            <w:vAlign w:val="center"/>
          </w:tcPr>
          <w:p w14:paraId="3022E678"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0.81</w:t>
            </w:r>
          </w:p>
        </w:tc>
      </w:tr>
      <w:tr w:rsidR="0072571C" w:rsidRPr="0048229C" w14:paraId="13B7F0F9" w14:textId="77777777" w:rsidTr="0072571C">
        <w:trPr>
          <w:trHeight w:val="264"/>
        </w:trPr>
        <w:tc>
          <w:tcPr>
            <w:tcW w:w="4262" w:type="dxa"/>
          </w:tcPr>
          <w:p w14:paraId="30771E44"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VF3 Walking indoors</w:t>
            </w:r>
          </w:p>
        </w:tc>
        <w:tc>
          <w:tcPr>
            <w:tcW w:w="819" w:type="dxa"/>
            <w:vAlign w:val="center"/>
          </w:tcPr>
          <w:p w14:paraId="64D0F051"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139</w:t>
            </w:r>
          </w:p>
        </w:tc>
        <w:tc>
          <w:tcPr>
            <w:tcW w:w="820" w:type="dxa"/>
            <w:vAlign w:val="center"/>
          </w:tcPr>
          <w:p w14:paraId="3EA0368E"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2359CB5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46DA95B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2.71</w:t>
            </w:r>
          </w:p>
        </w:tc>
        <w:tc>
          <w:tcPr>
            <w:tcW w:w="994" w:type="dxa"/>
            <w:vAlign w:val="center"/>
          </w:tcPr>
          <w:p w14:paraId="4AAE1712"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0.54</w:t>
            </w:r>
          </w:p>
        </w:tc>
      </w:tr>
      <w:tr w:rsidR="0072571C" w:rsidRPr="0048229C" w14:paraId="79C38D84" w14:textId="77777777" w:rsidTr="0072571C">
        <w:trPr>
          <w:trHeight w:val="264"/>
        </w:trPr>
        <w:tc>
          <w:tcPr>
            <w:tcW w:w="4262" w:type="dxa"/>
          </w:tcPr>
          <w:p w14:paraId="12A4355C"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VF4 Walking outdoors</w:t>
            </w:r>
          </w:p>
        </w:tc>
        <w:tc>
          <w:tcPr>
            <w:tcW w:w="819" w:type="dxa"/>
            <w:vAlign w:val="center"/>
          </w:tcPr>
          <w:p w14:paraId="409FC70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141</w:t>
            </w:r>
          </w:p>
        </w:tc>
        <w:tc>
          <w:tcPr>
            <w:tcW w:w="820" w:type="dxa"/>
            <w:vAlign w:val="center"/>
          </w:tcPr>
          <w:p w14:paraId="4CA3A27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3C9BEB1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4497D9D4"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2.49</w:t>
            </w:r>
          </w:p>
        </w:tc>
        <w:tc>
          <w:tcPr>
            <w:tcW w:w="994" w:type="dxa"/>
            <w:vAlign w:val="center"/>
          </w:tcPr>
          <w:p w14:paraId="108C847E"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0.64</w:t>
            </w:r>
          </w:p>
        </w:tc>
      </w:tr>
      <w:tr w:rsidR="0072571C" w:rsidRPr="0048229C" w14:paraId="754E3C73" w14:textId="77777777" w:rsidTr="0072571C">
        <w:trPr>
          <w:trHeight w:val="264"/>
        </w:trPr>
        <w:tc>
          <w:tcPr>
            <w:tcW w:w="4262" w:type="dxa"/>
          </w:tcPr>
          <w:p w14:paraId="5E19068C"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VF5 Reading</w:t>
            </w:r>
          </w:p>
        </w:tc>
        <w:tc>
          <w:tcPr>
            <w:tcW w:w="819" w:type="dxa"/>
            <w:vAlign w:val="center"/>
          </w:tcPr>
          <w:p w14:paraId="011D23F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140</w:t>
            </w:r>
          </w:p>
        </w:tc>
        <w:tc>
          <w:tcPr>
            <w:tcW w:w="820" w:type="dxa"/>
            <w:vAlign w:val="center"/>
          </w:tcPr>
          <w:p w14:paraId="55F9A54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654679D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5BBE469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2.01</w:t>
            </w:r>
          </w:p>
        </w:tc>
        <w:tc>
          <w:tcPr>
            <w:tcW w:w="994" w:type="dxa"/>
            <w:vAlign w:val="center"/>
          </w:tcPr>
          <w:p w14:paraId="2DA6DBE2"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0.70</w:t>
            </w:r>
          </w:p>
        </w:tc>
      </w:tr>
      <w:tr w:rsidR="0072571C" w:rsidRPr="0048229C" w14:paraId="36FA52C1" w14:textId="77777777" w:rsidTr="0072571C">
        <w:trPr>
          <w:trHeight w:val="264"/>
        </w:trPr>
        <w:tc>
          <w:tcPr>
            <w:tcW w:w="4262" w:type="dxa"/>
          </w:tcPr>
          <w:p w14:paraId="5571EF54"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VF6 Watching TV</w:t>
            </w:r>
          </w:p>
        </w:tc>
        <w:tc>
          <w:tcPr>
            <w:tcW w:w="819" w:type="dxa"/>
            <w:vAlign w:val="center"/>
          </w:tcPr>
          <w:p w14:paraId="0EF7448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141</w:t>
            </w:r>
          </w:p>
        </w:tc>
        <w:tc>
          <w:tcPr>
            <w:tcW w:w="820" w:type="dxa"/>
            <w:vAlign w:val="center"/>
          </w:tcPr>
          <w:p w14:paraId="3F0DC9A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0EFE3C94"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4A66A79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2.12</w:t>
            </w:r>
          </w:p>
        </w:tc>
        <w:tc>
          <w:tcPr>
            <w:tcW w:w="994" w:type="dxa"/>
            <w:vAlign w:val="center"/>
          </w:tcPr>
          <w:p w14:paraId="5F395EE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0.68</w:t>
            </w:r>
          </w:p>
        </w:tc>
      </w:tr>
      <w:tr w:rsidR="0072571C" w:rsidRPr="0048229C" w14:paraId="026FA814" w14:textId="77777777" w:rsidTr="0072571C">
        <w:trPr>
          <w:trHeight w:val="264"/>
        </w:trPr>
        <w:tc>
          <w:tcPr>
            <w:tcW w:w="4262" w:type="dxa"/>
          </w:tcPr>
          <w:p w14:paraId="3C458E9B"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VF7 Hobbies</w:t>
            </w:r>
          </w:p>
        </w:tc>
        <w:tc>
          <w:tcPr>
            <w:tcW w:w="819" w:type="dxa"/>
            <w:vAlign w:val="center"/>
          </w:tcPr>
          <w:p w14:paraId="537C97A4"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122</w:t>
            </w:r>
          </w:p>
        </w:tc>
        <w:tc>
          <w:tcPr>
            <w:tcW w:w="820" w:type="dxa"/>
            <w:vAlign w:val="center"/>
          </w:tcPr>
          <w:p w14:paraId="6DD2456B"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36BE07B8"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333ADC6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2.29</w:t>
            </w:r>
          </w:p>
        </w:tc>
        <w:tc>
          <w:tcPr>
            <w:tcW w:w="994" w:type="dxa"/>
            <w:vAlign w:val="center"/>
          </w:tcPr>
          <w:p w14:paraId="74267551"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0.77</w:t>
            </w:r>
          </w:p>
        </w:tc>
      </w:tr>
      <w:tr w:rsidR="0072571C" w:rsidRPr="0048229C" w14:paraId="0BC716EC" w14:textId="77777777" w:rsidTr="0072571C">
        <w:trPr>
          <w:trHeight w:val="264"/>
        </w:trPr>
        <w:tc>
          <w:tcPr>
            <w:tcW w:w="4262" w:type="dxa"/>
          </w:tcPr>
          <w:p w14:paraId="108FC04A"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VF8 Interference with daily life</w:t>
            </w:r>
          </w:p>
        </w:tc>
        <w:tc>
          <w:tcPr>
            <w:tcW w:w="819" w:type="dxa"/>
            <w:vAlign w:val="center"/>
          </w:tcPr>
          <w:p w14:paraId="75D09320"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141</w:t>
            </w:r>
          </w:p>
        </w:tc>
        <w:tc>
          <w:tcPr>
            <w:tcW w:w="820" w:type="dxa"/>
            <w:vAlign w:val="center"/>
          </w:tcPr>
          <w:p w14:paraId="5DA924F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3CFBF8C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2983334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2.1</w:t>
            </w:r>
            <w:r>
              <w:rPr>
                <w:rFonts w:cs="Verdana"/>
                <w:color w:val="000000"/>
                <w:lang w:val="en-US"/>
              </w:rPr>
              <w:t>0</w:t>
            </w:r>
          </w:p>
        </w:tc>
        <w:tc>
          <w:tcPr>
            <w:tcW w:w="994" w:type="dxa"/>
            <w:vAlign w:val="center"/>
          </w:tcPr>
          <w:p w14:paraId="2953B80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0.77</w:t>
            </w:r>
          </w:p>
        </w:tc>
      </w:tr>
      <w:tr w:rsidR="0072571C" w:rsidRPr="0048229C" w14:paraId="4196E830" w14:textId="77777777" w:rsidTr="0072571C">
        <w:trPr>
          <w:trHeight w:val="264"/>
        </w:trPr>
        <w:tc>
          <w:tcPr>
            <w:tcW w:w="8668" w:type="dxa"/>
            <w:gridSpan w:val="6"/>
            <w:tcBorders>
              <w:top w:val="single" w:sz="4" w:space="0" w:color="auto"/>
              <w:bottom w:val="single" w:sz="4" w:space="0" w:color="auto"/>
            </w:tcBorders>
          </w:tcPr>
          <w:p w14:paraId="6FC70850"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b/>
                <w:color w:val="000000"/>
                <w:lang w:val="en-US"/>
              </w:rPr>
              <w:t>Appearance</w:t>
            </w:r>
            <w:r>
              <w:rPr>
                <w:rFonts w:cs="Verdana"/>
                <w:b/>
                <w:color w:val="000000"/>
                <w:lang w:val="en-US"/>
              </w:rPr>
              <w:t xml:space="preserve"> subscale</w:t>
            </w:r>
          </w:p>
        </w:tc>
      </w:tr>
      <w:tr w:rsidR="0072571C" w:rsidRPr="0048229C" w14:paraId="3AEA207F" w14:textId="77777777" w:rsidTr="0072571C">
        <w:trPr>
          <w:trHeight w:val="264"/>
        </w:trPr>
        <w:tc>
          <w:tcPr>
            <w:tcW w:w="4262" w:type="dxa"/>
            <w:tcBorders>
              <w:top w:val="single" w:sz="4" w:space="0" w:color="auto"/>
            </w:tcBorders>
          </w:tcPr>
          <w:p w14:paraId="55564E7B"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App9 Change in appearance</w:t>
            </w:r>
          </w:p>
        </w:tc>
        <w:tc>
          <w:tcPr>
            <w:tcW w:w="819" w:type="dxa"/>
            <w:tcBorders>
              <w:top w:val="single" w:sz="4" w:space="0" w:color="auto"/>
            </w:tcBorders>
            <w:vAlign w:val="center"/>
          </w:tcPr>
          <w:p w14:paraId="6B0DA4B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142</w:t>
            </w:r>
          </w:p>
        </w:tc>
        <w:tc>
          <w:tcPr>
            <w:tcW w:w="820" w:type="dxa"/>
            <w:tcBorders>
              <w:top w:val="single" w:sz="4" w:space="0" w:color="auto"/>
            </w:tcBorders>
            <w:vAlign w:val="center"/>
          </w:tcPr>
          <w:p w14:paraId="0575E19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tcBorders>
              <w:top w:val="single" w:sz="4" w:space="0" w:color="auto"/>
            </w:tcBorders>
            <w:vAlign w:val="center"/>
          </w:tcPr>
          <w:p w14:paraId="165D471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tcBorders>
              <w:top w:val="single" w:sz="4" w:space="0" w:color="auto"/>
            </w:tcBorders>
            <w:vAlign w:val="center"/>
          </w:tcPr>
          <w:p w14:paraId="137CE4E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1.42</w:t>
            </w:r>
          </w:p>
        </w:tc>
        <w:tc>
          <w:tcPr>
            <w:tcW w:w="994" w:type="dxa"/>
            <w:tcBorders>
              <w:top w:val="single" w:sz="4" w:space="0" w:color="auto"/>
            </w:tcBorders>
            <w:vAlign w:val="center"/>
          </w:tcPr>
          <w:p w14:paraId="3966E19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0.54</w:t>
            </w:r>
          </w:p>
        </w:tc>
      </w:tr>
      <w:tr w:rsidR="0072571C" w:rsidRPr="0048229C" w14:paraId="5E1118BD" w14:textId="77777777" w:rsidTr="0072571C">
        <w:trPr>
          <w:trHeight w:val="264"/>
        </w:trPr>
        <w:tc>
          <w:tcPr>
            <w:tcW w:w="4262" w:type="dxa"/>
          </w:tcPr>
          <w:p w14:paraId="42ED8785"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App10 Feeling watched</w:t>
            </w:r>
          </w:p>
        </w:tc>
        <w:tc>
          <w:tcPr>
            <w:tcW w:w="819" w:type="dxa"/>
            <w:vAlign w:val="center"/>
          </w:tcPr>
          <w:p w14:paraId="2D74DBE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142</w:t>
            </w:r>
          </w:p>
        </w:tc>
        <w:tc>
          <w:tcPr>
            <w:tcW w:w="820" w:type="dxa"/>
            <w:vAlign w:val="center"/>
          </w:tcPr>
          <w:p w14:paraId="7725C812"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7F79447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6A454341"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2.14</w:t>
            </w:r>
          </w:p>
        </w:tc>
        <w:tc>
          <w:tcPr>
            <w:tcW w:w="994" w:type="dxa"/>
            <w:vAlign w:val="center"/>
          </w:tcPr>
          <w:p w14:paraId="7E31F85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0.77</w:t>
            </w:r>
          </w:p>
        </w:tc>
      </w:tr>
      <w:tr w:rsidR="0072571C" w:rsidRPr="0048229C" w14:paraId="569A5318" w14:textId="77777777" w:rsidTr="0072571C">
        <w:trPr>
          <w:trHeight w:val="264"/>
        </w:trPr>
        <w:tc>
          <w:tcPr>
            <w:tcW w:w="4262" w:type="dxa"/>
          </w:tcPr>
          <w:p w14:paraId="50EF03AB"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App11 Unpleasant reactions</w:t>
            </w:r>
          </w:p>
        </w:tc>
        <w:tc>
          <w:tcPr>
            <w:tcW w:w="819" w:type="dxa"/>
            <w:vAlign w:val="center"/>
          </w:tcPr>
          <w:p w14:paraId="7C6C9E5E"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140</w:t>
            </w:r>
          </w:p>
        </w:tc>
        <w:tc>
          <w:tcPr>
            <w:tcW w:w="820" w:type="dxa"/>
            <w:vAlign w:val="center"/>
          </w:tcPr>
          <w:p w14:paraId="6E0487E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3EDE068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66AD34A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2.49</w:t>
            </w:r>
          </w:p>
        </w:tc>
        <w:tc>
          <w:tcPr>
            <w:tcW w:w="994" w:type="dxa"/>
            <w:vAlign w:val="center"/>
          </w:tcPr>
          <w:p w14:paraId="1DC9825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0.68</w:t>
            </w:r>
          </w:p>
        </w:tc>
      </w:tr>
      <w:tr w:rsidR="0072571C" w:rsidRPr="0048229C" w14:paraId="752621F0" w14:textId="77777777" w:rsidTr="0072571C">
        <w:trPr>
          <w:trHeight w:val="264"/>
        </w:trPr>
        <w:tc>
          <w:tcPr>
            <w:tcW w:w="4262" w:type="dxa"/>
          </w:tcPr>
          <w:p w14:paraId="7972937C"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App12 Impact on self-confidence</w:t>
            </w:r>
          </w:p>
        </w:tc>
        <w:tc>
          <w:tcPr>
            <w:tcW w:w="819" w:type="dxa"/>
            <w:vAlign w:val="center"/>
          </w:tcPr>
          <w:p w14:paraId="3B90FF1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142</w:t>
            </w:r>
          </w:p>
        </w:tc>
        <w:tc>
          <w:tcPr>
            <w:tcW w:w="820" w:type="dxa"/>
            <w:vAlign w:val="center"/>
          </w:tcPr>
          <w:p w14:paraId="4497301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771C72D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196E7A7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1.73</w:t>
            </w:r>
          </w:p>
        </w:tc>
        <w:tc>
          <w:tcPr>
            <w:tcW w:w="994" w:type="dxa"/>
            <w:vAlign w:val="center"/>
          </w:tcPr>
          <w:p w14:paraId="3E5C473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0.72</w:t>
            </w:r>
          </w:p>
        </w:tc>
      </w:tr>
      <w:tr w:rsidR="0072571C" w:rsidRPr="0048229C" w14:paraId="7125B909" w14:textId="77777777" w:rsidTr="0072571C">
        <w:trPr>
          <w:trHeight w:val="264"/>
        </w:trPr>
        <w:tc>
          <w:tcPr>
            <w:tcW w:w="4262" w:type="dxa"/>
          </w:tcPr>
          <w:p w14:paraId="52F0DD29"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App13 Feeling of social isolation</w:t>
            </w:r>
          </w:p>
        </w:tc>
        <w:tc>
          <w:tcPr>
            <w:tcW w:w="819" w:type="dxa"/>
            <w:vAlign w:val="center"/>
          </w:tcPr>
          <w:p w14:paraId="7D615A2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142</w:t>
            </w:r>
          </w:p>
        </w:tc>
        <w:tc>
          <w:tcPr>
            <w:tcW w:w="820" w:type="dxa"/>
            <w:vAlign w:val="center"/>
          </w:tcPr>
          <w:p w14:paraId="1ACCE928"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42196C9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6467942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2.50</w:t>
            </w:r>
          </w:p>
        </w:tc>
        <w:tc>
          <w:tcPr>
            <w:tcW w:w="994" w:type="dxa"/>
            <w:vAlign w:val="center"/>
          </w:tcPr>
          <w:p w14:paraId="74AB77F4"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0.69</w:t>
            </w:r>
          </w:p>
        </w:tc>
      </w:tr>
      <w:tr w:rsidR="0072571C" w:rsidRPr="0048229C" w14:paraId="6E3FAF38" w14:textId="77777777" w:rsidTr="0072571C">
        <w:trPr>
          <w:trHeight w:val="264"/>
        </w:trPr>
        <w:tc>
          <w:tcPr>
            <w:tcW w:w="4262" w:type="dxa"/>
          </w:tcPr>
          <w:p w14:paraId="4F386F9A"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App14 Influence on friendships</w:t>
            </w:r>
          </w:p>
        </w:tc>
        <w:tc>
          <w:tcPr>
            <w:tcW w:w="819" w:type="dxa"/>
            <w:vAlign w:val="center"/>
          </w:tcPr>
          <w:p w14:paraId="431E3EF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142</w:t>
            </w:r>
          </w:p>
        </w:tc>
        <w:tc>
          <w:tcPr>
            <w:tcW w:w="820" w:type="dxa"/>
            <w:vAlign w:val="center"/>
          </w:tcPr>
          <w:p w14:paraId="7A6333CB"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4AC6E250"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4AE502B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2.46</w:t>
            </w:r>
          </w:p>
        </w:tc>
        <w:tc>
          <w:tcPr>
            <w:tcW w:w="994" w:type="dxa"/>
            <w:vAlign w:val="center"/>
          </w:tcPr>
          <w:p w14:paraId="4EA6C0C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0.73</w:t>
            </w:r>
          </w:p>
        </w:tc>
      </w:tr>
      <w:tr w:rsidR="0072571C" w:rsidRPr="0048229C" w14:paraId="0C42BC6F" w14:textId="77777777" w:rsidTr="0072571C">
        <w:trPr>
          <w:trHeight w:val="264"/>
        </w:trPr>
        <w:tc>
          <w:tcPr>
            <w:tcW w:w="4262" w:type="dxa"/>
          </w:tcPr>
          <w:p w14:paraId="1C31F85F"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App15 Less often in photos</w:t>
            </w:r>
          </w:p>
        </w:tc>
        <w:tc>
          <w:tcPr>
            <w:tcW w:w="819" w:type="dxa"/>
            <w:vAlign w:val="center"/>
          </w:tcPr>
          <w:p w14:paraId="44122642"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141</w:t>
            </w:r>
          </w:p>
        </w:tc>
        <w:tc>
          <w:tcPr>
            <w:tcW w:w="820" w:type="dxa"/>
            <w:vAlign w:val="center"/>
          </w:tcPr>
          <w:p w14:paraId="0752925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05C4B75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66BA9D7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1.90</w:t>
            </w:r>
          </w:p>
        </w:tc>
        <w:tc>
          <w:tcPr>
            <w:tcW w:w="994" w:type="dxa"/>
            <w:vAlign w:val="center"/>
          </w:tcPr>
          <w:p w14:paraId="2037805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0.85</w:t>
            </w:r>
          </w:p>
        </w:tc>
      </w:tr>
      <w:tr w:rsidR="0072571C" w:rsidRPr="0048229C" w14:paraId="15F72E5E" w14:textId="77777777" w:rsidTr="0072571C">
        <w:trPr>
          <w:trHeight w:val="264"/>
        </w:trPr>
        <w:tc>
          <w:tcPr>
            <w:tcW w:w="4262" w:type="dxa"/>
          </w:tcPr>
          <w:p w14:paraId="77439E5A" w14:textId="77777777" w:rsidR="0072571C" w:rsidRPr="0048229C" w:rsidRDefault="0072571C" w:rsidP="0072571C">
            <w:pPr>
              <w:widowControl w:val="0"/>
              <w:autoSpaceDE w:val="0"/>
              <w:autoSpaceDN w:val="0"/>
              <w:adjustRightInd w:val="0"/>
              <w:spacing w:line="360" w:lineRule="auto"/>
              <w:rPr>
                <w:rFonts w:cs="Verdana"/>
                <w:color w:val="000000"/>
                <w:lang w:val="en-US"/>
              </w:rPr>
            </w:pPr>
            <w:r w:rsidRPr="0048229C">
              <w:rPr>
                <w:rFonts w:cs="Verdana"/>
                <w:color w:val="000000"/>
                <w:lang w:val="en-US"/>
              </w:rPr>
              <w:t>App16 Camouflaging appearance</w:t>
            </w:r>
          </w:p>
        </w:tc>
        <w:tc>
          <w:tcPr>
            <w:tcW w:w="819" w:type="dxa"/>
            <w:vAlign w:val="center"/>
          </w:tcPr>
          <w:p w14:paraId="781ECD1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142</w:t>
            </w:r>
          </w:p>
        </w:tc>
        <w:tc>
          <w:tcPr>
            <w:tcW w:w="820" w:type="dxa"/>
            <w:vAlign w:val="center"/>
          </w:tcPr>
          <w:p w14:paraId="50AEE8D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819" w:type="dxa"/>
            <w:vAlign w:val="center"/>
          </w:tcPr>
          <w:p w14:paraId="6128235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954" w:type="dxa"/>
            <w:vAlign w:val="center"/>
          </w:tcPr>
          <w:p w14:paraId="5BE10EF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2.04</w:t>
            </w:r>
          </w:p>
        </w:tc>
        <w:tc>
          <w:tcPr>
            <w:tcW w:w="994" w:type="dxa"/>
            <w:vAlign w:val="center"/>
          </w:tcPr>
          <w:p w14:paraId="6407AFFB"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0.82</w:t>
            </w:r>
          </w:p>
        </w:tc>
      </w:tr>
    </w:tbl>
    <w:p w14:paraId="46BA7B21" w14:textId="77777777" w:rsidR="0072571C" w:rsidRDefault="0072571C" w:rsidP="0072571C">
      <w:pPr>
        <w:spacing w:line="360" w:lineRule="auto"/>
      </w:pPr>
      <w:r>
        <w:t>Key: N= number of responses; SD = standard deviation</w:t>
      </w:r>
    </w:p>
    <w:p w14:paraId="7B12768E" w14:textId="77777777" w:rsidR="0072571C" w:rsidRPr="0048229C" w:rsidRDefault="0072571C" w:rsidP="0072571C">
      <w:pPr>
        <w:spacing w:line="360" w:lineRule="auto"/>
      </w:pPr>
    </w:p>
    <w:p w14:paraId="0FFD5366" w14:textId="77777777" w:rsidR="0072571C" w:rsidRDefault="0072571C">
      <w:pPr>
        <w:rPr>
          <w:b/>
          <w:i/>
        </w:rPr>
      </w:pPr>
      <w:r>
        <w:rPr>
          <w:b/>
          <w:i/>
        </w:rPr>
        <w:br w:type="page"/>
      </w:r>
    </w:p>
    <w:p w14:paraId="0E5B1010" w14:textId="374FEB29" w:rsidR="0072571C" w:rsidRPr="0048229C" w:rsidRDefault="0072571C" w:rsidP="0072571C">
      <w:pPr>
        <w:spacing w:line="360" w:lineRule="auto"/>
      </w:pPr>
      <w:r w:rsidRPr="00330187">
        <w:rPr>
          <w:b/>
          <w:i/>
        </w:rPr>
        <w:lastRenderedPageBreak/>
        <w:t>Table 5</w:t>
      </w:r>
      <w:r w:rsidRPr="0048229C">
        <w:rPr>
          <w:b/>
        </w:rPr>
        <w:t>.</w:t>
      </w:r>
      <w:r w:rsidRPr="0048229C">
        <w:rPr>
          <w:b/>
          <w:i/>
        </w:rPr>
        <w:t xml:space="preserve"> </w:t>
      </w:r>
      <w:r w:rsidRPr="006130EC">
        <w:rPr>
          <w:b/>
          <w:i/>
        </w:rPr>
        <w:t xml:space="preserve">Item response table for </w:t>
      </w:r>
      <w:r>
        <w:rPr>
          <w:b/>
          <w:i/>
        </w:rPr>
        <w:t>GO-QOL</w:t>
      </w:r>
      <w:r w:rsidRPr="006130EC">
        <w:rPr>
          <w:b/>
          <w:i/>
        </w:rPr>
        <w:t xml:space="preserve"> at time point 2 (week 0, randomisation</w:t>
      </w:r>
      <w:r>
        <w:rPr>
          <w:b/>
          <w:i/>
        </w:rPr>
        <w:t>)</w:t>
      </w:r>
      <w:r w:rsidRPr="006130EC">
        <w:t xml:space="preserve"> </w:t>
      </w:r>
    </w:p>
    <w:tbl>
      <w:tblPr>
        <w:tblW w:w="9000" w:type="dxa"/>
        <w:tblInd w:w="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5"/>
        <w:gridCol w:w="992"/>
        <w:gridCol w:w="850"/>
        <w:gridCol w:w="993"/>
        <w:gridCol w:w="850"/>
        <w:gridCol w:w="890"/>
      </w:tblGrid>
      <w:tr w:rsidR="0072571C" w:rsidRPr="0048229C" w14:paraId="56858162" w14:textId="77777777" w:rsidTr="0072571C">
        <w:trPr>
          <w:trHeight w:val="260"/>
        </w:trPr>
        <w:tc>
          <w:tcPr>
            <w:tcW w:w="4425" w:type="dxa"/>
            <w:tcBorders>
              <w:top w:val="single" w:sz="4" w:space="0" w:color="auto"/>
              <w:bottom w:val="single" w:sz="4" w:space="0" w:color="auto"/>
              <w:right w:val="single" w:sz="4" w:space="0" w:color="auto"/>
            </w:tcBorders>
            <w:shd w:val="clear" w:color="auto" w:fill="auto"/>
          </w:tcPr>
          <w:p w14:paraId="5683EDA2" w14:textId="77777777" w:rsidR="0072571C" w:rsidRPr="0048229C" w:rsidRDefault="0072571C" w:rsidP="0072571C">
            <w:pPr>
              <w:widowControl w:val="0"/>
              <w:autoSpaceDE w:val="0"/>
              <w:autoSpaceDN w:val="0"/>
              <w:adjustRightInd w:val="0"/>
              <w:spacing w:before="2" w:after="2" w:line="360" w:lineRule="auto"/>
              <w:rPr>
                <w:rFonts w:cs="Verdana"/>
                <w:b/>
                <w:bCs/>
                <w:color w:val="00000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40460E"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CC57A3" w14:textId="77777777" w:rsidR="0072571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Min</w:t>
            </w:r>
          </w:p>
          <w:p w14:paraId="144AC5CF"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Pr>
                <w:rFonts w:cs="Verdana"/>
                <w:b/>
                <w:bCs/>
                <w:color w:val="000000"/>
                <w:lang w:val="en-US"/>
              </w:rPr>
              <w:t>Score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935584" w14:textId="77777777" w:rsidR="0072571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Max</w:t>
            </w:r>
          </w:p>
          <w:p w14:paraId="16446F17"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Pr>
                <w:rFonts w:cs="Verdana"/>
                <w:b/>
                <w:bCs/>
                <w:color w:val="000000"/>
                <w:lang w:val="en-US"/>
              </w:rPr>
              <w:t>Score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66796E" w14:textId="77777777" w:rsidR="0072571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Mean</w:t>
            </w:r>
          </w:p>
          <w:p w14:paraId="284D5405"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Pr>
                <w:rFonts w:cs="Verdana"/>
                <w:b/>
                <w:bCs/>
                <w:color w:val="000000"/>
                <w:lang w:val="en-US"/>
              </w:rPr>
              <w:t>score</w:t>
            </w:r>
          </w:p>
        </w:tc>
        <w:tc>
          <w:tcPr>
            <w:tcW w:w="890" w:type="dxa"/>
            <w:tcBorders>
              <w:top w:val="single" w:sz="4" w:space="0" w:color="auto"/>
              <w:left w:val="single" w:sz="4" w:space="0" w:color="auto"/>
              <w:bottom w:val="single" w:sz="4" w:space="0" w:color="auto"/>
            </w:tcBorders>
            <w:shd w:val="clear" w:color="auto" w:fill="auto"/>
            <w:vAlign w:val="center"/>
          </w:tcPr>
          <w:p w14:paraId="399CFC3D" w14:textId="77777777" w:rsidR="0072571C" w:rsidRPr="0048229C" w:rsidRDefault="0072571C" w:rsidP="0072571C">
            <w:pPr>
              <w:widowControl w:val="0"/>
              <w:autoSpaceDE w:val="0"/>
              <w:autoSpaceDN w:val="0"/>
              <w:adjustRightInd w:val="0"/>
              <w:spacing w:line="360" w:lineRule="auto"/>
              <w:jc w:val="center"/>
              <w:rPr>
                <w:rFonts w:cs="Verdana"/>
                <w:b/>
                <w:bCs/>
                <w:color w:val="000000"/>
                <w:lang w:val="en-US"/>
              </w:rPr>
            </w:pPr>
            <w:r w:rsidRPr="0048229C">
              <w:rPr>
                <w:rFonts w:cs="Verdana"/>
                <w:b/>
                <w:bCs/>
                <w:color w:val="000000"/>
                <w:lang w:val="en-US"/>
              </w:rPr>
              <w:t>SD</w:t>
            </w:r>
          </w:p>
        </w:tc>
      </w:tr>
      <w:tr w:rsidR="0072571C" w:rsidRPr="0048229C" w14:paraId="47EE5573" w14:textId="77777777" w:rsidTr="0072571C">
        <w:trPr>
          <w:trHeight w:val="260"/>
        </w:trPr>
        <w:tc>
          <w:tcPr>
            <w:tcW w:w="9000" w:type="dxa"/>
            <w:gridSpan w:val="6"/>
            <w:tcBorders>
              <w:top w:val="single" w:sz="4" w:space="0" w:color="auto"/>
              <w:bottom w:val="single" w:sz="4" w:space="0" w:color="auto"/>
            </w:tcBorders>
            <w:shd w:val="clear" w:color="auto" w:fill="auto"/>
          </w:tcPr>
          <w:p w14:paraId="5AC1628B"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b/>
                <w:color w:val="000000"/>
                <w:lang w:val="en-US"/>
              </w:rPr>
              <w:t>Visual Function</w:t>
            </w:r>
            <w:r>
              <w:rPr>
                <w:rFonts w:cs="Verdana"/>
                <w:b/>
                <w:color w:val="000000"/>
                <w:lang w:val="en-US"/>
              </w:rPr>
              <w:t xml:space="preserve"> subscale</w:t>
            </w:r>
          </w:p>
        </w:tc>
      </w:tr>
      <w:tr w:rsidR="0072571C" w:rsidRPr="0048229C" w14:paraId="0985DC02" w14:textId="77777777" w:rsidTr="0072571C">
        <w:trPr>
          <w:trHeight w:val="260"/>
        </w:trPr>
        <w:tc>
          <w:tcPr>
            <w:tcW w:w="4425" w:type="dxa"/>
            <w:tcBorders>
              <w:top w:val="single" w:sz="4" w:space="0" w:color="auto"/>
            </w:tcBorders>
            <w:shd w:val="clear" w:color="auto" w:fill="auto"/>
          </w:tcPr>
          <w:p w14:paraId="1D50E649"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VF1 Cycling</w:t>
            </w:r>
          </w:p>
        </w:tc>
        <w:tc>
          <w:tcPr>
            <w:tcW w:w="992" w:type="dxa"/>
            <w:tcBorders>
              <w:top w:val="single" w:sz="4" w:space="0" w:color="auto"/>
            </w:tcBorders>
            <w:shd w:val="clear" w:color="auto" w:fill="auto"/>
            <w:vAlign w:val="center"/>
          </w:tcPr>
          <w:p w14:paraId="439F394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75</w:t>
            </w:r>
          </w:p>
        </w:tc>
        <w:tc>
          <w:tcPr>
            <w:tcW w:w="850" w:type="dxa"/>
            <w:tcBorders>
              <w:top w:val="single" w:sz="4" w:space="0" w:color="auto"/>
            </w:tcBorders>
            <w:shd w:val="clear" w:color="auto" w:fill="auto"/>
            <w:vAlign w:val="center"/>
          </w:tcPr>
          <w:p w14:paraId="4E64A8C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tcBorders>
              <w:top w:val="single" w:sz="4" w:space="0" w:color="auto"/>
            </w:tcBorders>
            <w:shd w:val="clear" w:color="auto" w:fill="auto"/>
            <w:vAlign w:val="center"/>
          </w:tcPr>
          <w:p w14:paraId="06AB307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tcBorders>
              <w:top w:val="single" w:sz="4" w:space="0" w:color="auto"/>
            </w:tcBorders>
            <w:shd w:val="clear" w:color="auto" w:fill="auto"/>
            <w:vAlign w:val="center"/>
          </w:tcPr>
          <w:p w14:paraId="706FD13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2.59</w:t>
            </w:r>
          </w:p>
        </w:tc>
        <w:tc>
          <w:tcPr>
            <w:tcW w:w="890" w:type="dxa"/>
            <w:tcBorders>
              <w:top w:val="single" w:sz="4" w:space="0" w:color="auto"/>
            </w:tcBorders>
            <w:shd w:val="clear" w:color="auto" w:fill="auto"/>
            <w:vAlign w:val="center"/>
          </w:tcPr>
          <w:p w14:paraId="0CBB53A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0.68</w:t>
            </w:r>
          </w:p>
        </w:tc>
      </w:tr>
      <w:tr w:rsidR="0072571C" w:rsidRPr="0048229C" w14:paraId="52736A82" w14:textId="77777777" w:rsidTr="0072571C">
        <w:trPr>
          <w:trHeight w:val="260"/>
        </w:trPr>
        <w:tc>
          <w:tcPr>
            <w:tcW w:w="4425" w:type="dxa"/>
            <w:shd w:val="clear" w:color="auto" w:fill="auto"/>
          </w:tcPr>
          <w:p w14:paraId="6F55E921"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VF2 Driving</w:t>
            </w:r>
          </w:p>
        </w:tc>
        <w:tc>
          <w:tcPr>
            <w:tcW w:w="992" w:type="dxa"/>
            <w:shd w:val="clear" w:color="auto" w:fill="auto"/>
            <w:vAlign w:val="center"/>
          </w:tcPr>
          <w:p w14:paraId="4DDD7DD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93</w:t>
            </w:r>
          </w:p>
        </w:tc>
        <w:tc>
          <w:tcPr>
            <w:tcW w:w="850" w:type="dxa"/>
            <w:shd w:val="clear" w:color="auto" w:fill="auto"/>
            <w:vAlign w:val="center"/>
          </w:tcPr>
          <w:p w14:paraId="45327042"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3B09802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7686FCE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2.38</w:t>
            </w:r>
          </w:p>
        </w:tc>
        <w:tc>
          <w:tcPr>
            <w:tcW w:w="890" w:type="dxa"/>
            <w:shd w:val="clear" w:color="auto" w:fill="auto"/>
            <w:vAlign w:val="center"/>
          </w:tcPr>
          <w:p w14:paraId="33A16A2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0.75</w:t>
            </w:r>
          </w:p>
        </w:tc>
      </w:tr>
      <w:tr w:rsidR="0072571C" w:rsidRPr="0048229C" w14:paraId="3C1A40E9" w14:textId="77777777" w:rsidTr="0072571C">
        <w:trPr>
          <w:trHeight w:val="260"/>
        </w:trPr>
        <w:tc>
          <w:tcPr>
            <w:tcW w:w="4425" w:type="dxa"/>
            <w:shd w:val="clear" w:color="auto" w:fill="auto"/>
          </w:tcPr>
          <w:p w14:paraId="30C9EA79"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VF3 Walking indoors</w:t>
            </w:r>
          </w:p>
        </w:tc>
        <w:tc>
          <w:tcPr>
            <w:tcW w:w="992" w:type="dxa"/>
            <w:shd w:val="clear" w:color="auto" w:fill="auto"/>
            <w:vAlign w:val="center"/>
          </w:tcPr>
          <w:p w14:paraId="4D34F75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125</w:t>
            </w:r>
          </w:p>
        </w:tc>
        <w:tc>
          <w:tcPr>
            <w:tcW w:w="850" w:type="dxa"/>
            <w:shd w:val="clear" w:color="auto" w:fill="auto"/>
            <w:vAlign w:val="center"/>
          </w:tcPr>
          <w:p w14:paraId="040217E8"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5F5BDB72"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61FE9F2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2.72</w:t>
            </w:r>
          </w:p>
        </w:tc>
        <w:tc>
          <w:tcPr>
            <w:tcW w:w="890" w:type="dxa"/>
            <w:shd w:val="clear" w:color="auto" w:fill="auto"/>
            <w:vAlign w:val="center"/>
          </w:tcPr>
          <w:p w14:paraId="002C3C84"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0.47</w:t>
            </w:r>
          </w:p>
        </w:tc>
      </w:tr>
      <w:tr w:rsidR="0072571C" w:rsidRPr="0048229C" w14:paraId="03816529" w14:textId="77777777" w:rsidTr="0072571C">
        <w:trPr>
          <w:trHeight w:val="260"/>
        </w:trPr>
        <w:tc>
          <w:tcPr>
            <w:tcW w:w="4425" w:type="dxa"/>
            <w:shd w:val="clear" w:color="auto" w:fill="auto"/>
          </w:tcPr>
          <w:p w14:paraId="563903E2"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VF4 Walking outdoors</w:t>
            </w:r>
          </w:p>
        </w:tc>
        <w:tc>
          <w:tcPr>
            <w:tcW w:w="992" w:type="dxa"/>
            <w:shd w:val="clear" w:color="auto" w:fill="auto"/>
            <w:vAlign w:val="center"/>
          </w:tcPr>
          <w:p w14:paraId="6456EA2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w:t>
            </w:r>
            <w:r w:rsidRPr="0048229C">
              <w:rPr>
                <w:rFonts w:cs="Verdana"/>
                <w:color w:val="000000"/>
                <w:lang w:val="en-US"/>
              </w:rPr>
              <w:t>2</w:t>
            </w:r>
            <w:r>
              <w:rPr>
                <w:rFonts w:cs="Verdana"/>
                <w:color w:val="000000"/>
                <w:lang w:val="en-US"/>
              </w:rPr>
              <w:t>6</w:t>
            </w:r>
          </w:p>
        </w:tc>
        <w:tc>
          <w:tcPr>
            <w:tcW w:w="850" w:type="dxa"/>
            <w:shd w:val="clear" w:color="auto" w:fill="auto"/>
            <w:vAlign w:val="center"/>
          </w:tcPr>
          <w:p w14:paraId="7561364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2D6C1B6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276447E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2.61</w:t>
            </w:r>
          </w:p>
        </w:tc>
        <w:tc>
          <w:tcPr>
            <w:tcW w:w="890" w:type="dxa"/>
            <w:shd w:val="clear" w:color="auto" w:fill="auto"/>
            <w:vAlign w:val="center"/>
          </w:tcPr>
          <w:p w14:paraId="4D279B6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0.61</w:t>
            </w:r>
          </w:p>
        </w:tc>
      </w:tr>
      <w:tr w:rsidR="0072571C" w:rsidRPr="0048229C" w14:paraId="4B11C527" w14:textId="77777777" w:rsidTr="0072571C">
        <w:trPr>
          <w:trHeight w:val="260"/>
        </w:trPr>
        <w:tc>
          <w:tcPr>
            <w:tcW w:w="4425" w:type="dxa"/>
            <w:shd w:val="clear" w:color="auto" w:fill="auto"/>
          </w:tcPr>
          <w:p w14:paraId="161285DA"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VF5 Reading</w:t>
            </w:r>
          </w:p>
        </w:tc>
        <w:tc>
          <w:tcPr>
            <w:tcW w:w="992" w:type="dxa"/>
            <w:shd w:val="clear" w:color="auto" w:fill="auto"/>
            <w:vAlign w:val="center"/>
          </w:tcPr>
          <w:p w14:paraId="5FA5B94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w:t>
            </w:r>
            <w:r w:rsidRPr="0048229C">
              <w:rPr>
                <w:rFonts w:cs="Verdana"/>
                <w:color w:val="000000"/>
                <w:lang w:val="en-US"/>
              </w:rPr>
              <w:t>2</w:t>
            </w:r>
            <w:r>
              <w:rPr>
                <w:rFonts w:cs="Verdana"/>
                <w:color w:val="000000"/>
                <w:lang w:val="en-US"/>
              </w:rPr>
              <w:t>6</w:t>
            </w:r>
          </w:p>
        </w:tc>
        <w:tc>
          <w:tcPr>
            <w:tcW w:w="850" w:type="dxa"/>
            <w:shd w:val="clear" w:color="auto" w:fill="auto"/>
            <w:vAlign w:val="center"/>
          </w:tcPr>
          <w:p w14:paraId="73C11A9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522668E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269423FE"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2.23</w:t>
            </w:r>
          </w:p>
        </w:tc>
        <w:tc>
          <w:tcPr>
            <w:tcW w:w="890" w:type="dxa"/>
            <w:shd w:val="clear" w:color="auto" w:fill="auto"/>
            <w:vAlign w:val="center"/>
          </w:tcPr>
          <w:p w14:paraId="1C357D3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0.69</w:t>
            </w:r>
          </w:p>
        </w:tc>
      </w:tr>
      <w:tr w:rsidR="0072571C" w:rsidRPr="0048229C" w14:paraId="5BF89680" w14:textId="77777777" w:rsidTr="0072571C">
        <w:trPr>
          <w:trHeight w:val="260"/>
        </w:trPr>
        <w:tc>
          <w:tcPr>
            <w:tcW w:w="4425" w:type="dxa"/>
            <w:shd w:val="clear" w:color="auto" w:fill="auto"/>
          </w:tcPr>
          <w:p w14:paraId="03C55405"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VF6 Watching TV</w:t>
            </w:r>
          </w:p>
        </w:tc>
        <w:tc>
          <w:tcPr>
            <w:tcW w:w="992" w:type="dxa"/>
            <w:shd w:val="clear" w:color="auto" w:fill="auto"/>
            <w:vAlign w:val="center"/>
          </w:tcPr>
          <w:p w14:paraId="4434F80B"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126</w:t>
            </w:r>
          </w:p>
        </w:tc>
        <w:tc>
          <w:tcPr>
            <w:tcW w:w="850" w:type="dxa"/>
            <w:shd w:val="clear" w:color="auto" w:fill="auto"/>
            <w:vAlign w:val="center"/>
          </w:tcPr>
          <w:p w14:paraId="3F1C88A0"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44B238AB"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0434CA1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2.36</w:t>
            </w:r>
          </w:p>
        </w:tc>
        <w:tc>
          <w:tcPr>
            <w:tcW w:w="890" w:type="dxa"/>
            <w:shd w:val="clear" w:color="auto" w:fill="auto"/>
            <w:vAlign w:val="center"/>
          </w:tcPr>
          <w:p w14:paraId="7839C99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0.66</w:t>
            </w:r>
          </w:p>
        </w:tc>
      </w:tr>
      <w:tr w:rsidR="0072571C" w:rsidRPr="0048229C" w14:paraId="277E0BE0" w14:textId="77777777" w:rsidTr="0072571C">
        <w:trPr>
          <w:trHeight w:val="260"/>
        </w:trPr>
        <w:tc>
          <w:tcPr>
            <w:tcW w:w="4425" w:type="dxa"/>
            <w:shd w:val="clear" w:color="auto" w:fill="auto"/>
          </w:tcPr>
          <w:p w14:paraId="6AB2A01D"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VF7 Hobbies</w:t>
            </w:r>
          </w:p>
        </w:tc>
        <w:tc>
          <w:tcPr>
            <w:tcW w:w="992" w:type="dxa"/>
            <w:shd w:val="clear" w:color="auto" w:fill="auto"/>
            <w:vAlign w:val="center"/>
          </w:tcPr>
          <w:p w14:paraId="61B55CC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110</w:t>
            </w:r>
          </w:p>
        </w:tc>
        <w:tc>
          <w:tcPr>
            <w:tcW w:w="850" w:type="dxa"/>
            <w:shd w:val="clear" w:color="auto" w:fill="auto"/>
            <w:vAlign w:val="center"/>
          </w:tcPr>
          <w:p w14:paraId="05B58C9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20DE990E"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16A263A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2.47</w:t>
            </w:r>
          </w:p>
        </w:tc>
        <w:tc>
          <w:tcPr>
            <w:tcW w:w="890" w:type="dxa"/>
            <w:shd w:val="clear" w:color="auto" w:fill="auto"/>
            <w:vAlign w:val="center"/>
          </w:tcPr>
          <w:p w14:paraId="6ED61F5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0.69</w:t>
            </w:r>
          </w:p>
        </w:tc>
      </w:tr>
      <w:tr w:rsidR="0072571C" w:rsidRPr="0048229C" w14:paraId="79A49573" w14:textId="77777777" w:rsidTr="0072571C">
        <w:trPr>
          <w:trHeight w:val="260"/>
        </w:trPr>
        <w:tc>
          <w:tcPr>
            <w:tcW w:w="4425" w:type="dxa"/>
            <w:shd w:val="clear" w:color="auto" w:fill="auto"/>
          </w:tcPr>
          <w:p w14:paraId="299A692B"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VF8 Interference with daily life</w:t>
            </w:r>
          </w:p>
        </w:tc>
        <w:tc>
          <w:tcPr>
            <w:tcW w:w="992" w:type="dxa"/>
            <w:shd w:val="clear" w:color="auto" w:fill="auto"/>
            <w:vAlign w:val="center"/>
          </w:tcPr>
          <w:p w14:paraId="23C1537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w:t>
            </w:r>
            <w:r w:rsidRPr="0048229C">
              <w:rPr>
                <w:rFonts w:cs="Verdana"/>
                <w:color w:val="000000"/>
                <w:lang w:val="en-US"/>
              </w:rPr>
              <w:t>2</w:t>
            </w:r>
            <w:r>
              <w:rPr>
                <w:rFonts w:cs="Verdana"/>
                <w:color w:val="000000"/>
                <w:lang w:val="en-US"/>
              </w:rPr>
              <w:t>6</w:t>
            </w:r>
          </w:p>
        </w:tc>
        <w:tc>
          <w:tcPr>
            <w:tcW w:w="850" w:type="dxa"/>
            <w:shd w:val="clear" w:color="auto" w:fill="auto"/>
            <w:vAlign w:val="center"/>
          </w:tcPr>
          <w:p w14:paraId="4AABC29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3A54E3D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65B55F6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2.28</w:t>
            </w:r>
          </w:p>
        </w:tc>
        <w:tc>
          <w:tcPr>
            <w:tcW w:w="890" w:type="dxa"/>
            <w:shd w:val="clear" w:color="auto" w:fill="auto"/>
            <w:vAlign w:val="center"/>
          </w:tcPr>
          <w:p w14:paraId="7A1B053B"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0.73</w:t>
            </w:r>
          </w:p>
        </w:tc>
      </w:tr>
      <w:tr w:rsidR="0072571C" w:rsidRPr="0048229C" w14:paraId="22D347CB" w14:textId="77777777" w:rsidTr="0072571C">
        <w:trPr>
          <w:trHeight w:val="260"/>
        </w:trPr>
        <w:tc>
          <w:tcPr>
            <w:tcW w:w="9000" w:type="dxa"/>
            <w:gridSpan w:val="6"/>
            <w:tcBorders>
              <w:top w:val="single" w:sz="4" w:space="0" w:color="auto"/>
              <w:bottom w:val="single" w:sz="4" w:space="0" w:color="auto"/>
            </w:tcBorders>
            <w:shd w:val="clear" w:color="auto" w:fill="auto"/>
          </w:tcPr>
          <w:p w14:paraId="3A066812"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b/>
                <w:color w:val="000000"/>
                <w:lang w:val="en-US"/>
              </w:rPr>
              <w:t>Appearance</w:t>
            </w:r>
            <w:r>
              <w:rPr>
                <w:rFonts w:cs="Verdana"/>
                <w:b/>
                <w:color w:val="000000"/>
                <w:lang w:val="en-US"/>
              </w:rPr>
              <w:t xml:space="preserve"> subscale</w:t>
            </w:r>
          </w:p>
        </w:tc>
      </w:tr>
      <w:tr w:rsidR="0072571C" w:rsidRPr="0048229C" w14:paraId="63868D48" w14:textId="77777777" w:rsidTr="0072571C">
        <w:trPr>
          <w:trHeight w:val="260"/>
        </w:trPr>
        <w:tc>
          <w:tcPr>
            <w:tcW w:w="4425" w:type="dxa"/>
            <w:tcBorders>
              <w:top w:val="single" w:sz="4" w:space="0" w:color="auto"/>
            </w:tcBorders>
            <w:shd w:val="clear" w:color="auto" w:fill="auto"/>
          </w:tcPr>
          <w:p w14:paraId="1E75F4A4"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App9 Change in appearance</w:t>
            </w:r>
          </w:p>
        </w:tc>
        <w:tc>
          <w:tcPr>
            <w:tcW w:w="992" w:type="dxa"/>
            <w:tcBorders>
              <w:top w:val="single" w:sz="4" w:space="0" w:color="auto"/>
            </w:tcBorders>
            <w:shd w:val="clear" w:color="auto" w:fill="auto"/>
            <w:vAlign w:val="center"/>
          </w:tcPr>
          <w:p w14:paraId="2E36EC6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126</w:t>
            </w:r>
          </w:p>
        </w:tc>
        <w:tc>
          <w:tcPr>
            <w:tcW w:w="850" w:type="dxa"/>
            <w:tcBorders>
              <w:top w:val="single" w:sz="4" w:space="0" w:color="auto"/>
            </w:tcBorders>
            <w:shd w:val="clear" w:color="auto" w:fill="auto"/>
            <w:vAlign w:val="center"/>
          </w:tcPr>
          <w:p w14:paraId="0C18076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tcBorders>
              <w:top w:val="single" w:sz="4" w:space="0" w:color="auto"/>
            </w:tcBorders>
            <w:shd w:val="clear" w:color="auto" w:fill="auto"/>
            <w:vAlign w:val="center"/>
          </w:tcPr>
          <w:p w14:paraId="10E1E2E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2</w:t>
            </w:r>
          </w:p>
        </w:tc>
        <w:tc>
          <w:tcPr>
            <w:tcW w:w="850" w:type="dxa"/>
            <w:tcBorders>
              <w:top w:val="single" w:sz="4" w:space="0" w:color="auto"/>
            </w:tcBorders>
            <w:shd w:val="clear" w:color="auto" w:fill="auto"/>
            <w:vAlign w:val="center"/>
          </w:tcPr>
          <w:p w14:paraId="44CA668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1.50</w:t>
            </w:r>
          </w:p>
        </w:tc>
        <w:tc>
          <w:tcPr>
            <w:tcW w:w="890" w:type="dxa"/>
            <w:tcBorders>
              <w:top w:val="single" w:sz="4" w:space="0" w:color="auto"/>
            </w:tcBorders>
            <w:shd w:val="clear" w:color="auto" w:fill="auto"/>
            <w:vAlign w:val="center"/>
          </w:tcPr>
          <w:p w14:paraId="23CBFBC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0.50</w:t>
            </w:r>
          </w:p>
        </w:tc>
      </w:tr>
      <w:tr w:rsidR="0072571C" w:rsidRPr="0048229C" w14:paraId="0000D218" w14:textId="77777777" w:rsidTr="0072571C">
        <w:trPr>
          <w:trHeight w:val="260"/>
        </w:trPr>
        <w:tc>
          <w:tcPr>
            <w:tcW w:w="4425" w:type="dxa"/>
            <w:shd w:val="clear" w:color="auto" w:fill="auto"/>
          </w:tcPr>
          <w:p w14:paraId="3BE6DF65"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App10 Feeling watched</w:t>
            </w:r>
          </w:p>
        </w:tc>
        <w:tc>
          <w:tcPr>
            <w:tcW w:w="992" w:type="dxa"/>
            <w:shd w:val="clear" w:color="auto" w:fill="auto"/>
            <w:vAlign w:val="center"/>
          </w:tcPr>
          <w:p w14:paraId="2314F02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126</w:t>
            </w:r>
          </w:p>
        </w:tc>
        <w:tc>
          <w:tcPr>
            <w:tcW w:w="850" w:type="dxa"/>
            <w:shd w:val="clear" w:color="auto" w:fill="auto"/>
            <w:vAlign w:val="center"/>
          </w:tcPr>
          <w:p w14:paraId="754E909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620DCB11"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46343FB0"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2.17</w:t>
            </w:r>
          </w:p>
        </w:tc>
        <w:tc>
          <w:tcPr>
            <w:tcW w:w="890" w:type="dxa"/>
            <w:shd w:val="clear" w:color="auto" w:fill="auto"/>
            <w:vAlign w:val="center"/>
          </w:tcPr>
          <w:p w14:paraId="5D7C2E1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0.76</w:t>
            </w:r>
          </w:p>
        </w:tc>
      </w:tr>
      <w:tr w:rsidR="0072571C" w:rsidRPr="0048229C" w14:paraId="4E734503" w14:textId="77777777" w:rsidTr="0072571C">
        <w:trPr>
          <w:trHeight w:val="260"/>
        </w:trPr>
        <w:tc>
          <w:tcPr>
            <w:tcW w:w="4425" w:type="dxa"/>
            <w:shd w:val="clear" w:color="auto" w:fill="auto"/>
          </w:tcPr>
          <w:p w14:paraId="3A889CDD"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App11 Unpleasant reactions</w:t>
            </w:r>
          </w:p>
        </w:tc>
        <w:tc>
          <w:tcPr>
            <w:tcW w:w="992" w:type="dxa"/>
            <w:shd w:val="clear" w:color="auto" w:fill="auto"/>
            <w:vAlign w:val="center"/>
          </w:tcPr>
          <w:p w14:paraId="25F6A254"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125</w:t>
            </w:r>
          </w:p>
        </w:tc>
        <w:tc>
          <w:tcPr>
            <w:tcW w:w="850" w:type="dxa"/>
            <w:shd w:val="clear" w:color="auto" w:fill="auto"/>
            <w:vAlign w:val="center"/>
          </w:tcPr>
          <w:p w14:paraId="01BE4231"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7AFE04D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7E0C073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2.58</w:t>
            </w:r>
          </w:p>
        </w:tc>
        <w:tc>
          <w:tcPr>
            <w:tcW w:w="890" w:type="dxa"/>
            <w:shd w:val="clear" w:color="auto" w:fill="auto"/>
            <w:vAlign w:val="center"/>
          </w:tcPr>
          <w:p w14:paraId="2E7EB85B"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0.60</w:t>
            </w:r>
          </w:p>
        </w:tc>
      </w:tr>
      <w:tr w:rsidR="0072571C" w:rsidRPr="0048229C" w14:paraId="6EE45477" w14:textId="77777777" w:rsidTr="0072571C">
        <w:trPr>
          <w:trHeight w:val="260"/>
        </w:trPr>
        <w:tc>
          <w:tcPr>
            <w:tcW w:w="4425" w:type="dxa"/>
            <w:shd w:val="clear" w:color="auto" w:fill="auto"/>
          </w:tcPr>
          <w:p w14:paraId="372B68A5"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App12 Impact on self-confidence</w:t>
            </w:r>
          </w:p>
        </w:tc>
        <w:tc>
          <w:tcPr>
            <w:tcW w:w="992" w:type="dxa"/>
            <w:shd w:val="clear" w:color="auto" w:fill="auto"/>
            <w:vAlign w:val="center"/>
          </w:tcPr>
          <w:p w14:paraId="175A52A4"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126</w:t>
            </w:r>
          </w:p>
        </w:tc>
        <w:tc>
          <w:tcPr>
            <w:tcW w:w="850" w:type="dxa"/>
            <w:shd w:val="clear" w:color="auto" w:fill="auto"/>
            <w:vAlign w:val="center"/>
          </w:tcPr>
          <w:p w14:paraId="7F21291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3632CE3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561F0DD8"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1.83</w:t>
            </w:r>
          </w:p>
        </w:tc>
        <w:tc>
          <w:tcPr>
            <w:tcW w:w="890" w:type="dxa"/>
            <w:shd w:val="clear" w:color="auto" w:fill="auto"/>
            <w:vAlign w:val="center"/>
          </w:tcPr>
          <w:p w14:paraId="0062F1D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0.75</w:t>
            </w:r>
          </w:p>
        </w:tc>
      </w:tr>
      <w:tr w:rsidR="0072571C" w:rsidRPr="0048229C" w14:paraId="1492A5BB" w14:textId="77777777" w:rsidTr="0072571C">
        <w:trPr>
          <w:trHeight w:val="260"/>
        </w:trPr>
        <w:tc>
          <w:tcPr>
            <w:tcW w:w="4425" w:type="dxa"/>
            <w:shd w:val="clear" w:color="auto" w:fill="auto"/>
          </w:tcPr>
          <w:p w14:paraId="48893C23"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App13 Feeling of social isolation</w:t>
            </w:r>
          </w:p>
        </w:tc>
        <w:tc>
          <w:tcPr>
            <w:tcW w:w="992" w:type="dxa"/>
            <w:shd w:val="clear" w:color="auto" w:fill="auto"/>
            <w:vAlign w:val="center"/>
          </w:tcPr>
          <w:p w14:paraId="53D4E9F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126</w:t>
            </w:r>
          </w:p>
        </w:tc>
        <w:tc>
          <w:tcPr>
            <w:tcW w:w="850" w:type="dxa"/>
            <w:shd w:val="clear" w:color="auto" w:fill="auto"/>
            <w:vAlign w:val="center"/>
          </w:tcPr>
          <w:p w14:paraId="2A1FE3F3"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24789E7F"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426530F9"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2.59</w:t>
            </w:r>
          </w:p>
        </w:tc>
        <w:tc>
          <w:tcPr>
            <w:tcW w:w="890" w:type="dxa"/>
            <w:shd w:val="clear" w:color="auto" w:fill="auto"/>
            <w:vAlign w:val="center"/>
          </w:tcPr>
          <w:p w14:paraId="3F149B32"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0.65</w:t>
            </w:r>
          </w:p>
        </w:tc>
      </w:tr>
      <w:tr w:rsidR="0072571C" w:rsidRPr="0048229C" w14:paraId="78F993AA" w14:textId="77777777" w:rsidTr="0072571C">
        <w:trPr>
          <w:trHeight w:val="260"/>
        </w:trPr>
        <w:tc>
          <w:tcPr>
            <w:tcW w:w="4425" w:type="dxa"/>
            <w:shd w:val="clear" w:color="auto" w:fill="auto"/>
          </w:tcPr>
          <w:p w14:paraId="58ECC53C"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App14 Influence on friendships</w:t>
            </w:r>
          </w:p>
        </w:tc>
        <w:tc>
          <w:tcPr>
            <w:tcW w:w="992" w:type="dxa"/>
            <w:shd w:val="clear" w:color="auto" w:fill="auto"/>
            <w:vAlign w:val="center"/>
          </w:tcPr>
          <w:p w14:paraId="0E576185"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126</w:t>
            </w:r>
          </w:p>
        </w:tc>
        <w:tc>
          <w:tcPr>
            <w:tcW w:w="850" w:type="dxa"/>
            <w:shd w:val="clear" w:color="auto" w:fill="auto"/>
            <w:vAlign w:val="center"/>
          </w:tcPr>
          <w:p w14:paraId="4944F32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7531C03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10A8DB8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2.45</w:t>
            </w:r>
          </w:p>
        </w:tc>
        <w:tc>
          <w:tcPr>
            <w:tcW w:w="890" w:type="dxa"/>
            <w:shd w:val="clear" w:color="auto" w:fill="auto"/>
            <w:vAlign w:val="center"/>
          </w:tcPr>
          <w:p w14:paraId="38FA64CB"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0.77</w:t>
            </w:r>
          </w:p>
        </w:tc>
      </w:tr>
      <w:tr w:rsidR="0072571C" w:rsidRPr="0048229C" w14:paraId="3C5EF6B1" w14:textId="77777777" w:rsidTr="0072571C">
        <w:trPr>
          <w:trHeight w:val="260"/>
        </w:trPr>
        <w:tc>
          <w:tcPr>
            <w:tcW w:w="4425" w:type="dxa"/>
            <w:shd w:val="clear" w:color="auto" w:fill="auto"/>
          </w:tcPr>
          <w:p w14:paraId="19A2CB62"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App15 Less often in photos</w:t>
            </w:r>
          </w:p>
        </w:tc>
        <w:tc>
          <w:tcPr>
            <w:tcW w:w="992" w:type="dxa"/>
            <w:shd w:val="clear" w:color="auto" w:fill="auto"/>
            <w:vAlign w:val="center"/>
          </w:tcPr>
          <w:p w14:paraId="1561345D"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126</w:t>
            </w:r>
          </w:p>
        </w:tc>
        <w:tc>
          <w:tcPr>
            <w:tcW w:w="850" w:type="dxa"/>
            <w:shd w:val="clear" w:color="auto" w:fill="auto"/>
            <w:vAlign w:val="center"/>
          </w:tcPr>
          <w:p w14:paraId="4D228B62"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4149FFE6"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4EEAF777"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2.01</w:t>
            </w:r>
          </w:p>
        </w:tc>
        <w:tc>
          <w:tcPr>
            <w:tcW w:w="890" w:type="dxa"/>
            <w:shd w:val="clear" w:color="auto" w:fill="auto"/>
            <w:vAlign w:val="center"/>
          </w:tcPr>
          <w:p w14:paraId="27247310"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0.83</w:t>
            </w:r>
          </w:p>
        </w:tc>
      </w:tr>
      <w:tr w:rsidR="0072571C" w:rsidRPr="0048229C" w14:paraId="3F41415B" w14:textId="77777777" w:rsidTr="0072571C">
        <w:trPr>
          <w:trHeight w:val="260"/>
        </w:trPr>
        <w:tc>
          <w:tcPr>
            <w:tcW w:w="4425" w:type="dxa"/>
            <w:shd w:val="clear" w:color="auto" w:fill="auto"/>
          </w:tcPr>
          <w:p w14:paraId="222AC1E3" w14:textId="77777777" w:rsidR="0072571C" w:rsidRPr="0048229C" w:rsidRDefault="0072571C" w:rsidP="0072571C">
            <w:pPr>
              <w:widowControl w:val="0"/>
              <w:autoSpaceDE w:val="0"/>
              <w:autoSpaceDN w:val="0"/>
              <w:adjustRightInd w:val="0"/>
              <w:spacing w:before="2" w:after="2" w:line="360" w:lineRule="auto"/>
              <w:rPr>
                <w:rFonts w:cs="Verdana"/>
                <w:color w:val="000000"/>
                <w:lang w:val="en-US"/>
              </w:rPr>
            </w:pPr>
            <w:r w:rsidRPr="0048229C">
              <w:rPr>
                <w:rFonts w:cs="Verdana"/>
                <w:color w:val="000000"/>
                <w:lang w:val="en-US"/>
              </w:rPr>
              <w:t>App16 Camouflaging appearance</w:t>
            </w:r>
          </w:p>
        </w:tc>
        <w:tc>
          <w:tcPr>
            <w:tcW w:w="992" w:type="dxa"/>
            <w:shd w:val="clear" w:color="auto" w:fill="auto"/>
            <w:vAlign w:val="center"/>
          </w:tcPr>
          <w:p w14:paraId="5D5CF648"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126</w:t>
            </w:r>
          </w:p>
        </w:tc>
        <w:tc>
          <w:tcPr>
            <w:tcW w:w="850" w:type="dxa"/>
            <w:shd w:val="clear" w:color="auto" w:fill="auto"/>
            <w:vAlign w:val="center"/>
          </w:tcPr>
          <w:p w14:paraId="526119AC"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1</w:t>
            </w:r>
          </w:p>
        </w:tc>
        <w:tc>
          <w:tcPr>
            <w:tcW w:w="993" w:type="dxa"/>
            <w:shd w:val="clear" w:color="auto" w:fill="auto"/>
            <w:vAlign w:val="center"/>
          </w:tcPr>
          <w:p w14:paraId="7222BC70"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3</w:t>
            </w:r>
          </w:p>
        </w:tc>
        <w:tc>
          <w:tcPr>
            <w:tcW w:w="850" w:type="dxa"/>
            <w:shd w:val="clear" w:color="auto" w:fill="auto"/>
            <w:vAlign w:val="center"/>
          </w:tcPr>
          <w:p w14:paraId="39A4168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sidRPr="0048229C">
              <w:rPr>
                <w:rFonts w:cs="Verdana"/>
                <w:color w:val="000000"/>
                <w:lang w:val="en-US"/>
              </w:rPr>
              <w:t>2.05</w:t>
            </w:r>
          </w:p>
        </w:tc>
        <w:tc>
          <w:tcPr>
            <w:tcW w:w="890" w:type="dxa"/>
            <w:shd w:val="clear" w:color="auto" w:fill="auto"/>
            <w:vAlign w:val="center"/>
          </w:tcPr>
          <w:p w14:paraId="67017DBA" w14:textId="77777777" w:rsidR="0072571C" w:rsidRPr="0048229C" w:rsidRDefault="0072571C" w:rsidP="0072571C">
            <w:pPr>
              <w:widowControl w:val="0"/>
              <w:autoSpaceDE w:val="0"/>
              <w:autoSpaceDN w:val="0"/>
              <w:adjustRightInd w:val="0"/>
              <w:spacing w:line="360" w:lineRule="auto"/>
              <w:jc w:val="center"/>
              <w:rPr>
                <w:rFonts w:cs="Verdana"/>
                <w:color w:val="000000"/>
                <w:lang w:val="en-US"/>
              </w:rPr>
            </w:pPr>
            <w:r>
              <w:rPr>
                <w:rFonts w:cs="Verdana"/>
                <w:color w:val="000000"/>
                <w:lang w:val="en-US"/>
              </w:rPr>
              <w:t>0.81</w:t>
            </w:r>
          </w:p>
        </w:tc>
      </w:tr>
    </w:tbl>
    <w:p w14:paraId="45751268" w14:textId="77777777" w:rsidR="0072571C" w:rsidRDefault="0072571C" w:rsidP="0072571C">
      <w:pPr>
        <w:spacing w:line="360" w:lineRule="auto"/>
      </w:pPr>
      <w:r>
        <w:t>Key: N= number of responses; SD = standard deviation</w:t>
      </w:r>
    </w:p>
    <w:p w14:paraId="26FCC855" w14:textId="047518D2" w:rsidR="0072571C" w:rsidRDefault="0072571C">
      <w:pPr>
        <w:rPr>
          <w:rFonts w:ascii="Arial" w:hAnsi="Arial" w:cs="Arial"/>
          <w:sz w:val="17"/>
          <w:szCs w:val="17"/>
          <w:lang w:val="en-US"/>
        </w:rPr>
      </w:pPr>
      <w:r>
        <w:br w:type="page"/>
      </w:r>
    </w:p>
    <w:p w14:paraId="7F9E5668" w14:textId="77777777" w:rsidR="0072571C" w:rsidRPr="003F179A" w:rsidRDefault="0072571C" w:rsidP="0072571C">
      <w:pPr>
        <w:pStyle w:val="Caption"/>
      </w:pPr>
      <w:r w:rsidRPr="003F179A">
        <w:lastRenderedPageBreak/>
        <w:t xml:space="preserve">Table </w:t>
      </w:r>
      <w:r>
        <w:t>6</w:t>
      </w:r>
      <w:r w:rsidRPr="003F179A">
        <w:t>. CIRTED trial allocation groups.</w:t>
      </w:r>
    </w:p>
    <w:tbl>
      <w:tblPr>
        <w:tblW w:w="0" w:type="auto"/>
        <w:tblLook w:val="00A0" w:firstRow="1" w:lastRow="0" w:firstColumn="1" w:lastColumn="0" w:noHBand="0" w:noVBand="0"/>
      </w:tblPr>
      <w:tblGrid>
        <w:gridCol w:w="1242"/>
        <w:gridCol w:w="4435"/>
        <w:gridCol w:w="2839"/>
      </w:tblGrid>
      <w:tr w:rsidR="0072571C" w:rsidRPr="0048229C" w14:paraId="1E4A2521" w14:textId="77777777" w:rsidTr="0072571C">
        <w:tc>
          <w:tcPr>
            <w:tcW w:w="1242" w:type="dxa"/>
          </w:tcPr>
          <w:p w14:paraId="7865D029" w14:textId="77777777" w:rsidR="0072571C" w:rsidRPr="0048229C" w:rsidRDefault="0072571C" w:rsidP="0072571C">
            <w:pPr>
              <w:widowControl w:val="0"/>
              <w:autoSpaceDE w:val="0"/>
              <w:autoSpaceDN w:val="0"/>
              <w:adjustRightInd w:val="0"/>
              <w:spacing w:line="360" w:lineRule="auto"/>
              <w:rPr>
                <w:rFonts w:cs="Times New Roman"/>
                <w:b/>
                <w:lang w:val="en-US"/>
              </w:rPr>
            </w:pPr>
            <w:r w:rsidRPr="0048229C">
              <w:rPr>
                <w:rFonts w:cs="Times New Roman"/>
                <w:b/>
                <w:lang w:val="en-US"/>
              </w:rPr>
              <w:t>Group</w:t>
            </w:r>
          </w:p>
        </w:tc>
        <w:tc>
          <w:tcPr>
            <w:tcW w:w="4435" w:type="dxa"/>
          </w:tcPr>
          <w:p w14:paraId="74EFA2D0" w14:textId="77777777" w:rsidR="0072571C" w:rsidRPr="0048229C" w:rsidRDefault="0072571C" w:rsidP="0072571C">
            <w:pPr>
              <w:widowControl w:val="0"/>
              <w:autoSpaceDE w:val="0"/>
              <w:autoSpaceDN w:val="0"/>
              <w:adjustRightInd w:val="0"/>
              <w:spacing w:line="360" w:lineRule="auto"/>
              <w:rPr>
                <w:rFonts w:cs="Times New Roman"/>
                <w:b/>
                <w:lang w:val="en-US"/>
              </w:rPr>
            </w:pPr>
            <w:r w:rsidRPr="0048229C">
              <w:rPr>
                <w:rFonts w:cs="Times New Roman"/>
                <w:b/>
                <w:lang w:val="en-US"/>
              </w:rPr>
              <w:t>Allocation</w:t>
            </w:r>
          </w:p>
        </w:tc>
        <w:tc>
          <w:tcPr>
            <w:tcW w:w="2839" w:type="dxa"/>
          </w:tcPr>
          <w:p w14:paraId="2845F163" w14:textId="77777777" w:rsidR="0072571C" w:rsidRPr="0048229C" w:rsidRDefault="0072571C" w:rsidP="0072571C">
            <w:pPr>
              <w:widowControl w:val="0"/>
              <w:autoSpaceDE w:val="0"/>
              <w:autoSpaceDN w:val="0"/>
              <w:adjustRightInd w:val="0"/>
              <w:spacing w:line="360" w:lineRule="auto"/>
              <w:rPr>
                <w:rFonts w:cs="Times New Roman"/>
                <w:b/>
                <w:lang w:val="en-US"/>
              </w:rPr>
            </w:pPr>
            <w:r w:rsidRPr="0048229C">
              <w:rPr>
                <w:rFonts w:cs="Times New Roman"/>
                <w:b/>
                <w:lang w:val="en-US"/>
              </w:rPr>
              <w:t>N</w:t>
            </w:r>
            <w:r>
              <w:rPr>
                <w:rFonts w:cs="Times New Roman"/>
                <w:b/>
                <w:lang w:val="en-US"/>
              </w:rPr>
              <w:t xml:space="preserve">=126 </w:t>
            </w:r>
            <w:proofErr w:type="spellStart"/>
            <w:r>
              <w:rPr>
                <w:rFonts w:cs="Times New Roman"/>
                <w:b/>
                <w:lang w:val="en-US"/>
              </w:rPr>
              <w:t>randomised</w:t>
            </w:r>
            <w:proofErr w:type="spellEnd"/>
          </w:p>
        </w:tc>
      </w:tr>
      <w:tr w:rsidR="0072571C" w:rsidRPr="0048229C" w14:paraId="5B9CFC46" w14:textId="77777777" w:rsidTr="0072571C">
        <w:tc>
          <w:tcPr>
            <w:tcW w:w="1242" w:type="dxa"/>
          </w:tcPr>
          <w:p w14:paraId="1D7F2561"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1</w:t>
            </w:r>
          </w:p>
        </w:tc>
        <w:tc>
          <w:tcPr>
            <w:tcW w:w="4435" w:type="dxa"/>
          </w:tcPr>
          <w:p w14:paraId="31C9AB2B"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rPr>
              <w:t>Radiotherapy and Azathioprine</w:t>
            </w:r>
          </w:p>
        </w:tc>
        <w:tc>
          <w:tcPr>
            <w:tcW w:w="2839" w:type="dxa"/>
          </w:tcPr>
          <w:p w14:paraId="20B85B8D"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31 (24.</w:t>
            </w:r>
            <w:r>
              <w:rPr>
                <w:rFonts w:cs="Times New Roman"/>
                <w:lang w:val="en-US"/>
              </w:rPr>
              <w:t>6</w:t>
            </w:r>
            <w:r w:rsidRPr="0048229C">
              <w:rPr>
                <w:rFonts w:cs="Times New Roman"/>
                <w:lang w:val="en-US"/>
              </w:rPr>
              <w:t>%)</w:t>
            </w:r>
          </w:p>
        </w:tc>
      </w:tr>
      <w:tr w:rsidR="0072571C" w:rsidRPr="0048229C" w14:paraId="20FB29DE" w14:textId="77777777" w:rsidTr="0072571C">
        <w:tc>
          <w:tcPr>
            <w:tcW w:w="1242" w:type="dxa"/>
          </w:tcPr>
          <w:p w14:paraId="3086F148"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2</w:t>
            </w:r>
          </w:p>
        </w:tc>
        <w:tc>
          <w:tcPr>
            <w:tcW w:w="4435" w:type="dxa"/>
          </w:tcPr>
          <w:p w14:paraId="43E3278E"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rPr>
              <w:t>SHAM Radiotherapy and Azathioprine</w:t>
            </w:r>
          </w:p>
        </w:tc>
        <w:tc>
          <w:tcPr>
            <w:tcW w:w="2839" w:type="dxa"/>
          </w:tcPr>
          <w:p w14:paraId="7C71489A"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3</w:t>
            </w:r>
            <w:r>
              <w:rPr>
                <w:rFonts w:cs="Times New Roman"/>
                <w:lang w:val="en-US"/>
              </w:rPr>
              <w:t>1</w:t>
            </w:r>
            <w:r w:rsidRPr="0048229C">
              <w:rPr>
                <w:rFonts w:cs="Times New Roman"/>
                <w:lang w:val="en-US"/>
              </w:rPr>
              <w:t xml:space="preserve"> (2</w:t>
            </w:r>
            <w:r>
              <w:rPr>
                <w:rFonts w:cs="Times New Roman"/>
                <w:lang w:val="en-US"/>
              </w:rPr>
              <w:t>4</w:t>
            </w:r>
            <w:r w:rsidRPr="0048229C">
              <w:rPr>
                <w:rFonts w:cs="Times New Roman"/>
                <w:lang w:val="en-US"/>
              </w:rPr>
              <w:t>.</w:t>
            </w:r>
            <w:r>
              <w:rPr>
                <w:rFonts w:cs="Times New Roman"/>
                <w:lang w:val="en-US"/>
              </w:rPr>
              <w:t>6</w:t>
            </w:r>
            <w:r w:rsidRPr="0048229C">
              <w:rPr>
                <w:rFonts w:cs="Times New Roman"/>
                <w:lang w:val="en-US"/>
              </w:rPr>
              <w:t>%)</w:t>
            </w:r>
          </w:p>
        </w:tc>
      </w:tr>
      <w:tr w:rsidR="0072571C" w:rsidRPr="0048229C" w14:paraId="7C62BDE3" w14:textId="77777777" w:rsidTr="0072571C">
        <w:tc>
          <w:tcPr>
            <w:tcW w:w="1242" w:type="dxa"/>
          </w:tcPr>
          <w:p w14:paraId="5E81EF1B"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3</w:t>
            </w:r>
          </w:p>
        </w:tc>
        <w:tc>
          <w:tcPr>
            <w:tcW w:w="4435" w:type="dxa"/>
          </w:tcPr>
          <w:p w14:paraId="39BEC742"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rPr>
              <w:t>Radiotherapy and PLACEBO</w:t>
            </w:r>
          </w:p>
        </w:tc>
        <w:tc>
          <w:tcPr>
            <w:tcW w:w="2839" w:type="dxa"/>
          </w:tcPr>
          <w:p w14:paraId="66EF10C2"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32 (25.</w:t>
            </w:r>
            <w:r>
              <w:rPr>
                <w:rFonts w:cs="Times New Roman"/>
                <w:lang w:val="en-US"/>
              </w:rPr>
              <w:t>3</w:t>
            </w:r>
            <w:r w:rsidRPr="0048229C">
              <w:rPr>
                <w:rFonts w:cs="Times New Roman"/>
                <w:lang w:val="en-US"/>
              </w:rPr>
              <w:t>%)</w:t>
            </w:r>
          </w:p>
        </w:tc>
      </w:tr>
      <w:tr w:rsidR="0072571C" w:rsidRPr="0048229C" w14:paraId="2ACF9857" w14:textId="77777777" w:rsidTr="0072571C">
        <w:tc>
          <w:tcPr>
            <w:tcW w:w="1242" w:type="dxa"/>
          </w:tcPr>
          <w:p w14:paraId="731B9E61"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4</w:t>
            </w:r>
          </w:p>
        </w:tc>
        <w:tc>
          <w:tcPr>
            <w:tcW w:w="4435" w:type="dxa"/>
          </w:tcPr>
          <w:p w14:paraId="0597E541"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rPr>
              <w:t>SHAM Radiotherapy and PLACEBO</w:t>
            </w:r>
          </w:p>
        </w:tc>
        <w:tc>
          <w:tcPr>
            <w:tcW w:w="2839" w:type="dxa"/>
          </w:tcPr>
          <w:p w14:paraId="2F42A563" w14:textId="77777777" w:rsidR="0072571C" w:rsidRPr="0048229C" w:rsidRDefault="0072571C" w:rsidP="0072571C">
            <w:pPr>
              <w:widowControl w:val="0"/>
              <w:autoSpaceDE w:val="0"/>
              <w:autoSpaceDN w:val="0"/>
              <w:adjustRightInd w:val="0"/>
              <w:spacing w:line="360" w:lineRule="auto"/>
              <w:rPr>
                <w:rFonts w:cs="Times New Roman"/>
                <w:lang w:val="en-US"/>
              </w:rPr>
            </w:pPr>
            <w:r w:rsidRPr="0048229C">
              <w:rPr>
                <w:rFonts w:cs="Times New Roman"/>
                <w:lang w:val="en-US"/>
              </w:rPr>
              <w:t>32 (25.</w:t>
            </w:r>
            <w:r>
              <w:rPr>
                <w:rFonts w:cs="Times New Roman"/>
                <w:lang w:val="en-US"/>
              </w:rPr>
              <w:t>3</w:t>
            </w:r>
            <w:r w:rsidRPr="0048229C">
              <w:rPr>
                <w:rFonts w:cs="Times New Roman"/>
                <w:lang w:val="en-US"/>
              </w:rPr>
              <w:t>%)</w:t>
            </w:r>
          </w:p>
        </w:tc>
      </w:tr>
    </w:tbl>
    <w:p w14:paraId="1B45DC93" w14:textId="1EF6E8B7" w:rsidR="0072571C" w:rsidRDefault="0072571C" w:rsidP="00B56C13">
      <w:pPr>
        <w:pStyle w:val="p1"/>
      </w:pPr>
    </w:p>
    <w:p w14:paraId="014A682F" w14:textId="77777777" w:rsidR="0072571C" w:rsidRDefault="0072571C">
      <w:pPr>
        <w:rPr>
          <w:rFonts w:ascii="Arial" w:hAnsi="Arial" w:cs="Arial"/>
          <w:sz w:val="17"/>
          <w:szCs w:val="17"/>
          <w:lang w:val="en-US"/>
        </w:rPr>
      </w:pPr>
      <w:r>
        <w:br w:type="page"/>
      </w:r>
    </w:p>
    <w:p w14:paraId="7B860C17" w14:textId="77777777" w:rsidR="0072571C" w:rsidRPr="003C2DBF" w:rsidRDefault="0072571C" w:rsidP="0072571C">
      <w:pPr>
        <w:widowControl w:val="0"/>
        <w:autoSpaceDE w:val="0"/>
        <w:autoSpaceDN w:val="0"/>
        <w:adjustRightInd w:val="0"/>
        <w:spacing w:line="360" w:lineRule="auto"/>
      </w:pPr>
      <w:r w:rsidRPr="003C2DBF">
        <w:rPr>
          <w:b/>
          <w:i/>
        </w:rPr>
        <w:lastRenderedPageBreak/>
        <w:t xml:space="preserve">Table 7. Participant </w:t>
      </w:r>
      <w:r w:rsidRPr="003C2DBF">
        <w:rPr>
          <w:rFonts w:cs="Times New Roman"/>
          <w:b/>
          <w:i/>
        </w:rPr>
        <w:t>characteristics for</w:t>
      </w:r>
      <w:r w:rsidRPr="003C2DBF">
        <w:rPr>
          <w:rFonts w:cs="Times New Roman"/>
          <w:b/>
          <w:i/>
          <w:lang w:val="en-US"/>
        </w:rPr>
        <w:t xml:space="preserve"> Stage 2: Longitudinal validation of </w:t>
      </w:r>
      <w:r>
        <w:rPr>
          <w:rFonts w:cs="Times New Roman"/>
          <w:b/>
          <w:i/>
          <w:lang w:val="en-US"/>
        </w:rPr>
        <w:t>GO-QOL</w:t>
      </w:r>
    </w:p>
    <w:tbl>
      <w:tblPr>
        <w:tblW w:w="8222" w:type="dxa"/>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2268"/>
        <w:gridCol w:w="2977"/>
        <w:gridCol w:w="2977"/>
      </w:tblGrid>
      <w:tr w:rsidR="0072571C" w:rsidRPr="003C2DBF" w14:paraId="5E3A0372" w14:textId="77777777" w:rsidTr="0072571C">
        <w:trPr>
          <w:trHeight w:val="292"/>
        </w:trPr>
        <w:tc>
          <w:tcPr>
            <w:tcW w:w="2268" w:type="dxa"/>
            <w:tcBorders>
              <w:top w:val="single" w:sz="6" w:space="0" w:color="808080"/>
            </w:tcBorders>
            <w:shd w:val="clear" w:color="auto" w:fill="auto"/>
            <w:tcMar>
              <w:top w:w="20" w:type="dxa"/>
              <w:left w:w="20" w:type="dxa"/>
              <w:bottom w:w="0" w:type="dxa"/>
              <w:right w:w="20" w:type="dxa"/>
            </w:tcMar>
            <w:vAlign w:val="bottom"/>
          </w:tcPr>
          <w:p w14:paraId="608ACD82" w14:textId="77777777" w:rsidR="0072571C" w:rsidRPr="003C2DBF" w:rsidRDefault="0072571C" w:rsidP="0072571C">
            <w:pPr>
              <w:widowControl w:val="0"/>
              <w:autoSpaceDE w:val="0"/>
              <w:autoSpaceDN w:val="0"/>
              <w:adjustRightInd w:val="0"/>
              <w:spacing w:line="360" w:lineRule="auto"/>
              <w:rPr>
                <w:rFonts w:cs="Times New Roman"/>
                <w:b/>
              </w:rPr>
            </w:pPr>
            <w:r w:rsidRPr="003C2DBF">
              <w:rPr>
                <w:rFonts w:cs="Times New Roman"/>
                <w:b/>
              </w:rPr>
              <w:t>Variable</w:t>
            </w:r>
          </w:p>
        </w:tc>
        <w:tc>
          <w:tcPr>
            <w:tcW w:w="2977" w:type="dxa"/>
            <w:tcBorders>
              <w:top w:val="single" w:sz="6" w:space="0" w:color="808080"/>
            </w:tcBorders>
            <w:shd w:val="clear" w:color="auto" w:fill="auto"/>
            <w:tcMar>
              <w:top w:w="20" w:type="dxa"/>
              <w:left w:w="20" w:type="dxa"/>
              <w:bottom w:w="0" w:type="dxa"/>
              <w:right w:w="20" w:type="dxa"/>
            </w:tcMar>
            <w:vAlign w:val="bottom"/>
          </w:tcPr>
          <w:p w14:paraId="47FAD782" w14:textId="77777777" w:rsidR="0072571C" w:rsidRPr="003C2DBF" w:rsidRDefault="0072571C" w:rsidP="0072571C">
            <w:pPr>
              <w:widowControl w:val="0"/>
              <w:autoSpaceDE w:val="0"/>
              <w:autoSpaceDN w:val="0"/>
              <w:adjustRightInd w:val="0"/>
              <w:spacing w:line="360" w:lineRule="auto"/>
              <w:rPr>
                <w:rFonts w:cs="Times New Roman"/>
                <w:b/>
              </w:rPr>
            </w:pPr>
            <w:r w:rsidRPr="003C2DBF">
              <w:rPr>
                <w:rFonts w:cs="Times New Roman"/>
                <w:b/>
              </w:rPr>
              <w:t>Study time point</w:t>
            </w:r>
          </w:p>
        </w:tc>
        <w:tc>
          <w:tcPr>
            <w:tcW w:w="2977" w:type="dxa"/>
            <w:tcBorders>
              <w:top w:val="single" w:sz="6" w:space="0" w:color="808080"/>
            </w:tcBorders>
          </w:tcPr>
          <w:p w14:paraId="7D2A638D" w14:textId="77777777" w:rsidR="0072571C" w:rsidRPr="003C2DBF" w:rsidRDefault="0072571C" w:rsidP="0072571C">
            <w:pPr>
              <w:widowControl w:val="0"/>
              <w:autoSpaceDE w:val="0"/>
              <w:autoSpaceDN w:val="0"/>
              <w:adjustRightInd w:val="0"/>
              <w:spacing w:line="360" w:lineRule="auto"/>
              <w:rPr>
                <w:rFonts w:cs="Times New Roman"/>
                <w:b/>
              </w:rPr>
            </w:pPr>
          </w:p>
        </w:tc>
      </w:tr>
      <w:tr w:rsidR="0072571C" w:rsidRPr="003C2DBF" w14:paraId="2D1C9B63" w14:textId="77777777" w:rsidTr="0072571C">
        <w:trPr>
          <w:trHeight w:val="292"/>
        </w:trPr>
        <w:tc>
          <w:tcPr>
            <w:tcW w:w="2268" w:type="dxa"/>
            <w:shd w:val="clear" w:color="auto" w:fill="auto"/>
            <w:tcMar>
              <w:top w:w="20" w:type="dxa"/>
              <w:left w:w="20" w:type="dxa"/>
              <w:bottom w:w="0" w:type="dxa"/>
              <w:right w:w="20" w:type="dxa"/>
            </w:tcMar>
            <w:vAlign w:val="bottom"/>
          </w:tcPr>
          <w:p w14:paraId="72A3038E" w14:textId="77777777" w:rsidR="0072571C" w:rsidRPr="003C2DBF" w:rsidRDefault="0072571C" w:rsidP="0072571C">
            <w:pPr>
              <w:widowControl w:val="0"/>
              <w:autoSpaceDE w:val="0"/>
              <w:autoSpaceDN w:val="0"/>
              <w:adjustRightInd w:val="0"/>
              <w:spacing w:line="360" w:lineRule="auto"/>
              <w:rPr>
                <w:rFonts w:cs="Times New Roman"/>
              </w:rPr>
            </w:pPr>
          </w:p>
        </w:tc>
        <w:tc>
          <w:tcPr>
            <w:tcW w:w="2977" w:type="dxa"/>
            <w:shd w:val="clear" w:color="auto" w:fill="auto"/>
            <w:tcMar>
              <w:top w:w="20" w:type="dxa"/>
              <w:left w:w="20" w:type="dxa"/>
              <w:bottom w:w="0" w:type="dxa"/>
              <w:right w:w="20" w:type="dxa"/>
            </w:tcMar>
            <w:vAlign w:val="bottom"/>
          </w:tcPr>
          <w:p w14:paraId="72CC41F0" w14:textId="77777777" w:rsidR="0072571C" w:rsidRPr="003C2DBF" w:rsidRDefault="0072571C" w:rsidP="0072571C">
            <w:pPr>
              <w:widowControl w:val="0"/>
              <w:autoSpaceDE w:val="0"/>
              <w:autoSpaceDN w:val="0"/>
              <w:adjustRightInd w:val="0"/>
              <w:spacing w:line="360" w:lineRule="auto"/>
              <w:rPr>
                <w:rFonts w:cs="Times New Roman"/>
                <w:b/>
              </w:rPr>
            </w:pPr>
            <w:r w:rsidRPr="003C2DBF">
              <w:rPr>
                <w:rFonts w:cs="Times New Roman"/>
                <w:b/>
              </w:rPr>
              <w:t>Short term (12 weeks)</w:t>
            </w:r>
          </w:p>
        </w:tc>
        <w:tc>
          <w:tcPr>
            <w:tcW w:w="2977" w:type="dxa"/>
          </w:tcPr>
          <w:p w14:paraId="210A8EFF" w14:textId="77777777" w:rsidR="0072571C" w:rsidRPr="003C2DBF" w:rsidRDefault="0072571C" w:rsidP="0072571C">
            <w:pPr>
              <w:widowControl w:val="0"/>
              <w:autoSpaceDE w:val="0"/>
              <w:autoSpaceDN w:val="0"/>
              <w:adjustRightInd w:val="0"/>
              <w:spacing w:line="360" w:lineRule="auto"/>
              <w:rPr>
                <w:rFonts w:cs="Times New Roman"/>
                <w:b/>
              </w:rPr>
            </w:pPr>
            <w:r w:rsidRPr="003C2DBF">
              <w:rPr>
                <w:rFonts w:cs="Times New Roman"/>
                <w:b/>
              </w:rPr>
              <w:t>Long term (48 weeks)</w:t>
            </w:r>
          </w:p>
        </w:tc>
      </w:tr>
      <w:tr w:rsidR="0072571C" w:rsidRPr="003C2DBF" w14:paraId="22F6CBB1" w14:textId="77777777" w:rsidTr="0072571C">
        <w:trPr>
          <w:trHeight w:val="292"/>
        </w:trPr>
        <w:tc>
          <w:tcPr>
            <w:tcW w:w="2268" w:type="dxa"/>
            <w:shd w:val="clear" w:color="auto" w:fill="auto"/>
            <w:tcMar>
              <w:top w:w="20" w:type="dxa"/>
              <w:left w:w="20" w:type="dxa"/>
              <w:bottom w:w="0" w:type="dxa"/>
              <w:right w:w="20" w:type="dxa"/>
            </w:tcMar>
            <w:vAlign w:val="bottom"/>
          </w:tcPr>
          <w:p w14:paraId="3D81FB22" w14:textId="77777777" w:rsidR="0072571C" w:rsidRPr="00D2148B" w:rsidRDefault="0072571C" w:rsidP="0072571C">
            <w:pPr>
              <w:widowControl w:val="0"/>
              <w:autoSpaceDE w:val="0"/>
              <w:autoSpaceDN w:val="0"/>
              <w:adjustRightInd w:val="0"/>
              <w:spacing w:line="360" w:lineRule="auto"/>
              <w:rPr>
                <w:rFonts w:cs="Times New Roman"/>
                <w:b/>
              </w:rPr>
            </w:pPr>
            <w:r w:rsidRPr="00D2148B">
              <w:rPr>
                <w:rFonts w:cs="Times New Roman"/>
                <w:b/>
              </w:rPr>
              <w:t>N</w:t>
            </w:r>
          </w:p>
        </w:tc>
        <w:tc>
          <w:tcPr>
            <w:tcW w:w="2977" w:type="dxa"/>
            <w:shd w:val="clear" w:color="auto" w:fill="auto"/>
            <w:tcMar>
              <w:top w:w="20" w:type="dxa"/>
              <w:left w:w="20" w:type="dxa"/>
              <w:bottom w:w="0" w:type="dxa"/>
              <w:right w:w="20" w:type="dxa"/>
            </w:tcMar>
            <w:vAlign w:val="bottom"/>
          </w:tcPr>
          <w:p w14:paraId="3E8C1CD8" w14:textId="77777777" w:rsidR="0072571C" w:rsidRPr="003C2DBF" w:rsidRDefault="0072571C" w:rsidP="0072571C">
            <w:pPr>
              <w:widowControl w:val="0"/>
              <w:autoSpaceDE w:val="0"/>
              <w:autoSpaceDN w:val="0"/>
              <w:adjustRightInd w:val="0"/>
              <w:spacing w:line="360" w:lineRule="auto"/>
              <w:rPr>
                <w:rFonts w:cs="Times New Roman"/>
              </w:rPr>
            </w:pPr>
            <w:r w:rsidRPr="003C2DBF">
              <w:rPr>
                <w:rFonts w:cs="Times New Roman"/>
              </w:rPr>
              <w:t>108</w:t>
            </w:r>
          </w:p>
        </w:tc>
        <w:tc>
          <w:tcPr>
            <w:tcW w:w="2977" w:type="dxa"/>
          </w:tcPr>
          <w:p w14:paraId="203B6DFA" w14:textId="77777777" w:rsidR="0072571C" w:rsidRPr="003C2DBF" w:rsidRDefault="0072571C" w:rsidP="0072571C">
            <w:pPr>
              <w:widowControl w:val="0"/>
              <w:autoSpaceDE w:val="0"/>
              <w:autoSpaceDN w:val="0"/>
              <w:adjustRightInd w:val="0"/>
              <w:spacing w:line="360" w:lineRule="auto"/>
              <w:rPr>
                <w:rFonts w:cs="Times New Roman"/>
              </w:rPr>
            </w:pPr>
            <w:r>
              <w:rPr>
                <w:rFonts w:cs="Times New Roman"/>
              </w:rPr>
              <w:t>101</w:t>
            </w:r>
          </w:p>
        </w:tc>
      </w:tr>
      <w:tr w:rsidR="0072571C" w:rsidRPr="003C2DBF" w14:paraId="0A3E6CF2" w14:textId="77777777" w:rsidTr="0072571C">
        <w:trPr>
          <w:trHeight w:val="292"/>
        </w:trPr>
        <w:tc>
          <w:tcPr>
            <w:tcW w:w="2268" w:type="dxa"/>
            <w:shd w:val="clear" w:color="auto" w:fill="auto"/>
            <w:tcMar>
              <w:top w:w="20" w:type="dxa"/>
              <w:left w:w="20" w:type="dxa"/>
              <w:bottom w:w="0" w:type="dxa"/>
              <w:right w:w="20" w:type="dxa"/>
            </w:tcMar>
            <w:vAlign w:val="bottom"/>
          </w:tcPr>
          <w:p w14:paraId="70F0FDCB" w14:textId="77777777" w:rsidR="0072571C" w:rsidRPr="00D2148B" w:rsidRDefault="0072571C" w:rsidP="0072571C">
            <w:pPr>
              <w:widowControl w:val="0"/>
              <w:autoSpaceDE w:val="0"/>
              <w:autoSpaceDN w:val="0"/>
              <w:adjustRightInd w:val="0"/>
              <w:spacing w:line="360" w:lineRule="auto"/>
              <w:rPr>
                <w:rFonts w:cs="Times New Roman"/>
                <w:b/>
              </w:rPr>
            </w:pPr>
            <w:r w:rsidRPr="00D2148B">
              <w:rPr>
                <w:rFonts w:cs="Times New Roman"/>
                <w:b/>
              </w:rPr>
              <w:t>Age</w:t>
            </w:r>
          </w:p>
        </w:tc>
        <w:tc>
          <w:tcPr>
            <w:tcW w:w="2977" w:type="dxa"/>
            <w:shd w:val="clear" w:color="auto" w:fill="auto"/>
            <w:tcMar>
              <w:top w:w="20" w:type="dxa"/>
              <w:left w:w="20" w:type="dxa"/>
              <w:bottom w:w="0" w:type="dxa"/>
              <w:right w:w="20" w:type="dxa"/>
            </w:tcMar>
            <w:vAlign w:val="bottom"/>
          </w:tcPr>
          <w:p w14:paraId="6845534C" w14:textId="77777777" w:rsidR="0072571C" w:rsidRPr="003C2DBF" w:rsidRDefault="0072571C" w:rsidP="0072571C">
            <w:pPr>
              <w:widowControl w:val="0"/>
              <w:autoSpaceDE w:val="0"/>
              <w:autoSpaceDN w:val="0"/>
              <w:adjustRightInd w:val="0"/>
              <w:spacing w:line="360" w:lineRule="auto"/>
              <w:rPr>
                <w:rFonts w:cs="Times New Roman"/>
              </w:rPr>
            </w:pPr>
            <w:r w:rsidRPr="003C2DBF">
              <w:rPr>
                <w:rFonts w:cs="Times New Roman"/>
              </w:rPr>
              <w:t>49.48±10.82</w:t>
            </w:r>
          </w:p>
        </w:tc>
        <w:tc>
          <w:tcPr>
            <w:tcW w:w="2977" w:type="dxa"/>
          </w:tcPr>
          <w:p w14:paraId="469982DF" w14:textId="77777777" w:rsidR="0072571C" w:rsidRPr="003C2DBF" w:rsidRDefault="0072571C" w:rsidP="0072571C">
            <w:pPr>
              <w:widowControl w:val="0"/>
              <w:autoSpaceDE w:val="0"/>
              <w:autoSpaceDN w:val="0"/>
              <w:adjustRightInd w:val="0"/>
              <w:spacing w:line="360" w:lineRule="auto"/>
            </w:pPr>
            <w:r w:rsidRPr="003C2DBF">
              <w:t>49.88±10.46</w:t>
            </w:r>
          </w:p>
        </w:tc>
      </w:tr>
      <w:tr w:rsidR="0072571C" w:rsidRPr="003C2DBF" w14:paraId="2A7A8390" w14:textId="77777777" w:rsidTr="0072571C">
        <w:trPr>
          <w:trHeight w:val="292"/>
        </w:trPr>
        <w:tc>
          <w:tcPr>
            <w:tcW w:w="2268" w:type="dxa"/>
            <w:shd w:val="clear" w:color="auto" w:fill="auto"/>
            <w:tcMar>
              <w:top w:w="20" w:type="dxa"/>
              <w:left w:w="20" w:type="dxa"/>
              <w:bottom w:w="0" w:type="dxa"/>
              <w:right w:w="20" w:type="dxa"/>
            </w:tcMar>
            <w:vAlign w:val="bottom"/>
          </w:tcPr>
          <w:p w14:paraId="17E641C7" w14:textId="77777777" w:rsidR="0072571C" w:rsidRPr="003C2DBF" w:rsidRDefault="0072571C" w:rsidP="0072571C">
            <w:pPr>
              <w:widowControl w:val="0"/>
              <w:autoSpaceDE w:val="0"/>
              <w:autoSpaceDN w:val="0"/>
              <w:adjustRightInd w:val="0"/>
              <w:spacing w:line="360" w:lineRule="auto"/>
              <w:rPr>
                <w:rFonts w:cs="Times New Roman"/>
              </w:rPr>
            </w:pPr>
            <w:r w:rsidRPr="00D2148B">
              <w:rPr>
                <w:rFonts w:cs="Times New Roman"/>
                <w:b/>
              </w:rPr>
              <w:t>Sex</w:t>
            </w:r>
            <w:r>
              <w:rPr>
                <w:rFonts w:cs="Times New Roman"/>
              </w:rPr>
              <w:t xml:space="preserve"> (male/female</w:t>
            </w:r>
            <w:r w:rsidRPr="003C2DBF">
              <w:rPr>
                <w:rFonts w:cs="Times New Roman"/>
              </w:rPr>
              <w:t>)</w:t>
            </w:r>
          </w:p>
        </w:tc>
        <w:tc>
          <w:tcPr>
            <w:tcW w:w="2977" w:type="dxa"/>
            <w:shd w:val="clear" w:color="auto" w:fill="auto"/>
            <w:tcMar>
              <w:top w:w="20" w:type="dxa"/>
              <w:left w:w="20" w:type="dxa"/>
              <w:bottom w:w="0" w:type="dxa"/>
              <w:right w:w="20" w:type="dxa"/>
            </w:tcMar>
            <w:vAlign w:val="bottom"/>
          </w:tcPr>
          <w:p w14:paraId="77763C2B" w14:textId="77777777" w:rsidR="0072571C" w:rsidRPr="003C2DBF" w:rsidRDefault="0072571C" w:rsidP="0072571C">
            <w:pPr>
              <w:widowControl w:val="0"/>
              <w:autoSpaceDE w:val="0"/>
              <w:autoSpaceDN w:val="0"/>
              <w:adjustRightInd w:val="0"/>
              <w:spacing w:line="360" w:lineRule="auto"/>
              <w:rPr>
                <w:rFonts w:cs="Times New Roman"/>
              </w:rPr>
            </w:pPr>
            <w:r>
              <w:rPr>
                <w:rFonts w:cs="Times New Roman"/>
              </w:rPr>
              <w:t>29/79</w:t>
            </w:r>
          </w:p>
        </w:tc>
        <w:tc>
          <w:tcPr>
            <w:tcW w:w="2977" w:type="dxa"/>
          </w:tcPr>
          <w:p w14:paraId="0DEF2566" w14:textId="77777777" w:rsidR="0072571C" w:rsidRPr="003C2DBF" w:rsidRDefault="0072571C" w:rsidP="0072571C">
            <w:pPr>
              <w:widowControl w:val="0"/>
              <w:autoSpaceDE w:val="0"/>
              <w:autoSpaceDN w:val="0"/>
              <w:adjustRightInd w:val="0"/>
              <w:spacing w:line="360" w:lineRule="auto"/>
            </w:pPr>
            <w:r>
              <w:t>27/73</w:t>
            </w:r>
          </w:p>
        </w:tc>
      </w:tr>
      <w:tr w:rsidR="0072571C" w:rsidRPr="003C2DBF" w14:paraId="6210C936" w14:textId="77777777" w:rsidTr="0072571C">
        <w:trPr>
          <w:trHeight w:val="292"/>
        </w:trPr>
        <w:tc>
          <w:tcPr>
            <w:tcW w:w="2268" w:type="dxa"/>
            <w:shd w:val="clear" w:color="auto" w:fill="auto"/>
            <w:tcMar>
              <w:top w:w="20" w:type="dxa"/>
              <w:left w:w="20" w:type="dxa"/>
              <w:bottom w:w="0" w:type="dxa"/>
              <w:right w:w="20" w:type="dxa"/>
            </w:tcMar>
            <w:vAlign w:val="bottom"/>
          </w:tcPr>
          <w:p w14:paraId="3915E60F" w14:textId="77777777" w:rsidR="0072571C" w:rsidRPr="003C2DBF" w:rsidRDefault="0072571C" w:rsidP="0072571C">
            <w:pPr>
              <w:widowControl w:val="0"/>
              <w:autoSpaceDE w:val="0"/>
              <w:autoSpaceDN w:val="0"/>
              <w:adjustRightInd w:val="0"/>
              <w:spacing w:line="360" w:lineRule="auto"/>
              <w:rPr>
                <w:rFonts w:cs="Times New Roman"/>
                <w:b/>
              </w:rPr>
            </w:pPr>
            <w:r w:rsidRPr="003C2DBF">
              <w:rPr>
                <w:rFonts w:cs="Times New Roman"/>
                <w:b/>
              </w:rPr>
              <w:t>Ethnicity</w:t>
            </w:r>
          </w:p>
        </w:tc>
        <w:tc>
          <w:tcPr>
            <w:tcW w:w="2977" w:type="dxa"/>
            <w:shd w:val="clear" w:color="auto" w:fill="auto"/>
            <w:tcMar>
              <w:top w:w="20" w:type="dxa"/>
              <w:left w:w="20" w:type="dxa"/>
              <w:bottom w:w="0" w:type="dxa"/>
              <w:right w:w="20" w:type="dxa"/>
            </w:tcMar>
            <w:vAlign w:val="bottom"/>
          </w:tcPr>
          <w:p w14:paraId="18279083" w14:textId="77777777" w:rsidR="0072571C" w:rsidRPr="003C2DBF" w:rsidRDefault="0072571C" w:rsidP="0072571C">
            <w:pPr>
              <w:widowControl w:val="0"/>
              <w:autoSpaceDE w:val="0"/>
              <w:autoSpaceDN w:val="0"/>
              <w:adjustRightInd w:val="0"/>
              <w:spacing w:line="360" w:lineRule="auto"/>
              <w:rPr>
                <w:rFonts w:cs="Times New Roman"/>
              </w:rPr>
            </w:pPr>
          </w:p>
        </w:tc>
        <w:tc>
          <w:tcPr>
            <w:tcW w:w="2977" w:type="dxa"/>
          </w:tcPr>
          <w:p w14:paraId="40DFBADF" w14:textId="77777777" w:rsidR="0072571C" w:rsidRPr="003C2DBF" w:rsidRDefault="0072571C" w:rsidP="0072571C">
            <w:pPr>
              <w:widowControl w:val="0"/>
              <w:autoSpaceDE w:val="0"/>
              <w:autoSpaceDN w:val="0"/>
              <w:adjustRightInd w:val="0"/>
              <w:spacing w:line="360" w:lineRule="auto"/>
              <w:rPr>
                <w:rFonts w:cs="Times New Roman"/>
              </w:rPr>
            </w:pPr>
          </w:p>
        </w:tc>
      </w:tr>
      <w:tr w:rsidR="0072571C" w:rsidRPr="003C2DBF" w14:paraId="786C4FAA" w14:textId="77777777" w:rsidTr="0072571C">
        <w:trPr>
          <w:trHeight w:val="292"/>
        </w:trPr>
        <w:tc>
          <w:tcPr>
            <w:tcW w:w="2268" w:type="dxa"/>
            <w:shd w:val="clear" w:color="auto" w:fill="auto"/>
            <w:tcMar>
              <w:top w:w="20" w:type="dxa"/>
              <w:left w:w="20" w:type="dxa"/>
              <w:bottom w:w="0" w:type="dxa"/>
              <w:right w:w="20" w:type="dxa"/>
            </w:tcMar>
            <w:vAlign w:val="bottom"/>
          </w:tcPr>
          <w:p w14:paraId="39041268" w14:textId="77777777" w:rsidR="0072571C" w:rsidRPr="003C2DBF" w:rsidRDefault="0072571C" w:rsidP="0072571C">
            <w:pPr>
              <w:widowControl w:val="0"/>
              <w:autoSpaceDE w:val="0"/>
              <w:autoSpaceDN w:val="0"/>
              <w:adjustRightInd w:val="0"/>
              <w:spacing w:line="360" w:lineRule="auto"/>
              <w:rPr>
                <w:rFonts w:cs="Times New Roman"/>
              </w:rPr>
            </w:pPr>
            <w:r w:rsidRPr="003C2DBF">
              <w:rPr>
                <w:rFonts w:cs="Times New Roman"/>
              </w:rPr>
              <w:t>Caucasian/Black</w:t>
            </w:r>
          </w:p>
        </w:tc>
        <w:tc>
          <w:tcPr>
            <w:tcW w:w="2977" w:type="dxa"/>
            <w:shd w:val="clear" w:color="auto" w:fill="auto"/>
            <w:tcMar>
              <w:top w:w="20" w:type="dxa"/>
              <w:left w:w="20" w:type="dxa"/>
              <w:bottom w:w="0" w:type="dxa"/>
              <w:right w:w="20" w:type="dxa"/>
            </w:tcMar>
            <w:vAlign w:val="bottom"/>
          </w:tcPr>
          <w:p w14:paraId="6C42E7EF" w14:textId="77777777" w:rsidR="0072571C" w:rsidRPr="003C2DBF" w:rsidRDefault="0072571C" w:rsidP="0072571C">
            <w:pPr>
              <w:widowControl w:val="0"/>
              <w:autoSpaceDE w:val="0"/>
              <w:autoSpaceDN w:val="0"/>
              <w:adjustRightInd w:val="0"/>
              <w:spacing w:line="360" w:lineRule="auto"/>
              <w:rPr>
                <w:rFonts w:cs="Times New Roman"/>
              </w:rPr>
            </w:pPr>
            <w:r w:rsidRPr="003C2DBF">
              <w:rPr>
                <w:rFonts w:cs="Times New Roman"/>
              </w:rPr>
              <w:t>79/13</w:t>
            </w:r>
          </w:p>
        </w:tc>
        <w:tc>
          <w:tcPr>
            <w:tcW w:w="2977" w:type="dxa"/>
          </w:tcPr>
          <w:p w14:paraId="5DC8B8F4" w14:textId="77777777" w:rsidR="0072571C" w:rsidRPr="003C2DBF" w:rsidRDefault="0072571C" w:rsidP="0072571C">
            <w:pPr>
              <w:widowControl w:val="0"/>
              <w:autoSpaceDE w:val="0"/>
              <w:autoSpaceDN w:val="0"/>
              <w:adjustRightInd w:val="0"/>
              <w:spacing w:line="360" w:lineRule="auto"/>
              <w:rPr>
                <w:rFonts w:cs="Times New Roman"/>
              </w:rPr>
            </w:pPr>
            <w:r>
              <w:rPr>
                <w:rFonts w:cs="Times New Roman"/>
              </w:rPr>
              <w:t>72/10</w:t>
            </w:r>
          </w:p>
        </w:tc>
      </w:tr>
      <w:tr w:rsidR="0072571C" w:rsidRPr="003C2DBF" w14:paraId="7F79D6B5" w14:textId="77777777" w:rsidTr="0072571C">
        <w:trPr>
          <w:trHeight w:val="292"/>
        </w:trPr>
        <w:tc>
          <w:tcPr>
            <w:tcW w:w="2268" w:type="dxa"/>
            <w:shd w:val="clear" w:color="auto" w:fill="auto"/>
            <w:tcMar>
              <w:top w:w="20" w:type="dxa"/>
              <w:left w:w="20" w:type="dxa"/>
              <w:bottom w:w="0" w:type="dxa"/>
              <w:right w:w="20" w:type="dxa"/>
            </w:tcMar>
            <w:vAlign w:val="bottom"/>
          </w:tcPr>
          <w:p w14:paraId="6E392397" w14:textId="77777777" w:rsidR="0072571C" w:rsidRPr="003C2DBF" w:rsidRDefault="0072571C" w:rsidP="0072571C">
            <w:pPr>
              <w:widowControl w:val="0"/>
              <w:autoSpaceDE w:val="0"/>
              <w:autoSpaceDN w:val="0"/>
              <w:adjustRightInd w:val="0"/>
              <w:spacing w:line="360" w:lineRule="auto"/>
              <w:rPr>
                <w:rFonts w:cs="Times New Roman"/>
              </w:rPr>
            </w:pPr>
            <w:r w:rsidRPr="003C2DBF">
              <w:rPr>
                <w:rFonts w:cs="Times New Roman"/>
              </w:rPr>
              <w:t>Asian/Oriental</w:t>
            </w:r>
          </w:p>
        </w:tc>
        <w:tc>
          <w:tcPr>
            <w:tcW w:w="2977" w:type="dxa"/>
            <w:shd w:val="clear" w:color="auto" w:fill="auto"/>
            <w:tcMar>
              <w:top w:w="20" w:type="dxa"/>
              <w:left w:w="20" w:type="dxa"/>
              <w:bottom w:w="0" w:type="dxa"/>
              <w:right w:w="20" w:type="dxa"/>
            </w:tcMar>
            <w:vAlign w:val="bottom"/>
          </w:tcPr>
          <w:p w14:paraId="21175B5B" w14:textId="77777777" w:rsidR="0072571C" w:rsidRPr="003C2DBF" w:rsidRDefault="0072571C" w:rsidP="0072571C">
            <w:pPr>
              <w:widowControl w:val="0"/>
              <w:autoSpaceDE w:val="0"/>
              <w:autoSpaceDN w:val="0"/>
              <w:adjustRightInd w:val="0"/>
              <w:spacing w:line="360" w:lineRule="auto"/>
              <w:rPr>
                <w:rFonts w:cs="Times New Roman"/>
              </w:rPr>
            </w:pPr>
            <w:r w:rsidRPr="003C2DBF">
              <w:rPr>
                <w:rFonts w:cs="Times New Roman"/>
              </w:rPr>
              <w:t>8/4</w:t>
            </w:r>
          </w:p>
        </w:tc>
        <w:tc>
          <w:tcPr>
            <w:tcW w:w="2977" w:type="dxa"/>
          </w:tcPr>
          <w:p w14:paraId="18188382" w14:textId="77777777" w:rsidR="0072571C" w:rsidRPr="003C2DBF" w:rsidRDefault="0072571C" w:rsidP="0072571C">
            <w:pPr>
              <w:widowControl w:val="0"/>
              <w:autoSpaceDE w:val="0"/>
              <w:autoSpaceDN w:val="0"/>
              <w:adjustRightInd w:val="0"/>
              <w:spacing w:line="360" w:lineRule="auto"/>
              <w:rPr>
                <w:rFonts w:cs="Times New Roman"/>
              </w:rPr>
            </w:pPr>
            <w:r w:rsidRPr="003C2DBF">
              <w:rPr>
                <w:rFonts w:cs="Times New Roman"/>
              </w:rPr>
              <w:t>9/4</w:t>
            </w:r>
          </w:p>
        </w:tc>
      </w:tr>
      <w:tr w:rsidR="0072571C" w:rsidRPr="0048229C" w14:paraId="70AF93B0" w14:textId="77777777" w:rsidTr="0072571C">
        <w:trPr>
          <w:trHeight w:val="292"/>
        </w:trPr>
        <w:tc>
          <w:tcPr>
            <w:tcW w:w="2268" w:type="dxa"/>
            <w:shd w:val="clear" w:color="auto" w:fill="auto"/>
            <w:tcMar>
              <w:top w:w="20" w:type="dxa"/>
              <w:left w:w="20" w:type="dxa"/>
              <w:bottom w:w="0" w:type="dxa"/>
              <w:right w:w="20" w:type="dxa"/>
            </w:tcMar>
            <w:vAlign w:val="bottom"/>
          </w:tcPr>
          <w:p w14:paraId="002EDEB6" w14:textId="77777777" w:rsidR="0072571C" w:rsidRPr="003C2DBF" w:rsidRDefault="0072571C" w:rsidP="0072571C">
            <w:pPr>
              <w:widowControl w:val="0"/>
              <w:autoSpaceDE w:val="0"/>
              <w:autoSpaceDN w:val="0"/>
              <w:adjustRightInd w:val="0"/>
              <w:spacing w:line="360" w:lineRule="auto"/>
              <w:rPr>
                <w:rFonts w:cs="Times New Roman"/>
              </w:rPr>
            </w:pPr>
            <w:r>
              <w:rPr>
                <w:rFonts w:cs="Times New Roman"/>
              </w:rPr>
              <w:t>Other (or not stated)</w:t>
            </w:r>
          </w:p>
        </w:tc>
        <w:tc>
          <w:tcPr>
            <w:tcW w:w="2977" w:type="dxa"/>
            <w:shd w:val="clear" w:color="auto" w:fill="auto"/>
            <w:tcMar>
              <w:top w:w="20" w:type="dxa"/>
              <w:left w:w="20" w:type="dxa"/>
              <w:bottom w:w="0" w:type="dxa"/>
              <w:right w:w="20" w:type="dxa"/>
            </w:tcMar>
            <w:vAlign w:val="bottom"/>
          </w:tcPr>
          <w:p w14:paraId="21229076" w14:textId="77777777" w:rsidR="0072571C" w:rsidRPr="003C2DBF" w:rsidRDefault="0072571C" w:rsidP="0072571C">
            <w:pPr>
              <w:widowControl w:val="0"/>
              <w:autoSpaceDE w:val="0"/>
              <w:autoSpaceDN w:val="0"/>
              <w:adjustRightInd w:val="0"/>
              <w:spacing w:line="360" w:lineRule="auto"/>
              <w:rPr>
                <w:rFonts w:cs="Times New Roman"/>
              </w:rPr>
            </w:pPr>
            <w:r>
              <w:rPr>
                <w:rFonts w:cs="Times New Roman"/>
              </w:rPr>
              <w:t>4</w:t>
            </w:r>
          </w:p>
        </w:tc>
        <w:tc>
          <w:tcPr>
            <w:tcW w:w="2977" w:type="dxa"/>
          </w:tcPr>
          <w:p w14:paraId="460CB604" w14:textId="77777777" w:rsidR="0072571C" w:rsidRPr="0048229C" w:rsidRDefault="0072571C" w:rsidP="0072571C">
            <w:pPr>
              <w:widowControl w:val="0"/>
              <w:autoSpaceDE w:val="0"/>
              <w:autoSpaceDN w:val="0"/>
              <w:adjustRightInd w:val="0"/>
              <w:spacing w:line="360" w:lineRule="auto"/>
              <w:rPr>
                <w:rFonts w:cs="Times New Roman"/>
              </w:rPr>
            </w:pPr>
            <w:r>
              <w:rPr>
                <w:rFonts w:cs="Times New Roman"/>
              </w:rPr>
              <w:t>5</w:t>
            </w:r>
          </w:p>
        </w:tc>
      </w:tr>
    </w:tbl>
    <w:p w14:paraId="1AC1B7C8" w14:textId="77777777" w:rsidR="0072571C" w:rsidRDefault="0072571C" w:rsidP="0072571C">
      <w:pPr>
        <w:spacing w:line="360" w:lineRule="auto"/>
        <w:rPr>
          <w:rFonts w:cs="Times New Roman"/>
          <w:lang w:val="en-US"/>
        </w:rPr>
      </w:pPr>
    </w:p>
    <w:p w14:paraId="0F2F26F9" w14:textId="14B43C6A" w:rsidR="0072571C" w:rsidRDefault="0072571C">
      <w:pPr>
        <w:rPr>
          <w:rFonts w:ascii="Arial" w:hAnsi="Arial" w:cs="Arial"/>
          <w:sz w:val="17"/>
          <w:szCs w:val="17"/>
          <w:lang w:val="en-US"/>
        </w:rPr>
      </w:pPr>
      <w:r>
        <w:br w:type="page"/>
      </w:r>
    </w:p>
    <w:p w14:paraId="290ECD29" w14:textId="77777777" w:rsidR="0072571C" w:rsidRPr="00126BD6" w:rsidRDefault="0072571C" w:rsidP="0072571C">
      <w:pPr>
        <w:spacing w:line="360" w:lineRule="auto"/>
        <w:rPr>
          <w:b/>
          <w:bCs/>
          <w:i/>
        </w:rPr>
      </w:pPr>
      <w:r w:rsidRPr="00126BD6">
        <w:rPr>
          <w:b/>
          <w:bCs/>
          <w:i/>
        </w:rPr>
        <w:lastRenderedPageBreak/>
        <w:t xml:space="preserve">Table </w:t>
      </w:r>
      <w:r>
        <w:rPr>
          <w:b/>
          <w:bCs/>
          <w:i/>
        </w:rPr>
        <w:t>8</w:t>
      </w:r>
      <w:r w:rsidRPr="00126BD6">
        <w:rPr>
          <w:b/>
          <w:bCs/>
          <w:i/>
        </w:rPr>
        <w:t xml:space="preserve">: Mean scores </w:t>
      </w:r>
      <w:r w:rsidRPr="00126BD6">
        <w:rPr>
          <w:b/>
        </w:rPr>
        <w:t>±</w:t>
      </w:r>
      <w:r w:rsidRPr="00126BD6">
        <w:rPr>
          <w:b/>
          <w:bCs/>
          <w:i/>
        </w:rPr>
        <w:t xml:space="preserve"> standard deviations for G0</w:t>
      </w:r>
      <w:r>
        <w:rPr>
          <w:b/>
          <w:bCs/>
          <w:i/>
        </w:rPr>
        <w:t>-</w:t>
      </w:r>
      <w:r w:rsidRPr="00126BD6">
        <w:rPr>
          <w:b/>
          <w:bCs/>
          <w:i/>
        </w:rPr>
        <w:t xml:space="preserve">QOL and </w:t>
      </w:r>
      <w:r>
        <w:rPr>
          <w:b/>
          <w:bCs/>
          <w:i/>
        </w:rPr>
        <w:t>WHOQOL</w:t>
      </w:r>
      <w:r w:rsidRPr="00126BD6">
        <w:rPr>
          <w:b/>
          <w:bCs/>
          <w:i/>
        </w:rPr>
        <w:t>-</w:t>
      </w:r>
      <w:proofErr w:type="spellStart"/>
      <w:r w:rsidRPr="00126BD6">
        <w:rPr>
          <w:b/>
          <w:bCs/>
          <w:i/>
        </w:rPr>
        <w:t>Bref</w:t>
      </w:r>
      <w:proofErr w:type="spellEnd"/>
      <w:r w:rsidRPr="00126BD6">
        <w:rPr>
          <w:b/>
          <w:bCs/>
          <w:i/>
        </w:rPr>
        <w:t xml:space="preserve"> across study time</w:t>
      </w:r>
      <w:r>
        <w:rPr>
          <w:b/>
          <w:bCs/>
          <w:i/>
        </w:rPr>
        <w:t xml:space="preserve"> </w:t>
      </w:r>
      <w:r w:rsidRPr="00126BD6">
        <w:rPr>
          <w:b/>
          <w:bCs/>
          <w:i/>
        </w:rPr>
        <w:t xml:space="preserve">points, results for RM ANOVA </w:t>
      </w:r>
      <w:r>
        <w:rPr>
          <w:b/>
          <w:bCs/>
          <w:i/>
        </w:rPr>
        <w:t>with</w:t>
      </w:r>
      <w:r w:rsidRPr="00126BD6">
        <w:rPr>
          <w:b/>
          <w:bCs/>
          <w:i/>
        </w:rPr>
        <w:t xml:space="preserve"> effect sizes</w:t>
      </w:r>
    </w:p>
    <w:tbl>
      <w:tblPr>
        <w:tblW w:w="8277" w:type="dxa"/>
        <w:tblCellSpacing w:w="0" w:type="dxa"/>
        <w:tblCellMar>
          <w:left w:w="0" w:type="dxa"/>
          <w:right w:w="0" w:type="dxa"/>
        </w:tblCellMar>
        <w:tblLook w:val="0000" w:firstRow="0" w:lastRow="0" w:firstColumn="0" w:lastColumn="0" w:noHBand="0" w:noVBand="0"/>
      </w:tblPr>
      <w:tblGrid>
        <w:gridCol w:w="2233"/>
        <w:gridCol w:w="1272"/>
        <w:gridCol w:w="1264"/>
        <w:gridCol w:w="1174"/>
        <w:gridCol w:w="1177"/>
        <w:gridCol w:w="1157"/>
      </w:tblGrid>
      <w:tr w:rsidR="0072571C" w:rsidRPr="00FC10AC" w14:paraId="18F324C9" w14:textId="77777777" w:rsidTr="0072571C">
        <w:trPr>
          <w:trHeight w:val="150"/>
          <w:tblCellSpacing w:w="0" w:type="dxa"/>
        </w:trPr>
        <w:tc>
          <w:tcPr>
            <w:tcW w:w="2233" w:type="dxa"/>
            <w:tcBorders>
              <w:top w:val="single" w:sz="12" w:space="0" w:color="000000"/>
              <w:left w:val="single" w:sz="12" w:space="0" w:color="000000"/>
              <w:bottom w:val="single" w:sz="6" w:space="0" w:color="000000"/>
              <w:right w:val="single" w:sz="6" w:space="0" w:color="000000"/>
            </w:tcBorders>
          </w:tcPr>
          <w:p w14:paraId="37E172C5" w14:textId="77777777" w:rsidR="0072571C" w:rsidRPr="00FC10AC" w:rsidRDefault="0072571C" w:rsidP="0072571C">
            <w:pPr>
              <w:rPr>
                <w:i/>
                <w:u w:val="single"/>
              </w:rPr>
            </w:pPr>
            <w:r w:rsidRPr="00FC10AC">
              <w:rPr>
                <w:bCs/>
                <w:i/>
                <w:u w:val="single"/>
              </w:rPr>
              <w:t>Study measure</w:t>
            </w:r>
          </w:p>
        </w:tc>
        <w:tc>
          <w:tcPr>
            <w:tcW w:w="1272" w:type="dxa"/>
            <w:tcBorders>
              <w:top w:val="single" w:sz="12" w:space="0" w:color="000000"/>
              <w:left w:val="single" w:sz="6" w:space="0" w:color="000000"/>
              <w:bottom w:val="single" w:sz="6" w:space="0" w:color="000000"/>
              <w:right w:val="single" w:sz="6" w:space="0" w:color="000000"/>
            </w:tcBorders>
          </w:tcPr>
          <w:p w14:paraId="5EFCC98E" w14:textId="77777777" w:rsidR="0072571C" w:rsidRPr="00FC10AC" w:rsidRDefault="0072571C" w:rsidP="0072571C">
            <w:pPr>
              <w:jc w:val="center"/>
              <w:rPr>
                <w:bCs/>
                <w:i/>
                <w:u w:val="single"/>
              </w:rPr>
            </w:pPr>
            <w:r w:rsidRPr="00FC10AC">
              <w:rPr>
                <w:bCs/>
                <w:i/>
                <w:u w:val="single"/>
              </w:rPr>
              <w:t>Enrolment (-2 weeks)</w:t>
            </w:r>
          </w:p>
        </w:tc>
        <w:tc>
          <w:tcPr>
            <w:tcW w:w="1264" w:type="dxa"/>
            <w:tcBorders>
              <w:top w:val="single" w:sz="12" w:space="0" w:color="000000"/>
              <w:left w:val="single" w:sz="6" w:space="0" w:color="000000"/>
              <w:bottom w:val="single" w:sz="6" w:space="0" w:color="000000"/>
              <w:right w:val="single" w:sz="6" w:space="0" w:color="000000"/>
            </w:tcBorders>
          </w:tcPr>
          <w:p w14:paraId="22CD2C32" w14:textId="77777777" w:rsidR="0072571C" w:rsidRPr="00FC10AC" w:rsidRDefault="0072571C" w:rsidP="0072571C">
            <w:pPr>
              <w:jc w:val="center"/>
              <w:rPr>
                <w:i/>
                <w:u w:val="single"/>
              </w:rPr>
            </w:pPr>
            <w:r w:rsidRPr="00FC10AC">
              <w:rPr>
                <w:i/>
                <w:u w:val="single"/>
              </w:rPr>
              <w:t>Short term</w:t>
            </w:r>
          </w:p>
          <w:p w14:paraId="34254B50" w14:textId="77777777" w:rsidR="0072571C" w:rsidRPr="00FC10AC" w:rsidRDefault="0072571C" w:rsidP="0072571C">
            <w:pPr>
              <w:jc w:val="center"/>
              <w:rPr>
                <w:i/>
                <w:u w:val="single"/>
              </w:rPr>
            </w:pPr>
            <w:r w:rsidRPr="00FC10AC">
              <w:rPr>
                <w:i/>
                <w:u w:val="single"/>
              </w:rPr>
              <w:t>(12 weeks)</w:t>
            </w:r>
          </w:p>
        </w:tc>
        <w:tc>
          <w:tcPr>
            <w:tcW w:w="1174" w:type="dxa"/>
            <w:tcBorders>
              <w:top w:val="single" w:sz="12" w:space="0" w:color="000000"/>
              <w:left w:val="single" w:sz="6" w:space="0" w:color="000000"/>
              <w:bottom w:val="single" w:sz="6" w:space="0" w:color="000000"/>
              <w:right w:val="single" w:sz="6" w:space="0" w:color="000000"/>
            </w:tcBorders>
          </w:tcPr>
          <w:p w14:paraId="15C70B0A" w14:textId="77777777" w:rsidR="0072571C" w:rsidRPr="00FC10AC" w:rsidRDefault="0072571C" w:rsidP="0072571C">
            <w:pPr>
              <w:jc w:val="center"/>
              <w:rPr>
                <w:i/>
                <w:u w:val="single"/>
              </w:rPr>
            </w:pPr>
            <w:r w:rsidRPr="00FC10AC">
              <w:rPr>
                <w:i/>
                <w:u w:val="single"/>
              </w:rPr>
              <w:t>Long term (48 weeks)</w:t>
            </w:r>
          </w:p>
        </w:tc>
        <w:tc>
          <w:tcPr>
            <w:tcW w:w="1177" w:type="dxa"/>
            <w:tcBorders>
              <w:top w:val="single" w:sz="12" w:space="0" w:color="000000"/>
              <w:left w:val="single" w:sz="6" w:space="0" w:color="000000"/>
              <w:bottom w:val="single" w:sz="6" w:space="0" w:color="000000"/>
              <w:right w:val="single" w:sz="6" w:space="0" w:color="000000"/>
            </w:tcBorders>
          </w:tcPr>
          <w:p w14:paraId="0FFF4358" w14:textId="77777777" w:rsidR="0072571C" w:rsidRPr="00FC10AC" w:rsidRDefault="0072571C" w:rsidP="0072571C">
            <w:pPr>
              <w:jc w:val="center"/>
              <w:rPr>
                <w:i/>
                <w:u w:val="single"/>
              </w:rPr>
            </w:pPr>
            <w:r>
              <w:rPr>
                <w:i/>
                <w:u w:val="single"/>
              </w:rPr>
              <w:t>RM ANOVA F &amp; p value</w:t>
            </w:r>
          </w:p>
        </w:tc>
        <w:tc>
          <w:tcPr>
            <w:tcW w:w="1157" w:type="dxa"/>
            <w:tcBorders>
              <w:top w:val="single" w:sz="12" w:space="0" w:color="000000"/>
              <w:left w:val="single" w:sz="6" w:space="0" w:color="000000"/>
              <w:bottom w:val="single" w:sz="6" w:space="0" w:color="000000"/>
              <w:right w:val="single" w:sz="6" w:space="0" w:color="000000"/>
            </w:tcBorders>
          </w:tcPr>
          <w:p w14:paraId="4EC75019" w14:textId="77777777" w:rsidR="0072571C" w:rsidRDefault="0072571C" w:rsidP="0072571C">
            <w:pPr>
              <w:jc w:val="center"/>
              <w:rPr>
                <w:i/>
                <w:u w:val="single"/>
              </w:rPr>
            </w:pPr>
            <w:r>
              <w:rPr>
                <w:i/>
                <w:u w:val="single"/>
              </w:rPr>
              <w:t xml:space="preserve">Effect size </w:t>
            </w:r>
          </w:p>
          <w:p w14:paraId="4F58B3B6" w14:textId="77777777" w:rsidR="0072571C" w:rsidRPr="00085C31" w:rsidRDefault="0072571C" w:rsidP="0072571C">
            <w:pPr>
              <w:jc w:val="center"/>
              <w:rPr>
                <w:i/>
                <w:u w:val="single"/>
              </w:rPr>
            </w:pPr>
            <w:r w:rsidRPr="00085C31">
              <w:rPr>
                <w:u w:val="single"/>
              </w:rPr>
              <w:t xml:space="preserve"> η</w:t>
            </w:r>
            <w:r w:rsidRPr="00085C31">
              <w:rPr>
                <w:u w:val="single"/>
                <w:vertAlign w:val="superscript"/>
              </w:rPr>
              <w:t>2</w:t>
            </w:r>
          </w:p>
        </w:tc>
      </w:tr>
      <w:tr w:rsidR="0072571C" w:rsidRPr="00FC10AC" w14:paraId="4C520568" w14:textId="77777777" w:rsidTr="0072571C">
        <w:trPr>
          <w:trHeight w:val="150"/>
          <w:tblCellSpacing w:w="0" w:type="dxa"/>
        </w:trPr>
        <w:tc>
          <w:tcPr>
            <w:tcW w:w="8277" w:type="dxa"/>
            <w:gridSpan w:val="6"/>
            <w:tcBorders>
              <w:top w:val="single" w:sz="6" w:space="0" w:color="000000"/>
              <w:left w:val="single" w:sz="12" w:space="0" w:color="000000"/>
              <w:bottom w:val="single" w:sz="6" w:space="0" w:color="000000"/>
              <w:right w:val="single" w:sz="6" w:space="0" w:color="000000"/>
            </w:tcBorders>
            <w:vAlign w:val="center"/>
          </w:tcPr>
          <w:p w14:paraId="42D6FA6D" w14:textId="77777777" w:rsidR="0072571C" w:rsidRPr="00914A26" w:rsidRDefault="0072571C" w:rsidP="0072571C">
            <w:pPr>
              <w:rPr>
                <w:b/>
              </w:rPr>
            </w:pPr>
            <w:r>
              <w:rPr>
                <w:b/>
              </w:rPr>
              <w:t>GO-QOL</w:t>
            </w:r>
            <w:r w:rsidRPr="00914A26">
              <w:rPr>
                <w:b/>
              </w:rPr>
              <w:t xml:space="preserve"> subscales:</w:t>
            </w:r>
          </w:p>
        </w:tc>
      </w:tr>
      <w:tr w:rsidR="0072571C" w:rsidRPr="00FC10AC" w14:paraId="6E917309" w14:textId="77777777" w:rsidTr="0072571C">
        <w:trPr>
          <w:trHeight w:val="150"/>
          <w:tblCellSpacing w:w="0" w:type="dxa"/>
        </w:trPr>
        <w:tc>
          <w:tcPr>
            <w:tcW w:w="2233" w:type="dxa"/>
            <w:tcBorders>
              <w:top w:val="single" w:sz="6" w:space="0" w:color="000000"/>
              <w:left w:val="single" w:sz="12" w:space="0" w:color="000000"/>
              <w:bottom w:val="single" w:sz="6" w:space="0" w:color="000000"/>
              <w:right w:val="single" w:sz="6" w:space="0" w:color="000000"/>
            </w:tcBorders>
          </w:tcPr>
          <w:p w14:paraId="01A65082" w14:textId="77777777" w:rsidR="0072571C" w:rsidRPr="00FC10AC" w:rsidRDefault="0072571C" w:rsidP="0072571C">
            <w:r w:rsidRPr="00FC10AC">
              <w:t>Visual Function</w:t>
            </w:r>
          </w:p>
        </w:tc>
        <w:tc>
          <w:tcPr>
            <w:tcW w:w="1272" w:type="dxa"/>
            <w:tcBorders>
              <w:top w:val="single" w:sz="6" w:space="0" w:color="000000"/>
              <w:left w:val="single" w:sz="6" w:space="0" w:color="000000"/>
              <w:bottom w:val="single" w:sz="6" w:space="0" w:color="000000"/>
              <w:right w:val="single" w:sz="6" w:space="0" w:color="000000"/>
            </w:tcBorders>
          </w:tcPr>
          <w:p w14:paraId="646B4A04" w14:textId="77777777" w:rsidR="0072571C" w:rsidRPr="00FC10AC" w:rsidRDefault="0072571C" w:rsidP="0072571C">
            <w:pPr>
              <w:jc w:val="center"/>
            </w:pPr>
            <w:r w:rsidRPr="00FC10AC">
              <w:t>65.94 ±28.49</w:t>
            </w:r>
          </w:p>
        </w:tc>
        <w:tc>
          <w:tcPr>
            <w:tcW w:w="1264" w:type="dxa"/>
            <w:tcBorders>
              <w:top w:val="single" w:sz="6" w:space="0" w:color="000000"/>
              <w:left w:val="single" w:sz="6" w:space="0" w:color="000000"/>
              <w:bottom w:val="single" w:sz="6" w:space="0" w:color="000000"/>
              <w:right w:val="single" w:sz="6" w:space="0" w:color="000000"/>
            </w:tcBorders>
          </w:tcPr>
          <w:p w14:paraId="03035D8A" w14:textId="77777777" w:rsidR="0072571C" w:rsidRPr="00FC10AC" w:rsidRDefault="0072571C" w:rsidP="0072571C">
            <w:pPr>
              <w:jc w:val="center"/>
            </w:pPr>
            <w:r w:rsidRPr="00FC10AC">
              <w:t>72.49 ±26.64</w:t>
            </w:r>
          </w:p>
        </w:tc>
        <w:tc>
          <w:tcPr>
            <w:tcW w:w="1174" w:type="dxa"/>
            <w:tcBorders>
              <w:top w:val="single" w:sz="6" w:space="0" w:color="000000"/>
              <w:left w:val="single" w:sz="6" w:space="0" w:color="000000"/>
              <w:bottom w:val="single" w:sz="6" w:space="0" w:color="000000"/>
              <w:right w:val="single" w:sz="6" w:space="0" w:color="000000"/>
            </w:tcBorders>
          </w:tcPr>
          <w:p w14:paraId="33282D28" w14:textId="77777777" w:rsidR="0072571C" w:rsidRPr="00FC10AC" w:rsidRDefault="0072571C" w:rsidP="0072571C">
            <w:pPr>
              <w:jc w:val="center"/>
            </w:pPr>
            <w:r w:rsidRPr="00FC10AC">
              <w:t>76.11 ±24.73</w:t>
            </w:r>
          </w:p>
        </w:tc>
        <w:tc>
          <w:tcPr>
            <w:tcW w:w="1177" w:type="dxa"/>
            <w:tcBorders>
              <w:top w:val="single" w:sz="6" w:space="0" w:color="000000"/>
              <w:left w:val="single" w:sz="6" w:space="0" w:color="000000"/>
              <w:bottom w:val="single" w:sz="6" w:space="0" w:color="000000"/>
              <w:right w:val="single" w:sz="6" w:space="0" w:color="000000"/>
            </w:tcBorders>
          </w:tcPr>
          <w:p w14:paraId="27592FF3" w14:textId="77777777" w:rsidR="0072571C" w:rsidRDefault="0072571C" w:rsidP="0072571C">
            <w:pPr>
              <w:jc w:val="center"/>
            </w:pPr>
            <w:r>
              <w:t>11.034</w:t>
            </w:r>
          </w:p>
          <w:p w14:paraId="239154A5" w14:textId="77777777" w:rsidR="0072571C" w:rsidRPr="00FC10AC" w:rsidRDefault="0072571C" w:rsidP="0072571C">
            <w:pPr>
              <w:jc w:val="center"/>
            </w:pPr>
            <w:r>
              <w:t>p&lt;0.001</w:t>
            </w:r>
          </w:p>
        </w:tc>
        <w:tc>
          <w:tcPr>
            <w:tcW w:w="1157" w:type="dxa"/>
            <w:tcBorders>
              <w:top w:val="single" w:sz="6" w:space="0" w:color="000000"/>
              <w:left w:val="single" w:sz="6" w:space="0" w:color="000000"/>
              <w:bottom w:val="single" w:sz="6" w:space="0" w:color="000000"/>
              <w:right w:val="single" w:sz="6" w:space="0" w:color="000000"/>
            </w:tcBorders>
          </w:tcPr>
          <w:p w14:paraId="19690FD7" w14:textId="77777777" w:rsidR="0072571C" w:rsidRDefault="0072571C" w:rsidP="0072571C">
            <w:pPr>
              <w:jc w:val="center"/>
            </w:pPr>
            <w:r>
              <w:t>0.114 Medium</w:t>
            </w:r>
          </w:p>
        </w:tc>
      </w:tr>
      <w:tr w:rsidR="0072571C" w:rsidRPr="00FC10AC" w14:paraId="44A1556D" w14:textId="77777777" w:rsidTr="0072571C">
        <w:trPr>
          <w:trHeight w:val="150"/>
          <w:tblCellSpacing w:w="0" w:type="dxa"/>
        </w:trPr>
        <w:tc>
          <w:tcPr>
            <w:tcW w:w="2233" w:type="dxa"/>
            <w:tcBorders>
              <w:top w:val="single" w:sz="6" w:space="0" w:color="000000"/>
              <w:left w:val="single" w:sz="12" w:space="0" w:color="000000"/>
              <w:bottom w:val="single" w:sz="6" w:space="0" w:color="000000"/>
              <w:right w:val="single" w:sz="6" w:space="0" w:color="000000"/>
            </w:tcBorders>
          </w:tcPr>
          <w:p w14:paraId="5CF7087E" w14:textId="77777777" w:rsidR="0072571C" w:rsidRPr="00FC10AC" w:rsidRDefault="0072571C" w:rsidP="0072571C">
            <w:r w:rsidRPr="00FC10AC">
              <w:t>Appearance</w:t>
            </w:r>
          </w:p>
        </w:tc>
        <w:tc>
          <w:tcPr>
            <w:tcW w:w="1272" w:type="dxa"/>
            <w:tcBorders>
              <w:top w:val="single" w:sz="6" w:space="0" w:color="000000"/>
              <w:left w:val="single" w:sz="6" w:space="0" w:color="000000"/>
              <w:bottom w:val="single" w:sz="6" w:space="0" w:color="000000"/>
              <w:right w:val="single" w:sz="6" w:space="0" w:color="000000"/>
            </w:tcBorders>
          </w:tcPr>
          <w:p w14:paraId="0C0DBD17" w14:textId="77777777" w:rsidR="0072571C" w:rsidRPr="00FC10AC" w:rsidRDefault="0072571C" w:rsidP="0072571C">
            <w:pPr>
              <w:jc w:val="center"/>
            </w:pPr>
            <w:r w:rsidRPr="00FC10AC">
              <w:t xml:space="preserve">54.1 </w:t>
            </w:r>
          </w:p>
          <w:p w14:paraId="061BE3BD" w14:textId="77777777" w:rsidR="0072571C" w:rsidRPr="00FC10AC" w:rsidRDefault="0072571C" w:rsidP="0072571C">
            <w:pPr>
              <w:jc w:val="center"/>
            </w:pPr>
            <w:r w:rsidRPr="00FC10AC">
              <w:t>±26.54</w:t>
            </w:r>
          </w:p>
        </w:tc>
        <w:tc>
          <w:tcPr>
            <w:tcW w:w="1264" w:type="dxa"/>
            <w:tcBorders>
              <w:top w:val="single" w:sz="6" w:space="0" w:color="000000"/>
              <w:left w:val="single" w:sz="6" w:space="0" w:color="000000"/>
              <w:bottom w:val="single" w:sz="6" w:space="0" w:color="000000"/>
              <w:right w:val="single" w:sz="6" w:space="0" w:color="000000"/>
            </w:tcBorders>
          </w:tcPr>
          <w:p w14:paraId="76FC8EF7" w14:textId="77777777" w:rsidR="0072571C" w:rsidRPr="00FC10AC" w:rsidRDefault="0072571C" w:rsidP="0072571C">
            <w:pPr>
              <w:jc w:val="center"/>
            </w:pPr>
            <w:r w:rsidRPr="00FC10AC">
              <w:t>58.81 ±27.25</w:t>
            </w:r>
          </w:p>
        </w:tc>
        <w:tc>
          <w:tcPr>
            <w:tcW w:w="1174" w:type="dxa"/>
            <w:tcBorders>
              <w:top w:val="single" w:sz="6" w:space="0" w:color="000000"/>
              <w:left w:val="single" w:sz="6" w:space="0" w:color="000000"/>
              <w:bottom w:val="single" w:sz="6" w:space="0" w:color="000000"/>
              <w:right w:val="single" w:sz="6" w:space="0" w:color="000000"/>
            </w:tcBorders>
          </w:tcPr>
          <w:p w14:paraId="52059A9B" w14:textId="77777777" w:rsidR="0072571C" w:rsidRPr="00FC10AC" w:rsidRDefault="0072571C" w:rsidP="0072571C">
            <w:pPr>
              <w:jc w:val="center"/>
            </w:pPr>
            <w:r w:rsidRPr="00FC10AC">
              <w:t>60.84 ±28.75</w:t>
            </w:r>
          </w:p>
        </w:tc>
        <w:tc>
          <w:tcPr>
            <w:tcW w:w="1177" w:type="dxa"/>
            <w:tcBorders>
              <w:top w:val="single" w:sz="6" w:space="0" w:color="000000"/>
              <w:left w:val="single" w:sz="6" w:space="0" w:color="000000"/>
              <w:bottom w:val="single" w:sz="6" w:space="0" w:color="000000"/>
              <w:right w:val="single" w:sz="6" w:space="0" w:color="000000"/>
            </w:tcBorders>
          </w:tcPr>
          <w:p w14:paraId="3C091655" w14:textId="77777777" w:rsidR="0072571C" w:rsidRDefault="0072571C" w:rsidP="0072571C">
            <w:pPr>
              <w:jc w:val="center"/>
            </w:pPr>
            <w:r>
              <w:t>13.061</w:t>
            </w:r>
          </w:p>
          <w:p w14:paraId="43AA958B" w14:textId="77777777" w:rsidR="0072571C" w:rsidRPr="00FC10AC" w:rsidRDefault="0072571C" w:rsidP="0072571C">
            <w:pPr>
              <w:jc w:val="center"/>
            </w:pPr>
            <w:r>
              <w:t>p=0.002</w:t>
            </w:r>
          </w:p>
        </w:tc>
        <w:tc>
          <w:tcPr>
            <w:tcW w:w="1157" w:type="dxa"/>
            <w:tcBorders>
              <w:top w:val="single" w:sz="6" w:space="0" w:color="000000"/>
              <w:left w:val="single" w:sz="6" w:space="0" w:color="000000"/>
              <w:bottom w:val="single" w:sz="6" w:space="0" w:color="000000"/>
              <w:right w:val="single" w:sz="6" w:space="0" w:color="000000"/>
            </w:tcBorders>
          </w:tcPr>
          <w:p w14:paraId="0237C719" w14:textId="77777777" w:rsidR="0072571C" w:rsidRDefault="0072571C" w:rsidP="0072571C">
            <w:pPr>
              <w:jc w:val="center"/>
            </w:pPr>
            <w:r>
              <w:t>0.069</w:t>
            </w:r>
          </w:p>
          <w:p w14:paraId="30DDB624" w14:textId="77777777" w:rsidR="0072571C" w:rsidRDefault="0072571C" w:rsidP="0072571C">
            <w:pPr>
              <w:jc w:val="center"/>
            </w:pPr>
            <w:r>
              <w:t>Small</w:t>
            </w:r>
          </w:p>
        </w:tc>
      </w:tr>
      <w:tr w:rsidR="0072571C" w:rsidRPr="00FC10AC" w14:paraId="34661B9E" w14:textId="77777777" w:rsidTr="0072571C">
        <w:trPr>
          <w:trHeight w:val="150"/>
          <w:tblCellSpacing w:w="0" w:type="dxa"/>
        </w:trPr>
        <w:tc>
          <w:tcPr>
            <w:tcW w:w="8277" w:type="dxa"/>
            <w:gridSpan w:val="6"/>
            <w:tcBorders>
              <w:top w:val="single" w:sz="6" w:space="0" w:color="000000"/>
              <w:left w:val="single" w:sz="12" w:space="0" w:color="000000"/>
              <w:bottom w:val="single" w:sz="6" w:space="0" w:color="000000"/>
              <w:right w:val="single" w:sz="6" w:space="0" w:color="000000"/>
            </w:tcBorders>
            <w:vAlign w:val="center"/>
          </w:tcPr>
          <w:p w14:paraId="7C5718FA" w14:textId="77777777" w:rsidR="0072571C" w:rsidRPr="00914A26" w:rsidRDefault="0072571C" w:rsidP="0072571C">
            <w:pPr>
              <w:rPr>
                <w:b/>
              </w:rPr>
            </w:pPr>
            <w:r>
              <w:rPr>
                <w:b/>
              </w:rPr>
              <w:t>WHOQOL</w:t>
            </w:r>
            <w:r w:rsidRPr="00914A26">
              <w:rPr>
                <w:b/>
              </w:rPr>
              <w:t>-</w:t>
            </w:r>
            <w:proofErr w:type="spellStart"/>
            <w:r w:rsidRPr="00914A26">
              <w:rPr>
                <w:b/>
              </w:rPr>
              <w:t>Bref</w:t>
            </w:r>
            <w:proofErr w:type="spellEnd"/>
            <w:r w:rsidRPr="00914A26">
              <w:rPr>
                <w:b/>
              </w:rPr>
              <w:t xml:space="preserve"> subscales:</w:t>
            </w:r>
          </w:p>
        </w:tc>
      </w:tr>
      <w:tr w:rsidR="0072571C" w:rsidRPr="00FC10AC" w14:paraId="485109DC" w14:textId="77777777" w:rsidTr="0072571C">
        <w:trPr>
          <w:trHeight w:val="150"/>
          <w:tblCellSpacing w:w="0" w:type="dxa"/>
        </w:trPr>
        <w:tc>
          <w:tcPr>
            <w:tcW w:w="2233" w:type="dxa"/>
            <w:tcBorders>
              <w:top w:val="single" w:sz="6" w:space="0" w:color="000000"/>
              <w:left w:val="single" w:sz="12" w:space="0" w:color="000000"/>
              <w:bottom w:val="single" w:sz="6" w:space="0" w:color="000000"/>
              <w:right w:val="single" w:sz="6" w:space="0" w:color="000000"/>
            </w:tcBorders>
          </w:tcPr>
          <w:p w14:paraId="4C3E4C59" w14:textId="77777777" w:rsidR="0072571C" w:rsidRPr="00FC10AC" w:rsidRDefault="0072571C" w:rsidP="0072571C">
            <w:r w:rsidRPr="00FC10AC">
              <w:t>Physical</w:t>
            </w:r>
          </w:p>
        </w:tc>
        <w:tc>
          <w:tcPr>
            <w:tcW w:w="1272" w:type="dxa"/>
            <w:tcBorders>
              <w:top w:val="single" w:sz="6" w:space="0" w:color="000000"/>
              <w:left w:val="single" w:sz="6" w:space="0" w:color="000000"/>
              <w:bottom w:val="single" w:sz="6" w:space="0" w:color="000000"/>
              <w:right w:val="single" w:sz="6" w:space="0" w:color="000000"/>
            </w:tcBorders>
          </w:tcPr>
          <w:p w14:paraId="0D03C4E8" w14:textId="77777777" w:rsidR="0072571C" w:rsidRPr="00FC10AC" w:rsidRDefault="0072571C" w:rsidP="0072571C">
            <w:pPr>
              <w:jc w:val="center"/>
            </w:pPr>
            <w:r w:rsidRPr="00FC10AC">
              <w:t>58.69 ±22.64</w:t>
            </w:r>
          </w:p>
        </w:tc>
        <w:tc>
          <w:tcPr>
            <w:tcW w:w="1264" w:type="dxa"/>
            <w:tcBorders>
              <w:top w:val="single" w:sz="6" w:space="0" w:color="000000"/>
              <w:left w:val="single" w:sz="6" w:space="0" w:color="000000"/>
              <w:bottom w:val="single" w:sz="6" w:space="0" w:color="000000"/>
              <w:right w:val="single" w:sz="6" w:space="0" w:color="000000"/>
            </w:tcBorders>
          </w:tcPr>
          <w:p w14:paraId="64A5B233" w14:textId="77777777" w:rsidR="0072571C" w:rsidRPr="00FC10AC" w:rsidRDefault="0072571C" w:rsidP="0072571C">
            <w:pPr>
              <w:jc w:val="center"/>
            </w:pPr>
            <w:r w:rsidRPr="00FC10AC">
              <w:t>60.93 ±21.01</w:t>
            </w:r>
          </w:p>
        </w:tc>
        <w:tc>
          <w:tcPr>
            <w:tcW w:w="1174" w:type="dxa"/>
            <w:tcBorders>
              <w:top w:val="single" w:sz="6" w:space="0" w:color="000000"/>
              <w:left w:val="single" w:sz="6" w:space="0" w:color="000000"/>
              <w:bottom w:val="single" w:sz="6" w:space="0" w:color="000000"/>
              <w:right w:val="single" w:sz="6" w:space="0" w:color="000000"/>
            </w:tcBorders>
          </w:tcPr>
          <w:p w14:paraId="43B23807" w14:textId="77777777" w:rsidR="0072571C" w:rsidRPr="00FC10AC" w:rsidRDefault="0072571C" w:rsidP="0072571C">
            <w:pPr>
              <w:jc w:val="center"/>
            </w:pPr>
            <w:r w:rsidRPr="00FC10AC">
              <w:t>63.46 ±20.67</w:t>
            </w:r>
          </w:p>
        </w:tc>
        <w:tc>
          <w:tcPr>
            <w:tcW w:w="1177" w:type="dxa"/>
            <w:tcBorders>
              <w:top w:val="single" w:sz="6" w:space="0" w:color="000000"/>
              <w:left w:val="single" w:sz="6" w:space="0" w:color="000000"/>
              <w:bottom w:val="single" w:sz="6" w:space="0" w:color="000000"/>
              <w:right w:val="single" w:sz="6" w:space="0" w:color="000000"/>
            </w:tcBorders>
          </w:tcPr>
          <w:p w14:paraId="271C34CB" w14:textId="77777777" w:rsidR="0072571C" w:rsidRDefault="0072571C" w:rsidP="0072571C">
            <w:pPr>
              <w:jc w:val="center"/>
            </w:pPr>
            <w:r>
              <w:t>3.18</w:t>
            </w:r>
          </w:p>
          <w:p w14:paraId="002217D5" w14:textId="77777777" w:rsidR="0072571C" w:rsidRPr="00FC10AC" w:rsidRDefault="0072571C" w:rsidP="0072571C">
            <w:pPr>
              <w:jc w:val="center"/>
            </w:pPr>
            <w:r>
              <w:t>p=0.044</w:t>
            </w:r>
          </w:p>
        </w:tc>
        <w:tc>
          <w:tcPr>
            <w:tcW w:w="1157" w:type="dxa"/>
            <w:tcBorders>
              <w:top w:val="single" w:sz="6" w:space="0" w:color="000000"/>
              <w:left w:val="single" w:sz="6" w:space="0" w:color="000000"/>
              <w:bottom w:val="single" w:sz="6" w:space="0" w:color="000000"/>
              <w:right w:val="single" w:sz="6" w:space="0" w:color="000000"/>
            </w:tcBorders>
          </w:tcPr>
          <w:p w14:paraId="36F8EFD1" w14:textId="77777777" w:rsidR="0072571C" w:rsidRDefault="0072571C" w:rsidP="0072571C">
            <w:pPr>
              <w:jc w:val="center"/>
            </w:pPr>
            <w:r>
              <w:t xml:space="preserve">0.037 </w:t>
            </w:r>
          </w:p>
          <w:p w14:paraId="0714E991" w14:textId="77777777" w:rsidR="0072571C" w:rsidRDefault="0072571C" w:rsidP="0072571C">
            <w:pPr>
              <w:jc w:val="center"/>
            </w:pPr>
            <w:r>
              <w:t>Small</w:t>
            </w:r>
          </w:p>
        </w:tc>
      </w:tr>
      <w:tr w:rsidR="0072571C" w:rsidRPr="00FC10AC" w14:paraId="65C06905" w14:textId="77777777" w:rsidTr="0072571C">
        <w:trPr>
          <w:trHeight w:val="150"/>
          <w:tblCellSpacing w:w="0" w:type="dxa"/>
        </w:trPr>
        <w:tc>
          <w:tcPr>
            <w:tcW w:w="2233" w:type="dxa"/>
            <w:tcBorders>
              <w:top w:val="single" w:sz="6" w:space="0" w:color="000000"/>
              <w:left w:val="single" w:sz="12" w:space="0" w:color="000000"/>
              <w:bottom w:val="single" w:sz="6" w:space="0" w:color="000000"/>
              <w:right w:val="single" w:sz="6" w:space="0" w:color="000000"/>
            </w:tcBorders>
          </w:tcPr>
          <w:p w14:paraId="67F420E0" w14:textId="77777777" w:rsidR="0072571C" w:rsidRPr="00FC10AC" w:rsidRDefault="0072571C" w:rsidP="0072571C">
            <w:r w:rsidRPr="00FC10AC">
              <w:t>Psychological</w:t>
            </w:r>
          </w:p>
        </w:tc>
        <w:tc>
          <w:tcPr>
            <w:tcW w:w="1272" w:type="dxa"/>
            <w:tcBorders>
              <w:top w:val="single" w:sz="6" w:space="0" w:color="000000"/>
              <w:left w:val="single" w:sz="6" w:space="0" w:color="000000"/>
              <w:bottom w:val="single" w:sz="6" w:space="0" w:color="000000"/>
              <w:right w:val="single" w:sz="6" w:space="0" w:color="000000"/>
            </w:tcBorders>
          </w:tcPr>
          <w:p w14:paraId="1B9E170E" w14:textId="77777777" w:rsidR="0072571C" w:rsidRPr="00FC10AC" w:rsidRDefault="0072571C" w:rsidP="0072571C">
            <w:pPr>
              <w:jc w:val="center"/>
            </w:pPr>
            <w:r w:rsidRPr="00FC10AC">
              <w:t>52.66 ±21.35</w:t>
            </w:r>
          </w:p>
        </w:tc>
        <w:tc>
          <w:tcPr>
            <w:tcW w:w="1264" w:type="dxa"/>
            <w:tcBorders>
              <w:top w:val="single" w:sz="6" w:space="0" w:color="000000"/>
              <w:left w:val="single" w:sz="6" w:space="0" w:color="000000"/>
              <w:bottom w:val="single" w:sz="6" w:space="0" w:color="000000"/>
              <w:right w:val="single" w:sz="6" w:space="0" w:color="000000"/>
            </w:tcBorders>
          </w:tcPr>
          <w:p w14:paraId="1AE73A39" w14:textId="77777777" w:rsidR="0072571C" w:rsidRPr="00FC10AC" w:rsidRDefault="0072571C" w:rsidP="0072571C">
            <w:pPr>
              <w:jc w:val="center"/>
            </w:pPr>
            <w:r w:rsidRPr="00FC10AC">
              <w:t>52.14 ±23.04</w:t>
            </w:r>
          </w:p>
        </w:tc>
        <w:tc>
          <w:tcPr>
            <w:tcW w:w="1174" w:type="dxa"/>
            <w:tcBorders>
              <w:top w:val="single" w:sz="6" w:space="0" w:color="000000"/>
              <w:left w:val="single" w:sz="6" w:space="0" w:color="000000"/>
              <w:bottom w:val="single" w:sz="6" w:space="0" w:color="000000"/>
              <w:right w:val="single" w:sz="6" w:space="0" w:color="000000"/>
            </w:tcBorders>
          </w:tcPr>
          <w:p w14:paraId="33B150C9" w14:textId="77777777" w:rsidR="0072571C" w:rsidRPr="00FC10AC" w:rsidRDefault="0072571C" w:rsidP="0072571C">
            <w:pPr>
              <w:jc w:val="center"/>
            </w:pPr>
            <w:r w:rsidRPr="00FC10AC">
              <w:t>57.79 ±20.20</w:t>
            </w:r>
          </w:p>
        </w:tc>
        <w:tc>
          <w:tcPr>
            <w:tcW w:w="1177" w:type="dxa"/>
            <w:tcBorders>
              <w:top w:val="single" w:sz="6" w:space="0" w:color="000000"/>
              <w:left w:val="single" w:sz="6" w:space="0" w:color="000000"/>
              <w:bottom w:val="single" w:sz="6" w:space="0" w:color="000000"/>
              <w:right w:val="single" w:sz="6" w:space="0" w:color="000000"/>
            </w:tcBorders>
          </w:tcPr>
          <w:p w14:paraId="3474EBB6" w14:textId="77777777" w:rsidR="0072571C" w:rsidRPr="00FC10AC" w:rsidRDefault="0072571C" w:rsidP="0072571C">
            <w:pPr>
              <w:jc w:val="center"/>
            </w:pPr>
            <w:r>
              <w:t>6.53 p=0.002</w:t>
            </w:r>
          </w:p>
        </w:tc>
        <w:tc>
          <w:tcPr>
            <w:tcW w:w="1157" w:type="dxa"/>
            <w:tcBorders>
              <w:top w:val="single" w:sz="6" w:space="0" w:color="000000"/>
              <w:left w:val="single" w:sz="6" w:space="0" w:color="000000"/>
              <w:bottom w:val="single" w:sz="6" w:space="0" w:color="000000"/>
              <w:right w:val="single" w:sz="6" w:space="0" w:color="000000"/>
            </w:tcBorders>
          </w:tcPr>
          <w:p w14:paraId="048383E8" w14:textId="77777777" w:rsidR="0072571C" w:rsidRDefault="0072571C" w:rsidP="0072571C">
            <w:pPr>
              <w:jc w:val="center"/>
            </w:pPr>
            <w:r>
              <w:t xml:space="preserve">0.064 </w:t>
            </w:r>
          </w:p>
          <w:p w14:paraId="44680624" w14:textId="77777777" w:rsidR="0072571C" w:rsidRDefault="0072571C" w:rsidP="0072571C">
            <w:pPr>
              <w:jc w:val="center"/>
            </w:pPr>
            <w:r>
              <w:t>Small</w:t>
            </w:r>
          </w:p>
        </w:tc>
      </w:tr>
      <w:tr w:rsidR="0072571C" w:rsidRPr="00FC10AC" w14:paraId="27C9DEBB" w14:textId="77777777" w:rsidTr="0072571C">
        <w:trPr>
          <w:trHeight w:val="150"/>
          <w:tblCellSpacing w:w="0" w:type="dxa"/>
        </w:trPr>
        <w:tc>
          <w:tcPr>
            <w:tcW w:w="2233" w:type="dxa"/>
            <w:tcBorders>
              <w:top w:val="single" w:sz="6" w:space="0" w:color="000000"/>
              <w:left w:val="single" w:sz="12" w:space="0" w:color="000000"/>
              <w:bottom w:val="single" w:sz="6" w:space="0" w:color="000000"/>
              <w:right w:val="single" w:sz="6" w:space="0" w:color="000000"/>
            </w:tcBorders>
          </w:tcPr>
          <w:p w14:paraId="2189CBC5" w14:textId="77777777" w:rsidR="0072571C" w:rsidRPr="00FC10AC" w:rsidRDefault="0072571C" w:rsidP="0072571C">
            <w:r w:rsidRPr="00FC10AC">
              <w:t>Environment</w:t>
            </w:r>
          </w:p>
        </w:tc>
        <w:tc>
          <w:tcPr>
            <w:tcW w:w="1272" w:type="dxa"/>
            <w:tcBorders>
              <w:top w:val="single" w:sz="6" w:space="0" w:color="000000"/>
              <w:left w:val="single" w:sz="6" w:space="0" w:color="000000"/>
              <w:bottom w:val="single" w:sz="6" w:space="0" w:color="000000"/>
              <w:right w:val="single" w:sz="6" w:space="0" w:color="000000"/>
            </w:tcBorders>
          </w:tcPr>
          <w:p w14:paraId="3E5B0E12" w14:textId="77777777" w:rsidR="0072571C" w:rsidRPr="00FC10AC" w:rsidRDefault="0072571C" w:rsidP="0072571C">
            <w:pPr>
              <w:jc w:val="center"/>
            </w:pPr>
            <w:r w:rsidRPr="00FC10AC">
              <w:t>66.60 ±20.03</w:t>
            </w:r>
          </w:p>
        </w:tc>
        <w:tc>
          <w:tcPr>
            <w:tcW w:w="1264" w:type="dxa"/>
            <w:tcBorders>
              <w:top w:val="single" w:sz="6" w:space="0" w:color="000000"/>
              <w:left w:val="single" w:sz="6" w:space="0" w:color="000000"/>
              <w:bottom w:val="single" w:sz="6" w:space="0" w:color="000000"/>
              <w:right w:val="single" w:sz="6" w:space="0" w:color="000000"/>
            </w:tcBorders>
          </w:tcPr>
          <w:p w14:paraId="4637A9A5" w14:textId="77777777" w:rsidR="0072571C" w:rsidRPr="00FC10AC" w:rsidRDefault="0072571C" w:rsidP="0072571C">
            <w:pPr>
              <w:jc w:val="center"/>
            </w:pPr>
            <w:r w:rsidRPr="00FC10AC">
              <w:t>67.81 ±18.92</w:t>
            </w:r>
          </w:p>
        </w:tc>
        <w:tc>
          <w:tcPr>
            <w:tcW w:w="1174" w:type="dxa"/>
            <w:tcBorders>
              <w:top w:val="single" w:sz="6" w:space="0" w:color="000000"/>
              <w:left w:val="single" w:sz="6" w:space="0" w:color="000000"/>
              <w:bottom w:val="single" w:sz="6" w:space="0" w:color="000000"/>
              <w:right w:val="single" w:sz="6" w:space="0" w:color="000000"/>
            </w:tcBorders>
          </w:tcPr>
          <w:p w14:paraId="6074085D" w14:textId="77777777" w:rsidR="0072571C" w:rsidRPr="00FC10AC" w:rsidRDefault="0072571C" w:rsidP="0072571C">
            <w:pPr>
              <w:jc w:val="center"/>
            </w:pPr>
            <w:r w:rsidRPr="00FC10AC">
              <w:t>69.15 ±17.13</w:t>
            </w:r>
          </w:p>
        </w:tc>
        <w:tc>
          <w:tcPr>
            <w:tcW w:w="1177" w:type="dxa"/>
            <w:tcBorders>
              <w:top w:val="single" w:sz="6" w:space="0" w:color="000000"/>
              <w:left w:val="single" w:sz="6" w:space="0" w:color="000000"/>
              <w:bottom w:val="single" w:sz="6" w:space="0" w:color="000000"/>
              <w:right w:val="single" w:sz="6" w:space="0" w:color="000000"/>
            </w:tcBorders>
          </w:tcPr>
          <w:p w14:paraId="5E71C76D" w14:textId="77777777" w:rsidR="0072571C" w:rsidRPr="00FC10AC" w:rsidRDefault="0072571C" w:rsidP="0072571C">
            <w:pPr>
              <w:jc w:val="center"/>
            </w:pPr>
            <w:r>
              <w:t>1.97 p=0.143</w:t>
            </w:r>
          </w:p>
        </w:tc>
        <w:tc>
          <w:tcPr>
            <w:tcW w:w="1157" w:type="dxa"/>
            <w:tcBorders>
              <w:top w:val="single" w:sz="6" w:space="0" w:color="000000"/>
              <w:left w:val="single" w:sz="6" w:space="0" w:color="000000"/>
              <w:bottom w:val="single" w:sz="6" w:space="0" w:color="000000"/>
              <w:right w:val="single" w:sz="6" w:space="0" w:color="000000"/>
            </w:tcBorders>
          </w:tcPr>
          <w:p w14:paraId="4DFC932A" w14:textId="77777777" w:rsidR="0072571C" w:rsidRDefault="0072571C" w:rsidP="0072571C">
            <w:pPr>
              <w:jc w:val="center"/>
            </w:pPr>
            <w:r>
              <w:t>0.043</w:t>
            </w:r>
          </w:p>
          <w:p w14:paraId="6DA681AE" w14:textId="77777777" w:rsidR="0072571C" w:rsidRDefault="0072571C" w:rsidP="0072571C">
            <w:pPr>
              <w:jc w:val="center"/>
            </w:pPr>
            <w:r>
              <w:t>Small</w:t>
            </w:r>
          </w:p>
        </w:tc>
      </w:tr>
      <w:tr w:rsidR="0072571C" w:rsidRPr="00816201" w14:paraId="1DCB1318" w14:textId="77777777" w:rsidTr="0072571C">
        <w:trPr>
          <w:trHeight w:val="150"/>
          <w:tblCellSpacing w:w="0" w:type="dxa"/>
        </w:trPr>
        <w:tc>
          <w:tcPr>
            <w:tcW w:w="2233" w:type="dxa"/>
            <w:tcBorders>
              <w:top w:val="single" w:sz="6" w:space="0" w:color="000000"/>
              <w:left w:val="single" w:sz="12" w:space="0" w:color="000000"/>
              <w:bottom w:val="single" w:sz="6" w:space="0" w:color="000000"/>
              <w:right w:val="single" w:sz="6" w:space="0" w:color="000000"/>
            </w:tcBorders>
          </w:tcPr>
          <w:p w14:paraId="067282C8" w14:textId="77777777" w:rsidR="0072571C" w:rsidRPr="00FC10AC" w:rsidRDefault="0072571C" w:rsidP="0072571C">
            <w:r w:rsidRPr="00FC10AC">
              <w:t>Social Relationships</w:t>
            </w:r>
          </w:p>
        </w:tc>
        <w:tc>
          <w:tcPr>
            <w:tcW w:w="1272" w:type="dxa"/>
            <w:tcBorders>
              <w:top w:val="single" w:sz="6" w:space="0" w:color="000000"/>
              <w:left w:val="single" w:sz="6" w:space="0" w:color="000000"/>
              <w:bottom w:val="single" w:sz="6" w:space="0" w:color="000000"/>
              <w:right w:val="single" w:sz="6" w:space="0" w:color="000000"/>
            </w:tcBorders>
          </w:tcPr>
          <w:p w14:paraId="720FD3C6" w14:textId="77777777" w:rsidR="0072571C" w:rsidRPr="00FC10AC" w:rsidRDefault="0072571C" w:rsidP="0072571C">
            <w:pPr>
              <w:jc w:val="center"/>
            </w:pPr>
            <w:r w:rsidRPr="00FC10AC">
              <w:t>66.08 ±20.81</w:t>
            </w:r>
          </w:p>
        </w:tc>
        <w:tc>
          <w:tcPr>
            <w:tcW w:w="1264" w:type="dxa"/>
            <w:tcBorders>
              <w:top w:val="single" w:sz="6" w:space="0" w:color="000000"/>
              <w:left w:val="single" w:sz="6" w:space="0" w:color="000000"/>
              <w:bottom w:val="single" w:sz="6" w:space="0" w:color="000000"/>
              <w:right w:val="single" w:sz="6" w:space="0" w:color="000000"/>
            </w:tcBorders>
          </w:tcPr>
          <w:p w14:paraId="643C37B5" w14:textId="77777777" w:rsidR="0072571C" w:rsidRPr="00FC10AC" w:rsidRDefault="0072571C" w:rsidP="0072571C">
            <w:pPr>
              <w:jc w:val="center"/>
            </w:pPr>
            <w:r w:rsidRPr="00FC10AC">
              <w:t>60.83 ±21.53</w:t>
            </w:r>
          </w:p>
        </w:tc>
        <w:tc>
          <w:tcPr>
            <w:tcW w:w="1174" w:type="dxa"/>
            <w:tcBorders>
              <w:top w:val="single" w:sz="6" w:space="0" w:color="000000"/>
              <w:left w:val="single" w:sz="6" w:space="0" w:color="000000"/>
              <w:bottom w:val="single" w:sz="6" w:space="0" w:color="000000"/>
              <w:right w:val="single" w:sz="6" w:space="0" w:color="000000"/>
            </w:tcBorders>
          </w:tcPr>
          <w:p w14:paraId="7532006E" w14:textId="77777777" w:rsidR="0072571C" w:rsidRPr="009C4A71" w:rsidRDefault="0072571C" w:rsidP="0072571C">
            <w:pPr>
              <w:jc w:val="center"/>
            </w:pPr>
            <w:r w:rsidRPr="00FC10AC">
              <w:t>65.54 ±21.77</w:t>
            </w:r>
          </w:p>
        </w:tc>
        <w:tc>
          <w:tcPr>
            <w:tcW w:w="1177" w:type="dxa"/>
            <w:tcBorders>
              <w:top w:val="single" w:sz="6" w:space="0" w:color="000000"/>
              <w:left w:val="single" w:sz="6" w:space="0" w:color="000000"/>
              <w:bottom w:val="single" w:sz="6" w:space="0" w:color="000000"/>
              <w:right w:val="single" w:sz="6" w:space="0" w:color="000000"/>
            </w:tcBorders>
          </w:tcPr>
          <w:p w14:paraId="1A476876" w14:textId="77777777" w:rsidR="0072571C" w:rsidRPr="00FC10AC" w:rsidRDefault="0072571C" w:rsidP="0072571C">
            <w:pPr>
              <w:jc w:val="center"/>
            </w:pPr>
            <w:r>
              <w:t>2.99 p=0.054</w:t>
            </w:r>
          </w:p>
        </w:tc>
        <w:tc>
          <w:tcPr>
            <w:tcW w:w="1157" w:type="dxa"/>
            <w:tcBorders>
              <w:top w:val="single" w:sz="6" w:space="0" w:color="000000"/>
              <w:left w:val="single" w:sz="6" w:space="0" w:color="000000"/>
              <w:bottom w:val="single" w:sz="6" w:space="0" w:color="000000"/>
              <w:right w:val="single" w:sz="6" w:space="0" w:color="000000"/>
            </w:tcBorders>
          </w:tcPr>
          <w:p w14:paraId="407F2AF1" w14:textId="77777777" w:rsidR="0072571C" w:rsidRDefault="0072571C" w:rsidP="0072571C">
            <w:pPr>
              <w:jc w:val="center"/>
            </w:pPr>
            <w:r>
              <w:t>0.041</w:t>
            </w:r>
          </w:p>
          <w:p w14:paraId="699F429B" w14:textId="77777777" w:rsidR="0072571C" w:rsidRDefault="0072571C" w:rsidP="0072571C">
            <w:pPr>
              <w:jc w:val="center"/>
            </w:pPr>
            <w:r>
              <w:t>Small</w:t>
            </w:r>
          </w:p>
        </w:tc>
      </w:tr>
    </w:tbl>
    <w:p w14:paraId="617E704B" w14:textId="5930DFB9" w:rsidR="0072571C" w:rsidRDefault="0072571C" w:rsidP="00B56C13">
      <w:pPr>
        <w:pStyle w:val="p1"/>
      </w:pPr>
    </w:p>
    <w:p w14:paraId="4303AC13" w14:textId="77777777" w:rsidR="0072571C" w:rsidRDefault="0072571C">
      <w:pPr>
        <w:rPr>
          <w:rFonts w:ascii="Arial" w:hAnsi="Arial" w:cs="Arial"/>
          <w:sz w:val="17"/>
          <w:szCs w:val="17"/>
          <w:lang w:val="en-US"/>
        </w:rPr>
      </w:pPr>
      <w:r>
        <w:br w:type="page"/>
      </w:r>
    </w:p>
    <w:p w14:paraId="7D0909F8" w14:textId="77777777" w:rsidR="0072571C" w:rsidRPr="0072571C" w:rsidRDefault="0072571C" w:rsidP="0072571C">
      <w:pPr>
        <w:pStyle w:val="Caption"/>
      </w:pPr>
      <w:r w:rsidRPr="0072571C">
        <w:lastRenderedPageBreak/>
        <w:t>Table 9. Transition scores and visual analogue scales correlated with GO-QOL and WHOQOL scores.</w:t>
      </w:r>
    </w:p>
    <w:tbl>
      <w:tblPr>
        <w:tblW w:w="0" w:type="auto"/>
        <w:tblCellMar>
          <w:left w:w="0" w:type="dxa"/>
          <w:right w:w="0" w:type="dxa"/>
        </w:tblCellMar>
        <w:tblLook w:val="0000" w:firstRow="0" w:lastRow="0" w:firstColumn="0" w:lastColumn="0" w:noHBand="0" w:noVBand="0"/>
      </w:tblPr>
      <w:tblGrid>
        <w:gridCol w:w="1620"/>
        <w:gridCol w:w="896"/>
        <w:gridCol w:w="896"/>
        <w:gridCol w:w="1442"/>
        <w:gridCol w:w="928"/>
      </w:tblGrid>
      <w:tr w:rsidR="0072571C" w:rsidRPr="0048229C" w14:paraId="0D107674" w14:textId="77777777" w:rsidTr="0072571C">
        <w:trPr>
          <w:trHeight w:val="226"/>
        </w:trPr>
        <w:tc>
          <w:tcPr>
            <w:tcW w:w="0" w:type="auto"/>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bottom"/>
          </w:tcPr>
          <w:p w14:paraId="5ED05AEA" w14:textId="77777777" w:rsidR="0072571C" w:rsidRPr="0048229C" w:rsidRDefault="0072571C" w:rsidP="0072571C">
            <w:pPr>
              <w:spacing w:line="360" w:lineRule="auto"/>
              <w:textAlignment w:val="bottom"/>
              <w:rPr>
                <w:rFonts w:cs="Times New Roman"/>
                <w:color w:val="000000"/>
                <w:kern w:val="24"/>
              </w:rPr>
            </w:pP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7A3CAB88" w14:textId="77777777" w:rsidR="0072571C" w:rsidRPr="0048229C" w:rsidRDefault="0072571C" w:rsidP="0072571C">
            <w:pPr>
              <w:spacing w:line="360" w:lineRule="auto"/>
              <w:jc w:val="center"/>
              <w:textAlignment w:val="bottom"/>
              <w:rPr>
                <w:rFonts w:cs="Times New Roman"/>
              </w:rPr>
            </w:pPr>
            <w:r w:rsidRPr="0048229C">
              <w:rPr>
                <w:rFonts w:cs="Times New Roman"/>
                <w:b/>
                <w:bCs/>
                <w:color w:val="000000"/>
                <w:kern w:val="24"/>
              </w:rPr>
              <w:t>T1</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048D6929" w14:textId="77777777" w:rsidR="0072571C" w:rsidRPr="0048229C" w:rsidRDefault="0072571C" w:rsidP="0072571C">
            <w:pPr>
              <w:spacing w:line="360" w:lineRule="auto"/>
              <w:jc w:val="center"/>
              <w:textAlignment w:val="bottom"/>
              <w:rPr>
                <w:rFonts w:cs="Times New Roman"/>
              </w:rPr>
            </w:pPr>
            <w:r w:rsidRPr="0048229C">
              <w:rPr>
                <w:rFonts w:cs="Times New Roman"/>
                <w:b/>
                <w:bCs/>
                <w:color w:val="000000"/>
                <w:kern w:val="24"/>
              </w:rPr>
              <w:t>T2</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4007FAF9" w14:textId="77777777" w:rsidR="0072571C" w:rsidRDefault="0072571C" w:rsidP="0072571C">
            <w:pPr>
              <w:spacing w:line="360" w:lineRule="auto"/>
              <w:jc w:val="center"/>
              <w:textAlignment w:val="bottom"/>
              <w:rPr>
                <w:rFonts w:cs="Times New Roman"/>
                <w:b/>
                <w:bCs/>
                <w:color w:val="000000"/>
                <w:kern w:val="24"/>
              </w:rPr>
            </w:pPr>
            <w:r>
              <w:rPr>
                <w:rFonts w:cs="Times New Roman"/>
                <w:b/>
                <w:bCs/>
                <w:color w:val="000000"/>
                <w:kern w:val="24"/>
              </w:rPr>
              <w:t>VAS</w:t>
            </w:r>
          </w:p>
          <w:p w14:paraId="0D33FB53" w14:textId="77777777" w:rsidR="0072571C" w:rsidRPr="0048229C" w:rsidRDefault="0072571C" w:rsidP="0072571C">
            <w:pPr>
              <w:spacing w:line="360" w:lineRule="auto"/>
              <w:jc w:val="center"/>
              <w:textAlignment w:val="bottom"/>
              <w:rPr>
                <w:rFonts w:cs="Times New Roman"/>
              </w:rPr>
            </w:pPr>
            <w:r w:rsidRPr="0048229C">
              <w:rPr>
                <w:rFonts w:cs="Times New Roman"/>
                <w:b/>
                <w:bCs/>
                <w:color w:val="000000"/>
                <w:kern w:val="24"/>
              </w:rPr>
              <w:t>Notic</w:t>
            </w:r>
            <w:r>
              <w:rPr>
                <w:rFonts w:cs="Times New Roman"/>
                <w:b/>
                <w:bCs/>
                <w:color w:val="000000"/>
                <w:kern w:val="24"/>
              </w:rPr>
              <w:t>e</w:t>
            </w:r>
            <w:r w:rsidRPr="0048229C">
              <w:rPr>
                <w:rFonts w:cs="Times New Roman"/>
                <w:b/>
                <w:bCs/>
                <w:color w:val="000000"/>
                <w:kern w:val="24"/>
              </w:rPr>
              <w:t>ability</w:t>
            </w:r>
          </w:p>
        </w:tc>
        <w:tc>
          <w:tcPr>
            <w:tcW w:w="0" w:type="auto"/>
            <w:tcBorders>
              <w:top w:val="single" w:sz="4" w:space="0" w:color="000000"/>
              <w:left w:val="nil"/>
              <w:bottom w:val="nil"/>
              <w:right w:val="single" w:sz="4" w:space="0" w:color="000000"/>
            </w:tcBorders>
            <w:shd w:val="clear" w:color="auto" w:fill="auto"/>
            <w:tcMar>
              <w:top w:w="15" w:type="dxa"/>
              <w:left w:w="15" w:type="dxa"/>
              <w:bottom w:w="0" w:type="dxa"/>
              <w:right w:w="15" w:type="dxa"/>
            </w:tcMar>
            <w:vAlign w:val="center"/>
          </w:tcPr>
          <w:p w14:paraId="1E3D62F7" w14:textId="77777777" w:rsidR="0072571C" w:rsidRDefault="0072571C" w:rsidP="0072571C">
            <w:pPr>
              <w:spacing w:line="360" w:lineRule="auto"/>
              <w:jc w:val="center"/>
              <w:textAlignment w:val="bottom"/>
              <w:rPr>
                <w:rFonts w:cs="Times New Roman"/>
                <w:b/>
                <w:bCs/>
                <w:color w:val="000000"/>
                <w:kern w:val="24"/>
              </w:rPr>
            </w:pPr>
            <w:r>
              <w:rPr>
                <w:rFonts w:cs="Times New Roman"/>
                <w:b/>
                <w:bCs/>
                <w:color w:val="000000"/>
                <w:kern w:val="24"/>
              </w:rPr>
              <w:t>VAS</w:t>
            </w:r>
          </w:p>
          <w:p w14:paraId="340A5FF8" w14:textId="77777777" w:rsidR="0072571C" w:rsidRPr="0048229C" w:rsidRDefault="0072571C" w:rsidP="0072571C">
            <w:pPr>
              <w:spacing w:line="360" w:lineRule="auto"/>
              <w:jc w:val="center"/>
              <w:textAlignment w:val="bottom"/>
              <w:rPr>
                <w:rFonts w:cs="Times New Roman"/>
              </w:rPr>
            </w:pPr>
            <w:r w:rsidRPr="0048229C">
              <w:rPr>
                <w:rFonts w:cs="Times New Roman"/>
                <w:b/>
                <w:bCs/>
                <w:color w:val="000000"/>
                <w:kern w:val="24"/>
              </w:rPr>
              <w:t>Severity</w:t>
            </w:r>
          </w:p>
        </w:tc>
      </w:tr>
      <w:tr w:rsidR="0072571C" w:rsidRPr="0048229C" w14:paraId="5E3AF194" w14:textId="77777777" w:rsidTr="0072571C">
        <w:trPr>
          <w:trHeight w:val="226"/>
        </w:trPr>
        <w:tc>
          <w:tcPr>
            <w:tcW w:w="0" w:type="auto"/>
            <w:gridSpan w:val="5"/>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bottom"/>
          </w:tcPr>
          <w:p w14:paraId="4B9CECF3" w14:textId="77777777" w:rsidR="0072571C" w:rsidRPr="0048229C" w:rsidRDefault="0072571C" w:rsidP="0072571C">
            <w:pPr>
              <w:spacing w:line="360" w:lineRule="auto"/>
              <w:jc w:val="center"/>
              <w:textAlignment w:val="bottom"/>
              <w:rPr>
                <w:rFonts w:cs="Times New Roman"/>
                <w:color w:val="000000"/>
                <w:kern w:val="24"/>
              </w:rPr>
            </w:pPr>
            <w:r w:rsidRPr="008A003E">
              <w:rPr>
                <w:b/>
              </w:rPr>
              <w:t>Week 12</w:t>
            </w:r>
            <w:r>
              <w:t xml:space="preserve"> GO-QOL</w:t>
            </w:r>
            <w:r w:rsidRPr="00FC10AC">
              <w:t xml:space="preserve"> subscales:</w:t>
            </w:r>
          </w:p>
        </w:tc>
      </w:tr>
      <w:tr w:rsidR="0072571C" w:rsidRPr="0048229C" w14:paraId="5E17A0FE" w14:textId="77777777" w:rsidTr="0072571C">
        <w:trPr>
          <w:trHeight w:val="226"/>
        </w:trPr>
        <w:tc>
          <w:tcPr>
            <w:tcW w:w="0" w:type="auto"/>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bottom"/>
          </w:tcPr>
          <w:p w14:paraId="1652A9AA" w14:textId="77777777" w:rsidR="0072571C" w:rsidRPr="0048229C" w:rsidRDefault="0072571C" w:rsidP="0072571C">
            <w:pPr>
              <w:spacing w:line="360" w:lineRule="auto"/>
              <w:textAlignment w:val="bottom"/>
              <w:rPr>
                <w:rFonts w:cs="Times New Roman"/>
              </w:rPr>
            </w:pPr>
            <w:r>
              <w:rPr>
                <w:rFonts w:cs="Times New Roman"/>
                <w:color w:val="000000"/>
                <w:kern w:val="24"/>
              </w:rPr>
              <w:t>Visual Function</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7C438BA3" w14:textId="77777777" w:rsidR="0072571C" w:rsidRPr="003F179A" w:rsidRDefault="0072571C" w:rsidP="0072571C">
            <w:pPr>
              <w:spacing w:line="360" w:lineRule="auto"/>
              <w:jc w:val="center"/>
              <w:textAlignment w:val="bottom"/>
              <w:rPr>
                <w:rFonts w:cs="Times New Roman"/>
              </w:rPr>
            </w:pPr>
            <w:r w:rsidRPr="003F179A">
              <w:rPr>
                <w:rFonts w:cs="Times New Roman"/>
                <w:bCs/>
                <w:color w:val="000000"/>
                <w:kern w:val="24"/>
              </w:rPr>
              <w:t>-0.413**</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4650E4D9" w14:textId="77777777" w:rsidR="0072571C" w:rsidRPr="003F179A" w:rsidRDefault="0072571C" w:rsidP="0072571C">
            <w:pPr>
              <w:spacing w:line="360" w:lineRule="auto"/>
              <w:jc w:val="center"/>
              <w:textAlignment w:val="bottom"/>
              <w:rPr>
                <w:rFonts w:cs="Times New Roman"/>
              </w:rPr>
            </w:pPr>
            <w:r w:rsidRPr="003F179A">
              <w:rPr>
                <w:rFonts w:cs="Times New Roman"/>
                <w:color w:val="000000"/>
                <w:kern w:val="24"/>
              </w:rPr>
              <w:t>0.015</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286843C2" w14:textId="77777777" w:rsidR="0072571C" w:rsidRPr="003F179A" w:rsidRDefault="0072571C" w:rsidP="0072571C">
            <w:pPr>
              <w:spacing w:line="360" w:lineRule="auto"/>
              <w:textAlignment w:val="bottom"/>
              <w:rPr>
                <w:rFonts w:cs="Times New Roman"/>
              </w:rPr>
            </w:pPr>
            <w:r>
              <w:rPr>
                <w:rFonts w:cs="Times New Roman"/>
                <w:color w:val="000000"/>
                <w:kern w:val="24"/>
              </w:rPr>
              <w:t xml:space="preserve">     </w:t>
            </w:r>
            <w:r w:rsidRPr="003F179A">
              <w:rPr>
                <w:rFonts w:cs="Times New Roman"/>
                <w:color w:val="000000"/>
                <w:kern w:val="24"/>
              </w:rPr>
              <w:t>-0.108</w:t>
            </w:r>
          </w:p>
        </w:tc>
        <w:tc>
          <w:tcPr>
            <w:tcW w:w="0" w:type="auto"/>
            <w:tcBorders>
              <w:top w:val="single" w:sz="4" w:space="0" w:color="000000"/>
              <w:left w:val="nil"/>
              <w:bottom w:val="nil"/>
              <w:right w:val="single" w:sz="4" w:space="0" w:color="000000"/>
            </w:tcBorders>
            <w:shd w:val="clear" w:color="auto" w:fill="auto"/>
            <w:tcMar>
              <w:top w:w="15" w:type="dxa"/>
              <w:left w:w="15" w:type="dxa"/>
              <w:bottom w:w="0" w:type="dxa"/>
              <w:right w:w="15" w:type="dxa"/>
            </w:tcMar>
            <w:vAlign w:val="center"/>
          </w:tcPr>
          <w:p w14:paraId="42FC24AC" w14:textId="77777777" w:rsidR="0072571C" w:rsidRPr="003F179A" w:rsidRDefault="0072571C" w:rsidP="0072571C">
            <w:pPr>
              <w:spacing w:line="360" w:lineRule="auto"/>
              <w:textAlignment w:val="bottom"/>
              <w:rPr>
                <w:rFonts w:cs="Times New Roman"/>
              </w:rPr>
            </w:pPr>
            <w:r>
              <w:rPr>
                <w:rFonts w:cs="Times New Roman"/>
                <w:color w:val="000000"/>
                <w:kern w:val="24"/>
              </w:rPr>
              <w:t xml:space="preserve"> </w:t>
            </w:r>
            <w:r w:rsidRPr="003F179A">
              <w:rPr>
                <w:rFonts w:cs="Times New Roman"/>
                <w:color w:val="000000"/>
                <w:kern w:val="24"/>
              </w:rPr>
              <w:t>-0.117</w:t>
            </w:r>
          </w:p>
        </w:tc>
      </w:tr>
      <w:tr w:rsidR="0072571C" w:rsidRPr="0048229C" w14:paraId="66DC6C80" w14:textId="77777777" w:rsidTr="0072571C">
        <w:trPr>
          <w:trHeight w:val="291"/>
        </w:trPr>
        <w:tc>
          <w:tcPr>
            <w:tcW w:w="0" w:type="auto"/>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bottom"/>
          </w:tcPr>
          <w:p w14:paraId="4B880731" w14:textId="77777777" w:rsidR="0072571C" w:rsidRPr="0048229C" w:rsidRDefault="0072571C" w:rsidP="0072571C">
            <w:pPr>
              <w:spacing w:line="360" w:lineRule="auto"/>
              <w:textAlignment w:val="bottom"/>
              <w:rPr>
                <w:rFonts w:cs="Times New Roman"/>
              </w:rPr>
            </w:pPr>
            <w:r>
              <w:rPr>
                <w:rFonts w:cs="Times New Roman"/>
                <w:color w:val="000000"/>
                <w:kern w:val="24"/>
              </w:rPr>
              <w:t>Appearance</w:t>
            </w: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3C88B140" w14:textId="77777777" w:rsidR="0072571C" w:rsidRPr="003F179A" w:rsidRDefault="0072571C" w:rsidP="0072571C">
            <w:pPr>
              <w:spacing w:line="360" w:lineRule="auto"/>
              <w:jc w:val="center"/>
              <w:textAlignment w:val="bottom"/>
              <w:rPr>
                <w:rFonts w:cs="Times New Roman"/>
              </w:rPr>
            </w:pPr>
            <w:r w:rsidRPr="003F179A">
              <w:rPr>
                <w:rFonts w:cs="Times New Roman"/>
                <w:bCs/>
                <w:color w:val="000000"/>
                <w:kern w:val="24"/>
              </w:rPr>
              <w:t>-0.409**</w:t>
            </w: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6304C4E8" w14:textId="77777777" w:rsidR="0072571C" w:rsidRPr="003F179A" w:rsidRDefault="0072571C" w:rsidP="0072571C">
            <w:pPr>
              <w:spacing w:line="360" w:lineRule="auto"/>
              <w:jc w:val="center"/>
              <w:textAlignment w:val="bottom"/>
              <w:rPr>
                <w:rFonts w:cs="Times New Roman"/>
              </w:rPr>
            </w:pPr>
            <w:r w:rsidRPr="003F179A">
              <w:rPr>
                <w:rFonts w:cs="Times New Roman"/>
                <w:bCs/>
                <w:color w:val="000000"/>
                <w:kern w:val="24"/>
              </w:rPr>
              <w:t>-0.580**</w:t>
            </w: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4902DE42" w14:textId="77777777" w:rsidR="0072571C" w:rsidRPr="003F179A" w:rsidRDefault="0072571C" w:rsidP="0072571C">
            <w:pPr>
              <w:spacing w:line="360" w:lineRule="auto"/>
              <w:jc w:val="center"/>
              <w:textAlignment w:val="bottom"/>
              <w:rPr>
                <w:rFonts w:cs="Times New Roman"/>
              </w:rPr>
            </w:pPr>
            <w:r w:rsidRPr="003F179A">
              <w:rPr>
                <w:rFonts w:cs="Times New Roman"/>
                <w:bCs/>
                <w:color w:val="000000"/>
                <w:kern w:val="24"/>
              </w:rPr>
              <w:t>-0.587**</w:t>
            </w:r>
          </w:p>
        </w:tc>
        <w:tc>
          <w:tcPr>
            <w:tcW w:w="0" w:type="auto"/>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E156BFC" w14:textId="77777777" w:rsidR="0072571C" w:rsidRPr="003F179A" w:rsidRDefault="0072571C" w:rsidP="0072571C">
            <w:pPr>
              <w:spacing w:line="360" w:lineRule="auto"/>
              <w:jc w:val="center"/>
              <w:textAlignment w:val="bottom"/>
              <w:rPr>
                <w:rFonts w:cs="Times New Roman"/>
              </w:rPr>
            </w:pPr>
            <w:r w:rsidRPr="003F179A">
              <w:rPr>
                <w:rFonts w:cs="Times New Roman"/>
                <w:bCs/>
                <w:color w:val="000000"/>
                <w:kern w:val="24"/>
              </w:rPr>
              <w:t>-0.552**</w:t>
            </w:r>
          </w:p>
        </w:tc>
      </w:tr>
      <w:tr w:rsidR="0072571C" w:rsidRPr="0048229C" w14:paraId="4B549CC9" w14:textId="77777777" w:rsidTr="0072571C">
        <w:trPr>
          <w:trHeight w:val="437"/>
        </w:trPr>
        <w:tc>
          <w:tcPr>
            <w:tcW w:w="0" w:type="auto"/>
            <w:gridSpan w:val="5"/>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bottom"/>
          </w:tcPr>
          <w:p w14:paraId="313B4F0E" w14:textId="77777777" w:rsidR="0072571C" w:rsidRPr="0048229C" w:rsidRDefault="0072571C" w:rsidP="0072571C">
            <w:pPr>
              <w:spacing w:line="360" w:lineRule="auto"/>
              <w:jc w:val="center"/>
              <w:textAlignment w:val="bottom"/>
              <w:rPr>
                <w:rFonts w:cs="Times New Roman"/>
                <w:color w:val="000000"/>
                <w:kern w:val="24"/>
              </w:rPr>
            </w:pPr>
            <w:r w:rsidRPr="008A003E">
              <w:rPr>
                <w:b/>
              </w:rPr>
              <w:t xml:space="preserve">Week 12 </w:t>
            </w:r>
            <w:r>
              <w:t>WHOQOL</w:t>
            </w:r>
            <w:r w:rsidRPr="00FC10AC">
              <w:t>-</w:t>
            </w:r>
            <w:proofErr w:type="spellStart"/>
            <w:r w:rsidRPr="00FC10AC">
              <w:t>Bref</w:t>
            </w:r>
            <w:proofErr w:type="spellEnd"/>
            <w:r w:rsidRPr="00FC10AC">
              <w:t xml:space="preserve"> subscales:</w:t>
            </w:r>
          </w:p>
        </w:tc>
      </w:tr>
      <w:tr w:rsidR="0072571C" w:rsidRPr="0048229C" w14:paraId="3625398C" w14:textId="77777777" w:rsidTr="0072571C">
        <w:trPr>
          <w:trHeight w:val="437"/>
        </w:trPr>
        <w:tc>
          <w:tcPr>
            <w:tcW w:w="0" w:type="auto"/>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bottom"/>
          </w:tcPr>
          <w:p w14:paraId="080F968D" w14:textId="77777777" w:rsidR="0072571C" w:rsidRPr="0048229C" w:rsidRDefault="0072571C" w:rsidP="0072571C">
            <w:pPr>
              <w:spacing w:line="360" w:lineRule="auto"/>
              <w:textAlignment w:val="bottom"/>
              <w:rPr>
                <w:rFonts w:cs="Times New Roman"/>
              </w:rPr>
            </w:pPr>
            <w:r>
              <w:rPr>
                <w:rFonts w:cs="Times New Roman"/>
                <w:color w:val="000000"/>
                <w:kern w:val="24"/>
              </w:rPr>
              <w:t>Psychological</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590F564B"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-0.284**</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3C6E687E"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-0.475**</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72AB7D2A"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-0.399**</w:t>
            </w:r>
          </w:p>
        </w:tc>
        <w:tc>
          <w:tcPr>
            <w:tcW w:w="0" w:type="auto"/>
            <w:tcBorders>
              <w:top w:val="single" w:sz="4" w:space="0" w:color="000000"/>
              <w:left w:val="nil"/>
              <w:bottom w:val="nil"/>
              <w:right w:val="single" w:sz="4" w:space="0" w:color="000000"/>
            </w:tcBorders>
            <w:shd w:val="clear" w:color="auto" w:fill="auto"/>
            <w:tcMar>
              <w:top w:w="15" w:type="dxa"/>
              <w:left w:w="15" w:type="dxa"/>
              <w:bottom w:w="0" w:type="dxa"/>
              <w:right w:w="15" w:type="dxa"/>
            </w:tcMar>
            <w:vAlign w:val="center"/>
          </w:tcPr>
          <w:p w14:paraId="37EDBAD4" w14:textId="77777777" w:rsidR="0072571C" w:rsidRPr="0048229C" w:rsidRDefault="0072571C" w:rsidP="0072571C">
            <w:pPr>
              <w:spacing w:line="360" w:lineRule="auto"/>
              <w:textAlignment w:val="bottom"/>
              <w:rPr>
                <w:rFonts w:cs="Times New Roman"/>
              </w:rPr>
            </w:pPr>
            <w:r>
              <w:rPr>
                <w:rFonts w:cs="Times New Roman"/>
                <w:color w:val="000000"/>
                <w:kern w:val="24"/>
              </w:rPr>
              <w:t xml:space="preserve"> </w:t>
            </w:r>
            <w:r w:rsidRPr="0048229C">
              <w:rPr>
                <w:rFonts w:cs="Times New Roman"/>
                <w:color w:val="000000"/>
                <w:kern w:val="24"/>
              </w:rPr>
              <w:t>-0.127</w:t>
            </w:r>
          </w:p>
        </w:tc>
      </w:tr>
      <w:tr w:rsidR="0072571C" w:rsidRPr="0048229C" w14:paraId="5A7F9697" w14:textId="77777777" w:rsidTr="0072571C">
        <w:trPr>
          <w:trHeight w:val="437"/>
        </w:trPr>
        <w:tc>
          <w:tcPr>
            <w:tcW w:w="0" w:type="auto"/>
            <w:tcBorders>
              <w:top w:val="nil"/>
              <w:left w:val="single" w:sz="4" w:space="0" w:color="000000"/>
              <w:bottom w:val="nil"/>
              <w:right w:val="nil"/>
            </w:tcBorders>
            <w:shd w:val="clear" w:color="auto" w:fill="auto"/>
            <w:tcMar>
              <w:top w:w="15" w:type="dxa"/>
              <w:left w:w="15" w:type="dxa"/>
              <w:bottom w:w="0" w:type="dxa"/>
              <w:right w:w="15" w:type="dxa"/>
            </w:tcMar>
            <w:vAlign w:val="bottom"/>
          </w:tcPr>
          <w:p w14:paraId="4D1D843A" w14:textId="77777777" w:rsidR="0072571C" w:rsidRPr="0048229C" w:rsidRDefault="0072571C" w:rsidP="0072571C">
            <w:pPr>
              <w:spacing w:line="360" w:lineRule="auto"/>
              <w:textAlignment w:val="bottom"/>
              <w:rPr>
                <w:rFonts w:cs="Times New Roman"/>
              </w:rPr>
            </w:pPr>
            <w:r>
              <w:rPr>
                <w:rFonts w:cs="Times New Roman"/>
                <w:color w:val="000000"/>
                <w:kern w:val="24"/>
              </w:rPr>
              <w:t>Physical</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00669325"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-0.451**</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7A279F65"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-0.612**</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5D1AE54B"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-0.383**</w:t>
            </w:r>
          </w:p>
        </w:tc>
        <w:tc>
          <w:tcPr>
            <w:tcW w:w="0" w:type="auto"/>
            <w:tcBorders>
              <w:top w:val="nil"/>
              <w:left w:val="nil"/>
              <w:bottom w:val="nil"/>
              <w:right w:val="single" w:sz="4" w:space="0" w:color="000000"/>
            </w:tcBorders>
            <w:shd w:val="clear" w:color="auto" w:fill="auto"/>
            <w:tcMar>
              <w:top w:w="15" w:type="dxa"/>
              <w:left w:w="15" w:type="dxa"/>
              <w:bottom w:w="0" w:type="dxa"/>
              <w:right w:w="15" w:type="dxa"/>
            </w:tcMar>
            <w:vAlign w:val="center"/>
          </w:tcPr>
          <w:p w14:paraId="6BDB635B"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-0.466**</w:t>
            </w:r>
          </w:p>
        </w:tc>
      </w:tr>
      <w:tr w:rsidR="0072571C" w:rsidRPr="0048229C" w14:paraId="40DAE770" w14:textId="77777777" w:rsidTr="0072571C">
        <w:trPr>
          <w:trHeight w:val="437"/>
        </w:trPr>
        <w:tc>
          <w:tcPr>
            <w:tcW w:w="0" w:type="auto"/>
            <w:tcBorders>
              <w:top w:val="nil"/>
              <w:left w:val="single" w:sz="4" w:space="0" w:color="000000"/>
              <w:bottom w:val="nil"/>
              <w:right w:val="nil"/>
            </w:tcBorders>
            <w:shd w:val="clear" w:color="auto" w:fill="auto"/>
            <w:tcMar>
              <w:top w:w="15" w:type="dxa"/>
              <w:left w:w="15" w:type="dxa"/>
              <w:bottom w:w="0" w:type="dxa"/>
              <w:right w:w="15" w:type="dxa"/>
            </w:tcMar>
            <w:vAlign w:val="bottom"/>
          </w:tcPr>
          <w:p w14:paraId="6BC0F47F" w14:textId="77777777" w:rsidR="0072571C" w:rsidRPr="0048229C" w:rsidRDefault="0072571C" w:rsidP="0072571C">
            <w:pPr>
              <w:spacing w:line="360" w:lineRule="auto"/>
              <w:textAlignment w:val="bottom"/>
              <w:rPr>
                <w:rFonts w:cs="Times New Roman"/>
              </w:rPr>
            </w:pPr>
            <w:r>
              <w:rPr>
                <w:rFonts w:cs="Times New Roman"/>
                <w:color w:val="000000"/>
                <w:kern w:val="24"/>
              </w:rPr>
              <w:t>Social</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64709D94" w14:textId="77777777" w:rsidR="0072571C" w:rsidRPr="0048229C" w:rsidRDefault="0072571C" w:rsidP="0072571C">
            <w:pPr>
              <w:spacing w:line="360" w:lineRule="auto"/>
              <w:textAlignment w:val="bottom"/>
              <w:rPr>
                <w:rFonts w:cs="Times New Roman"/>
              </w:rPr>
            </w:pPr>
            <w:r>
              <w:rPr>
                <w:rFonts w:cs="Times New Roman"/>
                <w:color w:val="000000"/>
                <w:kern w:val="24"/>
              </w:rPr>
              <w:t xml:space="preserve"> </w:t>
            </w:r>
            <w:r w:rsidRPr="0048229C">
              <w:rPr>
                <w:rFonts w:cs="Times New Roman"/>
                <w:color w:val="000000"/>
                <w:kern w:val="24"/>
              </w:rPr>
              <w:t>-0.193</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4F5A10E7"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-0.307**</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4D475B76" w14:textId="77777777" w:rsidR="0072571C" w:rsidRPr="0048229C" w:rsidRDefault="0072571C" w:rsidP="0072571C">
            <w:pPr>
              <w:spacing w:line="360" w:lineRule="auto"/>
              <w:textAlignment w:val="bottom"/>
              <w:rPr>
                <w:rFonts w:cs="Times New Roman"/>
              </w:rPr>
            </w:pPr>
            <w:r>
              <w:rPr>
                <w:rFonts w:cs="Times New Roman"/>
                <w:color w:val="000000"/>
                <w:kern w:val="24"/>
              </w:rPr>
              <w:t xml:space="preserve">      </w:t>
            </w:r>
            <w:r w:rsidRPr="0048229C">
              <w:rPr>
                <w:rFonts w:cs="Times New Roman"/>
                <w:color w:val="000000"/>
                <w:kern w:val="24"/>
              </w:rPr>
              <w:t>-0.167</w:t>
            </w:r>
          </w:p>
        </w:tc>
        <w:tc>
          <w:tcPr>
            <w:tcW w:w="0" w:type="auto"/>
            <w:tcBorders>
              <w:top w:val="nil"/>
              <w:left w:val="nil"/>
              <w:bottom w:val="nil"/>
              <w:right w:val="single" w:sz="4" w:space="0" w:color="000000"/>
            </w:tcBorders>
            <w:shd w:val="clear" w:color="auto" w:fill="auto"/>
            <w:tcMar>
              <w:top w:w="15" w:type="dxa"/>
              <w:left w:w="15" w:type="dxa"/>
              <w:bottom w:w="0" w:type="dxa"/>
              <w:right w:w="15" w:type="dxa"/>
            </w:tcMar>
            <w:vAlign w:val="center"/>
          </w:tcPr>
          <w:p w14:paraId="458CAD23"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-0.262*</w:t>
            </w:r>
          </w:p>
        </w:tc>
      </w:tr>
      <w:tr w:rsidR="0072571C" w:rsidRPr="0048229C" w14:paraId="244CAA57" w14:textId="77777777" w:rsidTr="0072571C">
        <w:trPr>
          <w:trHeight w:val="437"/>
        </w:trPr>
        <w:tc>
          <w:tcPr>
            <w:tcW w:w="0" w:type="auto"/>
            <w:tcBorders>
              <w:top w:val="nil"/>
              <w:left w:val="single" w:sz="4" w:space="0" w:color="000000"/>
              <w:bottom w:val="nil"/>
              <w:right w:val="nil"/>
            </w:tcBorders>
            <w:shd w:val="clear" w:color="auto" w:fill="auto"/>
            <w:tcMar>
              <w:top w:w="15" w:type="dxa"/>
              <w:left w:w="15" w:type="dxa"/>
              <w:bottom w:w="0" w:type="dxa"/>
              <w:right w:w="15" w:type="dxa"/>
            </w:tcMar>
            <w:vAlign w:val="bottom"/>
          </w:tcPr>
          <w:p w14:paraId="28ED97B8" w14:textId="77777777" w:rsidR="0072571C" w:rsidRPr="0048229C" w:rsidRDefault="0072571C" w:rsidP="0072571C">
            <w:pPr>
              <w:spacing w:line="360" w:lineRule="auto"/>
              <w:textAlignment w:val="bottom"/>
              <w:rPr>
                <w:rFonts w:cs="Times New Roman"/>
              </w:rPr>
            </w:pPr>
            <w:r>
              <w:rPr>
                <w:rFonts w:cs="Times New Roman"/>
                <w:color w:val="000000"/>
                <w:kern w:val="24"/>
              </w:rPr>
              <w:t>Environment</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3DE23420"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-0.295**</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29F69800"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-0.508**</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743212CF"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-0.346**</w:t>
            </w:r>
          </w:p>
        </w:tc>
        <w:tc>
          <w:tcPr>
            <w:tcW w:w="0" w:type="auto"/>
            <w:tcBorders>
              <w:top w:val="nil"/>
              <w:left w:val="nil"/>
              <w:bottom w:val="nil"/>
              <w:right w:val="single" w:sz="4" w:space="0" w:color="000000"/>
            </w:tcBorders>
            <w:shd w:val="clear" w:color="auto" w:fill="auto"/>
            <w:tcMar>
              <w:top w:w="15" w:type="dxa"/>
              <w:left w:w="15" w:type="dxa"/>
              <w:bottom w:w="0" w:type="dxa"/>
              <w:right w:w="15" w:type="dxa"/>
            </w:tcMar>
            <w:vAlign w:val="center"/>
          </w:tcPr>
          <w:p w14:paraId="40089519" w14:textId="77777777" w:rsidR="0072571C" w:rsidRPr="0048229C" w:rsidRDefault="0072571C" w:rsidP="0072571C">
            <w:pPr>
              <w:spacing w:line="360" w:lineRule="auto"/>
              <w:jc w:val="center"/>
              <w:textAlignment w:val="bottom"/>
              <w:rPr>
                <w:rFonts w:cs="Times New Roman"/>
              </w:rPr>
            </w:pPr>
            <w:r w:rsidRPr="0048229C">
              <w:rPr>
                <w:rFonts w:cs="Times New Roman"/>
                <w:bCs/>
                <w:color w:val="000000"/>
                <w:kern w:val="24"/>
              </w:rPr>
              <w:t>-0.253**</w:t>
            </w:r>
          </w:p>
        </w:tc>
      </w:tr>
      <w:tr w:rsidR="0072571C" w:rsidRPr="0048229C" w14:paraId="3520D02B" w14:textId="77777777" w:rsidTr="0072571C">
        <w:trPr>
          <w:trHeight w:val="226"/>
        </w:trPr>
        <w:tc>
          <w:tcPr>
            <w:tcW w:w="0" w:type="auto"/>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bottom"/>
          </w:tcPr>
          <w:p w14:paraId="2C2F7F4F" w14:textId="77777777" w:rsidR="0072571C" w:rsidRPr="0048229C" w:rsidRDefault="0072571C" w:rsidP="0072571C">
            <w:pPr>
              <w:spacing w:line="360" w:lineRule="auto"/>
              <w:textAlignment w:val="bottom"/>
              <w:rPr>
                <w:rFonts w:cs="Times New Roman"/>
              </w:rPr>
            </w:pP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3533B9EA" w14:textId="77777777" w:rsidR="0072571C" w:rsidRPr="0048229C" w:rsidRDefault="0072571C" w:rsidP="0072571C">
            <w:pPr>
              <w:spacing w:line="360" w:lineRule="auto"/>
              <w:jc w:val="center"/>
              <w:textAlignment w:val="bottom"/>
              <w:rPr>
                <w:rFonts w:cs="Times New Roman"/>
                <w:color w:val="000000"/>
                <w:kern w:val="24"/>
              </w:rPr>
            </w:pP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1C701309" w14:textId="77777777" w:rsidR="0072571C" w:rsidRPr="0048229C" w:rsidRDefault="0072571C" w:rsidP="0072571C">
            <w:pPr>
              <w:spacing w:line="360" w:lineRule="auto"/>
              <w:jc w:val="center"/>
              <w:textAlignment w:val="bottom"/>
              <w:rPr>
                <w:rFonts w:cs="Times New Roman"/>
                <w:color w:val="000000"/>
                <w:kern w:val="24"/>
              </w:rPr>
            </w:pP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12970F9F" w14:textId="77777777" w:rsidR="0072571C" w:rsidRPr="0048229C" w:rsidRDefault="0072571C" w:rsidP="0072571C">
            <w:pPr>
              <w:spacing w:line="360" w:lineRule="auto"/>
              <w:jc w:val="center"/>
              <w:textAlignment w:val="bottom"/>
              <w:rPr>
                <w:rFonts w:cs="Times New Roman"/>
                <w:color w:val="000000"/>
                <w:kern w:val="24"/>
              </w:rPr>
            </w:pPr>
          </w:p>
        </w:tc>
        <w:tc>
          <w:tcPr>
            <w:tcW w:w="0" w:type="auto"/>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83F07F3" w14:textId="77777777" w:rsidR="0072571C" w:rsidRPr="0048229C" w:rsidRDefault="0072571C" w:rsidP="0072571C">
            <w:pPr>
              <w:spacing w:line="360" w:lineRule="auto"/>
              <w:jc w:val="center"/>
              <w:textAlignment w:val="bottom"/>
              <w:rPr>
                <w:rFonts w:cs="Times New Roman"/>
                <w:color w:val="000000"/>
                <w:kern w:val="24"/>
              </w:rPr>
            </w:pPr>
          </w:p>
        </w:tc>
      </w:tr>
      <w:tr w:rsidR="0072571C" w:rsidRPr="0048229C" w14:paraId="6ABC1BE5" w14:textId="77777777" w:rsidTr="0072571C">
        <w:trPr>
          <w:trHeight w:val="226"/>
        </w:trPr>
        <w:tc>
          <w:tcPr>
            <w:tcW w:w="0" w:type="auto"/>
            <w:gridSpan w:val="5"/>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bottom"/>
          </w:tcPr>
          <w:p w14:paraId="46DEC1C2" w14:textId="77777777" w:rsidR="0072571C" w:rsidRPr="003F179A" w:rsidRDefault="0072571C" w:rsidP="0072571C">
            <w:pPr>
              <w:spacing w:line="360" w:lineRule="auto"/>
              <w:jc w:val="center"/>
              <w:textAlignment w:val="bottom"/>
              <w:rPr>
                <w:rFonts w:cs="Times New Roman"/>
                <w:color w:val="000000"/>
                <w:kern w:val="24"/>
              </w:rPr>
            </w:pPr>
            <w:r w:rsidRPr="008A003E">
              <w:rPr>
                <w:b/>
              </w:rPr>
              <w:t>Week 48</w:t>
            </w:r>
            <w:r>
              <w:t xml:space="preserve"> GO-QOL</w:t>
            </w:r>
            <w:r w:rsidRPr="00FC10AC">
              <w:t xml:space="preserve"> subscales:</w:t>
            </w:r>
          </w:p>
        </w:tc>
      </w:tr>
      <w:tr w:rsidR="0072571C" w:rsidRPr="0048229C" w14:paraId="7EF3C754" w14:textId="77777777" w:rsidTr="0072571C">
        <w:trPr>
          <w:trHeight w:val="226"/>
        </w:trPr>
        <w:tc>
          <w:tcPr>
            <w:tcW w:w="0" w:type="auto"/>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bottom"/>
          </w:tcPr>
          <w:p w14:paraId="4D871A06" w14:textId="77777777" w:rsidR="0072571C" w:rsidRPr="0048229C" w:rsidRDefault="0072571C" w:rsidP="0072571C">
            <w:pPr>
              <w:spacing w:line="360" w:lineRule="auto"/>
              <w:textAlignment w:val="bottom"/>
              <w:rPr>
                <w:rFonts w:cs="Times New Roman"/>
              </w:rPr>
            </w:pPr>
            <w:r>
              <w:rPr>
                <w:rFonts w:cs="Times New Roman"/>
                <w:color w:val="000000"/>
                <w:kern w:val="24"/>
              </w:rPr>
              <w:t>Visual Function</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52FE3F5B" w14:textId="77777777" w:rsidR="0072571C" w:rsidRPr="003F179A" w:rsidRDefault="0072571C" w:rsidP="0072571C">
            <w:pPr>
              <w:spacing w:line="360" w:lineRule="auto"/>
              <w:jc w:val="center"/>
              <w:textAlignment w:val="bottom"/>
              <w:rPr>
                <w:rFonts w:cs="Times New Roman"/>
              </w:rPr>
            </w:pPr>
            <w:r w:rsidRPr="003F179A">
              <w:rPr>
                <w:rFonts w:cs="Times New Roman"/>
                <w:color w:val="000000"/>
                <w:kern w:val="24"/>
              </w:rPr>
              <w:t>-0.017</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7ED16477" w14:textId="77777777" w:rsidR="0072571C" w:rsidRPr="003F179A" w:rsidRDefault="0072571C" w:rsidP="0072571C">
            <w:pPr>
              <w:spacing w:line="360" w:lineRule="auto"/>
              <w:jc w:val="center"/>
              <w:textAlignment w:val="bottom"/>
              <w:rPr>
                <w:rFonts w:cs="Times New Roman"/>
              </w:rPr>
            </w:pPr>
            <w:r w:rsidRPr="003F179A">
              <w:rPr>
                <w:rFonts w:cs="Times New Roman"/>
                <w:color w:val="000000"/>
                <w:kern w:val="24"/>
              </w:rPr>
              <w:t>-0.162</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42082456" w14:textId="77777777" w:rsidR="0072571C" w:rsidRPr="003F179A" w:rsidRDefault="0072571C" w:rsidP="0072571C">
            <w:pPr>
              <w:spacing w:line="360" w:lineRule="auto"/>
              <w:jc w:val="center"/>
              <w:textAlignment w:val="bottom"/>
              <w:rPr>
                <w:rFonts w:cs="Times New Roman"/>
              </w:rPr>
            </w:pPr>
            <w:r w:rsidRPr="003F179A">
              <w:rPr>
                <w:rFonts w:cs="Times New Roman"/>
                <w:color w:val="000000"/>
                <w:kern w:val="24"/>
              </w:rPr>
              <w:t>0.014</w:t>
            </w:r>
          </w:p>
        </w:tc>
        <w:tc>
          <w:tcPr>
            <w:tcW w:w="0" w:type="auto"/>
            <w:tcBorders>
              <w:top w:val="single" w:sz="4" w:space="0" w:color="000000"/>
              <w:left w:val="nil"/>
              <w:bottom w:val="nil"/>
              <w:right w:val="single" w:sz="4" w:space="0" w:color="000000"/>
            </w:tcBorders>
            <w:shd w:val="clear" w:color="auto" w:fill="auto"/>
            <w:tcMar>
              <w:top w:w="15" w:type="dxa"/>
              <w:left w:w="15" w:type="dxa"/>
              <w:bottom w:w="0" w:type="dxa"/>
              <w:right w:w="15" w:type="dxa"/>
            </w:tcMar>
            <w:vAlign w:val="center"/>
          </w:tcPr>
          <w:p w14:paraId="4D66E1DD" w14:textId="77777777" w:rsidR="0072571C" w:rsidRPr="003F179A" w:rsidRDefault="0072571C" w:rsidP="0072571C">
            <w:pPr>
              <w:spacing w:line="360" w:lineRule="auto"/>
              <w:jc w:val="center"/>
              <w:textAlignment w:val="bottom"/>
              <w:rPr>
                <w:rFonts w:cs="Times New Roman"/>
              </w:rPr>
            </w:pPr>
            <w:r w:rsidRPr="003F179A">
              <w:rPr>
                <w:rFonts w:cs="Times New Roman"/>
                <w:color w:val="000000"/>
                <w:kern w:val="24"/>
              </w:rPr>
              <w:t>-0.046</w:t>
            </w:r>
          </w:p>
        </w:tc>
      </w:tr>
      <w:tr w:rsidR="0072571C" w:rsidRPr="0048229C" w14:paraId="09BCF547" w14:textId="77777777" w:rsidTr="0072571C">
        <w:trPr>
          <w:trHeight w:val="291"/>
        </w:trPr>
        <w:tc>
          <w:tcPr>
            <w:tcW w:w="0" w:type="auto"/>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bottom"/>
          </w:tcPr>
          <w:p w14:paraId="6932DEDE" w14:textId="77777777" w:rsidR="0072571C" w:rsidRPr="0048229C" w:rsidRDefault="0072571C" w:rsidP="0072571C">
            <w:pPr>
              <w:spacing w:line="360" w:lineRule="auto"/>
              <w:textAlignment w:val="bottom"/>
              <w:rPr>
                <w:rFonts w:cs="Times New Roman"/>
              </w:rPr>
            </w:pPr>
            <w:r>
              <w:rPr>
                <w:rFonts w:cs="Times New Roman"/>
                <w:color w:val="000000"/>
                <w:kern w:val="24"/>
              </w:rPr>
              <w:t>Appearance</w:t>
            </w: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5F9CE681" w14:textId="77777777" w:rsidR="0072571C" w:rsidRPr="003F179A" w:rsidRDefault="0072571C" w:rsidP="0072571C">
            <w:pPr>
              <w:spacing w:line="360" w:lineRule="auto"/>
              <w:jc w:val="center"/>
              <w:textAlignment w:val="bottom"/>
              <w:rPr>
                <w:rFonts w:cs="Times New Roman"/>
              </w:rPr>
            </w:pPr>
            <w:r w:rsidRPr="003F179A">
              <w:rPr>
                <w:rFonts w:cs="Times New Roman"/>
                <w:bCs/>
                <w:color w:val="000000"/>
                <w:kern w:val="24"/>
              </w:rPr>
              <w:t>-0.389**</w:t>
            </w: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2143C65F" w14:textId="77777777" w:rsidR="0072571C" w:rsidRPr="003F179A" w:rsidRDefault="0072571C" w:rsidP="0072571C">
            <w:pPr>
              <w:spacing w:line="360" w:lineRule="auto"/>
              <w:jc w:val="center"/>
              <w:textAlignment w:val="bottom"/>
              <w:rPr>
                <w:rFonts w:cs="Times New Roman"/>
              </w:rPr>
            </w:pPr>
            <w:r w:rsidRPr="003F179A">
              <w:rPr>
                <w:rFonts w:cs="Times New Roman"/>
                <w:bCs/>
                <w:color w:val="000000"/>
                <w:kern w:val="24"/>
              </w:rPr>
              <w:t>-0.574**</w:t>
            </w: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401DE661" w14:textId="77777777" w:rsidR="0072571C" w:rsidRPr="003F179A" w:rsidRDefault="0072571C" w:rsidP="0072571C">
            <w:pPr>
              <w:spacing w:line="360" w:lineRule="auto"/>
              <w:jc w:val="center"/>
              <w:textAlignment w:val="bottom"/>
              <w:rPr>
                <w:rFonts w:cs="Times New Roman"/>
              </w:rPr>
            </w:pPr>
            <w:r w:rsidRPr="003F179A">
              <w:rPr>
                <w:rFonts w:cs="Times New Roman"/>
                <w:bCs/>
                <w:color w:val="000000"/>
                <w:kern w:val="24"/>
              </w:rPr>
              <w:t>-0.723**</w:t>
            </w:r>
          </w:p>
        </w:tc>
        <w:tc>
          <w:tcPr>
            <w:tcW w:w="0" w:type="auto"/>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61BF619" w14:textId="77777777" w:rsidR="0072571C" w:rsidRPr="003F179A" w:rsidRDefault="0072571C" w:rsidP="0072571C">
            <w:pPr>
              <w:spacing w:line="360" w:lineRule="auto"/>
              <w:jc w:val="center"/>
              <w:textAlignment w:val="bottom"/>
              <w:rPr>
                <w:rFonts w:cs="Times New Roman"/>
              </w:rPr>
            </w:pPr>
            <w:r w:rsidRPr="003F179A">
              <w:rPr>
                <w:rFonts w:cs="Times New Roman"/>
                <w:bCs/>
                <w:color w:val="000000"/>
                <w:kern w:val="24"/>
              </w:rPr>
              <w:t>-0.678**</w:t>
            </w:r>
          </w:p>
        </w:tc>
      </w:tr>
      <w:tr w:rsidR="0072571C" w:rsidRPr="0048229C" w14:paraId="59858E93" w14:textId="77777777" w:rsidTr="0072571C">
        <w:trPr>
          <w:trHeight w:val="437"/>
        </w:trPr>
        <w:tc>
          <w:tcPr>
            <w:tcW w:w="0" w:type="auto"/>
            <w:gridSpan w:val="5"/>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vAlign w:val="bottom"/>
          </w:tcPr>
          <w:p w14:paraId="311A5041" w14:textId="77777777" w:rsidR="0072571C" w:rsidRPr="0048229C" w:rsidRDefault="0072571C" w:rsidP="0072571C">
            <w:pPr>
              <w:spacing w:line="360" w:lineRule="auto"/>
              <w:jc w:val="center"/>
              <w:textAlignment w:val="bottom"/>
              <w:rPr>
                <w:rFonts w:cs="Times New Roman"/>
                <w:color w:val="000000"/>
                <w:kern w:val="24"/>
              </w:rPr>
            </w:pPr>
            <w:r w:rsidRPr="008A003E">
              <w:rPr>
                <w:b/>
              </w:rPr>
              <w:t>Week 48</w:t>
            </w:r>
            <w:r>
              <w:t xml:space="preserve"> WHOQOL</w:t>
            </w:r>
            <w:r w:rsidRPr="00FC10AC">
              <w:t>-</w:t>
            </w:r>
            <w:proofErr w:type="spellStart"/>
            <w:r w:rsidRPr="00FC10AC">
              <w:t>Bref</w:t>
            </w:r>
            <w:proofErr w:type="spellEnd"/>
            <w:r w:rsidRPr="00FC10AC">
              <w:t xml:space="preserve"> subscales:</w:t>
            </w:r>
          </w:p>
        </w:tc>
      </w:tr>
      <w:tr w:rsidR="0072571C" w:rsidRPr="0048229C" w14:paraId="43DC2963" w14:textId="77777777" w:rsidTr="0072571C">
        <w:trPr>
          <w:trHeight w:val="437"/>
        </w:trPr>
        <w:tc>
          <w:tcPr>
            <w:tcW w:w="0" w:type="auto"/>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bottom"/>
          </w:tcPr>
          <w:p w14:paraId="73BB89BF" w14:textId="77777777" w:rsidR="0072571C" w:rsidRPr="0048229C" w:rsidRDefault="0072571C" w:rsidP="0072571C">
            <w:pPr>
              <w:spacing w:line="360" w:lineRule="auto"/>
              <w:textAlignment w:val="bottom"/>
              <w:rPr>
                <w:rFonts w:cs="Times New Roman"/>
              </w:rPr>
            </w:pPr>
            <w:r>
              <w:rPr>
                <w:rFonts w:cs="Times New Roman"/>
                <w:color w:val="000000"/>
                <w:kern w:val="24"/>
              </w:rPr>
              <w:t>Psychological</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7CA05740"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0.19</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2E401DA0"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0.017</w:t>
            </w:r>
          </w:p>
        </w:tc>
        <w:tc>
          <w:tcPr>
            <w:tcW w:w="0" w:type="auto"/>
            <w:tcBorders>
              <w:top w:val="single" w:sz="4" w:space="0" w:color="000000"/>
              <w:left w:val="nil"/>
              <w:bottom w:val="nil"/>
              <w:right w:val="nil"/>
            </w:tcBorders>
            <w:shd w:val="clear" w:color="auto" w:fill="auto"/>
            <w:tcMar>
              <w:top w:w="15" w:type="dxa"/>
              <w:left w:w="15" w:type="dxa"/>
              <w:bottom w:w="0" w:type="dxa"/>
              <w:right w:w="15" w:type="dxa"/>
            </w:tcMar>
            <w:vAlign w:val="center"/>
          </w:tcPr>
          <w:p w14:paraId="6CBD41D6"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-0.037</w:t>
            </w:r>
          </w:p>
        </w:tc>
        <w:tc>
          <w:tcPr>
            <w:tcW w:w="0" w:type="auto"/>
            <w:tcBorders>
              <w:top w:val="single" w:sz="4" w:space="0" w:color="000000"/>
              <w:left w:val="nil"/>
              <w:bottom w:val="nil"/>
              <w:right w:val="single" w:sz="4" w:space="0" w:color="000000"/>
            </w:tcBorders>
            <w:shd w:val="clear" w:color="auto" w:fill="auto"/>
            <w:tcMar>
              <w:top w:w="15" w:type="dxa"/>
              <w:left w:w="15" w:type="dxa"/>
              <w:bottom w:w="0" w:type="dxa"/>
              <w:right w:w="15" w:type="dxa"/>
            </w:tcMar>
            <w:vAlign w:val="center"/>
          </w:tcPr>
          <w:p w14:paraId="3393B038"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0.148</w:t>
            </w:r>
          </w:p>
        </w:tc>
      </w:tr>
      <w:tr w:rsidR="0072571C" w:rsidRPr="0048229C" w14:paraId="50A76B0B" w14:textId="77777777" w:rsidTr="0072571C">
        <w:trPr>
          <w:trHeight w:val="437"/>
        </w:trPr>
        <w:tc>
          <w:tcPr>
            <w:tcW w:w="0" w:type="auto"/>
            <w:tcBorders>
              <w:top w:val="nil"/>
              <w:left w:val="single" w:sz="4" w:space="0" w:color="000000"/>
              <w:bottom w:val="nil"/>
              <w:right w:val="nil"/>
            </w:tcBorders>
            <w:shd w:val="clear" w:color="auto" w:fill="auto"/>
            <w:tcMar>
              <w:top w:w="15" w:type="dxa"/>
              <w:left w:w="15" w:type="dxa"/>
              <w:bottom w:w="0" w:type="dxa"/>
              <w:right w:w="15" w:type="dxa"/>
            </w:tcMar>
            <w:vAlign w:val="bottom"/>
          </w:tcPr>
          <w:p w14:paraId="702C9B05" w14:textId="77777777" w:rsidR="0072571C" w:rsidRPr="0048229C" w:rsidRDefault="0072571C" w:rsidP="0072571C">
            <w:pPr>
              <w:spacing w:line="360" w:lineRule="auto"/>
              <w:textAlignment w:val="bottom"/>
              <w:rPr>
                <w:rFonts w:cs="Times New Roman"/>
              </w:rPr>
            </w:pPr>
            <w:r>
              <w:rPr>
                <w:rFonts w:cs="Times New Roman"/>
                <w:color w:val="000000"/>
                <w:kern w:val="24"/>
              </w:rPr>
              <w:t>Physical</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7A4409C5"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0.149</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1F37CD9E"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-0.005</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3AD7F466"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-0.106</w:t>
            </w:r>
          </w:p>
        </w:tc>
        <w:tc>
          <w:tcPr>
            <w:tcW w:w="0" w:type="auto"/>
            <w:tcBorders>
              <w:top w:val="nil"/>
              <w:left w:val="nil"/>
              <w:bottom w:val="nil"/>
              <w:right w:val="single" w:sz="4" w:space="0" w:color="000000"/>
            </w:tcBorders>
            <w:shd w:val="clear" w:color="auto" w:fill="auto"/>
            <w:tcMar>
              <w:top w:w="15" w:type="dxa"/>
              <w:left w:w="15" w:type="dxa"/>
              <w:bottom w:w="0" w:type="dxa"/>
              <w:right w:w="15" w:type="dxa"/>
            </w:tcMar>
            <w:vAlign w:val="center"/>
          </w:tcPr>
          <w:p w14:paraId="09C7CA45"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-0.024</w:t>
            </w:r>
          </w:p>
        </w:tc>
      </w:tr>
      <w:tr w:rsidR="0072571C" w:rsidRPr="0048229C" w14:paraId="1EF86E9B" w14:textId="77777777" w:rsidTr="0072571C">
        <w:trPr>
          <w:trHeight w:val="437"/>
        </w:trPr>
        <w:tc>
          <w:tcPr>
            <w:tcW w:w="0" w:type="auto"/>
            <w:tcBorders>
              <w:top w:val="nil"/>
              <w:left w:val="single" w:sz="4" w:space="0" w:color="000000"/>
              <w:bottom w:val="nil"/>
              <w:right w:val="nil"/>
            </w:tcBorders>
            <w:shd w:val="clear" w:color="auto" w:fill="auto"/>
            <w:tcMar>
              <w:top w:w="15" w:type="dxa"/>
              <w:left w:w="15" w:type="dxa"/>
              <w:bottom w:w="0" w:type="dxa"/>
              <w:right w:w="15" w:type="dxa"/>
            </w:tcMar>
            <w:vAlign w:val="bottom"/>
          </w:tcPr>
          <w:p w14:paraId="41C264C1" w14:textId="77777777" w:rsidR="0072571C" w:rsidRPr="0048229C" w:rsidRDefault="0072571C" w:rsidP="0072571C">
            <w:pPr>
              <w:spacing w:line="360" w:lineRule="auto"/>
              <w:textAlignment w:val="bottom"/>
              <w:rPr>
                <w:rFonts w:cs="Times New Roman"/>
              </w:rPr>
            </w:pPr>
            <w:r>
              <w:rPr>
                <w:rFonts w:cs="Times New Roman"/>
                <w:color w:val="000000"/>
                <w:kern w:val="24"/>
              </w:rPr>
              <w:t>Social</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59A01F32"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0.158</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6ED9AE42"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0.083</w:t>
            </w: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2FFF05CD"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-0.151</w:t>
            </w:r>
          </w:p>
        </w:tc>
        <w:tc>
          <w:tcPr>
            <w:tcW w:w="0" w:type="auto"/>
            <w:tcBorders>
              <w:top w:val="nil"/>
              <w:left w:val="nil"/>
              <w:bottom w:val="nil"/>
              <w:right w:val="single" w:sz="4" w:space="0" w:color="000000"/>
            </w:tcBorders>
            <w:shd w:val="clear" w:color="auto" w:fill="auto"/>
            <w:tcMar>
              <w:top w:w="15" w:type="dxa"/>
              <w:left w:w="15" w:type="dxa"/>
              <w:bottom w:w="0" w:type="dxa"/>
              <w:right w:w="15" w:type="dxa"/>
            </w:tcMar>
            <w:vAlign w:val="center"/>
          </w:tcPr>
          <w:p w14:paraId="658E4BA2"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0.089</w:t>
            </w:r>
          </w:p>
        </w:tc>
      </w:tr>
      <w:tr w:rsidR="0072571C" w:rsidRPr="0048229C" w14:paraId="6FEA8F44" w14:textId="77777777" w:rsidTr="0072571C">
        <w:trPr>
          <w:trHeight w:val="244"/>
        </w:trPr>
        <w:tc>
          <w:tcPr>
            <w:tcW w:w="0" w:type="auto"/>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bottom"/>
          </w:tcPr>
          <w:p w14:paraId="3BB7E13D" w14:textId="77777777" w:rsidR="0072571C" w:rsidRPr="0048229C" w:rsidRDefault="0072571C" w:rsidP="0072571C">
            <w:pPr>
              <w:spacing w:line="360" w:lineRule="auto"/>
              <w:textAlignment w:val="bottom"/>
              <w:rPr>
                <w:rFonts w:cs="Times New Roman"/>
              </w:rPr>
            </w:pPr>
            <w:r>
              <w:rPr>
                <w:rFonts w:cs="Times New Roman"/>
                <w:color w:val="000000"/>
                <w:kern w:val="24"/>
              </w:rPr>
              <w:t>Environment</w:t>
            </w: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1848AC17"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0.199</w:t>
            </w: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36FEBA69"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0.025</w:t>
            </w:r>
          </w:p>
        </w:tc>
        <w:tc>
          <w:tcPr>
            <w:tcW w:w="0" w:type="auto"/>
            <w:tcBorders>
              <w:top w:val="nil"/>
              <w:left w:val="nil"/>
              <w:bottom w:val="single" w:sz="4" w:space="0" w:color="000000"/>
              <w:right w:val="nil"/>
            </w:tcBorders>
            <w:shd w:val="clear" w:color="auto" w:fill="auto"/>
            <w:tcMar>
              <w:top w:w="15" w:type="dxa"/>
              <w:left w:w="15" w:type="dxa"/>
              <w:bottom w:w="0" w:type="dxa"/>
              <w:right w:w="15" w:type="dxa"/>
            </w:tcMar>
            <w:vAlign w:val="center"/>
          </w:tcPr>
          <w:p w14:paraId="65420FA1"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-0.07</w:t>
            </w:r>
          </w:p>
        </w:tc>
        <w:tc>
          <w:tcPr>
            <w:tcW w:w="0" w:type="auto"/>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25E8A40" w14:textId="77777777" w:rsidR="0072571C" w:rsidRPr="0048229C" w:rsidRDefault="0072571C" w:rsidP="0072571C">
            <w:pPr>
              <w:spacing w:line="360" w:lineRule="auto"/>
              <w:jc w:val="center"/>
              <w:textAlignment w:val="bottom"/>
              <w:rPr>
                <w:rFonts w:cs="Times New Roman"/>
              </w:rPr>
            </w:pPr>
            <w:r w:rsidRPr="0048229C">
              <w:rPr>
                <w:rFonts w:cs="Times New Roman"/>
                <w:color w:val="000000"/>
                <w:kern w:val="24"/>
              </w:rPr>
              <w:t>0.006</w:t>
            </w:r>
          </w:p>
        </w:tc>
      </w:tr>
    </w:tbl>
    <w:p w14:paraId="148711A0" w14:textId="77777777" w:rsidR="0072571C" w:rsidRPr="0048229C" w:rsidRDefault="0072571C" w:rsidP="0072571C">
      <w:pPr>
        <w:spacing w:line="360" w:lineRule="auto"/>
        <w:rPr>
          <w:bCs/>
        </w:rPr>
      </w:pPr>
      <w:r>
        <w:rPr>
          <w:bCs/>
        </w:rPr>
        <w:t>Key: ** = significant at p&lt;.001, *= significant at p&lt;.05</w:t>
      </w:r>
    </w:p>
    <w:p w14:paraId="5E36037E" w14:textId="1CBBEC96" w:rsidR="0072571C" w:rsidRDefault="0072571C">
      <w:pPr>
        <w:rPr>
          <w:rFonts w:ascii="Arial" w:hAnsi="Arial" w:cs="Arial"/>
          <w:sz w:val="17"/>
          <w:szCs w:val="17"/>
          <w:lang w:val="en-US"/>
        </w:rPr>
      </w:pPr>
      <w:r>
        <w:br w:type="page"/>
      </w:r>
    </w:p>
    <w:p w14:paraId="0D6A0740" w14:textId="77777777" w:rsidR="0072571C" w:rsidRPr="00C432C7" w:rsidRDefault="0072571C" w:rsidP="0072571C">
      <w:pPr>
        <w:spacing w:line="360" w:lineRule="auto"/>
        <w:rPr>
          <w:highlight w:val="yellow"/>
        </w:rPr>
      </w:pPr>
      <w:r w:rsidRPr="007874D0">
        <w:rPr>
          <w:b/>
          <w:i/>
        </w:rPr>
        <w:lastRenderedPageBreak/>
        <w:t xml:space="preserve">Table 10. Participant </w:t>
      </w:r>
      <w:r w:rsidRPr="007874D0">
        <w:rPr>
          <w:rFonts w:cs="Times New Roman"/>
          <w:b/>
          <w:i/>
        </w:rPr>
        <w:t>characteristics for</w:t>
      </w:r>
      <w:r w:rsidRPr="007874D0">
        <w:rPr>
          <w:rFonts w:cs="Times New Roman"/>
          <w:b/>
          <w:i/>
          <w:lang w:val="en-US"/>
        </w:rPr>
        <w:t xml:space="preserve"> Stage 3: </w:t>
      </w:r>
      <w:r>
        <w:rPr>
          <w:b/>
          <w:i/>
        </w:rPr>
        <w:t>Exploring discriminant validity based on BCCOM</w:t>
      </w:r>
    </w:p>
    <w:tbl>
      <w:tblPr>
        <w:tblW w:w="8222" w:type="dxa"/>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2268"/>
        <w:gridCol w:w="2977"/>
        <w:gridCol w:w="2977"/>
      </w:tblGrid>
      <w:tr w:rsidR="0072571C" w:rsidRPr="00C432C7" w14:paraId="43198AE3" w14:textId="77777777" w:rsidTr="0072571C">
        <w:trPr>
          <w:trHeight w:val="292"/>
        </w:trPr>
        <w:tc>
          <w:tcPr>
            <w:tcW w:w="2268" w:type="dxa"/>
            <w:tcBorders>
              <w:top w:val="single" w:sz="6" w:space="0" w:color="808080"/>
            </w:tcBorders>
            <w:shd w:val="clear" w:color="auto" w:fill="auto"/>
            <w:tcMar>
              <w:top w:w="20" w:type="dxa"/>
              <w:left w:w="20" w:type="dxa"/>
              <w:bottom w:w="0" w:type="dxa"/>
              <w:right w:w="20" w:type="dxa"/>
            </w:tcMar>
            <w:vAlign w:val="bottom"/>
          </w:tcPr>
          <w:p w14:paraId="37A4DC9F" w14:textId="77777777" w:rsidR="0072571C" w:rsidRPr="007874D0" w:rsidRDefault="0072571C" w:rsidP="0072571C">
            <w:pPr>
              <w:widowControl w:val="0"/>
              <w:autoSpaceDE w:val="0"/>
              <w:autoSpaceDN w:val="0"/>
              <w:adjustRightInd w:val="0"/>
              <w:spacing w:line="360" w:lineRule="auto"/>
              <w:rPr>
                <w:rFonts w:cs="Times New Roman"/>
                <w:b/>
              </w:rPr>
            </w:pPr>
            <w:r w:rsidRPr="007874D0">
              <w:rPr>
                <w:rFonts w:cs="Times New Roman"/>
                <w:b/>
              </w:rPr>
              <w:t>Variable</w:t>
            </w:r>
          </w:p>
        </w:tc>
        <w:tc>
          <w:tcPr>
            <w:tcW w:w="2977" w:type="dxa"/>
            <w:tcBorders>
              <w:top w:val="single" w:sz="6" w:space="0" w:color="808080"/>
            </w:tcBorders>
            <w:shd w:val="clear" w:color="auto" w:fill="auto"/>
            <w:tcMar>
              <w:top w:w="20" w:type="dxa"/>
              <w:left w:w="20" w:type="dxa"/>
              <w:bottom w:w="0" w:type="dxa"/>
              <w:right w:w="20" w:type="dxa"/>
            </w:tcMar>
            <w:vAlign w:val="bottom"/>
          </w:tcPr>
          <w:p w14:paraId="4AB08658" w14:textId="77777777" w:rsidR="0072571C" w:rsidRPr="007874D0" w:rsidRDefault="0072571C" w:rsidP="0072571C">
            <w:pPr>
              <w:widowControl w:val="0"/>
              <w:autoSpaceDE w:val="0"/>
              <w:autoSpaceDN w:val="0"/>
              <w:adjustRightInd w:val="0"/>
              <w:spacing w:line="360" w:lineRule="auto"/>
              <w:rPr>
                <w:rFonts w:cs="Times New Roman"/>
                <w:b/>
              </w:rPr>
            </w:pPr>
            <w:r w:rsidRPr="007874D0">
              <w:rPr>
                <w:rFonts w:cs="Times New Roman"/>
                <w:b/>
              </w:rPr>
              <w:t>Study time point 48 weeks</w:t>
            </w:r>
          </w:p>
        </w:tc>
        <w:tc>
          <w:tcPr>
            <w:tcW w:w="2977" w:type="dxa"/>
            <w:tcBorders>
              <w:top w:val="single" w:sz="6" w:space="0" w:color="808080"/>
            </w:tcBorders>
          </w:tcPr>
          <w:p w14:paraId="711EBBDA" w14:textId="77777777" w:rsidR="0072571C" w:rsidRPr="007874D0" w:rsidRDefault="0072571C" w:rsidP="0072571C">
            <w:pPr>
              <w:widowControl w:val="0"/>
              <w:autoSpaceDE w:val="0"/>
              <w:autoSpaceDN w:val="0"/>
              <w:adjustRightInd w:val="0"/>
              <w:spacing w:line="360" w:lineRule="auto"/>
              <w:rPr>
                <w:rFonts w:cs="Times New Roman"/>
                <w:b/>
              </w:rPr>
            </w:pPr>
          </w:p>
        </w:tc>
      </w:tr>
      <w:tr w:rsidR="0072571C" w:rsidRPr="00C432C7" w14:paraId="690C40A9" w14:textId="77777777" w:rsidTr="0072571C">
        <w:trPr>
          <w:trHeight w:val="292"/>
        </w:trPr>
        <w:tc>
          <w:tcPr>
            <w:tcW w:w="2268" w:type="dxa"/>
            <w:shd w:val="clear" w:color="auto" w:fill="auto"/>
            <w:tcMar>
              <w:top w:w="20" w:type="dxa"/>
              <w:left w:w="20" w:type="dxa"/>
              <w:bottom w:w="0" w:type="dxa"/>
              <w:right w:w="20" w:type="dxa"/>
            </w:tcMar>
            <w:vAlign w:val="bottom"/>
          </w:tcPr>
          <w:p w14:paraId="45F2077F" w14:textId="77777777" w:rsidR="0072571C" w:rsidRPr="007874D0" w:rsidRDefault="0072571C" w:rsidP="0072571C">
            <w:pPr>
              <w:widowControl w:val="0"/>
              <w:autoSpaceDE w:val="0"/>
              <w:autoSpaceDN w:val="0"/>
              <w:adjustRightInd w:val="0"/>
              <w:spacing w:line="360" w:lineRule="auto"/>
              <w:rPr>
                <w:rFonts w:cs="Times New Roman"/>
              </w:rPr>
            </w:pPr>
          </w:p>
        </w:tc>
        <w:tc>
          <w:tcPr>
            <w:tcW w:w="2977" w:type="dxa"/>
            <w:shd w:val="clear" w:color="auto" w:fill="auto"/>
            <w:tcMar>
              <w:top w:w="20" w:type="dxa"/>
              <w:left w:w="20" w:type="dxa"/>
              <w:bottom w:w="0" w:type="dxa"/>
              <w:right w:w="20" w:type="dxa"/>
            </w:tcMar>
            <w:vAlign w:val="bottom"/>
          </w:tcPr>
          <w:p w14:paraId="71167597" w14:textId="77777777" w:rsidR="0072571C" w:rsidRPr="007874D0" w:rsidRDefault="0072571C" w:rsidP="0072571C">
            <w:pPr>
              <w:widowControl w:val="0"/>
              <w:autoSpaceDE w:val="0"/>
              <w:autoSpaceDN w:val="0"/>
              <w:adjustRightInd w:val="0"/>
              <w:spacing w:line="360" w:lineRule="auto"/>
              <w:rPr>
                <w:rFonts w:cs="Times New Roman"/>
                <w:b/>
              </w:rPr>
            </w:pPr>
            <w:r w:rsidRPr="007874D0">
              <w:rPr>
                <w:rFonts w:cs="Times New Roman"/>
                <w:b/>
              </w:rPr>
              <w:t>-1 deteriorated</w:t>
            </w:r>
          </w:p>
        </w:tc>
        <w:tc>
          <w:tcPr>
            <w:tcW w:w="2977" w:type="dxa"/>
          </w:tcPr>
          <w:p w14:paraId="05AA15A0" w14:textId="77777777" w:rsidR="0072571C" w:rsidRPr="007874D0" w:rsidRDefault="0072571C" w:rsidP="0072571C">
            <w:pPr>
              <w:widowControl w:val="0"/>
              <w:autoSpaceDE w:val="0"/>
              <w:autoSpaceDN w:val="0"/>
              <w:adjustRightInd w:val="0"/>
              <w:spacing w:line="360" w:lineRule="auto"/>
              <w:rPr>
                <w:rFonts w:cs="Times New Roman"/>
                <w:b/>
              </w:rPr>
            </w:pPr>
            <w:r w:rsidRPr="007874D0">
              <w:rPr>
                <w:rFonts w:cs="Times New Roman"/>
                <w:b/>
              </w:rPr>
              <w:t>+1 improved</w:t>
            </w:r>
          </w:p>
        </w:tc>
      </w:tr>
      <w:tr w:rsidR="0072571C" w:rsidRPr="00C432C7" w14:paraId="1663F5F2" w14:textId="77777777" w:rsidTr="0072571C">
        <w:trPr>
          <w:trHeight w:val="292"/>
        </w:trPr>
        <w:tc>
          <w:tcPr>
            <w:tcW w:w="2268" w:type="dxa"/>
            <w:shd w:val="clear" w:color="auto" w:fill="auto"/>
            <w:tcMar>
              <w:top w:w="20" w:type="dxa"/>
              <w:left w:w="20" w:type="dxa"/>
              <w:bottom w:w="0" w:type="dxa"/>
              <w:right w:w="20" w:type="dxa"/>
            </w:tcMar>
            <w:vAlign w:val="bottom"/>
          </w:tcPr>
          <w:p w14:paraId="161993AD"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N</w:t>
            </w:r>
          </w:p>
        </w:tc>
        <w:tc>
          <w:tcPr>
            <w:tcW w:w="2977" w:type="dxa"/>
            <w:shd w:val="clear" w:color="auto" w:fill="auto"/>
            <w:tcMar>
              <w:top w:w="20" w:type="dxa"/>
              <w:left w:w="20" w:type="dxa"/>
              <w:bottom w:w="0" w:type="dxa"/>
              <w:right w:w="20" w:type="dxa"/>
            </w:tcMar>
            <w:vAlign w:val="bottom"/>
          </w:tcPr>
          <w:p w14:paraId="6E43061F"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58</w:t>
            </w:r>
          </w:p>
        </w:tc>
        <w:tc>
          <w:tcPr>
            <w:tcW w:w="2977" w:type="dxa"/>
          </w:tcPr>
          <w:p w14:paraId="1C4ECEE5"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36</w:t>
            </w:r>
          </w:p>
        </w:tc>
      </w:tr>
      <w:tr w:rsidR="0072571C" w:rsidRPr="00C432C7" w14:paraId="3466DB9E" w14:textId="77777777" w:rsidTr="0072571C">
        <w:trPr>
          <w:trHeight w:val="292"/>
        </w:trPr>
        <w:tc>
          <w:tcPr>
            <w:tcW w:w="2268" w:type="dxa"/>
            <w:shd w:val="clear" w:color="auto" w:fill="auto"/>
            <w:tcMar>
              <w:top w:w="20" w:type="dxa"/>
              <w:left w:w="20" w:type="dxa"/>
              <w:bottom w:w="0" w:type="dxa"/>
              <w:right w:w="20" w:type="dxa"/>
            </w:tcMar>
            <w:vAlign w:val="bottom"/>
          </w:tcPr>
          <w:p w14:paraId="13DEF4B9"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Age</w:t>
            </w:r>
          </w:p>
        </w:tc>
        <w:tc>
          <w:tcPr>
            <w:tcW w:w="2977" w:type="dxa"/>
            <w:shd w:val="clear" w:color="auto" w:fill="auto"/>
            <w:tcMar>
              <w:top w:w="20" w:type="dxa"/>
              <w:left w:w="20" w:type="dxa"/>
              <w:bottom w:w="0" w:type="dxa"/>
              <w:right w:w="20" w:type="dxa"/>
            </w:tcMar>
            <w:vAlign w:val="bottom"/>
          </w:tcPr>
          <w:p w14:paraId="6B5F0C56"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50.31±10.72</w:t>
            </w:r>
          </w:p>
        </w:tc>
        <w:tc>
          <w:tcPr>
            <w:tcW w:w="2977" w:type="dxa"/>
          </w:tcPr>
          <w:p w14:paraId="386922BF" w14:textId="77777777" w:rsidR="0072571C" w:rsidRPr="007874D0" w:rsidRDefault="0072571C" w:rsidP="0072571C">
            <w:pPr>
              <w:widowControl w:val="0"/>
              <w:autoSpaceDE w:val="0"/>
              <w:autoSpaceDN w:val="0"/>
              <w:adjustRightInd w:val="0"/>
              <w:spacing w:line="360" w:lineRule="auto"/>
            </w:pPr>
            <w:r w:rsidRPr="007874D0">
              <w:t>48.72±10.53</w:t>
            </w:r>
          </w:p>
        </w:tc>
      </w:tr>
      <w:tr w:rsidR="0072571C" w:rsidRPr="00C432C7" w14:paraId="21E15061" w14:textId="77777777" w:rsidTr="0072571C">
        <w:trPr>
          <w:trHeight w:val="292"/>
        </w:trPr>
        <w:tc>
          <w:tcPr>
            <w:tcW w:w="2268" w:type="dxa"/>
            <w:shd w:val="clear" w:color="auto" w:fill="auto"/>
            <w:tcMar>
              <w:top w:w="20" w:type="dxa"/>
              <w:left w:w="20" w:type="dxa"/>
              <w:bottom w:w="0" w:type="dxa"/>
              <w:right w:w="20" w:type="dxa"/>
            </w:tcMar>
            <w:vAlign w:val="bottom"/>
          </w:tcPr>
          <w:p w14:paraId="69041B41"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Sex (male/female)</w:t>
            </w:r>
          </w:p>
        </w:tc>
        <w:tc>
          <w:tcPr>
            <w:tcW w:w="2977" w:type="dxa"/>
            <w:shd w:val="clear" w:color="auto" w:fill="auto"/>
            <w:tcMar>
              <w:top w:w="20" w:type="dxa"/>
              <w:left w:w="20" w:type="dxa"/>
              <w:bottom w:w="0" w:type="dxa"/>
              <w:right w:w="20" w:type="dxa"/>
            </w:tcMar>
            <w:vAlign w:val="bottom"/>
          </w:tcPr>
          <w:p w14:paraId="5D968B2A"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12/46</w:t>
            </w:r>
          </w:p>
        </w:tc>
        <w:tc>
          <w:tcPr>
            <w:tcW w:w="2977" w:type="dxa"/>
          </w:tcPr>
          <w:p w14:paraId="7365C271" w14:textId="77777777" w:rsidR="0072571C" w:rsidRPr="007874D0" w:rsidRDefault="0072571C" w:rsidP="0072571C">
            <w:pPr>
              <w:widowControl w:val="0"/>
              <w:autoSpaceDE w:val="0"/>
              <w:autoSpaceDN w:val="0"/>
              <w:adjustRightInd w:val="0"/>
              <w:spacing w:line="360" w:lineRule="auto"/>
            </w:pPr>
            <w:r w:rsidRPr="007874D0">
              <w:t>12/24</w:t>
            </w:r>
          </w:p>
        </w:tc>
      </w:tr>
      <w:tr w:rsidR="0072571C" w:rsidRPr="00C432C7" w14:paraId="46096576" w14:textId="77777777" w:rsidTr="0072571C">
        <w:trPr>
          <w:trHeight w:val="292"/>
        </w:trPr>
        <w:tc>
          <w:tcPr>
            <w:tcW w:w="2268" w:type="dxa"/>
            <w:shd w:val="clear" w:color="auto" w:fill="auto"/>
            <w:tcMar>
              <w:top w:w="20" w:type="dxa"/>
              <w:left w:w="20" w:type="dxa"/>
              <w:bottom w:w="0" w:type="dxa"/>
              <w:right w:w="20" w:type="dxa"/>
            </w:tcMar>
            <w:vAlign w:val="bottom"/>
          </w:tcPr>
          <w:p w14:paraId="5BD55F4B" w14:textId="77777777" w:rsidR="0072571C" w:rsidRPr="007874D0" w:rsidRDefault="0072571C" w:rsidP="0072571C">
            <w:pPr>
              <w:widowControl w:val="0"/>
              <w:autoSpaceDE w:val="0"/>
              <w:autoSpaceDN w:val="0"/>
              <w:adjustRightInd w:val="0"/>
              <w:spacing w:line="360" w:lineRule="auto"/>
              <w:rPr>
                <w:rFonts w:cs="Times New Roman"/>
                <w:b/>
              </w:rPr>
            </w:pPr>
            <w:r w:rsidRPr="007874D0">
              <w:rPr>
                <w:rFonts w:cs="Times New Roman"/>
                <w:b/>
              </w:rPr>
              <w:t>Ethnicity</w:t>
            </w:r>
          </w:p>
        </w:tc>
        <w:tc>
          <w:tcPr>
            <w:tcW w:w="2977" w:type="dxa"/>
            <w:shd w:val="clear" w:color="auto" w:fill="auto"/>
            <w:tcMar>
              <w:top w:w="20" w:type="dxa"/>
              <w:left w:w="20" w:type="dxa"/>
              <w:bottom w:w="0" w:type="dxa"/>
              <w:right w:w="20" w:type="dxa"/>
            </w:tcMar>
            <w:vAlign w:val="bottom"/>
          </w:tcPr>
          <w:p w14:paraId="23B5BA15" w14:textId="77777777" w:rsidR="0072571C" w:rsidRPr="007874D0" w:rsidRDefault="0072571C" w:rsidP="0072571C">
            <w:pPr>
              <w:widowControl w:val="0"/>
              <w:autoSpaceDE w:val="0"/>
              <w:autoSpaceDN w:val="0"/>
              <w:adjustRightInd w:val="0"/>
              <w:spacing w:line="360" w:lineRule="auto"/>
              <w:rPr>
                <w:rFonts w:cs="Times New Roman"/>
              </w:rPr>
            </w:pPr>
          </w:p>
        </w:tc>
        <w:tc>
          <w:tcPr>
            <w:tcW w:w="2977" w:type="dxa"/>
          </w:tcPr>
          <w:p w14:paraId="0DB07872" w14:textId="77777777" w:rsidR="0072571C" w:rsidRPr="007874D0" w:rsidRDefault="0072571C" w:rsidP="0072571C">
            <w:pPr>
              <w:widowControl w:val="0"/>
              <w:autoSpaceDE w:val="0"/>
              <w:autoSpaceDN w:val="0"/>
              <w:adjustRightInd w:val="0"/>
              <w:spacing w:line="360" w:lineRule="auto"/>
              <w:rPr>
                <w:rFonts w:cs="Times New Roman"/>
              </w:rPr>
            </w:pPr>
          </w:p>
        </w:tc>
      </w:tr>
      <w:tr w:rsidR="0072571C" w:rsidRPr="00C432C7" w14:paraId="16D13617" w14:textId="77777777" w:rsidTr="0072571C">
        <w:trPr>
          <w:trHeight w:val="292"/>
        </w:trPr>
        <w:tc>
          <w:tcPr>
            <w:tcW w:w="2268" w:type="dxa"/>
            <w:shd w:val="clear" w:color="auto" w:fill="auto"/>
            <w:tcMar>
              <w:top w:w="20" w:type="dxa"/>
              <w:left w:w="20" w:type="dxa"/>
              <w:bottom w:w="0" w:type="dxa"/>
              <w:right w:w="20" w:type="dxa"/>
            </w:tcMar>
            <w:vAlign w:val="bottom"/>
          </w:tcPr>
          <w:p w14:paraId="7186349C"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Caucasian/Black</w:t>
            </w:r>
          </w:p>
        </w:tc>
        <w:tc>
          <w:tcPr>
            <w:tcW w:w="2977" w:type="dxa"/>
            <w:shd w:val="clear" w:color="auto" w:fill="auto"/>
            <w:tcMar>
              <w:top w:w="20" w:type="dxa"/>
              <w:left w:w="20" w:type="dxa"/>
              <w:bottom w:w="0" w:type="dxa"/>
              <w:right w:w="20" w:type="dxa"/>
            </w:tcMar>
            <w:vAlign w:val="bottom"/>
          </w:tcPr>
          <w:p w14:paraId="449D2F38"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46/4</w:t>
            </w:r>
          </w:p>
        </w:tc>
        <w:tc>
          <w:tcPr>
            <w:tcW w:w="2977" w:type="dxa"/>
          </w:tcPr>
          <w:p w14:paraId="5D295C92"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22/6</w:t>
            </w:r>
          </w:p>
        </w:tc>
      </w:tr>
      <w:tr w:rsidR="0072571C" w:rsidRPr="00C432C7" w14:paraId="0DE45B4D" w14:textId="77777777" w:rsidTr="0072571C">
        <w:trPr>
          <w:trHeight w:val="292"/>
        </w:trPr>
        <w:tc>
          <w:tcPr>
            <w:tcW w:w="2268" w:type="dxa"/>
            <w:shd w:val="clear" w:color="auto" w:fill="auto"/>
            <w:tcMar>
              <w:top w:w="20" w:type="dxa"/>
              <w:left w:w="20" w:type="dxa"/>
              <w:bottom w:w="0" w:type="dxa"/>
              <w:right w:w="20" w:type="dxa"/>
            </w:tcMar>
            <w:vAlign w:val="bottom"/>
          </w:tcPr>
          <w:p w14:paraId="7314DD27"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Asian/Oriental</w:t>
            </w:r>
          </w:p>
        </w:tc>
        <w:tc>
          <w:tcPr>
            <w:tcW w:w="2977" w:type="dxa"/>
            <w:shd w:val="clear" w:color="auto" w:fill="auto"/>
            <w:tcMar>
              <w:top w:w="20" w:type="dxa"/>
              <w:left w:w="20" w:type="dxa"/>
              <w:bottom w:w="0" w:type="dxa"/>
              <w:right w:w="20" w:type="dxa"/>
            </w:tcMar>
            <w:vAlign w:val="bottom"/>
          </w:tcPr>
          <w:p w14:paraId="02752858"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5/2</w:t>
            </w:r>
          </w:p>
        </w:tc>
        <w:tc>
          <w:tcPr>
            <w:tcW w:w="2977" w:type="dxa"/>
          </w:tcPr>
          <w:p w14:paraId="63995F28" w14:textId="77777777" w:rsidR="0072571C" w:rsidRPr="007874D0" w:rsidRDefault="0072571C" w:rsidP="0072571C">
            <w:pPr>
              <w:widowControl w:val="0"/>
              <w:autoSpaceDE w:val="0"/>
              <w:autoSpaceDN w:val="0"/>
              <w:adjustRightInd w:val="0"/>
              <w:spacing w:line="360" w:lineRule="auto"/>
              <w:rPr>
                <w:rFonts w:cs="Times New Roman"/>
              </w:rPr>
            </w:pPr>
            <w:r w:rsidRPr="007874D0">
              <w:rPr>
                <w:rFonts w:cs="Times New Roman"/>
              </w:rPr>
              <w:t>4/1</w:t>
            </w:r>
          </w:p>
        </w:tc>
      </w:tr>
      <w:tr w:rsidR="0072571C" w:rsidRPr="0048229C" w14:paraId="49C97749" w14:textId="77777777" w:rsidTr="0072571C">
        <w:trPr>
          <w:trHeight w:val="292"/>
        </w:trPr>
        <w:tc>
          <w:tcPr>
            <w:tcW w:w="2268" w:type="dxa"/>
            <w:shd w:val="clear" w:color="auto" w:fill="auto"/>
            <w:tcMar>
              <w:top w:w="20" w:type="dxa"/>
              <w:left w:w="20" w:type="dxa"/>
              <w:bottom w:w="0" w:type="dxa"/>
              <w:right w:w="20" w:type="dxa"/>
            </w:tcMar>
            <w:vAlign w:val="bottom"/>
          </w:tcPr>
          <w:p w14:paraId="0C8F5452" w14:textId="77777777" w:rsidR="0072571C" w:rsidRPr="0048229C" w:rsidRDefault="0072571C" w:rsidP="0072571C">
            <w:pPr>
              <w:widowControl w:val="0"/>
              <w:autoSpaceDE w:val="0"/>
              <w:autoSpaceDN w:val="0"/>
              <w:adjustRightInd w:val="0"/>
              <w:spacing w:line="360" w:lineRule="auto"/>
              <w:rPr>
                <w:rFonts w:cs="Times New Roman"/>
              </w:rPr>
            </w:pPr>
            <w:r w:rsidRPr="003C2DBF">
              <w:rPr>
                <w:rFonts w:cs="Times New Roman"/>
              </w:rPr>
              <w:t>Other/missing</w:t>
            </w:r>
          </w:p>
        </w:tc>
        <w:tc>
          <w:tcPr>
            <w:tcW w:w="2977" w:type="dxa"/>
            <w:shd w:val="clear" w:color="auto" w:fill="auto"/>
            <w:tcMar>
              <w:top w:w="20" w:type="dxa"/>
              <w:left w:w="20" w:type="dxa"/>
              <w:bottom w:w="0" w:type="dxa"/>
              <w:right w:w="20" w:type="dxa"/>
            </w:tcMar>
            <w:vAlign w:val="bottom"/>
          </w:tcPr>
          <w:p w14:paraId="71A27BDE" w14:textId="77777777" w:rsidR="0072571C" w:rsidRPr="0048229C" w:rsidRDefault="0072571C" w:rsidP="0072571C">
            <w:pPr>
              <w:widowControl w:val="0"/>
              <w:autoSpaceDE w:val="0"/>
              <w:autoSpaceDN w:val="0"/>
              <w:adjustRightInd w:val="0"/>
              <w:spacing w:line="360" w:lineRule="auto"/>
              <w:rPr>
                <w:rFonts w:cs="Times New Roman"/>
              </w:rPr>
            </w:pPr>
            <w:r>
              <w:rPr>
                <w:rFonts w:cs="Times New Roman"/>
              </w:rPr>
              <w:t>1/0</w:t>
            </w:r>
          </w:p>
        </w:tc>
        <w:tc>
          <w:tcPr>
            <w:tcW w:w="2977" w:type="dxa"/>
          </w:tcPr>
          <w:p w14:paraId="0176E8B1" w14:textId="77777777" w:rsidR="0072571C" w:rsidRPr="0048229C" w:rsidRDefault="0072571C" w:rsidP="0072571C">
            <w:pPr>
              <w:widowControl w:val="0"/>
              <w:autoSpaceDE w:val="0"/>
              <w:autoSpaceDN w:val="0"/>
              <w:adjustRightInd w:val="0"/>
              <w:spacing w:line="360" w:lineRule="auto"/>
              <w:rPr>
                <w:rFonts w:cs="Times New Roman"/>
              </w:rPr>
            </w:pPr>
            <w:r>
              <w:rPr>
                <w:rFonts w:cs="Times New Roman"/>
              </w:rPr>
              <w:t>3/0</w:t>
            </w:r>
          </w:p>
        </w:tc>
      </w:tr>
    </w:tbl>
    <w:p w14:paraId="706FF894" w14:textId="33812C50" w:rsidR="0072571C" w:rsidRDefault="0072571C" w:rsidP="00B56C13">
      <w:pPr>
        <w:pStyle w:val="p1"/>
      </w:pPr>
    </w:p>
    <w:p w14:paraId="7D8DD4D9" w14:textId="77777777" w:rsidR="0072571C" w:rsidRDefault="0072571C">
      <w:pPr>
        <w:rPr>
          <w:rFonts w:ascii="Arial" w:hAnsi="Arial" w:cs="Arial"/>
          <w:sz w:val="17"/>
          <w:szCs w:val="17"/>
          <w:lang w:val="en-US"/>
        </w:rPr>
      </w:pPr>
      <w:r>
        <w:br w:type="page"/>
      </w:r>
    </w:p>
    <w:p w14:paraId="28C1B05C" w14:textId="77777777" w:rsidR="0072571C" w:rsidRPr="00A433B1" w:rsidRDefault="0072571C" w:rsidP="0072571C">
      <w:pPr>
        <w:spacing w:line="360" w:lineRule="auto"/>
        <w:rPr>
          <w:b/>
          <w:bCs/>
          <w:i/>
        </w:rPr>
      </w:pPr>
      <w:r w:rsidRPr="00A433B1">
        <w:rPr>
          <w:b/>
          <w:i/>
        </w:rPr>
        <w:lastRenderedPageBreak/>
        <w:t>Table 1</w:t>
      </w:r>
      <w:r>
        <w:rPr>
          <w:b/>
          <w:i/>
        </w:rPr>
        <w:t>1</w:t>
      </w:r>
      <w:r w:rsidRPr="00A433B1">
        <w:rPr>
          <w:b/>
          <w:i/>
        </w:rPr>
        <w:t xml:space="preserve">. </w:t>
      </w:r>
      <w:r w:rsidRPr="00A433B1">
        <w:rPr>
          <w:b/>
          <w:bCs/>
          <w:i/>
        </w:rPr>
        <w:t xml:space="preserve">Comparing means of </w:t>
      </w:r>
      <w:r>
        <w:rPr>
          <w:b/>
          <w:bCs/>
          <w:i/>
        </w:rPr>
        <w:t>GO-QOL</w:t>
      </w:r>
      <w:r w:rsidRPr="00A433B1">
        <w:rPr>
          <w:b/>
          <w:bCs/>
          <w:i/>
        </w:rPr>
        <w:t xml:space="preserve"> </w:t>
      </w:r>
      <w:r>
        <w:rPr>
          <w:b/>
          <w:bCs/>
          <w:i/>
        </w:rPr>
        <w:t xml:space="preserve">&amp; WHOQOL </w:t>
      </w:r>
      <w:r w:rsidRPr="00A433B1">
        <w:rPr>
          <w:b/>
          <w:bCs/>
          <w:i/>
        </w:rPr>
        <w:t>sub</w:t>
      </w:r>
      <w:r>
        <w:rPr>
          <w:b/>
          <w:bCs/>
          <w:i/>
        </w:rPr>
        <w:t>scales according to BCCOM group (improved n=36, deteriorated n=58) at 48 week time point</w:t>
      </w:r>
    </w:p>
    <w:tbl>
      <w:tblPr>
        <w:tblW w:w="8926" w:type="dxa"/>
        <w:tblCellMar>
          <w:left w:w="0" w:type="dxa"/>
          <w:right w:w="0" w:type="dxa"/>
        </w:tblCellMar>
        <w:tblLook w:val="0000" w:firstRow="0" w:lastRow="0" w:firstColumn="0" w:lastColumn="0" w:noHBand="0" w:noVBand="0"/>
      </w:tblPr>
      <w:tblGrid>
        <w:gridCol w:w="1818"/>
        <w:gridCol w:w="1969"/>
        <w:gridCol w:w="1413"/>
        <w:gridCol w:w="1920"/>
        <w:gridCol w:w="1806"/>
      </w:tblGrid>
      <w:tr w:rsidR="0072571C" w:rsidRPr="0048229C" w14:paraId="5F620F5E" w14:textId="77777777" w:rsidTr="0072571C">
        <w:trPr>
          <w:trHeight w:val="229"/>
        </w:trPr>
        <w:tc>
          <w:tcPr>
            <w:tcW w:w="1818" w:type="dxa"/>
            <w:tcBorders>
              <w:top w:val="single" w:sz="4" w:space="0" w:color="000000"/>
              <w:left w:val="single" w:sz="4" w:space="0" w:color="000000"/>
              <w:bottom w:val="single" w:sz="4" w:space="0" w:color="000000"/>
              <w:right w:val="nil"/>
            </w:tcBorders>
            <w:shd w:val="clear" w:color="auto" w:fill="auto"/>
            <w:tcMar>
              <w:top w:w="20" w:type="dxa"/>
              <w:left w:w="20" w:type="dxa"/>
              <w:bottom w:w="0" w:type="dxa"/>
              <w:right w:w="20" w:type="dxa"/>
            </w:tcMar>
            <w:vAlign w:val="bottom"/>
          </w:tcPr>
          <w:p w14:paraId="299792E3" w14:textId="77777777" w:rsidR="0072571C" w:rsidRPr="0048229C" w:rsidRDefault="0072571C" w:rsidP="0072571C">
            <w:pPr>
              <w:spacing w:before="2" w:after="2" w:line="360" w:lineRule="auto"/>
              <w:rPr>
                <w:bCs/>
              </w:rPr>
            </w:pPr>
            <w:r>
              <w:rPr>
                <w:b/>
                <w:bCs/>
              </w:rPr>
              <w:t>GO-QOL</w:t>
            </w:r>
          </w:p>
        </w:tc>
        <w:tc>
          <w:tcPr>
            <w:tcW w:w="1969" w:type="dxa"/>
            <w:tcBorders>
              <w:top w:val="single" w:sz="4" w:space="0" w:color="000000"/>
              <w:left w:val="nil"/>
              <w:bottom w:val="single" w:sz="4" w:space="0" w:color="000000"/>
              <w:right w:val="nil"/>
            </w:tcBorders>
            <w:shd w:val="clear" w:color="auto" w:fill="auto"/>
            <w:tcMar>
              <w:top w:w="20" w:type="dxa"/>
              <w:left w:w="20" w:type="dxa"/>
              <w:bottom w:w="0" w:type="dxa"/>
              <w:right w:w="20" w:type="dxa"/>
            </w:tcMar>
            <w:vAlign w:val="center"/>
          </w:tcPr>
          <w:p w14:paraId="36EAE3A9" w14:textId="77777777" w:rsidR="0072571C" w:rsidRPr="00A433B1" w:rsidRDefault="0072571C" w:rsidP="0072571C">
            <w:pPr>
              <w:spacing w:before="2" w:after="2" w:line="360" w:lineRule="auto"/>
              <w:rPr>
                <w:b/>
                <w:bCs/>
              </w:rPr>
            </w:pPr>
            <w:r w:rsidRPr="0048229C">
              <w:rPr>
                <w:b/>
                <w:bCs/>
              </w:rPr>
              <w:t>BCCOM</w:t>
            </w:r>
            <w:r>
              <w:rPr>
                <w:b/>
                <w:bCs/>
              </w:rPr>
              <w:t xml:space="preserve"> group</w:t>
            </w:r>
          </w:p>
        </w:tc>
        <w:tc>
          <w:tcPr>
            <w:tcW w:w="1413" w:type="dxa"/>
            <w:tcBorders>
              <w:top w:val="single"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6C2C9206" w14:textId="77777777" w:rsidR="0072571C" w:rsidRPr="0048229C" w:rsidRDefault="0072571C" w:rsidP="0072571C">
            <w:pPr>
              <w:spacing w:before="2" w:after="2" w:line="360" w:lineRule="auto"/>
              <w:jc w:val="right"/>
              <w:rPr>
                <w:bCs/>
              </w:rPr>
            </w:pPr>
            <w:proofErr w:type="spellStart"/>
            <w:r w:rsidRPr="0048229C">
              <w:rPr>
                <w:b/>
                <w:bCs/>
              </w:rPr>
              <w:t>Mean</w:t>
            </w:r>
            <w:r w:rsidRPr="002976DC">
              <w:rPr>
                <w:b/>
                <w:bCs/>
              </w:rPr>
              <w:t>±sd</w:t>
            </w:r>
            <w:proofErr w:type="spellEnd"/>
          </w:p>
        </w:tc>
        <w:tc>
          <w:tcPr>
            <w:tcW w:w="1920" w:type="dxa"/>
            <w:tcBorders>
              <w:top w:val="single" w:sz="4" w:space="0" w:color="000000"/>
              <w:left w:val="nil"/>
              <w:bottom w:val="single" w:sz="4" w:space="0" w:color="000000"/>
              <w:right w:val="single" w:sz="4" w:space="0" w:color="000000"/>
            </w:tcBorders>
            <w:shd w:val="clear" w:color="auto" w:fill="auto"/>
            <w:tcMar>
              <w:top w:w="20" w:type="dxa"/>
              <w:left w:w="20" w:type="dxa"/>
              <w:bottom w:w="0" w:type="dxa"/>
              <w:right w:w="20" w:type="dxa"/>
            </w:tcMar>
            <w:vAlign w:val="bottom"/>
          </w:tcPr>
          <w:p w14:paraId="04EAE2E6" w14:textId="77777777" w:rsidR="0072571C" w:rsidRPr="0048229C" w:rsidRDefault="0072571C" w:rsidP="0072571C">
            <w:pPr>
              <w:spacing w:before="2" w:after="2" w:line="360" w:lineRule="auto"/>
              <w:jc w:val="center"/>
              <w:rPr>
                <w:bCs/>
              </w:rPr>
            </w:pPr>
            <w:r>
              <w:rPr>
                <w:b/>
                <w:bCs/>
              </w:rPr>
              <w:t>p  value</w:t>
            </w:r>
          </w:p>
        </w:tc>
        <w:tc>
          <w:tcPr>
            <w:tcW w:w="1806" w:type="dxa"/>
            <w:tcBorders>
              <w:top w:val="single" w:sz="4" w:space="0" w:color="000000"/>
              <w:left w:val="nil"/>
              <w:bottom w:val="single" w:sz="4" w:space="0" w:color="000000"/>
              <w:right w:val="single" w:sz="4" w:space="0" w:color="000000"/>
            </w:tcBorders>
          </w:tcPr>
          <w:p w14:paraId="420F48A1" w14:textId="77777777" w:rsidR="0072571C" w:rsidRDefault="0072571C" w:rsidP="0072571C">
            <w:pPr>
              <w:spacing w:before="2" w:after="2" w:line="360" w:lineRule="auto"/>
              <w:jc w:val="center"/>
              <w:rPr>
                <w:b/>
                <w:bCs/>
              </w:rPr>
            </w:pPr>
            <w:r>
              <w:rPr>
                <w:b/>
                <w:bCs/>
              </w:rPr>
              <w:t>Cohen’s d (CI)</w:t>
            </w:r>
          </w:p>
        </w:tc>
      </w:tr>
      <w:tr w:rsidR="0072571C" w:rsidRPr="0048229C" w14:paraId="48B52543"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4FF482E8" w14:textId="77777777" w:rsidR="0072571C" w:rsidRPr="00A433B1" w:rsidRDefault="0072571C" w:rsidP="0072571C">
            <w:pPr>
              <w:spacing w:before="2" w:after="2" w:line="360" w:lineRule="auto"/>
              <w:rPr>
                <w:bCs/>
              </w:rPr>
            </w:pPr>
            <w:r w:rsidRPr="00A433B1">
              <w:rPr>
                <w:bCs/>
              </w:rPr>
              <w:t>Visual Function</w:t>
            </w: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724EDE7D" w14:textId="77777777" w:rsidR="0072571C" w:rsidRPr="0048229C" w:rsidRDefault="0072571C" w:rsidP="0072571C">
            <w:pPr>
              <w:spacing w:before="2" w:after="2" w:line="360" w:lineRule="auto"/>
              <w:rPr>
                <w:bCs/>
              </w:rPr>
            </w:pPr>
            <w:r>
              <w:rPr>
                <w:bCs/>
              </w:rPr>
              <w:t>+</w:t>
            </w:r>
            <w:r w:rsidRPr="0048229C">
              <w:rPr>
                <w:bCs/>
              </w:rPr>
              <w:t>1</w:t>
            </w:r>
            <w:r>
              <w:rPr>
                <w:bCs/>
              </w:rPr>
              <w:t xml:space="preserve"> (improved) </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56BA43F1" w14:textId="77777777" w:rsidR="0072571C" w:rsidRPr="00A433B1" w:rsidRDefault="0072571C" w:rsidP="0072571C">
            <w:pPr>
              <w:spacing w:before="2" w:after="2" w:line="360" w:lineRule="auto"/>
              <w:jc w:val="right"/>
              <w:rPr>
                <w:bCs/>
              </w:rPr>
            </w:pPr>
            <w:r>
              <w:rPr>
                <w:bCs/>
              </w:rPr>
              <w:t>83.06±21.06</w:t>
            </w:r>
          </w:p>
        </w:tc>
        <w:tc>
          <w:tcPr>
            <w:tcW w:w="1920" w:type="dxa"/>
            <w:vMerge w:val="restart"/>
            <w:tcBorders>
              <w:top w:val="nil"/>
              <w:left w:val="nil"/>
              <w:right w:val="single" w:sz="4" w:space="0" w:color="000000"/>
            </w:tcBorders>
            <w:shd w:val="clear" w:color="auto" w:fill="auto"/>
            <w:tcMar>
              <w:top w:w="20" w:type="dxa"/>
              <w:left w:w="20" w:type="dxa"/>
              <w:bottom w:w="0" w:type="dxa"/>
              <w:right w:w="20" w:type="dxa"/>
            </w:tcMar>
            <w:vAlign w:val="center"/>
          </w:tcPr>
          <w:p w14:paraId="42CD48FF" w14:textId="77777777" w:rsidR="0072571C" w:rsidRPr="00A433B1" w:rsidRDefault="0072571C" w:rsidP="0072571C">
            <w:pPr>
              <w:spacing w:before="2" w:after="2" w:line="360" w:lineRule="auto"/>
              <w:jc w:val="center"/>
              <w:rPr>
                <w:bCs/>
              </w:rPr>
            </w:pPr>
            <w:r w:rsidRPr="00A433B1">
              <w:rPr>
                <w:bCs/>
              </w:rPr>
              <w:t>0.00</w:t>
            </w:r>
            <w:r>
              <w:rPr>
                <w:bCs/>
              </w:rPr>
              <w:t>6</w:t>
            </w:r>
          </w:p>
        </w:tc>
        <w:tc>
          <w:tcPr>
            <w:tcW w:w="1806" w:type="dxa"/>
            <w:vMerge w:val="restart"/>
            <w:tcBorders>
              <w:top w:val="nil"/>
              <w:left w:val="nil"/>
              <w:right w:val="single" w:sz="4" w:space="0" w:color="000000"/>
            </w:tcBorders>
            <w:vAlign w:val="center"/>
          </w:tcPr>
          <w:p w14:paraId="58762D4F" w14:textId="77777777" w:rsidR="0072571C" w:rsidRPr="00A433B1" w:rsidRDefault="0072571C" w:rsidP="0072571C">
            <w:pPr>
              <w:spacing w:before="2" w:after="2" w:line="360" w:lineRule="auto"/>
              <w:jc w:val="center"/>
              <w:rPr>
                <w:bCs/>
              </w:rPr>
            </w:pPr>
            <w:r>
              <w:rPr>
                <w:bCs/>
              </w:rPr>
              <w:t>0.6 medium      (CI 0.19 – 1.04)</w:t>
            </w:r>
          </w:p>
        </w:tc>
      </w:tr>
      <w:tr w:rsidR="0072571C" w:rsidRPr="0048229C" w14:paraId="2DF0CFDF"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686354F4" w14:textId="77777777" w:rsidR="0072571C" w:rsidRPr="00A433B1" w:rsidRDefault="0072571C" w:rsidP="0072571C">
            <w:pPr>
              <w:spacing w:before="2" w:after="2" w:line="360" w:lineRule="auto"/>
              <w:rPr>
                <w:bCs/>
              </w:rPr>
            </w:pP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45BEF7C5" w14:textId="77777777" w:rsidR="0072571C" w:rsidRPr="0048229C" w:rsidRDefault="0072571C" w:rsidP="0072571C">
            <w:pPr>
              <w:spacing w:before="2" w:after="2" w:line="360" w:lineRule="auto"/>
              <w:rPr>
                <w:bCs/>
              </w:rPr>
            </w:pPr>
            <w:r>
              <w:rPr>
                <w:bCs/>
              </w:rPr>
              <w:t>-</w:t>
            </w:r>
            <w:r w:rsidRPr="0048229C">
              <w:rPr>
                <w:bCs/>
              </w:rPr>
              <w:t>1</w:t>
            </w:r>
            <w:r>
              <w:rPr>
                <w:bCs/>
              </w:rPr>
              <w:t>(deteriorated)</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4A342652" w14:textId="77777777" w:rsidR="0072571C" w:rsidRPr="00A433B1" w:rsidRDefault="0072571C" w:rsidP="0072571C">
            <w:pPr>
              <w:spacing w:before="2" w:after="2" w:line="360" w:lineRule="auto"/>
              <w:jc w:val="right"/>
              <w:rPr>
                <w:bCs/>
              </w:rPr>
            </w:pPr>
            <w:r w:rsidRPr="00A433B1">
              <w:rPr>
                <w:bCs/>
              </w:rPr>
              <w:t>6</w:t>
            </w:r>
            <w:r>
              <w:rPr>
                <w:bCs/>
              </w:rPr>
              <w:t>7</w:t>
            </w:r>
            <w:r w:rsidRPr="00A433B1">
              <w:rPr>
                <w:bCs/>
              </w:rPr>
              <w:t>.</w:t>
            </w:r>
            <w:r>
              <w:rPr>
                <w:bCs/>
              </w:rPr>
              <w:t>86±26.46</w:t>
            </w:r>
          </w:p>
        </w:tc>
        <w:tc>
          <w:tcPr>
            <w:tcW w:w="1920" w:type="dxa"/>
            <w:vMerge/>
            <w:tcBorders>
              <w:left w:val="nil"/>
              <w:bottom w:val="nil"/>
              <w:right w:val="single" w:sz="4" w:space="0" w:color="000000"/>
            </w:tcBorders>
            <w:shd w:val="clear" w:color="auto" w:fill="auto"/>
            <w:tcMar>
              <w:top w:w="20" w:type="dxa"/>
              <w:left w:w="20" w:type="dxa"/>
              <w:bottom w:w="0" w:type="dxa"/>
              <w:right w:w="20" w:type="dxa"/>
            </w:tcMar>
            <w:vAlign w:val="center"/>
          </w:tcPr>
          <w:p w14:paraId="4DAEE4E4" w14:textId="77777777" w:rsidR="0072571C" w:rsidRPr="00A433B1" w:rsidRDefault="0072571C" w:rsidP="0072571C">
            <w:pPr>
              <w:spacing w:before="2" w:after="2" w:line="360" w:lineRule="auto"/>
              <w:jc w:val="center"/>
              <w:rPr>
                <w:bCs/>
              </w:rPr>
            </w:pPr>
          </w:p>
        </w:tc>
        <w:tc>
          <w:tcPr>
            <w:tcW w:w="1806" w:type="dxa"/>
            <w:vMerge/>
            <w:tcBorders>
              <w:left w:val="nil"/>
              <w:bottom w:val="nil"/>
              <w:right w:val="single" w:sz="4" w:space="0" w:color="000000"/>
            </w:tcBorders>
            <w:vAlign w:val="center"/>
          </w:tcPr>
          <w:p w14:paraId="498FD525" w14:textId="77777777" w:rsidR="0072571C" w:rsidRPr="00A433B1" w:rsidRDefault="0072571C" w:rsidP="0072571C">
            <w:pPr>
              <w:spacing w:before="2" w:after="2" w:line="360" w:lineRule="auto"/>
              <w:jc w:val="center"/>
              <w:rPr>
                <w:bCs/>
              </w:rPr>
            </w:pPr>
          </w:p>
        </w:tc>
      </w:tr>
      <w:tr w:rsidR="0072571C" w:rsidRPr="0048229C" w14:paraId="3738F933"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0A637947" w14:textId="77777777" w:rsidR="0072571C" w:rsidRPr="00A433B1" w:rsidRDefault="0072571C" w:rsidP="0072571C">
            <w:pPr>
              <w:spacing w:before="2" w:after="2" w:line="360" w:lineRule="auto"/>
              <w:rPr>
                <w:bCs/>
              </w:rPr>
            </w:pPr>
            <w:r w:rsidRPr="00A433B1">
              <w:rPr>
                <w:bCs/>
              </w:rPr>
              <w:t>Appearance</w:t>
            </w: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25305569" w14:textId="77777777" w:rsidR="0072571C" w:rsidRPr="0048229C" w:rsidRDefault="0072571C" w:rsidP="0072571C">
            <w:pPr>
              <w:spacing w:before="2" w:after="2" w:line="360" w:lineRule="auto"/>
              <w:rPr>
                <w:bCs/>
              </w:rPr>
            </w:pPr>
            <w:r>
              <w:rPr>
                <w:bCs/>
              </w:rPr>
              <w:t>+</w:t>
            </w:r>
            <w:r w:rsidRPr="0048229C">
              <w:rPr>
                <w:bCs/>
              </w:rPr>
              <w:t>1</w:t>
            </w:r>
            <w:r>
              <w:rPr>
                <w:bCs/>
              </w:rPr>
              <w:t xml:space="preserve"> (improved) </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4A4974F6" w14:textId="77777777" w:rsidR="0072571C" w:rsidRPr="0048229C" w:rsidRDefault="0072571C" w:rsidP="0072571C">
            <w:pPr>
              <w:spacing w:before="2" w:after="2" w:line="360" w:lineRule="auto"/>
              <w:jc w:val="right"/>
              <w:rPr>
                <w:bCs/>
              </w:rPr>
            </w:pPr>
            <w:r>
              <w:rPr>
                <w:bCs/>
              </w:rPr>
              <w:t>64.89±28.33</w:t>
            </w:r>
          </w:p>
        </w:tc>
        <w:tc>
          <w:tcPr>
            <w:tcW w:w="1920" w:type="dxa"/>
            <w:vMerge w:val="restart"/>
            <w:tcBorders>
              <w:top w:val="nil"/>
              <w:left w:val="nil"/>
              <w:right w:val="single" w:sz="4" w:space="0" w:color="000000"/>
            </w:tcBorders>
            <w:shd w:val="clear" w:color="auto" w:fill="auto"/>
            <w:tcMar>
              <w:top w:w="20" w:type="dxa"/>
              <w:left w:w="20" w:type="dxa"/>
              <w:bottom w:w="0" w:type="dxa"/>
              <w:right w:w="20" w:type="dxa"/>
            </w:tcMar>
            <w:vAlign w:val="center"/>
          </w:tcPr>
          <w:p w14:paraId="7F18D6B5" w14:textId="77777777" w:rsidR="0072571C" w:rsidRPr="0048229C" w:rsidRDefault="0072571C" w:rsidP="0072571C">
            <w:pPr>
              <w:spacing w:before="2" w:after="2" w:line="360" w:lineRule="auto"/>
              <w:jc w:val="center"/>
              <w:rPr>
                <w:bCs/>
              </w:rPr>
            </w:pPr>
            <w:r w:rsidRPr="0048229C">
              <w:rPr>
                <w:bCs/>
              </w:rPr>
              <w:t>0.1</w:t>
            </w:r>
            <w:r>
              <w:rPr>
                <w:bCs/>
              </w:rPr>
              <w:t>52</w:t>
            </w:r>
          </w:p>
        </w:tc>
        <w:tc>
          <w:tcPr>
            <w:tcW w:w="1806" w:type="dxa"/>
            <w:vMerge w:val="restart"/>
            <w:tcBorders>
              <w:top w:val="nil"/>
              <w:left w:val="nil"/>
              <w:right w:val="single" w:sz="4" w:space="0" w:color="000000"/>
            </w:tcBorders>
            <w:vAlign w:val="center"/>
          </w:tcPr>
          <w:p w14:paraId="76F1D9AF" w14:textId="77777777" w:rsidR="0072571C" w:rsidRPr="0048229C" w:rsidRDefault="0072571C" w:rsidP="0072571C">
            <w:pPr>
              <w:spacing w:before="2" w:after="2" w:line="360" w:lineRule="auto"/>
              <w:jc w:val="center"/>
              <w:rPr>
                <w:bCs/>
              </w:rPr>
            </w:pPr>
            <w:r>
              <w:rPr>
                <w:bCs/>
              </w:rPr>
              <w:t>0.3 moderate   (CI -0.13 – 0.73)</w:t>
            </w:r>
          </w:p>
        </w:tc>
      </w:tr>
      <w:tr w:rsidR="0072571C" w:rsidRPr="0048229C" w14:paraId="7ED84019"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1FBCDF4A" w14:textId="77777777" w:rsidR="0072571C" w:rsidRPr="0048229C" w:rsidRDefault="0072571C" w:rsidP="0072571C">
            <w:pPr>
              <w:spacing w:before="2" w:after="2" w:line="360" w:lineRule="auto"/>
              <w:rPr>
                <w:b/>
                <w:bCs/>
              </w:rPr>
            </w:pP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2BCED17B" w14:textId="77777777" w:rsidR="0072571C" w:rsidRPr="0048229C" w:rsidRDefault="0072571C" w:rsidP="0072571C">
            <w:pPr>
              <w:spacing w:before="2" w:after="2" w:line="360" w:lineRule="auto"/>
              <w:rPr>
                <w:bCs/>
              </w:rPr>
            </w:pPr>
            <w:r>
              <w:rPr>
                <w:bCs/>
              </w:rPr>
              <w:t>-</w:t>
            </w:r>
            <w:r w:rsidRPr="0048229C">
              <w:rPr>
                <w:bCs/>
              </w:rPr>
              <w:t>1</w:t>
            </w:r>
            <w:r>
              <w:rPr>
                <w:bCs/>
              </w:rPr>
              <w:t xml:space="preserve"> (deteriorated)</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38472CFB" w14:textId="77777777" w:rsidR="0072571C" w:rsidRPr="0048229C" w:rsidRDefault="0072571C" w:rsidP="0072571C">
            <w:pPr>
              <w:spacing w:before="2" w:after="2" w:line="360" w:lineRule="auto"/>
              <w:jc w:val="right"/>
              <w:rPr>
                <w:bCs/>
              </w:rPr>
            </w:pPr>
            <w:r>
              <w:rPr>
                <w:bCs/>
              </w:rPr>
              <w:t>55.89±28.26</w:t>
            </w:r>
          </w:p>
        </w:tc>
        <w:tc>
          <w:tcPr>
            <w:tcW w:w="1920" w:type="dxa"/>
            <w:vMerge/>
            <w:tcBorders>
              <w:left w:val="nil"/>
              <w:bottom w:val="single" w:sz="4" w:space="0" w:color="000000"/>
              <w:right w:val="single" w:sz="4" w:space="0" w:color="000000"/>
            </w:tcBorders>
            <w:shd w:val="clear" w:color="auto" w:fill="auto"/>
            <w:tcMar>
              <w:top w:w="20" w:type="dxa"/>
              <w:left w:w="20" w:type="dxa"/>
              <w:bottom w:w="0" w:type="dxa"/>
              <w:right w:w="20" w:type="dxa"/>
            </w:tcMar>
            <w:vAlign w:val="bottom"/>
          </w:tcPr>
          <w:p w14:paraId="1D957619" w14:textId="77777777" w:rsidR="0072571C" w:rsidRPr="0048229C" w:rsidRDefault="0072571C" w:rsidP="0072571C">
            <w:pPr>
              <w:spacing w:before="2" w:after="2" w:line="360" w:lineRule="auto"/>
              <w:jc w:val="right"/>
              <w:rPr>
                <w:bCs/>
              </w:rPr>
            </w:pPr>
          </w:p>
        </w:tc>
        <w:tc>
          <w:tcPr>
            <w:tcW w:w="1806" w:type="dxa"/>
            <w:vMerge/>
            <w:tcBorders>
              <w:left w:val="nil"/>
              <w:bottom w:val="single" w:sz="4" w:space="0" w:color="000000"/>
              <w:right w:val="single" w:sz="4" w:space="0" w:color="000000"/>
            </w:tcBorders>
          </w:tcPr>
          <w:p w14:paraId="09E0598E" w14:textId="77777777" w:rsidR="0072571C" w:rsidRPr="0048229C" w:rsidRDefault="0072571C" w:rsidP="0072571C">
            <w:pPr>
              <w:spacing w:before="2" w:after="2" w:line="360" w:lineRule="auto"/>
              <w:jc w:val="right"/>
              <w:rPr>
                <w:bCs/>
              </w:rPr>
            </w:pPr>
          </w:p>
        </w:tc>
      </w:tr>
      <w:tr w:rsidR="0072571C" w:rsidRPr="0048229C" w14:paraId="46ACD047"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49200308" w14:textId="77777777" w:rsidR="0072571C" w:rsidRPr="0048229C" w:rsidRDefault="0072571C" w:rsidP="0072571C">
            <w:pPr>
              <w:spacing w:before="2" w:after="2" w:line="360" w:lineRule="auto"/>
              <w:rPr>
                <w:b/>
                <w:bCs/>
              </w:rPr>
            </w:pPr>
            <w:r>
              <w:rPr>
                <w:b/>
                <w:bCs/>
              </w:rPr>
              <w:t>WHOQOL</w:t>
            </w: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6C211ECC" w14:textId="77777777" w:rsidR="0072571C" w:rsidRDefault="0072571C" w:rsidP="0072571C">
            <w:pPr>
              <w:spacing w:before="2" w:after="2" w:line="360" w:lineRule="auto"/>
              <w:rPr>
                <w:bCs/>
              </w:rPr>
            </w:pP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4DA77098" w14:textId="77777777" w:rsidR="0072571C" w:rsidRDefault="0072571C" w:rsidP="0072571C">
            <w:pPr>
              <w:spacing w:before="2" w:after="2" w:line="360" w:lineRule="auto"/>
              <w:jc w:val="right"/>
              <w:rPr>
                <w:bCs/>
              </w:rPr>
            </w:pPr>
          </w:p>
        </w:tc>
        <w:tc>
          <w:tcPr>
            <w:tcW w:w="1920" w:type="dxa"/>
            <w:tcBorders>
              <w:left w:val="nil"/>
              <w:right w:val="single" w:sz="4" w:space="0" w:color="000000"/>
            </w:tcBorders>
            <w:shd w:val="clear" w:color="auto" w:fill="auto"/>
            <w:tcMar>
              <w:top w:w="20" w:type="dxa"/>
              <w:left w:w="20" w:type="dxa"/>
              <w:bottom w:w="0" w:type="dxa"/>
              <w:right w:w="20" w:type="dxa"/>
            </w:tcMar>
            <w:vAlign w:val="bottom"/>
          </w:tcPr>
          <w:p w14:paraId="2B97540E" w14:textId="77777777" w:rsidR="0072571C" w:rsidRPr="0048229C" w:rsidRDefault="0072571C" w:rsidP="0072571C">
            <w:pPr>
              <w:spacing w:before="2" w:after="2" w:line="360" w:lineRule="auto"/>
              <w:jc w:val="right"/>
              <w:rPr>
                <w:bCs/>
              </w:rPr>
            </w:pPr>
          </w:p>
        </w:tc>
        <w:tc>
          <w:tcPr>
            <w:tcW w:w="1806" w:type="dxa"/>
            <w:tcBorders>
              <w:left w:val="nil"/>
              <w:right w:val="single" w:sz="4" w:space="0" w:color="000000"/>
            </w:tcBorders>
          </w:tcPr>
          <w:p w14:paraId="678078F2" w14:textId="77777777" w:rsidR="0072571C" w:rsidRPr="0048229C" w:rsidRDefault="0072571C" w:rsidP="0072571C">
            <w:pPr>
              <w:spacing w:before="2" w:after="2" w:line="360" w:lineRule="auto"/>
              <w:jc w:val="right"/>
              <w:rPr>
                <w:bCs/>
              </w:rPr>
            </w:pPr>
          </w:p>
        </w:tc>
      </w:tr>
      <w:tr w:rsidR="0072571C" w:rsidRPr="0048229C" w14:paraId="55A09EF9"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6EBF1100" w14:textId="77777777" w:rsidR="0072571C" w:rsidRPr="0048229C" w:rsidRDefault="0072571C" w:rsidP="0072571C">
            <w:pPr>
              <w:spacing w:before="2" w:after="2" w:line="360" w:lineRule="auto"/>
              <w:rPr>
                <w:b/>
                <w:bCs/>
              </w:rPr>
            </w:pPr>
            <w:r>
              <w:rPr>
                <w:rFonts w:cs="Times New Roman"/>
                <w:color w:val="000000"/>
                <w:kern w:val="24"/>
              </w:rPr>
              <w:t>Psychological</w:t>
            </w: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32FC2BB4" w14:textId="77777777" w:rsidR="0072571C" w:rsidRDefault="0072571C" w:rsidP="0072571C">
            <w:pPr>
              <w:spacing w:before="2" w:after="2" w:line="360" w:lineRule="auto"/>
              <w:rPr>
                <w:bCs/>
              </w:rPr>
            </w:pPr>
            <w:r>
              <w:rPr>
                <w:bCs/>
              </w:rPr>
              <w:t>+</w:t>
            </w:r>
            <w:r w:rsidRPr="0048229C">
              <w:rPr>
                <w:bCs/>
              </w:rPr>
              <w:t>1</w:t>
            </w:r>
            <w:r>
              <w:rPr>
                <w:bCs/>
              </w:rPr>
              <w:t xml:space="preserve"> (improved) </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0F25783A" w14:textId="77777777" w:rsidR="0072571C" w:rsidRDefault="0072571C" w:rsidP="0072571C">
            <w:pPr>
              <w:spacing w:before="2" w:after="2" w:line="360" w:lineRule="auto"/>
              <w:jc w:val="right"/>
              <w:rPr>
                <w:bCs/>
              </w:rPr>
            </w:pPr>
            <w:r>
              <w:rPr>
                <w:bCs/>
              </w:rPr>
              <w:t>51.73±22.32</w:t>
            </w:r>
          </w:p>
        </w:tc>
        <w:tc>
          <w:tcPr>
            <w:tcW w:w="1920" w:type="dxa"/>
            <w:vMerge w:val="restart"/>
            <w:tcBorders>
              <w:left w:val="nil"/>
              <w:right w:val="single" w:sz="4" w:space="0" w:color="000000"/>
            </w:tcBorders>
            <w:shd w:val="clear" w:color="auto" w:fill="auto"/>
            <w:tcMar>
              <w:top w:w="20" w:type="dxa"/>
              <w:left w:w="20" w:type="dxa"/>
              <w:bottom w:w="0" w:type="dxa"/>
              <w:right w:w="20" w:type="dxa"/>
            </w:tcMar>
            <w:vAlign w:val="center"/>
          </w:tcPr>
          <w:p w14:paraId="2B8208C3" w14:textId="77777777" w:rsidR="0072571C" w:rsidRPr="0048229C" w:rsidRDefault="0072571C" w:rsidP="0072571C">
            <w:pPr>
              <w:spacing w:before="2" w:after="2" w:line="360" w:lineRule="auto"/>
              <w:jc w:val="center"/>
              <w:rPr>
                <w:bCs/>
              </w:rPr>
            </w:pPr>
            <w:r>
              <w:rPr>
                <w:bCs/>
              </w:rPr>
              <w:t>0.138</w:t>
            </w:r>
          </w:p>
        </w:tc>
        <w:tc>
          <w:tcPr>
            <w:tcW w:w="1806" w:type="dxa"/>
            <w:vMerge w:val="restart"/>
            <w:tcBorders>
              <w:left w:val="nil"/>
              <w:right w:val="single" w:sz="4" w:space="0" w:color="000000"/>
            </w:tcBorders>
            <w:vAlign w:val="center"/>
          </w:tcPr>
          <w:p w14:paraId="3696E374" w14:textId="77777777" w:rsidR="0072571C" w:rsidRDefault="0072571C" w:rsidP="0072571C">
            <w:pPr>
              <w:spacing w:before="2" w:after="2" w:line="360" w:lineRule="auto"/>
              <w:jc w:val="center"/>
              <w:rPr>
                <w:bCs/>
              </w:rPr>
            </w:pPr>
            <w:r>
              <w:rPr>
                <w:bCs/>
              </w:rPr>
              <w:t>0.4 moderate   (CI -0.03 – 0.83)</w:t>
            </w:r>
          </w:p>
        </w:tc>
      </w:tr>
      <w:tr w:rsidR="0072571C" w:rsidRPr="0048229C" w14:paraId="3BB30985"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0DFF9B64" w14:textId="77777777" w:rsidR="0072571C" w:rsidRPr="0048229C" w:rsidRDefault="0072571C" w:rsidP="0072571C">
            <w:pPr>
              <w:spacing w:before="2" w:after="2" w:line="360" w:lineRule="auto"/>
              <w:rPr>
                <w:b/>
                <w:bCs/>
              </w:rPr>
            </w:pP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21F8F225" w14:textId="77777777" w:rsidR="0072571C" w:rsidRDefault="0072571C" w:rsidP="0072571C">
            <w:pPr>
              <w:spacing w:before="2" w:after="2" w:line="360" w:lineRule="auto"/>
              <w:rPr>
                <w:bCs/>
              </w:rPr>
            </w:pPr>
            <w:r>
              <w:rPr>
                <w:bCs/>
              </w:rPr>
              <w:t>-</w:t>
            </w:r>
            <w:r w:rsidRPr="0048229C">
              <w:rPr>
                <w:bCs/>
              </w:rPr>
              <w:t>1</w:t>
            </w:r>
            <w:r>
              <w:rPr>
                <w:bCs/>
              </w:rPr>
              <w:t>(deteriorated)</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666E2C5D" w14:textId="77777777" w:rsidR="0072571C" w:rsidRDefault="0072571C" w:rsidP="0072571C">
            <w:pPr>
              <w:spacing w:before="2" w:after="2" w:line="360" w:lineRule="auto"/>
              <w:jc w:val="right"/>
              <w:rPr>
                <w:bCs/>
              </w:rPr>
            </w:pPr>
            <w:r>
              <w:rPr>
                <w:bCs/>
              </w:rPr>
              <w:t>59.61±19.29</w:t>
            </w:r>
          </w:p>
        </w:tc>
        <w:tc>
          <w:tcPr>
            <w:tcW w:w="1920" w:type="dxa"/>
            <w:vMerge/>
            <w:tcBorders>
              <w:left w:val="nil"/>
              <w:right w:val="single" w:sz="4" w:space="0" w:color="000000"/>
            </w:tcBorders>
            <w:shd w:val="clear" w:color="auto" w:fill="auto"/>
            <w:tcMar>
              <w:top w:w="20" w:type="dxa"/>
              <w:left w:w="20" w:type="dxa"/>
              <w:bottom w:w="0" w:type="dxa"/>
              <w:right w:w="20" w:type="dxa"/>
            </w:tcMar>
            <w:vAlign w:val="center"/>
          </w:tcPr>
          <w:p w14:paraId="2BA8CB18" w14:textId="77777777" w:rsidR="0072571C" w:rsidRPr="0048229C" w:rsidRDefault="0072571C" w:rsidP="0072571C">
            <w:pPr>
              <w:spacing w:before="2" w:after="2" w:line="360" w:lineRule="auto"/>
              <w:jc w:val="center"/>
              <w:rPr>
                <w:bCs/>
              </w:rPr>
            </w:pPr>
          </w:p>
        </w:tc>
        <w:tc>
          <w:tcPr>
            <w:tcW w:w="1806" w:type="dxa"/>
            <w:vMerge/>
            <w:tcBorders>
              <w:left w:val="nil"/>
              <w:right w:val="single" w:sz="4" w:space="0" w:color="000000"/>
            </w:tcBorders>
          </w:tcPr>
          <w:p w14:paraId="0584335C" w14:textId="77777777" w:rsidR="0072571C" w:rsidRPr="0048229C" w:rsidRDefault="0072571C" w:rsidP="0072571C">
            <w:pPr>
              <w:spacing w:before="2" w:after="2" w:line="360" w:lineRule="auto"/>
              <w:jc w:val="center"/>
              <w:rPr>
                <w:bCs/>
              </w:rPr>
            </w:pPr>
          </w:p>
        </w:tc>
      </w:tr>
      <w:tr w:rsidR="0072571C" w:rsidRPr="0048229C" w14:paraId="510B954A"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5E80F687" w14:textId="77777777" w:rsidR="0072571C" w:rsidRPr="0048229C" w:rsidRDefault="0072571C" w:rsidP="0072571C">
            <w:pPr>
              <w:spacing w:before="2" w:after="2" w:line="360" w:lineRule="auto"/>
              <w:rPr>
                <w:b/>
                <w:bCs/>
              </w:rPr>
            </w:pPr>
            <w:r>
              <w:rPr>
                <w:rFonts w:cs="Times New Roman"/>
                <w:color w:val="000000"/>
                <w:kern w:val="24"/>
              </w:rPr>
              <w:t>Physical</w:t>
            </w: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147E7043" w14:textId="77777777" w:rsidR="0072571C" w:rsidRDefault="0072571C" w:rsidP="0072571C">
            <w:pPr>
              <w:spacing w:before="2" w:after="2" w:line="360" w:lineRule="auto"/>
              <w:rPr>
                <w:bCs/>
              </w:rPr>
            </w:pPr>
            <w:r>
              <w:rPr>
                <w:bCs/>
              </w:rPr>
              <w:t>+</w:t>
            </w:r>
            <w:r w:rsidRPr="0048229C">
              <w:rPr>
                <w:bCs/>
              </w:rPr>
              <w:t>1</w:t>
            </w:r>
            <w:r>
              <w:rPr>
                <w:bCs/>
              </w:rPr>
              <w:t xml:space="preserve"> (improved) </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51A57E4D" w14:textId="77777777" w:rsidR="0072571C" w:rsidRDefault="0072571C" w:rsidP="0072571C">
            <w:pPr>
              <w:spacing w:before="2" w:after="2" w:line="360" w:lineRule="auto"/>
              <w:jc w:val="right"/>
              <w:rPr>
                <w:bCs/>
              </w:rPr>
            </w:pPr>
            <w:r>
              <w:rPr>
                <w:bCs/>
              </w:rPr>
              <w:t>58.08±22.27</w:t>
            </w:r>
          </w:p>
        </w:tc>
        <w:tc>
          <w:tcPr>
            <w:tcW w:w="1920" w:type="dxa"/>
            <w:vMerge w:val="restart"/>
            <w:tcBorders>
              <w:left w:val="nil"/>
              <w:right w:val="single" w:sz="4" w:space="0" w:color="000000"/>
            </w:tcBorders>
            <w:shd w:val="clear" w:color="auto" w:fill="auto"/>
            <w:tcMar>
              <w:top w:w="20" w:type="dxa"/>
              <w:left w:w="20" w:type="dxa"/>
              <w:bottom w:w="0" w:type="dxa"/>
              <w:right w:w="20" w:type="dxa"/>
            </w:tcMar>
            <w:vAlign w:val="center"/>
          </w:tcPr>
          <w:p w14:paraId="54EB2025" w14:textId="77777777" w:rsidR="0072571C" w:rsidRPr="0048229C" w:rsidRDefault="0072571C" w:rsidP="0072571C">
            <w:pPr>
              <w:spacing w:before="2" w:after="2" w:line="360" w:lineRule="auto"/>
              <w:jc w:val="center"/>
              <w:rPr>
                <w:bCs/>
              </w:rPr>
            </w:pPr>
            <w:r>
              <w:rPr>
                <w:bCs/>
              </w:rPr>
              <w:t>0.537</w:t>
            </w:r>
          </w:p>
        </w:tc>
        <w:tc>
          <w:tcPr>
            <w:tcW w:w="1806" w:type="dxa"/>
            <w:vMerge w:val="restart"/>
            <w:tcBorders>
              <w:left w:val="nil"/>
              <w:right w:val="single" w:sz="4" w:space="0" w:color="000000"/>
            </w:tcBorders>
            <w:vAlign w:val="center"/>
          </w:tcPr>
          <w:p w14:paraId="5B3D12EB" w14:textId="77777777" w:rsidR="0072571C" w:rsidRDefault="0072571C" w:rsidP="0072571C">
            <w:pPr>
              <w:spacing w:before="2" w:after="2" w:line="360" w:lineRule="auto"/>
              <w:jc w:val="center"/>
              <w:rPr>
                <w:bCs/>
              </w:rPr>
            </w:pPr>
            <w:r>
              <w:rPr>
                <w:bCs/>
              </w:rPr>
              <w:t>0.2 small            (CI -0.23 – 0.63)</w:t>
            </w:r>
          </w:p>
        </w:tc>
      </w:tr>
      <w:tr w:rsidR="0072571C" w:rsidRPr="0048229C" w14:paraId="33B7C465"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446B2281" w14:textId="77777777" w:rsidR="0072571C" w:rsidRPr="0048229C" w:rsidRDefault="0072571C" w:rsidP="0072571C">
            <w:pPr>
              <w:spacing w:before="2" w:after="2" w:line="360" w:lineRule="auto"/>
              <w:rPr>
                <w:b/>
                <w:bCs/>
              </w:rPr>
            </w:pP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5D179AE9" w14:textId="77777777" w:rsidR="0072571C" w:rsidRDefault="0072571C" w:rsidP="0072571C">
            <w:pPr>
              <w:spacing w:before="2" w:after="2" w:line="360" w:lineRule="auto"/>
              <w:rPr>
                <w:bCs/>
              </w:rPr>
            </w:pPr>
            <w:r>
              <w:rPr>
                <w:bCs/>
              </w:rPr>
              <w:t>-</w:t>
            </w:r>
            <w:r w:rsidRPr="0048229C">
              <w:rPr>
                <w:bCs/>
              </w:rPr>
              <w:t>1</w:t>
            </w:r>
            <w:r>
              <w:rPr>
                <w:bCs/>
              </w:rPr>
              <w:t>(deteriorated)</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6D9EB3A2" w14:textId="77777777" w:rsidR="0072571C" w:rsidRDefault="0072571C" w:rsidP="0072571C">
            <w:pPr>
              <w:spacing w:before="2" w:after="2" w:line="360" w:lineRule="auto"/>
              <w:jc w:val="right"/>
              <w:rPr>
                <w:bCs/>
              </w:rPr>
            </w:pPr>
            <w:r>
              <w:rPr>
                <w:bCs/>
              </w:rPr>
              <w:t>61.63±22.21</w:t>
            </w:r>
          </w:p>
        </w:tc>
        <w:tc>
          <w:tcPr>
            <w:tcW w:w="1920" w:type="dxa"/>
            <w:vMerge/>
            <w:tcBorders>
              <w:left w:val="nil"/>
              <w:right w:val="single" w:sz="4" w:space="0" w:color="000000"/>
            </w:tcBorders>
            <w:shd w:val="clear" w:color="auto" w:fill="auto"/>
            <w:tcMar>
              <w:top w:w="20" w:type="dxa"/>
              <w:left w:w="20" w:type="dxa"/>
              <w:bottom w:w="0" w:type="dxa"/>
              <w:right w:w="20" w:type="dxa"/>
            </w:tcMar>
            <w:vAlign w:val="center"/>
          </w:tcPr>
          <w:p w14:paraId="7C5E49A1" w14:textId="77777777" w:rsidR="0072571C" w:rsidRPr="0048229C" w:rsidRDefault="0072571C" w:rsidP="0072571C">
            <w:pPr>
              <w:spacing w:before="2" w:after="2" w:line="360" w:lineRule="auto"/>
              <w:jc w:val="center"/>
              <w:rPr>
                <w:bCs/>
              </w:rPr>
            </w:pPr>
          </w:p>
        </w:tc>
        <w:tc>
          <w:tcPr>
            <w:tcW w:w="1806" w:type="dxa"/>
            <w:vMerge/>
            <w:tcBorders>
              <w:left w:val="nil"/>
              <w:right w:val="single" w:sz="4" w:space="0" w:color="000000"/>
            </w:tcBorders>
          </w:tcPr>
          <w:p w14:paraId="483BA863" w14:textId="77777777" w:rsidR="0072571C" w:rsidRPr="0048229C" w:rsidRDefault="0072571C" w:rsidP="0072571C">
            <w:pPr>
              <w:spacing w:before="2" w:after="2" w:line="360" w:lineRule="auto"/>
              <w:jc w:val="center"/>
              <w:rPr>
                <w:bCs/>
              </w:rPr>
            </w:pPr>
          </w:p>
        </w:tc>
      </w:tr>
      <w:tr w:rsidR="0072571C" w:rsidRPr="0048229C" w14:paraId="69BF754F"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2BF615C8" w14:textId="77777777" w:rsidR="0072571C" w:rsidRPr="0048229C" w:rsidRDefault="0072571C" w:rsidP="0072571C">
            <w:pPr>
              <w:spacing w:before="2" w:after="2" w:line="360" w:lineRule="auto"/>
              <w:rPr>
                <w:b/>
                <w:bCs/>
              </w:rPr>
            </w:pPr>
            <w:r>
              <w:rPr>
                <w:rFonts w:cs="Times New Roman"/>
                <w:color w:val="000000"/>
                <w:kern w:val="24"/>
              </w:rPr>
              <w:t>Social</w:t>
            </w: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1AAE7140" w14:textId="77777777" w:rsidR="0072571C" w:rsidRDefault="0072571C" w:rsidP="0072571C">
            <w:pPr>
              <w:spacing w:before="2" w:after="2" w:line="360" w:lineRule="auto"/>
              <w:rPr>
                <w:bCs/>
              </w:rPr>
            </w:pPr>
            <w:r>
              <w:rPr>
                <w:bCs/>
              </w:rPr>
              <w:t>+</w:t>
            </w:r>
            <w:r w:rsidRPr="0048229C">
              <w:rPr>
                <w:bCs/>
              </w:rPr>
              <w:t>1</w:t>
            </w:r>
            <w:r>
              <w:rPr>
                <w:bCs/>
              </w:rPr>
              <w:t xml:space="preserve"> (improved) </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313B64B1" w14:textId="77777777" w:rsidR="0072571C" w:rsidRDefault="0072571C" w:rsidP="0072571C">
            <w:pPr>
              <w:spacing w:before="2" w:after="2" w:line="360" w:lineRule="auto"/>
              <w:jc w:val="right"/>
              <w:rPr>
                <w:bCs/>
              </w:rPr>
            </w:pPr>
            <w:r>
              <w:rPr>
                <w:bCs/>
              </w:rPr>
              <w:t>56.30±23.75</w:t>
            </w:r>
          </w:p>
        </w:tc>
        <w:tc>
          <w:tcPr>
            <w:tcW w:w="1920" w:type="dxa"/>
            <w:vMerge w:val="restart"/>
            <w:tcBorders>
              <w:left w:val="nil"/>
              <w:right w:val="single" w:sz="4" w:space="0" w:color="000000"/>
            </w:tcBorders>
            <w:shd w:val="clear" w:color="auto" w:fill="auto"/>
            <w:tcMar>
              <w:top w:w="20" w:type="dxa"/>
              <w:left w:w="20" w:type="dxa"/>
              <w:bottom w:w="0" w:type="dxa"/>
              <w:right w:w="20" w:type="dxa"/>
            </w:tcMar>
            <w:vAlign w:val="center"/>
          </w:tcPr>
          <w:p w14:paraId="4E9295DE" w14:textId="77777777" w:rsidR="0072571C" w:rsidRPr="0048229C" w:rsidRDefault="0072571C" w:rsidP="0072571C">
            <w:pPr>
              <w:spacing w:before="2" w:after="2" w:line="360" w:lineRule="auto"/>
              <w:jc w:val="center"/>
              <w:rPr>
                <w:bCs/>
              </w:rPr>
            </w:pPr>
            <w:r>
              <w:rPr>
                <w:bCs/>
              </w:rPr>
              <w:t>0.083</w:t>
            </w:r>
          </w:p>
        </w:tc>
        <w:tc>
          <w:tcPr>
            <w:tcW w:w="1806" w:type="dxa"/>
            <w:vMerge w:val="restart"/>
            <w:tcBorders>
              <w:left w:val="nil"/>
              <w:right w:val="single" w:sz="4" w:space="0" w:color="000000"/>
            </w:tcBorders>
            <w:vAlign w:val="center"/>
          </w:tcPr>
          <w:p w14:paraId="688C4EFF" w14:textId="77777777" w:rsidR="0072571C" w:rsidRDefault="0072571C" w:rsidP="0072571C">
            <w:pPr>
              <w:spacing w:before="2" w:after="2" w:line="360" w:lineRule="auto"/>
              <w:jc w:val="center"/>
              <w:rPr>
                <w:bCs/>
              </w:rPr>
            </w:pPr>
            <w:r>
              <w:rPr>
                <w:bCs/>
              </w:rPr>
              <w:t>0.5 medium      (CI -0.89 – -0.05)</w:t>
            </w:r>
          </w:p>
        </w:tc>
      </w:tr>
      <w:tr w:rsidR="0072571C" w:rsidRPr="0048229C" w14:paraId="2D8218F2"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71044E62" w14:textId="77777777" w:rsidR="0072571C" w:rsidRDefault="0072571C" w:rsidP="0072571C">
            <w:pPr>
              <w:spacing w:before="2" w:after="2" w:line="360" w:lineRule="auto"/>
              <w:rPr>
                <w:rFonts w:cs="Times New Roman"/>
                <w:color w:val="000000"/>
                <w:kern w:val="24"/>
              </w:rPr>
            </w:pP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4D3FFB04" w14:textId="77777777" w:rsidR="0072571C" w:rsidRDefault="0072571C" w:rsidP="0072571C">
            <w:pPr>
              <w:spacing w:before="2" w:after="2" w:line="360" w:lineRule="auto"/>
              <w:rPr>
                <w:bCs/>
              </w:rPr>
            </w:pPr>
            <w:r>
              <w:rPr>
                <w:bCs/>
              </w:rPr>
              <w:t>-</w:t>
            </w:r>
            <w:r w:rsidRPr="0048229C">
              <w:rPr>
                <w:bCs/>
              </w:rPr>
              <w:t>1</w:t>
            </w:r>
            <w:r>
              <w:rPr>
                <w:bCs/>
              </w:rPr>
              <w:t>(deteriorated)</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2A8D9435" w14:textId="77777777" w:rsidR="0072571C" w:rsidRDefault="0072571C" w:rsidP="0072571C">
            <w:pPr>
              <w:spacing w:before="2" w:after="2" w:line="360" w:lineRule="auto"/>
              <w:jc w:val="right"/>
              <w:rPr>
                <w:bCs/>
              </w:rPr>
            </w:pPr>
            <w:r>
              <w:rPr>
                <w:bCs/>
              </w:rPr>
              <w:t>67.34±22.96</w:t>
            </w:r>
          </w:p>
        </w:tc>
        <w:tc>
          <w:tcPr>
            <w:tcW w:w="1920" w:type="dxa"/>
            <w:vMerge/>
            <w:tcBorders>
              <w:left w:val="nil"/>
              <w:right w:val="single" w:sz="4" w:space="0" w:color="000000"/>
            </w:tcBorders>
            <w:shd w:val="clear" w:color="auto" w:fill="auto"/>
            <w:tcMar>
              <w:top w:w="20" w:type="dxa"/>
              <w:left w:w="20" w:type="dxa"/>
              <w:bottom w:w="0" w:type="dxa"/>
              <w:right w:w="20" w:type="dxa"/>
            </w:tcMar>
            <w:vAlign w:val="center"/>
          </w:tcPr>
          <w:p w14:paraId="147B813C" w14:textId="77777777" w:rsidR="0072571C" w:rsidRPr="0048229C" w:rsidRDefault="0072571C" w:rsidP="0072571C">
            <w:pPr>
              <w:spacing w:before="2" w:after="2" w:line="360" w:lineRule="auto"/>
              <w:jc w:val="center"/>
              <w:rPr>
                <w:bCs/>
              </w:rPr>
            </w:pPr>
          </w:p>
        </w:tc>
        <w:tc>
          <w:tcPr>
            <w:tcW w:w="1806" w:type="dxa"/>
            <w:vMerge/>
            <w:tcBorders>
              <w:left w:val="nil"/>
              <w:right w:val="single" w:sz="4" w:space="0" w:color="000000"/>
            </w:tcBorders>
          </w:tcPr>
          <w:p w14:paraId="61199550" w14:textId="77777777" w:rsidR="0072571C" w:rsidRPr="0048229C" w:rsidRDefault="0072571C" w:rsidP="0072571C">
            <w:pPr>
              <w:spacing w:before="2" w:after="2" w:line="360" w:lineRule="auto"/>
              <w:jc w:val="center"/>
              <w:rPr>
                <w:bCs/>
              </w:rPr>
            </w:pPr>
          </w:p>
        </w:tc>
      </w:tr>
      <w:tr w:rsidR="0072571C" w:rsidRPr="0048229C" w14:paraId="0228AE63" w14:textId="77777777" w:rsidTr="0072571C">
        <w:trPr>
          <w:trHeight w:val="229"/>
        </w:trPr>
        <w:tc>
          <w:tcPr>
            <w:tcW w:w="1818"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7303D18E" w14:textId="77777777" w:rsidR="0072571C" w:rsidRDefault="0072571C" w:rsidP="0072571C">
            <w:pPr>
              <w:spacing w:before="2" w:after="2" w:line="360" w:lineRule="auto"/>
              <w:rPr>
                <w:rFonts w:cs="Times New Roman"/>
                <w:color w:val="000000"/>
                <w:kern w:val="24"/>
              </w:rPr>
            </w:pPr>
            <w:r>
              <w:rPr>
                <w:rFonts w:cs="Times New Roman"/>
                <w:color w:val="000000"/>
                <w:kern w:val="24"/>
              </w:rPr>
              <w:t>Environment</w:t>
            </w:r>
          </w:p>
        </w:tc>
        <w:tc>
          <w:tcPr>
            <w:tcW w:w="1969" w:type="dxa"/>
            <w:tcBorders>
              <w:top w:val="nil"/>
              <w:left w:val="nil"/>
              <w:bottom w:val="nil"/>
              <w:right w:val="nil"/>
            </w:tcBorders>
            <w:shd w:val="clear" w:color="auto" w:fill="auto"/>
            <w:tcMar>
              <w:top w:w="20" w:type="dxa"/>
              <w:left w:w="20" w:type="dxa"/>
              <w:bottom w:w="0" w:type="dxa"/>
              <w:right w:w="20" w:type="dxa"/>
            </w:tcMar>
            <w:vAlign w:val="center"/>
          </w:tcPr>
          <w:p w14:paraId="748B2606" w14:textId="77777777" w:rsidR="0072571C" w:rsidRDefault="0072571C" w:rsidP="0072571C">
            <w:pPr>
              <w:spacing w:before="2" w:after="2" w:line="360" w:lineRule="auto"/>
              <w:rPr>
                <w:bCs/>
              </w:rPr>
            </w:pPr>
            <w:r>
              <w:rPr>
                <w:bCs/>
              </w:rPr>
              <w:t>+</w:t>
            </w:r>
            <w:r w:rsidRPr="0048229C">
              <w:rPr>
                <w:bCs/>
              </w:rPr>
              <w:t>1</w:t>
            </w:r>
            <w:r>
              <w:rPr>
                <w:bCs/>
              </w:rPr>
              <w:t xml:space="preserve"> (improved) </w:t>
            </w:r>
          </w:p>
        </w:tc>
        <w:tc>
          <w:tcPr>
            <w:tcW w:w="1413" w:type="dxa"/>
            <w:tcBorders>
              <w:top w:val="nil"/>
              <w:left w:val="nil"/>
              <w:bottom w:val="nil"/>
              <w:right w:val="nil"/>
            </w:tcBorders>
            <w:shd w:val="clear" w:color="auto" w:fill="auto"/>
            <w:tcMar>
              <w:top w:w="20" w:type="dxa"/>
              <w:left w:w="20" w:type="dxa"/>
              <w:bottom w:w="0" w:type="dxa"/>
              <w:right w:w="20" w:type="dxa"/>
            </w:tcMar>
            <w:vAlign w:val="bottom"/>
          </w:tcPr>
          <w:p w14:paraId="193EB4AF" w14:textId="77777777" w:rsidR="0072571C" w:rsidRDefault="0072571C" w:rsidP="0072571C">
            <w:pPr>
              <w:spacing w:before="2" w:after="2" w:line="360" w:lineRule="auto"/>
              <w:jc w:val="right"/>
              <w:rPr>
                <w:bCs/>
              </w:rPr>
            </w:pPr>
            <w:r>
              <w:rPr>
                <w:bCs/>
              </w:rPr>
              <w:t>65.08±19.66</w:t>
            </w:r>
          </w:p>
        </w:tc>
        <w:tc>
          <w:tcPr>
            <w:tcW w:w="1920" w:type="dxa"/>
            <w:vMerge w:val="restart"/>
            <w:tcBorders>
              <w:left w:val="nil"/>
              <w:right w:val="single" w:sz="4" w:space="0" w:color="000000"/>
            </w:tcBorders>
            <w:shd w:val="clear" w:color="auto" w:fill="auto"/>
            <w:tcMar>
              <w:top w:w="20" w:type="dxa"/>
              <w:left w:w="20" w:type="dxa"/>
              <w:bottom w:w="0" w:type="dxa"/>
              <w:right w:w="20" w:type="dxa"/>
            </w:tcMar>
            <w:vAlign w:val="center"/>
          </w:tcPr>
          <w:p w14:paraId="15A664D5" w14:textId="77777777" w:rsidR="0072571C" w:rsidRPr="0048229C" w:rsidRDefault="0072571C" w:rsidP="0072571C">
            <w:pPr>
              <w:spacing w:before="2" w:after="2" w:line="360" w:lineRule="auto"/>
              <w:jc w:val="center"/>
              <w:rPr>
                <w:bCs/>
              </w:rPr>
            </w:pPr>
            <w:r>
              <w:rPr>
                <w:bCs/>
              </w:rPr>
              <w:t>0.356</w:t>
            </w:r>
          </w:p>
        </w:tc>
        <w:tc>
          <w:tcPr>
            <w:tcW w:w="1806" w:type="dxa"/>
            <w:vMerge w:val="restart"/>
            <w:tcBorders>
              <w:left w:val="nil"/>
              <w:right w:val="single" w:sz="4" w:space="0" w:color="000000"/>
            </w:tcBorders>
            <w:vAlign w:val="center"/>
          </w:tcPr>
          <w:p w14:paraId="2B770F41" w14:textId="77777777" w:rsidR="0072571C" w:rsidRDefault="0072571C" w:rsidP="0072571C">
            <w:pPr>
              <w:spacing w:before="2" w:after="2" w:line="360" w:lineRule="auto"/>
              <w:jc w:val="center"/>
              <w:rPr>
                <w:bCs/>
              </w:rPr>
            </w:pPr>
            <w:r>
              <w:rPr>
                <w:bCs/>
              </w:rPr>
              <w:t>0.2 small</w:t>
            </w:r>
          </w:p>
          <w:p w14:paraId="1190FC38" w14:textId="77777777" w:rsidR="0072571C" w:rsidRDefault="0072571C" w:rsidP="0072571C">
            <w:pPr>
              <w:spacing w:before="2" w:after="2" w:line="360" w:lineRule="auto"/>
              <w:jc w:val="center"/>
              <w:rPr>
                <w:bCs/>
              </w:rPr>
            </w:pPr>
            <w:r>
              <w:rPr>
                <w:bCs/>
              </w:rPr>
              <w:t>(CI -0.23 – 0.63)</w:t>
            </w:r>
          </w:p>
        </w:tc>
      </w:tr>
      <w:tr w:rsidR="0072571C" w:rsidRPr="0048229C" w14:paraId="1D3DFC10" w14:textId="77777777" w:rsidTr="0072571C">
        <w:trPr>
          <w:trHeight w:val="229"/>
        </w:trPr>
        <w:tc>
          <w:tcPr>
            <w:tcW w:w="1818" w:type="dxa"/>
            <w:tcBorders>
              <w:top w:val="nil"/>
              <w:left w:val="single" w:sz="4" w:space="0" w:color="000000"/>
              <w:bottom w:val="single" w:sz="4" w:space="0" w:color="000000"/>
              <w:right w:val="nil"/>
            </w:tcBorders>
            <w:shd w:val="clear" w:color="auto" w:fill="auto"/>
            <w:tcMar>
              <w:top w:w="20" w:type="dxa"/>
              <w:left w:w="20" w:type="dxa"/>
              <w:bottom w:w="0" w:type="dxa"/>
              <w:right w:w="20" w:type="dxa"/>
            </w:tcMar>
            <w:vAlign w:val="bottom"/>
          </w:tcPr>
          <w:p w14:paraId="6DB6CEB9" w14:textId="77777777" w:rsidR="0072571C" w:rsidRDefault="0072571C" w:rsidP="0072571C">
            <w:pPr>
              <w:spacing w:before="2" w:after="2" w:line="360" w:lineRule="auto"/>
              <w:rPr>
                <w:rFonts w:cs="Times New Roman"/>
                <w:color w:val="000000"/>
                <w:kern w:val="24"/>
              </w:rPr>
            </w:pPr>
          </w:p>
        </w:tc>
        <w:tc>
          <w:tcPr>
            <w:tcW w:w="1969" w:type="dxa"/>
            <w:tcBorders>
              <w:top w:val="nil"/>
              <w:left w:val="nil"/>
              <w:bottom w:val="single" w:sz="4" w:space="0" w:color="000000"/>
              <w:right w:val="nil"/>
            </w:tcBorders>
            <w:shd w:val="clear" w:color="auto" w:fill="auto"/>
            <w:tcMar>
              <w:top w:w="20" w:type="dxa"/>
              <w:left w:w="20" w:type="dxa"/>
              <w:bottom w:w="0" w:type="dxa"/>
              <w:right w:w="20" w:type="dxa"/>
            </w:tcMar>
            <w:vAlign w:val="center"/>
          </w:tcPr>
          <w:p w14:paraId="19258958" w14:textId="77777777" w:rsidR="0072571C" w:rsidRDefault="0072571C" w:rsidP="0072571C">
            <w:pPr>
              <w:spacing w:before="2" w:after="2" w:line="360" w:lineRule="auto"/>
              <w:rPr>
                <w:bCs/>
              </w:rPr>
            </w:pPr>
            <w:r>
              <w:rPr>
                <w:bCs/>
              </w:rPr>
              <w:t>-</w:t>
            </w:r>
            <w:r w:rsidRPr="0048229C">
              <w:rPr>
                <w:bCs/>
              </w:rPr>
              <w:t>1</w:t>
            </w:r>
            <w:r>
              <w:rPr>
                <w:bCs/>
              </w:rPr>
              <w:t>(deteriorated)</w:t>
            </w:r>
          </w:p>
        </w:tc>
        <w:tc>
          <w:tcPr>
            <w:tcW w:w="1413" w:type="dxa"/>
            <w:tcBorders>
              <w:top w:val="nil"/>
              <w:left w:val="nil"/>
              <w:bottom w:val="single" w:sz="4" w:space="0" w:color="000000"/>
              <w:right w:val="nil"/>
            </w:tcBorders>
            <w:shd w:val="clear" w:color="auto" w:fill="auto"/>
            <w:tcMar>
              <w:top w:w="20" w:type="dxa"/>
              <w:left w:w="20" w:type="dxa"/>
              <w:bottom w:w="0" w:type="dxa"/>
              <w:right w:w="20" w:type="dxa"/>
            </w:tcMar>
            <w:vAlign w:val="bottom"/>
          </w:tcPr>
          <w:p w14:paraId="5012C25E" w14:textId="77777777" w:rsidR="0072571C" w:rsidRDefault="0072571C" w:rsidP="0072571C">
            <w:pPr>
              <w:spacing w:before="2" w:after="2" w:line="360" w:lineRule="auto"/>
              <w:jc w:val="right"/>
              <w:rPr>
                <w:bCs/>
              </w:rPr>
            </w:pPr>
            <w:r>
              <w:rPr>
                <w:bCs/>
              </w:rPr>
              <w:t>69.74±19.68</w:t>
            </w:r>
          </w:p>
        </w:tc>
        <w:tc>
          <w:tcPr>
            <w:tcW w:w="1920" w:type="dxa"/>
            <w:vMerge/>
            <w:tcBorders>
              <w:left w:val="nil"/>
              <w:bottom w:val="single" w:sz="4" w:space="0" w:color="000000"/>
              <w:right w:val="single" w:sz="4" w:space="0" w:color="000000"/>
            </w:tcBorders>
            <w:shd w:val="clear" w:color="auto" w:fill="auto"/>
            <w:tcMar>
              <w:top w:w="20" w:type="dxa"/>
              <w:left w:w="20" w:type="dxa"/>
              <w:bottom w:w="0" w:type="dxa"/>
              <w:right w:w="20" w:type="dxa"/>
            </w:tcMar>
            <w:vAlign w:val="center"/>
          </w:tcPr>
          <w:p w14:paraId="7AB78256" w14:textId="77777777" w:rsidR="0072571C" w:rsidRPr="0048229C" w:rsidRDefault="0072571C" w:rsidP="0072571C">
            <w:pPr>
              <w:spacing w:before="2" w:after="2" w:line="360" w:lineRule="auto"/>
              <w:jc w:val="center"/>
              <w:rPr>
                <w:bCs/>
              </w:rPr>
            </w:pPr>
          </w:p>
        </w:tc>
        <w:tc>
          <w:tcPr>
            <w:tcW w:w="1806" w:type="dxa"/>
            <w:vMerge/>
            <w:tcBorders>
              <w:left w:val="nil"/>
              <w:bottom w:val="single" w:sz="4" w:space="0" w:color="000000"/>
              <w:right w:val="single" w:sz="4" w:space="0" w:color="000000"/>
            </w:tcBorders>
          </w:tcPr>
          <w:p w14:paraId="6D10168C" w14:textId="77777777" w:rsidR="0072571C" w:rsidRPr="0048229C" w:rsidRDefault="0072571C" w:rsidP="0072571C">
            <w:pPr>
              <w:spacing w:before="2" w:after="2" w:line="360" w:lineRule="auto"/>
              <w:jc w:val="center"/>
              <w:rPr>
                <w:bCs/>
              </w:rPr>
            </w:pPr>
          </w:p>
        </w:tc>
      </w:tr>
    </w:tbl>
    <w:p w14:paraId="71D27FE3" w14:textId="4D5A8B10" w:rsidR="0072571C" w:rsidRDefault="0072571C" w:rsidP="00B56C13">
      <w:pPr>
        <w:pStyle w:val="p1"/>
      </w:pPr>
    </w:p>
    <w:p w14:paraId="2595CB77" w14:textId="77777777" w:rsidR="0072571C" w:rsidRDefault="0072571C">
      <w:pPr>
        <w:rPr>
          <w:rFonts w:ascii="Arial" w:hAnsi="Arial" w:cs="Arial"/>
          <w:sz w:val="17"/>
          <w:szCs w:val="17"/>
          <w:lang w:val="en-US"/>
        </w:rPr>
      </w:pPr>
      <w:r>
        <w:br w:type="page"/>
      </w:r>
    </w:p>
    <w:p w14:paraId="530265D7" w14:textId="77777777" w:rsidR="0072571C" w:rsidRPr="00A433B1" w:rsidRDefault="0072571C" w:rsidP="0072571C">
      <w:pPr>
        <w:spacing w:line="360" w:lineRule="auto"/>
        <w:rPr>
          <w:b/>
          <w:bCs/>
          <w:i/>
        </w:rPr>
      </w:pPr>
      <w:r w:rsidRPr="00A433B1">
        <w:rPr>
          <w:b/>
          <w:i/>
        </w:rPr>
        <w:lastRenderedPageBreak/>
        <w:t>Table 1</w:t>
      </w:r>
      <w:r>
        <w:rPr>
          <w:b/>
          <w:i/>
        </w:rPr>
        <w:t>2</w:t>
      </w:r>
      <w:r w:rsidRPr="00A433B1">
        <w:rPr>
          <w:b/>
          <w:i/>
        </w:rPr>
        <w:t xml:space="preserve">. </w:t>
      </w:r>
      <w:r w:rsidRPr="00A433B1">
        <w:rPr>
          <w:b/>
          <w:bCs/>
          <w:i/>
        </w:rPr>
        <w:t xml:space="preserve">Comparing means of </w:t>
      </w:r>
      <w:r>
        <w:rPr>
          <w:b/>
          <w:bCs/>
          <w:i/>
        </w:rPr>
        <w:t>GO-QOL</w:t>
      </w:r>
      <w:r w:rsidRPr="00A433B1">
        <w:rPr>
          <w:b/>
          <w:bCs/>
          <w:i/>
        </w:rPr>
        <w:t xml:space="preserve"> sub</w:t>
      </w:r>
      <w:r>
        <w:rPr>
          <w:b/>
          <w:bCs/>
          <w:i/>
        </w:rPr>
        <w:t>scales according to VAS group at 48 week time point</w:t>
      </w:r>
    </w:p>
    <w:tbl>
      <w:tblPr>
        <w:tblW w:w="9209" w:type="dxa"/>
        <w:tblCellMar>
          <w:left w:w="0" w:type="dxa"/>
          <w:right w:w="0" w:type="dxa"/>
        </w:tblCellMar>
        <w:tblLook w:val="0000" w:firstRow="0" w:lastRow="0" w:firstColumn="0" w:lastColumn="0" w:noHBand="0" w:noVBand="0"/>
      </w:tblPr>
      <w:tblGrid>
        <w:gridCol w:w="1777"/>
        <w:gridCol w:w="2462"/>
        <w:gridCol w:w="1669"/>
        <w:gridCol w:w="1584"/>
        <w:gridCol w:w="1717"/>
      </w:tblGrid>
      <w:tr w:rsidR="0072571C" w:rsidRPr="0048229C" w14:paraId="09C3CA5E" w14:textId="77777777" w:rsidTr="0072571C">
        <w:trPr>
          <w:trHeight w:val="229"/>
        </w:trPr>
        <w:tc>
          <w:tcPr>
            <w:tcW w:w="1777" w:type="dxa"/>
            <w:tcBorders>
              <w:top w:val="single" w:sz="4" w:space="0" w:color="000000"/>
              <w:left w:val="single" w:sz="4" w:space="0" w:color="000000"/>
              <w:bottom w:val="single" w:sz="4" w:space="0" w:color="000000"/>
              <w:right w:val="nil"/>
            </w:tcBorders>
            <w:shd w:val="clear" w:color="auto" w:fill="auto"/>
            <w:tcMar>
              <w:top w:w="20" w:type="dxa"/>
              <w:left w:w="20" w:type="dxa"/>
              <w:bottom w:w="0" w:type="dxa"/>
              <w:right w:w="20" w:type="dxa"/>
            </w:tcMar>
            <w:vAlign w:val="bottom"/>
          </w:tcPr>
          <w:p w14:paraId="1E09D83A" w14:textId="77777777" w:rsidR="0072571C" w:rsidRPr="0048229C" w:rsidRDefault="0072571C" w:rsidP="0072571C">
            <w:pPr>
              <w:spacing w:before="2" w:after="2" w:line="360" w:lineRule="auto"/>
              <w:rPr>
                <w:bCs/>
              </w:rPr>
            </w:pPr>
            <w:r>
              <w:rPr>
                <w:b/>
                <w:bCs/>
              </w:rPr>
              <w:t>GO-QOL</w:t>
            </w:r>
          </w:p>
        </w:tc>
        <w:tc>
          <w:tcPr>
            <w:tcW w:w="2462" w:type="dxa"/>
            <w:tcBorders>
              <w:top w:val="single" w:sz="4" w:space="0" w:color="000000"/>
              <w:left w:val="nil"/>
              <w:bottom w:val="single" w:sz="4" w:space="0" w:color="000000"/>
              <w:right w:val="nil"/>
            </w:tcBorders>
            <w:shd w:val="clear" w:color="auto" w:fill="auto"/>
            <w:tcMar>
              <w:top w:w="20" w:type="dxa"/>
              <w:left w:w="20" w:type="dxa"/>
              <w:bottom w:w="0" w:type="dxa"/>
              <w:right w:w="20" w:type="dxa"/>
            </w:tcMar>
            <w:vAlign w:val="center"/>
          </w:tcPr>
          <w:p w14:paraId="7AB8EADB" w14:textId="77777777" w:rsidR="0072571C" w:rsidRPr="00A433B1" w:rsidRDefault="0072571C" w:rsidP="0072571C">
            <w:pPr>
              <w:spacing w:before="2" w:after="2" w:line="360" w:lineRule="auto"/>
              <w:rPr>
                <w:b/>
                <w:bCs/>
              </w:rPr>
            </w:pPr>
            <w:r>
              <w:rPr>
                <w:b/>
                <w:bCs/>
              </w:rPr>
              <w:t>VAS noticeability</w:t>
            </w:r>
          </w:p>
        </w:tc>
        <w:tc>
          <w:tcPr>
            <w:tcW w:w="1669" w:type="dxa"/>
            <w:tcBorders>
              <w:top w:val="single"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2316BFD5" w14:textId="77777777" w:rsidR="0072571C" w:rsidRPr="0048229C" w:rsidRDefault="0072571C" w:rsidP="0072571C">
            <w:pPr>
              <w:spacing w:before="2" w:after="2" w:line="360" w:lineRule="auto"/>
              <w:jc w:val="center"/>
              <w:rPr>
                <w:bCs/>
              </w:rPr>
            </w:pPr>
            <w:proofErr w:type="spellStart"/>
            <w:r w:rsidRPr="0048229C">
              <w:rPr>
                <w:b/>
                <w:bCs/>
              </w:rPr>
              <w:t>Mean</w:t>
            </w:r>
            <w:r w:rsidRPr="002976DC">
              <w:rPr>
                <w:b/>
                <w:bCs/>
              </w:rPr>
              <w:t>±sd</w:t>
            </w:r>
            <w:proofErr w:type="spellEnd"/>
          </w:p>
        </w:tc>
        <w:tc>
          <w:tcPr>
            <w:tcW w:w="1584" w:type="dxa"/>
            <w:tcBorders>
              <w:top w:val="single" w:sz="4" w:space="0" w:color="000000"/>
              <w:left w:val="nil"/>
              <w:bottom w:val="single" w:sz="4" w:space="0" w:color="000000"/>
              <w:right w:val="single" w:sz="4" w:space="0" w:color="000000"/>
            </w:tcBorders>
            <w:shd w:val="clear" w:color="auto" w:fill="auto"/>
            <w:tcMar>
              <w:top w:w="20" w:type="dxa"/>
              <w:left w:w="20" w:type="dxa"/>
              <w:bottom w:w="0" w:type="dxa"/>
              <w:right w:w="20" w:type="dxa"/>
            </w:tcMar>
            <w:vAlign w:val="bottom"/>
          </w:tcPr>
          <w:p w14:paraId="3ACA13FD" w14:textId="77777777" w:rsidR="0072571C" w:rsidRPr="0048229C" w:rsidRDefault="0072571C" w:rsidP="0072571C">
            <w:pPr>
              <w:spacing w:before="2" w:after="2" w:line="360" w:lineRule="auto"/>
              <w:jc w:val="center"/>
              <w:rPr>
                <w:bCs/>
              </w:rPr>
            </w:pPr>
            <w:r>
              <w:rPr>
                <w:b/>
                <w:bCs/>
              </w:rPr>
              <w:t>p  value</w:t>
            </w:r>
          </w:p>
        </w:tc>
        <w:tc>
          <w:tcPr>
            <w:tcW w:w="1717" w:type="dxa"/>
            <w:tcBorders>
              <w:top w:val="single" w:sz="4" w:space="0" w:color="000000"/>
              <w:left w:val="nil"/>
              <w:bottom w:val="single" w:sz="4" w:space="0" w:color="000000"/>
              <w:right w:val="single" w:sz="4" w:space="0" w:color="000000"/>
            </w:tcBorders>
          </w:tcPr>
          <w:p w14:paraId="756DA0EE" w14:textId="77777777" w:rsidR="0072571C" w:rsidRDefault="0072571C" w:rsidP="0072571C">
            <w:pPr>
              <w:spacing w:before="2" w:after="2" w:line="360" w:lineRule="auto"/>
              <w:jc w:val="center"/>
              <w:rPr>
                <w:b/>
                <w:bCs/>
              </w:rPr>
            </w:pPr>
            <w:r>
              <w:rPr>
                <w:b/>
                <w:bCs/>
              </w:rPr>
              <w:t>Cohen’s d (CI)</w:t>
            </w:r>
          </w:p>
        </w:tc>
      </w:tr>
      <w:tr w:rsidR="0072571C" w:rsidRPr="0048229C" w14:paraId="53013523" w14:textId="77777777" w:rsidTr="0072571C">
        <w:trPr>
          <w:trHeight w:val="229"/>
        </w:trPr>
        <w:tc>
          <w:tcPr>
            <w:tcW w:w="1777"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37372E06" w14:textId="77777777" w:rsidR="0072571C" w:rsidRPr="00A433B1" w:rsidRDefault="0072571C" w:rsidP="0072571C">
            <w:pPr>
              <w:spacing w:before="2" w:after="2" w:line="360" w:lineRule="auto"/>
              <w:rPr>
                <w:bCs/>
              </w:rPr>
            </w:pPr>
            <w:r w:rsidRPr="00A433B1">
              <w:rPr>
                <w:bCs/>
              </w:rPr>
              <w:t>Visual Function</w:t>
            </w:r>
          </w:p>
        </w:tc>
        <w:tc>
          <w:tcPr>
            <w:tcW w:w="2462" w:type="dxa"/>
            <w:tcBorders>
              <w:top w:val="nil"/>
              <w:left w:val="nil"/>
              <w:bottom w:val="nil"/>
              <w:right w:val="nil"/>
            </w:tcBorders>
            <w:shd w:val="clear" w:color="auto" w:fill="auto"/>
            <w:tcMar>
              <w:top w:w="20" w:type="dxa"/>
              <w:left w:w="20" w:type="dxa"/>
              <w:bottom w:w="0" w:type="dxa"/>
              <w:right w:w="20" w:type="dxa"/>
            </w:tcMar>
            <w:vAlign w:val="center"/>
          </w:tcPr>
          <w:p w14:paraId="5AED66A8" w14:textId="77777777" w:rsidR="0072571C" w:rsidRPr="0048229C" w:rsidRDefault="0072571C" w:rsidP="0072571C">
            <w:pPr>
              <w:spacing w:before="2" w:after="2" w:line="360" w:lineRule="auto"/>
              <w:rPr>
                <w:bCs/>
              </w:rPr>
            </w:pPr>
            <w:r>
              <w:rPr>
                <w:bCs/>
              </w:rPr>
              <w:t xml:space="preserve">&lt;5.0 (improved, n=45) </w:t>
            </w:r>
          </w:p>
        </w:tc>
        <w:tc>
          <w:tcPr>
            <w:tcW w:w="1669" w:type="dxa"/>
            <w:tcBorders>
              <w:top w:val="nil"/>
              <w:left w:val="nil"/>
              <w:bottom w:val="nil"/>
              <w:right w:val="nil"/>
            </w:tcBorders>
            <w:shd w:val="clear" w:color="auto" w:fill="auto"/>
            <w:tcMar>
              <w:top w:w="20" w:type="dxa"/>
              <w:left w:w="20" w:type="dxa"/>
              <w:bottom w:w="0" w:type="dxa"/>
              <w:right w:w="20" w:type="dxa"/>
            </w:tcMar>
            <w:vAlign w:val="bottom"/>
          </w:tcPr>
          <w:p w14:paraId="60882A00" w14:textId="77777777" w:rsidR="0072571C" w:rsidRPr="00A433B1" w:rsidRDefault="0072571C" w:rsidP="0072571C">
            <w:pPr>
              <w:spacing w:before="2" w:after="2" w:line="360" w:lineRule="auto"/>
              <w:rPr>
                <w:bCs/>
              </w:rPr>
            </w:pPr>
            <w:r>
              <w:rPr>
                <w:bCs/>
              </w:rPr>
              <w:t xml:space="preserve">      84.63±20.72</w:t>
            </w:r>
          </w:p>
        </w:tc>
        <w:tc>
          <w:tcPr>
            <w:tcW w:w="1584" w:type="dxa"/>
            <w:vMerge w:val="restart"/>
            <w:tcBorders>
              <w:top w:val="nil"/>
              <w:left w:val="nil"/>
              <w:right w:val="single" w:sz="4" w:space="0" w:color="000000"/>
            </w:tcBorders>
            <w:shd w:val="clear" w:color="auto" w:fill="auto"/>
            <w:tcMar>
              <w:top w:w="20" w:type="dxa"/>
              <w:left w:w="20" w:type="dxa"/>
              <w:bottom w:w="0" w:type="dxa"/>
              <w:right w:w="20" w:type="dxa"/>
            </w:tcMar>
            <w:vAlign w:val="center"/>
          </w:tcPr>
          <w:p w14:paraId="62C01C36" w14:textId="77777777" w:rsidR="0072571C" w:rsidRPr="00A433B1" w:rsidRDefault="0072571C" w:rsidP="0072571C">
            <w:pPr>
              <w:spacing w:before="2" w:after="2" w:line="360" w:lineRule="auto"/>
              <w:jc w:val="center"/>
              <w:rPr>
                <w:bCs/>
              </w:rPr>
            </w:pPr>
            <w:r w:rsidRPr="00A433B1">
              <w:rPr>
                <w:bCs/>
              </w:rPr>
              <w:t>0.00</w:t>
            </w:r>
            <w:r>
              <w:rPr>
                <w:bCs/>
              </w:rPr>
              <w:t>1</w:t>
            </w:r>
          </w:p>
        </w:tc>
        <w:tc>
          <w:tcPr>
            <w:tcW w:w="1717" w:type="dxa"/>
            <w:vMerge w:val="restart"/>
            <w:tcBorders>
              <w:top w:val="nil"/>
              <w:left w:val="nil"/>
              <w:right w:val="single" w:sz="4" w:space="0" w:color="000000"/>
            </w:tcBorders>
            <w:vAlign w:val="center"/>
          </w:tcPr>
          <w:p w14:paraId="7F073821" w14:textId="77777777" w:rsidR="0072571C" w:rsidRPr="00A433B1" w:rsidRDefault="0072571C" w:rsidP="0072571C">
            <w:pPr>
              <w:spacing w:before="2" w:after="2" w:line="360" w:lineRule="auto"/>
              <w:jc w:val="center"/>
              <w:rPr>
                <w:bCs/>
              </w:rPr>
            </w:pPr>
            <w:r>
              <w:rPr>
                <w:bCs/>
              </w:rPr>
              <w:t>0.8 medium    (CI 0.41 – 1.19)</w:t>
            </w:r>
          </w:p>
        </w:tc>
      </w:tr>
      <w:tr w:rsidR="0072571C" w:rsidRPr="0048229C" w14:paraId="684E51D8" w14:textId="77777777" w:rsidTr="0072571C">
        <w:trPr>
          <w:trHeight w:val="229"/>
        </w:trPr>
        <w:tc>
          <w:tcPr>
            <w:tcW w:w="1777"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70604FF6" w14:textId="77777777" w:rsidR="0072571C" w:rsidRPr="00A433B1" w:rsidRDefault="0072571C" w:rsidP="0072571C">
            <w:pPr>
              <w:spacing w:before="2" w:after="2" w:line="360" w:lineRule="auto"/>
              <w:rPr>
                <w:bCs/>
              </w:rPr>
            </w:pPr>
          </w:p>
        </w:tc>
        <w:tc>
          <w:tcPr>
            <w:tcW w:w="2462" w:type="dxa"/>
            <w:tcBorders>
              <w:top w:val="nil"/>
              <w:left w:val="nil"/>
              <w:bottom w:val="nil"/>
              <w:right w:val="nil"/>
            </w:tcBorders>
            <w:shd w:val="clear" w:color="auto" w:fill="auto"/>
            <w:tcMar>
              <w:top w:w="20" w:type="dxa"/>
              <w:left w:w="20" w:type="dxa"/>
              <w:bottom w:w="0" w:type="dxa"/>
              <w:right w:w="20" w:type="dxa"/>
            </w:tcMar>
            <w:vAlign w:val="center"/>
          </w:tcPr>
          <w:p w14:paraId="39E87ED0" w14:textId="77777777" w:rsidR="0072571C" w:rsidRPr="0048229C" w:rsidRDefault="0072571C" w:rsidP="0072571C">
            <w:pPr>
              <w:spacing w:before="2" w:after="2" w:line="360" w:lineRule="auto"/>
              <w:rPr>
                <w:bCs/>
              </w:rPr>
            </w:pPr>
            <w:r>
              <w:rPr>
                <w:bCs/>
              </w:rPr>
              <w:t>&gt;5.1(noticeable, n=54)</w:t>
            </w:r>
          </w:p>
        </w:tc>
        <w:tc>
          <w:tcPr>
            <w:tcW w:w="1669" w:type="dxa"/>
            <w:tcBorders>
              <w:top w:val="nil"/>
              <w:left w:val="nil"/>
              <w:bottom w:val="nil"/>
              <w:right w:val="nil"/>
            </w:tcBorders>
            <w:shd w:val="clear" w:color="auto" w:fill="auto"/>
            <w:tcMar>
              <w:top w:w="20" w:type="dxa"/>
              <w:left w:w="20" w:type="dxa"/>
              <w:bottom w:w="0" w:type="dxa"/>
              <w:right w:w="20" w:type="dxa"/>
            </w:tcMar>
            <w:vAlign w:val="bottom"/>
          </w:tcPr>
          <w:p w14:paraId="2755C183" w14:textId="77777777" w:rsidR="0072571C" w:rsidRPr="00A433B1" w:rsidRDefault="0072571C" w:rsidP="0072571C">
            <w:pPr>
              <w:spacing w:before="2" w:after="2" w:line="360" w:lineRule="auto"/>
              <w:jc w:val="right"/>
              <w:rPr>
                <w:bCs/>
              </w:rPr>
            </w:pPr>
            <w:r w:rsidRPr="00A433B1">
              <w:rPr>
                <w:bCs/>
              </w:rPr>
              <w:t>6</w:t>
            </w:r>
            <w:r>
              <w:rPr>
                <w:bCs/>
              </w:rPr>
              <w:t>6</w:t>
            </w:r>
            <w:r w:rsidRPr="00A433B1">
              <w:rPr>
                <w:bCs/>
              </w:rPr>
              <w:t>.</w:t>
            </w:r>
            <w:r>
              <w:rPr>
                <w:bCs/>
              </w:rPr>
              <w:t>37±26.36</w:t>
            </w:r>
          </w:p>
        </w:tc>
        <w:tc>
          <w:tcPr>
            <w:tcW w:w="1584" w:type="dxa"/>
            <w:vMerge/>
            <w:tcBorders>
              <w:left w:val="nil"/>
              <w:bottom w:val="nil"/>
              <w:right w:val="single" w:sz="4" w:space="0" w:color="000000"/>
            </w:tcBorders>
            <w:shd w:val="clear" w:color="auto" w:fill="auto"/>
            <w:tcMar>
              <w:top w:w="20" w:type="dxa"/>
              <w:left w:w="20" w:type="dxa"/>
              <w:bottom w:w="0" w:type="dxa"/>
              <w:right w:w="20" w:type="dxa"/>
            </w:tcMar>
            <w:vAlign w:val="center"/>
          </w:tcPr>
          <w:p w14:paraId="1FED912A" w14:textId="77777777" w:rsidR="0072571C" w:rsidRPr="00A433B1" w:rsidRDefault="0072571C" w:rsidP="0072571C">
            <w:pPr>
              <w:spacing w:before="2" w:after="2" w:line="360" w:lineRule="auto"/>
              <w:jc w:val="center"/>
              <w:rPr>
                <w:bCs/>
              </w:rPr>
            </w:pPr>
          </w:p>
        </w:tc>
        <w:tc>
          <w:tcPr>
            <w:tcW w:w="1717" w:type="dxa"/>
            <w:vMerge/>
            <w:tcBorders>
              <w:left w:val="nil"/>
              <w:bottom w:val="nil"/>
              <w:right w:val="single" w:sz="4" w:space="0" w:color="000000"/>
            </w:tcBorders>
          </w:tcPr>
          <w:p w14:paraId="77E6B22D" w14:textId="77777777" w:rsidR="0072571C" w:rsidRPr="00A433B1" w:rsidRDefault="0072571C" w:rsidP="0072571C">
            <w:pPr>
              <w:spacing w:before="2" w:after="2" w:line="360" w:lineRule="auto"/>
              <w:jc w:val="center"/>
              <w:rPr>
                <w:bCs/>
              </w:rPr>
            </w:pPr>
          </w:p>
        </w:tc>
      </w:tr>
      <w:tr w:rsidR="0072571C" w:rsidRPr="0048229C" w14:paraId="101F7636" w14:textId="77777777" w:rsidTr="0072571C">
        <w:trPr>
          <w:trHeight w:val="229"/>
        </w:trPr>
        <w:tc>
          <w:tcPr>
            <w:tcW w:w="1777"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1FA6C215" w14:textId="77777777" w:rsidR="0072571C" w:rsidRPr="00A433B1" w:rsidRDefault="0072571C" w:rsidP="0072571C">
            <w:pPr>
              <w:spacing w:before="2" w:after="2" w:line="360" w:lineRule="auto"/>
              <w:rPr>
                <w:bCs/>
              </w:rPr>
            </w:pPr>
            <w:r w:rsidRPr="00A433B1">
              <w:rPr>
                <w:bCs/>
              </w:rPr>
              <w:t>Appearance</w:t>
            </w:r>
          </w:p>
        </w:tc>
        <w:tc>
          <w:tcPr>
            <w:tcW w:w="2462" w:type="dxa"/>
            <w:tcBorders>
              <w:top w:val="nil"/>
              <w:left w:val="nil"/>
              <w:bottom w:val="nil"/>
              <w:right w:val="nil"/>
            </w:tcBorders>
            <w:shd w:val="clear" w:color="auto" w:fill="auto"/>
            <w:tcMar>
              <w:top w:w="20" w:type="dxa"/>
              <w:left w:w="20" w:type="dxa"/>
              <w:bottom w:w="0" w:type="dxa"/>
              <w:right w:w="20" w:type="dxa"/>
            </w:tcMar>
            <w:vAlign w:val="center"/>
          </w:tcPr>
          <w:p w14:paraId="5B7067B5" w14:textId="77777777" w:rsidR="0072571C" w:rsidRPr="0048229C" w:rsidRDefault="0072571C" w:rsidP="0072571C">
            <w:pPr>
              <w:spacing w:before="2" w:after="2" w:line="360" w:lineRule="auto"/>
              <w:rPr>
                <w:bCs/>
              </w:rPr>
            </w:pPr>
            <w:r>
              <w:rPr>
                <w:bCs/>
              </w:rPr>
              <w:t xml:space="preserve">&lt;5.0 (improved, n=45) </w:t>
            </w:r>
          </w:p>
        </w:tc>
        <w:tc>
          <w:tcPr>
            <w:tcW w:w="1669" w:type="dxa"/>
            <w:tcBorders>
              <w:top w:val="nil"/>
              <w:left w:val="nil"/>
              <w:bottom w:val="nil"/>
              <w:right w:val="nil"/>
            </w:tcBorders>
            <w:shd w:val="clear" w:color="auto" w:fill="auto"/>
            <w:tcMar>
              <w:top w:w="20" w:type="dxa"/>
              <w:left w:w="20" w:type="dxa"/>
              <w:bottom w:w="0" w:type="dxa"/>
              <w:right w:w="20" w:type="dxa"/>
            </w:tcMar>
            <w:vAlign w:val="bottom"/>
          </w:tcPr>
          <w:p w14:paraId="024780EB" w14:textId="77777777" w:rsidR="0072571C" w:rsidRPr="0048229C" w:rsidRDefault="0072571C" w:rsidP="0072571C">
            <w:pPr>
              <w:spacing w:before="2" w:after="2" w:line="360" w:lineRule="auto"/>
              <w:jc w:val="right"/>
              <w:rPr>
                <w:bCs/>
              </w:rPr>
            </w:pPr>
            <w:r>
              <w:rPr>
                <w:bCs/>
              </w:rPr>
              <w:t>79.86±18.17</w:t>
            </w:r>
          </w:p>
        </w:tc>
        <w:tc>
          <w:tcPr>
            <w:tcW w:w="1584" w:type="dxa"/>
            <w:vMerge w:val="restart"/>
            <w:tcBorders>
              <w:top w:val="nil"/>
              <w:left w:val="nil"/>
              <w:right w:val="single" w:sz="4" w:space="0" w:color="000000"/>
            </w:tcBorders>
            <w:shd w:val="clear" w:color="auto" w:fill="auto"/>
            <w:tcMar>
              <w:top w:w="20" w:type="dxa"/>
              <w:left w:w="20" w:type="dxa"/>
              <w:bottom w:w="0" w:type="dxa"/>
              <w:right w:w="20" w:type="dxa"/>
            </w:tcMar>
            <w:vAlign w:val="center"/>
          </w:tcPr>
          <w:p w14:paraId="0C297C02" w14:textId="77777777" w:rsidR="0072571C" w:rsidRPr="0048229C" w:rsidRDefault="0072571C" w:rsidP="0072571C">
            <w:pPr>
              <w:spacing w:before="2" w:after="2" w:line="360" w:lineRule="auto"/>
              <w:jc w:val="center"/>
              <w:rPr>
                <w:bCs/>
              </w:rPr>
            </w:pPr>
            <w:r>
              <w:rPr>
                <w:bCs/>
              </w:rPr>
              <w:t>0.001</w:t>
            </w:r>
          </w:p>
        </w:tc>
        <w:tc>
          <w:tcPr>
            <w:tcW w:w="1717" w:type="dxa"/>
            <w:vMerge w:val="restart"/>
            <w:tcBorders>
              <w:top w:val="nil"/>
              <w:left w:val="nil"/>
              <w:right w:val="single" w:sz="4" w:space="0" w:color="000000"/>
            </w:tcBorders>
            <w:vAlign w:val="center"/>
          </w:tcPr>
          <w:p w14:paraId="2E871AE4" w14:textId="77777777" w:rsidR="0072571C" w:rsidRDefault="0072571C" w:rsidP="0072571C">
            <w:pPr>
              <w:spacing w:before="2" w:after="2" w:line="360" w:lineRule="auto"/>
              <w:jc w:val="center"/>
              <w:rPr>
                <w:bCs/>
              </w:rPr>
            </w:pPr>
            <w:r>
              <w:rPr>
                <w:bCs/>
              </w:rPr>
              <w:t>1.6 very large (CI 1.17 – 2.03)</w:t>
            </w:r>
          </w:p>
        </w:tc>
      </w:tr>
      <w:tr w:rsidR="0072571C" w:rsidRPr="0048229C" w14:paraId="56BEDD32" w14:textId="77777777" w:rsidTr="0072571C">
        <w:trPr>
          <w:trHeight w:val="229"/>
        </w:trPr>
        <w:tc>
          <w:tcPr>
            <w:tcW w:w="1777"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2206B499" w14:textId="77777777" w:rsidR="0072571C" w:rsidRPr="0048229C" w:rsidRDefault="0072571C" w:rsidP="0072571C">
            <w:pPr>
              <w:spacing w:before="2" w:after="2" w:line="360" w:lineRule="auto"/>
              <w:rPr>
                <w:b/>
                <w:bCs/>
              </w:rPr>
            </w:pPr>
          </w:p>
        </w:tc>
        <w:tc>
          <w:tcPr>
            <w:tcW w:w="2462" w:type="dxa"/>
            <w:tcBorders>
              <w:top w:val="nil"/>
              <w:left w:val="nil"/>
              <w:bottom w:val="nil"/>
              <w:right w:val="nil"/>
            </w:tcBorders>
            <w:shd w:val="clear" w:color="auto" w:fill="auto"/>
            <w:tcMar>
              <w:top w:w="20" w:type="dxa"/>
              <w:left w:w="20" w:type="dxa"/>
              <w:bottom w:w="0" w:type="dxa"/>
              <w:right w:w="20" w:type="dxa"/>
            </w:tcMar>
            <w:vAlign w:val="center"/>
          </w:tcPr>
          <w:p w14:paraId="764B0B89" w14:textId="77777777" w:rsidR="0072571C" w:rsidRPr="0048229C" w:rsidRDefault="0072571C" w:rsidP="0072571C">
            <w:pPr>
              <w:spacing w:before="2" w:after="2" w:line="360" w:lineRule="auto"/>
              <w:rPr>
                <w:bCs/>
              </w:rPr>
            </w:pPr>
            <w:r>
              <w:rPr>
                <w:bCs/>
              </w:rPr>
              <w:t>&gt;5.1(noticeable, n=55)</w:t>
            </w:r>
          </w:p>
        </w:tc>
        <w:tc>
          <w:tcPr>
            <w:tcW w:w="1669" w:type="dxa"/>
            <w:tcBorders>
              <w:top w:val="nil"/>
              <w:left w:val="nil"/>
              <w:bottom w:val="nil"/>
              <w:right w:val="nil"/>
            </w:tcBorders>
            <w:shd w:val="clear" w:color="auto" w:fill="auto"/>
            <w:tcMar>
              <w:top w:w="20" w:type="dxa"/>
              <w:left w:w="20" w:type="dxa"/>
              <w:bottom w:w="0" w:type="dxa"/>
              <w:right w:w="20" w:type="dxa"/>
            </w:tcMar>
            <w:vAlign w:val="bottom"/>
          </w:tcPr>
          <w:p w14:paraId="380686EF" w14:textId="77777777" w:rsidR="0072571C" w:rsidRPr="0048229C" w:rsidRDefault="0072571C" w:rsidP="0072571C">
            <w:pPr>
              <w:spacing w:before="2" w:after="2" w:line="360" w:lineRule="auto"/>
              <w:jc w:val="right"/>
              <w:rPr>
                <w:bCs/>
              </w:rPr>
            </w:pPr>
            <w:r>
              <w:rPr>
                <w:bCs/>
              </w:rPr>
              <w:t>45.23±25.11</w:t>
            </w:r>
          </w:p>
        </w:tc>
        <w:tc>
          <w:tcPr>
            <w:tcW w:w="1584" w:type="dxa"/>
            <w:vMerge/>
            <w:tcBorders>
              <w:left w:val="nil"/>
              <w:bottom w:val="single" w:sz="4" w:space="0" w:color="000000"/>
              <w:right w:val="single" w:sz="4" w:space="0" w:color="000000"/>
            </w:tcBorders>
            <w:shd w:val="clear" w:color="auto" w:fill="auto"/>
            <w:tcMar>
              <w:top w:w="20" w:type="dxa"/>
              <w:left w:w="20" w:type="dxa"/>
              <w:bottom w:w="0" w:type="dxa"/>
              <w:right w:w="20" w:type="dxa"/>
            </w:tcMar>
            <w:vAlign w:val="bottom"/>
          </w:tcPr>
          <w:p w14:paraId="6D73604E" w14:textId="77777777" w:rsidR="0072571C" w:rsidRPr="0048229C" w:rsidRDefault="0072571C" w:rsidP="0072571C">
            <w:pPr>
              <w:spacing w:before="2" w:after="2" w:line="360" w:lineRule="auto"/>
              <w:jc w:val="right"/>
              <w:rPr>
                <w:bCs/>
              </w:rPr>
            </w:pPr>
          </w:p>
        </w:tc>
        <w:tc>
          <w:tcPr>
            <w:tcW w:w="1717" w:type="dxa"/>
            <w:vMerge/>
            <w:tcBorders>
              <w:left w:val="nil"/>
              <w:bottom w:val="single" w:sz="4" w:space="0" w:color="000000"/>
              <w:right w:val="single" w:sz="4" w:space="0" w:color="000000"/>
            </w:tcBorders>
          </w:tcPr>
          <w:p w14:paraId="7E42763C" w14:textId="77777777" w:rsidR="0072571C" w:rsidRPr="0048229C" w:rsidRDefault="0072571C" w:rsidP="0072571C">
            <w:pPr>
              <w:spacing w:before="2" w:after="2" w:line="360" w:lineRule="auto"/>
              <w:jc w:val="right"/>
              <w:rPr>
                <w:bCs/>
              </w:rPr>
            </w:pPr>
          </w:p>
        </w:tc>
      </w:tr>
      <w:tr w:rsidR="0072571C" w:rsidRPr="0048229C" w14:paraId="03816A08" w14:textId="77777777" w:rsidTr="0072571C">
        <w:trPr>
          <w:trHeight w:val="229"/>
        </w:trPr>
        <w:tc>
          <w:tcPr>
            <w:tcW w:w="1777"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7338BBAD" w14:textId="77777777" w:rsidR="0072571C" w:rsidRPr="0048229C" w:rsidRDefault="0072571C" w:rsidP="0072571C">
            <w:pPr>
              <w:spacing w:before="2" w:after="2" w:line="360" w:lineRule="auto"/>
              <w:rPr>
                <w:b/>
                <w:bCs/>
              </w:rPr>
            </w:pPr>
          </w:p>
        </w:tc>
        <w:tc>
          <w:tcPr>
            <w:tcW w:w="2462" w:type="dxa"/>
            <w:tcBorders>
              <w:top w:val="nil"/>
              <w:left w:val="nil"/>
              <w:bottom w:val="nil"/>
              <w:right w:val="nil"/>
            </w:tcBorders>
            <w:shd w:val="clear" w:color="auto" w:fill="auto"/>
            <w:tcMar>
              <w:top w:w="20" w:type="dxa"/>
              <w:left w:w="20" w:type="dxa"/>
              <w:bottom w:w="0" w:type="dxa"/>
              <w:right w:w="20" w:type="dxa"/>
            </w:tcMar>
            <w:vAlign w:val="center"/>
          </w:tcPr>
          <w:p w14:paraId="6284C6FE" w14:textId="77777777" w:rsidR="0072571C" w:rsidRPr="00FD3C28" w:rsidRDefault="0072571C" w:rsidP="0072571C">
            <w:pPr>
              <w:spacing w:before="2" w:after="2" w:line="360" w:lineRule="auto"/>
              <w:rPr>
                <w:b/>
                <w:bCs/>
              </w:rPr>
            </w:pPr>
            <w:r w:rsidRPr="00FD3C28">
              <w:rPr>
                <w:b/>
                <w:bCs/>
              </w:rPr>
              <w:t>VAS severity</w:t>
            </w:r>
          </w:p>
        </w:tc>
        <w:tc>
          <w:tcPr>
            <w:tcW w:w="1669" w:type="dxa"/>
            <w:tcBorders>
              <w:top w:val="nil"/>
              <w:left w:val="nil"/>
              <w:bottom w:val="nil"/>
              <w:right w:val="nil"/>
            </w:tcBorders>
            <w:shd w:val="clear" w:color="auto" w:fill="auto"/>
            <w:tcMar>
              <w:top w:w="20" w:type="dxa"/>
              <w:left w:w="20" w:type="dxa"/>
              <w:bottom w:w="0" w:type="dxa"/>
              <w:right w:w="20" w:type="dxa"/>
            </w:tcMar>
            <w:vAlign w:val="bottom"/>
          </w:tcPr>
          <w:p w14:paraId="1AD2F4E3" w14:textId="77777777" w:rsidR="0072571C" w:rsidRDefault="0072571C" w:rsidP="0072571C">
            <w:pPr>
              <w:spacing w:before="2" w:after="2" w:line="360" w:lineRule="auto"/>
              <w:jc w:val="right"/>
              <w:rPr>
                <w:bCs/>
              </w:rPr>
            </w:pPr>
          </w:p>
        </w:tc>
        <w:tc>
          <w:tcPr>
            <w:tcW w:w="1584" w:type="dxa"/>
            <w:tcBorders>
              <w:left w:val="nil"/>
              <w:right w:val="single" w:sz="4" w:space="0" w:color="000000"/>
            </w:tcBorders>
            <w:shd w:val="clear" w:color="auto" w:fill="auto"/>
            <w:tcMar>
              <w:top w:w="20" w:type="dxa"/>
              <w:left w:w="20" w:type="dxa"/>
              <w:bottom w:w="0" w:type="dxa"/>
              <w:right w:w="20" w:type="dxa"/>
            </w:tcMar>
            <w:vAlign w:val="bottom"/>
          </w:tcPr>
          <w:p w14:paraId="2A09708C" w14:textId="77777777" w:rsidR="0072571C" w:rsidRPr="0048229C" w:rsidRDefault="0072571C" w:rsidP="0072571C">
            <w:pPr>
              <w:spacing w:before="2" w:after="2" w:line="360" w:lineRule="auto"/>
              <w:jc w:val="right"/>
              <w:rPr>
                <w:bCs/>
              </w:rPr>
            </w:pPr>
          </w:p>
        </w:tc>
        <w:tc>
          <w:tcPr>
            <w:tcW w:w="1717" w:type="dxa"/>
            <w:tcBorders>
              <w:left w:val="nil"/>
              <w:right w:val="single" w:sz="4" w:space="0" w:color="000000"/>
            </w:tcBorders>
          </w:tcPr>
          <w:p w14:paraId="472F7AA8" w14:textId="77777777" w:rsidR="0072571C" w:rsidRPr="0048229C" w:rsidRDefault="0072571C" w:rsidP="0072571C">
            <w:pPr>
              <w:spacing w:before="2" w:after="2" w:line="360" w:lineRule="auto"/>
              <w:jc w:val="right"/>
              <w:rPr>
                <w:bCs/>
              </w:rPr>
            </w:pPr>
          </w:p>
        </w:tc>
      </w:tr>
      <w:tr w:rsidR="0072571C" w:rsidRPr="0048229C" w14:paraId="597EF817" w14:textId="77777777" w:rsidTr="0072571C">
        <w:trPr>
          <w:trHeight w:val="229"/>
        </w:trPr>
        <w:tc>
          <w:tcPr>
            <w:tcW w:w="1777"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16CD7712" w14:textId="77777777" w:rsidR="0072571C" w:rsidRPr="0048229C" w:rsidRDefault="0072571C" w:rsidP="0072571C">
            <w:pPr>
              <w:spacing w:before="2" w:after="2" w:line="360" w:lineRule="auto"/>
              <w:rPr>
                <w:b/>
                <w:bCs/>
              </w:rPr>
            </w:pPr>
            <w:r w:rsidRPr="00A433B1">
              <w:rPr>
                <w:bCs/>
              </w:rPr>
              <w:t>Visual Function</w:t>
            </w:r>
          </w:p>
        </w:tc>
        <w:tc>
          <w:tcPr>
            <w:tcW w:w="2462" w:type="dxa"/>
            <w:tcBorders>
              <w:top w:val="nil"/>
              <w:left w:val="nil"/>
              <w:bottom w:val="nil"/>
              <w:right w:val="nil"/>
            </w:tcBorders>
            <w:shd w:val="clear" w:color="auto" w:fill="auto"/>
            <w:tcMar>
              <w:top w:w="20" w:type="dxa"/>
              <w:left w:w="20" w:type="dxa"/>
              <w:bottom w:w="0" w:type="dxa"/>
              <w:right w:w="20" w:type="dxa"/>
            </w:tcMar>
            <w:vAlign w:val="center"/>
          </w:tcPr>
          <w:p w14:paraId="635DAFEC" w14:textId="77777777" w:rsidR="0072571C" w:rsidRDefault="0072571C" w:rsidP="0072571C">
            <w:pPr>
              <w:spacing w:before="2" w:after="2" w:line="360" w:lineRule="auto"/>
              <w:rPr>
                <w:bCs/>
              </w:rPr>
            </w:pPr>
            <w:r>
              <w:rPr>
                <w:bCs/>
              </w:rPr>
              <w:t xml:space="preserve">&lt;5.0 (improved, n=53) </w:t>
            </w:r>
          </w:p>
        </w:tc>
        <w:tc>
          <w:tcPr>
            <w:tcW w:w="1669" w:type="dxa"/>
            <w:tcBorders>
              <w:top w:val="nil"/>
              <w:left w:val="nil"/>
              <w:bottom w:val="nil"/>
              <w:right w:val="nil"/>
            </w:tcBorders>
            <w:shd w:val="clear" w:color="auto" w:fill="auto"/>
            <w:tcMar>
              <w:top w:w="20" w:type="dxa"/>
              <w:left w:w="20" w:type="dxa"/>
              <w:bottom w:w="0" w:type="dxa"/>
              <w:right w:w="20" w:type="dxa"/>
            </w:tcMar>
            <w:vAlign w:val="bottom"/>
          </w:tcPr>
          <w:p w14:paraId="1C32EE64" w14:textId="77777777" w:rsidR="0072571C" w:rsidRDefault="0072571C" w:rsidP="0072571C">
            <w:pPr>
              <w:spacing w:before="2" w:after="2" w:line="360" w:lineRule="auto"/>
              <w:jc w:val="right"/>
              <w:rPr>
                <w:bCs/>
              </w:rPr>
            </w:pPr>
            <w:r>
              <w:rPr>
                <w:bCs/>
              </w:rPr>
              <w:t>84.00±20.46</w:t>
            </w:r>
          </w:p>
        </w:tc>
        <w:tc>
          <w:tcPr>
            <w:tcW w:w="1584" w:type="dxa"/>
            <w:vMerge w:val="restart"/>
            <w:tcBorders>
              <w:left w:val="nil"/>
              <w:right w:val="single" w:sz="4" w:space="0" w:color="000000"/>
            </w:tcBorders>
            <w:shd w:val="clear" w:color="auto" w:fill="auto"/>
            <w:tcMar>
              <w:top w:w="20" w:type="dxa"/>
              <w:left w:w="20" w:type="dxa"/>
              <w:bottom w:w="0" w:type="dxa"/>
              <w:right w:w="20" w:type="dxa"/>
            </w:tcMar>
            <w:vAlign w:val="center"/>
          </w:tcPr>
          <w:p w14:paraId="68F03D41" w14:textId="77777777" w:rsidR="0072571C" w:rsidRPr="0048229C" w:rsidRDefault="0072571C" w:rsidP="0072571C">
            <w:pPr>
              <w:spacing w:before="2" w:after="2" w:line="360" w:lineRule="auto"/>
              <w:jc w:val="center"/>
              <w:rPr>
                <w:bCs/>
              </w:rPr>
            </w:pPr>
            <w:r w:rsidRPr="00A433B1">
              <w:rPr>
                <w:bCs/>
              </w:rPr>
              <w:t>0.00</w:t>
            </w:r>
            <w:r>
              <w:rPr>
                <w:bCs/>
              </w:rPr>
              <w:t>1</w:t>
            </w:r>
          </w:p>
        </w:tc>
        <w:tc>
          <w:tcPr>
            <w:tcW w:w="1717" w:type="dxa"/>
            <w:vMerge w:val="restart"/>
            <w:tcBorders>
              <w:left w:val="nil"/>
              <w:right w:val="single" w:sz="4" w:space="0" w:color="000000"/>
            </w:tcBorders>
            <w:vAlign w:val="center"/>
          </w:tcPr>
          <w:p w14:paraId="636AD907" w14:textId="77777777" w:rsidR="0072571C" w:rsidRDefault="0072571C" w:rsidP="0072571C">
            <w:pPr>
              <w:spacing w:before="2" w:after="2" w:line="360" w:lineRule="auto"/>
              <w:jc w:val="center"/>
              <w:rPr>
                <w:bCs/>
              </w:rPr>
            </w:pPr>
            <w:r>
              <w:rPr>
                <w:bCs/>
              </w:rPr>
              <w:t>0.8 medium</w:t>
            </w:r>
          </w:p>
          <w:p w14:paraId="1514C966" w14:textId="77777777" w:rsidR="0072571C" w:rsidRPr="00A433B1" w:rsidRDefault="0072571C" w:rsidP="0072571C">
            <w:pPr>
              <w:spacing w:before="2" w:after="2" w:line="360" w:lineRule="auto"/>
              <w:jc w:val="center"/>
              <w:rPr>
                <w:bCs/>
              </w:rPr>
            </w:pPr>
            <w:r>
              <w:rPr>
                <w:bCs/>
              </w:rPr>
              <w:t>(CI 0.41 – 1.19)</w:t>
            </w:r>
          </w:p>
        </w:tc>
      </w:tr>
      <w:tr w:rsidR="0072571C" w:rsidRPr="0048229C" w14:paraId="35366B45" w14:textId="77777777" w:rsidTr="0072571C">
        <w:trPr>
          <w:trHeight w:val="229"/>
        </w:trPr>
        <w:tc>
          <w:tcPr>
            <w:tcW w:w="1777"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7700605F" w14:textId="77777777" w:rsidR="0072571C" w:rsidRPr="0048229C" w:rsidRDefault="0072571C" w:rsidP="0072571C">
            <w:pPr>
              <w:spacing w:before="2" w:after="2" w:line="360" w:lineRule="auto"/>
              <w:rPr>
                <w:b/>
                <w:bCs/>
              </w:rPr>
            </w:pPr>
          </w:p>
        </w:tc>
        <w:tc>
          <w:tcPr>
            <w:tcW w:w="2462" w:type="dxa"/>
            <w:tcBorders>
              <w:top w:val="nil"/>
              <w:left w:val="nil"/>
              <w:bottom w:val="nil"/>
              <w:right w:val="nil"/>
            </w:tcBorders>
            <w:shd w:val="clear" w:color="auto" w:fill="auto"/>
            <w:tcMar>
              <w:top w:w="20" w:type="dxa"/>
              <w:left w:w="20" w:type="dxa"/>
              <w:bottom w:w="0" w:type="dxa"/>
              <w:right w:w="20" w:type="dxa"/>
            </w:tcMar>
            <w:vAlign w:val="center"/>
          </w:tcPr>
          <w:p w14:paraId="647E0A6E" w14:textId="77777777" w:rsidR="0072571C" w:rsidRDefault="0072571C" w:rsidP="0072571C">
            <w:pPr>
              <w:spacing w:before="2" w:after="2" w:line="360" w:lineRule="auto"/>
              <w:rPr>
                <w:bCs/>
              </w:rPr>
            </w:pPr>
            <w:r>
              <w:rPr>
                <w:bCs/>
              </w:rPr>
              <w:t>&gt;5.1(severe, n=45)</w:t>
            </w:r>
          </w:p>
        </w:tc>
        <w:tc>
          <w:tcPr>
            <w:tcW w:w="1669" w:type="dxa"/>
            <w:tcBorders>
              <w:top w:val="nil"/>
              <w:left w:val="nil"/>
              <w:bottom w:val="nil"/>
              <w:right w:val="nil"/>
            </w:tcBorders>
            <w:shd w:val="clear" w:color="auto" w:fill="auto"/>
            <w:tcMar>
              <w:top w:w="20" w:type="dxa"/>
              <w:left w:w="20" w:type="dxa"/>
              <w:bottom w:w="0" w:type="dxa"/>
              <w:right w:w="20" w:type="dxa"/>
            </w:tcMar>
            <w:vAlign w:val="bottom"/>
          </w:tcPr>
          <w:p w14:paraId="526309C8" w14:textId="77777777" w:rsidR="0072571C" w:rsidRDefault="0072571C" w:rsidP="0072571C">
            <w:pPr>
              <w:spacing w:before="2" w:after="2" w:line="360" w:lineRule="auto"/>
              <w:jc w:val="right"/>
              <w:rPr>
                <w:bCs/>
              </w:rPr>
            </w:pPr>
            <w:r w:rsidRPr="00A433B1">
              <w:rPr>
                <w:bCs/>
              </w:rPr>
              <w:t>6</w:t>
            </w:r>
            <w:r>
              <w:rPr>
                <w:bCs/>
              </w:rPr>
              <w:t>4</w:t>
            </w:r>
            <w:r w:rsidRPr="00A433B1">
              <w:rPr>
                <w:bCs/>
              </w:rPr>
              <w:t>.</w:t>
            </w:r>
            <w:r>
              <w:rPr>
                <w:bCs/>
              </w:rPr>
              <w:t>54±26.71</w:t>
            </w:r>
          </w:p>
        </w:tc>
        <w:tc>
          <w:tcPr>
            <w:tcW w:w="1584" w:type="dxa"/>
            <w:vMerge/>
            <w:tcBorders>
              <w:left w:val="nil"/>
              <w:right w:val="single" w:sz="4" w:space="0" w:color="000000"/>
            </w:tcBorders>
            <w:shd w:val="clear" w:color="auto" w:fill="auto"/>
            <w:tcMar>
              <w:top w:w="20" w:type="dxa"/>
              <w:left w:w="20" w:type="dxa"/>
              <w:bottom w:w="0" w:type="dxa"/>
              <w:right w:w="20" w:type="dxa"/>
            </w:tcMar>
            <w:vAlign w:val="center"/>
          </w:tcPr>
          <w:p w14:paraId="3C7B261B" w14:textId="77777777" w:rsidR="0072571C" w:rsidRPr="0048229C" w:rsidRDefault="0072571C" w:rsidP="0072571C">
            <w:pPr>
              <w:spacing w:before="2" w:after="2" w:line="360" w:lineRule="auto"/>
              <w:jc w:val="center"/>
              <w:rPr>
                <w:bCs/>
              </w:rPr>
            </w:pPr>
          </w:p>
        </w:tc>
        <w:tc>
          <w:tcPr>
            <w:tcW w:w="1717" w:type="dxa"/>
            <w:vMerge/>
            <w:tcBorders>
              <w:left w:val="nil"/>
              <w:right w:val="single" w:sz="4" w:space="0" w:color="000000"/>
            </w:tcBorders>
          </w:tcPr>
          <w:p w14:paraId="5B71BB97" w14:textId="77777777" w:rsidR="0072571C" w:rsidRPr="0048229C" w:rsidRDefault="0072571C" w:rsidP="0072571C">
            <w:pPr>
              <w:spacing w:before="2" w:after="2" w:line="360" w:lineRule="auto"/>
              <w:jc w:val="center"/>
              <w:rPr>
                <w:bCs/>
              </w:rPr>
            </w:pPr>
          </w:p>
        </w:tc>
      </w:tr>
      <w:tr w:rsidR="0072571C" w:rsidRPr="0048229C" w14:paraId="6E31BDDF" w14:textId="77777777" w:rsidTr="0072571C">
        <w:trPr>
          <w:trHeight w:val="229"/>
        </w:trPr>
        <w:tc>
          <w:tcPr>
            <w:tcW w:w="1777"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03BE00A0" w14:textId="77777777" w:rsidR="0072571C" w:rsidRPr="0048229C" w:rsidRDefault="0072571C" w:rsidP="0072571C">
            <w:pPr>
              <w:spacing w:before="2" w:after="2" w:line="360" w:lineRule="auto"/>
              <w:rPr>
                <w:b/>
                <w:bCs/>
              </w:rPr>
            </w:pPr>
            <w:r w:rsidRPr="00A433B1">
              <w:rPr>
                <w:bCs/>
              </w:rPr>
              <w:t>Appearance</w:t>
            </w:r>
          </w:p>
        </w:tc>
        <w:tc>
          <w:tcPr>
            <w:tcW w:w="2462" w:type="dxa"/>
            <w:tcBorders>
              <w:top w:val="nil"/>
              <w:left w:val="nil"/>
              <w:bottom w:val="nil"/>
              <w:right w:val="nil"/>
            </w:tcBorders>
            <w:shd w:val="clear" w:color="auto" w:fill="auto"/>
            <w:tcMar>
              <w:top w:w="20" w:type="dxa"/>
              <w:left w:w="20" w:type="dxa"/>
              <w:bottom w:w="0" w:type="dxa"/>
              <w:right w:w="20" w:type="dxa"/>
            </w:tcMar>
            <w:vAlign w:val="center"/>
          </w:tcPr>
          <w:p w14:paraId="2B2AA356" w14:textId="77777777" w:rsidR="0072571C" w:rsidRDefault="0072571C" w:rsidP="0072571C">
            <w:pPr>
              <w:spacing w:before="2" w:after="2" w:line="360" w:lineRule="auto"/>
              <w:rPr>
                <w:bCs/>
              </w:rPr>
            </w:pPr>
            <w:r>
              <w:rPr>
                <w:bCs/>
              </w:rPr>
              <w:t xml:space="preserve">&lt;5.0 (improved, n=53) </w:t>
            </w:r>
          </w:p>
        </w:tc>
        <w:tc>
          <w:tcPr>
            <w:tcW w:w="1669" w:type="dxa"/>
            <w:tcBorders>
              <w:top w:val="nil"/>
              <w:left w:val="nil"/>
              <w:bottom w:val="nil"/>
              <w:right w:val="nil"/>
            </w:tcBorders>
            <w:shd w:val="clear" w:color="auto" w:fill="auto"/>
            <w:tcMar>
              <w:top w:w="20" w:type="dxa"/>
              <w:left w:w="20" w:type="dxa"/>
              <w:bottom w:w="0" w:type="dxa"/>
              <w:right w:w="20" w:type="dxa"/>
            </w:tcMar>
            <w:vAlign w:val="bottom"/>
          </w:tcPr>
          <w:p w14:paraId="1DC8F056" w14:textId="77777777" w:rsidR="0072571C" w:rsidRDefault="0072571C" w:rsidP="0072571C">
            <w:pPr>
              <w:spacing w:before="2" w:after="2" w:line="360" w:lineRule="auto"/>
              <w:jc w:val="right"/>
              <w:rPr>
                <w:bCs/>
              </w:rPr>
            </w:pPr>
            <w:r>
              <w:rPr>
                <w:bCs/>
              </w:rPr>
              <w:t>74.29±23.14</w:t>
            </w:r>
          </w:p>
        </w:tc>
        <w:tc>
          <w:tcPr>
            <w:tcW w:w="1584" w:type="dxa"/>
            <w:vMerge w:val="restart"/>
            <w:tcBorders>
              <w:left w:val="nil"/>
              <w:right w:val="single" w:sz="4" w:space="0" w:color="000000"/>
            </w:tcBorders>
            <w:shd w:val="clear" w:color="auto" w:fill="auto"/>
            <w:tcMar>
              <w:top w:w="20" w:type="dxa"/>
              <w:left w:w="20" w:type="dxa"/>
              <w:bottom w:w="0" w:type="dxa"/>
              <w:right w:w="20" w:type="dxa"/>
            </w:tcMar>
            <w:vAlign w:val="center"/>
          </w:tcPr>
          <w:p w14:paraId="40B8E1C4" w14:textId="77777777" w:rsidR="0072571C" w:rsidRPr="0048229C" w:rsidRDefault="0072571C" w:rsidP="0072571C">
            <w:pPr>
              <w:spacing w:before="2" w:after="2" w:line="360" w:lineRule="auto"/>
              <w:jc w:val="center"/>
              <w:rPr>
                <w:bCs/>
              </w:rPr>
            </w:pPr>
            <w:r>
              <w:rPr>
                <w:bCs/>
              </w:rPr>
              <w:t>0.001</w:t>
            </w:r>
          </w:p>
        </w:tc>
        <w:tc>
          <w:tcPr>
            <w:tcW w:w="1717" w:type="dxa"/>
            <w:vMerge w:val="restart"/>
            <w:tcBorders>
              <w:left w:val="nil"/>
              <w:right w:val="single" w:sz="4" w:space="0" w:color="000000"/>
            </w:tcBorders>
            <w:vAlign w:val="center"/>
          </w:tcPr>
          <w:p w14:paraId="0FBA03D5" w14:textId="77777777" w:rsidR="0072571C" w:rsidRDefault="0072571C" w:rsidP="0072571C">
            <w:pPr>
              <w:spacing w:before="2" w:after="2" w:line="360" w:lineRule="auto"/>
              <w:jc w:val="center"/>
              <w:rPr>
                <w:bCs/>
              </w:rPr>
            </w:pPr>
            <w:r>
              <w:rPr>
                <w:bCs/>
              </w:rPr>
              <w:t>1.2 large          (CI 0.77 – 1.63)</w:t>
            </w:r>
          </w:p>
        </w:tc>
      </w:tr>
      <w:tr w:rsidR="0072571C" w:rsidRPr="0048229C" w14:paraId="4983E2AE" w14:textId="77777777" w:rsidTr="0072571C">
        <w:trPr>
          <w:trHeight w:val="229"/>
        </w:trPr>
        <w:tc>
          <w:tcPr>
            <w:tcW w:w="1777" w:type="dxa"/>
            <w:tcBorders>
              <w:top w:val="nil"/>
              <w:left w:val="single" w:sz="4" w:space="0" w:color="000000"/>
              <w:bottom w:val="nil"/>
              <w:right w:val="nil"/>
            </w:tcBorders>
            <w:shd w:val="clear" w:color="auto" w:fill="auto"/>
            <w:tcMar>
              <w:top w:w="20" w:type="dxa"/>
              <w:left w:w="20" w:type="dxa"/>
              <w:bottom w:w="0" w:type="dxa"/>
              <w:right w:w="20" w:type="dxa"/>
            </w:tcMar>
            <w:vAlign w:val="bottom"/>
          </w:tcPr>
          <w:p w14:paraId="054DF665" w14:textId="77777777" w:rsidR="0072571C" w:rsidRPr="0048229C" w:rsidRDefault="0072571C" w:rsidP="0072571C">
            <w:pPr>
              <w:spacing w:before="2" w:after="2" w:line="360" w:lineRule="auto"/>
              <w:rPr>
                <w:b/>
                <w:bCs/>
              </w:rPr>
            </w:pPr>
          </w:p>
        </w:tc>
        <w:tc>
          <w:tcPr>
            <w:tcW w:w="2462" w:type="dxa"/>
            <w:tcBorders>
              <w:top w:val="nil"/>
              <w:left w:val="nil"/>
              <w:bottom w:val="nil"/>
              <w:right w:val="nil"/>
            </w:tcBorders>
            <w:shd w:val="clear" w:color="auto" w:fill="auto"/>
            <w:tcMar>
              <w:top w:w="20" w:type="dxa"/>
              <w:left w:w="20" w:type="dxa"/>
              <w:bottom w:w="0" w:type="dxa"/>
              <w:right w:w="20" w:type="dxa"/>
            </w:tcMar>
            <w:vAlign w:val="center"/>
          </w:tcPr>
          <w:p w14:paraId="1AF24734" w14:textId="77777777" w:rsidR="0072571C" w:rsidRDefault="0072571C" w:rsidP="0072571C">
            <w:pPr>
              <w:spacing w:before="2" w:after="2" w:line="360" w:lineRule="auto"/>
              <w:rPr>
                <w:bCs/>
              </w:rPr>
            </w:pPr>
            <w:r>
              <w:rPr>
                <w:bCs/>
              </w:rPr>
              <w:t>&gt;5.1(severe, n=46)</w:t>
            </w:r>
          </w:p>
        </w:tc>
        <w:tc>
          <w:tcPr>
            <w:tcW w:w="1669" w:type="dxa"/>
            <w:tcBorders>
              <w:top w:val="nil"/>
              <w:left w:val="nil"/>
              <w:bottom w:val="nil"/>
              <w:right w:val="nil"/>
            </w:tcBorders>
            <w:shd w:val="clear" w:color="auto" w:fill="auto"/>
            <w:tcMar>
              <w:top w:w="20" w:type="dxa"/>
              <w:left w:w="20" w:type="dxa"/>
              <w:bottom w:w="0" w:type="dxa"/>
              <w:right w:w="20" w:type="dxa"/>
            </w:tcMar>
            <w:vAlign w:val="bottom"/>
          </w:tcPr>
          <w:p w14:paraId="5BA24671" w14:textId="77777777" w:rsidR="0072571C" w:rsidRDefault="0072571C" w:rsidP="0072571C">
            <w:pPr>
              <w:spacing w:before="2" w:after="2" w:line="360" w:lineRule="auto"/>
              <w:jc w:val="right"/>
              <w:rPr>
                <w:bCs/>
              </w:rPr>
            </w:pPr>
            <w:r>
              <w:rPr>
                <w:bCs/>
              </w:rPr>
              <w:t>46.06±25.60</w:t>
            </w:r>
          </w:p>
        </w:tc>
        <w:tc>
          <w:tcPr>
            <w:tcW w:w="1584" w:type="dxa"/>
            <w:vMerge/>
            <w:tcBorders>
              <w:left w:val="nil"/>
              <w:right w:val="single" w:sz="4" w:space="0" w:color="000000"/>
            </w:tcBorders>
            <w:shd w:val="clear" w:color="auto" w:fill="auto"/>
            <w:tcMar>
              <w:top w:w="20" w:type="dxa"/>
              <w:left w:w="20" w:type="dxa"/>
              <w:bottom w:w="0" w:type="dxa"/>
              <w:right w:w="20" w:type="dxa"/>
            </w:tcMar>
            <w:vAlign w:val="bottom"/>
          </w:tcPr>
          <w:p w14:paraId="7B7551DC" w14:textId="77777777" w:rsidR="0072571C" w:rsidRPr="0048229C" w:rsidRDefault="0072571C" w:rsidP="0072571C">
            <w:pPr>
              <w:spacing w:before="2" w:after="2" w:line="360" w:lineRule="auto"/>
              <w:jc w:val="center"/>
              <w:rPr>
                <w:bCs/>
              </w:rPr>
            </w:pPr>
          </w:p>
        </w:tc>
        <w:tc>
          <w:tcPr>
            <w:tcW w:w="1717" w:type="dxa"/>
            <w:vMerge/>
            <w:tcBorders>
              <w:left w:val="nil"/>
              <w:right w:val="single" w:sz="4" w:space="0" w:color="000000"/>
            </w:tcBorders>
          </w:tcPr>
          <w:p w14:paraId="5ED26BF1" w14:textId="77777777" w:rsidR="0072571C" w:rsidRPr="0048229C" w:rsidRDefault="0072571C" w:rsidP="0072571C">
            <w:pPr>
              <w:spacing w:before="2" w:after="2" w:line="360" w:lineRule="auto"/>
              <w:jc w:val="center"/>
              <w:rPr>
                <w:bCs/>
              </w:rPr>
            </w:pPr>
          </w:p>
        </w:tc>
      </w:tr>
    </w:tbl>
    <w:p w14:paraId="639BF6CA" w14:textId="77777777" w:rsidR="0072571C" w:rsidRDefault="0072571C" w:rsidP="0072571C">
      <w:pPr>
        <w:spacing w:line="360" w:lineRule="auto"/>
        <w:ind w:firstLine="720"/>
        <w:rPr>
          <w:b/>
          <w:lang w:val="en-US"/>
        </w:rPr>
      </w:pPr>
    </w:p>
    <w:p w14:paraId="6A5155EE" w14:textId="77777777" w:rsidR="0072571C" w:rsidRDefault="0072571C" w:rsidP="00B56C13">
      <w:pPr>
        <w:pStyle w:val="p1"/>
      </w:pPr>
    </w:p>
    <w:sectPr w:rsidR="0072571C" w:rsidSect="00330187">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auto"/>
    <w:pitch w:val="variable"/>
    <w:sig w:usb0="8000006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dvPS6EC0">
    <w:panose1 w:val="00000000000000000000"/>
    <w:charset w:val="00"/>
    <w:family w:val="swiss"/>
    <w:notTrueType/>
    <w:pitch w:val="default"/>
    <w:sig w:usb0="00000003" w:usb1="00000000" w:usb2="00000000" w:usb3="00000000" w:csb0="00000001" w:csb1="00000000"/>
  </w:font>
  <w:font w:name="OTNEJMScalaSansLF">
    <w:panose1 w:val="00000000000000000000"/>
    <w:charset w:val="00"/>
    <w:family w:val="swiss"/>
    <w:notTrueType/>
    <w:pitch w:val="default"/>
    <w:sig w:usb0="00000003" w:usb1="00000000" w:usb2="00000000" w:usb3="00000000" w:csb0="00000001" w:csb1="00000000"/>
  </w:font>
  <w:font w:name="OTNEJMScalaSansLF-Bold">
    <w:panose1 w:val="00000000000000000000"/>
    <w:charset w:val="00"/>
    <w:family w:val="swiss"/>
    <w:notTrueType/>
    <w:pitch w:val="default"/>
    <w:sig w:usb0="00000003" w:usb1="00000000" w:usb2="00000000" w:usb3="00000000" w:csb0="00000001" w:csb1="00000000"/>
  </w:font>
  <w:font w:name="OTNEJMQuadraa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668"/>
    <w:multiLevelType w:val="singleLevel"/>
    <w:tmpl w:val="EB62BCB4"/>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91F081D"/>
    <w:multiLevelType w:val="singleLevel"/>
    <w:tmpl w:val="EB62BCB4"/>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2EB04D3"/>
    <w:multiLevelType w:val="hybridMultilevel"/>
    <w:tmpl w:val="FF760124"/>
    <w:lvl w:ilvl="0" w:tplc="4FCCB6A4">
      <w:start w:val="1"/>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276C00"/>
    <w:multiLevelType w:val="singleLevel"/>
    <w:tmpl w:val="D5026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B43BA"/>
    <w:multiLevelType w:val="singleLevel"/>
    <w:tmpl w:val="D50266E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93547D"/>
    <w:multiLevelType w:val="singleLevel"/>
    <w:tmpl w:val="EB62BCB4"/>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1A9B5503"/>
    <w:multiLevelType w:val="singleLevel"/>
    <w:tmpl w:val="D50266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DF6825"/>
    <w:multiLevelType w:val="singleLevel"/>
    <w:tmpl w:val="D50266E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D62E8E"/>
    <w:multiLevelType w:val="singleLevel"/>
    <w:tmpl w:val="EB62BCB4"/>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312B0DF1"/>
    <w:multiLevelType w:val="singleLevel"/>
    <w:tmpl w:val="EB62BCB4"/>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35640112"/>
    <w:multiLevelType w:val="singleLevel"/>
    <w:tmpl w:val="479C90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3F4C8A"/>
    <w:multiLevelType w:val="singleLevel"/>
    <w:tmpl w:val="EB62BCB4"/>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38205B95"/>
    <w:multiLevelType w:val="hybridMultilevel"/>
    <w:tmpl w:val="43E06BBE"/>
    <w:lvl w:ilvl="0" w:tplc="A8E26A02">
      <w:start w:val="1"/>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C2728"/>
    <w:multiLevelType w:val="hybridMultilevel"/>
    <w:tmpl w:val="8708BE1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635C4684">
      <w:start w:val="1"/>
      <w:numFmt w:val="decimal"/>
      <w:lvlText w:val="%4."/>
      <w:lvlJc w:val="left"/>
      <w:pPr>
        <w:tabs>
          <w:tab w:val="num" w:pos="2880"/>
        </w:tabs>
        <w:ind w:left="2880" w:hanging="360"/>
      </w:pPr>
      <w:rPr>
        <w:rFonts w:ascii="Times New Roman" w:eastAsia="Times New Roman" w:hAnsi="Times New Roman" w:cs="Times New Roman"/>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23B5C39"/>
    <w:multiLevelType w:val="singleLevel"/>
    <w:tmpl w:val="EB62BCB4"/>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642109E2"/>
    <w:multiLevelType w:val="singleLevel"/>
    <w:tmpl w:val="EB62BCB4"/>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67306E25"/>
    <w:multiLevelType w:val="hybridMultilevel"/>
    <w:tmpl w:val="DA48BED8"/>
    <w:lvl w:ilvl="0" w:tplc="ABD21558">
      <w:start w:val="1"/>
      <w:numFmt w:val="bullet"/>
      <w:lvlText w:val="•"/>
      <w:lvlJc w:val="left"/>
      <w:pPr>
        <w:tabs>
          <w:tab w:val="num" w:pos="720"/>
        </w:tabs>
        <w:ind w:left="720" w:hanging="360"/>
      </w:pPr>
      <w:rPr>
        <w:rFonts w:ascii="Times New Roman" w:hAnsi="Times New Roman" w:hint="default"/>
      </w:rPr>
    </w:lvl>
    <w:lvl w:ilvl="1" w:tplc="07860FCE">
      <w:start w:val="1"/>
      <w:numFmt w:val="bullet"/>
      <w:lvlText w:val="•"/>
      <w:lvlJc w:val="left"/>
      <w:pPr>
        <w:tabs>
          <w:tab w:val="num" w:pos="1440"/>
        </w:tabs>
        <w:ind w:left="1440" w:hanging="360"/>
      </w:pPr>
      <w:rPr>
        <w:rFonts w:ascii="Times New Roman" w:hAnsi="Times New Roman" w:hint="default"/>
      </w:rPr>
    </w:lvl>
    <w:lvl w:ilvl="2" w:tplc="F0580D84" w:tentative="1">
      <w:start w:val="1"/>
      <w:numFmt w:val="bullet"/>
      <w:lvlText w:val="•"/>
      <w:lvlJc w:val="left"/>
      <w:pPr>
        <w:tabs>
          <w:tab w:val="num" w:pos="2160"/>
        </w:tabs>
        <w:ind w:left="2160" w:hanging="360"/>
      </w:pPr>
      <w:rPr>
        <w:rFonts w:ascii="Times New Roman" w:hAnsi="Times New Roman" w:hint="default"/>
      </w:rPr>
    </w:lvl>
    <w:lvl w:ilvl="3" w:tplc="DF3227DC" w:tentative="1">
      <w:start w:val="1"/>
      <w:numFmt w:val="bullet"/>
      <w:lvlText w:val="•"/>
      <w:lvlJc w:val="left"/>
      <w:pPr>
        <w:tabs>
          <w:tab w:val="num" w:pos="2880"/>
        </w:tabs>
        <w:ind w:left="2880" w:hanging="360"/>
      </w:pPr>
      <w:rPr>
        <w:rFonts w:ascii="Times New Roman" w:hAnsi="Times New Roman" w:hint="default"/>
      </w:rPr>
    </w:lvl>
    <w:lvl w:ilvl="4" w:tplc="9F4A8BBE" w:tentative="1">
      <w:start w:val="1"/>
      <w:numFmt w:val="bullet"/>
      <w:lvlText w:val="•"/>
      <w:lvlJc w:val="left"/>
      <w:pPr>
        <w:tabs>
          <w:tab w:val="num" w:pos="3600"/>
        </w:tabs>
        <w:ind w:left="3600" w:hanging="360"/>
      </w:pPr>
      <w:rPr>
        <w:rFonts w:ascii="Times New Roman" w:hAnsi="Times New Roman" w:hint="default"/>
      </w:rPr>
    </w:lvl>
    <w:lvl w:ilvl="5" w:tplc="65E45DFE" w:tentative="1">
      <w:start w:val="1"/>
      <w:numFmt w:val="bullet"/>
      <w:lvlText w:val="•"/>
      <w:lvlJc w:val="left"/>
      <w:pPr>
        <w:tabs>
          <w:tab w:val="num" w:pos="4320"/>
        </w:tabs>
        <w:ind w:left="4320" w:hanging="360"/>
      </w:pPr>
      <w:rPr>
        <w:rFonts w:ascii="Times New Roman" w:hAnsi="Times New Roman" w:hint="default"/>
      </w:rPr>
    </w:lvl>
    <w:lvl w:ilvl="6" w:tplc="5BE0FB06" w:tentative="1">
      <w:start w:val="1"/>
      <w:numFmt w:val="bullet"/>
      <w:lvlText w:val="•"/>
      <w:lvlJc w:val="left"/>
      <w:pPr>
        <w:tabs>
          <w:tab w:val="num" w:pos="5040"/>
        </w:tabs>
        <w:ind w:left="5040" w:hanging="360"/>
      </w:pPr>
      <w:rPr>
        <w:rFonts w:ascii="Times New Roman" w:hAnsi="Times New Roman" w:hint="default"/>
      </w:rPr>
    </w:lvl>
    <w:lvl w:ilvl="7" w:tplc="D8C8E7DA" w:tentative="1">
      <w:start w:val="1"/>
      <w:numFmt w:val="bullet"/>
      <w:lvlText w:val="•"/>
      <w:lvlJc w:val="left"/>
      <w:pPr>
        <w:tabs>
          <w:tab w:val="num" w:pos="5760"/>
        </w:tabs>
        <w:ind w:left="5760" w:hanging="360"/>
      </w:pPr>
      <w:rPr>
        <w:rFonts w:ascii="Times New Roman" w:hAnsi="Times New Roman" w:hint="default"/>
      </w:rPr>
    </w:lvl>
    <w:lvl w:ilvl="8" w:tplc="4C887F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CC47C60"/>
    <w:multiLevelType w:val="hybridMultilevel"/>
    <w:tmpl w:val="0B983196"/>
    <w:lvl w:ilvl="0" w:tplc="8ED879DA">
      <w:start w:val="1"/>
      <w:numFmt w:val="bullet"/>
      <w:lvlText w:val="•"/>
      <w:lvlJc w:val="left"/>
      <w:pPr>
        <w:tabs>
          <w:tab w:val="num" w:pos="720"/>
        </w:tabs>
        <w:ind w:left="720" w:hanging="360"/>
      </w:pPr>
      <w:rPr>
        <w:rFonts w:ascii="Times New Roman" w:hAnsi="Times New Roman" w:hint="default"/>
      </w:rPr>
    </w:lvl>
    <w:lvl w:ilvl="1" w:tplc="C1E2B6BA">
      <w:numFmt w:val="bullet"/>
      <w:lvlText w:val=""/>
      <w:lvlJc w:val="left"/>
      <w:pPr>
        <w:tabs>
          <w:tab w:val="num" w:pos="1440"/>
        </w:tabs>
        <w:ind w:left="1440" w:hanging="360"/>
      </w:pPr>
      <w:rPr>
        <w:rFonts w:ascii="Symbol" w:eastAsia="Times New Roman" w:hAnsi="Symbol" w:cs="Times New Roman" w:hint="default"/>
      </w:rPr>
    </w:lvl>
    <w:lvl w:ilvl="2" w:tplc="7E421262" w:tentative="1">
      <w:start w:val="1"/>
      <w:numFmt w:val="bullet"/>
      <w:lvlText w:val="•"/>
      <w:lvlJc w:val="left"/>
      <w:pPr>
        <w:tabs>
          <w:tab w:val="num" w:pos="2160"/>
        </w:tabs>
        <w:ind w:left="2160" w:hanging="360"/>
      </w:pPr>
      <w:rPr>
        <w:rFonts w:ascii="Times New Roman" w:hAnsi="Times New Roman" w:hint="default"/>
      </w:rPr>
    </w:lvl>
    <w:lvl w:ilvl="3" w:tplc="84D43848" w:tentative="1">
      <w:start w:val="1"/>
      <w:numFmt w:val="bullet"/>
      <w:lvlText w:val="•"/>
      <w:lvlJc w:val="left"/>
      <w:pPr>
        <w:tabs>
          <w:tab w:val="num" w:pos="2880"/>
        </w:tabs>
        <w:ind w:left="2880" w:hanging="360"/>
      </w:pPr>
      <w:rPr>
        <w:rFonts w:ascii="Times New Roman" w:hAnsi="Times New Roman" w:hint="default"/>
      </w:rPr>
    </w:lvl>
    <w:lvl w:ilvl="4" w:tplc="A5041BD8" w:tentative="1">
      <w:start w:val="1"/>
      <w:numFmt w:val="bullet"/>
      <w:lvlText w:val="•"/>
      <w:lvlJc w:val="left"/>
      <w:pPr>
        <w:tabs>
          <w:tab w:val="num" w:pos="3600"/>
        </w:tabs>
        <w:ind w:left="3600" w:hanging="360"/>
      </w:pPr>
      <w:rPr>
        <w:rFonts w:ascii="Times New Roman" w:hAnsi="Times New Roman" w:hint="default"/>
      </w:rPr>
    </w:lvl>
    <w:lvl w:ilvl="5" w:tplc="8C3ECB4A" w:tentative="1">
      <w:start w:val="1"/>
      <w:numFmt w:val="bullet"/>
      <w:lvlText w:val="•"/>
      <w:lvlJc w:val="left"/>
      <w:pPr>
        <w:tabs>
          <w:tab w:val="num" w:pos="4320"/>
        </w:tabs>
        <w:ind w:left="4320" w:hanging="360"/>
      </w:pPr>
      <w:rPr>
        <w:rFonts w:ascii="Times New Roman" w:hAnsi="Times New Roman" w:hint="default"/>
      </w:rPr>
    </w:lvl>
    <w:lvl w:ilvl="6" w:tplc="69541AFE" w:tentative="1">
      <w:start w:val="1"/>
      <w:numFmt w:val="bullet"/>
      <w:lvlText w:val="•"/>
      <w:lvlJc w:val="left"/>
      <w:pPr>
        <w:tabs>
          <w:tab w:val="num" w:pos="5040"/>
        </w:tabs>
        <w:ind w:left="5040" w:hanging="360"/>
      </w:pPr>
      <w:rPr>
        <w:rFonts w:ascii="Times New Roman" w:hAnsi="Times New Roman" w:hint="default"/>
      </w:rPr>
    </w:lvl>
    <w:lvl w:ilvl="7" w:tplc="FABA6DD8" w:tentative="1">
      <w:start w:val="1"/>
      <w:numFmt w:val="bullet"/>
      <w:lvlText w:val="•"/>
      <w:lvlJc w:val="left"/>
      <w:pPr>
        <w:tabs>
          <w:tab w:val="num" w:pos="5760"/>
        </w:tabs>
        <w:ind w:left="5760" w:hanging="360"/>
      </w:pPr>
      <w:rPr>
        <w:rFonts w:ascii="Times New Roman" w:hAnsi="Times New Roman" w:hint="default"/>
      </w:rPr>
    </w:lvl>
    <w:lvl w:ilvl="8" w:tplc="6E1CB7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452604"/>
    <w:multiLevelType w:val="singleLevel"/>
    <w:tmpl w:val="EB62BCB4"/>
    <w:lvl w:ilvl="0">
      <w:start w:val="1"/>
      <w:numFmt w:val="bullet"/>
      <w:lvlText w:val=""/>
      <w:lvlJc w:val="left"/>
      <w:pPr>
        <w:tabs>
          <w:tab w:val="num" w:pos="360"/>
        </w:tabs>
        <w:ind w:left="360" w:hanging="360"/>
      </w:pPr>
      <w:rPr>
        <w:rFonts w:ascii="Symbol" w:hAnsi="Symbol" w:hint="default"/>
        <w:sz w:val="28"/>
      </w:rPr>
    </w:lvl>
  </w:abstractNum>
  <w:abstractNum w:abstractNumId="19" w15:restartNumberingAfterBreak="0">
    <w:nsid w:val="75D832EC"/>
    <w:multiLevelType w:val="hybridMultilevel"/>
    <w:tmpl w:val="65AE59C6"/>
    <w:lvl w:ilvl="0" w:tplc="8D4E616E">
      <w:start w:val="1"/>
      <w:numFmt w:val="bullet"/>
      <w:lvlText w:val="•"/>
      <w:lvlJc w:val="left"/>
      <w:pPr>
        <w:tabs>
          <w:tab w:val="num" w:pos="720"/>
        </w:tabs>
        <w:ind w:left="720" w:hanging="360"/>
      </w:pPr>
      <w:rPr>
        <w:rFonts w:ascii="Times New Roman" w:hAnsi="Times New Roman" w:hint="default"/>
      </w:rPr>
    </w:lvl>
    <w:lvl w:ilvl="1" w:tplc="4C0A97D6" w:tentative="1">
      <w:start w:val="1"/>
      <w:numFmt w:val="bullet"/>
      <w:lvlText w:val="•"/>
      <w:lvlJc w:val="left"/>
      <w:pPr>
        <w:tabs>
          <w:tab w:val="num" w:pos="1440"/>
        </w:tabs>
        <w:ind w:left="1440" w:hanging="360"/>
      </w:pPr>
      <w:rPr>
        <w:rFonts w:ascii="Times New Roman" w:hAnsi="Times New Roman" w:hint="default"/>
      </w:rPr>
    </w:lvl>
    <w:lvl w:ilvl="2" w:tplc="6CEAE05C" w:tentative="1">
      <w:start w:val="1"/>
      <w:numFmt w:val="bullet"/>
      <w:lvlText w:val="•"/>
      <w:lvlJc w:val="left"/>
      <w:pPr>
        <w:tabs>
          <w:tab w:val="num" w:pos="2160"/>
        </w:tabs>
        <w:ind w:left="2160" w:hanging="360"/>
      </w:pPr>
      <w:rPr>
        <w:rFonts w:ascii="Times New Roman" w:hAnsi="Times New Roman" w:hint="default"/>
      </w:rPr>
    </w:lvl>
    <w:lvl w:ilvl="3" w:tplc="B42CAD18" w:tentative="1">
      <w:start w:val="1"/>
      <w:numFmt w:val="bullet"/>
      <w:lvlText w:val="•"/>
      <w:lvlJc w:val="left"/>
      <w:pPr>
        <w:tabs>
          <w:tab w:val="num" w:pos="2880"/>
        </w:tabs>
        <w:ind w:left="2880" w:hanging="360"/>
      </w:pPr>
      <w:rPr>
        <w:rFonts w:ascii="Times New Roman" w:hAnsi="Times New Roman" w:hint="default"/>
      </w:rPr>
    </w:lvl>
    <w:lvl w:ilvl="4" w:tplc="02DC22FC" w:tentative="1">
      <w:start w:val="1"/>
      <w:numFmt w:val="bullet"/>
      <w:lvlText w:val="•"/>
      <w:lvlJc w:val="left"/>
      <w:pPr>
        <w:tabs>
          <w:tab w:val="num" w:pos="3600"/>
        </w:tabs>
        <w:ind w:left="3600" w:hanging="360"/>
      </w:pPr>
      <w:rPr>
        <w:rFonts w:ascii="Times New Roman" w:hAnsi="Times New Roman" w:hint="default"/>
      </w:rPr>
    </w:lvl>
    <w:lvl w:ilvl="5" w:tplc="97C6F614" w:tentative="1">
      <w:start w:val="1"/>
      <w:numFmt w:val="bullet"/>
      <w:lvlText w:val="•"/>
      <w:lvlJc w:val="left"/>
      <w:pPr>
        <w:tabs>
          <w:tab w:val="num" w:pos="4320"/>
        </w:tabs>
        <w:ind w:left="4320" w:hanging="360"/>
      </w:pPr>
      <w:rPr>
        <w:rFonts w:ascii="Times New Roman" w:hAnsi="Times New Roman" w:hint="default"/>
      </w:rPr>
    </w:lvl>
    <w:lvl w:ilvl="6" w:tplc="E578CB14" w:tentative="1">
      <w:start w:val="1"/>
      <w:numFmt w:val="bullet"/>
      <w:lvlText w:val="•"/>
      <w:lvlJc w:val="left"/>
      <w:pPr>
        <w:tabs>
          <w:tab w:val="num" w:pos="5040"/>
        </w:tabs>
        <w:ind w:left="5040" w:hanging="360"/>
      </w:pPr>
      <w:rPr>
        <w:rFonts w:ascii="Times New Roman" w:hAnsi="Times New Roman" w:hint="default"/>
      </w:rPr>
    </w:lvl>
    <w:lvl w:ilvl="7" w:tplc="60307A7E" w:tentative="1">
      <w:start w:val="1"/>
      <w:numFmt w:val="bullet"/>
      <w:lvlText w:val="•"/>
      <w:lvlJc w:val="left"/>
      <w:pPr>
        <w:tabs>
          <w:tab w:val="num" w:pos="5760"/>
        </w:tabs>
        <w:ind w:left="5760" w:hanging="360"/>
      </w:pPr>
      <w:rPr>
        <w:rFonts w:ascii="Times New Roman" w:hAnsi="Times New Roman" w:hint="default"/>
      </w:rPr>
    </w:lvl>
    <w:lvl w:ilvl="8" w:tplc="B6FC8F7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AB959F7"/>
    <w:multiLevelType w:val="singleLevel"/>
    <w:tmpl w:val="D50266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7"/>
  </w:num>
  <w:num w:numId="4">
    <w:abstractNumId w:val="6"/>
  </w:num>
  <w:num w:numId="5">
    <w:abstractNumId w:val="3"/>
  </w:num>
  <w:num w:numId="6">
    <w:abstractNumId w:val="4"/>
  </w:num>
  <w:num w:numId="7">
    <w:abstractNumId w:val="18"/>
  </w:num>
  <w:num w:numId="8">
    <w:abstractNumId w:val="8"/>
  </w:num>
  <w:num w:numId="9">
    <w:abstractNumId w:val="11"/>
  </w:num>
  <w:num w:numId="10">
    <w:abstractNumId w:val="5"/>
  </w:num>
  <w:num w:numId="11">
    <w:abstractNumId w:val="1"/>
  </w:num>
  <w:num w:numId="12">
    <w:abstractNumId w:val="15"/>
  </w:num>
  <w:num w:numId="13">
    <w:abstractNumId w:val="14"/>
  </w:num>
  <w:num w:numId="14">
    <w:abstractNumId w:val="9"/>
  </w:num>
  <w:num w:numId="15">
    <w:abstractNumId w:val="10"/>
  </w:num>
  <w:num w:numId="16">
    <w:abstractNumId w:val="13"/>
  </w:num>
  <w:num w:numId="17">
    <w:abstractNumId w:val="17"/>
  </w:num>
  <w:num w:numId="18">
    <w:abstractNumId w:val="19"/>
  </w:num>
  <w:num w:numId="19">
    <w:abstractNumId w:val="16"/>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21"/>
    <w:rsid w:val="00000929"/>
    <w:rsid w:val="00014D13"/>
    <w:rsid w:val="00016A2D"/>
    <w:rsid w:val="00020F48"/>
    <w:rsid w:val="00024CE7"/>
    <w:rsid w:val="000252CB"/>
    <w:rsid w:val="00034228"/>
    <w:rsid w:val="00046638"/>
    <w:rsid w:val="000515D5"/>
    <w:rsid w:val="00051EE8"/>
    <w:rsid w:val="00060F4C"/>
    <w:rsid w:val="00065B34"/>
    <w:rsid w:val="00085BB8"/>
    <w:rsid w:val="00085C31"/>
    <w:rsid w:val="000965B2"/>
    <w:rsid w:val="000A1F30"/>
    <w:rsid w:val="000B4AEA"/>
    <w:rsid w:val="000C3276"/>
    <w:rsid w:val="000C67F5"/>
    <w:rsid w:val="000D7F7A"/>
    <w:rsid w:val="000F0F3C"/>
    <w:rsid w:val="000F4938"/>
    <w:rsid w:val="0010487A"/>
    <w:rsid w:val="00110FAD"/>
    <w:rsid w:val="0011602D"/>
    <w:rsid w:val="00126BD6"/>
    <w:rsid w:val="00136BB1"/>
    <w:rsid w:val="00146728"/>
    <w:rsid w:val="001613BD"/>
    <w:rsid w:val="001658AE"/>
    <w:rsid w:val="00180850"/>
    <w:rsid w:val="00182182"/>
    <w:rsid w:val="00184ECF"/>
    <w:rsid w:val="00195E8A"/>
    <w:rsid w:val="001A30F2"/>
    <w:rsid w:val="001D5C7E"/>
    <w:rsid w:val="001D6575"/>
    <w:rsid w:val="001E3273"/>
    <w:rsid w:val="001F4521"/>
    <w:rsid w:val="00215F4E"/>
    <w:rsid w:val="00231E7D"/>
    <w:rsid w:val="00233ACC"/>
    <w:rsid w:val="00233B74"/>
    <w:rsid w:val="002618D4"/>
    <w:rsid w:val="002654F7"/>
    <w:rsid w:val="00265F23"/>
    <w:rsid w:val="00271FFC"/>
    <w:rsid w:val="0028287C"/>
    <w:rsid w:val="002847ED"/>
    <w:rsid w:val="00290700"/>
    <w:rsid w:val="002976DC"/>
    <w:rsid w:val="002A3717"/>
    <w:rsid w:val="002A4A66"/>
    <w:rsid w:val="002B17AC"/>
    <w:rsid w:val="002B6409"/>
    <w:rsid w:val="002C3EB6"/>
    <w:rsid w:val="002D5CB1"/>
    <w:rsid w:val="002F0360"/>
    <w:rsid w:val="002F0902"/>
    <w:rsid w:val="002F0F2C"/>
    <w:rsid w:val="002F11F6"/>
    <w:rsid w:val="002F7372"/>
    <w:rsid w:val="0030587F"/>
    <w:rsid w:val="003274D2"/>
    <w:rsid w:val="00330187"/>
    <w:rsid w:val="0034457D"/>
    <w:rsid w:val="0034748D"/>
    <w:rsid w:val="00354327"/>
    <w:rsid w:val="00356C3A"/>
    <w:rsid w:val="00357B89"/>
    <w:rsid w:val="00360CC8"/>
    <w:rsid w:val="003618C9"/>
    <w:rsid w:val="00361D6E"/>
    <w:rsid w:val="003664B4"/>
    <w:rsid w:val="0038735F"/>
    <w:rsid w:val="0039251C"/>
    <w:rsid w:val="00392566"/>
    <w:rsid w:val="003A0BC0"/>
    <w:rsid w:val="003C2DBF"/>
    <w:rsid w:val="003E1EAD"/>
    <w:rsid w:val="003E4BD2"/>
    <w:rsid w:val="003E7B39"/>
    <w:rsid w:val="003F094F"/>
    <w:rsid w:val="003F179A"/>
    <w:rsid w:val="0040342E"/>
    <w:rsid w:val="004056ED"/>
    <w:rsid w:val="004106DE"/>
    <w:rsid w:val="00410809"/>
    <w:rsid w:val="004154AC"/>
    <w:rsid w:val="00426877"/>
    <w:rsid w:val="00462060"/>
    <w:rsid w:val="00467DCB"/>
    <w:rsid w:val="004725F1"/>
    <w:rsid w:val="00476C90"/>
    <w:rsid w:val="0048229C"/>
    <w:rsid w:val="00482388"/>
    <w:rsid w:val="00487058"/>
    <w:rsid w:val="00492363"/>
    <w:rsid w:val="004952D3"/>
    <w:rsid w:val="00495601"/>
    <w:rsid w:val="004A01D5"/>
    <w:rsid w:val="004A0F51"/>
    <w:rsid w:val="004A4041"/>
    <w:rsid w:val="004B2D8A"/>
    <w:rsid w:val="004B3752"/>
    <w:rsid w:val="004B4895"/>
    <w:rsid w:val="004B7E40"/>
    <w:rsid w:val="004C4B85"/>
    <w:rsid w:val="004C540A"/>
    <w:rsid w:val="004D0BB0"/>
    <w:rsid w:val="004D17D7"/>
    <w:rsid w:val="004E665D"/>
    <w:rsid w:val="004E6861"/>
    <w:rsid w:val="004F045F"/>
    <w:rsid w:val="005026A9"/>
    <w:rsid w:val="00506B8B"/>
    <w:rsid w:val="00515C15"/>
    <w:rsid w:val="00521489"/>
    <w:rsid w:val="00522D6B"/>
    <w:rsid w:val="00523643"/>
    <w:rsid w:val="00526F8F"/>
    <w:rsid w:val="0053180A"/>
    <w:rsid w:val="00534719"/>
    <w:rsid w:val="005411F1"/>
    <w:rsid w:val="00543B2D"/>
    <w:rsid w:val="005558F4"/>
    <w:rsid w:val="0056468D"/>
    <w:rsid w:val="00565E3D"/>
    <w:rsid w:val="005844AE"/>
    <w:rsid w:val="00593A17"/>
    <w:rsid w:val="00597490"/>
    <w:rsid w:val="005B75BD"/>
    <w:rsid w:val="005C20E5"/>
    <w:rsid w:val="005D2EE4"/>
    <w:rsid w:val="005D4553"/>
    <w:rsid w:val="005D7252"/>
    <w:rsid w:val="005D7421"/>
    <w:rsid w:val="005E0B0D"/>
    <w:rsid w:val="005E3CBA"/>
    <w:rsid w:val="005E6106"/>
    <w:rsid w:val="006055A1"/>
    <w:rsid w:val="006065BB"/>
    <w:rsid w:val="006130EC"/>
    <w:rsid w:val="00621165"/>
    <w:rsid w:val="00623C0D"/>
    <w:rsid w:val="006268FA"/>
    <w:rsid w:val="0062730C"/>
    <w:rsid w:val="00636B49"/>
    <w:rsid w:val="00643D7A"/>
    <w:rsid w:val="00646562"/>
    <w:rsid w:val="00651816"/>
    <w:rsid w:val="00662C56"/>
    <w:rsid w:val="006634F4"/>
    <w:rsid w:val="006873D7"/>
    <w:rsid w:val="00692EDA"/>
    <w:rsid w:val="00697F15"/>
    <w:rsid w:val="006C39E4"/>
    <w:rsid w:val="006D189E"/>
    <w:rsid w:val="006E055C"/>
    <w:rsid w:val="006E29F3"/>
    <w:rsid w:val="0072571C"/>
    <w:rsid w:val="00732D89"/>
    <w:rsid w:val="00736E5E"/>
    <w:rsid w:val="007604CC"/>
    <w:rsid w:val="00775945"/>
    <w:rsid w:val="007874D0"/>
    <w:rsid w:val="00790DF0"/>
    <w:rsid w:val="007A31D3"/>
    <w:rsid w:val="007A5E02"/>
    <w:rsid w:val="007B192B"/>
    <w:rsid w:val="007B20EC"/>
    <w:rsid w:val="007C240A"/>
    <w:rsid w:val="007C6CAD"/>
    <w:rsid w:val="007D10F2"/>
    <w:rsid w:val="007D4159"/>
    <w:rsid w:val="007F3341"/>
    <w:rsid w:val="007F5E59"/>
    <w:rsid w:val="0080008A"/>
    <w:rsid w:val="00807946"/>
    <w:rsid w:val="0081276D"/>
    <w:rsid w:val="00814FD2"/>
    <w:rsid w:val="00816065"/>
    <w:rsid w:val="008178A0"/>
    <w:rsid w:val="008210BB"/>
    <w:rsid w:val="008317FC"/>
    <w:rsid w:val="008318DD"/>
    <w:rsid w:val="00837436"/>
    <w:rsid w:val="00843D88"/>
    <w:rsid w:val="008467D1"/>
    <w:rsid w:val="0085019D"/>
    <w:rsid w:val="00851862"/>
    <w:rsid w:val="008540C9"/>
    <w:rsid w:val="00871015"/>
    <w:rsid w:val="00882FDB"/>
    <w:rsid w:val="008846C0"/>
    <w:rsid w:val="008946E1"/>
    <w:rsid w:val="00895FA6"/>
    <w:rsid w:val="008A003E"/>
    <w:rsid w:val="008B55AA"/>
    <w:rsid w:val="008D2596"/>
    <w:rsid w:val="008F15B0"/>
    <w:rsid w:val="008F2DB9"/>
    <w:rsid w:val="008F5675"/>
    <w:rsid w:val="00901F19"/>
    <w:rsid w:val="00903B32"/>
    <w:rsid w:val="00903E19"/>
    <w:rsid w:val="00914A26"/>
    <w:rsid w:val="00931AD0"/>
    <w:rsid w:val="009410C3"/>
    <w:rsid w:val="00945A1C"/>
    <w:rsid w:val="00947F0F"/>
    <w:rsid w:val="00950495"/>
    <w:rsid w:val="00950603"/>
    <w:rsid w:val="0096452E"/>
    <w:rsid w:val="009677C1"/>
    <w:rsid w:val="009729E9"/>
    <w:rsid w:val="009A02B1"/>
    <w:rsid w:val="009B43B6"/>
    <w:rsid w:val="009D515D"/>
    <w:rsid w:val="009E11E8"/>
    <w:rsid w:val="00A0395A"/>
    <w:rsid w:val="00A12281"/>
    <w:rsid w:val="00A207EB"/>
    <w:rsid w:val="00A301DA"/>
    <w:rsid w:val="00A433B1"/>
    <w:rsid w:val="00A52A0D"/>
    <w:rsid w:val="00A65A92"/>
    <w:rsid w:val="00A65E4E"/>
    <w:rsid w:val="00A83058"/>
    <w:rsid w:val="00A90BBF"/>
    <w:rsid w:val="00A91082"/>
    <w:rsid w:val="00A9174B"/>
    <w:rsid w:val="00A92391"/>
    <w:rsid w:val="00A9726A"/>
    <w:rsid w:val="00AA4E00"/>
    <w:rsid w:val="00AA531A"/>
    <w:rsid w:val="00AA7F4D"/>
    <w:rsid w:val="00AB63FB"/>
    <w:rsid w:val="00AC5BE8"/>
    <w:rsid w:val="00AF1FE4"/>
    <w:rsid w:val="00B15493"/>
    <w:rsid w:val="00B21334"/>
    <w:rsid w:val="00B22003"/>
    <w:rsid w:val="00B23C46"/>
    <w:rsid w:val="00B2632E"/>
    <w:rsid w:val="00B36D7A"/>
    <w:rsid w:val="00B42C53"/>
    <w:rsid w:val="00B45CF9"/>
    <w:rsid w:val="00B46787"/>
    <w:rsid w:val="00B50E0F"/>
    <w:rsid w:val="00B56C13"/>
    <w:rsid w:val="00B63722"/>
    <w:rsid w:val="00B64B95"/>
    <w:rsid w:val="00B64BF7"/>
    <w:rsid w:val="00B65D22"/>
    <w:rsid w:val="00B66A93"/>
    <w:rsid w:val="00B6755E"/>
    <w:rsid w:val="00B82FDB"/>
    <w:rsid w:val="00B91CA9"/>
    <w:rsid w:val="00B939B4"/>
    <w:rsid w:val="00BA3237"/>
    <w:rsid w:val="00BA6AE5"/>
    <w:rsid w:val="00BB40D4"/>
    <w:rsid w:val="00BC1D8F"/>
    <w:rsid w:val="00BC7DDA"/>
    <w:rsid w:val="00BD096B"/>
    <w:rsid w:val="00BE0B39"/>
    <w:rsid w:val="00BE2A5E"/>
    <w:rsid w:val="00BF6E83"/>
    <w:rsid w:val="00C024A4"/>
    <w:rsid w:val="00C053F0"/>
    <w:rsid w:val="00C069E3"/>
    <w:rsid w:val="00C10808"/>
    <w:rsid w:val="00C1186A"/>
    <w:rsid w:val="00C20B59"/>
    <w:rsid w:val="00C21E9B"/>
    <w:rsid w:val="00C220FD"/>
    <w:rsid w:val="00C23050"/>
    <w:rsid w:val="00C231F9"/>
    <w:rsid w:val="00C432C7"/>
    <w:rsid w:val="00C5076A"/>
    <w:rsid w:val="00C5124A"/>
    <w:rsid w:val="00C53DE3"/>
    <w:rsid w:val="00C55DB7"/>
    <w:rsid w:val="00C607C1"/>
    <w:rsid w:val="00C662EA"/>
    <w:rsid w:val="00C70C82"/>
    <w:rsid w:val="00C712B8"/>
    <w:rsid w:val="00C752BA"/>
    <w:rsid w:val="00C75DE2"/>
    <w:rsid w:val="00C81A23"/>
    <w:rsid w:val="00C948D2"/>
    <w:rsid w:val="00CC5828"/>
    <w:rsid w:val="00CD2922"/>
    <w:rsid w:val="00D01025"/>
    <w:rsid w:val="00D11B14"/>
    <w:rsid w:val="00D2148B"/>
    <w:rsid w:val="00D2324D"/>
    <w:rsid w:val="00D508D7"/>
    <w:rsid w:val="00D55B48"/>
    <w:rsid w:val="00D830BD"/>
    <w:rsid w:val="00D9380B"/>
    <w:rsid w:val="00DB08D0"/>
    <w:rsid w:val="00DB126B"/>
    <w:rsid w:val="00DB3506"/>
    <w:rsid w:val="00DB5B69"/>
    <w:rsid w:val="00DB685C"/>
    <w:rsid w:val="00DC7697"/>
    <w:rsid w:val="00DE1873"/>
    <w:rsid w:val="00DE6A56"/>
    <w:rsid w:val="00E022F3"/>
    <w:rsid w:val="00E05B98"/>
    <w:rsid w:val="00E37184"/>
    <w:rsid w:val="00E41051"/>
    <w:rsid w:val="00E42E58"/>
    <w:rsid w:val="00E45F4E"/>
    <w:rsid w:val="00E60C54"/>
    <w:rsid w:val="00E81916"/>
    <w:rsid w:val="00E97650"/>
    <w:rsid w:val="00EA2F81"/>
    <w:rsid w:val="00EB2EBF"/>
    <w:rsid w:val="00EB626F"/>
    <w:rsid w:val="00EC3ACA"/>
    <w:rsid w:val="00EC4B77"/>
    <w:rsid w:val="00EC6880"/>
    <w:rsid w:val="00ED2BF0"/>
    <w:rsid w:val="00ED7BF7"/>
    <w:rsid w:val="00EE6704"/>
    <w:rsid w:val="00EF7736"/>
    <w:rsid w:val="00F03CB5"/>
    <w:rsid w:val="00F10815"/>
    <w:rsid w:val="00F172F2"/>
    <w:rsid w:val="00F32601"/>
    <w:rsid w:val="00F56533"/>
    <w:rsid w:val="00F6267F"/>
    <w:rsid w:val="00F74616"/>
    <w:rsid w:val="00F904AF"/>
    <w:rsid w:val="00F91246"/>
    <w:rsid w:val="00F91882"/>
    <w:rsid w:val="00FA5990"/>
    <w:rsid w:val="00FB244F"/>
    <w:rsid w:val="00FC0DA4"/>
    <w:rsid w:val="00FC10AC"/>
    <w:rsid w:val="00FD3C28"/>
    <w:rsid w:val="00FE3751"/>
    <w:rsid w:val="00FE7BA6"/>
    <w:rsid w:val="00FF64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5B5B"/>
  <w15:docId w15:val="{F793A98E-701A-4CB0-A823-7317D632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059"/>
    <w:rPr>
      <w:lang w:val="en-GB"/>
    </w:rPr>
  </w:style>
  <w:style w:type="paragraph" w:styleId="Heading1">
    <w:name w:val="heading 1"/>
    <w:basedOn w:val="Normal"/>
    <w:next w:val="Normal"/>
    <w:link w:val="Heading1Char"/>
    <w:qFormat/>
    <w:rsid w:val="00EA2F81"/>
    <w:pPr>
      <w:keepNext/>
      <w:jc w:val="center"/>
      <w:outlineLvl w:val="0"/>
    </w:pPr>
    <w:rPr>
      <w:rFonts w:ascii="Arial" w:eastAsia="Times New Roman" w:hAnsi="Arial" w:cs="Times New Roman"/>
      <w:b/>
      <w:sz w:val="5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F81"/>
    <w:rPr>
      <w:rFonts w:ascii="Arial" w:eastAsia="Times New Roman" w:hAnsi="Arial" w:cs="Times New Roman"/>
      <w:b/>
      <w:sz w:val="56"/>
      <w:szCs w:val="20"/>
    </w:rPr>
  </w:style>
  <w:style w:type="paragraph" w:styleId="Caption">
    <w:name w:val="caption"/>
    <w:basedOn w:val="Normal"/>
    <w:next w:val="Normal"/>
    <w:autoRedefine/>
    <w:unhideWhenUsed/>
    <w:qFormat/>
    <w:rsid w:val="0072571C"/>
    <w:pPr>
      <w:keepNext/>
      <w:spacing w:line="360" w:lineRule="auto"/>
    </w:pPr>
    <w:rPr>
      <w:b/>
      <w:bCs/>
      <w:i/>
    </w:rPr>
  </w:style>
  <w:style w:type="paragraph" w:styleId="Header">
    <w:name w:val="header"/>
    <w:aliases w:val="Trends Title"/>
    <w:basedOn w:val="Normal"/>
    <w:link w:val="HeaderChar"/>
    <w:autoRedefine/>
    <w:unhideWhenUsed/>
    <w:rsid w:val="00196177"/>
    <w:pPr>
      <w:tabs>
        <w:tab w:val="center" w:pos="4320"/>
        <w:tab w:val="right" w:pos="8640"/>
      </w:tabs>
    </w:pPr>
    <w:rPr>
      <w:rFonts w:asciiTheme="majorHAnsi" w:hAnsiTheme="majorHAnsi"/>
      <w:sz w:val="32"/>
    </w:rPr>
  </w:style>
  <w:style w:type="character" w:customStyle="1" w:styleId="HeaderChar">
    <w:name w:val="Header Char"/>
    <w:aliases w:val="Trends Title Char"/>
    <w:basedOn w:val="DefaultParagraphFont"/>
    <w:link w:val="Header"/>
    <w:uiPriority w:val="99"/>
    <w:semiHidden/>
    <w:rsid w:val="00196177"/>
    <w:rPr>
      <w:rFonts w:asciiTheme="majorHAnsi" w:hAnsiTheme="majorHAnsi"/>
      <w:sz w:val="32"/>
    </w:rPr>
  </w:style>
  <w:style w:type="character" w:customStyle="1" w:styleId="st">
    <w:name w:val="st"/>
    <w:basedOn w:val="DefaultParagraphFont"/>
    <w:rsid w:val="001A30F2"/>
  </w:style>
  <w:style w:type="character" w:styleId="Emphasis">
    <w:name w:val="Emphasis"/>
    <w:basedOn w:val="DefaultParagraphFont"/>
    <w:uiPriority w:val="20"/>
    <w:qFormat/>
    <w:rsid w:val="001A30F2"/>
    <w:rPr>
      <w:i/>
    </w:rPr>
  </w:style>
  <w:style w:type="table" w:styleId="TableGrid">
    <w:name w:val="Table Grid"/>
    <w:basedOn w:val="TableNormal"/>
    <w:rsid w:val="00BF6E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rsid w:val="00C55DB7"/>
    <w:pPr>
      <w:tabs>
        <w:tab w:val="center" w:pos="4320"/>
        <w:tab w:val="right" w:pos="8640"/>
      </w:tabs>
    </w:pPr>
  </w:style>
  <w:style w:type="character" w:customStyle="1" w:styleId="FooterChar">
    <w:name w:val="Footer Char"/>
    <w:basedOn w:val="DefaultParagraphFont"/>
    <w:link w:val="Footer"/>
    <w:rsid w:val="00C55DB7"/>
    <w:rPr>
      <w:lang w:val="en-GB"/>
    </w:rPr>
  </w:style>
  <w:style w:type="paragraph" w:styleId="NormalWeb">
    <w:name w:val="Normal (Web)"/>
    <w:basedOn w:val="Normal"/>
    <w:uiPriority w:val="99"/>
    <w:rsid w:val="00B82FDB"/>
    <w:pPr>
      <w:spacing w:beforeLines="1" w:afterLines="1"/>
    </w:pPr>
    <w:rPr>
      <w:rFonts w:ascii="Times" w:hAnsi="Times" w:cs="Times New Roman"/>
      <w:sz w:val="20"/>
      <w:szCs w:val="20"/>
    </w:rPr>
  </w:style>
  <w:style w:type="character" w:styleId="EndnoteReference">
    <w:name w:val="endnote reference"/>
    <w:basedOn w:val="DefaultParagraphFont"/>
    <w:rsid w:val="00EA2F81"/>
    <w:rPr>
      <w:rFonts w:ascii="Helvetica" w:hAnsi="Helvetica"/>
      <w:sz w:val="22"/>
      <w:vertAlign w:val="superscript"/>
    </w:rPr>
  </w:style>
  <w:style w:type="paragraph" w:styleId="DocumentMap">
    <w:name w:val="Document Map"/>
    <w:basedOn w:val="Normal"/>
    <w:link w:val="DocumentMapChar"/>
    <w:rsid w:val="00EA2F81"/>
    <w:pPr>
      <w:shd w:val="clear" w:color="auto" w:fill="000080"/>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rsid w:val="00EA2F81"/>
    <w:rPr>
      <w:rFonts w:ascii="Tahoma" w:eastAsia="Times New Roman" w:hAnsi="Tahoma" w:cs="Times New Roman"/>
      <w:sz w:val="20"/>
      <w:szCs w:val="20"/>
      <w:shd w:val="clear" w:color="auto" w:fill="000080"/>
    </w:rPr>
  </w:style>
  <w:style w:type="character" w:styleId="PageNumber">
    <w:name w:val="page number"/>
    <w:basedOn w:val="DefaultParagraphFont"/>
    <w:rsid w:val="00EA2F81"/>
  </w:style>
  <w:style w:type="character" w:customStyle="1" w:styleId="INSTRUCTIE">
    <w:name w:val="INSTRUCTIE"/>
    <w:basedOn w:val="DefaultParagraphFont"/>
    <w:rsid w:val="00EA2F81"/>
    <w:rPr>
      <w:rFonts w:ascii="Courier" w:hAnsi="Courier"/>
      <w:i/>
      <w:noProof w:val="0"/>
      <w:sz w:val="24"/>
      <w:lang w:val="en-US"/>
    </w:rPr>
  </w:style>
  <w:style w:type="paragraph" w:styleId="BodyText">
    <w:name w:val="Body Text"/>
    <w:basedOn w:val="Normal"/>
    <w:link w:val="BodyTextChar"/>
    <w:rsid w:val="00EA2F81"/>
    <w:pPr>
      <w:tabs>
        <w:tab w:val="center" w:pos="690"/>
      </w:tabs>
      <w:jc w:val="center"/>
    </w:pPr>
    <w:rPr>
      <w:rFonts w:ascii="Arial" w:eastAsia="Times New Roman" w:hAnsi="Arial" w:cs="Times New Roman"/>
      <w:sz w:val="20"/>
      <w:szCs w:val="20"/>
      <w:lang w:val="nl-NL"/>
    </w:rPr>
  </w:style>
  <w:style w:type="character" w:customStyle="1" w:styleId="BodyTextChar">
    <w:name w:val="Body Text Char"/>
    <w:basedOn w:val="DefaultParagraphFont"/>
    <w:link w:val="BodyText"/>
    <w:rsid w:val="00EA2F81"/>
    <w:rPr>
      <w:rFonts w:ascii="Arial" w:eastAsia="Times New Roman" w:hAnsi="Arial" w:cs="Times New Roman"/>
      <w:sz w:val="20"/>
      <w:szCs w:val="20"/>
      <w:lang w:val="nl-NL"/>
    </w:rPr>
  </w:style>
  <w:style w:type="paragraph" w:styleId="ListParagraph">
    <w:name w:val="List Paragraph"/>
    <w:basedOn w:val="Normal"/>
    <w:rsid w:val="004D0BB0"/>
    <w:pPr>
      <w:ind w:left="720"/>
      <w:contextualSpacing/>
    </w:pPr>
  </w:style>
  <w:style w:type="character" w:styleId="CommentReference">
    <w:name w:val="annotation reference"/>
    <w:basedOn w:val="DefaultParagraphFont"/>
    <w:unhideWhenUsed/>
    <w:rsid w:val="008210BB"/>
    <w:rPr>
      <w:sz w:val="16"/>
      <w:szCs w:val="16"/>
    </w:rPr>
  </w:style>
  <w:style w:type="paragraph" w:styleId="CommentText">
    <w:name w:val="annotation text"/>
    <w:basedOn w:val="Normal"/>
    <w:link w:val="CommentTextChar"/>
    <w:unhideWhenUsed/>
    <w:rsid w:val="008210BB"/>
    <w:rPr>
      <w:sz w:val="20"/>
      <w:szCs w:val="20"/>
    </w:rPr>
  </w:style>
  <w:style w:type="character" w:customStyle="1" w:styleId="CommentTextChar">
    <w:name w:val="Comment Text Char"/>
    <w:basedOn w:val="DefaultParagraphFont"/>
    <w:link w:val="CommentText"/>
    <w:rsid w:val="008210BB"/>
    <w:rPr>
      <w:sz w:val="20"/>
      <w:szCs w:val="20"/>
      <w:lang w:val="en-GB"/>
    </w:rPr>
  </w:style>
  <w:style w:type="paragraph" w:styleId="CommentSubject">
    <w:name w:val="annotation subject"/>
    <w:basedOn w:val="CommentText"/>
    <w:next w:val="CommentText"/>
    <w:link w:val="CommentSubjectChar"/>
    <w:semiHidden/>
    <w:unhideWhenUsed/>
    <w:rsid w:val="008210BB"/>
    <w:rPr>
      <w:b/>
      <w:bCs/>
    </w:rPr>
  </w:style>
  <w:style w:type="character" w:customStyle="1" w:styleId="CommentSubjectChar">
    <w:name w:val="Comment Subject Char"/>
    <w:basedOn w:val="CommentTextChar"/>
    <w:link w:val="CommentSubject"/>
    <w:semiHidden/>
    <w:rsid w:val="008210BB"/>
    <w:rPr>
      <w:b/>
      <w:bCs/>
      <w:sz w:val="20"/>
      <w:szCs w:val="20"/>
      <w:lang w:val="en-GB"/>
    </w:rPr>
  </w:style>
  <w:style w:type="paragraph" w:styleId="BalloonText">
    <w:name w:val="Balloon Text"/>
    <w:basedOn w:val="Normal"/>
    <w:link w:val="BalloonTextChar"/>
    <w:semiHidden/>
    <w:unhideWhenUsed/>
    <w:rsid w:val="008210BB"/>
    <w:rPr>
      <w:rFonts w:ascii="Segoe UI" w:hAnsi="Segoe UI" w:cs="Segoe UI"/>
      <w:sz w:val="18"/>
      <w:szCs w:val="18"/>
    </w:rPr>
  </w:style>
  <w:style w:type="character" w:customStyle="1" w:styleId="BalloonTextChar">
    <w:name w:val="Balloon Text Char"/>
    <w:basedOn w:val="DefaultParagraphFont"/>
    <w:link w:val="BalloonText"/>
    <w:semiHidden/>
    <w:rsid w:val="008210BB"/>
    <w:rPr>
      <w:rFonts w:ascii="Segoe UI" w:hAnsi="Segoe UI" w:cs="Segoe UI"/>
      <w:sz w:val="18"/>
      <w:szCs w:val="18"/>
      <w:lang w:val="en-GB"/>
    </w:rPr>
  </w:style>
  <w:style w:type="table" w:styleId="PlainTable4">
    <w:name w:val="Plain Table 4"/>
    <w:basedOn w:val="TableNormal"/>
    <w:rsid w:val="00B637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637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doi1">
    <w:name w:val="doi1"/>
    <w:basedOn w:val="DefaultParagraphFont"/>
    <w:rsid w:val="000B4AEA"/>
    <w:rPr>
      <w:color w:val="666666"/>
    </w:rPr>
  </w:style>
  <w:style w:type="character" w:styleId="Hyperlink">
    <w:name w:val="Hyperlink"/>
    <w:basedOn w:val="DefaultParagraphFont"/>
    <w:uiPriority w:val="99"/>
    <w:unhideWhenUsed/>
    <w:rsid w:val="000B4AEA"/>
    <w:rPr>
      <w:strike w:val="0"/>
      <w:dstrike w:val="0"/>
      <w:color w:val="316C9D"/>
      <w:u w:val="none"/>
      <w:effect w:val="none"/>
    </w:rPr>
  </w:style>
  <w:style w:type="paragraph" w:customStyle="1" w:styleId="EndNoteBibliography">
    <w:name w:val="EndNote Bibliography"/>
    <w:basedOn w:val="Normal"/>
    <w:rsid w:val="00A65E4E"/>
    <w:rPr>
      <w:rFonts w:ascii="Calibri" w:hAnsi="Calibri"/>
      <w:lang w:val="en-US"/>
    </w:rPr>
  </w:style>
  <w:style w:type="paragraph" w:customStyle="1" w:styleId="p1">
    <w:name w:val="p1"/>
    <w:basedOn w:val="Normal"/>
    <w:rsid w:val="00B56C13"/>
    <w:rPr>
      <w:rFonts w:ascii="Arial" w:hAnsi="Arial" w:cs="Arial"/>
      <w:sz w:val="17"/>
      <w:szCs w:val="17"/>
      <w:lang w:val="en-US"/>
    </w:rPr>
  </w:style>
  <w:style w:type="paragraph" w:customStyle="1" w:styleId="p2">
    <w:name w:val="p2"/>
    <w:basedOn w:val="Normal"/>
    <w:rsid w:val="00B56C13"/>
    <w:pPr>
      <w:spacing w:after="119"/>
    </w:pPr>
    <w:rPr>
      <w:rFonts w:ascii="Arial" w:hAnsi="Arial" w:cs="Arial"/>
      <w:sz w:val="17"/>
      <w:szCs w:val="17"/>
      <w:lang w:val="en-US"/>
    </w:rPr>
  </w:style>
  <w:style w:type="paragraph" w:customStyle="1" w:styleId="p3">
    <w:name w:val="p3"/>
    <w:basedOn w:val="Normal"/>
    <w:rsid w:val="00B56C13"/>
    <w:rPr>
      <w:rFonts w:ascii="Arial" w:hAnsi="Arial" w:cs="Arial"/>
      <w:sz w:val="17"/>
      <w:szCs w:val="17"/>
      <w:lang w:val="en-US"/>
    </w:rPr>
  </w:style>
  <w:style w:type="paragraph" w:customStyle="1" w:styleId="p4">
    <w:name w:val="p4"/>
    <w:basedOn w:val="Normal"/>
    <w:rsid w:val="00B56C13"/>
    <w:rPr>
      <w:rFonts w:ascii="Arial" w:hAnsi="Arial" w:cs="Arial"/>
      <w:sz w:val="11"/>
      <w:szCs w:val="11"/>
      <w:lang w:val="en-US"/>
    </w:rPr>
  </w:style>
  <w:style w:type="character" w:customStyle="1" w:styleId="s1">
    <w:name w:val="s1"/>
    <w:basedOn w:val="DefaultParagraphFont"/>
    <w:rsid w:val="00B56C13"/>
    <w:rPr>
      <w:rFonts w:ascii="Wingdings" w:hAnsi="Wingdings" w:hint="default"/>
      <w:sz w:val="17"/>
      <w:szCs w:val="17"/>
    </w:rPr>
  </w:style>
  <w:style w:type="character" w:customStyle="1" w:styleId="s2">
    <w:name w:val="s2"/>
    <w:basedOn w:val="DefaultParagraphFont"/>
    <w:rsid w:val="00B56C13"/>
    <w:rPr>
      <w:rFonts w:ascii="Arial" w:hAnsi="Arial" w:cs="Arial" w:hint="default"/>
      <w:sz w:val="11"/>
      <w:szCs w:val="11"/>
    </w:rPr>
  </w:style>
  <w:style w:type="character" w:customStyle="1" w:styleId="apple-converted-space">
    <w:name w:val="apple-converted-space"/>
    <w:basedOn w:val="DefaultParagraphFont"/>
    <w:rsid w:val="00B56C13"/>
  </w:style>
  <w:style w:type="character" w:customStyle="1" w:styleId="personname">
    <w:name w:val="person_name"/>
    <w:basedOn w:val="DefaultParagraphFont"/>
    <w:rsid w:val="00065B34"/>
  </w:style>
  <w:style w:type="table" w:styleId="PlainTable2">
    <w:name w:val="Plain Table 2"/>
    <w:basedOn w:val="TableNormal"/>
    <w:rsid w:val="009410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DB1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75">
      <w:bodyDiv w:val="1"/>
      <w:marLeft w:val="0"/>
      <w:marRight w:val="0"/>
      <w:marTop w:val="0"/>
      <w:marBottom w:val="0"/>
      <w:divBdr>
        <w:top w:val="none" w:sz="0" w:space="0" w:color="auto"/>
        <w:left w:val="none" w:sz="0" w:space="0" w:color="auto"/>
        <w:bottom w:val="none" w:sz="0" w:space="0" w:color="auto"/>
        <w:right w:val="none" w:sz="0" w:space="0" w:color="auto"/>
      </w:divBdr>
    </w:div>
    <w:div w:id="80301295">
      <w:bodyDiv w:val="1"/>
      <w:marLeft w:val="0"/>
      <w:marRight w:val="0"/>
      <w:marTop w:val="0"/>
      <w:marBottom w:val="0"/>
      <w:divBdr>
        <w:top w:val="none" w:sz="0" w:space="0" w:color="auto"/>
        <w:left w:val="none" w:sz="0" w:space="0" w:color="auto"/>
        <w:bottom w:val="none" w:sz="0" w:space="0" w:color="auto"/>
        <w:right w:val="none" w:sz="0" w:space="0" w:color="auto"/>
      </w:divBdr>
    </w:div>
    <w:div w:id="141121231">
      <w:bodyDiv w:val="1"/>
      <w:marLeft w:val="0"/>
      <w:marRight w:val="0"/>
      <w:marTop w:val="0"/>
      <w:marBottom w:val="0"/>
      <w:divBdr>
        <w:top w:val="none" w:sz="0" w:space="0" w:color="auto"/>
        <w:left w:val="none" w:sz="0" w:space="0" w:color="auto"/>
        <w:bottom w:val="none" w:sz="0" w:space="0" w:color="auto"/>
        <w:right w:val="none" w:sz="0" w:space="0" w:color="auto"/>
      </w:divBdr>
    </w:div>
    <w:div w:id="244389049">
      <w:bodyDiv w:val="1"/>
      <w:marLeft w:val="0"/>
      <w:marRight w:val="0"/>
      <w:marTop w:val="0"/>
      <w:marBottom w:val="0"/>
      <w:divBdr>
        <w:top w:val="none" w:sz="0" w:space="0" w:color="auto"/>
        <w:left w:val="none" w:sz="0" w:space="0" w:color="auto"/>
        <w:bottom w:val="none" w:sz="0" w:space="0" w:color="auto"/>
        <w:right w:val="none" w:sz="0" w:space="0" w:color="auto"/>
      </w:divBdr>
    </w:div>
    <w:div w:id="261844757">
      <w:bodyDiv w:val="1"/>
      <w:marLeft w:val="0"/>
      <w:marRight w:val="0"/>
      <w:marTop w:val="0"/>
      <w:marBottom w:val="0"/>
      <w:divBdr>
        <w:top w:val="none" w:sz="0" w:space="0" w:color="auto"/>
        <w:left w:val="none" w:sz="0" w:space="0" w:color="auto"/>
        <w:bottom w:val="none" w:sz="0" w:space="0" w:color="auto"/>
        <w:right w:val="none" w:sz="0" w:space="0" w:color="auto"/>
      </w:divBdr>
    </w:div>
    <w:div w:id="270941430">
      <w:bodyDiv w:val="1"/>
      <w:marLeft w:val="0"/>
      <w:marRight w:val="0"/>
      <w:marTop w:val="0"/>
      <w:marBottom w:val="0"/>
      <w:divBdr>
        <w:top w:val="none" w:sz="0" w:space="0" w:color="auto"/>
        <w:left w:val="none" w:sz="0" w:space="0" w:color="auto"/>
        <w:bottom w:val="none" w:sz="0" w:space="0" w:color="auto"/>
        <w:right w:val="none" w:sz="0" w:space="0" w:color="auto"/>
      </w:divBdr>
    </w:div>
    <w:div w:id="328675118">
      <w:bodyDiv w:val="1"/>
      <w:marLeft w:val="0"/>
      <w:marRight w:val="0"/>
      <w:marTop w:val="0"/>
      <w:marBottom w:val="0"/>
      <w:divBdr>
        <w:top w:val="none" w:sz="0" w:space="0" w:color="auto"/>
        <w:left w:val="none" w:sz="0" w:space="0" w:color="auto"/>
        <w:bottom w:val="none" w:sz="0" w:space="0" w:color="auto"/>
        <w:right w:val="none" w:sz="0" w:space="0" w:color="auto"/>
      </w:divBdr>
    </w:div>
    <w:div w:id="377513978">
      <w:bodyDiv w:val="1"/>
      <w:marLeft w:val="0"/>
      <w:marRight w:val="0"/>
      <w:marTop w:val="0"/>
      <w:marBottom w:val="0"/>
      <w:divBdr>
        <w:top w:val="none" w:sz="0" w:space="0" w:color="auto"/>
        <w:left w:val="none" w:sz="0" w:space="0" w:color="auto"/>
        <w:bottom w:val="none" w:sz="0" w:space="0" w:color="auto"/>
        <w:right w:val="none" w:sz="0" w:space="0" w:color="auto"/>
      </w:divBdr>
    </w:div>
    <w:div w:id="383678227">
      <w:bodyDiv w:val="1"/>
      <w:marLeft w:val="0"/>
      <w:marRight w:val="0"/>
      <w:marTop w:val="0"/>
      <w:marBottom w:val="0"/>
      <w:divBdr>
        <w:top w:val="none" w:sz="0" w:space="0" w:color="auto"/>
        <w:left w:val="none" w:sz="0" w:space="0" w:color="auto"/>
        <w:bottom w:val="none" w:sz="0" w:space="0" w:color="auto"/>
        <w:right w:val="none" w:sz="0" w:space="0" w:color="auto"/>
      </w:divBdr>
    </w:div>
    <w:div w:id="416440612">
      <w:bodyDiv w:val="1"/>
      <w:marLeft w:val="0"/>
      <w:marRight w:val="0"/>
      <w:marTop w:val="0"/>
      <w:marBottom w:val="0"/>
      <w:divBdr>
        <w:top w:val="none" w:sz="0" w:space="0" w:color="auto"/>
        <w:left w:val="none" w:sz="0" w:space="0" w:color="auto"/>
        <w:bottom w:val="none" w:sz="0" w:space="0" w:color="auto"/>
        <w:right w:val="none" w:sz="0" w:space="0" w:color="auto"/>
      </w:divBdr>
    </w:div>
    <w:div w:id="451942601">
      <w:bodyDiv w:val="1"/>
      <w:marLeft w:val="0"/>
      <w:marRight w:val="0"/>
      <w:marTop w:val="0"/>
      <w:marBottom w:val="0"/>
      <w:divBdr>
        <w:top w:val="none" w:sz="0" w:space="0" w:color="auto"/>
        <w:left w:val="none" w:sz="0" w:space="0" w:color="auto"/>
        <w:bottom w:val="none" w:sz="0" w:space="0" w:color="auto"/>
        <w:right w:val="none" w:sz="0" w:space="0" w:color="auto"/>
      </w:divBdr>
    </w:div>
    <w:div w:id="468133671">
      <w:bodyDiv w:val="1"/>
      <w:marLeft w:val="0"/>
      <w:marRight w:val="0"/>
      <w:marTop w:val="0"/>
      <w:marBottom w:val="0"/>
      <w:divBdr>
        <w:top w:val="none" w:sz="0" w:space="0" w:color="auto"/>
        <w:left w:val="none" w:sz="0" w:space="0" w:color="auto"/>
        <w:bottom w:val="none" w:sz="0" w:space="0" w:color="auto"/>
        <w:right w:val="none" w:sz="0" w:space="0" w:color="auto"/>
      </w:divBdr>
    </w:div>
    <w:div w:id="540095575">
      <w:bodyDiv w:val="1"/>
      <w:marLeft w:val="0"/>
      <w:marRight w:val="0"/>
      <w:marTop w:val="0"/>
      <w:marBottom w:val="0"/>
      <w:divBdr>
        <w:top w:val="none" w:sz="0" w:space="0" w:color="auto"/>
        <w:left w:val="none" w:sz="0" w:space="0" w:color="auto"/>
        <w:bottom w:val="none" w:sz="0" w:space="0" w:color="auto"/>
        <w:right w:val="none" w:sz="0" w:space="0" w:color="auto"/>
      </w:divBdr>
    </w:div>
    <w:div w:id="541327972">
      <w:bodyDiv w:val="1"/>
      <w:marLeft w:val="0"/>
      <w:marRight w:val="0"/>
      <w:marTop w:val="0"/>
      <w:marBottom w:val="0"/>
      <w:divBdr>
        <w:top w:val="none" w:sz="0" w:space="0" w:color="auto"/>
        <w:left w:val="none" w:sz="0" w:space="0" w:color="auto"/>
        <w:bottom w:val="none" w:sz="0" w:space="0" w:color="auto"/>
        <w:right w:val="none" w:sz="0" w:space="0" w:color="auto"/>
      </w:divBdr>
    </w:div>
    <w:div w:id="549726175">
      <w:bodyDiv w:val="1"/>
      <w:marLeft w:val="0"/>
      <w:marRight w:val="0"/>
      <w:marTop w:val="0"/>
      <w:marBottom w:val="0"/>
      <w:divBdr>
        <w:top w:val="none" w:sz="0" w:space="0" w:color="auto"/>
        <w:left w:val="none" w:sz="0" w:space="0" w:color="auto"/>
        <w:bottom w:val="none" w:sz="0" w:space="0" w:color="auto"/>
        <w:right w:val="none" w:sz="0" w:space="0" w:color="auto"/>
      </w:divBdr>
    </w:div>
    <w:div w:id="617571437">
      <w:bodyDiv w:val="1"/>
      <w:marLeft w:val="0"/>
      <w:marRight w:val="0"/>
      <w:marTop w:val="0"/>
      <w:marBottom w:val="0"/>
      <w:divBdr>
        <w:top w:val="none" w:sz="0" w:space="0" w:color="auto"/>
        <w:left w:val="none" w:sz="0" w:space="0" w:color="auto"/>
        <w:bottom w:val="none" w:sz="0" w:space="0" w:color="auto"/>
        <w:right w:val="none" w:sz="0" w:space="0" w:color="auto"/>
      </w:divBdr>
    </w:div>
    <w:div w:id="778835591">
      <w:bodyDiv w:val="1"/>
      <w:marLeft w:val="0"/>
      <w:marRight w:val="0"/>
      <w:marTop w:val="0"/>
      <w:marBottom w:val="0"/>
      <w:divBdr>
        <w:top w:val="none" w:sz="0" w:space="0" w:color="auto"/>
        <w:left w:val="none" w:sz="0" w:space="0" w:color="auto"/>
        <w:bottom w:val="none" w:sz="0" w:space="0" w:color="auto"/>
        <w:right w:val="none" w:sz="0" w:space="0" w:color="auto"/>
      </w:divBdr>
    </w:div>
    <w:div w:id="820997339">
      <w:bodyDiv w:val="1"/>
      <w:marLeft w:val="0"/>
      <w:marRight w:val="0"/>
      <w:marTop w:val="0"/>
      <w:marBottom w:val="0"/>
      <w:divBdr>
        <w:top w:val="none" w:sz="0" w:space="0" w:color="auto"/>
        <w:left w:val="none" w:sz="0" w:space="0" w:color="auto"/>
        <w:bottom w:val="none" w:sz="0" w:space="0" w:color="auto"/>
        <w:right w:val="none" w:sz="0" w:space="0" w:color="auto"/>
      </w:divBdr>
    </w:div>
    <w:div w:id="842665234">
      <w:bodyDiv w:val="1"/>
      <w:marLeft w:val="0"/>
      <w:marRight w:val="0"/>
      <w:marTop w:val="0"/>
      <w:marBottom w:val="0"/>
      <w:divBdr>
        <w:top w:val="none" w:sz="0" w:space="0" w:color="auto"/>
        <w:left w:val="none" w:sz="0" w:space="0" w:color="auto"/>
        <w:bottom w:val="none" w:sz="0" w:space="0" w:color="auto"/>
        <w:right w:val="none" w:sz="0" w:space="0" w:color="auto"/>
      </w:divBdr>
    </w:div>
    <w:div w:id="845753635">
      <w:bodyDiv w:val="1"/>
      <w:marLeft w:val="0"/>
      <w:marRight w:val="0"/>
      <w:marTop w:val="0"/>
      <w:marBottom w:val="0"/>
      <w:divBdr>
        <w:top w:val="none" w:sz="0" w:space="0" w:color="auto"/>
        <w:left w:val="none" w:sz="0" w:space="0" w:color="auto"/>
        <w:bottom w:val="none" w:sz="0" w:space="0" w:color="auto"/>
        <w:right w:val="none" w:sz="0" w:space="0" w:color="auto"/>
      </w:divBdr>
    </w:div>
    <w:div w:id="892354783">
      <w:bodyDiv w:val="1"/>
      <w:marLeft w:val="0"/>
      <w:marRight w:val="0"/>
      <w:marTop w:val="0"/>
      <w:marBottom w:val="0"/>
      <w:divBdr>
        <w:top w:val="none" w:sz="0" w:space="0" w:color="auto"/>
        <w:left w:val="none" w:sz="0" w:space="0" w:color="auto"/>
        <w:bottom w:val="none" w:sz="0" w:space="0" w:color="auto"/>
        <w:right w:val="none" w:sz="0" w:space="0" w:color="auto"/>
      </w:divBdr>
      <w:divsChild>
        <w:div w:id="27025128">
          <w:marLeft w:val="0"/>
          <w:marRight w:val="0"/>
          <w:marTop w:val="0"/>
          <w:marBottom w:val="0"/>
          <w:divBdr>
            <w:top w:val="none" w:sz="0" w:space="0" w:color="auto"/>
            <w:left w:val="none" w:sz="0" w:space="0" w:color="auto"/>
            <w:bottom w:val="none" w:sz="0" w:space="0" w:color="auto"/>
            <w:right w:val="none" w:sz="0" w:space="0" w:color="auto"/>
          </w:divBdr>
        </w:div>
        <w:div w:id="279604616">
          <w:marLeft w:val="0"/>
          <w:marRight w:val="0"/>
          <w:marTop w:val="0"/>
          <w:marBottom w:val="0"/>
          <w:divBdr>
            <w:top w:val="none" w:sz="0" w:space="0" w:color="auto"/>
            <w:left w:val="none" w:sz="0" w:space="0" w:color="auto"/>
            <w:bottom w:val="none" w:sz="0" w:space="0" w:color="auto"/>
            <w:right w:val="none" w:sz="0" w:space="0" w:color="auto"/>
          </w:divBdr>
        </w:div>
        <w:div w:id="780035631">
          <w:marLeft w:val="0"/>
          <w:marRight w:val="0"/>
          <w:marTop w:val="0"/>
          <w:marBottom w:val="0"/>
          <w:divBdr>
            <w:top w:val="none" w:sz="0" w:space="0" w:color="auto"/>
            <w:left w:val="none" w:sz="0" w:space="0" w:color="auto"/>
            <w:bottom w:val="none" w:sz="0" w:space="0" w:color="auto"/>
            <w:right w:val="none" w:sz="0" w:space="0" w:color="auto"/>
          </w:divBdr>
        </w:div>
        <w:div w:id="889802653">
          <w:marLeft w:val="0"/>
          <w:marRight w:val="0"/>
          <w:marTop w:val="0"/>
          <w:marBottom w:val="0"/>
          <w:divBdr>
            <w:top w:val="none" w:sz="0" w:space="0" w:color="auto"/>
            <w:left w:val="none" w:sz="0" w:space="0" w:color="auto"/>
            <w:bottom w:val="none" w:sz="0" w:space="0" w:color="auto"/>
            <w:right w:val="none" w:sz="0" w:space="0" w:color="auto"/>
          </w:divBdr>
        </w:div>
        <w:div w:id="1683586812">
          <w:marLeft w:val="0"/>
          <w:marRight w:val="0"/>
          <w:marTop w:val="0"/>
          <w:marBottom w:val="0"/>
          <w:divBdr>
            <w:top w:val="none" w:sz="0" w:space="0" w:color="auto"/>
            <w:left w:val="none" w:sz="0" w:space="0" w:color="auto"/>
            <w:bottom w:val="none" w:sz="0" w:space="0" w:color="auto"/>
            <w:right w:val="none" w:sz="0" w:space="0" w:color="auto"/>
          </w:divBdr>
        </w:div>
      </w:divsChild>
    </w:div>
    <w:div w:id="907887019">
      <w:bodyDiv w:val="1"/>
      <w:marLeft w:val="0"/>
      <w:marRight w:val="0"/>
      <w:marTop w:val="0"/>
      <w:marBottom w:val="0"/>
      <w:divBdr>
        <w:top w:val="none" w:sz="0" w:space="0" w:color="auto"/>
        <w:left w:val="none" w:sz="0" w:space="0" w:color="auto"/>
        <w:bottom w:val="none" w:sz="0" w:space="0" w:color="auto"/>
        <w:right w:val="none" w:sz="0" w:space="0" w:color="auto"/>
      </w:divBdr>
    </w:div>
    <w:div w:id="958267739">
      <w:bodyDiv w:val="1"/>
      <w:marLeft w:val="0"/>
      <w:marRight w:val="0"/>
      <w:marTop w:val="0"/>
      <w:marBottom w:val="0"/>
      <w:divBdr>
        <w:top w:val="none" w:sz="0" w:space="0" w:color="auto"/>
        <w:left w:val="none" w:sz="0" w:space="0" w:color="auto"/>
        <w:bottom w:val="none" w:sz="0" w:space="0" w:color="auto"/>
        <w:right w:val="none" w:sz="0" w:space="0" w:color="auto"/>
      </w:divBdr>
    </w:div>
    <w:div w:id="1049184986">
      <w:bodyDiv w:val="1"/>
      <w:marLeft w:val="0"/>
      <w:marRight w:val="0"/>
      <w:marTop w:val="0"/>
      <w:marBottom w:val="0"/>
      <w:divBdr>
        <w:top w:val="none" w:sz="0" w:space="0" w:color="auto"/>
        <w:left w:val="none" w:sz="0" w:space="0" w:color="auto"/>
        <w:bottom w:val="none" w:sz="0" w:space="0" w:color="auto"/>
        <w:right w:val="none" w:sz="0" w:space="0" w:color="auto"/>
      </w:divBdr>
    </w:div>
    <w:div w:id="1120949968">
      <w:bodyDiv w:val="1"/>
      <w:marLeft w:val="0"/>
      <w:marRight w:val="0"/>
      <w:marTop w:val="0"/>
      <w:marBottom w:val="0"/>
      <w:divBdr>
        <w:top w:val="none" w:sz="0" w:space="0" w:color="auto"/>
        <w:left w:val="none" w:sz="0" w:space="0" w:color="auto"/>
        <w:bottom w:val="none" w:sz="0" w:space="0" w:color="auto"/>
        <w:right w:val="none" w:sz="0" w:space="0" w:color="auto"/>
      </w:divBdr>
    </w:div>
    <w:div w:id="1151556834">
      <w:bodyDiv w:val="1"/>
      <w:marLeft w:val="0"/>
      <w:marRight w:val="0"/>
      <w:marTop w:val="0"/>
      <w:marBottom w:val="0"/>
      <w:divBdr>
        <w:top w:val="none" w:sz="0" w:space="0" w:color="auto"/>
        <w:left w:val="none" w:sz="0" w:space="0" w:color="auto"/>
        <w:bottom w:val="none" w:sz="0" w:space="0" w:color="auto"/>
        <w:right w:val="none" w:sz="0" w:space="0" w:color="auto"/>
      </w:divBdr>
    </w:div>
    <w:div w:id="1333487090">
      <w:bodyDiv w:val="1"/>
      <w:marLeft w:val="0"/>
      <w:marRight w:val="0"/>
      <w:marTop w:val="0"/>
      <w:marBottom w:val="0"/>
      <w:divBdr>
        <w:top w:val="none" w:sz="0" w:space="0" w:color="auto"/>
        <w:left w:val="none" w:sz="0" w:space="0" w:color="auto"/>
        <w:bottom w:val="none" w:sz="0" w:space="0" w:color="auto"/>
        <w:right w:val="none" w:sz="0" w:space="0" w:color="auto"/>
      </w:divBdr>
      <w:divsChild>
        <w:div w:id="881552474">
          <w:marLeft w:val="0"/>
          <w:marRight w:val="0"/>
          <w:marTop w:val="0"/>
          <w:marBottom w:val="0"/>
          <w:divBdr>
            <w:top w:val="single" w:sz="2" w:space="0" w:color="2E2E2E"/>
            <w:left w:val="single" w:sz="2" w:space="0" w:color="2E2E2E"/>
            <w:bottom w:val="single" w:sz="2" w:space="0" w:color="2E2E2E"/>
            <w:right w:val="single" w:sz="2" w:space="0" w:color="2E2E2E"/>
          </w:divBdr>
          <w:divsChild>
            <w:div w:id="57016755">
              <w:marLeft w:val="0"/>
              <w:marRight w:val="0"/>
              <w:marTop w:val="0"/>
              <w:marBottom w:val="0"/>
              <w:divBdr>
                <w:top w:val="single" w:sz="6" w:space="0" w:color="C9C9C9"/>
                <w:left w:val="none" w:sz="0" w:space="0" w:color="auto"/>
                <w:bottom w:val="none" w:sz="0" w:space="0" w:color="auto"/>
                <w:right w:val="none" w:sz="0" w:space="0" w:color="auto"/>
              </w:divBdr>
              <w:divsChild>
                <w:div w:id="75635387">
                  <w:marLeft w:val="0"/>
                  <w:marRight w:val="0"/>
                  <w:marTop w:val="0"/>
                  <w:marBottom w:val="0"/>
                  <w:divBdr>
                    <w:top w:val="none" w:sz="0" w:space="0" w:color="auto"/>
                    <w:left w:val="none" w:sz="0" w:space="0" w:color="auto"/>
                    <w:bottom w:val="none" w:sz="0" w:space="0" w:color="auto"/>
                    <w:right w:val="none" w:sz="0" w:space="0" w:color="auto"/>
                  </w:divBdr>
                  <w:divsChild>
                    <w:div w:id="1717119035">
                      <w:marLeft w:val="0"/>
                      <w:marRight w:val="0"/>
                      <w:marTop w:val="0"/>
                      <w:marBottom w:val="0"/>
                      <w:divBdr>
                        <w:top w:val="none" w:sz="0" w:space="0" w:color="auto"/>
                        <w:left w:val="none" w:sz="0" w:space="0" w:color="auto"/>
                        <w:bottom w:val="none" w:sz="0" w:space="0" w:color="auto"/>
                        <w:right w:val="none" w:sz="0" w:space="0" w:color="auto"/>
                      </w:divBdr>
                      <w:divsChild>
                        <w:div w:id="16432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11695">
      <w:bodyDiv w:val="1"/>
      <w:marLeft w:val="0"/>
      <w:marRight w:val="0"/>
      <w:marTop w:val="0"/>
      <w:marBottom w:val="0"/>
      <w:divBdr>
        <w:top w:val="none" w:sz="0" w:space="0" w:color="auto"/>
        <w:left w:val="none" w:sz="0" w:space="0" w:color="auto"/>
        <w:bottom w:val="none" w:sz="0" w:space="0" w:color="auto"/>
        <w:right w:val="none" w:sz="0" w:space="0" w:color="auto"/>
      </w:divBdr>
    </w:div>
    <w:div w:id="1441222278">
      <w:bodyDiv w:val="1"/>
      <w:marLeft w:val="0"/>
      <w:marRight w:val="0"/>
      <w:marTop w:val="0"/>
      <w:marBottom w:val="0"/>
      <w:divBdr>
        <w:top w:val="none" w:sz="0" w:space="0" w:color="auto"/>
        <w:left w:val="none" w:sz="0" w:space="0" w:color="auto"/>
        <w:bottom w:val="none" w:sz="0" w:space="0" w:color="auto"/>
        <w:right w:val="none" w:sz="0" w:space="0" w:color="auto"/>
      </w:divBdr>
    </w:div>
    <w:div w:id="1448239787">
      <w:bodyDiv w:val="1"/>
      <w:marLeft w:val="0"/>
      <w:marRight w:val="0"/>
      <w:marTop w:val="0"/>
      <w:marBottom w:val="0"/>
      <w:divBdr>
        <w:top w:val="none" w:sz="0" w:space="0" w:color="auto"/>
        <w:left w:val="none" w:sz="0" w:space="0" w:color="auto"/>
        <w:bottom w:val="none" w:sz="0" w:space="0" w:color="auto"/>
        <w:right w:val="none" w:sz="0" w:space="0" w:color="auto"/>
      </w:divBdr>
    </w:div>
    <w:div w:id="1450053215">
      <w:bodyDiv w:val="1"/>
      <w:marLeft w:val="0"/>
      <w:marRight w:val="0"/>
      <w:marTop w:val="0"/>
      <w:marBottom w:val="0"/>
      <w:divBdr>
        <w:top w:val="none" w:sz="0" w:space="0" w:color="auto"/>
        <w:left w:val="none" w:sz="0" w:space="0" w:color="auto"/>
        <w:bottom w:val="none" w:sz="0" w:space="0" w:color="auto"/>
        <w:right w:val="none" w:sz="0" w:space="0" w:color="auto"/>
      </w:divBdr>
    </w:div>
    <w:div w:id="1462186389">
      <w:bodyDiv w:val="1"/>
      <w:marLeft w:val="0"/>
      <w:marRight w:val="0"/>
      <w:marTop w:val="0"/>
      <w:marBottom w:val="0"/>
      <w:divBdr>
        <w:top w:val="none" w:sz="0" w:space="0" w:color="auto"/>
        <w:left w:val="none" w:sz="0" w:space="0" w:color="auto"/>
        <w:bottom w:val="none" w:sz="0" w:space="0" w:color="auto"/>
        <w:right w:val="none" w:sz="0" w:space="0" w:color="auto"/>
      </w:divBdr>
      <w:divsChild>
        <w:div w:id="576598479">
          <w:marLeft w:val="432"/>
          <w:marRight w:val="0"/>
          <w:marTop w:val="0"/>
          <w:marBottom w:val="0"/>
          <w:divBdr>
            <w:top w:val="none" w:sz="0" w:space="0" w:color="auto"/>
            <w:left w:val="none" w:sz="0" w:space="0" w:color="auto"/>
            <w:bottom w:val="none" w:sz="0" w:space="0" w:color="auto"/>
            <w:right w:val="none" w:sz="0" w:space="0" w:color="auto"/>
          </w:divBdr>
        </w:div>
        <w:div w:id="693384483">
          <w:marLeft w:val="432"/>
          <w:marRight w:val="0"/>
          <w:marTop w:val="0"/>
          <w:marBottom w:val="0"/>
          <w:divBdr>
            <w:top w:val="none" w:sz="0" w:space="0" w:color="auto"/>
            <w:left w:val="none" w:sz="0" w:space="0" w:color="auto"/>
            <w:bottom w:val="none" w:sz="0" w:space="0" w:color="auto"/>
            <w:right w:val="none" w:sz="0" w:space="0" w:color="auto"/>
          </w:divBdr>
        </w:div>
        <w:div w:id="863833343">
          <w:marLeft w:val="432"/>
          <w:marRight w:val="0"/>
          <w:marTop w:val="0"/>
          <w:marBottom w:val="0"/>
          <w:divBdr>
            <w:top w:val="none" w:sz="0" w:space="0" w:color="auto"/>
            <w:left w:val="none" w:sz="0" w:space="0" w:color="auto"/>
            <w:bottom w:val="none" w:sz="0" w:space="0" w:color="auto"/>
            <w:right w:val="none" w:sz="0" w:space="0" w:color="auto"/>
          </w:divBdr>
        </w:div>
        <w:div w:id="1568304628">
          <w:marLeft w:val="432"/>
          <w:marRight w:val="0"/>
          <w:marTop w:val="0"/>
          <w:marBottom w:val="0"/>
          <w:divBdr>
            <w:top w:val="none" w:sz="0" w:space="0" w:color="auto"/>
            <w:left w:val="none" w:sz="0" w:space="0" w:color="auto"/>
            <w:bottom w:val="none" w:sz="0" w:space="0" w:color="auto"/>
            <w:right w:val="none" w:sz="0" w:space="0" w:color="auto"/>
          </w:divBdr>
        </w:div>
      </w:divsChild>
    </w:div>
    <w:div w:id="1556895618">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722748099">
      <w:bodyDiv w:val="1"/>
      <w:marLeft w:val="0"/>
      <w:marRight w:val="0"/>
      <w:marTop w:val="0"/>
      <w:marBottom w:val="0"/>
      <w:divBdr>
        <w:top w:val="none" w:sz="0" w:space="0" w:color="auto"/>
        <w:left w:val="none" w:sz="0" w:space="0" w:color="auto"/>
        <w:bottom w:val="none" w:sz="0" w:space="0" w:color="auto"/>
        <w:right w:val="none" w:sz="0" w:space="0" w:color="auto"/>
      </w:divBdr>
      <w:divsChild>
        <w:div w:id="1712221825">
          <w:marLeft w:val="0"/>
          <w:marRight w:val="0"/>
          <w:marTop w:val="0"/>
          <w:marBottom w:val="0"/>
          <w:divBdr>
            <w:top w:val="none" w:sz="0" w:space="0" w:color="auto"/>
            <w:left w:val="none" w:sz="0" w:space="0" w:color="auto"/>
            <w:bottom w:val="none" w:sz="0" w:space="0" w:color="auto"/>
            <w:right w:val="none" w:sz="0" w:space="0" w:color="auto"/>
          </w:divBdr>
          <w:divsChild>
            <w:div w:id="30151911">
              <w:marLeft w:val="0"/>
              <w:marRight w:val="0"/>
              <w:marTop w:val="0"/>
              <w:marBottom w:val="0"/>
              <w:divBdr>
                <w:top w:val="none" w:sz="0" w:space="0" w:color="auto"/>
                <w:left w:val="none" w:sz="0" w:space="0" w:color="auto"/>
                <w:bottom w:val="none" w:sz="0" w:space="0" w:color="auto"/>
                <w:right w:val="none" w:sz="0" w:space="0" w:color="auto"/>
              </w:divBdr>
              <w:divsChild>
                <w:div w:id="595752424">
                  <w:marLeft w:val="0"/>
                  <w:marRight w:val="0"/>
                  <w:marTop w:val="0"/>
                  <w:marBottom w:val="0"/>
                  <w:divBdr>
                    <w:top w:val="none" w:sz="0" w:space="0" w:color="auto"/>
                    <w:left w:val="none" w:sz="0" w:space="0" w:color="auto"/>
                    <w:bottom w:val="none" w:sz="0" w:space="0" w:color="auto"/>
                    <w:right w:val="none" w:sz="0" w:space="0" w:color="auto"/>
                  </w:divBdr>
                  <w:divsChild>
                    <w:div w:id="778644214">
                      <w:marLeft w:val="0"/>
                      <w:marRight w:val="0"/>
                      <w:marTop w:val="0"/>
                      <w:marBottom w:val="0"/>
                      <w:divBdr>
                        <w:top w:val="none" w:sz="0" w:space="0" w:color="auto"/>
                        <w:left w:val="none" w:sz="0" w:space="0" w:color="auto"/>
                        <w:bottom w:val="none" w:sz="0" w:space="0" w:color="auto"/>
                        <w:right w:val="none" w:sz="0" w:space="0" w:color="auto"/>
                      </w:divBdr>
                      <w:divsChild>
                        <w:div w:id="1513686604">
                          <w:marLeft w:val="0"/>
                          <w:marRight w:val="0"/>
                          <w:marTop w:val="0"/>
                          <w:marBottom w:val="0"/>
                          <w:divBdr>
                            <w:top w:val="none" w:sz="0" w:space="0" w:color="auto"/>
                            <w:left w:val="none" w:sz="0" w:space="0" w:color="auto"/>
                            <w:bottom w:val="none" w:sz="0" w:space="0" w:color="auto"/>
                            <w:right w:val="none" w:sz="0" w:space="0" w:color="auto"/>
                          </w:divBdr>
                          <w:divsChild>
                            <w:div w:id="172769006">
                              <w:marLeft w:val="0"/>
                              <w:marRight w:val="0"/>
                              <w:marTop w:val="0"/>
                              <w:marBottom w:val="0"/>
                              <w:divBdr>
                                <w:top w:val="none" w:sz="0" w:space="0" w:color="auto"/>
                                <w:left w:val="none" w:sz="0" w:space="0" w:color="auto"/>
                                <w:bottom w:val="none" w:sz="0" w:space="0" w:color="auto"/>
                                <w:right w:val="none" w:sz="0" w:space="0" w:color="auto"/>
                              </w:divBdr>
                              <w:divsChild>
                                <w:div w:id="1171215947">
                                  <w:marLeft w:val="0"/>
                                  <w:marRight w:val="0"/>
                                  <w:marTop w:val="0"/>
                                  <w:marBottom w:val="0"/>
                                  <w:divBdr>
                                    <w:top w:val="none" w:sz="0" w:space="0" w:color="auto"/>
                                    <w:left w:val="none" w:sz="0" w:space="0" w:color="auto"/>
                                    <w:bottom w:val="none" w:sz="0" w:space="0" w:color="auto"/>
                                    <w:right w:val="none" w:sz="0" w:space="0" w:color="auto"/>
                                  </w:divBdr>
                                  <w:divsChild>
                                    <w:div w:id="274337107">
                                      <w:marLeft w:val="0"/>
                                      <w:marRight w:val="0"/>
                                      <w:marTop w:val="0"/>
                                      <w:marBottom w:val="0"/>
                                      <w:divBdr>
                                        <w:top w:val="none" w:sz="0" w:space="0" w:color="auto"/>
                                        <w:left w:val="none" w:sz="0" w:space="0" w:color="auto"/>
                                        <w:bottom w:val="none" w:sz="0" w:space="0" w:color="auto"/>
                                        <w:right w:val="none" w:sz="0" w:space="0" w:color="auto"/>
                                      </w:divBdr>
                                      <w:divsChild>
                                        <w:div w:id="1589078451">
                                          <w:marLeft w:val="0"/>
                                          <w:marRight w:val="0"/>
                                          <w:marTop w:val="0"/>
                                          <w:marBottom w:val="0"/>
                                          <w:divBdr>
                                            <w:top w:val="none" w:sz="0" w:space="0" w:color="auto"/>
                                            <w:left w:val="none" w:sz="0" w:space="0" w:color="auto"/>
                                            <w:bottom w:val="none" w:sz="0" w:space="0" w:color="auto"/>
                                            <w:right w:val="none" w:sz="0" w:space="0" w:color="auto"/>
                                          </w:divBdr>
                                          <w:divsChild>
                                            <w:div w:id="33583962">
                                              <w:marLeft w:val="0"/>
                                              <w:marRight w:val="0"/>
                                              <w:marTop w:val="0"/>
                                              <w:marBottom w:val="0"/>
                                              <w:divBdr>
                                                <w:top w:val="none" w:sz="0" w:space="0" w:color="auto"/>
                                                <w:left w:val="none" w:sz="0" w:space="0" w:color="auto"/>
                                                <w:bottom w:val="none" w:sz="0" w:space="0" w:color="auto"/>
                                                <w:right w:val="none" w:sz="0" w:space="0" w:color="auto"/>
                                              </w:divBdr>
                                              <w:divsChild>
                                                <w:div w:id="813259899">
                                                  <w:marLeft w:val="0"/>
                                                  <w:marRight w:val="0"/>
                                                  <w:marTop w:val="0"/>
                                                  <w:marBottom w:val="0"/>
                                                  <w:divBdr>
                                                    <w:top w:val="none" w:sz="0" w:space="0" w:color="auto"/>
                                                    <w:left w:val="none" w:sz="0" w:space="0" w:color="auto"/>
                                                    <w:bottom w:val="none" w:sz="0" w:space="0" w:color="auto"/>
                                                    <w:right w:val="none" w:sz="0" w:space="0" w:color="auto"/>
                                                  </w:divBdr>
                                                  <w:divsChild>
                                                    <w:div w:id="5920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531061">
      <w:bodyDiv w:val="1"/>
      <w:marLeft w:val="0"/>
      <w:marRight w:val="0"/>
      <w:marTop w:val="0"/>
      <w:marBottom w:val="0"/>
      <w:divBdr>
        <w:top w:val="none" w:sz="0" w:space="0" w:color="auto"/>
        <w:left w:val="none" w:sz="0" w:space="0" w:color="auto"/>
        <w:bottom w:val="none" w:sz="0" w:space="0" w:color="auto"/>
        <w:right w:val="none" w:sz="0" w:space="0" w:color="auto"/>
      </w:divBdr>
    </w:div>
    <w:div w:id="1739667827">
      <w:bodyDiv w:val="1"/>
      <w:marLeft w:val="0"/>
      <w:marRight w:val="0"/>
      <w:marTop w:val="0"/>
      <w:marBottom w:val="0"/>
      <w:divBdr>
        <w:top w:val="none" w:sz="0" w:space="0" w:color="auto"/>
        <w:left w:val="none" w:sz="0" w:space="0" w:color="auto"/>
        <w:bottom w:val="none" w:sz="0" w:space="0" w:color="auto"/>
        <w:right w:val="none" w:sz="0" w:space="0" w:color="auto"/>
      </w:divBdr>
      <w:divsChild>
        <w:div w:id="93865600">
          <w:marLeft w:val="432"/>
          <w:marRight w:val="0"/>
          <w:marTop w:val="0"/>
          <w:marBottom w:val="0"/>
          <w:divBdr>
            <w:top w:val="none" w:sz="0" w:space="0" w:color="auto"/>
            <w:left w:val="none" w:sz="0" w:space="0" w:color="auto"/>
            <w:bottom w:val="none" w:sz="0" w:space="0" w:color="auto"/>
            <w:right w:val="none" w:sz="0" w:space="0" w:color="auto"/>
          </w:divBdr>
        </w:div>
        <w:div w:id="707992083">
          <w:marLeft w:val="432"/>
          <w:marRight w:val="0"/>
          <w:marTop w:val="0"/>
          <w:marBottom w:val="0"/>
          <w:divBdr>
            <w:top w:val="none" w:sz="0" w:space="0" w:color="auto"/>
            <w:left w:val="none" w:sz="0" w:space="0" w:color="auto"/>
            <w:bottom w:val="none" w:sz="0" w:space="0" w:color="auto"/>
            <w:right w:val="none" w:sz="0" w:space="0" w:color="auto"/>
          </w:divBdr>
        </w:div>
        <w:div w:id="1413117750">
          <w:marLeft w:val="432"/>
          <w:marRight w:val="0"/>
          <w:marTop w:val="0"/>
          <w:marBottom w:val="0"/>
          <w:divBdr>
            <w:top w:val="none" w:sz="0" w:space="0" w:color="auto"/>
            <w:left w:val="none" w:sz="0" w:space="0" w:color="auto"/>
            <w:bottom w:val="none" w:sz="0" w:space="0" w:color="auto"/>
            <w:right w:val="none" w:sz="0" w:space="0" w:color="auto"/>
          </w:divBdr>
        </w:div>
        <w:div w:id="1766918564">
          <w:marLeft w:val="432"/>
          <w:marRight w:val="0"/>
          <w:marTop w:val="0"/>
          <w:marBottom w:val="0"/>
          <w:divBdr>
            <w:top w:val="none" w:sz="0" w:space="0" w:color="auto"/>
            <w:left w:val="none" w:sz="0" w:space="0" w:color="auto"/>
            <w:bottom w:val="none" w:sz="0" w:space="0" w:color="auto"/>
            <w:right w:val="none" w:sz="0" w:space="0" w:color="auto"/>
          </w:divBdr>
        </w:div>
      </w:divsChild>
    </w:div>
    <w:div w:id="1841701358">
      <w:bodyDiv w:val="1"/>
      <w:marLeft w:val="0"/>
      <w:marRight w:val="0"/>
      <w:marTop w:val="0"/>
      <w:marBottom w:val="0"/>
      <w:divBdr>
        <w:top w:val="none" w:sz="0" w:space="0" w:color="auto"/>
        <w:left w:val="none" w:sz="0" w:space="0" w:color="auto"/>
        <w:bottom w:val="none" w:sz="0" w:space="0" w:color="auto"/>
        <w:right w:val="none" w:sz="0" w:space="0" w:color="auto"/>
      </w:divBdr>
    </w:div>
    <w:div w:id="1851945008">
      <w:bodyDiv w:val="1"/>
      <w:marLeft w:val="0"/>
      <w:marRight w:val="0"/>
      <w:marTop w:val="0"/>
      <w:marBottom w:val="0"/>
      <w:divBdr>
        <w:top w:val="none" w:sz="0" w:space="0" w:color="auto"/>
        <w:left w:val="none" w:sz="0" w:space="0" w:color="auto"/>
        <w:bottom w:val="none" w:sz="0" w:space="0" w:color="auto"/>
        <w:right w:val="none" w:sz="0" w:space="0" w:color="auto"/>
      </w:divBdr>
    </w:div>
    <w:div w:id="1976830190">
      <w:bodyDiv w:val="1"/>
      <w:marLeft w:val="0"/>
      <w:marRight w:val="0"/>
      <w:marTop w:val="0"/>
      <w:marBottom w:val="0"/>
      <w:divBdr>
        <w:top w:val="none" w:sz="0" w:space="0" w:color="auto"/>
        <w:left w:val="none" w:sz="0" w:space="0" w:color="auto"/>
        <w:bottom w:val="none" w:sz="0" w:space="0" w:color="auto"/>
        <w:right w:val="none" w:sz="0" w:space="0" w:color="auto"/>
      </w:divBdr>
    </w:div>
    <w:div w:id="1991208006">
      <w:bodyDiv w:val="1"/>
      <w:marLeft w:val="0"/>
      <w:marRight w:val="0"/>
      <w:marTop w:val="0"/>
      <w:marBottom w:val="0"/>
      <w:divBdr>
        <w:top w:val="none" w:sz="0" w:space="0" w:color="auto"/>
        <w:left w:val="none" w:sz="0" w:space="0" w:color="auto"/>
        <w:bottom w:val="none" w:sz="0" w:space="0" w:color="auto"/>
        <w:right w:val="none" w:sz="0" w:space="0" w:color="auto"/>
      </w:divBdr>
    </w:div>
    <w:div w:id="2005664516">
      <w:bodyDiv w:val="1"/>
      <w:marLeft w:val="0"/>
      <w:marRight w:val="0"/>
      <w:marTop w:val="0"/>
      <w:marBottom w:val="0"/>
      <w:divBdr>
        <w:top w:val="none" w:sz="0" w:space="0" w:color="auto"/>
        <w:left w:val="none" w:sz="0" w:space="0" w:color="auto"/>
        <w:bottom w:val="none" w:sz="0" w:space="0" w:color="auto"/>
        <w:right w:val="none" w:sz="0" w:space="0" w:color="auto"/>
      </w:divBdr>
    </w:div>
    <w:div w:id="2011566230">
      <w:bodyDiv w:val="1"/>
      <w:marLeft w:val="0"/>
      <w:marRight w:val="0"/>
      <w:marTop w:val="0"/>
      <w:marBottom w:val="0"/>
      <w:divBdr>
        <w:top w:val="none" w:sz="0" w:space="0" w:color="auto"/>
        <w:left w:val="none" w:sz="0" w:space="0" w:color="auto"/>
        <w:bottom w:val="none" w:sz="0" w:space="0" w:color="auto"/>
        <w:right w:val="none" w:sz="0" w:space="0" w:color="auto"/>
      </w:divBdr>
    </w:div>
    <w:div w:id="2080669084">
      <w:bodyDiv w:val="1"/>
      <w:marLeft w:val="0"/>
      <w:marRight w:val="0"/>
      <w:marTop w:val="0"/>
      <w:marBottom w:val="0"/>
      <w:divBdr>
        <w:top w:val="none" w:sz="0" w:space="0" w:color="auto"/>
        <w:left w:val="none" w:sz="0" w:space="0" w:color="auto"/>
        <w:bottom w:val="none" w:sz="0" w:space="0" w:color="auto"/>
        <w:right w:val="none" w:sz="0" w:space="0" w:color="auto"/>
      </w:divBdr>
    </w:div>
    <w:div w:id="208563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pn@cardiff.ac.uk" TargetMode="External"/><Relationship Id="rId13" Type="http://schemas.openxmlformats.org/officeDocument/2006/relationships/hyperlink" Target="http://orcid.org/0000-0002-1684-2224" TargetMode="External"/><Relationship Id="rId18" Type="http://schemas.openxmlformats.org/officeDocument/2006/relationships/hyperlink" Target="http://dx.doi.org/10.1210/jcem.86.8.7737" TargetMode="External"/><Relationship Id="rId3" Type="http://schemas.openxmlformats.org/officeDocument/2006/relationships/settings" Target="settings.xml"/><Relationship Id="rId7" Type="http://schemas.openxmlformats.org/officeDocument/2006/relationships/hyperlink" Target="mailto:DietrichAM@cardiff.ac.uk" TargetMode="External"/><Relationship Id="rId12" Type="http://schemas.openxmlformats.org/officeDocument/2006/relationships/hyperlink" Target="mailto:hellosue@suejackson.me.uk" TargetMode="External"/><Relationship Id="rId17" Type="http://schemas.openxmlformats.org/officeDocument/2006/relationships/hyperlink" Target="https://doi.org/10.1016/S0895-4356(99)00069-4" TargetMode="External"/><Relationship Id="rId2" Type="http://schemas.openxmlformats.org/officeDocument/2006/relationships/styles" Target="styles.xml"/><Relationship Id="rId16" Type="http://schemas.openxmlformats.org/officeDocument/2006/relationships/hyperlink" Target="https://doi.org/10.1210/jc.2003-0308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rcid.org/0000-0002-1684-2224" TargetMode="External"/><Relationship Id="rId11" Type="http://schemas.openxmlformats.org/officeDocument/2006/relationships/hyperlink" Target="mailto:DayanCM@cardiff.ac.uk" TargetMode="External"/><Relationship Id="rId5" Type="http://schemas.openxmlformats.org/officeDocument/2006/relationships/hyperlink" Target="mailto:hellosue@suejackson.me.uk" TargetMode="External"/><Relationship Id="rId15" Type="http://schemas.openxmlformats.org/officeDocument/2006/relationships/hyperlink" Target="http://dx.doi.org/10.1210/jcem.86.8.7737" TargetMode="External"/><Relationship Id="rId10" Type="http://schemas.openxmlformats.org/officeDocument/2006/relationships/hyperlink" Target="mailto:richard.lee@bristol.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White@uwe.ac.uk" TargetMode="External"/><Relationship Id="rId14" Type="http://schemas.openxmlformats.org/officeDocument/2006/relationships/hyperlink" Target="https://doi.org/10.1159/000443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31</Pages>
  <Words>6655</Words>
  <Characters>37935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Dietrich</dc:creator>
  <cp:keywords/>
  <dc:description/>
  <cp:lastModifiedBy>Sue</cp:lastModifiedBy>
  <cp:revision>9</cp:revision>
  <cp:lastPrinted>2017-11-28T14:05:00Z</cp:lastPrinted>
  <dcterms:created xsi:type="dcterms:W3CDTF">2017-12-01T09:06:00Z</dcterms:created>
  <dcterms:modified xsi:type="dcterms:W3CDTF">2017-12-07T14:41:00Z</dcterms:modified>
</cp:coreProperties>
</file>